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23"/>
      </w:pPr>
      <w:r>
        <w:pict>
          <v:shape type="#_x0000_t75" style="width:228.99pt;height:306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37"/>
          <w:szCs w:val="37"/>
        </w:rPr>
        <w:jc w:val="center"/>
        <w:spacing w:lineRule="exact" w:line="440"/>
        <w:ind w:left="375" w:right="401"/>
      </w:pPr>
      <w:r>
        <w:rPr>
          <w:rFonts w:cs="Verdana" w:hAnsi="Verdana" w:eastAsia="Verdana" w:ascii="Verdana"/>
          <w:b/>
          <w:color w:val="773189"/>
          <w:w w:val="99"/>
          <w:position w:val="-1"/>
          <w:sz w:val="37"/>
          <w:szCs w:val="37"/>
        </w:rPr>
        <w:t>Tender</w:t>
      </w:r>
      <w:r>
        <w:rPr>
          <w:rFonts w:cs="Verdana" w:hAnsi="Verdana" w:eastAsia="Verdana" w:ascii="Verdana"/>
          <w:b/>
          <w:color w:val="773189"/>
          <w:w w:val="100"/>
          <w:position w:val="-1"/>
          <w:sz w:val="37"/>
          <w:szCs w:val="37"/>
        </w:rPr>
        <w:t> </w:t>
      </w:r>
      <w:r>
        <w:rPr>
          <w:rFonts w:cs="Verdana" w:hAnsi="Verdana" w:eastAsia="Verdana" w:ascii="Verdana"/>
          <w:b/>
          <w:color w:val="773189"/>
          <w:w w:val="99"/>
          <w:position w:val="-1"/>
          <w:sz w:val="37"/>
          <w:szCs w:val="37"/>
        </w:rPr>
        <w:t>for</w:t>
      </w:r>
      <w:r>
        <w:rPr>
          <w:rFonts w:cs="Verdana" w:hAnsi="Verdana" w:eastAsia="Verdana" w:ascii="Verdana"/>
          <w:b/>
          <w:color w:val="773189"/>
          <w:w w:val="100"/>
          <w:position w:val="-1"/>
          <w:sz w:val="37"/>
          <w:szCs w:val="37"/>
        </w:rPr>
        <w:t> </w:t>
      </w:r>
      <w:r>
        <w:rPr>
          <w:rFonts w:cs="Verdana" w:hAnsi="Verdana" w:eastAsia="Verdana" w:ascii="Verdana"/>
          <w:b/>
          <w:color w:val="773189"/>
          <w:w w:val="99"/>
          <w:position w:val="-1"/>
          <w:sz w:val="37"/>
          <w:szCs w:val="37"/>
        </w:rPr>
        <w:t>Research</w:t>
      </w:r>
      <w:r>
        <w:rPr>
          <w:rFonts w:cs="Verdana" w:hAnsi="Verdana" w:eastAsia="Verdana" w:ascii="Verdana"/>
          <w:b/>
          <w:color w:val="773189"/>
          <w:w w:val="100"/>
          <w:position w:val="-1"/>
          <w:sz w:val="37"/>
          <w:szCs w:val="37"/>
        </w:rPr>
        <w:t> </w:t>
      </w:r>
      <w:r>
        <w:rPr>
          <w:rFonts w:cs="Verdana" w:hAnsi="Verdana" w:eastAsia="Verdana" w:ascii="Verdana"/>
          <w:b/>
          <w:color w:val="773189"/>
          <w:w w:val="99"/>
          <w:position w:val="-1"/>
          <w:sz w:val="37"/>
          <w:szCs w:val="37"/>
        </w:rPr>
        <w:t>on</w:t>
      </w:r>
      <w:r>
        <w:rPr>
          <w:rFonts w:cs="Verdana" w:hAnsi="Verdana" w:eastAsia="Verdana" w:ascii="Verdana"/>
          <w:b/>
          <w:color w:val="773189"/>
          <w:w w:val="100"/>
          <w:position w:val="-1"/>
          <w:sz w:val="37"/>
          <w:szCs w:val="37"/>
        </w:rPr>
        <w:t> </w:t>
      </w:r>
      <w:r>
        <w:rPr>
          <w:rFonts w:cs="Verdana" w:hAnsi="Verdana" w:eastAsia="Verdana" w:ascii="Verdana"/>
          <w:b/>
          <w:color w:val="773189"/>
          <w:w w:val="99"/>
          <w:position w:val="-1"/>
          <w:sz w:val="37"/>
          <w:szCs w:val="37"/>
        </w:rPr>
        <w:t>the</w:t>
      </w:r>
      <w:r>
        <w:rPr>
          <w:rFonts w:cs="Verdana" w:hAnsi="Verdana" w:eastAsia="Verdana" w:ascii="Verdana"/>
          <w:b/>
          <w:color w:val="773189"/>
          <w:w w:val="100"/>
          <w:position w:val="-1"/>
          <w:sz w:val="37"/>
          <w:szCs w:val="37"/>
        </w:rPr>
        <w:t> </w:t>
      </w:r>
      <w:r>
        <w:rPr>
          <w:rFonts w:cs="Verdana" w:hAnsi="Verdana" w:eastAsia="Verdana" w:ascii="Verdana"/>
          <w:b/>
          <w:color w:val="773189"/>
          <w:w w:val="99"/>
          <w:position w:val="-1"/>
          <w:sz w:val="37"/>
          <w:szCs w:val="37"/>
        </w:rPr>
        <w:t>Prevention</w:t>
      </w:r>
      <w:r>
        <w:rPr>
          <w:rFonts w:cs="Verdana" w:hAnsi="Verdana" w:eastAsia="Verdana" w:ascii="Verdana"/>
          <w:b/>
          <w:color w:val="773189"/>
          <w:w w:val="100"/>
          <w:position w:val="-1"/>
          <w:sz w:val="37"/>
          <w:szCs w:val="37"/>
        </w:rPr>
        <w:t> </w:t>
      </w:r>
      <w:r>
        <w:rPr>
          <w:rFonts w:cs="Verdana" w:hAnsi="Verdana" w:eastAsia="Verdana" w:ascii="Verdana"/>
          <w:b/>
          <w:color w:val="773189"/>
          <w:w w:val="99"/>
          <w:position w:val="-1"/>
          <w:sz w:val="37"/>
          <w:szCs w:val="37"/>
        </w:rPr>
        <w:t>of</w:t>
      </w:r>
      <w:r>
        <w:rPr>
          <w:rFonts w:cs="Verdana" w:hAnsi="Verdana" w:eastAsia="Verdana" w:ascii="Verdana"/>
          <w:color w:val="000000"/>
          <w:w w:val="100"/>
          <w:position w:val="0"/>
          <w:sz w:val="37"/>
          <w:szCs w:val="37"/>
        </w:rPr>
      </w:r>
    </w:p>
    <w:p>
      <w:pPr>
        <w:rPr>
          <w:rFonts w:cs="Verdana" w:hAnsi="Verdana" w:eastAsia="Verdana" w:ascii="Verdana"/>
          <w:sz w:val="37"/>
          <w:szCs w:val="37"/>
        </w:rPr>
        <w:jc w:val="center"/>
        <w:spacing w:before="62"/>
        <w:ind w:left="577" w:right="573"/>
      </w:pPr>
      <w:r>
        <w:rPr>
          <w:rFonts w:cs="Verdana" w:hAnsi="Verdana" w:eastAsia="Verdana" w:ascii="Verdana"/>
          <w:b/>
          <w:color w:val="773189"/>
          <w:w w:val="99"/>
          <w:sz w:val="37"/>
          <w:szCs w:val="37"/>
        </w:rPr>
        <w:t>Drug</w:t>
      </w:r>
      <w:r>
        <w:rPr>
          <w:rFonts w:cs="Verdana" w:hAnsi="Verdana" w:eastAsia="Verdana" w:ascii="Verdana"/>
          <w:b/>
          <w:color w:val="773189"/>
          <w:w w:val="100"/>
          <w:sz w:val="37"/>
          <w:szCs w:val="37"/>
        </w:rPr>
        <w:t> </w:t>
      </w:r>
      <w:r>
        <w:rPr>
          <w:rFonts w:cs="Verdana" w:hAnsi="Verdana" w:eastAsia="Verdana" w:ascii="Verdana"/>
          <w:b/>
          <w:color w:val="773189"/>
          <w:w w:val="99"/>
          <w:sz w:val="37"/>
          <w:szCs w:val="37"/>
        </w:rPr>
        <w:t>Addiction</w:t>
      </w:r>
      <w:r>
        <w:rPr>
          <w:rFonts w:cs="Verdana" w:hAnsi="Verdana" w:eastAsia="Verdana" w:ascii="Verdana"/>
          <w:b/>
          <w:color w:val="773189"/>
          <w:w w:val="100"/>
          <w:sz w:val="37"/>
          <w:szCs w:val="37"/>
        </w:rPr>
        <w:t> </w:t>
      </w:r>
      <w:r>
        <w:rPr>
          <w:rFonts w:cs="Verdana" w:hAnsi="Verdana" w:eastAsia="Verdana" w:ascii="Verdana"/>
          <w:b/>
          <w:color w:val="773189"/>
          <w:w w:val="99"/>
          <w:sz w:val="37"/>
          <w:szCs w:val="37"/>
        </w:rPr>
        <w:t>and</w:t>
      </w:r>
      <w:r>
        <w:rPr>
          <w:rFonts w:cs="Verdana" w:hAnsi="Verdana" w:eastAsia="Verdana" w:ascii="Verdana"/>
          <w:b/>
          <w:color w:val="773189"/>
          <w:w w:val="100"/>
          <w:sz w:val="37"/>
          <w:szCs w:val="37"/>
        </w:rPr>
        <w:t> </w:t>
      </w:r>
      <w:r>
        <w:rPr>
          <w:rFonts w:cs="Verdana" w:hAnsi="Verdana" w:eastAsia="Verdana" w:ascii="Verdana"/>
          <w:b/>
          <w:color w:val="773189"/>
          <w:w w:val="99"/>
          <w:sz w:val="37"/>
          <w:szCs w:val="37"/>
        </w:rPr>
        <w:t>Substance</w:t>
      </w:r>
      <w:r>
        <w:rPr>
          <w:rFonts w:cs="Verdana" w:hAnsi="Verdana" w:eastAsia="Verdana" w:ascii="Verdana"/>
          <w:b/>
          <w:color w:val="773189"/>
          <w:w w:val="100"/>
          <w:sz w:val="37"/>
          <w:szCs w:val="37"/>
        </w:rPr>
        <w:t> </w:t>
      </w:r>
      <w:r>
        <w:rPr>
          <w:rFonts w:cs="Verdana" w:hAnsi="Verdana" w:eastAsia="Verdana" w:ascii="Verdana"/>
          <w:b/>
          <w:color w:val="773189"/>
          <w:w w:val="99"/>
          <w:sz w:val="37"/>
          <w:szCs w:val="37"/>
        </w:rPr>
        <w:t>Abuse</w:t>
      </w:r>
      <w:r>
        <w:rPr>
          <w:rFonts w:cs="Verdana" w:hAnsi="Verdana" w:eastAsia="Verdana" w:ascii="Verdana"/>
          <w:b/>
          <w:color w:val="773189"/>
          <w:w w:val="100"/>
          <w:sz w:val="37"/>
          <w:szCs w:val="37"/>
        </w:rPr>
        <w:t> </w:t>
      </w:r>
      <w:r>
        <w:rPr>
          <w:rFonts w:cs="Verdana" w:hAnsi="Verdana" w:eastAsia="Verdana" w:ascii="Verdana"/>
          <w:b/>
          <w:color w:val="773189"/>
          <w:w w:val="99"/>
          <w:sz w:val="37"/>
          <w:szCs w:val="37"/>
        </w:rPr>
        <w:t>in</w:t>
      </w:r>
      <w:r>
        <w:rPr>
          <w:rFonts w:cs="Verdana" w:hAnsi="Verdana" w:eastAsia="Verdana" w:ascii="Verdana"/>
          <w:color w:val="000000"/>
          <w:w w:val="100"/>
          <w:sz w:val="37"/>
          <w:szCs w:val="37"/>
        </w:rPr>
      </w:r>
    </w:p>
    <w:p>
      <w:pPr>
        <w:rPr>
          <w:rFonts w:cs="Verdana" w:hAnsi="Verdana" w:eastAsia="Verdana" w:ascii="Verdana"/>
          <w:sz w:val="37"/>
          <w:szCs w:val="37"/>
        </w:rPr>
        <w:jc w:val="center"/>
        <w:spacing w:before="79"/>
        <w:ind w:left="2842" w:right="2845"/>
      </w:pPr>
      <w:r>
        <w:rPr>
          <w:rFonts w:cs="Verdana" w:hAnsi="Verdana" w:eastAsia="Verdana" w:ascii="Verdana"/>
          <w:b/>
          <w:color w:val="773189"/>
          <w:w w:val="99"/>
          <w:sz w:val="37"/>
          <w:szCs w:val="37"/>
        </w:rPr>
        <w:t>Northern</w:t>
      </w:r>
      <w:r>
        <w:rPr>
          <w:rFonts w:cs="Verdana" w:hAnsi="Verdana" w:eastAsia="Verdana" w:ascii="Verdana"/>
          <w:b/>
          <w:color w:val="773189"/>
          <w:w w:val="100"/>
          <w:sz w:val="37"/>
          <w:szCs w:val="37"/>
        </w:rPr>
        <w:t> </w:t>
      </w:r>
      <w:r>
        <w:rPr>
          <w:rFonts w:cs="Verdana" w:hAnsi="Verdana" w:eastAsia="Verdana" w:ascii="Verdana"/>
          <w:b/>
          <w:color w:val="773189"/>
          <w:w w:val="99"/>
          <w:sz w:val="37"/>
          <w:szCs w:val="37"/>
        </w:rPr>
        <w:t>Ireland</w:t>
      </w:r>
      <w:r>
        <w:rPr>
          <w:rFonts w:cs="Verdana" w:hAnsi="Verdana" w:eastAsia="Verdana" w:ascii="Verdana"/>
          <w:color w:val="000000"/>
          <w:w w:val="100"/>
          <w:sz w:val="37"/>
          <w:szCs w:val="3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30"/>
          <w:szCs w:val="30"/>
        </w:rPr>
        <w:jc w:val="left"/>
        <w:ind w:left="2986"/>
      </w:pPr>
      <w:r>
        <w:rPr>
          <w:rFonts w:cs="Verdana" w:hAnsi="Verdana" w:eastAsia="Verdana" w:ascii="Verdana"/>
          <w:b/>
          <w:color w:val="22201F"/>
          <w:w w:val="101"/>
          <w:sz w:val="30"/>
          <w:szCs w:val="30"/>
        </w:rPr>
        <w:t>January</w:t>
      </w:r>
      <w:r>
        <w:rPr>
          <w:rFonts w:cs="Verdana" w:hAnsi="Verdana" w:eastAsia="Verdana" w:ascii="Verdana"/>
          <w:b/>
          <w:color w:val="22201F"/>
          <w:w w:val="100"/>
          <w:sz w:val="30"/>
          <w:szCs w:val="30"/>
        </w:rPr>
        <w:t> </w:t>
      </w:r>
      <w:r>
        <w:rPr>
          <w:rFonts w:cs="Verdana" w:hAnsi="Verdana" w:eastAsia="Verdana" w:ascii="Verdana"/>
          <w:b/>
          <w:color w:val="22201F"/>
          <w:w w:val="101"/>
          <w:sz w:val="30"/>
          <w:szCs w:val="30"/>
        </w:rPr>
        <w:t>2022</w:t>
      </w:r>
      <w:r>
        <w:rPr>
          <w:rFonts w:cs="Verdana" w:hAnsi="Verdana" w:eastAsia="Verdana" w:ascii="Verdana"/>
          <w:color w:val="00000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both"/>
        <w:spacing w:lineRule="exact" w:line="280"/>
        <w:ind w:left="102" w:right="75"/>
      </w:pPr>
      <w:r>
        <w:rPr>
          <w:rFonts w:cs="Verdana" w:hAnsi="Verdana" w:eastAsia="Verdana" w:ascii="Verdana"/>
          <w:b/>
          <w:sz w:val="24"/>
          <w:szCs w:val="24"/>
        </w:rPr>
        <w:t>The  Northern  Ireland  Human  Rights  Commission  is  seeking  to</w:t>
      </w:r>
      <w:r>
        <w:rPr>
          <w:rFonts w:cs="Verdana" w:hAnsi="Verdana" w:eastAsia="Verdana" w:ascii="Verdana"/>
          <w:b/>
          <w:sz w:val="24"/>
          <w:szCs w:val="24"/>
        </w:rPr>
        <w:t> contract  research   on   drug  addiction  and  substance  abuse  in</w:t>
      </w:r>
      <w:r>
        <w:rPr>
          <w:rFonts w:cs="Verdana" w:hAnsi="Verdana" w:eastAsia="Verdana" w:ascii="Verdana"/>
          <w:b/>
          <w:sz w:val="24"/>
          <w:szCs w:val="24"/>
        </w:rPr>
        <w:t> Northern Ireland.</w:t>
      </w:r>
      <w:r>
        <w:rPr>
          <w:rFonts w:cs="Verdana" w:hAnsi="Verdana" w:eastAsia="Verdana" w:ascii="Verdana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4"/>
          <w:szCs w:val="24"/>
        </w:rPr>
        <w:jc w:val="both"/>
        <w:ind w:left="102" w:right="82"/>
      </w:pPr>
      <w:r>
        <w:rPr>
          <w:rFonts w:cs="Verdana" w:hAnsi="Verdana" w:eastAsia="Verdana" w:ascii="Verdana"/>
          <w:b/>
          <w:sz w:val="24"/>
          <w:szCs w:val="24"/>
        </w:rPr>
        <w:t>The  deadline  for  submitting a  quotation  is  12pm  on  Tuesday  8</w:t>
      </w:r>
      <w:r>
        <w:rPr>
          <w:rFonts w:cs="Verdana" w:hAnsi="Verdana" w:eastAsia="Verdana" w:ascii="Verdana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both"/>
        <w:spacing w:before="12"/>
        <w:ind w:left="102" w:right="7017"/>
        <w:sectPr>
          <w:pgNumType w:start="1"/>
          <w:pgMar w:footer="997" w:header="0" w:top="1320" w:bottom="280" w:left="1340" w:right="1320"/>
          <w:footerReference w:type="default" r:id="rId4"/>
          <w:pgSz w:w="11920" w:h="16840"/>
        </w:sectPr>
      </w:pPr>
      <w:r>
        <w:rPr>
          <w:rFonts w:cs="Verdana" w:hAnsi="Verdana" w:eastAsia="Verdana" w:ascii="Verdana"/>
          <w:b/>
          <w:sz w:val="24"/>
          <w:szCs w:val="24"/>
        </w:rPr>
        <w:t>February 2022.</w:t>
      </w:r>
      <w:r>
        <w:rPr>
          <w:rFonts w:cs="Verdana" w:hAnsi="Verdana" w:eastAsia="Verdana" w:ascii="Verdana"/>
          <w:sz w:val="24"/>
          <w:szCs w:val="24"/>
        </w:rPr>
      </w:r>
    </w:p>
    <w:p>
      <w:pPr>
        <w:rPr>
          <w:rFonts w:cs="Verdana" w:hAnsi="Verdana" w:eastAsia="Verdana" w:ascii="Verdana"/>
          <w:sz w:val="30"/>
          <w:szCs w:val="30"/>
        </w:rPr>
        <w:jc w:val="left"/>
        <w:spacing w:before="52"/>
        <w:ind w:left="102"/>
      </w:pPr>
      <w:r>
        <w:rPr>
          <w:rFonts w:cs="Verdana" w:hAnsi="Verdana" w:eastAsia="Verdana" w:ascii="Verdana"/>
          <w:b/>
          <w:color w:val="773189"/>
          <w:w w:val="101"/>
          <w:sz w:val="30"/>
          <w:szCs w:val="30"/>
        </w:rPr>
        <w:t>Background</w:t>
      </w:r>
      <w:r>
        <w:rPr>
          <w:rFonts w:cs="Verdana" w:hAnsi="Verdana" w:eastAsia="Verdana" w:ascii="Verdana"/>
          <w:color w:val="000000"/>
          <w:w w:val="100"/>
          <w:sz w:val="30"/>
          <w:szCs w:val="30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64" w:lineRule="auto" w:line="289"/>
        <w:ind w:left="102" w:right="264"/>
      </w:pPr>
      <w:r>
        <w:rPr>
          <w:rFonts w:cs="Verdana" w:hAnsi="Verdana" w:eastAsia="Verdana" w:ascii="Verdana"/>
          <w:sz w:val="24"/>
          <w:szCs w:val="24"/>
        </w:rPr>
        <w:t>The Northern Ireland Human Rights Commission (the Commission),</w:t>
      </w:r>
      <w:r>
        <w:rPr>
          <w:rFonts w:cs="Verdana" w:hAnsi="Verdana" w:eastAsia="Verdana" w:ascii="Verdana"/>
          <w:sz w:val="24"/>
          <w:szCs w:val="24"/>
        </w:rPr>
        <w:t> pursuant to section 69(1) of the Northern Ireland Act 1998, reviews the</w:t>
      </w:r>
      <w:r>
        <w:rPr>
          <w:rFonts w:cs="Verdana" w:hAnsi="Verdana" w:eastAsia="Verdana" w:ascii="Verdana"/>
          <w:sz w:val="24"/>
          <w:szCs w:val="24"/>
        </w:rPr>
        <w:t> adequacy and effectiveness of law and practice relating to the protection</w:t>
      </w:r>
      <w:r>
        <w:rPr>
          <w:rFonts w:cs="Verdana" w:hAnsi="Verdana" w:eastAsia="Verdana" w:ascii="Verdana"/>
          <w:sz w:val="24"/>
          <w:szCs w:val="24"/>
        </w:rPr>
        <w:t> of human rights in Northern Ireland (NI). The Commission also promotes</w:t>
      </w:r>
      <w:r>
        <w:rPr>
          <w:rFonts w:cs="Verdana" w:hAnsi="Verdana" w:eastAsia="Verdana" w:ascii="Verdana"/>
          <w:sz w:val="24"/>
          <w:szCs w:val="24"/>
        </w:rPr>
        <w:t> understanding and awareness of the importance of human rights in NI</w:t>
      </w:r>
      <w:r>
        <w:rPr>
          <w:rFonts w:cs="Verdana" w:hAnsi="Verdana" w:eastAsia="Verdana" w:ascii="Verdana"/>
          <w:sz w:val="24"/>
          <w:szCs w:val="24"/>
        </w:rPr>
        <w:t> and may undertake or support research in specific areas of concern.</w:t>
      </w:r>
      <w:r>
        <w:rPr>
          <w:rFonts w:cs="Verdana" w:hAnsi="Verdana" w:eastAsia="Verdana" w:ascii="Verdana"/>
          <w:position w:val="8"/>
          <w:sz w:val="16"/>
          <w:szCs w:val="16"/>
        </w:rPr>
        <w:t>1</w:t>
      </w:r>
      <w:r>
        <w:rPr>
          <w:rFonts w:cs="Verdana" w:hAnsi="Verdana" w:eastAsia="Verdana" w:ascii="Verdana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auto" w:line="289"/>
        <w:ind w:left="102" w:right="95"/>
      </w:pPr>
      <w:r>
        <w:rPr>
          <w:rFonts w:cs="Verdana" w:hAnsi="Verdana" w:eastAsia="Verdana" w:ascii="Verdana"/>
          <w:sz w:val="24"/>
          <w:szCs w:val="24"/>
        </w:rPr>
        <w:t>Within its Business Plan for 2021-2022,the Commission has committed to</w:t>
      </w:r>
      <w:r>
        <w:rPr>
          <w:rFonts w:cs="Verdana" w:hAnsi="Verdana" w:eastAsia="Verdana" w:ascii="Verdana"/>
          <w:sz w:val="24"/>
          <w:szCs w:val="24"/>
        </w:rPr>
        <w:t> initiating a project examining a human rights based approach to</w:t>
      </w:r>
      <w:r>
        <w:rPr>
          <w:rFonts w:cs="Verdana" w:hAnsi="Verdana" w:eastAsia="Verdana" w:ascii="Verdana"/>
          <w:sz w:val="24"/>
          <w:szCs w:val="24"/>
        </w:rPr>
        <w:t> addressing the issue of drug addiction and substance misuse in Northern</w:t>
      </w:r>
      <w:r>
        <w:rPr>
          <w:rFonts w:cs="Verdana" w:hAnsi="Verdana" w:eastAsia="Verdana" w:ascii="Verdana"/>
          <w:sz w:val="24"/>
          <w:szCs w:val="24"/>
        </w:rPr>
        <w:t> Ireland.</w:t>
      </w:r>
      <w:r>
        <w:rPr>
          <w:rFonts w:cs="Verdana" w:hAnsi="Verdana" w:eastAsia="Verdana" w:ascii="Verdana"/>
          <w:position w:val="8"/>
          <w:sz w:val="16"/>
          <w:szCs w:val="16"/>
        </w:rPr>
        <w:t>2 </w:t>
      </w:r>
      <w:r>
        <w:rPr>
          <w:rFonts w:cs="Verdana" w:hAnsi="Verdana" w:eastAsia="Verdana" w:ascii="Verdana"/>
          <w:position w:val="0"/>
          <w:sz w:val="24"/>
          <w:szCs w:val="24"/>
        </w:rPr>
        <w:t>Appendix 1 sets out relevant international human rights</w:t>
      </w:r>
      <w:r>
        <w:rPr>
          <w:rFonts w:cs="Verdana" w:hAnsi="Verdana" w:eastAsia="Verdana" w:ascii="Verdana"/>
          <w:position w:val="0"/>
          <w:sz w:val="24"/>
          <w:szCs w:val="24"/>
        </w:rPr>
        <w:t> standards which will inform the development of this project.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auto" w:line="286"/>
        <w:ind w:left="102" w:right="221"/>
      </w:pPr>
      <w:r>
        <w:rPr>
          <w:rFonts w:cs="Verdana" w:hAnsi="Verdana" w:eastAsia="Verdana" w:ascii="Verdana"/>
          <w:sz w:val="24"/>
          <w:szCs w:val="24"/>
        </w:rPr>
        <w:t>To assist the initial scoping of this project, the Commission is seeking to</w:t>
      </w:r>
      <w:r>
        <w:rPr>
          <w:rFonts w:cs="Verdana" w:hAnsi="Verdana" w:eastAsia="Verdana" w:ascii="Verdana"/>
          <w:sz w:val="24"/>
          <w:szCs w:val="24"/>
        </w:rPr>
        <w:t> contract research to provide a landscape review of current approaches to</w:t>
      </w:r>
      <w:r>
        <w:rPr>
          <w:rFonts w:cs="Verdana" w:hAnsi="Verdana" w:eastAsia="Verdana" w:ascii="Verdana"/>
          <w:sz w:val="24"/>
          <w:szCs w:val="24"/>
        </w:rPr>
        <w:t> drug addiction and substance abuse in NI, with a key focus on the</w:t>
      </w:r>
      <w:r>
        <w:rPr>
          <w:rFonts w:cs="Verdana" w:hAnsi="Verdana" w:eastAsia="Verdana" w:ascii="Verdana"/>
          <w:sz w:val="24"/>
          <w:szCs w:val="24"/>
        </w:rPr>
        <w:t> availability and effectiveness of prevention and early intervention</w:t>
      </w:r>
      <w:r>
        <w:rPr>
          <w:rFonts w:cs="Verdana" w:hAnsi="Verdana" w:eastAsia="Verdana" w:ascii="Verdana"/>
          <w:sz w:val="24"/>
          <w:szCs w:val="24"/>
        </w:rPr>
        <w:t> services.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30"/>
          <w:szCs w:val="30"/>
        </w:rPr>
        <w:jc w:val="left"/>
        <w:ind w:left="102"/>
      </w:pPr>
      <w:r>
        <w:rPr>
          <w:rFonts w:cs="Verdana" w:hAnsi="Verdana" w:eastAsia="Verdana" w:ascii="Verdana"/>
          <w:b/>
          <w:color w:val="773189"/>
          <w:w w:val="101"/>
          <w:sz w:val="30"/>
          <w:szCs w:val="30"/>
        </w:rPr>
        <w:t>Research</w:t>
      </w:r>
      <w:r>
        <w:rPr>
          <w:rFonts w:cs="Verdana" w:hAnsi="Verdana" w:eastAsia="Verdana" w:ascii="Verdana"/>
          <w:b/>
          <w:color w:val="773189"/>
          <w:w w:val="100"/>
          <w:sz w:val="30"/>
          <w:szCs w:val="30"/>
        </w:rPr>
        <w:t> </w:t>
      </w:r>
      <w:r>
        <w:rPr>
          <w:rFonts w:cs="Verdana" w:hAnsi="Verdana" w:eastAsia="Verdana" w:ascii="Verdana"/>
          <w:b/>
          <w:color w:val="773189"/>
          <w:w w:val="101"/>
          <w:sz w:val="30"/>
          <w:szCs w:val="30"/>
        </w:rPr>
        <w:t>Context</w:t>
      </w:r>
      <w:r>
        <w:rPr>
          <w:rFonts w:cs="Verdana" w:hAnsi="Verdana" w:eastAsia="Verdana" w:ascii="Verdana"/>
          <w:color w:val="000000"/>
          <w:w w:val="100"/>
          <w:sz w:val="30"/>
          <w:szCs w:val="3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64" w:lineRule="auto" w:line="288"/>
        <w:ind w:left="102" w:right="213"/>
      </w:pPr>
      <w:r>
        <w:rPr>
          <w:rFonts w:cs="Verdana" w:hAnsi="Verdana" w:eastAsia="Verdana" w:ascii="Verdana"/>
          <w:sz w:val="24"/>
          <w:szCs w:val="24"/>
        </w:rPr>
        <w:t>There have been a number of initiatives to develop and implement a</w:t>
      </w:r>
      <w:r>
        <w:rPr>
          <w:rFonts w:cs="Verdana" w:hAnsi="Verdana" w:eastAsia="Verdana" w:ascii="Verdana"/>
          <w:sz w:val="24"/>
          <w:szCs w:val="24"/>
        </w:rPr>
        <w:t> strategic policy response to alcohol and drug abuse in NI. Initially, there</w:t>
      </w:r>
      <w:r>
        <w:rPr>
          <w:rFonts w:cs="Verdana" w:hAnsi="Verdana" w:eastAsia="Verdana" w:ascii="Verdana"/>
          <w:sz w:val="24"/>
          <w:szCs w:val="24"/>
        </w:rPr>
        <w:t> were separate strategies for Drug (1999) and Alcohol (2000) misuse,</w:t>
      </w:r>
      <w:r>
        <w:rPr>
          <w:rFonts w:cs="Verdana" w:hAnsi="Verdana" w:eastAsia="Verdana" w:ascii="Verdana"/>
          <w:sz w:val="24"/>
          <w:szCs w:val="24"/>
        </w:rPr>
        <w:t> however in 2001 a joint implementation model for the drug and alcohol</w:t>
      </w:r>
      <w:r>
        <w:rPr>
          <w:rFonts w:cs="Verdana" w:hAnsi="Verdana" w:eastAsia="Verdana" w:ascii="Verdana"/>
          <w:sz w:val="24"/>
          <w:szCs w:val="24"/>
        </w:rPr>
        <w:t> strategies was launched.</w:t>
      </w:r>
      <w:r>
        <w:rPr>
          <w:rFonts w:cs="Verdana" w:hAnsi="Verdana" w:eastAsia="Verdana" w:ascii="Verdana"/>
          <w:position w:val="8"/>
          <w:sz w:val="16"/>
          <w:szCs w:val="16"/>
        </w:rPr>
        <w:t>3 </w:t>
      </w:r>
      <w:r>
        <w:rPr>
          <w:rFonts w:cs="Verdana" w:hAnsi="Verdana" w:eastAsia="Verdana" w:ascii="Verdana"/>
          <w:position w:val="0"/>
          <w:sz w:val="24"/>
          <w:szCs w:val="24"/>
        </w:rPr>
        <w:t>Subsequently, the New Strategic Direction for</w:t>
      </w:r>
      <w:r>
        <w:rPr>
          <w:rFonts w:cs="Verdana" w:hAnsi="Verdana" w:eastAsia="Verdana" w:ascii="Verdana"/>
          <w:position w:val="0"/>
          <w:sz w:val="24"/>
          <w:szCs w:val="24"/>
        </w:rPr>
        <w:t> Alcohol and Drugs (NSD) was implemented in October 2006, reviewed</w:t>
      </w:r>
      <w:r>
        <w:rPr>
          <w:rFonts w:cs="Verdana" w:hAnsi="Verdana" w:eastAsia="Verdana" w:ascii="Verdana"/>
          <w:position w:val="0"/>
          <w:sz w:val="24"/>
          <w:szCs w:val="24"/>
        </w:rPr>
        <w:t> and updated in 2011, then extended to 2021.</w:t>
      </w:r>
      <w:r>
        <w:rPr>
          <w:rFonts w:cs="Verdana" w:hAnsi="Verdana" w:eastAsia="Verdana" w:ascii="Verdana"/>
          <w:position w:val="8"/>
          <w:sz w:val="16"/>
          <w:szCs w:val="16"/>
        </w:rPr>
        <w:t>4 </w:t>
      </w:r>
      <w:r>
        <w:rPr>
          <w:rFonts w:cs="Verdana" w:hAnsi="Verdana" w:eastAsia="Verdana" w:ascii="Verdana"/>
          <w:position w:val="0"/>
          <w:sz w:val="24"/>
          <w:szCs w:val="24"/>
        </w:rPr>
        <w:t>Nevertheless, NI has seen</w:t>
      </w:r>
      <w:r>
        <w:rPr>
          <w:rFonts w:cs="Verdana" w:hAnsi="Verdana" w:eastAsia="Verdana" w:ascii="Verdana"/>
          <w:position w:val="0"/>
          <w:sz w:val="24"/>
          <w:szCs w:val="24"/>
        </w:rPr>
        <w:t> a considerable rise in drug-related deaths in the last two decades despite</w:t>
      </w:r>
      <w:r>
        <w:rPr>
          <w:rFonts w:cs="Verdana" w:hAnsi="Verdana" w:eastAsia="Verdana" w:ascii="Verdana"/>
          <w:position w:val="0"/>
          <w:sz w:val="24"/>
          <w:szCs w:val="24"/>
        </w:rPr>
        <w:t> increased awareness of the harmful consequences of drug abuse.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atLeast" w:line="340"/>
        <w:ind w:left="102" w:right="448"/>
      </w:pPr>
      <w:r>
        <w:pict>
          <v:group style="position:absolute;margin-left:72.1pt;margin-top:55.4105pt;width:144.2pt;height:0pt;mso-position-horizontal-relative:page;mso-position-vertical-relative:paragraph;z-index:-424" coordorigin="1442,1108" coordsize="2884,0">
            <v:shape style="position:absolute;left:1442;top:1108;width:2884;height:0" coordorigin="1442,1108" coordsize="2884,0" path="m1442,1108l4326,1108e" filled="f" stroked="t" strokeweight="0.89999pt" strokecolor="#00000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z w:val="24"/>
          <w:szCs w:val="24"/>
        </w:rPr>
        <w:t>According to the latest official statistics, registrations of drug-related</w:t>
      </w:r>
      <w:r>
        <w:rPr>
          <w:rFonts w:cs="Verdana" w:hAnsi="Verdana" w:eastAsia="Verdana" w:ascii="Verdana"/>
          <w:sz w:val="24"/>
          <w:szCs w:val="24"/>
        </w:rPr>
        <w:t> deaths in NI reached a record high of 191 deaths in 2019 (compared to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2"/>
        <w:ind w:left="102"/>
      </w:pPr>
      <w:r>
        <w:rPr>
          <w:rFonts w:cs="Verdana" w:hAnsi="Verdana" w:eastAsia="Verdana" w:ascii="Verdana"/>
          <w:color w:val="6F2F9F"/>
          <w:w w:val="106"/>
          <w:position w:val="6"/>
          <w:sz w:val="10"/>
          <w:szCs w:val="10"/>
        </w:rPr>
        <w:t>1</w:t>
      </w:r>
      <w:r>
        <w:rPr>
          <w:rFonts w:cs="Verdana" w:hAnsi="Verdana" w:eastAsia="Verdana" w:ascii="Verdana"/>
          <w:color w:val="6F2F9F"/>
          <w:w w:val="100"/>
          <w:position w:val="6"/>
          <w:sz w:val="10"/>
          <w:szCs w:val="10"/>
        </w:rPr>
        <w:t> 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Northern Ireland Act 1998,  s.69(6).</w:t>
      </w:r>
      <w:r>
        <w:rPr>
          <w:rFonts w:cs="Verdana" w:hAnsi="Verdana" w:eastAsia="Verdana" w:ascii="Verdana"/>
          <w:color w:val="00000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29"/>
        <w:ind w:left="102"/>
      </w:pPr>
      <w:r>
        <w:rPr>
          <w:rFonts w:cs="Verdana" w:hAnsi="Verdana" w:eastAsia="Verdana" w:ascii="Verdana"/>
          <w:color w:val="6F2F9F"/>
          <w:w w:val="106"/>
          <w:position w:val="6"/>
          <w:sz w:val="10"/>
          <w:szCs w:val="10"/>
        </w:rPr>
        <w:t>2</w:t>
      </w:r>
      <w:r>
        <w:rPr>
          <w:rFonts w:cs="Verdana" w:hAnsi="Verdana" w:eastAsia="Verdana" w:ascii="Verdana"/>
          <w:color w:val="6F2F9F"/>
          <w:w w:val="100"/>
          <w:position w:val="6"/>
          <w:sz w:val="10"/>
          <w:szCs w:val="10"/>
        </w:rPr>
        <w:t> 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NI Human Rights Commission, ‘Business Plan 2021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-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22’, (NIHRC, 2021).</w:t>
      </w:r>
      <w:r>
        <w:rPr>
          <w:rFonts w:cs="Verdana" w:hAnsi="Verdana" w:eastAsia="Verdana" w:ascii="Verdana"/>
          <w:color w:val="00000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6"/>
        <w:ind w:left="102"/>
      </w:pPr>
      <w:r>
        <w:rPr>
          <w:rFonts w:cs="Verdana" w:hAnsi="Verdana" w:eastAsia="Verdana" w:ascii="Verdana"/>
          <w:color w:val="6F2F9F"/>
          <w:w w:val="106"/>
          <w:position w:val="6"/>
          <w:sz w:val="10"/>
          <w:szCs w:val="10"/>
        </w:rPr>
        <w:t>3</w:t>
      </w:r>
      <w:r>
        <w:rPr>
          <w:rFonts w:cs="Verdana" w:hAnsi="Verdana" w:eastAsia="Verdana" w:ascii="Verdana"/>
          <w:color w:val="6F2F9F"/>
          <w:w w:val="100"/>
          <w:position w:val="6"/>
          <w:sz w:val="10"/>
          <w:szCs w:val="10"/>
        </w:rPr>
        <w:t> 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Department of Health, Social Services and Public Safety, ‘Drug Strategy for Northern Ireland’ (DHSSPS,</w:t>
      </w:r>
      <w:r>
        <w:rPr>
          <w:rFonts w:cs="Verdana" w:hAnsi="Verdana" w:eastAsia="Verdana" w:ascii="Verdana"/>
          <w:color w:val="00000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29" w:lineRule="auto" w:line="296"/>
        <w:ind w:left="102" w:right="265"/>
      </w:pPr>
      <w:r>
        <w:rPr>
          <w:rFonts w:cs="Verdana" w:hAnsi="Verdana" w:eastAsia="Verdana" w:ascii="Verdana"/>
          <w:color w:val="6F2F9F"/>
          <w:sz w:val="16"/>
          <w:szCs w:val="16"/>
        </w:rPr>
        <w:t>1999); ‘Strategy for Reducing Alcohol Related Harm’ (DHSSPS, 2000); ‘Model for the Joint Implementation of</w:t>
      </w:r>
      <w:r>
        <w:rPr>
          <w:rFonts w:cs="Verdana" w:hAnsi="Verdana" w:eastAsia="Verdana" w:ascii="Verdana"/>
          <w:color w:val="6F2F9F"/>
          <w:sz w:val="16"/>
          <w:szCs w:val="16"/>
        </w:rPr>
        <w:t> the Drug and Alcohol Strategies’ (DHSSPS, 200</w:t>
      </w:r>
      <w:r>
        <w:rPr>
          <w:rFonts w:cs="Verdana" w:hAnsi="Verdana" w:eastAsia="Verdana" w:ascii="Verdana"/>
          <w:color w:val="6F2F9F"/>
          <w:sz w:val="16"/>
          <w:szCs w:val="16"/>
        </w:rPr>
        <w:t>1).</w:t>
      </w:r>
      <w:r>
        <w:rPr>
          <w:rFonts w:cs="Verdana" w:hAnsi="Verdana" w:eastAsia="Verdana" w:ascii="Verdana"/>
          <w:color w:val="0000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lineRule="exact" w:line="180"/>
        <w:ind w:left="102"/>
      </w:pPr>
      <w:r>
        <w:rPr>
          <w:rFonts w:cs="Verdana" w:hAnsi="Verdana" w:eastAsia="Verdana" w:ascii="Verdana"/>
          <w:color w:val="6F2F9F"/>
          <w:w w:val="106"/>
          <w:position w:val="6"/>
          <w:sz w:val="10"/>
          <w:szCs w:val="10"/>
        </w:rPr>
        <w:t>4</w:t>
      </w:r>
      <w:r>
        <w:rPr>
          <w:rFonts w:cs="Verdana" w:hAnsi="Verdana" w:eastAsia="Verdana" w:ascii="Verdana"/>
          <w:color w:val="6F2F9F"/>
          <w:w w:val="100"/>
          <w:position w:val="6"/>
          <w:sz w:val="10"/>
          <w:szCs w:val="10"/>
        </w:rPr>
        <w:t>  </w:t>
      </w:r>
      <w:r>
        <w:rPr>
          <w:rFonts w:cs="Verdana" w:hAnsi="Verdana" w:eastAsia="Verdana" w:ascii="Verdana"/>
          <w:color w:val="6F2F9F"/>
          <w:w w:val="100"/>
          <w:position w:val="-1"/>
          <w:sz w:val="16"/>
          <w:szCs w:val="16"/>
        </w:rPr>
        <w:t>Department of Health, Social Services, and Public Safety, ‘New Strategic Direction on Alcohol and Drugs</w:t>
      </w:r>
      <w:r>
        <w:rPr>
          <w:rFonts w:cs="Verdana" w:hAnsi="Verdana" w:eastAsia="Verdana" w:ascii="Verdana"/>
          <w:color w:val="00000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30"/>
        <w:ind w:left="102"/>
      </w:pPr>
      <w:r>
        <w:rPr>
          <w:rFonts w:cs="Verdana" w:hAnsi="Verdana" w:eastAsia="Verdana" w:ascii="Verdana"/>
          <w:color w:val="6F2F9F"/>
          <w:sz w:val="16"/>
          <w:szCs w:val="16"/>
        </w:rPr>
        <w:t>(2006-</w:t>
      </w:r>
      <w:r>
        <w:rPr>
          <w:rFonts w:cs="Verdana" w:hAnsi="Verdana" w:eastAsia="Verdana" w:ascii="Verdana"/>
          <w:color w:val="6F2F9F"/>
          <w:sz w:val="16"/>
          <w:szCs w:val="16"/>
        </w:rPr>
        <w:t>11)’ (DHSSPS, 2006); ‘New Strategic Direction on Alcohol and Drugs Phase 2 (2011</w:t>
      </w:r>
      <w:r>
        <w:rPr>
          <w:rFonts w:cs="Verdana" w:hAnsi="Verdana" w:eastAsia="Verdana" w:ascii="Verdana"/>
          <w:color w:val="6F2F9F"/>
          <w:sz w:val="16"/>
          <w:szCs w:val="16"/>
        </w:rPr>
        <w:t>-</w:t>
      </w:r>
      <w:r>
        <w:rPr>
          <w:rFonts w:cs="Verdana" w:hAnsi="Verdana" w:eastAsia="Verdana" w:ascii="Verdana"/>
          <w:color w:val="6F2F9F"/>
          <w:sz w:val="16"/>
          <w:szCs w:val="16"/>
        </w:rPr>
        <w:t>16)’ (DHSSPS,</w:t>
      </w:r>
      <w:r>
        <w:rPr>
          <w:rFonts w:cs="Verdana" w:hAnsi="Verdana" w:eastAsia="Verdana" w:ascii="Verdana"/>
          <w:color w:val="0000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5"/>
        <w:ind w:left="102"/>
        <w:sectPr>
          <w:pgMar w:header="0" w:footer="997" w:top="1380" w:bottom="280" w:left="1340" w:right="1320"/>
          <w:pgSz w:w="11920" w:h="16840"/>
        </w:sectPr>
      </w:pPr>
      <w:r>
        <w:rPr>
          <w:rFonts w:cs="Verdana" w:hAnsi="Verdana" w:eastAsia="Verdana" w:ascii="Verdana"/>
          <w:color w:val="6F2F9F"/>
          <w:sz w:val="16"/>
          <w:szCs w:val="16"/>
        </w:rPr>
        <w:t>2011).</w:t>
      </w:r>
      <w:r>
        <w:rPr>
          <w:rFonts w:cs="Verdana" w:hAnsi="Verdana" w:eastAsia="Verdana" w:ascii="Verdana"/>
          <w:color w:val="0000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68" w:lineRule="auto" w:line="288"/>
        <w:ind w:left="102" w:right="146"/>
      </w:pPr>
      <w:r>
        <w:rPr>
          <w:rFonts w:cs="Verdana" w:hAnsi="Verdana" w:eastAsia="Verdana" w:ascii="Verdana"/>
          <w:sz w:val="24"/>
          <w:szCs w:val="24"/>
        </w:rPr>
        <w:t>84 in 2009).</w:t>
      </w:r>
      <w:r>
        <w:rPr>
          <w:rFonts w:cs="Verdana" w:hAnsi="Verdana" w:eastAsia="Verdana" w:ascii="Verdana"/>
          <w:position w:val="8"/>
          <w:sz w:val="16"/>
          <w:szCs w:val="16"/>
        </w:rPr>
        <w:t>5 </w:t>
      </w:r>
      <w:r>
        <w:rPr>
          <w:rFonts w:cs="Verdana" w:hAnsi="Verdana" w:eastAsia="Verdana" w:ascii="Verdana"/>
          <w:position w:val="0"/>
          <w:sz w:val="24"/>
          <w:szCs w:val="24"/>
        </w:rPr>
        <w:t>There is notable geographic variation with higher mortality</w:t>
      </w:r>
      <w:r>
        <w:rPr>
          <w:rFonts w:cs="Verdana" w:hAnsi="Verdana" w:eastAsia="Verdana" w:ascii="Verdana"/>
          <w:position w:val="0"/>
          <w:sz w:val="24"/>
          <w:szCs w:val="24"/>
        </w:rPr>
        <w:t> rates in Belfast (24.2 per 100,000) compared to other Local Government</w:t>
      </w:r>
      <w:r>
        <w:rPr>
          <w:rFonts w:cs="Verdana" w:hAnsi="Verdana" w:eastAsia="Verdana" w:ascii="Verdana"/>
          <w:position w:val="0"/>
          <w:sz w:val="24"/>
          <w:szCs w:val="24"/>
        </w:rPr>
        <w:t> Districts (South Eastern is next highest at 9.1 per 100,000). Drug deaths</w:t>
      </w:r>
      <w:r>
        <w:rPr>
          <w:rFonts w:cs="Verdana" w:hAnsi="Verdana" w:eastAsia="Verdana" w:ascii="Verdana"/>
          <w:position w:val="0"/>
          <w:sz w:val="24"/>
          <w:szCs w:val="24"/>
        </w:rPr>
        <w:t> are observed across a range of socio-economic groups, those most at risk</w:t>
      </w:r>
      <w:r>
        <w:rPr>
          <w:rFonts w:cs="Verdana" w:hAnsi="Verdana" w:eastAsia="Verdana" w:ascii="Verdana"/>
          <w:position w:val="0"/>
          <w:sz w:val="24"/>
          <w:szCs w:val="24"/>
        </w:rPr>
        <w:t> are younger age groups, males, those living alone, those with lower</w:t>
      </w:r>
      <w:r>
        <w:rPr>
          <w:rFonts w:cs="Verdana" w:hAnsi="Verdana" w:eastAsia="Verdana" w:ascii="Verdana"/>
          <w:position w:val="0"/>
          <w:sz w:val="24"/>
          <w:szCs w:val="24"/>
        </w:rPr>
        <w:t> educational attainment and the economically inactive.</w:t>
      </w:r>
      <w:r>
        <w:rPr>
          <w:rFonts w:cs="Verdana" w:hAnsi="Verdana" w:eastAsia="Verdana" w:ascii="Verdana"/>
          <w:position w:val="8"/>
          <w:sz w:val="16"/>
          <w:szCs w:val="16"/>
        </w:rPr>
        <w:t>6 </w:t>
      </w:r>
      <w:r>
        <w:rPr>
          <w:rFonts w:cs="Verdana" w:hAnsi="Verdana" w:eastAsia="Verdana" w:ascii="Verdana"/>
          <w:position w:val="0"/>
          <w:sz w:val="24"/>
          <w:szCs w:val="24"/>
        </w:rPr>
        <w:t>Drug abuse is</w:t>
      </w:r>
      <w:r>
        <w:rPr>
          <w:rFonts w:cs="Verdana" w:hAnsi="Verdana" w:eastAsia="Verdana" w:ascii="Verdana"/>
          <w:position w:val="0"/>
          <w:sz w:val="24"/>
          <w:szCs w:val="24"/>
        </w:rPr>
        <w:t> strongly linked with co-occurring mental health problems and long term</w:t>
      </w:r>
      <w:r>
        <w:rPr>
          <w:rFonts w:cs="Verdana" w:hAnsi="Verdana" w:eastAsia="Verdana" w:ascii="Verdana"/>
          <w:position w:val="0"/>
          <w:sz w:val="24"/>
          <w:szCs w:val="24"/>
        </w:rPr>
        <w:t> illness.</w:t>
      </w:r>
      <w:r>
        <w:rPr>
          <w:rFonts w:cs="Verdana" w:hAnsi="Verdana" w:eastAsia="Verdana" w:ascii="Verdana"/>
          <w:position w:val="8"/>
          <w:sz w:val="16"/>
          <w:szCs w:val="16"/>
        </w:rPr>
        <w:t>7</w:t>
      </w:r>
      <w:r>
        <w:rPr>
          <w:rFonts w:cs="Verdana" w:hAnsi="Verdana" w:eastAsia="Verdana" w:ascii="Verdana"/>
          <w:position w:val="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auto" w:line="289"/>
        <w:ind w:left="102" w:right="119"/>
      </w:pPr>
      <w:r>
        <w:rPr>
          <w:rFonts w:cs="Verdana" w:hAnsi="Verdana" w:eastAsia="Verdana" w:ascii="Verdana"/>
          <w:sz w:val="24"/>
          <w:szCs w:val="24"/>
        </w:rPr>
        <w:t>In 2020, the NI Audit Office highlighted the costs of problem substance</w:t>
      </w:r>
      <w:r>
        <w:rPr>
          <w:rFonts w:cs="Verdana" w:hAnsi="Verdana" w:eastAsia="Verdana" w:ascii="Verdana"/>
          <w:sz w:val="24"/>
          <w:szCs w:val="24"/>
        </w:rPr>
        <w:t> use and drug dependency, noting that despite the significant costs related</w:t>
      </w:r>
      <w:r>
        <w:rPr>
          <w:rFonts w:cs="Verdana" w:hAnsi="Verdana" w:eastAsia="Verdana" w:ascii="Verdana"/>
          <w:sz w:val="24"/>
          <w:szCs w:val="24"/>
        </w:rPr>
        <w:t> to problem substance use, the budget allocated for addressing this issue</w:t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lineRule="auto" w:line="283"/>
        <w:ind w:left="102" w:right="241"/>
      </w:pPr>
      <w:r>
        <w:rPr>
          <w:rFonts w:cs="Verdana" w:hAnsi="Verdana" w:eastAsia="Verdana" w:ascii="Verdana"/>
          <w:sz w:val="24"/>
          <w:szCs w:val="24"/>
        </w:rPr>
        <w:t>is small.  It further noted that the “level of harm caused by s</w:t>
      </w:r>
      <w:r>
        <w:rPr>
          <w:rFonts w:cs="Verdana" w:hAnsi="Verdana" w:eastAsia="Verdana" w:ascii="Verdana"/>
          <w:sz w:val="24"/>
          <w:szCs w:val="24"/>
        </w:rPr>
        <w:t>ubstance</w:t>
      </w:r>
      <w:r>
        <w:rPr>
          <w:rFonts w:cs="Verdana" w:hAnsi="Verdana" w:eastAsia="Verdana" w:ascii="Verdana"/>
          <w:sz w:val="24"/>
          <w:szCs w:val="24"/>
        </w:rPr>
        <w:t> </w:t>
      </w:r>
      <w:r>
        <w:rPr>
          <w:rFonts w:cs="Verdana" w:hAnsi="Verdana" w:eastAsia="Verdana" w:ascii="Verdana"/>
          <w:sz w:val="24"/>
          <w:szCs w:val="24"/>
        </w:rPr>
        <w:t>misuse is high and rising” and that the Department of Health lacked data</w:t>
      </w:r>
      <w:r>
        <w:rPr>
          <w:rFonts w:cs="Verdana" w:hAnsi="Verdana" w:eastAsia="Verdana" w:ascii="Verdana"/>
          <w:sz w:val="24"/>
          <w:szCs w:val="24"/>
        </w:rPr>
        <w:t> </w:t>
      </w:r>
      <w:r>
        <w:rPr>
          <w:rFonts w:cs="Verdana" w:hAnsi="Verdana" w:eastAsia="Verdana" w:ascii="Verdana"/>
          <w:sz w:val="24"/>
          <w:szCs w:val="24"/>
        </w:rPr>
        <w:t>and information on the outcomes for service users.</w:t>
      </w:r>
      <w:r>
        <w:rPr>
          <w:rFonts w:cs="Verdana" w:hAnsi="Verdana" w:eastAsia="Verdana" w:ascii="Verdana"/>
          <w:position w:val="8"/>
          <w:sz w:val="16"/>
          <w:szCs w:val="16"/>
        </w:rPr>
        <w:t>8</w:t>
      </w:r>
      <w:r>
        <w:rPr>
          <w:rFonts w:cs="Verdana" w:hAnsi="Verdana" w:eastAsia="Verdana" w:ascii="Verdana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auto" w:line="288"/>
        <w:ind w:left="102" w:right="87"/>
      </w:pPr>
      <w:r>
        <w:rPr>
          <w:rFonts w:cs="Verdana" w:hAnsi="Verdana" w:eastAsia="Verdana" w:ascii="Verdana"/>
          <w:sz w:val="24"/>
          <w:szCs w:val="24"/>
        </w:rPr>
        <w:t>In September 2021, the Minister of Health published a new policy</w:t>
      </w:r>
      <w:r>
        <w:rPr>
          <w:rFonts w:cs="Verdana" w:hAnsi="Verdana" w:eastAsia="Verdana" w:ascii="Verdana"/>
          <w:sz w:val="24"/>
          <w:szCs w:val="24"/>
        </w:rPr>
        <w:t> framework which aims to tackle the harm from substance misuse over the</w:t>
      </w:r>
      <w:r>
        <w:rPr>
          <w:rFonts w:cs="Verdana" w:hAnsi="Verdana" w:eastAsia="Verdana" w:ascii="Verdana"/>
          <w:sz w:val="24"/>
          <w:szCs w:val="24"/>
        </w:rPr>
        <w:t> next ten years.</w:t>
      </w:r>
      <w:r>
        <w:rPr>
          <w:rFonts w:cs="Verdana" w:hAnsi="Verdana" w:eastAsia="Verdana" w:ascii="Verdana"/>
          <w:position w:val="8"/>
          <w:sz w:val="16"/>
          <w:szCs w:val="16"/>
        </w:rPr>
        <w:t>9  </w:t>
      </w:r>
      <w:r>
        <w:rPr>
          <w:rFonts w:cs="Verdana" w:hAnsi="Verdana" w:eastAsia="Verdana" w:ascii="Verdana"/>
          <w:position w:val="0"/>
          <w:sz w:val="24"/>
          <w:szCs w:val="24"/>
        </w:rPr>
        <w:t>The ‘Preventing Harm, Empowering Recovery’ </w:t>
      </w:r>
      <w:r>
        <w:rPr>
          <w:rFonts w:cs="Verdana" w:hAnsi="Verdana" w:eastAsia="Verdana" w:ascii="Verdana"/>
          <w:position w:val="0"/>
          <w:sz w:val="24"/>
          <w:szCs w:val="24"/>
        </w:rPr>
        <w:t>Strategy</w:t>
      </w:r>
      <w:r>
        <w:rPr>
          <w:rFonts w:cs="Verdana" w:hAnsi="Verdana" w:eastAsia="Verdana" w:ascii="Verdana"/>
          <w:position w:val="0"/>
          <w:sz w:val="24"/>
          <w:szCs w:val="24"/>
        </w:rPr>
        <w:t> was produced as a specific commitment arising from the New Decade New</w:t>
      </w:r>
      <w:r>
        <w:rPr>
          <w:rFonts w:cs="Verdana" w:hAnsi="Verdana" w:eastAsia="Verdana" w:ascii="Verdana"/>
          <w:position w:val="0"/>
          <w:sz w:val="24"/>
          <w:szCs w:val="24"/>
        </w:rPr>
        <w:t> Approach agreement and has </w:t>
      </w:r>
      <w:r>
        <w:rPr>
          <w:rFonts w:cs="Verdana" w:hAnsi="Verdana" w:eastAsia="Verdana" w:ascii="Verdana"/>
          <w:position w:val="0"/>
          <w:sz w:val="24"/>
          <w:szCs w:val="24"/>
        </w:rPr>
        <w:t>direct links with the Executive’s strategic</w:t>
      </w:r>
      <w:r>
        <w:rPr>
          <w:rFonts w:cs="Verdana" w:hAnsi="Verdana" w:eastAsia="Verdana" w:ascii="Verdana"/>
          <w:position w:val="0"/>
          <w:sz w:val="24"/>
          <w:szCs w:val="24"/>
        </w:rPr>
        <w:t> </w:t>
      </w:r>
      <w:r>
        <w:rPr>
          <w:rFonts w:cs="Verdana" w:hAnsi="Verdana" w:eastAsia="Verdana" w:ascii="Verdana"/>
          <w:position w:val="0"/>
          <w:sz w:val="24"/>
          <w:szCs w:val="24"/>
        </w:rPr>
        <w:t>framework for public health, </w:t>
      </w:r>
      <w:r>
        <w:rPr>
          <w:rFonts w:cs="Verdana" w:hAnsi="Verdana" w:eastAsia="Verdana" w:ascii="Verdana"/>
          <w:position w:val="0"/>
          <w:sz w:val="24"/>
          <w:szCs w:val="24"/>
        </w:rPr>
        <w:t>‘</w:t>
      </w:r>
      <w:r>
        <w:rPr>
          <w:rFonts w:cs="Verdana" w:hAnsi="Verdana" w:eastAsia="Verdana" w:ascii="Verdana"/>
          <w:position w:val="0"/>
          <w:sz w:val="24"/>
          <w:szCs w:val="24"/>
        </w:rPr>
        <w:t>Making Life Better</w:t>
      </w:r>
      <w:r>
        <w:rPr>
          <w:rFonts w:cs="Verdana" w:hAnsi="Verdana" w:eastAsia="Verdana" w:ascii="Verdana"/>
          <w:position w:val="0"/>
          <w:sz w:val="24"/>
          <w:szCs w:val="24"/>
        </w:rPr>
        <w:t>’</w:t>
      </w:r>
      <w:r>
        <w:rPr>
          <w:rFonts w:cs="Verdana" w:hAnsi="Verdana" w:eastAsia="Verdana" w:ascii="Verdana"/>
          <w:position w:val="0"/>
          <w:sz w:val="24"/>
          <w:szCs w:val="24"/>
        </w:rPr>
        <w:t>, and with the new Mental</w:t>
      </w:r>
      <w:r>
        <w:rPr>
          <w:rFonts w:cs="Verdana" w:hAnsi="Verdana" w:eastAsia="Verdana" w:ascii="Verdana"/>
          <w:position w:val="0"/>
          <w:sz w:val="24"/>
          <w:szCs w:val="24"/>
        </w:rPr>
        <w:t> Health Strategy. The Vision for the </w:t>
      </w:r>
      <w:r>
        <w:rPr>
          <w:rFonts w:cs="Verdana" w:hAnsi="Verdana" w:eastAsia="Verdana" w:ascii="Verdana"/>
          <w:position w:val="0"/>
          <w:sz w:val="24"/>
          <w:szCs w:val="24"/>
        </w:rPr>
        <w:t>‘Preventing Harm, Empowering</w:t>
      </w:r>
      <w:r>
        <w:rPr>
          <w:rFonts w:cs="Verdana" w:hAnsi="Verdana" w:eastAsia="Verdana" w:ascii="Verdana"/>
          <w:position w:val="0"/>
          <w:sz w:val="24"/>
          <w:szCs w:val="24"/>
        </w:rPr>
        <w:t> Recovery’ </w:t>
      </w:r>
      <w:r>
        <w:rPr>
          <w:rFonts w:cs="Verdana" w:hAnsi="Verdana" w:eastAsia="Verdana" w:ascii="Verdana"/>
          <w:position w:val="0"/>
          <w:sz w:val="24"/>
          <w:szCs w:val="24"/>
        </w:rPr>
        <w:t>strategy is as follows: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auto" w:line="289"/>
        <w:ind w:left="823" w:right="618"/>
      </w:pPr>
      <w:r>
        <w:rPr>
          <w:rFonts w:cs="Verdana" w:hAnsi="Verdana" w:eastAsia="Verdana" w:ascii="Verdana"/>
          <w:sz w:val="24"/>
          <w:szCs w:val="24"/>
        </w:rPr>
        <w:t>“People in Northern Ireland are supported in the prevention and</w:t>
      </w:r>
      <w:r>
        <w:rPr>
          <w:rFonts w:cs="Verdana" w:hAnsi="Verdana" w:eastAsia="Verdana" w:ascii="Verdana"/>
          <w:sz w:val="24"/>
          <w:szCs w:val="24"/>
        </w:rPr>
        <w:t> </w:t>
      </w:r>
      <w:r>
        <w:rPr>
          <w:rFonts w:cs="Verdana" w:hAnsi="Verdana" w:eastAsia="Verdana" w:ascii="Verdana"/>
          <w:sz w:val="24"/>
          <w:szCs w:val="24"/>
        </w:rPr>
        <w:t>reduction of harm and stigma related to the use of alcohol and</w:t>
      </w:r>
      <w:r>
        <w:rPr>
          <w:rFonts w:cs="Verdana" w:hAnsi="Verdana" w:eastAsia="Verdana" w:ascii="Verdana"/>
          <w:sz w:val="24"/>
          <w:szCs w:val="24"/>
        </w:rPr>
        <w:t> other drugs, have access to high quality treatment and support</w:t>
      </w:r>
      <w:r>
        <w:rPr>
          <w:rFonts w:cs="Verdana" w:hAnsi="Verdana" w:eastAsia="Verdana" w:ascii="Verdana"/>
          <w:sz w:val="24"/>
          <w:szCs w:val="24"/>
        </w:rPr>
        <w:t> </w:t>
      </w:r>
      <w:r>
        <w:rPr>
          <w:rFonts w:cs="Verdana" w:hAnsi="Verdana" w:eastAsia="Verdana" w:ascii="Verdana"/>
          <w:sz w:val="24"/>
          <w:szCs w:val="24"/>
        </w:rPr>
        <w:t>services, and will be empowered to maintain recovery.”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auto" w:line="289"/>
        <w:ind w:left="102" w:right="511"/>
      </w:pPr>
      <w:r>
        <w:rPr>
          <w:rFonts w:cs="Verdana" w:hAnsi="Verdana" w:eastAsia="Verdana" w:ascii="Verdana"/>
          <w:sz w:val="24"/>
          <w:szCs w:val="24"/>
        </w:rPr>
        <w:t>Outcome A has a specific focus on preventing the harms related to the</w:t>
      </w:r>
      <w:r>
        <w:rPr>
          <w:rFonts w:cs="Verdana" w:hAnsi="Verdana" w:eastAsia="Verdana" w:ascii="Verdana"/>
          <w:sz w:val="24"/>
          <w:szCs w:val="24"/>
        </w:rPr>
        <w:t> use of alcohol and other drugs, ensuring that early interventions are in</w:t>
      </w:r>
      <w:r>
        <w:rPr>
          <w:rFonts w:cs="Verdana" w:hAnsi="Verdana" w:eastAsia="Verdana" w:ascii="Verdana"/>
          <w:sz w:val="24"/>
          <w:szCs w:val="24"/>
        </w:rPr>
        <w:t> place for those most at risk, and how the wider cross-departmental</w:t>
      </w:r>
      <w:r>
        <w:rPr>
          <w:rFonts w:cs="Verdana" w:hAnsi="Verdana" w:eastAsia="Verdana" w:ascii="Verdana"/>
          <w:sz w:val="24"/>
          <w:szCs w:val="24"/>
        </w:rPr>
        <w:t> legislative environment can help to reduce the availability and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exact" w:line="280"/>
        <w:ind w:left="102"/>
      </w:pPr>
      <w:r>
        <w:pict>
          <v:group style="position:absolute;margin-left:72.1pt;margin-top:26.8645pt;width:144.2pt;height:0pt;mso-position-horizontal-relative:page;mso-position-vertical-relative:paragraph;z-index:-423" coordorigin="1442,537" coordsize="2884,0">
            <v:shape style="position:absolute;left:1442;top:537;width:2884;height:0" coordorigin="1442,537" coordsize="2884,0" path="m1442,537l4326,537e" filled="f" stroked="t" strokeweight="0.89999pt" strokecolor="#00000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position w:val="-2"/>
          <w:sz w:val="24"/>
          <w:szCs w:val="24"/>
        </w:rPr>
        <w:t>accessibility of substances causing harm.</w:t>
      </w:r>
      <w:r>
        <w:rPr>
          <w:rFonts w:cs="Verdana" w:hAnsi="Verdana" w:eastAsia="Verdana" w:ascii="Verdana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2"/>
        <w:ind w:left="102"/>
      </w:pPr>
      <w:r>
        <w:rPr>
          <w:rFonts w:cs="Verdana" w:hAnsi="Verdana" w:eastAsia="Verdana" w:ascii="Verdana"/>
          <w:color w:val="6F2F9F"/>
          <w:w w:val="106"/>
          <w:position w:val="6"/>
          <w:sz w:val="10"/>
          <w:szCs w:val="10"/>
        </w:rPr>
        <w:t>5</w:t>
      </w:r>
      <w:r>
        <w:rPr>
          <w:rFonts w:cs="Verdana" w:hAnsi="Verdana" w:eastAsia="Verdana" w:ascii="Verdana"/>
          <w:color w:val="6F2F9F"/>
          <w:w w:val="100"/>
          <w:position w:val="6"/>
          <w:sz w:val="10"/>
          <w:szCs w:val="10"/>
        </w:rPr>
        <w:t> 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NI Statistics and Research Agency, ‘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Drug-Related and Drug-Misuse Deaths 2009-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2019’  2 March 2021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.</w:t>
      </w:r>
      <w:r>
        <w:rPr>
          <w:rFonts w:cs="Verdana" w:hAnsi="Verdana" w:eastAsia="Verdana" w:ascii="Verdana"/>
          <w:color w:val="00000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29"/>
        <w:ind w:left="102"/>
      </w:pPr>
      <w:r>
        <w:rPr>
          <w:rFonts w:cs="Verdana" w:hAnsi="Verdana" w:eastAsia="Verdana" w:ascii="Verdana"/>
          <w:color w:val="6F2F9F"/>
          <w:w w:val="106"/>
          <w:position w:val="6"/>
          <w:sz w:val="10"/>
          <w:szCs w:val="10"/>
        </w:rPr>
        <w:t>6</w:t>
      </w:r>
      <w:r>
        <w:rPr>
          <w:rFonts w:cs="Verdana" w:hAnsi="Verdana" w:eastAsia="Verdana" w:ascii="Verdana"/>
          <w:color w:val="6F2F9F"/>
          <w:w w:val="100"/>
          <w:position w:val="6"/>
          <w:sz w:val="10"/>
          <w:szCs w:val="10"/>
        </w:rPr>
        <w:t> 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NI Statistics and Research Agency, ‘Drug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-related Deaths in NI: Socio-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Demographic Analyses’ 24 March 2020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.</w:t>
      </w:r>
      <w:r>
        <w:rPr>
          <w:rFonts w:cs="Verdana" w:hAnsi="Verdana" w:eastAsia="Verdana" w:ascii="Verdana"/>
          <w:color w:val="00000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6"/>
        <w:ind w:left="102"/>
      </w:pPr>
      <w:r>
        <w:rPr>
          <w:rFonts w:cs="Verdana" w:hAnsi="Verdana" w:eastAsia="Verdana" w:ascii="Verdana"/>
          <w:color w:val="6F2F9F"/>
          <w:w w:val="106"/>
          <w:position w:val="6"/>
          <w:sz w:val="10"/>
          <w:szCs w:val="10"/>
        </w:rPr>
        <w:t>7</w:t>
      </w:r>
      <w:r>
        <w:rPr>
          <w:rFonts w:cs="Verdana" w:hAnsi="Verdana" w:eastAsia="Verdana" w:ascii="Verdana"/>
          <w:color w:val="6F2F9F"/>
          <w:w w:val="100"/>
          <w:position w:val="6"/>
          <w:sz w:val="10"/>
          <w:szCs w:val="10"/>
        </w:rPr>
        <w:t> 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Ibid.</w:t>
      </w:r>
      <w:r>
        <w:rPr>
          <w:rFonts w:cs="Verdana" w:hAnsi="Verdana" w:eastAsia="Verdana" w:ascii="Verdana"/>
          <w:color w:val="00000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5"/>
        <w:ind w:left="102"/>
      </w:pPr>
      <w:r>
        <w:rPr>
          <w:rFonts w:cs="Verdana" w:hAnsi="Verdana" w:eastAsia="Verdana" w:ascii="Verdana"/>
          <w:color w:val="6F2F9F"/>
          <w:w w:val="106"/>
          <w:position w:val="6"/>
          <w:sz w:val="10"/>
          <w:szCs w:val="10"/>
        </w:rPr>
        <w:t>8</w:t>
      </w:r>
      <w:r>
        <w:rPr>
          <w:rFonts w:cs="Verdana" w:hAnsi="Verdana" w:eastAsia="Verdana" w:ascii="Verdana"/>
          <w:color w:val="6F2F9F"/>
          <w:w w:val="100"/>
          <w:position w:val="6"/>
          <w:sz w:val="10"/>
          <w:szCs w:val="10"/>
        </w:rPr>
        <w:t> 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NI Audit Office, ‘Addiction Services in NI’ (NIAO, 2020).</w:t>
      </w:r>
      <w:r>
        <w:rPr>
          <w:rFonts w:cs="Verdana" w:hAnsi="Verdana" w:eastAsia="Verdana" w:ascii="Verdana"/>
          <w:color w:val="00000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30"/>
        <w:ind w:left="102"/>
      </w:pPr>
      <w:r>
        <w:rPr>
          <w:rFonts w:cs="Verdana" w:hAnsi="Verdana" w:eastAsia="Verdana" w:ascii="Verdana"/>
          <w:color w:val="6F2F9F"/>
          <w:w w:val="106"/>
          <w:position w:val="6"/>
          <w:sz w:val="10"/>
          <w:szCs w:val="10"/>
        </w:rPr>
        <w:t>9</w:t>
      </w:r>
      <w:r>
        <w:rPr>
          <w:rFonts w:cs="Verdana" w:hAnsi="Verdana" w:eastAsia="Verdana" w:ascii="Verdana"/>
          <w:color w:val="6F2F9F"/>
          <w:w w:val="100"/>
          <w:position w:val="6"/>
          <w:sz w:val="10"/>
          <w:szCs w:val="10"/>
        </w:rPr>
        <w:t> 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Department of Health, ‘Preventing Harm, Empowering Recovery: A Strategic Framework to Tackle the Harm</w:t>
      </w:r>
      <w:r>
        <w:rPr>
          <w:rFonts w:cs="Verdana" w:hAnsi="Verdana" w:eastAsia="Verdana" w:ascii="Verdana"/>
          <w:color w:val="00000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5"/>
        <w:ind w:left="102"/>
        <w:sectPr>
          <w:pgMar w:footer="997" w:header="0" w:top="1360" w:bottom="280" w:left="1340" w:right="1320"/>
          <w:footerReference w:type="default" r:id="rId6"/>
          <w:pgSz w:w="11920" w:h="16840"/>
        </w:sectPr>
      </w:pPr>
      <w:r>
        <w:rPr>
          <w:rFonts w:cs="Verdana" w:hAnsi="Verdana" w:eastAsia="Verdana" w:ascii="Verdana"/>
          <w:color w:val="6F2F9F"/>
          <w:sz w:val="16"/>
          <w:szCs w:val="16"/>
        </w:rPr>
        <w:t>from Substance Use (2021-31)</w:t>
      </w:r>
      <w:r>
        <w:rPr>
          <w:rFonts w:cs="Verdana" w:hAnsi="Verdana" w:eastAsia="Verdana" w:ascii="Verdana"/>
          <w:color w:val="6F2F9F"/>
          <w:sz w:val="16"/>
          <w:szCs w:val="16"/>
        </w:rPr>
        <w:t>’</w:t>
      </w:r>
      <w:r>
        <w:rPr>
          <w:rFonts w:cs="Verdana" w:hAnsi="Verdana" w:eastAsia="Verdana" w:ascii="Verdana"/>
          <w:color w:val="6F2F9F"/>
          <w:sz w:val="16"/>
          <w:szCs w:val="16"/>
        </w:rPr>
        <w:t>, 7 September 2021.</w:t>
      </w:r>
      <w:r>
        <w:rPr>
          <w:rFonts w:cs="Verdana" w:hAnsi="Verdana" w:eastAsia="Verdana" w:ascii="Verdana"/>
          <w:color w:val="000000"/>
          <w:sz w:val="16"/>
          <w:szCs w:val="16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48" w:lineRule="auto" w:line="287"/>
        <w:ind w:left="102" w:right="88"/>
      </w:pPr>
      <w:r>
        <w:rPr>
          <w:rFonts w:cs="Verdana" w:hAnsi="Verdana" w:eastAsia="Verdana" w:ascii="Verdana"/>
          <w:sz w:val="24"/>
          <w:szCs w:val="24"/>
        </w:rPr>
        <w:t>In 2019, the UK Government commissioned Dame Carol Black to lead an</w:t>
      </w:r>
      <w:r>
        <w:rPr>
          <w:rFonts w:cs="Verdana" w:hAnsi="Verdana" w:eastAsia="Verdana" w:ascii="Verdana"/>
          <w:sz w:val="24"/>
          <w:szCs w:val="24"/>
        </w:rPr>
        <w:t> independent review of drugs </w:t>
      </w:r>
      <w:r>
        <w:rPr>
          <w:rFonts w:cs="Verdana" w:hAnsi="Verdana" w:eastAsia="Verdana" w:ascii="Verdana"/>
          <w:sz w:val="24"/>
          <w:szCs w:val="24"/>
        </w:rPr>
        <w:t>to inform the government’s thinking on what</w:t>
      </w:r>
      <w:r>
        <w:rPr>
          <w:rFonts w:cs="Verdana" w:hAnsi="Verdana" w:eastAsia="Verdana" w:ascii="Verdana"/>
          <w:sz w:val="24"/>
          <w:szCs w:val="24"/>
        </w:rPr>
        <w:t> </w:t>
      </w:r>
      <w:r>
        <w:rPr>
          <w:rFonts w:cs="Verdana" w:hAnsi="Verdana" w:eastAsia="Verdana" w:ascii="Verdana"/>
          <w:sz w:val="24"/>
          <w:szCs w:val="24"/>
        </w:rPr>
        <w:t>more can be done to tackle the harm that drugs cause.</w:t>
      </w:r>
      <w:r>
        <w:rPr>
          <w:rFonts w:cs="Verdana" w:hAnsi="Verdana" w:eastAsia="Verdana" w:ascii="Verdana"/>
          <w:position w:val="8"/>
          <w:sz w:val="16"/>
          <w:szCs w:val="16"/>
        </w:rPr>
        <w:t>10 </w:t>
      </w:r>
      <w:r>
        <w:rPr>
          <w:rFonts w:cs="Verdana" w:hAnsi="Verdana" w:eastAsia="Verdana" w:ascii="Verdana"/>
          <w:position w:val="0"/>
          <w:sz w:val="24"/>
          <w:szCs w:val="24"/>
        </w:rPr>
        <w:t>Part One was</w:t>
      </w:r>
      <w:r>
        <w:rPr>
          <w:rFonts w:cs="Verdana" w:hAnsi="Verdana" w:eastAsia="Verdana" w:ascii="Verdana"/>
          <w:position w:val="0"/>
          <w:sz w:val="24"/>
          <w:szCs w:val="24"/>
        </w:rPr>
        <w:t> published on 27 February 2020 and provides an analysis of the challenges</w:t>
      </w:r>
      <w:r>
        <w:rPr>
          <w:rFonts w:cs="Verdana" w:hAnsi="Verdana" w:eastAsia="Verdana" w:ascii="Verdana"/>
          <w:position w:val="0"/>
          <w:sz w:val="24"/>
          <w:szCs w:val="24"/>
        </w:rPr>
        <w:t> posed by drug supply and demand, including the ways in which drugs fuel</w:t>
      </w:r>
      <w:r>
        <w:rPr>
          <w:rFonts w:cs="Verdana" w:hAnsi="Verdana" w:eastAsia="Verdana" w:ascii="Verdana"/>
          <w:position w:val="0"/>
          <w:sz w:val="24"/>
          <w:szCs w:val="24"/>
        </w:rPr>
        <w:t> serious violence. Part Two was published on the 8 July 2021 and applies</w:t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3" w:lineRule="auto" w:line="289"/>
        <w:ind w:left="102" w:right="390"/>
      </w:pPr>
      <w:r>
        <w:rPr>
          <w:rFonts w:cs="Verdana" w:hAnsi="Verdana" w:eastAsia="Verdana" w:ascii="Verdana"/>
          <w:sz w:val="24"/>
          <w:szCs w:val="24"/>
        </w:rPr>
        <w:t>to England only, it focuses on drug treatment, recovery and prevention.</w:t>
      </w:r>
      <w:r>
        <w:rPr>
          <w:rFonts w:cs="Verdana" w:hAnsi="Verdana" w:eastAsia="Verdana" w:ascii="Verdana"/>
          <w:sz w:val="24"/>
          <w:szCs w:val="24"/>
        </w:rPr>
        <w:t> The report makes 32 recommendations including three with a specific</w:t>
      </w:r>
      <w:r>
        <w:rPr>
          <w:rFonts w:cs="Verdana" w:hAnsi="Verdana" w:eastAsia="Verdana" w:ascii="Verdana"/>
          <w:sz w:val="24"/>
          <w:szCs w:val="24"/>
        </w:rPr>
        <w:t> focus on strengthening primary prevention and early intervention.</w:t>
      </w:r>
      <w:r>
        <w:rPr>
          <w:rFonts w:cs="Verdana" w:hAnsi="Verdana" w:eastAsia="Verdana" w:ascii="Verdana"/>
          <w:position w:val="8"/>
          <w:sz w:val="16"/>
          <w:szCs w:val="16"/>
        </w:rPr>
        <w:t>11</w:t>
      </w:r>
      <w:r>
        <w:rPr>
          <w:rFonts w:cs="Verdana" w:hAnsi="Verdana" w:eastAsia="Verdana" w:ascii="Verdana"/>
          <w:position w:val="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auto" w:line="286"/>
        <w:ind w:left="102" w:right="248"/>
      </w:pPr>
      <w:r>
        <w:rPr>
          <w:rFonts w:cs="Verdana" w:hAnsi="Verdana" w:eastAsia="Verdana" w:ascii="Verdana"/>
          <w:sz w:val="24"/>
          <w:szCs w:val="24"/>
        </w:rPr>
        <w:t>Upon publication, the Secretary of State for Health and Social Care</w:t>
      </w:r>
      <w:r>
        <w:rPr>
          <w:rFonts w:cs="Verdana" w:hAnsi="Verdana" w:eastAsia="Verdana" w:ascii="Verdana"/>
          <w:sz w:val="24"/>
          <w:szCs w:val="24"/>
        </w:rPr>
        <w:t> provided a statement which acknowledged that while many aspects of</w:t>
      </w:r>
      <w:r>
        <w:rPr>
          <w:rFonts w:cs="Verdana" w:hAnsi="Verdana" w:eastAsia="Verdana" w:ascii="Verdana"/>
          <w:sz w:val="24"/>
          <w:szCs w:val="24"/>
        </w:rPr>
        <w:t> drug policy are devolved, the UK Government will continue to build</w:t>
      </w:r>
      <w:r>
        <w:rPr>
          <w:rFonts w:cs="Verdana" w:hAnsi="Verdana" w:eastAsia="Verdana" w:ascii="Verdana"/>
          <w:sz w:val="24"/>
          <w:szCs w:val="24"/>
        </w:rPr>
        <w:t> partnership and collaboration with the Scottish, Welsh and Northern Irish</w:t>
      </w:r>
      <w:r>
        <w:rPr>
          <w:rFonts w:cs="Verdana" w:hAnsi="Verdana" w:eastAsia="Verdana" w:ascii="Verdana"/>
          <w:sz w:val="24"/>
          <w:szCs w:val="24"/>
        </w:rPr>
        <w:t> Governments on significant UK-wide issues in </w:t>
      </w:r>
      <w:r>
        <w:rPr>
          <w:rFonts w:cs="Verdana" w:hAnsi="Verdana" w:eastAsia="Verdana" w:ascii="Verdana"/>
          <w:sz w:val="24"/>
          <w:szCs w:val="24"/>
        </w:rPr>
        <w:t>response to Dame Carol’s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4" w:lineRule="auto" w:line="289"/>
        <w:ind w:left="102" w:right="71"/>
      </w:pPr>
      <w:r>
        <w:rPr>
          <w:rFonts w:cs="Verdana" w:hAnsi="Verdana" w:eastAsia="Verdana" w:ascii="Verdana"/>
          <w:sz w:val="24"/>
          <w:szCs w:val="24"/>
        </w:rPr>
        <w:t>review.</w:t>
      </w:r>
      <w:r>
        <w:rPr>
          <w:rFonts w:cs="Verdana" w:hAnsi="Verdana" w:eastAsia="Verdana" w:ascii="Verdana"/>
          <w:position w:val="8"/>
          <w:sz w:val="16"/>
          <w:szCs w:val="16"/>
        </w:rPr>
        <w:t>12  </w:t>
      </w:r>
      <w:r>
        <w:rPr>
          <w:rFonts w:cs="Verdana" w:hAnsi="Verdana" w:eastAsia="Verdana" w:ascii="Verdana"/>
          <w:position w:val="0"/>
          <w:sz w:val="24"/>
          <w:szCs w:val="24"/>
        </w:rPr>
        <w:t>The NI Department of Health has not commented publicly on the</w:t>
      </w:r>
      <w:r>
        <w:rPr>
          <w:rFonts w:cs="Verdana" w:hAnsi="Verdana" w:eastAsia="Verdana" w:ascii="Verdana"/>
          <w:position w:val="0"/>
          <w:sz w:val="24"/>
          <w:szCs w:val="24"/>
        </w:rPr>
        <w:t> review and it is unclear whether its findings will inform approaches to</w:t>
      </w:r>
      <w:r>
        <w:rPr>
          <w:rFonts w:cs="Verdana" w:hAnsi="Verdana" w:eastAsia="Verdana" w:ascii="Verdana"/>
          <w:position w:val="0"/>
          <w:sz w:val="24"/>
          <w:szCs w:val="24"/>
        </w:rPr>
        <w:t> tackling the harm caused by drug use in NI.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auto" w:line="287"/>
        <w:ind w:left="102" w:right="146"/>
      </w:pPr>
      <w:r>
        <w:rPr>
          <w:rFonts w:cs="Verdana" w:hAnsi="Verdana" w:eastAsia="Verdana" w:ascii="Verdana"/>
          <w:sz w:val="24"/>
          <w:szCs w:val="24"/>
        </w:rPr>
        <w:t>In November 2021, the </w:t>
      </w:r>
      <w:r>
        <w:rPr>
          <w:rFonts w:cs="Verdana" w:hAnsi="Verdana" w:eastAsia="Verdana" w:ascii="Verdana"/>
          <w:sz w:val="24"/>
          <w:szCs w:val="24"/>
        </w:rPr>
        <w:t>Centre for Children's Rights at Queen’s </w:t>
      </w:r>
      <w:r>
        <w:rPr>
          <w:rFonts w:cs="Verdana" w:hAnsi="Verdana" w:eastAsia="Verdana" w:ascii="Verdana"/>
          <w:sz w:val="24"/>
          <w:szCs w:val="24"/>
        </w:rPr>
        <w:t>University</w:t>
      </w:r>
      <w:r>
        <w:rPr>
          <w:rFonts w:cs="Verdana" w:hAnsi="Verdana" w:eastAsia="Verdana" w:ascii="Verdana"/>
          <w:sz w:val="24"/>
          <w:szCs w:val="24"/>
        </w:rPr>
        <w:t> Belfast and the Commission for Victims and Survivors published a report</w:t>
      </w:r>
      <w:r>
        <w:rPr>
          <w:rFonts w:cs="Verdana" w:hAnsi="Verdana" w:eastAsia="Verdana" w:ascii="Verdana"/>
          <w:sz w:val="24"/>
          <w:szCs w:val="24"/>
        </w:rPr>
        <w:t> on the on-going transgenerational impacts of the Troubles/Conflict on the</w:t>
      </w:r>
      <w:r>
        <w:rPr>
          <w:rFonts w:cs="Verdana" w:hAnsi="Verdana" w:eastAsia="Verdana" w:ascii="Verdana"/>
          <w:sz w:val="24"/>
          <w:szCs w:val="24"/>
        </w:rPr>
        <w:t> lives of children, young people and parents throughout NI and the border</w:t>
      </w:r>
      <w:r>
        <w:rPr>
          <w:rFonts w:cs="Verdana" w:hAnsi="Verdana" w:eastAsia="Verdana" w:ascii="Verdana"/>
          <w:sz w:val="24"/>
          <w:szCs w:val="24"/>
        </w:rPr>
        <w:t> regions. The research highlighted that the current inadequacy and under-</w:t>
      </w:r>
      <w:r>
        <w:rPr>
          <w:rFonts w:cs="Verdana" w:hAnsi="Verdana" w:eastAsia="Verdana" w:ascii="Verdana"/>
          <w:sz w:val="24"/>
          <w:szCs w:val="24"/>
        </w:rPr>
        <w:t> resourcing of mental health services for children and young people in NI</w:t>
      </w:r>
      <w:r>
        <w:rPr>
          <w:rFonts w:cs="Verdana" w:hAnsi="Verdana" w:eastAsia="Verdana" w:ascii="Verdana"/>
          <w:sz w:val="24"/>
          <w:szCs w:val="24"/>
        </w:rPr>
        <w:t> can enhance susceptibility to problematic drug and alcohol use. It states: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auto" w:line="285"/>
        <w:ind w:left="823" w:right="371"/>
      </w:pPr>
      <w:r>
        <w:rPr>
          <w:rFonts w:cs="Verdana" w:hAnsi="Verdana" w:eastAsia="Verdana" w:ascii="Verdana"/>
          <w:sz w:val="24"/>
          <w:szCs w:val="24"/>
        </w:rPr>
        <w:t>“The relationship between substance misuse and Conflict legacy is</w:t>
      </w:r>
      <w:r>
        <w:rPr>
          <w:rFonts w:cs="Verdana" w:hAnsi="Verdana" w:eastAsia="Verdana" w:ascii="Verdana"/>
          <w:sz w:val="24"/>
          <w:szCs w:val="24"/>
        </w:rPr>
        <w:t> </w:t>
      </w:r>
      <w:r>
        <w:rPr>
          <w:rFonts w:cs="Verdana" w:hAnsi="Verdana" w:eastAsia="Verdana" w:ascii="Verdana"/>
          <w:sz w:val="24"/>
          <w:szCs w:val="24"/>
        </w:rPr>
        <w:t>becoming clear. This requires recognition in substance use</w:t>
      </w:r>
      <w:r>
        <w:rPr>
          <w:rFonts w:cs="Verdana" w:hAnsi="Verdana" w:eastAsia="Verdana" w:ascii="Verdana"/>
          <w:sz w:val="24"/>
          <w:szCs w:val="24"/>
        </w:rPr>
        <w:t> strategies and responses. There is an urgent requirement to</w:t>
      </w:r>
      <w:r>
        <w:rPr>
          <w:rFonts w:cs="Verdana" w:hAnsi="Verdana" w:eastAsia="Verdana" w:ascii="Verdana"/>
          <w:sz w:val="24"/>
          <w:szCs w:val="24"/>
        </w:rPr>
        <w:t> enhance social and educational measures to protect children from</w:t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5" w:lineRule="exact" w:line="280"/>
        <w:ind w:left="823"/>
      </w:pPr>
      <w:r>
        <w:pict>
          <v:group style="position:absolute;margin-left:72.1pt;margin-top:67.9645pt;width:144.2pt;height:0pt;mso-position-horizontal-relative:page;mso-position-vertical-relative:paragraph;z-index:-422" coordorigin="1442,1359" coordsize="2884,0">
            <v:shape style="position:absolute;left:1442;top:1359;width:2884;height:0" coordorigin="1442,1359" coordsize="2884,0" path="m1442,1359l4326,1359e" filled="f" stroked="t" strokeweight="0.89999pt" strokecolor="#00000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position w:val="-2"/>
          <w:sz w:val="24"/>
          <w:szCs w:val="24"/>
        </w:rPr>
        <w:t>substance misuse.”</w:t>
      </w:r>
      <w:r>
        <w:rPr>
          <w:rFonts w:cs="Verdana" w:hAnsi="Verdana" w:eastAsia="Verdana" w:ascii="Verdana"/>
          <w:position w:val="7"/>
          <w:sz w:val="16"/>
          <w:szCs w:val="16"/>
        </w:rPr>
        <w:t>13</w:t>
      </w:r>
      <w:r>
        <w:rPr>
          <w:rFonts w:cs="Verdana" w:hAnsi="Verdana" w:eastAsia="Verdana" w:ascii="Verdana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2"/>
        <w:ind w:left="102"/>
      </w:pPr>
      <w:r>
        <w:rPr>
          <w:rFonts w:cs="Verdana" w:hAnsi="Verdana" w:eastAsia="Verdana" w:ascii="Verdana"/>
          <w:color w:val="6F2F9F"/>
          <w:w w:val="106"/>
          <w:position w:val="6"/>
          <w:sz w:val="10"/>
          <w:szCs w:val="10"/>
        </w:rPr>
        <w:t>10</w:t>
      </w:r>
      <w:r>
        <w:rPr>
          <w:rFonts w:cs="Verdana" w:hAnsi="Verdana" w:eastAsia="Verdana" w:ascii="Verdana"/>
          <w:color w:val="6F2F9F"/>
          <w:w w:val="100"/>
          <w:position w:val="6"/>
          <w:sz w:val="10"/>
          <w:szCs w:val="10"/>
        </w:rPr>
        <w:t> 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UK Government, Independent review of drugs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by Dame Carol Black, ‘Review of drugs:  phase one report’ 17</w:t>
      </w:r>
      <w:r>
        <w:rPr>
          <w:rFonts w:cs="Verdana" w:hAnsi="Verdana" w:eastAsia="Verdana" w:ascii="Verdana"/>
          <w:color w:val="00000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6"/>
        <w:ind w:left="102"/>
      </w:pPr>
      <w:r>
        <w:rPr>
          <w:rFonts w:cs="Verdana" w:hAnsi="Verdana" w:eastAsia="Verdana" w:ascii="Verdana"/>
          <w:color w:val="6F2F9F"/>
          <w:sz w:val="16"/>
          <w:szCs w:val="16"/>
        </w:rPr>
        <w:t>September 2020 and ‘Review of drugs: phase two report’ 2 August 2021</w:t>
      </w:r>
      <w:r>
        <w:rPr>
          <w:rFonts w:cs="Verdana" w:hAnsi="Verdana" w:eastAsia="Verdana" w:ascii="Verdana"/>
          <w:color w:val="6F2F9F"/>
          <w:sz w:val="16"/>
          <w:szCs w:val="16"/>
        </w:rPr>
        <w:t>.</w:t>
      </w:r>
      <w:r>
        <w:rPr>
          <w:rFonts w:cs="Verdana" w:hAnsi="Verdana" w:eastAsia="Verdana" w:ascii="Verdana"/>
          <w:color w:val="0000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29"/>
        <w:ind w:left="102"/>
      </w:pPr>
      <w:r>
        <w:rPr>
          <w:rFonts w:cs="Verdana" w:hAnsi="Verdana" w:eastAsia="Verdana" w:ascii="Verdana"/>
          <w:color w:val="6F2F9F"/>
          <w:w w:val="106"/>
          <w:position w:val="6"/>
          <w:sz w:val="10"/>
          <w:szCs w:val="10"/>
        </w:rPr>
        <w:t>11</w:t>
      </w:r>
      <w:r>
        <w:rPr>
          <w:rFonts w:cs="Verdana" w:hAnsi="Verdana" w:eastAsia="Verdana" w:ascii="Verdana"/>
          <w:color w:val="6F2F9F"/>
          <w:w w:val="100"/>
          <w:position w:val="6"/>
          <w:sz w:val="10"/>
          <w:szCs w:val="10"/>
        </w:rPr>
        <w:t> 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Ibid; Recommendations 28, 29 and 30.</w:t>
      </w:r>
      <w:r>
        <w:rPr>
          <w:rFonts w:cs="Verdana" w:hAnsi="Verdana" w:eastAsia="Verdana" w:ascii="Verdana"/>
          <w:color w:val="00000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6" w:lineRule="auto" w:line="296"/>
        <w:ind w:left="102" w:right="326"/>
      </w:pPr>
      <w:r>
        <w:rPr>
          <w:rFonts w:cs="Verdana" w:hAnsi="Verdana" w:eastAsia="Verdana" w:ascii="Verdana"/>
          <w:color w:val="6F2F9F"/>
          <w:w w:val="106"/>
          <w:position w:val="6"/>
          <w:sz w:val="10"/>
          <w:szCs w:val="10"/>
        </w:rPr>
        <w:t>12</w:t>
      </w:r>
      <w:r>
        <w:rPr>
          <w:rFonts w:cs="Verdana" w:hAnsi="Verdana" w:eastAsia="Verdana" w:ascii="Verdana"/>
          <w:color w:val="6F2F9F"/>
          <w:w w:val="100"/>
          <w:position w:val="6"/>
          <w:sz w:val="10"/>
          <w:szCs w:val="10"/>
        </w:rPr>
        <w:t> 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UK Parliament, Statement UIN HCWS167 ‘Publication of Dame Carol Black’s Independent Review of Drugs,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 Part 2’ 8 July 2021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.</w:t>
      </w:r>
      <w:r>
        <w:rPr>
          <w:rFonts w:cs="Verdana" w:hAnsi="Verdana" w:eastAsia="Verdana" w:ascii="Verdana"/>
          <w:color w:val="00000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lineRule="exact" w:line="160"/>
        <w:ind w:left="102"/>
      </w:pPr>
      <w:r>
        <w:rPr>
          <w:rFonts w:cs="Verdana" w:hAnsi="Verdana" w:eastAsia="Verdana" w:ascii="Verdana"/>
          <w:color w:val="6F2F9F"/>
          <w:w w:val="106"/>
          <w:position w:val="6"/>
          <w:sz w:val="10"/>
          <w:szCs w:val="10"/>
        </w:rPr>
        <w:t>13</w:t>
      </w:r>
      <w:r>
        <w:rPr>
          <w:rFonts w:cs="Verdana" w:hAnsi="Verdana" w:eastAsia="Verdana" w:ascii="Verdana"/>
          <w:color w:val="6F2F9F"/>
          <w:w w:val="100"/>
          <w:position w:val="6"/>
          <w:sz w:val="10"/>
          <w:szCs w:val="10"/>
        </w:rPr>
        <w:t> 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The Centre for Children’s Rights and the Commission for Victims and Survivors, ‘It Didn’t End in 1998:</w:t>
      </w:r>
      <w:r>
        <w:rPr>
          <w:rFonts w:cs="Verdana" w:hAnsi="Verdana" w:eastAsia="Verdana" w:ascii="Verdana"/>
          <w:color w:val="00000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5"/>
        <w:ind w:left="102"/>
        <w:sectPr>
          <w:pgNumType w:start="4"/>
          <w:pgMar w:footer="997" w:header="0" w:top="1380" w:bottom="280" w:left="1340" w:right="1320"/>
          <w:footerReference w:type="default" r:id="rId7"/>
          <w:pgSz w:w="11920" w:h="16840"/>
        </w:sectPr>
      </w:pPr>
      <w:r>
        <w:rPr>
          <w:rFonts w:cs="Verdana" w:hAnsi="Verdana" w:eastAsia="Verdana" w:ascii="Verdana"/>
          <w:color w:val="6F2F9F"/>
          <w:sz w:val="16"/>
          <w:szCs w:val="16"/>
        </w:rPr>
        <w:t>Examining the Impacts of Con</w:t>
      </w:r>
      <w:r>
        <w:rPr>
          <w:rFonts w:cs="Verdana" w:hAnsi="Verdana" w:eastAsia="Verdana" w:ascii="Verdana"/>
          <w:color w:val="6F2F9F"/>
          <w:sz w:val="16"/>
          <w:szCs w:val="16"/>
        </w:rPr>
        <w:t>flict Legacy Across Generations’ (QUB, 2021)  </w:t>
      </w:r>
      <w:r>
        <w:rPr>
          <w:rFonts w:cs="Verdana" w:hAnsi="Verdana" w:eastAsia="Verdana" w:ascii="Verdana"/>
          <w:color w:val="6F2F9F"/>
          <w:sz w:val="16"/>
          <w:szCs w:val="16"/>
        </w:rPr>
        <w:t>at page 20.</w:t>
      </w:r>
      <w:r>
        <w:rPr>
          <w:rFonts w:cs="Verdana" w:hAnsi="Verdana" w:eastAsia="Verdana" w:ascii="Verdana"/>
          <w:color w:val="000000"/>
          <w:sz w:val="16"/>
          <w:szCs w:val="16"/>
        </w:rPr>
      </w:r>
    </w:p>
    <w:p>
      <w:pPr>
        <w:rPr>
          <w:rFonts w:cs="Verdana" w:hAnsi="Verdana" w:eastAsia="Verdana" w:ascii="Verdana"/>
          <w:sz w:val="30"/>
          <w:szCs w:val="30"/>
        </w:rPr>
        <w:jc w:val="left"/>
        <w:spacing w:before="92"/>
        <w:ind w:left="102"/>
      </w:pPr>
      <w:r>
        <w:rPr>
          <w:rFonts w:cs="Verdana" w:hAnsi="Verdana" w:eastAsia="Verdana" w:ascii="Verdana"/>
          <w:b/>
          <w:color w:val="773189"/>
          <w:w w:val="101"/>
          <w:sz w:val="30"/>
          <w:szCs w:val="30"/>
        </w:rPr>
        <w:t>Research</w:t>
      </w:r>
      <w:r>
        <w:rPr>
          <w:rFonts w:cs="Verdana" w:hAnsi="Verdana" w:eastAsia="Verdana" w:ascii="Verdana"/>
          <w:b/>
          <w:color w:val="773189"/>
          <w:w w:val="100"/>
          <w:sz w:val="30"/>
          <w:szCs w:val="30"/>
        </w:rPr>
        <w:t> </w:t>
      </w:r>
      <w:r>
        <w:rPr>
          <w:rFonts w:cs="Verdana" w:hAnsi="Verdana" w:eastAsia="Verdana" w:ascii="Verdana"/>
          <w:b/>
          <w:color w:val="773189"/>
          <w:w w:val="101"/>
          <w:sz w:val="30"/>
          <w:szCs w:val="30"/>
        </w:rPr>
        <w:t>Brief</w:t>
      </w:r>
      <w:r>
        <w:rPr>
          <w:rFonts w:cs="Verdana" w:hAnsi="Verdana" w:eastAsia="Verdana" w:ascii="Verdana"/>
          <w:color w:val="000000"/>
          <w:w w:val="100"/>
          <w:sz w:val="30"/>
          <w:szCs w:val="3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63" w:lineRule="auto" w:line="288"/>
        <w:ind w:left="102" w:right="65"/>
      </w:pPr>
      <w:r>
        <w:rPr>
          <w:rFonts w:cs="Verdana" w:hAnsi="Verdana" w:eastAsia="Verdana" w:ascii="Verdana"/>
          <w:sz w:val="24"/>
          <w:szCs w:val="24"/>
        </w:rPr>
        <w:t>Beyond the legal and policy landscape, the Commission is conscious that</w:t>
      </w:r>
      <w:r>
        <w:rPr>
          <w:rFonts w:cs="Verdana" w:hAnsi="Verdana" w:eastAsia="Verdana" w:ascii="Verdana"/>
          <w:sz w:val="24"/>
          <w:szCs w:val="24"/>
        </w:rPr>
        <w:t> there will be a number of practical initiatives and interventions aimed at</w:t>
      </w:r>
      <w:r>
        <w:rPr>
          <w:rFonts w:cs="Verdana" w:hAnsi="Verdana" w:eastAsia="Verdana" w:ascii="Verdana"/>
          <w:sz w:val="24"/>
          <w:szCs w:val="24"/>
        </w:rPr>
        <w:t> tackling drug addiction and the illegal use of substances in NI. Therefore,</w:t>
      </w:r>
      <w:r>
        <w:rPr>
          <w:rFonts w:cs="Verdana" w:hAnsi="Verdana" w:eastAsia="Verdana" w:ascii="Verdana"/>
          <w:sz w:val="24"/>
          <w:szCs w:val="24"/>
        </w:rPr>
        <w:t> the aim of this research is the production of a landscape review to</w:t>
      </w:r>
      <w:r>
        <w:rPr>
          <w:rFonts w:cs="Verdana" w:hAnsi="Verdana" w:eastAsia="Verdana" w:ascii="Verdana"/>
          <w:sz w:val="24"/>
          <w:szCs w:val="24"/>
        </w:rPr>
        <w:t> establish what is presently available in NI, regarding the scope and nature</w:t>
      </w:r>
      <w:r>
        <w:rPr>
          <w:rFonts w:cs="Verdana" w:hAnsi="Verdana" w:eastAsia="Verdana" w:ascii="Verdana"/>
          <w:sz w:val="24"/>
          <w:szCs w:val="24"/>
        </w:rPr>
        <w:t> of any statutory and non-statutory services or programmes, and to</w:t>
      </w:r>
      <w:r>
        <w:rPr>
          <w:rFonts w:cs="Verdana" w:hAnsi="Verdana" w:eastAsia="Verdana" w:ascii="Verdana"/>
          <w:sz w:val="24"/>
          <w:szCs w:val="24"/>
        </w:rPr>
        <w:t> evaluate the effectiveness of this service provision. In particular, the</w:t>
      </w:r>
      <w:r>
        <w:rPr>
          <w:rFonts w:cs="Verdana" w:hAnsi="Verdana" w:eastAsia="Verdana" w:ascii="Verdana"/>
          <w:sz w:val="24"/>
          <w:szCs w:val="24"/>
        </w:rPr>
        <w:t> research should consider: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tabs>
          <w:tab w:pos="1180" w:val="left"/>
        </w:tabs>
        <w:jc w:val="left"/>
        <w:spacing w:lineRule="auto" w:line="289"/>
        <w:ind w:left="1191" w:right="375" w:hanging="368"/>
      </w:pPr>
      <w:r>
        <w:rPr>
          <w:rFonts w:cs="Verdana" w:hAnsi="Verdana" w:eastAsia="Verdana" w:ascii="Verdana"/>
          <w:sz w:val="24"/>
          <w:szCs w:val="24"/>
        </w:rPr>
        <w:t>•</w:t>
        <w:tab/>
      </w:r>
      <w:r>
        <w:rPr>
          <w:rFonts w:cs="Verdana" w:hAnsi="Verdana" w:eastAsia="Verdana" w:ascii="Verdana"/>
          <w:sz w:val="24"/>
          <w:szCs w:val="24"/>
        </w:rPr>
      </w:r>
      <w:r>
        <w:rPr>
          <w:rFonts w:cs="Verdana" w:hAnsi="Verdana" w:eastAsia="Verdana" w:ascii="Verdana"/>
          <w:sz w:val="24"/>
          <w:szCs w:val="24"/>
        </w:rPr>
        <w:t>The availability and effectiveness of services, programmes and</w:t>
      </w:r>
      <w:r>
        <w:rPr>
          <w:rFonts w:cs="Verdana" w:hAnsi="Verdana" w:eastAsia="Verdana" w:ascii="Verdana"/>
          <w:sz w:val="24"/>
          <w:szCs w:val="24"/>
        </w:rPr>
        <w:t> policies used to identify, intervene, and manage substance use</w:t>
      </w:r>
      <w:r>
        <w:rPr>
          <w:rFonts w:cs="Verdana" w:hAnsi="Verdana" w:eastAsia="Verdana" w:ascii="Verdana"/>
          <w:sz w:val="24"/>
          <w:szCs w:val="24"/>
        </w:rPr>
        <w:t> problems and addiction disorders in NI. This should include</w:t>
      </w:r>
      <w:r>
        <w:rPr>
          <w:rFonts w:cs="Verdana" w:hAnsi="Verdana" w:eastAsia="Verdana" w:ascii="Verdana"/>
          <w:sz w:val="24"/>
          <w:szCs w:val="24"/>
        </w:rPr>
        <w:t> statutory services, those funded by the state, and voluntary</w:t>
      </w:r>
      <w:r>
        <w:rPr>
          <w:rFonts w:cs="Verdana" w:hAnsi="Verdana" w:eastAsia="Verdana" w:ascii="Verdana"/>
          <w:sz w:val="24"/>
          <w:szCs w:val="24"/>
        </w:rPr>
        <w:t> sector services.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4"/>
          <w:szCs w:val="24"/>
        </w:rPr>
        <w:tabs>
          <w:tab w:pos="1180" w:val="left"/>
        </w:tabs>
        <w:jc w:val="left"/>
        <w:spacing w:lineRule="auto" w:line="289"/>
        <w:ind w:left="1191" w:right="467" w:hanging="368"/>
      </w:pPr>
      <w:r>
        <w:rPr>
          <w:rFonts w:cs="Verdana" w:hAnsi="Verdana" w:eastAsia="Verdana" w:ascii="Verdana"/>
          <w:sz w:val="24"/>
          <w:szCs w:val="24"/>
        </w:rPr>
        <w:t>•</w:t>
        <w:tab/>
      </w:r>
      <w:r>
        <w:rPr>
          <w:rFonts w:cs="Verdana" w:hAnsi="Verdana" w:eastAsia="Verdana" w:ascii="Verdana"/>
          <w:sz w:val="24"/>
          <w:szCs w:val="24"/>
        </w:rPr>
      </w:r>
      <w:r>
        <w:rPr>
          <w:rFonts w:cs="Verdana" w:hAnsi="Verdana" w:eastAsia="Verdana" w:ascii="Verdana"/>
          <w:sz w:val="24"/>
          <w:szCs w:val="24"/>
        </w:rPr>
        <w:t>The levels of engagement of both statutory and non-statutory</w:t>
      </w:r>
      <w:r>
        <w:rPr>
          <w:rFonts w:cs="Verdana" w:hAnsi="Verdana" w:eastAsia="Verdana" w:ascii="Verdana"/>
          <w:sz w:val="24"/>
          <w:szCs w:val="24"/>
        </w:rPr>
        <w:t> services with individuals who may be at risk of developing an</w:t>
      </w:r>
      <w:r>
        <w:rPr>
          <w:rFonts w:cs="Verdana" w:hAnsi="Verdana" w:eastAsia="Verdana" w:ascii="Verdana"/>
          <w:sz w:val="24"/>
          <w:szCs w:val="24"/>
        </w:rPr>
        <w:t> addiction, including </w:t>
      </w:r>
      <w:r>
        <w:rPr>
          <w:rFonts w:cs="Verdana" w:hAnsi="Verdana" w:eastAsia="Verdana" w:ascii="Verdana"/>
          <w:sz w:val="24"/>
          <w:szCs w:val="24"/>
        </w:rPr>
        <w:t>‘recreational’ or ‘social’ drugs </w:t>
      </w:r>
      <w:r>
        <w:rPr>
          <w:rFonts w:cs="Verdana" w:hAnsi="Verdana" w:eastAsia="Verdana" w:ascii="Verdana"/>
          <w:sz w:val="24"/>
          <w:szCs w:val="24"/>
        </w:rPr>
        <w:t>misuse.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tabs>
          <w:tab w:pos="1180" w:val="left"/>
        </w:tabs>
        <w:jc w:val="left"/>
        <w:spacing w:lineRule="auto" w:line="289"/>
        <w:ind w:left="1191" w:right="398" w:hanging="368"/>
      </w:pPr>
      <w:r>
        <w:rPr>
          <w:rFonts w:cs="Verdana" w:hAnsi="Verdana" w:eastAsia="Verdana" w:ascii="Verdana"/>
          <w:sz w:val="24"/>
          <w:szCs w:val="24"/>
        </w:rPr>
        <w:t>•</w:t>
        <w:tab/>
      </w:r>
      <w:r>
        <w:rPr>
          <w:rFonts w:cs="Verdana" w:hAnsi="Verdana" w:eastAsia="Verdana" w:ascii="Verdana"/>
          <w:sz w:val="24"/>
          <w:szCs w:val="24"/>
        </w:rPr>
      </w:r>
      <w:r>
        <w:rPr>
          <w:rFonts w:cs="Verdana" w:hAnsi="Verdana" w:eastAsia="Verdana" w:ascii="Verdana"/>
          <w:sz w:val="24"/>
          <w:szCs w:val="24"/>
        </w:rPr>
        <w:t>A gap analysis, identifying examples of best practice and areas</w:t>
      </w:r>
      <w:r>
        <w:rPr>
          <w:rFonts w:cs="Verdana" w:hAnsi="Verdana" w:eastAsia="Verdana" w:ascii="Verdana"/>
          <w:sz w:val="24"/>
          <w:szCs w:val="24"/>
        </w:rPr>
        <w:t> for improvement in the in the current landscape of drug</w:t>
      </w:r>
      <w:r>
        <w:rPr>
          <w:rFonts w:cs="Verdana" w:hAnsi="Verdana" w:eastAsia="Verdana" w:ascii="Verdana"/>
          <w:sz w:val="24"/>
          <w:szCs w:val="24"/>
        </w:rPr>
        <w:t> prevention efforts in NI.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tabs>
          <w:tab w:pos="1180" w:val="left"/>
        </w:tabs>
        <w:jc w:val="left"/>
        <w:spacing w:lineRule="auto" w:line="276"/>
        <w:ind w:left="1191" w:right="994" w:hanging="368"/>
      </w:pPr>
      <w:r>
        <w:rPr>
          <w:rFonts w:cs="Verdana" w:hAnsi="Verdana" w:eastAsia="Verdana" w:ascii="Verdana"/>
          <w:sz w:val="24"/>
          <w:szCs w:val="24"/>
        </w:rPr>
        <w:t>•</w:t>
        <w:tab/>
      </w:r>
      <w:r>
        <w:rPr>
          <w:rFonts w:cs="Verdana" w:hAnsi="Verdana" w:eastAsia="Verdana" w:ascii="Verdana"/>
          <w:sz w:val="24"/>
          <w:szCs w:val="24"/>
        </w:rPr>
      </w:r>
      <w:r>
        <w:rPr>
          <w:rFonts w:cs="Verdana" w:hAnsi="Verdana" w:eastAsia="Verdana" w:ascii="Verdana"/>
          <w:sz w:val="24"/>
          <w:szCs w:val="24"/>
        </w:rPr>
        <w:t>Consultation with individuals who have lived and/or direct</w:t>
      </w:r>
      <w:r>
        <w:rPr>
          <w:rFonts w:cs="Verdana" w:hAnsi="Verdana" w:eastAsia="Verdana" w:ascii="Verdana"/>
          <w:sz w:val="24"/>
          <w:szCs w:val="24"/>
        </w:rPr>
        <w:t> experiences of the services and programmes examined.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30"/>
          <w:szCs w:val="30"/>
        </w:rPr>
        <w:jc w:val="left"/>
        <w:ind w:left="102"/>
      </w:pPr>
      <w:r>
        <w:rPr>
          <w:rFonts w:cs="Verdana" w:hAnsi="Verdana" w:eastAsia="Verdana" w:ascii="Verdana"/>
          <w:b/>
          <w:color w:val="773189"/>
          <w:w w:val="101"/>
          <w:sz w:val="30"/>
          <w:szCs w:val="30"/>
        </w:rPr>
        <w:t>Specification</w:t>
      </w:r>
      <w:r>
        <w:rPr>
          <w:rFonts w:cs="Verdana" w:hAnsi="Verdana" w:eastAsia="Verdana" w:ascii="Verdana"/>
          <w:color w:val="000000"/>
          <w:w w:val="100"/>
          <w:sz w:val="30"/>
          <w:szCs w:val="3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80"/>
        <w:ind w:left="102"/>
      </w:pPr>
      <w:r>
        <w:rPr>
          <w:rFonts w:cs="Verdana" w:hAnsi="Verdana" w:eastAsia="Verdana" w:ascii="Verdana"/>
          <w:sz w:val="24"/>
          <w:szCs w:val="24"/>
        </w:rPr>
        <w:t>The successful contractor will be required: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471"/>
      </w:pPr>
      <w:r>
        <w:rPr>
          <w:rFonts w:cs="Verdana" w:hAnsi="Verdana" w:eastAsia="Verdana" w:ascii="Verdana"/>
          <w:sz w:val="24"/>
          <w:szCs w:val="24"/>
        </w:rPr>
        <w:t>•   </w:t>
      </w:r>
      <w:r>
        <w:rPr>
          <w:rFonts w:cs="Verdana" w:hAnsi="Verdana" w:eastAsia="Verdana" w:ascii="Verdana"/>
          <w:sz w:val="24"/>
          <w:szCs w:val="24"/>
        </w:rPr>
        <w:t>to engage with the NIHRC to clarify the parameters of the project;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tabs>
          <w:tab w:pos="820" w:val="left"/>
        </w:tabs>
        <w:jc w:val="both"/>
        <w:spacing w:lineRule="exact" w:line="280"/>
        <w:ind w:left="823" w:right="60" w:hanging="353"/>
      </w:pPr>
      <w:r>
        <w:rPr>
          <w:rFonts w:cs="Verdana" w:hAnsi="Verdana" w:eastAsia="Verdana" w:ascii="Verdana"/>
          <w:sz w:val="24"/>
          <w:szCs w:val="24"/>
        </w:rPr>
        <w:t>•</w:t>
        <w:tab/>
      </w:r>
      <w:r>
        <w:rPr>
          <w:rFonts w:cs="Verdana" w:hAnsi="Verdana" w:eastAsia="Verdana" w:ascii="Verdana"/>
          <w:sz w:val="24"/>
          <w:szCs w:val="24"/>
        </w:rPr>
      </w:r>
      <w:r>
        <w:rPr>
          <w:rFonts w:cs="Verdana" w:hAnsi="Verdana" w:eastAsia="Verdana" w:ascii="Verdana"/>
          <w:sz w:val="24"/>
          <w:szCs w:val="24"/>
        </w:rPr>
        <w:t>to undertake both desktop research and any potential interviews with</w:t>
      </w:r>
      <w:r>
        <w:rPr>
          <w:rFonts w:cs="Verdana" w:hAnsi="Verdana" w:eastAsia="Verdana" w:ascii="Verdana"/>
          <w:sz w:val="24"/>
          <w:szCs w:val="24"/>
        </w:rPr>
        <w:t> key stakeholders which may include public  authorities, civil society</w:t>
      </w:r>
      <w:r>
        <w:rPr>
          <w:rFonts w:cs="Verdana" w:hAnsi="Verdana" w:eastAsia="Verdana" w:ascii="Verdana"/>
          <w:sz w:val="24"/>
          <w:szCs w:val="24"/>
        </w:rPr>
        <w:t> organisations,   practitioners,   service   providers,   service   users,</w:t>
      </w:r>
      <w:r>
        <w:rPr>
          <w:rFonts w:cs="Verdana" w:hAnsi="Verdana" w:eastAsia="Verdana" w:ascii="Verdana"/>
          <w:sz w:val="24"/>
          <w:szCs w:val="24"/>
        </w:rPr>
        <w:t> academics or policy makers in this field; and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tabs>
          <w:tab w:pos="820" w:val="left"/>
        </w:tabs>
        <w:jc w:val="both"/>
        <w:spacing w:lineRule="auto" w:line="237"/>
        <w:ind w:left="823" w:right="65" w:hanging="353"/>
        <w:sectPr>
          <w:pgMar w:header="0" w:footer="997" w:top="1580" w:bottom="280" w:left="1340" w:right="1320"/>
          <w:pgSz w:w="11920" w:h="16840"/>
        </w:sectPr>
      </w:pPr>
      <w:r>
        <w:rPr>
          <w:rFonts w:cs="Verdana" w:hAnsi="Verdana" w:eastAsia="Verdana" w:ascii="Verdana"/>
          <w:sz w:val="24"/>
          <w:szCs w:val="24"/>
        </w:rPr>
        <w:t>•</w:t>
        <w:tab/>
      </w:r>
      <w:r>
        <w:rPr>
          <w:rFonts w:cs="Verdana" w:hAnsi="Verdana" w:eastAsia="Verdana" w:ascii="Verdana"/>
          <w:sz w:val="24"/>
          <w:szCs w:val="24"/>
        </w:rPr>
      </w:r>
      <w:r>
        <w:rPr>
          <w:rFonts w:cs="Verdana" w:hAnsi="Verdana" w:eastAsia="Verdana" w:ascii="Verdana"/>
          <w:sz w:val="24"/>
          <w:szCs w:val="24"/>
        </w:rPr>
        <w:t>to submit a robust report by </w:t>
      </w:r>
      <w:r>
        <w:rPr>
          <w:rFonts w:cs="Verdana" w:hAnsi="Verdana" w:eastAsia="Verdana" w:ascii="Verdana"/>
          <w:b/>
          <w:sz w:val="24"/>
          <w:szCs w:val="24"/>
        </w:rPr>
        <w:t>31 March 2022 </w:t>
      </w:r>
      <w:r>
        <w:rPr>
          <w:rFonts w:cs="Verdana" w:hAnsi="Verdana" w:eastAsia="Verdana" w:ascii="Verdana"/>
          <w:sz w:val="24"/>
          <w:szCs w:val="24"/>
        </w:rPr>
        <w:t>at the latest and, having</w:t>
      </w:r>
      <w:r>
        <w:rPr>
          <w:rFonts w:cs="Verdana" w:hAnsi="Verdana" w:eastAsia="Verdana" w:ascii="Verdana"/>
          <w:sz w:val="24"/>
          <w:szCs w:val="24"/>
        </w:rPr>
        <w:t> taken  account  of  </w:t>
      </w:r>
      <w:r>
        <w:rPr>
          <w:rFonts w:cs="Verdana" w:hAnsi="Verdana" w:eastAsia="Verdana" w:ascii="Verdana"/>
          <w:sz w:val="24"/>
          <w:szCs w:val="24"/>
        </w:rPr>
        <w:t>the  Commission’s  comments   </w:t>
      </w:r>
      <w:r>
        <w:rPr>
          <w:rFonts w:cs="Verdana" w:hAnsi="Verdana" w:eastAsia="Verdana" w:ascii="Verdana"/>
          <w:sz w:val="24"/>
          <w:szCs w:val="24"/>
        </w:rPr>
        <w:t>and  subject  to</w:t>
      </w:r>
      <w:r>
        <w:rPr>
          <w:rFonts w:cs="Verdana" w:hAnsi="Verdana" w:eastAsia="Verdana" w:ascii="Verdana"/>
          <w:sz w:val="24"/>
          <w:szCs w:val="24"/>
        </w:rPr>
        <w:t> discussion between the Commission and the contractor, a final report</w:t>
      </w:r>
      <w:r>
        <w:rPr>
          <w:rFonts w:cs="Verdana" w:hAnsi="Verdana" w:eastAsia="Verdana" w:ascii="Verdana"/>
          <w:sz w:val="24"/>
          <w:szCs w:val="24"/>
        </w:rPr>
        <w:t> by Friday 29 April.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Verdana" w:hAnsi="Verdana" w:eastAsia="Verdana" w:ascii="Verdana"/>
          <w:sz w:val="24"/>
          <w:szCs w:val="24"/>
        </w:rPr>
        <w:jc w:val="both"/>
        <w:ind w:left="102" w:right="96"/>
      </w:pPr>
      <w:r>
        <w:rPr>
          <w:rFonts w:cs="Verdana" w:hAnsi="Verdana" w:eastAsia="Verdana" w:ascii="Verdana"/>
          <w:sz w:val="24"/>
          <w:szCs w:val="24"/>
        </w:rPr>
        <w:t>The Northern Ireland Human Rights Commission  retains all rights to the</w:t>
      </w:r>
      <w:r>
        <w:rPr>
          <w:rFonts w:cs="Verdana" w:hAnsi="Verdana" w:eastAsia="Verdana" w:ascii="Verdana"/>
          <w:sz w:val="24"/>
          <w:szCs w:val="24"/>
        </w:rPr>
        <w:t> intellectual property and will be responsible for future decisions regarding</w:t>
      </w:r>
      <w:r>
        <w:rPr>
          <w:rFonts w:cs="Verdana" w:hAnsi="Verdana" w:eastAsia="Verdana" w:ascii="Verdana"/>
          <w:sz w:val="24"/>
          <w:szCs w:val="24"/>
        </w:rPr>
        <w:t> the publication of the report. In all publications, the role of the contractor</w:t>
      </w:r>
      <w:r>
        <w:rPr>
          <w:rFonts w:cs="Verdana" w:hAnsi="Verdana" w:eastAsia="Verdana" w:ascii="Verdana"/>
          <w:sz w:val="24"/>
          <w:szCs w:val="24"/>
        </w:rPr>
        <w:t> will be duly acknowledged.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both"/>
        <w:spacing w:lineRule="auto" w:line="290"/>
        <w:ind w:left="102" w:right="241"/>
      </w:pPr>
      <w:r>
        <w:rPr>
          <w:rFonts w:cs="Verdana" w:hAnsi="Verdana" w:eastAsia="Verdana" w:ascii="Verdana"/>
          <w:sz w:val="24"/>
          <w:szCs w:val="24"/>
        </w:rPr>
        <w:t>Emily Mills will be available to liaise with the successful contractor for the</w:t>
      </w:r>
      <w:r>
        <w:rPr>
          <w:rFonts w:cs="Verdana" w:hAnsi="Verdana" w:eastAsia="Verdana" w:ascii="Verdana"/>
          <w:sz w:val="24"/>
          <w:szCs w:val="24"/>
        </w:rPr>
        <w:t> duration of the project, to resolve any queries concerning the research or</w:t>
      </w:r>
      <w:r>
        <w:rPr>
          <w:rFonts w:cs="Verdana" w:hAnsi="Verdana" w:eastAsia="Verdana" w:ascii="Verdana"/>
          <w:sz w:val="24"/>
          <w:szCs w:val="24"/>
        </w:rPr>
        <w:t> </w:t>
      </w:r>
      <w:r>
        <w:rPr>
          <w:rFonts w:cs="Verdana" w:hAnsi="Verdana" w:eastAsia="Verdana" w:ascii="Verdana"/>
          <w:sz w:val="24"/>
          <w:szCs w:val="24"/>
        </w:rPr>
        <w:t>the Commission’s requirements in respect of the final draft.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30"/>
          <w:szCs w:val="30"/>
        </w:rPr>
        <w:jc w:val="both"/>
        <w:ind w:left="102" w:right="7170"/>
      </w:pPr>
      <w:r>
        <w:rPr>
          <w:rFonts w:cs="Verdana" w:hAnsi="Verdana" w:eastAsia="Verdana" w:ascii="Verdana"/>
          <w:b/>
          <w:color w:val="773189"/>
          <w:w w:val="101"/>
          <w:sz w:val="30"/>
          <w:szCs w:val="30"/>
        </w:rPr>
        <w:t>Application</w:t>
      </w:r>
      <w:r>
        <w:rPr>
          <w:rFonts w:cs="Verdana" w:hAnsi="Verdana" w:eastAsia="Verdana" w:ascii="Verdana"/>
          <w:color w:val="000000"/>
          <w:w w:val="100"/>
          <w:sz w:val="30"/>
          <w:szCs w:val="30"/>
        </w:rPr>
      </w:r>
    </w:p>
    <w:p>
      <w:pPr>
        <w:rPr>
          <w:rFonts w:cs="Verdana" w:hAnsi="Verdana" w:eastAsia="Verdana" w:ascii="Verdana"/>
          <w:sz w:val="24"/>
          <w:szCs w:val="24"/>
        </w:rPr>
        <w:jc w:val="both"/>
        <w:spacing w:before="63"/>
        <w:ind w:left="102" w:right="4638"/>
      </w:pPr>
      <w:r>
        <w:rPr>
          <w:rFonts w:cs="Verdana" w:hAnsi="Verdana" w:eastAsia="Verdana" w:ascii="Verdana"/>
          <w:sz w:val="24"/>
          <w:szCs w:val="24"/>
        </w:rPr>
        <w:t>Interested contractors are invited to: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4"/>
          <w:szCs w:val="24"/>
        </w:rPr>
        <w:jc w:val="both"/>
        <w:spacing w:lineRule="auto" w:line="263"/>
        <w:ind w:left="823" w:right="89" w:hanging="353"/>
      </w:pPr>
      <w:r>
        <w:rPr>
          <w:rFonts w:cs="Verdana" w:hAnsi="Verdana" w:eastAsia="Verdana" w:ascii="Verdana"/>
          <w:sz w:val="24"/>
          <w:szCs w:val="24"/>
        </w:rPr>
        <w:t>1. Write  a  brief  letter  of  motivation,  alongside an annex  of relevant</w:t>
      </w:r>
      <w:r>
        <w:rPr>
          <w:rFonts w:cs="Verdana" w:hAnsi="Verdana" w:eastAsia="Verdana" w:ascii="Verdana"/>
          <w:sz w:val="24"/>
          <w:szCs w:val="24"/>
        </w:rPr>
        <w:t> experience   and   publications   (no   than   four   pages   in   total),</w:t>
      </w:r>
      <w:r>
        <w:rPr>
          <w:rFonts w:cs="Verdana" w:hAnsi="Verdana" w:eastAsia="Verdana" w:ascii="Verdana"/>
          <w:sz w:val="24"/>
          <w:szCs w:val="24"/>
        </w:rPr>
        <w:t> demonstrating: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tabs>
          <w:tab w:pos="1180" w:val="left"/>
        </w:tabs>
        <w:jc w:val="both"/>
        <w:spacing w:lineRule="auto" w:line="259"/>
        <w:ind w:left="1191" w:right="84" w:hanging="368"/>
      </w:pPr>
      <w:r>
        <w:rPr>
          <w:rFonts w:cs="Verdana" w:hAnsi="Verdana" w:eastAsia="Verdana" w:ascii="Verdana"/>
          <w:sz w:val="24"/>
          <w:szCs w:val="24"/>
        </w:rPr>
        <w:t>•</w:t>
        <w:tab/>
      </w:r>
      <w:r>
        <w:rPr>
          <w:rFonts w:cs="Verdana" w:hAnsi="Verdana" w:eastAsia="Verdana" w:ascii="Verdana"/>
          <w:sz w:val="24"/>
          <w:szCs w:val="24"/>
        </w:rPr>
      </w:r>
      <w:r>
        <w:rPr>
          <w:rFonts w:cs="Verdana" w:hAnsi="Verdana" w:eastAsia="Verdana" w:ascii="Verdana"/>
          <w:sz w:val="24"/>
          <w:szCs w:val="24"/>
        </w:rPr>
        <w:t>experience of each member of the research team in undertaking</w:t>
      </w:r>
      <w:r>
        <w:rPr>
          <w:rFonts w:cs="Verdana" w:hAnsi="Verdana" w:eastAsia="Verdana" w:ascii="Verdana"/>
          <w:sz w:val="24"/>
          <w:szCs w:val="24"/>
        </w:rPr>
        <w:t> research   in   the   field   of   drug   policy,   prevention   or   early</w:t>
      </w:r>
      <w:r>
        <w:rPr>
          <w:rFonts w:cs="Verdana" w:hAnsi="Verdana" w:eastAsia="Verdana" w:ascii="Verdana"/>
          <w:sz w:val="24"/>
          <w:szCs w:val="24"/>
        </w:rPr>
        <w:t> intervention, or any other areas  related to the work  under this</w:t>
      </w:r>
      <w:r>
        <w:rPr>
          <w:rFonts w:cs="Verdana" w:hAnsi="Verdana" w:eastAsia="Verdana" w:ascii="Verdana"/>
          <w:sz w:val="24"/>
          <w:szCs w:val="24"/>
        </w:rPr>
        <w:t> tender;</w:t>
      </w:r>
    </w:p>
    <w:p>
      <w:pPr>
        <w:rPr>
          <w:rFonts w:cs="Verdana" w:hAnsi="Verdana" w:eastAsia="Verdana" w:ascii="Verdana"/>
          <w:sz w:val="24"/>
          <w:szCs w:val="24"/>
        </w:rPr>
        <w:tabs>
          <w:tab w:pos="1180" w:val="left"/>
        </w:tabs>
        <w:jc w:val="both"/>
        <w:spacing w:before="5" w:lineRule="auto" w:line="250"/>
        <w:ind w:left="1191" w:right="94" w:hanging="368"/>
      </w:pPr>
      <w:r>
        <w:rPr>
          <w:rFonts w:cs="Verdana" w:hAnsi="Verdana" w:eastAsia="Verdana" w:ascii="Verdana"/>
          <w:sz w:val="24"/>
          <w:szCs w:val="24"/>
        </w:rPr>
        <w:t>•</w:t>
        <w:tab/>
      </w:r>
      <w:r>
        <w:rPr>
          <w:rFonts w:cs="Verdana" w:hAnsi="Verdana" w:eastAsia="Verdana" w:ascii="Verdana"/>
          <w:sz w:val="24"/>
          <w:szCs w:val="24"/>
        </w:rPr>
      </w:r>
      <w:r>
        <w:rPr>
          <w:rFonts w:cs="Verdana" w:hAnsi="Verdana" w:eastAsia="Verdana" w:ascii="Verdana"/>
          <w:sz w:val="24"/>
          <w:szCs w:val="24"/>
        </w:rPr>
        <w:t>knowledge and understanding of the key issues relating to  drug</w:t>
      </w:r>
      <w:r>
        <w:rPr>
          <w:rFonts w:cs="Verdana" w:hAnsi="Verdana" w:eastAsia="Verdana" w:ascii="Verdana"/>
          <w:sz w:val="24"/>
          <w:szCs w:val="24"/>
        </w:rPr>
        <w:t> addiction and the illegal use of substances;</w:t>
      </w:r>
    </w:p>
    <w:p>
      <w:pPr>
        <w:rPr>
          <w:rFonts w:cs="Verdana" w:hAnsi="Verdana" w:eastAsia="Verdana" w:ascii="Verdana"/>
          <w:sz w:val="24"/>
          <w:szCs w:val="24"/>
        </w:rPr>
        <w:tabs>
          <w:tab w:pos="1180" w:val="left"/>
        </w:tabs>
        <w:jc w:val="both"/>
        <w:spacing w:lineRule="auto" w:line="250"/>
        <w:ind w:left="1191" w:right="110" w:hanging="368"/>
      </w:pPr>
      <w:r>
        <w:rPr>
          <w:rFonts w:cs="Verdana" w:hAnsi="Verdana" w:eastAsia="Verdana" w:ascii="Verdana"/>
          <w:w w:val="101"/>
          <w:sz w:val="22"/>
          <w:szCs w:val="22"/>
        </w:rPr>
        <w:t>•</w:t>
      </w:r>
      <w:r>
        <w:rPr>
          <w:rFonts w:cs="Verdana" w:hAnsi="Verdana" w:eastAsia="Verdana" w:ascii="Verdana"/>
          <w:w w:val="100"/>
          <w:sz w:val="22"/>
          <w:szCs w:val="22"/>
        </w:rPr>
        <w:tab/>
      </w:r>
      <w:r>
        <w:rPr>
          <w:rFonts w:cs="Verdana" w:hAnsi="Verdana" w:eastAsia="Verdana" w:ascii="Verdana"/>
          <w:w w:val="100"/>
          <w:sz w:val="22"/>
          <w:szCs w:val="22"/>
        </w:rPr>
      </w:r>
      <w:r>
        <w:rPr>
          <w:rFonts w:cs="Verdana" w:hAnsi="Verdana" w:eastAsia="Verdana" w:ascii="Verdana"/>
          <w:w w:val="100"/>
          <w:sz w:val="24"/>
          <w:szCs w:val="24"/>
        </w:rPr>
        <w:t>knowledge and understanding of the Northern Ireland policy and</w:t>
      </w:r>
      <w:r>
        <w:rPr>
          <w:rFonts w:cs="Verdana" w:hAnsi="Verdana" w:eastAsia="Verdana" w:ascii="Verdana"/>
          <w:w w:val="100"/>
          <w:sz w:val="24"/>
          <w:szCs w:val="24"/>
        </w:rPr>
        <w:t> service delivery context;</w:t>
      </w:r>
    </w:p>
    <w:p>
      <w:pPr>
        <w:rPr>
          <w:rFonts w:cs="Verdana" w:hAnsi="Verdana" w:eastAsia="Verdana" w:ascii="Verdana"/>
          <w:sz w:val="24"/>
          <w:szCs w:val="24"/>
        </w:rPr>
        <w:tabs>
          <w:tab w:pos="1180" w:val="left"/>
        </w:tabs>
        <w:jc w:val="both"/>
        <w:spacing w:before="16" w:lineRule="auto" w:line="263"/>
        <w:ind w:left="1191" w:right="71" w:hanging="368"/>
      </w:pPr>
      <w:r>
        <w:rPr>
          <w:rFonts w:cs="Verdana" w:hAnsi="Verdana" w:eastAsia="Verdana" w:ascii="Verdana"/>
          <w:sz w:val="24"/>
          <w:szCs w:val="24"/>
        </w:rPr>
        <w:t>•</w:t>
        <w:tab/>
      </w:r>
      <w:r>
        <w:rPr>
          <w:rFonts w:cs="Verdana" w:hAnsi="Verdana" w:eastAsia="Verdana" w:ascii="Verdana"/>
          <w:sz w:val="24"/>
          <w:szCs w:val="24"/>
        </w:rPr>
      </w:r>
      <w:r>
        <w:rPr>
          <w:rFonts w:cs="Verdana" w:hAnsi="Verdana" w:eastAsia="Verdana" w:ascii="Verdana"/>
          <w:sz w:val="24"/>
          <w:szCs w:val="24"/>
        </w:rPr>
        <w:t>how you  will conduct the  research, including how the  research</w:t>
      </w:r>
      <w:r>
        <w:rPr>
          <w:rFonts w:cs="Verdana" w:hAnsi="Verdana" w:eastAsia="Verdana" w:ascii="Verdana"/>
          <w:sz w:val="24"/>
          <w:szCs w:val="24"/>
        </w:rPr>
        <w:t> team will ensure the research adds value to pre-existing research;</w:t>
      </w:r>
    </w:p>
    <w:p>
      <w:pPr>
        <w:rPr>
          <w:rFonts w:cs="Verdana" w:hAnsi="Verdana" w:eastAsia="Verdana" w:ascii="Verdana"/>
          <w:sz w:val="24"/>
          <w:szCs w:val="24"/>
        </w:rPr>
        <w:jc w:val="both"/>
        <w:ind w:left="823" w:right="2943"/>
      </w:pPr>
      <w:r>
        <w:rPr>
          <w:rFonts w:cs="Verdana" w:hAnsi="Verdana" w:eastAsia="Verdana" w:ascii="Verdana"/>
          <w:sz w:val="24"/>
          <w:szCs w:val="24"/>
        </w:rPr>
        <w:t>•   </w:t>
      </w:r>
      <w:r>
        <w:rPr>
          <w:rFonts w:cs="Verdana" w:hAnsi="Verdana" w:eastAsia="Verdana" w:ascii="Verdana"/>
          <w:sz w:val="24"/>
          <w:szCs w:val="24"/>
        </w:rPr>
        <w:t>how you will ensure value for money; and</w:t>
      </w:r>
    </w:p>
    <w:p>
      <w:pPr>
        <w:rPr>
          <w:rFonts w:cs="Verdana" w:hAnsi="Verdana" w:eastAsia="Verdana" w:ascii="Verdana"/>
          <w:sz w:val="24"/>
          <w:szCs w:val="24"/>
        </w:rPr>
        <w:jc w:val="both"/>
        <w:spacing w:before="13"/>
        <w:ind w:left="823" w:right="2912"/>
      </w:pPr>
      <w:r>
        <w:rPr>
          <w:rFonts w:cs="Verdana" w:hAnsi="Verdana" w:eastAsia="Verdana" w:ascii="Verdana"/>
          <w:sz w:val="24"/>
          <w:szCs w:val="24"/>
        </w:rPr>
        <w:t>•   </w:t>
      </w:r>
      <w:r>
        <w:rPr>
          <w:rFonts w:cs="Verdana" w:hAnsi="Verdana" w:eastAsia="Verdana" w:ascii="Verdana"/>
          <w:sz w:val="24"/>
          <w:szCs w:val="24"/>
        </w:rPr>
        <w:t>how quality assurance will be guaranteed.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both"/>
        <w:spacing w:lineRule="auto" w:line="289"/>
        <w:ind w:left="823" w:right="87"/>
      </w:pPr>
      <w:r>
        <w:rPr>
          <w:rFonts w:cs="Verdana" w:hAnsi="Verdana" w:eastAsia="Verdana" w:ascii="Verdana"/>
          <w:sz w:val="24"/>
          <w:szCs w:val="24"/>
        </w:rPr>
        <w:t>It is expected that interested contractors will provide an outline of</w:t>
      </w:r>
      <w:r>
        <w:rPr>
          <w:rFonts w:cs="Verdana" w:hAnsi="Verdana" w:eastAsia="Verdana" w:ascii="Verdana"/>
          <w:sz w:val="24"/>
          <w:szCs w:val="24"/>
        </w:rPr>
        <w:t> the proposed approach to the project, including the methods they will</w:t>
      </w:r>
      <w:r>
        <w:rPr>
          <w:rFonts w:cs="Verdana" w:hAnsi="Verdana" w:eastAsia="Verdana" w:ascii="Verdana"/>
          <w:sz w:val="24"/>
          <w:szCs w:val="24"/>
        </w:rPr>
        <w:t> employ   for   ascertaining   and   ensuring  that   the   </w:t>
      </w:r>
      <w:r>
        <w:rPr>
          <w:rFonts w:cs="Verdana" w:hAnsi="Verdana" w:eastAsia="Verdana" w:ascii="Verdana"/>
          <w:sz w:val="24"/>
          <w:szCs w:val="24"/>
        </w:rPr>
        <w:t>Commission’s</w:t>
      </w:r>
      <w:r>
        <w:rPr>
          <w:rFonts w:cs="Verdana" w:hAnsi="Verdana" w:eastAsia="Verdana" w:ascii="Verdana"/>
          <w:sz w:val="24"/>
          <w:szCs w:val="24"/>
        </w:rPr>
        <w:t> </w:t>
      </w:r>
      <w:r>
        <w:rPr>
          <w:rFonts w:cs="Verdana" w:hAnsi="Verdana" w:eastAsia="Verdana" w:ascii="Verdana"/>
          <w:sz w:val="24"/>
          <w:szCs w:val="24"/>
        </w:rPr>
        <w:t>requirements and deadlines as outlined above are met.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both"/>
        <w:spacing w:lineRule="auto" w:line="260"/>
        <w:ind w:left="823" w:right="82" w:hanging="353"/>
        <w:sectPr>
          <w:pgMar w:header="0" w:footer="997" w:top="1580" w:bottom="280" w:left="1340" w:right="1300"/>
          <w:pgSz w:w="11920" w:h="16840"/>
        </w:sectPr>
      </w:pPr>
      <w:r>
        <w:rPr>
          <w:rFonts w:cs="Verdana" w:hAnsi="Verdana" w:eastAsia="Verdana" w:ascii="Verdana"/>
          <w:sz w:val="24"/>
          <w:szCs w:val="24"/>
        </w:rPr>
        <w:t>2. Quote a fixed price of no more  than £15,000 (inclusive of VAT) for</w:t>
      </w:r>
      <w:r>
        <w:rPr>
          <w:rFonts w:cs="Verdana" w:hAnsi="Verdana" w:eastAsia="Verdana" w:ascii="Verdana"/>
          <w:sz w:val="24"/>
          <w:szCs w:val="24"/>
        </w:rPr>
        <w:t> writing and presenting a final report  detailing a breakdown of how</w:t>
      </w:r>
      <w:r>
        <w:rPr>
          <w:rFonts w:cs="Verdana" w:hAnsi="Verdana" w:eastAsia="Verdana" w:ascii="Verdana"/>
          <w:sz w:val="24"/>
          <w:szCs w:val="24"/>
        </w:rPr>
        <w:t> many days will be allocated to specific tasks undertaken by research</w:t>
      </w:r>
      <w:r>
        <w:rPr>
          <w:rFonts w:cs="Verdana" w:hAnsi="Verdana" w:eastAsia="Verdana" w:ascii="Verdana"/>
          <w:sz w:val="24"/>
          <w:szCs w:val="24"/>
        </w:rPr>
        <w:t> team members, alongside a daily financial rate for each researcher.</w:t>
      </w:r>
      <w:r>
        <w:rPr>
          <w:rFonts w:cs="Verdana" w:hAnsi="Verdana" w:eastAsia="Verdana" w:ascii="Verdana"/>
          <w:sz w:val="24"/>
          <w:szCs w:val="24"/>
        </w:rPr>
        <w:t> The proposals will be assessed for value for money.</w:t>
      </w:r>
    </w:p>
    <w:p>
      <w:pPr>
        <w:rPr>
          <w:rFonts w:cs="Verdana" w:hAnsi="Verdana" w:eastAsia="Verdana" w:ascii="Verdana"/>
          <w:sz w:val="24"/>
          <w:szCs w:val="24"/>
        </w:rPr>
        <w:jc w:val="both"/>
        <w:spacing w:before="64" w:lineRule="auto" w:line="263"/>
        <w:ind w:left="823" w:right="67" w:hanging="353"/>
      </w:pPr>
      <w:r>
        <w:rPr>
          <w:rFonts w:cs="Verdana" w:hAnsi="Verdana" w:eastAsia="Verdana" w:ascii="Verdana"/>
          <w:sz w:val="24"/>
          <w:szCs w:val="24"/>
        </w:rPr>
        <w:t>3. Provide details of two referees who can comment on their ability to</w:t>
      </w:r>
      <w:r>
        <w:rPr>
          <w:rFonts w:cs="Verdana" w:hAnsi="Verdana" w:eastAsia="Verdana" w:ascii="Verdana"/>
          <w:sz w:val="24"/>
          <w:szCs w:val="24"/>
        </w:rPr>
        <w:t> deliver the type  of document described in the above  specification.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both"/>
        <w:spacing w:lineRule="auto" w:line="260"/>
        <w:ind w:left="823" w:right="68" w:hanging="353"/>
      </w:pPr>
      <w:r>
        <w:rPr>
          <w:rFonts w:cs="Verdana" w:hAnsi="Verdana" w:eastAsia="Verdana" w:ascii="Verdana"/>
          <w:sz w:val="24"/>
          <w:szCs w:val="24"/>
        </w:rPr>
        <w:t>4. The  award   of   the  contract  will  be  based   on:  </w:t>
      </w:r>
      <w:r>
        <w:rPr>
          <w:rFonts w:cs="Verdana" w:hAnsi="Verdana" w:eastAsia="Verdana" w:ascii="Verdana"/>
          <w:sz w:val="24"/>
          <w:szCs w:val="24"/>
        </w:rPr>
        <w:t>the  applicant’s</w:t>
      </w:r>
      <w:r>
        <w:rPr>
          <w:rFonts w:cs="Verdana" w:hAnsi="Verdana" w:eastAsia="Verdana" w:ascii="Verdana"/>
          <w:sz w:val="24"/>
          <w:szCs w:val="24"/>
        </w:rPr>
        <w:t> </w:t>
      </w:r>
      <w:r>
        <w:rPr>
          <w:rFonts w:cs="Verdana" w:hAnsi="Verdana" w:eastAsia="Verdana" w:ascii="Verdana"/>
          <w:sz w:val="24"/>
          <w:szCs w:val="24"/>
        </w:rPr>
        <w:t>competence to undertake the work, judged from the content of the</w:t>
      </w:r>
      <w:r>
        <w:rPr>
          <w:rFonts w:cs="Verdana" w:hAnsi="Verdana" w:eastAsia="Verdana" w:ascii="Verdana"/>
          <w:sz w:val="24"/>
          <w:szCs w:val="24"/>
        </w:rPr>
        <w:t> letter  of  motivation  and previous  experience;  how  effectively the</w:t>
      </w:r>
      <w:r>
        <w:rPr>
          <w:rFonts w:cs="Verdana" w:hAnsi="Verdana" w:eastAsia="Verdana" w:ascii="Verdana"/>
          <w:sz w:val="24"/>
          <w:szCs w:val="24"/>
        </w:rPr>
        <w:t> proposal  will  be  delivered  in  practice;  and  value  for  money.  The</w:t>
      </w:r>
      <w:r>
        <w:rPr>
          <w:rFonts w:cs="Verdana" w:hAnsi="Verdana" w:eastAsia="Verdana" w:ascii="Verdana"/>
          <w:sz w:val="24"/>
          <w:szCs w:val="24"/>
        </w:rPr>
        <w:t> Commission reserves the right not to accept the lowest quotation.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both"/>
        <w:ind w:left="102" w:right="5855"/>
      </w:pPr>
      <w:r>
        <w:rPr>
          <w:rFonts w:cs="Verdana" w:hAnsi="Verdana" w:eastAsia="Verdana" w:ascii="Verdana"/>
          <w:b/>
          <w:sz w:val="24"/>
          <w:szCs w:val="24"/>
        </w:rPr>
        <w:t>HUMAN RIGHTS POLICY</w:t>
      </w:r>
      <w:r>
        <w:rPr>
          <w:rFonts w:cs="Verdana" w:hAnsi="Verdana" w:eastAsia="Verdana" w:ascii="Verdana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Verdana" w:hAnsi="Verdana" w:eastAsia="Verdana" w:ascii="Verdana"/>
          <w:sz w:val="24"/>
          <w:szCs w:val="24"/>
        </w:rPr>
        <w:jc w:val="both"/>
        <w:spacing w:lineRule="auto" w:line="276"/>
        <w:ind w:left="102" w:right="140"/>
      </w:pPr>
      <w:r>
        <w:rPr>
          <w:rFonts w:cs="Verdana" w:hAnsi="Verdana" w:eastAsia="Verdana" w:ascii="Verdana"/>
          <w:sz w:val="24"/>
          <w:szCs w:val="24"/>
        </w:rPr>
        <w:t>Tenderers must confirm that their organisation has a human rights policy.</w:t>
      </w:r>
      <w:r>
        <w:rPr>
          <w:rFonts w:cs="Verdana" w:hAnsi="Verdana" w:eastAsia="Verdana" w:ascii="Verdana"/>
          <w:sz w:val="24"/>
          <w:szCs w:val="24"/>
        </w:rPr>
        <w:t> Those tenderers who have been selected will be asked to provide a copy</w:t>
      </w:r>
    </w:p>
    <w:p>
      <w:pPr>
        <w:rPr>
          <w:rFonts w:cs="Verdana" w:hAnsi="Verdana" w:eastAsia="Verdana" w:ascii="Verdana"/>
          <w:sz w:val="24"/>
          <w:szCs w:val="24"/>
        </w:rPr>
        <w:jc w:val="both"/>
        <w:spacing w:before="16"/>
        <w:ind w:left="102" w:right="714"/>
      </w:pPr>
      <w:r>
        <w:rPr>
          <w:rFonts w:cs="Verdana" w:hAnsi="Verdana" w:eastAsia="Verdana" w:ascii="Verdana"/>
          <w:sz w:val="24"/>
          <w:szCs w:val="24"/>
        </w:rPr>
        <w:t>of their organisational human rights policy prior to award of contract.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both"/>
        <w:ind w:left="102" w:right="7248"/>
      </w:pPr>
      <w:r>
        <w:rPr>
          <w:rFonts w:cs="Verdana" w:hAnsi="Verdana" w:eastAsia="Verdana" w:ascii="Verdana"/>
          <w:b/>
          <w:sz w:val="24"/>
          <w:szCs w:val="24"/>
        </w:rPr>
        <w:t>GDPR POLICY</w:t>
      </w:r>
      <w:r>
        <w:rPr>
          <w:rFonts w:cs="Verdana" w:hAnsi="Verdana" w:eastAsia="Verdana" w:ascii="Verdana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both"/>
        <w:spacing w:before="61" w:lineRule="auto" w:line="289"/>
        <w:ind w:left="102" w:right="172"/>
      </w:pPr>
      <w:r>
        <w:rPr>
          <w:rFonts w:cs="Verdana" w:hAnsi="Verdana" w:eastAsia="Verdana" w:ascii="Verdana"/>
          <w:sz w:val="24"/>
          <w:szCs w:val="24"/>
        </w:rPr>
        <w:t>Tenderers must confirm that their organisation has a GDPR policy. Those</w:t>
      </w:r>
      <w:r>
        <w:rPr>
          <w:rFonts w:cs="Verdana" w:hAnsi="Verdana" w:eastAsia="Verdana" w:ascii="Verdana"/>
          <w:sz w:val="24"/>
          <w:szCs w:val="24"/>
        </w:rPr>
        <w:t> tenderers who have been selected will be asked to provide a copy of their</w:t>
      </w:r>
      <w:r>
        <w:rPr>
          <w:rFonts w:cs="Verdana" w:hAnsi="Verdana" w:eastAsia="Verdana" w:ascii="Verdana"/>
          <w:sz w:val="24"/>
          <w:szCs w:val="24"/>
        </w:rPr>
        <w:t> organisational GDPR policy prior to award of contract.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lineRule="auto" w:line="289"/>
        <w:ind w:left="529" w:right="558" w:hanging="1"/>
      </w:pPr>
      <w:r>
        <w:rPr>
          <w:rFonts w:cs="Verdana" w:hAnsi="Verdana" w:eastAsia="Verdana" w:ascii="Verdana"/>
          <w:b/>
          <w:color w:val="773189"/>
          <w:sz w:val="24"/>
          <w:szCs w:val="24"/>
        </w:rPr>
        <w:t>Any questions about the project should be emailed to</w:t>
      </w:r>
      <w:r>
        <w:rPr>
          <w:rFonts w:cs="Verdana" w:hAnsi="Verdana" w:eastAsia="Verdana" w:ascii="Verdana"/>
          <w:b/>
          <w:color w:val="773189"/>
          <w:sz w:val="24"/>
          <w:szCs w:val="24"/>
        </w:rPr>
        <w:t> </w:t>
      </w:r>
      <w:r>
        <w:rPr>
          <w:rFonts w:cs="Verdana" w:hAnsi="Verdana" w:eastAsia="Verdana" w:ascii="Verdana"/>
          <w:b/>
          <w:color w:val="0000FF"/>
          <w:sz w:val="24"/>
          <w:szCs w:val="24"/>
        </w:rPr>
      </w:r>
      <w:hyperlink r:id="rId8"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R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h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y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an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n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o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n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.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B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l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y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t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h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e@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N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I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H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R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C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.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o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r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g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</w:rPr>
          <w:t> </w:t>
        </w:r>
        <w:r>
          <w:rPr>
            <w:rFonts w:cs="Verdana" w:hAnsi="Verdana" w:eastAsia="Verdana" w:ascii="Verdana"/>
            <w:b/>
            <w:color w:val="773189"/>
            <w:sz w:val="24"/>
            <w:szCs w:val="24"/>
          </w:rPr>
          <w:t>who will arrange for a prompt</w:t>
        </w:r>
      </w:hyperlink>
      <w:r>
        <w:rPr>
          <w:rFonts w:cs="Verdana" w:hAnsi="Verdana" w:eastAsia="Verdana" w:ascii="Verdana"/>
          <w:b/>
          <w:color w:val="773189"/>
          <w:sz w:val="24"/>
          <w:szCs w:val="24"/>
        </w:rPr>
        <w:t> response.</w:t>
      </w:r>
      <w:r>
        <w:rPr>
          <w:rFonts w:cs="Verdana" w:hAnsi="Verdana" w:eastAsia="Verdana" w:ascii="Verdana"/>
          <w:color w:val="0000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ind w:left="2768" w:right="2070"/>
      </w:pPr>
      <w:r>
        <w:rPr>
          <w:rFonts w:cs="Verdana" w:hAnsi="Verdana" w:eastAsia="Verdana" w:ascii="Verdana"/>
          <w:b/>
          <w:color w:val="22201F"/>
          <w:sz w:val="24"/>
          <w:szCs w:val="24"/>
        </w:rPr>
        <w:t>Please email your application to</w:t>
      </w:r>
      <w:r>
        <w:rPr>
          <w:rFonts w:cs="Verdana" w:hAnsi="Verdana" w:eastAsia="Verdana" w:ascii="Verdana"/>
          <w:color w:val="00000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lineRule="exact" w:line="280"/>
        <w:ind w:left="2612" w:right="1926"/>
      </w:pPr>
      <w:r>
        <w:rPr>
          <w:rFonts w:cs="Verdana" w:hAnsi="Verdana" w:eastAsia="Verdana" w:ascii="Verdana"/>
          <w:b/>
          <w:color w:val="0000FF"/>
          <w:position w:val="-1"/>
          <w:sz w:val="24"/>
          <w:szCs w:val="24"/>
        </w:rPr>
      </w:r>
      <w:hyperlink r:id="rId9"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  <w:t>J</w:t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  <w:t>ac</w:t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  <w:t>q</w:t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  <w:t>u</w:t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  <w:t>el</w:t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  <w:t>i</w:t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  <w:t>n</w:t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  <w:t>e.</w:t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  <w:t>M</w:t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  <w:t>c</w:t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  <w:t>C</w:t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  <w:t>l</w:t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  <w:t>i</w:t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  <w:t>n</w:t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  <w:t>t</w:t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  <w:t>o</w:t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  <w:t>c</w:t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  <w:t>k</w:t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  <w:t>@</w:t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  <w:t>N</w:t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  <w:t>I</w:t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  <w:t>H</w:t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  <w:t>R</w:t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  <w:t>C</w:t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  <w:t>.</w:t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  <w:t>o</w:t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  <w:t>r</w:t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position w:val="-1"/>
            <w:sz w:val="24"/>
            <w:szCs w:val="24"/>
            <w:u w:val="thick" w:color="0000FF"/>
          </w:rPr>
          <w:t>g</w:t>
        </w:r>
      </w:hyperlink>
      <w:r>
        <w:rPr>
          <w:rFonts w:cs="Verdana" w:hAnsi="Verdana" w:eastAsia="Verdana" w:ascii="Verdana"/>
          <w:b/>
          <w:color w:val="0000FF"/>
          <w:position w:val="-1"/>
          <w:sz w:val="24"/>
          <w:szCs w:val="24"/>
        </w:rPr>
      </w:r>
      <w:r>
        <w:rPr>
          <w:rFonts w:cs="Verdana" w:hAnsi="Verdana" w:eastAsia="Verdana" w:ascii="Verdana"/>
          <w:color w:val="000000"/>
          <w:position w:val="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lineRule="exact" w:line="280"/>
        <w:ind w:left="2339" w:right="1615"/>
      </w:pPr>
      <w:r>
        <w:rPr>
          <w:rFonts w:cs="Verdana" w:hAnsi="Verdana" w:eastAsia="Verdana" w:ascii="Verdana"/>
          <w:b/>
          <w:position w:val="-1"/>
          <w:sz w:val="24"/>
          <w:szCs w:val="24"/>
        </w:rPr>
        <w:t>by 12pm on Tuesday 8 February 2022.</w:t>
      </w:r>
      <w:r>
        <w:rPr>
          <w:rFonts w:cs="Verdana" w:hAnsi="Verdana" w:eastAsia="Verdana" w:ascii="Verdana"/>
          <w:position w:val="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lineRule="exact" w:line="280"/>
        <w:ind w:left="1025" w:right="310"/>
      </w:pPr>
      <w:r>
        <w:rPr>
          <w:rFonts w:cs="Verdana" w:hAnsi="Verdana" w:eastAsia="Verdana" w:ascii="Verdana"/>
          <w:b/>
          <w:color w:val="22201F"/>
          <w:position w:val="-1"/>
          <w:sz w:val="24"/>
          <w:szCs w:val="24"/>
        </w:rPr>
        <w:t>Please note that </w:t>
      </w:r>
      <w:r>
        <w:rPr>
          <w:rFonts w:cs="Verdana" w:hAnsi="Verdana" w:eastAsia="Verdana" w:ascii="Verdana"/>
          <w:b/>
          <w:color w:val="000000"/>
          <w:position w:val="-1"/>
          <w:sz w:val="24"/>
          <w:szCs w:val="24"/>
        </w:rPr>
        <w:t>applications must be emailed as staff are</w:t>
      </w:r>
      <w:r>
        <w:rPr>
          <w:rFonts w:cs="Verdana" w:hAnsi="Verdana" w:eastAsia="Verdana" w:ascii="Verdana"/>
          <w:color w:val="000000"/>
          <w:position w:val="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before="13"/>
        <w:ind w:left="2451" w:right="1739"/>
      </w:pPr>
      <w:r>
        <w:rPr>
          <w:rFonts w:cs="Verdana" w:hAnsi="Verdana" w:eastAsia="Verdana" w:ascii="Verdana"/>
          <w:b/>
          <w:sz w:val="24"/>
          <w:szCs w:val="24"/>
        </w:rPr>
        <w:t>working from home due to Covid-19.</w:t>
      </w:r>
      <w:r>
        <w:rPr>
          <w:rFonts w:cs="Verdana" w:hAnsi="Verdana" w:eastAsia="Verdana" w:ascii="Verdana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ind w:left="1025" w:right="1043"/>
      </w:pPr>
      <w:r>
        <w:rPr>
          <w:rFonts w:cs="Verdana" w:hAnsi="Verdana" w:eastAsia="Verdana" w:ascii="Verdana"/>
          <w:color w:val="22201F"/>
          <w:sz w:val="24"/>
          <w:szCs w:val="24"/>
        </w:rPr>
      </w:r>
      <w:hyperlink r:id="rId10"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  <w:t>w</w:t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  <w:t>w</w:t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  <w:t>w</w:t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  <w:t>.</w:t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  <w:t>n</w:t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  <w:t>i</w:t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  <w:t>h</w:t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  <w:t>r</w:t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  <w:t>c</w:t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  <w:t>.</w:t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  <w:t>o</w:t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  <w:t>r</w:t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  <w:t>g</w:t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</w:r>
        <w:r>
          <w:rPr>
            <w:rFonts w:cs="Verdana" w:hAnsi="Verdana" w:eastAsia="Verdana" w:ascii="Verdana"/>
            <w:color w:val="22201F"/>
            <w:sz w:val="24"/>
            <w:szCs w:val="24"/>
          </w:rPr>
        </w:r>
        <w:r>
          <w:rPr>
            <w:rFonts w:cs="Verdana" w:hAnsi="Verdana" w:eastAsia="Verdana" w:ascii="Verdana"/>
            <w:color w:val="22201F"/>
            <w:sz w:val="24"/>
            <w:szCs w:val="24"/>
          </w:rPr>
          <w:t>  |  </w:t>
        </w:r>
      </w:hyperlink>
      <w:hyperlink r:id="rId11"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  <w:t>i</w:t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  <w:t>n</w:t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  <w:t>f</w:t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  <w:t>o</w:t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  <w:t>@n</w:t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  <w:t>i</w:t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  <w:t>h</w:t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  <w:t>r</w:t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  <w:t>c</w:t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  <w:t>.</w:t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  <w:t>o</w:t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  <w:t>r</w:t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  <w:t>g</w:t>
        </w:r>
        <w:r>
          <w:rPr>
            <w:rFonts w:cs="Verdana" w:hAnsi="Verdana" w:eastAsia="Verdana" w:ascii="Verdana"/>
            <w:color w:val="22201F"/>
            <w:sz w:val="24"/>
            <w:szCs w:val="24"/>
            <w:u w:val="single" w:color="22201F"/>
          </w:rPr>
        </w:r>
        <w:r>
          <w:rPr>
            <w:rFonts w:cs="Verdana" w:hAnsi="Verdana" w:eastAsia="Verdana" w:ascii="Verdana"/>
            <w:color w:val="22201F"/>
            <w:sz w:val="24"/>
            <w:szCs w:val="24"/>
          </w:rPr>
        </w:r>
        <w:r>
          <w:rPr>
            <w:rFonts w:cs="Verdana" w:hAnsi="Verdana" w:eastAsia="Verdana" w:ascii="Verdana"/>
            <w:color w:val="22201F"/>
            <w:sz w:val="24"/>
            <w:szCs w:val="24"/>
          </w:rPr>
          <w:t>  |  +44 (0)28 9024 3987</w:t>
        </w:r>
      </w:hyperlink>
      <w:r>
        <w:rPr>
          <w:rFonts w:cs="Verdana" w:hAnsi="Verdana" w:eastAsia="Verdana" w:ascii="Verdana"/>
          <w:color w:val="00000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both"/>
        <w:spacing w:before="44"/>
        <w:ind w:left="150" w:right="137"/>
      </w:pPr>
      <w:r>
        <w:rPr>
          <w:rFonts w:cs="Verdana" w:hAnsi="Verdana" w:eastAsia="Verdana" w:ascii="Verdana"/>
          <w:sz w:val="24"/>
          <w:szCs w:val="24"/>
        </w:rPr>
        <w:t>Northern Ireland Human Rights Commission, 4th Floor, Alfred House, 19-</w:t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before="60"/>
        <w:ind w:left="2499" w:right="2536"/>
        <w:sectPr>
          <w:pgMar w:header="0" w:footer="997" w:top="1380" w:bottom="280" w:left="1340" w:right="1320"/>
          <w:pgSz w:w="11920" w:h="16840"/>
        </w:sectPr>
      </w:pPr>
      <w:r>
        <w:rPr>
          <w:rFonts w:cs="Verdana" w:hAnsi="Verdana" w:eastAsia="Verdana" w:ascii="Verdana"/>
          <w:sz w:val="24"/>
          <w:szCs w:val="24"/>
        </w:rPr>
        <w:t>21 Alfred Street, Belfast, BT2 8ED</w:t>
      </w:r>
    </w:p>
    <w:p>
      <w:pPr>
        <w:rPr>
          <w:rFonts w:cs="Verdana" w:hAnsi="Verdana" w:eastAsia="Verdana" w:ascii="Verdana"/>
          <w:sz w:val="30"/>
          <w:szCs w:val="30"/>
        </w:rPr>
        <w:jc w:val="left"/>
        <w:spacing w:before="52"/>
        <w:ind w:left="102"/>
      </w:pPr>
      <w:r>
        <w:rPr>
          <w:rFonts w:cs="Verdana" w:hAnsi="Verdana" w:eastAsia="Verdana" w:ascii="Verdana"/>
          <w:b/>
          <w:color w:val="773189"/>
          <w:w w:val="101"/>
          <w:sz w:val="30"/>
          <w:szCs w:val="30"/>
        </w:rPr>
        <w:t>Appendix</w:t>
      </w:r>
      <w:r>
        <w:rPr>
          <w:rFonts w:cs="Verdana" w:hAnsi="Verdana" w:eastAsia="Verdana" w:ascii="Verdana"/>
          <w:b/>
          <w:color w:val="773189"/>
          <w:w w:val="100"/>
          <w:sz w:val="30"/>
          <w:szCs w:val="30"/>
        </w:rPr>
        <w:t> </w:t>
      </w:r>
      <w:r>
        <w:rPr>
          <w:rFonts w:cs="Verdana" w:hAnsi="Verdana" w:eastAsia="Verdana" w:ascii="Verdana"/>
          <w:b/>
          <w:color w:val="773189"/>
          <w:w w:val="101"/>
          <w:sz w:val="30"/>
          <w:szCs w:val="30"/>
        </w:rPr>
        <w:t>1</w:t>
      </w:r>
      <w:r>
        <w:rPr>
          <w:rFonts w:cs="Verdana" w:hAnsi="Verdana" w:eastAsia="Verdana" w:ascii="Verdana"/>
          <w:color w:val="000000"/>
          <w:w w:val="100"/>
          <w:sz w:val="30"/>
          <w:szCs w:val="3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30"/>
          <w:szCs w:val="30"/>
        </w:rPr>
        <w:jc w:val="left"/>
        <w:ind w:left="102"/>
      </w:pPr>
      <w:r>
        <w:rPr>
          <w:rFonts w:cs="Verdana" w:hAnsi="Verdana" w:eastAsia="Verdana" w:ascii="Verdana"/>
          <w:b/>
          <w:color w:val="773189"/>
          <w:w w:val="101"/>
          <w:sz w:val="30"/>
          <w:szCs w:val="30"/>
        </w:rPr>
        <w:t>International</w:t>
      </w:r>
      <w:r>
        <w:rPr>
          <w:rFonts w:cs="Verdana" w:hAnsi="Verdana" w:eastAsia="Verdana" w:ascii="Verdana"/>
          <w:b/>
          <w:color w:val="773189"/>
          <w:w w:val="100"/>
          <w:sz w:val="30"/>
          <w:szCs w:val="30"/>
        </w:rPr>
        <w:t> </w:t>
      </w:r>
      <w:r>
        <w:rPr>
          <w:rFonts w:cs="Verdana" w:hAnsi="Verdana" w:eastAsia="Verdana" w:ascii="Verdana"/>
          <w:b/>
          <w:color w:val="773189"/>
          <w:w w:val="101"/>
          <w:sz w:val="30"/>
          <w:szCs w:val="30"/>
        </w:rPr>
        <w:t>Human</w:t>
      </w:r>
      <w:r>
        <w:rPr>
          <w:rFonts w:cs="Verdana" w:hAnsi="Verdana" w:eastAsia="Verdana" w:ascii="Verdana"/>
          <w:b/>
          <w:color w:val="773189"/>
          <w:w w:val="100"/>
          <w:sz w:val="30"/>
          <w:szCs w:val="30"/>
        </w:rPr>
        <w:t> </w:t>
      </w:r>
      <w:r>
        <w:rPr>
          <w:rFonts w:cs="Verdana" w:hAnsi="Verdana" w:eastAsia="Verdana" w:ascii="Verdana"/>
          <w:b/>
          <w:color w:val="773189"/>
          <w:w w:val="101"/>
          <w:sz w:val="30"/>
          <w:szCs w:val="30"/>
        </w:rPr>
        <w:t>Rights</w:t>
      </w:r>
      <w:r>
        <w:rPr>
          <w:rFonts w:cs="Verdana" w:hAnsi="Verdana" w:eastAsia="Verdana" w:ascii="Verdana"/>
          <w:b/>
          <w:color w:val="773189"/>
          <w:w w:val="100"/>
          <w:sz w:val="30"/>
          <w:szCs w:val="30"/>
        </w:rPr>
        <w:t> </w:t>
      </w:r>
      <w:r>
        <w:rPr>
          <w:rFonts w:cs="Verdana" w:hAnsi="Verdana" w:eastAsia="Verdana" w:ascii="Verdana"/>
          <w:b/>
          <w:color w:val="773189"/>
          <w:w w:val="101"/>
          <w:sz w:val="30"/>
          <w:szCs w:val="30"/>
        </w:rPr>
        <w:t>Framework</w:t>
      </w:r>
      <w:r>
        <w:rPr>
          <w:rFonts w:cs="Verdana" w:hAnsi="Verdana" w:eastAsia="Verdana" w:ascii="Verdana"/>
          <w:color w:val="000000"/>
          <w:w w:val="100"/>
          <w:sz w:val="30"/>
          <w:szCs w:val="3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79" w:lineRule="auto" w:line="289"/>
        <w:ind w:left="102" w:right="280"/>
      </w:pPr>
      <w:r>
        <w:rPr>
          <w:rFonts w:cs="Verdana" w:hAnsi="Verdana" w:eastAsia="Verdana" w:ascii="Verdana"/>
          <w:sz w:val="24"/>
          <w:szCs w:val="24"/>
        </w:rPr>
        <w:t>Drug dependency and addiction potentially engages the following human</w:t>
      </w:r>
      <w:r>
        <w:rPr>
          <w:rFonts w:cs="Verdana" w:hAnsi="Verdana" w:eastAsia="Verdana" w:ascii="Verdana"/>
          <w:sz w:val="24"/>
          <w:szCs w:val="24"/>
        </w:rPr>
        <w:t> rights standards: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16"/>
          <w:szCs w:val="16"/>
        </w:rPr>
        <w:tabs>
          <w:tab w:pos="880" w:val="left"/>
        </w:tabs>
        <w:jc w:val="left"/>
        <w:spacing w:lineRule="auto" w:line="289"/>
        <w:ind w:left="887" w:right="179" w:hanging="400"/>
      </w:pPr>
      <w:r>
        <w:rPr>
          <w:rFonts w:cs="Verdana" w:hAnsi="Verdana" w:eastAsia="Verdana" w:ascii="Verdana"/>
          <w:sz w:val="24"/>
          <w:szCs w:val="24"/>
        </w:rPr>
        <w:t>•</w:t>
        <w:tab/>
      </w:r>
      <w:r>
        <w:rPr>
          <w:rFonts w:cs="Verdana" w:hAnsi="Verdana" w:eastAsia="Verdana" w:ascii="Verdana"/>
          <w:sz w:val="24"/>
          <w:szCs w:val="24"/>
        </w:rPr>
      </w:r>
      <w:r>
        <w:rPr>
          <w:rFonts w:cs="Verdana" w:hAnsi="Verdana" w:eastAsia="Verdana" w:ascii="Verdana"/>
          <w:sz w:val="24"/>
          <w:szCs w:val="24"/>
        </w:rPr>
        <w:t>Right to life (Article 2 ECHR; Article 6 UN ICCPR; Article 6 UN CRC;</w:t>
      </w:r>
      <w:r>
        <w:rPr>
          <w:rFonts w:cs="Verdana" w:hAnsi="Verdana" w:eastAsia="Verdana" w:ascii="Verdana"/>
          <w:sz w:val="24"/>
          <w:szCs w:val="24"/>
        </w:rPr>
        <w:t> Article 10 UN CRPD);</w:t>
      </w:r>
      <w:r>
        <w:rPr>
          <w:rFonts w:cs="Verdana" w:hAnsi="Verdana" w:eastAsia="Verdana" w:ascii="Verdana"/>
          <w:position w:val="8"/>
          <w:sz w:val="16"/>
          <w:szCs w:val="16"/>
        </w:rPr>
        <w:t>14</w:t>
      </w:r>
      <w:r>
        <w:rPr>
          <w:rFonts w:cs="Verdana" w:hAnsi="Verdana" w:eastAsia="Verdana" w:ascii="Verdana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exact" w:line="280"/>
        <w:ind w:left="487"/>
      </w:pPr>
      <w:r>
        <w:rPr>
          <w:rFonts w:cs="Verdana" w:hAnsi="Verdana" w:eastAsia="Verdana" w:ascii="Verdana"/>
          <w:position w:val="-1"/>
          <w:sz w:val="24"/>
          <w:szCs w:val="24"/>
        </w:rPr>
        <w:t>•   </w:t>
      </w:r>
      <w:r>
        <w:rPr>
          <w:rFonts w:cs="Verdana" w:hAnsi="Verdana" w:eastAsia="Verdana" w:ascii="Verdana"/>
          <w:position w:val="-1"/>
          <w:sz w:val="24"/>
          <w:szCs w:val="24"/>
        </w:rPr>
        <w:t>Freedom from torture (Article 3 ECHR; Article 7 UN ICCPR; Article</w:t>
      </w:r>
      <w:r>
        <w:rPr>
          <w:rFonts w:cs="Verdana" w:hAnsi="Verdana" w:eastAsia="Verdana" w:ascii="Verdana"/>
          <w:position w:val="0"/>
          <w:sz w:val="24"/>
          <w:szCs w:val="24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61"/>
        <w:ind w:left="887"/>
      </w:pPr>
      <w:r>
        <w:rPr>
          <w:rFonts w:cs="Verdana" w:hAnsi="Verdana" w:eastAsia="Verdana" w:ascii="Verdana"/>
          <w:sz w:val="24"/>
          <w:szCs w:val="24"/>
        </w:rPr>
        <w:t>37(a) UN CRC; Article 15 UN CRPD);</w:t>
      </w:r>
      <w:r>
        <w:rPr>
          <w:rFonts w:cs="Verdana" w:hAnsi="Verdana" w:eastAsia="Verdana" w:ascii="Verdana"/>
          <w:position w:val="8"/>
          <w:sz w:val="16"/>
          <w:szCs w:val="16"/>
        </w:rPr>
        <w:t>15</w:t>
      </w:r>
      <w:r>
        <w:rPr>
          <w:rFonts w:cs="Verdana" w:hAnsi="Verdana" w:eastAsia="Verdana" w:ascii="Verdana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24"/>
          <w:szCs w:val="24"/>
        </w:rPr>
        <w:tabs>
          <w:tab w:pos="880" w:val="left"/>
        </w:tabs>
        <w:jc w:val="left"/>
        <w:spacing w:before="60" w:lineRule="auto" w:line="289"/>
        <w:ind w:left="887" w:right="195" w:hanging="400"/>
      </w:pPr>
      <w:r>
        <w:rPr>
          <w:rFonts w:cs="Verdana" w:hAnsi="Verdana" w:eastAsia="Verdana" w:ascii="Verdana"/>
          <w:sz w:val="24"/>
          <w:szCs w:val="24"/>
        </w:rPr>
        <w:t>•</w:t>
        <w:tab/>
      </w:r>
      <w:r>
        <w:rPr>
          <w:rFonts w:cs="Verdana" w:hAnsi="Verdana" w:eastAsia="Verdana" w:ascii="Verdana"/>
          <w:sz w:val="24"/>
          <w:szCs w:val="24"/>
        </w:rPr>
      </w:r>
      <w:r>
        <w:rPr>
          <w:rFonts w:cs="Verdana" w:hAnsi="Verdana" w:eastAsia="Verdana" w:ascii="Verdana"/>
          <w:sz w:val="24"/>
          <w:szCs w:val="24"/>
        </w:rPr>
        <w:t>Liberty and security of person (Article 5 ECHR; Article 9 UN ICCPR;</w:t>
      </w:r>
      <w:r>
        <w:rPr>
          <w:rFonts w:cs="Verdana" w:hAnsi="Verdana" w:eastAsia="Verdana" w:ascii="Verdana"/>
          <w:sz w:val="24"/>
          <w:szCs w:val="24"/>
        </w:rPr>
        <w:t> Article 37(b) UN CRC; Article 14 UN CRPD);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487"/>
      </w:pPr>
      <w:r>
        <w:rPr>
          <w:rFonts w:cs="Verdana" w:hAnsi="Verdana" w:eastAsia="Verdana" w:ascii="Verdana"/>
          <w:sz w:val="24"/>
          <w:szCs w:val="24"/>
        </w:rPr>
        <w:t>•   </w:t>
      </w:r>
      <w:r>
        <w:rPr>
          <w:rFonts w:cs="Verdana" w:hAnsi="Verdana" w:eastAsia="Verdana" w:ascii="Verdana"/>
          <w:sz w:val="24"/>
          <w:szCs w:val="24"/>
        </w:rPr>
        <w:t>Freedom from slavery and forced labour (Article 4 ECHR; Article 8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60"/>
        <w:ind w:left="887"/>
      </w:pPr>
      <w:r>
        <w:rPr>
          <w:rFonts w:cs="Verdana" w:hAnsi="Verdana" w:eastAsia="Verdana" w:ascii="Verdana"/>
          <w:sz w:val="24"/>
          <w:szCs w:val="24"/>
        </w:rPr>
        <w:t>UN ICCPR; Article 27(2) UN CRPD);</w:t>
      </w:r>
    </w:p>
    <w:p>
      <w:pPr>
        <w:rPr>
          <w:rFonts w:cs="Verdana" w:hAnsi="Verdana" w:eastAsia="Verdana" w:ascii="Verdana"/>
          <w:sz w:val="24"/>
          <w:szCs w:val="24"/>
        </w:rPr>
        <w:tabs>
          <w:tab w:pos="880" w:val="left"/>
        </w:tabs>
        <w:jc w:val="left"/>
        <w:spacing w:before="44" w:lineRule="auto" w:line="289"/>
        <w:ind w:left="887" w:right="207" w:hanging="400"/>
      </w:pPr>
      <w:r>
        <w:rPr>
          <w:rFonts w:cs="Verdana" w:hAnsi="Verdana" w:eastAsia="Verdana" w:ascii="Verdana"/>
          <w:sz w:val="24"/>
          <w:szCs w:val="24"/>
        </w:rPr>
        <w:t>•</w:t>
        <w:tab/>
      </w:r>
      <w:r>
        <w:rPr>
          <w:rFonts w:cs="Verdana" w:hAnsi="Verdana" w:eastAsia="Verdana" w:ascii="Verdana"/>
          <w:sz w:val="24"/>
          <w:szCs w:val="24"/>
        </w:rPr>
      </w:r>
      <w:r>
        <w:rPr>
          <w:rFonts w:cs="Verdana" w:hAnsi="Verdana" w:eastAsia="Verdana" w:ascii="Verdana"/>
          <w:sz w:val="24"/>
          <w:szCs w:val="24"/>
        </w:rPr>
        <w:t>Right to respect for private and family life </w:t>
      </w:r>
      <w:r>
        <w:rPr>
          <w:rFonts w:cs="Verdana" w:hAnsi="Verdana" w:eastAsia="Verdana" w:ascii="Verdana"/>
          <w:sz w:val="24"/>
          <w:szCs w:val="24"/>
        </w:rPr>
        <w:t>– </w:t>
      </w:r>
      <w:r>
        <w:rPr>
          <w:rFonts w:cs="Verdana" w:hAnsi="Verdana" w:eastAsia="Verdana" w:ascii="Verdana"/>
          <w:sz w:val="24"/>
          <w:szCs w:val="24"/>
        </w:rPr>
        <w:t>particularly removal of</w:t>
      </w:r>
      <w:r>
        <w:rPr>
          <w:rFonts w:cs="Verdana" w:hAnsi="Verdana" w:eastAsia="Verdana" w:ascii="Verdana"/>
          <w:sz w:val="24"/>
          <w:szCs w:val="24"/>
        </w:rPr>
        <w:t> children from drug-using parents</w:t>
      </w:r>
      <w:r>
        <w:rPr>
          <w:rFonts w:cs="Verdana" w:hAnsi="Verdana" w:eastAsia="Verdana" w:ascii="Verdana"/>
          <w:position w:val="8"/>
          <w:sz w:val="16"/>
          <w:szCs w:val="16"/>
        </w:rPr>
        <w:t>16 </w:t>
      </w:r>
      <w:r>
        <w:rPr>
          <w:rFonts w:cs="Verdana" w:hAnsi="Verdana" w:eastAsia="Verdana" w:ascii="Verdana"/>
          <w:position w:val="0"/>
          <w:sz w:val="24"/>
          <w:szCs w:val="24"/>
        </w:rPr>
        <w:t>and access to medical records</w:t>
      </w:r>
      <w:r>
        <w:rPr>
          <w:rFonts w:cs="Verdana" w:hAnsi="Verdana" w:eastAsia="Verdana" w:ascii="Verdana"/>
          <w:position w:val="0"/>
          <w:sz w:val="24"/>
          <w:szCs w:val="24"/>
        </w:rPr>
        <w:t> on drug use</w:t>
      </w:r>
      <w:r>
        <w:rPr>
          <w:rFonts w:cs="Verdana" w:hAnsi="Verdana" w:eastAsia="Verdana" w:ascii="Verdana"/>
          <w:position w:val="8"/>
          <w:sz w:val="16"/>
          <w:szCs w:val="16"/>
        </w:rPr>
        <w:t>17 </w:t>
      </w:r>
      <w:r>
        <w:rPr>
          <w:rFonts w:cs="Verdana" w:hAnsi="Verdana" w:eastAsia="Verdana" w:ascii="Verdana"/>
          <w:position w:val="0"/>
          <w:sz w:val="24"/>
          <w:szCs w:val="24"/>
        </w:rPr>
        <w:t>(Article 8 ECHR; Article 17 UN ICCPR; Article 16 UN</w:t>
      </w:r>
      <w:r>
        <w:rPr>
          <w:rFonts w:cs="Verdana" w:hAnsi="Verdana" w:eastAsia="Verdana" w:ascii="Verdana"/>
          <w:position w:val="0"/>
          <w:sz w:val="24"/>
          <w:szCs w:val="24"/>
        </w:rPr>
        <w:t> CRC; Articles 22 and 23 UN CRPD);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487"/>
      </w:pPr>
      <w:r>
        <w:rPr>
          <w:rFonts w:cs="Verdana" w:hAnsi="Verdana" w:eastAsia="Verdana" w:ascii="Verdana"/>
          <w:sz w:val="24"/>
          <w:szCs w:val="24"/>
        </w:rPr>
        <w:t>•   </w:t>
      </w:r>
      <w:r>
        <w:rPr>
          <w:rFonts w:cs="Verdana" w:hAnsi="Verdana" w:eastAsia="Verdana" w:ascii="Verdana"/>
          <w:sz w:val="24"/>
          <w:szCs w:val="24"/>
        </w:rPr>
        <w:t>Right to highest attainable standard of physical and mental health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60"/>
        <w:ind w:left="887"/>
      </w:pPr>
      <w:r>
        <w:rPr>
          <w:rFonts w:cs="Verdana" w:hAnsi="Verdana" w:eastAsia="Verdana" w:ascii="Verdana"/>
          <w:sz w:val="24"/>
          <w:szCs w:val="24"/>
        </w:rPr>
        <w:t>(Article 12 UN ICESCR; Article 24 UN CRC; Article 25 UN CRPD);</w:t>
      </w:r>
    </w:p>
    <w:p>
      <w:pPr>
        <w:rPr>
          <w:rFonts w:cs="Verdana" w:hAnsi="Verdana" w:eastAsia="Verdana" w:ascii="Verdana"/>
          <w:sz w:val="24"/>
          <w:szCs w:val="24"/>
        </w:rPr>
        <w:tabs>
          <w:tab w:pos="880" w:val="left"/>
        </w:tabs>
        <w:jc w:val="left"/>
        <w:spacing w:before="60" w:lineRule="auto" w:line="290"/>
        <w:ind w:left="887" w:right="604" w:hanging="400"/>
      </w:pPr>
      <w:r>
        <w:rPr>
          <w:rFonts w:cs="Verdana" w:hAnsi="Verdana" w:eastAsia="Verdana" w:ascii="Verdana"/>
          <w:sz w:val="24"/>
          <w:szCs w:val="24"/>
        </w:rPr>
        <w:t>•</w:t>
        <w:tab/>
      </w:r>
      <w:r>
        <w:rPr>
          <w:rFonts w:cs="Verdana" w:hAnsi="Verdana" w:eastAsia="Verdana" w:ascii="Verdana"/>
          <w:sz w:val="24"/>
          <w:szCs w:val="24"/>
        </w:rPr>
      </w:r>
      <w:r>
        <w:rPr>
          <w:rFonts w:cs="Verdana" w:hAnsi="Verdana" w:eastAsia="Verdana" w:ascii="Verdana"/>
          <w:sz w:val="24"/>
          <w:szCs w:val="24"/>
        </w:rPr>
        <w:t>Right to education (Protocol No 1, Article 2 ECHR; Article 13 UN</w:t>
      </w:r>
      <w:r>
        <w:rPr>
          <w:rFonts w:cs="Verdana" w:hAnsi="Verdana" w:eastAsia="Verdana" w:ascii="Verdana"/>
          <w:sz w:val="24"/>
          <w:szCs w:val="24"/>
        </w:rPr>
        <w:t> ICESCR; Article 28 UN CRC; Article 24 UN CRPD);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exact" w:line="260"/>
        <w:ind w:left="487"/>
      </w:pPr>
      <w:r>
        <w:rPr>
          <w:rFonts w:cs="Verdana" w:hAnsi="Verdana" w:eastAsia="Verdana" w:ascii="Verdana"/>
          <w:sz w:val="24"/>
          <w:szCs w:val="24"/>
        </w:rPr>
        <w:t>•   </w:t>
      </w:r>
      <w:r>
        <w:rPr>
          <w:rFonts w:cs="Verdana" w:hAnsi="Verdana" w:eastAsia="Verdana" w:ascii="Verdana"/>
          <w:sz w:val="24"/>
          <w:szCs w:val="24"/>
        </w:rPr>
        <w:t>Right to work (Article 6 UN ICESCR; Article 5(e)(i) UN CERD; Article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60"/>
        <w:ind w:left="887"/>
      </w:pPr>
      <w:r>
        <w:rPr>
          <w:rFonts w:cs="Verdana" w:hAnsi="Verdana" w:eastAsia="Verdana" w:ascii="Verdana"/>
          <w:sz w:val="24"/>
          <w:szCs w:val="24"/>
        </w:rPr>
        <w:t>27 UN CRPD);</w:t>
      </w:r>
    </w:p>
    <w:p>
      <w:pPr>
        <w:rPr>
          <w:rFonts w:cs="Verdana" w:hAnsi="Verdana" w:eastAsia="Verdana" w:ascii="Verdana"/>
          <w:sz w:val="24"/>
          <w:szCs w:val="24"/>
        </w:rPr>
        <w:tabs>
          <w:tab w:pos="880" w:val="left"/>
        </w:tabs>
        <w:jc w:val="left"/>
        <w:spacing w:before="61" w:lineRule="auto" w:line="289"/>
        <w:ind w:left="887" w:right="451" w:hanging="400"/>
      </w:pPr>
      <w:r>
        <w:rPr>
          <w:rFonts w:cs="Verdana" w:hAnsi="Verdana" w:eastAsia="Verdana" w:ascii="Verdana"/>
          <w:sz w:val="24"/>
          <w:szCs w:val="24"/>
        </w:rPr>
        <w:t>•</w:t>
        <w:tab/>
      </w:r>
      <w:r>
        <w:rPr>
          <w:rFonts w:cs="Verdana" w:hAnsi="Verdana" w:eastAsia="Verdana" w:ascii="Verdana"/>
          <w:sz w:val="24"/>
          <w:szCs w:val="24"/>
        </w:rPr>
      </w:r>
      <w:r>
        <w:rPr>
          <w:rFonts w:cs="Verdana" w:hAnsi="Verdana" w:eastAsia="Verdana" w:ascii="Verdana"/>
          <w:sz w:val="24"/>
          <w:szCs w:val="24"/>
        </w:rPr>
        <w:t>Right to social security (Article 9 UN ICESCR; Article 26 UN CRC;</w:t>
      </w:r>
      <w:r>
        <w:rPr>
          <w:rFonts w:cs="Verdana" w:hAnsi="Verdana" w:eastAsia="Verdana" w:ascii="Verdana"/>
          <w:sz w:val="24"/>
          <w:szCs w:val="24"/>
        </w:rPr>
        <w:t> Article 28 UN CRPD);</w:t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lineRule="exact" w:line="280"/>
        <w:ind w:left="448" w:right="254"/>
      </w:pPr>
      <w:r>
        <w:rPr>
          <w:rFonts w:cs="Verdana" w:hAnsi="Verdana" w:eastAsia="Verdana" w:ascii="Verdana"/>
          <w:position w:val="-1"/>
          <w:sz w:val="24"/>
          <w:szCs w:val="24"/>
        </w:rPr>
        <w:t>•   </w:t>
      </w:r>
      <w:r>
        <w:rPr>
          <w:rFonts w:cs="Verdana" w:hAnsi="Verdana" w:eastAsia="Verdana" w:ascii="Verdana"/>
          <w:position w:val="-1"/>
          <w:sz w:val="24"/>
          <w:szCs w:val="24"/>
        </w:rPr>
        <w:t>Right to adequate standard of living, including housing (Article 11,</w:t>
      </w:r>
      <w:r>
        <w:rPr>
          <w:rFonts w:cs="Verdana" w:hAnsi="Verdana" w:eastAsia="Verdana" w:ascii="Verdana"/>
          <w:position w:val="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61"/>
        <w:ind w:left="887"/>
      </w:pPr>
      <w:r>
        <w:rPr>
          <w:rFonts w:cs="Verdana" w:hAnsi="Verdana" w:eastAsia="Verdana" w:ascii="Verdana"/>
          <w:sz w:val="24"/>
          <w:szCs w:val="24"/>
        </w:rPr>
        <w:t>UN ICESCR; Article 5(e)(iii) UN CERD; Article 27 UN CRC; Article 28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60"/>
        <w:ind w:left="887"/>
      </w:pPr>
      <w:r>
        <w:rPr>
          <w:rFonts w:cs="Verdana" w:hAnsi="Verdana" w:eastAsia="Verdana" w:ascii="Verdana"/>
          <w:sz w:val="24"/>
          <w:szCs w:val="24"/>
        </w:rPr>
        <w:t>UN CRPD);</w:t>
      </w:r>
    </w:p>
    <w:p>
      <w:pPr>
        <w:rPr>
          <w:rFonts w:cs="Verdana" w:hAnsi="Verdana" w:eastAsia="Verdana" w:ascii="Verdana"/>
          <w:sz w:val="24"/>
          <w:szCs w:val="24"/>
        </w:rPr>
        <w:tabs>
          <w:tab w:pos="880" w:val="left"/>
        </w:tabs>
        <w:jc w:val="left"/>
        <w:spacing w:before="60" w:lineRule="auto" w:line="276"/>
        <w:ind w:left="887" w:right="328" w:hanging="400"/>
      </w:pPr>
      <w:r>
        <w:rPr>
          <w:rFonts w:cs="Verdana" w:hAnsi="Verdana" w:eastAsia="Verdana" w:ascii="Verdana"/>
          <w:sz w:val="24"/>
          <w:szCs w:val="24"/>
        </w:rPr>
        <w:t>•</w:t>
        <w:tab/>
      </w:r>
      <w:r>
        <w:rPr>
          <w:rFonts w:cs="Verdana" w:hAnsi="Verdana" w:eastAsia="Verdana" w:ascii="Verdana"/>
          <w:sz w:val="24"/>
          <w:szCs w:val="24"/>
        </w:rPr>
      </w:r>
      <w:r>
        <w:rPr>
          <w:rFonts w:cs="Verdana" w:hAnsi="Verdana" w:eastAsia="Verdana" w:ascii="Verdana"/>
          <w:sz w:val="24"/>
          <w:szCs w:val="24"/>
        </w:rPr>
        <w:t>Right to benefit from scientific progress </w:t>
      </w:r>
      <w:r>
        <w:rPr>
          <w:rFonts w:cs="Verdana" w:hAnsi="Verdana" w:eastAsia="Verdana" w:ascii="Verdana"/>
          <w:sz w:val="24"/>
          <w:szCs w:val="24"/>
        </w:rPr>
        <w:t>– </w:t>
      </w:r>
      <w:r>
        <w:rPr>
          <w:rFonts w:cs="Verdana" w:hAnsi="Verdana" w:eastAsia="Verdana" w:ascii="Verdana"/>
          <w:sz w:val="24"/>
          <w:szCs w:val="24"/>
        </w:rPr>
        <w:t>includes developments</w:t>
      </w:r>
      <w:r>
        <w:rPr>
          <w:rFonts w:cs="Verdana" w:hAnsi="Verdana" w:eastAsia="Verdana" w:ascii="Verdana"/>
          <w:sz w:val="24"/>
          <w:szCs w:val="24"/>
        </w:rPr>
        <w:t> relating to drug dependency medicines and treatments (Article 15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6"/>
        <w:ind w:left="887"/>
      </w:pPr>
      <w:r>
        <w:rPr>
          <w:rFonts w:cs="Verdana" w:hAnsi="Verdana" w:eastAsia="Verdana" w:ascii="Verdana"/>
          <w:sz w:val="24"/>
          <w:szCs w:val="24"/>
        </w:rPr>
        <w:t>UN ICESCR; UN ICESCR Committee General Comment No 25);</w:t>
      </w:r>
    </w:p>
    <w:p>
      <w:pPr>
        <w:rPr>
          <w:rFonts w:cs="Verdana" w:hAnsi="Verdana" w:eastAsia="Verdana" w:ascii="Verdana"/>
          <w:sz w:val="24"/>
          <w:szCs w:val="24"/>
        </w:rPr>
        <w:tabs>
          <w:tab w:pos="880" w:val="left"/>
        </w:tabs>
        <w:jc w:val="left"/>
        <w:spacing w:before="20" w:lineRule="exact" w:line="340"/>
        <w:ind w:left="887" w:right="379" w:hanging="400"/>
      </w:pPr>
      <w:r>
        <w:pict>
          <v:group style="position:absolute;margin-left:72.1pt;margin-top:67.53pt;width:144.2pt;height:0pt;mso-position-horizontal-relative:page;mso-position-vertical-relative:paragraph;z-index:-421" coordorigin="1442,1351" coordsize="2884,0">
            <v:shape style="position:absolute;left:1442;top:1351;width:2884;height:0" coordorigin="1442,1351" coordsize="2884,0" path="m1442,1351l4326,1351e" filled="f" stroked="t" strokeweight="0.89999pt" strokecolor="#00000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z w:val="24"/>
          <w:szCs w:val="24"/>
        </w:rPr>
        <w:t>•</w:t>
        <w:tab/>
      </w:r>
      <w:r>
        <w:rPr>
          <w:rFonts w:cs="Verdana" w:hAnsi="Verdana" w:eastAsia="Verdana" w:ascii="Verdana"/>
          <w:sz w:val="24"/>
          <w:szCs w:val="24"/>
        </w:rPr>
      </w:r>
      <w:r>
        <w:rPr>
          <w:rFonts w:cs="Verdana" w:hAnsi="Verdana" w:eastAsia="Verdana" w:ascii="Verdana"/>
          <w:sz w:val="24"/>
          <w:szCs w:val="24"/>
        </w:rPr>
        <w:t>Prohibition of Discrimination (Article 14 ECHR) may also apply in</w:t>
      </w:r>
      <w:r>
        <w:rPr>
          <w:rFonts w:cs="Verdana" w:hAnsi="Verdana" w:eastAsia="Verdana" w:ascii="Verdana"/>
          <w:sz w:val="24"/>
          <w:szCs w:val="24"/>
        </w:rPr>
        <w:t> some respects, if one of the protected characteristics is engaged.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2"/>
        <w:ind w:left="102"/>
      </w:pPr>
      <w:r>
        <w:rPr>
          <w:rFonts w:cs="Verdana" w:hAnsi="Verdana" w:eastAsia="Verdana" w:ascii="Verdana"/>
          <w:color w:val="6F2F9F"/>
          <w:w w:val="106"/>
          <w:position w:val="6"/>
          <w:sz w:val="10"/>
          <w:szCs w:val="10"/>
        </w:rPr>
        <w:t>14</w:t>
      </w:r>
      <w:r>
        <w:rPr>
          <w:rFonts w:cs="Verdana" w:hAnsi="Verdana" w:eastAsia="Verdana" w:ascii="Verdana"/>
          <w:color w:val="6F2F9F"/>
          <w:w w:val="100"/>
          <w:position w:val="6"/>
          <w:sz w:val="10"/>
          <w:szCs w:val="10"/>
        </w:rPr>
        <w:t>  </w:t>
      </w:r>
      <w:r>
        <w:rPr>
          <w:rFonts w:cs="Verdana" w:hAnsi="Verdana" w:eastAsia="Verdana" w:ascii="Verdana"/>
          <w:i/>
          <w:color w:val="6F2F9F"/>
          <w:w w:val="100"/>
          <w:position w:val="0"/>
          <w:sz w:val="16"/>
          <w:szCs w:val="16"/>
        </w:rPr>
        <w:t>McGlinchey v UK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[2003] ECHR 211; </w:t>
      </w:r>
      <w:r>
        <w:rPr>
          <w:rFonts w:cs="Verdana" w:hAnsi="Verdana" w:eastAsia="Verdana" w:ascii="Verdana"/>
          <w:i/>
          <w:color w:val="6F2F9F"/>
          <w:w w:val="100"/>
          <w:position w:val="0"/>
          <w:sz w:val="16"/>
          <w:szCs w:val="16"/>
        </w:rPr>
        <w:t>Wenner v Germany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[2016] ECHR 725; and </w:t>
      </w:r>
      <w:r>
        <w:rPr>
          <w:rFonts w:cs="Verdana" w:hAnsi="Verdana" w:eastAsia="Verdana" w:ascii="Verdana"/>
          <w:i/>
          <w:color w:val="6F2F9F"/>
          <w:w w:val="100"/>
          <w:position w:val="0"/>
          <w:sz w:val="16"/>
          <w:szCs w:val="16"/>
        </w:rPr>
        <w:t>Ketreb v France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[2012] ECHR</w:t>
      </w:r>
      <w:r>
        <w:rPr>
          <w:rFonts w:cs="Verdana" w:hAnsi="Verdana" w:eastAsia="Verdana" w:ascii="Verdana"/>
          <w:color w:val="00000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29"/>
        <w:ind w:left="102"/>
      </w:pPr>
      <w:r>
        <w:rPr>
          <w:rFonts w:cs="Verdana" w:hAnsi="Verdana" w:eastAsia="Verdana" w:ascii="Verdana"/>
          <w:color w:val="6F2F9F"/>
          <w:sz w:val="16"/>
          <w:szCs w:val="16"/>
        </w:rPr>
        <w:t>1626.</w:t>
      </w:r>
      <w:r>
        <w:rPr>
          <w:rFonts w:cs="Verdana" w:hAnsi="Verdana" w:eastAsia="Verdana" w:ascii="Verdana"/>
          <w:color w:val="0000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6"/>
        <w:ind w:left="102"/>
      </w:pPr>
      <w:r>
        <w:rPr>
          <w:rFonts w:cs="Verdana" w:hAnsi="Verdana" w:eastAsia="Verdana" w:ascii="Verdana"/>
          <w:color w:val="6F2F9F"/>
          <w:w w:val="106"/>
          <w:position w:val="6"/>
          <w:sz w:val="10"/>
          <w:szCs w:val="10"/>
        </w:rPr>
        <w:t>15</w:t>
      </w:r>
      <w:r>
        <w:rPr>
          <w:rFonts w:cs="Verdana" w:hAnsi="Verdana" w:eastAsia="Verdana" w:ascii="Verdana"/>
          <w:color w:val="6F2F9F"/>
          <w:w w:val="100"/>
          <w:position w:val="6"/>
          <w:sz w:val="10"/>
          <w:szCs w:val="10"/>
        </w:rPr>
        <w:t>  </w:t>
      </w:r>
      <w:r>
        <w:rPr>
          <w:rFonts w:cs="Verdana" w:hAnsi="Verdana" w:eastAsia="Verdana" w:ascii="Verdana"/>
          <w:i/>
          <w:color w:val="6F2F9F"/>
          <w:w w:val="100"/>
          <w:position w:val="0"/>
          <w:sz w:val="16"/>
          <w:szCs w:val="16"/>
        </w:rPr>
        <w:t>McGlinchey v UK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(2003) ECHR 211; </w:t>
      </w:r>
      <w:r>
        <w:rPr>
          <w:rFonts w:cs="Verdana" w:hAnsi="Verdana" w:eastAsia="Verdana" w:ascii="Verdana"/>
          <w:i/>
          <w:color w:val="6F2F9F"/>
          <w:w w:val="100"/>
          <w:position w:val="0"/>
          <w:sz w:val="16"/>
          <w:szCs w:val="16"/>
        </w:rPr>
        <w:t>Wenner v Germany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(2016) ECHR 725; </w:t>
      </w:r>
      <w:r>
        <w:rPr>
          <w:rFonts w:cs="Verdana" w:hAnsi="Verdana" w:eastAsia="Verdana" w:ascii="Verdana"/>
          <w:i/>
          <w:color w:val="6F2F9F"/>
          <w:w w:val="100"/>
          <w:position w:val="0"/>
          <w:sz w:val="16"/>
          <w:szCs w:val="16"/>
        </w:rPr>
        <w:t>Ketreb v France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(2012) ECHR</w:t>
      </w:r>
      <w:r>
        <w:rPr>
          <w:rFonts w:cs="Verdana" w:hAnsi="Verdana" w:eastAsia="Verdana" w:ascii="Verdana"/>
          <w:color w:val="00000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5"/>
        <w:ind w:left="102"/>
      </w:pPr>
      <w:r>
        <w:rPr>
          <w:rFonts w:cs="Verdana" w:hAnsi="Verdana" w:eastAsia="Verdana" w:ascii="Verdana"/>
          <w:color w:val="6F2F9F"/>
          <w:sz w:val="16"/>
          <w:szCs w:val="16"/>
        </w:rPr>
        <w:t>1626.</w:t>
      </w:r>
      <w:r>
        <w:rPr>
          <w:rFonts w:cs="Verdana" w:hAnsi="Verdana" w:eastAsia="Verdana" w:ascii="Verdana"/>
          <w:color w:val="0000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30"/>
        <w:ind w:left="102"/>
      </w:pPr>
      <w:r>
        <w:rPr>
          <w:rFonts w:cs="Verdana" w:hAnsi="Verdana" w:eastAsia="Verdana" w:ascii="Verdana"/>
          <w:color w:val="6F2F9F"/>
          <w:w w:val="106"/>
          <w:position w:val="6"/>
          <w:sz w:val="10"/>
          <w:szCs w:val="10"/>
        </w:rPr>
        <w:t>16</w:t>
      </w:r>
      <w:r>
        <w:rPr>
          <w:rFonts w:cs="Verdana" w:hAnsi="Verdana" w:eastAsia="Verdana" w:ascii="Verdana"/>
          <w:color w:val="6F2F9F"/>
          <w:w w:val="100"/>
          <w:position w:val="6"/>
          <w:sz w:val="10"/>
          <w:szCs w:val="10"/>
        </w:rPr>
        <w:t>  </w:t>
      </w:r>
      <w:r>
        <w:rPr>
          <w:rFonts w:cs="Verdana" w:hAnsi="Verdana" w:eastAsia="Verdana" w:ascii="Verdana"/>
          <w:i/>
          <w:color w:val="6F2F9F"/>
          <w:w w:val="100"/>
          <w:position w:val="0"/>
          <w:sz w:val="16"/>
          <w:szCs w:val="16"/>
        </w:rPr>
        <w:t>YI v Russia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(2020)] ECHR 174.</w:t>
      </w:r>
      <w:r>
        <w:rPr>
          <w:rFonts w:cs="Verdana" w:hAnsi="Verdana" w:eastAsia="Verdana" w:ascii="Verdana"/>
          <w:color w:val="00000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5"/>
        <w:ind w:left="102"/>
        <w:sectPr>
          <w:pgMar w:header="0" w:footer="997" w:top="1380" w:bottom="280" w:left="1340" w:right="1320"/>
          <w:pgSz w:w="11920" w:h="16840"/>
        </w:sectPr>
      </w:pPr>
      <w:r>
        <w:rPr>
          <w:rFonts w:cs="Verdana" w:hAnsi="Verdana" w:eastAsia="Verdana" w:ascii="Verdana"/>
          <w:color w:val="6F2F9F"/>
          <w:w w:val="106"/>
          <w:position w:val="6"/>
          <w:sz w:val="10"/>
          <w:szCs w:val="10"/>
        </w:rPr>
        <w:t>17</w:t>
      </w:r>
      <w:r>
        <w:rPr>
          <w:rFonts w:cs="Verdana" w:hAnsi="Verdana" w:eastAsia="Verdana" w:ascii="Verdana"/>
          <w:color w:val="6F2F9F"/>
          <w:w w:val="100"/>
          <w:position w:val="6"/>
          <w:sz w:val="10"/>
          <w:szCs w:val="10"/>
        </w:rPr>
        <w:t>  </w:t>
      </w:r>
      <w:r>
        <w:rPr>
          <w:rFonts w:cs="Verdana" w:hAnsi="Verdana" w:eastAsia="Verdana" w:ascii="Verdana"/>
          <w:i/>
          <w:color w:val="6F2F9F"/>
          <w:w w:val="100"/>
          <w:position w:val="0"/>
          <w:sz w:val="16"/>
          <w:szCs w:val="16"/>
        </w:rPr>
        <w:t>LL v France,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Application no 7508/02,  Judgment of 10 October 2006.</w:t>
      </w:r>
      <w:r>
        <w:rPr>
          <w:rFonts w:cs="Verdana" w:hAnsi="Verdana" w:eastAsia="Verdana" w:ascii="Verdana"/>
          <w:color w:val="00000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48"/>
        <w:ind w:left="102"/>
      </w:pPr>
      <w:r>
        <w:rPr>
          <w:rFonts w:cs="Verdana" w:hAnsi="Verdana" w:eastAsia="Verdana" w:ascii="Verdana"/>
          <w:b/>
          <w:sz w:val="24"/>
          <w:szCs w:val="24"/>
        </w:rPr>
        <w:t>UN International Covenant on Economic, Social and Cultural</w:t>
      </w:r>
      <w:r>
        <w:rPr>
          <w:rFonts w:cs="Verdana" w:hAnsi="Verdana" w:eastAsia="Verdana" w:ascii="Verdana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60"/>
        <w:ind w:left="102"/>
      </w:pPr>
      <w:r>
        <w:rPr>
          <w:rFonts w:cs="Verdana" w:hAnsi="Verdana" w:eastAsia="Verdana" w:ascii="Verdana"/>
          <w:b/>
          <w:sz w:val="24"/>
          <w:szCs w:val="24"/>
        </w:rPr>
        <w:t>Rights</w:t>
      </w:r>
      <w:r>
        <w:rPr>
          <w:rFonts w:cs="Verdana" w:hAnsi="Verdana" w:eastAsia="Verdana" w:ascii="Verdana"/>
          <w:sz w:val="24"/>
          <w:szCs w:val="24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60" w:lineRule="auto" w:line="287"/>
        <w:ind w:left="102" w:right="215"/>
      </w:pPr>
      <w:r>
        <w:rPr>
          <w:rFonts w:cs="Verdana" w:hAnsi="Verdana" w:eastAsia="Verdana" w:ascii="Verdana"/>
          <w:sz w:val="24"/>
          <w:szCs w:val="24"/>
        </w:rPr>
        <w:t>The right to the highest attainable standard of health is protected under</w:t>
      </w:r>
      <w:r>
        <w:rPr>
          <w:rFonts w:cs="Verdana" w:hAnsi="Verdana" w:eastAsia="Verdana" w:ascii="Verdana"/>
          <w:sz w:val="24"/>
          <w:szCs w:val="24"/>
        </w:rPr>
        <w:t> Article 12 of the International Covenant on Economic, Social and Cultural</w:t>
      </w:r>
      <w:r>
        <w:rPr>
          <w:rFonts w:cs="Verdana" w:hAnsi="Verdana" w:eastAsia="Verdana" w:ascii="Verdana"/>
          <w:sz w:val="24"/>
          <w:szCs w:val="24"/>
        </w:rPr>
        <w:t> Rights (ICESCR). Under Article 2 of the Covenant, States are required to</w:t>
      </w:r>
      <w:r>
        <w:rPr>
          <w:rFonts w:cs="Verdana" w:hAnsi="Verdana" w:eastAsia="Verdana" w:ascii="Verdana"/>
          <w:sz w:val="24"/>
          <w:szCs w:val="24"/>
        </w:rPr>
        <w:t> implement the right to health on a non-discriminatory basis and take</w:t>
      </w:r>
      <w:r>
        <w:rPr>
          <w:rFonts w:cs="Verdana" w:hAnsi="Verdana" w:eastAsia="Verdana" w:ascii="Verdana"/>
          <w:sz w:val="24"/>
          <w:szCs w:val="24"/>
        </w:rPr>
        <w:t> </w:t>
      </w:r>
      <w:r>
        <w:rPr>
          <w:rFonts w:cs="Verdana" w:hAnsi="Verdana" w:eastAsia="Verdana" w:ascii="Verdana"/>
          <w:sz w:val="24"/>
          <w:szCs w:val="24"/>
        </w:rPr>
        <w:t>“deliberate, concrete and targeted” steps towards the full realisation o</w:t>
      </w:r>
      <w:r>
        <w:rPr>
          <w:rFonts w:cs="Verdana" w:hAnsi="Verdana" w:eastAsia="Verdana" w:ascii="Verdana"/>
          <w:sz w:val="24"/>
          <w:szCs w:val="24"/>
        </w:rPr>
        <w:t>f</w:t>
      </w:r>
      <w:r>
        <w:rPr>
          <w:rFonts w:cs="Verdana" w:hAnsi="Verdana" w:eastAsia="Verdana" w:ascii="Verdana"/>
          <w:sz w:val="24"/>
          <w:szCs w:val="24"/>
        </w:rPr>
        <w:t> the right to health.</w:t>
      </w:r>
      <w:r>
        <w:rPr>
          <w:rFonts w:cs="Verdana" w:hAnsi="Verdana" w:eastAsia="Verdana" w:ascii="Verdana"/>
          <w:position w:val="8"/>
          <w:sz w:val="16"/>
          <w:szCs w:val="16"/>
        </w:rPr>
        <w:t>18</w:t>
      </w:r>
      <w:r>
        <w:rPr>
          <w:rFonts w:cs="Verdana" w:hAnsi="Verdana" w:eastAsia="Verdana" w:ascii="Verdana"/>
          <w:position w:val="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2"/>
      </w:pPr>
      <w:r>
        <w:rPr>
          <w:rFonts w:cs="Verdana" w:hAnsi="Verdana" w:eastAsia="Verdana" w:ascii="Verdana"/>
          <w:sz w:val="24"/>
          <w:szCs w:val="24"/>
        </w:rPr>
        <w:t>In General Comment No.14, the ICESCR Committee confirmed that Article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60" w:lineRule="auto" w:line="289"/>
        <w:ind w:left="102" w:right="74"/>
      </w:pPr>
      <w:r>
        <w:rPr>
          <w:rFonts w:cs="Verdana" w:hAnsi="Verdana" w:eastAsia="Verdana" w:ascii="Verdana"/>
          <w:sz w:val="24"/>
          <w:szCs w:val="24"/>
        </w:rPr>
        <w:t>12 encompasses the right to healthy natural and workplace environments,</w:t>
      </w:r>
      <w:r>
        <w:rPr>
          <w:rFonts w:cs="Verdana" w:hAnsi="Verdana" w:eastAsia="Verdana" w:ascii="Verdana"/>
          <w:sz w:val="24"/>
          <w:szCs w:val="24"/>
        </w:rPr>
        <w:t> which discourages the abuse of alcohol and the use of tobacco, drugs and</w:t>
      </w:r>
      <w:r>
        <w:rPr>
          <w:rFonts w:cs="Verdana" w:hAnsi="Verdana" w:eastAsia="Verdana" w:ascii="Verdana"/>
          <w:sz w:val="24"/>
          <w:szCs w:val="24"/>
        </w:rPr>
        <w:t> other harmful substances.</w:t>
      </w:r>
      <w:r>
        <w:rPr>
          <w:rFonts w:cs="Verdana" w:hAnsi="Verdana" w:eastAsia="Verdana" w:ascii="Verdana"/>
          <w:position w:val="8"/>
          <w:sz w:val="16"/>
          <w:szCs w:val="16"/>
        </w:rPr>
        <w:t>19 </w:t>
      </w:r>
      <w:r>
        <w:rPr>
          <w:rFonts w:cs="Verdana" w:hAnsi="Verdana" w:eastAsia="Verdana" w:ascii="Verdana"/>
          <w:position w:val="0"/>
          <w:sz w:val="24"/>
          <w:szCs w:val="24"/>
        </w:rPr>
        <w:t>In terms of positive measures, the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exact" w:line="260"/>
        <w:ind w:left="102"/>
      </w:pPr>
      <w:r>
        <w:rPr>
          <w:rFonts w:cs="Verdana" w:hAnsi="Verdana" w:eastAsia="Verdana" w:ascii="Verdana"/>
          <w:sz w:val="24"/>
          <w:szCs w:val="24"/>
        </w:rPr>
        <w:t>Committee advises this should include “</w:t>
      </w:r>
      <w:r>
        <w:rPr>
          <w:rFonts w:cs="Verdana" w:hAnsi="Verdana" w:eastAsia="Verdana" w:ascii="Verdana"/>
          <w:sz w:val="24"/>
          <w:szCs w:val="24"/>
        </w:rPr>
        <w:t>the promotion of medical research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60" w:lineRule="auto" w:line="290"/>
        <w:ind w:left="102" w:right="167"/>
      </w:pPr>
      <w:r>
        <w:rPr>
          <w:rFonts w:cs="Verdana" w:hAnsi="Verdana" w:eastAsia="Verdana" w:ascii="Verdana"/>
          <w:sz w:val="24"/>
          <w:szCs w:val="24"/>
        </w:rPr>
        <w:t>and health education, as well as information campaigns, in particular with</w:t>
      </w:r>
      <w:r>
        <w:rPr>
          <w:rFonts w:cs="Verdana" w:hAnsi="Verdana" w:eastAsia="Verdana" w:ascii="Verdana"/>
          <w:sz w:val="24"/>
          <w:szCs w:val="24"/>
        </w:rPr>
        <w:t> respect to</w:t>
      </w:r>
      <w:r>
        <w:rPr>
          <w:rFonts w:cs="Verdana" w:hAnsi="Verdana" w:eastAsia="Verdana" w:ascii="Verdana"/>
          <w:sz w:val="24"/>
          <w:szCs w:val="24"/>
        </w:rPr>
        <w:t>… </w:t>
      </w:r>
      <w:r>
        <w:rPr>
          <w:rFonts w:cs="Verdana" w:hAnsi="Verdana" w:eastAsia="Verdana" w:ascii="Verdana"/>
          <w:sz w:val="24"/>
          <w:szCs w:val="24"/>
        </w:rPr>
        <w:t>the abuse of alcohol and the use of cigarettes, drugs and</w:t>
      </w:r>
      <w:r>
        <w:rPr>
          <w:rFonts w:cs="Verdana" w:hAnsi="Verdana" w:eastAsia="Verdana" w:ascii="Verdana"/>
          <w:sz w:val="24"/>
          <w:szCs w:val="24"/>
        </w:rPr>
        <w:t> other harmful substances</w:t>
      </w:r>
      <w:r>
        <w:rPr>
          <w:rFonts w:cs="Verdana" w:hAnsi="Verdana" w:eastAsia="Verdana" w:ascii="Verdana"/>
          <w:sz w:val="24"/>
          <w:szCs w:val="24"/>
        </w:rPr>
        <w:t>”</w:t>
      </w:r>
      <w:r>
        <w:rPr>
          <w:rFonts w:cs="Verdana" w:hAnsi="Verdana" w:eastAsia="Verdana" w:ascii="Verdana"/>
          <w:sz w:val="24"/>
          <w:szCs w:val="24"/>
        </w:rPr>
        <w:t>.</w:t>
      </w:r>
      <w:r>
        <w:rPr>
          <w:rFonts w:cs="Verdana" w:hAnsi="Verdana" w:eastAsia="Verdana" w:ascii="Verdana"/>
          <w:position w:val="8"/>
          <w:sz w:val="16"/>
          <w:szCs w:val="16"/>
        </w:rPr>
        <w:t>20 </w:t>
      </w:r>
      <w:r>
        <w:rPr>
          <w:rFonts w:cs="Verdana" w:hAnsi="Verdana" w:eastAsia="Verdana" w:ascii="Verdana"/>
          <w:position w:val="0"/>
          <w:sz w:val="24"/>
          <w:szCs w:val="24"/>
        </w:rPr>
        <w:t>It concludes: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lineRule="auto" w:line="287"/>
        <w:ind w:left="823" w:right="130"/>
      </w:pPr>
      <w:r>
        <w:rPr>
          <w:rFonts w:cs="Verdana" w:hAnsi="Verdana" w:eastAsia="Verdana" w:ascii="Verdana"/>
          <w:sz w:val="24"/>
          <w:szCs w:val="24"/>
        </w:rPr>
        <w:t>“</w:t>
      </w:r>
      <w:r>
        <w:rPr>
          <w:rFonts w:cs="Verdana" w:hAnsi="Verdana" w:eastAsia="Verdana" w:ascii="Verdana"/>
          <w:sz w:val="24"/>
          <w:szCs w:val="24"/>
        </w:rPr>
        <w:t>The obligation to fulfil (promote) the right to health requires States</w:t>
      </w:r>
      <w:r>
        <w:rPr>
          <w:rFonts w:cs="Verdana" w:hAnsi="Verdana" w:eastAsia="Verdana" w:ascii="Verdana"/>
          <w:sz w:val="24"/>
          <w:szCs w:val="24"/>
        </w:rPr>
        <w:t> to undertake actions that create, maintain and restore the health of</w:t>
      </w:r>
      <w:r>
        <w:rPr>
          <w:rFonts w:cs="Verdana" w:hAnsi="Verdana" w:eastAsia="Verdana" w:ascii="Verdana"/>
          <w:sz w:val="24"/>
          <w:szCs w:val="24"/>
        </w:rPr>
        <w:t> the population. Such obligations include: (i) fostering recognition of</w:t>
      </w:r>
      <w:r>
        <w:rPr>
          <w:rFonts w:cs="Verdana" w:hAnsi="Verdana" w:eastAsia="Verdana" w:ascii="Verdana"/>
          <w:sz w:val="24"/>
          <w:szCs w:val="24"/>
        </w:rPr>
        <w:t> factors favouring positive health results, e.g. research and provision</w:t>
      </w:r>
      <w:r>
        <w:rPr>
          <w:rFonts w:cs="Verdana" w:hAnsi="Verdana" w:eastAsia="Verdana" w:ascii="Verdana"/>
          <w:sz w:val="24"/>
          <w:szCs w:val="24"/>
        </w:rPr>
        <w:t> of information; (ii) ensuring that health services are culturally</w:t>
      </w:r>
      <w:r>
        <w:rPr>
          <w:rFonts w:cs="Verdana" w:hAnsi="Verdana" w:eastAsia="Verdana" w:ascii="Verdana"/>
          <w:sz w:val="24"/>
          <w:szCs w:val="24"/>
        </w:rPr>
        <w:t> appropriate and that health care staff are trained to recognize and</w:t>
      </w:r>
      <w:r>
        <w:rPr>
          <w:rFonts w:cs="Verdana" w:hAnsi="Verdana" w:eastAsia="Verdana" w:ascii="Verdana"/>
          <w:sz w:val="24"/>
          <w:szCs w:val="24"/>
        </w:rPr>
        <w:t> respond to the specific needs of vulnerable or marginalized groups;</w:t>
      </w:r>
      <w:r>
        <w:rPr>
          <w:rFonts w:cs="Verdana" w:hAnsi="Verdana" w:eastAsia="Verdana" w:ascii="Verdana"/>
          <w:sz w:val="24"/>
          <w:szCs w:val="24"/>
        </w:rPr>
        <w:t> (iii) ensuring that the State meets its obligations in the</w:t>
      </w:r>
      <w:r>
        <w:rPr>
          <w:rFonts w:cs="Verdana" w:hAnsi="Verdana" w:eastAsia="Verdana" w:ascii="Verdana"/>
          <w:sz w:val="24"/>
          <w:szCs w:val="24"/>
        </w:rPr>
        <w:t> dissemination of appropriate information relating to healthy</w:t>
      </w:r>
      <w:r>
        <w:rPr>
          <w:rFonts w:cs="Verdana" w:hAnsi="Verdana" w:eastAsia="Verdana" w:ascii="Verdana"/>
          <w:sz w:val="24"/>
          <w:szCs w:val="24"/>
        </w:rPr>
        <w:t> lifestyles and nutrition, harmful traditional practices and the</w:t>
      </w:r>
      <w:r>
        <w:rPr>
          <w:rFonts w:cs="Verdana" w:hAnsi="Verdana" w:eastAsia="Verdana" w:ascii="Verdana"/>
          <w:sz w:val="24"/>
          <w:szCs w:val="24"/>
        </w:rPr>
        <w:t> availability of services; (iv) supporting people in making informed</w:t>
      </w:r>
      <w:r>
        <w:rPr>
          <w:rFonts w:cs="Verdana" w:hAnsi="Verdana" w:eastAsia="Verdana" w:ascii="Verdana"/>
          <w:sz w:val="24"/>
          <w:szCs w:val="24"/>
        </w:rPr>
        <w:t> choices about their health.</w:t>
      </w:r>
      <w:r>
        <w:rPr>
          <w:rFonts w:cs="Verdana" w:hAnsi="Verdana" w:eastAsia="Verdana" w:ascii="Verdana"/>
          <w:sz w:val="24"/>
          <w:szCs w:val="24"/>
        </w:rPr>
        <w:t>”</w:t>
      </w:r>
      <w:r>
        <w:rPr>
          <w:rFonts w:cs="Verdana" w:hAnsi="Verdana" w:eastAsia="Verdana" w:ascii="Verdana"/>
          <w:position w:val="8"/>
          <w:sz w:val="16"/>
          <w:szCs w:val="16"/>
        </w:rPr>
        <w:t>21</w:t>
      </w:r>
      <w:r>
        <w:rPr>
          <w:rFonts w:cs="Verdana" w:hAnsi="Verdana" w:eastAsia="Verdana" w:ascii="Verdana"/>
          <w:position w:val="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2"/>
      </w:pPr>
      <w:r>
        <w:rPr>
          <w:rFonts w:cs="Verdana" w:hAnsi="Verdana" w:eastAsia="Verdana" w:ascii="Verdana"/>
          <w:b/>
          <w:sz w:val="24"/>
          <w:szCs w:val="24"/>
        </w:rPr>
        <w:t>UN Convention on the Rights of the Child</w:t>
      </w:r>
      <w:r>
        <w:rPr>
          <w:rFonts w:cs="Verdana" w:hAnsi="Verdana" w:eastAsia="Verdana" w:ascii="Verdana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20" w:lineRule="exact" w:line="340"/>
        <w:ind w:left="102" w:right="275"/>
      </w:pPr>
      <w:r>
        <w:pict>
          <v:group style="position:absolute;margin-left:72.1pt;margin-top:76.36pt;width:144.2pt;height:0pt;mso-position-horizontal-relative:page;mso-position-vertical-relative:paragraph;z-index:-420" coordorigin="1442,1527" coordsize="2884,0">
            <v:shape style="position:absolute;left:1442;top:1527;width:2884;height:0" coordorigin="1442,1527" coordsize="2884,0" path="m1442,1527l4326,1527e" filled="f" stroked="t" strokeweight="0.89999pt" strokecolor="#00000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z w:val="24"/>
          <w:szCs w:val="24"/>
        </w:rPr>
        <w:t>The UN CRC is the only core human rights treaty to specifically refer to</w:t>
      </w:r>
      <w:r>
        <w:rPr>
          <w:rFonts w:cs="Verdana" w:hAnsi="Verdana" w:eastAsia="Verdana" w:ascii="Verdana"/>
          <w:sz w:val="24"/>
          <w:szCs w:val="24"/>
        </w:rPr>
        <w:t> drug use. Article 33 requires that States parties shall take all appropriate</w:t>
      </w:r>
      <w:r>
        <w:rPr>
          <w:rFonts w:cs="Verdana" w:hAnsi="Verdana" w:eastAsia="Verdana" w:ascii="Verdana"/>
          <w:sz w:val="24"/>
          <w:szCs w:val="24"/>
        </w:rPr>
        <w:t> measures, including legislative, administrative, social and educational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2" w:lineRule="auto" w:line="296"/>
        <w:ind w:left="102" w:right="353"/>
      </w:pPr>
      <w:r>
        <w:rPr>
          <w:rFonts w:cs="Verdana" w:hAnsi="Verdana" w:eastAsia="Verdana" w:ascii="Verdana"/>
          <w:color w:val="6F2F9F"/>
          <w:w w:val="106"/>
          <w:position w:val="6"/>
          <w:sz w:val="10"/>
          <w:szCs w:val="10"/>
        </w:rPr>
        <w:t>18</w:t>
      </w:r>
      <w:r>
        <w:rPr>
          <w:rFonts w:cs="Verdana" w:hAnsi="Verdana" w:eastAsia="Verdana" w:ascii="Verdana"/>
          <w:color w:val="6F2F9F"/>
          <w:w w:val="100"/>
          <w:position w:val="6"/>
          <w:sz w:val="10"/>
          <w:szCs w:val="10"/>
        </w:rPr>
        <w:t> 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E/C.12/2000/4, Committee on Economic, Social and Cultural Rights, General Comment No.14 (2000): The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 right to the highest attainable standard of health, 11 August 2000, at para 30.</w:t>
      </w:r>
      <w:r>
        <w:rPr>
          <w:rFonts w:cs="Verdana" w:hAnsi="Verdana" w:eastAsia="Verdana" w:ascii="Verdana"/>
          <w:color w:val="00000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lineRule="exact" w:line="180"/>
        <w:ind w:left="102"/>
      </w:pPr>
      <w:r>
        <w:rPr>
          <w:rFonts w:cs="Verdana" w:hAnsi="Verdana" w:eastAsia="Verdana" w:ascii="Verdana"/>
          <w:color w:val="6F2F9F"/>
          <w:w w:val="106"/>
          <w:position w:val="6"/>
          <w:sz w:val="10"/>
          <w:szCs w:val="10"/>
        </w:rPr>
        <w:t>19</w:t>
      </w:r>
      <w:r>
        <w:rPr>
          <w:rFonts w:cs="Verdana" w:hAnsi="Verdana" w:eastAsia="Verdana" w:ascii="Verdana"/>
          <w:color w:val="6F2F9F"/>
          <w:w w:val="100"/>
          <w:position w:val="6"/>
          <w:sz w:val="10"/>
          <w:szCs w:val="10"/>
        </w:rPr>
        <w:t>  </w:t>
      </w:r>
      <w:r>
        <w:rPr>
          <w:rFonts w:cs="Verdana" w:hAnsi="Verdana" w:eastAsia="Verdana" w:ascii="Verdana"/>
          <w:color w:val="6F2F9F"/>
          <w:w w:val="100"/>
          <w:position w:val="-1"/>
          <w:sz w:val="16"/>
          <w:szCs w:val="16"/>
        </w:rPr>
        <w:t>Ibid at para 15: See also ICESCR, Article 12.2 (b)</w:t>
      </w:r>
      <w:r>
        <w:rPr>
          <w:rFonts w:cs="Verdana" w:hAnsi="Verdana" w:eastAsia="Verdana" w:ascii="Verdana"/>
          <w:color w:val="00000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30"/>
        <w:ind w:left="102"/>
      </w:pPr>
      <w:r>
        <w:rPr>
          <w:rFonts w:cs="Verdana" w:hAnsi="Verdana" w:eastAsia="Verdana" w:ascii="Verdana"/>
          <w:color w:val="6F2F9F"/>
          <w:w w:val="106"/>
          <w:position w:val="6"/>
          <w:sz w:val="10"/>
          <w:szCs w:val="10"/>
        </w:rPr>
        <w:t>20</w:t>
      </w:r>
      <w:r>
        <w:rPr>
          <w:rFonts w:cs="Verdana" w:hAnsi="Verdana" w:eastAsia="Verdana" w:ascii="Verdana"/>
          <w:color w:val="6F2F9F"/>
          <w:w w:val="100"/>
          <w:position w:val="6"/>
          <w:sz w:val="10"/>
          <w:szCs w:val="10"/>
        </w:rPr>
        <w:t> 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Ibid at para 36.</w:t>
      </w:r>
      <w:r>
        <w:rPr>
          <w:rFonts w:cs="Verdana" w:hAnsi="Verdana" w:eastAsia="Verdana" w:ascii="Verdana"/>
          <w:color w:val="00000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5"/>
        <w:ind w:left="102"/>
        <w:sectPr>
          <w:pgMar w:header="0" w:footer="997" w:top="1380" w:bottom="280" w:left="1340" w:right="1320"/>
          <w:pgSz w:w="11920" w:h="16840"/>
        </w:sectPr>
      </w:pPr>
      <w:r>
        <w:rPr>
          <w:rFonts w:cs="Verdana" w:hAnsi="Verdana" w:eastAsia="Verdana" w:ascii="Verdana"/>
          <w:color w:val="6F2F9F"/>
          <w:w w:val="106"/>
          <w:position w:val="6"/>
          <w:sz w:val="10"/>
          <w:szCs w:val="10"/>
        </w:rPr>
        <w:t>21</w:t>
      </w:r>
      <w:r>
        <w:rPr>
          <w:rFonts w:cs="Verdana" w:hAnsi="Verdana" w:eastAsia="Verdana" w:ascii="Verdana"/>
          <w:color w:val="6F2F9F"/>
          <w:w w:val="100"/>
          <w:position w:val="6"/>
          <w:sz w:val="10"/>
          <w:szCs w:val="10"/>
        </w:rPr>
        <w:t> 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Ibid at para 37.</w:t>
      </w:r>
      <w:r>
        <w:rPr>
          <w:rFonts w:cs="Verdana" w:hAnsi="Verdana" w:eastAsia="Verdana" w:ascii="Verdana"/>
          <w:color w:val="00000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48" w:lineRule="auto" w:line="289"/>
        <w:ind w:left="102" w:right="300"/>
      </w:pPr>
      <w:r>
        <w:rPr>
          <w:rFonts w:cs="Verdana" w:hAnsi="Verdana" w:eastAsia="Verdana" w:ascii="Verdana"/>
          <w:sz w:val="24"/>
          <w:szCs w:val="24"/>
        </w:rPr>
        <w:t>measures, to protect children from the illicit use of narcotic drugs and</w:t>
      </w:r>
      <w:r>
        <w:rPr>
          <w:rFonts w:cs="Verdana" w:hAnsi="Verdana" w:eastAsia="Verdana" w:ascii="Verdana"/>
          <w:sz w:val="24"/>
          <w:szCs w:val="24"/>
        </w:rPr>
        <w:t> psychotropic substances as defined in the relevant international treaties,</w:t>
      </w:r>
      <w:r>
        <w:rPr>
          <w:rFonts w:cs="Verdana" w:hAnsi="Verdana" w:eastAsia="Verdana" w:ascii="Verdana"/>
          <w:sz w:val="24"/>
          <w:szCs w:val="24"/>
        </w:rPr>
        <w:t> and to prevent the use of children in the illicit production and trafficking</w:t>
      </w:r>
      <w:r>
        <w:rPr>
          <w:rFonts w:cs="Verdana" w:hAnsi="Verdana" w:eastAsia="Verdana" w:ascii="Verdana"/>
          <w:sz w:val="24"/>
          <w:szCs w:val="24"/>
        </w:rPr>
        <w:t> of such substances.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2"/>
      </w:pPr>
      <w:r>
        <w:rPr>
          <w:rFonts w:cs="Verdana" w:hAnsi="Verdana" w:eastAsia="Verdana" w:ascii="Verdana"/>
          <w:sz w:val="24"/>
          <w:szCs w:val="24"/>
        </w:rPr>
        <w:t>In General Comment No.3, the UN CRC Committee confirmed that Article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60" w:lineRule="auto" w:line="290"/>
        <w:ind w:left="102" w:right="370"/>
      </w:pPr>
      <w:r>
        <w:rPr>
          <w:rFonts w:cs="Verdana" w:hAnsi="Verdana" w:eastAsia="Verdana" w:ascii="Verdana"/>
          <w:sz w:val="24"/>
          <w:szCs w:val="24"/>
        </w:rPr>
        <w:t>33 is to be read alongside Article 24, concerning the right of the child to</w:t>
      </w:r>
      <w:r>
        <w:rPr>
          <w:rFonts w:cs="Verdana" w:hAnsi="Verdana" w:eastAsia="Verdana" w:ascii="Verdana"/>
          <w:sz w:val="24"/>
          <w:szCs w:val="24"/>
        </w:rPr>
        <w:t> the enjoyment of the highest attainable standard of health. It states: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lineRule="auto" w:line="287"/>
        <w:ind w:left="823" w:right="79"/>
      </w:pPr>
      <w:r>
        <w:rPr>
          <w:rFonts w:cs="Verdana" w:hAnsi="Verdana" w:eastAsia="Verdana" w:ascii="Verdana"/>
          <w:sz w:val="24"/>
          <w:szCs w:val="24"/>
        </w:rPr>
        <w:t>“Consistent with the rights of children under articles 33 and 24 of</w:t>
      </w:r>
      <w:r>
        <w:rPr>
          <w:rFonts w:cs="Verdana" w:hAnsi="Verdana" w:eastAsia="Verdana" w:ascii="Verdana"/>
          <w:sz w:val="24"/>
          <w:szCs w:val="24"/>
        </w:rPr>
        <w:t> </w:t>
      </w:r>
      <w:r>
        <w:rPr>
          <w:rFonts w:cs="Verdana" w:hAnsi="Verdana" w:eastAsia="Verdana" w:ascii="Verdana"/>
          <w:sz w:val="24"/>
          <w:szCs w:val="24"/>
        </w:rPr>
        <w:t>the Convention,States parties are obligated to ensure the</w:t>
      </w:r>
      <w:r>
        <w:rPr>
          <w:rFonts w:cs="Verdana" w:hAnsi="Verdana" w:eastAsia="Verdana" w:ascii="Verdana"/>
          <w:sz w:val="24"/>
          <w:szCs w:val="24"/>
        </w:rPr>
        <w:t> implementation of programmes which aim to reduce the factors that</w:t>
      </w:r>
      <w:r>
        <w:rPr>
          <w:rFonts w:cs="Verdana" w:hAnsi="Verdana" w:eastAsia="Verdana" w:ascii="Verdana"/>
          <w:sz w:val="24"/>
          <w:szCs w:val="24"/>
        </w:rPr>
        <w:t> expose children to the use of substances, as well as those that</w:t>
      </w:r>
      <w:r>
        <w:rPr>
          <w:rFonts w:cs="Verdana" w:hAnsi="Verdana" w:eastAsia="Verdana" w:ascii="Verdana"/>
          <w:sz w:val="24"/>
          <w:szCs w:val="24"/>
        </w:rPr>
        <w:t> provide treatment and support to children who are abusing</w:t>
      </w:r>
      <w:r>
        <w:rPr>
          <w:rFonts w:cs="Verdana" w:hAnsi="Verdana" w:eastAsia="Verdana" w:ascii="Verdana"/>
          <w:sz w:val="24"/>
          <w:szCs w:val="24"/>
        </w:rPr>
        <w:t> </w:t>
      </w:r>
      <w:r>
        <w:rPr>
          <w:rFonts w:cs="Verdana" w:hAnsi="Verdana" w:eastAsia="Verdana" w:ascii="Verdana"/>
          <w:sz w:val="24"/>
          <w:szCs w:val="24"/>
        </w:rPr>
        <w:t>substances.”</w:t>
      </w:r>
      <w:r>
        <w:rPr>
          <w:rFonts w:cs="Verdana" w:hAnsi="Verdana" w:eastAsia="Verdana" w:ascii="Verdana"/>
          <w:position w:val="8"/>
          <w:sz w:val="16"/>
          <w:szCs w:val="16"/>
        </w:rPr>
        <w:t>22</w:t>
      </w:r>
      <w:r>
        <w:rPr>
          <w:rFonts w:cs="Verdana" w:hAnsi="Verdana" w:eastAsia="Verdana" w:ascii="Verdana"/>
          <w:position w:val="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auto" w:line="289"/>
        <w:ind w:left="102" w:right="138"/>
      </w:pPr>
      <w:r>
        <w:rPr>
          <w:rFonts w:cs="Verdana" w:hAnsi="Verdana" w:eastAsia="Verdana" w:ascii="Verdana"/>
          <w:sz w:val="24"/>
          <w:szCs w:val="24"/>
        </w:rPr>
        <w:t>While there has not been a General Comment on Article 33, the UN CRC</w:t>
      </w:r>
      <w:r>
        <w:rPr>
          <w:rFonts w:cs="Verdana" w:hAnsi="Verdana" w:eastAsia="Verdana" w:ascii="Verdana"/>
          <w:sz w:val="24"/>
          <w:szCs w:val="24"/>
        </w:rPr>
        <w:t> Committee has recommended within its Concluding Observations that</w:t>
      </w:r>
      <w:r>
        <w:rPr>
          <w:rFonts w:cs="Verdana" w:hAnsi="Verdana" w:eastAsia="Verdana" w:ascii="Verdana"/>
          <w:sz w:val="24"/>
          <w:szCs w:val="24"/>
        </w:rPr>
        <w:t> children should receive accurate and objective information on drugs.</w:t>
      </w:r>
      <w:r>
        <w:rPr>
          <w:rFonts w:cs="Verdana" w:hAnsi="Verdana" w:eastAsia="Verdana" w:ascii="Verdana"/>
          <w:position w:val="8"/>
          <w:sz w:val="16"/>
          <w:szCs w:val="16"/>
        </w:rPr>
        <w:t>23 </w:t>
      </w:r>
      <w:r>
        <w:rPr>
          <w:rFonts w:cs="Verdana" w:hAnsi="Verdana" w:eastAsia="Verdana" w:ascii="Verdana"/>
          <w:position w:val="0"/>
          <w:sz w:val="24"/>
          <w:szCs w:val="24"/>
        </w:rPr>
        <w:t>In</w:t>
      </w:r>
      <w:r>
        <w:rPr>
          <w:rFonts w:cs="Verdana" w:hAnsi="Verdana" w:eastAsia="Verdana" w:ascii="Verdana"/>
          <w:position w:val="0"/>
          <w:sz w:val="24"/>
          <w:szCs w:val="24"/>
        </w:rPr>
        <w:t> addition, the 2015 annual report of the UN High Commissioner for Human</w:t>
      </w:r>
      <w:r>
        <w:rPr>
          <w:rFonts w:cs="Verdana" w:hAnsi="Verdana" w:eastAsia="Verdana" w:ascii="Verdana"/>
          <w:position w:val="0"/>
          <w:sz w:val="24"/>
          <w:szCs w:val="24"/>
        </w:rPr>
        <w:t> Rights presented to the UN Human Rights Council recommended that,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lineRule="auto" w:line="289"/>
        <w:ind w:left="823" w:right="283"/>
      </w:pPr>
      <w:r>
        <w:rPr>
          <w:rFonts w:cs="Verdana" w:hAnsi="Verdana" w:eastAsia="Verdana" w:ascii="Verdana"/>
          <w:sz w:val="24"/>
          <w:szCs w:val="24"/>
        </w:rPr>
        <w:t>“</w:t>
      </w:r>
      <w:r>
        <w:rPr>
          <w:rFonts w:cs="Verdana" w:hAnsi="Verdana" w:eastAsia="Verdana" w:ascii="Verdana"/>
          <w:sz w:val="24"/>
          <w:szCs w:val="24"/>
        </w:rPr>
        <w:t>The rights of the child should be protected by focusing on</w:t>
      </w:r>
      <w:r>
        <w:rPr>
          <w:rFonts w:cs="Verdana" w:hAnsi="Verdana" w:eastAsia="Verdana" w:ascii="Verdana"/>
          <w:sz w:val="24"/>
          <w:szCs w:val="24"/>
        </w:rPr>
        <w:t> prevention and communicating in a child-friendly and age-</w:t>
      </w:r>
      <w:r>
        <w:rPr>
          <w:rFonts w:cs="Verdana" w:hAnsi="Verdana" w:eastAsia="Verdana" w:ascii="Verdana"/>
          <w:sz w:val="24"/>
          <w:szCs w:val="24"/>
        </w:rPr>
        <w:t> appropriate manner, including on the risks of transmitting HIV and</w:t>
      </w:r>
      <w:r>
        <w:rPr>
          <w:rFonts w:cs="Verdana" w:hAnsi="Verdana" w:eastAsia="Verdana" w:ascii="Verdana"/>
          <w:sz w:val="24"/>
          <w:szCs w:val="24"/>
        </w:rPr>
        <w:t> other blood-borne viruses through injecting drug use. Children</w:t>
      </w:r>
      <w:r>
        <w:rPr>
          <w:rFonts w:cs="Verdana" w:hAnsi="Verdana" w:eastAsia="Verdana" w:ascii="Verdana"/>
          <w:sz w:val="24"/>
          <w:szCs w:val="24"/>
        </w:rPr>
        <w:t> should not be subjected to criminal prosecution, but responses</w:t>
      </w:r>
      <w:r>
        <w:rPr>
          <w:rFonts w:cs="Verdana" w:hAnsi="Verdana" w:eastAsia="Verdana" w:ascii="Verdana"/>
          <w:sz w:val="24"/>
          <w:szCs w:val="24"/>
        </w:rPr>
        <w:t> should focus on health education,treatment, including harm</w:t>
      </w:r>
      <w:r>
        <w:rPr>
          <w:rFonts w:cs="Verdana" w:hAnsi="Verdana" w:eastAsia="Verdana" w:ascii="Verdana"/>
          <w:sz w:val="24"/>
          <w:szCs w:val="24"/>
        </w:rPr>
        <w:t> reduction programmes, and social re-integration.</w:t>
      </w:r>
      <w:r>
        <w:rPr>
          <w:rFonts w:cs="Verdana" w:hAnsi="Verdana" w:eastAsia="Verdana" w:ascii="Verdana"/>
          <w:sz w:val="24"/>
          <w:szCs w:val="24"/>
        </w:rPr>
        <w:t>”</w:t>
      </w:r>
      <w:r>
        <w:rPr>
          <w:rFonts w:cs="Verdana" w:hAnsi="Verdana" w:eastAsia="Verdana" w:ascii="Verdana"/>
          <w:position w:val="8"/>
          <w:sz w:val="16"/>
          <w:szCs w:val="16"/>
        </w:rPr>
        <w:t>24</w:t>
      </w:r>
      <w:r>
        <w:rPr>
          <w:rFonts w:cs="Verdana" w:hAnsi="Verdana" w:eastAsia="Verdana" w:ascii="Verdana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2"/>
      </w:pPr>
      <w:r>
        <w:rPr>
          <w:rFonts w:cs="Verdana" w:hAnsi="Verdana" w:eastAsia="Verdana" w:ascii="Verdana"/>
          <w:b/>
          <w:sz w:val="24"/>
          <w:szCs w:val="24"/>
        </w:rPr>
        <w:t>UN Sustainable Development Goals</w:t>
      </w:r>
      <w:r>
        <w:rPr>
          <w:rFonts w:cs="Verdana" w:hAnsi="Verdana" w:eastAsia="Verdana" w:ascii="Verdana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60" w:lineRule="auto" w:line="289"/>
        <w:ind w:left="102" w:right="351"/>
      </w:pPr>
      <w:r>
        <w:rPr>
          <w:rFonts w:cs="Verdana" w:hAnsi="Verdana" w:eastAsia="Verdana" w:ascii="Verdana"/>
          <w:sz w:val="24"/>
          <w:szCs w:val="24"/>
        </w:rPr>
        <w:t>The Sustainable Development Goals (SDGs), also known as the Global</w:t>
      </w:r>
      <w:r>
        <w:rPr>
          <w:rFonts w:cs="Verdana" w:hAnsi="Verdana" w:eastAsia="Verdana" w:ascii="Verdana"/>
          <w:sz w:val="24"/>
          <w:szCs w:val="24"/>
        </w:rPr>
        <w:t> Goals, were adopted by the United Nations in 2015 as a universal call to</w:t>
      </w:r>
      <w:r>
        <w:rPr>
          <w:rFonts w:cs="Verdana" w:hAnsi="Verdana" w:eastAsia="Verdana" w:ascii="Verdana"/>
          <w:sz w:val="24"/>
          <w:szCs w:val="24"/>
        </w:rPr>
        <w:t> action to end poverty, protect the planet, and ensure that by 2030 all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exact" w:line="280"/>
        <w:ind w:left="102"/>
      </w:pPr>
      <w:r>
        <w:pict>
          <v:group style="position:absolute;margin-left:72.1pt;margin-top:26.8645pt;width:144.2pt;height:0pt;mso-position-horizontal-relative:page;mso-position-vertical-relative:paragraph;z-index:-419" coordorigin="1442,537" coordsize="2884,0">
            <v:shape style="position:absolute;left:1442;top:537;width:2884;height:0" coordorigin="1442,537" coordsize="2884,0" path="m1442,537l4326,537e" filled="f" stroked="t" strokeweight="0.89999pt" strokecolor="#00000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position w:val="-2"/>
          <w:sz w:val="24"/>
          <w:szCs w:val="24"/>
        </w:rPr>
        <w:t>people enjoy peace and prosperity. The SDGs are universal with all</w:t>
      </w:r>
      <w:r>
        <w:rPr>
          <w:rFonts w:cs="Verdana" w:hAnsi="Verdana" w:eastAsia="Verdana" w:ascii="Verdana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2" w:lineRule="auto" w:line="276"/>
        <w:ind w:left="102" w:right="302"/>
      </w:pPr>
      <w:r>
        <w:rPr>
          <w:rFonts w:cs="Verdana" w:hAnsi="Verdana" w:eastAsia="Verdana" w:ascii="Verdana"/>
          <w:color w:val="6F2F9F"/>
          <w:w w:val="106"/>
          <w:position w:val="6"/>
          <w:sz w:val="10"/>
          <w:szCs w:val="10"/>
        </w:rPr>
        <w:t>22</w:t>
      </w:r>
      <w:r>
        <w:rPr>
          <w:rFonts w:cs="Verdana" w:hAnsi="Verdana" w:eastAsia="Verdana" w:ascii="Verdana"/>
          <w:color w:val="6F2F9F"/>
          <w:w w:val="100"/>
          <w:position w:val="6"/>
          <w:sz w:val="10"/>
          <w:szCs w:val="10"/>
        </w:rPr>
        <w:t> 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CRC/GC/2003/3 Committee on the Rights of the Child, ‘General Comment No. 3 : HIV/AIDS and the Rights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 of the Child’ (2003) at para 39.</w:t>
      </w:r>
      <w:r>
        <w:rPr>
          <w:rFonts w:cs="Verdana" w:hAnsi="Verdana" w:eastAsia="Verdana" w:ascii="Verdana"/>
          <w:color w:val="00000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16" w:lineRule="auto" w:line="296"/>
        <w:ind w:left="102" w:right="663"/>
      </w:pPr>
      <w:r>
        <w:rPr>
          <w:rFonts w:cs="Verdana" w:hAnsi="Verdana" w:eastAsia="Verdana" w:ascii="Verdana"/>
          <w:color w:val="6F2F9F"/>
          <w:w w:val="106"/>
          <w:position w:val="6"/>
          <w:sz w:val="10"/>
          <w:szCs w:val="10"/>
        </w:rPr>
        <w:t>23</w:t>
      </w:r>
      <w:r>
        <w:rPr>
          <w:rFonts w:cs="Verdana" w:hAnsi="Verdana" w:eastAsia="Verdana" w:ascii="Verdana"/>
          <w:color w:val="6F2F9F"/>
          <w:w w:val="100"/>
          <w:position w:val="6"/>
          <w:sz w:val="10"/>
          <w:szCs w:val="10"/>
        </w:rPr>
        <w:t> 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CRC/C/UKR/CO/4, Committee on the Rights of the Child, Fifty-sixth session, Concluding Observations: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 Ukraine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’ 21 April 2011 at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paras. 60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–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63.</w:t>
      </w:r>
      <w:r>
        <w:rPr>
          <w:rFonts w:cs="Verdana" w:hAnsi="Verdana" w:eastAsia="Verdana" w:ascii="Verdana"/>
          <w:color w:val="00000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lineRule="exact" w:line="160"/>
        <w:ind w:left="102"/>
      </w:pPr>
      <w:r>
        <w:rPr>
          <w:rFonts w:cs="Verdana" w:hAnsi="Verdana" w:eastAsia="Verdana" w:ascii="Verdana"/>
          <w:color w:val="6F2F9F"/>
          <w:w w:val="106"/>
          <w:position w:val="6"/>
          <w:sz w:val="10"/>
          <w:szCs w:val="10"/>
        </w:rPr>
        <w:t>24</w:t>
      </w:r>
      <w:r>
        <w:rPr>
          <w:rFonts w:cs="Verdana" w:hAnsi="Verdana" w:eastAsia="Verdana" w:ascii="Verdana"/>
          <w:color w:val="6F2F9F"/>
          <w:w w:val="100"/>
          <w:position w:val="6"/>
          <w:sz w:val="10"/>
          <w:szCs w:val="10"/>
        </w:rPr>
        <w:t> 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A/HRC/30/65 Report of the United Nations High Commissioner for Human Rights, ‘Study on the impact of the</w:t>
      </w:r>
      <w:r>
        <w:rPr>
          <w:rFonts w:cs="Verdana" w:hAnsi="Verdana" w:eastAsia="Verdana" w:ascii="Verdana"/>
          <w:color w:val="00000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5"/>
        <w:ind w:left="102"/>
        <w:sectPr>
          <w:pgMar w:header="0" w:footer="997" w:top="1380" w:bottom="280" w:left="1340" w:right="1320"/>
          <w:pgSz w:w="11920" w:h="16840"/>
        </w:sectPr>
      </w:pPr>
      <w:r>
        <w:rPr>
          <w:rFonts w:cs="Verdana" w:hAnsi="Verdana" w:eastAsia="Verdana" w:ascii="Verdana"/>
          <w:color w:val="6F2F9F"/>
          <w:sz w:val="16"/>
          <w:szCs w:val="16"/>
        </w:rPr>
        <w:t>world drug problem on the enjoyment of human rights’ 2 September 2015 at para 66.</w:t>
      </w:r>
      <w:r>
        <w:rPr>
          <w:rFonts w:cs="Verdana" w:hAnsi="Verdana" w:eastAsia="Verdana" w:ascii="Verdana"/>
          <w:color w:val="000000"/>
          <w:sz w:val="16"/>
          <w:szCs w:val="16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48" w:lineRule="auto" w:line="289"/>
        <w:ind w:left="102" w:right="105"/>
      </w:pPr>
      <w:r>
        <w:rPr>
          <w:rFonts w:cs="Verdana" w:hAnsi="Verdana" w:eastAsia="Verdana" w:ascii="Verdana"/>
          <w:sz w:val="24"/>
          <w:szCs w:val="24"/>
        </w:rPr>
        <w:t>signatories expected to contribute to them internationally and deliver</w:t>
      </w:r>
      <w:r>
        <w:rPr>
          <w:rFonts w:cs="Verdana" w:hAnsi="Verdana" w:eastAsia="Verdana" w:ascii="Verdana"/>
          <w:sz w:val="24"/>
          <w:szCs w:val="24"/>
        </w:rPr>
        <w:t> them domestically. SDG 3 highlights that good health and well-being is</w:t>
      </w:r>
      <w:r>
        <w:rPr>
          <w:rFonts w:cs="Verdana" w:hAnsi="Verdana" w:eastAsia="Verdana" w:ascii="Verdana"/>
          <w:sz w:val="24"/>
          <w:szCs w:val="24"/>
        </w:rPr>
        <w:t> essential to sustainable development and contains a target t</w:t>
      </w:r>
      <w:r>
        <w:rPr>
          <w:rFonts w:cs="Verdana" w:hAnsi="Verdana" w:eastAsia="Verdana" w:ascii="Verdana"/>
          <w:sz w:val="24"/>
          <w:szCs w:val="24"/>
        </w:rPr>
        <w:t>o “s</w:t>
      </w:r>
      <w:r>
        <w:rPr>
          <w:rFonts w:cs="Verdana" w:hAnsi="Verdana" w:eastAsia="Verdana" w:ascii="Verdana"/>
          <w:sz w:val="24"/>
          <w:szCs w:val="24"/>
        </w:rPr>
        <w:t>trengthen</w:t>
      </w:r>
      <w:r>
        <w:rPr>
          <w:rFonts w:cs="Verdana" w:hAnsi="Verdana" w:eastAsia="Verdana" w:ascii="Verdana"/>
          <w:sz w:val="24"/>
          <w:szCs w:val="24"/>
        </w:rPr>
        <w:t> the prevention and treatment of substance abuse, including narcotic drug</w:t>
      </w:r>
      <w:r>
        <w:rPr>
          <w:rFonts w:cs="Verdana" w:hAnsi="Verdana" w:eastAsia="Verdana" w:ascii="Verdana"/>
          <w:sz w:val="24"/>
          <w:szCs w:val="24"/>
        </w:rPr>
        <w:t> abuse and harmful use of alcohol</w:t>
      </w:r>
      <w:r>
        <w:rPr>
          <w:rFonts w:cs="Verdana" w:hAnsi="Verdana" w:eastAsia="Verdana" w:ascii="Verdana"/>
          <w:sz w:val="24"/>
          <w:szCs w:val="24"/>
        </w:rPr>
        <w:t>”.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2"/>
      </w:pPr>
      <w:r>
        <w:rPr>
          <w:rFonts w:cs="Verdana" w:hAnsi="Verdana" w:eastAsia="Verdana" w:ascii="Verdana"/>
          <w:b/>
          <w:sz w:val="24"/>
          <w:szCs w:val="24"/>
        </w:rPr>
        <w:t>UN Office on Drugs and Crime</w:t>
      </w:r>
      <w:r>
        <w:rPr>
          <w:rFonts w:cs="Verdana" w:hAnsi="Verdana" w:eastAsia="Verdana" w:ascii="Verdana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61" w:lineRule="auto" w:line="289"/>
        <w:ind w:left="102" w:right="418"/>
      </w:pPr>
      <w:r>
        <w:rPr>
          <w:rFonts w:cs="Verdana" w:hAnsi="Verdana" w:eastAsia="Verdana" w:ascii="Verdana"/>
          <w:sz w:val="24"/>
          <w:szCs w:val="24"/>
        </w:rPr>
        <w:t>There are three international drug control conventions; the 1961 Single</w:t>
      </w:r>
      <w:r>
        <w:rPr>
          <w:rFonts w:cs="Verdana" w:hAnsi="Verdana" w:eastAsia="Verdana" w:ascii="Verdana"/>
          <w:sz w:val="24"/>
          <w:szCs w:val="24"/>
        </w:rPr>
        <w:t> Convention on Narcotic Drugs (as amended); the 1971 Convention on</w:t>
      </w:r>
      <w:r>
        <w:rPr>
          <w:rFonts w:cs="Verdana" w:hAnsi="Verdana" w:eastAsia="Verdana" w:ascii="Verdana"/>
          <w:sz w:val="24"/>
          <w:szCs w:val="24"/>
        </w:rPr>
        <w:t> Psychotropic Substances; and the 1988 United Nations Convention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auto" w:line="285"/>
        <w:ind w:left="102" w:right="144"/>
      </w:pPr>
      <w:r>
        <w:rPr>
          <w:rFonts w:cs="Verdana" w:hAnsi="Verdana" w:eastAsia="Verdana" w:ascii="Verdana"/>
          <w:sz w:val="24"/>
          <w:szCs w:val="24"/>
        </w:rPr>
        <w:t>against Illicit Traffic in Narcotic Drugs and Psychotropic Substances.</w:t>
      </w:r>
      <w:r>
        <w:rPr>
          <w:rFonts w:cs="Verdana" w:hAnsi="Verdana" w:eastAsia="Verdana" w:ascii="Verdana"/>
          <w:position w:val="8"/>
          <w:sz w:val="16"/>
          <w:szCs w:val="16"/>
        </w:rPr>
        <w:t>25 </w:t>
      </w:r>
      <w:r>
        <w:rPr>
          <w:rFonts w:cs="Verdana" w:hAnsi="Verdana" w:eastAsia="Verdana" w:ascii="Verdana"/>
          <w:position w:val="0"/>
          <w:sz w:val="24"/>
          <w:szCs w:val="24"/>
        </w:rPr>
        <w:t>The</w:t>
      </w:r>
      <w:r>
        <w:rPr>
          <w:rFonts w:cs="Verdana" w:hAnsi="Verdana" w:eastAsia="Verdana" w:ascii="Verdana"/>
          <w:position w:val="0"/>
          <w:sz w:val="24"/>
          <w:szCs w:val="24"/>
        </w:rPr>
        <w:t> UN drug conventions have two core goals: preventing the production,</w:t>
      </w:r>
      <w:r>
        <w:rPr>
          <w:rFonts w:cs="Verdana" w:hAnsi="Verdana" w:eastAsia="Verdana" w:ascii="Verdana"/>
          <w:position w:val="0"/>
          <w:sz w:val="24"/>
          <w:szCs w:val="24"/>
        </w:rPr>
        <w:t> supply and use of specific drugs for non-medical or scientific purposes,</w:t>
      </w:r>
      <w:r>
        <w:rPr>
          <w:rFonts w:cs="Verdana" w:hAnsi="Verdana" w:eastAsia="Verdana" w:ascii="Verdana"/>
          <w:position w:val="0"/>
          <w:sz w:val="24"/>
          <w:szCs w:val="24"/>
        </w:rPr>
        <w:t> </w:t>
      </w:r>
      <w:r>
        <w:rPr>
          <w:rFonts w:cs="Verdana" w:hAnsi="Verdana" w:eastAsia="Verdana" w:ascii="Verdana"/>
          <w:position w:val="0"/>
          <w:sz w:val="24"/>
          <w:szCs w:val="24"/>
        </w:rPr>
        <w:t>and ensuring a limited supply of those ‘controlled’ drugs for legal use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5"/>
        <w:ind w:left="102"/>
      </w:pPr>
      <w:r>
        <w:rPr>
          <w:rFonts w:cs="Verdana" w:hAnsi="Verdana" w:eastAsia="Verdana" w:ascii="Verdana"/>
          <w:sz w:val="24"/>
          <w:szCs w:val="24"/>
        </w:rPr>
        <w:t>(e.g. pain relief).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auto" w:line="288"/>
        <w:ind w:left="102" w:right="248"/>
      </w:pPr>
      <w:r>
        <w:rPr>
          <w:rFonts w:cs="Verdana" w:hAnsi="Verdana" w:eastAsia="Verdana" w:ascii="Verdana"/>
          <w:sz w:val="24"/>
          <w:szCs w:val="24"/>
        </w:rPr>
        <w:t>The Commission on Narcotic Drugs (CND) is responsible for deciding on</w:t>
      </w:r>
      <w:r>
        <w:rPr>
          <w:rFonts w:cs="Verdana" w:hAnsi="Verdana" w:eastAsia="Verdana" w:ascii="Verdana"/>
          <w:sz w:val="24"/>
          <w:szCs w:val="24"/>
        </w:rPr>
        <w:t> any changes to the schedules or amendments to the three conventions,</w:t>
      </w:r>
      <w:r>
        <w:rPr>
          <w:rFonts w:cs="Verdana" w:hAnsi="Verdana" w:eastAsia="Verdana" w:ascii="Verdana"/>
          <w:sz w:val="24"/>
          <w:szCs w:val="24"/>
        </w:rPr>
        <w:t> as well as providing policy guidance in the form of resolutions. Several</w:t>
      </w:r>
      <w:r>
        <w:rPr>
          <w:rFonts w:cs="Verdana" w:hAnsi="Verdana" w:eastAsia="Verdana" w:ascii="Verdana"/>
          <w:sz w:val="24"/>
          <w:szCs w:val="24"/>
        </w:rPr>
        <w:t> resolutions recognise that drug prevention efforts are essential to</w:t>
      </w:r>
      <w:r>
        <w:rPr>
          <w:rFonts w:cs="Verdana" w:hAnsi="Verdana" w:eastAsia="Verdana" w:ascii="Verdana"/>
          <w:sz w:val="24"/>
          <w:szCs w:val="24"/>
        </w:rPr>
        <w:t> reducing demand and ensuring social welfare as part of a balanced</w:t>
      </w:r>
      <w:r>
        <w:rPr>
          <w:rFonts w:cs="Verdana" w:hAnsi="Verdana" w:eastAsia="Verdana" w:ascii="Verdana"/>
          <w:sz w:val="24"/>
          <w:szCs w:val="24"/>
        </w:rPr>
        <w:t> approach to drug control and public health.</w:t>
      </w:r>
      <w:r>
        <w:rPr>
          <w:rFonts w:cs="Verdana" w:hAnsi="Verdana" w:eastAsia="Verdana" w:ascii="Verdana"/>
          <w:position w:val="8"/>
          <w:sz w:val="16"/>
          <w:szCs w:val="16"/>
        </w:rPr>
        <w:t>26 </w:t>
      </w:r>
      <w:r>
        <w:rPr>
          <w:rFonts w:cs="Verdana" w:hAnsi="Verdana" w:eastAsia="Verdana" w:ascii="Verdana"/>
          <w:position w:val="0"/>
          <w:sz w:val="24"/>
          <w:szCs w:val="24"/>
        </w:rPr>
        <w:t>Concerns have been raised</w:t>
      </w:r>
      <w:r>
        <w:rPr>
          <w:rFonts w:cs="Verdana" w:hAnsi="Verdana" w:eastAsia="Verdana" w:ascii="Verdana"/>
          <w:position w:val="0"/>
          <w:sz w:val="24"/>
          <w:szCs w:val="24"/>
        </w:rPr>
        <w:t> that the effectiveness of drug abuse prevention programmes and policies</w:t>
      </w:r>
      <w:r>
        <w:rPr>
          <w:rFonts w:cs="Verdana" w:hAnsi="Verdana" w:eastAsia="Verdana" w:ascii="Verdana"/>
          <w:position w:val="0"/>
          <w:sz w:val="24"/>
          <w:szCs w:val="24"/>
        </w:rPr>
        <w:t> is only evaluated in a very small minority of cases, and often the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2"/>
        <w:ind w:left="102"/>
      </w:pPr>
      <w:r>
        <w:rPr>
          <w:rFonts w:cs="Verdana" w:hAnsi="Verdana" w:eastAsia="Verdana" w:ascii="Verdana"/>
          <w:sz w:val="24"/>
          <w:szCs w:val="24"/>
        </w:rPr>
        <w:t>coverage of programmes based on sound scientific-evidence is not known.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auto" w:line="290"/>
        <w:ind w:left="102" w:right="120"/>
      </w:pPr>
      <w:r>
        <w:rPr>
          <w:rFonts w:cs="Verdana" w:hAnsi="Verdana" w:eastAsia="Verdana" w:ascii="Verdana"/>
          <w:sz w:val="24"/>
          <w:szCs w:val="24"/>
        </w:rPr>
        <w:t>Resolution 57/3 states that drug abuse prevention efforts are “</w:t>
      </w:r>
      <w:r>
        <w:rPr>
          <w:rFonts w:cs="Verdana" w:hAnsi="Verdana" w:eastAsia="Verdana" w:ascii="Verdana"/>
          <w:sz w:val="24"/>
          <w:szCs w:val="24"/>
        </w:rPr>
        <w:t>most</w:t>
      </w:r>
      <w:r>
        <w:rPr>
          <w:rFonts w:cs="Verdana" w:hAnsi="Verdana" w:eastAsia="Verdana" w:ascii="Verdana"/>
          <w:sz w:val="24"/>
          <w:szCs w:val="24"/>
        </w:rPr>
        <w:t> successful when fully coordinated through a multisectoral approach in</w:t>
      </w:r>
      <w:r>
        <w:rPr>
          <w:rFonts w:cs="Verdana" w:hAnsi="Verdana" w:eastAsia="Verdana" w:ascii="Verdana"/>
          <w:sz w:val="24"/>
          <w:szCs w:val="24"/>
        </w:rPr>
        <w:t> which multiple government agencies and non-governmental organizations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exact" w:line="260"/>
        <w:ind w:left="102"/>
      </w:pPr>
      <w:r>
        <w:pict>
          <v:group style="position:absolute;margin-left:72.1pt;margin-top:32.4624pt;width:144.2pt;height:0pt;mso-position-horizontal-relative:page;mso-position-vertical-relative:paragraph;z-index:-418" coordorigin="1442,649" coordsize="2884,0">
            <v:shape style="position:absolute;left:1442;top:649;width:2884;height:0" coordorigin="1442,649" coordsize="2884,0" path="m1442,649l4326,649e" filled="f" stroked="t" strokeweight="0.89999pt" strokecolor="#00000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position w:val="-1"/>
          <w:sz w:val="24"/>
          <w:szCs w:val="24"/>
        </w:rPr>
        <w:t>participate and are provided with sufficient training and funding</w:t>
      </w:r>
      <w:r>
        <w:rPr>
          <w:rFonts w:cs="Verdana" w:hAnsi="Verdana" w:eastAsia="Verdana" w:ascii="Verdana"/>
          <w:position w:val="-1"/>
          <w:sz w:val="24"/>
          <w:szCs w:val="24"/>
        </w:rPr>
        <w:t>”.</w:t>
      </w:r>
      <w:r>
        <w:rPr>
          <w:rFonts w:cs="Verdana" w:hAnsi="Verdana" w:eastAsia="Verdana" w:ascii="Verdana"/>
          <w:position w:val="7"/>
          <w:sz w:val="16"/>
          <w:szCs w:val="16"/>
        </w:rPr>
        <w:t>27 </w:t>
      </w:r>
      <w:r>
        <w:rPr>
          <w:rFonts w:cs="Verdana" w:hAnsi="Verdana" w:eastAsia="Verdana" w:ascii="Verdana"/>
          <w:position w:val="-1"/>
          <w:sz w:val="24"/>
          <w:szCs w:val="24"/>
        </w:rPr>
        <w:t>It</w:t>
      </w:r>
      <w:r>
        <w:rPr>
          <w:rFonts w:cs="Verdana" w:hAnsi="Verdana" w:eastAsia="Verdana" w:ascii="Verdana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2" w:lineRule="auto" w:line="286"/>
        <w:ind w:left="102" w:right="127"/>
      </w:pPr>
      <w:r>
        <w:rPr>
          <w:rFonts w:cs="Verdana" w:hAnsi="Verdana" w:eastAsia="Verdana" w:ascii="Verdana"/>
          <w:color w:val="6F2F9F"/>
          <w:w w:val="106"/>
          <w:position w:val="6"/>
          <w:sz w:val="10"/>
          <w:szCs w:val="10"/>
        </w:rPr>
        <w:t>25</w:t>
      </w:r>
      <w:r>
        <w:rPr>
          <w:rFonts w:cs="Verdana" w:hAnsi="Verdana" w:eastAsia="Verdana" w:ascii="Verdana"/>
          <w:color w:val="6F2F9F"/>
          <w:w w:val="100"/>
          <w:position w:val="6"/>
          <w:sz w:val="10"/>
          <w:szCs w:val="10"/>
        </w:rPr>
        <w:t> 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Single Convention on Narcotic Drugs, 1961 (ratified by the UK in 1961); Protocol Amending the Single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 Convention on Narcotic Drugs 1972 (ratified by the UK in 1972); Convention on Psychotropic Substances, 1971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 (ratified by the UK in 1971); Convention Against the Illicit Traffic in Narcotic Drugs and Psychotropic</w:t>
      </w:r>
      <w:r>
        <w:rPr>
          <w:rFonts w:cs="Verdana" w:hAnsi="Verdana" w:eastAsia="Verdana" w:ascii="Verdana"/>
          <w:color w:val="00000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7"/>
        <w:ind w:left="102"/>
      </w:pPr>
      <w:r>
        <w:rPr>
          <w:rFonts w:cs="Verdana" w:hAnsi="Verdana" w:eastAsia="Verdana" w:ascii="Verdana"/>
          <w:color w:val="6F2F9F"/>
          <w:sz w:val="16"/>
          <w:szCs w:val="16"/>
        </w:rPr>
        <w:t>Substances 1988 (ratified by the UK in 1988).</w:t>
      </w:r>
      <w:r>
        <w:rPr>
          <w:rFonts w:cs="Verdana" w:hAnsi="Verdana" w:eastAsia="Verdana" w:ascii="Verdana"/>
          <w:color w:val="0000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29" w:lineRule="auto" w:line="296"/>
        <w:ind w:left="102" w:right="147"/>
      </w:pPr>
      <w:r>
        <w:rPr>
          <w:rFonts w:cs="Verdana" w:hAnsi="Verdana" w:eastAsia="Verdana" w:ascii="Verdana"/>
          <w:color w:val="6F2F9F"/>
          <w:w w:val="106"/>
          <w:position w:val="6"/>
          <w:sz w:val="10"/>
          <w:szCs w:val="10"/>
        </w:rPr>
        <w:t>26</w:t>
      </w:r>
      <w:r>
        <w:rPr>
          <w:rFonts w:cs="Verdana" w:hAnsi="Verdana" w:eastAsia="Verdana" w:ascii="Verdana"/>
          <w:color w:val="6F2F9F"/>
          <w:w w:val="100"/>
          <w:position w:val="6"/>
          <w:sz w:val="10"/>
          <w:szCs w:val="10"/>
        </w:rPr>
        <w:t> 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Commission on Narcotic Drugs,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Resolution 59/6 ‘Promoting prevention strategies and policies’ 19 April 2016;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 Resolution 53/1 ‘Promoting community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-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based drug use prevention’ 12 March 2010: Resolution 53/2</w:t>
      </w:r>
      <w:r>
        <w:rPr>
          <w:rFonts w:cs="Verdana" w:hAnsi="Verdana" w:eastAsia="Verdana" w:ascii="Verdana"/>
          <w:color w:val="00000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lineRule="exact" w:line="160"/>
        <w:ind w:left="102"/>
      </w:pPr>
      <w:r>
        <w:rPr>
          <w:rFonts w:cs="Verdana" w:hAnsi="Verdana" w:eastAsia="Verdana" w:ascii="Verdana"/>
          <w:color w:val="6F2F9F"/>
          <w:sz w:val="16"/>
          <w:szCs w:val="16"/>
        </w:rPr>
        <w:t>‘Preventing the use of illicit drugs within Member States and strengthening  intern</w:t>
      </w:r>
      <w:r>
        <w:rPr>
          <w:rFonts w:cs="Verdana" w:hAnsi="Verdana" w:eastAsia="Verdana" w:ascii="Verdana"/>
          <w:color w:val="6F2F9F"/>
          <w:sz w:val="16"/>
          <w:szCs w:val="16"/>
        </w:rPr>
        <w:t>ational cooperation on policies</w:t>
      </w:r>
      <w:r>
        <w:rPr>
          <w:rFonts w:cs="Verdana" w:hAnsi="Verdana" w:eastAsia="Verdana" w:ascii="Verdana"/>
          <w:color w:val="0000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6" w:lineRule="auto" w:line="289"/>
        <w:ind w:left="102" w:right="700"/>
      </w:pPr>
      <w:r>
        <w:rPr>
          <w:rFonts w:cs="Verdana" w:hAnsi="Verdana" w:eastAsia="Verdana" w:ascii="Verdana"/>
          <w:color w:val="6F2F9F"/>
          <w:sz w:val="16"/>
          <w:szCs w:val="16"/>
        </w:rPr>
        <w:t>of drug abuse prevention’ 12 March 2010: Resolution 55/10 ‘Promoting evidence</w:t>
      </w:r>
      <w:r>
        <w:rPr>
          <w:rFonts w:cs="Verdana" w:hAnsi="Verdana" w:eastAsia="Verdana" w:ascii="Verdana"/>
          <w:color w:val="6F2F9F"/>
          <w:sz w:val="16"/>
          <w:szCs w:val="16"/>
        </w:rPr>
        <w:t>-based drug prevention</w:t>
      </w:r>
      <w:r>
        <w:rPr>
          <w:rFonts w:cs="Verdana" w:hAnsi="Verdana" w:eastAsia="Verdana" w:ascii="Verdana"/>
          <w:color w:val="6F2F9F"/>
          <w:sz w:val="16"/>
          <w:szCs w:val="16"/>
        </w:rPr>
        <w:t> </w:t>
      </w:r>
      <w:r>
        <w:rPr>
          <w:rFonts w:cs="Verdana" w:hAnsi="Verdana" w:eastAsia="Verdana" w:ascii="Verdana"/>
          <w:color w:val="6F2F9F"/>
          <w:sz w:val="16"/>
          <w:szCs w:val="16"/>
        </w:rPr>
        <w:t>strategies and policies’ 16 March 2012:  Resolution 57/3 ‘Promoting prevention of drug abuse based on</w:t>
      </w:r>
      <w:r>
        <w:rPr>
          <w:rFonts w:cs="Verdana" w:hAnsi="Verdana" w:eastAsia="Verdana" w:ascii="Verdana"/>
          <w:color w:val="6F2F9F"/>
          <w:sz w:val="16"/>
          <w:szCs w:val="16"/>
        </w:rPr>
        <w:t> </w:t>
      </w:r>
      <w:r>
        <w:rPr>
          <w:rFonts w:cs="Verdana" w:hAnsi="Verdana" w:eastAsia="Verdana" w:ascii="Verdana"/>
          <w:color w:val="6F2F9F"/>
          <w:sz w:val="16"/>
          <w:szCs w:val="16"/>
        </w:rPr>
        <w:t>scientific evidence as an investment in the well-being of children, adolescents, youth, families and</w:t>
      </w:r>
      <w:r>
        <w:rPr>
          <w:rFonts w:cs="Verdana" w:hAnsi="Verdana" w:eastAsia="Verdana" w:ascii="Verdana"/>
          <w:color w:val="6F2F9F"/>
          <w:sz w:val="16"/>
          <w:szCs w:val="16"/>
        </w:rPr>
        <w:t> </w:t>
      </w:r>
      <w:r>
        <w:rPr>
          <w:rFonts w:cs="Verdana" w:hAnsi="Verdana" w:eastAsia="Verdana" w:ascii="Verdana"/>
          <w:color w:val="6F2F9F"/>
          <w:sz w:val="16"/>
          <w:szCs w:val="16"/>
        </w:rPr>
        <w:t>communities’ 21 March 2014</w:t>
      </w:r>
      <w:r>
        <w:rPr>
          <w:rFonts w:cs="Verdana" w:hAnsi="Verdana" w:eastAsia="Verdana" w:ascii="Verdana"/>
          <w:color w:val="6F2F9F"/>
          <w:sz w:val="16"/>
          <w:szCs w:val="16"/>
        </w:rPr>
        <w:t>.</w:t>
      </w:r>
      <w:r>
        <w:rPr>
          <w:rFonts w:cs="Verdana" w:hAnsi="Verdana" w:eastAsia="Verdana" w:ascii="Verdana"/>
          <w:color w:val="0000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lineRule="exact" w:line="180"/>
        <w:ind w:left="102"/>
      </w:pPr>
      <w:r>
        <w:rPr>
          <w:rFonts w:cs="Verdana" w:hAnsi="Verdana" w:eastAsia="Verdana" w:ascii="Verdana"/>
          <w:color w:val="6F2F9F"/>
          <w:w w:val="106"/>
          <w:position w:val="6"/>
          <w:sz w:val="10"/>
          <w:szCs w:val="10"/>
        </w:rPr>
        <w:t>27</w:t>
      </w:r>
      <w:r>
        <w:rPr>
          <w:rFonts w:cs="Verdana" w:hAnsi="Verdana" w:eastAsia="Verdana" w:ascii="Verdana"/>
          <w:color w:val="6F2F9F"/>
          <w:w w:val="100"/>
          <w:position w:val="6"/>
          <w:sz w:val="10"/>
          <w:szCs w:val="10"/>
        </w:rPr>
        <w:t> 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CND, Resolution 57/3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‘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Promoting prevention of drug abuse based on scientific evidence as an investment in</w:t>
      </w:r>
      <w:r>
        <w:rPr>
          <w:rFonts w:cs="Verdana" w:hAnsi="Verdana" w:eastAsia="Verdana" w:ascii="Verdana"/>
          <w:color w:val="00000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5"/>
        <w:ind w:left="102"/>
        <w:sectPr>
          <w:pgNumType w:start="11"/>
          <w:pgMar w:footer="997" w:header="0" w:top="1380" w:bottom="280" w:left="1340" w:right="1320"/>
          <w:footerReference w:type="default" r:id="rId12"/>
          <w:pgSz w:w="11920" w:h="16840"/>
        </w:sectPr>
      </w:pPr>
      <w:r>
        <w:rPr>
          <w:rFonts w:cs="Verdana" w:hAnsi="Verdana" w:eastAsia="Verdana" w:ascii="Verdana"/>
          <w:color w:val="6F2F9F"/>
          <w:sz w:val="16"/>
          <w:szCs w:val="16"/>
        </w:rPr>
        <w:t>the well-being of children, adolescents, youth, families and communities</w:t>
      </w:r>
      <w:r>
        <w:rPr>
          <w:rFonts w:cs="Verdana" w:hAnsi="Verdana" w:eastAsia="Verdana" w:ascii="Verdana"/>
          <w:color w:val="6F2F9F"/>
          <w:sz w:val="16"/>
          <w:szCs w:val="16"/>
        </w:rPr>
        <w:t>’ </w:t>
      </w:r>
      <w:r>
        <w:rPr>
          <w:rFonts w:cs="Verdana" w:hAnsi="Verdana" w:eastAsia="Verdana" w:ascii="Verdana"/>
          <w:color w:val="6F2F9F"/>
          <w:sz w:val="16"/>
          <w:szCs w:val="16"/>
        </w:rPr>
        <w:t>21 March 2014.</w:t>
      </w:r>
      <w:r>
        <w:rPr>
          <w:rFonts w:cs="Verdana" w:hAnsi="Verdana" w:eastAsia="Verdana" w:ascii="Verdana"/>
          <w:color w:val="000000"/>
          <w:sz w:val="16"/>
          <w:szCs w:val="16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48" w:lineRule="auto" w:line="287"/>
        <w:ind w:left="102" w:right="268"/>
      </w:pPr>
      <w:r>
        <w:rPr>
          <w:rFonts w:cs="Verdana" w:hAnsi="Verdana" w:eastAsia="Verdana" w:ascii="Verdana"/>
          <w:sz w:val="24"/>
          <w:szCs w:val="24"/>
        </w:rPr>
        <w:t>emphasises “</w:t>
      </w:r>
      <w:r>
        <w:rPr>
          <w:rFonts w:cs="Verdana" w:hAnsi="Verdana" w:eastAsia="Verdana" w:ascii="Verdana"/>
          <w:sz w:val="24"/>
          <w:szCs w:val="24"/>
        </w:rPr>
        <w:t>the importance of implementing various evidence based</w:t>
      </w:r>
      <w:r>
        <w:rPr>
          <w:rFonts w:cs="Verdana" w:hAnsi="Verdana" w:eastAsia="Verdana" w:ascii="Verdana"/>
          <w:sz w:val="24"/>
          <w:szCs w:val="24"/>
        </w:rPr>
        <w:t> prevention activities in different social settings, such as schools, families</w:t>
      </w:r>
      <w:r>
        <w:rPr>
          <w:rFonts w:cs="Verdana" w:hAnsi="Verdana" w:eastAsia="Verdana" w:ascii="Verdana"/>
          <w:sz w:val="24"/>
          <w:szCs w:val="24"/>
        </w:rPr>
        <w:t> and workplaces, and using different means, including with the support of</w:t>
      </w:r>
      <w:r>
        <w:rPr>
          <w:rFonts w:cs="Verdana" w:hAnsi="Verdana" w:eastAsia="Verdana" w:ascii="Verdana"/>
          <w:sz w:val="24"/>
          <w:szCs w:val="24"/>
        </w:rPr>
        <w:t> the media, and of targeting different age groups and groups at different</w:t>
      </w:r>
      <w:r>
        <w:rPr>
          <w:rFonts w:cs="Verdana" w:hAnsi="Verdana" w:eastAsia="Verdana" w:ascii="Verdana"/>
          <w:sz w:val="24"/>
          <w:szCs w:val="24"/>
        </w:rPr>
        <w:t> levels of risk</w:t>
      </w:r>
      <w:r>
        <w:rPr>
          <w:rFonts w:cs="Verdana" w:hAnsi="Verdana" w:eastAsia="Verdana" w:ascii="Verdana"/>
          <w:sz w:val="24"/>
          <w:szCs w:val="24"/>
        </w:rPr>
        <w:t>”.</w:t>
      </w:r>
      <w:r>
        <w:rPr>
          <w:rFonts w:cs="Verdana" w:hAnsi="Verdana" w:eastAsia="Verdana" w:ascii="Verdana"/>
          <w:position w:val="8"/>
          <w:sz w:val="16"/>
          <w:szCs w:val="16"/>
        </w:rPr>
        <w:t>28  </w:t>
      </w:r>
      <w:r>
        <w:rPr>
          <w:rFonts w:cs="Verdana" w:hAnsi="Verdana" w:eastAsia="Verdana" w:ascii="Verdana"/>
          <w:position w:val="0"/>
          <w:sz w:val="24"/>
          <w:szCs w:val="24"/>
        </w:rPr>
        <w:t>It stresses the importance of taking into account human</w:t>
      </w:r>
      <w:r>
        <w:rPr>
          <w:rFonts w:cs="Verdana" w:hAnsi="Verdana" w:eastAsia="Verdana" w:ascii="Verdana"/>
          <w:position w:val="0"/>
          <w:sz w:val="24"/>
          <w:szCs w:val="24"/>
        </w:rPr>
        <w:t> rights obligations in the implementation of drug prevention programmes</w:t>
      </w:r>
      <w:r>
        <w:rPr>
          <w:rFonts w:cs="Verdana" w:hAnsi="Verdana" w:eastAsia="Verdana" w:ascii="Verdana"/>
          <w:position w:val="0"/>
          <w:sz w:val="24"/>
          <w:szCs w:val="24"/>
        </w:rPr>
        <w:t> and policies.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auto" w:line="288"/>
        <w:ind w:left="102" w:right="276"/>
      </w:pPr>
      <w:r>
        <w:rPr>
          <w:rFonts w:cs="Verdana" w:hAnsi="Verdana" w:eastAsia="Verdana" w:ascii="Verdana"/>
          <w:sz w:val="24"/>
          <w:szCs w:val="24"/>
        </w:rPr>
        <w:t>In 2018, the UN Office on Drugs and Crime (UNDOC) and the World</w:t>
      </w:r>
      <w:r>
        <w:rPr>
          <w:rFonts w:cs="Verdana" w:hAnsi="Verdana" w:eastAsia="Verdana" w:ascii="Verdana"/>
          <w:sz w:val="24"/>
          <w:szCs w:val="24"/>
        </w:rPr>
        <w:t> </w:t>
      </w:r>
      <w:r>
        <w:rPr>
          <w:rFonts w:cs="Verdana" w:hAnsi="Verdana" w:eastAsia="Verdana" w:ascii="Verdana"/>
          <w:sz w:val="24"/>
          <w:szCs w:val="24"/>
        </w:rPr>
        <w:t>Health Organisation jointly published ‘</w:t>
      </w:r>
      <w:r>
        <w:rPr>
          <w:rFonts w:cs="Verdana" w:hAnsi="Verdana" w:eastAsia="Verdana" w:ascii="Verdana"/>
          <w:sz w:val="24"/>
          <w:szCs w:val="24"/>
        </w:rPr>
        <w:t>International Standards on Drug</w:t>
      </w:r>
      <w:r>
        <w:rPr>
          <w:rFonts w:cs="Verdana" w:hAnsi="Verdana" w:eastAsia="Verdana" w:ascii="Verdana"/>
          <w:sz w:val="24"/>
          <w:szCs w:val="24"/>
        </w:rPr>
        <w:t> Use Prevention</w:t>
      </w:r>
      <w:r>
        <w:rPr>
          <w:rFonts w:cs="Verdana" w:hAnsi="Verdana" w:eastAsia="Verdana" w:ascii="Verdana"/>
          <w:sz w:val="24"/>
          <w:szCs w:val="24"/>
        </w:rPr>
        <w:t>’.</w:t>
      </w:r>
      <w:r>
        <w:rPr>
          <w:rFonts w:cs="Verdana" w:hAnsi="Verdana" w:eastAsia="Verdana" w:ascii="Verdana"/>
          <w:position w:val="8"/>
          <w:sz w:val="16"/>
          <w:szCs w:val="16"/>
        </w:rPr>
        <w:t>29 </w:t>
      </w:r>
      <w:r>
        <w:rPr>
          <w:rFonts w:cs="Verdana" w:hAnsi="Verdana" w:eastAsia="Verdana" w:ascii="Verdana"/>
          <w:position w:val="0"/>
          <w:sz w:val="24"/>
          <w:szCs w:val="24"/>
        </w:rPr>
        <w:t>The standards summarise the currently available</w:t>
      </w:r>
      <w:r>
        <w:rPr>
          <w:rFonts w:cs="Verdana" w:hAnsi="Verdana" w:eastAsia="Verdana" w:ascii="Verdana"/>
          <w:position w:val="0"/>
          <w:sz w:val="24"/>
          <w:szCs w:val="24"/>
        </w:rPr>
        <w:t> scientific evidence, describing interventions and policies that have been</w:t>
      </w:r>
      <w:r>
        <w:rPr>
          <w:rFonts w:cs="Verdana" w:hAnsi="Verdana" w:eastAsia="Verdana" w:ascii="Verdana"/>
          <w:position w:val="0"/>
          <w:sz w:val="24"/>
          <w:szCs w:val="24"/>
        </w:rPr>
        <w:t> found to result in positive prevention outcomes and their characteristics.</w:t>
      </w:r>
      <w:r>
        <w:rPr>
          <w:rFonts w:cs="Verdana" w:hAnsi="Verdana" w:eastAsia="Verdana" w:ascii="Verdana"/>
          <w:position w:val="0"/>
          <w:sz w:val="24"/>
          <w:szCs w:val="24"/>
        </w:rPr>
        <w:t> Interventions and policies are grouped according to the age of the target</w:t>
      </w:r>
      <w:r>
        <w:rPr>
          <w:rFonts w:cs="Verdana" w:hAnsi="Verdana" w:eastAsia="Verdana" w:ascii="Verdana"/>
          <w:position w:val="0"/>
          <w:sz w:val="24"/>
          <w:szCs w:val="24"/>
        </w:rPr>
        <w:t> group, each group representing a major developmental stage in life:</w:t>
      </w:r>
      <w:r>
        <w:rPr>
          <w:rFonts w:cs="Verdana" w:hAnsi="Verdana" w:eastAsia="Verdana" w:ascii="Verdana"/>
          <w:position w:val="0"/>
          <w:sz w:val="24"/>
          <w:szCs w:val="24"/>
        </w:rPr>
        <w:t> pregnancy, infancy and early childhood; middle childhood; early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2" w:lineRule="exact" w:line="280"/>
        <w:ind w:left="102"/>
      </w:pPr>
      <w:r>
        <w:pict>
          <v:group style="position:absolute;margin-left:72.1pt;margin-top:729.087pt;width:144.2pt;height:0pt;mso-position-horizontal-relative:page;mso-position-vertical-relative:page;z-index:-417" coordorigin="1442,14582" coordsize="2884,0">
            <v:shape style="position:absolute;left:1442;top:14582;width:2884;height:0" coordorigin="1442,14582" coordsize="2884,0" path="m1442,14582l4326,14582e" filled="f" stroked="t" strokeweight="0.92501pt" strokecolor="#00000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position w:val="-2"/>
          <w:sz w:val="24"/>
          <w:szCs w:val="24"/>
        </w:rPr>
        <w:t>adolescence; and adolescence and adulthood.</w:t>
      </w:r>
      <w:r>
        <w:rPr>
          <w:rFonts w:cs="Verdana" w:hAnsi="Verdana" w:eastAsia="Verdana" w:ascii="Verdana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2"/>
        <w:ind w:left="102"/>
      </w:pPr>
      <w:r>
        <w:rPr>
          <w:rFonts w:cs="Verdana" w:hAnsi="Verdana" w:eastAsia="Verdana" w:ascii="Verdana"/>
          <w:color w:val="6F2F9F"/>
          <w:w w:val="106"/>
          <w:position w:val="6"/>
          <w:sz w:val="10"/>
          <w:szCs w:val="10"/>
        </w:rPr>
        <w:t>28</w:t>
      </w:r>
      <w:r>
        <w:rPr>
          <w:rFonts w:cs="Verdana" w:hAnsi="Verdana" w:eastAsia="Verdana" w:ascii="Verdana"/>
          <w:color w:val="6F2F9F"/>
          <w:w w:val="100"/>
          <w:position w:val="6"/>
          <w:sz w:val="10"/>
          <w:szCs w:val="10"/>
        </w:rPr>
        <w:t> 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Ibid.</w:t>
      </w:r>
      <w:r>
        <w:rPr>
          <w:rFonts w:cs="Verdana" w:hAnsi="Verdana" w:eastAsia="Verdana" w:ascii="Verdana"/>
          <w:color w:val="00000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30"/>
        <w:ind w:left="102"/>
      </w:pPr>
      <w:r>
        <w:rPr>
          <w:rFonts w:cs="Verdana" w:hAnsi="Verdana" w:eastAsia="Verdana" w:ascii="Verdana"/>
          <w:color w:val="6F2F9F"/>
          <w:w w:val="106"/>
          <w:position w:val="6"/>
          <w:sz w:val="10"/>
          <w:szCs w:val="10"/>
        </w:rPr>
        <w:t>29</w:t>
      </w:r>
      <w:r>
        <w:rPr>
          <w:rFonts w:cs="Verdana" w:hAnsi="Verdana" w:eastAsia="Verdana" w:ascii="Verdana"/>
          <w:color w:val="6F2F9F"/>
          <w:w w:val="100"/>
          <w:position w:val="6"/>
          <w:sz w:val="10"/>
          <w:szCs w:val="10"/>
        </w:rPr>
        <w:t> 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UN Office on Drugs and Crime and the </w:t>
      </w:r>
      <w:r>
        <w:rPr>
          <w:rFonts w:cs="Verdana" w:hAnsi="Verdana" w:eastAsia="Verdana" w:ascii="Verdana"/>
          <w:color w:val="6F2F9F"/>
          <w:w w:val="100"/>
          <w:position w:val="0"/>
          <w:sz w:val="16"/>
          <w:szCs w:val="16"/>
        </w:rPr>
        <w:t>World Health Organisation, ‘International Standards on Drug Use</w:t>
      </w:r>
      <w:r>
        <w:rPr>
          <w:rFonts w:cs="Verdana" w:hAnsi="Verdana" w:eastAsia="Verdana" w:ascii="Verdana"/>
          <w:color w:val="00000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5"/>
        <w:ind w:left="102"/>
      </w:pPr>
      <w:r>
        <w:rPr>
          <w:rFonts w:cs="Verdana" w:hAnsi="Verdana" w:eastAsia="Verdana" w:ascii="Verdana"/>
          <w:color w:val="6F2F9F"/>
          <w:sz w:val="16"/>
          <w:szCs w:val="16"/>
        </w:rPr>
        <w:t>Prevention’ Second updated edition (2018)</w:t>
      </w:r>
      <w:r>
        <w:rPr>
          <w:rFonts w:cs="Verdana" w:hAnsi="Verdana" w:eastAsia="Verdana" w:ascii="Verdana"/>
          <w:color w:val="6F2F9F"/>
          <w:sz w:val="16"/>
          <w:szCs w:val="16"/>
        </w:rPr>
        <w:t>.</w:t>
      </w:r>
      <w:r>
        <w:rPr>
          <w:rFonts w:cs="Verdana" w:hAnsi="Verdana" w:eastAsia="Verdana" w:ascii="Verdana"/>
          <w:color w:val="000000"/>
          <w:sz w:val="16"/>
          <w:szCs w:val="16"/>
        </w:rPr>
      </w:r>
    </w:p>
    <w:sectPr>
      <w:pgNumType w:start="12"/>
      <w:pgMar w:footer="997" w:header="0" w:top="1380" w:bottom="280" w:left="1340" w:right="1320"/>
      <w:footerReference w:type="default" r:id="rId13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5pt;margin-top:780.747pt;width:10.6144pt;height:12.4pt;mso-position-horizontal-relative:page;mso-position-vertical-relative:page;z-index:-424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21"/>
                    <w:szCs w:val="21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Verdana" w:hAnsi="Verdana" w:eastAsia="Verdana" w:ascii="Verdana"/>
                    <w:w w:val="103"/>
                    <w:sz w:val="21"/>
                    <w:szCs w:val="21"/>
                  </w:rPr>
                </w:r>
                <w:r>
                  <w:fldChar w:fldCharType="begin"/>
                </w:r>
                <w:r>
                  <w:rPr>
                    <w:rFonts w:cs="Verdana" w:hAnsi="Verdana" w:eastAsia="Verdana" w:ascii="Verdana"/>
                    <w:w w:val="103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Verdana" w:hAnsi="Verdana" w:eastAsia="Verdana" w:ascii="Verdana"/>
                    <w:w w:val="103"/>
                    <w:sz w:val="21"/>
                    <w:szCs w:val="21"/>
                  </w:rPr>
                </w:r>
                <w:r>
                  <w:rPr>
                    <w:rFonts w:cs="Verdana" w:hAnsi="Verdana" w:eastAsia="Verdana" w:ascii="Verdana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6.5pt;margin-top:780.747pt;width:8.61172pt;height:12.4pt;mso-position-horizontal-relative:page;mso-position-vertical-relative:page;z-index:-423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21"/>
                    <w:szCs w:val="21"/>
                  </w:rPr>
                  <w:jc w:val="left"/>
                  <w:spacing w:lineRule="exact" w:line="220"/>
                  <w:ind w:left="20" w:right="-31"/>
                </w:pPr>
                <w:r>
                  <w:rPr>
                    <w:rFonts w:cs="Verdana" w:hAnsi="Verdana" w:eastAsia="Verdana" w:ascii="Verdana"/>
                    <w:w w:val="103"/>
                    <w:sz w:val="21"/>
                    <w:szCs w:val="21"/>
                  </w:rPr>
                  <w:t>3</w:t>
                </w:r>
                <w:r>
                  <w:rPr>
                    <w:rFonts w:cs="Verdana" w:hAnsi="Verdana" w:eastAsia="Verdana" w:ascii="Verdana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9.07pt;margin-top:780.747pt;width:17.0444pt;height:12.4pt;mso-position-horizontal-relative:page;mso-position-vertical-relative:page;z-index:-422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21"/>
                    <w:szCs w:val="21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Verdana" w:hAnsi="Verdana" w:eastAsia="Verdana" w:ascii="Verdana"/>
                    <w:w w:val="103"/>
                    <w:sz w:val="21"/>
                    <w:szCs w:val="21"/>
                  </w:rPr>
                </w:r>
                <w:r>
                  <w:fldChar w:fldCharType="begin"/>
                </w:r>
                <w:r>
                  <w:rPr>
                    <w:rFonts w:cs="Verdana" w:hAnsi="Verdana" w:eastAsia="Verdana" w:ascii="Verdana"/>
                    <w:w w:val="103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Verdana" w:hAnsi="Verdana" w:eastAsia="Verdana" w:ascii="Verdana"/>
                    <w:w w:val="103"/>
                    <w:sz w:val="21"/>
                    <w:szCs w:val="21"/>
                  </w:rPr>
                </w:r>
                <w:r>
                  <w:rPr>
                    <w:rFonts w:cs="Verdana" w:hAnsi="Verdana" w:eastAsia="Verdana" w:ascii="Verdana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9.07pt;margin-top:780.747pt;width:16.8008pt;height:12.4pt;mso-position-horizontal-relative:page;mso-position-vertical-relative:page;z-index:-421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21"/>
                    <w:szCs w:val="21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Verdana" w:hAnsi="Verdana" w:eastAsia="Verdana" w:ascii="Verdana"/>
                    <w:w w:val="103"/>
                    <w:sz w:val="21"/>
                    <w:szCs w:val="21"/>
                  </w:rPr>
                </w:r>
                <w:r>
                  <w:fldChar w:fldCharType="begin"/>
                </w:r>
                <w:r>
                  <w:rPr>
                    <w:rFonts w:cs="Verdana" w:hAnsi="Verdana" w:eastAsia="Verdana" w:ascii="Verdana"/>
                    <w:w w:val="103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Verdana" w:hAnsi="Verdana" w:eastAsia="Verdana" w:ascii="Verdana"/>
                    <w:w w:val="103"/>
                    <w:sz w:val="21"/>
                    <w:szCs w:val="21"/>
                  </w:rPr>
                </w:r>
                <w:r>
                  <w:rPr>
                    <w:rFonts w:cs="Verdana" w:hAnsi="Verdana" w:eastAsia="Verdana" w:ascii="Verdana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9.07pt;margin-top:780.747pt;width:16.8008pt;height:12.4pt;mso-position-horizontal-relative:page;mso-position-vertical-relative:page;z-index:-420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21"/>
                    <w:szCs w:val="21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Verdana" w:hAnsi="Verdana" w:eastAsia="Verdana" w:ascii="Verdana"/>
                    <w:w w:val="103"/>
                    <w:sz w:val="21"/>
                    <w:szCs w:val="21"/>
                  </w:rPr>
                </w:r>
                <w:r>
                  <w:fldChar w:fldCharType="begin"/>
                </w:r>
                <w:r>
                  <w:rPr>
                    <w:rFonts w:cs="Verdana" w:hAnsi="Verdana" w:eastAsia="Verdana" w:ascii="Verdana"/>
                    <w:w w:val="103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cs="Verdana" w:hAnsi="Verdana" w:eastAsia="Verdana" w:ascii="Verdana"/>
                    <w:w w:val="103"/>
                    <w:sz w:val="21"/>
                    <w:szCs w:val="21"/>
                  </w:rPr>
                </w:r>
                <w:r>
                  <w:rPr>
                    <w:rFonts w:cs="Verdana" w:hAnsi="Verdana" w:eastAsia="Verdana" w:ascii="Verdana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\image1.png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yperlink" Target="mailto:Rhyannon.Blythe@NIHRC.org" TargetMode="External"/><Relationship Id="rId9" Type="http://schemas.openxmlformats.org/officeDocument/2006/relationships/hyperlink" Target="mailto:Jacqueline.McClintock@NIHRC.org" TargetMode="External"/><Relationship Id="rId10" Type="http://schemas.openxmlformats.org/officeDocument/2006/relationships/hyperlink" Target="http://www.nihrc.org/" TargetMode="External"/><Relationship Id="rId11" Type="http://schemas.openxmlformats.org/officeDocument/2006/relationships/hyperlink" Target="mailto:info@nihrc.org" TargetMode="External"/><Relationship Id="rId12" Type="http://schemas.openxmlformats.org/officeDocument/2006/relationships/footer" Target="footer4.xml"/><Relationship Id="rId13" Type="http://schemas.openxmlformats.org/officeDocument/2006/relationships/footer" Target="foot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