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DB7B" w14:textId="77777777" w:rsidR="009E5D23" w:rsidRDefault="009E5D23" w:rsidP="009E5D23">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7336E357" wp14:editId="1BBC76C5">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5F97D306" w14:textId="77777777" w:rsidR="009E5D23" w:rsidRPr="00EA12CE" w:rsidRDefault="009E5D23" w:rsidP="009E5D23">
      <w:pPr>
        <w:pStyle w:val="BasicParagraph"/>
        <w:suppressAutoHyphens/>
        <w:jc w:val="center"/>
        <w:rPr>
          <w:rFonts w:ascii="Verdana" w:hAnsi="Verdana" w:cs="Arial"/>
          <w:b/>
          <w:bCs/>
          <w:color w:val="734791"/>
          <w:sz w:val="36"/>
          <w:szCs w:val="36"/>
        </w:rPr>
      </w:pPr>
    </w:p>
    <w:p w14:paraId="3FF3A3BF" w14:textId="24AB0D57" w:rsidR="00352873" w:rsidRDefault="00D953D0" w:rsidP="00D953D0">
      <w:pPr>
        <w:pStyle w:val="Default"/>
        <w:spacing w:line="288" w:lineRule="auto"/>
        <w:jc w:val="center"/>
        <w:rPr>
          <w:rFonts w:cs="Arial"/>
          <w:b/>
          <w:bCs/>
          <w:color w:val="77328A"/>
          <w:sz w:val="36"/>
          <w:szCs w:val="36"/>
        </w:rPr>
      </w:pPr>
      <w:bookmarkStart w:id="0" w:name="_Hlk103786422"/>
      <w:r w:rsidRPr="00D953D0">
        <w:rPr>
          <w:rFonts w:cs="Arial"/>
          <w:b/>
          <w:bCs/>
          <w:color w:val="77328A"/>
          <w:sz w:val="36"/>
          <w:szCs w:val="36"/>
        </w:rPr>
        <w:t>Trans</w:t>
      </w:r>
      <w:r w:rsidR="00A07577">
        <w:rPr>
          <w:rFonts w:cs="Arial"/>
          <w:b/>
          <w:bCs/>
          <w:color w:val="77328A"/>
          <w:sz w:val="36"/>
          <w:szCs w:val="36"/>
        </w:rPr>
        <w:t>gender</w:t>
      </w:r>
      <w:r w:rsidRPr="00D953D0">
        <w:rPr>
          <w:rFonts w:cs="Arial"/>
          <w:b/>
          <w:bCs/>
          <w:color w:val="77328A"/>
          <w:sz w:val="36"/>
          <w:szCs w:val="36"/>
        </w:rPr>
        <w:t xml:space="preserve"> </w:t>
      </w:r>
      <w:r w:rsidR="006E24FD">
        <w:rPr>
          <w:rFonts w:cs="Arial"/>
          <w:b/>
          <w:bCs/>
          <w:color w:val="77328A"/>
          <w:sz w:val="36"/>
          <w:szCs w:val="36"/>
        </w:rPr>
        <w:t>Inclusion</w:t>
      </w:r>
      <w:r w:rsidR="006E24FD" w:rsidRPr="00D953D0">
        <w:rPr>
          <w:rFonts w:cs="Arial"/>
          <w:b/>
          <w:bCs/>
          <w:color w:val="77328A"/>
          <w:sz w:val="36"/>
          <w:szCs w:val="36"/>
        </w:rPr>
        <w:t xml:space="preserve"> </w:t>
      </w:r>
      <w:r w:rsidRPr="00D953D0">
        <w:rPr>
          <w:rFonts w:cs="Arial"/>
          <w:b/>
          <w:bCs/>
          <w:color w:val="77328A"/>
          <w:sz w:val="36"/>
          <w:szCs w:val="36"/>
        </w:rPr>
        <w:t xml:space="preserve">in Sport </w:t>
      </w:r>
      <w:bookmarkEnd w:id="0"/>
      <w:r w:rsidRPr="00D953D0">
        <w:rPr>
          <w:rFonts w:cs="Arial"/>
          <w:b/>
          <w:bCs/>
          <w:color w:val="77328A"/>
          <w:sz w:val="36"/>
          <w:szCs w:val="36"/>
        </w:rPr>
        <w:t xml:space="preserve"> </w:t>
      </w:r>
    </w:p>
    <w:p w14:paraId="3C0A28C2" w14:textId="300B6377" w:rsidR="00D953D0" w:rsidRPr="00D953D0" w:rsidRDefault="00352873" w:rsidP="00D953D0">
      <w:pPr>
        <w:pStyle w:val="Default"/>
        <w:spacing w:line="288" w:lineRule="auto"/>
        <w:jc w:val="center"/>
        <w:rPr>
          <w:rFonts w:cs="Arial"/>
          <w:b/>
          <w:bCs/>
          <w:color w:val="77328A"/>
          <w:sz w:val="36"/>
          <w:szCs w:val="36"/>
        </w:rPr>
      </w:pPr>
      <w:r>
        <w:rPr>
          <w:rFonts w:cs="Arial"/>
          <w:b/>
          <w:bCs/>
          <w:color w:val="77328A"/>
          <w:sz w:val="36"/>
          <w:szCs w:val="36"/>
        </w:rPr>
        <w:t xml:space="preserve">A </w:t>
      </w:r>
      <w:r w:rsidR="00D953D0" w:rsidRPr="00D953D0">
        <w:rPr>
          <w:rFonts w:cs="Arial"/>
          <w:b/>
          <w:bCs/>
          <w:color w:val="77328A"/>
          <w:sz w:val="36"/>
          <w:szCs w:val="36"/>
        </w:rPr>
        <w:t>Legal Analysis</w:t>
      </w:r>
    </w:p>
    <w:p w14:paraId="10A3E1A6" w14:textId="77777777" w:rsidR="009E5D23" w:rsidRDefault="009E5D23" w:rsidP="009E5D23">
      <w:pPr>
        <w:pStyle w:val="Default"/>
        <w:spacing w:line="288" w:lineRule="auto"/>
        <w:jc w:val="center"/>
        <w:rPr>
          <w:rFonts w:cs="Arial"/>
          <w:color w:val="232120"/>
          <w:sz w:val="36"/>
          <w:szCs w:val="36"/>
        </w:rPr>
      </w:pPr>
    </w:p>
    <w:p w14:paraId="7A14550C" w14:textId="77777777" w:rsidR="0062440E" w:rsidRDefault="0062440E" w:rsidP="009E5D23">
      <w:pPr>
        <w:pStyle w:val="Default"/>
        <w:spacing w:line="288" w:lineRule="auto"/>
        <w:jc w:val="center"/>
        <w:rPr>
          <w:rFonts w:cs="Arial"/>
          <w:color w:val="232120"/>
          <w:sz w:val="36"/>
          <w:szCs w:val="36"/>
        </w:rPr>
      </w:pPr>
    </w:p>
    <w:p w14:paraId="790FB2F4" w14:textId="77777777" w:rsidR="0062440E" w:rsidRDefault="0062440E" w:rsidP="009E5D23">
      <w:pPr>
        <w:pStyle w:val="Default"/>
        <w:spacing w:line="288" w:lineRule="auto"/>
        <w:jc w:val="center"/>
        <w:rPr>
          <w:rFonts w:cs="Arial"/>
          <w:color w:val="232120"/>
          <w:sz w:val="36"/>
          <w:szCs w:val="36"/>
        </w:rPr>
      </w:pPr>
    </w:p>
    <w:p w14:paraId="6A5135BF" w14:textId="77777777" w:rsidR="0062440E" w:rsidRPr="00331C61" w:rsidRDefault="0062440E" w:rsidP="009E5D23">
      <w:pPr>
        <w:pStyle w:val="Default"/>
        <w:spacing w:line="288" w:lineRule="auto"/>
        <w:jc w:val="center"/>
        <w:rPr>
          <w:rFonts w:cs="Arial"/>
          <w:color w:val="232120"/>
          <w:sz w:val="36"/>
          <w:szCs w:val="36"/>
        </w:rPr>
      </w:pPr>
    </w:p>
    <w:p w14:paraId="4887CB02" w14:textId="186F6114" w:rsidR="009E5D23" w:rsidRPr="00331C61" w:rsidRDefault="00E30879" w:rsidP="009E5D23">
      <w:pPr>
        <w:spacing w:line="288" w:lineRule="auto"/>
        <w:jc w:val="center"/>
        <w:rPr>
          <w:rFonts w:cs="Arial"/>
          <w:b/>
          <w:color w:val="232120"/>
          <w:sz w:val="30"/>
          <w:szCs w:val="30"/>
        </w:rPr>
      </w:pPr>
      <w:r>
        <w:rPr>
          <w:rFonts w:cs="Arial"/>
          <w:b/>
          <w:color w:val="232120"/>
          <w:sz w:val="30"/>
          <w:szCs w:val="30"/>
        </w:rPr>
        <w:t>March</w:t>
      </w:r>
      <w:r w:rsidR="006E24FD">
        <w:rPr>
          <w:rFonts w:cs="Arial"/>
          <w:b/>
          <w:color w:val="232120"/>
          <w:sz w:val="30"/>
          <w:szCs w:val="30"/>
        </w:rPr>
        <w:t xml:space="preserve"> 2023 </w:t>
      </w:r>
    </w:p>
    <w:p w14:paraId="1C83F7C7" w14:textId="77777777" w:rsidR="009E5D23" w:rsidRPr="00331C61" w:rsidRDefault="009E5D23" w:rsidP="009E5D23">
      <w:pPr>
        <w:spacing w:line="288" w:lineRule="auto"/>
        <w:jc w:val="center"/>
        <w:rPr>
          <w:rFonts w:cs="Arial"/>
          <w:b/>
          <w:color w:val="232120"/>
          <w:sz w:val="28"/>
          <w:szCs w:val="28"/>
        </w:rPr>
      </w:pPr>
    </w:p>
    <w:p w14:paraId="0DC53DED" w14:textId="77777777" w:rsidR="009E5D23" w:rsidRPr="00331C61" w:rsidRDefault="009E5D23" w:rsidP="009E5D23">
      <w:pPr>
        <w:spacing w:line="288" w:lineRule="auto"/>
        <w:jc w:val="center"/>
        <w:rPr>
          <w:rFonts w:cs="Arial"/>
          <w:b/>
          <w:color w:val="232120"/>
          <w:sz w:val="28"/>
          <w:szCs w:val="28"/>
        </w:rPr>
      </w:pPr>
    </w:p>
    <w:p w14:paraId="62E55C27" w14:textId="77777777" w:rsidR="009E5D23" w:rsidRPr="00331C61" w:rsidRDefault="009E5D23" w:rsidP="009E5D23">
      <w:pPr>
        <w:pStyle w:val="Default"/>
        <w:spacing w:line="288" w:lineRule="auto"/>
        <w:jc w:val="center"/>
        <w:rPr>
          <w:rFonts w:cs="Arial"/>
          <w:b/>
          <w:color w:val="232120"/>
          <w:sz w:val="28"/>
          <w:szCs w:val="28"/>
          <w:lang w:val="en-GB"/>
        </w:rPr>
      </w:pPr>
    </w:p>
    <w:p w14:paraId="140D20B5" w14:textId="48828F57" w:rsidR="009E5D23" w:rsidRDefault="009E5D23" w:rsidP="009E5D23">
      <w:pPr>
        <w:pStyle w:val="Default"/>
        <w:spacing w:line="480" w:lineRule="auto"/>
        <w:jc w:val="center"/>
        <w:rPr>
          <w:rFonts w:cs="Arial"/>
          <w:b/>
          <w:color w:val="232120"/>
          <w:sz w:val="36"/>
          <w:szCs w:val="36"/>
        </w:rPr>
      </w:pPr>
    </w:p>
    <w:p w14:paraId="53C1D877" w14:textId="77777777" w:rsidR="00B20090" w:rsidRPr="00331C61" w:rsidRDefault="00B20090" w:rsidP="009E5D23">
      <w:pPr>
        <w:pStyle w:val="Default"/>
        <w:spacing w:line="480" w:lineRule="auto"/>
        <w:jc w:val="center"/>
        <w:rPr>
          <w:rFonts w:cs="Arial"/>
          <w:b/>
          <w:color w:val="232120"/>
          <w:sz w:val="36"/>
          <w:szCs w:val="36"/>
        </w:rPr>
      </w:pPr>
    </w:p>
    <w:p w14:paraId="32AD7A82" w14:textId="77777777" w:rsidR="008E504E" w:rsidRDefault="008E504E" w:rsidP="006908DE">
      <w:pPr>
        <w:pStyle w:val="Default"/>
        <w:spacing w:line="480" w:lineRule="auto"/>
        <w:rPr>
          <w:rFonts w:cs="Arial"/>
          <w:b/>
          <w:color w:val="232120"/>
          <w:sz w:val="36"/>
          <w:szCs w:val="36"/>
        </w:rPr>
      </w:pPr>
    </w:p>
    <w:sdt>
      <w:sdtPr>
        <w:rPr>
          <w:rFonts w:ascii="Verdana" w:eastAsiaTheme="minorEastAsia" w:hAnsi="Verdana" w:cstheme="minorBidi"/>
          <w:color w:val="auto"/>
          <w:sz w:val="24"/>
          <w:szCs w:val="24"/>
          <w:lang w:val="en-GB"/>
        </w:rPr>
        <w:id w:val="1648014844"/>
        <w:docPartObj>
          <w:docPartGallery w:val="Table of Contents"/>
          <w:docPartUnique/>
        </w:docPartObj>
      </w:sdtPr>
      <w:sdtEndPr>
        <w:rPr>
          <w:b/>
          <w:bCs/>
          <w:noProof/>
        </w:rPr>
      </w:sdtEndPr>
      <w:sdtContent>
        <w:p w14:paraId="4CB12F13" w14:textId="391AEA10" w:rsidR="00B57F7A" w:rsidRPr="001D1F0D" w:rsidRDefault="00B57F7A">
          <w:pPr>
            <w:pStyle w:val="TOCHeading"/>
            <w:rPr>
              <w:rFonts w:ascii="Verdana" w:hAnsi="Verdana"/>
              <w:b/>
              <w:bCs/>
              <w:color w:val="77328A"/>
              <w:sz w:val="30"/>
              <w:szCs w:val="30"/>
            </w:rPr>
          </w:pPr>
          <w:r w:rsidRPr="001D1F0D">
            <w:rPr>
              <w:rFonts w:ascii="Verdana" w:hAnsi="Verdana"/>
              <w:b/>
              <w:bCs/>
              <w:color w:val="77328A"/>
              <w:sz w:val="30"/>
              <w:szCs w:val="30"/>
            </w:rPr>
            <w:t>Contents</w:t>
          </w:r>
        </w:p>
        <w:p w14:paraId="58924732" w14:textId="77777777" w:rsidR="001D1F0D" w:rsidRPr="001D1F0D" w:rsidRDefault="001D1F0D" w:rsidP="001D1F0D">
          <w:pPr>
            <w:rPr>
              <w:lang w:val="en-US"/>
            </w:rPr>
          </w:pPr>
        </w:p>
        <w:p w14:paraId="27977864" w14:textId="27FF6EF4" w:rsidR="007767BB" w:rsidRDefault="00B57F7A">
          <w:pPr>
            <w:pStyle w:val="TOC1"/>
            <w:tabs>
              <w:tab w:val="right" w:leader="dot" w:pos="9848"/>
            </w:tabs>
            <w:rPr>
              <w:rFonts w:asciiTheme="minorHAnsi" w:hAnsiTheme="minorHAnsi" w:cstheme="minorBidi"/>
              <w:noProof/>
              <w:lang w:val="en-GB" w:eastAsia="en-GB"/>
            </w:rPr>
          </w:pPr>
          <w:r w:rsidRPr="001D1F0D">
            <w:rPr>
              <w:sz w:val="24"/>
              <w:szCs w:val="24"/>
            </w:rPr>
            <w:fldChar w:fldCharType="begin"/>
          </w:r>
          <w:r w:rsidRPr="001D1F0D">
            <w:rPr>
              <w:sz w:val="24"/>
              <w:szCs w:val="24"/>
            </w:rPr>
            <w:instrText xml:space="preserve"> TOC \o "1-3" \h \z \u </w:instrText>
          </w:r>
          <w:r w:rsidRPr="001D1F0D">
            <w:rPr>
              <w:sz w:val="24"/>
              <w:szCs w:val="24"/>
            </w:rPr>
            <w:fldChar w:fldCharType="separate"/>
          </w:r>
          <w:hyperlink w:anchor="_Toc129693840" w:history="1">
            <w:r w:rsidR="007767BB" w:rsidRPr="00EC7C7E">
              <w:rPr>
                <w:rStyle w:val="Hyperlink"/>
                <w:noProof/>
              </w:rPr>
              <w:t>1.0 Introduction</w:t>
            </w:r>
            <w:r w:rsidR="007767BB">
              <w:rPr>
                <w:noProof/>
                <w:webHidden/>
              </w:rPr>
              <w:tab/>
            </w:r>
            <w:r w:rsidR="007767BB">
              <w:rPr>
                <w:noProof/>
                <w:webHidden/>
              </w:rPr>
              <w:fldChar w:fldCharType="begin"/>
            </w:r>
            <w:r w:rsidR="007767BB">
              <w:rPr>
                <w:noProof/>
                <w:webHidden/>
              </w:rPr>
              <w:instrText xml:space="preserve"> PAGEREF _Toc129693840 \h </w:instrText>
            </w:r>
            <w:r w:rsidR="007767BB">
              <w:rPr>
                <w:noProof/>
                <w:webHidden/>
              </w:rPr>
            </w:r>
            <w:r w:rsidR="007767BB">
              <w:rPr>
                <w:noProof/>
                <w:webHidden/>
              </w:rPr>
              <w:fldChar w:fldCharType="separate"/>
            </w:r>
            <w:r w:rsidR="005B5B88">
              <w:rPr>
                <w:noProof/>
                <w:webHidden/>
              </w:rPr>
              <w:t>2</w:t>
            </w:r>
            <w:r w:rsidR="007767BB">
              <w:rPr>
                <w:noProof/>
                <w:webHidden/>
              </w:rPr>
              <w:fldChar w:fldCharType="end"/>
            </w:r>
          </w:hyperlink>
        </w:p>
        <w:p w14:paraId="78F2591C" w14:textId="7D7566AC" w:rsidR="007767BB" w:rsidRDefault="007767BB">
          <w:pPr>
            <w:pStyle w:val="TOC1"/>
            <w:tabs>
              <w:tab w:val="right" w:leader="dot" w:pos="9848"/>
            </w:tabs>
            <w:rPr>
              <w:rFonts w:asciiTheme="minorHAnsi" w:hAnsiTheme="minorHAnsi" w:cstheme="minorBidi"/>
              <w:noProof/>
              <w:lang w:val="en-GB" w:eastAsia="en-GB"/>
            </w:rPr>
          </w:pPr>
          <w:hyperlink w:anchor="_Toc129693841" w:history="1">
            <w:r w:rsidRPr="00EC7C7E">
              <w:rPr>
                <w:rStyle w:val="Hyperlink"/>
                <w:noProof/>
              </w:rPr>
              <w:t>2.0 International human rights standards</w:t>
            </w:r>
            <w:r>
              <w:rPr>
                <w:noProof/>
                <w:webHidden/>
              </w:rPr>
              <w:tab/>
            </w:r>
            <w:r>
              <w:rPr>
                <w:noProof/>
                <w:webHidden/>
              </w:rPr>
              <w:fldChar w:fldCharType="begin"/>
            </w:r>
            <w:r>
              <w:rPr>
                <w:noProof/>
                <w:webHidden/>
              </w:rPr>
              <w:instrText xml:space="preserve"> PAGEREF _Toc129693841 \h </w:instrText>
            </w:r>
            <w:r>
              <w:rPr>
                <w:noProof/>
                <w:webHidden/>
              </w:rPr>
            </w:r>
            <w:r>
              <w:rPr>
                <w:noProof/>
                <w:webHidden/>
              </w:rPr>
              <w:fldChar w:fldCharType="separate"/>
            </w:r>
            <w:r w:rsidR="005B5B88">
              <w:rPr>
                <w:noProof/>
                <w:webHidden/>
              </w:rPr>
              <w:t>3</w:t>
            </w:r>
            <w:r>
              <w:rPr>
                <w:noProof/>
                <w:webHidden/>
              </w:rPr>
              <w:fldChar w:fldCharType="end"/>
            </w:r>
          </w:hyperlink>
        </w:p>
        <w:p w14:paraId="04517DA3" w14:textId="02022B58" w:rsidR="007767BB" w:rsidRDefault="007767BB">
          <w:pPr>
            <w:pStyle w:val="TOC2"/>
            <w:tabs>
              <w:tab w:val="right" w:leader="dot" w:pos="9848"/>
            </w:tabs>
            <w:rPr>
              <w:rFonts w:asciiTheme="minorHAnsi" w:hAnsiTheme="minorHAnsi" w:cstheme="minorBidi"/>
              <w:noProof/>
              <w:lang w:val="en-GB" w:eastAsia="en-GB"/>
            </w:rPr>
          </w:pPr>
          <w:hyperlink w:anchor="_Toc129693842" w:history="1">
            <w:r w:rsidRPr="00EC7C7E">
              <w:rPr>
                <w:rStyle w:val="Hyperlink"/>
                <w:noProof/>
              </w:rPr>
              <w:t>United Nations</w:t>
            </w:r>
            <w:r>
              <w:rPr>
                <w:noProof/>
                <w:webHidden/>
              </w:rPr>
              <w:tab/>
            </w:r>
            <w:r>
              <w:rPr>
                <w:noProof/>
                <w:webHidden/>
              </w:rPr>
              <w:fldChar w:fldCharType="begin"/>
            </w:r>
            <w:r>
              <w:rPr>
                <w:noProof/>
                <w:webHidden/>
              </w:rPr>
              <w:instrText xml:space="preserve"> PAGEREF _Toc129693842 \h </w:instrText>
            </w:r>
            <w:r>
              <w:rPr>
                <w:noProof/>
                <w:webHidden/>
              </w:rPr>
            </w:r>
            <w:r>
              <w:rPr>
                <w:noProof/>
                <w:webHidden/>
              </w:rPr>
              <w:fldChar w:fldCharType="separate"/>
            </w:r>
            <w:r w:rsidR="005B5B88">
              <w:rPr>
                <w:noProof/>
                <w:webHidden/>
              </w:rPr>
              <w:t>3</w:t>
            </w:r>
            <w:r>
              <w:rPr>
                <w:noProof/>
                <w:webHidden/>
              </w:rPr>
              <w:fldChar w:fldCharType="end"/>
            </w:r>
          </w:hyperlink>
        </w:p>
        <w:p w14:paraId="454D906F" w14:textId="0B3A5D28" w:rsidR="007767BB" w:rsidRDefault="007767BB">
          <w:pPr>
            <w:pStyle w:val="TOC2"/>
            <w:tabs>
              <w:tab w:val="right" w:leader="dot" w:pos="9848"/>
            </w:tabs>
            <w:rPr>
              <w:rFonts w:asciiTheme="minorHAnsi" w:hAnsiTheme="minorHAnsi" w:cstheme="minorBidi"/>
              <w:noProof/>
              <w:lang w:val="en-GB" w:eastAsia="en-GB"/>
            </w:rPr>
          </w:pPr>
          <w:hyperlink w:anchor="_Toc129693843" w:history="1">
            <w:r w:rsidRPr="00EC7C7E">
              <w:rPr>
                <w:rStyle w:val="Hyperlink"/>
                <w:noProof/>
              </w:rPr>
              <w:t>Council of Europe</w:t>
            </w:r>
            <w:r>
              <w:rPr>
                <w:noProof/>
                <w:webHidden/>
              </w:rPr>
              <w:tab/>
            </w:r>
            <w:r>
              <w:rPr>
                <w:noProof/>
                <w:webHidden/>
              </w:rPr>
              <w:fldChar w:fldCharType="begin"/>
            </w:r>
            <w:r>
              <w:rPr>
                <w:noProof/>
                <w:webHidden/>
              </w:rPr>
              <w:instrText xml:space="preserve"> PAGEREF _Toc129693843 \h </w:instrText>
            </w:r>
            <w:r>
              <w:rPr>
                <w:noProof/>
                <w:webHidden/>
              </w:rPr>
            </w:r>
            <w:r>
              <w:rPr>
                <w:noProof/>
                <w:webHidden/>
              </w:rPr>
              <w:fldChar w:fldCharType="separate"/>
            </w:r>
            <w:r w:rsidR="005B5B88">
              <w:rPr>
                <w:noProof/>
                <w:webHidden/>
              </w:rPr>
              <w:t>6</w:t>
            </w:r>
            <w:r>
              <w:rPr>
                <w:noProof/>
                <w:webHidden/>
              </w:rPr>
              <w:fldChar w:fldCharType="end"/>
            </w:r>
          </w:hyperlink>
        </w:p>
        <w:p w14:paraId="4BAAD155" w14:textId="012A5421" w:rsidR="007767BB" w:rsidRDefault="007767BB">
          <w:pPr>
            <w:pStyle w:val="TOC2"/>
            <w:tabs>
              <w:tab w:val="right" w:leader="dot" w:pos="9848"/>
            </w:tabs>
            <w:rPr>
              <w:rFonts w:asciiTheme="minorHAnsi" w:hAnsiTheme="minorHAnsi" w:cstheme="minorBidi"/>
              <w:noProof/>
              <w:lang w:val="en-GB" w:eastAsia="en-GB"/>
            </w:rPr>
          </w:pPr>
          <w:hyperlink w:anchor="_Toc129693844" w:history="1">
            <w:r w:rsidRPr="00EC7C7E">
              <w:rPr>
                <w:rStyle w:val="Hyperlink"/>
                <w:noProof/>
              </w:rPr>
              <w:t>International Sporting Bodies</w:t>
            </w:r>
            <w:r>
              <w:rPr>
                <w:noProof/>
                <w:webHidden/>
              </w:rPr>
              <w:tab/>
            </w:r>
            <w:r>
              <w:rPr>
                <w:noProof/>
                <w:webHidden/>
              </w:rPr>
              <w:fldChar w:fldCharType="begin"/>
            </w:r>
            <w:r>
              <w:rPr>
                <w:noProof/>
                <w:webHidden/>
              </w:rPr>
              <w:instrText xml:space="preserve"> PAGEREF _Toc129693844 \h </w:instrText>
            </w:r>
            <w:r>
              <w:rPr>
                <w:noProof/>
                <w:webHidden/>
              </w:rPr>
            </w:r>
            <w:r>
              <w:rPr>
                <w:noProof/>
                <w:webHidden/>
              </w:rPr>
              <w:fldChar w:fldCharType="separate"/>
            </w:r>
            <w:r w:rsidR="005B5B88">
              <w:rPr>
                <w:noProof/>
                <w:webHidden/>
              </w:rPr>
              <w:t>10</w:t>
            </w:r>
            <w:r>
              <w:rPr>
                <w:noProof/>
                <w:webHidden/>
              </w:rPr>
              <w:fldChar w:fldCharType="end"/>
            </w:r>
          </w:hyperlink>
        </w:p>
        <w:p w14:paraId="732D9001" w14:textId="62D2E818" w:rsidR="007767BB" w:rsidRDefault="007767BB">
          <w:pPr>
            <w:pStyle w:val="TOC1"/>
            <w:tabs>
              <w:tab w:val="right" w:leader="dot" w:pos="9848"/>
            </w:tabs>
            <w:rPr>
              <w:rFonts w:asciiTheme="minorHAnsi" w:hAnsiTheme="minorHAnsi" w:cstheme="minorBidi"/>
              <w:noProof/>
              <w:lang w:val="en-GB" w:eastAsia="en-GB"/>
            </w:rPr>
          </w:pPr>
          <w:hyperlink w:anchor="_Toc129693845" w:history="1">
            <w:r w:rsidRPr="00EC7C7E">
              <w:rPr>
                <w:rStyle w:val="Hyperlink"/>
                <w:noProof/>
              </w:rPr>
              <w:t>3.0 Domestic legal standards</w:t>
            </w:r>
            <w:r>
              <w:rPr>
                <w:noProof/>
                <w:webHidden/>
              </w:rPr>
              <w:tab/>
            </w:r>
            <w:r>
              <w:rPr>
                <w:noProof/>
                <w:webHidden/>
              </w:rPr>
              <w:fldChar w:fldCharType="begin"/>
            </w:r>
            <w:r>
              <w:rPr>
                <w:noProof/>
                <w:webHidden/>
              </w:rPr>
              <w:instrText xml:space="preserve"> PAGEREF _Toc129693845 \h </w:instrText>
            </w:r>
            <w:r>
              <w:rPr>
                <w:noProof/>
                <w:webHidden/>
              </w:rPr>
            </w:r>
            <w:r>
              <w:rPr>
                <w:noProof/>
                <w:webHidden/>
              </w:rPr>
              <w:fldChar w:fldCharType="separate"/>
            </w:r>
            <w:r w:rsidR="005B5B88">
              <w:rPr>
                <w:noProof/>
                <w:webHidden/>
              </w:rPr>
              <w:t>12</w:t>
            </w:r>
            <w:r>
              <w:rPr>
                <w:noProof/>
                <w:webHidden/>
              </w:rPr>
              <w:fldChar w:fldCharType="end"/>
            </w:r>
          </w:hyperlink>
        </w:p>
        <w:p w14:paraId="35FA664F" w14:textId="49F582EF" w:rsidR="007767BB" w:rsidRDefault="007767BB">
          <w:pPr>
            <w:pStyle w:val="TOC2"/>
            <w:tabs>
              <w:tab w:val="right" w:leader="dot" w:pos="9848"/>
            </w:tabs>
            <w:rPr>
              <w:rFonts w:asciiTheme="minorHAnsi" w:hAnsiTheme="minorHAnsi" w:cstheme="minorBidi"/>
              <w:noProof/>
              <w:lang w:val="en-GB" w:eastAsia="en-GB"/>
            </w:rPr>
          </w:pPr>
          <w:hyperlink w:anchor="_Toc129693846" w:history="1">
            <w:r w:rsidRPr="00EC7C7E">
              <w:rPr>
                <w:rStyle w:val="Hyperlink"/>
                <w:noProof/>
              </w:rPr>
              <w:t>Relevant NI equality legislation</w:t>
            </w:r>
            <w:r>
              <w:rPr>
                <w:noProof/>
                <w:webHidden/>
              </w:rPr>
              <w:tab/>
            </w:r>
            <w:r>
              <w:rPr>
                <w:noProof/>
                <w:webHidden/>
              </w:rPr>
              <w:fldChar w:fldCharType="begin"/>
            </w:r>
            <w:r>
              <w:rPr>
                <w:noProof/>
                <w:webHidden/>
              </w:rPr>
              <w:instrText xml:space="preserve"> PAGEREF _Toc129693846 \h </w:instrText>
            </w:r>
            <w:r>
              <w:rPr>
                <w:noProof/>
                <w:webHidden/>
              </w:rPr>
            </w:r>
            <w:r>
              <w:rPr>
                <w:noProof/>
                <w:webHidden/>
              </w:rPr>
              <w:fldChar w:fldCharType="separate"/>
            </w:r>
            <w:r w:rsidR="005B5B88">
              <w:rPr>
                <w:noProof/>
                <w:webHidden/>
              </w:rPr>
              <w:t>12</w:t>
            </w:r>
            <w:r>
              <w:rPr>
                <w:noProof/>
                <w:webHidden/>
              </w:rPr>
              <w:fldChar w:fldCharType="end"/>
            </w:r>
          </w:hyperlink>
        </w:p>
        <w:p w14:paraId="6233A68F" w14:textId="0700B198" w:rsidR="007767BB" w:rsidRDefault="007767BB">
          <w:pPr>
            <w:pStyle w:val="TOC2"/>
            <w:tabs>
              <w:tab w:val="right" w:leader="dot" w:pos="9848"/>
            </w:tabs>
            <w:rPr>
              <w:rFonts w:asciiTheme="minorHAnsi" w:hAnsiTheme="minorHAnsi" w:cstheme="minorBidi"/>
              <w:noProof/>
              <w:lang w:val="en-GB" w:eastAsia="en-GB"/>
            </w:rPr>
          </w:pPr>
          <w:hyperlink w:anchor="_Toc129693847" w:history="1">
            <w:r w:rsidRPr="00EC7C7E">
              <w:rPr>
                <w:rStyle w:val="Hyperlink"/>
                <w:noProof/>
              </w:rPr>
              <w:t>Relevant Great Britain equality legislation</w:t>
            </w:r>
            <w:r>
              <w:rPr>
                <w:noProof/>
                <w:webHidden/>
              </w:rPr>
              <w:tab/>
            </w:r>
            <w:r>
              <w:rPr>
                <w:noProof/>
                <w:webHidden/>
              </w:rPr>
              <w:fldChar w:fldCharType="begin"/>
            </w:r>
            <w:r>
              <w:rPr>
                <w:noProof/>
                <w:webHidden/>
              </w:rPr>
              <w:instrText xml:space="preserve"> PAGEREF _Toc129693847 \h </w:instrText>
            </w:r>
            <w:r>
              <w:rPr>
                <w:noProof/>
                <w:webHidden/>
              </w:rPr>
            </w:r>
            <w:r>
              <w:rPr>
                <w:noProof/>
                <w:webHidden/>
              </w:rPr>
              <w:fldChar w:fldCharType="separate"/>
            </w:r>
            <w:r w:rsidR="005B5B88">
              <w:rPr>
                <w:noProof/>
                <w:webHidden/>
              </w:rPr>
              <w:t>13</w:t>
            </w:r>
            <w:r>
              <w:rPr>
                <w:noProof/>
                <w:webHidden/>
              </w:rPr>
              <w:fldChar w:fldCharType="end"/>
            </w:r>
          </w:hyperlink>
        </w:p>
        <w:p w14:paraId="7289AF30" w14:textId="4F36089E" w:rsidR="007767BB" w:rsidRDefault="007767BB">
          <w:pPr>
            <w:pStyle w:val="TOC2"/>
            <w:tabs>
              <w:tab w:val="right" w:leader="dot" w:pos="9848"/>
            </w:tabs>
            <w:rPr>
              <w:rFonts w:asciiTheme="minorHAnsi" w:hAnsiTheme="minorHAnsi" w:cstheme="minorBidi"/>
              <w:noProof/>
              <w:lang w:val="en-GB" w:eastAsia="en-GB"/>
            </w:rPr>
          </w:pPr>
          <w:hyperlink w:anchor="_Toc129693848" w:history="1">
            <w:r w:rsidRPr="00EC7C7E">
              <w:rPr>
                <w:rStyle w:val="Hyperlink"/>
                <w:noProof/>
              </w:rPr>
              <w:t>Gender Recognition</w:t>
            </w:r>
            <w:r>
              <w:rPr>
                <w:noProof/>
                <w:webHidden/>
              </w:rPr>
              <w:tab/>
            </w:r>
            <w:r>
              <w:rPr>
                <w:noProof/>
                <w:webHidden/>
              </w:rPr>
              <w:fldChar w:fldCharType="begin"/>
            </w:r>
            <w:r>
              <w:rPr>
                <w:noProof/>
                <w:webHidden/>
              </w:rPr>
              <w:instrText xml:space="preserve"> PAGEREF _Toc129693848 \h </w:instrText>
            </w:r>
            <w:r>
              <w:rPr>
                <w:noProof/>
                <w:webHidden/>
              </w:rPr>
            </w:r>
            <w:r>
              <w:rPr>
                <w:noProof/>
                <w:webHidden/>
              </w:rPr>
              <w:fldChar w:fldCharType="separate"/>
            </w:r>
            <w:r w:rsidR="005B5B88">
              <w:rPr>
                <w:noProof/>
                <w:webHidden/>
              </w:rPr>
              <w:t>14</w:t>
            </w:r>
            <w:r>
              <w:rPr>
                <w:noProof/>
                <w:webHidden/>
              </w:rPr>
              <w:fldChar w:fldCharType="end"/>
            </w:r>
          </w:hyperlink>
        </w:p>
        <w:p w14:paraId="2712AC37" w14:textId="6FA27560" w:rsidR="007767BB" w:rsidRDefault="007767BB">
          <w:pPr>
            <w:pStyle w:val="TOC2"/>
            <w:tabs>
              <w:tab w:val="right" w:leader="dot" w:pos="9848"/>
            </w:tabs>
            <w:rPr>
              <w:rFonts w:asciiTheme="minorHAnsi" w:hAnsiTheme="minorHAnsi" w:cstheme="minorBidi"/>
              <w:noProof/>
              <w:lang w:val="en-GB" w:eastAsia="en-GB"/>
            </w:rPr>
          </w:pPr>
          <w:hyperlink w:anchor="_Toc129693849" w:history="1">
            <w:r w:rsidRPr="00EC7C7E">
              <w:rPr>
                <w:rStyle w:val="Hyperlink"/>
                <w:noProof/>
              </w:rPr>
              <w:t>National sporting bodies</w:t>
            </w:r>
            <w:r>
              <w:rPr>
                <w:noProof/>
                <w:webHidden/>
              </w:rPr>
              <w:tab/>
            </w:r>
            <w:r>
              <w:rPr>
                <w:noProof/>
                <w:webHidden/>
              </w:rPr>
              <w:fldChar w:fldCharType="begin"/>
            </w:r>
            <w:r>
              <w:rPr>
                <w:noProof/>
                <w:webHidden/>
              </w:rPr>
              <w:instrText xml:space="preserve"> PAGEREF _Toc129693849 \h </w:instrText>
            </w:r>
            <w:r>
              <w:rPr>
                <w:noProof/>
                <w:webHidden/>
              </w:rPr>
            </w:r>
            <w:r>
              <w:rPr>
                <w:noProof/>
                <w:webHidden/>
              </w:rPr>
              <w:fldChar w:fldCharType="separate"/>
            </w:r>
            <w:r w:rsidR="005B5B88">
              <w:rPr>
                <w:noProof/>
                <w:webHidden/>
              </w:rPr>
              <w:t>15</w:t>
            </w:r>
            <w:r>
              <w:rPr>
                <w:noProof/>
                <w:webHidden/>
              </w:rPr>
              <w:fldChar w:fldCharType="end"/>
            </w:r>
          </w:hyperlink>
        </w:p>
        <w:p w14:paraId="1265837D" w14:textId="633CAC1F" w:rsidR="007767BB" w:rsidRDefault="007767BB">
          <w:pPr>
            <w:pStyle w:val="TOC1"/>
            <w:tabs>
              <w:tab w:val="right" w:leader="dot" w:pos="9848"/>
            </w:tabs>
            <w:rPr>
              <w:rFonts w:asciiTheme="minorHAnsi" w:hAnsiTheme="minorHAnsi" w:cstheme="minorBidi"/>
              <w:noProof/>
              <w:lang w:val="en-GB" w:eastAsia="en-GB"/>
            </w:rPr>
          </w:pPr>
          <w:hyperlink w:anchor="_Toc129693850" w:history="1">
            <w:r w:rsidRPr="00EC7C7E">
              <w:rPr>
                <w:rStyle w:val="Hyperlink"/>
                <w:noProof/>
              </w:rPr>
              <w:t>4.0 Intersex persons and sex verification</w:t>
            </w:r>
            <w:r>
              <w:rPr>
                <w:noProof/>
                <w:webHidden/>
              </w:rPr>
              <w:tab/>
            </w:r>
            <w:r>
              <w:rPr>
                <w:noProof/>
                <w:webHidden/>
              </w:rPr>
              <w:fldChar w:fldCharType="begin"/>
            </w:r>
            <w:r>
              <w:rPr>
                <w:noProof/>
                <w:webHidden/>
              </w:rPr>
              <w:instrText xml:space="preserve"> PAGEREF _Toc129693850 \h </w:instrText>
            </w:r>
            <w:r>
              <w:rPr>
                <w:noProof/>
                <w:webHidden/>
              </w:rPr>
            </w:r>
            <w:r>
              <w:rPr>
                <w:noProof/>
                <w:webHidden/>
              </w:rPr>
              <w:fldChar w:fldCharType="separate"/>
            </w:r>
            <w:r w:rsidR="005B5B88">
              <w:rPr>
                <w:noProof/>
                <w:webHidden/>
              </w:rPr>
              <w:t>18</w:t>
            </w:r>
            <w:r>
              <w:rPr>
                <w:noProof/>
                <w:webHidden/>
              </w:rPr>
              <w:fldChar w:fldCharType="end"/>
            </w:r>
          </w:hyperlink>
        </w:p>
        <w:p w14:paraId="5B720D27" w14:textId="15FB628E" w:rsidR="007767BB" w:rsidRDefault="007767BB">
          <w:pPr>
            <w:pStyle w:val="TOC1"/>
            <w:tabs>
              <w:tab w:val="right" w:leader="dot" w:pos="9848"/>
            </w:tabs>
            <w:rPr>
              <w:rFonts w:asciiTheme="minorHAnsi" w:hAnsiTheme="minorHAnsi" w:cstheme="minorBidi"/>
              <w:noProof/>
              <w:lang w:val="en-GB" w:eastAsia="en-GB"/>
            </w:rPr>
          </w:pPr>
          <w:hyperlink w:anchor="_Toc129693851" w:history="1">
            <w:r w:rsidRPr="00EC7C7E">
              <w:rPr>
                <w:rStyle w:val="Hyperlink"/>
                <w:noProof/>
              </w:rPr>
              <w:t>5.0 Conclusions</w:t>
            </w:r>
            <w:r>
              <w:rPr>
                <w:noProof/>
                <w:webHidden/>
              </w:rPr>
              <w:tab/>
            </w:r>
            <w:r>
              <w:rPr>
                <w:noProof/>
                <w:webHidden/>
              </w:rPr>
              <w:fldChar w:fldCharType="begin"/>
            </w:r>
            <w:r>
              <w:rPr>
                <w:noProof/>
                <w:webHidden/>
              </w:rPr>
              <w:instrText xml:space="preserve"> PAGEREF _Toc129693851 \h </w:instrText>
            </w:r>
            <w:r>
              <w:rPr>
                <w:noProof/>
                <w:webHidden/>
              </w:rPr>
            </w:r>
            <w:r>
              <w:rPr>
                <w:noProof/>
                <w:webHidden/>
              </w:rPr>
              <w:fldChar w:fldCharType="separate"/>
            </w:r>
            <w:r w:rsidR="005B5B88">
              <w:rPr>
                <w:noProof/>
                <w:webHidden/>
              </w:rPr>
              <w:t>22</w:t>
            </w:r>
            <w:r>
              <w:rPr>
                <w:noProof/>
                <w:webHidden/>
              </w:rPr>
              <w:fldChar w:fldCharType="end"/>
            </w:r>
          </w:hyperlink>
        </w:p>
        <w:p w14:paraId="4467CD89" w14:textId="416F7A98" w:rsidR="00B57F7A" w:rsidRDefault="00B57F7A">
          <w:r w:rsidRPr="001D1F0D">
            <w:rPr>
              <w:b/>
              <w:bCs/>
              <w:noProof/>
            </w:rPr>
            <w:fldChar w:fldCharType="end"/>
          </w:r>
        </w:p>
      </w:sdtContent>
    </w:sdt>
    <w:p w14:paraId="3D5536E7" w14:textId="53323D8F" w:rsidR="003540ED" w:rsidRDefault="003540ED"/>
    <w:p w14:paraId="368F7B93" w14:textId="39847DA9" w:rsidR="008E7597" w:rsidRDefault="008E7597" w:rsidP="008E7597">
      <w:pPr>
        <w:rPr>
          <w:rFonts w:cs="Arial"/>
          <w:b/>
          <w:color w:val="232120"/>
        </w:rPr>
      </w:pPr>
    </w:p>
    <w:p w14:paraId="2AD58C45" w14:textId="5D72FEAB" w:rsidR="008E7597" w:rsidRDefault="008E7597" w:rsidP="008E7597">
      <w:pPr>
        <w:rPr>
          <w:rFonts w:cs="Arial"/>
          <w:b/>
          <w:color w:val="232120"/>
        </w:rPr>
      </w:pPr>
    </w:p>
    <w:p w14:paraId="1FA0CA87" w14:textId="76865FCD" w:rsidR="008E7597" w:rsidRDefault="008E7597" w:rsidP="008E7597">
      <w:pPr>
        <w:rPr>
          <w:rFonts w:cs="Arial"/>
          <w:b/>
          <w:color w:val="232120"/>
        </w:rPr>
      </w:pPr>
    </w:p>
    <w:p w14:paraId="1C16359C" w14:textId="1B135826" w:rsidR="008E7597" w:rsidRDefault="008E7597" w:rsidP="008E7597">
      <w:pPr>
        <w:rPr>
          <w:rFonts w:cs="Arial"/>
          <w:b/>
          <w:color w:val="232120"/>
        </w:rPr>
      </w:pPr>
    </w:p>
    <w:p w14:paraId="50295F4E" w14:textId="5E3A0156" w:rsidR="008E7597" w:rsidRDefault="008E7597" w:rsidP="008E7597">
      <w:pPr>
        <w:rPr>
          <w:rFonts w:cs="Arial"/>
          <w:b/>
          <w:color w:val="232120"/>
        </w:rPr>
      </w:pPr>
    </w:p>
    <w:p w14:paraId="72521D73" w14:textId="5340C37B" w:rsidR="008E7597" w:rsidRDefault="008E7597" w:rsidP="008E7597">
      <w:pPr>
        <w:rPr>
          <w:rFonts w:cs="Arial"/>
          <w:b/>
          <w:color w:val="232120"/>
        </w:rPr>
      </w:pPr>
    </w:p>
    <w:p w14:paraId="76982584" w14:textId="45E41F01" w:rsidR="008E7597" w:rsidRDefault="008E7597" w:rsidP="008E7597">
      <w:pPr>
        <w:rPr>
          <w:rFonts w:cs="Arial"/>
          <w:b/>
          <w:color w:val="232120"/>
        </w:rPr>
      </w:pPr>
    </w:p>
    <w:p w14:paraId="5B86527C" w14:textId="4B17592E" w:rsidR="008E7597" w:rsidRDefault="008E7597" w:rsidP="008E7597">
      <w:pPr>
        <w:rPr>
          <w:rFonts w:cs="Arial"/>
          <w:b/>
          <w:color w:val="232120"/>
        </w:rPr>
      </w:pPr>
    </w:p>
    <w:p w14:paraId="59C51665" w14:textId="62E45652" w:rsidR="008E7597" w:rsidRDefault="008E7597" w:rsidP="008E7597">
      <w:pPr>
        <w:rPr>
          <w:rFonts w:cs="Arial"/>
          <w:b/>
          <w:color w:val="232120"/>
        </w:rPr>
      </w:pPr>
    </w:p>
    <w:p w14:paraId="6CD06167" w14:textId="37FC1228" w:rsidR="006908DE" w:rsidRDefault="006908DE" w:rsidP="008E7597">
      <w:pPr>
        <w:rPr>
          <w:rFonts w:cs="Arial"/>
          <w:b/>
          <w:color w:val="232120"/>
        </w:rPr>
      </w:pPr>
    </w:p>
    <w:p w14:paraId="5C516C8F" w14:textId="35616B2D" w:rsidR="006908DE" w:rsidRDefault="006908DE" w:rsidP="008E7597">
      <w:pPr>
        <w:rPr>
          <w:rFonts w:cs="Arial"/>
          <w:b/>
          <w:color w:val="232120"/>
        </w:rPr>
      </w:pPr>
    </w:p>
    <w:p w14:paraId="7559662D" w14:textId="77777777" w:rsidR="006908DE" w:rsidRDefault="006908DE" w:rsidP="008E7597">
      <w:pPr>
        <w:rPr>
          <w:rFonts w:cs="Arial"/>
          <w:b/>
          <w:color w:val="232120"/>
        </w:rPr>
      </w:pPr>
    </w:p>
    <w:p w14:paraId="06A6B76E" w14:textId="44D7AD22" w:rsidR="008E7597" w:rsidRDefault="008E7597" w:rsidP="008E7597">
      <w:pPr>
        <w:rPr>
          <w:rFonts w:cs="Arial"/>
          <w:b/>
          <w:color w:val="232120"/>
        </w:rPr>
      </w:pPr>
    </w:p>
    <w:p w14:paraId="2119D7B5" w14:textId="7774F2DF" w:rsidR="008E7597" w:rsidRDefault="008E7597" w:rsidP="008E7597">
      <w:pPr>
        <w:rPr>
          <w:rFonts w:cs="Arial"/>
          <w:b/>
          <w:color w:val="232120"/>
        </w:rPr>
      </w:pPr>
    </w:p>
    <w:p w14:paraId="5C965716" w14:textId="0E97CD6C" w:rsidR="008E7597" w:rsidRDefault="008E7597" w:rsidP="008E7597">
      <w:pPr>
        <w:rPr>
          <w:rFonts w:cs="Arial"/>
          <w:b/>
          <w:color w:val="232120"/>
        </w:rPr>
      </w:pPr>
    </w:p>
    <w:p w14:paraId="70B06752" w14:textId="3A78B2BF" w:rsidR="008E7597" w:rsidRDefault="008E7597" w:rsidP="008E7597">
      <w:pPr>
        <w:rPr>
          <w:rFonts w:cs="Arial"/>
          <w:b/>
          <w:color w:val="232120"/>
        </w:rPr>
      </w:pPr>
    </w:p>
    <w:p w14:paraId="436E09E6" w14:textId="6F7EA574" w:rsidR="008E7597" w:rsidRDefault="008E7597" w:rsidP="008E7597">
      <w:pPr>
        <w:rPr>
          <w:rFonts w:cs="Arial"/>
          <w:b/>
          <w:color w:val="232120"/>
        </w:rPr>
      </w:pPr>
    </w:p>
    <w:p w14:paraId="689E385E" w14:textId="18E55747" w:rsidR="008E7597" w:rsidRDefault="008E7597" w:rsidP="008E7597">
      <w:pPr>
        <w:rPr>
          <w:rFonts w:cs="Arial"/>
          <w:b/>
          <w:color w:val="232120"/>
        </w:rPr>
      </w:pPr>
    </w:p>
    <w:p w14:paraId="3151EC33" w14:textId="77777777" w:rsidR="008E7597" w:rsidRDefault="008E7597" w:rsidP="008E7597">
      <w:pPr>
        <w:rPr>
          <w:rFonts w:cs="Arial"/>
          <w:b/>
          <w:color w:val="232120"/>
        </w:rPr>
      </w:pPr>
    </w:p>
    <w:p w14:paraId="2A1D1AAE" w14:textId="03A2A9C4" w:rsidR="000B3102" w:rsidRDefault="000B3102" w:rsidP="004950B7">
      <w:pPr>
        <w:pStyle w:val="Default"/>
        <w:spacing w:line="480" w:lineRule="auto"/>
        <w:rPr>
          <w:rFonts w:cs="Arial"/>
          <w:b/>
          <w:color w:val="232120"/>
        </w:rPr>
      </w:pPr>
    </w:p>
    <w:p w14:paraId="39950991" w14:textId="04F0CE77" w:rsidR="00CF729D" w:rsidRDefault="00CF729D" w:rsidP="00870B7A">
      <w:pPr>
        <w:tabs>
          <w:tab w:val="left" w:pos="915"/>
        </w:tabs>
      </w:pPr>
    </w:p>
    <w:p w14:paraId="252D64ED" w14:textId="4A6C5C5B" w:rsidR="009A0D89" w:rsidRDefault="009A0D89" w:rsidP="00870B7A">
      <w:pPr>
        <w:tabs>
          <w:tab w:val="left" w:pos="915"/>
        </w:tabs>
      </w:pPr>
    </w:p>
    <w:p w14:paraId="3A1FE2C1" w14:textId="7DF610BC" w:rsidR="00B20090" w:rsidRDefault="00B20090" w:rsidP="00870B7A">
      <w:pPr>
        <w:tabs>
          <w:tab w:val="left" w:pos="915"/>
        </w:tabs>
      </w:pPr>
    </w:p>
    <w:p w14:paraId="63ECEF4F" w14:textId="13A5A303" w:rsidR="00B20090" w:rsidRDefault="00B20090" w:rsidP="00870B7A">
      <w:pPr>
        <w:tabs>
          <w:tab w:val="left" w:pos="915"/>
        </w:tabs>
      </w:pPr>
    </w:p>
    <w:p w14:paraId="546B607D" w14:textId="3661704E" w:rsidR="00B20090" w:rsidRDefault="00B20090" w:rsidP="00870B7A">
      <w:pPr>
        <w:tabs>
          <w:tab w:val="left" w:pos="915"/>
        </w:tabs>
      </w:pPr>
    </w:p>
    <w:p w14:paraId="531E3275" w14:textId="77777777" w:rsidR="00B20090" w:rsidRDefault="00B20090" w:rsidP="00870B7A">
      <w:pPr>
        <w:tabs>
          <w:tab w:val="left" w:pos="915"/>
        </w:tabs>
      </w:pPr>
    </w:p>
    <w:p w14:paraId="319D1D24" w14:textId="0BE8DC48" w:rsidR="00697D7A" w:rsidRDefault="00697D7A" w:rsidP="00870B7A">
      <w:pPr>
        <w:tabs>
          <w:tab w:val="left" w:pos="915"/>
        </w:tabs>
      </w:pPr>
    </w:p>
    <w:p w14:paraId="7F576788" w14:textId="77777777" w:rsidR="00697D7A" w:rsidRPr="00840974" w:rsidRDefault="00697D7A" w:rsidP="00870B7A">
      <w:pPr>
        <w:tabs>
          <w:tab w:val="left" w:pos="915"/>
        </w:tabs>
      </w:pPr>
    </w:p>
    <w:p w14:paraId="41EBE4CE" w14:textId="0181FEC3" w:rsidR="009E5D23" w:rsidRPr="003540ED" w:rsidRDefault="003540ED" w:rsidP="00B57F7A">
      <w:pPr>
        <w:pStyle w:val="Heading1"/>
        <w:numPr>
          <w:ilvl w:val="0"/>
          <w:numId w:val="0"/>
        </w:numPr>
      </w:pPr>
      <w:bookmarkStart w:id="1" w:name="_Toc129693840"/>
      <w:r>
        <w:t xml:space="preserve">1.0 </w:t>
      </w:r>
      <w:r w:rsidR="0051729C" w:rsidRPr="003540ED">
        <w:t>Introduction</w:t>
      </w:r>
      <w:bookmarkStart w:id="2" w:name="_Hlk75798661"/>
      <w:bookmarkEnd w:id="1"/>
    </w:p>
    <w:bookmarkEnd w:id="2"/>
    <w:p w14:paraId="11B58AF4" w14:textId="19E90344" w:rsidR="00EF0CE7" w:rsidRDefault="00EF0CE7" w:rsidP="00EF0CE7">
      <w:pPr>
        <w:pStyle w:val="ListParagraph"/>
        <w:rPr>
          <w:color w:val="000000"/>
        </w:rPr>
      </w:pPr>
    </w:p>
    <w:p w14:paraId="1B2EFC28" w14:textId="77777777" w:rsidR="0031265E" w:rsidRPr="00EF0CE7" w:rsidRDefault="0031265E" w:rsidP="00EF0CE7">
      <w:pPr>
        <w:pStyle w:val="ListParagraph"/>
        <w:rPr>
          <w:color w:val="000000"/>
        </w:rPr>
      </w:pPr>
    </w:p>
    <w:p w14:paraId="01E7F028" w14:textId="1AD82C59" w:rsidR="00BF3F71" w:rsidRPr="007502BE" w:rsidRDefault="009E5D23" w:rsidP="00F96B76">
      <w:pPr>
        <w:pStyle w:val="ListParagraph"/>
        <w:numPr>
          <w:ilvl w:val="1"/>
          <w:numId w:val="3"/>
        </w:numPr>
        <w:jc w:val="both"/>
        <w:rPr>
          <w:color w:val="000000"/>
        </w:rPr>
      </w:pPr>
      <w:r w:rsidRPr="00EF0CE7">
        <w:rPr>
          <w:rFonts w:eastAsia="Times New Roman" w:cs="Times New Roman"/>
        </w:rPr>
        <w:t>The Northern Ireland Human Rights Commission (NIHRC), pursuant to Section 69(1) of the Northern Ireland Act 1998, reviews the adequacy and effectiveness of law and practice relating to the protection of human rights in Northern Ireland (NI).</w:t>
      </w:r>
    </w:p>
    <w:p w14:paraId="322421EB" w14:textId="77777777" w:rsidR="007502BE" w:rsidRPr="00BF3F71" w:rsidRDefault="007502BE" w:rsidP="00F96B76">
      <w:pPr>
        <w:pStyle w:val="ListParagraph"/>
        <w:jc w:val="both"/>
        <w:rPr>
          <w:color w:val="000000"/>
        </w:rPr>
      </w:pPr>
    </w:p>
    <w:p w14:paraId="618E840A" w14:textId="5C39BB91" w:rsidR="008D3C2E" w:rsidRPr="008D3C2E" w:rsidRDefault="009E5D23" w:rsidP="008D3C2E">
      <w:pPr>
        <w:pStyle w:val="ListParagraph"/>
        <w:numPr>
          <w:ilvl w:val="1"/>
          <w:numId w:val="3"/>
        </w:numPr>
        <w:jc w:val="both"/>
      </w:pPr>
      <w:r>
        <w:t>The NIHRC bases its advice on the full range of internationally accepted human rights standards, including the European Convention on Human Rights, as incorporated by the Human Rights Act 1998, and the treaty obligations of the Council of Europe (</w:t>
      </w:r>
      <w:proofErr w:type="spellStart"/>
      <w:r>
        <w:t>CoE</w:t>
      </w:r>
      <w:proofErr w:type="spellEnd"/>
      <w:r>
        <w:t>) and United Nations (UN).</w:t>
      </w:r>
      <w:bookmarkStart w:id="3" w:name="_Hlk75348166"/>
      <w:r w:rsidR="008D3C2E">
        <w:t xml:space="preserve"> </w:t>
      </w:r>
      <w:r w:rsidR="008D3C2E" w:rsidRPr="008D3C2E">
        <w:t>The relevant regional and international treaties in this context include:</w:t>
      </w:r>
    </w:p>
    <w:p w14:paraId="336C5305" w14:textId="77777777" w:rsidR="008D3C2E" w:rsidRPr="008D3C2E" w:rsidRDefault="008D3C2E" w:rsidP="008D3C2E">
      <w:pPr>
        <w:pStyle w:val="ListParagraph"/>
      </w:pPr>
    </w:p>
    <w:p w14:paraId="5DB9A30F" w14:textId="0D19DDEF" w:rsidR="008D3C2E" w:rsidRPr="008D3C2E" w:rsidRDefault="008D3C2E" w:rsidP="002D1764">
      <w:pPr>
        <w:pStyle w:val="ListParagraph"/>
        <w:numPr>
          <w:ilvl w:val="0"/>
          <w:numId w:val="23"/>
        </w:numPr>
      </w:pPr>
      <w:r w:rsidRPr="008D3C2E">
        <w:t>European Convention on Human Rights (ECHR);</w:t>
      </w:r>
      <w:r w:rsidRPr="008D3C2E">
        <w:rPr>
          <w:vertAlign w:val="superscript"/>
        </w:rPr>
        <w:footnoteReference w:id="1"/>
      </w:r>
      <w:r w:rsidRPr="008D3C2E">
        <w:t xml:space="preserve"> </w:t>
      </w:r>
    </w:p>
    <w:p w14:paraId="35B151CA" w14:textId="5523FE31" w:rsidR="008D3C2E" w:rsidRDefault="008D3C2E" w:rsidP="002D1764">
      <w:pPr>
        <w:pStyle w:val="ListParagraph"/>
        <w:numPr>
          <w:ilvl w:val="0"/>
          <w:numId w:val="23"/>
        </w:numPr>
      </w:pPr>
      <w:bookmarkStart w:id="4" w:name="_Hlk115256895"/>
      <w:r w:rsidRPr="008D3C2E">
        <w:t xml:space="preserve">UN </w:t>
      </w:r>
      <w:r w:rsidR="0091399A">
        <w:t xml:space="preserve">International </w:t>
      </w:r>
      <w:r w:rsidR="0091399A" w:rsidRPr="008D3C2E">
        <w:t>Covena</w:t>
      </w:r>
      <w:r w:rsidR="0091399A">
        <w:t>nt</w:t>
      </w:r>
      <w:r w:rsidRPr="008D3C2E">
        <w:t xml:space="preserve"> on Economic, Social and Cultural Rights (UN ICESCR);</w:t>
      </w:r>
      <w:r w:rsidRPr="008D3C2E">
        <w:rPr>
          <w:vertAlign w:val="superscript"/>
        </w:rPr>
        <w:footnoteReference w:id="2"/>
      </w:r>
      <w:r w:rsidRPr="008D3C2E">
        <w:t xml:space="preserve"> </w:t>
      </w:r>
    </w:p>
    <w:bookmarkEnd w:id="4"/>
    <w:p w14:paraId="5DE8D91E" w14:textId="74DD386A" w:rsidR="00FC2BC8" w:rsidRPr="008D3C2E" w:rsidRDefault="00FC2BC8" w:rsidP="002D1764">
      <w:pPr>
        <w:pStyle w:val="ListParagraph"/>
        <w:numPr>
          <w:ilvl w:val="0"/>
          <w:numId w:val="23"/>
        </w:numPr>
      </w:pPr>
      <w:r w:rsidRPr="008D3C2E">
        <w:t xml:space="preserve">UN </w:t>
      </w:r>
      <w:r>
        <w:t xml:space="preserve">International </w:t>
      </w:r>
      <w:r w:rsidRPr="008D3C2E">
        <w:t>Covena</w:t>
      </w:r>
      <w:r>
        <w:t>nt</w:t>
      </w:r>
      <w:r w:rsidRPr="008D3C2E">
        <w:t xml:space="preserve"> on </w:t>
      </w:r>
      <w:r>
        <w:t>Civil and Political Rights</w:t>
      </w:r>
      <w:r w:rsidRPr="008D3C2E">
        <w:t>, Social and Cultural Rights (UN I</w:t>
      </w:r>
      <w:r w:rsidR="00102D38">
        <w:t>CCP</w:t>
      </w:r>
      <w:r w:rsidRPr="008D3C2E">
        <w:t>R);</w:t>
      </w:r>
      <w:r w:rsidRPr="008D3C2E">
        <w:rPr>
          <w:vertAlign w:val="superscript"/>
        </w:rPr>
        <w:footnoteReference w:id="3"/>
      </w:r>
      <w:r w:rsidRPr="008D3C2E">
        <w:t xml:space="preserve"> </w:t>
      </w:r>
    </w:p>
    <w:p w14:paraId="5D097ECA" w14:textId="6B679D07" w:rsidR="008D3C2E" w:rsidRPr="008D3C2E" w:rsidRDefault="008D3C2E" w:rsidP="002D1764">
      <w:pPr>
        <w:pStyle w:val="ListParagraph"/>
        <w:numPr>
          <w:ilvl w:val="0"/>
          <w:numId w:val="23"/>
        </w:numPr>
      </w:pPr>
      <w:r w:rsidRPr="008D3C2E">
        <w:t>UN Convention on Elimination of Discrimination against Women (UN CEDAW);</w:t>
      </w:r>
      <w:r w:rsidRPr="008D3C2E">
        <w:rPr>
          <w:vertAlign w:val="superscript"/>
        </w:rPr>
        <w:footnoteReference w:id="4"/>
      </w:r>
    </w:p>
    <w:p w14:paraId="7E44D062" w14:textId="4B4A7EA5" w:rsidR="00C2627B" w:rsidRDefault="00C2627B" w:rsidP="00C2627B">
      <w:pPr>
        <w:pStyle w:val="ListParagraph"/>
        <w:numPr>
          <w:ilvl w:val="0"/>
          <w:numId w:val="23"/>
        </w:numPr>
      </w:pPr>
      <w:r>
        <w:t>UN Convention on the Rights of the Child (UN CRC);</w:t>
      </w:r>
      <w:r>
        <w:rPr>
          <w:rStyle w:val="FootnoteReference"/>
        </w:rPr>
        <w:footnoteReference w:id="5"/>
      </w:r>
      <w:r>
        <w:t xml:space="preserve"> and</w:t>
      </w:r>
    </w:p>
    <w:p w14:paraId="29F136BE" w14:textId="3DC52898" w:rsidR="002D1764" w:rsidRPr="008D3C2E" w:rsidRDefault="008D3C2E" w:rsidP="002D1764">
      <w:pPr>
        <w:pStyle w:val="ListParagraph"/>
        <w:numPr>
          <w:ilvl w:val="0"/>
          <w:numId w:val="23"/>
        </w:numPr>
      </w:pPr>
      <w:r w:rsidRPr="008D3C2E">
        <w:t>UN Convention on the Rights of Persons with Disabilities (UN CRPD)</w:t>
      </w:r>
      <w:r w:rsidR="00C2627B">
        <w:t>.</w:t>
      </w:r>
      <w:r w:rsidRPr="008D3C2E">
        <w:rPr>
          <w:vertAlign w:val="superscript"/>
        </w:rPr>
        <w:footnoteReference w:id="6"/>
      </w:r>
    </w:p>
    <w:p w14:paraId="7038545C" w14:textId="77777777" w:rsidR="008D3C2E" w:rsidRPr="008D3C2E" w:rsidRDefault="008D3C2E" w:rsidP="008D3C2E">
      <w:pPr>
        <w:pStyle w:val="ListParagraph"/>
      </w:pPr>
    </w:p>
    <w:p w14:paraId="16DA9134" w14:textId="456CF1D2" w:rsidR="00CE3E86" w:rsidRDefault="008D3C2E" w:rsidP="00CE3E86">
      <w:pPr>
        <w:pStyle w:val="ListParagraph"/>
        <w:numPr>
          <w:ilvl w:val="1"/>
          <w:numId w:val="3"/>
        </w:numPr>
        <w:jc w:val="both"/>
      </w:pPr>
      <w:r w:rsidRPr="008D3C2E">
        <w:t xml:space="preserve">In addition to these treaty standards, there exists a body of ‘soft law’ developed by the human rights bodies of the </w:t>
      </w:r>
      <w:proofErr w:type="spellStart"/>
      <w:r w:rsidRPr="008D3C2E">
        <w:t>CoE</w:t>
      </w:r>
      <w:proofErr w:type="spellEnd"/>
      <w:r w:rsidRPr="008D3C2E">
        <w:t xml:space="preserve"> and UN. These declarations and principles are non-binding but are intended to provide further guidance.</w:t>
      </w:r>
      <w:r w:rsidRPr="008D3C2E">
        <w:rPr>
          <w:vertAlign w:val="superscript"/>
        </w:rPr>
        <w:footnoteReference w:id="7"/>
      </w:r>
      <w:r w:rsidR="0073756D">
        <w:t xml:space="preserve"> </w:t>
      </w:r>
      <w:r w:rsidR="00CE3E86">
        <w:t>The relevant soft law standards in this context include:</w:t>
      </w:r>
    </w:p>
    <w:p w14:paraId="42D89FE0" w14:textId="77777777" w:rsidR="008B43BB" w:rsidRDefault="008B43BB" w:rsidP="008B43BB">
      <w:pPr>
        <w:pStyle w:val="ListParagraph"/>
        <w:jc w:val="both"/>
      </w:pPr>
    </w:p>
    <w:p w14:paraId="4F233B69" w14:textId="7BC93377" w:rsidR="008D3C2E" w:rsidRDefault="0016479D" w:rsidP="0016479D">
      <w:pPr>
        <w:pStyle w:val="ListParagraph"/>
        <w:numPr>
          <w:ilvl w:val="0"/>
          <w:numId w:val="23"/>
        </w:numPr>
        <w:jc w:val="both"/>
      </w:pPr>
      <w:r w:rsidRPr="0016479D">
        <w:t>The Yogyakarta Principles</w:t>
      </w:r>
      <w:r>
        <w:t xml:space="preserve">, </w:t>
      </w:r>
      <w:proofErr w:type="gramStart"/>
      <w:r>
        <w:t>2006;</w:t>
      </w:r>
      <w:proofErr w:type="gramEnd"/>
    </w:p>
    <w:p w14:paraId="0DCCD054" w14:textId="77777777" w:rsidR="00187CE9" w:rsidRDefault="008B43BB" w:rsidP="008B43BB">
      <w:pPr>
        <w:pStyle w:val="ListParagraph"/>
        <w:numPr>
          <w:ilvl w:val="0"/>
          <w:numId w:val="23"/>
        </w:numPr>
        <w:jc w:val="both"/>
      </w:pPr>
      <w:r w:rsidRPr="008B43BB">
        <w:t>The Yogyakarta Principles plus 10</w:t>
      </w:r>
      <w:r>
        <w:t xml:space="preserve">, </w:t>
      </w:r>
      <w:proofErr w:type="gramStart"/>
      <w:r>
        <w:t>2017</w:t>
      </w:r>
      <w:r w:rsidR="00187CE9">
        <w:t>;</w:t>
      </w:r>
      <w:proofErr w:type="gramEnd"/>
    </w:p>
    <w:p w14:paraId="7342E700" w14:textId="145B9849" w:rsidR="008B43BB" w:rsidRDefault="00187CE9" w:rsidP="008B43BB">
      <w:pPr>
        <w:pStyle w:val="ListParagraph"/>
        <w:numPr>
          <w:ilvl w:val="0"/>
          <w:numId w:val="23"/>
        </w:numPr>
        <w:jc w:val="both"/>
      </w:pPr>
      <w:r w:rsidRPr="00187CE9">
        <w:t>Recommendation CM/</w:t>
      </w:r>
      <w:proofErr w:type="gramStart"/>
      <w:r w:rsidRPr="00187CE9">
        <w:t>Rec(</w:t>
      </w:r>
      <w:proofErr w:type="gramEnd"/>
      <w:r w:rsidRPr="00187CE9">
        <w:t>2010)5 of the</w:t>
      </w:r>
      <w:r>
        <w:t xml:space="preserve"> Council of Europe</w:t>
      </w:r>
      <w:r w:rsidRPr="00187CE9">
        <w:t xml:space="preserve"> Committee of Ministers</w:t>
      </w:r>
      <w:r w:rsidR="0087576B">
        <w:t>.</w:t>
      </w:r>
    </w:p>
    <w:p w14:paraId="19A22460" w14:textId="77777777" w:rsidR="003348CC" w:rsidRDefault="003348CC" w:rsidP="00E1522F"/>
    <w:p w14:paraId="528083C0" w14:textId="5DD84339" w:rsidR="00397BEC" w:rsidRDefault="001F3BF1" w:rsidP="00397BEC">
      <w:pPr>
        <w:pStyle w:val="ListParagraph"/>
        <w:numPr>
          <w:ilvl w:val="1"/>
          <w:numId w:val="3"/>
        </w:numPr>
        <w:jc w:val="both"/>
      </w:pPr>
      <w:r>
        <w:t>T</w:t>
      </w:r>
      <w:r w:rsidRPr="00E90E4C">
        <w:t xml:space="preserve">his paper provides a </w:t>
      </w:r>
      <w:r>
        <w:t xml:space="preserve">human rights </w:t>
      </w:r>
      <w:r w:rsidRPr="00E90E4C">
        <w:t xml:space="preserve">analysis </w:t>
      </w:r>
      <w:r w:rsidR="006908DE" w:rsidRPr="00E90E4C">
        <w:t>o</w:t>
      </w:r>
      <w:r w:rsidR="006908DE">
        <w:t>f</w:t>
      </w:r>
      <w:r w:rsidR="006908DE" w:rsidRPr="00E90E4C">
        <w:t xml:space="preserve"> </w:t>
      </w:r>
      <w:r w:rsidRPr="00E90E4C">
        <w:t xml:space="preserve">rights </w:t>
      </w:r>
      <w:r w:rsidR="006908DE">
        <w:t>relevant to the</w:t>
      </w:r>
      <w:r w:rsidR="006908DE" w:rsidRPr="00E90E4C">
        <w:t xml:space="preserve"> </w:t>
      </w:r>
      <w:r w:rsidRPr="00E90E4C">
        <w:t>inclusion of trans</w:t>
      </w:r>
      <w:r w:rsidR="00FB50C7">
        <w:t>gender</w:t>
      </w:r>
      <w:r w:rsidRPr="00E90E4C">
        <w:t xml:space="preserve"> persons participation in sport</w:t>
      </w:r>
      <w:r w:rsidR="00ED0E1B">
        <w:t>.</w:t>
      </w:r>
      <w:r w:rsidRPr="00E90E4C">
        <w:t xml:space="preserve"> It will look at the legal rights of trans</w:t>
      </w:r>
      <w:r w:rsidR="00EB5A03">
        <w:t>gender</w:t>
      </w:r>
      <w:r w:rsidRPr="00E90E4C">
        <w:t xml:space="preserve"> persons </w:t>
      </w:r>
      <w:r w:rsidR="00916C1F">
        <w:t>under</w:t>
      </w:r>
      <w:r w:rsidRPr="00E90E4C">
        <w:t xml:space="preserve"> international and domestic </w:t>
      </w:r>
      <w:r w:rsidR="00916C1F">
        <w:t>frameworks</w:t>
      </w:r>
      <w:r w:rsidR="00916C1F" w:rsidRPr="00E90E4C">
        <w:t xml:space="preserve"> </w:t>
      </w:r>
      <w:r w:rsidRPr="00E90E4C">
        <w:t xml:space="preserve">and assess what the law may mean for </w:t>
      </w:r>
      <w:r>
        <w:t>those seeking to</w:t>
      </w:r>
      <w:r w:rsidRPr="00E90E4C">
        <w:t xml:space="preserve"> participa</w:t>
      </w:r>
      <w:r>
        <w:t xml:space="preserve">te </w:t>
      </w:r>
      <w:r w:rsidRPr="00E90E4C">
        <w:t>in sporting events</w:t>
      </w:r>
      <w:r>
        <w:t xml:space="preserve"> and for those who organise them</w:t>
      </w:r>
      <w:r w:rsidR="006E24FD">
        <w:t>.</w:t>
      </w:r>
      <w:r w:rsidR="00227E5D">
        <w:t xml:space="preserve"> </w:t>
      </w:r>
      <w:r w:rsidR="007C1F32">
        <w:t xml:space="preserve"> </w:t>
      </w:r>
      <w:r w:rsidR="00397BEC" w:rsidRPr="00F96B76">
        <w:t xml:space="preserve"> </w:t>
      </w:r>
    </w:p>
    <w:p w14:paraId="028CC55B" w14:textId="274B46A0" w:rsidR="001F3BF1" w:rsidRDefault="001F3BF1" w:rsidP="00227E5D">
      <w:pPr>
        <w:pStyle w:val="ListParagraph"/>
        <w:jc w:val="both"/>
      </w:pPr>
    </w:p>
    <w:p w14:paraId="671BD046" w14:textId="08B3D836" w:rsidR="00130B7B" w:rsidRPr="00C83BC4" w:rsidRDefault="00EB5A03" w:rsidP="00EC0E59">
      <w:pPr>
        <w:pStyle w:val="ListParagraph"/>
        <w:numPr>
          <w:ilvl w:val="1"/>
          <w:numId w:val="3"/>
        </w:numPr>
        <w:jc w:val="both"/>
      </w:pPr>
      <w:r>
        <w:t>Th</w:t>
      </w:r>
      <w:r w:rsidR="00EC1D53">
        <w:t xml:space="preserve">e analysis of </w:t>
      </w:r>
      <w:r w:rsidR="00EC1D53" w:rsidRPr="008C0928">
        <w:t>the participation of trans</w:t>
      </w:r>
      <w:r w:rsidR="00EC1D53">
        <w:t>gender</w:t>
      </w:r>
      <w:r w:rsidR="00EC1D53" w:rsidRPr="008C0928">
        <w:t xml:space="preserve"> women in sports</w:t>
      </w:r>
      <w:r w:rsidR="00EC1D53">
        <w:t>, both at professional/international and grassroots levels,</w:t>
      </w:r>
      <w:r>
        <w:t xml:space="preserve"> </w:t>
      </w:r>
      <w:r w:rsidR="001E2CEF">
        <w:t>must be considered in the context of</w:t>
      </w:r>
      <w:r>
        <w:t xml:space="preserve"> a </w:t>
      </w:r>
      <w:r w:rsidR="00A40FA1">
        <w:t>broader</w:t>
      </w:r>
      <w:r>
        <w:t xml:space="preserve"> debate about </w:t>
      </w:r>
      <w:r w:rsidR="005A7362">
        <w:t>transgender</w:t>
      </w:r>
      <w:r w:rsidR="001E2CEF">
        <w:t xml:space="preserve"> rights.</w:t>
      </w:r>
      <w:r w:rsidR="009658F9">
        <w:rPr>
          <w:rStyle w:val="FootnoteReference"/>
        </w:rPr>
        <w:footnoteReference w:id="8"/>
      </w:r>
      <w:r w:rsidR="005A7362">
        <w:t xml:space="preserve"> </w:t>
      </w:r>
      <w:r w:rsidR="001E2CEF">
        <w:t>For example</w:t>
      </w:r>
      <w:r w:rsidR="005A7362">
        <w:t xml:space="preserve">, </w:t>
      </w:r>
      <w:r w:rsidR="00DC2B78">
        <w:t>the access</w:t>
      </w:r>
      <w:r w:rsidR="001E2CEF">
        <w:t xml:space="preserve"> of transgender persons, particularly transgender women,</w:t>
      </w:r>
      <w:r w:rsidR="00DC2B78">
        <w:t xml:space="preserve"> to single-sex spaces such as </w:t>
      </w:r>
      <w:r w:rsidR="00DC2B78" w:rsidRPr="008C0928">
        <w:t xml:space="preserve">housing shelters, toilets, prisons and </w:t>
      </w:r>
      <w:r w:rsidR="00DC2B78" w:rsidRPr="00226BDA">
        <w:t>changing rooms.</w:t>
      </w:r>
      <w:r w:rsidR="00344645" w:rsidRPr="00226BDA">
        <w:rPr>
          <w:rStyle w:val="FootnoteReference"/>
        </w:rPr>
        <w:footnoteReference w:id="9"/>
      </w:r>
    </w:p>
    <w:p w14:paraId="467CCC99" w14:textId="77777777" w:rsidR="00DE4732" w:rsidRDefault="00DE4732" w:rsidP="0027376F">
      <w:pPr>
        <w:jc w:val="both"/>
        <w:rPr>
          <w:color w:val="000000"/>
        </w:rPr>
      </w:pPr>
    </w:p>
    <w:p w14:paraId="3CC1ED63" w14:textId="1DB39048" w:rsidR="00ED72D2" w:rsidRPr="003540ED" w:rsidRDefault="003540ED" w:rsidP="00B57F7A">
      <w:pPr>
        <w:pStyle w:val="Heading1"/>
        <w:numPr>
          <w:ilvl w:val="0"/>
          <w:numId w:val="0"/>
        </w:numPr>
      </w:pPr>
      <w:bookmarkStart w:id="5" w:name="_Toc129693841"/>
      <w:r w:rsidRPr="003540ED">
        <w:t xml:space="preserve">2.0 </w:t>
      </w:r>
      <w:r w:rsidR="00ED72D2" w:rsidRPr="003540ED">
        <w:t>International</w:t>
      </w:r>
      <w:r w:rsidR="009C40CC" w:rsidRPr="003540ED">
        <w:t xml:space="preserve"> </w:t>
      </w:r>
      <w:bookmarkStart w:id="6" w:name="_Hlk75798789"/>
      <w:r w:rsidR="00240D01" w:rsidRPr="003540ED">
        <w:t>h</w:t>
      </w:r>
      <w:r w:rsidR="001C1164" w:rsidRPr="003540ED">
        <w:t xml:space="preserve">uman </w:t>
      </w:r>
      <w:r w:rsidR="00240D01" w:rsidRPr="003540ED">
        <w:t>r</w:t>
      </w:r>
      <w:r w:rsidR="001C1164" w:rsidRPr="003540ED">
        <w:t>ights</w:t>
      </w:r>
      <w:r w:rsidR="00240D01" w:rsidRPr="003540ED">
        <w:t xml:space="preserve"> standards</w:t>
      </w:r>
      <w:bookmarkEnd w:id="5"/>
    </w:p>
    <w:bookmarkEnd w:id="6"/>
    <w:p w14:paraId="3EFCAF28" w14:textId="77777777" w:rsidR="00BD3F1B" w:rsidRPr="00297D86" w:rsidRDefault="00BD3F1B" w:rsidP="0027376F">
      <w:pPr>
        <w:jc w:val="both"/>
        <w:rPr>
          <w:color w:val="000000"/>
        </w:rPr>
      </w:pPr>
    </w:p>
    <w:p w14:paraId="431FDC21" w14:textId="77777777" w:rsidR="00244812" w:rsidRPr="00244812" w:rsidRDefault="00244812" w:rsidP="003540ED">
      <w:pPr>
        <w:pStyle w:val="ListParagraph"/>
        <w:numPr>
          <w:ilvl w:val="0"/>
          <w:numId w:val="25"/>
        </w:numPr>
        <w:jc w:val="both"/>
        <w:rPr>
          <w:vanish/>
        </w:rPr>
      </w:pPr>
    </w:p>
    <w:p w14:paraId="1A6D7FD8" w14:textId="693979DF" w:rsidR="00267217" w:rsidRPr="004352C0" w:rsidRDefault="00267217" w:rsidP="00B57F7A">
      <w:pPr>
        <w:pStyle w:val="Heading2"/>
        <w:rPr>
          <w:color w:val="000000"/>
        </w:rPr>
      </w:pPr>
      <w:bookmarkStart w:id="7" w:name="_Toc129693842"/>
      <w:r w:rsidRPr="002E11C7">
        <w:t>United Nations</w:t>
      </w:r>
      <w:bookmarkEnd w:id="7"/>
      <w:r w:rsidR="002E11C7" w:rsidRPr="002E11C7">
        <w:t xml:space="preserve"> </w:t>
      </w:r>
    </w:p>
    <w:p w14:paraId="0B2037A0" w14:textId="77777777" w:rsidR="00220C93" w:rsidRPr="00220C93" w:rsidRDefault="00220C93" w:rsidP="00220C93">
      <w:pPr>
        <w:pStyle w:val="ListParagraph"/>
        <w:jc w:val="both"/>
        <w:rPr>
          <w:color w:val="000000"/>
        </w:rPr>
      </w:pPr>
    </w:p>
    <w:p w14:paraId="5F9C7DA6" w14:textId="7177F6B7" w:rsidR="006E24FD" w:rsidRPr="006908DE" w:rsidRDefault="002C5169" w:rsidP="00697D7A">
      <w:pPr>
        <w:pStyle w:val="ListParagraph"/>
        <w:numPr>
          <w:ilvl w:val="1"/>
          <w:numId w:val="25"/>
        </w:numPr>
        <w:ind w:left="709" w:hanging="709"/>
        <w:jc w:val="both"/>
        <w:rPr>
          <w:color w:val="000000"/>
        </w:rPr>
      </w:pPr>
      <w:r>
        <w:t>T</w:t>
      </w:r>
      <w:r w:rsidR="00B5737B">
        <w:t xml:space="preserve">he International Covenant on Economic Social and Cultural Rights </w:t>
      </w:r>
      <w:r w:rsidR="00F00698">
        <w:t>(</w:t>
      </w:r>
      <w:r w:rsidR="00A33E1F">
        <w:t>ICESCR</w:t>
      </w:r>
      <w:r w:rsidR="00F00698">
        <w:t xml:space="preserve">) </w:t>
      </w:r>
      <w:r w:rsidR="002049BE">
        <w:t xml:space="preserve">sets out in </w:t>
      </w:r>
      <w:r w:rsidR="00714EF6">
        <w:t>Article 2</w:t>
      </w:r>
      <w:r w:rsidR="006E24FD">
        <w:t>(</w:t>
      </w:r>
      <w:r w:rsidR="00714EF6" w:rsidRPr="00B14507">
        <w:t>2</w:t>
      </w:r>
      <w:r w:rsidR="006E24FD">
        <w:t>)</w:t>
      </w:r>
      <w:r w:rsidR="006908DE">
        <w:t>,</w:t>
      </w:r>
      <w:r w:rsidR="00935418" w:rsidRPr="00B14507">
        <w:t xml:space="preserve"> </w:t>
      </w:r>
    </w:p>
    <w:p w14:paraId="1E42F649" w14:textId="77777777" w:rsidR="006E24FD" w:rsidRPr="006908DE" w:rsidRDefault="006E24FD" w:rsidP="006908DE">
      <w:pPr>
        <w:pStyle w:val="ListParagraph"/>
        <w:jc w:val="both"/>
        <w:rPr>
          <w:color w:val="000000"/>
        </w:rPr>
      </w:pPr>
    </w:p>
    <w:p w14:paraId="34E7F28A" w14:textId="37558C2E" w:rsidR="006E24FD" w:rsidRPr="006908DE" w:rsidRDefault="00935418" w:rsidP="006908DE">
      <w:pPr>
        <w:pStyle w:val="ListParagraph"/>
        <w:ind w:left="1440" w:right="786"/>
        <w:jc w:val="both"/>
        <w:rPr>
          <w:color w:val="000000"/>
        </w:rPr>
      </w:pPr>
      <w:r w:rsidRPr="00B14507">
        <w:t xml:space="preserve">the rights enunciated in the present Covenant will be exercised without discrimination of any kind as to race, colour, sex, language, religion, political or other opinion, national or social origin, property, </w:t>
      </w:r>
      <w:proofErr w:type="gramStart"/>
      <w:r w:rsidRPr="00B14507">
        <w:t>birth</w:t>
      </w:r>
      <w:proofErr w:type="gramEnd"/>
      <w:r w:rsidRPr="00B14507">
        <w:t xml:space="preserve"> or other status.</w:t>
      </w:r>
      <w:r w:rsidR="004C195E" w:rsidRPr="00B14507">
        <w:t xml:space="preserve"> </w:t>
      </w:r>
    </w:p>
    <w:p w14:paraId="30A9B839" w14:textId="77777777" w:rsidR="006E24FD" w:rsidRPr="006908DE" w:rsidRDefault="006E24FD" w:rsidP="006908DE">
      <w:pPr>
        <w:pStyle w:val="ListParagraph"/>
        <w:jc w:val="both"/>
        <w:rPr>
          <w:color w:val="000000"/>
        </w:rPr>
      </w:pPr>
    </w:p>
    <w:p w14:paraId="44E73EDE" w14:textId="686C439D" w:rsidR="00AF216D" w:rsidRPr="00AF216D" w:rsidRDefault="003D66F4" w:rsidP="00697D7A">
      <w:pPr>
        <w:pStyle w:val="ListParagraph"/>
        <w:numPr>
          <w:ilvl w:val="1"/>
          <w:numId w:val="25"/>
        </w:numPr>
        <w:ind w:left="709" w:hanging="709"/>
        <w:jc w:val="both"/>
        <w:rPr>
          <w:color w:val="000000"/>
        </w:rPr>
      </w:pPr>
      <w:r>
        <w:t xml:space="preserve">This is also </w:t>
      </w:r>
      <w:r w:rsidR="002F179A">
        <w:t>reinforced by Article 3</w:t>
      </w:r>
      <w:r w:rsidR="00BF48CB">
        <w:t>,</w:t>
      </w:r>
      <w:r w:rsidR="002F179A">
        <w:t xml:space="preserve"> which protects the “</w:t>
      </w:r>
      <w:r w:rsidR="002F179A" w:rsidRPr="000C67ED">
        <w:t>equal right of men and women to the enjoyment of all economic, social and cultural rights set forth in the present Covenant</w:t>
      </w:r>
      <w:r w:rsidR="002F179A" w:rsidRPr="005B31A1">
        <w:t>”.</w:t>
      </w:r>
      <w:r w:rsidR="00052E3E">
        <w:t xml:space="preserve"> </w:t>
      </w:r>
      <w:r w:rsidR="00913AB3">
        <w:t xml:space="preserve">The </w:t>
      </w:r>
      <w:r w:rsidR="006E24FD">
        <w:t xml:space="preserve">UN </w:t>
      </w:r>
      <w:r w:rsidR="00913AB3">
        <w:t xml:space="preserve">ICESCR Committee confirms that </w:t>
      </w:r>
      <w:r w:rsidR="00CF0542">
        <w:t xml:space="preserve">gender identity falls within the scope of “other status” for the purposes of </w:t>
      </w:r>
      <w:r w:rsidR="00900D6B">
        <w:t xml:space="preserve">a prohibited ground of discrimination under </w:t>
      </w:r>
      <w:r w:rsidR="00CF0542">
        <w:t>Article 2</w:t>
      </w:r>
      <w:r w:rsidR="006E24FD">
        <w:t>(</w:t>
      </w:r>
      <w:r w:rsidR="00CF0542">
        <w:t>2</w:t>
      </w:r>
      <w:r w:rsidR="006E24FD">
        <w:t>)</w:t>
      </w:r>
      <w:r w:rsidR="00CF0542">
        <w:t xml:space="preserve"> ICESCR. It further </w:t>
      </w:r>
      <w:r w:rsidR="00900D6B">
        <w:t>recognises that transgender individuals often face serious human rights violations.</w:t>
      </w:r>
      <w:r w:rsidR="00C30675">
        <w:rPr>
          <w:rStyle w:val="FootnoteReference"/>
        </w:rPr>
        <w:footnoteReference w:id="10"/>
      </w:r>
    </w:p>
    <w:p w14:paraId="6D261CDC" w14:textId="77777777" w:rsidR="00AF216D" w:rsidRPr="00AF216D" w:rsidRDefault="00AF216D" w:rsidP="00697D7A">
      <w:pPr>
        <w:pStyle w:val="ListParagraph"/>
        <w:ind w:left="709" w:hanging="709"/>
        <w:jc w:val="both"/>
        <w:rPr>
          <w:color w:val="000000"/>
        </w:rPr>
      </w:pPr>
    </w:p>
    <w:p w14:paraId="630CE701" w14:textId="7B1894BC" w:rsidR="00080C8F" w:rsidRPr="00AF216D" w:rsidRDefault="006D105B" w:rsidP="00697D7A">
      <w:pPr>
        <w:pStyle w:val="ListParagraph"/>
        <w:numPr>
          <w:ilvl w:val="1"/>
          <w:numId w:val="25"/>
        </w:numPr>
        <w:ind w:left="709" w:hanging="709"/>
        <w:jc w:val="both"/>
        <w:rPr>
          <w:color w:val="000000"/>
        </w:rPr>
      </w:pPr>
      <w:r>
        <w:t xml:space="preserve">The ICESCR Committee requires that, </w:t>
      </w:r>
      <w:proofErr w:type="gramStart"/>
      <w:r>
        <w:t>in order to</w:t>
      </w:r>
      <w:proofErr w:type="gramEnd"/>
      <w:r>
        <w:t xml:space="preserve"> give effect to Article 2</w:t>
      </w:r>
      <w:r w:rsidR="006E24FD">
        <w:t>(</w:t>
      </w:r>
      <w:r>
        <w:t>2</w:t>
      </w:r>
      <w:r w:rsidR="006E24FD">
        <w:t>)</w:t>
      </w:r>
      <w:r>
        <w:t xml:space="preserve">, States should </w:t>
      </w:r>
      <w:r w:rsidR="001A40C8">
        <w:t>“</w:t>
      </w:r>
      <w:r w:rsidR="001A40C8" w:rsidRPr="001A40C8">
        <w:t>take concrete, deliberate and targeted measures to ensure that discrimination in the exercise of Covenant rights is eliminated</w:t>
      </w:r>
      <w:r w:rsidR="001A40C8">
        <w:t>”, including ensuring participation</w:t>
      </w:r>
      <w:r w:rsidR="00147F8B">
        <w:t xml:space="preserve"> of those individuals and groups affected</w:t>
      </w:r>
      <w:r w:rsidR="001A40C8">
        <w:t xml:space="preserve"> </w:t>
      </w:r>
      <w:r w:rsidR="00B03103">
        <w:t>in the selection of measures</w:t>
      </w:r>
      <w:r w:rsidR="001A40C8">
        <w:t>.</w:t>
      </w:r>
      <w:r w:rsidR="001A40C8">
        <w:rPr>
          <w:rStyle w:val="FootnoteReference"/>
        </w:rPr>
        <w:footnoteReference w:id="11"/>
      </w:r>
      <w:r w:rsidR="002F25AA">
        <w:t xml:space="preserve"> The Committee further recognises that this may require legislation, policies and programmes, and also include temporary special measures.</w:t>
      </w:r>
      <w:r w:rsidR="002F25AA">
        <w:rPr>
          <w:rStyle w:val="FootnoteReference"/>
        </w:rPr>
        <w:footnoteReference w:id="12"/>
      </w:r>
      <w:r w:rsidR="002F25AA">
        <w:t xml:space="preserve">  </w:t>
      </w:r>
    </w:p>
    <w:p w14:paraId="01070F19" w14:textId="77777777" w:rsidR="00080C8F" w:rsidRDefault="00080C8F" w:rsidP="00E1522F">
      <w:pPr>
        <w:pStyle w:val="ListParagraph"/>
      </w:pPr>
    </w:p>
    <w:p w14:paraId="4FF220A2" w14:textId="0C06A502" w:rsidR="00DB2A56" w:rsidRPr="00860A41" w:rsidRDefault="00311341" w:rsidP="00697D7A">
      <w:pPr>
        <w:pStyle w:val="ListParagraph"/>
        <w:numPr>
          <w:ilvl w:val="1"/>
          <w:numId w:val="25"/>
        </w:numPr>
        <w:ind w:left="709" w:hanging="709"/>
        <w:jc w:val="both"/>
      </w:pPr>
      <w:r w:rsidRPr="00EA337D">
        <w:rPr>
          <w:color w:val="000000"/>
        </w:rPr>
        <w:t>Art</w:t>
      </w:r>
      <w:r w:rsidR="006972AA">
        <w:rPr>
          <w:color w:val="000000"/>
        </w:rPr>
        <w:t>icle</w:t>
      </w:r>
      <w:r w:rsidRPr="00EA337D">
        <w:rPr>
          <w:color w:val="000000"/>
        </w:rPr>
        <w:t xml:space="preserve"> 15</w:t>
      </w:r>
      <w:r w:rsidR="006E24FD">
        <w:rPr>
          <w:color w:val="000000"/>
        </w:rPr>
        <w:t>(</w:t>
      </w:r>
      <w:r w:rsidR="006972AA">
        <w:rPr>
          <w:color w:val="000000"/>
        </w:rPr>
        <w:t>1</w:t>
      </w:r>
      <w:r w:rsidR="006E24FD">
        <w:rPr>
          <w:color w:val="000000"/>
        </w:rPr>
        <w:t>)</w:t>
      </w:r>
      <w:r w:rsidR="006972AA">
        <w:rPr>
          <w:color w:val="000000"/>
        </w:rPr>
        <w:t xml:space="preserve"> </w:t>
      </w:r>
      <w:r w:rsidR="00BF48CB">
        <w:rPr>
          <w:color w:val="000000"/>
        </w:rPr>
        <w:t>ICESCR</w:t>
      </w:r>
      <w:r w:rsidR="00BF48CB" w:rsidRPr="00EA337D">
        <w:rPr>
          <w:color w:val="000000"/>
        </w:rPr>
        <w:t xml:space="preserve"> </w:t>
      </w:r>
      <w:r w:rsidRPr="00EA337D">
        <w:rPr>
          <w:color w:val="000000"/>
        </w:rPr>
        <w:t>recogni</w:t>
      </w:r>
      <w:r w:rsidR="006972AA">
        <w:rPr>
          <w:color w:val="000000"/>
        </w:rPr>
        <w:t xml:space="preserve">ses </w:t>
      </w:r>
      <w:r w:rsidRPr="00EA337D">
        <w:rPr>
          <w:color w:val="000000"/>
        </w:rPr>
        <w:t xml:space="preserve">the right of everyone </w:t>
      </w:r>
      <w:r w:rsidR="006972AA">
        <w:rPr>
          <w:color w:val="000000"/>
        </w:rPr>
        <w:t>t</w:t>
      </w:r>
      <w:r w:rsidRPr="00EA337D">
        <w:rPr>
          <w:color w:val="000000"/>
        </w:rPr>
        <w:t>o take part in cultural life</w:t>
      </w:r>
      <w:r w:rsidR="00080C8F">
        <w:rPr>
          <w:color w:val="000000"/>
        </w:rPr>
        <w:t>.</w:t>
      </w:r>
      <w:r w:rsidR="00BB71F6">
        <w:rPr>
          <w:color w:val="000000"/>
        </w:rPr>
        <w:t xml:space="preserve"> </w:t>
      </w:r>
      <w:r w:rsidR="00080C8F">
        <w:rPr>
          <w:color w:val="000000"/>
        </w:rPr>
        <w:t xml:space="preserve">The ICESCR </w:t>
      </w:r>
      <w:r w:rsidR="0093532A">
        <w:rPr>
          <w:color w:val="000000"/>
        </w:rPr>
        <w:t xml:space="preserve">Committee </w:t>
      </w:r>
      <w:r w:rsidR="00080C8F">
        <w:rPr>
          <w:color w:val="000000"/>
        </w:rPr>
        <w:t xml:space="preserve">interprets </w:t>
      </w:r>
      <w:r w:rsidR="003D096A">
        <w:rPr>
          <w:color w:val="000000"/>
        </w:rPr>
        <w:t>cultural life</w:t>
      </w:r>
      <w:r w:rsidR="00014B5E">
        <w:rPr>
          <w:color w:val="000000"/>
        </w:rPr>
        <w:t xml:space="preserve"> </w:t>
      </w:r>
      <w:r w:rsidR="00080C8F">
        <w:rPr>
          <w:color w:val="000000"/>
        </w:rPr>
        <w:t xml:space="preserve">as </w:t>
      </w:r>
      <w:r w:rsidR="00080C8F" w:rsidRPr="00014B5E">
        <w:rPr>
          <w:color w:val="000000"/>
        </w:rPr>
        <w:t>encompass</w:t>
      </w:r>
      <w:r w:rsidR="00080C8F">
        <w:rPr>
          <w:color w:val="000000"/>
        </w:rPr>
        <w:t>ing</w:t>
      </w:r>
      <w:r w:rsidR="00014B5E" w:rsidRPr="00014B5E">
        <w:rPr>
          <w:color w:val="000000"/>
        </w:rPr>
        <w:t>, ways of life, language, oral and written literature, music and song, non-verbal communication, religion or belief systems, rites and ceremonies,</w:t>
      </w:r>
      <w:r w:rsidR="00922FD0">
        <w:rPr>
          <w:color w:val="000000"/>
        </w:rPr>
        <w:t xml:space="preserve"> and</w:t>
      </w:r>
      <w:r w:rsidR="00014B5E" w:rsidRPr="00014B5E">
        <w:rPr>
          <w:color w:val="000000"/>
        </w:rPr>
        <w:t xml:space="preserve"> spor</w:t>
      </w:r>
      <w:r w:rsidR="00922FD0">
        <w:rPr>
          <w:color w:val="000000"/>
        </w:rPr>
        <w:t>t</w:t>
      </w:r>
      <w:r w:rsidR="00014B5E">
        <w:rPr>
          <w:color w:val="000000"/>
        </w:rPr>
        <w:t>.</w:t>
      </w:r>
      <w:r w:rsidR="00300C42">
        <w:rPr>
          <w:rStyle w:val="FootnoteReference"/>
          <w:color w:val="000000"/>
        </w:rPr>
        <w:footnoteReference w:id="13"/>
      </w:r>
      <w:r w:rsidR="00080C8F">
        <w:rPr>
          <w:color w:val="000000"/>
        </w:rPr>
        <w:t xml:space="preserve"> The Committee also</w:t>
      </w:r>
      <w:r w:rsidR="00860A41">
        <w:rPr>
          <w:color w:val="000000"/>
        </w:rPr>
        <w:t xml:space="preserve"> </w:t>
      </w:r>
      <w:r w:rsidR="00DA43EE" w:rsidRPr="00860A41">
        <w:t xml:space="preserve">sets out that </w:t>
      </w:r>
      <w:r w:rsidR="001F66A0" w:rsidRPr="00860A41">
        <w:t>“</w:t>
      </w:r>
      <w:r w:rsidR="00DA43EE" w:rsidRPr="00860A41">
        <w:t>special attention should be paid to groups that have experienced systemic discrimination…</w:t>
      </w:r>
      <w:r w:rsidR="009D411E" w:rsidRPr="00860A41">
        <w:t>such as women, persons with disabilities, lesbian, gay, bisexual, transgender and intersex persons, indigenous peoples and persons living in poverty. Temporary special measures might be necessary to achieve substantive equality and remedy current manifestations of previous patterns of exclusion of these groups</w:t>
      </w:r>
      <w:r w:rsidR="001F66A0" w:rsidRPr="00860A41">
        <w:t>”.</w:t>
      </w:r>
      <w:r w:rsidR="001F66A0">
        <w:rPr>
          <w:rStyle w:val="FootnoteReference"/>
          <w:color w:val="000000"/>
        </w:rPr>
        <w:footnoteReference w:id="14"/>
      </w:r>
    </w:p>
    <w:p w14:paraId="16DAC9D6" w14:textId="77777777" w:rsidR="00DB2A56" w:rsidRPr="00DB2A56" w:rsidRDefault="00DB2A56" w:rsidP="00697D7A">
      <w:pPr>
        <w:pStyle w:val="ListParagraph"/>
        <w:ind w:left="709" w:hanging="709"/>
        <w:rPr>
          <w:color w:val="000000"/>
        </w:rPr>
      </w:pPr>
    </w:p>
    <w:p w14:paraId="3D537FF4" w14:textId="65B12270" w:rsidR="006E24FD" w:rsidRPr="006908DE" w:rsidRDefault="00797BF7" w:rsidP="00697D7A">
      <w:pPr>
        <w:pStyle w:val="ListParagraph"/>
        <w:numPr>
          <w:ilvl w:val="1"/>
          <w:numId w:val="25"/>
        </w:numPr>
        <w:ind w:left="709" w:hanging="709"/>
        <w:jc w:val="both"/>
      </w:pPr>
      <w:r w:rsidRPr="004462EA">
        <w:rPr>
          <w:color w:val="000000"/>
        </w:rPr>
        <w:t xml:space="preserve">The International Covenant on Civil and Political Rights </w:t>
      </w:r>
      <w:r w:rsidR="00080C8F">
        <w:rPr>
          <w:color w:val="000000"/>
        </w:rPr>
        <w:t>(</w:t>
      </w:r>
      <w:r w:rsidR="00080C8F" w:rsidRPr="004462EA">
        <w:rPr>
          <w:color w:val="000000"/>
        </w:rPr>
        <w:t>ICCPR</w:t>
      </w:r>
      <w:r w:rsidR="00080C8F">
        <w:rPr>
          <w:color w:val="000000"/>
        </w:rPr>
        <w:t>)</w:t>
      </w:r>
      <w:r w:rsidR="00080C8F" w:rsidRPr="004462EA">
        <w:rPr>
          <w:color w:val="000000"/>
        </w:rPr>
        <w:t xml:space="preserve"> </w:t>
      </w:r>
      <w:r w:rsidR="00467B40">
        <w:rPr>
          <w:color w:val="000000"/>
        </w:rPr>
        <w:t>also contains a free-standing non-discrimination clause</w:t>
      </w:r>
      <w:r w:rsidR="006E24FD">
        <w:rPr>
          <w:color w:val="000000"/>
        </w:rPr>
        <w:t>, which</w:t>
      </w:r>
      <w:r w:rsidR="00467B40">
        <w:rPr>
          <w:color w:val="000000"/>
        </w:rPr>
        <w:t xml:space="preserve"> states </w:t>
      </w:r>
    </w:p>
    <w:p w14:paraId="7317EB81" w14:textId="77777777" w:rsidR="006E24FD" w:rsidRDefault="006E24FD" w:rsidP="00697D7A">
      <w:pPr>
        <w:pStyle w:val="ListParagraph"/>
        <w:ind w:left="709" w:right="786" w:hanging="709"/>
        <w:jc w:val="both"/>
        <w:rPr>
          <w:color w:val="000000"/>
        </w:rPr>
      </w:pPr>
    </w:p>
    <w:p w14:paraId="3E35EA68" w14:textId="5BC4BA2D" w:rsidR="006E24FD" w:rsidRPr="006908DE" w:rsidRDefault="003D38EB" w:rsidP="006908DE">
      <w:pPr>
        <w:pStyle w:val="ListParagraph"/>
        <w:ind w:left="1440" w:right="786"/>
        <w:jc w:val="both"/>
      </w:pPr>
      <w:r w:rsidRPr="0040745C">
        <w:rPr>
          <w:color w:val="000000"/>
        </w:rPr>
        <w:t>a</w:t>
      </w:r>
      <w:r w:rsidR="008A440C" w:rsidRPr="0040745C">
        <w:rPr>
          <w:color w:val="000000"/>
        </w:rPr>
        <w:t xml:space="preserve">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w:t>
      </w:r>
      <w:proofErr w:type="gramStart"/>
      <w:r w:rsidR="008A440C" w:rsidRPr="0040745C">
        <w:rPr>
          <w:color w:val="000000"/>
        </w:rPr>
        <w:t>birth</w:t>
      </w:r>
      <w:proofErr w:type="gramEnd"/>
      <w:r w:rsidR="008A440C" w:rsidRPr="0040745C">
        <w:rPr>
          <w:color w:val="000000"/>
        </w:rPr>
        <w:t xml:space="preserve"> or other status</w:t>
      </w:r>
      <w:r w:rsidR="008A440C" w:rsidRPr="004462EA">
        <w:rPr>
          <w:color w:val="000000"/>
        </w:rPr>
        <w:t>.</w:t>
      </w:r>
      <w:r w:rsidR="009E1D39">
        <w:rPr>
          <w:rStyle w:val="FootnoteReference"/>
          <w:color w:val="000000"/>
        </w:rPr>
        <w:footnoteReference w:id="15"/>
      </w:r>
      <w:r w:rsidR="00A834DB" w:rsidRPr="004462EA">
        <w:rPr>
          <w:color w:val="000000"/>
        </w:rPr>
        <w:t xml:space="preserve"> </w:t>
      </w:r>
    </w:p>
    <w:p w14:paraId="356E663B" w14:textId="77777777" w:rsidR="006E24FD" w:rsidRPr="006908DE" w:rsidRDefault="006E24FD" w:rsidP="006908DE">
      <w:pPr>
        <w:pStyle w:val="ListParagraph"/>
        <w:rPr>
          <w:color w:val="000000"/>
        </w:rPr>
      </w:pPr>
    </w:p>
    <w:p w14:paraId="6B011462" w14:textId="7349D5B9" w:rsidR="002D161B" w:rsidRDefault="00A834DB" w:rsidP="00697D7A">
      <w:pPr>
        <w:pStyle w:val="ListParagraph"/>
        <w:numPr>
          <w:ilvl w:val="1"/>
          <w:numId w:val="25"/>
        </w:numPr>
        <w:ind w:left="709" w:hanging="709"/>
        <w:jc w:val="both"/>
      </w:pPr>
      <w:r w:rsidRPr="004462EA">
        <w:rPr>
          <w:color w:val="000000"/>
        </w:rPr>
        <w:t xml:space="preserve">Other status is a wide and </w:t>
      </w:r>
      <w:r w:rsidR="00690D84" w:rsidRPr="004462EA">
        <w:rPr>
          <w:color w:val="000000"/>
        </w:rPr>
        <w:t>open-ended</w:t>
      </w:r>
      <w:r w:rsidRPr="004462EA">
        <w:rPr>
          <w:color w:val="000000"/>
        </w:rPr>
        <w:t xml:space="preserve"> concept</w:t>
      </w:r>
      <w:r w:rsidR="00080C8F">
        <w:rPr>
          <w:color w:val="000000"/>
        </w:rPr>
        <w:t>,</w:t>
      </w:r>
      <w:r w:rsidRPr="004462EA">
        <w:rPr>
          <w:color w:val="000000"/>
        </w:rPr>
        <w:t xml:space="preserve"> that </w:t>
      </w:r>
      <w:r w:rsidR="004462EA">
        <w:t xml:space="preserve">has been interpreted </w:t>
      </w:r>
      <w:r w:rsidR="00EA3C02">
        <w:t xml:space="preserve">by the </w:t>
      </w:r>
      <w:r w:rsidR="00467B40">
        <w:t xml:space="preserve">UN </w:t>
      </w:r>
      <w:r w:rsidR="00EA3C02">
        <w:t xml:space="preserve">Human Rights Committee </w:t>
      </w:r>
      <w:r w:rsidR="00080C8F">
        <w:t>as including gender identity</w:t>
      </w:r>
      <w:r w:rsidR="00D0731A">
        <w:t>.</w:t>
      </w:r>
      <w:r w:rsidR="00D0731A">
        <w:rPr>
          <w:rStyle w:val="FootnoteReference"/>
        </w:rPr>
        <w:footnoteReference w:id="16"/>
      </w:r>
      <w:r w:rsidR="00BF48CB">
        <w:t xml:space="preserve"> </w:t>
      </w:r>
      <w:r w:rsidR="002D161B">
        <w:t xml:space="preserve">The UN Human Rights Committee, while not specifically referencing sport, </w:t>
      </w:r>
      <w:r w:rsidR="002D161B" w:rsidRPr="002D161B">
        <w:t xml:space="preserve">requires States </w:t>
      </w:r>
      <w:r w:rsidR="002D161B">
        <w:t>“</w:t>
      </w:r>
      <w:r w:rsidR="002D161B" w:rsidRPr="002D161B">
        <w:t>to act against discrimination by public and private agencies in all fields</w:t>
      </w:r>
      <w:r w:rsidR="002D161B">
        <w:t>”.</w:t>
      </w:r>
      <w:r w:rsidR="002D161B">
        <w:rPr>
          <w:rStyle w:val="FootnoteReference"/>
        </w:rPr>
        <w:footnoteReference w:id="17"/>
      </w:r>
    </w:p>
    <w:p w14:paraId="49628A0D" w14:textId="77777777" w:rsidR="004462EA" w:rsidRDefault="004462EA" w:rsidP="00697D7A">
      <w:pPr>
        <w:pStyle w:val="ListParagraph"/>
        <w:ind w:left="709" w:hanging="709"/>
      </w:pPr>
    </w:p>
    <w:p w14:paraId="31CD6ACF" w14:textId="4231EA4A" w:rsidR="000A16C9" w:rsidRDefault="00296C58" w:rsidP="00697D7A">
      <w:pPr>
        <w:pStyle w:val="ListParagraph"/>
        <w:numPr>
          <w:ilvl w:val="1"/>
          <w:numId w:val="25"/>
        </w:numPr>
        <w:ind w:left="709" w:hanging="709"/>
        <w:jc w:val="both"/>
      </w:pPr>
      <w:r>
        <w:t xml:space="preserve">The </w:t>
      </w:r>
      <w:bookmarkStart w:id="10" w:name="_Hlk116228000"/>
      <w:r>
        <w:t>UN Convention on the Rights of the Child</w:t>
      </w:r>
      <w:bookmarkEnd w:id="10"/>
      <w:r>
        <w:t xml:space="preserve"> </w:t>
      </w:r>
      <w:r w:rsidR="00080C8F">
        <w:t xml:space="preserve">(UN CRC) </w:t>
      </w:r>
      <w:r w:rsidR="001126EA">
        <w:t>sets out</w:t>
      </w:r>
      <w:r w:rsidR="00E9581A">
        <w:t>,</w:t>
      </w:r>
      <w:r w:rsidR="001126EA">
        <w:t xml:space="preserve"> in Article 31</w:t>
      </w:r>
      <w:r w:rsidR="00E9581A">
        <w:t>,</w:t>
      </w:r>
      <w:r w:rsidR="001126EA">
        <w:t xml:space="preserve"> </w:t>
      </w:r>
      <w:proofErr w:type="gramStart"/>
      <w:r w:rsidR="001126EA">
        <w:t>that</w:t>
      </w:r>
      <w:proofErr w:type="gramEnd"/>
    </w:p>
    <w:p w14:paraId="30876323" w14:textId="77777777" w:rsidR="000A16C9" w:rsidRDefault="000A16C9" w:rsidP="000A16C9">
      <w:pPr>
        <w:pStyle w:val="ListParagraph"/>
      </w:pPr>
    </w:p>
    <w:p w14:paraId="08B0246E" w14:textId="1B845C39" w:rsidR="00732012" w:rsidRDefault="00824C47" w:rsidP="000A16C9">
      <w:pPr>
        <w:pStyle w:val="ListParagraph"/>
        <w:ind w:left="1440" w:right="786"/>
        <w:jc w:val="both"/>
      </w:pPr>
      <w:r>
        <w:t>States Parties recognize the right of the child to rest and leisure, to engage in play and recreational activities</w:t>
      </w:r>
      <w:r w:rsidR="000A16C9">
        <w:t xml:space="preserve"> </w:t>
      </w:r>
      <w:r w:rsidR="001108AC">
        <w:t>…</w:t>
      </w:r>
      <w:r w:rsidR="00054354">
        <w:t xml:space="preserve"> </w:t>
      </w:r>
      <w:r>
        <w:t>and to participate freely in cultural life and the arts. States Parties shall respect and promote the right of the child to participate fully in cultural and artistic life and shall encourage the provision of appropriate and equal opportunities for cultural, artistic, recreational and leisure activity</w:t>
      </w:r>
      <w:r w:rsidR="00732012">
        <w:t>.</w:t>
      </w:r>
      <w:r w:rsidR="00BA5DFC">
        <w:rPr>
          <w:rStyle w:val="FootnoteReference"/>
        </w:rPr>
        <w:footnoteReference w:id="18"/>
      </w:r>
    </w:p>
    <w:p w14:paraId="68723E90" w14:textId="77777777" w:rsidR="00732012" w:rsidRDefault="00732012" w:rsidP="00732012">
      <w:pPr>
        <w:pStyle w:val="ListParagraph"/>
      </w:pPr>
    </w:p>
    <w:p w14:paraId="413FCE2F" w14:textId="506FDDCD" w:rsidR="00EB0328" w:rsidRPr="00330C57" w:rsidRDefault="00080C8F" w:rsidP="00697D7A">
      <w:pPr>
        <w:pStyle w:val="ListParagraph"/>
        <w:numPr>
          <w:ilvl w:val="1"/>
          <w:numId w:val="25"/>
        </w:numPr>
        <w:ind w:left="709" w:hanging="709"/>
        <w:jc w:val="both"/>
      </w:pPr>
      <w:r>
        <w:t xml:space="preserve">The UN CRC Committee, </w:t>
      </w:r>
      <w:r w:rsidR="00867AD8">
        <w:t xml:space="preserve">while not specifically </w:t>
      </w:r>
      <w:r w:rsidR="00A0102B" w:rsidRPr="00A0102B">
        <w:t>refer</w:t>
      </w:r>
      <w:r w:rsidR="00867AD8">
        <w:t>ring</w:t>
      </w:r>
      <w:r w:rsidR="00A0102B" w:rsidRPr="00A0102B">
        <w:t xml:space="preserve"> to trans</w:t>
      </w:r>
      <w:r w:rsidR="00867AD8">
        <w:t xml:space="preserve">gender rights, </w:t>
      </w:r>
      <w:r w:rsidR="00A0102B" w:rsidRPr="00A0102B">
        <w:t xml:space="preserve">does </w:t>
      </w:r>
      <w:r w:rsidR="00E9581A">
        <w:t>highlight</w:t>
      </w:r>
      <w:r w:rsidR="00867AD8">
        <w:t xml:space="preserve"> the </w:t>
      </w:r>
      <w:r w:rsidR="00A0102B" w:rsidRPr="00A0102B">
        <w:t>importance of sport</w:t>
      </w:r>
      <w:r w:rsidR="00B00582">
        <w:t xml:space="preserve"> and </w:t>
      </w:r>
      <w:r w:rsidR="00330C57">
        <w:t xml:space="preserve">of </w:t>
      </w:r>
      <w:r w:rsidR="00201DF4">
        <w:t>eliminating</w:t>
      </w:r>
      <w:r w:rsidR="00330C57">
        <w:t xml:space="preserve"> barriers to participation</w:t>
      </w:r>
      <w:r w:rsidR="00E9581A">
        <w:t xml:space="preserve"> based on gender</w:t>
      </w:r>
      <w:r w:rsidR="00201DF4">
        <w:t xml:space="preserve">. </w:t>
      </w:r>
      <w:r w:rsidR="00E9581A">
        <w:t>The Committee</w:t>
      </w:r>
      <w:r w:rsidR="00201DF4">
        <w:t xml:space="preserve"> </w:t>
      </w:r>
      <w:r w:rsidR="00330C57" w:rsidRPr="00330C57">
        <w:t xml:space="preserve">urges States parties to </w:t>
      </w:r>
      <w:r w:rsidR="00E926CE">
        <w:t>“</w:t>
      </w:r>
      <w:r w:rsidR="00330C57" w:rsidRPr="00330C57">
        <w:t>take action to challenge gender stereotypes which serve to compound and reinforce patterns of discrimination and inequality of opportunity</w:t>
      </w:r>
      <w:r w:rsidR="00E926CE">
        <w:t>”</w:t>
      </w:r>
      <w:r w:rsidR="00E40290">
        <w:t>.</w:t>
      </w:r>
      <w:r w:rsidR="00E40290">
        <w:rPr>
          <w:rStyle w:val="FootnoteReference"/>
        </w:rPr>
        <w:footnoteReference w:id="19"/>
      </w:r>
    </w:p>
    <w:p w14:paraId="0D3C67BA" w14:textId="77777777" w:rsidR="00CF4AE0" w:rsidRPr="00CF4AE0" w:rsidRDefault="00CF4AE0" w:rsidP="00697D7A">
      <w:pPr>
        <w:pStyle w:val="ListParagraph"/>
        <w:ind w:left="709" w:hanging="709"/>
        <w:rPr>
          <w:color w:val="000000"/>
        </w:rPr>
      </w:pPr>
    </w:p>
    <w:p w14:paraId="28613510" w14:textId="56BE8C1A" w:rsidR="00F21F8A" w:rsidRDefault="00F21F8A" w:rsidP="00697D7A">
      <w:pPr>
        <w:pStyle w:val="ListParagraph"/>
        <w:numPr>
          <w:ilvl w:val="1"/>
          <w:numId w:val="25"/>
        </w:numPr>
        <w:ind w:left="709" w:hanging="709"/>
        <w:jc w:val="both"/>
        <w:rPr>
          <w:color w:val="000000"/>
        </w:rPr>
      </w:pPr>
      <w:r>
        <w:t xml:space="preserve">In </w:t>
      </w:r>
      <w:r w:rsidRPr="00D278AC">
        <w:t xml:space="preserve">2016, the </w:t>
      </w:r>
      <w:r>
        <w:t>UN</w:t>
      </w:r>
      <w:r w:rsidRPr="00D278AC">
        <w:t xml:space="preserve"> Human Rights Council </w:t>
      </w:r>
      <w:r>
        <w:t>(UN HRC)</w:t>
      </w:r>
      <w:r w:rsidRPr="00D278AC">
        <w:t xml:space="preserve"> passed a resolution to appoint an independent expert to find the causes of violence and discrimination against people due to their gender identity and sexual orientation and discuss with governments about how to protect those people</w:t>
      </w:r>
      <w:r>
        <w:t>.</w:t>
      </w:r>
      <w:r w:rsidRPr="00D278AC">
        <w:rPr>
          <w:vertAlign w:val="superscript"/>
        </w:rPr>
        <w:footnoteReference w:id="20"/>
      </w:r>
      <w:r w:rsidR="00A91EF9">
        <w:t xml:space="preserve"> This mandate was renewed in 2022.</w:t>
      </w:r>
      <w:r w:rsidR="000C59AC">
        <w:rPr>
          <w:rStyle w:val="FootnoteReference"/>
        </w:rPr>
        <w:footnoteReference w:id="21"/>
      </w:r>
      <w:r w:rsidR="00A91EF9">
        <w:t xml:space="preserve"> </w:t>
      </w:r>
    </w:p>
    <w:p w14:paraId="343D73D7" w14:textId="77777777" w:rsidR="00F21F8A" w:rsidRPr="00F21F8A" w:rsidRDefault="00F21F8A" w:rsidP="00697D7A">
      <w:pPr>
        <w:pStyle w:val="ListParagraph"/>
        <w:ind w:left="709" w:hanging="709"/>
        <w:rPr>
          <w:color w:val="000000"/>
        </w:rPr>
      </w:pPr>
    </w:p>
    <w:p w14:paraId="6AAB16AB" w14:textId="386C28AD" w:rsidR="000A16C9" w:rsidRDefault="006E24FD" w:rsidP="00697D7A">
      <w:pPr>
        <w:pStyle w:val="ListParagraph"/>
        <w:numPr>
          <w:ilvl w:val="1"/>
          <w:numId w:val="25"/>
        </w:numPr>
        <w:ind w:left="709" w:hanging="709"/>
        <w:jc w:val="both"/>
        <w:rPr>
          <w:color w:val="000000"/>
        </w:rPr>
      </w:pPr>
      <w:r>
        <w:rPr>
          <w:color w:val="000000"/>
        </w:rPr>
        <w:t>T</w:t>
      </w:r>
      <w:r w:rsidR="00397B5B" w:rsidRPr="00CF4AE0">
        <w:rPr>
          <w:color w:val="000000"/>
        </w:rPr>
        <w:t xml:space="preserve">he </w:t>
      </w:r>
      <w:bookmarkStart w:id="11" w:name="_Hlk116468205"/>
      <w:r w:rsidR="00397B5B" w:rsidRPr="0040745C">
        <w:t xml:space="preserve">Yogyakarta Principles </w:t>
      </w:r>
      <w:bookmarkEnd w:id="11"/>
      <w:r w:rsidR="00397B5B" w:rsidRPr="0040745C">
        <w:t>on the Application of International Human Rights Law in relation to Sexual Orientation and Gender Identity</w:t>
      </w:r>
      <w:r w:rsidR="000A16C9">
        <w:t xml:space="preserve"> </w:t>
      </w:r>
      <w:r w:rsidR="00B33915">
        <w:t>(</w:t>
      </w:r>
      <w:r w:rsidR="00B33915" w:rsidRPr="00B33915">
        <w:t>Yogyakarta Principles</w:t>
      </w:r>
      <w:r w:rsidR="00B33915">
        <w:t>)</w:t>
      </w:r>
      <w:r>
        <w:t xml:space="preserve"> are also relevant soft law principles</w:t>
      </w:r>
      <w:r w:rsidR="00A55C7C">
        <w:rPr>
          <w:color w:val="000000"/>
        </w:rPr>
        <w:t>.</w:t>
      </w:r>
      <w:r w:rsidR="00AD18F6" w:rsidRPr="00CF4AE0">
        <w:rPr>
          <w:color w:val="000000"/>
        </w:rPr>
        <w:t xml:space="preserve"> </w:t>
      </w:r>
      <w:r w:rsidR="00D01FA3" w:rsidRPr="00CF4AE0">
        <w:rPr>
          <w:color w:val="000000"/>
        </w:rPr>
        <w:t>A</w:t>
      </w:r>
      <w:r w:rsidR="00AD18F6" w:rsidRPr="00CF4AE0">
        <w:rPr>
          <w:color w:val="000000"/>
        </w:rPr>
        <w:t xml:space="preserve"> 2017 update</w:t>
      </w:r>
      <w:r w:rsidR="00B33915">
        <w:rPr>
          <w:color w:val="000000"/>
        </w:rPr>
        <w:t>,</w:t>
      </w:r>
      <w:r w:rsidR="002127E7">
        <w:rPr>
          <w:color w:val="000000"/>
        </w:rPr>
        <w:t xml:space="preserve"> </w:t>
      </w:r>
      <w:r w:rsidR="00AD18F6" w:rsidRPr="00CF4AE0">
        <w:rPr>
          <w:color w:val="000000"/>
        </w:rPr>
        <w:t>the </w:t>
      </w:r>
      <w:r w:rsidR="00AD18F6" w:rsidRPr="00AD18F6">
        <w:t>Yogyakarta Principle</w:t>
      </w:r>
      <w:r w:rsidR="0077711D">
        <w:t>s</w:t>
      </w:r>
      <w:r w:rsidR="00B33915">
        <w:t xml:space="preserve"> plus 10,</w:t>
      </w:r>
      <w:r w:rsidR="00D01FA3">
        <w:t xml:space="preserve"> included an expansion of the </w:t>
      </w:r>
      <w:r w:rsidR="00AD18F6" w:rsidRPr="00CF4AE0">
        <w:rPr>
          <w:color w:val="000000"/>
        </w:rPr>
        <w:t>application of international human rights law in relation to </w:t>
      </w:r>
      <w:r w:rsidR="00AD18F6" w:rsidRPr="00823FC6">
        <w:t>sexual orientation</w:t>
      </w:r>
      <w:r w:rsidR="00AD18F6" w:rsidRPr="00CF4AE0">
        <w:rPr>
          <w:color w:val="000000"/>
        </w:rPr>
        <w:t>, </w:t>
      </w:r>
      <w:r w:rsidR="00AD18F6" w:rsidRPr="00823FC6">
        <w:t>gender identity</w:t>
      </w:r>
      <w:r w:rsidR="00AD18F6" w:rsidRPr="00CF4AE0">
        <w:rPr>
          <w:color w:val="000000"/>
        </w:rPr>
        <w:t>, </w:t>
      </w:r>
      <w:r w:rsidR="00AD18F6" w:rsidRPr="00823FC6">
        <w:t>gender expression</w:t>
      </w:r>
      <w:r w:rsidR="00AD18F6" w:rsidRPr="00CF4AE0">
        <w:rPr>
          <w:color w:val="000000"/>
        </w:rPr>
        <w:t> and sex characteristics</w:t>
      </w:r>
      <w:r w:rsidR="00E11D2E" w:rsidRPr="00CF4AE0">
        <w:rPr>
          <w:color w:val="000000"/>
        </w:rPr>
        <w:t>.</w:t>
      </w:r>
      <w:r w:rsidR="00E11D2E">
        <w:rPr>
          <w:rStyle w:val="FootnoteReference"/>
          <w:color w:val="000000"/>
        </w:rPr>
        <w:footnoteReference w:id="22"/>
      </w:r>
      <w:r w:rsidR="00E11D2E" w:rsidRPr="00CF4AE0">
        <w:rPr>
          <w:color w:val="000000"/>
        </w:rPr>
        <w:t xml:space="preserve"> </w:t>
      </w:r>
    </w:p>
    <w:p w14:paraId="40918FB7" w14:textId="77777777" w:rsidR="000A16C9" w:rsidRPr="000A16C9" w:rsidRDefault="000A16C9" w:rsidP="00697D7A">
      <w:pPr>
        <w:pStyle w:val="ListParagraph"/>
        <w:ind w:left="709" w:hanging="709"/>
        <w:rPr>
          <w:color w:val="000000"/>
        </w:rPr>
      </w:pPr>
    </w:p>
    <w:p w14:paraId="01A05FF9" w14:textId="010D214F" w:rsidR="000A16C9" w:rsidRDefault="000A16C9" w:rsidP="00697D7A">
      <w:pPr>
        <w:pStyle w:val="ListParagraph"/>
        <w:numPr>
          <w:ilvl w:val="1"/>
          <w:numId w:val="25"/>
        </w:numPr>
        <w:ind w:left="709" w:hanging="709"/>
        <w:jc w:val="both"/>
        <w:rPr>
          <w:color w:val="000000"/>
        </w:rPr>
      </w:pPr>
      <w:r w:rsidRPr="000A16C9">
        <w:rPr>
          <w:color w:val="000000"/>
        </w:rPr>
        <w:t xml:space="preserve">In respect of sport, </w:t>
      </w:r>
      <w:r w:rsidR="009066F0" w:rsidRPr="000A16C9">
        <w:rPr>
          <w:color w:val="000000"/>
        </w:rPr>
        <w:t xml:space="preserve">the </w:t>
      </w:r>
      <w:r w:rsidR="00A369D1" w:rsidRPr="00C64FF8">
        <w:t>Yogyakarta</w:t>
      </w:r>
      <w:r w:rsidR="00A369D1" w:rsidRPr="000A16C9">
        <w:rPr>
          <w:color w:val="000000"/>
        </w:rPr>
        <w:t xml:space="preserve"> </w:t>
      </w:r>
      <w:r>
        <w:rPr>
          <w:color w:val="000000"/>
        </w:rPr>
        <w:t>P</w:t>
      </w:r>
      <w:r w:rsidR="009066F0" w:rsidRPr="000A16C9">
        <w:rPr>
          <w:color w:val="000000"/>
        </w:rPr>
        <w:t>rinciples</w:t>
      </w:r>
      <w:r w:rsidR="00A369D1" w:rsidRPr="000A16C9">
        <w:rPr>
          <w:color w:val="000000"/>
        </w:rPr>
        <w:t xml:space="preserve"> plus 10</w:t>
      </w:r>
      <w:r w:rsidR="009066F0" w:rsidRPr="000A16C9">
        <w:rPr>
          <w:color w:val="000000"/>
        </w:rPr>
        <w:t xml:space="preserve"> </w:t>
      </w:r>
      <w:r w:rsidRPr="000A16C9">
        <w:rPr>
          <w:color w:val="000000"/>
        </w:rPr>
        <w:t>recommend that “</w:t>
      </w:r>
      <w:r w:rsidR="00916F03" w:rsidRPr="000A16C9">
        <w:t>all individuals can participate in sport in line with the gender with which they identify, subject only to reasonable, proportionate and non-arbitrary requirements</w:t>
      </w:r>
      <w:r>
        <w:t xml:space="preserve">” and </w:t>
      </w:r>
      <w:r w:rsidRPr="000A16C9">
        <w:rPr>
          <w:color w:val="000000"/>
        </w:rPr>
        <w:t>“</w:t>
      </w:r>
      <w:r w:rsidR="00916F03" w:rsidRPr="000A16C9">
        <w:rPr>
          <w:color w:val="000000"/>
        </w:rPr>
        <w:t>without discrimination on the grounds of sexual orientation, gender identity, gender expression or sex characteristics</w:t>
      </w:r>
      <w:r w:rsidRPr="000A16C9">
        <w:rPr>
          <w:color w:val="000000"/>
        </w:rPr>
        <w:t>”.</w:t>
      </w:r>
      <w:r>
        <w:rPr>
          <w:rStyle w:val="FootnoteReference"/>
          <w:color w:val="000000"/>
        </w:rPr>
        <w:footnoteReference w:id="23"/>
      </w:r>
    </w:p>
    <w:p w14:paraId="39B5FB7F" w14:textId="77777777" w:rsidR="000A16C9" w:rsidRPr="000A16C9" w:rsidRDefault="000A16C9" w:rsidP="00697D7A">
      <w:pPr>
        <w:pStyle w:val="ListParagraph"/>
        <w:ind w:left="709" w:hanging="709"/>
        <w:rPr>
          <w:color w:val="000000"/>
        </w:rPr>
      </w:pPr>
    </w:p>
    <w:p w14:paraId="3E9A1941" w14:textId="77777777" w:rsidR="000A16C9" w:rsidRPr="000A16C9" w:rsidRDefault="000A16C9" w:rsidP="00697D7A">
      <w:pPr>
        <w:pStyle w:val="ListParagraph"/>
        <w:numPr>
          <w:ilvl w:val="1"/>
          <w:numId w:val="25"/>
        </w:numPr>
        <w:ind w:left="709" w:hanging="709"/>
        <w:jc w:val="both"/>
        <w:rPr>
          <w:color w:val="000000"/>
        </w:rPr>
      </w:pPr>
      <w:r>
        <w:t xml:space="preserve">The </w:t>
      </w:r>
      <w:r w:rsidRPr="00C64FF8">
        <w:t>Yogyakarta</w:t>
      </w:r>
      <w:r>
        <w:rPr>
          <w:color w:val="000000"/>
        </w:rPr>
        <w:t xml:space="preserve"> Principles plus 10</w:t>
      </w:r>
      <w:r>
        <w:t xml:space="preserve"> further require States to a</w:t>
      </w:r>
      <w:r w:rsidR="00916F03" w:rsidRPr="000A16C9">
        <w:t>dopt legislative, policy and other measures</w:t>
      </w:r>
      <w:r>
        <w:t>,</w:t>
      </w:r>
      <w:r w:rsidR="00916F03" w:rsidRPr="000A16C9">
        <w:t xml:space="preserve"> </w:t>
      </w:r>
      <w:r>
        <w:t xml:space="preserve">which are </w:t>
      </w:r>
      <w:r w:rsidR="00916F03" w:rsidRPr="000A16C9">
        <w:t>in line with international human rights norms and standards</w:t>
      </w:r>
      <w:r>
        <w:t>,</w:t>
      </w:r>
      <w:r w:rsidR="00916F03" w:rsidRPr="000A16C9">
        <w:t xml:space="preserve"> to eliminate bullying and discriminatory behaviour at all levels of sports, on the basis of sexual orientation, gender identity, gender expression and sex characteristics</w:t>
      </w:r>
      <w:r w:rsidR="00E11D2E" w:rsidRPr="000A16C9">
        <w:t>.</w:t>
      </w:r>
      <w:r w:rsidR="005F29B0">
        <w:rPr>
          <w:rStyle w:val="FootnoteReference"/>
          <w:color w:val="000000"/>
        </w:rPr>
        <w:footnoteReference w:id="24"/>
      </w:r>
      <w:r>
        <w:t xml:space="preserve"> </w:t>
      </w:r>
    </w:p>
    <w:p w14:paraId="38C7B6DE" w14:textId="77777777" w:rsidR="000A16C9" w:rsidRDefault="000A16C9" w:rsidP="000A16C9">
      <w:pPr>
        <w:pStyle w:val="ListParagraph"/>
      </w:pPr>
    </w:p>
    <w:p w14:paraId="13D6B04B" w14:textId="20B799F5" w:rsidR="008368DB" w:rsidRPr="000A16C9" w:rsidRDefault="000A16C9" w:rsidP="00697D7A">
      <w:pPr>
        <w:pStyle w:val="ListParagraph"/>
        <w:numPr>
          <w:ilvl w:val="1"/>
          <w:numId w:val="25"/>
        </w:numPr>
        <w:ind w:left="709" w:hanging="709"/>
        <w:jc w:val="both"/>
        <w:rPr>
          <w:color w:val="000000"/>
        </w:rPr>
      </w:pPr>
      <w:r>
        <w:t xml:space="preserve">They also </w:t>
      </w:r>
      <w:r w:rsidR="003D454A" w:rsidRPr="000A16C9">
        <w:rPr>
          <w:color w:val="000000"/>
        </w:rPr>
        <w:t xml:space="preserve">encourage </w:t>
      </w:r>
      <w:r w:rsidR="00853174" w:rsidRPr="000A16C9">
        <w:rPr>
          <w:color w:val="000000"/>
        </w:rPr>
        <w:t>sporting organisations to</w:t>
      </w:r>
      <w:r w:rsidR="00CA36FD" w:rsidRPr="000A16C9">
        <w:rPr>
          <w:color w:val="000000"/>
        </w:rPr>
        <w:t xml:space="preserve"> </w:t>
      </w:r>
      <w:r w:rsidR="000453F1" w:rsidRPr="000A16C9">
        <w:rPr>
          <w:color w:val="000000"/>
        </w:rPr>
        <w:t>integrate the Yogyakarta Principles</w:t>
      </w:r>
      <w:r w:rsidR="00D27EA0" w:rsidRPr="000A16C9">
        <w:rPr>
          <w:color w:val="000000"/>
        </w:rPr>
        <w:t xml:space="preserve">, </w:t>
      </w:r>
      <w:r w:rsidR="000453F1" w:rsidRPr="000A16C9">
        <w:rPr>
          <w:color w:val="000000"/>
        </w:rPr>
        <w:t>as well as all relevant human rights norms and standards, in their policies and practices</w:t>
      </w:r>
      <w:r w:rsidR="00D27EA0" w:rsidRPr="000A16C9">
        <w:rPr>
          <w:color w:val="000000"/>
        </w:rPr>
        <w:t xml:space="preserve">. </w:t>
      </w:r>
      <w:r w:rsidR="00B155CB" w:rsidRPr="000A16C9">
        <w:rPr>
          <w:color w:val="000000"/>
        </w:rPr>
        <w:t xml:space="preserve">They </w:t>
      </w:r>
      <w:r w:rsidR="00CA36FD" w:rsidRPr="000A16C9">
        <w:rPr>
          <w:color w:val="000000"/>
        </w:rPr>
        <w:t xml:space="preserve">also </w:t>
      </w:r>
      <w:r w:rsidR="0030666E" w:rsidRPr="000A16C9">
        <w:rPr>
          <w:color w:val="000000"/>
        </w:rPr>
        <w:t xml:space="preserve">make recommendations to sporting </w:t>
      </w:r>
      <w:r w:rsidR="004B4B83" w:rsidRPr="000A16C9">
        <w:rPr>
          <w:color w:val="000000"/>
        </w:rPr>
        <w:t>organisations to:</w:t>
      </w:r>
    </w:p>
    <w:p w14:paraId="5765E97C" w14:textId="77777777" w:rsidR="004B4B83" w:rsidRDefault="004B4B83" w:rsidP="004B4B83">
      <w:pPr>
        <w:pStyle w:val="ListParagraph"/>
        <w:jc w:val="both"/>
        <w:rPr>
          <w:color w:val="000000"/>
        </w:rPr>
      </w:pPr>
    </w:p>
    <w:p w14:paraId="5963031D" w14:textId="39E3BF7C" w:rsidR="004B4B83" w:rsidRDefault="007901C8" w:rsidP="004B4B83">
      <w:pPr>
        <w:pStyle w:val="ListParagraph"/>
        <w:numPr>
          <w:ilvl w:val="0"/>
          <w:numId w:val="18"/>
        </w:numPr>
        <w:jc w:val="both"/>
        <w:rPr>
          <w:color w:val="000000"/>
        </w:rPr>
      </w:pPr>
      <w:r>
        <w:rPr>
          <w:color w:val="000000"/>
        </w:rPr>
        <w:t>“</w:t>
      </w:r>
      <w:r w:rsidR="004B4B83" w:rsidRPr="004B4B83">
        <w:rPr>
          <w:color w:val="000000"/>
        </w:rPr>
        <w:t>Take practical steps to create welcoming spaces for participation in sport and physical activity, including installation of appropriate changing rooms, and sensitisation of the sporting community on the implementation of anti-discrimination laws in the sporting context for persons of diverse sexual orientations, gender identities, gender expressions, and sex characteristics</w:t>
      </w:r>
      <w:r>
        <w:rPr>
          <w:color w:val="000000"/>
        </w:rPr>
        <w:t>”</w:t>
      </w:r>
      <w:r>
        <w:rPr>
          <w:rStyle w:val="FootnoteReference"/>
          <w:color w:val="000000"/>
        </w:rPr>
        <w:footnoteReference w:id="25"/>
      </w:r>
    </w:p>
    <w:p w14:paraId="17DCB29F" w14:textId="2E2E246F" w:rsidR="00CA36FD" w:rsidRPr="00742DF0" w:rsidRDefault="007901C8" w:rsidP="00742DF0">
      <w:pPr>
        <w:pStyle w:val="ListParagraph"/>
        <w:numPr>
          <w:ilvl w:val="0"/>
          <w:numId w:val="18"/>
        </w:numPr>
        <w:jc w:val="both"/>
        <w:rPr>
          <w:color w:val="000000"/>
        </w:rPr>
      </w:pPr>
      <w:r>
        <w:rPr>
          <w:color w:val="000000"/>
        </w:rPr>
        <w:t>“</w:t>
      </w:r>
      <w:r w:rsidR="004B4B83" w:rsidRPr="004B4B83">
        <w:rPr>
          <w:color w:val="000000"/>
        </w:rPr>
        <w:t>Ensure that all individuals who wish to participate in sport are supported to do so irrespective of sexual orientation, gender identity, gender expression and sex characteristics, and that all individuals are able to participate, without restriction, subject only to reasonable, proportionate and non-arbitrary requirements to participate in line with their self-declared gender</w:t>
      </w:r>
      <w:r>
        <w:rPr>
          <w:color w:val="000000"/>
        </w:rPr>
        <w:t>”</w:t>
      </w:r>
      <w:r w:rsidR="00E11D2E">
        <w:rPr>
          <w:color w:val="000000"/>
        </w:rPr>
        <w:t>.</w:t>
      </w:r>
      <w:r w:rsidR="009548EC">
        <w:rPr>
          <w:rStyle w:val="FootnoteReference"/>
          <w:color w:val="000000"/>
        </w:rPr>
        <w:footnoteReference w:id="26"/>
      </w:r>
    </w:p>
    <w:p w14:paraId="2A366B34" w14:textId="77777777" w:rsidR="00487F60" w:rsidRPr="000B04B8" w:rsidRDefault="00487F60" w:rsidP="000B04B8">
      <w:pPr>
        <w:jc w:val="both"/>
        <w:rPr>
          <w:color w:val="000000"/>
        </w:rPr>
      </w:pPr>
    </w:p>
    <w:p w14:paraId="70642D63" w14:textId="6E6F577D" w:rsidR="00397B5B" w:rsidRPr="007442E9" w:rsidRDefault="004D1C20" w:rsidP="00B57F7A">
      <w:pPr>
        <w:pStyle w:val="Heading2"/>
      </w:pPr>
      <w:bookmarkStart w:id="13" w:name="_Toc129693843"/>
      <w:r>
        <w:t>Council of Europe</w:t>
      </w:r>
      <w:bookmarkEnd w:id="13"/>
    </w:p>
    <w:p w14:paraId="1114DCA9" w14:textId="77777777" w:rsidR="008E7580" w:rsidRPr="003E409A" w:rsidRDefault="008E7580" w:rsidP="008E7580">
      <w:pPr>
        <w:pStyle w:val="ListParagraph"/>
        <w:jc w:val="both"/>
        <w:rPr>
          <w:color w:val="000000"/>
        </w:rPr>
      </w:pPr>
    </w:p>
    <w:p w14:paraId="4BA02FCA" w14:textId="1C4783B1" w:rsidR="00AF216D" w:rsidRDefault="0033349F" w:rsidP="00697D7A">
      <w:pPr>
        <w:pStyle w:val="ListParagraph"/>
        <w:numPr>
          <w:ilvl w:val="1"/>
          <w:numId w:val="25"/>
        </w:numPr>
        <w:ind w:left="709" w:hanging="709"/>
        <w:jc w:val="both"/>
        <w:rPr>
          <w:color w:val="000000"/>
        </w:rPr>
      </w:pPr>
      <w:r>
        <w:rPr>
          <w:color w:val="000000"/>
        </w:rPr>
        <w:t>T</w:t>
      </w:r>
      <w:r w:rsidRPr="0033349F">
        <w:rPr>
          <w:color w:val="000000"/>
        </w:rPr>
        <w:t>he European Convention on Human Rights</w:t>
      </w:r>
      <w:r w:rsidR="00BD2622">
        <w:rPr>
          <w:color w:val="000000"/>
        </w:rPr>
        <w:t xml:space="preserve"> </w:t>
      </w:r>
      <w:r w:rsidR="00ED5A64">
        <w:rPr>
          <w:color w:val="000000"/>
        </w:rPr>
        <w:t>(</w:t>
      </w:r>
      <w:r w:rsidR="00BD2622">
        <w:rPr>
          <w:color w:val="000000"/>
        </w:rPr>
        <w:t>ECHR</w:t>
      </w:r>
      <w:r w:rsidR="00ED5A64">
        <w:rPr>
          <w:color w:val="000000"/>
        </w:rPr>
        <w:t>)</w:t>
      </w:r>
      <w:r>
        <w:rPr>
          <w:color w:val="000000"/>
        </w:rPr>
        <w:t xml:space="preserve"> </w:t>
      </w:r>
      <w:r w:rsidR="000121D4">
        <w:rPr>
          <w:color w:val="000000"/>
        </w:rPr>
        <w:t xml:space="preserve">does not expressly mention </w:t>
      </w:r>
      <w:r w:rsidR="00945140">
        <w:rPr>
          <w:color w:val="000000"/>
        </w:rPr>
        <w:t>sport or the rights of transgender persons. However, a number of ECHR</w:t>
      </w:r>
      <w:r w:rsidR="006C6376">
        <w:rPr>
          <w:color w:val="000000"/>
        </w:rPr>
        <w:t xml:space="preserve"> rights</w:t>
      </w:r>
      <w:r w:rsidR="00945140">
        <w:rPr>
          <w:color w:val="000000"/>
        </w:rPr>
        <w:t xml:space="preserve"> may be relevan</w:t>
      </w:r>
      <w:r w:rsidR="00E8022F">
        <w:rPr>
          <w:color w:val="000000"/>
        </w:rPr>
        <w:t>t to the rights of athletes in the sporting domain. For example, the right to fair trial (Article 6</w:t>
      </w:r>
      <w:r w:rsidR="002A6247">
        <w:rPr>
          <w:color w:val="000000"/>
        </w:rPr>
        <w:t xml:space="preserve"> ECHR</w:t>
      </w:r>
      <w:r w:rsidR="00E8022F">
        <w:rPr>
          <w:color w:val="000000"/>
        </w:rPr>
        <w:t>)</w:t>
      </w:r>
      <w:r w:rsidR="002A6247">
        <w:rPr>
          <w:color w:val="000000"/>
        </w:rPr>
        <w:t xml:space="preserve">, the right to private and family life (Article 8 ECHR) and the prohibition of discrimination (Article 14 ECHR) </w:t>
      </w:r>
      <w:r w:rsidR="00296727">
        <w:rPr>
          <w:color w:val="000000"/>
        </w:rPr>
        <w:t>have all</w:t>
      </w:r>
      <w:r w:rsidR="00C95204">
        <w:rPr>
          <w:color w:val="000000"/>
        </w:rPr>
        <w:t xml:space="preserve"> </w:t>
      </w:r>
      <w:r w:rsidR="00296727">
        <w:rPr>
          <w:color w:val="000000"/>
        </w:rPr>
        <w:t xml:space="preserve">been considered by </w:t>
      </w:r>
      <w:r w:rsidR="00071395">
        <w:rPr>
          <w:color w:val="000000"/>
        </w:rPr>
        <w:t>t</w:t>
      </w:r>
      <w:r w:rsidR="002256BA" w:rsidRPr="002256BA">
        <w:rPr>
          <w:color w:val="000000"/>
        </w:rPr>
        <w:t xml:space="preserve">he European Court of Human Rights </w:t>
      </w:r>
      <w:r w:rsidR="00ED5A64">
        <w:rPr>
          <w:color w:val="000000"/>
        </w:rPr>
        <w:t>(</w:t>
      </w:r>
      <w:r w:rsidR="002256BA" w:rsidRPr="002256BA">
        <w:rPr>
          <w:color w:val="000000"/>
        </w:rPr>
        <w:t>ECtHR</w:t>
      </w:r>
      <w:r w:rsidR="00ED5A64">
        <w:rPr>
          <w:color w:val="000000"/>
        </w:rPr>
        <w:t>)</w:t>
      </w:r>
      <w:r w:rsidR="002256BA" w:rsidRPr="002256BA">
        <w:rPr>
          <w:color w:val="000000"/>
        </w:rPr>
        <w:t xml:space="preserve"> </w:t>
      </w:r>
      <w:r w:rsidR="00296727">
        <w:rPr>
          <w:color w:val="000000"/>
        </w:rPr>
        <w:t>in the context of transgender inclusion.</w:t>
      </w:r>
      <w:r w:rsidR="0088130E">
        <w:rPr>
          <w:color w:val="000000"/>
        </w:rPr>
        <w:t xml:space="preserve"> These rights are set out in turn below.</w:t>
      </w:r>
    </w:p>
    <w:p w14:paraId="686DA5FB" w14:textId="77777777" w:rsidR="00AF216D" w:rsidRDefault="00AF216D" w:rsidP="00697D7A">
      <w:pPr>
        <w:pStyle w:val="ListParagraph"/>
        <w:ind w:left="709" w:hanging="709"/>
        <w:jc w:val="both"/>
        <w:rPr>
          <w:color w:val="000000"/>
        </w:rPr>
      </w:pPr>
    </w:p>
    <w:p w14:paraId="4C7BAF0B" w14:textId="5B52DD6D" w:rsidR="00C52E6F" w:rsidRPr="00AF216D" w:rsidRDefault="00296727" w:rsidP="00697D7A">
      <w:pPr>
        <w:pStyle w:val="ListParagraph"/>
        <w:numPr>
          <w:ilvl w:val="1"/>
          <w:numId w:val="25"/>
        </w:numPr>
        <w:ind w:left="709" w:hanging="709"/>
        <w:jc w:val="both"/>
        <w:rPr>
          <w:color w:val="000000"/>
        </w:rPr>
      </w:pPr>
      <w:r w:rsidRPr="00735D23">
        <w:rPr>
          <w:color w:val="000000"/>
        </w:rPr>
        <w:t>The right to fair trial, under Article 6(1)</w:t>
      </w:r>
      <w:r w:rsidR="00A72537">
        <w:rPr>
          <w:color w:val="000000"/>
        </w:rPr>
        <w:t>,</w:t>
      </w:r>
      <w:r w:rsidRPr="00735D23">
        <w:rPr>
          <w:color w:val="000000"/>
        </w:rPr>
        <w:t xml:space="preserve"> applies to the determination of civil rights and obligations</w:t>
      </w:r>
      <w:r w:rsidR="0016575F" w:rsidRPr="00735D23">
        <w:rPr>
          <w:color w:val="000000"/>
        </w:rPr>
        <w:t>,</w:t>
      </w:r>
      <w:r w:rsidR="0016575F">
        <w:rPr>
          <w:color w:val="000000"/>
        </w:rPr>
        <w:t xml:space="preserve"> which has a particular meaning be</w:t>
      </w:r>
      <w:r w:rsidR="00C1653E">
        <w:rPr>
          <w:color w:val="000000"/>
        </w:rPr>
        <w:t xml:space="preserve">fore the ECtHR. </w:t>
      </w:r>
      <w:r w:rsidR="00B97A35">
        <w:rPr>
          <w:color w:val="000000"/>
        </w:rPr>
        <w:t xml:space="preserve">There must be a </w:t>
      </w:r>
      <w:r w:rsidR="0051716B">
        <w:rPr>
          <w:color w:val="000000"/>
        </w:rPr>
        <w:t>dispute</w:t>
      </w:r>
      <w:r w:rsidR="006E24EA">
        <w:rPr>
          <w:color w:val="000000"/>
        </w:rPr>
        <w:t xml:space="preserve"> over a right which is protected under domestic law and which is </w:t>
      </w:r>
      <w:r w:rsidR="00B97A35">
        <w:rPr>
          <w:color w:val="000000"/>
        </w:rPr>
        <w:t>genuine and serious</w:t>
      </w:r>
      <w:r w:rsidR="00735D23">
        <w:rPr>
          <w:color w:val="000000"/>
        </w:rPr>
        <w:t>.</w:t>
      </w:r>
      <w:r w:rsidR="006E24EA">
        <w:rPr>
          <w:rStyle w:val="FootnoteReference"/>
          <w:color w:val="000000"/>
        </w:rPr>
        <w:footnoteReference w:id="27"/>
      </w:r>
      <w:r w:rsidR="00D64411" w:rsidRPr="00AF216D">
        <w:rPr>
          <w:color w:val="000000"/>
        </w:rPr>
        <w:t xml:space="preserve"> </w:t>
      </w:r>
      <w:r w:rsidR="00602848" w:rsidRPr="00AF216D">
        <w:rPr>
          <w:color w:val="000000"/>
        </w:rPr>
        <w:t xml:space="preserve">In </w:t>
      </w:r>
      <w:bookmarkStart w:id="14" w:name="_Hlk118121720"/>
      <w:proofErr w:type="spellStart"/>
      <w:r w:rsidR="00F21DFA" w:rsidRPr="00AF216D">
        <w:rPr>
          <w:i/>
          <w:iCs/>
          <w:color w:val="000000"/>
        </w:rPr>
        <w:t>Mutu</w:t>
      </w:r>
      <w:proofErr w:type="spellEnd"/>
      <w:r w:rsidR="00F21DFA" w:rsidRPr="00AF216D">
        <w:rPr>
          <w:i/>
          <w:iCs/>
          <w:color w:val="000000"/>
        </w:rPr>
        <w:t xml:space="preserve"> and </w:t>
      </w:r>
      <w:proofErr w:type="spellStart"/>
      <w:r w:rsidR="00F21DFA" w:rsidRPr="00AF216D">
        <w:rPr>
          <w:i/>
          <w:iCs/>
          <w:color w:val="000000"/>
        </w:rPr>
        <w:t>Pechstein</w:t>
      </w:r>
      <w:proofErr w:type="spellEnd"/>
      <w:r w:rsidR="00F21DFA" w:rsidRPr="00AF216D">
        <w:rPr>
          <w:i/>
          <w:iCs/>
          <w:color w:val="000000"/>
        </w:rPr>
        <w:t xml:space="preserve"> v. Switzerland</w:t>
      </w:r>
      <w:bookmarkEnd w:id="14"/>
      <w:r w:rsidR="00982518" w:rsidRPr="00AF216D">
        <w:rPr>
          <w:i/>
          <w:iCs/>
          <w:color w:val="000000"/>
        </w:rPr>
        <w:t>,</w:t>
      </w:r>
      <w:r w:rsidR="002E2BDB" w:rsidRPr="002E2BDB">
        <w:t xml:space="preserve"> </w:t>
      </w:r>
      <w:r w:rsidR="002E2BDB" w:rsidRPr="00AF216D">
        <w:rPr>
          <w:color w:val="000000"/>
        </w:rPr>
        <w:t xml:space="preserve">the </w:t>
      </w:r>
      <w:r w:rsidR="009124B9">
        <w:rPr>
          <w:color w:val="000000"/>
        </w:rPr>
        <w:t>ECtHR</w:t>
      </w:r>
      <w:r w:rsidR="002E2BDB" w:rsidRPr="00AF216D">
        <w:rPr>
          <w:color w:val="000000"/>
        </w:rPr>
        <w:t xml:space="preserve"> </w:t>
      </w:r>
      <w:r w:rsidR="001938AB">
        <w:rPr>
          <w:color w:val="000000"/>
        </w:rPr>
        <w:t>considered the application of Article 6(1) in an arbitration dispute before a sporting body and</w:t>
      </w:r>
      <w:r w:rsidR="001938AB" w:rsidRPr="00AF216D" w:rsidDel="001138BF">
        <w:rPr>
          <w:color w:val="000000"/>
        </w:rPr>
        <w:t xml:space="preserve"> </w:t>
      </w:r>
      <w:r w:rsidR="001138BF">
        <w:rPr>
          <w:color w:val="000000"/>
        </w:rPr>
        <w:t>confirmed</w:t>
      </w:r>
      <w:r w:rsidR="001138BF" w:rsidRPr="00AF216D">
        <w:rPr>
          <w:color w:val="000000"/>
        </w:rPr>
        <w:t xml:space="preserve"> </w:t>
      </w:r>
      <w:r w:rsidR="002E2BDB" w:rsidRPr="00AF216D">
        <w:rPr>
          <w:color w:val="000000"/>
        </w:rPr>
        <w:t xml:space="preserve">that </w:t>
      </w:r>
      <w:r w:rsidR="001938AB">
        <w:rPr>
          <w:color w:val="000000"/>
        </w:rPr>
        <w:t>it</w:t>
      </w:r>
      <w:r w:rsidR="00982518" w:rsidRPr="00AF216D">
        <w:rPr>
          <w:color w:val="000000"/>
        </w:rPr>
        <w:t xml:space="preserve"> applied</w:t>
      </w:r>
      <w:r w:rsidR="002E2BDB" w:rsidRPr="00AF216D">
        <w:rPr>
          <w:color w:val="000000"/>
        </w:rPr>
        <w:t xml:space="preserve"> to</w:t>
      </w:r>
      <w:r w:rsidR="00F6767F" w:rsidRPr="00AF216D">
        <w:rPr>
          <w:color w:val="000000"/>
        </w:rPr>
        <w:t xml:space="preserve"> </w:t>
      </w:r>
      <w:r w:rsidR="00757CD5">
        <w:rPr>
          <w:color w:val="000000"/>
        </w:rPr>
        <w:t xml:space="preserve">the </w:t>
      </w:r>
      <w:r w:rsidR="001138BF">
        <w:rPr>
          <w:color w:val="000000"/>
        </w:rPr>
        <w:t xml:space="preserve">proceedings before </w:t>
      </w:r>
      <w:r w:rsidR="00F6767F" w:rsidRPr="00AF216D">
        <w:rPr>
          <w:color w:val="000000"/>
        </w:rPr>
        <w:t xml:space="preserve">the </w:t>
      </w:r>
      <w:r w:rsidR="00982518" w:rsidRPr="00AF216D">
        <w:rPr>
          <w:color w:val="000000"/>
        </w:rPr>
        <w:t>Court of Arbitration for Sport (CAS)</w:t>
      </w:r>
      <w:r w:rsidR="001138BF">
        <w:rPr>
          <w:color w:val="000000"/>
        </w:rPr>
        <w:t xml:space="preserve"> and entitled the applica</w:t>
      </w:r>
      <w:r w:rsidR="000D44A5">
        <w:rPr>
          <w:color w:val="000000"/>
        </w:rPr>
        <w:t>nt</w:t>
      </w:r>
      <w:r w:rsidR="001138BF">
        <w:rPr>
          <w:color w:val="000000"/>
        </w:rPr>
        <w:t xml:space="preserve"> to the relevant fair trial safeguards</w:t>
      </w:r>
      <w:r w:rsidR="000D44A5">
        <w:rPr>
          <w:color w:val="000000"/>
        </w:rPr>
        <w:t xml:space="preserve"> under the ECHR</w:t>
      </w:r>
      <w:r w:rsidR="007C7E43" w:rsidRPr="00AF216D">
        <w:rPr>
          <w:color w:val="000000"/>
        </w:rPr>
        <w:t>.</w:t>
      </w:r>
      <w:r w:rsidR="00E55F5B">
        <w:rPr>
          <w:rStyle w:val="FootnoteReference"/>
          <w:color w:val="000000"/>
        </w:rPr>
        <w:footnoteReference w:id="28"/>
      </w:r>
      <w:r w:rsidR="009124B9">
        <w:rPr>
          <w:color w:val="000000"/>
        </w:rPr>
        <w:t xml:space="preserve"> </w:t>
      </w:r>
      <w:bookmarkStart w:id="17" w:name="_Hlk120004123"/>
      <w:r w:rsidR="00897FD8" w:rsidRPr="00AF216D">
        <w:rPr>
          <w:color w:val="000000"/>
        </w:rPr>
        <w:t>I</w:t>
      </w:r>
      <w:r w:rsidR="002256BA" w:rsidRPr="00AF216D">
        <w:rPr>
          <w:color w:val="000000"/>
        </w:rPr>
        <w:t xml:space="preserve">n </w:t>
      </w:r>
      <w:bookmarkStart w:id="18" w:name="_Hlk113446589"/>
      <w:r w:rsidR="002256BA" w:rsidRPr="00AF216D">
        <w:rPr>
          <w:i/>
          <w:iCs/>
          <w:color w:val="000000"/>
        </w:rPr>
        <w:t>Ali Riza and others v. Turkey</w:t>
      </w:r>
      <w:bookmarkEnd w:id="18"/>
      <w:r w:rsidR="002256BA" w:rsidRPr="00AF216D">
        <w:rPr>
          <w:color w:val="000000"/>
        </w:rPr>
        <w:t xml:space="preserve"> the </w:t>
      </w:r>
      <w:r w:rsidR="00D62E79" w:rsidRPr="00AF216D">
        <w:rPr>
          <w:color w:val="000000"/>
        </w:rPr>
        <w:t>ECtHR</w:t>
      </w:r>
      <w:r w:rsidR="002256BA" w:rsidRPr="00AF216D">
        <w:rPr>
          <w:color w:val="000000"/>
        </w:rPr>
        <w:t xml:space="preserve"> </w:t>
      </w:r>
      <w:r w:rsidR="007D4E77">
        <w:rPr>
          <w:color w:val="000000"/>
        </w:rPr>
        <w:t xml:space="preserve">also </w:t>
      </w:r>
      <w:r w:rsidR="007554C0" w:rsidRPr="00AF216D">
        <w:rPr>
          <w:color w:val="000000"/>
        </w:rPr>
        <w:t>found a violation of Article 6</w:t>
      </w:r>
      <w:r w:rsidR="00377A5B" w:rsidRPr="00AF216D">
        <w:rPr>
          <w:color w:val="000000"/>
        </w:rPr>
        <w:t xml:space="preserve">, and </w:t>
      </w:r>
      <w:r w:rsidR="001714A5" w:rsidRPr="00AF216D">
        <w:rPr>
          <w:color w:val="000000"/>
        </w:rPr>
        <w:t xml:space="preserve">confirmed </w:t>
      </w:r>
      <w:r w:rsidR="002256BA" w:rsidRPr="00AF216D">
        <w:rPr>
          <w:color w:val="000000"/>
        </w:rPr>
        <w:t>that the specificities of sports arbitration do not justify depriving athletes of</w:t>
      </w:r>
      <w:r w:rsidR="00DF6C9C" w:rsidRPr="00AF216D">
        <w:rPr>
          <w:color w:val="000000"/>
        </w:rPr>
        <w:t xml:space="preserve"> Article 6</w:t>
      </w:r>
      <w:r w:rsidR="002256BA" w:rsidRPr="00AF216D">
        <w:rPr>
          <w:color w:val="000000"/>
        </w:rPr>
        <w:t xml:space="preserve"> fair trial guarantees.</w:t>
      </w:r>
      <w:r w:rsidR="008244E6">
        <w:rPr>
          <w:rStyle w:val="FootnoteReference"/>
          <w:color w:val="000000"/>
        </w:rPr>
        <w:footnoteReference w:id="29"/>
      </w:r>
      <w:r w:rsidR="00C226DE" w:rsidRPr="00AF216D">
        <w:rPr>
          <w:rFonts w:ascii="Arial" w:hAnsi="Arial" w:cs="Arial"/>
          <w:sz w:val="32"/>
          <w:szCs w:val="32"/>
          <w:shd w:val="clear" w:color="auto" w:fill="FFFFFF"/>
        </w:rPr>
        <w:t xml:space="preserve"> </w:t>
      </w:r>
      <w:r w:rsidR="00C226DE" w:rsidRPr="00AF216D">
        <w:rPr>
          <w:color w:val="000000"/>
        </w:rPr>
        <w:t xml:space="preserve">The </w:t>
      </w:r>
      <w:r w:rsidR="00F67ABE">
        <w:rPr>
          <w:color w:val="000000"/>
        </w:rPr>
        <w:t>ECtHR</w:t>
      </w:r>
      <w:r w:rsidR="00F67ABE" w:rsidRPr="00AF216D">
        <w:rPr>
          <w:color w:val="000000"/>
        </w:rPr>
        <w:t xml:space="preserve"> </w:t>
      </w:r>
      <w:r w:rsidR="00C226DE" w:rsidRPr="00AF216D">
        <w:rPr>
          <w:color w:val="000000"/>
        </w:rPr>
        <w:t>considered that the arbitration proceedings</w:t>
      </w:r>
      <w:r w:rsidR="007C7E43" w:rsidRPr="00AF216D">
        <w:rPr>
          <w:color w:val="000000"/>
        </w:rPr>
        <w:t xml:space="preserve"> </w:t>
      </w:r>
      <w:r w:rsidR="00C226DE" w:rsidRPr="00AF216D">
        <w:rPr>
          <w:color w:val="000000"/>
        </w:rPr>
        <w:t>before the Arbitration Committee were compulsory arbitration</w:t>
      </w:r>
      <w:r w:rsidR="007C7E43" w:rsidRPr="00AF216D">
        <w:rPr>
          <w:color w:val="000000"/>
        </w:rPr>
        <w:t xml:space="preserve"> </w:t>
      </w:r>
      <w:r w:rsidR="00C226DE" w:rsidRPr="00AF216D">
        <w:rPr>
          <w:color w:val="000000"/>
        </w:rPr>
        <w:t>proceedings</w:t>
      </w:r>
      <w:r w:rsidR="007C7E43" w:rsidRPr="00AF216D">
        <w:rPr>
          <w:color w:val="000000"/>
        </w:rPr>
        <w:t xml:space="preserve"> </w:t>
      </w:r>
      <w:r w:rsidR="00C226DE" w:rsidRPr="00AF216D">
        <w:rPr>
          <w:color w:val="000000"/>
        </w:rPr>
        <w:t>and therefore had to afford the safeguards provided for under Article 6</w:t>
      </w:r>
      <w:r w:rsidR="00E1522F" w:rsidRPr="00AF216D">
        <w:rPr>
          <w:color w:val="000000"/>
        </w:rPr>
        <w:t>(</w:t>
      </w:r>
      <w:r w:rsidR="00C226DE" w:rsidRPr="00AF216D">
        <w:rPr>
          <w:color w:val="000000"/>
        </w:rPr>
        <w:t>1</w:t>
      </w:r>
      <w:r w:rsidR="00E1522F" w:rsidRPr="00AF216D">
        <w:rPr>
          <w:color w:val="000000"/>
        </w:rPr>
        <w:t>)</w:t>
      </w:r>
      <w:r w:rsidR="007C7E43" w:rsidRPr="00AF216D">
        <w:rPr>
          <w:color w:val="000000"/>
        </w:rPr>
        <w:t xml:space="preserve"> </w:t>
      </w:r>
      <w:r w:rsidR="00E1522F" w:rsidRPr="00AF216D">
        <w:rPr>
          <w:color w:val="000000"/>
        </w:rPr>
        <w:t>ECHR</w:t>
      </w:r>
      <w:r w:rsidR="00FB5DA2" w:rsidRPr="00AF216D">
        <w:rPr>
          <w:color w:val="000000"/>
        </w:rPr>
        <w:t>.</w:t>
      </w:r>
      <w:bookmarkEnd w:id="17"/>
    </w:p>
    <w:p w14:paraId="04C2AB9B" w14:textId="77777777" w:rsidR="00C52E6F" w:rsidRPr="00BE0185" w:rsidRDefault="00C52E6F" w:rsidP="00697D7A">
      <w:pPr>
        <w:ind w:left="709" w:hanging="709"/>
        <w:jc w:val="both"/>
        <w:rPr>
          <w:color w:val="000000"/>
        </w:rPr>
      </w:pPr>
    </w:p>
    <w:p w14:paraId="191ECA3E" w14:textId="0F19374A" w:rsidR="006502AE" w:rsidRDefault="003F16B1" w:rsidP="00697D7A">
      <w:pPr>
        <w:pStyle w:val="ListParagraph"/>
        <w:numPr>
          <w:ilvl w:val="1"/>
          <w:numId w:val="25"/>
        </w:numPr>
        <w:ind w:left="709" w:hanging="709"/>
        <w:jc w:val="both"/>
        <w:rPr>
          <w:color w:val="000000"/>
        </w:rPr>
      </w:pPr>
      <w:bookmarkStart w:id="20" w:name="_Hlk120004273"/>
      <w:r>
        <w:rPr>
          <w:color w:val="000000"/>
        </w:rPr>
        <w:t xml:space="preserve">Article 8 </w:t>
      </w:r>
      <w:r w:rsidR="00385CE5">
        <w:rPr>
          <w:color w:val="000000"/>
        </w:rPr>
        <w:t xml:space="preserve">ECHR </w:t>
      </w:r>
      <w:r>
        <w:rPr>
          <w:color w:val="000000"/>
        </w:rPr>
        <w:t>protects the right to private and family life</w:t>
      </w:r>
      <w:r w:rsidR="008C5E93">
        <w:rPr>
          <w:color w:val="000000"/>
        </w:rPr>
        <w:t>, home and correspondence</w:t>
      </w:r>
      <w:r w:rsidR="000051FD">
        <w:rPr>
          <w:color w:val="000000"/>
        </w:rPr>
        <w:t xml:space="preserve"> </w:t>
      </w:r>
      <w:r w:rsidR="005309C0">
        <w:rPr>
          <w:color w:val="000000"/>
        </w:rPr>
        <w:t xml:space="preserve">and </w:t>
      </w:r>
      <w:r w:rsidR="000051FD">
        <w:rPr>
          <w:color w:val="000000"/>
        </w:rPr>
        <w:t>its scope is interpreted broadly by the ECtHR</w:t>
      </w:r>
      <w:bookmarkEnd w:id="20"/>
      <w:r w:rsidR="000051FD">
        <w:rPr>
          <w:color w:val="000000"/>
        </w:rPr>
        <w:t>.</w:t>
      </w:r>
      <w:r w:rsidR="006502AE">
        <w:rPr>
          <w:color w:val="000000"/>
        </w:rPr>
        <w:t xml:space="preserve"> A</w:t>
      </w:r>
      <w:r w:rsidR="006502AE" w:rsidRPr="00B03CCB">
        <w:rPr>
          <w:color w:val="000000"/>
        </w:rPr>
        <w:t>rticle 8</w:t>
      </w:r>
      <w:r w:rsidR="006502AE">
        <w:rPr>
          <w:color w:val="000000"/>
        </w:rPr>
        <w:t xml:space="preserve"> also</w:t>
      </w:r>
      <w:r w:rsidR="006502AE" w:rsidRPr="00B03CCB">
        <w:rPr>
          <w:color w:val="000000"/>
        </w:rPr>
        <w:t xml:space="preserve"> secures to individuals a sphere within which they can freely pursue the development and fulfilment of their personality.</w:t>
      </w:r>
      <w:r w:rsidR="006502AE">
        <w:rPr>
          <w:rStyle w:val="FootnoteReference"/>
          <w:color w:val="000000"/>
        </w:rPr>
        <w:footnoteReference w:id="30"/>
      </w:r>
      <w:r w:rsidR="006502AE" w:rsidRPr="00B03CCB">
        <w:rPr>
          <w:color w:val="000000"/>
        </w:rPr>
        <w:t xml:space="preserve"> The notion of personal autonomy is an important principle underlying the interpretation of Article 8</w:t>
      </w:r>
      <w:r w:rsidR="006502AE">
        <w:rPr>
          <w:color w:val="000000"/>
        </w:rPr>
        <w:t>.</w:t>
      </w:r>
      <w:r w:rsidR="006502AE">
        <w:rPr>
          <w:rStyle w:val="FootnoteReference"/>
          <w:color w:val="000000"/>
        </w:rPr>
        <w:footnoteReference w:id="31"/>
      </w:r>
      <w:r w:rsidR="008C5E93" w:rsidRPr="006502AE">
        <w:rPr>
          <w:color w:val="000000"/>
        </w:rPr>
        <w:t xml:space="preserve"> </w:t>
      </w:r>
    </w:p>
    <w:p w14:paraId="3C128A6D" w14:textId="77777777" w:rsidR="006502AE" w:rsidRPr="006502AE" w:rsidRDefault="006502AE" w:rsidP="00697D7A">
      <w:pPr>
        <w:pStyle w:val="ListParagraph"/>
        <w:ind w:left="709" w:hanging="709"/>
        <w:jc w:val="both"/>
        <w:rPr>
          <w:color w:val="000000"/>
        </w:rPr>
      </w:pPr>
    </w:p>
    <w:p w14:paraId="1006F946" w14:textId="77777777" w:rsidR="00703A00" w:rsidRDefault="006502AE" w:rsidP="00697D7A">
      <w:pPr>
        <w:pStyle w:val="ListParagraph"/>
        <w:numPr>
          <w:ilvl w:val="1"/>
          <w:numId w:val="25"/>
        </w:numPr>
        <w:ind w:left="709" w:hanging="709"/>
        <w:jc w:val="both"/>
        <w:rPr>
          <w:color w:val="000000"/>
        </w:rPr>
      </w:pPr>
      <w:r w:rsidRPr="00703A00">
        <w:rPr>
          <w:color w:val="000000"/>
        </w:rPr>
        <w:t>Article 8</w:t>
      </w:r>
      <w:r w:rsidR="00427C39" w:rsidRPr="00703A00">
        <w:rPr>
          <w:color w:val="000000"/>
        </w:rPr>
        <w:t xml:space="preserve"> contains both negative </w:t>
      </w:r>
      <w:r w:rsidR="009D53A7" w:rsidRPr="00703A00">
        <w:rPr>
          <w:color w:val="000000"/>
        </w:rPr>
        <w:t xml:space="preserve">and positive </w:t>
      </w:r>
      <w:r w:rsidR="00427C39" w:rsidRPr="00703A00">
        <w:rPr>
          <w:color w:val="000000"/>
        </w:rPr>
        <w:t>obligations on the State.</w:t>
      </w:r>
      <w:r w:rsidR="00851CA5" w:rsidRPr="00703A00">
        <w:rPr>
          <w:rStyle w:val="FootnoteReference"/>
          <w:color w:val="000000"/>
        </w:rPr>
        <w:footnoteReference w:id="32"/>
      </w:r>
      <w:r w:rsidR="00427C39" w:rsidRPr="00703A00">
        <w:rPr>
          <w:color w:val="000000"/>
        </w:rPr>
        <w:t xml:space="preserve"> </w:t>
      </w:r>
      <w:r w:rsidRPr="00703A00">
        <w:rPr>
          <w:color w:val="000000"/>
        </w:rPr>
        <w:t>It</w:t>
      </w:r>
      <w:r w:rsidR="00377A5B" w:rsidRPr="006502AE">
        <w:rPr>
          <w:color w:val="000000"/>
        </w:rPr>
        <w:t xml:space="preserve"> is </w:t>
      </w:r>
      <w:r w:rsidR="00B67B44" w:rsidRPr="006502AE">
        <w:rPr>
          <w:color w:val="000000"/>
        </w:rPr>
        <w:t xml:space="preserve">regarded as </w:t>
      </w:r>
      <w:r w:rsidR="00377A5B" w:rsidRPr="006502AE">
        <w:rPr>
          <w:color w:val="000000"/>
        </w:rPr>
        <w:t>a qualified right, which may be restricted in particular circumstance</w:t>
      </w:r>
      <w:r w:rsidR="00E23A94" w:rsidRPr="006502AE">
        <w:rPr>
          <w:color w:val="000000"/>
        </w:rPr>
        <w:t xml:space="preserve">s. In considering whether an interference with Article 8 is unlawful, the ECtHR will consider whether it is </w:t>
      </w:r>
      <w:r w:rsidR="001221E3" w:rsidRPr="006502AE">
        <w:rPr>
          <w:color w:val="000000"/>
        </w:rPr>
        <w:t>conducted</w:t>
      </w:r>
      <w:r w:rsidR="001E3285" w:rsidRPr="006502AE">
        <w:rPr>
          <w:color w:val="000000"/>
        </w:rPr>
        <w:t xml:space="preserve"> </w:t>
      </w:r>
      <w:r w:rsidR="00E23A94" w:rsidRPr="006502AE">
        <w:rPr>
          <w:color w:val="000000"/>
        </w:rPr>
        <w:t>in accordance with the law, in pursuit of a legitimate aim</w:t>
      </w:r>
      <w:r w:rsidR="001221E3" w:rsidRPr="006502AE">
        <w:rPr>
          <w:color w:val="000000"/>
        </w:rPr>
        <w:t xml:space="preserve"> under Article 8(2)</w:t>
      </w:r>
      <w:r w:rsidR="00E23A94" w:rsidRPr="006502AE">
        <w:rPr>
          <w:color w:val="000000"/>
        </w:rPr>
        <w:t xml:space="preserve">, and </w:t>
      </w:r>
      <w:r w:rsidR="001221E3" w:rsidRPr="006502AE">
        <w:rPr>
          <w:color w:val="000000"/>
        </w:rPr>
        <w:t>if it is</w:t>
      </w:r>
      <w:r w:rsidR="00E23A94" w:rsidRPr="006502AE">
        <w:rPr>
          <w:color w:val="000000"/>
        </w:rPr>
        <w:t xml:space="preserve"> necessary </w:t>
      </w:r>
      <w:r w:rsidR="0072653C" w:rsidRPr="006502AE">
        <w:rPr>
          <w:color w:val="000000"/>
        </w:rPr>
        <w:t>in a democratic society.</w:t>
      </w:r>
    </w:p>
    <w:p w14:paraId="76959C3D" w14:textId="77777777" w:rsidR="00703A00" w:rsidRPr="00703A00" w:rsidRDefault="00703A00" w:rsidP="00697D7A">
      <w:pPr>
        <w:pStyle w:val="ListParagraph"/>
        <w:ind w:left="709" w:hanging="709"/>
        <w:rPr>
          <w:color w:val="000000"/>
        </w:rPr>
      </w:pPr>
    </w:p>
    <w:p w14:paraId="4843C9AF" w14:textId="59543F23" w:rsidR="00A70057" w:rsidRPr="00703A00" w:rsidRDefault="00E5088E" w:rsidP="00697D7A">
      <w:pPr>
        <w:pStyle w:val="ListParagraph"/>
        <w:numPr>
          <w:ilvl w:val="1"/>
          <w:numId w:val="25"/>
        </w:numPr>
        <w:ind w:left="709" w:hanging="709"/>
        <w:jc w:val="both"/>
        <w:rPr>
          <w:color w:val="000000"/>
        </w:rPr>
      </w:pPr>
      <w:r w:rsidRPr="00703A00">
        <w:rPr>
          <w:color w:val="000000"/>
        </w:rPr>
        <w:t xml:space="preserve">Under the </w:t>
      </w:r>
      <w:r w:rsidR="00EC1AE2" w:rsidRPr="00703A00">
        <w:rPr>
          <w:color w:val="000000"/>
        </w:rPr>
        <w:t>“</w:t>
      </w:r>
      <w:r w:rsidRPr="00703A00">
        <w:rPr>
          <w:color w:val="000000"/>
        </w:rPr>
        <w:t>private life</w:t>
      </w:r>
      <w:r w:rsidR="00EC1AE2" w:rsidRPr="00703A00">
        <w:rPr>
          <w:color w:val="000000"/>
        </w:rPr>
        <w:t>”</w:t>
      </w:r>
      <w:r w:rsidR="00972928" w:rsidRPr="00703A00">
        <w:rPr>
          <w:color w:val="000000"/>
        </w:rPr>
        <w:t xml:space="preserve"> </w:t>
      </w:r>
      <w:r w:rsidRPr="00703A00">
        <w:rPr>
          <w:color w:val="000000"/>
        </w:rPr>
        <w:t>limb of Article 8, protection is given to the personal sphere of each individual, including the right to establish details of their identity as individual human beings.</w:t>
      </w:r>
      <w:r>
        <w:rPr>
          <w:rStyle w:val="FootnoteReference"/>
          <w:color w:val="000000"/>
        </w:rPr>
        <w:footnoteReference w:id="33"/>
      </w:r>
      <w:r w:rsidR="00A543DB" w:rsidRPr="00703A00">
        <w:rPr>
          <w:color w:val="000000"/>
        </w:rPr>
        <w:t xml:space="preserve"> </w:t>
      </w:r>
      <w:r w:rsidR="00A70057" w:rsidRPr="00703A00">
        <w:rPr>
          <w:color w:val="000000"/>
        </w:rPr>
        <w:t xml:space="preserve">Article 8 </w:t>
      </w:r>
      <w:r w:rsidR="0015011E" w:rsidRPr="00703A00">
        <w:rPr>
          <w:color w:val="000000"/>
        </w:rPr>
        <w:t>has been held to be</w:t>
      </w:r>
      <w:r w:rsidR="00A70057" w:rsidRPr="00703A00">
        <w:rPr>
          <w:color w:val="000000"/>
        </w:rPr>
        <w:t xml:space="preserve"> applicable to the question of the legal recognition of the gender identity of transgender persons who have undergone gender reassignment surgery</w:t>
      </w:r>
      <w:r w:rsidR="00A70057">
        <w:rPr>
          <w:rStyle w:val="FootnoteReference"/>
          <w:color w:val="000000"/>
        </w:rPr>
        <w:footnoteReference w:id="34"/>
      </w:r>
      <w:r w:rsidR="00A70057" w:rsidRPr="00703A00">
        <w:rPr>
          <w:color w:val="000000"/>
        </w:rPr>
        <w:t>, the conditions for access to such surgery</w:t>
      </w:r>
      <w:r w:rsidR="00A70057">
        <w:rPr>
          <w:rStyle w:val="FootnoteReference"/>
          <w:color w:val="000000"/>
        </w:rPr>
        <w:footnoteReference w:id="35"/>
      </w:r>
      <w:r w:rsidR="00A70057" w:rsidRPr="00703A00">
        <w:rPr>
          <w:color w:val="000000"/>
        </w:rPr>
        <w:t>, and the legal recognition of the gender identity of transgender people who have not undergone, or do not wish to undergo, gender reassignment treatment.</w:t>
      </w:r>
      <w:r w:rsidR="00A70057">
        <w:rPr>
          <w:rStyle w:val="FootnoteReference"/>
          <w:color w:val="000000"/>
        </w:rPr>
        <w:footnoteReference w:id="36"/>
      </w:r>
    </w:p>
    <w:p w14:paraId="37DE803A" w14:textId="77777777" w:rsidR="00EC1AE2" w:rsidRPr="00AD3D7B" w:rsidRDefault="00EC1AE2" w:rsidP="00AD3D7B">
      <w:pPr>
        <w:pStyle w:val="ListParagraph"/>
        <w:rPr>
          <w:color w:val="000000"/>
        </w:rPr>
      </w:pPr>
    </w:p>
    <w:p w14:paraId="6E8A7B5D" w14:textId="48BEBFD7" w:rsidR="00631A64" w:rsidRDefault="00EC1AE2" w:rsidP="00697D7A">
      <w:pPr>
        <w:pStyle w:val="ListParagraph"/>
        <w:numPr>
          <w:ilvl w:val="1"/>
          <w:numId w:val="25"/>
        </w:numPr>
        <w:ind w:left="709" w:hanging="851"/>
        <w:jc w:val="both"/>
        <w:rPr>
          <w:color w:val="000000"/>
        </w:rPr>
      </w:pPr>
      <w:r w:rsidRPr="00B03CCB">
        <w:rPr>
          <w:color w:val="000000"/>
        </w:rPr>
        <w:t>In the context of private life</w:t>
      </w:r>
      <w:r w:rsidR="003F251F">
        <w:rPr>
          <w:color w:val="000000"/>
        </w:rPr>
        <w:t>,</w:t>
      </w:r>
      <w:r w:rsidRPr="00B03CCB">
        <w:rPr>
          <w:color w:val="000000"/>
        </w:rPr>
        <w:t xml:space="preserve"> the </w:t>
      </w:r>
      <w:r>
        <w:rPr>
          <w:color w:val="000000"/>
        </w:rPr>
        <w:t>ECtHR</w:t>
      </w:r>
      <w:r w:rsidRPr="00B03CCB">
        <w:rPr>
          <w:color w:val="000000"/>
        </w:rPr>
        <w:t xml:space="preserve"> has considered that, where a particularly important facet of an individual’s existence or identity is at stake, the margin allowed to the State will be restricted</w:t>
      </w:r>
      <w:r>
        <w:rPr>
          <w:color w:val="000000"/>
        </w:rPr>
        <w:t>.</w:t>
      </w:r>
      <w:r>
        <w:rPr>
          <w:rStyle w:val="FootnoteReference"/>
          <w:color w:val="000000"/>
        </w:rPr>
        <w:footnoteReference w:id="37"/>
      </w:r>
      <w:r w:rsidRPr="00A25029">
        <w:rPr>
          <w:color w:val="000000"/>
        </w:rPr>
        <w:t xml:space="preserve"> </w:t>
      </w:r>
    </w:p>
    <w:p w14:paraId="51AB98FE" w14:textId="77777777" w:rsidR="00631A64" w:rsidRPr="00631A64" w:rsidRDefault="00631A64" w:rsidP="00697D7A">
      <w:pPr>
        <w:pStyle w:val="ListParagraph"/>
        <w:ind w:left="709" w:hanging="851"/>
        <w:rPr>
          <w:color w:val="000000"/>
        </w:rPr>
      </w:pPr>
    </w:p>
    <w:p w14:paraId="3AE4CB50" w14:textId="77777777" w:rsidR="00631A64" w:rsidRDefault="00A70057" w:rsidP="00697D7A">
      <w:pPr>
        <w:pStyle w:val="ListParagraph"/>
        <w:numPr>
          <w:ilvl w:val="1"/>
          <w:numId w:val="25"/>
        </w:numPr>
        <w:ind w:left="709" w:hanging="851"/>
        <w:jc w:val="both"/>
        <w:rPr>
          <w:color w:val="000000"/>
        </w:rPr>
      </w:pPr>
      <w:r w:rsidRPr="00631A64">
        <w:rPr>
          <w:color w:val="000000"/>
        </w:rPr>
        <w:t xml:space="preserve">The ECtHR </w:t>
      </w:r>
      <w:r w:rsidR="00214F3D" w:rsidRPr="00631A64">
        <w:rPr>
          <w:color w:val="000000"/>
        </w:rPr>
        <w:t xml:space="preserve">considers the concept of </w:t>
      </w:r>
      <w:r w:rsidR="00EC1AE2" w:rsidRPr="00631A64">
        <w:rPr>
          <w:color w:val="000000"/>
        </w:rPr>
        <w:t>“</w:t>
      </w:r>
      <w:r w:rsidR="00214F3D" w:rsidRPr="00631A64">
        <w:rPr>
          <w:color w:val="000000"/>
        </w:rPr>
        <w:t>home</w:t>
      </w:r>
      <w:r w:rsidR="00EC1AE2" w:rsidRPr="00631A64">
        <w:rPr>
          <w:color w:val="000000"/>
        </w:rPr>
        <w:t>”</w:t>
      </w:r>
      <w:r w:rsidR="00214F3D" w:rsidRPr="00631A64">
        <w:rPr>
          <w:color w:val="000000"/>
        </w:rPr>
        <w:t xml:space="preserve"> as autonomous and interprets it </w:t>
      </w:r>
      <w:r w:rsidR="00C16E03" w:rsidRPr="00631A64">
        <w:rPr>
          <w:color w:val="000000"/>
        </w:rPr>
        <w:t>widely</w:t>
      </w:r>
      <w:r w:rsidR="00993D81" w:rsidRPr="00631A64">
        <w:rPr>
          <w:color w:val="000000"/>
        </w:rPr>
        <w:t>.</w:t>
      </w:r>
      <w:r w:rsidR="00EC1AE2" w:rsidRPr="00631A64">
        <w:rPr>
          <w:color w:val="000000"/>
        </w:rPr>
        <w:t xml:space="preserve"> In the case of </w:t>
      </w:r>
      <w:r w:rsidR="00EC1AE2" w:rsidRPr="00631A64">
        <w:rPr>
          <w:i/>
          <w:iCs/>
          <w:color w:val="000000"/>
        </w:rPr>
        <w:t>National Federation of Sportspersons’ Associations and Unions and Others v. France</w:t>
      </w:r>
      <w:r w:rsidR="00EC1AE2" w:rsidRPr="00631A64">
        <w:rPr>
          <w:color w:val="000000"/>
        </w:rPr>
        <w:t>, the ECtHR considered whether a requirement upon athletes to provide advance notice of their daily schedule, with a sanction for non-compliance, engaged Article 8. In finding that there was an interference with Article 8(1) although not a violation,</w:t>
      </w:r>
      <w:bookmarkStart w:id="24" w:name="_Hlk120004451"/>
      <w:r w:rsidR="00EC1AE2" w:rsidRPr="00631A64">
        <w:rPr>
          <w:color w:val="000000"/>
        </w:rPr>
        <w:t xml:space="preserve"> the ECtHR expressly did</w:t>
      </w:r>
      <w:r w:rsidRPr="00631A64">
        <w:rPr>
          <w:color w:val="000000"/>
        </w:rPr>
        <w:t xml:space="preserve"> not rule out the possibility that training centres and venues for sports events and competitions, and their annexes such as a hotel room in the case of away events,</w:t>
      </w:r>
      <w:r w:rsidRPr="001948D0">
        <w:t xml:space="preserve"> </w:t>
      </w:r>
      <w:r w:rsidRPr="00631A64">
        <w:rPr>
          <w:color w:val="000000"/>
        </w:rPr>
        <w:t>may be treated as equivalent to “home” within the meaning of Article 8.</w:t>
      </w:r>
      <w:r>
        <w:rPr>
          <w:rStyle w:val="FootnoteReference"/>
          <w:color w:val="000000"/>
        </w:rPr>
        <w:footnoteReference w:id="38"/>
      </w:r>
      <w:r w:rsidRPr="00631A64">
        <w:rPr>
          <w:color w:val="000000"/>
        </w:rPr>
        <w:t xml:space="preserve"> </w:t>
      </w:r>
      <w:bookmarkEnd w:id="24"/>
    </w:p>
    <w:p w14:paraId="76587E4C" w14:textId="77777777" w:rsidR="00631A64" w:rsidRPr="00631A64" w:rsidRDefault="00631A64" w:rsidP="00697D7A">
      <w:pPr>
        <w:pStyle w:val="ListParagraph"/>
        <w:ind w:left="709" w:hanging="851"/>
        <w:rPr>
          <w:color w:val="000000"/>
        </w:rPr>
      </w:pPr>
    </w:p>
    <w:p w14:paraId="4A812EFA" w14:textId="4C97D65F" w:rsidR="00BF48CB" w:rsidRDefault="000430D0" w:rsidP="00697D7A">
      <w:pPr>
        <w:pStyle w:val="ListParagraph"/>
        <w:numPr>
          <w:ilvl w:val="1"/>
          <w:numId w:val="25"/>
        </w:numPr>
        <w:ind w:left="709" w:hanging="851"/>
        <w:jc w:val="both"/>
        <w:rPr>
          <w:color w:val="000000"/>
        </w:rPr>
      </w:pPr>
      <w:r w:rsidRPr="00631A64">
        <w:rPr>
          <w:color w:val="000000"/>
        </w:rPr>
        <w:t>Article 14 ECHR sets out a prohibition on discrimination</w:t>
      </w:r>
      <w:r w:rsidR="00C67784" w:rsidRPr="00631A64">
        <w:rPr>
          <w:color w:val="000000"/>
        </w:rPr>
        <w:t xml:space="preserve"> in the enjoyment of another Convention right</w:t>
      </w:r>
      <w:r w:rsidRPr="00631A64">
        <w:rPr>
          <w:color w:val="000000"/>
        </w:rPr>
        <w:t>.</w:t>
      </w:r>
      <w:r w:rsidR="00C67784" w:rsidRPr="00631A64">
        <w:rPr>
          <w:color w:val="000000"/>
        </w:rPr>
        <w:t xml:space="preserve"> It states,</w:t>
      </w:r>
      <w:r w:rsidRPr="00631A64">
        <w:rPr>
          <w:color w:val="000000"/>
        </w:rPr>
        <w:t xml:space="preserve"> “</w:t>
      </w:r>
      <w:r w:rsidR="00C67784" w:rsidRPr="00631A64">
        <w:rPr>
          <w:color w:val="000000"/>
        </w:rPr>
        <w:t xml:space="preserve">[t]he </w:t>
      </w:r>
      <w:r w:rsidRPr="00631A64">
        <w:rPr>
          <w:color w:val="000000"/>
        </w:rPr>
        <w:t>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r w:rsidR="00C80A17" w:rsidRPr="00631A64">
        <w:rPr>
          <w:color w:val="000000"/>
        </w:rPr>
        <w:t xml:space="preserve"> </w:t>
      </w:r>
      <w:r w:rsidR="00A5724E" w:rsidRPr="00631A64">
        <w:rPr>
          <w:color w:val="000000"/>
        </w:rPr>
        <w:t xml:space="preserve">The ECtHR has confirmed that the prohibition of discrimination under Article 14, particularly in conjunction with Article 8, covers questions </w:t>
      </w:r>
      <w:r w:rsidR="00405313" w:rsidRPr="00631A64">
        <w:rPr>
          <w:color w:val="000000"/>
        </w:rPr>
        <w:t>relat</w:t>
      </w:r>
      <w:r w:rsidR="00405313">
        <w:rPr>
          <w:color w:val="000000"/>
        </w:rPr>
        <w:t>ing</w:t>
      </w:r>
      <w:r w:rsidR="00405313" w:rsidRPr="00631A64">
        <w:rPr>
          <w:color w:val="000000"/>
        </w:rPr>
        <w:t xml:space="preserve"> </w:t>
      </w:r>
      <w:r w:rsidR="00A5724E" w:rsidRPr="00631A64">
        <w:rPr>
          <w:color w:val="000000"/>
        </w:rPr>
        <w:t>to gender identity.</w:t>
      </w:r>
      <w:r w:rsidR="00A5724E">
        <w:rPr>
          <w:rStyle w:val="FootnoteReference"/>
          <w:color w:val="000000"/>
        </w:rPr>
        <w:footnoteReference w:id="39"/>
      </w:r>
    </w:p>
    <w:p w14:paraId="58F4108C" w14:textId="77777777" w:rsidR="00BF48CB" w:rsidRPr="00BF48CB" w:rsidRDefault="00BF48CB" w:rsidP="00697D7A">
      <w:pPr>
        <w:pStyle w:val="ListParagraph"/>
        <w:ind w:left="709" w:hanging="851"/>
        <w:rPr>
          <w:color w:val="000000"/>
        </w:rPr>
      </w:pPr>
    </w:p>
    <w:p w14:paraId="6B3ED418" w14:textId="7BE99189" w:rsidR="004A2482" w:rsidRPr="00BF48CB" w:rsidRDefault="001A51FB" w:rsidP="00697D7A">
      <w:pPr>
        <w:pStyle w:val="ListParagraph"/>
        <w:numPr>
          <w:ilvl w:val="1"/>
          <w:numId w:val="25"/>
        </w:numPr>
        <w:ind w:left="709" w:hanging="851"/>
        <w:jc w:val="both"/>
        <w:rPr>
          <w:color w:val="000000"/>
        </w:rPr>
      </w:pPr>
      <w:r w:rsidRPr="00BF48CB">
        <w:rPr>
          <w:color w:val="000000"/>
        </w:rPr>
        <w:t xml:space="preserve">In determining whether </w:t>
      </w:r>
      <w:r w:rsidR="00E0437C" w:rsidRPr="00BF48CB">
        <w:rPr>
          <w:color w:val="000000"/>
        </w:rPr>
        <w:t>there has been a breach of Article 14</w:t>
      </w:r>
      <w:r w:rsidRPr="00BF48CB">
        <w:rPr>
          <w:color w:val="000000"/>
        </w:rPr>
        <w:t xml:space="preserve">, the ECtHR will </w:t>
      </w:r>
      <w:r w:rsidR="005F0EAF" w:rsidRPr="00BF48CB">
        <w:rPr>
          <w:color w:val="000000"/>
        </w:rPr>
        <w:t>consider whether</w:t>
      </w:r>
      <w:r w:rsidR="00E0437C" w:rsidRPr="00BF48CB">
        <w:rPr>
          <w:color w:val="000000"/>
        </w:rPr>
        <w:t xml:space="preserve"> there has been a difference in treatment</w:t>
      </w:r>
      <w:r w:rsidR="004752D6" w:rsidRPr="00BF48CB">
        <w:rPr>
          <w:color w:val="000000"/>
        </w:rPr>
        <w:t xml:space="preserve"> of persons in analogous situations and if so, whether this is objectively justified.</w:t>
      </w:r>
      <w:r w:rsidR="008F3363">
        <w:rPr>
          <w:rStyle w:val="FootnoteReference"/>
          <w:color w:val="000000"/>
        </w:rPr>
        <w:footnoteReference w:id="40"/>
      </w:r>
      <w:r w:rsidR="004752D6" w:rsidRPr="00BF48CB">
        <w:rPr>
          <w:color w:val="000000"/>
        </w:rPr>
        <w:t xml:space="preserve"> </w:t>
      </w:r>
      <w:r w:rsidR="003E7452" w:rsidRPr="00BF48CB">
        <w:rPr>
          <w:color w:val="000000"/>
        </w:rPr>
        <w:t xml:space="preserve">Therefore, not all differences in treatment will amount to a violation of the ECHR. </w:t>
      </w:r>
      <w:r w:rsidR="00BF2ABB" w:rsidRPr="00BF48CB">
        <w:rPr>
          <w:color w:val="000000"/>
        </w:rPr>
        <w:t>Article 14 will also apply in respect of the failure to treat persons differently in relevantly different situations.</w:t>
      </w:r>
      <w:r w:rsidR="00BF2ABB">
        <w:rPr>
          <w:rStyle w:val="FootnoteReference"/>
          <w:color w:val="000000"/>
        </w:rPr>
        <w:footnoteReference w:id="41"/>
      </w:r>
      <w:r w:rsidR="00BF2ABB" w:rsidRPr="00BF48CB">
        <w:rPr>
          <w:color w:val="000000"/>
        </w:rPr>
        <w:t xml:space="preserve"> </w:t>
      </w:r>
    </w:p>
    <w:p w14:paraId="124F886E" w14:textId="77777777" w:rsidR="000430D0" w:rsidRPr="000430D0" w:rsidRDefault="000430D0" w:rsidP="00697D7A">
      <w:pPr>
        <w:pStyle w:val="ListParagraph"/>
        <w:ind w:left="709" w:hanging="851"/>
        <w:rPr>
          <w:color w:val="000000"/>
        </w:rPr>
      </w:pPr>
    </w:p>
    <w:p w14:paraId="030C5092" w14:textId="7807CD3B" w:rsidR="00C52E6F" w:rsidRPr="00587ECA" w:rsidRDefault="000430D0" w:rsidP="00697D7A">
      <w:pPr>
        <w:pStyle w:val="ListParagraph"/>
        <w:numPr>
          <w:ilvl w:val="1"/>
          <w:numId w:val="25"/>
        </w:numPr>
        <w:ind w:left="709" w:hanging="851"/>
        <w:jc w:val="both"/>
        <w:rPr>
          <w:color w:val="000000"/>
        </w:rPr>
      </w:pPr>
      <w:r>
        <w:rPr>
          <w:color w:val="000000"/>
        </w:rPr>
        <w:t>T</w:t>
      </w:r>
      <w:r w:rsidR="00C724EB" w:rsidRPr="00C724EB">
        <w:rPr>
          <w:color w:val="000000"/>
        </w:rPr>
        <w:t>he right</w:t>
      </w:r>
      <w:r w:rsidR="009B79DE">
        <w:rPr>
          <w:color w:val="000000"/>
        </w:rPr>
        <w:t xml:space="preserve"> to freedom from discrimination and</w:t>
      </w:r>
      <w:r w:rsidR="00C724EB" w:rsidRPr="00C724EB">
        <w:rPr>
          <w:color w:val="000000"/>
        </w:rPr>
        <w:t xml:space="preserve"> to have </w:t>
      </w:r>
      <w:r w:rsidR="00976F9A">
        <w:rPr>
          <w:color w:val="000000"/>
        </w:rPr>
        <w:t>one’s</w:t>
      </w:r>
      <w:r w:rsidR="00976F9A" w:rsidRPr="00C724EB">
        <w:rPr>
          <w:color w:val="000000"/>
        </w:rPr>
        <w:t xml:space="preserve"> </w:t>
      </w:r>
      <w:r w:rsidR="00C724EB" w:rsidRPr="00C724EB">
        <w:rPr>
          <w:color w:val="000000"/>
        </w:rPr>
        <w:t xml:space="preserve">gender legally recognised and the legal requirements that must be satisfied to this end, is set out across </w:t>
      </w:r>
      <w:proofErr w:type="gramStart"/>
      <w:r w:rsidR="00C724EB" w:rsidRPr="00C724EB">
        <w:rPr>
          <w:color w:val="000000"/>
        </w:rPr>
        <w:t>a number of</w:t>
      </w:r>
      <w:proofErr w:type="gramEnd"/>
      <w:r w:rsidR="00C724EB" w:rsidRPr="00C724EB">
        <w:rPr>
          <w:color w:val="000000"/>
        </w:rPr>
        <w:t xml:space="preserve"> ECtHR cases</w:t>
      </w:r>
      <w:r w:rsidR="0015734D">
        <w:rPr>
          <w:color w:val="000000"/>
        </w:rPr>
        <w:t>.</w:t>
      </w:r>
      <w:r w:rsidR="0015734D" w:rsidRPr="00C724EB">
        <w:rPr>
          <w:color w:val="000000"/>
          <w:vertAlign w:val="superscript"/>
        </w:rPr>
        <w:footnoteReference w:id="42"/>
      </w:r>
      <w:r w:rsidR="0015734D" w:rsidDel="0015734D">
        <w:rPr>
          <w:rStyle w:val="FootnoteReference"/>
        </w:rPr>
        <w:t xml:space="preserve"> </w:t>
      </w:r>
      <w:r w:rsidR="00D56786">
        <w:t xml:space="preserve">In </w:t>
      </w:r>
      <w:r w:rsidR="00D56786" w:rsidRPr="00D56786">
        <w:rPr>
          <w:i/>
          <w:iCs/>
        </w:rPr>
        <w:t>Christine Goodwin v. the United Kingdom</w:t>
      </w:r>
      <w:r w:rsidR="0015734D">
        <w:rPr>
          <w:rStyle w:val="FootnoteReference"/>
        </w:rPr>
        <w:footnoteReference w:id="43"/>
      </w:r>
      <w:r w:rsidR="00015A0E">
        <w:t>,</w:t>
      </w:r>
      <w:r w:rsidR="00120857">
        <w:t xml:space="preserve"> the </w:t>
      </w:r>
      <w:r w:rsidR="00015A0E" w:rsidRPr="00C07C69">
        <w:t>applicant,</w:t>
      </w:r>
      <w:r w:rsidR="00120857">
        <w:t xml:space="preserve"> </w:t>
      </w:r>
      <w:r w:rsidR="00015A0E" w:rsidRPr="00C07C69">
        <w:t>was a trans</w:t>
      </w:r>
      <w:r w:rsidR="00AD3D7B">
        <w:t>gender</w:t>
      </w:r>
      <w:r w:rsidR="00015A0E" w:rsidRPr="00C07C69">
        <w:t xml:space="preserve"> woman</w:t>
      </w:r>
      <w:r w:rsidR="00832740">
        <w:t xml:space="preserve"> who</w:t>
      </w:r>
      <w:r w:rsidR="00015A0E" w:rsidRPr="00C07C69">
        <w:t xml:space="preserve"> claimed that she faced </w:t>
      </w:r>
      <w:r w:rsidR="00015A0E" w:rsidRPr="006A121D">
        <w:t>sexual</w:t>
      </w:r>
      <w:r w:rsidR="00015A0E">
        <w:t xml:space="preserve"> </w:t>
      </w:r>
      <w:r w:rsidR="00015A0E" w:rsidRPr="006A121D">
        <w:t>harassment</w:t>
      </w:r>
      <w:r w:rsidR="00015A0E" w:rsidRPr="00C07C69">
        <w:t> at work during and following her </w:t>
      </w:r>
      <w:r w:rsidR="00015A0E" w:rsidRPr="006A121D">
        <w:t>gender reassignment</w:t>
      </w:r>
      <w:r w:rsidR="00015A0E" w:rsidRPr="00C07C69">
        <w:t>.</w:t>
      </w:r>
      <w:r w:rsidR="008279AA">
        <w:t xml:space="preserve"> </w:t>
      </w:r>
      <w:r w:rsidR="00015A0E" w:rsidRPr="00C07C69">
        <w:t>She also alleged that the fact that she keeps the same </w:t>
      </w:r>
      <w:r w:rsidR="00015A0E" w:rsidRPr="006A121D">
        <w:t>N</w:t>
      </w:r>
      <w:r w:rsidR="00015A0E">
        <w:t xml:space="preserve">ational </w:t>
      </w:r>
      <w:r w:rsidR="00015A0E" w:rsidRPr="006A121D">
        <w:t>I</w:t>
      </w:r>
      <w:r w:rsidR="00015A0E">
        <w:t>nsurance</w:t>
      </w:r>
      <w:r w:rsidR="00015A0E" w:rsidRPr="006A121D">
        <w:t xml:space="preserve"> number</w:t>
      </w:r>
      <w:r w:rsidR="00015A0E" w:rsidRPr="00C07C69">
        <w:t> has meant that her employer has been able to discover that she previously worked for them under another name and gender,</w:t>
      </w:r>
      <w:r w:rsidR="00480F76">
        <w:t xml:space="preserve"> </w:t>
      </w:r>
      <w:r w:rsidR="00015A0E" w:rsidRPr="00C07C69">
        <w:t xml:space="preserve">resulting </w:t>
      </w:r>
      <w:r w:rsidR="00AD3D7B">
        <w:t xml:space="preserve">in </w:t>
      </w:r>
      <w:r w:rsidR="00015A0E" w:rsidRPr="00C07C69">
        <w:t>embarrassment and humiliation.</w:t>
      </w:r>
      <w:r w:rsidR="008279AA">
        <w:t xml:space="preserve"> </w:t>
      </w:r>
      <w:r w:rsidR="00015A0E" w:rsidRPr="00977086">
        <w:t>Relying on</w:t>
      </w:r>
      <w:r w:rsidR="008279AA">
        <w:t xml:space="preserve"> </w:t>
      </w:r>
      <w:r w:rsidR="00015A0E" w:rsidRPr="00977086">
        <w:t>Article</w:t>
      </w:r>
      <w:r w:rsidR="00A9205B">
        <w:t xml:space="preserve"> 14, alongside </w:t>
      </w:r>
      <w:r w:rsidR="00732622">
        <w:t>Articles</w:t>
      </w:r>
      <w:r w:rsidR="00015A0E" w:rsidRPr="00977086">
        <w:t xml:space="preserve"> 8, 12, </w:t>
      </w:r>
      <w:r w:rsidR="00A760B0">
        <w:t xml:space="preserve">and </w:t>
      </w:r>
      <w:r w:rsidR="00015A0E" w:rsidRPr="00977086">
        <w:t>13</w:t>
      </w:r>
      <w:r w:rsidR="00732622">
        <w:t xml:space="preserve"> </w:t>
      </w:r>
      <w:r w:rsidR="00C41D5F">
        <w:t>ECHR</w:t>
      </w:r>
      <w:r w:rsidR="00015A0E" w:rsidRPr="00977086">
        <w:t>, the applicant complained about her treatment in relation to employment, social security and pensions and her inability to marry</w:t>
      </w:r>
      <w:r w:rsidR="00015A0E">
        <w:t xml:space="preserve">. The </w:t>
      </w:r>
      <w:r w:rsidR="00015A0E" w:rsidRPr="001A6475">
        <w:t>ECtHR</w:t>
      </w:r>
      <w:r w:rsidR="00015A0E" w:rsidRPr="002E649F">
        <w:t xml:space="preserve"> found a violation of Article 8 (right to respect for private and family life) </w:t>
      </w:r>
      <w:r w:rsidR="00A01EFF">
        <w:t xml:space="preserve">and </w:t>
      </w:r>
      <w:r w:rsidR="00015A0E" w:rsidRPr="002E649F">
        <w:t xml:space="preserve">Article 12 (right to marry and to </w:t>
      </w:r>
      <w:proofErr w:type="gramStart"/>
      <w:r w:rsidR="00015A0E" w:rsidRPr="002E649F">
        <w:t>found</w:t>
      </w:r>
      <w:proofErr w:type="gramEnd"/>
      <w:r w:rsidR="00015A0E" w:rsidRPr="002E649F">
        <w:t xml:space="preserve"> a family)</w:t>
      </w:r>
      <w:r w:rsidR="00A01EFF">
        <w:t xml:space="preserve"> but</w:t>
      </w:r>
      <w:r w:rsidR="00015A0E" w:rsidRPr="002E649F">
        <w:t xml:space="preserve"> did not find a violation of Article 13 (right to an effective remedy)</w:t>
      </w:r>
      <w:r w:rsidR="00A01EFF">
        <w:t xml:space="preserve"> and </w:t>
      </w:r>
      <w:r w:rsidR="0051109D">
        <w:t>also</w:t>
      </w:r>
      <w:r w:rsidR="009C1BD2">
        <w:t xml:space="preserve"> </w:t>
      </w:r>
      <w:r w:rsidR="009135A8">
        <w:t xml:space="preserve">did not make any </w:t>
      </w:r>
      <w:r w:rsidR="00394E34">
        <w:t xml:space="preserve">separate </w:t>
      </w:r>
      <w:r w:rsidR="009135A8">
        <w:t>determination under</w:t>
      </w:r>
      <w:r w:rsidR="00015A0E" w:rsidRPr="002E649F">
        <w:t xml:space="preserve"> Article 14</w:t>
      </w:r>
      <w:r w:rsidR="00263360">
        <w:t xml:space="preserve"> (discrimination)</w:t>
      </w:r>
      <w:r w:rsidR="009C1BD2">
        <w:t>.</w:t>
      </w:r>
      <w:bookmarkEnd w:id="3"/>
    </w:p>
    <w:p w14:paraId="0A7B9409" w14:textId="77777777" w:rsidR="00C52E6F" w:rsidRPr="00C52E6F" w:rsidRDefault="00C52E6F" w:rsidP="00697D7A">
      <w:pPr>
        <w:pStyle w:val="ListParagraph"/>
        <w:ind w:left="709" w:hanging="851"/>
        <w:rPr>
          <w:color w:val="000000"/>
        </w:rPr>
      </w:pPr>
    </w:p>
    <w:p w14:paraId="4A819FFC" w14:textId="305F5350" w:rsidR="003003D3" w:rsidRDefault="00133CC8" w:rsidP="00697D7A">
      <w:pPr>
        <w:pStyle w:val="ListParagraph"/>
        <w:numPr>
          <w:ilvl w:val="1"/>
          <w:numId w:val="25"/>
        </w:numPr>
        <w:ind w:left="709" w:hanging="851"/>
        <w:jc w:val="both"/>
        <w:rPr>
          <w:color w:val="000000"/>
        </w:rPr>
      </w:pPr>
      <w:r w:rsidRPr="00C52E6F">
        <w:rPr>
          <w:color w:val="000000"/>
        </w:rPr>
        <w:t xml:space="preserve">The </w:t>
      </w:r>
      <w:r w:rsidR="002F1C13" w:rsidRPr="00C52E6F">
        <w:rPr>
          <w:color w:val="000000"/>
        </w:rPr>
        <w:t>ECtHR</w:t>
      </w:r>
      <w:r w:rsidRPr="00C52E6F">
        <w:rPr>
          <w:color w:val="000000"/>
        </w:rPr>
        <w:t xml:space="preserve"> has</w:t>
      </w:r>
      <w:r w:rsidR="003F251F">
        <w:rPr>
          <w:color w:val="000000"/>
        </w:rPr>
        <w:t>,</w:t>
      </w:r>
      <w:r w:rsidRPr="00C52E6F">
        <w:rPr>
          <w:color w:val="000000"/>
        </w:rPr>
        <w:t xml:space="preserve"> </w:t>
      </w:r>
      <w:r w:rsidR="003F251F">
        <w:rPr>
          <w:color w:val="000000"/>
        </w:rPr>
        <w:t>howeve</w:t>
      </w:r>
      <w:r w:rsidRPr="00C52E6F">
        <w:rPr>
          <w:color w:val="000000"/>
        </w:rPr>
        <w:t>r</w:t>
      </w:r>
      <w:r w:rsidR="003F251F">
        <w:rPr>
          <w:color w:val="000000"/>
        </w:rPr>
        <w:t>,</w:t>
      </w:r>
      <w:r w:rsidRPr="00C52E6F">
        <w:rPr>
          <w:color w:val="000000"/>
        </w:rPr>
        <w:t xml:space="preserve"> given a wide margin of appreciation to States in deciding </w:t>
      </w:r>
      <w:r w:rsidR="00EB7EBD" w:rsidRPr="00C52E6F">
        <w:rPr>
          <w:color w:val="000000"/>
        </w:rPr>
        <w:t>when certain discrimination may be justified in the public interest. In</w:t>
      </w:r>
      <w:r w:rsidR="0051358A" w:rsidRPr="00C52E6F">
        <w:rPr>
          <w:color w:val="000000"/>
        </w:rPr>
        <w:t xml:space="preserve"> </w:t>
      </w:r>
      <w:r w:rsidR="0051358A" w:rsidRPr="00C52E6F">
        <w:rPr>
          <w:i/>
          <w:iCs/>
          <w:color w:val="000000"/>
        </w:rPr>
        <w:t>L.F. v United Kingdom</w:t>
      </w:r>
      <w:r w:rsidR="00EB7EBD" w:rsidRPr="00C52E6F">
        <w:rPr>
          <w:color w:val="000000"/>
        </w:rPr>
        <w:t>,</w:t>
      </w:r>
      <w:r w:rsidR="00DD5349" w:rsidRPr="00AD3D7B">
        <w:rPr>
          <w:rStyle w:val="FootnoteReference"/>
          <w:color w:val="000000"/>
        </w:rPr>
        <w:footnoteReference w:id="44"/>
      </w:r>
      <w:r w:rsidR="00924EE3" w:rsidRPr="00C52E6F">
        <w:rPr>
          <w:color w:val="000000"/>
        </w:rPr>
        <w:t xml:space="preserve"> </w:t>
      </w:r>
      <w:r w:rsidR="00AC21BA" w:rsidRPr="00C52E6F">
        <w:rPr>
          <w:color w:val="000000"/>
        </w:rPr>
        <w:t>the ECtHR took into account</w:t>
      </w:r>
      <w:r w:rsidR="003234FE" w:rsidRPr="00C52E6F">
        <w:rPr>
          <w:color w:val="000000"/>
        </w:rPr>
        <w:t xml:space="preserve"> </w:t>
      </w:r>
      <w:r w:rsidR="002F1C13" w:rsidRPr="00C52E6F">
        <w:rPr>
          <w:color w:val="000000"/>
        </w:rPr>
        <w:t>t</w:t>
      </w:r>
      <w:r w:rsidR="003234FE" w:rsidRPr="00C52E6F">
        <w:rPr>
          <w:color w:val="000000"/>
        </w:rPr>
        <w:t>hat the arrangement correcte</w:t>
      </w:r>
      <w:r w:rsidR="002F1C13" w:rsidRPr="00C52E6F">
        <w:rPr>
          <w:color w:val="000000"/>
        </w:rPr>
        <w:t>d</w:t>
      </w:r>
      <w:r w:rsidR="003234FE" w:rsidRPr="00C52E6F">
        <w:rPr>
          <w:color w:val="000000"/>
        </w:rPr>
        <w:t xml:space="preserve"> inequalities between the Orthodox Jewish </w:t>
      </w:r>
      <w:r w:rsidR="006B142C" w:rsidRPr="00C52E6F">
        <w:rPr>
          <w:color w:val="000000"/>
        </w:rPr>
        <w:t>C</w:t>
      </w:r>
      <w:r w:rsidR="003234FE" w:rsidRPr="00C52E6F">
        <w:rPr>
          <w:color w:val="000000"/>
        </w:rPr>
        <w:t>ommunity and other groups</w:t>
      </w:r>
      <w:r w:rsidR="00CA7F8C" w:rsidRPr="00C52E6F">
        <w:rPr>
          <w:color w:val="000000"/>
        </w:rPr>
        <w:t>; that only a nominal percentage (</w:t>
      </w:r>
      <w:r w:rsidR="00430ED6" w:rsidRPr="00C52E6F">
        <w:rPr>
          <w:color w:val="000000"/>
        </w:rPr>
        <w:t>one per cent</w:t>
      </w:r>
      <w:r w:rsidR="00CA7F8C" w:rsidRPr="00C52E6F">
        <w:rPr>
          <w:color w:val="000000"/>
        </w:rPr>
        <w:t xml:space="preserve">) of </w:t>
      </w:r>
      <w:r w:rsidR="00B027D3" w:rsidRPr="00C52E6F">
        <w:rPr>
          <w:color w:val="000000"/>
        </w:rPr>
        <w:t>local</w:t>
      </w:r>
      <w:r w:rsidR="00CA7F8C" w:rsidRPr="00C52E6F">
        <w:rPr>
          <w:color w:val="000000"/>
        </w:rPr>
        <w:t xml:space="preserve"> housing</w:t>
      </w:r>
      <w:r w:rsidR="0056513C" w:rsidRPr="00C52E6F">
        <w:rPr>
          <w:color w:val="000000"/>
        </w:rPr>
        <w:t xml:space="preserve"> in the area</w:t>
      </w:r>
      <w:r w:rsidR="00CA7F8C" w:rsidRPr="00C52E6F">
        <w:rPr>
          <w:color w:val="000000"/>
        </w:rPr>
        <w:t xml:space="preserve"> was provided by</w:t>
      </w:r>
      <w:r w:rsidR="00B027D3" w:rsidRPr="00C52E6F">
        <w:rPr>
          <w:color w:val="000000"/>
        </w:rPr>
        <w:t xml:space="preserve"> the charity</w:t>
      </w:r>
      <w:r w:rsidR="00C01827" w:rsidRPr="00C52E6F">
        <w:rPr>
          <w:color w:val="000000"/>
        </w:rPr>
        <w:t xml:space="preserve"> and therefore affected</w:t>
      </w:r>
      <w:r w:rsidR="00A54A40" w:rsidRPr="00C52E6F">
        <w:rPr>
          <w:color w:val="000000"/>
        </w:rPr>
        <w:t>,</w:t>
      </w:r>
      <w:r w:rsidR="00CA7F8C" w:rsidRPr="00C52E6F">
        <w:rPr>
          <w:color w:val="000000"/>
        </w:rPr>
        <w:t xml:space="preserve"> </w:t>
      </w:r>
      <w:r w:rsidR="00DD5349" w:rsidRPr="00C52E6F">
        <w:rPr>
          <w:color w:val="000000"/>
        </w:rPr>
        <w:t>and that</w:t>
      </w:r>
      <w:r w:rsidR="00DD5349" w:rsidRPr="00C52E6F">
        <w:rPr>
          <w:rFonts w:ascii="Arial" w:hAnsi="Arial" w:cs="Arial"/>
          <w:color w:val="000000"/>
          <w:shd w:val="clear" w:color="auto" w:fill="FFFFFF"/>
        </w:rPr>
        <w:t xml:space="preserve"> </w:t>
      </w:r>
      <w:r w:rsidR="00E14AAA" w:rsidRPr="00C52E6F">
        <w:rPr>
          <w:color w:val="000000"/>
        </w:rPr>
        <w:t>n</w:t>
      </w:r>
      <w:r w:rsidR="00DD5349" w:rsidRPr="00C52E6F">
        <w:rPr>
          <w:color w:val="000000"/>
        </w:rPr>
        <w:t xml:space="preserve">ational authorities are </w:t>
      </w:r>
      <w:r w:rsidR="00E14AAA" w:rsidRPr="00C52E6F">
        <w:rPr>
          <w:color w:val="000000"/>
        </w:rPr>
        <w:t xml:space="preserve">to be </w:t>
      </w:r>
      <w:r w:rsidR="00DD5349" w:rsidRPr="00C52E6F">
        <w:rPr>
          <w:color w:val="000000"/>
        </w:rPr>
        <w:t>given a wide margin of appreciation to decide what is socially and economically in the public’s interest, and to take measures accordingly</w:t>
      </w:r>
      <w:r w:rsidR="00CA3D2F" w:rsidRPr="00C52E6F">
        <w:rPr>
          <w:color w:val="000000"/>
        </w:rPr>
        <w:t>.</w:t>
      </w:r>
      <w:r w:rsidR="007C20EA">
        <w:rPr>
          <w:rStyle w:val="FootnoteReference"/>
          <w:color w:val="000000"/>
        </w:rPr>
        <w:footnoteReference w:id="45"/>
      </w:r>
    </w:p>
    <w:p w14:paraId="52A22B63" w14:textId="77777777" w:rsidR="003003D3" w:rsidRDefault="003003D3" w:rsidP="00697D7A">
      <w:pPr>
        <w:pStyle w:val="ListParagraph"/>
        <w:ind w:left="709" w:hanging="851"/>
        <w:jc w:val="both"/>
        <w:rPr>
          <w:color w:val="000000"/>
        </w:rPr>
      </w:pPr>
    </w:p>
    <w:p w14:paraId="068131C1" w14:textId="17219B53" w:rsidR="00863730" w:rsidRPr="000430D0" w:rsidRDefault="00863730" w:rsidP="00697D7A">
      <w:pPr>
        <w:pStyle w:val="ListParagraph"/>
        <w:numPr>
          <w:ilvl w:val="1"/>
          <w:numId w:val="25"/>
        </w:numPr>
        <w:ind w:left="709" w:hanging="851"/>
        <w:jc w:val="both"/>
        <w:rPr>
          <w:color w:val="000000"/>
        </w:rPr>
      </w:pPr>
      <w:r w:rsidRPr="000430D0">
        <w:rPr>
          <w:color w:val="000000"/>
        </w:rPr>
        <w:t xml:space="preserve">When considering a </w:t>
      </w:r>
      <w:r w:rsidR="003F251F">
        <w:rPr>
          <w:color w:val="000000"/>
        </w:rPr>
        <w:t>S</w:t>
      </w:r>
      <w:r w:rsidR="003F251F" w:rsidRPr="000430D0">
        <w:rPr>
          <w:color w:val="000000"/>
        </w:rPr>
        <w:t>tate</w:t>
      </w:r>
      <w:r w:rsidR="003F251F">
        <w:rPr>
          <w:color w:val="000000"/>
        </w:rPr>
        <w:t>’s</w:t>
      </w:r>
      <w:r w:rsidR="003F251F" w:rsidRPr="000430D0">
        <w:rPr>
          <w:color w:val="000000"/>
        </w:rPr>
        <w:t xml:space="preserve"> </w:t>
      </w:r>
      <w:r w:rsidRPr="000430D0">
        <w:rPr>
          <w:color w:val="000000"/>
        </w:rPr>
        <w:t>exercise</w:t>
      </w:r>
      <w:r w:rsidR="003F251F">
        <w:rPr>
          <w:color w:val="000000"/>
        </w:rPr>
        <w:t xml:space="preserve"> of</w:t>
      </w:r>
      <w:r w:rsidRPr="000430D0">
        <w:rPr>
          <w:color w:val="000000"/>
        </w:rPr>
        <w:t xml:space="preserve"> its margin of appreciation, the </w:t>
      </w:r>
      <w:r w:rsidR="00256B8E" w:rsidRPr="00256B8E">
        <w:rPr>
          <w:color w:val="000000"/>
        </w:rPr>
        <w:t>ECtHR</w:t>
      </w:r>
      <w:r w:rsidRPr="000430D0">
        <w:rPr>
          <w:color w:val="000000"/>
        </w:rPr>
        <w:t xml:space="preserve"> has also set out that </w:t>
      </w:r>
      <w:r w:rsidR="00F578DB">
        <w:rPr>
          <w:color w:val="000000"/>
        </w:rPr>
        <w:t xml:space="preserve">the </w:t>
      </w:r>
      <w:r w:rsidRPr="000430D0">
        <w:rPr>
          <w:color w:val="000000"/>
        </w:rPr>
        <w:t>justification for</w:t>
      </w:r>
      <w:r w:rsidR="00F578DB">
        <w:rPr>
          <w:color w:val="000000"/>
        </w:rPr>
        <w:t xml:space="preserve"> discrimination</w:t>
      </w:r>
      <w:r w:rsidRPr="000430D0">
        <w:rPr>
          <w:color w:val="000000"/>
        </w:rPr>
        <w:t xml:space="preserve"> may be narrower depending on the historical treatment of a group being affected.</w:t>
      </w:r>
      <w:r>
        <w:rPr>
          <w:rStyle w:val="FootnoteReference"/>
        </w:rPr>
        <w:footnoteReference w:id="46"/>
      </w:r>
      <w:r w:rsidR="00A56652" w:rsidRPr="000430D0">
        <w:rPr>
          <w:color w:val="000000"/>
        </w:rPr>
        <w:t xml:space="preserve"> T</w:t>
      </w:r>
      <w:r w:rsidRPr="000430D0">
        <w:rPr>
          <w:color w:val="000000"/>
        </w:rPr>
        <w:t>he ECtHR has stated that, “</w:t>
      </w:r>
      <w:r w:rsidRPr="0040745C">
        <w:rPr>
          <w:color w:val="000000"/>
        </w:rPr>
        <w:t>if a restriction on fundamental rights applies to a particularly vulnerable group in society, who have suffered considerable discrimination in the past, […], then the State’s margin of appreciation is substantially narrower and it must have very weighty reasons for the restrictions in question</w:t>
      </w:r>
      <w:r w:rsidRPr="000430D0">
        <w:rPr>
          <w:color w:val="000000"/>
        </w:rPr>
        <w:t>”.</w:t>
      </w:r>
      <w:bookmarkStart w:id="26" w:name="_Hlk120018665"/>
      <w:r>
        <w:rPr>
          <w:rStyle w:val="FootnoteReference"/>
          <w:color w:val="000000"/>
        </w:rPr>
        <w:footnoteReference w:id="47"/>
      </w:r>
      <w:bookmarkEnd w:id="26"/>
    </w:p>
    <w:p w14:paraId="7FBE4618" w14:textId="77777777" w:rsidR="006A1B85" w:rsidRPr="00E1522F" w:rsidRDefault="006A1B85" w:rsidP="00697D7A">
      <w:pPr>
        <w:ind w:left="709" w:hanging="851"/>
        <w:rPr>
          <w:color w:val="000000"/>
        </w:rPr>
      </w:pPr>
    </w:p>
    <w:p w14:paraId="7DD42FA6" w14:textId="1EACB701" w:rsidR="000119A7" w:rsidRDefault="00A56652" w:rsidP="00697D7A">
      <w:pPr>
        <w:pStyle w:val="ListParagraph"/>
        <w:numPr>
          <w:ilvl w:val="1"/>
          <w:numId w:val="25"/>
        </w:numPr>
        <w:ind w:left="709" w:hanging="851"/>
        <w:jc w:val="both"/>
        <w:rPr>
          <w:color w:val="000000"/>
        </w:rPr>
      </w:pPr>
      <w:r w:rsidRPr="006A1B85">
        <w:rPr>
          <w:color w:val="000000"/>
        </w:rPr>
        <w:t>T</w:t>
      </w:r>
      <w:r w:rsidR="00367150" w:rsidRPr="006A1B85">
        <w:rPr>
          <w:color w:val="000000"/>
        </w:rPr>
        <w:t xml:space="preserve">he </w:t>
      </w:r>
      <w:r w:rsidR="009124B9">
        <w:rPr>
          <w:color w:val="000000"/>
        </w:rPr>
        <w:t>E</w:t>
      </w:r>
      <w:r w:rsidR="00971986" w:rsidRPr="006A1B85">
        <w:rPr>
          <w:color w:val="000000"/>
        </w:rPr>
        <w:t>CtHR</w:t>
      </w:r>
      <w:r w:rsidR="00367150" w:rsidRPr="006A1B85">
        <w:rPr>
          <w:color w:val="000000"/>
        </w:rPr>
        <w:t xml:space="preserve"> has recognised that, </w:t>
      </w:r>
      <w:r w:rsidR="008B60B0">
        <w:rPr>
          <w:color w:val="000000"/>
        </w:rPr>
        <w:t>“</w:t>
      </w:r>
      <w:r w:rsidR="00367150" w:rsidRPr="006A1B85">
        <w:rPr>
          <w:color w:val="000000"/>
        </w:rPr>
        <w:t>in the twenty-first century, the right of transgender pe</w:t>
      </w:r>
      <w:r w:rsidR="00EC3541" w:rsidRPr="006A1B85">
        <w:rPr>
          <w:color w:val="000000"/>
        </w:rPr>
        <w:t>rsons</w:t>
      </w:r>
      <w:r w:rsidR="00367150" w:rsidRPr="006A1B85">
        <w:rPr>
          <w:color w:val="000000"/>
        </w:rPr>
        <w:t xml:space="preserve"> to personal development and to physical and moral security in the full sense enjoyed by others in society could not be regarded as a matter of controversy requiring the</w:t>
      </w:r>
      <w:r w:rsidR="0016035E" w:rsidRPr="006A1B85">
        <w:rPr>
          <w:color w:val="000000"/>
        </w:rPr>
        <w:t xml:space="preserve"> further</w:t>
      </w:r>
      <w:r w:rsidR="00367150" w:rsidRPr="006A1B85">
        <w:rPr>
          <w:color w:val="000000"/>
        </w:rPr>
        <w:t xml:space="preserve"> lapse of time to cast clearer light on the issues involved</w:t>
      </w:r>
      <w:r w:rsidR="00FF64B7" w:rsidRPr="006A1B85">
        <w:rPr>
          <w:color w:val="000000"/>
        </w:rPr>
        <w:t xml:space="preserve"> and that </w:t>
      </w:r>
      <w:r w:rsidR="00367150" w:rsidRPr="006A1B85">
        <w:rPr>
          <w:color w:val="000000"/>
        </w:rPr>
        <w:t>the situation in which transgender people lived in</w:t>
      </w:r>
      <w:r w:rsidR="00164614" w:rsidRPr="006A1B85">
        <w:rPr>
          <w:color w:val="000000"/>
        </w:rPr>
        <w:t xml:space="preserve"> some sort of</w:t>
      </w:r>
      <w:r w:rsidR="00367150" w:rsidRPr="006A1B85">
        <w:rPr>
          <w:color w:val="000000"/>
        </w:rPr>
        <w:t xml:space="preserve"> intermediate zone as not quite one gender or the other </w:t>
      </w:r>
      <w:r w:rsidR="000B66AA" w:rsidRPr="006A1B85">
        <w:rPr>
          <w:color w:val="000000"/>
        </w:rPr>
        <w:t>may</w:t>
      </w:r>
      <w:r w:rsidR="00367150" w:rsidRPr="006A1B85">
        <w:rPr>
          <w:color w:val="000000"/>
        </w:rPr>
        <w:t xml:space="preserve"> no longer</w:t>
      </w:r>
      <w:r w:rsidR="000B66AA" w:rsidRPr="006A1B85">
        <w:rPr>
          <w:color w:val="000000"/>
        </w:rPr>
        <w:t xml:space="preserve"> be</w:t>
      </w:r>
      <w:r w:rsidR="00465E24" w:rsidRPr="006A1B85">
        <w:rPr>
          <w:color w:val="000000"/>
        </w:rPr>
        <w:t xml:space="preserve"> seen as</w:t>
      </w:r>
      <w:r w:rsidR="00367150" w:rsidRPr="006A1B85">
        <w:rPr>
          <w:color w:val="000000"/>
        </w:rPr>
        <w:t xml:space="preserve"> sustainabl</w:t>
      </w:r>
      <w:r w:rsidR="000119A7" w:rsidRPr="006A1B85">
        <w:rPr>
          <w:color w:val="000000"/>
        </w:rPr>
        <w:t>e</w:t>
      </w:r>
      <w:r w:rsidR="00DF282A">
        <w:rPr>
          <w:color w:val="000000"/>
        </w:rPr>
        <w:t>”</w:t>
      </w:r>
      <w:r w:rsidR="000119A7" w:rsidRPr="006A1B85">
        <w:rPr>
          <w:color w:val="000000"/>
        </w:rPr>
        <w:t>.</w:t>
      </w:r>
      <w:r w:rsidR="000119A7">
        <w:rPr>
          <w:rStyle w:val="FootnoteReference"/>
          <w:color w:val="000000"/>
        </w:rPr>
        <w:footnoteReference w:id="48"/>
      </w:r>
    </w:p>
    <w:p w14:paraId="459C0C44" w14:textId="77777777" w:rsidR="00FF540D" w:rsidRPr="00C044A5" w:rsidRDefault="00FF540D" w:rsidP="00697D7A">
      <w:pPr>
        <w:pStyle w:val="ListParagraph"/>
        <w:ind w:left="709" w:hanging="851"/>
        <w:rPr>
          <w:color w:val="000000"/>
        </w:rPr>
      </w:pPr>
    </w:p>
    <w:p w14:paraId="7474F305" w14:textId="7F507F96" w:rsidR="00FF540D" w:rsidRPr="00BF48CB" w:rsidRDefault="00FF540D" w:rsidP="00697D7A">
      <w:pPr>
        <w:pStyle w:val="ListParagraph"/>
        <w:numPr>
          <w:ilvl w:val="1"/>
          <w:numId w:val="25"/>
        </w:numPr>
        <w:ind w:left="709" w:hanging="851"/>
        <w:jc w:val="both"/>
        <w:rPr>
          <w:color w:val="000000"/>
        </w:rPr>
      </w:pPr>
      <w:bookmarkStart w:id="27" w:name="_Hlk120004632"/>
      <w:r w:rsidRPr="006A1B85">
        <w:rPr>
          <w:color w:val="000000"/>
        </w:rPr>
        <w:t>Whil</w:t>
      </w:r>
      <w:r w:rsidR="00C044A5">
        <w:rPr>
          <w:color w:val="000000"/>
        </w:rPr>
        <w:t>e</w:t>
      </w:r>
      <w:r w:rsidRPr="006A1B85">
        <w:rPr>
          <w:color w:val="000000"/>
        </w:rPr>
        <w:t xml:space="preserve"> protecting fairness in sports </w:t>
      </w:r>
      <w:r w:rsidR="00FF75B3">
        <w:rPr>
          <w:color w:val="000000"/>
        </w:rPr>
        <w:t>may be considered</w:t>
      </w:r>
      <w:r w:rsidR="00FF75B3" w:rsidRPr="006A1B85">
        <w:rPr>
          <w:color w:val="000000"/>
        </w:rPr>
        <w:t xml:space="preserve"> </w:t>
      </w:r>
      <w:r w:rsidRPr="006A1B85">
        <w:rPr>
          <w:color w:val="000000"/>
        </w:rPr>
        <w:t>a legitimate general interest, in determining whether the State has abided by its obligation</w:t>
      </w:r>
      <w:r>
        <w:rPr>
          <w:color w:val="000000"/>
        </w:rPr>
        <w:t>s under the convention</w:t>
      </w:r>
      <w:r w:rsidRPr="006A1B85">
        <w:rPr>
          <w:color w:val="000000"/>
        </w:rPr>
        <w:t xml:space="preserve">, the </w:t>
      </w:r>
      <w:r w:rsidRPr="00256B8E">
        <w:rPr>
          <w:color w:val="000000"/>
        </w:rPr>
        <w:t>ECtHR</w:t>
      </w:r>
      <w:r w:rsidR="00061303">
        <w:rPr>
          <w:color w:val="000000"/>
        </w:rPr>
        <w:t>, particularly with regard to Articles 8</w:t>
      </w:r>
      <w:r w:rsidR="003F234B">
        <w:rPr>
          <w:rStyle w:val="FootnoteReference"/>
          <w:color w:val="000000"/>
        </w:rPr>
        <w:footnoteReference w:id="49"/>
      </w:r>
      <w:r w:rsidR="00061303">
        <w:rPr>
          <w:color w:val="000000"/>
        </w:rPr>
        <w:t xml:space="preserve"> and 14 ECHR,</w:t>
      </w:r>
      <w:r w:rsidRPr="00256B8E">
        <w:rPr>
          <w:color w:val="000000"/>
        </w:rPr>
        <w:t xml:space="preserve"> </w:t>
      </w:r>
      <w:r w:rsidRPr="006A1B85">
        <w:rPr>
          <w:color w:val="000000"/>
        </w:rPr>
        <w:t xml:space="preserve">will determine whether a fair balance was struck </w:t>
      </w:r>
      <w:r w:rsidRPr="008E2F56">
        <w:rPr>
          <w:color w:val="000000"/>
        </w:rPr>
        <w:t>between the competing interests of the individual and the community as a whole, taking into account the margin of appreciation enjoyed by the State.</w:t>
      </w:r>
      <w:r w:rsidR="007B1C01">
        <w:rPr>
          <w:rStyle w:val="FootnoteReference"/>
          <w:color w:val="000000"/>
        </w:rPr>
        <w:footnoteReference w:id="50"/>
      </w:r>
      <w:r w:rsidR="005F61D7" w:rsidRPr="008E2F56">
        <w:rPr>
          <w:color w:val="000000"/>
        </w:rPr>
        <w:t xml:space="preserve"> </w:t>
      </w:r>
      <w:r w:rsidR="003F251F" w:rsidRPr="008E2F56">
        <w:rPr>
          <w:color w:val="000000"/>
        </w:rPr>
        <w:t>The</w:t>
      </w:r>
      <w:r w:rsidR="003F251F">
        <w:rPr>
          <w:color w:val="000000"/>
        </w:rPr>
        <w:t xml:space="preserve"> Court</w:t>
      </w:r>
      <w:r w:rsidR="003F251F" w:rsidRPr="008E2F56">
        <w:rPr>
          <w:color w:val="000000"/>
        </w:rPr>
        <w:t xml:space="preserve"> </w:t>
      </w:r>
      <w:r w:rsidR="005F61D7" w:rsidRPr="008E2F56">
        <w:rPr>
          <w:color w:val="000000"/>
        </w:rPr>
        <w:t xml:space="preserve">will also </w:t>
      </w:r>
      <w:r w:rsidR="00EC595F" w:rsidRPr="008E2F56">
        <w:rPr>
          <w:color w:val="000000"/>
        </w:rPr>
        <w:t xml:space="preserve">determine whether </w:t>
      </w:r>
      <w:r w:rsidR="003F251F">
        <w:rPr>
          <w:color w:val="000000"/>
        </w:rPr>
        <w:t xml:space="preserve">those </w:t>
      </w:r>
      <w:r w:rsidR="00EC595F" w:rsidRPr="00BF48CB">
        <w:rPr>
          <w:color w:val="000000"/>
        </w:rPr>
        <w:t>actions by the State that have a discriminatory effect</w:t>
      </w:r>
      <w:r w:rsidR="00BF48CB">
        <w:rPr>
          <w:color w:val="000000"/>
        </w:rPr>
        <w:t>,</w:t>
      </w:r>
      <w:r w:rsidR="00EC595F" w:rsidRPr="00BF48CB">
        <w:rPr>
          <w:color w:val="000000"/>
        </w:rPr>
        <w:t xml:space="preserve"> </w:t>
      </w:r>
      <w:r w:rsidR="00F164D7" w:rsidRPr="00BF48CB">
        <w:rPr>
          <w:color w:val="000000"/>
        </w:rPr>
        <w:t>have an objective and reasonable justification.</w:t>
      </w:r>
      <w:r w:rsidRPr="008E2F56">
        <w:t xml:space="preserve"> Therefore, </w:t>
      </w:r>
      <w:proofErr w:type="gramStart"/>
      <w:r w:rsidRPr="00BF48CB">
        <w:rPr>
          <w:color w:val="000000"/>
        </w:rPr>
        <w:t>disproportionate</w:t>
      </w:r>
      <w:proofErr w:type="gramEnd"/>
      <w:r w:rsidRPr="00BF48CB">
        <w:rPr>
          <w:color w:val="000000"/>
        </w:rPr>
        <w:t xml:space="preserve"> and arbitrary measures that deprive persons of participation in sports</w:t>
      </w:r>
      <w:r w:rsidR="007E575F" w:rsidRPr="00BF48CB">
        <w:rPr>
          <w:color w:val="000000"/>
        </w:rPr>
        <w:t xml:space="preserve"> without reasonable justification</w:t>
      </w:r>
      <w:r w:rsidRPr="00BF48CB">
        <w:rPr>
          <w:color w:val="000000"/>
        </w:rPr>
        <w:t xml:space="preserve"> may be more difficult to legally </w:t>
      </w:r>
      <w:r w:rsidR="00BE785D" w:rsidRPr="00BF48CB">
        <w:rPr>
          <w:color w:val="000000"/>
        </w:rPr>
        <w:t>sustain</w:t>
      </w:r>
      <w:r w:rsidRPr="00BF48CB">
        <w:rPr>
          <w:color w:val="000000"/>
        </w:rPr>
        <w:t>.</w:t>
      </w:r>
    </w:p>
    <w:bookmarkEnd w:id="27"/>
    <w:p w14:paraId="5FE97711" w14:textId="77777777" w:rsidR="0061248F" w:rsidRPr="008E2F56" w:rsidRDefault="0061248F" w:rsidP="00697D7A">
      <w:pPr>
        <w:pStyle w:val="ListParagraph"/>
        <w:ind w:left="709" w:hanging="851"/>
        <w:rPr>
          <w:color w:val="000000"/>
        </w:rPr>
      </w:pPr>
    </w:p>
    <w:p w14:paraId="0574546F" w14:textId="77777777" w:rsidR="00631A64" w:rsidRPr="00631A64" w:rsidRDefault="001C2C77" w:rsidP="00697D7A">
      <w:pPr>
        <w:pStyle w:val="ListParagraph"/>
        <w:numPr>
          <w:ilvl w:val="1"/>
          <w:numId w:val="25"/>
        </w:numPr>
        <w:ind w:left="709" w:hanging="851"/>
        <w:jc w:val="both"/>
        <w:rPr>
          <w:color w:val="000000"/>
        </w:rPr>
      </w:pPr>
      <w:r w:rsidRPr="008E2F56">
        <w:t xml:space="preserve">In addition to the protection of the ECHR, the </w:t>
      </w:r>
      <w:r w:rsidR="0061248F" w:rsidRPr="008E2F56">
        <w:t>Council of Europe’s Committee of Ministers</w:t>
      </w:r>
      <w:r w:rsidR="00A07577">
        <w:t xml:space="preserve"> has</w:t>
      </w:r>
      <w:r w:rsidR="0061248F" w:rsidRPr="008E2F56">
        <w:t xml:space="preserve"> </w:t>
      </w:r>
      <w:r w:rsidR="00DC55BF" w:rsidRPr="008E2F56">
        <w:t>adopted a recommendation on measures to combat discrimination on grounds of sexual orientation or gender identity.</w:t>
      </w:r>
      <w:r w:rsidR="00DC55BF" w:rsidRPr="008E2F56">
        <w:rPr>
          <w:rStyle w:val="FootnoteReference"/>
        </w:rPr>
        <w:footnoteReference w:id="51"/>
      </w:r>
      <w:r w:rsidR="00DC55BF" w:rsidRPr="008E2F56">
        <w:t xml:space="preserve"> </w:t>
      </w:r>
      <w:r w:rsidR="00D853B8" w:rsidRPr="008E2F56">
        <w:t>I</w:t>
      </w:r>
      <w:r w:rsidR="000042B0" w:rsidRPr="008E2F56">
        <w:t xml:space="preserve">n the context of the right to respect for private and family life, it requires </w:t>
      </w:r>
      <w:r w:rsidR="00EB5AB0" w:rsidRPr="008E2F56">
        <w:t>Member States to take appropriate measures to guarantee the full</w:t>
      </w:r>
      <w:r w:rsidR="00995426" w:rsidRPr="008E2F56">
        <w:t xml:space="preserve"> legal recognition of a person’s gender reassignment in all areas of life and to ensure</w:t>
      </w:r>
      <w:r w:rsidR="00EB5AB0" w:rsidRPr="008E2F56">
        <w:t xml:space="preserve"> </w:t>
      </w:r>
      <w:r w:rsidR="00995426" w:rsidRPr="008E2F56">
        <w:t>the corresponding recognition and changes by non-state actors with respect to key documents, such as educational or work certificates.</w:t>
      </w:r>
      <w:r w:rsidR="00995426" w:rsidRPr="008E2F56">
        <w:rPr>
          <w:rStyle w:val="FootnoteReference"/>
        </w:rPr>
        <w:footnoteReference w:id="52"/>
      </w:r>
      <w:r w:rsidR="007D581E" w:rsidRPr="008E2F56">
        <w:t xml:space="preserve"> </w:t>
      </w:r>
    </w:p>
    <w:p w14:paraId="5AD7E93C" w14:textId="77777777" w:rsidR="00631A64" w:rsidRDefault="00631A64" w:rsidP="00697D7A">
      <w:pPr>
        <w:pStyle w:val="ListParagraph"/>
        <w:ind w:left="709" w:hanging="851"/>
      </w:pPr>
    </w:p>
    <w:p w14:paraId="5B4BFDB3" w14:textId="6F9F7D5E" w:rsidR="008E6129" w:rsidRPr="00631A64" w:rsidRDefault="001546A0" w:rsidP="00697D7A">
      <w:pPr>
        <w:pStyle w:val="ListParagraph"/>
        <w:numPr>
          <w:ilvl w:val="1"/>
          <w:numId w:val="25"/>
        </w:numPr>
        <w:ind w:left="709" w:hanging="851"/>
        <w:rPr>
          <w:color w:val="000000"/>
        </w:rPr>
      </w:pPr>
      <w:r w:rsidRPr="008E2F56">
        <w:t>Th</w:t>
      </w:r>
      <w:r w:rsidR="00871C55" w:rsidRPr="008E2F56">
        <w:t>e Committee of Ministers also</w:t>
      </w:r>
      <w:r w:rsidRPr="008E2F56">
        <w:t xml:space="preserve"> </w:t>
      </w:r>
      <w:r w:rsidR="00871C55" w:rsidRPr="008E2F56">
        <w:t>expressly</w:t>
      </w:r>
      <w:r w:rsidRPr="008E2F56">
        <w:t xml:space="preserve"> refer to discrimination in the sporting context,</w:t>
      </w:r>
      <w:r w:rsidR="008E5DB8" w:rsidRPr="008E2F56">
        <w:t xml:space="preserve"> highlighting that </w:t>
      </w:r>
      <w:r w:rsidR="008A6716" w:rsidRPr="008E2F56">
        <w:t>“homophobia, transphobia and discrimination on grounds of sexual orientation or gender identity in sports are, like racism and other forms of discrimination, unacceptable and should be combated”.</w:t>
      </w:r>
      <w:r w:rsidR="008A6716" w:rsidRPr="008E2F56">
        <w:rPr>
          <w:rStyle w:val="FootnoteReference"/>
        </w:rPr>
        <w:footnoteReference w:id="53"/>
      </w:r>
      <w:r w:rsidRPr="008E2F56">
        <w:t xml:space="preserve"> </w:t>
      </w:r>
      <w:r w:rsidR="0033563F" w:rsidRPr="008E2F56">
        <w:t xml:space="preserve">It further confirms that “sport </w:t>
      </w:r>
      <w:r w:rsidR="00720CA4" w:rsidRPr="008E2F56">
        <w:t>activities and facilities should be open to all without discrimination on grounds of sexual orientation or gender</w:t>
      </w:r>
      <w:r w:rsidR="00720CA4" w:rsidRPr="00720CA4">
        <w:t xml:space="preserve"> identity”.</w:t>
      </w:r>
      <w:r w:rsidR="00720CA4" w:rsidRPr="00720CA4">
        <w:rPr>
          <w:rStyle w:val="FootnoteReference"/>
        </w:rPr>
        <w:footnoteReference w:id="54"/>
      </w:r>
      <w:r w:rsidR="00720CA4" w:rsidRPr="00720CA4">
        <w:t xml:space="preserve"> </w:t>
      </w:r>
    </w:p>
    <w:p w14:paraId="2145AE01" w14:textId="77777777" w:rsidR="00736BEA" w:rsidRDefault="00736BEA" w:rsidP="00DE44B5">
      <w:pPr>
        <w:pStyle w:val="ListParagraph"/>
        <w:rPr>
          <w:b/>
          <w:bCs/>
          <w:color w:val="000000"/>
        </w:rPr>
      </w:pPr>
    </w:p>
    <w:p w14:paraId="09C1825B" w14:textId="77777777" w:rsidR="00736BEA" w:rsidRDefault="00736BEA" w:rsidP="00DE44B5">
      <w:pPr>
        <w:pStyle w:val="ListParagraph"/>
        <w:rPr>
          <w:b/>
          <w:bCs/>
          <w:color w:val="000000"/>
        </w:rPr>
      </w:pPr>
    </w:p>
    <w:p w14:paraId="7350E457" w14:textId="782A4C64" w:rsidR="00285789" w:rsidRPr="005E27B7" w:rsidRDefault="00285789" w:rsidP="005E27B7">
      <w:pPr>
        <w:pStyle w:val="Heading2"/>
      </w:pPr>
      <w:bookmarkStart w:id="29" w:name="_Toc129693844"/>
      <w:r w:rsidRPr="005E27B7">
        <w:t>International Sporting Bodies</w:t>
      </w:r>
      <w:bookmarkEnd w:id="29"/>
    </w:p>
    <w:p w14:paraId="3EE931E7" w14:textId="77777777" w:rsidR="00285789" w:rsidRPr="00DE44B5" w:rsidRDefault="00285789" w:rsidP="00DE44B5">
      <w:pPr>
        <w:pStyle w:val="ListParagraph"/>
        <w:rPr>
          <w:color w:val="000000"/>
        </w:rPr>
      </w:pPr>
    </w:p>
    <w:p w14:paraId="2FC5CAF5" w14:textId="2EC9ACF9" w:rsidR="00BE586A" w:rsidRDefault="007C1620" w:rsidP="00697D7A">
      <w:pPr>
        <w:pStyle w:val="ListParagraph"/>
        <w:numPr>
          <w:ilvl w:val="1"/>
          <w:numId w:val="25"/>
        </w:numPr>
        <w:ind w:left="709" w:hanging="709"/>
        <w:jc w:val="both"/>
      </w:pPr>
      <w:r>
        <w:t>S</w:t>
      </w:r>
      <w:r w:rsidR="00574EB9" w:rsidRPr="00574EB9">
        <w:t>po</w:t>
      </w:r>
      <w:r w:rsidR="00C044A5">
        <w:t>r</w:t>
      </w:r>
      <w:r w:rsidR="00574EB9" w:rsidRPr="00574EB9">
        <w:t>ts regulation</w:t>
      </w:r>
      <w:r>
        <w:t xml:space="preserve"> and a</w:t>
      </w:r>
      <w:r w:rsidR="00574EB9" w:rsidRPr="00574EB9">
        <w:t>djudication exist</w:t>
      </w:r>
      <w:r w:rsidR="00F61B5F">
        <w:t>s</w:t>
      </w:r>
      <w:r w:rsidR="00574EB9" w:rsidRPr="00574EB9">
        <w:t xml:space="preserve"> at the national </w:t>
      </w:r>
      <w:r w:rsidR="00F61B5F">
        <w:t>and</w:t>
      </w:r>
      <w:r w:rsidR="00574EB9" w:rsidRPr="00574EB9">
        <w:t xml:space="preserve"> </w:t>
      </w:r>
      <w:r w:rsidR="000865C8">
        <w:t>inter</w:t>
      </w:r>
      <w:r w:rsidR="00574EB9" w:rsidRPr="00574EB9">
        <w:t>national level</w:t>
      </w:r>
      <w:r w:rsidR="00F61B5F">
        <w:t>s</w:t>
      </w:r>
      <w:r w:rsidR="00574EB9" w:rsidRPr="00574EB9">
        <w:t>, with the Court of Arbitration for Sport (CAS)</w:t>
      </w:r>
      <w:r w:rsidR="001122FC">
        <w:t xml:space="preserve"> acting as a</w:t>
      </w:r>
      <w:r w:rsidR="00574EB9" w:rsidRPr="00574EB9">
        <w:t xml:space="preserve"> transnational private</w:t>
      </w:r>
      <w:r w:rsidR="009E5FF3">
        <w:t xml:space="preserve"> </w:t>
      </w:r>
      <w:r w:rsidR="00574EB9" w:rsidRPr="00574EB9">
        <w:t>adjudication</w:t>
      </w:r>
      <w:r w:rsidR="001122FC">
        <w:t xml:space="preserve"> body.</w:t>
      </w:r>
      <w:r w:rsidR="0098587E" w:rsidRPr="0098587E">
        <w:t xml:space="preserve"> </w:t>
      </w:r>
      <w:r w:rsidR="006B621D">
        <w:t>Rules and decisions issued by these p</w:t>
      </w:r>
      <w:r w:rsidR="0098587E" w:rsidRPr="0098587E">
        <w:t>rivate sport</w:t>
      </w:r>
      <w:r w:rsidR="006B621D">
        <w:t>ing bodies</w:t>
      </w:r>
      <w:r w:rsidR="0098587E" w:rsidRPr="0098587E">
        <w:t xml:space="preserve"> </w:t>
      </w:r>
      <w:r w:rsidR="00A07577">
        <w:t xml:space="preserve">can </w:t>
      </w:r>
      <w:r w:rsidR="0098587E" w:rsidRPr="0098587E">
        <w:t>have an immense impact on the lives and careers of athletes</w:t>
      </w:r>
      <w:r w:rsidR="00C033A4">
        <w:t xml:space="preserve">, particularly at </w:t>
      </w:r>
      <w:r w:rsidR="00A07577">
        <w:t xml:space="preserve">the </w:t>
      </w:r>
      <w:r w:rsidR="00C033A4">
        <w:t>elite level.</w:t>
      </w:r>
      <w:r w:rsidR="00066036">
        <w:t xml:space="preserve"> However, being private bodies</w:t>
      </w:r>
      <w:r w:rsidR="00F67329">
        <w:t>, the</w:t>
      </w:r>
      <w:r w:rsidR="0098587E" w:rsidRPr="0098587E">
        <w:t xml:space="preserve"> democratic process</w:t>
      </w:r>
      <w:r w:rsidR="00F67329">
        <w:t>es</w:t>
      </w:r>
      <w:r w:rsidR="0098587E" w:rsidRPr="0098587E">
        <w:t xml:space="preserve"> </w:t>
      </w:r>
      <w:r w:rsidR="00FF06C6">
        <w:t xml:space="preserve">for forming rules and coming to decisions </w:t>
      </w:r>
      <w:r w:rsidR="00D841D1">
        <w:t>may not be</w:t>
      </w:r>
      <w:r w:rsidR="00FF06C6">
        <w:t xml:space="preserve"> subject to </w:t>
      </w:r>
      <w:r w:rsidR="00A07577">
        <w:t xml:space="preserve">the same </w:t>
      </w:r>
      <w:r w:rsidR="00FF06C6">
        <w:t>democratic state oversight</w:t>
      </w:r>
      <w:r w:rsidR="00007763">
        <w:t xml:space="preserve"> </w:t>
      </w:r>
      <w:r w:rsidR="002135EA">
        <w:t>or human rights law.</w:t>
      </w:r>
      <w:r w:rsidR="00117E44" w:rsidRPr="00117E44">
        <w:t xml:space="preserve"> </w:t>
      </w:r>
      <w:r w:rsidR="006E5715">
        <w:t>However, t</w:t>
      </w:r>
      <w:r w:rsidR="00117E44" w:rsidRPr="00117E44">
        <w:t xml:space="preserve">he ECtHR </w:t>
      </w:r>
      <w:r w:rsidR="002D41C0">
        <w:t>consider</w:t>
      </w:r>
      <w:r w:rsidR="009E5FF3">
        <w:t>s</w:t>
      </w:r>
      <w:r w:rsidR="002D41C0">
        <w:t xml:space="preserve"> </w:t>
      </w:r>
      <w:r w:rsidR="002D41C0" w:rsidRPr="002D41C0">
        <w:t>that the jurisdiction of the ECHR has been found to apply to CAS</w:t>
      </w:r>
      <w:r w:rsidR="002D41C0">
        <w:t xml:space="preserve"> proceedings</w:t>
      </w:r>
      <w:r w:rsidR="002D41C0" w:rsidRPr="002D41C0">
        <w:t xml:space="preserve">, </w:t>
      </w:r>
      <w:r w:rsidR="00327650">
        <w:t xml:space="preserve">at least </w:t>
      </w:r>
      <w:r w:rsidR="002D41C0" w:rsidRPr="002D41C0">
        <w:t xml:space="preserve">in the context of </w:t>
      </w:r>
      <w:r w:rsidR="00327650">
        <w:t>Article 6 ECHR</w:t>
      </w:r>
      <w:r w:rsidR="00117E44" w:rsidRPr="00117E44">
        <w:t>.</w:t>
      </w:r>
      <w:r w:rsidR="00117E44" w:rsidRPr="00117E44">
        <w:rPr>
          <w:vertAlign w:val="superscript"/>
        </w:rPr>
        <w:footnoteReference w:id="55"/>
      </w:r>
    </w:p>
    <w:p w14:paraId="1516247D" w14:textId="77777777" w:rsidR="00BE586A" w:rsidRDefault="00BE586A" w:rsidP="00697D7A">
      <w:pPr>
        <w:pStyle w:val="ListParagraph"/>
        <w:ind w:left="709" w:hanging="709"/>
        <w:jc w:val="both"/>
      </w:pPr>
    </w:p>
    <w:p w14:paraId="078936B5" w14:textId="09FDA759" w:rsidR="008502FD" w:rsidRPr="006B1DC6" w:rsidRDefault="002F0268" w:rsidP="00697D7A">
      <w:pPr>
        <w:pStyle w:val="ListParagraph"/>
        <w:numPr>
          <w:ilvl w:val="1"/>
          <w:numId w:val="25"/>
        </w:numPr>
        <w:ind w:left="709" w:hanging="709"/>
        <w:jc w:val="both"/>
      </w:pPr>
      <w:bookmarkStart w:id="30" w:name="_Hlk116251884"/>
      <w:r w:rsidRPr="006B1DC6">
        <w:t>It has been argued that d</w:t>
      </w:r>
      <w:r w:rsidR="00BB311E" w:rsidRPr="006B1DC6">
        <w:t>ifferences in bodily characteristics, training opportunities, nutrition, socioeconomic background, are common and almost intrinsically related to the world of professional sports</w:t>
      </w:r>
      <w:r w:rsidR="00DA0832" w:rsidRPr="006B1DC6">
        <w:t>.</w:t>
      </w:r>
      <w:r w:rsidR="00CE3648" w:rsidRPr="006B1DC6">
        <w:rPr>
          <w:rStyle w:val="FootnoteReference"/>
        </w:rPr>
        <w:footnoteReference w:id="56"/>
      </w:r>
      <w:r w:rsidR="00BE586A" w:rsidRPr="006B1DC6">
        <w:t> The difficulty for sports regulators is that the science is contested</w:t>
      </w:r>
      <w:r w:rsidR="009B2196" w:rsidRPr="006B1DC6">
        <w:rPr>
          <w:rStyle w:val="FootnoteReference"/>
        </w:rPr>
        <w:footnoteReference w:id="57"/>
      </w:r>
      <w:r w:rsidR="00BE586A" w:rsidRPr="006B1DC6">
        <w:t xml:space="preserve"> and people have very different ideas of what is 'fair' in this context</w:t>
      </w:r>
      <w:bookmarkEnd w:id="30"/>
      <w:r w:rsidR="00BE586A" w:rsidRPr="006B1DC6">
        <w:t>.</w:t>
      </w:r>
    </w:p>
    <w:p w14:paraId="52D48D1B" w14:textId="77777777" w:rsidR="00AF216D" w:rsidRDefault="00AF216D" w:rsidP="00E30879">
      <w:pPr>
        <w:pStyle w:val="ListParagraph"/>
        <w:ind w:left="0"/>
      </w:pPr>
    </w:p>
    <w:p w14:paraId="706E87B3" w14:textId="5D9B1901" w:rsidR="001777E7" w:rsidRDefault="008B4900" w:rsidP="00697D7A">
      <w:pPr>
        <w:pStyle w:val="ListParagraph"/>
        <w:numPr>
          <w:ilvl w:val="1"/>
          <w:numId w:val="25"/>
        </w:numPr>
        <w:ind w:left="709" w:hanging="709"/>
        <w:jc w:val="both"/>
      </w:pPr>
      <w:r>
        <w:t>In</w:t>
      </w:r>
      <w:r w:rsidRPr="0043705C">
        <w:t xml:space="preserve"> October 2020,</w:t>
      </w:r>
      <w:r>
        <w:t xml:space="preserve"> World Rugby</w:t>
      </w:r>
      <w:r w:rsidRPr="0043705C">
        <w:t xml:space="preserve"> published its Transgender Guideline</w:t>
      </w:r>
      <w:r>
        <w:t>s</w:t>
      </w:r>
      <w:r w:rsidR="001777E7">
        <w:t xml:space="preserve"> based on </w:t>
      </w:r>
      <w:r w:rsidR="00F9171F">
        <w:t>its own</w:t>
      </w:r>
      <w:r w:rsidR="001777E7">
        <w:t xml:space="preserve"> research</w:t>
      </w:r>
      <w:r w:rsidR="001777E7" w:rsidRPr="00EF5271">
        <w:t xml:space="preserve"> </w:t>
      </w:r>
      <w:r w:rsidR="00F9171F">
        <w:t>and literature review.</w:t>
      </w:r>
      <w:r w:rsidR="0034435F">
        <w:rPr>
          <w:rStyle w:val="FootnoteReference"/>
        </w:rPr>
        <w:footnoteReference w:id="58"/>
      </w:r>
      <w:r w:rsidR="00436202">
        <w:t xml:space="preserve"> This indicated </w:t>
      </w:r>
      <w:r w:rsidR="001777E7">
        <w:t xml:space="preserve">that </w:t>
      </w:r>
      <w:r w:rsidR="00CF3CFB">
        <w:t>“significant advantages for biological males remain after testosterone reduction”</w:t>
      </w:r>
      <w:r w:rsidR="00540BAB">
        <w:t xml:space="preserve">; however, it also recognised that </w:t>
      </w:r>
      <w:r w:rsidR="005B70FD">
        <w:t xml:space="preserve">there have been </w:t>
      </w:r>
      <w:r w:rsidR="00540BAB">
        <w:t>“no direct studies on trans women rugby players</w:t>
      </w:r>
      <w:r w:rsidR="005B70FD">
        <w:t>”.</w:t>
      </w:r>
      <w:r w:rsidR="005B70FD">
        <w:rPr>
          <w:rStyle w:val="FootnoteReference"/>
        </w:rPr>
        <w:footnoteReference w:id="59"/>
      </w:r>
      <w:r w:rsidR="00CF3CFB">
        <w:t xml:space="preserve"> </w:t>
      </w:r>
    </w:p>
    <w:p w14:paraId="5B58BF95" w14:textId="77777777" w:rsidR="001777E7" w:rsidRDefault="001777E7" w:rsidP="00697D7A">
      <w:pPr>
        <w:pStyle w:val="ListParagraph"/>
        <w:ind w:left="709" w:hanging="709"/>
      </w:pPr>
    </w:p>
    <w:p w14:paraId="740E842C" w14:textId="4F623AD2" w:rsidR="008B4900" w:rsidRDefault="001777E7" w:rsidP="00697D7A">
      <w:pPr>
        <w:pStyle w:val="ListParagraph"/>
        <w:numPr>
          <w:ilvl w:val="1"/>
          <w:numId w:val="25"/>
        </w:numPr>
        <w:ind w:left="709" w:hanging="709"/>
        <w:jc w:val="both"/>
      </w:pPr>
      <w:r>
        <w:t>The World Rugby Guidelines</w:t>
      </w:r>
      <w:r w:rsidR="00785B27">
        <w:t xml:space="preserve"> </w:t>
      </w:r>
      <w:r w:rsidR="002F1249">
        <w:t>state</w:t>
      </w:r>
      <w:r w:rsidR="008B4900" w:rsidRPr="0043705C">
        <w:t xml:space="preserve"> that </w:t>
      </w:r>
      <w:r w:rsidR="009C1518">
        <w:t>“</w:t>
      </w:r>
      <w:r w:rsidR="008B4900" w:rsidRPr="0043705C">
        <w:t>trans</w:t>
      </w:r>
      <w:r w:rsidR="008B4900">
        <w:t>gender</w:t>
      </w:r>
      <w:r w:rsidR="0073399E">
        <w:t xml:space="preserve"> </w:t>
      </w:r>
      <w:r w:rsidR="008B4900" w:rsidRPr="0043705C">
        <w:t xml:space="preserve">women who transitioned post-puberty </w:t>
      </w:r>
      <w:r w:rsidR="004F2E74">
        <w:t xml:space="preserve">and have experienced the biological effects of testosterone during puberty and adolescence </w:t>
      </w:r>
      <w:r w:rsidR="008B4900" w:rsidRPr="0043705C">
        <w:t>cannot currently play women's rugby</w:t>
      </w:r>
      <w:r w:rsidR="004F2E74">
        <w:t>”</w:t>
      </w:r>
      <w:r w:rsidR="009729E8">
        <w:t xml:space="preserve"> due, in part,</w:t>
      </w:r>
      <w:r w:rsidR="008B4900" w:rsidRPr="0043705C">
        <w:t xml:space="preserve"> </w:t>
      </w:r>
      <w:r w:rsidR="000B372E">
        <w:t>to</w:t>
      </w:r>
      <w:r w:rsidR="008B4900" w:rsidRPr="0043705C">
        <w:t xml:space="preserve"> the </w:t>
      </w:r>
      <w:r w:rsidR="000B372E">
        <w:t>“</w:t>
      </w:r>
      <w:r w:rsidR="008B4900" w:rsidRPr="0043705C">
        <w:t>resultant player welfare risks this creates</w:t>
      </w:r>
      <w:r w:rsidR="000B372E">
        <w:t>”</w:t>
      </w:r>
      <w:r w:rsidR="008B4900" w:rsidRPr="0043705C">
        <w:t>.</w:t>
      </w:r>
      <w:r w:rsidR="008B4900">
        <w:rPr>
          <w:rStyle w:val="FootnoteReference"/>
        </w:rPr>
        <w:footnoteReference w:id="60"/>
      </w:r>
      <w:r w:rsidR="008B4900">
        <w:t xml:space="preserve"> However, t</w:t>
      </w:r>
      <w:r w:rsidR="008B4900" w:rsidRPr="0043705C">
        <w:t>rans</w:t>
      </w:r>
      <w:r w:rsidR="008B4900">
        <w:t>gender</w:t>
      </w:r>
      <w:r w:rsidR="0073399E">
        <w:t xml:space="preserve"> </w:t>
      </w:r>
      <w:r w:rsidR="008B4900" w:rsidRPr="0043705C">
        <w:t xml:space="preserve">men may play men's rugby having provided </w:t>
      </w:r>
      <w:r w:rsidR="008B4900">
        <w:t>“</w:t>
      </w:r>
      <w:r w:rsidR="008B4900" w:rsidRPr="0040745C">
        <w:t>confirmation of physical ability</w:t>
      </w:r>
      <w:r w:rsidR="008B4900">
        <w:t>”</w:t>
      </w:r>
      <w:r w:rsidR="008B4900" w:rsidRPr="0043705C">
        <w:t xml:space="preserve"> but cannot play women's rugby after the process of sex reassignment has begun</w:t>
      </w:r>
      <w:r w:rsidR="008B4900">
        <w:t>,</w:t>
      </w:r>
      <w:r w:rsidR="008B4900" w:rsidRPr="0043705C">
        <w:t xml:space="preserve"> if this reassignment includes supplementation with testosterone.</w:t>
      </w:r>
      <w:r w:rsidR="008E58A0">
        <w:rPr>
          <w:rStyle w:val="FootnoteReference"/>
        </w:rPr>
        <w:footnoteReference w:id="61"/>
      </w:r>
    </w:p>
    <w:p w14:paraId="6BF18D7E" w14:textId="77777777" w:rsidR="008B4900" w:rsidRDefault="008B4900" w:rsidP="00697D7A">
      <w:pPr>
        <w:pStyle w:val="ListParagraph"/>
        <w:ind w:left="709" w:hanging="709"/>
      </w:pPr>
    </w:p>
    <w:p w14:paraId="76D98B20" w14:textId="23C72C4E" w:rsidR="007B1DA0" w:rsidRDefault="007B1DA0" w:rsidP="00697D7A">
      <w:pPr>
        <w:pStyle w:val="ListParagraph"/>
        <w:numPr>
          <w:ilvl w:val="1"/>
          <w:numId w:val="25"/>
        </w:numPr>
        <w:ind w:left="709" w:hanging="709"/>
        <w:jc w:val="both"/>
      </w:pPr>
      <w:r>
        <w:t>In 2021, the IOC published its Fram</w:t>
      </w:r>
      <w:r w:rsidR="00F93377">
        <w:t>e</w:t>
      </w:r>
      <w:r>
        <w:t>work on fairness, inclusion and non-discrimination on the basis of gender identity and sex variation</w:t>
      </w:r>
      <w:r w:rsidR="001E154C">
        <w:t>s</w:t>
      </w:r>
      <w:r w:rsidR="00F93377">
        <w:t xml:space="preserve"> (IOC Framework)</w:t>
      </w:r>
      <w:r w:rsidR="0068225E">
        <w:t>,</w:t>
      </w:r>
      <w:r w:rsidR="0029490F">
        <w:t xml:space="preserve"> which replaced its 2015 consensus statement</w:t>
      </w:r>
      <w:r w:rsidR="0068225E">
        <w:t>,</w:t>
      </w:r>
      <w:r w:rsidR="0029490F">
        <w:t xml:space="preserve"> </w:t>
      </w:r>
      <w:r w:rsidR="0068225E">
        <w:t>and</w:t>
      </w:r>
      <w:r w:rsidR="0041584A">
        <w:t xml:space="preserve"> is to be taken into account by internationa</w:t>
      </w:r>
      <w:r w:rsidR="0068225E">
        <w:t>l and other sports organisations in determining their eligibility rules for high-level competition.</w:t>
      </w:r>
      <w:r w:rsidR="0068225E">
        <w:rPr>
          <w:rStyle w:val="FootnoteReference"/>
        </w:rPr>
        <w:footnoteReference w:id="62"/>
      </w:r>
      <w:r w:rsidR="0068225E">
        <w:t xml:space="preserve"> </w:t>
      </w:r>
      <w:r w:rsidR="0096552E">
        <w:t xml:space="preserve">The framework </w:t>
      </w:r>
      <w:r w:rsidR="00E30879">
        <w:t xml:space="preserve">document </w:t>
      </w:r>
      <w:r w:rsidR="0096552E">
        <w:t>notes that i</w:t>
      </w:r>
      <w:r w:rsidR="009E4DBF">
        <w:t>t consulted</w:t>
      </w:r>
      <w:r w:rsidR="0096552E">
        <w:t xml:space="preserve"> </w:t>
      </w:r>
      <w:r w:rsidR="009E4DBF">
        <w:t xml:space="preserve">with </w:t>
      </w:r>
      <w:r w:rsidR="0096552E">
        <w:t xml:space="preserve">human rights, legal and medical experts. </w:t>
      </w:r>
    </w:p>
    <w:p w14:paraId="32649F90" w14:textId="77777777" w:rsidR="0013604B" w:rsidRDefault="0013604B" w:rsidP="00697D7A">
      <w:pPr>
        <w:pStyle w:val="ListParagraph"/>
        <w:ind w:left="709" w:hanging="709"/>
      </w:pPr>
    </w:p>
    <w:p w14:paraId="72FE7A3D" w14:textId="5ACD0721" w:rsidR="0088794E" w:rsidRDefault="0013604B" w:rsidP="00697D7A">
      <w:pPr>
        <w:pStyle w:val="ListParagraph"/>
        <w:numPr>
          <w:ilvl w:val="1"/>
          <w:numId w:val="25"/>
        </w:numPr>
        <w:ind w:left="709" w:hanging="709"/>
        <w:jc w:val="both"/>
      </w:pPr>
      <w:r>
        <w:t>The IOC fram</w:t>
      </w:r>
      <w:r w:rsidR="00F93377">
        <w:t xml:space="preserve">ework promotes inclusion as a key principle, </w:t>
      </w:r>
      <w:r w:rsidR="007D1B7A">
        <w:t>highlighting that “everyone, regardless of their gender identity, expression and/or sex variations should be able to participate in sport safely and without prejudice”.</w:t>
      </w:r>
      <w:r w:rsidR="007D1B7A">
        <w:rPr>
          <w:rStyle w:val="FootnoteReference"/>
        </w:rPr>
        <w:footnoteReference w:id="63"/>
      </w:r>
      <w:r w:rsidR="007D1B7A">
        <w:t xml:space="preserve"> </w:t>
      </w:r>
      <w:r w:rsidR="00D03775">
        <w:t>I</w:t>
      </w:r>
      <w:r w:rsidR="0088794E">
        <w:t>t</w:t>
      </w:r>
      <w:r w:rsidR="00D03775">
        <w:t xml:space="preserve"> further recommends that eligibility criteria are </w:t>
      </w:r>
      <w:r w:rsidR="00A37F20">
        <w:t>to be implemented in a manner that “does not systematically exclude athletes from competition based upon gender identity, physical appearance and/ or sex variations”.</w:t>
      </w:r>
      <w:r w:rsidR="00A37F20">
        <w:rPr>
          <w:rStyle w:val="FootnoteReference"/>
        </w:rPr>
        <w:footnoteReference w:id="64"/>
      </w:r>
    </w:p>
    <w:p w14:paraId="7AFE45BD" w14:textId="77777777" w:rsidR="0088794E" w:rsidRDefault="0088794E" w:rsidP="00697D7A">
      <w:pPr>
        <w:pStyle w:val="ListParagraph"/>
        <w:ind w:left="709" w:hanging="709"/>
      </w:pPr>
    </w:p>
    <w:p w14:paraId="5C92D731" w14:textId="2B8EA7BA" w:rsidR="008F12B4" w:rsidRDefault="00F63DC0" w:rsidP="00697D7A">
      <w:pPr>
        <w:pStyle w:val="ListParagraph"/>
        <w:numPr>
          <w:ilvl w:val="1"/>
          <w:numId w:val="25"/>
        </w:numPr>
        <w:ind w:left="709" w:hanging="709"/>
        <w:jc w:val="both"/>
      </w:pPr>
      <w:r>
        <w:t xml:space="preserve">The framework identifies </w:t>
      </w:r>
      <w:r w:rsidR="00E108E5">
        <w:t>“</w:t>
      </w:r>
      <w:r>
        <w:t>no presumption of advantage</w:t>
      </w:r>
      <w:r w:rsidR="00E108E5">
        <w:t>”</w:t>
      </w:r>
      <w:r w:rsidR="0052181F">
        <w:rPr>
          <w:rStyle w:val="FootnoteReference"/>
        </w:rPr>
        <w:footnoteReference w:id="65"/>
      </w:r>
      <w:r>
        <w:t xml:space="preserve"> </w:t>
      </w:r>
      <w:r w:rsidR="00D96747">
        <w:t xml:space="preserve">and that </w:t>
      </w:r>
      <w:r w:rsidR="007B5DB0">
        <w:t xml:space="preserve">any restrictions from eligibility criteria must </w:t>
      </w:r>
      <w:r w:rsidR="00355FA7">
        <w:t>be based on research that</w:t>
      </w:r>
      <w:r w:rsidR="008F12B4">
        <w:t>:</w:t>
      </w:r>
    </w:p>
    <w:p w14:paraId="08565DA7" w14:textId="77777777" w:rsidR="008F12B4" w:rsidRDefault="008F12B4" w:rsidP="00690FDB">
      <w:pPr>
        <w:pStyle w:val="ListParagraph"/>
      </w:pPr>
    </w:p>
    <w:p w14:paraId="06DA8384" w14:textId="5BF0A389" w:rsidR="00690FDB" w:rsidRDefault="008643B9" w:rsidP="001A21A6">
      <w:pPr>
        <w:pStyle w:val="ListParagraph"/>
        <w:numPr>
          <w:ilvl w:val="0"/>
          <w:numId w:val="24"/>
        </w:numPr>
        <w:ind w:right="502"/>
        <w:jc w:val="both"/>
      </w:pPr>
      <w:r>
        <w:t>“</w:t>
      </w:r>
      <w:r w:rsidR="00355FA7">
        <w:t xml:space="preserve">demonstrates a consistent, unfair, disproportionate competitive advantage </w:t>
      </w:r>
      <w:r w:rsidR="008F12B4">
        <w:t xml:space="preserve">in performance </w:t>
      </w:r>
      <w:r w:rsidR="00355FA7">
        <w:t xml:space="preserve">and/ or an unpreventable risk to </w:t>
      </w:r>
      <w:r w:rsidR="008F12B4">
        <w:t xml:space="preserve">the </w:t>
      </w:r>
      <w:r w:rsidR="00355FA7">
        <w:t>physical safety</w:t>
      </w:r>
      <w:r w:rsidR="008F12B4">
        <w:t xml:space="preserve"> of </w:t>
      </w:r>
      <w:r w:rsidR="00690FDB">
        <w:t>other athletes</w:t>
      </w:r>
      <w:r w:rsidR="00355FA7">
        <w:t>;</w:t>
      </w:r>
    </w:p>
    <w:p w14:paraId="06977208" w14:textId="71B00FB8" w:rsidR="0088794E" w:rsidRDefault="00B939CE" w:rsidP="001A21A6">
      <w:pPr>
        <w:pStyle w:val="ListParagraph"/>
        <w:numPr>
          <w:ilvl w:val="0"/>
          <w:numId w:val="24"/>
        </w:numPr>
        <w:ind w:right="502"/>
        <w:jc w:val="both"/>
      </w:pPr>
      <w:r>
        <w:t xml:space="preserve">is </w:t>
      </w:r>
      <w:r w:rsidR="00690FDB">
        <w:t xml:space="preserve">largely </w:t>
      </w:r>
      <w:r>
        <w:t xml:space="preserve">based on </w:t>
      </w:r>
      <w:r w:rsidR="00690FDB">
        <w:t>data collected from a demographic group that is consistent in gender and athletic engagement with the group that the eligibility criteria aim to regulate; and</w:t>
      </w:r>
    </w:p>
    <w:p w14:paraId="7BC89106" w14:textId="0BEDABFF" w:rsidR="00690FDB" w:rsidRDefault="00690FDB" w:rsidP="001A21A6">
      <w:pPr>
        <w:pStyle w:val="ListParagraph"/>
        <w:numPr>
          <w:ilvl w:val="0"/>
          <w:numId w:val="24"/>
        </w:numPr>
        <w:ind w:right="502"/>
        <w:jc w:val="both"/>
      </w:pPr>
      <w:r>
        <w:t>demonstrates that such disproportionate competitive advantage and/or unpreventable risk exists for the specific sport, discipline and event that the eligibility criteria aim to regulate.</w:t>
      </w:r>
      <w:r w:rsidR="008643B9">
        <w:t>”</w:t>
      </w:r>
      <w:r>
        <w:rPr>
          <w:rStyle w:val="FootnoteReference"/>
        </w:rPr>
        <w:footnoteReference w:id="66"/>
      </w:r>
    </w:p>
    <w:p w14:paraId="12BB52EC" w14:textId="00837053" w:rsidR="007B1DA0" w:rsidRDefault="007B1DA0" w:rsidP="00C1240F">
      <w:pPr>
        <w:pStyle w:val="ListParagraph"/>
      </w:pPr>
    </w:p>
    <w:p w14:paraId="0E8B29FC" w14:textId="77777777" w:rsidR="009E1F75" w:rsidRDefault="008D77FC" w:rsidP="009E1F75">
      <w:pPr>
        <w:pStyle w:val="ListParagraph"/>
        <w:numPr>
          <w:ilvl w:val="1"/>
          <w:numId w:val="25"/>
        </w:numPr>
        <w:ind w:left="709" w:hanging="709"/>
        <w:jc w:val="both"/>
      </w:pPr>
      <w:r>
        <w:t>I</w:t>
      </w:r>
      <w:r w:rsidR="00195890">
        <w:t xml:space="preserve">n June 2022, </w:t>
      </w:r>
      <w:r w:rsidR="00264895" w:rsidRPr="00824E43">
        <w:t>the</w:t>
      </w:r>
      <w:r w:rsidR="00422F19">
        <w:t xml:space="preserve"> </w:t>
      </w:r>
      <w:r w:rsidR="00C9009E" w:rsidRPr="00C9009E">
        <w:t>International Swimming Federation</w:t>
      </w:r>
      <w:r w:rsidR="008B2096" w:rsidRPr="00824E43">
        <w:t xml:space="preserve"> </w:t>
      </w:r>
      <w:r w:rsidR="00422F19">
        <w:t>(</w:t>
      </w:r>
      <w:r w:rsidR="008B2096" w:rsidRPr="00824E43">
        <w:t>FINA</w:t>
      </w:r>
      <w:r w:rsidR="00422F19">
        <w:t>)</w:t>
      </w:r>
      <w:r w:rsidR="00264895" w:rsidRPr="00824E43">
        <w:t xml:space="preserve"> announced a new policy on </w:t>
      </w:r>
      <w:r w:rsidR="003004F9">
        <w:t>eligibility for the men’s and women’s competition categories</w:t>
      </w:r>
      <w:r w:rsidR="00264895" w:rsidRPr="00824E43">
        <w:t>.</w:t>
      </w:r>
      <w:r w:rsidR="00264895" w:rsidRPr="00824E43">
        <w:rPr>
          <w:rStyle w:val="FootnoteReference"/>
        </w:rPr>
        <w:footnoteReference w:id="67"/>
      </w:r>
      <w:r w:rsidR="00264895" w:rsidRPr="00AF216D">
        <w:rPr>
          <w:color w:val="1F2432"/>
          <w:spacing w:val="-4"/>
          <w:shd w:val="clear" w:color="auto" w:fill="FFFFFF"/>
        </w:rPr>
        <w:t xml:space="preserve"> </w:t>
      </w:r>
      <w:r w:rsidR="00DA1DA4">
        <w:t xml:space="preserve">The new policy </w:t>
      </w:r>
      <w:r w:rsidR="004D6E08" w:rsidRPr="00824E43">
        <w:t xml:space="preserve">only permits </w:t>
      </w:r>
      <w:r w:rsidR="003F502F">
        <w:t>transgender women athletes</w:t>
      </w:r>
      <w:r w:rsidR="003F502F" w:rsidRPr="00824E43">
        <w:t xml:space="preserve"> </w:t>
      </w:r>
      <w:r w:rsidR="004D6E08" w:rsidRPr="00824E43">
        <w:t>who</w:t>
      </w:r>
      <w:r w:rsidR="000C54C2">
        <w:t xml:space="preserve"> have not experienced male puberty or who</w:t>
      </w:r>
      <w:r w:rsidR="004D6E08" w:rsidRPr="00824E43">
        <w:t xml:space="preserve"> transitioned before age 12 to compete in women’s events</w:t>
      </w:r>
      <w:r w:rsidR="000C54C2">
        <w:t>.</w:t>
      </w:r>
      <w:r w:rsidR="000C54C2">
        <w:rPr>
          <w:rStyle w:val="FootnoteReference"/>
        </w:rPr>
        <w:footnoteReference w:id="68"/>
      </w:r>
      <w:r w:rsidR="009869BF" w:rsidRPr="00824E43">
        <w:t xml:space="preserve"> </w:t>
      </w:r>
      <w:r w:rsidR="006A7F4E">
        <w:t>FINA has also</w:t>
      </w:r>
      <w:r w:rsidR="006A7F4E" w:rsidRPr="00824E43">
        <w:t xml:space="preserve"> </w:t>
      </w:r>
      <w:r w:rsidR="004D6E08" w:rsidRPr="00824E43">
        <w:t xml:space="preserve">proposed an open </w:t>
      </w:r>
      <w:r w:rsidR="0093330A">
        <w:t>event catego</w:t>
      </w:r>
      <w:r w:rsidR="00286A99">
        <w:t xml:space="preserve">ry for those athletes who do not meet the </w:t>
      </w:r>
      <w:r w:rsidR="00C24894">
        <w:t>criteria</w:t>
      </w:r>
      <w:r w:rsidR="00286A99">
        <w:t xml:space="preserve"> for the men’s or women’s categories</w:t>
      </w:r>
      <w:r w:rsidR="00E621A8">
        <w:t xml:space="preserve"> and</w:t>
      </w:r>
      <w:r w:rsidR="0065205F">
        <w:t xml:space="preserve"> </w:t>
      </w:r>
      <w:r w:rsidR="00E621A8">
        <w:t xml:space="preserve">has </w:t>
      </w:r>
      <w:r w:rsidR="00C24894">
        <w:t>committe</w:t>
      </w:r>
      <w:r w:rsidR="0065205F">
        <w:t>d</w:t>
      </w:r>
      <w:r w:rsidR="00C24894">
        <w:t xml:space="preserve"> to further work in determining the feasibility of </w:t>
      </w:r>
      <w:r w:rsidR="0065205F">
        <w:t xml:space="preserve">establishing </w:t>
      </w:r>
      <w:r w:rsidR="00C24894">
        <w:t xml:space="preserve">such a </w:t>
      </w:r>
      <w:r w:rsidR="004D6E08" w:rsidRPr="00824E43">
        <w:t>competition category.</w:t>
      </w:r>
      <w:r w:rsidR="00E621A8">
        <w:rPr>
          <w:rStyle w:val="FootnoteReference"/>
        </w:rPr>
        <w:footnoteReference w:id="69"/>
      </w:r>
      <w:r w:rsidR="009869BF" w:rsidRPr="00824E43">
        <w:t xml:space="preserve"> </w:t>
      </w:r>
    </w:p>
    <w:p w14:paraId="3B894D59" w14:textId="77777777" w:rsidR="009E1F75" w:rsidRDefault="009E1F75" w:rsidP="009E1F75">
      <w:pPr>
        <w:pStyle w:val="ListParagraph"/>
        <w:ind w:left="709"/>
        <w:jc w:val="both"/>
      </w:pPr>
    </w:p>
    <w:p w14:paraId="5D8E9454" w14:textId="0BD66910" w:rsidR="00684A93" w:rsidRDefault="009A1112" w:rsidP="009E1F75">
      <w:pPr>
        <w:pStyle w:val="ListParagraph"/>
        <w:numPr>
          <w:ilvl w:val="1"/>
          <w:numId w:val="25"/>
        </w:numPr>
        <w:ind w:left="709" w:hanging="709"/>
        <w:jc w:val="both"/>
      </w:pPr>
      <w:r>
        <w:t>O</w:t>
      </w:r>
      <w:r w:rsidR="001A4EE1" w:rsidRPr="00824E43">
        <w:t xml:space="preserve">ther sporting bodies </w:t>
      </w:r>
      <w:r>
        <w:t>are</w:t>
      </w:r>
      <w:r w:rsidR="001A4EE1" w:rsidRPr="00824E43">
        <w:t xml:space="preserve"> </w:t>
      </w:r>
      <w:r w:rsidR="008F6F7C">
        <w:t>reviewing</w:t>
      </w:r>
      <w:r w:rsidR="001A4EE1" w:rsidRPr="00824E43">
        <w:t xml:space="preserve"> their rules and </w:t>
      </w:r>
      <w:r w:rsidR="00824E43" w:rsidRPr="00824E43">
        <w:t>other</w:t>
      </w:r>
      <w:r>
        <w:t>s</w:t>
      </w:r>
      <w:r w:rsidR="00824E43" w:rsidRPr="00824E43">
        <w:t xml:space="preserve"> are likely to follow.</w:t>
      </w:r>
      <w:r w:rsidR="00D95988">
        <w:t xml:space="preserve"> For example</w:t>
      </w:r>
      <w:r w:rsidR="00A16BDE">
        <w:t>, the International Federation of Association</w:t>
      </w:r>
      <w:r w:rsidR="00C52678">
        <w:t xml:space="preserve"> Football</w:t>
      </w:r>
      <w:r w:rsidR="00645B20">
        <w:t xml:space="preserve"> </w:t>
      </w:r>
      <w:r w:rsidR="00824E43" w:rsidRPr="00824E43">
        <w:t xml:space="preserve">and World Athletics, the international governing body that covers track and field events, </w:t>
      </w:r>
      <w:r w:rsidR="00DF5D3A">
        <w:t xml:space="preserve">have both </w:t>
      </w:r>
      <w:r w:rsidR="00824E43" w:rsidRPr="00824E43">
        <w:t xml:space="preserve">also announced a review of their </w:t>
      </w:r>
      <w:r w:rsidR="00541699">
        <w:t>gender eligibility</w:t>
      </w:r>
      <w:r w:rsidR="00824E43" w:rsidRPr="00824E43">
        <w:t xml:space="preserve"> policy.</w:t>
      </w:r>
      <w:r w:rsidR="00112167">
        <w:rPr>
          <w:rStyle w:val="FootnoteReference"/>
        </w:rPr>
        <w:footnoteReference w:id="70"/>
      </w:r>
    </w:p>
    <w:p w14:paraId="10B3A142" w14:textId="77777777" w:rsidR="00E63D4E" w:rsidRDefault="00E63D4E" w:rsidP="00697D7A">
      <w:pPr>
        <w:pStyle w:val="ListParagraph"/>
        <w:ind w:left="709" w:hanging="709"/>
      </w:pPr>
    </w:p>
    <w:p w14:paraId="64C818F7" w14:textId="30F65390" w:rsidR="00227367" w:rsidRPr="002A1B50" w:rsidRDefault="00787136" w:rsidP="00697D7A">
      <w:pPr>
        <w:pStyle w:val="ListParagraph"/>
        <w:numPr>
          <w:ilvl w:val="1"/>
          <w:numId w:val="25"/>
        </w:numPr>
        <w:ind w:left="709" w:hanging="709"/>
        <w:jc w:val="both"/>
        <w:rPr>
          <w:color w:val="000000"/>
        </w:rPr>
      </w:pPr>
      <w:r>
        <w:t>From analysing the policies of the i</w:t>
      </w:r>
      <w:r w:rsidR="00C526B8">
        <w:t>nternational sporting bodies</w:t>
      </w:r>
      <w:r>
        <w:t>,</w:t>
      </w:r>
      <w:r w:rsidR="00FD014E">
        <w:t xml:space="preserve"> </w:t>
      </w:r>
      <w:r>
        <w:t xml:space="preserve">the focus is on </w:t>
      </w:r>
      <w:r w:rsidR="00886F04" w:rsidRPr="00886F04">
        <w:t xml:space="preserve">elite </w:t>
      </w:r>
      <w:r w:rsidR="00216BE2">
        <w:t xml:space="preserve">competitive </w:t>
      </w:r>
      <w:r w:rsidR="00886F04" w:rsidRPr="00886F04">
        <w:t>sport</w:t>
      </w:r>
      <w:r w:rsidR="00216BE2">
        <w:t>.</w:t>
      </w:r>
      <w:r w:rsidR="00886F04" w:rsidRPr="00886F04">
        <w:t xml:space="preserve"> As such, </w:t>
      </w:r>
      <w:r>
        <w:t>their policies</w:t>
      </w:r>
      <w:r w:rsidRPr="00886F04">
        <w:t xml:space="preserve"> </w:t>
      </w:r>
      <w:r w:rsidR="00886F04" w:rsidRPr="00886F04">
        <w:t xml:space="preserve">place a greater degree of emphasis on fairness, and anything that might confer disproportionate competitive advantage than </w:t>
      </w:r>
      <w:r>
        <w:t>would be</w:t>
      </w:r>
      <w:r w:rsidRPr="00886F04">
        <w:t xml:space="preserve"> </w:t>
      </w:r>
      <w:r w:rsidR="00886F04" w:rsidRPr="00886F04">
        <w:t xml:space="preserve">necessary at </w:t>
      </w:r>
      <w:r w:rsidR="00E51D34">
        <w:t xml:space="preserve">the </w:t>
      </w:r>
      <w:r w:rsidR="00886F04" w:rsidRPr="00886F04">
        <w:t>grassroots</w:t>
      </w:r>
      <w:r w:rsidR="00E51D34">
        <w:t xml:space="preserve"> level</w:t>
      </w:r>
      <w:r w:rsidR="00886F04" w:rsidRPr="00886F04">
        <w:t>.</w:t>
      </w:r>
      <w:r w:rsidR="00C843DA">
        <w:t xml:space="preserve"> </w:t>
      </w:r>
      <w:r w:rsidR="00502132" w:rsidRPr="00FD014E">
        <w:t xml:space="preserve">However, at both </w:t>
      </w:r>
      <w:r w:rsidR="00AD149B" w:rsidRPr="00FD014E">
        <w:t>elite and grassroots level, it</w:t>
      </w:r>
      <w:r w:rsidR="001F2156" w:rsidRPr="00FD014E">
        <w:t xml:space="preserve"> seems it</w:t>
      </w:r>
      <w:r w:rsidR="00AD149B" w:rsidRPr="00FD014E">
        <w:t xml:space="preserve"> </w:t>
      </w:r>
      <w:r w:rsidR="00881AC8" w:rsidRPr="00FD014E">
        <w:t xml:space="preserve">would be difficult to argue that a participant </w:t>
      </w:r>
      <w:r w:rsidR="00886F04" w:rsidRPr="00FD014E">
        <w:t>should be excluded</w:t>
      </w:r>
      <w:r w:rsidR="007B6025" w:rsidRPr="00FD014E">
        <w:t xml:space="preserve"> from participating in sport</w:t>
      </w:r>
      <w:r w:rsidR="00886F04" w:rsidRPr="00FD014E">
        <w:t xml:space="preserve"> without clear, robust and </w:t>
      </w:r>
      <w:r w:rsidR="00FA3971" w:rsidRPr="00FD014E">
        <w:t>specific</w:t>
      </w:r>
      <w:r w:rsidR="00886F04" w:rsidRPr="00FD014E">
        <w:t xml:space="preserve"> evidence that it is necessary to do so to ensure safety or fairness</w:t>
      </w:r>
      <w:r w:rsidR="00881AC8" w:rsidRPr="00FD014E">
        <w:t>.</w:t>
      </w:r>
    </w:p>
    <w:p w14:paraId="39CA89C7" w14:textId="4FDB3BB8" w:rsidR="002A1B50" w:rsidRPr="002A1B50" w:rsidRDefault="002A1B50" w:rsidP="002A1B50">
      <w:pPr>
        <w:jc w:val="both"/>
        <w:rPr>
          <w:color w:val="000000"/>
        </w:rPr>
      </w:pPr>
    </w:p>
    <w:p w14:paraId="260A2503" w14:textId="77777777" w:rsidR="0001599E" w:rsidRPr="006B239B" w:rsidRDefault="0001599E" w:rsidP="006B239B">
      <w:pPr>
        <w:jc w:val="both"/>
        <w:rPr>
          <w:color w:val="000000"/>
        </w:rPr>
      </w:pPr>
    </w:p>
    <w:p w14:paraId="6B72B14A" w14:textId="5DCCE8AD" w:rsidR="00B61AA8" w:rsidRPr="003540ED" w:rsidRDefault="003540ED" w:rsidP="00B57F7A">
      <w:pPr>
        <w:pStyle w:val="Heading1"/>
        <w:numPr>
          <w:ilvl w:val="0"/>
          <w:numId w:val="0"/>
        </w:numPr>
      </w:pPr>
      <w:bookmarkStart w:id="31" w:name="_Toc129693845"/>
      <w:r>
        <w:t xml:space="preserve">3.0 </w:t>
      </w:r>
      <w:r w:rsidR="00B15EDF" w:rsidRPr="003540ED">
        <w:t xml:space="preserve">Domestic </w:t>
      </w:r>
      <w:r w:rsidR="009124B9" w:rsidRPr="003540ED">
        <w:t>legal s</w:t>
      </w:r>
      <w:r w:rsidR="00B15EDF" w:rsidRPr="003540ED">
        <w:t>tandards</w:t>
      </w:r>
      <w:bookmarkEnd w:id="31"/>
      <w:r w:rsidR="00E11768" w:rsidRPr="003540ED">
        <w:t xml:space="preserve"> </w:t>
      </w:r>
    </w:p>
    <w:p w14:paraId="2A0863DD" w14:textId="77777777" w:rsidR="004B0C39" w:rsidRPr="004B0C39" w:rsidRDefault="004B0C39" w:rsidP="00B220E9">
      <w:pPr>
        <w:pStyle w:val="ListParagraph"/>
        <w:numPr>
          <w:ilvl w:val="0"/>
          <w:numId w:val="2"/>
        </w:numPr>
        <w:jc w:val="both"/>
        <w:rPr>
          <w:vanish/>
        </w:rPr>
      </w:pPr>
    </w:p>
    <w:p w14:paraId="1EEBD20E" w14:textId="77777777" w:rsidR="004B0C39" w:rsidRPr="004B0C39" w:rsidRDefault="004B0C39" w:rsidP="00B220E9">
      <w:pPr>
        <w:pStyle w:val="ListParagraph"/>
        <w:numPr>
          <w:ilvl w:val="0"/>
          <w:numId w:val="2"/>
        </w:numPr>
        <w:jc w:val="both"/>
        <w:rPr>
          <w:vanish/>
        </w:rPr>
      </w:pPr>
    </w:p>
    <w:p w14:paraId="32C56F6C" w14:textId="77777777" w:rsidR="0032066E" w:rsidRDefault="0032066E" w:rsidP="00B57F7A">
      <w:pPr>
        <w:pStyle w:val="Heading2"/>
      </w:pPr>
    </w:p>
    <w:p w14:paraId="5B50588D" w14:textId="4CC1BAFB" w:rsidR="005D389F" w:rsidRDefault="00A7033E" w:rsidP="00B57F7A">
      <w:pPr>
        <w:pStyle w:val="Heading2"/>
      </w:pPr>
      <w:bookmarkStart w:id="32" w:name="_Toc129693846"/>
      <w:r>
        <w:t xml:space="preserve">Relevant </w:t>
      </w:r>
      <w:r w:rsidR="001353E9">
        <w:t>NI equality</w:t>
      </w:r>
      <w:r w:rsidR="000D6B80">
        <w:t xml:space="preserve"> legislation</w:t>
      </w:r>
      <w:bookmarkEnd w:id="32"/>
    </w:p>
    <w:p w14:paraId="106EDC56" w14:textId="77777777" w:rsidR="00F412D2" w:rsidRDefault="00F412D2" w:rsidP="00E63D4E">
      <w:pPr>
        <w:jc w:val="both"/>
      </w:pPr>
      <w:bookmarkStart w:id="33" w:name="_Toc99286137"/>
    </w:p>
    <w:p w14:paraId="12479D28" w14:textId="003F1988" w:rsidR="00CA4C01" w:rsidRPr="007B22DA" w:rsidRDefault="00842FDC" w:rsidP="00BC1F2F">
      <w:pPr>
        <w:pStyle w:val="ListParagraph"/>
        <w:numPr>
          <w:ilvl w:val="1"/>
          <w:numId w:val="2"/>
        </w:numPr>
        <w:ind w:left="709" w:hanging="709"/>
        <w:jc w:val="both"/>
      </w:pPr>
      <w:r w:rsidRPr="007B22DA">
        <w:t>A significant p</w:t>
      </w:r>
      <w:r w:rsidR="00CE2883" w:rsidRPr="007B22DA">
        <w:t>art</w:t>
      </w:r>
      <w:r w:rsidRPr="007B22DA">
        <w:t xml:space="preserve"> of the </w:t>
      </w:r>
      <w:r w:rsidR="0006741F" w:rsidRPr="007B22DA">
        <w:t>legal framework protecting transgender rights</w:t>
      </w:r>
      <w:r w:rsidR="00E90EAB" w:rsidRPr="007B22DA">
        <w:t xml:space="preserve"> in NI</w:t>
      </w:r>
      <w:r w:rsidR="0006741F" w:rsidRPr="007B22DA">
        <w:t xml:space="preserve"> is found in </w:t>
      </w:r>
      <w:r w:rsidR="0026692C" w:rsidRPr="007B22DA">
        <w:t xml:space="preserve">the form of equality legislation. </w:t>
      </w:r>
      <w:r w:rsidR="00E90EAB" w:rsidRPr="007B22DA">
        <w:t>T</w:t>
      </w:r>
      <w:r w:rsidR="0006741F" w:rsidRPr="007B22DA">
        <w:t xml:space="preserve">he </w:t>
      </w:r>
      <w:r w:rsidR="00E17D1C" w:rsidRPr="007B22DA">
        <w:t>Sex Discrimination (Northern Ireland) Order 1976</w:t>
      </w:r>
      <w:r w:rsidR="00F412D2" w:rsidRPr="007B22DA">
        <w:t> </w:t>
      </w:r>
      <w:r w:rsidR="00A76C40" w:rsidRPr="007B22DA">
        <w:t xml:space="preserve">(SDO) </w:t>
      </w:r>
      <w:r w:rsidR="0006741F" w:rsidRPr="007B22DA">
        <w:t>prohibits</w:t>
      </w:r>
      <w:r w:rsidR="00F412D2" w:rsidRPr="007B22DA">
        <w:t xml:space="preserve"> </w:t>
      </w:r>
      <w:r w:rsidR="0006741F" w:rsidRPr="007B22DA">
        <w:t xml:space="preserve">discrimination </w:t>
      </w:r>
      <w:r w:rsidR="00F412D2" w:rsidRPr="007B22DA">
        <w:t xml:space="preserve">on the ground of sex in employment, education, and the provision of housing, goods, </w:t>
      </w:r>
      <w:r w:rsidR="002E5743" w:rsidRPr="007B22DA">
        <w:t>facilities,</w:t>
      </w:r>
      <w:r w:rsidR="00F412D2" w:rsidRPr="007B22DA">
        <w:t xml:space="preserve"> and services. </w:t>
      </w:r>
      <w:r w:rsidR="0006741F" w:rsidRPr="007B22DA">
        <w:t xml:space="preserve">The </w:t>
      </w:r>
      <w:r w:rsidR="009D5D97" w:rsidRPr="007B22DA">
        <w:t>SDO was amended in 2008</w:t>
      </w:r>
      <w:r w:rsidR="009D5D97" w:rsidRPr="007B22DA">
        <w:rPr>
          <w:rStyle w:val="FootnoteReference"/>
        </w:rPr>
        <w:footnoteReference w:id="71"/>
      </w:r>
      <w:r w:rsidR="009D5D97" w:rsidRPr="007B22DA">
        <w:t xml:space="preserve"> </w:t>
      </w:r>
      <w:r w:rsidR="00F412D2" w:rsidRPr="007B22DA">
        <w:t xml:space="preserve">to </w:t>
      </w:r>
      <w:r w:rsidR="00E46D45" w:rsidRPr="007B22DA">
        <w:t>prohibit</w:t>
      </w:r>
      <w:r w:rsidR="00F412D2" w:rsidRPr="007B22DA">
        <w:t xml:space="preserve"> discrimination </w:t>
      </w:r>
      <w:r w:rsidR="00E46D45" w:rsidRPr="007B22DA">
        <w:t xml:space="preserve">on the grounds of gender </w:t>
      </w:r>
      <w:r w:rsidR="00D56F3C" w:rsidRPr="007B22DA">
        <w:t>re</w:t>
      </w:r>
      <w:r w:rsidR="00B80D9C" w:rsidRPr="007B22DA">
        <w:t>assignment</w:t>
      </w:r>
      <w:r w:rsidR="00E46D45" w:rsidRPr="007B22DA">
        <w:t xml:space="preserve"> </w:t>
      </w:r>
      <w:r w:rsidR="006B2F8D" w:rsidRPr="007B22DA">
        <w:t>in the provision of</w:t>
      </w:r>
      <w:r w:rsidR="00F412D2" w:rsidRPr="007B22DA">
        <w:t xml:space="preserve"> goods</w:t>
      </w:r>
      <w:r w:rsidR="006B2F8D" w:rsidRPr="007B22DA">
        <w:t xml:space="preserve">, </w:t>
      </w:r>
      <w:proofErr w:type="gramStart"/>
      <w:r w:rsidR="006B2F8D" w:rsidRPr="007B22DA">
        <w:t>facilities</w:t>
      </w:r>
      <w:proofErr w:type="gramEnd"/>
      <w:r w:rsidR="00F412D2" w:rsidRPr="007B22DA">
        <w:t xml:space="preserve"> or services</w:t>
      </w:r>
      <w:r w:rsidR="00331337" w:rsidRPr="007B22DA">
        <w:rPr>
          <w:rStyle w:val="FootnoteReference"/>
        </w:rPr>
        <w:footnoteReference w:id="72"/>
      </w:r>
      <w:r w:rsidR="00783B64" w:rsidRPr="007B22DA">
        <w:t xml:space="preserve"> </w:t>
      </w:r>
      <w:r w:rsidR="009D5D97" w:rsidRPr="007B22DA">
        <w:t xml:space="preserve">and again in </w:t>
      </w:r>
      <w:r w:rsidR="006B2F8D" w:rsidRPr="007B22DA">
        <w:t>2016</w:t>
      </w:r>
      <w:r w:rsidR="009D5D97" w:rsidRPr="007B22DA">
        <w:rPr>
          <w:rStyle w:val="FootnoteReference"/>
        </w:rPr>
        <w:footnoteReference w:id="73"/>
      </w:r>
      <w:r w:rsidR="006B2F8D" w:rsidRPr="007B22DA">
        <w:t xml:space="preserve"> to prohibit indirect discrimination.</w:t>
      </w:r>
      <w:r w:rsidR="00275CC9">
        <w:rPr>
          <w:rStyle w:val="FootnoteReference"/>
        </w:rPr>
        <w:footnoteReference w:id="74"/>
      </w:r>
      <w:r w:rsidR="006B2F8D" w:rsidRPr="007B22DA">
        <w:t xml:space="preserve"> </w:t>
      </w:r>
    </w:p>
    <w:p w14:paraId="1466E1E4" w14:textId="77777777" w:rsidR="00CA4C01" w:rsidRDefault="00CA4C01" w:rsidP="00CA4C01">
      <w:pPr>
        <w:pStyle w:val="ListParagraph"/>
        <w:ind w:left="709"/>
        <w:jc w:val="both"/>
      </w:pPr>
    </w:p>
    <w:p w14:paraId="2D093A52" w14:textId="094FE3B9" w:rsidR="006B2F8D" w:rsidRPr="006E3529" w:rsidRDefault="00DF20FD" w:rsidP="006E3529">
      <w:pPr>
        <w:pStyle w:val="ListParagraph"/>
        <w:numPr>
          <w:ilvl w:val="1"/>
          <w:numId w:val="2"/>
        </w:numPr>
        <w:ind w:left="709" w:hanging="709"/>
        <w:jc w:val="both"/>
      </w:pPr>
      <w:r>
        <w:t xml:space="preserve">Current legal protection </w:t>
      </w:r>
      <w:r w:rsidR="006B2F8D">
        <w:t xml:space="preserve">from unlawful discrimination under NI equality law </w:t>
      </w:r>
      <w:r>
        <w:t>only extends to “gender reassignment”, defined a</w:t>
      </w:r>
      <w:r w:rsidR="00CA4C01">
        <w:t>s “</w:t>
      </w:r>
      <w:r w:rsidR="00CD220E" w:rsidRPr="00CD220E">
        <w:t>a process which is undertaken under medical supervision for the purpose of reassigning a person's sex by changing physiological or other characteristics of sex, and includes any part of such a process</w:t>
      </w:r>
      <w:r w:rsidR="00CD220E">
        <w:t>”</w:t>
      </w:r>
      <w:r w:rsidR="0067053A">
        <w:t>.</w:t>
      </w:r>
      <w:r w:rsidR="0067053A">
        <w:rPr>
          <w:rStyle w:val="FootnoteReference"/>
        </w:rPr>
        <w:footnoteReference w:id="75"/>
      </w:r>
      <w:r w:rsidR="00425581" w:rsidRPr="00425581">
        <w:t xml:space="preserve"> </w:t>
      </w:r>
      <w:r w:rsidR="006B2F8D">
        <w:t xml:space="preserve">Therefore, </w:t>
      </w:r>
      <w:r w:rsidR="00BC1F2F">
        <w:t>t</w:t>
      </w:r>
      <w:r w:rsidR="007135DE" w:rsidRPr="007135DE">
        <w:t>ra</w:t>
      </w:r>
      <w:r w:rsidR="00BC1F2F">
        <w:t>nsgender persons</w:t>
      </w:r>
      <w:r w:rsidR="007135DE" w:rsidRPr="007135DE">
        <w:t xml:space="preserve"> are protected against unlawful discrimination on th</w:t>
      </w:r>
      <w:r w:rsidR="00CC136A">
        <w:t>e</w:t>
      </w:r>
      <w:r w:rsidR="007135DE" w:rsidRPr="007135DE">
        <w:t xml:space="preserve"> ground</w:t>
      </w:r>
      <w:r w:rsidR="00CC136A">
        <w:t xml:space="preserve"> of gender reassignment</w:t>
      </w:r>
      <w:r w:rsidR="007135DE" w:rsidRPr="007135DE">
        <w:t xml:space="preserve"> if they intend to undergo, are undergoing or have undergone gender reassignment. </w:t>
      </w:r>
    </w:p>
    <w:p w14:paraId="560F1EEC" w14:textId="77777777" w:rsidR="006B2F8D" w:rsidRDefault="006B2F8D" w:rsidP="006F0A20">
      <w:pPr>
        <w:pStyle w:val="ListParagraph"/>
      </w:pPr>
    </w:p>
    <w:p w14:paraId="629C666C" w14:textId="61583D93" w:rsidR="00C40A07" w:rsidRDefault="00B6618C" w:rsidP="00B6618C">
      <w:pPr>
        <w:pStyle w:val="ListParagraph"/>
        <w:numPr>
          <w:ilvl w:val="1"/>
          <w:numId w:val="2"/>
        </w:numPr>
        <w:ind w:left="709" w:hanging="709"/>
        <w:jc w:val="both"/>
      </w:pPr>
      <w:r>
        <w:t xml:space="preserve">The Equality Commission NI has </w:t>
      </w:r>
      <w:r w:rsidR="006B558B">
        <w:t xml:space="preserve">recommended </w:t>
      </w:r>
      <w:r w:rsidR="00AF7628">
        <w:t xml:space="preserve">that </w:t>
      </w:r>
      <w:r w:rsidRPr="00210DE7">
        <w:t>the definition of ‘gender reassignment’</w:t>
      </w:r>
      <w:r w:rsidR="008E403B">
        <w:t xml:space="preserve"> is amended</w:t>
      </w:r>
      <w:r w:rsidRPr="00210DE7">
        <w:t xml:space="preserve"> </w:t>
      </w:r>
      <w:r w:rsidR="00AF7628">
        <w:t>“</w:t>
      </w:r>
      <w:r w:rsidRPr="00210DE7">
        <w:t>so as to remove the requirement that a person undergoing gender reassignment must be under medical supervision</w:t>
      </w:r>
      <w:r w:rsidR="00AF7628">
        <w:t>”</w:t>
      </w:r>
      <w:r w:rsidRPr="00210DE7">
        <w:t xml:space="preserve"> and</w:t>
      </w:r>
      <w:r>
        <w:t xml:space="preserve"> </w:t>
      </w:r>
      <w:r w:rsidR="00AF7628">
        <w:t>“</w:t>
      </w:r>
      <w:r>
        <w:t>to</w:t>
      </w:r>
      <w:r w:rsidRPr="00210DE7">
        <w:t xml:space="preserve"> </w:t>
      </w:r>
      <w:proofErr w:type="gramStart"/>
      <w:r w:rsidRPr="00210DE7">
        <w:t>give consideration to</w:t>
      </w:r>
      <w:proofErr w:type="gramEnd"/>
      <w:r w:rsidRPr="00210DE7">
        <w:t xml:space="preserve"> prohibiting discrimination on the wider ground of ‘gender identity’, rather than the narrower ground of ‘gender reassignment’</w:t>
      </w:r>
      <w:r w:rsidR="00AF7628">
        <w:t>”</w:t>
      </w:r>
      <w:r w:rsidR="002B7639">
        <w:t>.</w:t>
      </w:r>
      <w:r w:rsidR="002B7639">
        <w:rPr>
          <w:rStyle w:val="FootnoteReference"/>
        </w:rPr>
        <w:footnoteReference w:id="76"/>
      </w:r>
    </w:p>
    <w:p w14:paraId="6643C918" w14:textId="77777777" w:rsidR="00D00DD6" w:rsidRDefault="00D00DD6" w:rsidP="00B74CF4">
      <w:pPr>
        <w:jc w:val="both"/>
      </w:pPr>
    </w:p>
    <w:p w14:paraId="32706090" w14:textId="4726A38B" w:rsidR="00A37582" w:rsidRPr="00141ADA" w:rsidRDefault="00836412" w:rsidP="00254C9D">
      <w:pPr>
        <w:pStyle w:val="ListParagraph"/>
        <w:numPr>
          <w:ilvl w:val="1"/>
          <w:numId w:val="2"/>
        </w:numPr>
        <w:ind w:left="709" w:hanging="709"/>
        <w:jc w:val="both"/>
      </w:pPr>
      <w:r w:rsidRPr="00786CEA">
        <w:t>Art</w:t>
      </w:r>
      <w:r w:rsidR="005645D7" w:rsidRPr="00786CEA">
        <w:t>icle</w:t>
      </w:r>
      <w:r w:rsidRPr="00786CEA">
        <w:t xml:space="preserve"> 45</w:t>
      </w:r>
      <w:r w:rsidR="00636C48">
        <w:t>(1)</w:t>
      </w:r>
      <w:r w:rsidRPr="00786CEA">
        <w:t xml:space="preserve"> </w:t>
      </w:r>
      <w:r w:rsidR="00254C9D" w:rsidRPr="00786CEA">
        <w:t>SDO</w:t>
      </w:r>
      <w:r w:rsidR="00D9324B" w:rsidRPr="00786CEA">
        <w:t xml:space="preserve"> </w:t>
      </w:r>
      <w:bookmarkStart w:id="34" w:name="_Hlk119673397"/>
      <w:r w:rsidR="000E19AC">
        <w:t>permits</w:t>
      </w:r>
      <w:r w:rsidR="000E19AC" w:rsidRPr="00786CEA">
        <w:t xml:space="preserve"> </w:t>
      </w:r>
      <w:r w:rsidR="00A07D4D" w:rsidRPr="00786CEA">
        <w:t>single sex provision</w:t>
      </w:r>
      <w:r w:rsidR="00CD7049" w:rsidRPr="00786CEA">
        <w:t xml:space="preserve"> in relation to </w:t>
      </w:r>
      <w:r w:rsidR="00A10C9F">
        <w:t>“</w:t>
      </w:r>
      <w:r w:rsidR="00CD7049" w:rsidRPr="00786CEA">
        <w:t>any sport</w:t>
      </w:r>
      <w:bookmarkEnd w:id="34"/>
      <w:r w:rsidR="00CD7049" w:rsidRPr="00786CEA">
        <w:t>, game or other activity of a competitive nature where the physical strength, stamina or physique of the average woman puts her at a disadvantage to the average man</w:t>
      </w:r>
      <w:r w:rsidR="00A10C9F">
        <w:t>”</w:t>
      </w:r>
      <w:r w:rsidR="00883BB1" w:rsidRPr="00786CEA">
        <w:t>.</w:t>
      </w:r>
      <w:r w:rsidR="00291EAA">
        <w:t xml:space="preserve"> </w:t>
      </w:r>
      <w:r w:rsidR="00D01490">
        <w:t>Article 45(2)</w:t>
      </w:r>
      <w:r w:rsidR="003B2DD1">
        <w:t xml:space="preserve"> </w:t>
      </w:r>
      <w:r w:rsidR="008E7E5D">
        <w:t xml:space="preserve">permits </w:t>
      </w:r>
      <w:r w:rsidR="00CE2065">
        <w:t>the</w:t>
      </w:r>
      <w:r w:rsidR="00DF402E">
        <w:t xml:space="preserve"> </w:t>
      </w:r>
      <w:r w:rsidR="009C0960">
        <w:t xml:space="preserve">exclusion of </w:t>
      </w:r>
      <w:r w:rsidR="008E7E5D">
        <w:t xml:space="preserve">a transgender </w:t>
      </w:r>
      <w:r w:rsidR="002F7195">
        <w:t>woman</w:t>
      </w:r>
      <w:r w:rsidR="00917C31">
        <w:t xml:space="preserve"> from a </w:t>
      </w:r>
      <w:r w:rsidR="002048DF">
        <w:t xml:space="preserve">single sex competitive sport </w:t>
      </w:r>
      <w:r w:rsidR="000409AF" w:rsidRPr="00786CEA">
        <w:t>"</w:t>
      </w:r>
      <w:r w:rsidR="00883BB1" w:rsidRPr="00786CEA">
        <w:t>only if the discrimination is necessary to secure</w:t>
      </w:r>
      <w:r w:rsidR="00F87E84">
        <w:t>-</w:t>
      </w:r>
      <w:r w:rsidR="002372F3" w:rsidRPr="00786CEA">
        <w:t xml:space="preserve"> </w:t>
      </w:r>
      <w:r w:rsidR="000409AF" w:rsidRPr="00786CEA">
        <w:t xml:space="preserve">(a) </w:t>
      </w:r>
      <w:r w:rsidR="002372F3" w:rsidRPr="00786CEA">
        <w:t>fair competition</w:t>
      </w:r>
      <w:r w:rsidR="000409AF" w:rsidRPr="00786CEA">
        <w:t>,</w:t>
      </w:r>
      <w:r w:rsidR="002372F3" w:rsidRPr="00786CEA">
        <w:t xml:space="preserve"> or </w:t>
      </w:r>
      <w:r w:rsidR="000409AF" w:rsidRPr="00786CEA">
        <w:t xml:space="preserve">(b) the </w:t>
      </w:r>
      <w:r w:rsidR="002372F3" w:rsidRPr="00786CEA">
        <w:t>safety</w:t>
      </w:r>
      <w:r w:rsidR="000409AF" w:rsidRPr="00786CEA">
        <w:t xml:space="preserve"> of competitors</w:t>
      </w:r>
      <w:r w:rsidR="00F87E84">
        <w:t>, at such events”</w:t>
      </w:r>
      <w:r w:rsidR="002372F3" w:rsidRPr="00786CEA">
        <w:t>.</w:t>
      </w:r>
      <w:r w:rsidR="001805E2" w:rsidRPr="004055D1">
        <w:rPr>
          <w:highlight w:val="yellow"/>
        </w:rPr>
        <w:t xml:space="preserve"> </w:t>
      </w:r>
      <w:r w:rsidR="00254C9D" w:rsidRPr="004055D1">
        <w:rPr>
          <w:highlight w:val="yellow"/>
        </w:rPr>
        <w:t xml:space="preserve"> </w:t>
      </w:r>
    </w:p>
    <w:p w14:paraId="1C3547EF" w14:textId="77777777" w:rsidR="00A37582" w:rsidRDefault="00A37582" w:rsidP="002A1B50">
      <w:pPr>
        <w:pStyle w:val="ListParagraph"/>
      </w:pPr>
    </w:p>
    <w:p w14:paraId="6BC2D070" w14:textId="63FEC9FA" w:rsidR="00BD507B" w:rsidRDefault="00254C9D" w:rsidP="00BD507B">
      <w:pPr>
        <w:pStyle w:val="ListParagraph"/>
        <w:numPr>
          <w:ilvl w:val="1"/>
          <w:numId w:val="2"/>
        </w:numPr>
        <w:ind w:left="709" w:hanging="709"/>
        <w:jc w:val="both"/>
      </w:pPr>
      <w:r w:rsidRPr="000409AF">
        <w:t>The SDO</w:t>
      </w:r>
      <w:r w:rsidR="00FD014E">
        <w:t xml:space="preserve"> does </w:t>
      </w:r>
      <w:r w:rsidRPr="000409AF">
        <w:t xml:space="preserve">not </w:t>
      </w:r>
      <w:r w:rsidR="00FD014E">
        <w:t xml:space="preserve">expressly </w:t>
      </w:r>
      <w:r w:rsidRPr="000409AF">
        <w:t>prohibit a sports body or club from asking prospective participants in a sport a question about their birth sex or gender</w:t>
      </w:r>
      <w:r w:rsidR="0030554F" w:rsidRPr="000409AF">
        <w:t>,</w:t>
      </w:r>
      <w:r w:rsidRPr="000409AF">
        <w:t xml:space="preserve"> if it is needed for the specific purpose of determining whether the exception permitted by </w:t>
      </w:r>
      <w:r w:rsidR="00640168" w:rsidRPr="000409AF">
        <w:t>A</w:t>
      </w:r>
      <w:r w:rsidRPr="000409AF">
        <w:t>rticle 45</w:t>
      </w:r>
      <w:r w:rsidR="00356E85" w:rsidRPr="000409AF">
        <w:t xml:space="preserve"> </w:t>
      </w:r>
      <w:r w:rsidRPr="000409AF">
        <w:t>may be applied to that person. That exception may be applied to tran</w:t>
      </w:r>
      <w:r w:rsidR="005E19C2" w:rsidRPr="000409AF">
        <w:t>s</w:t>
      </w:r>
      <w:r w:rsidR="000409AF">
        <w:t>gender</w:t>
      </w:r>
      <w:r w:rsidR="005E19C2" w:rsidRPr="000409AF">
        <w:t xml:space="preserve"> persons</w:t>
      </w:r>
      <w:r w:rsidRPr="000409AF">
        <w:t xml:space="preserve"> in the case of certain competitive sports where it is necessary to secure fair competition or the safety of competitors.</w:t>
      </w:r>
      <w:bookmarkStart w:id="35" w:name="_Hlk111489275"/>
      <w:r w:rsidR="00665FB3" w:rsidRPr="000409AF">
        <w:rPr>
          <w:rFonts w:ascii="Arial" w:hAnsi="Arial" w:cs="Arial"/>
          <w:color w:val="002060"/>
        </w:rPr>
        <w:t xml:space="preserve"> </w:t>
      </w:r>
      <w:r w:rsidR="00EB40B3" w:rsidRPr="000409AF">
        <w:t xml:space="preserve">The law does not </w:t>
      </w:r>
      <w:r w:rsidR="00665FB3" w:rsidRPr="000409AF">
        <w:t xml:space="preserve">compel prospective participants in a sport to answer such questions. </w:t>
      </w:r>
      <w:r w:rsidR="00EB40B3" w:rsidRPr="000409AF">
        <w:t>However</w:t>
      </w:r>
      <w:r w:rsidR="00665FB3" w:rsidRPr="000409AF">
        <w:t xml:space="preserve">, a sports body or club may set its own policy requiring the provision of such information from individuals if it is done for the purpose of applying the </w:t>
      </w:r>
      <w:r w:rsidR="00EB40B3" w:rsidRPr="000409AF">
        <w:t>A</w:t>
      </w:r>
      <w:r w:rsidR="00665FB3" w:rsidRPr="000409AF">
        <w:t>rticle 45 exception</w:t>
      </w:r>
      <w:r w:rsidR="001B491B">
        <w:t>.</w:t>
      </w:r>
      <w:r w:rsidR="001B491B" w:rsidRPr="000409AF">
        <w:t xml:space="preserve"> </w:t>
      </w:r>
      <w:bookmarkEnd w:id="35"/>
    </w:p>
    <w:p w14:paraId="099B48C1" w14:textId="77777777" w:rsidR="003540ED" w:rsidRDefault="003540ED" w:rsidP="00A7033E">
      <w:pPr>
        <w:rPr>
          <w:b/>
          <w:bCs/>
        </w:rPr>
      </w:pPr>
    </w:p>
    <w:p w14:paraId="4BB1C8BB" w14:textId="18CB67B7" w:rsidR="00F849CF" w:rsidRDefault="00A7033E" w:rsidP="00B57F7A">
      <w:pPr>
        <w:pStyle w:val="Heading2"/>
      </w:pPr>
      <w:bookmarkStart w:id="36" w:name="_Toc129693847"/>
      <w:r>
        <w:t xml:space="preserve">Relevant Great Britain </w:t>
      </w:r>
      <w:r w:rsidR="00C24221">
        <w:t>e</w:t>
      </w:r>
      <w:r>
        <w:t xml:space="preserve">quality </w:t>
      </w:r>
      <w:r w:rsidR="00C24221">
        <w:t>l</w:t>
      </w:r>
      <w:r>
        <w:t>egislation</w:t>
      </w:r>
      <w:bookmarkEnd w:id="36"/>
    </w:p>
    <w:p w14:paraId="1CFDB58F" w14:textId="77777777" w:rsidR="00F849CF" w:rsidRPr="00A7033E" w:rsidRDefault="00F849CF" w:rsidP="00A7033E">
      <w:pPr>
        <w:rPr>
          <w:b/>
          <w:bCs/>
        </w:rPr>
      </w:pPr>
    </w:p>
    <w:p w14:paraId="21220C30" w14:textId="77777777" w:rsidR="00114903" w:rsidRDefault="00B74CF4" w:rsidP="007F5E39">
      <w:pPr>
        <w:pStyle w:val="ListParagraph"/>
        <w:numPr>
          <w:ilvl w:val="1"/>
          <w:numId w:val="2"/>
        </w:numPr>
        <w:ind w:left="709" w:hanging="709"/>
        <w:jc w:val="both"/>
      </w:pPr>
      <w:r>
        <w:t>In Britain, discrimination is prohibited by a single equality framework, t</w:t>
      </w:r>
      <w:r w:rsidRPr="00F412D2">
        <w:t>he </w:t>
      </w:r>
      <w:r w:rsidRPr="00FA471E">
        <w:t>Equality Act 2010</w:t>
      </w:r>
      <w:r>
        <w:t>.</w:t>
      </w:r>
      <w:r w:rsidR="00114903">
        <w:t xml:space="preserve"> This legislation does not apply to NI.</w:t>
      </w:r>
      <w:r>
        <w:t xml:space="preserve"> </w:t>
      </w:r>
    </w:p>
    <w:p w14:paraId="1E2713AF" w14:textId="77777777" w:rsidR="00114903" w:rsidRDefault="00114903" w:rsidP="00114903">
      <w:pPr>
        <w:pStyle w:val="ListParagraph"/>
        <w:ind w:left="709"/>
        <w:jc w:val="both"/>
      </w:pPr>
    </w:p>
    <w:p w14:paraId="7094E20C" w14:textId="77777777" w:rsidR="009E1F75" w:rsidRDefault="00B74CF4" w:rsidP="009E1F75">
      <w:pPr>
        <w:pStyle w:val="ListParagraph"/>
        <w:numPr>
          <w:ilvl w:val="1"/>
          <w:numId w:val="2"/>
        </w:numPr>
        <w:ind w:left="709" w:hanging="709"/>
        <w:jc w:val="both"/>
      </w:pPr>
      <w:r>
        <w:t>It also confirms “</w:t>
      </w:r>
      <w:r w:rsidRPr="00F412D2">
        <w:t>gender reassignment</w:t>
      </w:r>
      <w:r>
        <w:t>”</w:t>
      </w:r>
      <w:r w:rsidRPr="00F412D2">
        <w:t xml:space="preserve"> as a protected characteristic</w:t>
      </w:r>
      <w:r>
        <w:t>.</w:t>
      </w:r>
      <w:r>
        <w:rPr>
          <w:rStyle w:val="FootnoteReference"/>
        </w:rPr>
        <w:footnoteReference w:id="77"/>
      </w:r>
      <w:r>
        <w:t xml:space="preserve"> A person can claim the protection of this characteristic, “</w:t>
      </w:r>
      <w:r w:rsidRPr="00060D1B">
        <w:t>if the person is proposing to undergo, is undergoing or has undergone a process (or part of a process) for the purpose of reassigning the person's sex by changing physiological or other attributes of sex</w:t>
      </w:r>
      <w:r>
        <w:t>”.</w:t>
      </w:r>
      <w:r>
        <w:rPr>
          <w:rStyle w:val="FootnoteReference"/>
        </w:rPr>
        <w:footnoteReference w:id="78"/>
      </w:r>
      <w:r>
        <w:t xml:space="preserve"> The statutory guidance to the Act confirms that gender reassignment is a “personal process (that is, moving away from one’s birth sex to the preferred gender), rather than a medical process”.</w:t>
      </w:r>
      <w:r>
        <w:rPr>
          <w:rStyle w:val="FootnoteReference"/>
        </w:rPr>
        <w:footnoteReference w:id="79"/>
      </w:r>
      <w:r>
        <w:t xml:space="preserve"> It further confirms that the individual does not have to “undergo medical treatment in order to be protected”.</w:t>
      </w:r>
      <w:r>
        <w:rPr>
          <w:rStyle w:val="FootnoteReference"/>
        </w:rPr>
        <w:footnoteReference w:id="80"/>
      </w:r>
      <w:r w:rsidR="007F5E39">
        <w:t xml:space="preserve"> </w:t>
      </w:r>
    </w:p>
    <w:p w14:paraId="1AB0E9F0" w14:textId="77777777" w:rsidR="009E1F75" w:rsidRDefault="009E1F75" w:rsidP="009E1F75">
      <w:pPr>
        <w:pStyle w:val="ListParagraph"/>
      </w:pPr>
    </w:p>
    <w:p w14:paraId="73AC9397" w14:textId="77777777" w:rsidR="009E1F75" w:rsidRDefault="00D73FAF" w:rsidP="009E1F75">
      <w:pPr>
        <w:pStyle w:val="ListParagraph"/>
        <w:numPr>
          <w:ilvl w:val="1"/>
          <w:numId w:val="2"/>
        </w:numPr>
        <w:ind w:left="709" w:hanging="709"/>
        <w:jc w:val="both"/>
      </w:pPr>
      <w:r>
        <w:t>Section 195 of t</w:t>
      </w:r>
      <w:r w:rsidR="00FA6A4C">
        <w:t>he Equality Act</w:t>
      </w:r>
      <w:r w:rsidR="00AC52AF">
        <w:t xml:space="preserve"> 2010</w:t>
      </w:r>
      <w:r w:rsidR="005D75AD">
        <w:t xml:space="preserve"> </w:t>
      </w:r>
      <w:r w:rsidR="00477074">
        <w:t xml:space="preserve">sets out </w:t>
      </w:r>
      <w:r w:rsidR="00A041DA">
        <w:t>an exception</w:t>
      </w:r>
      <w:r w:rsidR="005D75AD" w:rsidRPr="009E1F75">
        <w:rPr>
          <w:rFonts w:ascii="Arial" w:hAnsi="Arial" w:cs="Arial"/>
          <w:color w:val="000000"/>
          <w:sz w:val="18"/>
          <w:szCs w:val="18"/>
          <w:shd w:val="clear" w:color="auto" w:fill="FFFFFF"/>
        </w:rPr>
        <w:t xml:space="preserve"> </w:t>
      </w:r>
      <w:r w:rsidR="00937738">
        <w:t xml:space="preserve">to the </w:t>
      </w:r>
      <w:r w:rsidR="00937738" w:rsidRPr="00937738">
        <w:t>participation of a trans</w:t>
      </w:r>
      <w:r w:rsidR="007F5E39">
        <w:t xml:space="preserve">gender </w:t>
      </w:r>
      <w:r w:rsidR="00937738" w:rsidRPr="00937738">
        <w:t>person as a competitor in a gender-affected activity</w:t>
      </w:r>
      <w:r w:rsidR="004E54F2">
        <w:t>.</w:t>
      </w:r>
      <w:r w:rsidR="008B0552">
        <w:t xml:space="preserve"> The</w:t>
      </w:r>
      <w:r w:rsidR="006140C8">
        <w:t xml:space="preserve"> Equality Act would not be contravened by excluding </w:t>
      </w:r>
      <w:r w:rsidR="001F6F98">
        <w:t xml:space="preserve">a </w:t>
      </w:r>
      <w:r w:rsidR="006140C8">
        <w:t xml:space="preserve">transgender </w:t>
      </w:r>
      <w:r w:rsidR="001F6F98">
        <w:t>person</w:t>
      </w:r>
      <w:r w:rsidR="009E6EB6">
        <w:t xml:space="preserve"> from a relevant</w:t>
      </w:r>
      <w:r w:rsidR="008D17B6">
        <w:t xml:space="preserve"> gender-affected</w:t>
      </w:r>
      <w:r w:rsidR="009E6EB6">
        <w:t xml:space="preserve"> </w:t>
      </w:r>
      <w:r w:rsidR="00900BFE">
        <w:t>activity</w:t>
      </w:r>
      <w:r w:rsidR="00937738" w:rsidRPr="00937738">
        <w:t xml:space="preserve"> if it is necessary to do so to secure</w:t>
      </w:r>
      <w:r w:rsidR="007F5E39">
        <w:t xml:space="preserve"> </w:t>
      </w:r>
      <w:r w:rsidR="009E6EB6">
        <w:t>“</w:t>
      </w:r>
      <w:r w:rsidR="004D5873">
        <w:t xml:space="preserve">(a) fair competition or (b) </w:t>
      </w:r>
      <w:r w:rsidR="00B87622">
        <w:t>the safety of competitors</w:t>
      </w:r>
      <w:r w:rsidR="009E6EB6">
        <w:t>”</w:t>
      </w:r>
      <w:r w:rsidR="00B87622">
        <w:t>.</w:t>
      </w:r>
      <w:r w:rsidR="009E6EB6">
        <w:rPr>
          <w:rStyle w:val="FootnoteReference"/>
        </w:rPr>
        <w:footnoteReference w:id="81"/>
      </w:r>
      <w:r w:rsidR="00E94648" w:rsidRPr="009E1F75">
        <w:rPr>
          <w:rFonts w:ascii="Arial" w:hAnsi="Arial" w:cs="Arial"/>
          <w:color w:val="000000"/>
          <w:sz w:val="18"/>
          <w:szCs w:val="18"/>
          <w:shd w:val="clear" w:color="auto" w:fill="FFFFFF"/>
        </w:rPr>
        <w:t xml:space="preserve"> </w:t>
      </w:r>
      <w:r w:rsidR="00E94648" w:rsidRPr="00E94648">
        <w:t>A gender-affected activity is</w:t>
      </w:r>
      <w:r w:rsidR="00E94648">
        <w:t xml:space="preserve"> defined as</w:t>
      </w:r>
      <w:r w:rsidR="00E94648" w:rsidRPr="00E94648">
        <w:t xml:space="preserve"> a </w:t>
      </w:r>
      <w:r w:rsidR="00900BFE">
        <w:t>“</w:t>
      </w:r>
      <w:r w:rsidR="00E94648" w:rsidRPr="00E94648">
        <w:t>sport, game or other activity of a competitive nature in circumstances in which the physical strength, stamina or physique of average persons of one sex would put them at a disadvantage compared to average persons of the other sex as competitors in events involving the activity</w:t>
      </w:r>
      <w:r w:rsidR="00900BFE">
        <w:t>”</w:t>
      </w:r>
      <w:r w:rsidR="00E94648" w:rsidRPr="00E94648">
        <w:t>.</w:t>
      </w:r>
      <w:r w:rsidR="00900BFE">
        <w:rPr>
          <w:rStyle w:val="FootnoteReference"/>
        </w:rPr>
        <w:footnoteReference w:id="82"/>
      </w:r>
    </w:p>
    <w:p w14:paraId="3EA6F69A" w14:textId="77777777" w:rsidR="009E1F75" w:rsidRDefault="009E1F75" w:rsidP="009E1F75">
      <w:pPr>
        <w:pStyle w:val="ListParagraph"/>
      </w:pPr>
    </w:p>
    <w:p w14:paraId="1E360428" w14:textId="0188AEF5" w:rsidR="00506635" w:rsidRPr="009E1F75" w:rsidRDefault="000B3C0C" w:rsidP="009E1F75">
      <w:pPr>
        <w:pStyle w:val="ListParagraph"/>
        <w:numPr>
          <w:ilvl w:val="1"/>
          <w:numId w:val="2"/>
        </w:numPr>
        <w:ind w:left="709" w:hanging="709"/>
        <w:jc w:val="both"/>
      </w:pPr>
      <w:r>
        <w:t xml:space="preserve">Julie </w:t>
      </w:r>
      <w:r w:rsidRPr="00264970">
        <w:t>Curtiss,</w:t>
      </w:r>
      <w:r w:rsidR="00314144" w:rsidRPr="00264970">
        <w:t xml:space="preserve"> a</w:t>
      </w:r>
      <w:r w:rsidR="00FC68B0" w:rsidRPr="000F728E">
        <w:t xml:space="preserve"> transgender rugby player</w:t>
      </w:r>
      <w:r w:rsidRPr="000F728E">
        <w:t>,</w:t>
      </w:r>
      <w:r w:rsidR="00FC68B0" w:rsidRPr="000F728E">
        <w:t xml:space="preserve"> </w:t>
      </w:r>
      <w:r w:rsidRPr="000F728E">
        <w:t>recently</w:t>
      </w:r>
      <w:r w:rsidR="00FC68B0" w:rsidRPr="000F728E">
        <w:t xml:space="preserve"> issued legal action</w:t>
      </w:r>
      <w:r w:rsidR="001D3915">
        <w:t xml:space="preserve"> against the Rugby Football Union (RFU)</w:t>
      </w:r>
      <w:r w:rsidR="00375ED5">
        <w:t>, claiming discrimination under section 7</w:t>
      </w:r>
      <w:r w:rsidR="00C02468">
        <w:t xml:space="preserve"> of </w:t>
      </w:r>
      <w:r w:rsidR="00375ED5" w:rsidRPr="00375ED5">
        <w:t>the Equality Act 2010</w:t>
      </w:r>
      <w:r w:rsidR="001D3915">
        <w:t xml:space="preserve">. The challenge will consider if her exclusion from the female category of contact rugby can be justified. </w:t>
      </w:r>
      <w:r w:rsidR="004244B5" w:rsidRPr="00264970">
        <w:t>The RFU</w:t>
      </w:r>
      <w:r w:rsidR="001D3915">
        <w:t>,</w:t>
      </w:r>
      <w:r w:rsidR="00FC68B0" w:rsidRPr="00FC68B0">
        <w:t xml:space="preserve"> in July</w:t>
      </w:r>
      <w:r w:rsidR="0003701A">
        <w:t xml:space="preserve"> 2022</w:t>
      </w:r>
      <w:r w:rsidR="001D3915">
        <w:t>,</w:t>
      </w:r>
      <w:r w:rsidR="00FC68B0" w:rsidRPr="00FC68B0">
        <w:t xml:space="preserve"> </w:t>
      </w:r>
      <w:r w:rsidR="00EA3C83">
        <w:t>updated it policy</w:t>
      </w:r>
      <w:r w:rsidR="00781A6C">
        <w:t xml:space="preserve"> which excludes tran</w:t>
      </w:r>
      <w:r w:rsidR="005838C1">
        <w:t>s</w:t>
      </w:r>
      <w:r w:rsidR="00781A6C">
        <w:t>gen</w:t>
      </w:r>
      <w:r w:rsidR="005838C1">
        <w:t>d</w:t>
      </w:r>
      <w:r w:rsidR="00781A6C">
        <w:t>er women from participating in contact rugby.</w:t>
      </w:r>
      <w:r w:rsidR="00781A6C">
        <w:rPr>
          <w:rStyle w:val="FootnoteReference"/>
        </w:rPr>
        <w:footnoteReference w:id="83"/>
      </w:r>
      <w:r w:rsidR="00EA3C83">
        <w:t xml:space="preserve"> </w:t>
      </w:r>
    </w:p>
    <w:p w14:paraId="05D79640" w14:textId="77777777" w:rsidR="0019781B" w:rsidRDefault="0019781B" w:rsidP="00B57F7A">
      <w:pPr>
        <w:pStyle w:val="Heading2"/>
      </w:pPr>
    </w:p>
    <w:p w14:paraId="2BC354EC" w14:textId="03BD078E" w:rsidR="00BD507B" w:rsidRPr="003F7A99" w:rsidRDefault="003F7A99" w:rsidP="00B57F7A">
      <w:pPr>
        <w:pStyle w:val="Heading2"/>
      </w:pPr>
      <w:bookmarkStart w:id="37" w:name="_Toc129693848"/>
      <w:r w:rsidRPr="003F7A99">
        <w:t>Gender Recognition</w:t>
      </w:r>
      <w:bookmarkEnd w:id="37"/>
      <w:r w:rsidRPr="003F7A99">
        <w:t xml:space="preserve"> </w:t>
      </w:r>
    </w:p>
    <w:p w14:paraId="5DE6D329" w14:textId="77777777" w:rsidR="003F7A99" w:rsidRDefault="003F7A99" w:rsidP="00BD507B">
      <w:pPr>
        <w:pStyle w:val="ListParagraph"/>
      </w:pPr>
    </w:p>
    <w:p w14:paraId="0B6EF8D2" w14:textId="4F69299C" w:rsidR="00D02A5C" w:rsidRDefault="00920CCE" w:rsidP="00BD507B">
      <w:pPr>
        <w:pStyle w:val="ListParagraph"/>
        <w:numPr>
          <w:ilvl w:val="1"/>
          <w:numId w:val="2"/>
        </w:numPr>
        <w:ind w:left="709" w:hanging="709"/>
        <w:jc w:val="both"/>
      </w:pPr>
      <w:r>
        <w:t>Th</w:t>
      </w:r>
      <w:r w:rsidRPr="00920CCE">
        <w:t>e </w:t>
      </w:r>
      <w:r w:rsidRPr="001B3F1C">
        <w:t>Gender Recognition Act 2004</w:t>
      </w:r>
      <w:r w:rsidRPr="00920CCE">
        <w:t> </w:t>
      </w:r>
      <w:r w:rsidR="00774EA8">
        <w:t>(GRA)</w:t>
      </w:r>
      <w:r w:rsidR="00A449D1">
        <w:t xml:space="preserve"> applies across the UK and</w:t>
      </w:r>
      <w:r w:rsidRPr="00920CCE">
        <w:t xml:space="preserve"> </w:t>
      </w:r>
      <w:r w:rsidR="003F7A99" w:rsidRPr="00920CCE">
        <w:t>grant</w:t>
      </w:r>
      <w:r w:rsidR="003F7A99">
        <w:t>s</w:t>
      </w:r>
      <w:r w:rsidR="003F7A99" w:rsidRPr="00920CCE">
        <w:t xml:space="preserve"> </w:t>
      </w:r>
      <w:r w:rsidRPr="00920CCE">
        <w:t>full legal recognition for transgender p</w:t>
      </w:r>
      <w:r w:rsidR="00AA6D58">
        <w:t>ersons</w:t>
      </w:r>
      <w:r w:rsidR="00A76C40">
        <w:t xml:space="preserve"> who have been issued with a full Gender Recognition Certificate</w:t>
      </w:r>
      <w:r w:rsidR="001D3AB5">
        <w:t xml:space="preserve"> (GRC)</w:t>
      </w:r>
      <w:r w:rsidR="00A76C40">
        <w:t>, subject to some exceptions</w:t>
      </w:r>
      <w:r w:rsidRPr="00920CCE">
        <w:t>.</w:t>
      </w:r>
      <w:r w:rsidR="00A76C40">
        <w:rPr>
          <w:rStyle w:val="FootnoteReference"/>
        </w:rPr>
        <w:footnoteReference w:id="84"/>
      </w:r>
      <w:r w:rsidRPr="00920CCE">
        <w:t xml:space="preserve"> </w:t>
      </w:r>
      <w:r w:rsidR="00774EA8">
        <w:t>T</w:t>
      </w:r>
      <w:r w:rsidRPr="00920CCE">
        <w:t xml:space="preserve">he </w:t>
      </w:r>
      <w:r w:rsidR="00774EA8">
        <w:t xml:space="preserve">UK </w:t>
      </w:r>
      <w:r w:rsidRPr="00920CCE">
        <w:t xml:space="preserve">gender recognition process does not require applicants to be post-operative. </w:t>
      </w:r>
      <w:r w:rsidR="00986F0D">
        <w:t>However,</w:t>
      </w:r>
      <w:r w:rsidR="0005426A">
        <w:t xml:space="preserve"> a</w:t>
      </w:r>
      <w:r w:rsidR="00496BC0">
        <w:t>pplicants</w:t>
      </w:r>
      <w:r w:rsidRPr="00920CCE">
        <w:t xml:space="preserve"> need </w:t>
      </w:r>
      <w:r w:rsidR="0005426A">
        <w:t xml:space="preserve">to </w:t>
      </w:r>
      <w:r w:rsidRPr="00920CCE">
        <w:t xml:space="preserve">demonstrate that they have </w:t>
      </w:r>
      <w:r w:rsidR="00397BCF">
        <w:t>been diagnosed with</w:t>
      </w:r>
      <w:r w:rsidR="00397BCF" w:rsidRPr="00920CCE">
        <w:t> </w:t>
      </w:r>
      <w:r w:rsidRPr="00A14F85">
        <w:t>gender dysphoria</w:t>
      </w:r>
      <w:r w:rsidRPr="00920CCE">
        <w:t xml:space="preserve">, have lived as </w:t>
      </w:r>
      <w:r w:rsidR="00652CA5">
        <w:t xml:space="preserve">their new gender </w:t>
      </w:r>
      <w:r w:rsidRPr="00920CCE">
        <w:t>for two years, and intend to continue doing so</w:t>
      </w:r>
      <w:r w:rsidR="00652CA5">
        <w:t>.</w:t>
      </w:r>
      <w:r w:rsidR="005E14BA">
        <w:rPr>
          <w:rStyle w:val="FootnoteReference"/>
        </w:rPr>
        <w:footnoteReference w:id="85"/>
      </w:r>
      <w:r w:rsidR="00652CA5">
        <w:t xml:space="preserve"> The</w:t>
      </w:r>
      <w:r w:rsidR="007A7433">
        <w:t xml:space="preserve"> process is recognised </w:t>
      </w:r>
      <w:r w:rsidR="00A37925" w:rsidRPr="00A37925">
        <w:t>through application to the </w:t>
      </w:r>
      <w:r w:rsidR="00A37925" w:rsidRPr="007A7433">
        <w:t>Gender Recognition Panel</w:t>
      </w:r>
      <w:r w:rsidR="00DF49B4">
        <w:t>.</w:t>
      </w:r>
      <w:r w:rsidR="00987527">
        <w:rPr>
          <w:rStyle w:val="FootnoteReference"/>
        </w:rPr>
        <w:footnoteReference w:id="86"/>
      </w:r>
      <w:r w:rsidR="00DE1D5D">
        <w:t xml:space="preserve"> </w:t>
      </w:r>
    </w:p>
    <w:p w14:paraId="3B4C3EF8" w14:textId="77777777" w:rsidR="00D02A5C" w:rsidRDefault="00D02A5C" w:rsidP="005052AE">
      <w:pPr>
        <w:pStyle w:val="ListParagraph"/>
      </w:pPr>
    </w:p>
    <w:p w14:paraId="5D08A3D5" w14:textId="36D4F022" w:rsidR="00DE1D5D" w:rsidRDefault="002165A6" w:rsidP="00BD507B">
      <w:pPr>
        <w:pStyle w:val="ListParagraph"/>
        <w:numPr>
          <w:ilvl w:val="1"/>
          <w:numId w:val="2"/>
        </w:numPr>
        <w:ind w:left="709" w:hanging="709"/>
        <w:jc w:val="both"/>
      </w:pPr>
      <w:r>
        <w:t xml:space="preserve">The </w:t>
      </w:r>
      <w:r w:rsidR="00774EA8">
        <w:t xml:space="preserve">GRA </w:t>
      </w:r>
      <w:r>
        <w:t>make</w:t>
      </w:r>
      <w:r w:rsidR="005052AE">
        <w:t>s</w:t>
      </w:r>
      <w:r>
        <w:t xml:space="preserve"> provision specifically for</w:t>
      </w:r>
      <w:r w:rsidR="00BA4642" w:rsidRPr="00BA4642">
        <w:t xml:space="preserve"> gender-affected</w:t>
      </w:r>
      <w:r>
        <w:t xml:space="preserve"> sport</w:t>
      </w:r>
      <w:r w:rsidR="00D417D9">
        <w:t xml:space="preserve">. </w:t>
      </w:r>
      <w:r w:rsidR="00D417D9" w:rsidRPr="00D417D9">
        <w:t xml:space="preserve">A sport is a gender-affected sport if the physical strength, </w:t>
      </w:r>
      <w:proofErr w:type="gramStart"/>
      <w:r w:rsidR="00D417D9" w:rsidRPr="00D417D9">
        <w:t>stamina</w:t>
      </w:r>
      <w:proofErr w:type="gramEnd"/>
      <w:r w:rsidR="00D417D9" w:rsidRPr="00D417D9">
        <w:t xml:space="preserve"> or physique of average persons of one gender would put them at a disadvantage to average persons of the other gender as competitors in events involving the sport</w:t>
      </w:r>
      <w:r w:rsidR="006610B2">
        <w:t>.</w:t>
      </w:r>
      <w:r w:rsidR="005052AE">
        <w:t xml:space="preserve"> </w:t>
      </w:r>
      <w:r w:rsidR="006610B2">
        <w:t>The GRA</w:t>
      </w:r>
      <w:r w:rsidR="00EE7B15">
        <w:t xml:space="preserve"> allows sporting bodies to</w:t>
      </w:r>
      <w:r>
        <w:t xml:space="preserve"> </w:t>
      </w:r>
      <w:r w:rsidR="00EE7B15" w:rsidRPr="00EE7B15">
        <w:t>restrict the participation of persons whose gender has become the acquired gender under th</w:t>
      </w:r>
      <w:r w:rsidR="004B5659">
        <w:t>e</w:t>
      </w:r>
      <w:r w:rsidR="00EE7B15" w:rsidRPr="00EE7B15">
        <w:t xml:space="preserve"> Act</w:t>
      </w:r>
      <w:r w:rsidR="00774EA8">
        <w:t>,</w:t>
      </w:r>
      <w:r w:rsidR="004B5659">
        <w:t xml:space="preserve"> if this </w:t>
      </w:r>
      <w:r w:rsidR="004B5659" w:rsidRPr="004B5659">
        <w:t>is necessary to secure</w:t>
      </w:r>
      <w:r w:rsidR="00F06734">
        <w:t xml:space="preserve"> fair competition or safety.</w:t>
      </w:r>
      <w:r w:rsidR="00F06734">
        <w:rPr>
          <w:rStyle w:val="FootnoteReference"/>
        </w:rPr>
        <w:footnoteReference w:id="87"/>
      </w:r>
      <w:r w:rsidR="00590411">
        <w:t xml:space="preserve"> This section was repealed for England, </w:t>
      </w:r>
      <w:proofErr w:type="gramStart"/>
      <w:r w:rsidR="00590411">
        <w:t>Scotland</w:t>
      </w:r>
      <w:proofErr w:type="gramEnd"/>
      <w:r w:rsidR="00590411">
        <w:t xml:space="preserve"> and Wales by the Equality Act 2010.</w:t>
      </w:r>
      <w:r w:rsidR="00590411">
        <w:rPr>
          <w:rStyle w:val="FootnoteReference"/>
        </w:rPr>
        <w:footnoteReference w:id="88"/>
      </w:r>
      <w:r w:rsidR="00590411">
        <w:t xml:space="preserve"> </w:t>
      </w:r>
    </w:p>
    <w:p w14:paraId="2F821851" w14:textId="77777777" w:rsidR="00DE1D5D" w:rsidRDefault="00DE1D5D" w:rsidP="00DE1D5D">
      <w:pPr>
        <w:pStyle w:val="ListParagraph"/>
      </w:pPr>
    </w:p>
    <w:p w14:paraId="0596AA20" w14:textId="58711BD4" w:rsidR="000409AF" w:rsidRDefault="004A39D9" w:rsidP="009E1F75">
      <w:pPr>
        <w:pStyle w:val="ListParagraph"/>
        <w:numPr>
          <w:ilvl w:val="1"/>
          <w:numId w:val="2"/>
        </w:numPr>
        <w:ind w:left="709" w:hanging="709"/>
        <w:jc w:val="both"/>
      </w:pPr>
      <w:r>
        <w:t xml:space="preserve">The </w:t>
      </w:r>
      <w:r w:rsidR="00774EA8">
        <w:t xml:space="preserve">GRA </w:t>
      </w:r>
      <w:r>
        <w:t xml:space="preserve">also </w:t>
      </w:r>
      <w:r w:rsidR="00230859" w:rsidRPr="00230859">
        <w:t>ensure</w:t>
      </w:r>
      <w:r w:rsidR="00774EA8">
        <w:t>s</w:t>
      </w:r>
      <w:r w:rsidR="00230859" w:rsidRPr="00230859">
        <w:t xml:space="preserve"> that a trans</w:t>
      </w:r>
      <w:r w:rsidR="000409AF">
        <w:t>gender</w:t>
      </w:r>
      <w:r w:rsidR="00230859" w:rsidRPr="00230859">
        <w:t xml:space="preserve"> person has a right to confidentiality over their trans</w:t>
      </w:r>
      <w:r w:rsidR="000409AF">
        <w:t>gender</w:t>
      </w:r>
      <w:r w:rsidR="00230859" w:rsidRPr="00230859">
        <w:t xml:space="preserve"> status or gender history. The </w:t>
      </w:r>
      <w:r w:rsidR="00EE0083">
        <w:t>Act</w:t>
      </w:r>
      <w:r w:rsidR="00230859" w:rsidRPr="00230859">
        <w:t xml:space="preserve"> enables a person to change their gender legally by obtaining a Gender Recognition Certificat</w:t>
      </w:r>
      <w:r w:rsidR="00EE0083">
        <w:t>e</w:t>
      </w:r>
      <w:r w:rsidR="00220ADF">
        <w:t xml:space="preserve"> </w:t>
      </w:r>
      <w:r w:rsidR="00E169A1">
        <w:t>(</w:t>
      </w:r>
      <w:r w:rsidR="00220ADF">
        <w:t>GRC</w:t>
      </w:r>
      <w:r w:rsidR="00E169A1">
        <w:t>)</w:t>
      </w:r>
      <w:r w:rsidR="00230859" w:rsidRPr="00230859">
        <w:t>, which leads to the issue of a new birth certificate.</w:t>
      </w:r>
      <w:r w:rsidR="00062DE4">
        <w:rPr>
          <w:rStyle w:val="FootnoteReference"/>
        </w:rPr>
        <w:footnoteReference w:id="89"/>
      </w:r>
      <w:r w:rsidR="00230859" w:rsidRPr="00230859">
        <w:t xml:space="preserve"> </w:t>
      </w:r>
    </w:p>
    <w:p w14:paraId="0DD262FF" w14:textId="7A727D64" w:rsidR="00F74E70" w:rsidRPr="0003084D" w:rsidRDefault="00230859" w:rsidP="002B1B26">
      <w:pPr>
        <w:pStyle w:val="ListParagraph"/>
        <w:numPr>
          <w:ilvl w:val="1"/>
          <w:numId w:val="2"/>
        </w:numPr>
        <w:ind w:left="709" w:hanging="709"/>
        <w:jc w:val="both"/>
      </w:pPr>
      <w:r w:rsidRPr="00230859">
        <w:t>Once someone has a GRC, it is an offence in almost all circumstances to disclose their gender history to others without their consent, if you have obtained the information in an official capacity.</w:t>
      </w:r>
      <w:r w:rsidR="00E16563">
        <w:rPr>
          <w:rStyle w:val="FootnoteReference"/>
        </w:rPr>
        <w:footnoteReference w:id="90"/>
      </w:r>
      <w:r w:rsidR="004A0330">
        <w:t xml:space="preserve"> </w:t>
      </w:r>
      <w:r w:rsidR="009D1FCF">
        <w:t xml:space="preserve">The Act sets out that </w:t>
      </w:r>
      <w:r w:rsidR="007211B7">
        <w:t>“</w:t>
      </w:r>
      <w:r w:rsidR="009D1FCF">
        <w:t>official capacity</w:t>
      </w:r>
      <w:r w:rsidR="00CB27E2">
        <w:t>” in</w:t>
      </w:r>
      <w:r w:rsidR="009D1FCF">
        <w:t xml:space="preserve">cludes </w:t>
      </w:r>
      <w:r w:rsidR="00B61AE4">
        <w:t>i</w:t>
      </w:r>
      <w:r w:rsidR="00C95AD8" w:rsidRPr="00C95AD8">
        <w:t>n connection with the functions of a local or public authority or of a voluntary organisation</w:t>
      </w:r>
      <w:r w:rsidR="00E17979">
        <w:t xml:space="preserve">, </w:t>
      </w:r>
      <w:r w:rsidR="00E17979" w:rsidRPr="00E17979">
        <w:t>as an employer</w:t>
      </w:r>
      <w:r w:rsidR="0014648E" w:rsidRPr="0014648E">
        <w:rPr>
          <w:rFonts w:ascii="Arial" w:hAnsi="Arial" w:cs="Arial"/>
          <w:color w:val="000000"/>
          <w:sz w:val="18"/>
          <w:szCs w:val="18"/>
          <w:shd w:val="clear" w:color="auto" w:fill="FFFFFF"/>
        </w:rPr>
        <w:t xml:space="preserve"> </w:t>
      </w:r>
      <w:r w:rsidR="0014648E" w:rsidRPr="0014648E">
        <w:t>or otherwise in connection with, the conduct of business or the supply of professional services</w:t>
      </w:r>
      <w:r w:rsidR="0014648E">
        <w:t>.</w:t>
      </w:r>
      <w:r w:rsidR="0014648E">
        <w:rPr>
          <w:rStyle w:val="FootnoteReference"/>
        </w:rPr>
        <w:footnoteReference w:id="91"/>
      </w:r>
      <w:r w:rsidR="002B1B26">
        <w:t xml:space="preserve"> </w:t>
      </w:r>
      <w:r w:rsidRPr="00230859">
        <w:t>In football</w:t>
      </w:r>
      <w:r w:rsidR="00ED57CB">
        <w:t xml:space="preserve"> for example</w:t>
      </w:r>
      <w:r w:rsidRPr="00230859">
        <w:t xml:space="preserve">, those in an </w:t>
      </w:r>
      <w:r w:rsidR="00CB27E2">
        <w:t>“</w:t>
      </w:r>
      <w:r w:rsidRPr="00230859">
        <w:t>official capacity</w:t>
      </w:r>
      <w:r w:rsidR="00CB27E2">
        <w:t>” co</w:t>
      </w:r>
      <w:r w:rsidRPr="00230859">
        <w:t>uld include club or league officials such as the manager, coach or league organiser. A person does not need a GRC to play football in an over-18 men’s or women’s team</w:t>
      </w:r>
      <w:r w:rsidR="002B1B26">
        <w:t xml:space="preserve"> and a</w:t>
      </w:r>
      <w:r w:rsidRPr="00230859">
        <w:t xml:space="preserve"> person without a GRC</w:t>
      </w:r>
      <w:r w:rsidR="00671615">
        <w:t xml:space="preserve"> should be treated</w:t>
      </w:r>
      <w:r w:rsidRPr="00230859">
        <w:t xml:space="preserve"> </w:t>
      </w:r>
      <w:proofErr w:type="gramStart"/>
      <w:r w:rsidRPr="00230859">
        <w:t>exactly the same</w:t>
      </w:r>
      <w:proofErr w:type="gramEnd"/>
      <w:r w:rsidRPr="00230859">
        <w:t xml:space="preserve"> as one with a GRC</w:t>
      </w:r>
      <w:r w:rsidR="00662988">
        <w:t xml:space="preserve"> and</w:t>
      </w:r>
      <w:r w:rsidRPr="00230859">
        <w:t xml:space="preserve"> confidentiality should be respected</w:t>
      </w:r>
      <w:r w:rsidR="00EE1832">
        <w:t>.</w:t>
      </w:r>
    </w:p>
    <w:p w14:paraId="550EC721" w14:textId="77777777" w:rsidR="00F74E70" w:rsidRPr="0003084D" w:rsidRDefault="00F74E70" w:rsidP="00F74E70">
      <w:pPr>
        <w:pStyle w:val="ListParagraph"/>
        <w:ind w:left="709"/>
        <w:jc w:val="both"/>
      </w:pPr>
    </w:p>
    <w:p w14:paraId="1631A8C2" w14:textId="5C26B399" w:rsidR="00F2207C" w:rsidRPr="005052AE" w:rsidRDefault="003E2A9B" w:rsidP="00876C85">
      <w:pPr>
        <w:pStyle w:val="ListParagraph"/>
        <w:numPr>
          <w:ilvl w:val="1"/>
          <w:numId w:val="2"/>
        </w:numPr>
        <w:ind w:left="709" w:hanging="709"/>
        <w:jc w:val="both"/>
      </w:pPr>
      <w:r>
        <w:t>Whilst the G</w:t>
      </w:r>
      <w:r w:rsidR="009F2C82">
        <w:t xml:space="preserve">RA has been welcomed </w:t>
      </w:r>
      <w:r w:rsidR="003803DD">
        <w:t>as an</w:t>
      </w:r>
      <w:r w:rsidR="00F55D21">
        <w:t xml:space="preserve"> official</w:t>
      </w:r>
      <w:r w:rsidR="003803DD">
        <w:t xml:space="preserve"> mechanism</w:t>
      </w:r>
      <w:r w:rsidR="00DA0096">
        <w:t xml:space="preserve"> by which trans</w:t>
      </w:r>
      <w:r w:rsidR="00876C85">
        <w:t>gender</w:t>
      </w:r>
      <w:r w:rsidR="00DA0096">
        <w:t xml:space="preserve"> persons can gain recognition</w:t>
      </w:r>
      <w:r w:rsidR="00F55D21">
        <w:t xml:space="preserve"> within the UK, </w:t>
      </w:r>
      <w:r w:rsidR="00726C68">
        <w:t>it has n</w:t>
      </w:r>
      <w:r w:rsidR="00F0342F" w:rsidRPr="0003084D">
        <w:t>evertheless</w:t>
      </w:r>
      <w:r w:rsidR="00726C68">
        <w:t xml:space="preserve"> received criticism</w:t>
      </w:r>
      <w:r w:rsidR="007D7746">
        <w:t xml:space="preserve"> for being inadequate</w:t>
      </w:r>
      <w:r w:rsidR="00F112AB">
        <w:t>.</w:t>
      </w:r>
      <w:r w:rsidR="00972024">
        <w:rPr>
          <w:rStyle w:val="FootnoteReference"/>
        </w:rPr>
        <w:footnoteReference w:id="92"/>
      </w:r>
      <w:r w:rsidR="00F112AB">
        <w:t xml:space="preserve"> </w:t>
      </w:r>
      <w:r w:rsidR="00F2207C">
        <w:t>I</w:t>
      </w:r>
      <w:r w:rsidR="00F2207C" w:rsidRPr="0003084D">
        <w:t>n June 2020</w:t>
      </w:r>
      <w:r w:rsidR="00F2207C">
        <w:t>,</w:t>
      </w:r>
      <w:r w:rsidR="00F2207C" w:rsidRPr="0003084D">
        <w:t xml:space="preserve"> a report published by the European Commission ranked the procedure established</w:t>
      </w:r>
      <w:r w:rsidR="00F2207C" w:rsidRPr="00F13629">
        <w:t xml:space="preserve"> in the Gender Recognition Act 2004 as amongst the worst in Europe with</w:t>
      </w:r>
      <w:r w:rsidR="00F2207C">
        <w:t xml:space="preserve"> alleged</w:t>
      </w:r>
      <w:r w:rsidR="00F2207C" w:rsidRPr="00F13629">
        <w:t xml:space="preserve"> </w:t>
      </w:r>
      <w:r w:rsidR="00F2207C">
        <w:t>“</w:t>
      </w:r>
      <w:r w:rsidR="00F2207C" w:rsidRPr="00F13629">
        <w:t>intrusive medical requirements</w:t>
      </w:r>
      <w:r w:rsidR="00F2207C">
        <w:t>”, meaning</w:t>
      </w:r>
      <w:r w:rsidR="00F2207C" w:rsidRPr="00F13629">
        <w:t xml:space="preserve"> it now </w:t>
      </w:r>
      <w:proofErr w:type="gramStart"/>
      <w:r w:rsidR="00F2207C" w:rsidRPr="00F13629">
        <w:t>lags behind</w:t>
      </w:r>
      <w:proofErr w:type="gramEnd"/>
      <w:r w:rsidR="00F2207C" w:rsidRPr="00F13629">
        <w:t xml:space="preserve"> international human rights standards.</w:t>
      </w:r>
      <w:r w:rsidR="00F2207C" w:rsidRPr="00F13629">
        <w:rPr>
          <w:vertAlign w:val="superscript"/>
        </w:rPr>
        <w:footnoteReference w:id="93"/>
      </w:r>
    </w:p>
    <w:p w14:paraId="0A23E243" w14:textId="77777777" w:rsidR="00F2207C" w:rsidRDefault="00F2207C" w:rsidP="005052AE">
      <w:pPr>
        <w:pStyle w:val="ListParagraph"/>
      </w:pPr>
    </w:p>
    <w:p w14:paraId="67E9EAA5" w14:textId="7B7C0F27" w:rsidR="00CF1D3A" w:rsidRDefault="00F663BD" w:rsidP="001B098C">
      <w:pPr>
        <w:pStyle w:val="ListParagraph"/>
        <w:numPr>
          <w:ilvl w:val="1"/>
          <w:numId w:val="2"/>
        </w:numPr>
        <w:ind w:left="709" w:hanging="709"/>
        <w:jc w:val="both"/>
      </w:pPr>
      <w:r w:rsidRPr="00765863">
        <w:t xml:space="preserve">The self-declaration model is </w:t>
      </w:r>
      <w:r w:rsidR="00B74E75" w:rsidRPr="00765863">
        <w:t>an alter</w:t>
      </w:r>
      <w:r w:rsidR="00002D80" w:rsidRPr="00765863">
        <w:t>n</w:t>
      </w:r>
      <w:r w:rsidR="00B74E75" w:rsidRPr="00765863">
        <w:t>ative means o</w:t>
      </w:r>
      <w:r w:rsidR="00002D80" w:rsidRPr="00765863">
        <w:t xml:space="preserve">f obtaining recognition, placing the </w:t>
      </w:r>
      <w:r w:rsidR="001A7337">
        <w:t>responsibility</w:t>
      </w:r>
      <w:r w:rsidR="00002D80" w:rsidRPr="00765863">
        <w:t xml:space="preserve"> </w:t>
      </w:r>
      <w:r w:rsidRPr="00F663BD">
        <w:t xml:space="preserve">with the </w:t>
      </w:r>
      <w:r w:rsidR="00765863">
        <w:t>individual rather than a medical process.</w:t>
      </w:r>
      <w:r w:rsidRPr="00F663BD">
        <w:t xml:space="preserve"> </w:t>
      </w:r>
      <w:r w:rsidR="00002D80">
        <w:t xml:space="preserve">This </w:t>
      </w:r>
      <w:r w:rsidR="000F0132" w:rsidRPr="000F0132">
        <w:t>model was introduced to Ireland with the enactment of the Gender Recognition Act 2015.</w:t>
      </w:r>
      <w:r w:rsidR="000F7E4E">
        <w:rPr>
          <w:rStyle w:val="FootnoteReference"/>
        </w:rPr>
        <w:footnoteReference w:id="94"/>
      </w:r>
      <w:r w:rsidR="000F0132">
        <w:t xml:space="preserve"> </w:t>
      </w:r>
    </w:p>
    <w:p w14:paraId="13DBA24C" w14:textId="77777777" w:rsidR="00CF1D3A" w:rsidRDefault="00CF1D3A" w:rsidP="005052AE">
      <w:pPr>
        <w:pStyle w:val="ListParagraph"/>
      </w:pPr>
    </w:p>
    <w:p w14:paraId="62BFC33C" w14:textId="639CC9CD" w:rsidR="001B098C" w:rsidRDefault="00F13629" w:rsidP="001B098C">
      <w:pPr>
        <w:pStyle w:val="ListParagraph"/>
        <w:numPr>
          <w:ilvl w:val="1"/>
          <w:numId w:val="2"/>
        </w:numPr>
        <w:ind w:left="709" w:hanging="709"/>
        <w:jc w:val="both"/>
      </w:pPr>
      <w:r w:rsidRPr="00F13629">
        <w:t>In September 2020</w:t>
      </w:r>
      <w:r w:rsidR="00491113">
        <w:t>,</w:t>
      </w:r>
      <w:r w:rsidRPr="00F13629">
        <w:t xml:space="preserve"> the UK </w:t>
      </w:r>
      <w:r w:rsidR="00B51A79">
        <w:t>G</w:t>
      </w:r>
      <w:r w:rsidRPr="00F13629">
        <w:t>overnment published the results of a public consultation into reform of the Gender Recognition Act 2004 which had been launched in 2018</w:t>
      </w:r>
      <w:r w:rsidR="008D530F">
        <w:t>, which included</w:t>
      </w:r>
      <w:r w:rsidR="00914FEF">
        <w:t xml:space="preserve"> consideration of continuing with the medical approach</w:t>
      </w:r>
      <w:r w:rsidRPr="00F13629">
        <w:t>.</w:t>
      </w:r>
      <w:r w:rsidRPr="00F13629">
        <w:rPr>
          <w:vertAlign w:val="superscript"/>
        </w:rPr>
        <w:footnoteReference w:id="95"/>
      </w:r>
      <w:r w:rsidRPr="00F13629">
        <w:t xml:space="preserve"> This showed majority support for wide-ranging </w:t>
      </w:r>
      <w:r w:rsidR="005052AE" w:rsidRPr="00F13629">
        <w:t>changes;</w:t>
      </w:r>
      <w:r w:rsidRPr="00F13629">
        <w:t xml:space="preserve"> however</w:t>
      </w:r>
      <w:r w:rsidR="005052AE">
        <w:t>,</w:t>
      </w:r>
      <w:r w:rsidRPr="00F13629">
        <w:t xml:space="preserve"> the UK Government</w:t>
      </w:r>
      <w:r w:rsidR="00F76B61">
        <w:t>’s plans</w:t>
      </w:r>
      <w:r w:rsidRPr="00F13629">
        <w:t xml:space="preserve"> </w:t>
      </w:r>
      <w:r w:rsidR="0059307A">
        <w:t xml:space="preserve">to </w:t>
      </w:r>
      <w:r w:rsidR="00AF396D">
        <w:t>“</w:t>
      </w:r>
      <w:r w:rsidR="0059307A">
        <w:t>modernise</w:t>
      </w:r>
      <w:r w:rsidR="00E62D99">
        <w:t>”</w:t>
      </w:r>
      <w:r w:rsidR="0059307A">
        <w:t xml:space="preserve"> the process, </w:t>
      </w:r>
      <w:r w:rsidR="00E62D99">
        <w:t xml:space="preserve">involves digitisation and a reduction in </w:t>
      </w:r>
      <w:r w:rsidR="00FC3D33">
        <w:t xml:space="preserve">the application </w:t>
      </w:r>
      <w:r w:rsidR="00E62D99">
        <w:t>fee</w:t>
      </w:r>
      <w:r w:rsidR="00D17E27">
        <w:t>,</w:t>
      </w:r>
      <w:r w:rsidR="00E62D99">
        <w:t xml:space="preserve"> </w:t>
      </w:r>
      <w:r w:rsidR="00D17E27">
        <w:t>but no commitment</w:t>
      </w:r>
      <w:r w:rsidR="00E62D99">
        <w:t xml:space="preserve"> </w:t>
      </w:r>
      <w:r w:rsidRPr="00F13629">
        <w:t xml:space="preserve">to change the current </w:t>
      </w:r>
      <w:r w:rsidR="0059307A">
        <w:t>requirement for a medical diagnosis</w:t>
      </w:r>
      <w:r w:rsidRPr="00F13629">
        <w:t>.</w:t>
      </w:r>
      <w:bookmarkStart w:id="40" w:name="_Hlk111043838"/>
      <w:r w:rsidR="00D17E27">
        <w:rPr>
          <w:rStyle w:val="FootnoteReference"/>
        </w:rPr>
        <w:footnoteReference w:id="96"/>
      </w:r>
    </w:p>
    <w:p w14:paraId="5C967084" w14:textId="77777777" w:rsidR="0035157C" w:rsidRDefault="0035157C" w:rsidP="002C5BDC">
      <w:pPr>
        <w:pStyle w:val="ListParagraph"/>
      </w:pPr>
    </w:p>
    <w:p w14:paraId="4F1B1236" w14:textId="1714A984" w:rsidR="0035157C" w:rsidRDefault="009F0CAB" w:rsidP="001B098C">
      <w:pPr>
        <w:pStyle w:val="ListParagraph"/>
        <w:numPr>
          <w:ilvl w:val="1"/>
          <w:numId w:val="2"/>
        </w:numPr>
        <w:ind w:left="709" w:hanging="709"/>
        <w:jc w:val="both"/>
      </w:pPr>
      <w:r>
        <w:t>Following consultations, t</w:t>
      </w:r>
      <w:r w:rsidR="0035157C">
        <w:t xml:space="preserve">he Scottish </w:t>
      </w:r>
      <w:r w:rsidR="005D5A4C">
        <w:t>G</w:t>
      </w:r>
      <w:r w:rsidR="0035157C">
        <w:t>overnment has</w:t>
      </w:r>
      <w:r w:rsidR="004A3E47">
        <w:t xml:space="preserve"> introduced legislation </w:t>
      </w:r>
      <w:r w:rsidR="00C66176">
        <w:t xml:space="preserve">which </w:t>
      </w:r>
      <w:r w:rsidR="009468F9">
        <w:t>would simply the process for application for a GRC, including</w:t>
      </w:r>
      <w:r w:rsidR="00215E33">
        <w:t xml:space="preserve"> a statutory declaration rather than </w:t>
      </w:r>
      <w:r w:rsidR="001A6305">
        <w:t>provid</w:t>
      </w:r>
      <w:r w:rsidR="00215E33">
        <w:t xml:space="preserve">ing </w:t>
      </w:r>
      <w:r w:rsidR="001A6305">
        <w:t>medical reports</w:t>
      </w:r>
      <w:r w:rsidR="00215E33">
        <w:t>.</w:t>
      </w:r>
      <w:r w:rsidR="00215E33">
        <w:rPr>
          <w:rStyle w:val="FootnoteReference"/>
        </w:rPr>
        <w:footnoteReference w:id="97"/>
      </w:r>
      <w:r w:rsidR="001A6305">
        <w:t xml:space="preserve"> </w:t>
      </w:r>
      <w:r w:rsidR="004A3E47">
        <w:t>The UK Government has issued an order under section 35 of the Scotland Act 1998</w:t>
      </w:r>
      <w:r w:rsidR="00874B04">
        <w:t>,</w:t>
      </w:r>
      <w:r w:rsidR="004A3E47">
        <w:t xml:space="preserve"> </w:t>
      </w:r>
      <w:proofErr w:type="gramStart"/>
      <w:r w:rsidR="004A3E47">
        <w:t>in order to</w:t>
      </w:r>
      <w:proofErr w:type="gramEnd"/>
      <w:r w:rsidR="004A3E47">
        <w:t xml:space="preserve"> prevent the legislation from proceeding to Royal Assent.</w:t>
      </w:r>
      <w:r w:rsidR="004A3E47">
        <w:rPr>
          <w:rStyle w:val="FootnoteReference"/>
        </w:rPr>
        <w:footnoteReference w:id="98"/>
      </w:r>
    </w:p>
    <w:p w14:paraId="71B1C915" w14:textId="77777777" w:rsidR="001B098C" w:rsidRDefault="001B098C" w:rsidP="001B098C">
      <w:pPr>
        <w:pStyle w:val="ListParagraph"/>
      </w:pPr>
    </w:p>
    <w:p w14:paraId="26543F86" w14:textId="0FB44512" w:rsidR="00077E73" w:rsidRDefault="00EA6F40" w:rsidP="003857B4">
      <w:pPr>
        <w:pStyle w:val="ListParagraph"/>
        <w:numPr>
          <w:ilvl w:val="1"/>
          <w:numId w:val="2"/>
        </w:numPr>
        <w:ind w:left="709" w:hanging="709"/>
        <w:jc w:val="both"/>
      </w:pPr>
      <w:r>
        <w:t xml:space="preserve">In 2021, a </w:t>
      </w:r>
      <w:r w:rsidR="003C0ACF">
        <w:t xml:space="preserve">judicial review in the NI </w:t>
      </w:r>
      <w:r w:rsidR="00CF1D3A">
        <w:t xml:space="preserve">High </w:t>
      </w:r>
      <w:r w:rsidR="003C0ACF">
        <w:t xml:space="preserve">Court </w:t>
      </w:r>
      <w:r w:rsidR="00540C12">
        <w:t>sought to challenge the</w:t>
      </w:r>
      <w:r w:rsidR="007F2FD4">
        <w:t xml:space="preserve"> medical</w:t>
      </w:r>
      <w:r w:rsidR="00540C12">
        <w:t xml:space="preserve"> requirement</w:t>
      </w:r>
      <w:r w:rsidR="007F2FD4">
        <w:t>s set out in the GRA.</w:t>
      </w:r>
      <w:r w:rsidR="00314886">
        <w:t xml:space="preserve"> Here the court found that </w:t>
      </w:r>
      <w:r w:rsidR="00A94B9A">
        <w:t xml:space="preserve">having to </w:t>
      </w:r>
      <w:r w:rsidR="00314886" w:rsidRPr="00314886">
        <w:t>prove</w:t>
      </w:r>
      <w:r w:rsidR="00A94B9A">
        <w:t xml:space="preserve"> </w:t>
      </w:r>
      <w:r w:rsidR="00314886" w:rsidRPr="00314886">
        <w:t xml:space="preserve">to be suffering or to have suffered from a “disorder” </w:t>
      </w:r>
      <w:proofErr w:type="gramStart"/>
      <w:r w:rsidR="00314886" w:rsidRPr="00314886">
        <w:t>in order to</w:t>
      </w:r>
      <w:proofErr w:type="gramEnd"/>
      <w:r w:rsidR="00314886" w:rsidRPr="00314886">
        <w:t xml:space="preserve"> secure a gender recognition certificate</w:t>
      </w:r>
      <w:r w:rsidR="00A94B9A">
        <w:t xml:space="preserve"> was</w:t>
      </w:r>
      <w:r w:rsidR="00302F3B">
        <w:t xml:space="preserve"> unlawful under Article 8 ECHR</w:t>
      </w:r>
      <w:r w:rsidR="00C82856">
        <w:t xml:space="preserve"> as</w:t>
      </w:r>
      <w:r w:rsidR="00A94B9A">
        <w:t xml:space="preserve"> un</w:t>
      </w:r>
      <w:r w:rsidR="00B82502">
        <w:t>necessary and unjustifie</w:t>
      </w:r>
      <w:r w:rsidR="00C82856">
        <w:t>d. H</w:t>
      </w:r>
      <w:r w:rsidR="00B82502">
        <w:t>owever</w:t>
      </w:r>
      <w:r w:rsidR="00B10C09">
        <w:t xml:space="preserve">, the </w:t>
      </w:r>
      <w:r w:rsidR="00487774">
        <w:t xml:space="preserve">Court </w:t>
      </w:r>
      <w:r w:rsidR="00B10C09">
        <w:t>upheld</w:t>
      </w:r>
      <w:r w:rsidR="004C06CC">
        <w:t>,</w:t>
      </w:r>
      <w:r w:rsidR="00B82502">
        <w:t xml:space="preserve"> </w:t>
      </w:r>
      <w:r w:rsidR="00C82856" w:rsidRPr="00C82856">
        <w:t>in principle</w:t>
      </w:r>
      <w:r w:rsidR="004C06CC">
        <w:t>,</w:t>
      </w:r>
      <w:r w:rsidR="00B10C09">
        <w:t xml:space="preserve"> </w:t>
      </w:r>
      <w:r w:rsidR="00C82856" w:rsidRPr="00C82856">
        <w:t>the general requirement for a diagnosis</w:t>
      </w:r>
      <w:r w:rsidR="00DE2550">
        <w:t xml:space="preserve"> of</w:t>
      </w:r>
      <w:r w:rsidR="00DE2550" w:rsidRPr="00DE2550">
        <w:t xml:space="preserve"> “gender dysphoria</w:t>
      </w:r>
      <w:r w:rsidR="00DE2550">
        <w:t>”</w:t>
      </w:r>
      <w:r w:rsidR="00C82856" w:rsidRPr="00C82856">
        <w:t xml:space="preserve"> set out in a specialist medical report under sections 2(1)(a) and 3(1) of the </w:t>
      </w:r>
      <w:r w:rsidR="00DE2550">
        <w:t>GRA.</w:t>
      </w:r>
      <w:r w:rsidR="00540C12">
        <w:rPr>
          <w:rStyle w:val="FootnoteReference"/>
        </w:rPr>
        <w:footnoteReference w:id="99"/>
      </w:r>
      <w:r w:rsidR="00540C12">
        <w:t xml:space="preserve"> </w:t>
      </w:r>
    </w:p>
    <w:bookmarkEnd w:id="40"/>
    <w:p w14:paraId="7B373F66" w14:textId="77777777" w:rsidR="00414F05" w:rsidRDefault="00414F05" w:rsidP="00A62F97"/>
    <w:p w14:paraId="174330FC" w14:textId="46658C54" w:rsidR="0065346D" w:rsidRPr="0065346D" w:rsidRDefault="00C0718B" w:rsidP="00B57F7A">
      <w:pPr>
        <w:pStyle w:val="Heading2"/>
      </w:pPr>
      <w:bookmarkStart w:id="41" w:name="_Toc129693849"/>
      <w:r>
        <w:t>N</w:t>
      </w:r>
      <w:r w:rsidR="0065346D">
        <w:t xml:space="preserve">ational </w:t>
      </w:r>
      <w:r w:rsidR="00C8209E">
        <w:t>sporting</w:t>
      </w:r>
      <w:r w:rsidR="0065346D" w:rsidRPr="0065346D">
        <w:t xml:space="preserve"> bodies</w:t>
      </w:r>
      <w:bookmarkEnd w:id="41"/>
    </w:p>
    <w:p w14:paraId="3008B333" w14:textId="77777777" w:rsidR="00672AE0" w:rsidRDefault="00672AE0" w:rsidP="00672AE0">
      <w:pPr>
        <w:pStyle w:val="ListParagraph"/>
      </w:pPr>
    </w:p>
    <w:p w14:paraId="61B3C1DA" w14:textId="77777777" w:rsidR="007B7938" w:rsidRDefault="00C8209E" w:rsidP="001827AB">
      <w:pPr>
        <w:pStyle w:val="ListParagraph"/>
        <w:numPr>
          <w:ilvl w:val="1"/>
          <w:numId w:val="2"/>
        </w:numPr>
        <w:ind w:left="709" w:hanging="709"/>
        <w:jc w:val="both"/>
      </w:pPr>
      <w:r>
        <w:t xml:space="preserve">National Governing Bodies </w:t>
      </w:r>
      <w:r w:rsidR="004B397A">
        <w:t>(</w:t>
      </w:r>
      <w:r w:rsidR="00F412D2">
        <w:t>N</w:t>
      </w:r>
      <w:r w:rsidR="00B666AE" w:rsidRPr="00B666AE">
        <w:t>GBs</w:t>
      </w:r>
      <w:r w:rsidR="004B397A">
        <w:t>)</w:t>
      </w:r>
      <w:r w:rsidR="00B666AE" w:rsidRPr="00B666AE">
        <w:t xml:space="preserve"> are responsible for the regulation of participants in events in their sport and for providing fair and safe competition. They are also responsible for determining the competition framework for their sport including whether single sex and/or mixed</w:t>
      </w:r>
      <w:r w:rsidR="00B666AE" w:rsidRPr="00672AE0">
        <w:rPr>
          <w:rFonts w:ascii="Cambria Math" w:hAnsi="Cambria Math" w:cs="Cambria Math"/>
        </w:rPr>
        <w:t>‐</w:t>
      </w:r>
      <w:r w:rsidR="00B666AE" w:rsidRPr="00B666AE">
        <w:t xml:space="preserve">sex competitions are sanctioned. </w:t>
      </w:r>
    </w:p>
    <w:p w14:paraId="6A0ADD36" w14:textId="77777777" w:rsidR="007B7938" w:rsidRDefault="007B7938" w:rsidP="00CF38B5">
      <w:pPr>
        <w:pStyle w:val="ListParagraph"/>
        <w:ind w:left="709"/>
        <w:jc w:val="both"/>
      </w:pPr>
    </w:p>
    <w:p w14:paraId="303065F0" w14:textId="20447A9E" w:rsidR="007624CF" w:rsidRDefault="007B7938" w:rsidP="00CF38B5">
      <w:pPr>
        <w:pStyle w:val="ListParagraph"/>
        <w:numPr>
          <w:ilvl w:val="1"/>
          <w:numId w:val="2"/>
        </w:numPr>
        <w:ind w:left="709" w:hanging="709"/>
        <w:jc w:val="both"/>
      </w:pPr>
      <w:r>
        <w:t>NGBs</w:t>
      </w:r>
      <w:r w:rsidRPr="007A3F72">
        <w:t xml:space="preserve"> </w:t>
      </w:r>
      <w:r w:rsidR="002E2C00" w:rsidRPr="007A3F72">
        <w:t xml:space="preserve">are required to </w:t>
      </w:r>
      <w:r w:rsidR="00B666AE" w:rsidRPr="007A3F72">
        <w:t xml:space="preserve">comply with the relevant </w:t>
      </w:r>
      <w:r w:rsidR="0011776F">
        <w:t>domestic</w:t>
      </w:r>
      <w:r w:rsidR="0008437F">
        <w:t xml:space="preserve"> </w:t>
      </w:r>
      <w:r w:rsidR="00B666AE" w:rsidRPr="007A3F72">
        <w:t xml:space="preserve">legal framework </w:t>
      </w:r>
      <w:r w:rsidR="002E2C00" w:rsidRPr="007A3F72">
        <w:t xml:space="preserve">potentially also </w:t>
      </w:r>
      <w:r w:rsidR="007C4925">
        <w:t xml:space="preserve">alongside </w:t>
      </w:r>
      <w:r w:rsidR="00B666AE" w:rsidRPr="007A3F72">
        <w:t>an international, sporting regulatory framework for international competition</w:t>
      </w:r>
      <w:r w:rsidR="002E2C00" w:rsidRPr="007A3F72">
        <w:t>.</w:t>
      </w:r>
      <w:r w:rsidR="00B666AE" w:rsidRPr="002E2C00">
        <w:t xml:space="preserve"> </w:t>
      </w:r>
      <w:r w:rsidR="000E6E40" w:rsidRPr="00874B04">
        <w:t xml:space="preserve">UK or all-Ireland wide NGBs that </w:t>
      </w:r>
      <w:r w:rsidR="00525E02" w:rsidRPr="00874B04">
        <w:t>operate in</w:t>
      </w:r>
      <w:r w:rsidR="000E6E40" w:rsidRPr="00874B04">
        <w:t xml:space="preserve"> </w:t>
      </w:r>
      <w:r w:rsidR="001D18B5" w:rsidRPr="00874B04">
        <w:t>NI</w:t>
      </w:r>
      <w:r w:rsidR="0048178B" w:rsidRPr="00874B04">
        <w:t>,</w:t>
      </w:r>
      <w:r w:rsidR="001D18B5" w:rsidRPr="00874B04">
        <w:t xml:space="preserve"> will have </w:t>
      </w:r>
      <w:r w:rsidR="0048178B" w:rsidRPr="00874B04">
        <w:t xml:space="preserve">two </w:t>
      </w:r>
      <w:r w:rsidR="001D18B5" w:rsidRPr="00874B04">
        <w:t xml:space="preserve">different legal frameworks to ensure compliance with. </w:t>
      </w:r>
      <w:r w:rsidR="00DA4B96" w:rsidRPr="00874B04">
        <w:t>While the text of Article 45(</w:t>
      </w:r>
      <w:r w:rsidR="001E2B64" w:rsidRPr="00874B04">
        <w:t>2) SDO and s.19</w:t>
      </w:r>
      <w:r w:rsidR="00E218E6">
        <w:t>5</w:t>
      </w:r>
      <w:r w:rsidR="001E2B64" w:rsidRPr="00874B04">
        <w:t xml:space="preserve"> Equality Act 2010 are substantially the same</w:t>
      </w:r>
      <w:r w:rsidR="005410B5" w:rsidRPr="00874B04">
        <w:t xml:space="preserve">; the </w:t>
      </w:r>
      <w:r w:rsidR="00ED583D" w:rsidRPr="00874B04">
        <w:t>statutory guidance for the latter confirms that it is not a medical</w:t>
      </w:r>
      <w:r w:rsidR="00471DA0" w:rsidRPr="00874B04">
        <w:t>ised process</w:t>
      </w:r>
      <w:r w:rsidR="00CF38B5" w:rsidRPr="00874B04">
        <w:t>, as it is in NI</w:t>
      </w:r>
      <w:r w:rsidR="00471DA0" w:rsidRPr="00874B04">
        <w:t>.</w:t>
      </w:r>
      <w:r w:rsidR="00471DA0">
        <w:t xml:space="preserve"> </w:t>
      </w:r>
    </w:p>
    <w:p w14:paraId="61B30DD9" w14:textId="77777777" w:rsidR="001827AB" w:rsidRDefault="001827AB" w:rsidP="001D2C05">
      <w:pPr>
        <w:jc w:val="both"/>
      </w:pPr>
    </w:p>
    <w:p w14:paraId="36E47F13" w14:textId="7E20C348" w:rsidR="00E41EB8" w:rsidRDefault="00623D4C" w:rsidP="00EE5EC1">
      <w:pPr>
        <w:pStyle w:val="ListParagraph"/>
        <w:numPr>
          <w:ilvl w:val="1"/>
          <w:numId w:val="2"/>
        </w:numPr>
        <w:ind w:left="709" w:hanging="709"/>
        <w:jc w:val="both"/>
      </w:pPr>
      <w:r w:rsidRPr="00623D4C">
        <w:t xml:space="preserve">NGBs </w:t>
      </w:r>
      <w:r w:rsidR="005C7F84">
        <w:t xml:space="preserve">in </w:t>
      </w:r>
      <w:r w:rsidR="00E95481">
        <w:t>NI</w:t>
      </w:r>
      <w:r w:rsidR="005C7F84">
        <w:t xml:space="preserve"> </w:t>
      </w:r>
      <w:r w:rsidRPr="00623D4C">
        <w:t>should treat a tran</w:t>
      </w:r>
      <w:r w:rsidR="00B657BE">
        <w:t>s</w:t>
      </w:r>
      <w:r w:rsidR="00A051FB">
        <w:t>gender</w:t>
      </w:r>
      <w:r w:rsidRPr="00623D4C">
        <w:t xml:space="preserve"> person</w:t>
      </w:r>
      <w:r w:rsidR="001D3AB5">
        <w:t>, who has been issued with a full Gender Recognition certificate,</w:t>
      </w:r>
      <w:r w:rsidRPr="00623D4C">
        <w:t xml:space="preserve"> as belonging to the sex in which they present (as opposed to the biological sex they were </w:t>
      </w:r>
      <w:r w:rsidR="00090348">
        <w:t>assigned</w:t>
      </w:r>
      <w:r w:rsidRPr="00623D4C">
        <w:t>) unless this might give the tran</w:t>
      </w:r>
      <w:r w:rsidR="00444709">
        <w:t>s</w:t>
      </w:r>
      <w:r w:rsidR="004A42A8">
        <w:t>gender</w:t>
      </w:r>
      <w:r w:rsidR="001D3AB5">
        <w:t xml:space="preserve"> </w:t>
      </w:r>
      <w:r w:rsidRPr="00623D4C">
        <w:t>person an unfair advantage or would be a risk to the safety of competitors which might occur in some close contact sports.</w:t>
      </w:r>
      <w:r w:rsidR="009A5FBF">
        <w:rPr>
          <w:rStyle w:val="FootnoteReference"/>
        </w:rPr>
        <w:footnoteReference w:id="100"/>
      </w:r>
      <w:r w:rsidRPr="00623D4C">
        <w:t xml:space="preserve"> </w:t>
      </w:r>
    </w:p>
    <w:p w14:paraId="76EBD0DE" w14:textId="77777777" w:rsidR="00E41EB8" w:rsidRDefault="00E41EB8" w:rsidP="00E41EB8">
      <w:pPr>
        <w:pStyle w:val="ListParagraph"/>
      </w:pPr>
    </w:p>
    <w:p w14:paraId="06B8D55C" w14:textId="3B7C9814" w:rsidR="00EE5EC1" w:rsidRDefault="00182601" w:rsidP="00EE5EC1">
      <w:pPr>
        <w:pStyle w:val="ListParagraph"/>
        <w:numPr>
          <w:ilvl w:val="1"/>
          <w:numId w:val="2"/>
        </w:numPr>
        <w:ind w:left="709" w:hanging="709"/>
        <w:jc w:val="both"/>
      </w:pPr>
      <w:r>
        <w:t>N</w:t>
      </w:r>
      <w:r w:rsidRPr="00623D4C">
        <w:t xml:space="preserve">GBs </w:t>
      </w:r>
      <w:r w:rsidR="00E95481">
        <w:t xml:space="preserve">in NI </w:t>
      </w:r>
      <w:r w:rsidR="00444709">
        <w:t>should not</w:t>
      </w:r>
      <w:r w:rsidRPr="00623D4C">
        <w:t xml:space="preserve"> restrict the participation of a trans</w:t>
      </w:r>
      <w:r w:rsidR="00A051FB">
        <w:t>gender</w:t>
      </w:r>
      <w:r>
        <w:t xml:space="preserve"> p</w:t>
      </w:r>
      <w:r w:rsidRPr="00623D4C">
        <w:t>erson in competitive sport unless this is strictly necessary to uphold fair or safe competition</w:t>
      </w:r>
      <w:r w:rsidR="006C366D">
        <w:t xml:space="preserve">, otherwise </w:t>
      </w:r>
      <w:r w:rsidR="00102A8E">
        <w:t xml:space="preserve">they </w:t>
      </w:r>
      <w:r w:rsidR="006C366D">
        <w:t xml:space="preserve">may be in breach of </w:t>
      </w:r>
      <w:r w:rsidR="00102A8E">
        <w:t xml:space="preserve">the </w:t>
      </w:r>
      <w:r w:rsidR="006C366D">
        <w:t>GRA</w:t>
      </w:r>
      <w:r w:rsidR="001D3AB5">
        <w:t xml:space="preserve"> </w:t>
      </w:r>
      <w:r w:rsidR="001D3AB5" w:rsidRPr="0025306B">
        <w:t>in the case of those persons issued with a full GRC</w:t>
      </w:r>
      <w:r w:rsidR="00D623B7" w:rsidRPr="0025306B">
        <w:t xml:space="preserve">. </w:t>
      </w:r>
      <w:r w:rsidR="001D3AB5" w:rsidRPr="0025306B">
        <w:t>It may also amount to unlawful gender reassignment discrimination in the case of a tran</w:t>
      </w:r>
      <w:r w:rsidR="00BF48CB" w:rsidRPr="0025306B">
        <w:t>s</w:t>
      </w:r>
      <w:r w:rsidR="001D3AB5" w:rsidRPr="0025306B">
        <w:t>gender person who intends to undergo, is undergoing or has undergone gender reassignment, as defined in the SDO</w:t>
      </w:r>
      <w:r w:rsidR="007D7437">
        <w:t xml:space="preserve"> (or Equality Act)</w:t>
      </w:r>
      <w:r w:rsidR="001D3AB5" w:rsidRPr="0025306B">
        <w:t>.</w:t>
      </w:r>
    </w:p>
    <w:p w14:paraId="7BDDDD4B" w14:textId="77777777" w:rsidR="00EE5EC1" w:rsidRDefault="00EE5EC1" w:rsidP="00EE5EC1">
      <w:pPr>
        <w:pStyle w:val="ListParagraph"/>
      </w:pPr>
    </w:p>
    <w:p w14:paraId="194C83B9" w14:textId="2B86BE98" w:rsidR="001D3915" w:rsidRDefault="00F47F00" w:rsidP="00492695">
      <w:pPr>
        <w:pStyle w:val="ListParagraph"/>
        <w:numPr>
          <w:ilvl w:val="1"/>
          <w:numId w:val="2"/>
        </w:numPr>
        <w:ind w:left="709" w:hanging="709"/>
        <w:jc w:val="both"/>
      </w:pPr>
      <w:r>
        <w:t>T</w:t>
      </w:r>
      <w:r w:rsidR="002D3907" w:rsidRPr="00BB45CE">
        <w:t>he Sports Councils’ Equality Group</w:t>
      </w:r>
      <w:r w:rsidR="002D3907" w:rsidRPr="002D3907">
        <w:t xml:space="preserve"> (SCEG), made up of representatives from each of the UK’s sports councils (UK Sport, Sport England, Sport Wales, sport</w:t>
      </w:r>
      <w:r w:rsidR="00BB45CE">
        <w:t xml:space="preserve"> </w:t>
      </w:r>
      <w:r w:rsidR="00EC6444" w:rsidRPr="002D3907">
        <w:t>Scotland</w:t>
      </w:r>
      <w:r w:rsidR="002D3907" w:rsidRPr="002D3907">
        <w:t xml:space="preserve"> and Sport </w:t>
      </w:r>
      <w:r w:rsidR="00BF48CB">
        <w:t>NI</w:t>
      </w:r>
      <w:r w:rsidR="002D3907" w:rsidRPr="002D3907">
        <w:t>) published</w:t>
      </w:r>
      <w:r w:rsidR="00342098">
        <w:t xml:space="preserve"> its</w:t>
      </w:r>
      <w:r w:rsidR="002D3907" w:rsidRPr="002D3907">
        <w:t xml:space="preserve"> Guidance for Transgender Inclusion in Domestic Sport in 2021.</w:t>
      </w:r>
      <w:r w:rsidR="002D3907" w:rsidRPr="002D3907">
        <w:rPr>
          <w:vertAlign w:val="superscript"/>
        </w:rPr>
        <w:footnoteReference w:id="101"/>
      </w:r>
      <w:r w:rsidR="0087711D">
        <w:t xml:space="preserve"> </w:t>
      </w:r>
      <w:r w:rsidR="00813100">
        <w:t xml:space="preserve">In its guiding principles, the </w:t>
      </w:r>
      <w:r w:rsidR="007A2923">
        <w:t>guidance recognises</w:t>
      </w:r>
      <w:r w:rsidR="00813100">
        <w:t xml:space="preserve"> the commitment to the </w:t>
      </w:r>
      <w:r w:rsidR="000A0AE5">
        <w:t>“</w:t>
      </w:r>
      <w:r w:rsidR="00813100">
        <w:t>inclusion of transgender</w:t>
      </w:r>
      <w:r w:rsidR="000A0AE5">
        <w:t xml:space="preserve"> people in sport and physical activity”</w:t>
      </w:r>
      <w:r w:rsidR="00C868B2">
        <w:t xml:space="preserve"> but makes no reference to domestic or international human rights frameworks</w:t>
      </w:r>
      <w:r w:rsidR="000A0AE5">
        <w:t xml:space="preserve">. However, it also </w:t>
      </w:r>
      <w:r w:rsidR="00CB2A68">
        <w:t>distinguishes</w:t>
      </w:r>
      <w:r w:rsidR="000A0AE5">
        <w:t xml:space="preserve"> between</w:t>
      </w:r>
      <w:r w:rsidR="00FA760D">
        <w:t xml:space="preserve"> male and female categories, </w:t>
      </w:r>
      <w:r w:rsidR="00B9563C">
        <w:t>taking account of whether the sport is gender-affected. It further promotes three categories</w:t>
      </w:r>
      <w:r w:rsidR="00AA5FC6">
        <w:t>: prioritising transgender inclusion</w:t>
      </w:r>
      <w:r w:rsidR="006A339F">
        <w:t>;</w:t>
      </w:r>
      <w:r w:rsidR="00AA5FC6">
        <w:t xml:space="preserve"> female and open categories; </w:t>
      </w:r>
      <w:r w:rsidR="006A339F">
        <w:t xml:space="preserve">or </w:t>
      </w:r>
      <w:r w:rsidR="008E7285">
        <w:t>universal admissions.</w:t>
      </w:r>
      <w:r w:rsidR="00C92295">
        <w:rPr>
          <w:rStyle w:val="FootnoteReference"/>
        </w:rPr>
        <w:footnoteReference w:id="102"/>
      </w:r>
      <w:r w:rsidR="008E7285">
        <w:t xml:space="preserve"> </w:t>
      </w:r>
    </w:p>
    <w:p w14:paraId="2766125F" w14:textId="77777777" w:rsidR="001D3915" w:rsidRDefault="001D3915" w:rsidP="001D3915">
      <w:pPr>
        <w:pStyle w:val="ListParagraph"/>
      </w:pPr>
    </w:p>
    <w:p w14:paraId="09921F9A" w14:textId="4E1BB951" w:rsidR="007D6319" w:rsidRDefault="005548D6" w:rsidP="007D6319">
      <w:pPr>
        <w:pStyle w:val="ListParagraph"/>
        <w:numPr>
          <w:ilvl w:val="1"/>
          <w:numId w:val="2"/>
        </w:numPr>
        <w:ind w:left="709" w:hanging="709"/>
        <w:jc w:val="both"/>
      </w:pPr>
      <w:r>
        <w:t>An</w:t>
      </w:r>
      <w:r w:rsidR="002D3907" w:rsidRPr="002D3907">
        <w:t xml:space="preserve"> Equality Impact Assessment</w:t>
      </w:r>
      <w:r w:rsidR="00616C9D">
        <w:t xml:space="preserve"> (EQIA)</w:t>
      </w:r>
      <w:r w:rsidR="002D3907" w:rsidRPr="002D3907">
        <w:t xml:space="preserve"> accompanying the guidance acknowledge</w:t>
      </w:r>
      <w:r w:rsidR="00CB206A">
        <w:t>d</w:t>
      </w:r>
      <w:r w:rsidR="002D3907" w:rsidRPr="002D3907">
        <w:t xml:space="preserve"> that pe</w:t>
      </w:r>
      <w:r w:rsidR="00263690">
        <w:t>rsons</w:t>
      </w:r>
      <w:r w:rsidR="002D3907" w:rsidRPr="002D3907">
        <w:t xml:space="preserve"> can be negatively impacted by exclusion from sport, and the guidance confirms that individual sports are free to make their own decisions about trans</w:t>
      </w:r>
      <w:r w:rsidR="000A01C2">
        <w:t>gender</w:t>
      </w:r>
      <w:r w:rsidR="002D3907" w:rsidRPr="002D3907">
        <w:t xml:space="preserve"> inclusion</w:t>
      </w:r>
      <w:r w:rsidR="001E3EAA">
        <w:t>.</w:t>
      </w:r>
      <w:r w:rsidR="00EE2265">
        <w:rPr>
          <w:rStyle w:val="FootnoteReference"/>
        </w:rPr>
        <w:footnoteReference w:id="103"/>
      </w:r>
      <w:r w:rsidR="004268C2">
        <w:t xml:space="preserve"> </w:t>
      </w:r>
      <w:r w:rsidR="004202C9">
        <w:t xml:space="preserve">It </w:t>
      </w:r>
      <w:r w:rsidR="00A313E9">
        <w:t xml:space="preserve">states </w:t>
      </w:r>
      <w:r w:rsidR="004202C9">
        <w:t>that it may have a</w:t>
      </w:r>
      <w:r w:rsidR="00C474B0">
        <w:t xml:space="preserve"> </w:t>
      </w:r>
      <w:r w:rsidR="004202C9">
        <w:t xml:space="preserve">positive impact on transgender </w:t>
      </w:r>
      <w:r w:rsidR="00C474B0">
        <w:t>people</w:t>
      </w:r>
      <w:r w:rsidR="004202C9">
        <w:t xml:space="preserve"> as it could lead to “more </w:t>
      </w:r>
      <w:r w:rsidR="00C474B0">
        <w:t>opportunities</w:t>
      </w:r>
      <w:r w:rsidR="004202C9">
        <w:t xml:space="preserve"> to </w:t>
      </w:r>
      <w:r w:rsidR="00C474B0">
        <w:t>participate</w:t>
      </w:r>
      <w:r w:rsidR="004202C9">
        <w:t xml:space="preserve"> an</w:t>
      </w:r>
      <w:r w:rsidR="00C474B0">
        <w:t>d</w:t>
      </w:r>
      <w:r w:rsidR="004202C9">
        <w:t xml:space="preserve"> compete in their sport</w:t>
      </w:r>
      <w:r w:rsidR="00C474B0">
        <w:t>”.</w:t>
      </w:r>
      <w:r w:rsidR="00C474B0">
        <w:rPr>
          <w:rStyle w:val="FootnoteReference"/>
        </w:rPr>
        <w:footnoteReference w:id="104"/>
      </w:r>
      <w:r w:rsidR="00C474B0">
        <w:t xml:space="preserve"> However, </w:t>
      </w:r>
      <w:r w:rsidR="00616C9D">
        <w:t>the EQIA</w:t>
      </w:r>
      <w:r w:rsidR="00616C9D" w:rsidRPr="00C474B0">
        <w:t xml:space="preserve"> </w:t>
      </w:r>
      <w:r w:rsidR="00C474B0">
        <w:t xml:space="preserve">also </w:t>
      </w:r>
      <w:r w:rsidR="00C474B0" w:rsidRPr="00C474B0">
        <w:t>highlights the negative impact on transgender women</w:t>
      </w:r>
      <w:r w:rsidR="00C474B0">
        <w:t>,</w:t>
      </w:r>
      <w:r w:rsidR="00C474B0" w:rsidRPr="00C474B0">
        <w:t xml:space="preserve"> as </w:t>
      </w:r>
      <w:r w:rsidR="00C474B0">
        <w:t xml:space="preserve">the guidance </w:t>
      </w:r>
      <w:r w:rsidR="00C474B0" w:rsidRPr="00C474B0">
        <w:t xml:space="preserve">may allow NGBs to exclude them from some competitions, as </w:t>
      </w:r>
      <w:r w:rsidR="00B74449">
        <w:t xml:space="preserve">the Guidance states that </w:t>
      </w:r>
      <w:r w:rsidR="00C474B0" w:rsidRPr="00C474B0">
        <w:t>inclusion cannot be balanced in gender-affected sport.</w:t>
      </w:r>
      <w:r w:rsidR="00C474B0">
        <w:rPr>
          <w:rStyle w:val="FootnoteReference"/>
        </w:rPr>
        <w:footnoteReference w:id="105"/>
      </w:r>
      <w:bookmarkEnd w:id="33"/>
    </w:p>
    <w:p w14:paraId="7B7D93FD" w14:textId="77777777" w:rsidR="00C0718B" w:rsidRDefault="00C0718B" w:rsidP="00C0718B">
      <w:pPr>
        <w:pStyle w:val="ListParagraph"/>
      </w:pPr>
    </w:p>
    <w:p w14:paraId="26582C03" w14:textId="0DA02331" w:rsidR="00DD32E8" w:rsidRDefault="00C0718B" w:rsidP="00DD32E8">
      <w:pPr>
        <w:pStyle w:val="ListParagraph"/>
        <w:numPr>
          <w:ilvl w:val="1"/>
          <w:numId w:val="2"/>
        </w:numPr>
        <w:ind w:left="709" w:hanging="709"/>
        <w:jc w:val="both"/>
      </w:pPr>
      <w:r>
        <w:t xml:space="preserve">Some examples of </w:t>
      </w:r>
      <w:r w:rsidR="00D57013">
        <w:t>recent changes by NGBs in</w:t>
      </w:r>
      <w:r w:rsidR="00D04849">
        <w:t xml:space="preserve"> relati</w:t>
      </w:r>
      <w:r w:rsidR="00D57013">
        <w:t>on</w:t>
      </w:r>
      <w:r w:rsidR="00D04849">
        <w:t xml:space="preserve"> to the</w:t>
      </w:r>
      <w:r w:rsidR="00D57013">
        <w:t xml:space="preserve">ir policies on the </w:t>
      </w:r>
      <w:r w:rsidR="00D04849">
        <w:t>participation of transgender athletes are set out below:</w:t>
      </w:r>
    </w:p>
    <w:p w14:paraId="1F9D3F1E" w14:textId="77777777" w:rsidR="00DD32E8" w:rsidRDefault="00DD32E8" w:rsidP="00DD32E8">
      <w:pPr>
        <w:pStyle w:val="ListParagraph"/>
      </w:pPr>
    </w:p>
    <w:p w14:paraId="78B5A873" w14:textId="3B3F2E55" w:rsidR="00DD32E8" w:rsidRDefault="00DD32E8" w:rsidP="00DD32E8">
      <w:pPr>
        <w:pStyle w:val="ListParagraph"/>
        <w:numPr>
          <w:ilvl w:val="1"/>
          <w:numId w:val="2"/>
        </w:numPr>
        <w:ind w:left="709" w:hanging="709"/>
        <w:jc w:val="both"/>
      </w:pPr>
      <w:r w:rsidRPr="001C7CE6">
        <w:t xml:space="preserve">In April 2022, British Cycling suspended </w:t>
      </w:r>
      <w:r>
        <w:t>its</w:t>
      </w:r>
      <w:r w:rsidRPr="001C7CE6">
        <w:t xml:space="preserve"> new policy on Transgender and Non-binary participation</w:t>
      </w:r>
      <w:r>
        <w:t xml:space="preserve"> due to the differences between its policy and eligibility rules of its international body, Union Cyclist Internationale (UCI).</w:t>
      </w:r>
      <w:r w:rsidRPr="001C7CE6">
        <w:rPr>
          <w:rStyle w:val="FootnoteReference"/>
        </w:rPr>
        <w:footnoteReference w:id="106"/>
      </w:r>
      <w:r w:rsidRPr="001C7CE6">
        <w:t xml:space="preserve">  </w:t>
      </w:r>
      <w:r>
        <w:t xml:space="preserve">A full review is taking place, </w:t>
      </w:r>
      <w:r w:rsidRPr="001C7CE6">
        <w:t>which is due to complete in Spring 2023.</w:t>
      </w:r>
      <w:r w:rsidRPr="001C7CE6">
        <w:rPr>
          <w:rStyle w:val="FootnoteReference"/>
        </w:rPr>
        <w:footnoteReference w:id="107"/>
      </w:r>
      <w:r w:rsidRPr="001C7CE6">
        <w:t xml:space="preserve"> While this review in ongoing British Cycling will not process Race Licences for new transgender or non-binary participants.</w:t>
      </w:r>
      <w:r w:rsidRPr="001C7CE6">
        <w:rPr>
          <w:rStyle w:val="FootnoteReference"/>
        </w:rPr>
        <w:footnoteReference w:id="108"/>
      </w:r>
    </w:p>
    <w:p w14:paraId="6C0C2A80" w14:textId="77777777" w:rsidR="00DD32E8" w:rsidRDefault="00DD32E8" w:rsidP="00DD32E8">
      <w:pPr>
        <w:pStyle w:val="ListParagraph"/>
      </w:pPr>
    </w:p>
    <w:p w14:paraId="3813EF46" w14:textId="2D8894E7" w:rsidR="00A34E41" w:rsidRDefault="002C708A" w:rsidP="00A34E41">
      <w:pPr>
        <w:pStyle w:val="ListParagraph"/>
        <w:numPr>
          <w:ilvl w:val="1"/>
          <w:numId w:val="2"/>
        </w:numPr>
        <w:ind w:left="709" w:hanging="709"/>
        <w:jc w:val="both"/>
      </w:pPr>
      <w:r>
        <w:t xml:space="preserve">In August 2022, the Irish Rugby Football Union (IRFU) updated its Gender Participation Policy which prevents transgender women from participating in the female category for contact rugby, limiting it </w:t>
      </w:r>
      <w:r w:rsidRPr="004A14F6">
        <w:t xml:space="preserve">to those whose sex was </w:t>
      </w:r>
      <w:r w:rsidR="00E65112">
        <w:t>“</w:t>
      </w:r>
      <w:r w:rsidRPr="004A14F6">
        <w:t>recorded as female at birth</w:t>
      </w:r>
      <w:r w:rsidR="00E65112">
        <w:t>”</w:t>
      </w:r>
      <w:r>
        <w:t>.</w:t>
      </w:r>
      <w:r>
        <w:rPr>
          <w:rStyle w:val="FootnoteReference"/>
        </w:rPr>
        <w:footnoteReference w:id="109"/>
      </w:r>
      <w:r>
        <w:t xml:space="preserve">  Transgender men must go through a risk assessment “to ensure the paying environment/level is appropriate and the potential risks are understood”.</w:t>
      </w:r>
      <w:r>
        <w:rPr>
          <w:rStyle w:val="FootnoteReference"/>
        </w:rPr>
        <w:footnoteReference w:id="110"/>
      </w:r>
      <w:r>
        <w:t xml:space="preserve">  </w:t>
      </w:r>
    </w:p>
    <w:p w14:paraId="6FCF1DE7" w14:textId="77777777" w:rsidR="00A34E41" w:rsidRDefault="00A34E41" w:rsidP="00A34E41">
      <w:pPr>
        <w:pStyle w:val="ListParagraph"/>
      </w:pPr>
    </w:p>
    <w:p w14:paraId="2F8B02ED" w14:textId="07AAA1F5" w:rsidR="00A34E41" w:rsidRPr="001C7CE6" w:rsidRDefault="00A34E41" w:rsidP="00A34E41">
      <w:pPr>
        <w:pStyle w:val="ListParagraph"/>
        <w:numPr>
          <w:ilvl w:val="1"/>
          <w:numId w:val="2"/>
        </w:numPr>
        <w:ind w:left="709" w:hanging="709"/>
        <w:jc w:val="both"/>
      </w:pPr>
      <w:r>
        <w:t>In August 2022, the World Boxing Council (WBC) issued guidelines in relations to the participation of transgender athletes in professional combat sports. The WBC advocates for equally skilled and matched competitors and highlights concerns about an unfair advantage of a transgender woman over cisgender woman, or a cisgender male over a transgender male. It has concluded that, at the present level of scientific knowledge, that “allowing transgender athletes to compete raises serious health and safety concerns”.</w:t>
      </w:r>
      <w:r>
        <w:rPr>
          <w:rStyle w:val="FootnoteReference"/>
        </w:rPr>
        <w:footnoteReference w:id="111"/>
      </w:r>
      <w:r>
        <w:t xml:space="preserve"> The WBC has created a committee to consider the possibility of having a transgender league.</w:t>
      </w:r>
      <w:r>
        <w:rPr>
          <w:rStyle w:val="FootnoteReference"/>
        </w:rPr>
        <w:footnoteReference w:id="112"/>
      </w:r>
    </w:p>
    <w:p w14:paraId="5D53157C" w14:textId="77777777" w:rsidR="002C708A" w:rsidRDefault="002C708A" w:rsidP="00A34E41">
      <w:pPr>
        <w:pStyle w:val="ListParagraph"/>
        <w:ind w:left="709"/>
        <w:jc w:val="both"/>
      </w:pPr>
    </w:p>
    <w:p w14:paraId="3E77A794" w14:textId="77777777" w:rsidR="00DD32E8" w:rsidRDefault="002C708A" w:rsidP="00DD32E8">
      <w:pPr>
        <w:pStyle w:val="ListParagraph"/>
        <w:numPr>
          <w:ilvl w:val="1"/>
          <w:numId w:val="2"/>
        </w:numPr>
        <w:ind w:left="709" w:hanging="709"/>
        <w:jc w:val="both"/>
      </w:pPr>
      <w:r>
        <w:t xml:space="preserve">In February 2023, </w:t>
      </w:r>
      <w:r w:rsidR="000B7E4E">
        <w:t xml:space="preserve">Scottish Rugby has updated its Gender Participation Policy, which </w:t>
      </w:r>
      <w:r w:rsidR="000A0103">
        <w:t>limits participation to those who sex was recorded as female at birth</w:t>
      </w:r>
      <w:r w:rsidR="000B7E4E">
        <w:t>.</w:t>
      </w:r>
      <w:r w:rsidR="000A0103">
        <w:rPr>
          <w:rStyle w:val="FootnoteReference"/>
        </w:rPr>
        <w:footnoteReference w:id="113"/>
      </w:r>
      <w:r w:rsidR="000B7E4E">
        <w:t xml:space="preserve"> This brings it into line with the other Rugby governing bodies in the UK and Ireland.</w:t>
      </w:r>
      <w:r w:rsidR="000B7E4E">
        <w:rPr>
          <w:rStyle w:val="FootnoteReference"/>
        </w:rPr>
        <w:footnoteReference w:id="114"/>
      </w:r>
    </w:p>
    <w:p w14:paraId="0F649CBB" w14:textId="77777777" w:rsidR="00DD32E8" w:rsidRDefault="00DD32E8" w:rsidP="00DD32E8">
      <w:pPr>
        <w:pStyle w:val="ListParagraph"/>
      </w:pPr>
    </w:p>
    <w:p w14:paraId="737E58EF" w14:textId="11BAA153" w:rsidR="005502DD" w:rsidRDefault="002C708A" w:rsidP="00044759">
      <w:pPr>
        <w:pStyle w:val="ListParagraph"/>
        <w:ind w:left="709"/>
        <w:jc w:val="both"/>
      </w:pPr>
      <w:r>
        <w:t>Also, i</w:t>
      </w:r>
      <w:r w:rsidR="00852E3B">
        <w:t xml:space="preserve">n February 2023, </w:t>
      </w:r>
      <w:r w:rsidR="00182BC5">
        <w:t>UK</w:t>
      </w:r>
      <w:r w:rsidR="00852E3B">
        <w:t xml:space="preserve"> Athletics (UKA) issued a position statement</w:t>
      </w:r>
      <w:r w:rsidR="00505AA3">
        <w:t xml:space="preserve"> on the issue of transgender inclusion, following </w:t>
      </w:r>
      <w:r w:rsidR="001364FE">
        <w:t>its response to the World Athletics consultation on changes to its Transgender Regulations</w:t>
      </w:r>
      <w:r w:rsidR="00CB097B">
        <w:t>.</w:t>
      </w:r>
      <w:r w:rsidR="00CB097B">
        <w:rPr>
          <w:rStyle w:val="FootnoteReference"/>
        </w:rPr>
        <w:footnoteReference w:id="115"/>
      </w:r>
      <w:r w:rsidR="00645C09">
        <w:t xml:space="preserve"> </w:t>
      </w:r>
      <w:r w:rsidR="00D57013">
        <w:t>UKA</w:t>
      </w:r>
      <w:r w:rsidR="00645C09">
        <w:t xml:space="preserve"> </w:t>
      </w:r>
      <w:r w:rsidR="00B931DA">
        <w:t>states</w:t>
      </w:r>
      <w:r w:rsidR="00645C09">
        <w:t xml:space="preserve"> that efforts should be made to “fairly and safely include transgender women in an </w:t>
      </w:r>
      <w:r w:rsidR="00051401">
        <w:t>‘</w:t>
      </w:r>
      <w:r w:rsidR="00645C09">
        <w:t xml:space="preserve">open </w:t>
      </w:r>
      <w:r w:rsidR="00051401">
        <w:t>category’”</w:t>
      </w:r>
      <w:r w:rsidR="00C12110">
        <w:t>.</w:t>
      </w:r>
      <w:r w:rsidR="00051401">
        <w:rPr>
          <w:rStyle w:val="FootnoteReference"/>
        </w:rPr>
        <w:footnoteReference w:id="116"/>
      </w:r>
      <w:r w:rsidR="00051401">
        <w:t xml:space="preserve"> </w:t>
      </w:r>
    </w:p>
    <w:p w14:paraId="0834E5A0" w14:textId="77777777" w:rsidR="005502DD" w:rsidRDefault="005502DD" w:rsidP="00B756B4">
      <w:pPr>
        <w:pStyle w:val="ListParagraph"/>
        <w:ind w:left="709"/>
        <w:jc w:val="both"/>
      </w:pPr>
    </w:p>
    <w:p w14:paraId="39B01D58" w14:textId="02F83C7B" w:rsidR="00335DFD" w:rsidRPr="003540ED" w:rsidRDefault="003540ED" w:rsidP="00B57F7A">
      <w:pPr>
        <w:pStyle w:val="Heading1"/>
        <w:numPr>
          <w:ilvl w:val="0"/>
          <w:numId w:val="0"/>
        </w:numPr>
      </w:pPr>
      <w:bookmarkStart w:id="42" w:name="_Toc129693850"/>
      <w:r>
        <w:t xml:space="preserve">4.0 </w:t>
      </w:r>
      <w:r w:rsidR="00335DFD" w:rsidRPr="003540ED">
        <w:t>Intersex</w:t>
      </w:r>
      <w:r w:rsidR="00585F53" w:rsidRPr="003540ED">
        <w:t xml:space="preserve"> persons and sex verification</w:t>
      </w:r>
      <w:bookmarkEnd w:id="42"/>
    </w:p>
    <w:p w14:paraId="34629AFA" w14:textId="77777777" w:rsidR="00335DFD" w:rsidRDefault="00335DFD" w:rsidP="00335DFD">
      <w:pPr>
        <w:pStyle w:val="ListParagraph"/>
        <w:jc w:val="both"/>
      </w:pPr>
    </w:p>
    <w:p w14:paraId="4508BA7C" w14:textId="77777777" w:rsidR="00335DFD" w:rsidRPr="005A515E" w:rsidRDefault="00335DFD" w:rsidP="00335DFD">
      <w:pPr>
        <w:pStyle w:val="ListParagraph"/>
        <w:numPr>
          <w:ilvl w:val="0"/>
          <w:numId w:val="2"/>
        </w:numPr>
        <w:jc w:val="both"/>
        <w:rPr>
          <w:vanish/>
        </w:rPr>
      </w:pPr>
    </w:p>
    <w:p w14:paraId="7AE6F7BE" w14:textId="77777777" w:rsidR="00335DFD" w:rsidRDefault="00335DFD" w:rsidP="00335DFD">
      <w:pPr>
        <w:pStyle w:val="ListParagraph"/>
        <w:ind w:left="709"/>
        <w:jc w:val="both"/>
      </w:pPr>
    </w:p>
    <w:p w14:paraId="09BB25EB" w14:textId="5ECA78EC" w:rsidR="00335DFD" w:rsidRDefault="00335DFD" w:rsidP="00335DFD">
      <w:pPr>
        <w:pStyle w:val="ListParagraph"/>
        <w:numPr>
          <w:ilvl w:val="1"/>
          <w:numId w:val="2"/>
        </w:numPr>
        <w:ind w:left="720"/>
        <w:jc w:val="both"/>
      </w:pPr>
      <w:r>
        <w:t>The</w:t>
      </w:r>
      <w:r w:rsidRPr="00C61166">
        <w:t xml:space="preserve"> </w:t>
      </w:r>
      <w:r w:rsidRPr="00C31A76">
        <w:t>issue of</w:t>
      </w:r>
      <w:r>
        <w:t xml:space="preserve"> the participation of</w:t>
      </w:r>
      <w:r w:rsidRPr="00C31A76">
        <w:t xml:space="preserve"> intersex persons in sport is a separate debate that may well deserve a</w:t>
      </w:r>
      <w:r w:rsidR="00BF48CB">
        <w:t>n</w:t>
      </w:r>
      <w:r w:rsidRPr="00C31A76">
        <w:t xml:space="preserve"> analysis of its own. It is</w:t>
      </w:r>
      <w:r>
        <w:t>,</w:t>
      </w:r>
      <w:r w:rsidRPr="00C31A76">
        <w:t xml:space="preserve"> however</w:t>
      </w:r>
      <w:r>
        <w:t>,</w:t>
      </w:r>
      <w:r w:rsidRPr="00C31A76">
        <w:t xml:space="preserve"> worth noting legal developments in th</w:t>
      </w:r>
      <w:r>
        <w:t>is</w:t>
      </w:r>
      <w:r w:rsidRPr="00C31A76">
        <w:t xml:space="preserve"> area</w:t>
      </w:r>
      <w:r>
        <w:t>,</w:t>
      </w:r>
      <w:r w:rsidRPr="00C31A76">
        <w:t xml:space="preserve"> </w:t>
      </w:r>
      <w:r>
        <w:t>insofar as it is relevant to the consideration of</w:t>
      </w:r>
      <w:r w:rsidRPr="00C31A76">
        <w:t xml:space="preserve"> </w:t>
      </w:r>
      <w:r>
        <w:t>t</w:t>
      </w:r>
      <w:r w:rsidRPr="00C31A76">
        <w:t>rans</w:t>
      </w:r>
      <w:r>
        <w:t>gender</w:t>
      </w:r>
      <w:r w:rsidRPr="00C31A76">
        <w:t xml:space="preserve"> </w:t>
      </w:r>
      <w:r>
        <w:t>participation</w:t>
      </w:r>
      <w:r w:rsidRPr="00C31A76">
        <w:t xml:space="preserve"> in sport</w:t>
      </w:r>
      <w:r>
        <w:t>.</w:t>
      </w:r>
    </w:p>
    <w:p w14:paraId="6BAA5F71" w14:textId="77777777" w:rsidR="00335DFD" w:rsidRDefault="00335DFD" w:rsidP="00335DFD">
      <w:pPr>
        <w:pStyle w:val="ListParagraph"/>
        <w:jc w:val="both"/>
      </w:pPr>
    </w:p>
    <w:p w14:paraId="021C5F4D" w14:textId="3FC9AC6A" w:rsidR="00335DFD" w:rsidRDefault="00335DFD" w:rsidP="00335DFD">
      <w:pPr>
        <w:pStyle w:val="ListParagraph"/>
        <w:numPr>
          <w:ilvl w:val="1"/>
          <w:numId w:val="2"/>
        </w:numPr>
        <w:ind w:left="720"/>
        <w:jc w:val="both"/>
      </w:pPr>
      <w:r>
        <w:t>The UN Office of the High Commissioner for Human Rights (UN OHCHR) has recognised that intersex people often share common concerns with transgender individuals “due to shared experiences of harm arising from dominant sex and gender norms”.</w:t>
      </w:r>
      <w:r>
        <w:rPr>
          <w:rStyle w:val="FootnoteReference"/>
        </w:rPr>
        <w:footnoteReference w:id="117"/>
      </w:r>
      <w:r>
        <w:t xml:space="preserve"> However, the framework of sexual orientation and gender identity does not fully represent the human rights concerns in this area, illustrated by the inclusion of ‘sex characteristics’ in the updated Yogyakarta Principles plus 10.</w:t>
      </w:r>
      <w:r>
        <w:rPr>
          <w:rStyle w:val="FootnoteReference"/>
        </w:rPr>
        <w:footnoteReference w:id="118"/>
      </w:r>
      <w:r>
        <w:t xml:space="preserve"> A</w:t>
      </w:r>
      <w:r w:rsidRPr="0019111E">
        <w:t>ccording to the</w:t>
      </w:r>
      <w:r>
        <w:t xml:space="preserve"> UN OHCHR, c</w:t>
      </w:r>
      <w:r w:rsidRPr="00C31A76">
        <w:t>urrent and historic policies have resulted in intersex people, that is those born with sex characteristics that do not fit with typical binary sex categorisation,</w:t>
      </w:r>
      <w:r>
        <w:rPr>
          <w:rStyle w:val="FootnoteReference"/>
        </w:rPr>
        <w:footnoteReference w:id="119"/>
      </w:r>
      <w:r w:rsidRPr="00C31A76">
        <w:t xml:space="preserve"> experiencing human rights violations. Women who have</w:t>
      </w:r>
      <w:r w:rsidR="007D6319">
        <w:t>,</w:t>
      </w:r>
      <w:r w:rsidRPr="00C31A76">
        <w:t xml:space="preserve"> or are perceived to have</w:t>
      </w:r>
      <w:r w:rsidR="007D6319">
        <w:t>,</w:t>
      </w:r>
      <w:r w:rsidRPr="00C31A76">
        <w:t xml:space="preserve"> intersex traits are </w:t>
      </w:r>
      <w:r>
        <w:t xml:space="preserve">often </w:t>
      </w:r>
      <w:r w:rsidRPr="00C31A76">
        <w:t>subject</w:t>
      </w:r>
      <w:r>
        <w:t>ed</w:t>
      </w:r>
      <w:r w:rsidRPr="00C31A76">
        <w:t xml:space="preserve"> to stigmatisation, </w:t>
      </w:r>
      <w:proofErr w:type="gramStart"/>
      <w:r>
        <w:t>abuse</w:t>
      </w:r>
      <w:proofErr w:type="gramEnd"/>
      <w:r>
        <w:t xml:space="preserve"> and discrimination, and unprotected due to the absence of legislation protecting against discrimination.</w:t>
      </w:r>
      <w:r>
        <w:rPr>
          <w:rStyle w:val="FootnoteReference"/>
        </w:rPr>
        <w:footnoteReference w:id="120"/>
      </w:r>
      <w:r>
        <w:t xml:space="preserve"> Women athletes have been subjected to humiliation or indeed exclusion from participation in their sport due to their sex characteristics.</w:t>
      </w:r>
      <w:r>
        <w:rPr>
          <w:rStyle w:val="FootnoteReference"/>
        </w:rPr>
        <w:footnoteReference w:id="121"/>
      </w:r>
      <w:r>
        <w:rPr>
          <w:rStyle w:val="FootnoteReference"/>
        </w:rPr>
        <w:footnoteReference w:id="122"/>
      </w:r>
      <w:r>
        <w:rPr>
          <w:rStyle w:val="CommentReference"/>
        </w:rPr>
        <w:t xml:space="preserve"> </w:t>
      </w:r>
    </w:p>
    <w:p w14:paraId="1580BA28" w14:textId="77777777" w:rsidR="00335DFD" w:rsidRDefault="00335DFD" w:rsidP="00335DFD">
      <w:pPr>
        <w:pStyle w:val="ListParagraph"/>
        <w:jc w:val="both"/>
      </w:pPr>
    </w:p>
    <w:p w14:paraId="06725852" w14:textId="77777777" w:rsidR="00335DFD" w:rsidRDefault="00335DFD" w:rsidP="00335DFD">
      <w:pPr>
        <w:pStyle w:val="ListParagraph"/>
        <w:numPr>
          <w:ilvl w:val="1"/>
          <w:numId w:val="2"/>
        </w:numPr>
        <w:ind w:left="720"/>
        <w:jc w:val="both"/>
      </w:pPr>
      <w:r>
        <w:t xml:space="preserve">Regarding the issues that intersex people face, the UN </w:t>
      </w:r>
      <w:r w:rsidRPr="002B74F0">
        <w:t>High Commissioner for Human Rights</w:t>
      </w:r>
      <w:r>
        <w:t xml:space="preserve"> has stated:</w:t>
      </w:r>
      <w:r w:rsidRPr="002B74F0">
        <w:t xml:space="preserve"> </w:t>
      </w:r>
    </w:p>
    <w:p w14:paraId="6BB2E65A" w14:textId="77777777" w:rsidR="00335DFD" w:rsidRDefault="00335DFD" w:rsidP="00335DFD">
      <w:pPr>
        <w:pStyle w:val="ListParagraph"/>
      </w:pPr>
    </w:p>
    <w:p w14:paraId="493BFD1C" w14:textId="77777777" w:rsidR="00335DFD" w:rsidRDefault="00335DFD" w:rsidP="00335DFD">
      <w:pPr>
        <w:ind w:left="1134" w:right="1069"/>
        <w:jc w:val="both"/>
      </w:pPr>
      <w:r w:rsidRPr="00A95311">
        <w:t>All human beings are born equal in dignity and rights. Those foundational, bedrock principles of universality and equality mean that all of us, without exception, and regardless of our sex characteristics, are equally entitled to the protections of international human rights law. Unfortunately, the myth that all human beings belong to one of two distinct and separate sexes is deep-rooted, and it contributes to the stigma, and even taboo, attached to being intersex. This is linked to … very serious human rights violations … They include … infanticides of intersex babies; and widespread and life-long discrimination, including in education, employment, health, sports [and] accessing public services</w:t>
      </w:r>
      <w:r>
        <w:t>.</w:t>
      </w:r>
      <w:r w:rsidRPr="00A95311">
        <w:rPr>
          <w:vertAlign w:val="superscript"/>
        </w:rPr>
        <w:footnoteReference w:id="123"/>
      </w:r>
    </w:p>
    <w:p w14:paraId="1D6A031A" w14:textId="77777777" w:rsidR="00335DFD" w:rsidRDefault="00335DFD" w:rsidP="00335DFD">
      <w:pPr>
        <w:pStyle w:val="ListParagraph"/>
      </w:pPr>
    </w:p>
    <w:p w14:paraId="0705AD74" w14:textId="77777777" w:rsidR="00335DFD" w:rsidRDefault="00335DFD" w:rsidP="00335DFD">
      <w:pPr>
        <w:pStyle w:val="ListParagraph"/>
        <w:numPr>
          <w:ilvl w:val="1"/>
          <w:numId w:val="2"/>
        </w:numPr>
        <w:ind w:left="720"/>
        <w:jc w:val="both"/>
      </w:pPr>
      <w:r>
        <w:t>Invasive procedures such as chromosomal or s</w:t>
      </w:r>
      <w:r w:rsidRPr="00C31A76">
        <w:t xml:space="preserve">ex </w:t>
      </w:r>
      <w:r>
        <w:t>t</w:t>
      </w:r>
      <w:r w:rsidRPr="00C31A76">
        <w:t>esting ha</w:t>
      </w:r>
      <w:r>
        <w:t>ve</w:t>
      </w:r>
      <w:r w:rsidRPr="00C31A76">
        <w:t xml:space="preserve"> frequently been conducted </w:t>
      </w:r>
      <w:r>
        <w:t xml:space="preserve">on athletes </w:t>
      </w:r>
      <w:r w:rsidRPr="00C31A76">
        <w:t xml:space="preserve">to avoid the apparent threat of </w:t>
      </w:r>
      <w:r>
        <w:t>‘</w:t>
      </w:r>
      <w:r w:rsidRPr="00C31A76">
        <w:t>sex fraud</w:t>
      </w:r>
      <w:r>
        <w:t>’</w:t>
      </w:r>
      <w:r w:rsidRPr="00C31A76">
        <w:t xml:space="preserve"> (participating under an assumed gender to obtain a competitive advantage).</w:t>
      </w:r>
      <w:r>
        <w:rPr>
          <w:rStyle w:val="FootnoteReference"/>
        </w:rPr>
        <w:footnoteReference w:id="124"/>
      </w:r>
      <w:r w:rsidRPr="00C31A76">
        <w:t xml:space="preserve"> In the past, women athletes have undergone chromosomal testing, only to discover that they do not possess the two X chromosomes usual to females.</w:t>
      </w:r>
      <w:r>
        <w:rPr>
          <w:rStyle w:val="FootnoteReference"/>
        </w:rPr>
        <w:footnoteReference w:id="125"/>
      </w:r>
    </w:p>
    <w:p w14:paraId="7FDBE6AC" w14:textId="77777777" w:rsidR="00335DFD" w:rsidRDefault="00335DFD" w:rsidP="00335DFD">
      <w:pPr>
        <w:pStyle w:val="ListParagraph"/>
        <w:jc w:val="both"/>
      </w:pPr>
    </w:p>
    <w:p w14:paraId="236C9A8A" w14:textId="141903CD" w:rsidR="00742DF0" w:rsidRDefault="00335DFD" w:rsidP="00742DF0">
      <w:pPr>
        <w:pStyle w:val="ListParagraph"/>
        <w:numPr>
          <w:ilvl w:val="1"/>
          <w:numId w:val="2"/>
        </w:numPr>
        <w:ind w:left="709" w:hanging="709"/>
        <w:jc w:val="both"/>
      </w:pPr>
      <w:r w:rsidRPr="00C31A76">
        <w:t>Some international and national sporting federations have introduced policies banning women with testosterone levels exceeding a certain threshold from participating in competitive sport.</w:t>
      </w:r>
      <w:r>
        <w:rPr>
          <w:rStyle w:val="FootnoteReference"/>
        </w:rPr>
        <w:footnoteReference w:id="126"/>
      </w:r>
      <w:r w:rsidRPr="00C31A76">
        <w:t xml:space="preserve"> However, </w:t>
      </w:r>
      <w:r>
        <w:t xml:space="preserve">it has also been argued that there is </w:t>
      </w:r>
      <w:r w:rsidRPr="00C31A76">
        <w:t>insufficient clinical evidence</w:t>
      </w:r>
      <w:r w:rsidRPr="00C31A76">
        <w:rPr>
          <w:vertAlign w:val="superscript"/>
        </w:rPr>
        <w:footnoteReference w:id="127"/>
      </w:r>
      <w:r w:rsidRPr="00C31A76">
        <w:t xml:space="preserve">  to establish that those women are afforded a “substantial performance advantage” warranting exclusion.</w:t>
      </w:r>
      <w:r w:rsidRPr="00C31A76">
        <w:rPr>
          <w:vertAlign w:val="superscript"/>
        </w:rPr>
        <w:footnoteReference w:id="128"/>
      </w:r>
      <w:r w:rsidRPr="00C31A76">
        <w:t xml:space="preserve"> </w:t>
      </w:r>
      <w:r w:rsidR="00742DF0">
        <w:t>It has been reported that t</w:t>
      </w:r>
      <w:r w:rsidR="00742DF0" w:rsidRPr="00C31A76">
        <w:t xml:space="preserve">hese </w:t>
      </w:r>
      <w:r w:rsidRPr="00C31A76">
        <w:t>policies have led to women athletes being discriminated against and forced or coerced into “treatment” for hyperandrogenism. Some athletes have undergone gonadectomy and partial clitoridectomy without health issues</w:t>
      </w:r>
      <w:r>
        <w:t xml:space="preserve"> that would</w:t>
      </w:r>
      <w:r w:rsidRPr="00C31A76">
        <w:t xml:space="preserve"> warrant those procedures.</w:t>
      </w:r>
      <w:r w:rsidRPr="00C31A76">
        <w:rPr>
          <w:vertAlign w:val="superscript"/>
        </w:rPr>
        <w:footnoteReference w:id="129"/>
      </w:r>
    </w:p>
    <w:p w14:paraId="0D67B486" w14:textId="77777777" w:rsidR="00335DFD" w:rsidRDefault="00335DFD" w:rsidP="00335DFD">
      <w:pPr>
        <w:pStyle w:val="ListParagraph"/>
        <w:jc w:val="both"/>
      </w:pPr>
    </w:p>
    <w:p w14:paraId="5E851F31" w14:textId="34C9062F" w:rsidR="00335DFD" w:rsidRDefault="00335DFD" w:rsidP="00335DFD">
      <w:pPr>
        <w:pStyle w:val="ListParagraph"/>
        <w:numPr>
          <w:ilvl w:val="1"/>
          <w:numId w:val="2"/>
        </w:numPr>
        <w:ind w:left="709" w:hanging="709"/>
        <w:jc w:val="both"/>
      </w:pPr>
      <w:r>
        <w:t>T</w:t>
      </w:r>
      <w:r w:rsidRPr="00D278AC">
        <w:t>he UN</w:t>
      </w:r>
      <w:r>
        <w:t xml:space="preserve"> </w:t>
      </w:r>
      <w:r w:rsidRPr="00D278AC">
        <w:t>HRC </w:t>
      </w:r>
      <w:r>
        <w:t xml:space="preserve">has </w:t>
      </w:r>
      <w:r w:rsidRPr="00D278AC">
        <w:t>adopted a resolution on the rights of intersex pe</w:t>
      </w:r>
      <w:r>
        <w:t>rsons</w:t>
      </w:r>
      <w:r w:rsidRPr="00D278AC">
        <w:t xml:space="preserve"> that </w:t>
      </w:r>
      <w:r w:rsidRPr="000C6784">
        <w:t>“</w:t>
      </w:r>
      <w:r w:rsidRPr="002621DF">
        <w:t>expresses concerns about existing discriminatory regulations, rules and practices that require some women and girl athletes to medically reduce their blood testosterone levels by undergoing unnecessary, humiliating and harmful medical procedures or hormone therapy in order to participate in women's events in competitive sports</w:t>
      </w:r>
      <w:r w:rsidRPr="000C6784">
        <w:t>”</w:t>
      </w:r>
      <w:r w:rsidRPr="00D278AC">
        <w:t>.</w:t>
      </w:r>
      <w:r>
        <w:rPr>
          <w:rStyle w:val="FootnoteReference"/>
        </w:rPr>
        <w:footnoteReference w:id="130"/>
      </w:r>
      <w:r w:rsidRPr="00D278AC">
        <w:t xml:space="preserve"> The resolution also requested </w:t>
      </w:r>
      <w:r>
        <w:t>OHCHR</w:t>
      </w:r>
      <w:r w:rsidRPr="00D278AC">
        <w:t xml:space="preserve"> to prepare a report on the intersections between race and gender discrimination in sports.</w:t>
      </w:r>
      <w:r>
        <w:rPr>
          <w:rStyle w:val="FootnoteReference"/>
        </w:rPr>
        <w:footnoteReference w:id="131"/>
      </w:r>
      <w:r w:rsidRPr="00D278AC">
        <w:t xml:space="preserve"> It recognises the multiple and intersecting forms of discrimination that women and girls face in sports settings, because of their race and sex, and the right to bodily integrity and autonomy.</w:t>
      </w:r>
      <w:r w:rsidRPr="00D278AC">
        <w:rPr>
          <w:vertAlign w:val="superscript"/>
        </w:rPr>
        <w:footnoteReference w:id="132"/>
      </w:r>
    </w:p>
    <w:p w14:paraId="340A8294" w14:textId="77777777" w:rsidR="00335DFD" w:rsidRDefault="00335DFD" w:rsidP="00335DFD">
      <w:pPr>
        <w:pStyle w:val="ListParagraph"/>
        <w:jc w:val="both"/>
      </w:pPr>
    </w:p>
    <w:p w14:paraId="12403133" w14:textId="77777777" w:rsidR="00335DFD" w:rsidRPr="00C31A76" w:rsidRDefault="00335DFD" w:rsidP="00335DFD">
      <w:pPr>
        <w:pStyle w:val="ListParagraph"/>
        <w:numPr>
          <w:ilvl w:val="1"/>
          <w:numId w:val="2"/>
        </w:numPr>
        <w:ind w:left="709" w:hanging="709"/>
        <w:jc w:val="both"/>
      </w:pPr>
      <w:r w:rsidRPr="00C31A76">
        <w:t>In April 2016, the </w:t>
      </w:r>
      <w:r>
        <w:t>UN</w:t>
      </w:r>
      <w:r w:rsidRPr="00C31A76">
        <w:t xml:space="preserve"> Special Rapporteur on health, </w:t>
      </w:r>
      <w:proofErr w:type="spellStart"/>
      <w:r w:rsidRPr="00C31A76">
        <w:t>Dainius</w:t>
      </w:r>
      <w:proofErr w:type="spellEnd"/>
      <w:r w:rsidRPr="00C31A76">
        <w:t xml:space="preserve"> </w:t>
      </w:r>
      <w:proofErr w:type="spellStart"/>
      <w:r w:rsidRPr="00C31A76">
        <w:t>Pūras</w:t>
      </w:r>
      <w:proofErr w:type="spellEnd"/>
      <w:r w:rsidRPr="00C31A76">
        <w:t xml:space="preserve">, criticised current and historic sex verification policies, </w:t>
      </w:r>
      <w:r>
        <w:t>recommending that</w:t>
      </w:r>
      <w:r w:rsidRPr="00C31A76">
        <w:t>:</w:t>
      </w:r>
    </w:p>
    <w:p w14:paraId="43AC254E" w14:textId="77777777" w:rsidR="00335DFD" w:rsidRPr="00C31A76" w:rsidRDefault="00335DFD" w:rsidP="00335DFD">
      <w:pPr>
        <w:pStyle w:val="ListParagraph"/>
        <w:ind w:left="709"/>
        <w:jc w:val="both"/>
      </w:pPr>
    </w:p>
    <w:p w14:paraId="3E1FE885" w14:textId="77777777" w:rsidR="00335DFD" w:rsidRPr="00C31A76" w:rsidRDefault="00335DFD" w:rsidP="00335DFD">
      <w:pPr>
        <w:pStyle w:val="ListParagraph"/>
        <w:ind w:left="1134" w:right="1069"/>
        <w:jc w:val="both"/>
      </w:pPr>
      <w:r w:rsidRPr="00F3377C">
        <w:t xml:space="preserve">Sporting organisations must implement policies in accordance with human rights norms and refrain from introducing </w:t>
      </w:r>
      <w:r w:rsidRPr="0040745C">
        <w:t xml:space="preserve">policies that force, coerce or otherwise pressure women athletes into undergoing unnecessary, irreversible, and harmful medical procedures </w:t>
      </w:r>
      <w:proofErr w:type="gramStart"/>
      <w:r w:rsidRPr="0040745C">
        <w:t>in order to</w:t>
      </w:r>
      <w:proofErr w:type="gramEnd"/>
      <w:r w:rsidRPr="0040745C">
        <w:t xml:space="preserve"> participate as women in competitive sport. States should also adopt legislation incorporating international human rights standards to protect the rights of intersex persons at all levels of sport, given that they frequently report bullying and discriminatory behaviour, and should take steps to protect the health rights of intersex women in their jurisdiction from interference by third parties</w:t>
      </w:r>
      <w:r w:rsidRPr="0024479A">
        <w:t>.</w:t>
      </w:r>
      <w:r w:rsidRPr="00C31A76">
        <w:rPr>
          <w:vertAlign w:val="superscript"/>
        </w:rPr>
        <w:footnoteReference w:id="133"/>
      </w:r>
    </w:p>
    <w:p w14:paraId="6927FF38" w14:textId="77777777" w:rsidR="00335DFD" w:rsidRPr="00C31A76" w:rsidRDefault="00335DFD" w:rsidP="00335DFD">
      <w:pPr>
        <w:pStyle w:val="ListParagraph"/>
        <w:ind w:left="709"/>
        <w:jc w:val="both"/>
      </w:pPr>
    </w:p>
    <w:p w14:paraId="436A5DD0" w14:textId="089AD4DC" w:rsidR="00030868" w:rsidRPr="009E1F75" w:rsidRDefault="00030868" w:rsidP="009E1F75">
      <w:pPr>
        <w:pStyle w:val="ListParagraph"/>
        <w:numPr>
          <w:ilvl w:val="1"/>
          <w:numId w:val="2"/>
        </w:numPr>
        <w:ind w:left="709"/>
        <w:jc w:val="both"/>
        <w:rPr>
          <w:color w:val="000000"/>
        </w:rPr>
      </w:pPr>
      <w:r w:rsidRPr="00912625">
        <w:rPr>
          <w:color w:val="000000"/>
        </w:rPr>
        <w:t xml:space="preserve">The </w:t>
      </w:r>
      <w:r w:rsidRPr="007D6319">
        <w:t>Yogyakarta</w:t>
      </w:r>
      <w:r w:rsidRPr="00912625">
        <w:rPr>
          <w:color w:val="000000"/>
        </w:rPr>
        <w:t xml:space="preserve"> Principles plus 10 also recognise the right of everyone, including children, to bodily and mental integrity, autonomy and self-determination.</w:t>
      </w:r>
      <w:r w:rsidRPr="007D6319">
        <w:rPr>
          <w:rStyle w:val="FootnoteReference"/>
          <w:color w:val="000000"/>
        </w:rPr>
        <w:footnoteReference w:id="134"/>
      </w:r>
      <w:r w:rsidRPr="00912625">
        <w:rPr>
          <w:color w:val="000000"/>
        </w:rPr>
        <w:t xml:space="preserve"> This requires States to ensure that legislation protects against forced or coercive modifications to sex characteristics</w:t>
      </w:r>
      <w:r w:rsidRPr="007D6319">
        <w:rPr>
          <w:rStyle w:val="FootnoteReference"/>
          <w:color w:val="000000"/>
        </w:rPr>
        <w:footnoteReference w:id="135"/>
      </w:r>
      <w:r w:rsidRPr="00912625">
        <w:rPr>
          <w:color w:val="000000"/>
        </w:rPr>
        <w:t xml:space="preserve"> In respect of children, </w:t>
      </w:r>
      <w:r w:rsidR="007D6319" w:rsidRPr="00912625">
        <w:rPr>
          <w:color w:val="000000"/>
        </w:rPr>
        <w:t xml:space="preserve">that modifications </w:t>
      </w:r>
      <w:r w:rsidRPr="00912625">
        <w:rPr>
          <w:color w:val="000000"/>
        </w:rPr>
        <w:t>are consented to by the child in a manner consistent with their evolving capacity and guided by the principle that in all actions concerning children, the best interests of the child shall be a primary consideration.</w:t>
      </w:r>
      <w:r w:rsidRPr="007D6319">
        <w:rPr>
          <w:rStyle w:val="FootnoteReference"/>
          <w:color w:val="000000"/>
        </w:rPr>
        <w:footnoteReference w:id="136"/>
      </w:r>
      <w:r w:rsidRPr="00912625">
        <w:rPr>
          <w:color w:val="000000"/>
        </w:rPr>
        <w:t xml:space="preserve"> </w:t>
      </w:r>
    </w:p>
    <w:p w14:paraId="3E76FD6E" w14:textId="1EB3874C" w:rsidR="00335DFD" w:rsidRDefault="00335DFD" w:rsidP="00335DFD">
      <w:pPr>
        <w:pStyle w:val="ListParagraph"/>
        <w:numPr>
          <w:ilvl w:val="1"/>
          <w:numId w:val="2"/>
        </w:numPr>
        <w:ind w:left="709" w:hanging="709"/>
        <w:jc w:val="both"/>
      </w:pPr>
      <w:r w:rsidRPr="00C31A76">
        <w:t>Sport’s institutional structure is such that all Olympic-eligible sports must at least abide by IOC policy.</w:t>
      </w:r>
      <w:r>
        <w:rPr>
          <w:rStyle w:val="FootnoteReference"/>
        </w:rPr>
        <w:footnoteReference w:id="137"/>
      </w:r>
      <w:r w:rsidRPr="00C31A76">
        <w:t xml:space="preserve"> In this case, athletes wishing to compete in the Olympics may only do so in either the</w:t>
      </w:r>
      <w:r w:rsidRPr="00C31A76">
        <w:rPr>
          <w:i/>
          <w:iCs/>
        </w:rPr>
        <w:t> </w:t>
      </w:r>
      <w:r w:rsidRPr="0040745C">
        <w:t>male</w:t>
      </w:r>
      <w:r w:rsidRPr="0024479A">
        <w:t> </w:t>
      </w:r>
      <w:r w:rsidRPr="00C31A76">
        <w:t>or </w:t>
      </w:r>
      <w:r w:rsidRPr="0040745C">
        <w:t>female</w:t>
      </w:r>
      <w:r w:rsidRPr="00C31A76">
        <w:t xml:space="preserve"> categories. </w:t>
      </w:r>
      <w:r w:rsidR="0013328C">
        <w:t>This</w:t>
      </w:r>
      <w:r>
        <w:t xml:space="preserve"> eligibility criteria </w:t>
      </w:r>
      <w:r w:rsidR="0013328C">
        <w:t xml:space="preserve">may </w:t>
      </w:r>
      <w:r>
        <w:t xml:space="preserve">then filter </w:t>
      </w:r>
      <w:r w:rsidRPr="00C31A76">
        <w:t>down into grassroots sports</w:t>
      </w:r>
      <w:r>
        <w:t>.</w:t>
      </w:r>
    </w:p>
    <w:p w14:paraId="75E548FD" w14:textId="77777777" w:rsidR="00335DFD" w:rsidRDefault="00335DFD" w:rsidP="00335DFD">
      <w:pPr>
        <w:pStyle w:val="ListParagraph"/>
        <w:ind w:left="709"/>
        <w:jc w:val="both"/>
      </w:pPr>
    </w:p>
    <w:p w14:paraId="2DF7E73E" w14:textId="77777777" w:rsidR="008372C8" w:rsidRDefault="00335DFD" w:rsidP="00335DFD">
      <w:pPr>
        <w:pStyle w:val="ListParagraph"/>
        <w:numPr>
          <w:ilvl w:val="1"/>
          <w:numId w:val="2"/>
        </w:numPr>
        <w:ind w:left="709" w:hanging="709"/>
        <w:jc w:val="both"/>
      </w:pPr>
      <w:r>
        <w:t xml:space="preserve">In </w:t>
      </w:r>
      <w:r w:rsidRPr="00C31A76">
        <w:t>2015</w:t>
      </w:r>
      <w:r>
        <w:t>, the</w:t>
      </w:r>
      <w:r w:rsidRPr="00C31A76">
        <w:t xml:space="preserve"> Court of Arbitration for Sport </w:t>
      </w:r>
      <w:r>
        <w:t>(</w:t>
      </w:r>
      <w:r w:rsidRPr="00C31A76">
        <w:t>CAS</w:t>
      </w:r>
      <w:r>
        <w:t>)</w:t>
      </w:r>
      <w:r w:rsidRPr="00C31A76">
        <w:t xml:space="preserve"> </w:t>
      </w:r>
      <w:r>
        <w:t xml:space="preserve">issued a landmark </w:t>
      </w:r>
      <w:r w:rsidRPr="00C31A76">
        <w:t>decision concern</w:t>
      </w:r>
      <w:r>
        <w:t>ing</w:t>
      </w:r>
      <w:r w:rsidRPr="00C31A76">
        <w:t xml:space="preserve"> intersex female runner </w:t>
      </w:r>
      <w:proofErr w:type="spellStart"/>
      <w:r w:rsidRPr="00C31A76">
        <w:t>Dutee</w:t>
      </w:r>
      <w:proofErr w:type="spellEnd"/>
      <w:r w:rsidRPr="00C31A76">
        <w:t xml:space="preserve"> Chand.</w:t>
      </w:r>
      <w:r w:rsidRPr="00FA45FB">
        <w:rPr>
          <w:rFonts w:ascii="Segoe UI" w:hAnsi="Segoe UI" w:cs="Segoe UI"/>
          <w:sz w:val="18"/>
          <w:szCs w:val="18"/>
        </w:rPr>
        <w:t xml:space="preserve"> </w:t>
      </w:r>
      <w:r w:rsidRPr="00FA45FB">
        <w:t>The decision was the first of its kind and marked an important stage in the development of law related to intersex rights</w:t>
      </w:r>
      <w:r>
        <w:t>.</w:t>
      </w:r>
      <w:r w:rsidRPr="00C31A76">
        <w:t xml:space="preserve"> Chand won two gold medals at Asian Junior Athletics Championships in 200 metres and 4 × 400 metre relays. In the 200m event she bettered her previous timing to 23.74 sec</w:t>
      </w:r>
      <w:r>
        <w:t>ond</w:t>
      </w:r>
      <w:r w:rsidRPr="00C31A76">
        <w:t>s hoping to qualif</w:t>
      </w:r>
      <w:r>
        <w:t>y</w:t>
      </w:r>
      <w:r w:rsidRPr="00C31A76">
        <w:t xml:space="preserve"> for the Commonwealth Games, but Chand was dropped from the 2014 Commonwealth Games contingent after the Athletic Federation of India stated that hyperandrogenism made her ineligible to compete as a female athlete.</w:t>
      </w:r>
      <w:r w:rsidRPr="00C31A76">
        <w:rPr>
          <w:vertAlign w:val="superscript"/>
        </w:rPr>
        <w:footnoteReference w:id="138"/>
      </w:r>
      <w:r w:rsidRPr="00C31A76">
        <w:t xml:space="preserve"> Following the Commonwealth Games</w:t>
      </w:r>
      <w:r>
        <w:t>,</w:t>
      </w:r>
      <w:r w:rsidRPr="00C31A76">
        <w:t xml:space="preserve"> she was also dropped from the Indian contingent for the 2014 Asian Games. There was no suggestion that Chand was involved in cheating or doping, and the decision was widely critici</w:t>
      </w:r>
      <w:r>
        <w:t>s</w:t>
      </w:r>
      <w:r w:rsidRPr="00C31A76">
        <w:t>ed</w:t>
      </w:r>
      <w:r>
        <w:t xml:space="preserve"> </w:t>
      </w:r>
      <w:r w:rsidRPr="00C31A76">
        <w:t xml:space="preserve">by intersex advocates. </w:t>
      </w:r>
    </w:p>
    <w:p w14:paraId="1A6F0014" w14:textId="77777777" w:rsidR="008372C8" w:rsidRDefault="008372C8" w:rsidP="008372C8">
      <w:pPr>
        <w:pStyle w:val="ListParagraph"/>
      </w:pPr>
    </w:p>
    <w:p w14:paraId="5C3EF8FF" w14:textId="093D44CD" w:rsidR="00335DFD" w:rsidRDefault="00335DFD" w:rsidP="008372C8">
      <w:pPr>
        <w:pStyle w:val="ListParagraph"/>
        <w:numPr>
          <w:ilvl w:val="1"/>
          <w:numId w:val="2"/>
        </w:numPr>
        <w:ind w:left="709" w:hanging="709"/>
        <w:jc w:val="both"/>
      </w:pPr>
      <w:r w:rsidRPr="00C31A76">
        <w:t>Chand appealed to CAS.</w:t>
      </w:r>
      <w:r w:rsidR="008372C8">
        <w:t xml:space="preserve"> </w:t>
      </w:r>
      <w:r w:rsidRPr="00C31A76">
        <w:t>Following the decision in her favour</w:t>
      </w:r>
      <w:r w:rsidRPr="00C31A76">
        <w:rPr>
          <w:vertAlign w:val="superscript"/>
        </w:rPr>
        <w:footnoteReference w:id="139"/>
      </w:r>
      <w:r>
        <w:t>,</w:t>
      </w:r>
      <w:r w:rsidRPr="00C31A76">
        <w:t xml:space="preserve"> </w:t>
      </w:r>
      <w:r>
        <w:t>t</w:t>
      </w:r>
      <w:r w:rsidRPr="00C31A76">
        <w:t xml:space="preserve">he International Association of Athletics Federations </w:t>
      </w:r>
      <w:r>
        <w:t>(</w:t>
      </w:r>
      <w:r w:rsidRPr="00C31A76">
        <w:t>IAAF</w:t>
      </w:r>
      <w:r>
        <w:t>)</w:t>
      </w:r>
      <w:r w:rsidRPr="00C31A76">
        <w:t xml:space="preserve"> policy on hyperandrogenism was suspended. The ruling found that there was a lack of evidence that testosterone increased female athletic performance and notified the IAAF that it had two years to provide the evidence. This effectively removed the suspension of Chand from competition, clearing her to race again.</w:t>
      </w:r>
    </w:p>
    <w:p w14:paraId="76E32CE5" w14:textId="77777777" w:rsidR="00335DFD" w:rsidRDefault="00335DFD" w:rsidP="00335DFD">
      <w:pPr>
        <w:pStyle w:val="ListParagraph"/>
        <w:jc w:val="both"/>
      </w:pPr>
    </w:p>
    <w:p w14:paraId="043E3A5E" w14:textId="19B3F2D8" w:rsidR="00335DFD" w:rsidRDefault="00335DFD" w:rsidP="00335DFD">
      <w:pPr>
        <w:pStyle w:val="ListParagraph"/>
        <w:numPr>
          <w:ilvl w:val="1"/>
          <w:numId w:val="2"/>
        </w:numPr>
        <w:ind w:left="709" w:hanging="709"/>
        <w:jc w:val="both"/>
      </w:pPr>
      <w:r>
        <w:t>In 2019,</w:t>
      </w:r>
      <w:r w:rsidR="008372C8">
        <w:t xml:space="preserve"> </w:t>
      </w:r>
      <w:r>
        <w:t>t</w:t>
      </w:r>
      <w:r w:rsidRPr="00C31A76">
        <w:t xml:space="preserve">he </w:t>
      </w:r>
      <w:r>
        <w:t xml:space="preserve">UN HRC </w:t>
      </w:r>
      <w:r w:rsidRPr="00C31A76">
        <w:t>passed a South African-led resolution on eliminating discrimination against women and girls in sport that criticised the IAAF.</w:t>
      </w:r>
      <w:r w:rsidRPr="00131969">
        <w:rPr>
          <w:rStyle w:val="FootnoteReference"/>
        </w:rPr>
        <w:t xml:space="preserve"> </w:t>
      </w:r>
      <w:r w:rsidRPr="00C31A76">
        <w:t>It called on all countries to ensure sports organisations “</w:t>
      </w:r>
      <w:bookmarkStart w:id="43" w:name="_Hlk120703711"/>
      <w:r w:rsidRPr="0040745C">
        <w:t>refrain from developing and enforcing policies and practices that force, coerce or otherwise pressure women and girl athletes into undergoing unnecessary, humiliating and harmful medical procedures</w:t>
      </w:r>
      <w:r>
        <w:t xml:space="preserve"> </w:t>
      </w:r>
      <w:r w:rsidRPr="0041710B">
        <w:t>in order to participate in women’s events in competitive sports,</w:t>
      </w:r>
      <w:r>
        <w:t xml:space="preserve"> </w:t>
      </w:r>
      <w:r w:rsidRPr="0041710B">
        <w:t>and to repeal rules, policies and practices that negate their rights to bodily integrity and</w:t>
      </w:r>
      <w:r>
        <w:t xml:space="preserve"> </w:t>
      </w:r>
      <w:r w:rsidRPr="0041710B">
        <w:t>autonomy</w:t>
      </w:r>
      <w:bookmarkEnd w:id="43"/>
      <w:r w:rsidRPr="00B41F24">
        <w:t>”</w:t>
      </w:r>
      <w:r w:rsidRPr="00C31A76">
        <w:t>.</w:t>
      </w:r>
      <w:r w:rsidR="008372C8">
        <w:rPr>
          <w:rStyle w:val="FootnoteReference"/>
        </w:rPr>
        <w:footnoteReference w:id="140"/>
      </w:r>
    </w:p>
    <w:p w14:paraId="6251CE49" w14:textId="77777777" w:rsidR="00335DFD" w:rsidRDefault="00335DFD" w:rsidP="00335DFD">
      <w:pPr>
        <w:pStyle w:val="ListParagraph"/>
        <w:jc w:val="both"/>
      </w:pPr>
    </w:p>
    <w:p w14:paraId="7763B1D0" w14:textId="77777777" w:rsidR="00335DFD" w:rsidRDefault="00335DFD" w:rsidP="00335DFD">
      <w:pPr>
        <w:pStyle w:val="ListParagraph"/>
        <w:numPr>
          <w:ilvl w:val="1"/>
          <w:numId w:val="2"/>
        </w:numPr>
        <w:ind w:left="709" w:hanging="709"/>
        <w:jc w:val="both"/>
      </w:pPr>
      <w:r w:rsidRPr="00C31A76">
        <w:t xml:space="preserve">Another high-profile case is that of Caster Semenya. Semenya is a South African middle-distance runner and winner of two Olympic gold medals and three world championships. </w:t>
      </w:r>
      <w:r>
        <w:t>In</w:t>
      </w:r>
      <w:r w:rsidRPr="00C31A76">
        <w:t> June 2018, Semenya announced that she would legally challenge the IAAF rules. She claimed that such hormonal medication, which she had taken from 2010 to 2015, had made her feel constantly sick and caused her abdominal pain</w:t>
      </w:r>
      <w:r>
        <w:t>.</w:t>
      </w:r>
      <w:r w:rsidRPr="00C31A76">
        <w:rPr>
          <w:vertAlign w:val="superscript"/>
        </w:rPr>
        <w:footnoteReference w:id="141"/>
      </w:r>
      <w:r w:rsidRPr="00C31A76">
        <w:t xml:space="preserve"> Semenya filed a request for arbitration before CAS against regulations made by the </w:t>
      </w:r>
      <w:r>
        <w:t xml:space="preserve">IAAF </w:t>
      </w:r>
      <w:r w:rsidRPr="00C31A76">
        <w:t>in 2018,</w:t>
      </w:r>
      <w:r>
        <w:rPr>
          <w:rStyle w:val="FootnoteReference"/>
        </w:rPr>
        <w:footnoteReference w:id="142"/>
      </w:r>
      <w:r w:rsidRPr="00C31A76">
        <w:t xml:space="preserve"> which required her to undergo hormonal treatment </w:t>
      </w:r>
      <w:proofErr w:type="gramStart"/>
      <w:r w:rsidRPr="00C31A76">
        <w:t>in order to</w:t>
      </w:r>
      <w:proofErr w:type="gramEnd"/>
      <w:r w:rsidRPr="00C31A76">
        <w:t xml:space="preserve"> compete in the Women’s category.</w:t>
      </w:r>
    </w:p>
    <w:p w14:paraId="46A97CF6" w14:textId="77777777" w:rsidR="00335DFD" w:rsidRDefault="00335DFD" w:rsidP="00335DFD">
      <w:pPr>
        <w:pStyle w:val="ListParagraph"/>
        <w:jc w:val="both"/>
      </w:pPr>
    </w:p>
    <w:p w14:paraId="6F2BC1B5" w14:textId="77777777" w:rsidR="00335DFD" w:rsidRDefault="00335DFD" w:rsidP="00335DFD">
      <w:pPr>
        <w:pStyle w:val="ListParagraph"/>
        <w:numPr>
          <w:ilvl w:val="1"/>
          <w:numId w:val="2"/>
        </w:numPr>
        <w:ind w:left="709" w:hanging="709"/>
        <w:jc w:val="both"/>
      </w:pPr>
      <w:r>
        <w:t>The CAS</w:t>
      </w:r>
      <w:r w:rsidRPr="00C31A76">
        <w:t xml:space="preserve"> rejected her challenge</w:t>
      </w:r>
      <w:r w:rsidRPr="00C31A76">
        <w:rPr>
          <w:vertAlign w:val="superscript"/>
        </w:rPr>
        <w:footnoteReference w:id="143"/>
      </w:r>
      <w:r w:rsidRPr="00C31A76">
        <w:t xml:space="preserve"> and Semenya subsequently filed a civil action with the Swiss Federal Court</w:t>
      </w:r>
      <w:r>
        <w:t xml:space="preserve"> arguing discrimination on the grounds of sex and sex characteristics against female athletes. </w:t>
      </w:r>
      <w:r w:rsidRPr="00C31A76">
        <w:t xml:space="preserve">The Swiss Federal Court rejected Semenya’s appeal against the decision of the CAS and thereby upheld the legality of the so-called ‘testosterone </w:t>
      </w:r>
      <w:proofErr w:type="gramStart"/>
      <w:r w:rsidRPr="00C31A76">
        <w:t>rules’</w:t>
      </w:r>
      <w:proofErr w:type="gramEnd"/>
      <w:r w:rsidRPr="00C31A76">
        <w:t>.</w:t>
      </w:r>
      <w:r w:rsidRPr="00C31A76">
        <w:rPr>
          <w:vertAlign w:val="superscript"/>
        </w:rPr>
        <w:footnoteReference w:id="144"/>
      </w:r>
      <w:r w:rsidRPr="00EA2BF9">
        <w:t xml:space="preserve"> </w:t>
      </w:r>
    </w:p>
    <w:p w14:paraId="7CB31C82" w14:textId="77777777" w:rsidR="00335DFD" w:rsidRDefault="00335DFD" w:rsidP="00335DFD">
      <w:pPr>
        <w:pStyle w:val="ListParagraph"/>
        <w:jc w:val="both"/>
      </w:pPr>
    </w:p>
    <w:p w14:paraId="7E59ACD2" w14:textId="77777777" w:rsidR="00335DFD" w:rsidRDefault="00335DFD" w:rsidP="00335DFD">
      <w:pPr>
        <w:pStyle w:val="ListParagraph"/>
        <w:numPr>
          <w:ilvl w:val="1"/>
          <w:numId w:val="2"/>
        </w:numPr>
        <w:ind w:left="709" w:hanging="709"/>
        <w:jc w:val="both"/>
      </w:pPr>
      <w:r w:rsidRPr="00C31A76">
        <w:t xml:space="preserve">Semenya </w:t>
      </w:r>
      <w:r>
        <w:t>has now made an application to</w:t>
      </w:r>
      <w:r w:rsidRPr="00C31A76">
        <w:t xml:space="preserve"> the </w:t>
      </w:r>
      <w:r>
        <w:t xml:space="preserve">ECtHR, arguing that </w:t>
      </w:r>
      <w:r w:rsidRPr="00C31A76">
        <w:t xml:space="preserve">Switzerland has failed in its obligations to protect her against the violation of her rights under </w:t>
      </w:r>
      <w:r>
        <w:t>Articles 3, 6, 8, 13, and 14 ECHR</w:t>
      </w:r>
      <w:r w:rsidRPr="00C31A76">
        <w:t>.</w:t>
      </w:r>
      <w:r w:rsidRPr="00DE6DF2">
        <w:rPr>
          <w:vertAlign w:val="superscript"/>
        </w:rPr>
        <w:t xml:space="preserve"> </w:t>
      </w:r>
      <w:r w:rsidRPr="00C31A76">
        <w:rPr>
          <w:vertAlign w:val="superscript"/>
        </w:rPr>
        <w:footnoteReference w:id="145"/>
      </w:r>
      <w:r w:rsidRPr="00C31A76">
        <w:t xml:space="preserve"> </w:t>
      </w:r>
    </w:p>
    <w:p w14:paraId="5147EF65" w14:textId="77777777" w:rsidR="00335DFD" w:rsidRDefault="00335DFD" w:rsidP="00335DFD">
      <w:pPr>
        <w:pStyle w:val="ListParagraph"/>
        <w:jc w:val="both"/>
      </w:pPr>
    </w:p>
    <w:p w14:paraId="4FB7E050" w14:textId="77777777" w:rsidR="00335DFD" w:rsidRDefault="00335DFD" w:rsidP="00335DFD">
      <w:pPr>
        <w:pStyle w:val="ListParagraph"/>
        <w:numPr>
          <w:ilvl w:val="1"/>
          <w:numId w:val="2"/>
        </w:numPr>
        <w:ind w:left="709" w:hanging="709"/>
        <w:jc w:val="both"/>
      </w:pPr>
      <w:r>
        <w:t>The ECtHR is being invited to determine that S</w:t>
      </w:r>
      <w:r w:rsidRPr="00EA2BF9">
        <w:t xml:space="preserve">tates have </w:t>
      </w:r>
      <w:r>
        <w:t>a</w:t>
      </w:r>
      <w:r w:rsidRPr="00EA2BF9">
        <w:t xml:space="preserve"> positive obligation under Article 8 ECHR to ensure the effective protection of the bodily integrity of female professional athletes with a variation of sex characteristics</w:t>
      </w:r>
      <w:r>
        <w:t xml:space="preserve">. Should the ECtHR do so, it could </w:t>
      </w:r>
      <w:proofErr w:type="gramStart"/>
      <w:r>
        <w:t>have an effect on</w:t>
      </w:r>
      <w:proofErr w:type="gramEnd"/>
      <w:r>
        <w:t xml:space="preserve"> the justiciability in public law of rules on sporting participation made by private sporting bodies.</w:t>
      </w:r>
      <w:r w:rsidRPr="00D1752D">
        <w:t xml:space="preserve"> </w:t>
      </w:r>
      <w:r>
        <w:t>T</w:t>
      </w:r>
      <w:r w:rsidRPr="00D1752D">
        <w:t xml:space="preserve">he </w:t>
      </w:r>
      <w:r>
        <w:t>ECtHR</w:t>
      </w:r>
      <w:r w:rsidRPr="00D1752D">
        <w:t xml:space="preserve"> has </w:t>
      </w:r>
      <w:r>
        <w:t>previously held that</w:t>
      </w:r>
      <w:r w:rsidRPr="00D1752D">
        <w:t>, “</w:t>
      </w:r>
      <w:r w:rsidRPr="00BB7527">
        <w:t>while the essential object of Article 8 of the Convention is to protect individuals against arbitrary interference by public authorities, it may also impose on the State certain positive obligations to ensure effective respect for the rights protected by Article 8</w:t>
      </w:r>
      <w:r w:rsidRPr="00B41F24">
        <w:t>”</w:t>
      </w:r>
      <w:r>
        <w:rPr>
          <w:rStyle w:val="FootnoteReference"/>
        </w:rPr>
        <w:footnoteReference w:id="146"/>
      </w:r>
      <w:r w:rsidRPr="00D1752D">
        <w:t xml:space="preserve"> even in the horizontal relation between two private parties.</w:t>
      </w:r>
      <w:r>
        <w:rPr>
          <w:rStyle w:val="FootnoteReference"/>
        </w:rPr>
        <w:footnoteReference w:id="147"/>
      </w:r>
      <w:r>
        <w:t xml:space="preserve"> </w:t>
      </w:r>
    </w:p>
    <w:p w14:paraId="5C25491C" w14:textId="77777777" w:rsidR="00335DFD" w:rsidRDefault="00335DFD" w:rsidP="00335DFD">
      <w:pPr>
        <w:pStyle w:val="ListParagraph"/>
      </w:pPr>
    </w:p>
    <w:p w14:paraId="0DE56B49" w14:textId="77777777" w:rsidR="00481069" w:rsidRDefault="00335DFD" w:rsidP="00335DFD">
      <w:pPr>
        <w:pStyle w:val="ListParagraph"/>
        <w:numPr>
          <w:ilvl w:val="1"/>
          <w:numId w:val="2"/>
        </w:numPr>
        <w:ind w:left="709" w:hanging="709"/>
        <w:jc w:val="both"/>
      </w:pPr>
      <w:r>
        <w:t>A decision by the ECtHR is awaited but it could be illustrative in the development of the human rights jurisprudence on the issue of participation in sport for transgender persons.</w:t>
      </w:r>
    </w:p>
    <w:p w14:paraId="35518432" w14:textId="77777777" w:rsidR="00481069" w:rsidRDefault="00481069" w:rsidP="00481069">
      <w:pPr>
        <w:pStyle w:val="ListParagraph"/>
      </w:pPr>
    </w:p>
    <w:p w14:paraId="2CF03C62" w14:textId="3F8FCE1B" w:rsidR="00912625" w:rsidRDefault="003E1253" w:rsidP="009E1F75">
      <w:pPr>
        <w:pStyle w:val="ListParagraph"/>
        <w:numPr>
          <w:ilvl w:val="1"/>
          <w:numId w:val="2"/>
        </w:numPr>
        <w:ind w:left="709" w:hanging="709"/>
        <w:jc w:val="both"/>
      </w:pPr>
      <w:r>
        <w:t>In parallel</w:t>
      </w:r>
      <w:r w:rsidR="004C252E">
        <w:t xml:space="preserve"> t</w:t>
      </w:r>
      <w:r w:rsidR="00481069">
        <w:t>o issues around transgender participation</w:t>
      </w:r>
      <w:r w:rsidR="00632F7A">
        <w:t xml:space="preserve">, blanket approaches to this complicated issue </w:t>
      </w:r>
      <w:r w:rsidR="006E331B" w:rsidRPr="002D1C3D">
        <w:t>may</w:t>
      </w:r>
      <w:r w:rsidR="00B01163">
        <w:t xml:space="preserve"> struggle to be considered reasonable and </w:t>
      </w:r>
      <w:r w:rsidR="006E331B" w:rsidRPr="002D1C3D">
        <w:t>proportionate</w:t>
      </w:r>
      <w:r w:rsidR="00B01163">
        <w:t xml:space="preserve"> </w:t>
      </w:r>
      <w:r w:rsidR="006E331B" w:rsidRPr="002D1C3D">
        <w:t>and</w:t>
      </w:r>
      <w:r w:rsidR="00570E3D">
        <w:t xml:space="preserve"> </w:t>
      </w:r>
      <w:r>
        <w:t>may</w:t>
      </w:r>
      <w:r w:rsidR="00D55BBE">
        <w:t xml:space="preserve"> continue to </w:t>
      </w:r>
      <w:r w:rsidR="00570E3D">
        <w:t xml:space="preserve">face </w:t>
      </w:r>
      <w:r w:rsidR="00D55BBE">
        <w:t>legal challenge</w:t>
      </w:r>
      <w:r w:rsidR="00300519">
        <w:t xml:space="preserve">. Intersex </w:t>
      </w:r>
      <w:r w:rsidR="00687A9B">
        <w:t>persons</w:t>
      </w:r>
      <w:r w:rsidR="004C252E">
        <w:t xml:space="preserve"> also</w:t>
      </w:r>
      <w:r w:rsidR="00570E3D">
        <w:t xml:space="preserve"> </w:t>
      </w:r>
      <w:r w:rsidR="00687A9B">
        <w:t>highlight</w:t>
      </w:r>
      <w:r w:rsidR="00632F7A">
        <w:t xml:space="preserve"> the</w:t>
      </w:r>
      <w:r w:rsidR="00481069">
        <w:t xml:space="preserve"> </w:t>
      </w:r>
      <w:r w:rsidR="00632F7A" w:rsidRPr="002D1C3D">
        <w:t>particular the problem of</w:t>
      </w:r>
      <w:r w:rsidR="00300519">
        <w:t xml:space="preserve"> only</w:t>
      </w:r>
      <w:r w:rsidR="00632F7A">
        <w:t xml:space="preserve"> using</w:t>
      </w:r>
      <w:r w:rsidR="00632F7A" w:rsidRPr="002D1C3D">
        <w:t xml:space="preserve"> birth sex as </w:t>
      </w:r>
      <w:r w:rsidR="00570E3D">
        <w:t>the</w:t>
      </w:r>
      <w:r w:rsidR="00632F7A" w:rsidRPr="002D1C3D">
        <w:t xml:space="preserve"> basis for</w:t>
      </w:r>
      <w:r w:rsidR="00570E3D">
        <w:t xml:space="preserve"> gender determin</w:t>
      </w:r>
      <w:r w:rsidR="0028262B">
        <w:t>ation and</w:t>
      </w:r>
      <w:r w:rsidR="00632F7A" w:rsidRPr="002D1C3D">
        <w:t xml:space="preserve"> exclusion</w:t>
      </w:r>
      <w:r w:rsidR="00687A9B">
        <w:t xml:space="preserve">, particularly as the process for </w:t>
      </w:r>
      <w:r w:rsidR="002D1C3D" w:rsidRPr="002D1C3D">
        <w:t>legal gender recognition</w:t>
      </w:r>
      <w:r w:rsidR="003836DA">
        <w:t xml:space="preserve"> and transition</w:t>
      </w:r>
      <w:r w:rsidR="002D1C3D" w:rsidRPr="002D1C3D">
        <w:t xml:space="preserve"> in the UK may not </w:t>
      </w:r>
      <w:r w:rsidR="00526D25">
        <w:t>proceed</w:t>
      </w:r>
      <w:r w:rsidR="002D1C3D" w:rsidRPr="002D1C3D">
        <w:t xml:space="preserve"> until post</w:t>
      </w:r>
      <w:r w:rsidR="003836DA">
        <w:t>-</w:t>
      </w:r>
      <w:r w:rsidR="002D1C3D" w:rsidRPr="002D1C3D">
        <w:t>puberty</w:t>
      </w:r>
      <w:r w:rsidR="003836DA">
        <w:t>.</w:t>
      </w:r>
      <w:r w:rsidR="00737F1F">
        <w:rPr>
          <w:rStyle w:val="FootnoteReference"/>
        </w:rPr>
        <w:footnoteReference w:id="148"/>
      </w:r>
      <w:bookmarkStart w:id="45" w:name="_Hlk113638789"/>
    </w:p>
    <w:p w14:paraId="61FB803D" w14:textId="2FCED5E3" w:rsidR="006D2EBE" w:rsidRPr="003540ED" w:rsidRDefault="003540ED" w:rsidP="00B57F7A">
      <w:pPr>
        <w:pStyle w:val="Heading1"/>
        <w:numPr>
          <w:ilvl w:val="0"/>
          <w:numId w:val="0"/>
        </w:numPr>
      </w:pPr>
      <w:bookmarkStart w:id="46" w:name="_Toc129693851"/>
      <w:r>
        <w:t xml:space="preserve">5.0 </w:t>
      </w:r>
      <w:r w:rsidR="006D2EBE" w:rsidRPr="003540ED">
        <w:t>Conclusions</w:t>
      </w:r>
      <w:bookmarkEnd w:id="46"/>
    </w:p>
    <w:p w14:paraId="5AB61E07" w14:textId="6B0B4118" w:rsidR="006D2EBE" w:rsidRDefault="006D2EBE" w:rsidP="006D2EBE">
      <w:pPr>
        <w:jc w:val="both"/>
        <w:rPr>
          <w:b/>
          <w:bCs/>
          <w:color w:val="7030A0"/>
          <w:sz w:val="32"/>
          <w:szCs w:val="32"/>
        </w:rPr>
      </w:pPr>
    </w:p>
    <w:p w14:paraId="4265AE4A" w14:textId="77777777" w:rsidR="007801A7" w:rsidRPr="007801A7" w:rsidRDefault="007801A7" w:rsidP="007801A7">
      <w:pPr>
        <w:pStyle w:val="ListParagraph"/>
        <w:numPr>
          <w:ilvl w:val="0"/>
          <w:numId w:val="2"/>
        </w:numPr>
        <w:jc w:val="both"/>
        <w:rPr>
          <w:vanish/>
        </w:rPr>
      </w:pPr>
    </w:p>
    <w:p w14:paraId="27DCFE3F" w14:textId="0AE2C77D" w:rsidR="002C130E" w:rsidRDefault="002F537F" w:rsidP="002C130E">
      <w:pPr>
        <w:pStyle w:val="ListParagraph"/>
        <w:numPr>
          <w:ilvl w:val="1"/>
          <w:numId w:val="2"/>
        </w:numPr>
        <w:ind w:left="720"/>
        <w:jc w:val="both"/>
      </w:pPr>
      <w:r>
        <w:t xml:space="preserve">Having </w:t>
      </w:r>
      <w:r w:rsidR="007638A6">
        <w:t>regard to</w:t>
      </w:r>
      <w:r>
        <w:t xml:space="preserve"> the human rights</w:t>
      </w:r>
      <w:r w:rsidR="0008549C">
        <w:t xml:space="preserve"> and equality</w:t>
      </w:r>
      <w:r>
        <w:t xml:space="preserve"> standards at </w:t>
      </w:r>
      <w:r w:rsidR="007638A6">
        <w:t xml:space="preserve">international, </w:t>
      </w:r>
      <w:proofErr w:type="gramStart"/>
      <w:r w:rsidR="007638A6">
        <w:t>regional</w:t>
      </w:r>
      <w:proofErr w:type="gramEnd"/>
      <w:r w:rsidR="007638A6">
        <w:t xml:space="preserve"> and </w:t>
      </w:r>
      <w:r w:rsidR="008E0A73">
        <w:t>domestic</w:t>
      </w:r>
      <w:r w:rsidR="007638A6">
        <w:t xml:space="preserve"> </w:t>
      </w:r>
      <w:r>
        <w:t xml:space="preserve">level, it is </w:t>
      </w:r>
      <w:r w:rsidR="00033E86">
        <w:t>evident</w:t>
      </w:r>
      <w:r>
        <w:t xml:space="preserve"> that the right to participate in sport on an equal basis and without discrimination is protected</w:t>
      </w:r>
      <w:r w:rsidR="00E92EAA">
        <w:t>.</w:t>
      </w:r>
      <w:r>
        <w:t xml:space="preserve"> </w:t>
      </w:r>
      <w:r w:rsidR="0071102E">
        <w:t>Any r</w:t>
      </w:r>
      <w:r w:rsidR="00E92EAA">
        <w:t xml:space="preserve">estrictions upon </w:t>
      </w:r>
      <w:r w:rsidR="00ED367E">
        <w:t>participation</w:t>
      </w:r>
      <w:r w:rsidR="00E92EAA">
        <w:t xml:space="preserve"> must be compatible with </w:t>
      </w:r>
      <w:r>
        <w:t>human right</w:t>
      </w:r>
      <w:r w:rsidR="00E92EAA">
        <w:t>s safeguards</w:t>
      </w:r>
      <w:r w:rsidR="00ED367E">
        <w:t xml:space="preserve">. </w:t>
      </w:r>
    </w:p>
    <w:p w14:paraId="49C10DB2" w14:textId="77777777" w:rsidR="002C130E" w:rsidRDefault="002C130E" w:rsidP="000F728E">
      <w:pPr>
        <w:pStyle w:val="ListParagraph"/>
        <w:jc w:val="both"/>
      </w:pPr>
    </w:p>
    <w:p w14:paraId="02ADA714" w14:textId="4A236CB5" w:rsidR="008E0A73" w:rsidRDefault="00ED367E" w:rsidP="008E0A73">
      <w:pPr>
        <w:pStyle w:val="ListParagraph"/>
        <w:numPr>
          <w:ilvl w:val="1"/>
          <w:numId w:val="2"/>
        </w:numPr>
        <w:ind w:left="720"/>
        <w:jc w:val="both"/>
      </w:pPr>
      <w:r>
        <w:t>T</w:t>
      </w:r>
      <w:r w:rsidR="00007A7B" w:rsidRPr="00007A7B">
        <w:t>he Yogyakarta Principle</w:t>
      </w:r>
      <w:r w:rsidR="00033E86">
        <w:t>s</w:t>
      </w:r>
      <w:r w:rsidR="00007A7B" w:rsidRPr="00007A7B">
        <w:t xml:space="preserve"> recommend that “all individuals can participate in sport in line with the gender with which they identify, subject only to reasonable, proportionate and non-arbitrary requirements” and “without discrimination on the grounds of sexual orientation, gender identity, gender expression or sex characteristics”.</w:t>
      </w:r>
      <w:r w:rsidR="00007A7B" w:rsidRPr="00007A7B">
        <w:rPr>
          <w:vertAlign w:val="superscript"/>
        </w:rPr>
        <w:footnoteReference w:id="149"/>
      </w:r>
      <w:r w:rsidR="002C130E" w:rsidRPr="002C130E">
        <w:t xml:space="preserve"> </w:t>
      </w:r>
      <w:r w:rsidR="002C130E">
        <w:t>The Principles therefore begin from the position of</w:t>
      </w:r>
      <w:r w:rsidR="002C130E" w:rsidRPr="00C61166">
        <w:t xml:space="preserve"> participation</w:t>
      </w:r>
      <w:r w:rsidR="002C130E">
        <w:t xml:space="preserve"> and inclusion for transgender persons</w:t>
      </w:r>
      <w:r w:rsidR="002C130E" w:rsidRPr="00C61166">
        <w:t xml:space="preserve"> and</w:t>
      </w:r>
      <w:r w:rsidR="002C130E">
        <w:t xml:space="preserve"> that any restrictions that are put in place </w:t>
      </w:r>
      <w:r w:rsidR="0008549C">
        <w:t>should be</w:t>
      </w:r>
      <w:r w:rsidR="002C130E">
        <w:t xml:space="preserve"> necessary,</w:t>
      </w:r>
      <w:r w:rsidR="002C130E" w:rsidRPr="00C61166">
        <w:t xml:space="preserve"> reasonable, prop</w:t>
      </w:r>
      <w:r w:rsidR="002C130E">
        <w:t>ortionate</w:t>
      </w:r>
      <w:r w:rsidR="002C130E" w:rsidRPr="00C61166">
        <w:t xml:space="preserve"> and non-arb</w:t>
      </w:r>
      <w:r w:rsidR="002C130E">
        <w:t>itrary.</w:t>
      </w:r>
    </w:p>
    <w:p w14:paraId="5AEF6A41" w14:textId="77777777" w:rsidR="008E0A73" w:rsidRDefault="008E0A73" w:rsidP="000F728E">
      <w:pPr>
        <w:pStyle w:val="ListParagraph"/>
      </w:pPr>
    </w:p>
    <w:p w14:paraId="02F1A9BB" w14:textId="77777777" w:rsidR="00E92EAA" w:rsidRDefault="002C130E" w:rsidP="0008549C">
      <w:pPr>
        <w:pStyle w:val="ListParagraph"/>
        <w:numPr>
          <w:ilvl w:val="1"/>
          <w:numId w:val="2"/>
        </w:numPr>
        <w:ind w:left="720"/>
        <w:jc w:val="both"/>
      </w:pPr>
      <w:r>
        <w:t xml:space="preserve">At a regional level, jurisprudence from the ECtHR has established that Article 6 ECHR </w:t>
      </w:r>
      <w:r w:rsidRPr="00C61166">
        <w:t>appl</w:t>
      </w:r>
      <w:r w:rsidR="00E92EAA">
        <w:t>ies</w:t>
      </w:r>
      <w:r w:rsidRPr="00C61166">
        <w:t xml:space="preserve"> to</w:t>
      </w:r>
      <w:r>
        <w:t xml:space="preserve"> what may have previously been considered private</w:t>
      </w:r>
      <w:r w:rsidRPr="00C61166">
        <w:t xml:space="preserve"> sporting arb</w:t>
      </w:r>
      <w:r>
        <w:t>itration</w:t>
      </w:r>
      <w:r w:rsidRPr="00C61166">
        <w:t xml:space="preserve"> proceedings</w:t>
      </w:r>
      <w:r w:rsidR="00742C0F">
        <w:rPr>
          <w:rStyle w:val="FootnoteReference"/>
        </w:rPr>
        <w:footnoteReference w:id="150"/>
      </w:r>
      <w:r w:rsidR="00684D42">
        <w:t xml:space="preserve"> </w:t>
      </w:r>
      <w:r w:rsidRPr="00007A7B">
        <w:t xml:space="preserve">and confirmed that the specificities of sports arbitration do not justify depriving athletes of </w:t>
      </w:r>
      <w:r w:rsidR="00E92EAA">
        <w:t>their</w:t>
      </w:r>
      <w:r w:rsidRPr="00007A7B">
        <w:t xml:space="preserve"> fair trial guarantees.</w:t>
      </w:r>
      <w:r w:rsidRPr="00007A7B">
        <w:rPr>
          <w:vertAlign w:val="superscript"/>
        </w:rPr>
        <w:footnoteReference w:id="151"/>
      </w:r>
      <w:r w:rsidR="00684D42" w:rsidRPr="00684D42">
        <w:t xml:space="preserve"> </w:t>
      </w:r>
    </w:p>
    <w:p w14:paraId="0C092DB3" w14:textId="77777777" w:rsidR="00E92EAA" w:rsidRDefault="00E92EAA" w:rsidP="00E92EAA">
      <w:pPr>
        <w:pStyle w:val="ListParagraph"/>
      </w:pPr>
    </w:p>
    <w:p w14:paraId="4F8789A7" w14:textId="77777777" w:rsidR="00E92EAA" w:rsidRDefault="00E31CA2" w:rsidP="0008549C">
      <w:pPr>
        <w:pStyle w:val="ListParagraph"/>
        <w:numPr>
          <w:ilvl w:val="1"/>
          <w:numId w:val="2"/>
        </w:numPr>
        <w:ind w:left="720"/>
        <w:jc w:val="both"/>
      </w:pPr>
      <w:r>
        <w:t xml:space="preserve">The ECtHR has also established that </w:t>
      </w:r>
      <w:r w:rsidR="00684D42">
        <w:t xml:space="preserve">Article </w:t>
      </w:r>
      <w:r>
        <w:t xml:space="preserve">8 ECHR </w:t>
      </w:r>
      <w:r w:rsidR="00684D42" w:rsidRPr="00684D42">
        <w:t>right</w:t>
      </w:r>
      <w:r>
        <w:t>s are to be</w:t>
      </w:r>
      <w:r w:rsidR="00684D42" w:rsidRPr="00684D42">
        <w:t xml:space="preserve"> interpreted broadly </w:t>
      </w:r>
      <w:r w:rsidR="00A9009C">
        <w:t xml:space="preserve">and </w:t>
      </w:r>
      <w:r w:rsidR="00684D42" w:rsidRPr="00684D42">
        <w:t>expressly did not rule out the possibility that training centres and venues for sports events and competitions</w:t>
      </w:r>
      <w:r w:rsidR="00A9009C">
        <w:t xml:space="preserve"> </w:t>
      </w:r>
      <w:r w:rsidR="00684D42" w:rsidRPr="00684D42">
        <w:t>may be treated as equivalent to “home” within the meaning of Article 8.</w:t>
      </w:r>
      <w:r w:rsidR="00684D42" w:rsidRPr="00684D42">
        <w:rPr>
          <w:vertAlign w:val="superscript"/>
        </w:rPr>
        <w:footnoteReference w:id="152"/>
      </w:r>
      <w:r w:rsidR="00A9009C">
        <w:t xml:space="preserve"> </w:t>
      </w:r>
    </w:p>
    <w:p w14:paraId="1DB8AB94" w14:textId="77777777" w:rsidR="00E92EAA" w:rsidRDefault="00E92EAA" w:rsidP="00E92EAA">
      <w:pPr>
        <w:pStyle w:val="ListParagraph"/>
      </w:pPr>
    </w:p>
    <w:p w14:paraId="646CDDAA" w14:textId="731E85DF" w:rsidR="0008549C" w:rsidRDefault="00A9009C" w:rsidP="0008549C">
      <w:pPr>
        <w:pStyle w:val="ListParagraph"/>
        <w:numPr>
          <w:ilvl w:val="1"/>
          <w:numId w:val="2"/>
        </w:numPr>
        <w:ind w:left="720"/>
        <w:jc w:val="both"/>
      </w:pPr>
      <w:r>
        <w:t xml:space="preserve">Regarding the </w:t>
      </w:r>
      <w:r w:rsidR="00ED367E">
        <w:t xml:space="preserve">protections of </w:t>
      </w:r>
      <w:r>
        <w:t>Article 14 ECHR</w:t>
      </w:r>
      <w:r w:rsidR="00ED367E">
        <w:t xml:space="preserve">, against </w:t>
      </w:r>
      <w:r>
        <w:t xml:space="preserve">non-discrimination without </w:t>
      </w:r>
      <w:r w:rsidRPr="00A9009C">
        <w:t>objective and reasonable justification</w:t>
      </w:r>
      <w:r>
        <w:t>, the ECtHR has found that w</w:t>
      </w:r>
      <w:r w:rsidRPr="00A9009C">
        <w:t>hile protecting fairness in sports may be considered a legitimate general interest</w:t>
      </w:r>
      <w:r w:rsidR="006536D9">
        <w:t xml:space="preserve"> and </w:t>
      </w:r>
      <w:r w:rsidRPr="00A9009C">
        <w:t>will determine whether a fair balance was struck between the competing interests of individual</w:t>
      </w:r>
      <w:r w:rsidR="008363A5">
        <w:t>s</w:t>
      </w:r>
      <w:r w:rsidRPr="00A9009C">
        <w:t xml:space="preserve"> and the community.</w:t>
      </w:r>
      <w:r w:rsidRPr="00A9009C">
        <w:rPr>
          <w:vertAlign w:val="superscript"/>
        </w:rPr>
        <w:footnoteReference w:id="153"/>
      </w:r>
      <w:r w:rsidR="008363A5">
        <w:t xml:space="preserve"> </w:t>
      </w:r>
      <w:r w:rsidRPr="00A9009C">
        <w:t xml:space="preserve">Therefore, disproportionate and arbitrary measures that deprive persons of participation in sports without reasonable justification </w:t>
      </w:r>
      <w:r w:rsidR="00945E7B">
        <w:t>may be in breach of the ECHR</w:t>
      </w:r>
      <w:r>
        <w:t>.</w:t>
      </w:r>
      <w:r w:rsidR="00DF4624" w:rsidRPr="00DF4624">
        <w:rPr>
          <w:color w:val="000000"/>
        </w:rPr>
        <w:t xml:space="preserve"> </w:t>
      </w:r>
      <w:r w:rsidR="00DF4624">
        <w:rPr>
          <w:color w:val="000000"/>
        </w:rPr>
        <w:t xml:space="preserve">Also, </w:t>
      </w:r>
      <w:r w:rsidR="00DF4624" w:rsidRPr="00DF4624">
        <w:t>if a</w:t>
      </w:r>
      <w:r w:rsidR="00DF4624">
        <w:t>n attempted</w:t>
      </w:r>
      <w:r w:rsidR="00DF4624" w:rsidRPr="00DF4624">
        <w:t xml:space="preserve"> restriction on rights applies to a particularly vulnerable group in society who have suffered </w:t>
      </w:r>
      <w:r w:rsidR="00DF4624">
        <w:t>a history of systemic discrimination, such as transgender persons, i</w:t>
      </w:r>
      <w:r w:rsidR="0008549C">
        <w:t>t may also make it harder to justify any discrimination or exclusion.</w:t>
      </w:r>
      <w:r w:rsidR="0008549C" w:rsidRPr="0008549C">
        <w:rPr>
          <w:vertAlign w:val="superscript"/>
        </w:rPr>
        <w:footnoteReference w:id="154"/>
      </w:r>
      <w:r w:rsidR="0008549C">
        <w:rPr>
          <w:color w:val="000000"/>
          <w:vertAlign w:val="superscript"/>
        </w:rPr>
        <w:t xml:space="preserve"> </w:t>
      </w:r>
    </w:p>
    <w:p w14:paraId="2FCE7614" w14:textId="77777777" w:rsidR="0008549C" w:rsidRPr="000F728E" w:rsidRDefault="0008549C" w:rsidP="000F728E">
      <w:pPr>
        <w:pStyle w:val="ListParagraph"/>
        <w:jc w:val="both"/>
      </w:pPr>
    </w:p>
    <w:p w14:paraId="453234F3" w14:textId="1445AFD0" w:rsidR="0008549C" w:rsidRDefault="00E92EAA" w:rsidP="0008549C">
      <w:pPr>
        <w:pStyle w:val="ListParagraph"/>
        <w:numPr>
          <w:ilvl w:val="1"/>
          <w:numId w:val="2"/>
        </w:numPr>
        <w:ind w:left="720"/>
        <w:jc w:val="both"/>
      </w:pPr>
      <w:r>
        <w:t>T</w:t>
      </w:r>
      <w:r w:rsidR="008E0A73" w:rsidRPr="00C61166">
        <w:t>he domestic</w:t>
      </w:r>
      <w:r w:rsidR="005A750A">
        <w:t xml:space="preserve"> </w:t>
      </w:r>
      <w:r w:rsidR="0005100F">
        <w:t xml:space="preserve">equality </w:t>
      </w:r>
      <w:r>
        <w:t>legal</w:t>
      </w:r>
      <w:r w:rsidR="008E0A73" w:rsidRPr="00C61166">
        <w:t xml:space="preserve"> framework</w:t>
      </w:r>
      <w:r w:rsidR="005A750A">
        <w:t xml:space="preserve"> in NI </w:t>
      </w:r>
      <w:r w:rsidR="00ED367E">
        <w:t xml:space="preserve">also </w:t>
      </w:r>
      <w:r w:rsidR="005A750A">
        <w:t xml:space="preserve">provides a right of protection </w:t>
      </w:r>
      <w:r>
        <w:t xml:space="preserve">for transgender persons </w:t>
      </w:r>
      <w:r w:rsidR="005A750A">
        <w:t xml:space="preserve">from discrimination on </w:t>
      </w:r>
      <w:r>
        <w:t xml:space="preserve">the </w:t>
      </w:r>
      <w:r w:rsidR="005A750A">
        <w:t>grounds of gender reassignment.</w:t>
      </w:r>
      <w:r w:rsidR="00DF4624">
        <w:rPr>
          <w:rStyle w:val="FootnoteReference"/>
        </w:rPr>
        <w:footnoteReference w:id="155"/>
      </w:r>
      <w:r w:rsidR="005A750A">
        <w:t xml:space="preserve"> </w:t>
      </w:r>
      <w:r w:rsidR="00251780">
        <w:t xml:space="preserve">The law does not </w:t>
      </w:r>
      <w:r w:rsidR="009B1D34">
        <w:t xml:space="preserve">currently </w:t>
      </w:r>
      <w:r w:rsidR="00251780">
        <w:t xml:space="preserve">protect </w:t>
      </w:r>
      <w:r w:rsidR="009B1D34">
        <w:t xml:space="preserve">against discrimination </w:t>
      </w:r>
      <w:r w:rsidR="00251780">
        <w:t xml:space="preserve">on the grounds of ‘gender identity’ or ‘sex </w:t>
      </w:r>
      <w:proofErr w:type="gramStart"/>
      <w:r w:rsidR="00251780">
        <w:t>characteristics’</w:t>
      </w:r>
      <w:proofErr w:type="gramEnd"/>
      <w:r w:rsidR="00251780">
        <w:t>.</w:t>
      </w:r>
      <w:r w:rsidR="00C13708">
        <w:t xml:space="preserve"> In respect of sport, the law provides an exemption which permits the e</w:t>
      </w:r>
      <w:r w:rsidR="0081155D">
        <w:t xml:space="preserve">xclusion of transgender women from a single sex </w:t>
      </w:r>
      <w:r w:rsidR="0081155D" w:rsidRPr="00DC72E3">
        <w:t xml:space="preserve">competitive sport </w:t>
      </w:r>
      <w:r w:rsidR="00FF7480">
        <w:t xml:space="preserve">only </w:t>
      </w:r>
      <w:r w:rsidR="0081155D" w:rsidRPr="00DC72E3">
        <w:t xml:space="preserve">where </w:t>
      </w:r>
      <w:r w:rsidR="00E074F8" w:rsidRPr="00DC72E3">
        <w:t>necessary to secure fair competition, or the safety of competitors.</w:t>
      </w:r>
      <w:r w:rsidR="00DF4624" w:rsidRPr="00DC72E3">
        <w:rPr>
          <w:rStyle w:val="FootnoteReference"/>
        </w:rPr>
        <w:footnoteReference w:id="156"/>
      </w:r>
      <w:r w:rsidR="00447E66" w:rsidRPr="00DC72E3">
        <w:t xml:space="preserve"> </w:t>
      </w:r>
    </w:p>
    <w:p w14:paraId="322630E2" w14:textId="77777777" w:rsidR="0008549C" w:rsidRDefault="0008549C" w:rsidP="000F728E">
      <w:pPr>
        <w:pStyle w:val="ListParagraph"/>
      </w:pPr>
    </w:p>
    <w:p w14:paraId="083786D2" w14:textId="7D7221F2" w:rsidR="006777FE" w:rsidRPr="00601DE7" w:rsidRDefault="00156A06" w:rsidP="00DF4624">
      <w:pPr>
        <w:pStyle w:val="ListParagraph"/>
        <w:numPr>
          <w:ilvl w:val="1"/>
          <w:numId w:val="2"/>
        </w:numPr>
        <w:ind w:left="720"/>
        <w:jc w:val="both"/>
      </w:pPr>
      <w:r w:rsidRPr="00601DE7">
        <w:t>Policies</w:t>
      </w:r>
      <w:r w:rsidR="00447E66" w:rsidRPr="00601DE7">
        <w:t xml:space="preserve"> </w:t>
      </w:r>
      <w:r w:rsidR="00ED367E" w:rsidRPr="00601DE7">
        <w:t>produced</w:t>
      </w:r>
      <w:r w:rsidR="00447E66" w:rsidRPr="00601DE7">
        <w:t xml:space="preserve"> by sporting organisations</w:t>
      </w:r>
      <w:r w:rsidRPr="00601DE7">
        <w:t xml:space="preserve"> should reflect </w:t>
      </w:r>
      <w:r w:rsidR="00ED367E" w:rsidRPr="00601DE7">
        <w:t xml:space="preserve">international </w:t>
      </w:r>
      <w:r w:rsidRPr="00601DE7">
        <w:t>human</w:t>
      </w:r>
      <w:r w:rsidR="00FB7FE7" w:rsidRPr="00601DE7">
        <w:t xml:space="preserve"> rights</w:t>
      </w:r>
      <w:r w:rsidRPr="00601DE7">
        <w:t xml:space="preserve"> </w:t>
      </w:r>
      <w:r w:rsidR="00447E66" w:rsidRPr="00601DE7">
        <w:t>standards and shou</w:t>
      </w:r>
      <w:r w:rsidRPr="00601DE7">
        <w:t>ld not</w:t>
      </w:r>
      <w:r w:rsidR="00447E66" w:rsidRPr="00601DE7">
        <w:t xml:space="preserve"> arbitrarily</w:t>
      </w:r>
      <w:r w:rsidRPr="00601DE7">
        <w:t xml:space="preserve"> exclude transgender</w:t>
      </w:r>
      <w:r w:rsidR="00447E66" w:rsidRPr="00601DE7">
        <w:t xml:space="preserve"> </w:t>
      </w:r>
      <w:r w:rsidRPr="00601DE7">
        <w:t>pe</w:t>
      </w:r>
      <w:r w:rsidR="00447E66" w:rsidRPr="00601DE7">
        <w:t>rsons</w:t>
      </w:r>
      <w:r w:rsidRPr="00601DE7">
        <w:t xml:space="preserve"> from participation</w:t>
      </w:r>
      <w:r w:rsidR="004149A2" w:rsidRPr="00601DE7">
        <w:t>. Safeguards to protect athlete’s rights should also protect against requirements for</w:t>
      </w:r>
      <w:r w:rsidRPr="00601DE7">
        <w:t xml:space="preserve"> irrelevant clinical data or unnecessary medical procedures as a precondition to full participation</w:t>
      </w:r>
      <w:r w:rsidR="00447E66" w:rsidRPr="00601DE7">
        <w:t>.</w:t>
      </w:r>
      <w:r w:rsidR="006777FE" w:rsidRPr="00601DE7">
        <w:t xml:space="preserve"> Organisations should also take practical steps to create welcoming spaces for participation in sport and physical activity for transgender persons, including the installation of appropriate changing rooms, education and sensitisation of sporting communities, and the enforcement of anti-discrimination laws in the sporting context.</w:t>
      </w:r>
    </w:p>
    <w:p w14:paraId="553BEE5E" w14:textId="77777777" w:rsidR="006777FE" w:rsidRDefault="006777FE" w:rsidP="008035BD">
      <w:pPr>
        <w:pStyle w:val="ListParagraph"/>
      </w:pPr>
    </w:p>
    <w:p w14:paraId="25032CF5" w14:textId="77777777" w:rsidR="008035BD" w:rsidRDefault="000143AA" w:rsidP="008035BD">
      <w:pPr>
        <w:pStyle w:val="ListParagraph"/>
        <w:numPr>
          <w:ilvl w:val="1"/>
          <w:numId w:val="2"/>
        </w:numPr>
        <w:ind w:left="720"/>
        <w:jc w:val="both"/>
      </w:pPr>
      <w:proofErr w:type="gramStart"/>
      <w:r>
        <w:t>With regard to</w:t>
      </w:r>
      <w:proofErr w:type="gramEnd"/>
      <w:r>
        <w:t xml:space="preserve"> intersex athletes and sports participants, it is </w:t>
      </w:r>
      <w:r w:rsidR="005C2B7A">
        <w:t xml:space="preserve">clear that the direction of travel in human </w:t>
      </w:r>
      <w:r w:rsidR="009016AC">
        <w:t xml:space="preserve">rights law and jurisprudence is </w:t>
      </w:r>
      <w:r w:rsidR="00D64F2C">
        <w:t>moving away from</w:t>
      </w:r>
      <w:r w:rsidR="00F00973" w:rsidRPr="00F00973">
        <w:t xml:space="preserve"> policies and practices that force, coerce or otherwise pressure women and girl athletes into undergoing unnecessary, humiliating and harmful medical procedures in order to participate in women’s events in competitive sports, and to repeal rules, policies and practices that negate their rights to bodily integrity and autonomy</w:t>
      </w:r>
      <w:r w:rsidR="00D64F2C">
        <w:t>.</w:t>
      </w:r>
      <w:r w:rsidR="00F32B61">
        <w:rPr>
          <w:rStyle w:val="FootnoteReference"/>
        </w:rPr>
        <w:footnoteReference w:id="157"/>
      </w:r>
    </w:p>
    <w:p w14:paraId="05E084E8" w14:textId="77777777" w:rsidR="008035BD" w:rsidRDefault="008035BD" w:rsidP="008035BD">
      <w:pPr>
        <w:pStyle w:val="ListParagraph"/>
      </w:pPr>
    </w:p>
    <w:p w14:paraId="29CD2DFB" w14:textId="12E7D985" w:rsidR="006D2EBE" w:rsidRDefault="006D2EBE" w:rsidP="006D2EBE">
      <w:pPr>
        <w:jc w:val="both"/>
        <w:rPr>
          <w:b/>
          <w:bCs/>
          <w:color w:val="7030A0"/>
          <w:sz w:val="32"/>
          <w:szCs w:val="32"/>
        </w:rPr>
      </w:pPr>
    </w:p>
    <w:p w14:paraId="15B92931" w14:textId="77777777" w:rsidR="006D2EBE" w:rsidRPr="006D2EBE" w:rsidRDefault="006D2EBE" w:rsidP="006D2EBE">
      <w:pPr>
        <w:jc w:val="both"/>
        <w:rPr>
          <w:b/>
          <w:bCs/>
          <w:color w:val="7030A0"/>
          <w:sz w:val="32"/>
          <w:szCs w:val="32"/>
        </w:rPr>
      </w:pPr>
    </w:p>
    <w:bookmarkEnd w:id="45"/>
    <w:p w14:paraId="7626F675" w14:textId="4FC9ECDA" w:rsidR="005A515E" w:rsidRDefault="005A515E" w:rsidP="006E3084">
      <w:pPr>
        <w:spacing w:after="160" w:line="259" w:lineRule="auto"/>
        <w:contextualSpacing/>
        <w:rPr>
          <w:rFonts w:eastAsiaTheme="minorHAnsi" w:cstheme="minorHAnsi"/>
        </w:rPr>
      </w:pPr>
    </w:p>
    <w:p w14:paraId="109034E6" w14:textId="074A1CE5" w:rsidR="005A515E" w:rsidRDefault="005A515E" w:rsidP="006E3084">
      <w:pPr>
        <w:spacing w:after="160" w:line="259" w:lineRule="auto"/>
        <w:contextualSpacing/>
        <w:rPr>
          <w:rFonts w:eastAsiaTheme="minorHAnsi" w:cstheme="minorHAnsi"/>
        </w:rPr>
      </w:pPr>
    </w:p>
    <w:p w14:paraId="5FB2B03B" w14:textId="77777777" w:rsidR="00626BCE" w:rsidRDefault="00626BCE" w:rsidP="00566CFE">
      <w:pPr>
        <w:pStyle w:val="BasicParagraph"/>
        <w:suppressAutoHyphens/>
        <w:rPr>
          <w:rFonts w:ascii="Verdana" w:hAnsi="Verdana" w:cs="Arial"/>
          <w:b/>
          <w:bCs/>
          <w:color w:val="77328A"/>
          <w:sz w:val="36"/>
          <w:szCs w:val="36"/>
        </w:rPr>
      </w:pPr>
    </w:p>
    <w:p w14:paraId="1FE78CEF" w14:textId="77777777" w:rsidR="009E5D23" w:rsidRPr="00331C61" w:rsidRDefault="009E5D23" w:rsidP="009E5D23">
      <w:pPr>
        <w:pStyle w:val="BasicParagraph"/>
        <w:suppressAutoHyphens/>
        <w:jc w:val="center"/>
        <w:rPr>
          <w:rFonts w:ascii="Verdana" w:hAnsi="Verdana" w:cs="Arial"/>
          <w:b/>
          <w:bCs/>
          <w:color w:val="77328A"/>
          <w:sz w:val="36"/>
          <w:szCs w:val="36"/>
        </w:rPr>
      </w:pPr>
      <w:r w:rsidRPr="00331C61">
        <w:rPr>
          <w:rFonts w:ascii="Verdana" w:hAnsi="Verdana" w:cs="Arial"/>
          <w:b/>
          <w:bCs/>
          <w:color w:val="77328A"/>
          <w:sz w:val="36"/>
          <w:szCs w:val="36"/>
        </w:rPr>
        <w:t>Co</w:t>
      </w:r>
      <w:r>
        <w:rPr>
          <w:rFonts w:ascii="Verdana" w:hAnsi="Verdana" w:cs="Arial"/>
          <w:b/>
          <w:bCs/>
          <w:color w:val="77328A"/>
          <w:sz w:val="36"/>
          <w:szCs w:val="36"/>
        </w:rPr>
        <w:t xml:space="preserve">ntact </w:t>
      </w:r>
      <w:proofErr w:type="gramStart"/>
      <w:r>
        <w:rPr>
          <w:rFonts w:ascii="Verdana" w:hAnsi="Verdana" w:cs="Arial"/>
          <w:b/>
          <w:bCs/>
          <w:color w:val="77328A"/>
          <w:sz w:val="36"/>
          <w:szCs w:val="36"/>
        </w:rPr>
        <w:t>us</w:t>
      </w:r>
      <w:proofErr w:type="gramEnd"/>
      <w:r>
        <w:rPr>
          <w:rFonts w:ascii="Verdana" w:hAnsi="Verdana" w:cs="Arial"/>
          <w:b/>
          <w:bCs/>
          <w:color w:val="77328A"/>
          <w:sz w:val="36"/>
          <w:szCs w:val="36"/>
        </w:rPr>
        <w:t xml:space="preserve"> </w:t>
      </w:r>
    </w:p>
    <w:p w14:paraId="1116621A" w14:textId="77777777" w:rsidR="009E5D23" w:rsidRPr="00331C61" w:rsidRDefault="009E5D23" w:rsidP="009E5D23">
      <w:pPr>
        <w:pStyle w:val="BasicParagraph"/>
        <w:suppressAutoHyphens/>
        <w:jc w:val="center"/>
        <w:rPr>
          <w:rFonts w:ascii="Verdana" w:hAnsi="Verdana" w:cs="Arial"/>
          <w:b/>
          <w:color w:val="77328A"/>
          <w:sz w:val="36"/>
          <w:szCs w:val="36"/>
        </w:rPr>
      </w:pPr>
    </w:p>
    <w:p w14:paraId="22BE388B" w14:textId="77777777" w:rsidR="009E5D23" w:rsidRPr="00331C61" w:rsidRDefault="00A80948" w:rsidP="009E5D23">
      <w:pPr>
        <w:spacing w:line="288" w:lineRule="auto"/>
        <w:jc w:val="center"/>
        <w:rPr>
          <w:rFonts w:cs="Arial"/>
          <w:color w:val="232120"/>
          <w:sz w:val="28"/>
          <w:szCs w:val="28"/>
        </w:rPr>
      </w:pPr>
      <w:hyperlink r:id="rId9" w:history="1">
        <w:r w:rsidR="009E5D23" w:rsidRPr="00331C61">
          <w:rPr>
            <w:rStyle w:val="Hyperlink"/>
            <w:rFonts w:cs="Arial"/>
            <w:color w:val="232120"/>
            <w:sz w:val="28"/>
            <w:szCs w:val="28"/>
            <w:lang w:val="en-US"/>
          </w:rPr>
          <w:t>www.nihrc.org</w:t>
        </w:r>
      </w:hyperlink>
      <w:r w:rsidR="009E5D23" w:rsidRPr="00331C61">
        <w:rPr>
          <w:rFonts w:cs="Arial"/>
          <w:color w:val="232120"/>
          <w:sz w:val="28"/>
          <w:szCs w:val="28"/>
          <w:lang w:val="en-US"/>
        </w:rPr>
        <w:t xml:space="preserve">  |  </w:t>
      </w:r>
      <w:hyperlink r:id="rId10" w:history="1">
        <w:r w:rsidR="009E5D23" w:rsidRPr="00331C61">
          <w:rPr>
            <w:rStyle w:val="Hyperlink"/>
            <w:rFonts w:cs="Arial"/>
            <w:color w:val="232120"/>
            <w:sz w:val="28"/>
            <w:szCs w:val="28"/>
            <w:lang w:val="en-US"/>
          </w:rPr>
          <w:t>info@nihrc.org</w:t>
        </w:r>
      </w:hyperlink>
      <w:r w:rsidR="009E5D23" w:rsidRPr="00331C61">
        <w:rPr>
          <w:rFonts w:cs="Arial"/>
          <w:color w:val="232120"/>
          <w:sz w:val="28"/>
          <w:szCs w:val="28"/>
          <w:lang w:val="en-US"/>
        </w:rPr>
        <w:t xml:space="preserve">  |  +44 (0)28 9024 3987</w:t>
      </w:r>
    </w:p>
    <w:p w14:paraId="768BEFB4" w14:textId="77777777" w:rsidR="009E5D23" w:rsidRPr="00331C61" w:rsidRDefault="009E5D23" w:rsidP="009E5D23">
      <w:pPr>
        <w:spacing w:line="288" w:lineRule="auto"/>
        <w:jc w:val="center"/>
        <w:rPr>
          <w:rFonts w:cs="Arial"/>
          <w:color w:val="232120"/>
          <w:sz w:val="28"/>
          <w:szCs w:val="28"/>
        </w:rPr>
      </w:pPr>
      <w:r>
        <w:rPr>
          <w:rFonts w:cs="Arial"/>
          <w:color w:val="232120"/>
          <w:sz w:val="28"/>
          <w:szCs w:val="28"/>
          <w:lang w:val="en-US"/>
        </w:rPr>
        <w:t>4</w:t>
      </w:r>
      <w:r w:rsidRPr="00D16532">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7177C9F8" w14:textId="77777777" w:rsidR="009E5D23" w:rsidRPr="00331C61" w:rsidRDefault="009E5D23" w:rsidP="009E5D23">
      <w:pPr>
        <w:spacing w:line="288" w:lineRule="auto"/>
        <w:jc w:val="center"/>
        <w:rPr>
          <w:rFonts w:cs="Arial"/>
          <w:b/>
          <w:color w:val="232120"/>
          <w:sz w:val="28"/>
          <w:szCs w:val="28"/>
        </w:rPr>
      </w:pPr>
    </w:p>
    <w:p w14:paraId="1B8C196B" w14:textId="77777777" w:rsidR="009E5D23" w:rsidRPr="00331C61" w:rsidRDefault="009E5D23" w:rsidP="009E5D23">
      <w:pPr>
        <w:spacing w:line="288" w:lineRule="auto"/>
        <w:jc w:val="center"/>
        <w:rPr>
          <w:rFonts w:cs="Arial"/>
          <w:color w:val="232120"/>
          <w:sz w:val="20"/>
          <w:szCs w:val="20"/>
        </w:rPr>
      </w:pPr>
    </w:p>
    <w:p w14:paraId="68B7EE1E" w14:textId="77777777" w:rsidR="00F00E72" w:rsidRPr="00F00E72" w:rsidRDefault="009E5D23" w:rsidP="00F00E72">
      <w:pPr>
        <w:pStyle w:val="BasicParagraph"/>
        <w:suppressAutoHyphens/>
        <w:spacing w:line="240" w:lineRule="auto"/>
        <w:jc w:val="center"/>
      </w:pPr>
      <w:r w:rsidRPr="00331C61">
        <w:rPr>
          <w:rFonts w:ascii="Verdana" w:hAnsi="Verdana" w:cs="Arial"/>
          <w:noProof/>
          <w:color w:val="232120"/>
          <w:sz w:val="28"/>
          <w:szCs w:val="28"/>
          <w:lang w:eastAsia="en-GB"/>
        </w:rPr>
        <w:drawing>
          <wp:inline distT="0" distB="0" distL="0" distR="0" wp14:anchorId="28252847" wp14:editId="3486F4ED">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bookmarkStart w:id="47" w:name="page2"/>
      <w:bookmarkEnd w:id="47"/>
    </w:p>
    <w:sectPr w:rsidR="00F00E72" w:rsidRPr="00F00E72" w:rsidSect="00B20090">
      <w:footerReference w:type="default" r:id="rId12"/>
      <w:footerReference w:type="first" r:id="rId13"/>
      <w:pgSz w:w="11907" w:h="16840" w:code="9"/>
      <w:pgMar w:top="1021" w:right="1021" w:bottom="1021" w:left="1021" w:header="1021" w:footer="102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1672" w14:textId="77777777" w:rsidR="00A80948" w:rsidRDefault="00A80948" w:rsidP="00A476E1">
      <w:r>
        <w:separator/>
      </w:r>
    </w:p>
  </w:endnote>
  <w:endnote w:type="continuationSeparator" w:id="0">
    <w:p w14:paraId="6AEB2180" w14:textId="77777777" w:rsidR="00A80948" w:rsidRDefault="00A80948" w:rsidP="00A4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478712"/>
      <w:docPartObj>
        <w:docPartGallery w:val="Page Numbers (Bottom of Page)"/>
        <w:docPartUnique/>
      </w:docPartObj>
    </w:sdtPr>
    <w:sdtEndPr>
      <w:rPr>
        <w:noProof/>
        <w:color w:val="7030A0"/>
        <w:sz w:val="20"/>
        <w:szCs w:val="20"/>
      </w:rPr>
    </w:sdtEndPr>
    <w:sdtContent>
      <w:p w14:paraId="11EF45E9" w14:textId="77777777" w:rsidR="00943397" w:rsidRPr="00943397" w:rsidRDefault="00943397">
        <w:pPr>
          <w:pStyle w:val="Footer"/>
          <w:jc w:val="right"/>
          <w:rPr>
            <w:color w:val="7030A0"/>
            <w:sz w:val="20"/>
            <w:szCs w:val="20"/>
          </w:rPr>
        </w:pPr>
        <w:r w:rsidRPr="00943397">
          <w:rPr>
            <w:color w:val="7030A0"/>
            <w:sz w:val="20"/>
            <w:szCs w:val="20"/>
          </w:rPr>
          <w:fldChar w:fldCharType="begin"/>
        </w:r>
        <w:r w:rsidRPr="00943397">
          <w:rPr>
            <w:color w:val="7030A0"/>
            <w:sz w:val="20"/>
            <w:szCs w:val="20"/>
          </w:rPr>
          <w:instrText xml:space="preserve"> PAGE   \* MERGEFORMAT </w:instrText>
        </w:r>
        <w:r w:rsidRPr="00943397">
          <w:rPr>
            <w:color w:val="7030A0"/>
            <w:sz w:val="20"/>
            <w:szCs w:val="20"/>
          </w:rPr>
          <w:fldChar w:fldCharType="separate"/>
        </w:r>
        <w:r w:rsidR="0036057F">
          <w:rPr>
            <w:noProof/>
            <w:color w:val="7030A0"/>
            <w:sz w:val="20"/>
            <w:szCs w:val="20"/>
          </w:rPr>
          <w:t>11</w:t>
        </w:r>
        <w:r w:rsidRPr="00943397">
          <w:rPr>
            <w:noProof/>
            <w:color w:val="7030A0"/>
            <w:sz w:val="20"/>
            <w:szCs w:val="20"/>
          </w:rPr>
          <w:fldChar w:fldCharType="end"/>
        </w:r>
      </w:p>
    </w:sdtContent>
  </w:sdt>
  <w:p w14:paraId="2359C3CD" w14:textId="77777777" w:rsidR="00553FCA" w:rsidRPr="007569C1" w:rsidRDefault="00553FCA" w:rsidP="00553FCA">
    <w:pPr>
      <w:pStyle w:val="Footer"/>
      <w:jc w:val="right"/>
      <w:rPr>
        <w:rFonts w:ascii="Arial" w:hAnsi="Arial" w:cs="Arial"/>
        <w:b/>
        <w:color w:val="77328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1909" w14:textId="01844589" w:rsidR="00553FCA" w:rsidRPr="004E1DB7" w:rsidRDefault="00553FCA">
    <w:pPr>
      <w:pStyle w:val="Footer"/>
      <w:jc w:val="right"/>
      <w:rPr>
        <w:color w:val="7030A0"/>
        <w:sz w:val="20"/>
        <w:szCs w:val="20"/>
      </w:rPr>
    </w:pPr>
  </w:p>
  <w:p w14:paraId="7091572B" w14:textId="77777777" w:rsidR="00553FCA" w:rsidRPr="00D12EF8" w:rsidRDefault="00553FCA" w:rsidP="00553FCA">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99F9" w14:textId="77777777" w:rsidR="00A80948" w:rsidRDefault="00A80948" w:rsidP="00A476E1">
      <w:r>
        <w:separator/>
      </w:r>
    </w:p>
  </w:footnote>
  <w:footnote w:type="continuationSeparator" w:id="0">
    <w:p w14:paraId="32488389" w14:textId="77777777" w:rsidR="00A80948" w:rsidRDefault="00A80948" w:rsidP="00A476E1">
      <w:r>
        <w:continuationSeparator/>
      </w:r>
    </w:p>
  </w:footnote>
  <w:footnote w:id="1">
    <w:p w14:paraId="5C1FD32D" w14:textId="77777777" w:rsidR="008D3C2E" w:rsidRPr="00102AF4" w:rsidRDefault="008D3C2E" w:rsidP="008D3C2E">
      <w:pPr>
        <w:rPr>
          <w:color w:val="77328A"/>
          <w:sz w:val="16"/>
          <w:szCs w:val="16"/>
        </w:rPr>
      </w:pPr>
      <w:r w:rsidRPr="00102AF4">
        <w:rPr>
          <w:rStyle w:val="FootnoteReference"/>
          <w:color w:val="77328A"/>
          <w:sz w:val="16"/>
          <w:szCs w:val="16"/>
        </w:rPr>
        <w:footnoteRef/>
      </w:r>
      <w:r w:rsidRPr="00102AF4">
        <w:rPr>
          <w:color w:val="77328A"/>
          <w:sz w:val="16"/>
          <w:szCs w:val="16"/>
        </w:rPr>
        <w:t xml:space="preserve"> Ratified by the UK in 1951.</w:t>
      </w:r>
    </w:p>
  </w:footnote>
  <w:footnote w:id="2">
    <w:p w14:paraId="4BF553B7" w14:textId="77777777" w:rsidR="008D3C2E" w:rsidRPr="00102AF4" w:rsidRDefault="008D3C2E" w:rsidP="008D3C2E">
      <w:pPr>
        <w:rPr>
          <w:color w:val="77328A"/>
          <w:sz w:val="16"/>
          <w:szCs w:val="16"/>
        </w:rPr>
      </w:pPr>
      <w:r w:rsidRPr="00102AF4">
        <w:rPr>
          <w:rStyle w:val="FootnoteReference"/>
          <w:color w:val="77328A"/>
          <w:sz w:val="16"/>
          <w:szCs w:val="16"/>
        </w:rPr>
        <w:footnoteRef/>
      </w:r>
      <w:r w:rsidRPr="00102AF4">
        <w:rPr>
          <w:color w:val="77328A"/>
          <w:sz w:val="16"/>
          <w:szCs w:val="16"/>
        </w:rPr>
        <w:t xml:space="preserve"> Ratified by the UK in 1976.</w:t>
      </w:r>
    </w:p>
  </w:footnote>
  <w:footnote w:id="3">
    <w:p w14:paraId="07FDD3B1" w14:textId="77777777" w:rsidR="00FC2BC8" w:rsidRPr="00102AF4" w:rsidRDefault="00FC2BC8" w:rsidP="00FC2BC8">
      <w:pPr>
        <w:rPr>
          <w:color w:val="77328A"/>
          <w:sz w:val="16"/>
          <w:szCs w:val="16"/>
        </w:rPr>
      </w:pPr>
      <w:r w:rsidRPr="00102AF4">
        <w:rPr>
          <w:rStyle w:val="FootnoteReference"/>
          <w:color w:val="77328A"/>
          <w:sz w:val="16"/>
          <w:szCs w:val="16"/>
        </w:rPr>
        <w:footnoteRef/>
      </w:r>
      <w:r w:rsidRPr="00102AF4">
        <w:rPr>
          <w:color w:val="77328A"/>
          <w:sz w:val="16"/>
          <w:szCs w:val="16"/>
        </w:rPr>
        <w:t xml:space="preserve"> Ratified by the UK in 1976.</w:t>
      </w:r>
    </w:p>
  </w:footnote>
  <w:footnote w:id="4">
    <w:p w14:paraId="1D9982AD" w14:textId="77777777" w:rsidR="008D3C2E" w:rsidRPr="00102AF4" w:rsidRDefault="008D3C2E" w:rsidP="008D3C2E">
      <w:pPr>
        <w:rPr>
          <w:color w:val="77328A"/>
          <w:sz w:val="16"/>
          <w:szCs w:val="16"/>
        </w:rPr>
      </w:pPr>
      <w:r w:rsidRPr="00102AF4">
        <w:rPr>
          <w:rStyle w:val="FootnoteReference"/>
          <w:color w:val="77328A"/>
          <w:sz w:val="16"/>
          <w:szCs w:val="16"/>
        </w:rPr>
        <w:footnoteRef/>
      </w:r>
      <w:r w:rsidRPr="00102AF4">
        <w:rPr>
          <w:color w:val="77328A"/>
          <w:sz w:val="16"/>
          <w:szCs w:val="16"/>
        </w:rPr>
        <w:t xml:space="preserve"> Ratified by the UK in 1979.</w:t>
      </w:r>
    </w:p>
  </w:footnote>
  <w:footnote w:id="5">
    <w:p w14:paraId="30FB4A38" w14:textId="77777777" w:rsidR="00C2627B" w:rsidRPr="00102AF4" w:rsidRDefault="00C2627B" w:rsidP="00C2627B">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Ratified by the UK in 1991.</w:t>
      </w:r>
    </w:p>
  </w:footnote>
  <w:footnote w:id="6">
    <w:p w14:paraId="4792CF18" w14:textId="77777777" w:rsidR="008D3C2E" w:rsidRPr="00102AF4" w:rsidRDefault="008D3C2E" w:rsidP="008D3C2E">
      <w:pPr>
        <w:rPr>
          <w:color w:val="77328A"/>
          <w:sz w:val="16"/>
          <w:szCs w:val="16"/>
        </w:rPr>
      </w:pPr>
      <w:r w:rsidRPr="00102AF4">
        <w:rPr>
          <w:rStyle w:val="FootnoteReference"/>
          <w:color w:val="77328A"/>
          <w:sz w:val="16"/>
          <w:szCs w:val="16"/>
        </w:rPr>
        <w:footnoteRef/>
      </w:r>
      <w:r w:rsidRPr="00102AF4">
        <w:rPr>
          <w:color w:val="77328A"/>
          <w:sz w:val="16"/>
          <w:szCs w:val="16"/>
        </w:rPr>
        <w:t xml:space="preserve"> Ratified by the UK in 2009.</w:t>
      </w:r>
    </w:p>
  </w:footnote>
  <w:footnote w:id="7">
    <w:p w14:paraId="661FB7FD" w14:textId="77777777" w:rsidR="008D3C2E" w:rsidRPr="00102AF4" w:rsidRDefault="008D3C2E" w:rsidP="008D3C2E">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This includes </w:t>
      </w:r>
      <w:r w:rsidRPr="00102AF4">
        <w:rPr>
          <w:rFonts w:cs="Arial"/>
          <w:color w:val="77328A"/>
          <w:sz w:val="16"/>
          <w:szCs w:val="16"/>
          <w:shd w:val="clear" w:color="auto" w:fill="FFFFFF"/>
        </w:rPr>
        <w:t>resolutions and recommendations of international bodies such as the UN General Assembly or the Council of Europe.</w:t>
      </w:r>
    </w:p>
  </w:footnote>
  <w:footnote w:id="8">
    <w:p w14:paraId="6C666829" w14:textId="2866EBAF" w:rsidR="009658F9" w:rsidRPr="0018304F" w:rsidRDefault="009658F9">
      <w:pPr>
        <w:pStyle w:val="FootnoteText"/>
        <w:rPr>
          <w:color w:val="77328A"/>
          <w:sz w:val="16"/>
          <w:szCs w:val="16"/>
        </w:rPr>
      </w:pPr>
      <w:r w:rsidRPr="0018304F">
        <w:rPr>
          <w:rStyle w:val="FootnoteReference"/>
          <w:color w:val="77328A"/>
          <w:sz w:val="16"/>
          <w:szCs w:val="16"/>
        </w:rPr>
        <w:footnoteRef/>
      </w:r>
      <w:r w:rsidRPr="0018304F">
        <w:rPr>
          <w:color w:val="77328A"/>
          <w:sz w:val="16"/>
          <w:szCs w:val="16"/>
        </w:rPr>
        <w:t xml:space="preserve"> </w:t>
      </w:r>
      <w:r w:rsidR="00CF3900" w:rsidRPr="0018304F">
        <w:rPr>
          <w:color w:val="77328A"/>
          <w:sz w:val="16"/>
          <w:szCs w:val="16"/>
        </w:rPr>
        <w:t xml:space="preserve">Queen’s University Belfast </w:t>
      </w:r>
      <w:r w:rsidR="00E424FE" w:rsidRPr="0018304F">
        <w:rPr>
          <w:color w:val="77328A"/>
          <w:sz w:val="16"/>
          <w:szCs w:val="16"/>
        </w:rPr>
        <w:t xml:space="preserve">School of Psychology, </w:t>
      </w:r>
      <w:r w:rsidRPr="0018304F">
        <w:rPr>
          <w:color w:val="77328A"/>
          <w:sz w:val="16"/>
          <w:szCs w:val="16"/>
        </w:rPr>
        <w:t>Gender Recognition Act (GRA) 2004 Evaluation and Policy Options</w:t>
      </w:r>
      <w:r w:rsidR="00CC0952" w:rsidRPr="0018304F">
        <w:rPr>
          <w:color w:val="77328A"/>
          <w:sz w:val="16"/>
          <w:szCs w:val="16"/>
        </w:rPr>
        <w:t>, August 2022.</w:t>
      </w:r>
    </w:p>
  </w:footnote>
  <w:footnote w:id="9">
    <w:p w14:paraId="7E24DFF9" w14:textId="2E4ED880" w:rsidR="00344645" w:rsidRPr="0018304F" w:rsidRDefault="00344645">
      <w:pPr>
        <w:pStyle w:val="FootnoteText"/>
        <w:rPr>
          <w:color w:val="77328A"/>
          <w:sz w:val="16"/>
          <w:szCs w:val="16"/>
        </w:rPr>
      </w:pPr>
      <w:r w:rsidRPr="0018304F">
        <w:rPr>
          <w:rStyle w:val="FootnoteReference"/>
          <w:color w:val="77328A"/>
          <w:sz w:val="16"/>
          <w:szCs w:val="16"/>
        </w:rPr>
        <w:footnoteRef/>
      </w:r>
      <w:r w:rsidRPr="0018304F">
        <w:rPr>
          <w:color w:val="77328A"/>
          <w:sz w:val="16"/>
          <w:szCs w:val="16"/>
        </w:rPr>
        <w:t xml:space="preserve"> </w:t>
      </w:r>
      <w:r w:rsidR="00631A64" w:rsidRPr="0018304F">
        <w:rPr>
          <w:color w:val="77328A"/>
          <w:sz w:val="16"/>
          <w:szCs w:val="16"/>
        </w:rPr>
        <w:t xml:space="preserve">See for example, </w:t>
      </w:r>
      <w:r w:rsidRPr="0018304F">
        <w:rPr>
          <w:color w:val="77328A"/>
          <w:sz w:val="16"/>
          <w:szCs w:val="16"/>
        </w:rPr>
        <w:t>Equality and Human Rights Commission</w:t>
      </w:r>
      <w:r w:rsidR="00F67E3D" w:rsidRPr="0018304F">
        <w:rPr>
          <w:rFonts w:eastAsia="MS Mincho" w:cs="Times New Roman"/>
          <w:color w:val="77328A"/>
          <w:sz w:val="16"/>
          <w:szCs w:val="16"/>
        </w:rPr>
        <w:t>, ‘Guidance: Separate and single-sex service providers: A guide on the Equality Act sex and gender reassignment exceptions’</w:t>
      </w:r>
      <w:r w:rsidR="00E32E30" w:rsidRPr="0018304F">
        <w:rPr>
          <w:rFonts w:eastAsia="MS Mincho" w:cs="Times New Roman"/>
          <w:color w:val="77328A"/>
          <w:sz w:val="16"/>
          <w:szCs w:val="16"/>
        </w:rPr>
        <w:t>, April 2022</w:t>
      </w:r>
      <w:r w:rsidR="00631A64" w:rsidRPr="0018304F">
        <w:rPr>
          <w:rFonts w:eastAsia="MS Mincho" w:cs="Times New Roman"/>
          <w:color w:val="77328A"/>
          <w:sz w:val="16"/>
          <w:szCs w:val="16"/>
        </w:rPr>
        <w:t xml:space="preserve">; </w:t>
      </w:r>
      <w:r w:rsidR="00631A64" w:rsidRPr="0018304F">
        <w:rPr>
          <w:color w:val="77328A"/>
          <w:sz w:val="16"/>
          <w:szCs w:val="16"/>
        </w:rPr>
        <w:t xml:space="preserve">A/73/152, United Nations Office of the High Commissioner, ‘Independent Expert on protection against violence and discrimination based on sexual orientation and gender identity, Report on Legal Recognition of Gender Identity and </w:t>
      </w:r>
      <w:proofErr w:type="spellStart"/>
      <w:r w:rsidR="00631A64" w:rsidRPr="0018304F">
        <w:rPr>
          <w:color w:val="77328A"/>
          <w:sz w:val="16"/>
          <w:szCs w:val="16"/>
        </w:rPr>
        <w:t>Depathologization</w:t>
      </w:r>
      <w:proofErr w:type="spellEnd"/>
      <w:r w:rsidR="00631A64" w:rsidRPr="0018304F">
        <w:rPr>
          <w:color w:val="77328A"/>
          <w:sz w:val="16"/>
          <w:szCs w:val="16"/>
        </w:rPr>
        <w:t>’, Session 73, 12 July 2018</w:t>
      </w:r>
      <w:r w:rsidR="00226BDA">
        <w:rPr>
          <w:color w:val="77328A"/>
          <w:sz w:val="16"/>
          <w:szCs w:val="16"/>
        </w:rPr>
        <w:t>.</w:t>
      </w:r>
      <w:r w:rsidR="00226BDA" w:rsidRPr="0018304F">
        <w:rPr>
          <w:color w:val="77328A"/>
          <w:sz w:val="16"/>
          <w:szCs w:val="16"/>
        </w:rPr>
        <w:t xml:space="preserve"> </w:t>
      </w:r>
    </w:p>
  </w:footnote>
  <w:footnote w:id="10">
    <w:p w14:paraId="24D8295A" w14:textId="64D2F852" w:rsidR="00C30675" w:rsidRPr="0018304F" w:rsidRDefault="00C30675">
      <w:pPr>
        <w:pStyle w:val="FootnoteText"/>
        <w:rPr>
          <w:color w:val="77328A"/>
          <w:sz w:val="16"/>
          <w:szCs w:val="16"/>
        </w:rPr>
      </w:pPr>
      <w:r w:rsidRPr="0018304F">
        <w:rPr>
          <w:rStyle w:val="FootnoteReference"/>
          <w:color w:val="77328A"/>
          <w:sz w:val="16"/>
          <w:szCs w:val="16"/>
        </w:rPr>
        <w:footnoteRef/>
      </w:r>
      <w:r w:rsidRPr="0018304F">
        <w:rPr>
          <w:color w:val="77328A"/>
          <w:sz w:val="16"/>
          <w:szCs w:val="16"/>
        </w:rPr>
        <w:t xml:space="preserve"> </w:t>
      </w:r>
      <w:bookmarkStart w:id="8" w:name="_Hlk117492717"/>
      <w:r w:rsidRPr="0018304F">
        <w:rPr>
          <w:color w:val="77328A"/>
          <w:sz w:val="16"/>
          <w:szCs w:val="16"/>
        </w:rPr>
        <w:t>E/C.12/GC/20,</w:t>
      </w:r>
      <w:r w:rsidR="00B42711" w:rsidRPr="0018304F">
        <w:rPr>
          <w:color w:val="77328A"/>
          <w:sz w:val="16"/>
          <w:szCs w:val="16"/>
        </w:rPr>
        <w:t xml:space="preserve"> ‘UN ICESCR Committee on Economic, Social and Cultural Rights, General comment No. 21 on Non-</w:t>
      </w:r>
      <w:r w:rsidR="001A40C8" w:rsidRPr="0018304F">
        <w:rPr>
          <w:color w:val="77328A"/>
          <w:sz w:val="16"/>
          <w:szCs w:val="16"/>
        </w:rPr>
        <w:t>discrimination in</w:t>
      </w:r>
      <w:r w:rsidR="00B42711" w:rsidRPr="0018304F">
        <w:rPr>
          <w:color w:val="77328A"/>
          <w:sz w:val="16"/>
          <w:szCs w:val="16"/>
        </w:rPr>
        <w:t xml:space="preserve"> economic, </w:t>
      </w:r>
      <w:proofErr w:type="gramStart"/>
      <w:r w:rsidR="00B42711" w:rsidRPr="0018304F">
        <w:rPr>
          <w:color w:val="77328A"/>
          <w:sz w:val="16"/>
          <w:szCs w:val="16"/>
        </w:rPr>
        <w:t>social</w:t>
      </w:r>
      <w:proofErr w:type="gramEnd"/>
      <w:r w:rsidR="00B42711" w:rsidRPr="0018304F">
        <w:rPr>
          <w:color w:val="77328A"/>
          <w:sz w:val="16"/>
          <w:szCs w:val="16"/>
        </w:rPr>
        <w:t xml:space="preserve"> and cultural rights’, </w:t>
      </w:r>
      <w:r w:rsidR="00052E3E" w:rsidRPr="0018304F">
        <w:rPr>
          <w:color w:val="77328A"/>
          <w:sz w:val="16"/>
          <w:szCs w:val="16"/>
        </w:rPr>
        <w:t>2 July 2009,</w:t>
      </w:r>
      <w:r w:rsidR="00B42711" w:rsidRPr="0018304F">
        <w:rPr>
          <w:color w:val="77328A"/>
          <w:sz w:val="16"/>
          <w:szCs w:val="16"/>
        </w:rPr>
        <w:t xml:space="preserve"> </w:t>
      </w:r>
      <w:r w:rsidRPr="0018304F">
        <w:rPr>
          <w:color w:val="77328A"/>
          <w:sz w:val="16"/>
          <w:szCs w:val="16"/>
        </w:rPr>
        <w:t xml:space="preserve">at para 32. </w:t>
      </w:r>
      <w:bookmarkEnd w:id="8"/>
    </w:p>
  </w:footnote>
  <w:footnote w:id="11">
    <w:p w14:paraId="424CCC04" w14:textId="53798499" w:rsidR="001A40C8" w:rsidRPr="0018304F" w:rsidRDefault="001A40C8">
      <w:pPr>
        <w:pStyle w:val="FootnoteText"/>
        <w:rPr>
          <w:color w:val="77328A"/>
          <w:sz w:val="16"/>
          <w:szCs w:val="16"/>
        </w:rPr>
      </w:pPr>
      <w:r w:rsidRPr="0018304F">
        <w:rPr>
          <w:rStyle w:val="FootnoteReference"/>
          <w:color w:val="77328A"/>
          <w:sz w:val="16"/>
          <w:szCs w:val="16"/>
        </w:rPr>
        <w:footnoteRef/>
      </w:r>
      <w:r w:rsidRPr="0018304F">
        <w:rPr>
          <w:color w:val="77328A"/>
          <w:sz w:val="16"/>
          <w:szCs w:val="16"/>
        </w:rPr>
        <w:t xml:space="preserve"> E/C.12/GC/20, ‘UN ICESCR Committee on Economic, Social and Cultural Rights, General comment No. 21 on Non-discrimination in economic, </w:t>
      </w:r>
      <w:proofErr w:type="gramStart"/>
      <w:r w:rsidRPr="0018304F">
        <w:rPr>
          <w:color w:val="77328A"/>
          <w:sz w:val="16"/>
          <w:szCs w:val="16"/>
        </w:rPr>
        <w:t>social</w:t>
      </w:r>
      <w:proofErr w:type="gramEnd"/>
      <w:r w:rsidRPr="0018304F">
        <w:rPr>
          <w:color w:val="77328A"/>
          <w:sz w:val="16"/>
          <w:szCs w:val="16"/>
        </w:rPr>
        <w:t xml:space="preserve"> and cultural rights’, 2 July 2009, at para 36.</w:t>
      </w:r>
    </w:p>
  </w:footnote>
  <w:footnote w:id="12">
    <w:p w14:paraId="6A16F326" w14:textId="48EDC202" w:rsidR="002F25AA" w:rsidRPr="00102AF4" w:rsidRDefault="002F25AA">
      <w:pPr>
        <w:pStyle w:val="FootnoteText"/>
        <w:rPr>
          <w:color w:val="77328A"/>
          <w:sz w:val="16"/>
          <w:szCs w:val="16"/>
        </w:rPr>
      </w:pPr>
      <w:r w:rsidRPr="0018304F">
        <w:rPr>
          <w:rStyle w:val="FootnoteReference"/>
          <w:color w:val="77328A"/>
          <w:sz w:val="16"/>
          <w:szCs w:val="16"/>
        </w:rPr>
        <w:footnoteRef/>
      </w:r>
      <w:r w:rsidRPr="0018304F">
        <w:rPr>
          <w:color w:val="77328A"/>
          <w:sz w:val="16"/>
          <w:szCs w:val="16"/>
        </w:rPr>
        <w:t xml:space="preserve"> E/C.12/GC/20, ‘UN ICESCR Committee on Economic, Social and Cultural Rights, General comment No. 21 on Non-discrimination in economic, </w:t>
      </w:r>
      <w:proofErr w:type="gramStart"/>
      <w:r w:rsidRPr="0018304F">
        <w:rPr>
          <w:color w:val="77328A"/>
          <w:sz w:val="16"/>
          <w:szCs w:val="16"/>
        </w:rPr>
        <w:t>social</w:t>
      </w:r>
      <w:proofErr w:type="gramEnd"/>
      <w:r w:rsidRPr="0018304F">
        <w:rPr>
          <w:color w:val="77328A"/>
          <w:sz w:val="16"/>
          <w:szCs w:val="16"/>
        </w:rPr>
        <w:t xml:space="preserve"> and cultural rights’, 2 July 2009, at para 38.</w:t>
      </w:r>
    </w:p>
  </w:footnote>
  <w:footnote w:id="13">
    <w:p w14:paraId="2E426C39" w14:textId="617BC424" w:rsidR="00300C42" w:rsidRPr="00102AF4" w:rsidRDefault="00300C42" w:rsidP="00A2356A">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w:t>
      </w:r>
      <w:r w:rsidR="00080C8F" w:rsidRPr="00102AF4">
        <w:rPr>
          <w:color w:val="77328A"/>
          <w:sz w:val="16"/>
          <w:szCs w:val="16"/>
        </w:rPr>
        <w:t>E/C.12/GC/21, ‘</w:t>
      </w:r>
      <w:bookmarkStart w:id="9" w:name="_Hlk117492164"/>
      <w:r w:rsidR="00080C8F" w:rsidRPr="00102AF4">
        <w:rPr>
          <w:color w:val="77328A"/>
          <w:sz w:val="16"/>
          <w:szCs w:val="16"/>
        </w:rPr>
        <w:t xml:space="preserve">UN ICESCR </w:t>
      </w:r>
      <w:r w:rsidR="004A0F3F" w:rsidRPr="00102AF4">
        <w:rPr>
          <w:color w:val="77328A"/>
          <w:sz w:val="16"/>
          <w:szCs w:val="16"/>
        </w:rPr>
        <w:t xml:space="preserve">Committee </w:t>
      </w:r>
      <w:r w:rsidR="00A2356A" w:rsidRPr="00102AF4">
        <w:rPr>
          <w:color w:val="77328A"/>
          <w:sz w:val="16"/>
          <w:szCs w:val="16"/>
        </w:rPr>
        <w:t>General comment No. 21</w:t>
      </w:r>
      <w:r w:rsidR="003B3304" w:rsidRPr="00102AF4">
        <w:rPr>
          <w:color w:val="77328A"/>
          <w:sz w:val="16"/>
          <w:szCs w:val="16"/>
        </w:rPr>
        <w:t xml:space="preserve"> on</w:t>
      </w:r>
      <w:bookmarkEnd w:id="9"/>
      <w:r w:rsidR="003B3304" w:rsidRPr="00102AF4">
        <w:rPr>
          <w:color w:val="77328A"/>
          <w:sz w:val="16"/>
          <w:szCs w:val="16"/>
        </w:rPr>
        <w:t xml:space="preserve"> the</w:t>
      </w:r>
      <w:r w:rsidR="00A2356A" w:rsidRPr="00102AF4">
        <w:rPr>
          <w:color w:val="77328A"/>
          <w:sz w:val="16"/>
          <w:szCs w:val="16"/>
        </w:rPr>
        <w:t xml:space="preserve"> </w:t>
      </w:r>
      <w:r w:rsidR="003B3304" w:rsidRPr="00102AF4">
        <w:rPr>
          <w:color w:val="77328A"/>
          <w:sz w:val="16"/>
          <w:szCs w:val="16"/>
        </w:rPr>
        <w:t>r</w:t>
      </w:r>
      <w:r w:rsidR="00A2356A" w:rsidRPr="00102AF4">
        <w:rPr>
          <w:color w:val="77328A"/>
          <w:sz w:val="16"/>
          <w:szCs w:val="16"/>
        </w:rPr>
        <w:t xml:space="preserve">ight of everyone to take part in cultural life (art. 15, para. </w:t>
      </w:r>
      <w:r w:rsidR="006543D6" w:rsidRPr="00102AF4">
        <w:rPr>
          <w:color w:val="77328A"/>
          <w:sz w:val="16"/>
          <w:szCs w:val="16"/>
        </w:rPr>
        <w:t>1 (a)</w:t>
      </w:r>
      <w:r w:rsidR="00A2356A" w:rsidRPr="00102AF4">
        <w:rPr>
          <w:color w:val="77328A"/>
          <w:sz w:val="16"/>
          <w:szCs w:val="16"/>
        </w:rPr>
        <w:t xml:space="preserve"> of the International Covenant on Economic, Social and Cultural Rights</w:t>
      </w:r>
      <w:r w:rsidR="00080C8F" w:rsidRPr="00102AF4">
        <w:rPr>
          <w:color w:val="77328A"/>
          <w:sz w:val="16"/>
          <w:szCs w:val="16"/>
        </w:rPr>
        <w:t>)’,</w:t>
      </w:r>
      <w:r w:rsidR="00FD2AB5" w:rsidRPr="00102AF4">
        <w:rPr>
          <w:color w:val="77328A"/>
          <w:sz w:val="16"/>
          <w:szCs w:val="16"/>
        </w:rPr>
        <w:t xml:space="preserve"> </w:t>
      </w:r>
      <w:r w:rsidR="004A0F3F" w:rsidRPr="00102AF4">
        <w:rPr>
          <w:color w:val="77328A"/>
          <w:sz w:val="16"/>
          <w:szCs w:val="16"/>
        </w:rPr>
        <w:t>December 2009</w:t>
      </w:r>
      <w:r w:rsidR="00FD2AB5" w:rsidRPr="00102AF4">
        <w:rPr>
          <w:color w:val="77328A"/>
          <w:sz w:val="16"/>
          <w:szCs w:val="16"/>
        </w:rPr>
        <w:t xml:space="preserve">. </w:t>
      </w:r>
    </w:p>
  </w:footnote>
  <w:footnote w:id="14">
    <w:p w14:paraId="5918B20D" w14:textId="284B8E9C" w:rsidR="001F66A0" w:rsidRPr="00102AF4" w:rsidRDefault="001F66A0">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w:t>
      </w:r>
      <w:r w:rsidR="00080C8F" w:rsidRPr="00102AF4">
        <w:rPr>
          <w:color w:val="77328A"/>
          <w:sz w:val="16"/>
          <w:szCs w:val="16"/>
        </w:rPr>
        <w:t xml:space="preserve">E/C.12/GC/25, ‘UN ICESCR </w:t>
      </w:r>
      <w:r w:rsidR="002F3BAA" w:rsidRPr="00102AF4">
        <w:rPr>
          <w:color w:val="77328A"/>
          <w:sz w:val="16"/>
          <w:szCs w:val="16"/>
        </w:rPr>
        <w:t xml:space="preserve">Committee </w:t>
      </w:r>
      <w:r w:rsidR="00004263" w:rsidRPr="00102AF4">
        <w:rPr>
          <w:color w:val="77328A"/>
          <w:sz w:val="16"/>
          <w:szCs w:val="16"/>
        </w:rPr>
        <w:t>General comment No. 25 (2020) on science and economic, social and cultural rights (article 15 (1) (b), (2), (3) and (4) of the International Covenant on Economic, Social and Cultural Rights)</w:t>
      </w:r>
      <w:r w:rsidR="00080C8F" w:rsidRPr="00102AF4">
        <w:rPr>
          <w:color w:val="77328A"/>
          <w:sz w:val="16"/>
          <w:szCs w:val="16"/>
        </w:rPr>
        <w:t>’</w:t>
      </w:r>
      <w:r w:rsidR="002F3BAA" w:rsidRPr="00102AF4">
        <w:rPr>
          <w:color w:val="77328A"/>
          <w:sz w:val="16"/>
          <w:szCs w:val="16"/>
        </w:rPr>
        <w:t>, April 2020,</w:t>
      </w:r>
      <w:r w:rsidR="00DD6214" w:rsidRPr="00102AF4">
        <w:rPr>
          <w:color w:val="77328A"/>
          <w:sz w:val="16"/>
          <w:szCs w:val="16"/>
        </w:rPr>
        <w:t xml:space="preserve"> </w:t>
      </w:r>
      <w:r w:rsidR="0081230F" w:rsidRPr="00102AF4">
        <w:rPr>
          <w:color w:val="77328A"/>
          <w:sz w:val="16"/>
          <w:szCs w:val="16"/>
        </w:rPr>
        <w:t>at pa</w:t>
      </w:r>
      <w:r w:rsidR="0034674D" w:rsidRPr="00102AF4">
        <w:rPr>
          <w:color w:val="77328A"/>
          <w:sz w:val="16"/>
          <w:szCs w:val="16"/>
        </w:rPr>
        <w:t xml:space="preserve">ra </w:t>
      </w:r>
      <w:r w:rsidR="002308A4" w:rsidRPr="00102AF4">
        <w:rPr>
          <w:color w:val="77328A"/>
          <w:sz w:val="16"/>
          <w:szCs w:val="16"/>
        </w:rPr>
        <w:t>28</w:t>
      </w:r>
      <w:r w:rsidR="002F3BAA" w:rsidRPr="00102AF4">
        <w:rPr>
          <w:color w:val="77328A"/>
          <w:sz w:val="16"/>
          <w:szCs w:val="16"/>
        </w:rPr>
        <w:t>.</w:t>
      </w:r>
    </w:p>
  </w:footnote>
  <w:footnote w:id="15">
    <w:p w14:paraId="33EB5790" w14:textId="75AACBCA" w:rsidR="009E1D39" w:rsidRPr="00102AF4" w:rsidRDefault="009E1D39">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w:t>
      </w:r>
      <w:r w:rsidR="00843BB2" w:rsidRPr="00102AF4">
        <w:rPr>
          <w:color w:val="77328A"/>
          <w:sz w:val="16"/>
          <w:szCs w:val="16"/>
        </w:rPr>
        <w:t xml:space="preserve">Article 26, </w:t>
      </w:r>
      <w:r w:rsidRPr="00102AF4">
        <w:rPr>
          <w:color w:val="77328A"/>
          <w:sz w:val="16"/>
          <w:szCs w:val="16"/>
        </w:rPr>
        <w:t xml:space="preserve">International Covenant </w:t>
      </w:r>
      <w:r w:rsidR="008577EA" w:rsidRPr="00102AF4">
        <w:rPr>
          <w:color w:val="77328A"/>
          <w:sz w:val="16"/>
          <w:szCs w:val="16"/>
        </w:rPr>
        <w:t>on Civil and Political Rights</w:t>
      </w:r>
      <w:r w:rsidR="00680757" w:rsidRPr="00102AF4">
        <w:rPr>
          <w:color w:val="77328A"/>
          <w:sz w:val="16"/>
          <w:szCs w:val="16"/>
        </w:rPr>
        <w:t>.</w:t>
      </w:r>
    </w:p>
  </w:footnote>
  <w:footnote w:id="16">
    <w:p w14:paraId="7EC9C71B" w14:textId="459DC941" w:rsidR="00D0731A" w:rsidRPr="00102AF4" w:rsidRDefault="00D0731A" w:rsidP="002D5A2B">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w:t>
      </w:r>
      <w:r w:rsidR="00080C8F" w:rsidRPr="00102AF4">
        <w:rPr>
          <w:color w:val="77328A"/>
          <w:sz w:val="16"/>
          <w:szCs w:val="16"/>
        </w:rPr>
        <w:t xml:space="preserve">CCPR/C/119/D/2172/2012, ‘UN </w:t>
      </w:r>
      <w:r w:rsidR="002D5A2B" w:rsidRPr="00102AF4">
        <w:rPr>
          <w:color w:val="77328A"/>
          <w:sz w:val="16"/>
          <w:szCs w:val="16"/>
        </w:rPr>
        <w:t>Human Rights Committee Views adopted by the Committee under article 5 (4) of the Optional Protocol, concerning communication No. 2172/2012</w:t>
      </w:r>
      <w:r w:rsidR="00080C8F" w:rsidRPr="00102AF4">
        <w:rPr>
          <w:color w:val="77328A"/>
          <w:sz w:val="16"/>
          <w:szCs w:val="16"/>
        </w:rPr>
        <w:t>’</w:t>
      </w:r>
      <w:r w:rsidR="001E23CB" w:rsidRPr="00102AF4">
        <w:rPr>
          <w:color w:val="77328A"/>
          <w:sz w:val="16"/>
          <w:szCs w:val="16"/>
        </w:rPr>
        <w:t xml:space="preserve">, </w:t>
      </w:r>
      <w:r w:rsidR="00080C8F" w:rsidRPr="00102AF4">
        <w:rPr>
          <w:color w:val="77328A"/>
          <w:sz w:val="16"/>
          <w:szCs w:val="16"/>
        </w:rPr>
        <w:t xml:space="preserve">at </w:t>
      </w:r>
      <w:r w:rsidR="00117660" w:rsidRPr="00102AF4">
        <w:rPr>
          <w:color w:val="77328A"/>
          <w:sz w:val="16"/>
          <w:szCs w:val="16"/>
        </w:rPr>
        <w:t>para</w:t>
      </w:r>
      <w:r w:rsidR="00A95F3B" w:rsidRPr="00102AF4">
        <w:rPr>
          <w:color w:val="77328A"/>
          <w:sz w:val="16"/>
          <w:szCs w:val="16"/>
        </w:rPr>
        <w:t>s</w:t>
      </w:r>
      <w:r w:rsidR="00117660" w:rsidRPr="00102AF4">
        <w:rPr>
          <w:color w:val="77328A"/>
          <w:sz w:val="16"/>
          <w:szCs w:val="16"/>
        </w:rPr>
        <w:t xml:space="preserve"> 7</w:t>
      </w:r>
      <w:r w:rsidR="003E27F8" w:rsidRPr="00102AF4">
        <w:rPr>
          <w:color w:val="77328A"/>
          <w:sz w:val="16"/>
          <w:szCs w:val="16"/>
        </w:rPr>
        <w:t>-8</w:t>
      </w:r>
      <w:r w:rsidR="00680757" w:rsidRPr="00102AF4">
        <w:rPr>
          <w:color w:val="77328A"/>
          <w:sz w:val="16"/>
          <w:szCs w:val="16"/>
        </w:rPr>
        <w:t>.</w:t>
      </w:r>
    </w:p>
  </w:footnote>
  <w:footnote w:id="17">
    <w:p w14:paraId="21B34B3B" w14:textId="6700F106" w:rsidR="002D161B" w:rsidRPr="00102AF4" w:rsidRDefault="002D161B">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w:t>
      </w:r>
      <w:r w:rsidR="007910F3" w:rsidRPr="00102AF4">
        <w:rPr>
          <w:color w:val="77328A"/>
          <w:sz w:val="16"/>
          <w:szCs w:val="16"/>
        </w:rPr>
        <w:t>HRI/GEN/1/Rev.9 (Vol. I), ‘UN Human Rights Committee, General Comment</w:t>
      </w:r>
      <w:r w:rsidR="00194F27" w:rsidRPr="00102AF4">
        <w:rPr>
          <w:color w:val="77328A"/>
          <w:sz w:val="16"/>
          <w:szCs w:val="16"/>
        </w:rPr>
        <w:t xml:space="preserve"> no. 28 on Article 3 (The equality of rights between men and women)’, 29 March 2000, at para 31. </w:t>
      </w:r>
    </w:p>
  </w:footnote>
  <w:footnote w:id="18">
    <w:p w14:paraId="08FFFF8E" w14:textId="513EA84A" w:rsidR="00BA5DFC" w:rsidRPr="007901C8" w:rsidRDefault="00BA5DFC">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w:t>
      </w:r>
      <w:r w:rsidR="00C50413" w:rsidRPr="00102AF4">
        <w:rPr>
          <w:color w:val="77328A"/>
          <w:sz w:val="16"/>
          <w:szCs w:val="16"/>
        </w:rPr>
        <w:t xml:space="preserve">Article 31, </w:t>
      </w:r>
      <w:r w:rsidR="001108AC" w:rsidRPr="00102AF4">
        <w:rPr>
          <w:color w:val="77328A"/>
          <w:sz w:val="16"/>
          <w:szCs w:val="16"/>
        </w:rPr>
        <w:t>UN Convention on the Rights of the Child</w:t>
      </w:r>
      <w:r w:rsidR="00680757" w:rsidRPr="00102AF4">
        <w:rPr>
          <w:color w:val="77328A"/>
          <w:sz w:val="16"/>
          <w:szCs w:val="16"/>
        </w:rPr>
        <w:t>.</w:t>
      </w:r>
    </w:p>
  </w:footnote>
  <w:footnote w:id="19">
    <w:p w14:paraId="2B57B595" w14:textId="3A88A178" w:rsidR="00E40290" w:rsidRPr="007901C8" w:rsidRDefault="00E40290">
      <w:pPr>
        <w:pStyle w:val="FootnoteText"/>
        <w:rPr>
          <w:color w:val="77328A"/>
          <w:sz w:val="16"/>
          <w:szCs w:val="16"/>
        </w:rPr>
      </w:pPr>
      <w:r w:rsidRPr="007901C8">
        <w:rPr>
          <w:rStyle w:val="FootnoteReference"/>
          <w:color w:val="77328A"/>
          <w:sz w:val="16"/>
          <w:szCs w:val="16"/>
        </w:rPr>
        <w:footnoteRef/>
      </w:r>
      <w:r w:rsidR="00352873" w:rsidRPr="007901C8">
        <w:rPr>
          <w:color w:val="77328A"/>
          <w:sz w:val="16"/>
          <w:szCs w:val="16"/>
        </w:rPr>
        <w:t xml:space="preserve"> </w:t>
      </w:r>
      <w:r w:rsidR="00E9581A" w:rsidRPr="007901C8">
        <w:rPr>
          <w:color w:val="77328A"/>
          <w:sz w:val="16"/>
          <w:szCs w:val="16"/>
        </w:rPr>
        <w:t>CRC/C/GC/17, ‘</w:t>
      </w:r>
      <w:r w:rsidRPr="007901C8">
        <w:rPr>
          <w:color w:val="77328A"/>
          <w:sz w:val="16"/>
          <w:szCs w:val="16"/>
        </w:rPr>
        <w:t>UN Committee on the Rights of the Child General comment No. 17 (2013) on the right of the child to rest, leisure, play, recreational activities, cultural life and the arts (art. 31)</w:t>
      </w:r>
      <w:r w:rsidR="00E9581A" w:rsidRPr="007901C8">
        <w:rPr>
          <w:color w:val="77328A"/>
          <w:sz w:val="16"/>
          <w:szCs w:val="16"/>
        </w:rPr>
        <w:t>’</w:t>
      </w:r>
      <w:r w:rsidRPr="007901C8">
        <w:rPr>
          <w:color w:val="77328A"/>
          <w:sz w:val="16"/>
          <w:szCs w:val="16"/>
        </w:rPr>
        <w:t xml:space="preserve">, 17 April 2013, </w:t>
      </w:r>
      <w:r w:rsidR="00E9581A" w:rsidRPr="007901C8">
        <w:rPr>
          <w:color w:val="77328A"/>
          <w:sz w:val="16"/>
          <w:szCs w:val="16"/>
        </w:rPr>
        <w:t xml:space="preserve">at </w:t>
      </w:r>
      <w:r w:rsidRPr="007901C8">
        <w:rPr>
          <w:color w:val="77328A"/>
          <w:sz w:val="16"/>
          <w:szCs w:val="16"/>
        </w:rPr>
        <w:t>para 48</w:t>
      </w:r>
      <w:r w:rsidR="00E926CE" w:rsidRPr="007901C8">
        <w:rPr>
          <w:color w:val="77328A"/>
          <w:sz w:val="16"/>
          <w:szCs w:val="16"/>
        </w:rPr>
        <w:t>.</w:t>
      </w:r>
    </w:p>
  </w:footnote>
  <w:footnote w:id="20">
    <w:p w14:paraId="115A180C" w14:textId="4C542D83" w:rsidR="00F21F8A" w:rsidRPr="00D34885" w:rsidRDefault="00F21F8A" w:rsidP="00F21F8A">
      <w:pPr>
        <w:pStyle w:val="FootnoteText"/>
        <w:rPr>
          <w:color w:val="77328A"/>
          <w:sz w:val="16"/>
          <w:szCs w:val="16"/>
        </w:rPr>
      </w:pPr>
      <w:r w:rsidRPr="004374F4">
        <w:rPr>
          <w:rStyle w:val="FootnoteReference"/>
          <w:color w:val="77328A"/>
          <w:sz w:val="16"/>
          <w:szCs w:val="16"/>
        </w:rPr>
        <w:footnoteRef/>
      </w:r>
      <w:r w:rsidRPr="004374F4">
        <w:rPr>
          <w:color w:val="77328A"/>
          <w:sz w:val="16"/>
          <w:szCs w:val="16"/>
        </w:rPr>
        <w:t xml:space="preserve"> A/HRC/RES/32/2, ‘United Nations Human Rights Council</w:t>
      </w:r>
      <w:r w:rsidR="0038783F">
        <w:rPr>
          <w:color w:val="77328A"/>
          <w:sz w:val="16"/>
          <w:szCs w:val="16"/>
        </w:rPr>
        <w:t>,</w:t>
      </w:r>
      <w:r w:rsidRPr="004374F4">
        <w:rPr>
          <w:color w:val="77328A"/>
          <w:sz w:val="16"/>
          <w:szCs w:val="16"/>
        </w:rPr>
        <w:t xml:space="preserve"> Protection against violence and discrimination based on sexual orientation and </w:t>
      </w:r>
      <w:r w:rsidRPr="00D34885">
        <w:rPr>
          <w:color w:val="77328A"/>
          <w:sz w:val="16"/>
          <w:szCs w:val="16"/>
        </w:rPr>
        <w:t xml:space="preserve">gender identity’, </w:t>
      </w:r>
      <w:r w:rsidR="007260AA">
        <w:rPr>
          <w:color w:val="77328A"/>
          <w:sz w:val="16"/>
          <w:szCs w:val="16"/>
        </w:rPr>
        <w:t xml:space="preserve">30 </w:t>
      </w:r>
      <w:r w:rsidR="007260AA" w:rsidRPr="00D34885">
        <w:rPr>
          <w:color w:val="77328A"/>
          <w:sz w:val="16"/>
          <w:szCs w:val="16"/>
        </w:rPr>
        <w:t>Ju</w:t>
      </w:r>
      <w:r w:rsidR="007260AA">
        <w:rPr>
          <w:color w:val="77328A"/>
          <w:sz w:val="16"/>
          <w:szCs w:val="16"/>
        </w:rPr>
        <w:t>ne</w:t>
      </w:r>
      <w:r w:rsidR="007260AA" w:rsidRPr="00D34885">
        <w:rPr>
          <w:color w:val="77328A"/>
          <w:sz w:val="16"/>
          <w:szCs w:val="16"/>
        </w:rPr>
        <w:t xml:space="preserve"> </w:t>
      </w:r>
      <w:r w:rsidRPr="00D34885">
        <w:rPr>
          <w:color w:val="77328A"/>
          <w:sz w:val="16"/>
          <w:szCs w:val="16"/>
        </w:rPr>
        <w:t>2016.</w:t>
      </w:r>
    </w:p>
  </w:footnote>
  <w:footnote w:id="21">
    <w:p w14:paraId="6711B642" w14:textId="6F904537" w:rsidR="000C59AC" w:rsidRDefault="000C59AC">
      <w:pPr>
        <w:pStyle w:val="FootnoteText"/>
      </w:pPr>
      <w:r w:rsidRPr="00D34885">
        <w:rPr>
          <w:rStyle w:val="FootnoteReference"/>
          <w:color w:val="77328A"/>
          <w:sz w:val="16"/>
          <w:szCs w:val="16"/>
        </w:rPr>
        <w:footnoteRef/>
      </w:r>
      <w:r w:rsidRPr="00D34885">
        <w:rPr>
          <w:color w:val="77328A"/>
          <w:sz w:val="16"/>
          <w:szCs w:val="16"/>
        </w:rPr>
        <w:t xml:space="preserve"> </w:t>
      </w:r>
      <w:r w:rsidR="00C86A76" w:rsidRPr="00D34885">
        <w:rPr>
          <w:color w:val="77328A"/>
          <w:sz w:val="16"/>
          <w:szCs w:val="16"/>
        </w:rPr>
        <w:t xml:space="preserve">A/HRC/RES/50/10, </w:t>
      </w:r>
      <w:r w:rsidR="00D34885">
        <w:rPr>
          <w:color w:val="77328A"/>
          <w:sz w:val="16"/>
          <w:szCs w:val="16"/>
        </w:rPr>
        <w:t>‘</w:t>
      </w:r>
      <w:r w:rsidR="00C86A76" w:rsidRPr="00D34885">
        <w:rPr>
          <w:color w:val="77328A"/>
          <w:sz w:val="16"/>
          <w:szCs w:val="16"/>
        </w:rPr>
        <w:t>United Nations Human Rights Council</w:t>
      </w:r>
      <w:r w:rsidR="0038783F">
        <w:rPr>
          <w:color w:val="77328A"/>
          <w:sz w:val="16"/>
          <w:szCs w:val="16"/>
        </w:rPr>
        <w:t>,</w:t>
      </w:r>
      <w:r w:rsidR="00C86A76" w:rsidRPr="00D34885">
        <w:rPr>
          <w:color w:val="77328A"/>
          <w:sz w:val="16"/>
          <w:szCs w:val="16"/>
        </w:rPr>
        <w:t xml:space="preserve"> Mandate of Independent Expert on protection against violence and discrimination based on sexual orientation and gender identit</w:t>
      </w:r>
      <w:r w:rsidR="00D34885" w:rsidRPr="00D34885">
        <w:rPr>
          <w:color w:val="77328A"/>
          <w:sz w:val="16"/>
          <w:szCs w:val="16"/>
        </w:rPr>
        <w:t xml:space="preserve">y’, </w:t>
      </w:r>
      <w:r w:rsidR="007260AA">
        <w:rPr>
          <w:color w:val="77328A"/>
          <w:sz w:val="16"/>
          <w:szCs w:val="16"/>
        </w:rPr>
        <w:t>7</w:t>
      </w:r>
      <w:r w:rsidR="007260AA" w:rsidRPr="00D34885">
        <w:rPr>
          <w:color w:val="77328A"/>
          <w:sz w:val="16"/>
          <w:szCs w:val="16"/>
        </w:rPr>
        <w:t xml:space="preserve"> </w:t>
      </w:r>
      <w:r w:rsidR="00D34885" w:rsidRPr="00D34885">
        <w:rPr>
          <w:color w:val="77328A"/>
          <w:sz w:val="16"/>
          <w:szCs w:val="16"/>
        </w:rPr>
        <w:t>July 2022.</w:t>
      </w:r>
    </w:p>
  </w:footnote>
  <w:footnote w:id="22">
    <w:p w14:paraId="6FA5B1B2" w14:textId="39FEE5C0" w:rsidR="00E11D2E" w:rsidRPr="007901C8" w:rsidRDefault="00E11D2E">
      <w:pPr>
        <w:pStyle w:val="FootnoteText"/>
        <w:rPr>
          <w:color w:val="77328A"/>
          <w:sz w:val="16"/>
          <w:szCs w:val="16"/>
        </w:rPr>
      </w:pPr>
      <w:r w:rsidRPr="007901C8">
        <w:rPr>
          <w:rStyle w:val="FootnoteReference"/>
          <w:color w:val="77328A"/>
          <w:sz w:val="16"/>
          <w:szCs w:val="16"/>
        </w:rPr>
        <w:footnoteRef/>
      </w:r>
      <w:r w:rsidRPr="007901C8">
        <w:rPr>
          <w:color w:val="77328A"/>
          <w:sz w:val="16"/>
          <w:szCs w:val="16"/>
        </w:rPr>
        <w:t xml:space="preserve"> </w:t>
      </w:r>
      <w:bookmarkStart w:id="12" w:name="_Hlk120007776"/>
      <w:r w:rsidRPr="007901C8">
        <w:rPr>
          <w:color w:val="77328A"/>
          <w:sz w:val="16"/>
          <w:szCs w:val="16"/>
        </w:rPr>
        <w:t>The Yogyakarta</w:t>
      </w:r>
      <w:r w:rsidR="00715083" w:rsidRPr="007901C8">
        <w:rPr>
          <w:color w:val="77328A"/>
          <w:sz w:val="16"/>
          <w:szCs w:val="16"/>
        </w:rPr>
        <w:t xml:space="preserve"> </w:t>
      </w:r>
      <w:r w:rsidRPr="007901C8">
        <w:rPr>
          <w:color w:val="77328A"/>
          <w:sz w:val="16"/>
          <w:szCs w:val="16"/>
        </w:rPr>
        <w:t>P</w:t>
      </w:r>
      <w:r w:rsidR="00715083" w:rsidRPr="007901C8">
        <w:rPr>
          <w:color w:val="77328A"/>
          <w:sz w:val="16"/>
          <w:szCs w:val="16"/>
        </w:rPr>
        <w:t xml:space="preserve">rinciples </w:t>
      </w:r>
      <w:r w:rsidRPr="007901C8">
        <w:rPr>
          <w:color w:val="77328A"/>
          <w:sz w:val="16"/>
          <w:szCs w:val="16"/>
        </w:rPr>
        <w:t>plus 10</w:t>
      </w:r>
      <w:r w:rsidR="006E329B" w:rsidRPr="007901C8">
        <w:rPr>
          <w:color w:val="77328A"/>
          <w:sz w:val="16"/>
          <w:szCs w:val="16"/>
        </w:rPr>
        <w:t xml:space="preserve"> Additional Principles and State Obligations on the Application </w:t>
      </w:r>
      <w:r w:rsidR="00C035F9" w:rsidRPr="007901C8">
        <w:rPr>
          <w:color w:val="77328A"/>
          <w:sz w:val="16"/>
          <w:szCs w:val="16"/>
        </w:rPr>
        <w:t>o</w:t>
      </w:r>
      <w:r w:rsidR="00601C78" w:rsidRPr="007901C8">
        <w:rPr>
          <w:color w:val="77328A"/>
          <w:sz w:val="16"/>
          <w:szCs w:val="16"/>
        </w:rPr>
        <w:t>f International Human Rights Law in Relation to Sexual Orientation</w:t>
      </w:r>
      <w:r w:rsidR="00631616" w:rsidRPr="007901C8">
        <w:rPr>
          <w:color w:val="77328A"/>
          <w:sz w:val="16"/>
          <w:szCs w:val="16"/>
        </w:rPr>
        <w:t>, Gender Identity, Gender Expression and Sex Ch</w:t>
      </w:r>
      <w:r w:rsidR="00E22E82" w:rsidRPr="007901C8">
        <w:rPr>
          <w:color w:val="77328A"/>
          <w:sz w:val="16"/>
          <w:szCs w:val="16"/>
        </w:rPr>
        <w:t>aracteristics to complement the Yogyakarta Principles</w:t>
      </w:r>
      <w:r w:rsidR="00C035F9" w:rsidRPr="007901C8">
        <w:rPr>
          <w:color w:val="77328A"/>
          <w:sz w:val="16"/>
          <w:szCs w:val="16"/>
        </w:rPr>
        <w:t>, 10 November 2017</w:t>
      </w:r>
      <w:r w:rsidR="009770C7" w:rsidRPr="007901C8">
        <w:rPr>
          <w:color w:val="77328A"/>
          <w:sz w:val="16"/>
          <w:szCs w:val="16"/>
        </w:rPr>
        <w:t xml:space="preserve">. </w:t>
      </w:r>
      <w:r w:rsidR="006C71F9" w:rsidRPr="007901C8">
        <w:rPr>
          <w:color w:val="77328A"/>
          <w:sz w:val="16"/>
          <w:szCs w:val="16"/>
        </w:rPr>
        <w:t>Available at http://yogyakartaprinciples.org/wp-content/uploads/2017/11/A5_yogyakartaWEB-2.pdf</w:t>
      </w:r>
      <w:r w:rsidR="00FF0DC8" w:rsidRPr="007901C8">
        <w:rPr>
          <w:color w:val="77328A"/>
          <w:sz w:val="16"/>
          <w:szCs w:val="16"/>
        </w:rPr>
        <w:t>.</w:t>
      </w:r>
    </w:p>
    <w:bookmarkEnd w:id="12"/>
  </w:footnote>
  <w:footnote w:id="23">
    <w:p w14:paraId="6FC3946F" w14:textId="1FCFA63C" w:rsidR="000A16C9" w:rsidRPr="007901C8" w:rsidRDefault="000A16C9">
      <w:pPr>
        <w:pStyle w:val="FootnoteText"/>
        <w:rPr>
          <w:color w:val="77328A"/>
          <w:sz w:val="16"/>
          <w:szCs w:val="16"/>
        </w:rPr>
      </w:pPr>
      <w:r w:rsidRPr="007901C8">
        <w:rPr>
          <w:rStyle w:val="FootnoteReference"/>
          <w:color w:val="77328A"/>
          <w:sz w:val="16"/>
          <w:szCs w:val="16"/>
        </w:rPr>
        <w:footnoteRef/>
      </w:r>
      <w:r w:rsidRPr="007901C8">
        <w:rPr>
          <w:color w:val="77328A"/>
          <w:sz w:val="16"/>
          <w:szCs w:val="16"/>
        </w:rPr>
        <w:t xml:space="preserve"> </w:t>
      </w:r>
      <w:r w:rsidR="00FD014E" w:rsidRPr="007901C8">
        <w:rPr>
          <w:color w:val="77328A"/>
          <w:sz w:val="16"/>
          <w:szCs w:val="16"/>
        </w:rPr>
        <w:t>Ibid, at 17.</w:t>
      </w:r>
    </w:p>
  </w:footnote>
  <w:footnote w:id="24">
    <w:p w14:paraId="2D35C5AA" w14:textId="19937C45" w:rsidR="005F29B0" w:rsidRPr="007901C8" w:rsidRDefault="005F29B0">
      <w:pPr>
        <w:pStyle w:val="FootnoteText"/>
        <w:rPr>
          <w:color w:val="77328A"/>
          <w:sz w:val="16"/>
          <w:szCs w:val="16"/>
        </w:rPr>
      </w:pPr>
      <w:r w:rsidRPr="007901C8">
        <w:rPr>
          <w:rStyle w:val="FootnoteReference"/>
          <w:color w:val="77328A"/>
          <w:sz w:val="16"/>
          <w:szCs w:val="16"/>
        </w:rPr>
        <w:footnoteRef/>
      </w:r>
      <w:r w:rsidRPr="007901C8">
        <w:rPr>
          <w:color w:val="77328A"/>
          <w:sz w:val="16"/>
          <w:szCs w:val="16"/>
        </w:rPr>
        <w:t xml:space="preserve"> Ibid</w:t>
      </w:r>
      <w:r w:rsidR="00667822" w:rsidRPr="007901C8">
        <w:rPr>
          <w:color w:val="77328A"/>
          <w:sz w:val="16"/>
          <w:szCs w:val="16"/>
        </w:rPr>
        <w:t>.</w:t>
      </w:r>
    </w:p>
  </w:footnote>
  <w:footnote w:id="25">
    <w:p w14:paraId="3337C894" w14:textId="34B858D2" w:rsidR="007901C8" w:rsidRPr="00BF48CB" w:rsidRDefault="007901C8">
      <w:pPr>
        <w:pStyle w:val="FootnoteText"/>
        <w:rPr>
          <w:sz w:val="16"/>
          <w:szCs w:val="16"/>
        </w:rPr>
      </w:pPr>
      <w:r w:rsidRPr="00BF48CB">
        <w:rPr>
          <w:rStyle w:val="FootnoteReference"/>
          <w:color w:val="77328A"/>
          <w:sz w:val="16"/>
          <w:szCs w:val="16"/>
        </w:rPr>
        <w:footnoteRef/>
      </w:r>
      <w:r w:rsidRPr="00BF48CB">
        <w:rPr>
          <w:color w:val="77328A"/>
          <w:sz w:val="16"/>
          <w:szCs w:val="16"/>
        </w:rPr>
        <w:t xml:space="preserve"> Ibid, Recommendation R(</w:t>
      </w:r>
      <w:proofErr w:type="spellStart"/>
      <w:r w:rsidRPr="00BF48CB">
        <w:rPr>
          <w:color w:val="77328A"/>
          <w:sz w:val="16"/>
          <w:szCs w:val="16"/>
        </w:rPr>
        <w:t>i</w:t>
      </w:r>
      <w:proofErr w:type="spellEnd"/>
      <w:r w:rsidRPr="00BF48CB">
        <w:rPr>
          <w:color w:val="77328A"/>
          <w:sz w:val="16"/>
          <w:szCs w:val="16"/>
        </w:rPr>
        <w:t>)</w:t>
      </w:r>
      <w:r>
        <w:rPr>
          <w:color w:val="77328A"/>
          <w:sz w:val="16"/>
          <w:szCs w:val="16"/>
        </w:rPr>
        <w:t>.</w:t>
      </w:r>
    </w:p>
  </w:footnote>
  <w:footnote w:id="26">
    <w:p w14:paraId="18D0D757" w14:textId="0EF11C9F" w:rsidR="009548EC" w:rsidRPr="00102AF4" w:rsidRDefault="009548EC">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Ibid</w:t>
      </w:r>
      <w:r w:rsidR="009B5ECA" w:rsidRPr="00102AF4">
        <w:rPr>
          <w:color w:val="77328A"/>
          <w:sz w:val="16"/>
          <w:szCs w:val="16"/>
        </w:rPr>
        <w:t>,</w:t>
      </w:r>
      <w:r w:rsidRPr="00102AF4">
        <w:rPr>
          <w:color w:val="77328A"/>
          <w:sz w:val="16"/>
          <w:szCs w:val="16"/>
        </w:rPr>
        <w:t xml:space="preserve"> </w:t>
      </w:r>
      <w:r w:rsidR="007901C8">
        <w:rPr>
          <w:color w:val="77328A"/>
          <w:sz w:val="16"/>
          <w:szCs w:val="16"/>
        </w:rPr>
        <w:t>Recommendation R(ii)</w:t>
      </w:r>
      <w:r w:rsidRPr="00102AF4">
        <w:rPr>
          <w:color w:val="77328A"/>
          <w:sz w:val="16"/>
          <w:szCs w:val="16"/>
        </w:rPr>
        <w:t>.</w:t>
      </w:r>
    </w:p>
  </w:footnote>
  <w:footnote w:id="27">
    <w:p w14:paraId="271F26AB" w14:textId="47D39F06" w:rsidR="006E24EA" w:rsidRPr="00557791" w:rsidRDefault="006E24EA">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w:t>
      </w:r>
      <w:r w:rsidR="00735D23" w:rsidRPr="00102AF4">
        <w:rPr>
          <w:color w:val="77328A"/>
          <w:sz w:val="16"/>
          <w:szCs w:val="16"/>
        </w:rPr>
        <w:t xml:space="preserve">See for example, </w:t>
      </w:r>
      <w:proofErr w:type="spellStart"/>
      <w:r w:rsidR="00735D23" w:rsidRPr="00557791">
        <w:rPr>
          <w:color w:val="77328A"/>
          <w:sz w:val="16"/>
          <w:szCs w:val="16"/>
        </w:rPr>
        <w:t>Gr</w:t>
      </w:r>
      <w:r w:rsidR="000D44A5" w:rsidRPr="00557791">
        <w:rPr>
          <w:color w:val="77328A"/>
          <w:sz w:val="16"/>
          <w:szCs w:val="16"/>
        </w:rPr>
        <w:t>z</w:t>
      </w:r>
      <w:r w:rsidR="00735D23" w:rsidRPr="00557791">
        <w:rPr>
          <w:color w:val="77328A"/>
          <w:sz w:val="16"/>
          <w:szCs w:val="16"/>
        </w:rPr>
        <w:t>eda</w:t>
      </w:r>
      <w:proofErr w:type="spellEnd"/>
      <w:r w:rsidR="00735D23" w:rsidRPr="00557791">
        <w:rPr>
          <w:color w:val="77328A"/>
          <w:sz w:val="16"/>
          <w:szCs w:val="16"/>
        </w:rPr>
        <w:t xml:space="preserve"> v Poland, Application no. 43572/18, 15 March 2022, at para 257.</w:t>
      </w:r>
    </w:p>
  </w:footnote>
  <w:footnote w:id="28">
    <w:p w14:paraId="6FAE4A16" w14:textId="7765BEF4" w:rsidR="00E55F5B" w:rsidRPr="00557791" w:rsidRDefault="00E55F5B">
      <w:pPr>
        <w:pStyle w:val="FootnoteText"/>
        <w:rPr>
          <w:color w:val="77328A"/>
          <w:sz w:val="16"/>
          <w:szCs w:val="16"/>
        </w:rPr>
      </w:pPr>
      <w:r w:rsidRPr="00557791">
        <w:rPr>
          <w:rStyle w:val="FootnoteReference"/>
          <w:color w:val="77328A"/>
          <w:sz w:val="16"/>
          <w:szCs w:val="16"/>
        </w:rPr>
        <w:footnoteRef/>
      </w:r>
      <w:r w:rsidRPr="00557791">
        <w:rPr>
          <w:color w:val="77328A"/>
          <w:sz w:val="16"/>
          <w:szCs w:val="16"/>
        </w:rPr>
        <w:t xml:space="preserve"> </w:t>
      </w:r>
      <w:bookmarkStart w:id="15" w:name="_Hlk120025574"/>
      <w:bookmarkStart w:id="16" w:name="_Hlk120012077"/>
      <w:proofErr w:type="spellStart"/>
      <w:r w:rsidRPr="00557791">
        <w:rPr>
          <w:color w:val="77328A"/>
          <w:sz w:val="16"/>
          <w:szCs w:val="16"/>
        </w:rPr>
        <w:t>Mutu</w:t>
      </w:r>
      <w:proofErr w:type="spellEnd"/>
      <w:r w:rsidRPr="00557791">
        <w:rPr>
          <w:color w:val="77328A"/>
          <w:sz w:val="16"/>
          <w:szCs w:val="16"/>
        </w:rPr>
        <w:t xml:space="preserve"> and </w:t>
      </w:r>
      <w:proofErr w:type="spellStart"/>
      <w:r w:rsidRPr="00557791">
        <w:rPr>
          <w:color w:val="77328A"/>
          <w:sz w:val="16"/>
          <w:szCs w:val="16"/>
        </w:rPr>
        <w:t>Pechstein</w:t>
      </w:r>
      <w:proofErr w:type="spellEnd"/>
      <w:r w:rsidRPr="00557791">
        <w:rPr>
          <w:color w:val="77328A"/>
          <w:sz w:val="16"/>
          <w:szCs w:val="16"/>
        </w:rPr>
        <w:t xml:space="preserve"> v. Switzerland</w:t>
      </w:r>
      <w:r w:rsidR="009512AE" w:rsidRPr="00631A64">
        <w:rPr>
          <w:color w:val="77328A"/>
          <w:sz w:val="16"/>
          <w:szCs w:val="16"/>
        </w:rPr>
        <w:t>, Applications nos. 40575/10 and 67474/10</w:t>
      </w:r>
      <w:r w:rsidR="005B36D7" w:rsidRPr="00557791">
        <w:rPr>
          <w:color w:val="77328A"/>
          <w:sz w:val="16"/>
          <w:szCs w:val="16"/>
        </w:rPr>
        <w:t>40575/10</w:t>
      </w:r>
      <w:r w:rsidR="00557791" w:rsidRPr="00557791">
        <w:rPr>
          <w:color w:val="77328A"/>
          <w:sz w:val="16"/>
          <w:szCs w:val="16"/>
        </w:rPr>
        <w:t>, 2 October 2018</w:t>
      </w:r>
      <w:bookmarkEnd w:id="15"/>
      <w:r w:rsidR="00BD68B9" w:rsidRPr="00557791">
        <w:rPr>
          <w:color w:val="77328A"/>
          <w:sz w:val="16"/>
          <w:szCs w:val="16"/>
        </w:rPr>
        <w:t>,</w:t>
      </w:r>
      <w:r w:rsidR="00B94670" w:rsidRPr="00557791">
        <w:rPr>
          <w:color w:val="77328A"/>
          <w:sz w:val="16"/>
          <w:szCs w:val="16"/>
        </w:rPr>
        <w:t xml:space="preserve"> </w:t>
      </w:r>
      <w:r w:rsidR="00BD68B9" w:rsidRPr="00557791">
        <w:rPr>
          <w:color w:val="77328A"/>
          <w:sz w:val="16"/>
          <w:szCs w:val="16"/>
        </w:rPr>
        <w:t>para</w:t>
      </w:r>
      <w:r w:rsidR="00D24AFF">
        <w:rPr>
          <w:color w:val="77328A"/>
          <w:sz w:val="16"/>
          <w:szCs w:val="16"/>
        </w:rPr>
        <w:t>s</w:t>
      </w:r>
      <w:r w:rsidR="00BD68B9" w:rsidRPr="00557791">
        <w:rPr>
          <w:color w:val="77328A"/>
          <w:sz w:val="16"/>
          <w:szCs w:val="16"/>
        </w:rPr>
        <w:t xml:space="preserve"> 114</w:t>
      </w:r>
      <w:r w:rsidR="00D24AFF">
        <w:rPr>
          <w:color w:val="77328A"/>
          <w:sz w:val="16"/>
          <w:szCs w:val="16"/>
        </w:rPr>
        <w:t>-</w:t>
      </w:r>
      <w:r w:rsidR="00BD68B9" w:rsidRPr="00557791">
        <w:rPr>
          <w:color w:val="77328A"/>
          <w:sz w:val="16"/>
          <w:szCs w:val="16"/>
        </w:rPr>
        <w:t>5.</w:t>
      </w:r>
    </w:p>
    <w:bookmarkEnd w:id="16"/>
  </w:footnote>
  <w:footnote w:id="29">
    <w:p w14:paraId="0903E5AB" w14:textId="11C6778F" w:rsidR="008244E6" w:rsidRPr="00557791" w:rsidRDefault="008244E6" w:rsidP="008244E6">
      <w:pPr>
        <w:pStyle w:val="FootnoteText"/>
        <w:rPr>
          <w:color w:val="77328A"/>
          <w:sz w:val="16"/>
          <w:szCs w:val="16"/>
        </w:rPr>
      </w:pPr>
      <w:r w:rsidRPr="00557791">
        <w:rPr>
          <w:rStyle w:val="FootnoteReference"/>
          <w:color w:val="77328A"/>
          <w:sz w:val="16"/>
          <w:szCs w:val="16"/>
        </w:rPr>
        <w:footnoteRef/>
      </w:r>
      <w:r w:rsidRPr="00557791">
        <w:rPr>
          <w:color w:val="77328A"/>
          <w:sz w:val="16"/>
          <w:szCs w:val="16"/>
        </w:rPr>
        <w:t xml:space="preserve"> </w:t>
      </w:r>
      <w:bookmarkStart w:id="19" w:name="_Hlk120025278"/>
      <w:r w:rsidRPr="00557791">
        <w:rPr>
          <w:color w:val="77328A"/>
          <w:sz w:val="16"/>
          <w:szCs w:val="16"/>
        </w:rPr>
        <w:t>Ali Riza and others v. Turkey</w:t>
      </w:r>
      <w:r w:rsidR="001A1D3B">
        <w:rPr>
          <w:color w:val="77328A"/>
          <w:sz w:val="16"/>
          <w:szCs w:val="16"/>
        </w:rPr>
        <w:t xml:space="preserve">, </w:t>
      </w:r>
      <w:r w:rsidR="001A1D3B" w:rsidRPr="001A1D3B">
        <w:rPr>
          <w:color w:val="77328A"/>
          <w:sz w:val="16"/>
          <w:szCs w:val="16"/>
        </w:rPr>
        <w:t>Application nos. 30226/10 and 4 others</w:t>
      </w:r>
      <w:r w:rsidR="001A1D3B">
        <w:rPr>
          <w:color w:val="77328A"/>
          <w:sz w:val="16"/>
          <w:szCs w:val="16"/>
        </w:rPr>
        <w:t>,</w:t>
      </w:r>
      <w:r w:rsidR="001A1D3B" w:rsidRPr="001A1D3B">
        <w:rPr>
          <w:color w:val="77328A"/>
          <w:sz w:val="16"/>
          <w:szCs w:val="16"/>
        </w:rPr>
        <w:t xml:space="preserve"> </w:t>
      </w:r>
      <w:r w:rsidR="001A1D3B">
        <w:rPr>
          <w:color w:val="77328A"/>
          <w:sz w:val="16"/>
          <w:szCs w:val="16"/>
        </w:rPr>
        <w:t>20 January 2020</w:t>
      </w:r>
      <w:bookmarkEnd w:id="19"/>
      <w:r w:rsidRPr="00557791">
        <w:rPr>
          <w:color w:val="77328A"/>
          <w:sz w:val="16"/>
          <w:szCs w:val="16"/>
        </w:rPr>
        <w:t>, at para 180</w:t>
      </w:r>
      <w:r w:rsidR="00E656EA" w:rsidRPr="00557791">
        <w:rPr>
          <w:color w:val="77328A"/>
          <w:sz w:val="16"/>
          <w:szCs w:val="16"/>
        </w:rPr>
        <w:t>.</w:t>
      </w:r>
    </w:p>
  </w:footnote>
  <w:footnote w:id="30">
    <w:p w14:paraId="2E143426" w14:textId="72BA95FF" w:rsidR="006502AE" w:rsidRPr="00102AF4" w:rsidRDefault="006502AE" w:rsidP="006502AE">
      <w:pPr>
        <w:pStyle w:val="FootnoteText"/>
        <w:rPr>
          <w:color w:val="77328A"/>
          <w:sz w:val="16"/>
          <w:szCs w:val="16"/>
        </w:rPr>
      </w:pPr>
      <w:r w:rsidRPr="00557791">
        <w:rPr>
          <w:rStyle w:val="FootnoteReference"/>
          <w:color w:val="77328A"/>
          <w:sz w:val="16"/>
          <w:szCs w:val="16"/>
        </w:rPr>
        <w:footnoteRef/>
      </w:r>
      <w:r w:rsidRPr="00557791">
        <w:rPr>
          <w:color w:val="77328A"/>
          <w:sz w:val="16"/>
          <w:szCs w:val="16"/>
        </w:rPr>
        <w:t xml:space="preserve"> A.M.V. v. Finland, Application no. 53251/13,</w:t>
      </w:r>
      <w:r w:rsidRPr="00102AF4">
        <w:rPr>
          <w:color w:val="77328A"/>
          <w:sz w:val="16"/>
          <w:szCs w:val="16"/>
        </w:rPr>
        <w:t xml:space="preserve"> 23 March 2017, at para 76; </w:t>
      </w:r>
      <w:proofErr w:type="spellStart"/>
      <w:r w:rsidRPr="00102AF4">
        <w:rPr>
          <w:color w:val="77328A"/>
          <w:sz w:val="16"/>
          <w:szCs w:val="16"/>
        </w:rPr>
        <w:t>Brüggemann</w:t>
      </w:r>
      <w:proofErr w:type="spellEnd"/>
      <w:r w:rsidRPr="00102AF4">
        <w:rPr>
          <w:color w:val="77328A"/>
          <w:sz w:val="16"/>
          <w:szCs w:val="16"/>
        </w:rPr>
        <w:t xml:space="preserve"> and </w:t>
      </w:r>
      <w:proofErr w:type="spellStart"/>
      <w:r w:rsidRPr="00102AF4">
        <w:rPr>
          <w:color w:val="77328A"/>
          <w:sz w:val="16"/>
          <w:szCs w:val="16"/>
        </w:rPr>
        <w:t>Scheuten</w:t>
      </w:r>
      <w:proofErr w:type="spellEnd"/>
      <w:r w:rsidRPr="00102AF4">
        <w:rPr>
          <w:color w:val="77328A"/>
          <w:sz w:val="16"/>
          <w:szCs w:val="16"/>
        </w:rPr>
        <w:t xml:space="preserve"> v. Germany, Application no. 6959/75, Commission decision of 19 May 1976; </w:t>
      </w:r>
      <w:bookmarkStart w:id="21" w:name="_Hlk118802743"/>
      <w:bookmarkStart w:id="22" w:name="_Hlk111508113"/>
      <w:r w:rsidRPr="00102AF4">
        <w:rPr>
          <w:color w:val="77328A"/>
          <w:sz w:val="16"/>
          <w:szCs w:val="16"/>
        </w:rPr>
        <w:t xml:space="preserve">National Federation of Sportspersons’ Associations and Unions (FNASS) and </w:t>
      </w:r>
      <w:r w:rsidR="00D76858">
        <w:rPr>
          <w:color w:val="77328A"/>
          <w:sz w:val="16"/>
          <w:szCs w:val="16"/>
        </w:rPr>
        <w:t>o</w:t>
      </w:r>
      <w:r w:rsidR="00D76858" w:rsidRPr="00102AF4">
        <w:rPr>
          <w:color w:val="77328A"/>
          <w:sz w:val="16"/>
          <w:szCs w:val="16"/>
        </w:rPr>
        <w:t xml:space="preserve">thers </w:t>
      </w:r>
      <w:r w:rsidRPr="00102AF4">
        <w:rPr>
          <w:color w:val="77328A"/>
          <w:sz w:val="16"/>
          <w:szCs w:val="16"/>
        </w:rPr>
        <w:t>v. France</w:t>
      </w:r>
      <w:bookmarkEnd w:id="21"/>
      <w:r w:rsidRPr="00102AF4">
        <w:rPr>
          <w:color w:val="77328A"/>
          <w:sz w:val="16"/>
          <w:szCs w:val="16"/>
        </w:rPr>
        <w:t>, Application nos. 48151/11 and 77769/13, 18 January 2018, at para</w:t>
      </w:r>
      <w:bookmarkEnd w:id="22"/>
      <w:r w:rsidRPr="00102AF4">
        <w:rPr>
          <w:color w:val="77328A"/>
          <w:sz w:val="16"/>
          <w:szCs w:val="16"/>
        </w:rPr>
        <w:t xml:space="preserve"> 153.</w:t>
      </w:r>
    </w:p>
  </w:footnote>
  <w:footnote w:id="31">
    <w:p w14:paraId="582164DA" w14:textId="20CE5926" w:rsidR="006502AE" w:rsidRPr="00102AF4" w:rsidRDefault="006502AE" w:rsidP="006502AE">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Christine Goodwin v. the United Kingdom [GC], Application no. 28957/95, </w:t>
      </w:r>
      <w:r w:rsidR="00AD3D7B" w:rsidRPr="00102AF4">
        <w:rPr>
          <w:color w:val="77328A"/>
          <w:sz w:val="16"/>
          <w:szCs w:val="16"/>
        </w:rPr>
        <w:t xml:space="preserve">11 July </w:t>
      </w:r>
      <w:r w:rsidRPr="00102AF4">
        <w:rPr>
          <w:color w:val="77328A"/>
          <w:sz w:val="16"/>
          <w:szCs w:val="16"/>
        </w:rPr>
        <w:t>2002, at para 90.</w:t>
      </w:r>
    </w:p>
  </w:footnote>
  <w:footnote w:id="32">
    <w:p w14:paraId="2E681C9B" w14:textId="1AC3CE87" w:rsidR="00851CA5" w:rsidRPr="00102AF4" w:rsidRDefault="00851CA5" w:rsidP="00851CA5">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w:t>
      </w:r>
      <w:bookmarkStart w:id="23" w:name="_Hlk118811199"/>
      <w:proofErr w:type="spellStart"/>
      <w:r w:rsidRPr="00102AF4">
        <w:rPr>
          <w:color w:val="77328A"/>
          <w:sz w:val="16"/>
          <w:szCs w:val="16"/>
        </w:rPr>
        <w:t>Bărbulescu</w:t>
      </w:r>
      <w:proofErr w:type="spellEnd"/>
      <w:r w:rsidRPr="00102AF4">
        <w:rPr>
          <w:color w:val="77328A"/>
          <w:sz w:val="16"/>
          <w:szCs w:val="16"/>
        </w:rPr>
        <w:t xml:space="preserve"> v. Romania [GC], Application no. 61496/08, 5 September 2017</w:t>
      </w:r>
      <w:r w:rsidR="00D73190">
        <w:rPr>
          <w:color w:val="77328A"/>
          <w:sz w:val="16"/>
          <w:szCs w:val="16"/>
        </w:rPr>
        <w:t>,</w:t>
      </w:r>
      <w:r w:rsidRPr="00102AF4">
        <w:rPr>
          <w:color w:val="77328A"/>
          <w:sz w:val="16"/>
          <w:szCs w:val="16"/>
        </w:rPr>
        <w:t xml:space="preserve"> at paras 108-112</w:t>
      </w:r>
      <w:bookmarkEnd w:id="23"/>
      <w:r w:rsidRPr="00102AF4">
        <w:rPr>
          <w:color w:val="77328A"/>
          <w:sz w:val="16"/>
          <w:szCs w:val="16"/>
        </w:rPr>
        <w:t xml:space="preserve">. </w:t>
      </w:r>
    </w:p>
  </w:footnote>
  <w:footnote w:id="33">
    <w:p w14:paraId="22B45B2A" w14:textId="071842CA" w:rsidR="00E5088E" w:rsidRPr="00102AF4" w:rsidRDefault="00E5088E" w:rsidP="00E5088E">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L.F. v. the United Kingdom, Application no. 19839/21, </w:t>
      </w:r>
      <w:r w:rsidR="00C4461F">
        <w:rPr>
          <w:color w:val="77328A"/>
          <w:sz w:val="16"/>
          <w:szCs w:val="16"/>
        </w:rPr>
        <w:t>16 June</w:t>
      </w:r>
      <w:r w:rsidRPr="00102AF4">
        <w:rPr>
          <w:color w:val="77328A"/>
          <w:sz w:val="16"/>
          <w:szCs w:val="16"/>
        </w:rPr>
        <w:t xml:space="preserve"> 2022, at para 90.</w:t>
      </w:r>
    </w:p>
  </w:footnote>
  <w:footnote w:id="34">
    <w:p w14:paraId="110E79D7" w14:textId="2B13EF8C" w:rsidR="00A70057" w:rsidRPr="00102AF4" w:rsidRDefault="00A70057" w:rsidP="00A70057">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w:t>
      </w:r>
      <w:proofErr w:type="spellStart"/>
      <w:r w:rsidRPr="00102AF4">
        <w:rPr>
          <w:color w:val="77328A"/>
          <w:sz w:val="16"/>
          <w:szCs w:val="16"/>
        </w:rPr>
        <w:t>Hämäläinen</w:t>
      </w:r>
      <w:proofErr w:type="spellEnd"/>
      <w:r w:rsidRPr="00102AF4">
        <w:rPr>
          <w:color w:val="77328A"/>
          <w:sz w:val="16"/>
          <w:szCs w:val="16"/>
        </w:rPr>
        <w:t xml:space="preserve"> v. Finland [GC],</w:t>
      </w:r>
      <w:r w:rsidR="009B5ECA" w:rsidRPr="00102AF4">
        <w:rPr>
          <w:color w:val="77328A"/>
          <w:sz w:val="16"/>
          <w:szCs w:val="16"/>
        </w:rPr>
        <w:t xml:space="preserve"> Application</w:t>
      </w:r>
      <w:r w:rsidRPr="00102AF4">
        <w:rPr>
          <w:color w:val="77328A"/>
          <w:sz w:val="16"/>
          <w:szCs w:val="16"/>
        </w:rPr>
        <w:t xml:space="preserve"> no. 37359/09,</w:t>
      </w:r>
      <w:r w:rsidR="00E805FF">
        <w:rPr>
          <w:color w:val="77328A"/>
          <w:sz w:val="16"/>
          <w:szCs w:val="16"/>
        </w:rPr>
        <w:t xml:space="preserve"> 16 July</w:t>
      </w:r>
      <w:r w:rsidRPr="00102AF4">
        <w:rPr>
          <w:color w:val="77328A"/>
          <w:sz w:val="16"/>
          <w:szCs w:val="16"/>
        </w:rPr>
        <w:t xml:space="preserve"> 2014, at para 68</w:t>
      </w:r>
      <w:r w:rsidR="00167C77" w:rsidRPr="00102AF4">
        <w:rPr>
          <w:color w:val="77328A"/>
          <w:sz w:val="16"/>
          <w:szCs w:val="16"/>
        </w:rPr>
        <w:t>.</w:t>
      </w:r>
    </w:p>
  </w:footnote>
  <w:footnote w:id="35">
    <w:p w14:paraId="7364E42D" w14:textId="7A849356" w:rsidR="00A70057" w:rsidRPr="00102AF4" w:rsidRDefault="00A70057" w:rsidP="00A70057">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L. v. Lithuania, </w:t>
      </w:r>
      <w:r w:rsidR="00167C77" w:rsidRPr="00102AF4">
        <w:rPr>
          <w:color w:val="77328A"/>
          <w:sz w:val="16"/>
          <w:szCs w:val="16"/>
        </w:rPr>
        <w:t xml:space="preserve">Application </w:t>
      </w:r>
      <w:r w:rsidRPr="00102AF4">
        <w:rPr>
          <w:color w:val="77328A"/>
          <w:sz w:val="16"/>
          <w:szCs w:val="16"/>
        </w:rPr>
        <w:t>no. 27527/03,</w:t>
      </w:r>
      <w:r w:rsidR="009C5B13">
        <w:rPr>
          <w:color w:val="77328A"/>
          <w:sz w:val="16"/>
          <w:szCs w:val="16"/>
        </w:rPr>
        <w:t xml:space="preserve"> 11 September</w:t>
      </w:r>
      <w:r w:rsidRPr="00102AF4">
        <w:rPr>
          <w:color w:val="77328A"/>
          <w:sz w:val="16"/>
          <w:szCs w:val="16"/>
        </w:rPr>
        <w:t xml:space="preserve"> 2007, at paras 56-57; </w:t>
      </w:r>
      <w:proofErr w:type="spellStart"/>
      <w:r w:rsidRPr="00102AF4">
        <w:rPr>
          <w:color w:val="77328A"/>
          <w:sz w:val="16"/>
          <w:szCs w:val="16"/>
        </w:rPr>
        <w:t>Schlumpf</w:t>
      </w:r>
      <w:proofErr w:type="spellEnd"/>
      <w:r w:rsidRPr="00102AF4">
        <w:rPr>
          <w:color w:val="77328A"/>
          <w:sz w:val="16"/>
          <w:szCs w:val="16"/>
        </w:rPr>
        <w:t xml:space="preserve"> v. Switzerland, </w:t>
      </w:r>
      <w:r w:rsidR="00167C77" w:rsidRPr="00102AF4">
        <w:rPr>
          <w:color w:val="77328A"/>
          <w:sz w:val="16"/>
          <w:szCs w:val="16"/>
        </w:rPr>
        <w:t xml:space="preserve">Application </w:t>
      </w:r>
      <w:r w:rsidRPr="00102AF4">
        <w:rPr>
          <w:color w:val="77328A"/>
          <w:sz w:val="16"/>
          <w:szCs w:val="16"/>
        </w:rPr>
        <w:t xml:space="preserve">no. 29002/06, 8 January 2009, at para 107; Y.Y. v. Turkey, </w:t>
      </w:r>
      <w:r w:rsidR="00167C77" w:rsidRPr="00102AF4">
        <w:rPr>
          <w:color w:val="77328A"/>
          <w:sz w:val="16"/>
          <w:szCs w:val="16"/>
        </w:rPr>
        <w:t xml:space="preserve">Application </w:t>
      </w:r>
      <w:r w:rsidRPr="00102AF4">
        <w:rPr>
          <w:color w:val="77328A"/>
          <w:sz w:val="16"/>
          <w:szCs w:val="16"/>
        </w:rPr>
        <w:t>no. 14793/08,</w:t>
      </w:r>
      <w:r w:rsidR="00064590">
        <w:rPr>
          <w:color w:val="77328A"/>
          <w:sz w:val="16"/>
          <w:szCs w:val="16"/>
        </w:rPr>
        <w:t xml:space="preserve"> 10 March 2015,</w:t>
      </w:r>
      <w:r w:rsidRPr="00102AF4">
        <w:rPr>
          <w:color w:val="77328A"/>
          <w:sz w:val="16"/>
          <w:szCs w:val="16"/>
        </w:rPr>
        <w:t xml:space="preserve"> at paras 65-66</w:t>
      </w:r>
      <w:r w:rsidR="00167C77" w:rsidRPr="00102AF4">
        <w:rPr>
          <w:color w:val="77328A"/>
          <w:sz w:val="16"/>
          <w:szCs w:val="16"/>
        </w:rPr>
        <w:t>.</w:t>
      </w:r>
    </w:p>
  </w:footnote>
  <w:footnote w:id="36">
    <w:p w14:paraId="00927F99" w14:textId="0304E4A1" w:rsidR="00A70057" w:rsidRPr="00102AF4" w:rsidRDefault="00A70057" w:rsidP="00A70057">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A.P, Garçon and </w:t>
      </w:r>
      <w:proofErr w:type="spellStart"/>
      <w:r w:rsidRPr="00102AF4">
        <w:rPr>
          <w:color w:val="77328A"/>
          <w:sz w:val="16"/>
          <w:szCs w:val="16"/>
        </w:rPr>
        <w:t>Nicot</w:t>
      </w:r>
      <w:proofErr w:type="spellEnd"/>
      <w:r w:rsidRPr="00102AF4">
        <w:rPr>
          <w:color w:val="77328A"/>
          <w:sz w:val="16"/>
          <w:szCs w:val="16"/>
        </w:rPr>
        <w:t xml:space="preserve"> v. France, </w:t>
      </w:r>
      <w:r w:rsidR="00167C77" w:rsidRPr="00102AF4">
        <w:rPr>
          <w:color w:val="77328A"/>
          <w:sz w:val="16"/>
          <w:szCs w:val="16"/>
        </w:rPr>
        <w:t xml:space="preserve">Application </w:t>
      </w:r>
      <w:r w:rsidRPr="00102AF4">
        <w:rPr>
          <w:color w:val="77328A"/>
          <w:sz w:val="16"/>
          <w:szCs w:val="16"/>
        </w:rPr>
        <w:t>nos. 79885/12 and 2 others,</w:t>
      </w:r>
      <w:r w:rsidR="005A2A34">
        <w:rPr>
          <w:color w:val="77328A"/>
          <w:sz w:val="16"/>
          <w:szCs w:val="16"/>
        </w:rPr>
        <w:t xml:space="preserve"> 6 April</w:t>
      </w:r>
      <w:r w:rsidRPr="00102AF4">
        <w:rPr>
          <w:color w:val="77328A"/>
          <w:sz w:val="16"/>
          <w:szCs w:val="16"/>
        </w:rPr>
        <w:t xml:space="preserve"> 2017, at paras 95-96</w:t>
      </w:r>
      <w:r w:rsidR="00167C77" w:rsidRPr="00102AF4">
        <w:rPr>
          <w:color w:val="77328A"/>
          <w:sz w:val="16"/>
          <w:szCs w:val="16"/>
        </w:rPr>
        <w:t>.</w:t>
      </w:r>
    </w:p>
  </w:footnote>
  <w:footnote w:id="37">
    <w:p w14:paraId="6F0D4B56" w14:textId="33101346" w:rsidR="00EC1AE2" w:rsidRPr="00102AF4" w:rsidRDefault="00EC1AE2" w:rsidP="00EC1AE2">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w:t>
      </w:r>
      <w:r w:rsidR="00AD3D7B" w:rsidRPr="00102AF4">
        <w:rPr>
          <w:color w:val="77328A"/>
          <w:sz w:val="16"/>
          <w:szCs w:val="16"/>
        </w:rPr>
        <w:t xml:space="preserve">Christine Goodwin v. the United Kingdom [GC], Application no. 28957/95, 11 July 2002, at para 90; </w:t>
      </w:r>
      <w:r w:rsidRPr="00102AF4">
        <w:rPr>
          <w:color w:val="77328A"/>
          <w:sz w:val="16"/>
          <w:szCs w:val="16"/>
        </w:rPr>
        <w:t>Fedotova and Others v. Russia, Application nos. 40792/10 and 2 others, 13 July 2021, at para 47.</w:t>
      </w:r>
    </w:p>
  </w:footnote>
  <w:footnote w:id="38">
    <w:p w14:paraId="5BE0DC56" w14:textId="138E2393" w:rsidR="00A70057" w:rsidRPr="00102AF4" w:rsidRDefault="00A70057" w:rsidP="00A70057">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National Federation of Sportspersons’ Associations and Unions (FNASS) and </w:t>
      </w:r>
      <w:r w:rsidR="00FD014E" w:rsidRPr="00102AF4">
        <w:rPr>
          <w:color w:val="77328A"/>
          <w:sz w:val="16"/>
          <w:szCs w:val="16"/>
        </w:rPr>
        <w:t>others</w:t>
      </w:r>
      <w:r w:rsidRPr="00102AF4">
        <w:rPr>
          <w:color w:val="77328A"/>
          <w:sz w:val="16"/>
          <w:szCs w:val="16"/>
        </w:rPr>
        <w:t xml:space="preserve"> v. France, </w:t>
      </w:r>
      <w:r w:rsidR="00167C77" w:rsidRPr="00102AF4">
        <w:rPr>
          <w:color w:val="77328A"/>
          <w:sz w:val="16"/>
          <w:szCs w:val="16"/>
        </w:rPr>
        <w:t xml:space="preserve">Application </w:t>
      </w:r>
      <w:r w:rsidRPr="00102AF4">
        <w:rPr>
          <w:color w:val="77328A"/>
          <w:sz w:val="16"/>
          <w:szCs w:val="16"/>
        </w:rPr>
        <w:t>nos. 48151/11 and 77769/13, 18 January 2018, at para 158.</w:t>
      </w:r>
    </w:p>
  </w:footnote>
  <w:footnote w:id="39">
    <w:p w14:paraId="717EEC10" w14:textId="77777777" w:rsidR="00A5724E" w:rsidRPr="00102AF4" w:rsidRDefault="00A5724E" w:rsidP="00A5724E">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w:t>
      </w:r>
      <w:proofErr w:type="spellStart"/>
      <w:r w:rsidRPr="00102AF4">
        <w:rPr>
          <w:color w:val="77328A"/>
          <w:sz w:val="16"/>
          <w:szCs w:val="16"/>
        </w:rPr>
        <w:t>Identoba</w:t>
      </w:r>
      <w:proofErr w:type="spellEnd"/>
      <w:r w:rsidRPr="00102AF4">
        <w:rPr>
          <w:color w:val="77328A"/>
          <w:sz w:val="16"/>
          <w:szCs w:val="16"/>
        </w:rPr>
        <w:t xml:space="preserve"> and Others v. Georgia, Application no. 73235/12, 12 May 2015, at para 96.</w:t>
      </w:r>
    </w:p>
  </w:footnote>
  <w:footnote w:id="40">
    <w:p w14:paraId="5FA0862B" w14:textId="00719DAE" w:rsidR="008F3363" w:rsidRPr="00102AF4" w:rsidRDefault="008F3363">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w:t>
      </w:r>
      <w:r w:rsidR="00D830CF" w:rsidRPr="00102AF4">
        <w:rPr>
          <w:color w:val="77328A"/>
          <w:sz w:val="16"/>
          <w:szCs w:val="16"/>
        </w:rPr>
        <w:t xml:space="preserve">See for example, </w:t>
      </w:r>
      <w:r w:rsidR="00C66EEA" w:rsidRPr="00102AF4">
        <w:rPr>
          <w:color w:val="77328A"/>
          <w:sz w:val="16"/>
          <w:szCs w:val="16"/>
        </w:rPr>
        <w:t xml:space="preserve">Molla Sali v. Greece </w:t>
      </w:r>
      <w:r w:rsidR="002E0ED0" w:rsidRPr="00102AF4">
        <w:rPr>
          <w:color w:val="77328A"/>
          <w:sz w:val="16"/>
          <w:szCs w:val="16"/>
        </w:rPr>
        <w:t>[</w:t>
      </w:r>
      <w:r w:rsidR="00C66EEA" w:rsidRPr="00102AF4">
        <w:rPr>
          <w:color w:val="77328A"/>
          <w:sz w:val="16"/>
          <w:szCs w:val="16"/>
        </w:rPr>
        <w:t>GC]</w:t>
      </w:r>
      <w:r w:rsidR="002E0ED0" w:rsidRPr="00102AF4">
        <w:rPr>
          <w:color w:val="77328A"/>
          <w:sz w:val="16"/>
          <w:szCs w:val="16"/>
        </w:rPr>
        <w:t xml:space="preserve"> 2018, Application no. 20452/14</w:t>
      </w:r>
      <w:r w:rsidR="00E830DD" w:rsidRPr="00102AF4">
        <w:rPr>
          <w:color w:val="77328A"/>
          <w:sz w:val="16"/>
          <w:szCs w:val="16"/>
        </w:rPr>
        <w:t>, 19 December 2018</w:t>
      </w:r>
      <w:r w:rsidR="00DE670A" w:rsidRPr="00102AF4">
        <w:rPr>
          <w:color w:val="77328A"/>
          <w:sz w:val="16"/>
          <w:szCs w:val="16"/>
        </w:rPr>
        <w:t>, at para 135</w:t>
      </w:r>
      <w:r w:rsidR="00E830DD" w:rsidRPr="00102AF4">
        <w:rPr>
          <w:color w:val="77328A"/>
          <w:sz w:val="16"/>
          <w:szCs w:val="16"/>
        </w:rPr>
        <w:t xml:space="preserve">; </w:t>
      </w:r>
      <w:proofErr w:type="spellStart"/>
      <w:r w:rsidR="00DE670A" w:rsidRPr="00102AF4">
        <w:rPr>
          <w:color w:val="77328A"/>
          <w:sz w:val="16"/>
          <w:szCs w:val="16"/>
        </w:rPr>
        <w:t>Fabris</w:t>
      </w:r>
      <w:proofErr w:type="spellEnd"/>
      <w:r w:rsidR="00DE670A" w:rsidRPr="00102AF4">
        <w:rPr>
          <w:color w:val="77328A"/>
          <w:sz w:val="16"/>
          <w:szCs w:val="16"/>
        </w:rPr>
        <w:t xml:space="preserve"> v. France, Application no. 16574/08, 7 February 2013, at para 56.</w:t>
      </w:r>
    </w:p>
  </w:footnote>
  <w:footnote w:id="41">
    <w:p w14:paraId="7FE12E82" w14:textId="75ECACBB" w:rsidR="00BF2ABB" w:rsidRPr="00102AF4" w:rsidRDefault="00BF2ABB">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w:t>
      </w:r>
      <w:proofErr w:type="spellStart"/>
      <w:r w:rsidR="0031754E" w:rsidRPr="00102AF4">
        <w:rPr>
          <w:color w:val="77328A"/>
          <w:sz w:val="16"/>
          <w:szCs w:val="16"/>
        </w:rPr>
        <w:t>Thlimmenos</w:t>
      </w:r>
      <w:proofErr w:type="spellEnd"/>
      <w:r w:rsidR="0031754E" w:rsidRPr="00102AF4">
        <w:rPr>
          <w:color w:val="77328A"/>
          <w:sz w:val="16"/>
          <w:szCs w:val="16"/>
        </w:rPr>
        <w:t xml:space="preserve"> v. Greece [GC], Application no. 34369/97, </w:t>
      </w:r>
      <w:r w:rsidR="00CE2730" w:rsidRPr="00102AF4">
        <w:rPr>
          <w:color w:val="77328A"/>
          <w:sz w:val="16"/>
          <w:szCs w:val="16"/>
        </w:rPr>
        <w:t xml:space="preserve">6 April 2000, </w:t>
      </w:r>
      <w:r w:rsidR="0031754E" w:rsidRPr="00102AF4">
        <w:rPr>
          <w:color w:val="77328A"/>
          <w:sz w:val="16"/>
          <w:szCs w:val="16"/>
        </w:rPr>
        <w:t>at para 44.</w:t>
      </w:r>
    </w:p>
  </w:footnote>
  <w:footnote w:id="42">
    <w:p w14:paraId="246ABF78" w14:textId="505C13E3" w:rsidR="0015734D" w:rsidRPr="00102AF4" w:rsidRDefault="0015734D" w:rsidP="00C724EB">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Christine Goodwin v. the United Kingdom [GC], Application no. 28957/95, </w:t>
      </w:r>
      <w:r w:rsidR="00AD3D7B" w:rsidRPr="00102AF4">
        <w:rPr>
          <w:color w:val="77328A"/>
          <w:sz w:val="16"/>
          <w:szCs w:val="16"/>
        </w:rPr>
        <w:t xml:space="preserve">11 July </w:t>
      </w:r>
      <w:r w:rsidRPr="00102AF4">
        <w:rPr>
          <w:color w:val="77328A"/>
          <w:sz w:val="16"/>
          <w:szCs w:val="16"/>
        </w:rPr>
        <w:t xml:space="preserve">2002; I. v. the United Kingdom [GC], Application no. 25680/94, </w:t>
      </w:r>
      <w:r w:rsidR="00F03165">
        <w:rPr>
          <w:color w:val="77328A"/>
          <w:sz w:val="16"/>
          <w:szCs w:val="16"/>
        </w:rPr>
        <w:t xml:space="preserve">11 </w:t>
      </w:r>
      <w:r w:rsidRPr="00102AF4">
        <w:rPr>
          <w:color w:val="77328A"/>
          <w:sz w:val="16"/>
          <w:szCs w:val="16"/>
        </w:rPr>
        <w:t>July 2002</w:t>
      </w:r>
      <w:r w:rsidRPr="00102AF4" w:rsidDel="00167C77">
        <w:rPr>
          <w:color w:val="77328A"/>
          <w:sz w:val="16"/>
          <w:szCs w:val="16"/>
        </w:rPr>
        <w:t>.</w:t>
      </w:r>
      <w:r w:rsidRPr="00102AF4">
        <w:rPr>
          <w:color w:val="77328A"/>
          <w:sz w:val="16"/>
          <w:szCs w:val="16"/>
        </w:rPr>
        <w:t>; L. v. Lithuania, no. 27527/03,</w:t>
      </w:r>
      <w:r w:rsidR="005917B1">
        <w:rPr>
          <w:color w:val="77328A"/>
          <w:sz w:val="16"/>
          <w:szCs w:val="16"/>
        </w:rPr>
        <w:t xml:space="preserve"> 11 September</w:t>
      </w:r>
      <w:r w:rsidRPr="00102AF4">
        <w:rPr>
          <w:color w:val="77328A"/>
          <w:sz w:val="16"/>
          <w:szCs w:val="16"/>
        </w:rPr>
        <w:t xml:space="preserve"> 2007; </w:t>
      </w:r>
      <w:proofErr w:type="spellStart"/>
      <w:r w:rsidRPr="00102AF4">
        <w:rPr>
          <w:color w:val="77328A"/>
          <w:sz w:val="16"/>
          <w:szCs w:val="16"/>
        </w:rPr>
        <w:t>Hämäläinen</w:t>
      </w:r>
      <w:proofErr w:type="spellEnd"/>
      <w:r w:rsidRPr="00102AF4">
        <w:rPr>
          <w:color w:val="77328A"/>
          <w:sz w:val="16"/>
          <w:szCs w:val="16"/>
        </w:rPr>
        <w:t xml:space="preserve"> v. Finland [GC], Application no. 37359/09,</w:t>
      </w:r>
      <w:r w:rsidR="002D270F">
        <w:rPr>
          <w:color w:val="77328A"/>
          <w:sz w:val="16"/>
          <w:szCs w:val="16"/>
        </w:rPr>
        <w:t xml:space="preserve"> 16 July</w:t>
      </w:r>
      <w:r w:rsidRPr="00102AF4">
        <w:rPr>
          <w:color w:val="77328A"/>
          <w:sz w:val="16"/>
          <w:szCs w:val="16"/>
        </w:rPr>
        <w:t xml:space="preserve"> 2014</w:t>
      </w:r>
      <w:r w:rsidR="00E1522F" w:rsidRPr="00102AF4">
        <w:rPr>
          <w:color w:val="77328A"/>
          <w:sz w:val="16"/>
          <w:szCs w:val="16"/>
        </w:rPr>
        <w:t>.</w:t>
      </w:r>
    </w:p>
  </w:footnote>
  <w:footnote w:id="43">
    <w:p w14:paraId="523F1732" w14:textId="260AB113" w:rsidR="0015734D" w:rsidRPr="00102AF4" w:rsidRDefault="0015734D" w:rsidP="0015734D">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Christine Goodwin v. the United Kingdom [GC], Application no. 28957/95, </w:t>
      </w:r>
      <w:r w:rsidR="00AD3D7B" w:rsidRPr="00102AF4">
        <w:rPr>
          <w:color w:val="77328A"/>
          <w:sz w:val="16"/>
          <w:szCs w:val="16"/>
        </w:rPr>
        <w:t xml:space="preserve">11 July </w:t>
      </w:r>
      <w:r w:rsidRPr="00102AF4">
        <w:rPr>
          <w:color w:val="77328A"/>
          <w:sz w:val="16"/>
          <w:szCs w:val="16"/>
        </w:rPr>
        <w:t>2002.</w:t>
      </w:r>
    </w:p>
  </w:footnote>
  <w:footnote w:id="44">
    <w:p w14:paraId="0D70F244" w14:textId="1AC48701" w:rsidR="00DD5349" w:rsidRPr="00102AF4" w:rsidRDefault="00DD5349">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w:t>
      </w:r>
      <w:bookmarkStart w:id="25" w:name="_Hlk113625576"/>
      <w:r w:rsidRPr="00102AF4">
        <w:rPr>
          <w:color w:val="77328A"/>
          <w:sz w:val="16"/>
          <w:szCs w:val="16"/>
        </w:rPr>
        <w:t>L.F.</w:t>
      </w:r>
      <w:r w:rsidR="000112A8" w:rsidRPr="00102AF4">
        <w:rPr>
          <w:color w:val="77328A"/>
          <w:sz w:val="16"/>
          <w:szCs w:val="16"/>
        </w:rPr>
        <w:t xml:space="preserve"> v. the United Kingdom, Application no. 19839/21</w:t>
      </w:r>
      <w:r w:rsidR="00552E19" w:rsidRPr="00102AF4">
        <w:rPr>
          <w:color w:val="77328A"/>
          <w:sz w:val="16"/>
          <w:szCs w:val="16"/>
        </w:rPr>
        <w:t xml:space="preserve">, </w:t>
      </w:r>
      <w:r w:rsidR="00221F77">
        <w:rPr>
          <w:color w:val="77328A"/>
          <w:sz w:val="16"/>
          <w:szCs w:val="16"/>
        </w:rPr>
        <w:t>16 June</w:t>
      </w:r>
      <w:r w:rsidR="00552E19" w:rsidRPr="00102AF4">
        <w:rPr>
          <w:color w:val="77328A"/>
          <w:sz w:val="16"/>
          <w:szCs w:val="16"/>
        </w:rPr>
        <w:t xml:space="preserve"> 2022</w:t>
      </w:r>
      <w:bookmarkEnd w:id="25"/>
      <w:r w:rsidR="00167C77" w:rsidRPr="00102AF4">
        <w:rPr>
          <w:color w:val="77328A"/>
          <w:sz w:val="16"/>
          <w:szCs w:val="16"/>
        </w:rPr>
        <w:t>.</w:t>
      </w:r>
    </w:p>
  </w:footnote>
  <w:footnote w:id="45">
    <w:p w14:paraId="57214603" w14:textId="3B75A650" w:rsidR="007C20EA" w:rsidRPr="00102AF4" w:rsidRDefault="007C20EA">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Ibid</w:t>
      </w:r>
      <w:r w:rsidR="009124B9" w:rsidRPr="00102AF4">
        <w:rPr>
          <w:color w:val="77328A"/>
          <w:sz w:val="16"/>
          <w:szCs w:val="16"/>
        </w:rPr>
        <w:t>,</w:t>
      </w:r>
      <w:r w:rsidRPr="00102AF4">
        <w:rPr>
          <w:color w:val="77328A"/>
          <w:sz w:val="16"/>
          <w:szCs w:val="16"/>
        </w:rPr>
        <w:t xml:space="preserve"> </w:t>
      </w:r>
      <w:r w:rsidR="008122DA" w:rsidRPr="00102AF4">
        <w:rPr>
          <w:color w:val="77328A"/>
          <w:sz w:val="16"/>
          <w:szCs w:val="16"/>
        </w:rPr>
        <w:t xml:space="preserve">at </w:t>
      </w:r>
      <w:r w:rsidR="00E1522F" w:rsidRPr="00102AF4">
        <w:rPr>
          <w:color w:val="77328A"/>
          <w:sz w:val="16"/>
          <w:szCs w:val="16"/>
        </w:rPr>
        <w:t>p</w:t>
      </w:r>
      <w:r w:rsidRPr="00102AF4">
        <w:rPr>
          <w:color w:val="77328A"/>
          <w:sz w:val="16"/>
          <w:szCs w:val="16"/>
        </w:rPr>
        <w:t>ara 40</w:t>
      </w:r>
      <w:r w:rsidR="008122DA" w:rsidRPr="00102AF4">
        <w:rPr>
          <w:color w:val="77328A"/>
          <w:sz w:val="16"/>
          <w:szCs w:val="16"/>
        </w:rPr>
        <w:t>.</w:t>
      </w:r>
    </w:p>
  </w:footnote>
  <w:footnote w:id="46">
    <w:p w14:paraId="62EC7FD3" w14:textId="6AB16EC2" w:rsidR="00863730" w:rsidRPr="00A160C5" w:rsidRDefault="00863730" w:rsidP="00863730">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Abdulaziz, </w:t>
      </w:r>
      <w:proofErr w:type="spellStart"/>
      <w:r w:rsidRPr="00102AF4">
        <w:rPr>
          <w:color w:val="77328A"/>
          <w:sz w:val="16"/>
          <w:szCs w:val="16"/>
        </w:rPr>
        <w:t>Cabales</w:t>
      </w:r>
      <w:proofErr w:type="spellEnd"/>
      <w:r w:rsidRPr="00102AF4">
        <w:rPr>
          <w:color w:val="77328A"/>
          <w:sz w:val="16"/>
          <w:szCs w:val="16"/>
        </w:rPr>
        <w:t xml:space="preserve"> and </w:t>
      </w:r>
      <w:proofErr w:type="spellStart"/>
      <w:r w:rsidRPr="00102AF4">
        <w:rPr>
          <w:color w:val="77328A"/>
          <w:sz w:val="16"/>
          <w:szCs w:val="16"/>
        </w:rPr>
        <w:t>Balkandali</w:t>
      </w:r>
      <w:proofErr w:type="spellEnd"/>
      <w:r w:rsidRPr="00102AF4">
        <w:rPr>
          <w:color w:val="77328A"/>
          <w:sz w:val="16"/>
          <w:szCs w:val="16"/>
        </w:rPr>
        <w:t xml:space="preserve"> v. the United Kingdom, 28 May 1985, Series A no. 94, at para 78; Konstantin </w:t>
      </w:r>
      <w:proofErr w:type="spellStart"/>
      <w:r w:rsidRPr="00102AF4">
        <w:rPr>
          <w:color w:val="77328A"/>
          <w:sz w:val="16"/>
          <w:szCs w:val="16"/>
        </w:rPr>
        <w:t>Markin</w:t>
      </w:r>
      <w:proofErr w:type="spellEnd"/>
      <w:r w:rsidRPr="00102AF4">
        <w:rPr>
          <w:color w:val="77328A"/>
          <w:sz w:val="16"/>
          <w:szCs w:val="16"/>
        </w:rPr>
        <w:t xml:space="preserve"> v. Russia [GC], </w:t>
      </w:r>
      <w:r w:rsidR="00167C77" w:rsidRPr="00102AF4">
        <w:rPr>
          <w:color w:val="77328A"/>
          <w:sz w:val="16"/>
          <w:szCs w:val="16"/>
        </w:rPr>
        <w:t xml:space="preserve">Application </w:t>
      </w:r>
      <w:r w:rsidRPr="00102AF4">
        <w:rPr>
          <w:color w:val="77328A"/>
          <w:sz w:val="16"/>
          <w:szCs w:val="16"/>
        </w:rPr>
        <w:t>no. 30078/</w:t>
      </w:r>
      <w:r w:rsidRPr="00A160C5">
        <w:rPr>
          <w:color w:val="77328A"/>
          <w:sz w:val="16"/>
          <w:szCs w:val="16"/>
        </w:rPr>
        <w:t xml:space="preserve">06, </w:t>
      </w:r>
      <w:r w:rsidR="00BC54DE" w:rsidRPr="00A160C5">
        <w:rPr>
          <w:color w:val="77328A"/>
          <w:sz w:val="16"/>
          <w:szCs w:val="16"/>
        </w:rPr>
        <w:t xml:space="preserve">22 March </w:t>
      </w:r>
      <w:r w:rsidRPr="00A160C5">
        <w:rPr>
          <w:color w:val="77328A"/>
          <w:sz w:val="16"/>
          <w:szCs w:val="16"/>
        </w:rPr>
        <w:t xml:space="preserve">2012, at para 127; Schalk and Kopf v. Austria, </w:t>
      </w:r>
      <w:r w:rsidR="00167C77" w:rsidRPr="00A160C5">
        <w:rPr>
          <w:color w:val="77328A"/>
          <w:sz w:val="16"/>
          <w:szCs w:val="16"/>
        </w:rPr>
        <w:t xml:space="preserve">Application </w:t>
      </w:r>
      <w:r w:rsidRPr="00A160C5">
        <w:rPr>
          <w:color w:val="77328A"/>
          <w:sz w:val="16"/>
          <w:szCs w:val="16"/>
        </w:rPr>
        <w:t xml:space="preserve">no. 30141/04, </w:t>
      </w:r>
      <w:r w:rsidR="0051319C" w:rsidRPr="00A160C5">
        <w:rPr>
          <w:color w:val="77328A"/>
          <w:sz w:val="16"/>
          <w:szCs w:val="16"/>
        </w:rPr>
        <w:t xml:space="preserve">24 June </w:t>
      </w:r>
      <w:r w:rsidRPr="00A160C5">
        <w:rPr>
          <w:color w:val="77328A"/>
          <w:sz w:val="16"/>
          <w:szCs w:val="16"/>
        </w:rPr>
        <w:t>2010, at para 97.</w:t>
      </w:r>
    </w:p>
  </w:footnote>
  <w:footnote w:id="47">
    <w:p w14:paraId="25F0B305" w14:textId="6C92A164" w:rsidR="00863730" w:rsidRPr="00A160C5" w:rsidRDefault="00863730" w:rsidP="00863730">
      <w:pPr>
        <w:pStyle w:val="FootnoteText"/>
        <w:rPr>
          <w:color w:val="77328A"/>
          <w:sz w:val="16"/>
          <w:szCs w:val="16"/>
        </w:rPr>
      </w:pPr>
      <w:r w:rsidRPr="00A160C5">
        <w:rPr>
          <w:rStyle w:val="FootnoteReference"/>
          <w:color w:val="77328A"/>
          <w:sz w:val="16"/>
          <w:szCs w:val="16"/>
        </w:rPr>
        <w:footnoteRef/>
      </w:r>
      <w:r w:rsidRPr="00A160C5">
        <w:rPr>
          <w:color w:val="77328A"/>
          <w:sz w:val="16"/>
          <w:szCs w:val="16"/>
        </w:rPr>
        <w:t xml:space="preserve"> </w:t>
      </w:r>
      <w:proofErr w:type="spellStart"/>
      <w:r w:rsidRPr="00A160C5">
        <w:rPr>
          <w:color w:val="77328A"/>
          <w:sz w:val="16"/>
          <w:szCs w:val="16"/>
        </w:rPr>
        <w:t>Alajos</w:t>
      </w:r>
      <w:proofErr w:type="spellEnd"/>
      <w:r w:rsidRPr="00A160C5">
        <w:rPr>
          <w:color w:val="77328A"/>
          <w:sz w:val="16"/>
          <w:szCs w:val="16"/>
        </w:rPr>
        <w:t xml:space="preserve"> Kiss v. Hungary, </w:t>
      </w:r>
      <w:r w:rsidR="00167C77" w:rsidRPr="00A160C5">
        <w:rPr>
          <w:color w:val="77328A"/>
          <w:sz w:val="16"/>
          <w:szCs w:val="16"/>
        </w:rPr>
        <w:t>Application</w:t>
      </w:r>
      <w:r w:rsidRPr="00A160C5">
        <w:rPr>
          <w:color w:val="77328A"/>
          <w:sz w:val="16"/>
          <w:szCs w:val="16"/>
        </w:rPr>
        <w:t xml:space="preserve"> </w:t>
      </w:r>
      <w:r w:rsidR="006F0CB2" w:rsidRPr="00A160C5">
        <w:rPr>
          <w:color w:val="77328A"/>
          <w:sz w:val="16"/>
          <w:szCs w:val="16"/>
        </w:rPr>
        <w:t>n</w:t>
      </w:r>
      <w:r w:rsidRPr="00A160C5">
        <w:rPr>
          <w:color w:val="77328A"/>
          <w:sz w:val="16"/>
          <w:szCs w:val="16"/>
        </w:rPr>
        <w:t xml:space="preserve">o. 38832/06, </w:t>
      </w:r>
      <w:r w:rsidR="009444A7" w:rsidRPr="00A160C5">
        <w:rPr>
          <w:color w:val="77328A"/>
          <w:sz w:val="16"/>
          <w:szCs w:val="16"/>
        </w:rPr>
        <w:t xml:space="preserve">20 </w:t>
      </w:r>
      <w:r w:rsidRPr="00A160C5">
        <w:rPr>
          <w:color w:val="77328A"/>
          <w:sz w:val="16"/>
          <w:szCs w:val="16"/>
        </w:rPr>
        <w:t>May 2010</w:t>
      </w:r>
      <w:r w:rsidR="006F0CB2" w:rsidRPr="00A160C5">
        <w:rPr>
          <w:color w:val="77328A"/>
          <w:sz w:val="16"/>
          <w:szCs w:val="16"/>
        </w:rPr>
        <w:t>,</w:t>
      </w:r>
      <w:r w:rsidRPr="00A160C5">
        <w:rPr>
          <w:color w:val="77328A"/>
          <w:sz w:val="16"/>
          <w:szCs w:val="16"/>
        </w:rPr>
        <w:t xml:space="preserve"> at para 42.</w:t>
      </w:r>
    </w:p>
  </w:footnote>
  <w:footnote w:id="48">
    <w:p w14:paraId="48FD239E" w14:textId="57CF0116" w:rsidR="000119A7" w:rsidRPr="00A160C5" w:rsidRDefault="000119A7">
      <w:pPr>
        <w:pStyle w:val="FootnoteText"/>
        <w:rPr>
          <w:color w:val="77328A"/>
          <w:sz w:val="16"/>
          <w:szCs w:val="16"/>
        </w:rPr>
      </w:pPr>
      <w:r w:rsidRPr="00A160C5">
        <w:rPr>
          <w:rStyle w:val="FootnoteReference"/>
          <w:color w:val="77328A"/>
          <w:sz w:val="16"/>
          <w:szCs w:val="16"/>
        </w:rPr>
        <w:footnoteRef/>
      </w:r>
      <w:r w:rsidRPr="00A160C5">
        <w:rPr>
          <w:color w:val="77328A"/>
          <w:sz w:val="16"/>
          <w:szCs w:val="16"/>
        </w:rPr>
        <w:t xml:space="preserve"> </w:t>
      </w:r>
      <w:r w:rsidR="00293831" w:rsidRPr="00A160C5">
        <w:rPr>
          <w:color w:val="77328A"/>
          <w:sz w:val="16"/>
          <w:szCs w:val="16"/>
        </w:rPr>
        <w:t xml:space="preserve">Christine Goodwin v. the United Kingdom [GC], </w:t>
      </w:r>
      <w:r w:rsidR="006F0CB2" w:rsidRPr="00A160C5">
        <w:rPr>
          <w:color w:val="77328A"/>
          <w:sz w:val="16"/>
          <w:szCs w:val="16"/>
        </w:rPr>
        <w:t xml:space="preserve">Application </w:t>
      </w:r>
      <w:r w:rsidR="00293831" w:rsidRPr="00A160C5">
        <w:rPr>
          <w:color w:val="77328A"/>
          <w:sz w:val="16"/>
          <w:szCs w:val="16"/>
        </w:rPr>
        <w:t xml:space="preserve">no. 28957/95, </w:t>
      </w:r>
      <w:r w:rsidR="00FF75B3" w:rsidRPr="00A160C5">
        <w:rPr>
          <w:color w:val="77328A"/>
          <w:sz w:val="16"/>
          <w:szCs w:val="16"/>
        </w:rPr>
        <w:t xml:space="preserve">11 July </w:t>
      </w:r>
      <w:r w:rsidR="00293831" w:rsidRPr="00A160C5">
        <w:rPr>
          <w:color w:val="77328A"/>
          <w:sz w:val="16"/>
          <w:szCs w:val="16"/>
        </w:rPr>
        <w:t>2002</w:t>
      </w:r>
      <w:r w:rsidRPr="00A160C5">
        <w:rPr>
          <w:color w:val="77328A"/>
          <w:sz w:val="16"/>
          <w:szCs w:val="16"/>
        </w:rPr>
        <w:t>,</w:t>
      </w:r>
      <w:r w:rsidR="00293831" w:rsidRPr="00A160C5">
        <w:rPr>
          <w:color w:val="77328A"/>
          <w:sz w:val="16"/>
          <w:szCs w:val="16"/>
        </w:rPr>
        <w:t xml:space="preserve"> at para</w:t>
      </w:r>
      <w:r w:rsidRPr="00A160C5">
        <w:rPr>
          <w:color w:val="77328A"/>
          <w:sz w:val="16"/>
          <w:szCs w:val="16"/>
        </w:rPr>
        <w:t xml:space="preserve"> 90; </w:t>
      </w:r>
      <w:r w:rsidR="007D64EB" w:rsidRPr="00A160C5">
        <w:rPr>
          <w:color w:val="77328A"/>
          <w:sz w:val="16"/>
          <w:szCs w:val="16"/>
        </w:rPr>
        <w:t xml:space="preserve">Grant v. the United Kingdom, </w:t>
      </w:r>
      <w:r w:rsidR="006F0CB2" w:rsidRPr="00A160C5">
        <w:rPr>
          <w:color w:val="77328A"/>
          <w:sz w:val="16"/>
          <w:szCs w:val="16"/>
        </w:rPr>
        <w:t xml:space="preserve">Application </w:t>
      </w:r>
      <w:r w:rsidR="007D64EB" w:rsidRPr="00A160C5">
        <w:rPr>
          <w:color w:val="77328A"/>
          <w:sz w:val="16"/>
          <w:szCs w:val="16"/>
        </w:rPr>
        <w:t xml:space="preserve">no. 32570/03, </w:t>
      </w:r>
      <w:r w:rsidR="000C64DB" w:rsidRPr="00A160C5">
        <w:rPr>
          <w:color w:val="77328A"/>
          <w:sz w:val="16"/>
          <w:szCs w:val="16"/>
        </w:rPr>
        <w:t>23 May</w:t>
      </w:r>
      <w:r w:rsidR="007D64EB" w:rsidRPr="00A160C5">
        <w:rPr>
          <w:color w:val="77328A"/>
          <w:sz w:val="16"/>
          <w:szCs w:val="16"/>
        </w:rPr>
        <w:t xml:space="preserve"> 2006</w:t>
      </w:r>
      <w:r w:rsidRPr="00A160C5">
        <w:rPr>
          <w:color w:val="77328A"/>
          <w:sz w:val="16"/>
          <w:szCs w:val="16"/>
        </w:rPr>
        <w:t xml:space="preserve">, </w:t>
      </w:r>
      <w:r w:rsidR="007D64EB" w:rsidRPr="00A160C5">
        <w:rPr>
          <w:color w:val="77328A"/>
          <w:sz w:val="16"/>
          <w:szCs w:val="16"/>
        </w:rPr>
        <w:t>at para</w:t>
      </w:r>
      <w:r w:rsidRPr="00A160C5">
        <w:rPr>
          <w:color w:val="77328A"/>
          <w:sz w:val="16"/>
          <w:szCs w:val="16"/>
        </w:rPr>
        <w:t xml:space="preserve"> 40; </w:t>
      </w:r>
      <w:r w:rsidR="00091CBD" w:rsidRPr="00A160C5">
        <w:rPr>
          <w:color w:val="77328A"/>
          <w:sz w:val="16"/>
          <w:szCs w:val="16"/>
        </w:rPr>
        <w:t xml:space="preserve">L. v. Lithuania, </w:t>
      </w:r>
      <w:r w:rsidR="006F0CB2" w:rsidRPr="00A160C5">
        <w:rPr>
          <w:color w:val="77328A"/>
          <w:sz w:val="16"/>
          <w:szCs w:val="16"/>
        </w:rPr>
        <w:t xml:space="preserve">Application </w:t>
      </w:r>
      <w:r w:rsidR="00091CBD" w:rsidRPr="00A160C5">
        <w:rPr>
          <w:color w:val="77328A"/>
          <w:sz w:val="16"/>
          <w:szCs w:val="16"/>
        </w:rPr>
        <w:t>no. 27527/03,</w:t>
      </w:r>
      <w:r w:rsidR="007252E1" w:rsidRPr="00A160C5">
        <w:rPr>
          <w:color w:val="77328A"/>
          <w:sz w:val="16"/>
          <w:szCs w:val="16"/>
        </w:rPr>
        <w:t xml:space="preserve"> 11 September</w:t>
      </w:r>
      <w:r w:rsidR="00091CBD" w:rsidRPr="00A160C5">
        <w:rPr>
          <w:color w:val="77328A"/>
          <w:sz w:val="16"/>
          <w:szCs w:val="16"/>
        </w:rPr>
        <w:t xml:space="preserve"> 2007, at para</w:t>
      </w:r>
      <w:r w:rsidRPr="00A160C5">
        <w:rPr>
          <w:color w:val="77328A"/>
          <w:sz w:val="16"/>
          <w:szCs w:val="16"/>
        </w:rPr>
        <w:t xml:space="preserve"> 59</w:t>
      </w:r>
      <w:r w:rsidR="009E1E2B" w:rsidRPr="00A160C5">
        <w:rPr>
          <w:color w:val="77328A"/>
          <w:sz w:val="16"/>
          <w:szCs w:val="16"/>
        </w:rPr>
        <w:t>.</w:t>
      </w:r>
    </w:p>
  </w:footnote>
  <w:footnote w:id="49">
    <w:p w14:paraId="7FFC8CE8" w14:textId="5849E45B" w:rsidR="003F234B" w:rsidRPr="00A160C5" w:rsidRDefault="003F234B">
      <w:pPr>
        <w:pStyle w:val="FootnoteText"/>
        <w:rPr>
          <w:color w:val="77328A"/>
          <w:sz w:val="16"/>
          <w:szCs w:val="16"/>
        </w:rPr>
      </w:pPr>
      <w:r w:rsidRPr="00A160C5">
        <w:rPr>
          <w:rStyle w:val="FootnoteReference"/>
          <w:color w:val="77328A"/>
          <w:sz w:val="16"/>
          <w:szCs w:val="16"/>
        </w:rPr>
        <w:footnoteRef/>
      </w:r>
      <w:r w:rsidRPr="00A160C5">
        <w:rPr>
          <w:color w:val="77328A"/>
          <w:sz w:val="16"/>
          <w:szCs w:val="16"/>
        </w:rPr>
        <w:t xml:space="preserve"> A.D. and Others v. Georgia</w:t>
      </w:r>
      <w:r w:rsidR="00A160C5" w:rsidRPr="00A160C5">
        <w:rPr>
          <w:color w:val="77328A"/>
          <w:sz w:val="16"/>
          <w:szCs w:val="16"/>
        </w:rPr>
        <w:t xml:space="preserve">, Application no. </w:t>
      </w:r>
      <w:r w:rsidR="008078B5" w:rsidRPr="00A160C5">
        <w:rPr>
          <w:color w:val="77328A"/>
          <w:sz w:val="16"/>
          <w:szCs w:val="16"/>
        </w:rPr>
        <w:t>57864/17</w:t>
      </w:r>
      <w:r w:rsidR="00A160C5" w:rsidRPr="00A160C5">
        <w:rPr>
          <w:color w:val="77328A"/>
          <w:sz w:val="16"/>
          <w:szCs w:val="16"/>
        </w:rPr>
        <w:t>, 1 December 2022.</w:t>
      </w:r>
    </w:p>
  </w:footnote>
  <w:footnote w:id="50">
    <w:p w14:paraId="6A879D16" w14:textId="4036BB36" w:rsidR="007B1C01" w:rsidRPr="00A160C5" w:rsidRDefault="007B1C01">
      <w:pPr>
        <w:pStyle w:val="FootnoteText"/>
        <w:rPr>
          <w:color w:val="77328A"/>
          <w:sz w:val="16"/>
          <w:szCs w:val="16"/>
        </w:rPr>
      </w:pPr>
      <w:r w:rsidRPr="00A160C5">
        <w:rPr>
          <w:rStyle w:val="FootnoteReference"/>
          <w:color w:val="77328A"/>
          <w:sz w:val="16"/>
          <w:szCs w:val="16"/>
        </w:rPr>
        <w:footnoteRef/>
      </w:r>
      <w:r w:rsidRPr="00A160C5">
        <w:rPr>
          <w:color w:val="77328A"/>
          <w:sz w:val="16"/>
          <w:szCs w:val="16"/>
        </w:rPr>
        <w:t xml:space="preserve"> </w:t>
      </w:r>
      <w:proofErr w:type="spellStart"/>
      <w:r w:rsidRPr="00A160C5">
        <w:rPr>
          <w:color w:val="77328A"/>
          <w:sz w:val="16"/>
          <w:szCs w:val="16"/>
        </w:rPr>
        <w:t>Bărbulescu</w:t>
      </w:r>
      <w:proofErr w:type="spellEnd"/>
      <w:r w:rsidRPr="00A160C5">
        <w:rPr>
          <w:color w:val="77328A"/>
          <w:sz w:val="16"/>
          <w:szCs w:val="16"/>
        </w:rPr>
        <w:t xml:space="preserve"> v. Romania [GC], Application no. 61496/08, 5 September 2017 at para</w:t>
      </w:r>
      <w:r w:rsidR="00AE2B60" w:rsidRPr="00A160C5">
        <w:rPr>
          <w:color w:val="77328A"/>
          <w:sz w:val="16"/>
          <w:szCs w:val="16"/>
        </w:rPr>
        <w:t xml:space="preserve"> </w:t>
      </w:r>
      <w:r w:rsidRPr="00A160C5">
        <w:rPr>
          <w:color w:val="77328A"/>
          <w:sz w:val="16"/>
          <w:szCs w:val="16"/>
        </w:rPr>
        <w:t>112</w:t>
      </w:r>
      <w:r w:rsidR="00AE2B60" w:rsidRPr="00A160C5">
        <w:rPr>
          <w:color w:val="77328A"/>
          <w:sz w:val="16"/>
          <w:szCs w:val="16"/>
        </w:rPr>
        <w:t>.</w:t>
      </w:r>
    </w:p>
  </w:footnote>
  <w:footnote w:id="51">
    <w:p w14:paraId="4F9CABB8" w14:textId="6344E484" w:rsidR="00DC55BF" w:rsidRPr="00A160C5" w:rsidRDefault="00DC55BF">
      <w:pPr>
        <w:pStyle w:val="FootnoteText"/>
        <w:rPr>
          <w:color w:val="77328A"/>
          <w:sz w:val="16"/>
          <w:szCs w:val="16"/>
        </w:rPr>
      </w:pPr>
      <w:r w:rsidRPr="00A160C5">
        <w:rPr>
          <w:rStyle w:val="FootnoteReference"/>
          <w:color w:val="77328A"/>
          <w:sz w:val="16"/>
          <w:szCs w:val="16"/>
        </w:rPr>
        <w:footnoteRef/>
      </w:r>
      <w:r w:rsidRPr="00A160C5">
        <w:rPr>
          <w:color w:val="77328A"/>
          <w:sz w:val="16"/>
          <w:szCs w:val="16"/>
        </w:rPr>
        <w:t xml:space="preserve"> </w:t>
      </w:r>
      <w:bookmarkStart w:id="28" w:name="_Hlk119676346"/>
      <w:r w:rsidR="00C63FE6" w:rsidRPr="00A160C5">
        <w:rPr>
          <w:color w:val="77328A"/>
          <w:sz w:val="16"/>
          <w:szCs w:val="16"/>
        </w:rPr>
        <w:t>Recommendation CM/Rec</w:t>
      </w:r>
      <w:r w:rsidR="00D76858">
        <w:rPr>
          <w:color w:val="77328A"/>
          <w:sz w:val="16"/>
          <w:szCs w:val="16"/>
        </w:rPr>
        <w:t xml:space="preserve"> </w:t>
      </w:r>
      <w:r w:rsidR="00C63FE6" w:rsidRPr="00A160C5">
        <w:rPr>
          <w:color w:val="77328A"/>
          <w:sz w:val="16"/>
          <w:szCs w:val="16"/>
        </w:rPr>
        <w:t>(2010)5 of the Committee of Ministers</w:t>
      </w:r>
      <w:bookmarkEnd w:id="28"/>
      <w:r w:rsidR="00C63FE6" w:rsidRPr="00A160C5">
        <w:rPr>
          <w:color w:val="77328A"/>
          <w:sz w:val="16"/>
          <w:szCs w:val="16"/>
        </w:rPr>
        <w:t xml:space="preserve"> to member states on measures to combat discrimination on grounds of sexual orientation or gender identity, 31 March 2010. </w:t>
      </w:r>
    </w:p>
  </w:footnote>
  <w:footnote w:id="52">
    <w:p w14:paraId="51A06C73" w14:textId="75A109D2" w:rsidR="00995426" w:rsidRPr="00A160C5" w:rsidRDefault="00995426">
      <w:pPr>
        <w:pStyle w:val="FootnoteText"/>
        <w:rPr>
          <w:color w:val="77328A"/>
          <w:sz w:val="16"/>
          <w:szCs w:val="16"/>
        </w:rPr>
      </w:pPr>
      <w:r w:rsidRPr="00A160C5">
        <w:rPr>
          <w:rStyle w:val="FootnoteReference"/>
          <w:color w:val="77328A"/>
          <w:sz w:val="16"/>
          <w:szCs w:val="16"/>
        </w:rPr>
        <w:footnoteRef/>
      </w:r>
      <w:r w:rsidRPr="00A160C5">
        <w:rPr>
          <w:color w:val="77328A"/>
          <w:sz w:val="16"/>
          <w:szCs w:val="16"/>
        </w:rPr>
        <w:t xml:space="preserve"> Ibid, at </w:t>
      </w:r>
      <w:r w:rsidR="00871C55" w:rsidRPr="00A160C5">
        <w:rPr>
          <w:color w:val="77328A"/>
          <w:sz w:val="16"/>
          <w:szCs w:val="16"/>
        </w:rPr>
        <w:t>21.</w:t>
      </w:r>
    </w:p>
  </w:footnote>
  <w:footnote w:id="53">
    <w:p w14:paraId="04E1D24E" w14:textId="46906016" w:rsidR="008A6716" w:rsidRPr="00007A7B" w:rsidRDefault="008A6716">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w:t>
      </w:r>
      <w:r w:rsidR="009D74CD" w:rsidRPr="00102AF4">
        <w:rPr>
          <w:color w:val="77328A"/>
          <w:sz w:val="16"/>
          <w:szCs w:val="16"/>
        </w:rPr>
        <w:t>Ibi</w:t>
      </w:r>
      <w:r w:rsidR="009D74CD" w:rsidRPr="00007A7B">
        <w:rPr>
          <w:color w:val="77328A"/>
          <w:sz w:val="16"/>
          <w:szCs w:val="16"/>
        </w:rPr>
        <w:t>d, a</w:t>
      </w:r>
      <w:r w:rsidRPr="00007A7B">
        <w:rPr>
          <w:color w:val="77328A"/>
          <w:sz w:val="16"/>
          <w:szCs w:val="16"/>
        </w:rPr>
        <w:t>t 39.</w:t>
      </w:r>
    </w:p>
  </w:footnote>
  <w:footnote w:id="54">
    <w:p w14:paraId="587C5BFC" w14:textId="1F584CA4" w:rsidR="00720CA4" w:rsidRPr="00C20469" w:rsidRDefault="00720CA4">
      <w:pPr>
        <w:pStyle w:val="FootnoteText"/>
        <w:rPr>
          <w:color w:val="77328A"/>
          <w:sz w:val="16"/>
          <w:szCs w:val="16"/>
        </w:rPr>
      </w:pPr>
      <w:r w:rsidRPr="00007A7B">
        <w:rPr>
          <w:rStyle w:val="FootnoteReference"/>
          <w:color w:val="77328A"/>
          <w:sz w:val="16"/>
          <w:szCs w:val="16"/>
        </w:rPr>
        <w:footnoteRef/>
      </w:r>
      <w:r w:rsidRPr="00007A7B">
        <w:rPr>
          <w:color w:val="77328A"/>
          <w:sz w:val="16"/>
          <w:szCs w:val="16"/>
        </w:rPr>
        <w:t xml:space="preserve"> </w:t>
      </w:r>
      <w:r w:rsidR="009D74CD" w:rsidRPr="00007A7B">
        <w:rPr>
          <w:color w:val="77328A"/>
          <w:sz w:val="16"/>
          <w:szCs w:val="16"/>
        </w:rPr>
        <w:t>Ibid, a</w:t>
      </w:r>
      <w:r w:rsidRPr="00007A7B">
        <w:rPr>
          <w:color w:val="77328A"/>
          <w:sz w:val="16"/>
          <w:szCs w:val="16"/>
        </w:rPr>
        <w:t>t 40.</w:t>
      </w:r>
    </w:p>
  </w:footnote>
  <w:footnote w:id="55">
    <w:p w14:paraId="22DA96CD" w14:textId="6E71F9D2" w:rsidR="00117E44" w:rsidRPr="00007A7B" w:rsidRDefault="00117E44" w:rsidP="00117E44">
      <w:pPr>
        <w:pStyle w:val="FootnoteText"/>
        <w:rPr>
          <w:color w:val="77328A"/>
          <w:sz w:val="16"/>
          <w:szCs w:val="16"/>
        </w:rPr>
      </w:pPr>
      <w:r w:rsidRPr="00007A7B">
        <w:rPr>
          <w:rStyle w:val="FootnoteReference"/>
          <w:color w:val="77328A"/>
          <w:sz w:val="16"/>
          <w:szCs w:val="16"/>
        </w:rPr>
        <w:footnoteRef/>
      </w:r>
      <w:r w:rsidRPr="00007A7B">
        <w:rPr>
          <w:color w:val="77328A"/>
          <w:sz w:val="16"/>
          <w:szCs w:val="16"/>
        </w:rPr>
        <w:t xml:space="preserve"> </w:t>
      </w:r>
      <w:proofErr w:type="spellStart"/>
      <w:r w:rsidR="00EE07E1" w:rsidRPr="00EE07E1">
        <w:rPr>
          <w:color w:val="77328A"/>
          <w:sz w:val="16"/>
          <w:szCs w:val="16"/>
        </w:rPr>
        <w:t>Mutu</w:t>
      </w:r>
      <w:proofErr w:type="spellEnd"/>
      <w:r w:rsidR="00EE07E1" w:rsidRPr="00EE07E1">
        <w:rPr>
          <w:color w:val="77328A"/>
          <w:sz w:val="16"/>
          <w:szCs w:val="16"/>
        </w:rPr>
        <w:t xml:space="preserve"> and </w:t>
      </w:r>
      <w:proofErr w:type="spellStart"/>
      <w:r w:rsidR="00EE07E1" w:rsidRPr="00EE07E1">
        <w:rPr>
          <w:color w:val="77328A"/>
          <w:sz w:val="16"/>
          <w:szCs w:val="16"/>
        </w:rPr>
        <w:t>Pechstein</w:t>
      </w:r>
      <w:proofErr w:type="spellEnd"/>
      <w:r w:rsidR="00EE07E1" w:rsidRPr="00EE07E1">
        <w:rPr>
          <w:color w:val="77328A"/>
          <w:sz w:val="16"/>
          <w:szCs w:val="16"/>
        </w:rPr>
        <w:t xml:space="preserve"> v. Switzerland, Applications nos. 40575/10 and 67474/1040575/10, 2 October 2018</w:t>
      </w:r>
      <w:r w:rsidR="002E0189">
        <w:rPr>
          <w:color w:val="77328A"/>
          <w:sz w:val="16"/>
          <w:szCs w:val="16"/>
        </w:rPr>
        <w:t xml:space="preserve">, </w:t>
      </w:r>
      <w:r w:rsidR="00702490" w:rsidRPr="00702490">
        <w:rPr>
          <w:color w:val="77328A"/>
          <w:sz w:val="16"/>
          <w:szCs w:val="16"/>
        </w:rPr>
        <w:t>Ali Riza and others v. Turkey, Application nos. 30226/10 and 4 others, 20 January 2020</w:t>
      </w:r>
      <w:r w:rsidRPr="00007A7B">
        <w:rPr>
          <w:color w:val="77328A"/>
          <w:sz w:val="16"/>
          <w:szCs w:val="16"/>
        </w:rPr>
        <w:t>.</w:t>
      </w:r>
    </w:p>
  </w:footnote>
  <w:footnote w:id="56">
    <w:p w14:paraId="30E486C4" w14:textId="2AA00B17" w:rsidR="00CE3648" w:rsidRPr="00007A7B" w:rsidRDefault="00CE3648" w:rsidP="00CE3648">
      <w:pPr>
        <w:pStyle w:val="FootnoteText"/>
        <w:rPr>
          <w:color w:val="77328A"/>
          <w:sz w:val="16"/>
          <w:szCs w:val="16"/>
        </w:rPr>
      </w:pPr>
      <w:r w:rsidRPr="00007A7B">
        <w:rPr>
          <w:rStyle w:val="FootnoteReference"/>
          <w:color w:val="77328A"/>
          <w:sz w:val="16"/>
          <w:szCs w:val="16"/>
        </w:rPr>
        <w:footnoteRef/>
      </w:r>
      <w:r w:rsidRPr="00007A7B">
        <w:rPr>
          <w:color w:val="77328A"/>
          <w:sz w:val="16"/>
          <w:szCs w:val="16"/>
        </w:rPr>
        <w:t xml:space="preserve"> </w:t>
      </w:r>
      <w:r w:rsidR="001C7A93" w:rsidRPr="00007A7B">
        <w:rPr>
          <w:color w:val="77328A"/>
          <w:sz w:val="16"/>
          <w:szCs w:val="16"/>
        </w:rPr>
        <w:t xml:space="preserve">Eva </w:t>
      </w:r>
      <w:proofErr w:type="spellStart"/>
      <w:r w:rsidR="001C7A93" w:rsidRPr="00007A7B">
        <w:rPr>
          <w:color w:val="77328A"/>
          <w:sz w:val="16"/>
          <w:szCs w:val="16"/>
        </w:rPr>
        <w:t>Brems</w:t>
      </w:r>
      <w:proofErr w:type="spellEnd"/>
      <w:r w:rsidR="001C7A93" w:rsidRPr="00007A7B">
        <w:rPr>
          <w:color w:val="77328A"/>
          <w:sz w:val="16"/>
          <w:szCs w:val="16"/>
        </w:rPr>
        <w:t xml:space="preserve">, Pieter </w:t>
      </w:r>
      <w:proofErr w:type="spellStart"/>
      <w:r w:rsidR="001C7A93" w:rsidRPr="00007A7B">
        <w:rPr>
          <w:color w:val="77328A"/>
          <w:sz w:val="16"/>
          <w:szCs w:val="16"/>
        </w:rPr>
        <w:t>Cannoot</w:t>
      </w:r>
      <w:proofErr w:type="spellEnd"/>
      <w:r w:rsidR="001C7A93" w:rsidRPr="00007A7B">
        <w:rPr>
          <w:color w:val="77328A"/>
          <w:sz w:val="16"/>
          <w:szCs w:val="16"/>
        </w:rPr>
        <w:t xml:space="preserve">, Mattias Decoster, Claire </w:t>
      </w:r>
      <w:proofErr w:type="spellStart"/>
      <w:r w:rsidR="001C7A93" w:rsidRPr="00007A7B">
        <w:rPr>
          <w:color w:val="77328A"/>
          <w:sz w:val="16"/>
          <w:szCs w:val="16"/>
        </w:rPr>
        <w:t>Poppelwell-Scevak</w:t>
      </w:r>
      <w:proofErr w:type="spellEnd"/>
      <w:r w:rsidR="001C7A93" w:rsidRPr="00007A7B">
        <w:rPr>
          <w:color w:val="77328A"/>
          <w:sz w:val="16"/>
          <w:szCs w:val="16"/>
        </w:rPr>
        <w:t xml:space="preserve">, Sarah </w:t>
      </w:r>
      <w:proofErr w:type="spellStart"/>
      <w:r w:rsidR="001C7A93" w:rsidRPr="00007A7B">
        <w:rPr>
          <w:color w:val="77328A"/>
          <w:sz w:val="16"/>
          <w:szCs w:val="16"/>
        </w:rPr>
        <w:t>Schoentjes</w:t>
      </w:r>
      <w:proofErr w:type="spellEnd"/>
      <w:r w:rsidR="001C7A93" w:rsidRPr="00007A7B">
        <w:rPr>
          <w:color w:val="77328A"/>
          <w:sz w:val="16"/>
          <w:szCs w:val="16"/>
        </w:rPr>
        <w:t xml:space="preserve"> and </w:t>
      </w:r>
      <w:proofErr w:type="spellStart"/>
      <w:r w:rsidR="001C7A93" w:rsidRPr="00007A7B">
        <w:rPr>
          <w:color w:val="77328A"/>
          <w:sz w:val="16"/>
          <w:szCs w:val="16"/>
        </w:rPr>
        <w:t>Cathérine</w:t>
      </w:r>
      <w:proofErr w:type="spellEnd"/>
      <w:r w:rsidR="001C7A93" w:rsidRPr="00007A7B">
        <w:rPr>
          <w:color w:val="77328A"/>
          <w:sz w:val="16"/>
          <w:szCs w:val="16"/>
        </w:rPr>
        <w:t xml:space="preserve"> Van de Graaf, </w:t>
      </w:r>
      <w:r w:rsidRPr="00007A7B">
        <w:rPr>
          <w:color w:val="77328A"/>
          <w:sz w:val="16"/>
          <w:szCs w:val="16"/>
        </w:rPr>
        <w:t>European Court of Human Rights – Semenya v. Switzerland (Application no. 10934/21), Third Party Intervention by the Human Rights Centre of Ghent University</w:t>
      </w:r>
      <w:r w:rsidR="001C7A93" w:rsidRPr="00007A7B">
        <w:rPr>
          <w:color w:val="77328A"/>
          <w:sz w:val="16"/>
          <w:szCs w:val="16"/>
        </w:rPr>
        <w:t xml:space="preserve">, </w:t>
      </w:r>
      <w:r w:rsidR="00A23755" w:rsidRPr="00007A7B">
        <w:rPr>
          <w:color w:val="77328A"/>
          <w:sz w:val="16"/>
          <w:szCs w:val="16"/>
        </w:rPr>
        <w:t>at p</w:t>
      </w:r>
      <w:r w:rsidRPr="00007A7B">
        <w:rPr>
          <w:color w:val="77328A"/>
          <w:sz w:val="16"/>
          <w:szCs w:val="16"/>
        </w:rPr>
        <w:t>ara 5.2.1.</w:t>
      </w:r>
    </w:p>
  </w:footnote>
  <w:footnote w:id="57">
    <w:p w14:paraId="3C510A1F" w14:textId="1A57D6EB" w:rsidR="009B2196" w:rsidRPr="00007A7B" w:rsidRDefault="009B2196">
      <w:pPr>
        <w:pStyle w:val="FootnoteText"/>
        <w:rPr>
          <w:color w:val="77328A"/>
          <w:sz w:val="16"/>
          <w:szCs w:val="16"/>
        </w:rPr>
      </w:pPr>
      <w:r w:rsidRPr="00007A7B">
        <w:rPr>
          <w:rStyle w:val="FootnoteReference"/>
          <w:color w:val="77328A"/>
          <w:sz w:val="16"/>
          <w:szCs w:val="16"/>
        </w:rPr>
        <w:footnoteRef/>
      </w:r>
      <w:r w:rsidRPr="00C20469">
        <w:rPr>
          <w:color w:val="77328A"/>
          <w:sz w:val="16"/>
          <w:szCs w:val="16"/>
        </w:rPr>
        <w:t xml:space="preserve"> </w:t>
      </w:r>
      <w:r w:rsidR="00F96183">
        <w:rPr>
          <w:color w:val="77328A"/>
          <w:sz w:val="16"/>
          <w:szCs w:val="16"/>
        </w:rPr>
        <w:t xml:space="preserve">See for example, </w:t>
      </w:r>
      <w:r w:rsidRPr="00007A7B">
        <w:rPr>
          <w:color w:val="77328A"/>
          <w:sz w:val="16"/>
          <w:szCs w:val="16"/>
        </w:rPr>
        <w:t xml:space="preserve">J Harper, E O'Donnell, B </w:t>
      </w:r>
      <w:proofErr w:type="spellStart"/>
      <w:r w:rsidRPr="00007A7B">
        <w:rPr>
          <w:color w:val="77328A"/>
          <w:sz w:val="16"/>
          <w:szCs w:val="16"/>
        </w:rPr>
        <w:t>Sorouri</w:t>
      </w:r>
      <w:proofErr w:type="spellEnd"/>
      <w:r w:rsidRPr="00007A7B">
        <w:rPr>
          <w:color w:val="77328A"/>
          <w:sz w:val="16"/>
          <w:szCs w:val="16"/>
        </w:rPr>
        <w:t xml:space="preserve"> </w:t>
      </w:r>
      <w:proofErr w:type="spellStart"/>
      <w:r w:rsidRPr="00007A7B">
        <w:rPr>
          <w:color w:val="77328A"/>
          <w:sz w:val="16"/>
          <w:szCs w:val="16"/>
        </w:rPr>
        <w:t>Khorashad</w:t>
      </w:r>
      <w:proofErr w:type="spellEnd"/>
      <w:r w:rsidRPr="00007A7B">
        <w:rPr>
          <w:color w:val="77328A"/>
          <w:sz w:val="16"/>
          <w:szCs w:val="16"/>
        </w:rPr>
        <w:t xml:space="preserve">, </w:t>
      </w:r>
      <w:r w:rsidR="00E1522F" w:rsidRPr="00007A7B">
        <w:rPr>
          <w:color w:val="77328A"/>
          <w:sz w:val="16"/>
          <w:szCs w:val="16"/>
        </w:rPr>
        <w:t>‘</w:t>
      </w:r>
      <w:r w:rsidRPr="00007A7B">
        <w:rPr>
          <w:color w:val="77328A"/>
          <w:sz w:val="16"/>
          <w:szCs w:val="16"/>
        </w:rPr>
        <w:t>How does hormone transition in transgender women change body composition, muscle strength and haemoglobin? Systematic review with a focus on the implications for sport participation</w:t>
      </w:r>
      <w:r w:rsidR="00E1522F" w:rsidRPr="00007A7B">
        <w:rPr>
          <w:color w:val="77328A"/>
          <w:sz w:val="16"/>
          <w:szCs w:val="16"/>
        </w:rPr>
        <w:t>’</w:t>
      </w:r>
      <w:r w:rsidRPr="00007A7B">
        <w:rPr>
          <w:color w:val="77328A"/>
          <w:sz w:val="16"/>
          <w:szCs w:val="16"/>
        </w:rPr>
        <w:t>, British Journal of Sports Medicine 2021; 55:865-872</w:t>
      </w:r>
      <w:r w:rsidR="00F96183">
        <w:rPr>
          <w:color w:val="77328A"/>
          <w:sz w:val="16"/>
          <w:szCs w:val="16"/>
        </w:rPr>
        <w:t>;</w:t>
      </w:r>
      <w:r w:rsidR="00792FB3">
        <w:rPr>
          <w:color w:val="77328A"/>
          <w:sz w:val="16"/>
          <w:szCs w:val="16"/>
        </w:rPr>
        <w:t xml:space="preserve"> </w:t>
      </w:r>
      <w:r w:rsidR="00792FB3" w:rsidRPr="007B5A19">
        <w:rPr>
          <w:color w:val="77328A"/>
          <w:sz w:val="16"/>
          <w:szCs w:val="16"/>
        </w:rPr>
        <w:t>E-Alliance, ‘Transgender Women Athletes and Elite Sport: A Scientific Review’</w:t>
      </w:r>
      <w:r w:rsidR="007B5A19" w:rsidRPr="007B5A19">
        <w:rPr>
          <w:color w:val="77328A"/>
          <w:sz w:val="16"/>
          <w:szCs w:val="16"/>
        </w:rPr>
        <w:t>, November 2022</w:t>
      </w:r>
      <w:r w:rsidR="00E1522F" w:rsidRPr="007B5A19">
        <w:rPr>
          <w:color w:val="77328A"/>
          <w:sz w:val="16"/>
          <w:szCs w:val="16"/>
        </w:rPr>
        <w:t>.</w:t>
      </w:r>
    </w:p>
  </w:footnote>
  <w:footnote w:id="58">
    <w:p w14:paraId="221B2863" w14:textId="5FDD0384" w:rsidR="0034435F" w:rsidRPr="007041B9" w:rsidRDefault="0034435F">
      <w:pPr>
        <w:pStyle w:val="FootnoteText"/>
        <w:rPr>
          <w:color w:val="77328A"/>
          <w:sz w:val="16"/>
          <w:szCs w:val="16"/>
        </w:rPr>
      </w:pPr>
      <w:r w:rsidRPr="007041B9">
        <w:rPr>
          <w:rStyle w:val="FootnoteReference"/>
          <w:color w:val="77328A"/>
          <w:sz w:val="16"/>
          <w:szCs w:val="16"/>
        </w:rPr>
        <w:footnoteRef/>
      </w:r>
      <w:r w:rsidRPr="007041B9">
        <w:rPr>
          <w:color w:val="77328A"/>
          <w:sz w:val="16"/>
          <w:szCs w:val="16"/>
        </w:rPr>
        <w:t xml:space="preserve"> </w:t>
      </w:r>
      <w:r w:rsidR="0077065F" w:rsidRPr="007041B9">
        <w:rPr>
          <w:color w:val="77328A"/>
          <w:sz w:val="16"/>
          <w:szCs w:val="16"/>
        </w:rPr>
        <w:t>World Rugby, ‘Transgender Guidelines</w:t>
      </w:r>
      <w:r w:rsidR="007041B9" w:rsidRPr="007041B9">
        <w:rPr>
          <w:color w:val="77328A"/>
          <w:sz w:val="16"/>
          <w:szCs w:val="16"/>
        </w:rPr>
        <w:t xml:space="preserve">’ (undated). Available at </w:t>
      </w:r>
      <w:hyperlink r:id="rId1" w:history="1">
        <w:r w:rsidR="007041B9" w:rsidRPr="007041B9">
          <w:rPr>
            <w:rStyle w:val="Hyperlink"/>
            <w:color w:val="77328A"/>
            <w:sz w:val="16"/>
            <w:szCs w:val="16"/>
            <w:u w:val="none"/>
          </w:rPr>
          <w:t>https://www</w:t>
        </w:r>
      </w:hyperlink>
      <w:r w:rsidR="007041B9" w:rsidRPr="007041B9">
        <w:rPr>
          <w:color w:val="77328A"/>
          <w:sz w:val="16"/>
          <w:szCs w:val="16"/>
        </w:rPr>
        <w:t>.world.rugby/the-game/player-welfare/guidelines/transgender.</w:t>
      </w:r>
    </w:p>
  </w:footnote>
  <w:footnote w:id="59">
    <w:p w14:paraId="72861F67" w14:textId="0C509129" w:rsidR="005B70FD" w:rsidRPr="007041B9" w:rsidRDefault="005B70FD">
      <w:pPr>
        <w:pStyle w:val="FootnoteText"/>
        <w:rPr>
          <w:color w:val="77328A"/>
          <w:sz w:val="16"/>
          <w:szCs w:val="16"/>
        </w:rPr>
      </w:pPr>
      <w:r w:rsidRPr="007041B9">
        <w:rPr>
          <w:rStyle w:val="FootnoteReference"/>
          <w:color w:val="77328A"/>
          <w:sz w:val="16"/>
          <w:szCs w:val="16"/>
        </w:rPr>
        <w:footnoteRef/>
      </w:r>
      <w:r w:rsidRPr="007041B9">
        <w:rPr>
          <w:color w:val="77328A"/>
          <w:sz w:val="16"/>
          <w:szCs w:val="16"/>
        </w:rPr>
        <w:t xml:space="preserve"> World Rugby, ‘</w:t>
      </w:r>
      <w:r w:rsidR="00C13F53" w:rsidRPr="007041B9">
        <w:rPr>
          <w:color w:val="77328A"/>
          <w:sz w:val="16"/>
          <w:szCs w:val="16"/>
        </w:rPr>
        <w:t>Summary of Transgender biology and performance research’, October 2020.</w:t>
      </w:r>
    </w:p>
  </w:footnote>
  <w:footnote w:id="60">
    <w:p w14:paraId="1834E293" w14:textId="77777777" w:rsidR="008B4900" w:rsidRPr="00102AF4" w:rsidRDefault="008B4900" w:rsidP="008B4900">
      <w:pPr>
        <w:pStyle w:val="FootnoteText"/>
        <w:rPr>
          <w:color w:val="77328A"/>
        </w:rPr>
      </w:pPr>
      <w:r w:rsidRPr="007041B9">
        <w:rPr>
          <w:rStyle w:val="FootnoteReference"/>
          <w:color w:val="77328A"/>
          <w:sz w:val="16"/>
          <w:szCs w:val="16"/>
        </w:rPr>
        <w:footnoteRef/>
      </w:r>
      <w:r w:rsidRPr="007041B9">
        <w:rPr>
          <w:color w:val="77328A"/>
          <w:sz w:val="16"/>
          <w:szCs w:val="16"/>
        </w:rPr>
        <w:t xml:space="preserve"> World Rugby, ‘Transgender Guidelines’ (undated). Available at </w:t>
      </w:r>
      <w:hyperlink r:id="rId2" w:history="1">
        <w:r w:rsidRPr="007041B9">
          <w:rPr>
            <w:rStyle w:val="Hyperlink"/>
            <w:color w:val="77328A"/>
            <w:sz w:val="16"/>
            <w:szCs w:val="16"/>
            <w:u w:val="none"/>
          </w:rPr>
          <w:t>https://www</w:t>
        </w:r>
      </w:hyperlink>
      <w:r w:rsidRPr="007041B9">
        <w:rPr>
          <w:color w:val="77328A"/>
          <w:sz w:val="16"/>
          <w:szCs w:val="16"/>
        </w:rPr>
        <w:t>.world.rugby/the-game/player-welfare/guidelines/transgender.</w:t>
      </w:r>
    </w:p>
  </w:footnote>
  <w:footnote w:id="61">
    <w:p w14:paraId="26088413" w14:textId="72B36867" w:rsidR="008E58A0" w:rsidRPr="008E58A0" w:rsidRDefault="008E58A0">
      <w:pPr>
        <w:pStyle w:val="FootnoteText"/>
        <w:rPr>
          <w:sz w:val="16"/>
          <w:szCs w:val="16"/>
        </w:rPr>
      </w:pPr>
      <w:r w:rsidRPr="008E58A0">
        <w:rPr>
          <w:rStyle w:val="FootnoteReference"/>
          <w:color w:val="77328A"/>
          <w:sz w:val="16"/>
          <w:szCs w:val="16"/>
        </w:rPr>
        <w:footnoteRef/>
      </w:r>
      <w:r w:rsidRPr="008E58A0">
        <w:rPr>
          <w:color w:val="77328A"/>
          <w:sz w:val="16"/>
          <w:szCs w:val="16"/>
        </w:rPr>
        <w:t xml:space="preserve"> Ibid. </w:t>
      </w:r>
    </w:p>
  </w:footnote>
  <w:footnote w:id="62">
    <w:p w14:paraId="0A0110A1" w14:textId="77777777" w:rsidR="0068225E" w:rsidRPr="00C1240F" w:rsidRDefault="0068225E" w:rsidP="0068225E">
      <w:pPr>
        <w:pStyle w:val="FootnoteText"/>
        <w:rPr>
          <w:color w:val="77328A"/>
          <w:sz w:val="16"/>
          <w:szCs w:val="16"/>
        </w:rPr>
      </w:pPr>
      <w:r w:rsidRPr="00C1240F">
        <w:rPr>
          <w:rStyle w:val="FootnoteReference"/>
          <w:color w:val="77328A"/>
          <w:sz w:val="16"/>
          <w:szCs w:val="16"/>
        </w:rPr>
        <w:footnoteRef/>
      </w:r>
      <w:r w:rsidRPr="00C1240F">
        <w:rPr>
          <w:color w:val="77328A"/>
          <w:sz w:val="16"/>
          <w:szCs w:val="16"/>
        </w:rPr>
        <w:t xml:space="preserve"> International Olympic Committee, ‘IOC Framework on Fairness, Inclusion and Non-discrimination </w:t>
      </w:r>
      <w:proofErr w:type="gramStart"/>
      <w:r w:rsidRPr="00C1240F">
        <w:rPr>
          <w:color w:val="77328A"/>
          <w:sz w:val="16"/>
          <w:szCs w:val="16"/>
        </w:rPr>
        <w:t>on the basis of</w:t>
      </w:r>
      <w:proofErr w:type="gramEnd"/>
      <w:r w:rsidRPr="00C1240F">
        <w:rPr>
          <w:color w:val="77328A"/>
          <w:sz w:val="16"/>
          <w:szCs w:val="16"/>
        </w:rPr>
        <w:t xml:space="preserve"> Gender Identity and Sex Variations’ November 2021. Available at: </w:t>
      </w:r>
      <w:r w:rsidRPr="00C1240F">
        <w:rPr>
          <w:color w:val="77328A"/>
          <w:sz w:val="16"/>
          <w:szCs w:val="16"/>
          <w:u w:val="single"/>
        </w:rPr>
        <w:t>IOC-Framework-Fairness-Inclusion-Non-discrimination-2021.pdf</w:t>
      </w:r>
    </w:p>
  </w:footnote>
  <w:footnote w:id="63">
    <w:p w14:paraId="66F18296" w14:textId="5B5C7D5F" w:rsidR="007D1B7A" w:rsidRPr="00841255" w:rsidRDefault="007D1B7A">
      <w:pPr>
        <w:pStyle w:val="FootnoteText"/>
        <w:rPr>
          <w:sz w:val="16"/>
          <w:szCs w:val="16"/>
        </w:rPr>
      </w:pPr>
      <w:r w:rsidRPr="00841255">
        <w:rPr>
          <w:rStyle w:val="FootnoteReference"/>
          <w:color w:val="77328A"/>
          <w:sz w:val="16"/>
          <w:szCs w:val="16"/>
        </w:rPr>
        <w:footnoteRef/>
      </w:r>
      <w:r w:rsidRPr="00841255">
        <w:rPr>
          <w:color w:val="77328A"/>
          <w:sz w:val="16"/>
          <w:szCs w:val="16"/>
        </w:rPr>
        <w:t xml:space="preserve"> Ibid, </w:t>
      </w:r>
      <w:r w:rsidR="00841255" w:rsidRPr="00841255">
        <w:rPr>
          <w:color w:val="77328A"/>
          <w:sz w:val="16"/>
          <w:szCs w:val="16"/>
        </w:rPr>
        <w:t>Principle</w:t>
      </w:r>
      <w:r w:rsidRPr="00841255">
        <w:rPr>
          <w:color w:val="77328A"/>
          <w:sz w:val="16"/>
          <w:szCs w:val="16"/>
        </w:rPr>
        <w:t xml:space="preserve"> 1.1.</w:t>
      </w:r>
    </w:p>
  </w:footnote>
  <w:footnote w:id="64">
    <w:p w14:paraId="53ED5CBA" w14:textId="77777777" w:rsidR="00841255" w:rsidRPr="00841255" w:rsidRDefault="00841255" w:rsidP="00300F4A">
      <w:pPr>
        <w:pStyle w:val="FootnoteText"/>
        <w:rPr>
          <w:sz w:val="16"/>
          <w:szCs w:val="16"/>
        </w:rPr>
      </w:pPr>
    </w:p>
    <w:p w14:paraId="727B34D1" w14:textId="12669C0E" w:rsidR="00A37F20" w:rsidRPr="00841255" w:rsidRDefault="00A37F20">
      <w:pPr>
        <w:pStyle w:val="FootnoteText"/>
        <w:rPr>
          <w:sz w:val="16"/>
          <w:szCs w:val="16"/>
        </w:rPr>
      </w:pPr>
      <w:r w:rsidRPr="00841255">
        <w:rPr>
          <w:rStyle w:val="FootnoteReference"/>
          <w:color w:val="77328A"/>
          <w:sz w:val="16"/>
          <w:szCs w:val="16"/>
        </w:rPr>
        <w:footnoteRef/>
      </w:r>
      <w:r w:rsidRPr="00841255">
        <w:rPr>
          <w:color w:val="77328A"/>
          <w:sz w:val="16"/>
          <w:szCs w:val="16"/>
        </w:rPr>
        <w:t xml:space="preserve"> Ibid, Principle 3.1.</w:t>
      </w:r>
    </w:p>
  </w:footnote>
  <w:footnote w:id="65">
    <w:p w14:paraId="6E36F35C" w14:textId="2581EC6E" w:rsidR="0052181F" w:rsidRPr="0052181F" w:rsidRDefault="0052181F">
      <w:pPr>
        <w:pStyle w:val="FootnoteText"/>
        <w:rPr>
          <w:sz w:val="16"/>
          <w:szCs w:val="16"/>
        </w:rPr>
      </w:pPr>
      <w:r w:rsidRPr="0052181F">
        <w:rPr>
          <w:rStyle w:val="FootnoteReference"/>
          <w:color w:val="77328A"/>
          <w:sz w:val="16"/>
          <w:szCs w:val="16"/>
        </w:rPr>
        <w:footnoteRef/>
      </w:r>
      <w:r w:rsidRPr="0052181F">
        <w:rPr>
          <w:color w:val="77328A"/>
          <w:sz w:val="16"/>
          <w:szCs w:val="16"/>
        </w:rPr>
        <w:t xml:space="preserve"> Ibid, Principle 5.1.</w:t>
      </w:r>
    </w:p>
  </w:footnote>
  <w:footnote w:id="66">
    <w:p w14:paraId="4107CF97" w14:textId="14327630" w:rsidR="00690FDB" w:rsidRPr="00690FDB" w:rsidRDefault="00690FDB">
      <w:pPr>
        <w:pStyle w:val="FootnoteText"/>
        <w:rPr>
          <w:sz w:val="16"/>
          <w:szCs w:val="16"/>
        </w:rPr>
      </w:pPr>
      <w:r w:rsidRPr="00690FDB">
        <w:rPr>
          <w:rStyle w:val="FootnoteReference"/>
          <w:color w:val="77328A"/>
          <w:sz w:val="16"/>
          <w:szCs w:val="16"/>
        </w:rPr>
        <w:footnoteRef/>
      </w:r>
      <w:r w:rsidRPr="00690FDB">
        <w:rPr>
          <w:color w:val="77328A"/>
          <w:sz w:val="16"/>
          <w:szCs w:val="16"/>
        </w:rPr>
        <w:t xml:space="preserve"> Ibid, Principle 6.1.</w:t>
      </w:r>
    </w:p>
  </w:footnote>
  <w:footnote w:id="67">
    <w:p w14:paraId="49EBF54B" w14:textId="4A51EC1F" w:rsidR="00985D50" w:rsidRPr="00102AF4" w:rsidRDefault="00264895" w:rsidP="00264895">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w:t>
      </w:r>
      <w:r w:rsidR="00121973" w:rsidRPr="00102AF4">
        <w:rPr>
          <w:color w:val="77328A"/>
          <w:sz w:val="16"/>
          <w:szCs w:val="16"/>
        </w:rPr>
        <w:t>Fédération international de Natation, ‘</w:t>
      </w:r>
      <w:r w:rsidRPr="00102AF4">
        <w:rPr>
          <w:color w:val="77328A"/>
          <w:sz w:val="16"/>
          <w:szCs w:val="16"/>
        </w:rPr>
        <w:t>Policy on Eligibility for the Men’s and Women’s Competition Categories</w:t>
      </w:r>
      <w:r w:rsidR="00121973" w:rsidRPr="00102AF4">
        <w:rPr>
          <w:color w:val="77328A"/>
          <w:sz w:val="16"/>
          <w:szCs w:val="16"/>
        </w:rPr>
        <w:t>’</w:t>
      </w:r>
      <w:r w:rsidR="003E7786">
        <w:rPr>
          <w:color w:val="77328A"/>
          <w:sz w:val="16"/>
          <w:szCs w:val="16"/>
        </w:rPr>
        <w:t xml:space="preserve">, </w:t>
      </w:r>
      <w:r w:rsidR="00CD7E84" w:rsidRPr="00102AF4">
        <w:rPr>
          <w:color w:val="77328A"/>
          <w:sz w:val="16"/>
          <w:szCs w:val="16"/>
        </w:rPr>
        <w:t xml:space="preserve">19 </w:t>
      </w:r>
      <w:r w:rsidRPr="00102AF4">
        <w:rPr>
          <w:color w:val="77328A"/>
          <w:sz w:val="16"/>
          <w:szCs w:val="16"/>
        </w:rPr>
        <w:t>June 2022</w:t>
      </w:r>
      <w:r w:rsidR="00985D50" w:rsidRPr="00102AF4">
        <w:rPr>
          <w:color w:val="77328A"/>
          <w:sz w:val="16"/>
          <w:szCs w:val="16"/>
        </w:rPr>
        <w:t>.</w:t>
      </w:r>
      <w:r w:rsidR="00800ACC" w:rsidRPr="00102AF4">
        <w:rPr>
          <w:color w:val="77328A"/>
          <w:sz w:val="16"/>
          <w:szCs w:val="16"/>
        </w:rPr>
        <w:t xml:space="preserve"> Available at </w:t>
      </w:r>
      <w:r w:rsidR="00985D50" w:rsidRPr="00102AF4">
        <w:rPr>
          <w:color w:val="77328A"/>
          <w:sz w:val="16"/>
          <w:szCs w:val="16"/>
        </w:rPr>
        <w:t>https://resources.fina.org/fina/document/2022/06/19/525de003-51f4-47d3-8d5a-716dac5f77c7/FINA-INCLUSION-POLICY-AND-APPENDICES-FINAL-.pdf</w:t>
      </w:r>
    </w:p>
  </w:footnote>
  <w:footnote w:id="68">
    <w:p w14:paraId="2817B7FE" w14:textId="780D53F4" w:rsidR="000C54C2" w:rsidRPr="00E621A8" w:rsidRDefault="000C54C2">
      <w:pPr>
        <w:pStyle w:val="FootnoteText"/>
        <w:rPr>
          <w:sz w:val="16"/>
          <w:szCs w:val="16"/>
        </w:rPr>
      </w:pPr>
      <w:r w:rsidRPr="00E621A8">
        <w:rPr>
          <w:rStyle w:val="FootnoteReference"/>
          <w:color w:val="77328A"/>
          <w:sz w:val="16"/>
          <w:szCs w:val="16"/>
        </w:rPr>
        <w:footnoteRef/>
      </w:r>
      <w:r w:rsidRPr="00E621A8">
        <w:rPr>
          <w:color w:val="77328A"/>
          <w:sz w:val="16"/>
          <w:szCs w:val="16"/>
        </w:rPr>
        <w:t xml:space="preserve"> Ibid, at section F(4)(b). </w:t>
      </w:r>
    </w:p>
  </w:footnote>
  <w:footnote w:id="69">
    <w:p w14:paraId="669A8F4B" w14:textId="696F1642" w:rsidR="00E621A8" w:rsidRPr="00E621A8" w:rsidRDefault="00E621A8">
      <w:pPr>
        <w:pStyle w:val="FootnoteText"/>
        <w:rPr>
          <w:sz w:val="16"/>
          <w:szCs w:val="16"/>
        </w:rPr>
      </w:pPr>
      <w:r w:rsidRPr="00E621A8">
        <w:rPr>
          <w:rStyle w:val="FootnoteReference"/>
          <w:color w:val="77328A"/>
          <w:sz w:val="16"/>
          <w:szCs w:val="16"/>
        </w:rPr>
        <w:footnoteRef/>
      </w:r>
      <w:r w:rsidRPr="00E621A8">
        <w:rPr>
          <w:color w:val="77328A"/>
          <w:sz w:val="16"/>
          <w:szCs w:val="16"/>
        </w:rPr>
        <w:t xml:space="preserve"> Ibid, at section G (6). </w:t>
      </w:r>
    </w:p>
  </w:footnote>
  <w:footnote w:id="70">
    <w:p w14:paraId="465F0A6E" w14:textId="28E3DFFE" w:rsidR="00112167" w:rsidRPr="00102AF4" w:rsidRDefault="00112167">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w:t>
      </w:r>
      <w:r w:rsidR="00BC5D30" w:rsidRPr="00102AF4">
        <w:rPr>
          <w:color w:val="77328A"/>
          <w:sz w:val="16"/>
          <w:szCs w:val="16"/>
        </w:rPr>
        <w:t xml:space="preserve">Simon Evans, </w:t>
      </w:r>
      <w:r w:rsidR="003A5B32" w:rsidRPr="00102AF4">
        <w:rPr>
          <w:color w:val="77328A"/>
          <w:sz w:val="16"/>
          <w:szCs w:val="16"/>
        </w:rPr>
        <w:t>‘</w:t>
      </w:r>
      <w:r w:rsidR="002A485E" w:rsidRPr="00102AF4">
        <w:rPr>
          <w:color w:val="77328A"/>
          <w:sz w:val="16"/>
          <w:szCs w:val="16"/>
        </w:rPr>
        <w:t>World Athletics review transgender rules after swimming's change</w:t>
      </w:r>
      <w:r w:rsidR="003A5B32" w:rsidRPr="00102AF4">
        <w:rPr>
          <w:color w:val="77328A"/>
          <w:sz w:val="16"/>
          <w:szCs w:val="16"/>
        </w:rPr>
        <w:t>’</w:t>
      </w:r>
      <w:r w:rsidR="001177A8" w:rsidRPr="00102AF4">
        <w:rPr>
          <w:color w:val="77328A"/>
          <w:sz w:val="16"/>
          <w:szCs w:val="16"/>
        </w:rPr>
        <w:t xml:space="preserve">, </w:t>
      </w:r>
      <w:r w:rsidR="001177A8" w:rsidRPr="00102AF4">
        <w:rPr>
          <w:i/>
          <w:iCs/>
          <w:color w:val="77328A"/>
          <w:sz w:val="16"/>
          <w:szCs w:val="16"/>
        </w:rPr>
        <w:t>Reuters</w:t>
      </w:r>
      <w:r w:rsidR="004260DD" w:rsidRPr="00102AF4">
        <w:rPr>
          <w:color w:val="77328A"/>
          <w:sz w:val="16"/>
          <w:szCs w:val="16"/>
        </w:rPr>
        <w:t>, 20 June 2022.</w:t>
      </w:r>
    </w:p>
  </w:footnote>
  <w:footnote w:id="71">
    <w:p w14:paraId="282ABF99" w14:textId="6ECD41E9" w:rsidR="009D5D97" w:rsidRPr="009D5D97" w:rsidRDefault="009D5D97">
      <w:pPr>
        <w:pStyle w:val="FootnoteText"/>
        <w:rPr>
          <w:color w:val="77328A"/>
          <w:sz w:val="16"/>
          <w:szCs w:val="16"/>
        </w:rPr>
      </w:pPr>
      <w:r w:rsidRPr="009D5D97">
        <w:rPr>
          <w:rStyle w:val="FootnoteReference"/>
          <w:color w:val="77328A"/>
          <w:sz w:val="16"/>
          <w:szCs w:val="16"/>
        </w:rPr>
        <w:footnoteRef/>
      </w:r>
      <w:r w:rsidRPr="009D5D97">
        <w:rPr>
          <w:color w:val="77328A"/>
          <w:sz w:val="16"/>
          <w:szCs w:val="16"/>
        </w:rPr>
        <w:t xml:space="preserve"> Sex Discrimination (Amendment of Legislation) Regulations 2008,</w:t>
      </w:r>
    </w:p>
  </w:footnote>
  <w:footnote w:id="72">
    <w:p w14:paraId="5E724930" w14:textId="46E14253" w:rsidR="00331337" w:rsidRPr="009D5D97" w:rsidRDefault="00331337">
      <w:pPr>
        <w:pStyle w:val="FootnoteText"/>
        <w:rPr>
          <w:color w:val="77328A"/>
          <w:sz w:val="16"/>
          <w:szCs w:val="16"/>
        </w:rPr>
      </w:pPr>
      <w:r w:rsidRPr="009D5D97">
        <w:rPr>
          <w:rStyle w:val="FootnoteReference"/>
          <w:color w:val="77328A"/>
          <w:sz w:val="16"/>
          <w:szCs w:val="16"/>
        </w:rPr>
        <w:footnoteRef/>
      </w:r>
      <w:r w:rsidRPr="009D5D97">
        <w:rPr>
          <w:color w:val="77328A"/>
          <w:sz w:val="16"/>
          <w:szCs w:val="16"/>
        </w:rPr>
        <w:t xml:space="preserve"> </w:t>
      </w:r>
      <w:r w:rsidR="00E302DA" w:rsidRPr="009D5D97">
        <w:rPr>
          <w:color w:val="77328A"/>
          <w:sz w:val="16"/>
          <w:szCs w:val="16"/>
        </w:rPr>
        <w:t>Article</w:t>
      </w:r>
      <w:r w:rsidR="00631A64" w:rsidRPr="009D5D97">
        <w:rPr>
          <w:color w:val="77328A"/>
          <w:sz w:val="16"/>
          <w:szCs w:val="16"/>
        </w:rPr>
        <w:t>s</w:t>
      </w:r>
      <w:r w:rsidR="00E302DA" w:rsidRPr="009D5D97">
        <w:rPr>
          <w:color w:val="77328A"/>
          <w:sz w:val="16"/>
          <w:szCs w:val="16"/>
        </w:rPr>
        <w:t xml:space="preserve"> 4A, 4B and 3</w:t>
      </w:r>
      <w:r w:rsidR="00B87A8D" w:rsidRPr="009D5D97">
        <w:rPr>
          <w:color w:val="77328A"/>
          <w:sz w:val="16"/>
          <w:szCs w:val="16"/>
        </w:rPr>
        <w:t>0(4), Sex Discrimination (Northern Ireland) Order 1976.</w:t>
      </w:r>
    </w:p>
  </w:footnote>
  <w:footnote w:id="73">
    <w:p w14:paraId="2D9CC528" w14:textId="0C895128" w:rsidR="009D5D97" w:rsidRDefault="009D5D97">
      <w:pPr>
        <w:pStyle w:val="FootnoteText"/>
      </w:pPr>
      <w:r w:rsidRPr="009D5D97">
        <w:rPr>
          <w:rStyle w:val="FootnoteReference"/>
          <w:color w:val="77328A"/>
          <w:sz w:val="16"/>
          <w:szCs w:val="16"/>
        </w:rPr>
        <w:footnoteRef/>
      </w:r>
      <w:r w:rsidRPr="009D5D97">
        <w:rPr>
          <w:color w:val="77328A"/>
          <w:sz w:val="16"/>
          <w:szCs w:val="16"/>
        </w:rPr>
        <w:t xml:space="preserve"> Sex Discrimination Order 1976 (Amendment) Regulations (NI) 2016.</w:t>
      </w:r>
    </w:p>
  </w:footnote>
  <w:footnote w:id="74">
    <w:p w14:paraId="3B40CC64" w14:textId="2E681BAB" w:rsidR="00275CC9" w:rsidRPr="00975632" w:rsidRDefault="00275CC9">
      <w:pPr>
        <w:pStyle w:val="FootnoteText"/>
        <w:rPr>
          <w:sz w:val="16"/>
          <w:szCs w:val="16"/>
        </w:rPr>
      </w:pPr>
      <w:r w:rsidRPr="00975632">
        <w:rPr>
          <w:rStyle w:val="FootnoteReference"/>
          <w:color w:val="77328A"/>
          <w:sz w:val="16"/>
          <w:szCs w:val="16"/>
        </w:rPr>
        <w:footnoteRef/>
      </w:r>
      <w:r w:rsidRPr="00975632">
        <w:rPr>
          <w:color w:val="77328A"/>
          <w:sz w:val="16"/>
          <w:szCs w:val="16"/>
        </w:rPr>
        <w:t xml:space="preserve"> </w:t>
      </w:r>
      <w:r w:rsidR="001953BF" w:rsidRPr="00975632">
        <w:rPr>
          <w:color w:val="77328A"/>
          <w:sz w:val="16"/>
          <w:szCs w:val="16"/>
        </w:rPr>
        <w:t xml:space="preserve">This is not a detailed discussion of all relevant legislative provisions pertaining to discrimination, only that which relates to the issue in this paper of transgender inclusion in sport. </w:t>
      </w:r>
    </w:p>
  </w:footnote>
  <w:footnote w:id="75">
    <w:p w14:paraId="2CECAAB9" w14:textId="5EFABEF2" w:rsidR="0067053A" w:rsidRPr="000F728E" w:rsidRDefault="0067053A">
      <w:pPr>
        <w:pStyle w:val="FootnoteText"/>
        <w:rPr>
          <w:color w:val="77328A"/>
          <w:sz w:val="16"/>
          <w:szCs w:val="16"/>
        </w:rPr>
      </w:pPr>
      <w:r w:rsidRPr="000F728E">
        <w:rPr>
          <w:rStyle w:val="FootnoteReference"/>
          <w:color w:val="77328A"/>
          <w:sz w:val="16"/>
          <w:szCs w:val="16"/>
        </w:rPr>
        <w:footnoteRef/>
      </w:r>
      <w:r w:rsidRPr="000F728E">
        <w:rPr>
          <w:color w:val="77328A"/>
          <w:sz w:val="16"/>
          <w:szCs w:val="16"/>
        </w:rPr>
        <w:t xml:space="preserve"> Article 2(2)</w:t>
      </w:r>
      <w:r w:rsidR="00250FDF" w:rsidRPr="000F728E">
        <w:rPr>
          <w:color w:val="77328A"/>
          <w:sz w:val="16"/>
          <w:szCs w:val="16"/>
        </w:rPr>
        <w:t>, Sex Discrimination (Northern Ireland) Order 1976.</w:t>
      </w:r>
    </w:p>
  </w:footnote>
  <w:footnote w:id="76">
    <w:p w14:paraId="552E2C5C" w14:textId="48016511" w:rsidR="002B7639" w:rsidRPr="000F728E" w:rsidRDefault="002B7639">
      <w:pPr>
        <w:pStyle w:val="FootnoteText"/>
        <w:rPr>
          <w:color w:val="77328A"/>
          <w:sz w:val="16"/>
          <w:szCs w:val="16"/>
        </w:rPr>
      </w:pPr>
      <w:r w:rsidRPr="000F728E">
        <w:rPr>
          <w:rStyle w:val="FootnoteReference"/>
          <w:color w:val="77328A"/>
          <w:sz w:val="16"/>
          <w:szCs w:val="16"/>
        </w:rPr>
        <w:footnoteRef/>
      </w:r>
      <w:r w:rsidRPr="000F728E">
        <w:rPr>
          <w:color w:val="77328A"/>
          <w:sz w:val="16"/>
          <w:szCs w:val="16"/>
        </w:rPr>
        <w:t xml:space="preserve"> </w:t>
      </w:r>
      <w:r w:rsidR="00DC5493" w:rsidRPr="000F728E">
        <w:rPr>
          <w:color w:val="77328A"/>
          <w:sz w:val="16"/>
          <w:szCs w:val="16"/>
        </w:rPr>
        <w:t xml:space="preserve">Equality Commission Northern Ireland, </w:t>
      </w:r>
      <w:r w:rsidRPr="000F728E">
        <w:rPr>
          <w:color w:val="77328A"/>
          <w:sz w:val="16"/>
          <w:szCs w:val="16"/>
        </w:rPr>
        <w:t>‘Gender Equality</w:t>
      </w:r>
      <w:r w:rsidR="005645AB" w:rsidRPr="000F728E">
        <w:rPr>
          <w:color w:val="77328A"/>
          <w:sz w:val="16"/>
          <w:szCs w:val="16"/>
        </w:rPr>
        <w:t>:</w:t>
      </w:r>
      <w:r w:rsidRPr="000F728E">
        <w:rPr>
          <w:color w:val="77328A"/>
          <w:sz w:val="16"/>
          <w:szCs w:val="16"/>
        </w:rPr>
        <w:t xml:space="preserve"> Policy Priorities and Recommendations</w:t>
      </w:r>
      <w:r w:rsidR="00685830" w:rsidRPr="000F728E">
        <w:rPr>
          <w:color w:val="77328A"/>
          <w:sz w:val="16"/>
          <w:szCs w:val="16"/>
        </w:rPr>
        <w:t>,</w:t>
      </w:r>
      <w:r w:rsidR="00DC5493" w:rsidRPr="000F728E">
        <w:rPr>
          <w:color w:val="77328A"/>
          <w:sz w:val="16"/>
          <w:szCs w:val="16"/>
        </w:rPr>
        <w:t xml:space="preserve"> November 2016</w:t>
      </w:r>
      <w:r w:rsidR="00AF7628">
        <w:rPr>
          <w:color w:val="77328A"/>
          <w:sz w:val="16"/>
          <w:szCs w:val="16"/>
        </w:rPr>
        <w:t>, p.53</w:t>
      </w:r>
      <w:r w:rsidR="00DC5493" w:rsidRPr="000F728E">
        <w:rPr>
          <w:color w:val="77328A"/>
          <w:sz w:val="16"/>
          <w:szCs w:val="16"/>
        </w:rPr>
        <w:t>.</w:t>
      </w:r>
    </w:p>
  </w:footnote>
  <w:footnote w:id="77">
    <w:p w14:paraId="2193075C" w14:textId="77777777" w:rsidR="00B74CF4" w:rsidRPr="002034B8" w:rsidRDefault="00B74CF4" w:rsidP="00B74CF4">
      <w:pPr>
        <w:pStyle w:val="FootnoteText"/>
        <w:rPr>
          <w:color w:val="77328A"/>
          <w:sz w:val="16"/>
          <w:szCs w:val="16"/>
        </w:rPr>
      </w:pPr>
      <w:r w:rsidRPr="002034B8">
        <w:rPr>
          <w:rStyle w:val="FootnoteReference"/>
          <w:color w:val="77328A"/>
          <w:sz w:val="16"/>
          <w:szCs w:val="16"/>
        </w:rPr>
        <w:footnoteRef/>
      </w:r>
      <w:r w:rsidRPr="002034B8">
        <w:rPr>
          <w:color w:val="77328A"/>
          <w:sz w:val="16"/>
          <w:szCs w:val="16"/>
        </w:rPr>
        <w:t xml:space="preserve"> Section 4, Equality Act 2010. </w:t>
      </w:r>
    </w:p>
  </w:footnote>
  <w:footnote w:id="78">
    <w:p w14:paraId="208E202D" w14:textId="77777777" w:rsidR="00B74CF4" w:rsidRPr="002034B8" w:rsidRDefault="00B74CF4" w:rsidP="00B74CF4">
      <w:pPr>
        <w:pStyle w:val="FootnoteText"/>
        <w:rPr>
          <w:color w:val="77328A"/>
          <w:sz w:val="16"/>
          <w:szCs w:val="16"/>
        </w:rPr>
      </w:pPr>
      <w:r w:rsidRPr="002034B8">
        <w:rPr>
          <w:rStyle w:val="FootnoteReference"/>
          <w:color w:val="77328A"/>
          <w:sz w:val="16"/>
          <w:szCs w:val="16"/>
        </w:rPr>
        <w:footnoteRef/>
      </w:r>
      <w:r w:rsidRPr="002034B8">
        <w:rPr>
          <w:color w:val="77328A"/>
          <w:sz w:val="16"/>
          <w:szCs w:val="16"/>
        </w:rPr>
        <w:t xml:space="preserve"> Section 7(1), Equality Act 2010. </w:t>
      </w:r>
    </w:p>
  </w:footnote>
  <w:footnote w:id="79">
    <w:p w14:paraId="07752A54" w14:textId="77777777" w:rsidR="00B74CF4" w:rsidRPr="00102AF4" w:rsidRDefault="00B74CF4" w:rsidP="00B74CF4">
      <w:pPr>
        <w:pStyle w:val="FootnoteText"/>
        <w:rPr>
          <w:color w:val="77328A"/>
          <w:sz w:val="16"/>
          <w:szCs w:val="16"/>
        </w:rPr>
      </w:pPr>
      <w:r w:rsidRPr="002034B8">
        <w:rPr>
          <w:rStyle w:val="FootnoteReference"/>
          <w:color w:val="77328A"/>
          <w:sz w:val="16"/>
          <w:szCs w:val="16"/>
        </w:rPr>
        <w:footnoteRef/>
      </w:r>
      <w:r w:rsidRPr="002034B8">
        <w:rPr>
          <w:color w:val="77328A"/>
          <w:sz w:val="16"/>
          <w:szCs w:val="16"/>
        </w:rPr>
        <w:t xml:space="preserve"> Equality and Human Rights Commission, ‘Equality Act 2010 Code of </w:t>
      </w:r>
      <w:r w:rsidRPr="00102AF4">
        <w:rPr>
          <w:color w:val="77328A"/>
          <w:sz w:val="16"/>
          <w:szCs w:val="16"/>
        </w:rPr>
        <w:t xml:space="preserve">Practice’ (EHRC, 2011) at para 2.19. </w:t>
      </w:r>
    </w:p>
  </w:footnote>
  <w:footnote w:id="80">
    <w:p w14:paraId="34E59309" w14:textId="77777777" w:rsidR="00B74CF4" w:rsidRPr="00275358" w:rsidRDefault="00B74CF4" w:rsidP="00B74CF4">
      <w:pPr>
        <w:pStyle w:val="FootnoteText"/>
        <w:rPr>
          <w:color w:val="77328A"/>
        </w:rPr>
      </w:pPr>
      <w:r w:rsidRPr="00102AF4">
        <w:rPr>
          <w:rStyle w:val="FootnoteReference"/>
          <w:color w:val="77328A"/>
          <w:sz w:val="16"/>
          <w:szCs w:val="16"/>
        </w:rPr>
        <w:footnoteRef/>
      </w:r>
      <w:r w:rsidRPr="00102AF4">
        <w:rPr>
          <w:color w:val="77328A"/>
          <w:sz w:val="16"/>
          <w:szCs w:val="16"/>
        </w:rPr>
        <w:t xml:space="preserve"> Ibid, at para 2.20.</w:t>
      </w:r>
    </w:p>
  </w:footnote>
  <w:footnote w:id="81">
    <w:p w14:paraId="45B04419" w14:textId="7ABB8AF4" w:rsidR="009E6EB6" w:rsidRPr="009E6EB6" w:rsidRDefault="009E6EB6">
      <w:pPr>
        <w:pStyle w:val="FootnoteText"/>
        <w:rPr>
          <w:sz w:val="16"/>
          <w:szCs w:val="16"/>
        </w:rPr>
      </w:pPr>
      <w:r w:rsidRPr="009E6EB6">
        <w:rPr>
          <w:rStyle w:val="FootnoteReference"/>
          <w:color w:val="77328A"/>
          <w:sz w:val="16"/>
          <w:szCs w:val="16"/>
        </w:rPr>
        <w:footnoteRef/>
      </w:r>
      <w:r w:rsidRPr="009E6EB6">
        <w:rPr>
          <w:color w:val="77328A"/>
          <w:sz w:val="16"/>
          <w:szCs w:val="16"/>
        </w:rPr>
        <w:t xml:space="preserve"> Section 195(2), Equality Act 2010. </w:t>
      </w:r>
    </w:p>
  </w:footnote>
  <w:footnote w:id="82">
    <w:p w14:paraId="192DC242" w14:textId="778E3109" w:rsidR="00900BFE" w:rsidRPr="00900BFE" w:rsidRDefault="00900BFE">
      <w:pPr>
        <w:pStyle w:val="FootnoteText"/>
        <w:rPr>
          <w:sz w:val="16"/>
          <w:szCs w:val="16"/>
        </w:rPr>
      </w:pPr>
      <w:r w:rsidRPr="00900BFE">
        <w:rPr>
          <w:rStyle w:val="FootnoteReference"/>
          <w:color w:val="77328A"/>
          <w:sz w:val="16"/>
          <w:szCs w:val="16"/>
        </w:rPr>
        <w:footnoteRef/>
      </w:r>
      <w:r w:rsidRPr="00900BFE">
        <w:rPr>
          <w:color w:val="77328A"/>
          <w:sz w:val="16"/>
          <w:szCs w:val="16"/>
        </w:rPr>
        <w:t xml:space="preserve"> Section 195(3), Equality Act 2010.</w:t>
      </w:r>
    </w:p>
  </w:footnote>
  <w:footnote w:id="83">
    <w:p w14:paraId="395E12DD" w14:textId="5E7D1CA6" w:rsidR="00781A6C" w:rsidRPr="00697D7A" w:rsidRDefault="00781A6C">
      <w:pPr>
        <w:pStyle w:val="FootnoteText"/>
        <w:rPr>
          <w:sz w:val="16"/>
          <w:szCs w:val="16"/>
        </w:rPr>
      </w:pPr>
      <w:r w:rsidRPr="00697D7A">
        <w:rPr>
          <w:rStyle w:val="FootnoteReference"/>
          <w:color w:val="77328A"/>
          <w:sz w:val="16"/>
          <w:szCs w:val="16"/>
        </w:rPr>
        <w:footnoteRef/>
      </w:r>
      <w:r w:rsidRPr="00697D7A">
        <w:rPr>
          <w:color w:val="77328A"/>
          <w:sz w:val="16"/>
          <w:szCs w:val="16"/>
        </w:rPr>
        <w:t xml:space="preserve"> Rugby Football Union, ‘</w:t>
      </w:r>
      <w:r w:rsidR="006644E7" w:rsidRPr="00697D7A">
        <w:rPr>
          <w:color w:val="77328A"/>
          <w:sz w:val="16"/>
          <w:szCs w:val="16"/>
        </w:rPr>
        <w:t>RFU Council votes in</w:t>
      </w:r>
      <w:r w:rsidR="006644E7" w:rsidRPr="005838C1">
        <w:rPr>
          <w:color w:val="77328A"/>
          <w:sz w:val="16"/>
          <w:szCs w:val="16"/>
        </w:rPr>
        <w:t xml:space="preserve"> favour </w:t>
      </w:r>
      <w:r w:rsidR="006644E7" w:rsidRPr="00697D7A">
        <w:rPr>
          <w:color w:val="77328A"/>
          <w:sz w:val="16"/>
          <w:szCs w:val="16"/>
        </w:rPr>
        <w:t xml:space="preserve">of change to gender participation policy’, 29 July 2022. </w:t>
      </w:r>
    </w:p>
  </w:footnote>
  <w:footnote w:id="84">
    <w:p w14:paraId="66CABCA1" w14:textId="5BBF73A7" w:rsidR="00A76C40" w:rsidRPr="00BF48CB" w:rsidRDefault="00A76C40">
      <w:pPr>
        <w:pStyle w:val="FootnoteText"/>
        <w:rPr>
          <w:sz w:val="16"/>
          <w:szCs w:val="16"/>
        </w:rPr>
      </w:pPr>
      <w:r w:rsidRPr="00BF48CB">
        <w:rPr>
          <w:rStyle w:val="FootnoteReference"/>
          <w:color w:val="77328A"/>
          <w:sz w:val="16"/>
          <w:szCs w:val="16"/>
        </w:rPr>
        <w:footnoteRef/>
      </w:r>
      <w:r w:rsidRPr="00BF48CB">
        <w:rPr>
          <w:color w:val="77328A"/>
          <w:sz w:val="16"/>
          <w:szCs w:val="16"/>
        </w:rPr>
        <w:t xml:space="preserve"> </w:t>
      </w:r>
      <w:r w:rsidR="001D3AB5" w:rsidRPr="00BF48CB">
        <w:rPr>
          <w:color w:val="77328A"/>
          <w:sz w:val="16"/>
          <w:szCs w:val="16"/>
        </w:rPr>
        <w:t>Section 9(3), Gender Recognition Act 2004.</w:t>
      </w:r>
    </w:p>
  </w:footnote>
  <w:footnote w:id="85">
    <w:p w14:paraId="4396DDA0" w14:textId="52720ED3" w:rsidR="005E14BA" w:rsidRPr="00DE004D" w:rsidRDefault="005E14BA">
      <w:pPr>
        <w:pStyle w:val="FootnoteText"/>
        <w:rPr>
          <w:color w:val="77328A"/>
          <w:sz w:val="16"/>
          <w:szCs w:val="16"/>
        </w:rPr>
      </w:pPr>
      <w:r w:rsidRPr="00DE004D">
        <w:rPr>
          <w:rStyle w:val="FootnoteReference"/>
          <w:color w:val="77328A"/>
          <w:sz w:val="16"/>
          <w:szCs w:val="16"/>
        </w:rPr>
        <w:footnoteRef/>
      </w:r>
      <w:r w:rsidRPr="00DE004D">
        <w:rPr>
          <w:color w:val="77328A"/>
          <w:sz w:val="16"/>
          <w:szCs w:val="16"/>
        </w:rPr>
        <w:t xml:space="preserve"> </w:t>
      </w:r>
      <w:r w:rsidR="006F0CB2" w:rsidRPr="00DE004D">
        <w:rPr>
          <w:color w:val="77328A"/>
          <w:sz w:val="16"/>
          <w:szCs w:val="16"/>
        </w:rPr>
        <w:t xml:space="preserve">Section 3, </w:t>
      </w:r>
      <w:bookmarkStart w:id="38" w:name="_Hlk120019282"/>
      <w:r w:rsidRPr="00DE004D">
        <w:rPr>
          <w:color w:val="77328A"/>
          <w:sz w:val="16"/>
          <w:szCs w:val="16"/>
        </w:rPr>
        <w:t>Gender Recognition Act 2004</w:t>
      </w:r>
      <w:bookmarkEnd w:id="38"/>
      <w:r w:rsidRPr="00DE004D">
        <w:rPr>
          <w:color w:val="77328A"/>
          <w:sz w:val="16"/>
          <w:szCs w:val="16"/>
        </w:rPr>
        <w:t>.</w:t>
      </w:r>
    </w:p>
  </w:footnote>
  <w:footnote w:id="86">
    <w:p w14:paraId="21FA72D9" w14:textId="310479A0" w:rsidR="00987527" w:rsidRPr="006F2524" w:rsidRDefault="00987527">
      <w:pPr>
        <w:pStyle w:val="FootnoteText"/>
        <w:rPr>
          <w:color w:val="77328A"/>
          <w:sz w:val="16"/>
          <w:szCs w:val="16"/>
        </w:rPr>
      </w:pPr>
      <w:r w:rsidRPr="00DE004D">
        <w:rPr>
          <w:rStyle w:val="FootnoteReference"/>
          <w:color w:val="77328A"/>
          <w:sz w:val="16"/>
          <w:szCs w:val="16"/>
        </w:rPr>
        <w:footnoteRef/>
      </w:r>
      <w:r w:rsidRPr="00DE004D">
        <w:rPr>
          <w:color w:val="77328A"/>
          <w:sz w:val="16"/>
          <w:szCs w:val="16"/>
        </w:rPr>
        <w:t xml:space="preserve"> </w:t>
      </w:r>
      <w:bookmarkStart w:id="39" w:name="_Hlk120702784"/>
      <w:r w:rsidRPr="00DE004D">
        <w:rPr>
          <w:color w:val="77328A"/>
          <w:sz w:val="16"/>
          <w:szCs w:val="16"/>
        </w:rPr>
        <w:t>Section 1</w:t>
      </w:r>
      <w:r w:rsidR="006F0CB2" w:rsidRPr="00DE004D">
        <w:rPr>
          <w:color w:val="77328A"/>
          <w:sz w:val="16"/>
          <w:szCs w:val="16"/>
        </w:rPr>
        <w:t>, Gender Recognition Act 2004</w:t>
      </w:r>
      <w:r w:rsidRPr="00DE004D">
        <w:rPr>
          <w:color w:val="77328A"/>
          <w:sz w:val="16"/>
          <w:szCs w:val="16"/>
        </w:rPr>
        <w:t>.</w:t>
      </w:r>
      <w:bookmarkEnd w:id="39"/>
    </w:p>
  </w:footnote>
  <w:footnote w:id="87">
    <w:p w14:paraId="180B2565" w14:textId="094CCCDA" w:rsidR="00F06734" w:rsidRPr="00275358" w:rsidRDefault="00F06734">
      <w:pPr>
        <w:pStyle w:val="FootnoteText"/>
        <w:rPr>
          <w:color w:val="77328A"/>
          <w:sz w:val="16"/>
          <w:szCs w:val="16"/>
        </w:rPr>
      </w:pPr>
      <w:r w:rsidRPr="00275358">
        <w:rPr>
          <w:rStyle w:val="FootnoteReference"/>
          <w:color w:val="77328A"/>
          <w:sz w:val="16"/>
          <w:szCs w:val="16"/>
        </w:rPr>
        <w:footnoteRef/>
      </w:r>
      <w:r w:rsidRPr="00275358">
        <w:rPr>
          <w:color w:val="77328A"/>
          <w:sz w:val="16"/>
          <w:szCs w:val="16"/>
        </w:rPr>
        <w:t xml:space="preserve"> </w:t>
      </w:r>
      <w:r w:rsidR="00374B94" w:rsidRPr="00275358">
        <w:rPr>
          <w:color w:val="77328A"/>
          <w:sz w:val="16"/>
          <w:szCs w:val="16"/>
        </w:rPr>
        <w:t>S</w:t>
      </w:r>
      <w:r w:rsidRPr="00275358">
        <w:rPr>
          <w:color w:val="77328A"/>
          <w:sz w:val="16"/>
          <w:szCs w:val="16"/>
        </w:rPr>
        <w:t>ection 19</w:t>
      </w:r>
      <w:r w:rsidR="006F0CB2" w:rsidRPr="00275358">
        <w:rPr>
          <w:color w:val="77328A"/>
          <w:sz w:val="16"/>
          <w:szCs w:val="16"/>
        </w:rPr>
        <w:t>, Gender Recognition Act 2004.</w:t>
      </w:r>
    </w:p>
  </w:footnote>
  <w:footnote w:id="88">
    <w:p w14:paraId="220D129C" w14:textId="1C87BCA8" w:rsidR="00590411" w:rsidRPr="007569B2" w:rsidRDefault="00590411">
      <w:pPr>
        <w:pStyle w:val="FootnoteText"/>
        <w:rPr>
          <w:color w:val="77328A"/>
          <w:sz w:val="16"/>
          <w:szCs w:val="16"/>
        </w:rPr>
      </w:pPr>
      <w:r w:rsidRPr="007569B2">
        <w:rPr>
          <w:rStyle w:val="FootnoteReference"/>
          <w:color w:val="77328A"/>
          <w:sz w:val="16"/>
          <w:szCs w:val="16"/>
        </w:rPr>
        <w:footnoteRef/>
      </w:r>
      <w:r w:rsidRPr="007569B2">
        <w:rPr>
          <w:color w:val="77328A"/>
          <w:sz w:val="16"/>
          <w:szCs w:val="16"/>
        </w:rPr>
        <w:t xml:space="preserve"> </w:t>
      </w:r>
      <w:r w:rsidR="00F64CEE" w:rsidRPr="007569B2">
        <w:rPr>
          <w:color w:val="77328A"/>
          <w:sz w:val="16"/>
          <w:szCs w:val="16"/>
        </w:rPr>
        <w:t>Sch</w:t>
      </w:r>
      <w:r w:rsidR="00F64CEE">
        <w:rPr>
          <w:color w:val="77328A"/>
          <w:sz w:val="16"/>
          <w:szCs w:val="16"/>
        </w:rPr>
        <w:t>edule</w:t>
      </w:r>
      <w:r w:rsidR="00F64CEE" w:rsidRPr="007569B2">
        <w:rPr>
          <w:color w:val="77328A"/>
          <w:sz w:val="16"/>
          <w:szCs w:val="16"/>
        </w:rPr>
        <w:t xml:space="preserve"> 27, Part 1, Equality Act 2010.</w:t>
      </w:r>
    </w:p>
  </w:footnote>
  <w:footnote w:id="89">
    <w:p w14:paraId="67AF7FF1" w14:textId="4640FA7C" w:rsidR="00062DE4" w:rsidRPr="00275358" w:rsidRDefault="00062DE4">
      <w:pPr>
        <w:pStyle w:val="FootnoteText"/>
        <w:rPr>
          <w:color w:val="77328A"/>
          <w:sz w:val="16"/>
          <w:szCs w:val="16"/>
        </w:rPr>
      </w:pPr>
      <w:r w:rsidRPr="00275358">
        <w:rPr>
          <w:rStyle w:val="FootnoteReference"/>
          <w:color w:val="77328A"/>
          <w:sz w:val="16"/>
          <w:szCs w:val="16"/>
        </w:rPr>
        <w:footnoteRef/>
      </w:r>
      <w:r w:rsidRPr="00275358">
        <w:rPr>
          <w:color w:val="77328A"/>
          <w:sz w:val="16"/>
          <w:szCs w:val="16"/>
        </w:rPr>
        <w:t xml:space="preserve"> </w:t>
      </w:r>
      <w:r w:rsidR="00CE45CD" w:rsidRPr="00275358">
        <w:rPr>
          <w:color w:val="77328A"/>
          <w:sz w:val="16"/>
          <w:szCs w:val="16"/>
        </w:rPr>
        <w:t>Section 10</w:t>
      </w:r>
      <w:r w:rsidR="006F0CB2" w:rsidRPr="00275358">
        <w:rPr>
          <w:color w:val="77328A"/>
          <w:sz w:val="16"/>
          <w:szCs w:val="16"/>
        </w:rPr>
        <w:t>, Gender Recognition Act 2004</w:t>
      </w:r>
      <w:r w:rsidR="00CE45CD" w:rsidRPr="00275358">
        <w:rPr>
          <w:color w:val="77328A"/>
          <w:sz w:val="16"/>
          <w:szCs w:val="16"/>
        </w:rPr>
        <w:t>.</w:t>
      </w:r>
    </w:p>
  </w:footnote>
  <w:footnote w:id="90">
    <w:p w14:paraId="25FB2382" w14:textId="507B05C4" w:rsidR="00E16563" w:rsidRPr="00102AF4" w:rsidRDefault="00E16563">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Section 22</w:t>
      </w:r>
      <w:r w:rsidR="006F0CB2" w:rsidRPr="00102AF4">
        <w:rPr>
          <w:color w:val="77328A"/>
          <w:sz w:val="16"/>
          <w:szCs w:val="16"/>
        </w:rPr>
        <w:t>, Gender Recognition Act 2004</w:t>
      </w:r>
      <w:r w:rsidRPr="00102AF4">
        <w:rPr>
          <w:color w:val="77328A"/>
          <w:sz w:val="16"/>
          <w:szCs w:val="16"/>
        </w:rPr>
        <w:t>.</w:t>
      </w:r>
    </w:p>
  </w:footnote>
  <w:footnote w:id="91">
    <w:p w14:paraId="39D202BB" w14:textId="33F357C2" w:rsidR="0014648E" w:rsidRPr="00102AF4" w:rsidRDefault="0014648E">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w:t>
      </w:r>
      <w:r w:rsidR="00402670" w:rsidRPr="00102AF4">
        <w:rPr>
          <w:color w:val="77328A"/>
          <w:sz w:val="16"/>
          <w:szCs w:val="16"/>
        </w:rPr>
        <w:t>Section</w:t>
      </w:r>
      <w:r w:rsidRPr="00102AF4">
        <w:rPr>
          <w:color w:val="77328A"/>
          <w:sz w:val="16"/>
          <w:szCs w:val="16"/>
        </w:rPr>
        <w:t xml:space="preserve"> 22</w:t>
      </w:r>
      <w:r w:rsidR="006F0CB2" w:rsidRPr="00102AF4">
        <w:rPr>
          <w:color w:val="77328A"/>
          <w:sz w:val="16"/>
          <w:szCs w:val="16"/>
        </w:rPr>
        <w:t>, Gender Recognition Act 2004.</w:t>
      </w:r>
    </w:p>
  </w:footnote>
  <w:footnote w:id="92">
    <w:p w14:paraId="28E1A316" w14:textId="428590D9" w:rsidR="00972024" w:rsidRPr="00102AF4" w:rsidRDefault="00972024">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Bex Stinson, </w:t>
      </w:r>
      <w:r w:rsidR="006F0CB2" w:rsidRPr="00102AF4">
        <w:rPr>
          <w:color w:val="77328A"/>
          <w:sz w:val="16"/>
          <w:szCs w:val="16"/>
        </w:rPr>
        <w:t>‘</w:t>
      </w:r>
      <w:r w:rsidR="006745D8" w:rsidRPr="00102AF4">
        <w:rPr>
          <w:color w:val="77328A"/>
          <w:sz w:val="16"/>
          <w:szCs w:val="16"/>
        </w:rPr>
        <w:t>We need urgent reform of the GRA</w:t>
      </w:r>
      <w:r w:rsidR="006F0CB2" w:rsidRPr="00102AF4">
        <w:rPr>
          <w:color w:val="77328A"/>
          <w:sz w:val="16"/>
          <w:szCs w:val="16"/>
        </w:rPr>
        <w:t>’</w:t>
      </w:r>
      <w:r w:rsidR="006745D8" w:rsidRPr="00102AF4">
        <w:rPr>
          <w:color w:val="77328A"/>
          <w:sz w:val="16"/>
          <w:szCs w:val="16"/>
        </w:rPr>
        <w:t>, Stonewall, 21 July 2017.</w:t>
      </w:r>
    </w:p>
  </w:footnote>
  <w:footnote w:id="93">
    <w:p w14:paraId="38623E30" w14:textId="77777777" w:rsidR="00F2207C" w:rsidRPr="00102AF4" w:rsidRDefault="00F2207C" w:rsidP="00F2207C">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European Commission, ‘Legal gender recognition in the EU: the journeys of trans people towards full equality’, June 2020.</w:t>
      </w:r>
    </w:p>
  </w:footnote>
  <w:footnote w:id="94">
    <w:p w14:paraId="36C662A8" w14:textId="0E0B6FC8" w:rsidR="000F7E4E" w:rsidRPr="00102AF4" w:rsidRDefault="000F7E4E">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Oireachtas, Gender Recognition Act 2015</w:t>
      </w:r>
      <w:r w:rsidR="005052AE" w:rsidRPr="00102AF4">
        <w:rPr>
          <w:color w:val="77328A"/>
          <w:sz w:val="16"/>
          <w:szCs w:val="16"/>
        </w:rPr>
        <w:t>.</w:t>
      </w:r>
    </w:p>
  </w:footnote>
  <w:footnote w:id="95">
    <w:p w14:paraId="0F212C19" w14:textId="0AB12C7A" w:rsidR="00F13629" w:rsidRPr="00102AF4" w:rsidRDefault="00F13629" w:rsidP="004F5442">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w:t>
      </w:r>
      <w:r w:rsidR="004F5442" w:rsidRPr="00102AF4">
        <w:rPr>
          <w:color w:val="77328A"/>
          <w:sz w:val="16"/>
          <w:szCs w:val="16"/>
        </w:rPr>
        <w:t xml:space="preserve">House of Commons Library, </w:t>
      </w:r>
      <w:r w:rsidR="006F0CB2" w:rsidRPr="00102AF4">
        <w:rPr>
          <w:color w:val="77328A"/>
          <w:sz w:val="16"/>
          <w:szCs w:val="16"/>
        </w:rPr>
        <w:t>‘</w:t>
      </w:r>
      <w:r w:rsidR="00D126E4" w:rsidRPr="00102AF4">
        <w:rPr>
          <w:color w:val="77328A"/>
          <w:sz w:val="16"/>
          <w:szCs w:val="16"/>
        </w:rPr>
        <w:t>Gender Recognition Act reform: Consultation and outcome</w:t>
      </w:r>
      <w:r w:rsidR="006F0CB2" w:rsidRPr="00102AF4">
        <w:rPr>
          <w:color w:val="77328A"/>
          <w:sz w:val="16"/>
          <w:szCs w:val="16"/>
        </w:rPr>
        <w:t>’</w:t>
      </w:r>
      <w:r w:rsidR="00D126E4" w:rsidRPr="00102AF4">
        <w:rPr>
          <w:color w:val="77328A"/>
          <w:sz w:val="16"/>
          <w:szCs w:val="16"/>
        </w:rPr>
        <w:t xml:space="preserve">, </w:t>
      </w:r>
      <w:r w:rsidR="004F5442" w:rsidRPr="00102AF4">
        <w:rPr>
          <w:color w:val="77328A"/>
          <w:sz w:val="16"/>
          <w:szCs w:val="16"/>
        </w:rPr>
        <w:t>17 February 2022.</w:t>
      </w:r>
    </w:p>
  </w:footnote>
  <w:footnote w:id="96">
    <w:p w14:paraId="502FFF51" w14:textId="77777777" w:rsidR="00D17E27" w:rsidRDefault="00D17E27" w:rsidP="00D17E27">
      <w:pPr>
        <w:pStyle w:val="FootnoteText"/>
      </w:pPr>
      <w:r w:rsidRPr="00E62D99">
        <w:rPr>
          <w:rStyle w:val="FootnoteReference"/>
          <w:color w:val="77328A"/>
          <w:sz w:val="16"/>
          <w:szCs w:val="16"/>
        </w:rPr>
        <w:footnoteRef/>
      </w:r>
      <w:r>
        <w:t xml:space="preserve"> </w:t>
      </w:r>
      <w:r w:rsidRPr="00260174">
        <w:rPr>
          <w:color w:val="77328A"/>
          <w:sz w:val="16"/>
          <w:szCs w:val="16"/>
        </w:rPr>
        <w:t>Government Equalities Office, ‘Press Release: Government responds to Gender Recognition Act consultation’</w:t>
      </w:r>
      <w:r>
        <w:rPr>
          <w:color w:val="77328A"/>
          <w:sz w:val="16"/>
          <w:szCs w:val="16"/>
        </w:rPr>
        <w:t>,</w:t>
      </w:r>
      <w:r w:rsidRPr="00260174">
        <w:rPr>
          <w:color w:val="77328A"/>
          <w:sz w:val="16"/>
          <w:szCs w:val="16"/>
        </w:rPr>
        <w:t xml:space="preserve"> 22 September 2020.</w:t>
      </w:r>
    </w:p>
  </w:footnote>
  <w:footnote w:id="97">
    <w:p w14:paraId="69660239" w14:textId="6219135D" w:rsidR="00215E33" w:rsidRPr="00260174" w:rsidRDefault="00215E33">
      <w:pPr>
        <w:pStyle w:val="FootnoteText"/>
        <w:rPr>
          <w:color w:val="77328A"/>
          <w:sz w:val="16"/>
          <w:szCs w:val="16"/>
        </w:rPr>
      </w:pPr>
      <w:r w:rsidRPr="00260174">
        <w:rPr>
          <w:rStyle w:val="FootnoteReference"/>
          <w:color w:val="77328A"/>
          <w:sz w:val="16"/>
          <w:szCs w:val="16"/>
        </w:rPr>
        <w:footnoteRef/>
      </w:r>
      <w:r w:rsidRPr="00260174">
        <w:rPr>
          <w:color w:val="77328A"/>
          <w:sz w:val="16"/>
          <w:szCs w:val="16"/>
        </w:rPr>
        <w:t xml:space="preserve"> </w:t>
      </w:r>
      <w:r w:rsidR="00260174" w:rsidRPr="00260174">
        <w:rPr>
          <w:color w:val="77328A"/>
          <w:sz w:val="16"/>
          <w:szCs w:val="16"/>
        </w:rPr>
        <w:t>Gender Recognition Reform (Scotland) Bill.</w:t>
      </w:r>
    </w:p>
  </w:footnote>
  <w:footnote w:id="98">
    <w:p w14:paraId="5A8A876A" w14:textId="733D225A" w:rsidR="004A3E47" w:rsidRPr="00260174" w:rsidRDefault="004A3E47">
      <w:pPr>
        <w:pStyle w:val="FootnoteText"/>
        <w:rPr>
          <w:color w:val="77328A"/>
          <w:sz w:val="16"/>
          <w:szCs w:val="16"/>
        </w:rPr>
      </w:pPr>
      <w:r w:rsidRPr="00260174">
        <w:rPr>
          <w:rStyle w:val="FootnoteReference"/>
          <w:color w:val="77328A"/>
          <w:sz w:val="16"/>
          <w:szCs w:val="16"/>
        </w:rPr>
        <w:footnoteRef/>
      </w:r>
      <w:r w:rsidRPr="00260174">
        <w:rPr>
          <w:color w:val="77328A"/>
          <w:sz w:val="16"/>
          <w:szCs w:val="16"/>
        </w:rPr>
        <w:t xml:space="preserve"> Office of the Secretary of State for Scotland, ‘Press Release: Gender Recognition Reform (Scotland) Bill: statement from Alister Jack’, 16 January 2023.</w:t>
      </w:r>
    </w:p>
  </w:footnote>
  <w:footnote w:id="99">
    <w:p w14:paraId="6EFAEF2D" w14:textId="55DAC7DF" w:rsidR="00540C12" w:rsidRPr="00102AF4" w:rsidRDefault="00540C12">
      <w:pPr>
        <w:pStyle w:val="FootnoteText"/>
        <w:rPr>
          <w:color w:val="77328A"/>
          <w:sz w:val="16"/>
          <w:szCs w:val="16"/>
        </w:rPr>
      </w:pPr>
      <w:r w:rsidRPr="00260174">
        <w:rPr>
          <w:rStyle w:val="FootnoteReference"/>
          <w:color w:val="77328A"/>
          <w:sz w:val="16"/>
          <w:szCs w:val="16"/>
        </w:rPr>
        <w:footnoteRef/>
      </w:r>
      <w:r w:rsidRPr="00260174">
        <w:rPr>
          <w:color w:val="77328A"/>
          <w:sz w:val="16"/>
          <w:szCs w:val="16"/>
        </w:rPr>
        <w:t xml:space="preserve"> JR111 Application for Judicial Review</w:t>
      </w:r>
      <w:r w:rsidR="00564FB6" w:rsidRPr="00260174">
        <w:rPr>
          <w:color w:val="77328A"/>
          <w:sz w:val="16"/>
          <w:szCs w:val="16"/>
        </w:rPr>
        <w:t xml:space="preserve"> [2021</w:t>
      </w:r>
      <w:r w:rsidR="00564FB6" w:rsidRPr="00102AF4">
        <w:rPr>
          <w:color w:val="77328A"/>
          <w:sz w:val="16"/>
          <w:szCs w:val="16"/>
        </w:rPr>
        <w:t>] NIQB 48</w:t>
      </w:r>
      <w:r w:rsidR="006F0CB2" w:rsidRPr="00102AF4">
        <w:rPr>
          <w:color w:val="77328A"/>
          <w:sz w:val="16"/>
          <w:szCs w:val="16"/>
        </w:rPr>
        <w:t>.</w:t>
      </w:r>
    </w:p>
  </w:footnote>
  <w:footnote w:id="100">
    <w:p w14:paraId="71E4C1EA" w14:textId="31A31ADA" w:rsidR="009A5FBF" w:rsidRPr="00102AF4" w:rsidRDefault="009A5FBF">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w:t>
      </w:r>
      <w:r w:rsidR="00F9775F" w:rsidRPr="00102AF4">
        <w:rPr>
          <w:color w:val="77328A"/>
          <w:sz w:val="16"/>
          <w:szCs w:val="16"/>
        </w:rPr>
        <w:t>Section 19, Gender Recognition Act 2004.</w:t>
      </w:r>
    </w:p>
  </w:footnote>
  <w:footnote w:id="101">
    <w:p w14:paraId="34D90786" w14:textId="77B82BEE" w:rsidR="002D3907" w:rsidRPr="00102AF4" w:rsidRDefault="002D3907" w:rsidP="002D3907">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w:t>
      </w:r>
      <w:r w:rsidR="00FB2C23" w:rsidRPr="00102AF4">
        <w:rPr>
          <w:color w:val="77328A"/>
          <w:sz w:val="16"/>
          <w:szCs w:val="16"/>
        </w:rPr>
        <w:t xml:space="preserve">Sports Councils’ Equality Group, </w:t>
      </w:r>
      <w:r w:rsidR="006F0CB2" w:rsidRPr="00102AF4">
        <w:rPr>
          <w:color w:val="77328A"/>
          <w:sz w:val="16"/>
          <w:szCs w:val="16"/>
        </w:rPr>
        <w:t>‘</w:t>
      </w:r>
      <w:r w:rsidRPr="00102AF4">
        <w:rPr>
          <w:color w:val="77328A"/>
          <w:sz w:val="16"/>
          <w:szCs w:val="16"/>
        </w:rPr>
        <w:t>Guidance for Transgender Inclusion in Domestic Sport</w:t>
      </w:r>
      <w:r w:rsidR="006F0CB2" w:rsidRPr="00102AF4">
        <w:rPr>
          <w:color w:val="77328A"/>
          <w:sz w:val="16"/>
          <w:szCs w:val="16"/>
        </w:rPr>
        <w:t>’</w:t>
      </w:r>
      <w:r w:rsidR="00FB2C23" w:rsidRPr="00102AF4">
        <w:rPr>
          <w:color w:val="77328A"/>
          <w:sz w:val="16"/>
          <w:szCs w:val="16"/>
        </w:rPr>
        <w:t>,</w:t>
      </w:r>
      <w:r w:rsidR="007E3BF2" w:rsidRPr="00102AF4">
        <w:rPr>
          <w:color w:val="77328A"/>
          <w:sz w:val="16"/>
          <w:szCs w:val="16"/>
        </w:rPr>
        <w:t xml:space="preserve"> </w:t>
      </w:r>
      <w:r w:rsidR="00B9226C" w:rsidRPr="00102AF4">
        <w:rPr>
          <w:color w:val="77328A"/>
          <w:sz w:val="16"/>
          <w:szCs w:val="16"/>
        </w:rPr>
        <w:t>September 2021.</w:t>
      </w:r>
    </w:p>
  </w:footnote>
  <w:footnote w:id="102">
    <w:p w14:paraId="11E2DF58" w14:textId="67B6AC4C" w:rsidR="00C92295" w:rsidRPr="00275358" w:rsidRDefault="00C92295">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Sports Councils’ Equality Group, ‘Guidance for Transgender Inclusion in Domestic Sport’, September 2021, at </w:t>
      </w:r>
      <w:r w:rsidR="00980458" w:rsidRPr="00102AF4">
        <w:rPr>
          <w:color w:val="77328A"/>
          <w:sz w:val="16"/>
          <w:szCs w:val="16"/>
        </w:rPr>
        <w:t>12.</w:t>
      </w:r>
    </w:p>
  </w:footnote>
  <w:footnote w:id="103">
    <w:p w14:paraId="27EEB46B" w14:textId="77A88032" w:rsidR="00EE2265" w:rsidRPr="00102AF4" w:rsidRDefault="00EE2265">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w:t>
      </w:r>
      <w:r w:rsidR="007E3BF2" w:rsidRPr="00102AF4">
        <w:rPr>
          <w:color w:val="77328A"/>
          <w:sz w:val="16"/>
          <w:szCs w:val="16"/>
        </w:rPr>
        <w:t xml:space="preserve">Sports Councils’ Equality Group, </w:t>
      </w:r>
      <w:r w:rsidR="006F0CB2" w:rsidRPr="00102AF4">
        <w:rPr>
          <w:color w:val="77328A"/>
          <w:sz w:val="16"/>
          <w:szCs w:val="16"/>
        </w:rPr>
        <w:t>‘</w:t>
      </w:r>
      <w:r w:rsidRPr="00102AF4">
        <w:rPr>
          <w:color w:val="77328A"/>
          <w:sz w:val="16"/>
          <w:szCs w:val="16"/>
        </w:rPr>
        <w:t>Equality impact assessment</w:t>
      </w:r>
      <w:r w:rsidR="007E3BF2" w:rsidRPr="00102AF4">
        <w:rPr>
          <w:color w:val="77328A"/>
          <w:sz w:val="16"/>
          <w:szCs w:val="16"/>
        </w:rPr>
        <w:t xml:space="preserve"> on Guidance for Transgender Inclusion in Domestic Sport</w:t>
      </w:r>
      <w:r w:rsidR="006F0CB2" w:rsidRPr="00102AF4">
        <w:rPr>
          <w:color w:val="77328A"/>
          <w:sz w:val="16"/>
          <w:szCs w:val="16"/>
        </w:rPr>
        <w:t>’</w:t>
      </w:r>
      <w:r w:rsidR="007E3BF2" w:rsidRPr="00102AF4">
        <w:rPr>
          <w:color w:val="77328A"/>
          <w:sz w:val="16"/>
          <w:szCs w:val="16"/>
        </w:rPr>
        <w:t xml:space="preserve">, </w:t>
      </w:r>
      <w:r w:rsidR="00B9226C" w:rsidRPr="00102AF4">
        <w:rPr>
          <w:color w:val="77328A"/>
          <w:sz w:val="16"/>
          <w:szCs w:val="16"/>
        </w:rPr>
        <w:t>September 2021.</w:t>
      </w:r>
    </w:p>
  </w:footnote>
  <w:footnote w:id="104">
    <w:p w14:paraId="77A27303" w14:textId="39979351" w:rsidR="00C474B0" w:rsidRPr="00102AF4" w:rsidRDefault="00C474B0">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Sports Councils’ Equality Group, ‘Equality impact assessment on Guidance for Transgender Inclusion in Domestic Sport’, September 2021, at 4.</w:t>
      </w:r>
    </w:p>
  </w:footnote>
  <w:footnote w:id="105">
    <w:p w14:paraId="6BE95A1E" w14:textId="4B2DCA17" w:rsidR="00C474B0" w:rsidRPr="00102AF4" w:rsidRDefault="00C474B0">
      <w:pPr>
        <w:pStyle w:val="FootnoteText"/>
        <w:rPr>
          <w:color w:val="77328A"/>
        </w:rPr>
      </w:pPr>
      <w:r w:rsidRPr="00102AF4">
        <w:rPr>
          <w:rStyle w:val="FootnoteReference"/>
          <w:color w:val="77328A"/>
          <w:sz w:val="16"/>
          <w:szCs w:val="16"/>
        </w:rPr>
        <w:footnoteRef/>
      </w:r>
      <w:r w:rsidRPr="00102AF4">
        <w:rPr>
          <w:color w:val="77328A"/>
          <w:sz w:val="16"/>
          <w:szCs w:val="16"/>
        </w:rPr>
        <w:t xml:space="preserve"> Sports Councils’ Equality Group, ‘Equality impact assessment on Guidance for Transgender Inclusion in Domestic Sport’, September 2021 at 5,7.</w:t>
      </w:r>
    </w:p>
  </w:footnote>
  <w:footnote w:id="106">
    <w:p w14:paraId="4538A213" w14:textId="77777777" w:rsidR="00DD32E8" w:rsidRPr="001C7CE6" w:rsidRDefault="00DD32E8" w:rsidP="00DD32E8">
      <w:pPr>
        <w:pStyle w:val="FootnoteText"/>
        <w:rPr>
          <w:color w:val="77328A"/>
          <w:sz w:val="16"/>
          <w:szCs w:val="16"/>
        </w:rPr>
      </w:pPr>
      <w:r w:rsidRPr="001C7CE6">
        <w:rPr>
          <w:rStyle w:val="FootnoteReference"/>
          <w:color w:val="77328A"/>
          <w:sz w:val="16"/>
          <w:szCs w:val="16"/>
        </w:rPr>
        <w:footnoteRef/>
      </w:r>
      <w:r w:rsidRPr="001C7CE6">
        <w:rPr>
          <w:color w:val="77328A"/>
          <w:sz w:val="16"/>
          <w:szCs w:val="16"/>
        </w:rPr>
        <w:t xml:space="preserve"> British Cycling, ‘British Cycling Statement: Transgender and Non-Binary Participation Policy’, 8 April 2022.</w:t>
      </w:r>
    </w:p>
  </w:footnote>
  <w:footnote w:id="107">
    <w:p w14:paraId="28AE9B81" w14:textId="77777777" w:rsidR="00DD32E8" w:rsidRPr="001C7CE6" w:rsidRDefault="00DD32E8" w:rsidP="00DD32E8">
      <w:pPr>
        <w:pStyle w:val="FootnoteText"/>
        <w:rPr>
          <w:color w:val="77328A"/>
          <w:sz w:val="16"/>
          <w:szCs w:val="16"/>
        </w:rPr>
      </w:pPr>
      <w:r w:rsidRPr="001C7CE6">
        <w:rPr>
          <w:rStyle w:val="FootnoteReference"/>
          <w:color w:val="77328A"/>
          <w:sz w:val="16"/>
          <w:szCs w:val="16"/>
        </w:rPr>
        <w:footnoteRef/>
      </w:r>
      <w:r w:rsidRPr="001C7CE6">
        <w:rPr>
          <w:color w:val="77328A"/>
          <w:sz w:val="16"/>
          <w:szCs w:val="16"/>
        </w:rPr>
        <w:t xml:space="preserve"> British Cycling, ‘An Update on our Transgender and Non-Binary Participation Policy’, 17 November 2022. </w:t>
      </w:r>
    </w:p>
  </w:footnote>
  <w:footnote w:id="108">
    <w:p w14:paraId="4D906D38" w14:textId="77777777" w:rsidR="00DD32E8" w:rsidRDefault="00DD32E8" w:rsidP="00DD32E8">
      <w:pPr>
        <w:pStyle w:val="FootnoteText"/>
      </w:pPr>
      <w:r w:rsidRPr="001C7CE6">
        <w:rPr>
          <w:rStyle w:val="FootnoteReference"/>
          <w:color w:val="77328A"/>
          <w:sz w:val="16"/>
          <w:szCs w:val="16"/>
        </w:rPr>
        <w:footnoteRef/>
      </w:r>
      <w:r w:rsidRPr="001C7CE6">
        <w:rPr>
          <w:color w:val="77328A"/>
          <w:sz w:val="16"/>
          <w:szCs w:val="16"/>
        </w:rPr>
        <w:t xml:space="preserve"> British Cycling, ‘British Cycling Transgender and Non-Binary Participation Policy Guidance’, 17 November 2022.</w:t>
      </w:r>
      <w:r w:rsidRPr="001C7CE6">
        <w:rPr>
          <w:color w:val="77328A"/>
        </w:rPr>
        <w:t xml:space="preserve"> </w:t>
      </w:r>
    </w:p>
  </w:footnote>
  <w:footnote w:id="109">
    <w:p w14:paraId="4A9AB150" w14:textId="77777777" w:rsidR="002C708A" w:rsidRPr="005D78C6" w:rsidRDefault="002C708A" w:rsidP="002C708A">
      <w:pPr>
        <w:pStyle w:val="FootnoteText"/>
        <w:rPr>
          <w:color w:val="77328A"/>
          <w:sz w:val="16"/>
          <w:szCs w:val="16"/>
        </w:rPr>
      </w:pPr>
      <w:r w:rsidRPr="005D78C6">
        <w:rPr>
          <w:rStyle w:val="FootnoteReference"/>
          <w:color w:val="77328A"/>
          <w:sz w:val="16"/>
          <w:szCs w:val="16"/>
        </w:rPr>
        <w:footnoteRef/>
      </w:r>
      <w:r w:rsidRPr="005D78C6">
        <w:rPr>
          <w:color w:val="77328A"/>
          <w:sz w:val="16"/>
          <w:szCs w:val="16"/>
        </w:rPr>
        <w:t xml:space="preserve"> Irish Rugby Football Union, ‘IRFU – Gender Participation Policy (2022-2023)’, 10 August 2022.</w:t>
      </w:r>
    </w:p>
  </w:footnote>
  <w:footnote w:id="110">
    <w:p w14:paraId="2B911538" w14:textId="77777777" w:rsidR="002C708A" w:rsidRPr="001C7CE6" w:rsidRDefault="002C708A" w:rsidP="002C708A">
      <w:pPr>
        <w:pStyle w:val="FootnoteText"/>
        <w:rPr>
          <w:color w:val="77328A"/>
          <w:sz w:val="16"/>
          <w:szCs w:val="16"/>
        </w:rPr>
      </w:pPr>
      <w:r w:rsidRPr="001C7CE6">
        <w:rPr>
          <w:rStyle w:val="FootnoteReference"/>
          <w:color w:val="77328A"/>
          <w:sz w:val="16"/>
          <w:szCs w:val="16"/>
        </w:rPr>
        <w:footnoteRef/>
      </w:r>
      <w:r w:rsidRPr="001C7CE6">
        <w:rPr>
          <w:color w:val="77328A"/>
          <w:sz w:val="16"/>
          <w:szCs w:val="16"/>
        </w:rPr>
        <w:t xml:space="preserve"> Ibid. </w:t>
      </w:r>
    </w:p>
  </w:footnote>
  <w:footnote w:id="111">
    <w:p w14:paraId="02FC0A61" w14:textId="77777777" w:rsidR="00A34E41" w:rsidRPr="001C7CE6" w:rsidRDefault="00A34E41" w:rsidP="00A34E41">
      <w:pPr>
        <w:pStyle w:val="FootnoteText"/>
        <w:rPr>
          <w:color w:val="77328A"/>
          <w:sz w:val="16"/>
          <w:szCs w:val="16"/>
        </w:rPr>
      </w:pPr>
      <w:r w:rsidRPr="001C7CE6">
        <w:rPr>
          <w:rStyle w:val="FootnoteReference"/>
          <w:color w:val="77328A"/>
          <w:sz w:val="16"/>
          <w:szCs w:val="16"/>
        </w:rPr>
        <w:footnoteRef/>
      </w:r>
      <w:r w:rsidRPr="001C7CE6">
        <w:rPr>
          <w:color w:val="77328A"/>
          <w:sz w:val="16"/>
          <w:szCs w:val="16"/>
        </w:rPr>
        <w:t xml:space="preserve"> World Boxing Council, ‘World Boxing Council Statement: Guidelines Regarding Transgender Athletes participation in professional Combat Sports’, 15 August 2022. </w:t>
      </w:r>
    </w:p>
  </w:footnote>
  <w:footnote w:id="112">
    <w:p w14:paraId="1A26DB45" w14:textId="77777777" w:rsidR="00A34E41" w:rsidRDefault="00A34E41" w:rsidP="00A34E41">
      <w:pPr>
        <w:pStyle w:val="FootnoteText"/>
      </w:pPr>
      <w:r w:rsidRPr="001C7CE6">
        <w:rPr>
          <w:rStyle w:val="FootnoteReference"/>
          <w:color w:val="77328A"/>
          <w:sz w:val="16"/>
          <w:szCs w:val="16"/>
        </w:rPr>
        <w:footnoteRef/>
      </w:r>
      <w:r w:rsidRPr="001C7CE6">
        <w:rPr>
          <w:color w:val="77328A"/>
          <w:sz w:val="16"/>
          <w:szCs w:val="16"/>
        </w:rPr>
        <w:t xml:space="preserve"> M </w:t>
      </w:r>
      <w:proofErr w:type="spellStart"/>
      <w:r w:rsidRPr="001C7CE6">
        <w:rPr>
          <w:color w:val="77328A"/>
          <w:sz w:val="16"/>
          <w:szCs w:val="16"/>
        </w:rPr>
        <w:t>Sulaimán</w:t>
      </w:r>
      <w:proofErr w:type="spellEnd"/>
      <w:r w:rsidRPr="001C7CE6">
        <w:rPr>
          <w:color w:val="77328A"/>
          <w:sz w:val="16"/>
          <w:szCs w:val="16"/>
        </w:rPr>
        <w:t>, ‘Round 12: A promising 2013’, 3 January 2023.</w:t>
      </w:r>
      <w:r w:rsidRPr="001C7CE6">
        <w:rPr>
          <w:color w:val="77328A"/>
        </w:rPr>
        <w:t xml:space="preserve"> </w:t>
      </w:r>
    </w:p>
  </w:footnote>
  <w:footnote w:id="113">
    <w:p w14:paraId="20A02512" w14:textId="792316BA" w:rsidR="000A0103" w:rsidRPr="00C5023C" w:rsidRDefault="000A0103">
      <w:pPr>
        <w:pStyle w:val="FootnoteText"/>
        <w:rPr>
          <w:color w:val="77328A"/>
          <w:sz w:val="16"/>
          <w:szCs w:val="16"/>
        </w:rPr>
      </w:pPr>
      <w:r w:rsidRPr="00C5023C">
        <w:rPr>
          <w:rStyle w:val="FootnoteReference"/>
          <w:color w:val="77328A"/>
          <w:sz w:val="16"/>
          <w:szCs w:val="16"/>
        </w:rPr>
        <w:footnoteRef/>
      </w:r>
      <w:r w:rsidRPr="00C5023C">
        <w:rPr>
          <w:color w:val="77328A"/>
          <w:sz w:val="16"/>
          <w:szCs w:val="16"/>
        </w:rPr>
        <w:t xml:space="preserve"> </w:t>
      </w:r>
      <w:r w:rsidR="00C5023C" w:rsidRPr="00C5023C">
        <w:rPr>
          <w:color w:val="77328A"/>
          <w:sz w:val="16"/>
          <w:szCs w:val="16"/>
        </w:rPr>
        <w:t>Scottish Rugby, ‘Gender Participation Policy’, February 2023.</w:t>
      </w:r>
    </w:p>
  </w:footnote>
  <w:footnote w:id="114">
    <w:p w14:paraId="3FF68F90" w14:textId="77777777" w:rsidR="000B7E4E" w:rsidRDefault="000B7E4E" w:rsidP="000B7E4E">
      <w:pPr>
        <w:pStyle w:val="FootnoteText"/>
      </w:pPr>
      <w:r w:rsidRPr="00C5023C">
        <w:rPr>
          <w:rStyle w:val="FootnoteReference"/>
          <w:color w:val="77328A"/>
          <w:sz w:val="16"/>
          <w:szCs w:val="16"/>
        </w:rPr>
        <w:footnoteRef/>
      </w:r>
      <w:r w:rsidRPr="00C5023C">
        <w:rPr>
          <w:color w:val="77328A"/>
          <w:sz w:val="16"/>
          <w:szCs w:val="16"/>
        </w:rPr>
        <w:t xml:space="preserve"> Scottish Rugby, ‘Statement: Gender Participation Policy’, 25 January 2023.</w:t>
      </w:r>
      <w:r w:rsidRPr="00C5023C">
        <w:rPr>
          <w:color w:val="77328A"/>
        </w:rPr>
        <w:t xml:space="preserve"> </w:t>
      </w:r>
    </w:p>
  </w:footnote>
  <w:footnote w:id="115">
    <w:p w14:paraId="77196A1E" w14:textId="4799C5BD" w:rsidR="00CB097B" w:rsidRPr="00151F91" w:rsidRDefault="00CB097B">
      <w:pPr>
        <w:pStyle w:val="FootnoteText"/>
        <w:rPr>
          <w:color w:val="77328A"/>
          <w:sz w:val="16"/>
          <w:szCs w:val="16"/>
        </w:rPr>
      </w:pPr>
      <w:r w:rsidRPr="00151F91">
        <w:rPr>
          <w:rStyle w:val="FootnoteReference"/>
          <w:color w:val="77328A"/>
          <w:sz w:val="16"/>
          <w:szCs w:val="16"/>
        </w:rPr>
        <w:footnoteRef/>
      </w:r>
      <w:r w:rsidRPr="00151F91">
        <w:rPr>
          <w:color w:val="77328A"/>
          <w:sz w:val="16"/>
          <w:szCs w:val="16"/>
        </w:rPr>
        <w:t xml:space="preserve"> UK Athletics, ‘</w:t>
      </w:r>
      <w:r w:rsidR="00151F91" w:rsidRPr="00151F91">
        <w:rPr>
          <w:color w:val="77328A"/>
          <w:sz w:val="16"/>
          <w:szCs w:val="16"/>
        </w:rPr>
        <w:t xml:space="preserve">Trans Position Statement2, 3 February 2023. Available at: </w:t>
      </w:r>
      <w:hyperlink r:id="rId3" w:history="1">
        <w:r w:rsidR="00151F91" w:rsidRPr="00151F91">
          <w:rPr>
            <w:rStyle w:val="Hyperlink"/>
            <w:color w:val="77328A"/>
            <w:sz w:val="16"/>
            <w:szCs w:val="16"/>
          </w:rPr>
          <w:t>http://www.uka.org.uk/wp-content/uploads/2023/02/UKA-Trans-Position-Statement_FINAL-03.02.23.pdf</w:t>
        </w:r>
      </w:hyperlink>
      <w:r w:rsidR="00151F91" w:rsidRPr="00151F91">
        <w:rPr>
          <w:color w:val="77328A"/>
          <w:sz w:val="16"/>
          <w:szCs w:val="16"/>
        </w:rPr>
        <w:t xml:space="preserve">. </w:t>
      </w:r>
    </w:p>
  </w:footnote>
  <w:footnote w:id="116">
    <w:p w14:paraId="4BC54400" w14:textId="4F648CCE" w:rsidR="00051401" w:rsidRPr="00051401" w:rsidRDefault="00051401">
      <w:pPr>
        <w:pStyle w:val="FootnoteText"/>
        <w:rPr>
          <w:color w:val="77328A"/>
          <w:sz w:val="16"/>
          <w:szCs w:val="16"/>
        </w:rPr>
      </w:pPr>
      <w:r w:rsidRPr="00051401">
        <w:rPr>
          <w:rStyle w:val="FootnoteReference"/>
          <w:color w:val="77328A"/>
          <w:sz w:val="16"/>
          <w:szCs w:val="16"/>
        </w:rPr>
        <w:footnoteRef/>
      </w:r>
      <w:r w:rsidRPr="00051401">
        <w:rPr>
          <w:color w:val="77328A"/>
          <w:sz w:val="16"/>
          <w:szCs w:val="16"/>
        </w:rPr>
        <w:t xml:space="preserve"> Ibid, at para 6.</w:t>
      </w:r>
    </w:p>
  </w:footnote>
  <w:footnote w:id="117">
    <w:p w14:paraId="4EC4B6AD" w14:textId="3DB23598" w:rsidR="00335DFD" w:rsidRPr="00275358" w:rsidRDefault="00335DFD" w:rsidP="00335DFD">
      <w:pPr>
        <w:pStyle w:val="FootnoteText"/>
        <w:rPr>
          <w:color w:val="77328A"/>
        </w:rPr>
      </w:pPr>
      <w:r w:rsidRPr="00275358">
        <w:rPr>
          <w:rStyle w:val="FootnoteReference"/>
          <w:color w:val="77328A"/>
          <w:sz w:val="16"/>
          <w:szCs w:val="16"/>
        </w:rPr>
        <w:footnoteRef/>
      </w:r>
      <w:r w:rsidRPr="00275358">
        <w:rPr>
          <w:color w:val="77328A"/>
          <w:sz w:val="16"/>
          <w:szCs w:val="16"/>
        </w:rPr>
        <w:t xml:space="preserve"> </w:t>
      </w:r>
      <w:r w:rsidRPr="00102AF4">
        <w:rPr>
          <w:color w:val="77328A"/>
          <w:sz w:val="16"/>
          <w:szCs w:val="16"/>
        </w:rPr>
        <w:t>UN Office of the High Commissioner for Human Rights, ‘Background Note on Human Rights Violations against Intersex people’, at 5. Available at: https://www.ohchr.org/sites/default/files/BackgroundNoteHumanRightsViolationsagainstIntersexPeople.pdf</w:t>
      </w:r>
      <w:r w:rsidR="007D6319">
        <w:rPr>
          <w:color w:val="77328A"/>
          <w:sz w:val="16"/>
          <w:szCs w:val="16"/>
        </w:rPr>
        <w:t>.</w:t>
      </w:r>
    </w:p>
  </w:footnote>
  <w:footnote w:id="118">
    <w:p w14:paraId="6BA0E762" w14:textId="77777777" w:rsidR="00335DFD" w:rsidRPr="00275358" w:rsidRDefault="00335DFD" w:rsidP="00335DFD">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Ibid, at 6.</w:t>
      </w:r>
    </w:p>
  </w:footnote>
  <w:footnote w:id="119">
    <w:p w14:paraId="16D980F5" w14:textId="77777777" w:rsidR="00335DFD" w:rsidRPr="00102AF4" w:rsidRDefault="00335DFD" w:rsidP="00335DFD">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UN Office of the High Commissioner for Human Rights, ‘Free &amp; Equal Campaign Fact Sheet: Intersex’ (OHCHR, 2015).</w:t>
      </w:r>
    </w:p>
    <w:p w14:paraId="3134EF47" w14:textId="77777777" w:rsidR="00335DFD" w:rsidRPr="00102AF4" w:rsidRDefault="00335DFD" w:rsidP="00335DFD">
      <w:pPr>
        <w:pStyle w:val="FootnoteText"/>
        <w:rPr>
          <w:color w:val="77328A"/>
          <w:sz w:val="16"/>
          <w:szCs w:val="16"/>
        </w:rPr>
      </w:pPr>
      <w:r w:rsidRPr="00102AF4">
        <w:rPr>
          <w:color w:val="77328A"/>
          <w:sz w:val="16"/>
          <w:szCs w:val="16"/>
        </w:rPr>
        <w:t>Available at: https://www.unfe.org/wp-content/uploads/2017/05/UNFE-Intersex.pdf</w:t>
      </w:r>
    </w:p>
  </w:footnote>
  <w:footnote w:id="120">
    <w:p w14:paraId="56CC3A14" w14:textId="77777777" w:rsidR="00335DFD" w:rsidRPr="00102AF4" w:rsidRDefault="00335DFD" w:rsidP="00335DFD">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UN Office of the High Commissioner for Human Rights, ‘Background Note on Human Rights Violations against Intersex people’, at 30. </w:t>
      </w:r>
    </w:p>
  </w:footnote>
  <w:footnote w:id="121">
    <w:p w14:paraId="73DCEF73" w14:textId="77777777" w:rsidR="00335DFD" w:rsidRPr="0087576B" w:rsidRDefault="00335DFD" w:rsidP="00335DFD">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See also, A/HRC/32/33, ‘Report of the Special Rapporteur on the right of everyone to the enjoyment of the highest attainable standard of </w:t>
      </w:r>
      <w:r w:rsidRPr="0087576B">
        <w:rPr>
          <w:color w:val="77328A"/>
          <w:sz w:val="16"/>
          <w:szCs w:val="16"/>
        </w:rPr>
        <w:t xml:space="preserve">physical and mental health’, 4 April 2016, at para 55-57. </w:t>
      </w:r>
    </w:p>
  </w:footnote>
  <w:footnote w:id="122">
    <w:p w14:paraId="7DDAF4FA" w14:textId="77777777" w:rsidR="00335DFD" w:rsidRPr="0087576B" w:rsidRDefault="00335DFD" w:rsidP="00335DFD">
      <w:pPr>
        <w:pStyle w:val="FootnoteText"/>
        <w:rPr>
          <w:color w:val="77328A"/>
          <w:sz w:val="16"/>
          <w:szCs w:val="16"/>
        </w:rPr>
      </w:pPr>
      <w:r w:rsidRPr="0087576B">
        <w:rPr>
          <w:rStyle w:val="FootnoteReference"/>
          <w:color w:val="77328A"/>
          <w:sz w:val="16"/>
          <w:szCs w:val="16"/>
        </w:rPr>
        <w:footnoteRef/>
      </w:r>
      <w:r w:rsidRPr="0087576B">
        <w:rPr>
          <w:color w:val="77328A"/>
          <w:sz w:val="16"/>
          <w:szCs w:val="16"/>
        </w:rPr>
        <w:t xml:space="preserve"> A/HRC/29/23, UN High Commissioner for Human Rights, ‘Discrimination and Violence against Individuals Based on Their Sexual Orientation and Gender Identity’, 4 May 2015, at para 42.</w:t>
      </w:r>
    </w:p>
  </w:footnote>
  <w:footnote w:id="123">
    <w:p w14:paraId="53F511BB" w14:textId="0317FB97" w:rsidR="00335DFD" w:rsidRPr="0087576B" w:rsidRDefault="00335DFD" w:rsidP="00335DFD">
      <w:pPr>
        <w:pStyle w:val="FootnoteText"/>
        <w:rPr>
          <w:color w:val="77328A"/>
          <w:sz w:val="16"/>
          <w:szCs w:val="16"/>
        </w:rPr>
      </w:pPr>
      <w:r w:rsidRPr="0087576B">
        <w:rPr>
          <w:rStyle w:val="FootnoteReference"/>
          <w:color w:val="77328A"/>
          <w:sz w:val="16"/>
          <w:szCs w:val="16"/>
        </w:rPr>
        <w:footnoteRef/>
      </w:r>
      <w:r w:rsidRPr="0087576B">
        <w:rPr>
          <w:color w:val="77328A"/>
          <w:sz w:val="16"/>
          <w:szCs w:val="16"/>
        </w:rPr>
        <w:t xml:space="preserve"> Opening remarks by </w:t>
      </w:r>
      <w:proofErr w:type="spellStart"/>
      <w:r w:rsidRPr="0087576B">
        <w:rPr>
          <w:color w:val="77328A"/>
          <w:sz w:val="16"/>
          <w:szCs w:val="16"/>
        </w:rPr>
        <w:t>Zeid</w:t>
      </w:r>
      <w:proofErr w:type="spellEnd"/>
      <w:r w:rsidRPr="0087576B">
        <w:rPr>
          <w:color w:val="77328A"/>
          <w:sz w:val="16"/>
          <w:szCs w:val="16"/>
        </w:rPr>
        <w:t xml:space="preserve"> </w:t>
      </w:r>
      <w:proofErr w:type="spellStart"/>
      <w:r w:rsidRPr="0087576B">
        <w:rPr>
          <w:color w:val="77328A"/>
          <w:sz w:val="16"/>
          <w:szCs w:val="16"/>
        </w:rPr>
        <w:t>Ra’ad</w:t>
      </w:r>
      <w:proofErr w:type="spellEnd"/>
      <w:r w:rsidRPr="0087576B">
        <w:rPr>
          <w:color w:val="77328A"/>
          <w:sz w:val="16"/>
          <w:szCs w:val="16"/>
        </w:rPr>
        <w:t xml:space="preserve"> Al Hussein, High Commissioner for Human Rights High Commissioner for Human Rights at the Expert meeting on ending human rights violations against intersex persons, 16 September 2015, Geneva</w:t>
      </w:r>
      <w:r w:rsidR="00BF48CB">
        <w:rPr>
          <w:color w:val="77328A"/>
          <w:sz w:val="16"/>
          <w:szCs w:val="16"/>
        </w:rPr>
        <w:t>,</w:t>
      </w:r>
      <w:r w:rsidR="00BF48CB" w:rsidRPr="0087576B">
        <w:rPr>
          <w:color w:val="77328A"/>
          <w:sz w:val="16"/>
          <w:szCs w:val="16"/>
        </w:rPr>
        <w:t xml:space="preserve"> </w:t>
      </w:r>
      <w:r w:rsidR="00BF48CB">
        <w:rPr>
          <w:color w:val="77328A"/>
          <w:sz w:val="16"/>
          <w:szCs w:val="16"/>
        </w:rPr>
        <w:t xml:space="preserve">Available at: </w:t>
      </w:r>
      <w:hyperlink r:id="rId4" w:history="1">
        <w:r w:rsidR="00BF48CB" w:rsidRPr="007D6319">
          <w:rPr>
            <w:rStyle w:val="Hyperlink"/>
            <w:sz w:val="16"/>
            <w:szCs w:val="16"/>
          </w:rPr>
          <w:t>www.ohchr.org/EN/NewsEvents/Pages/DisplayNews.aspx?NewsID=16431&amp;LangID=E</w:t>
        </w:r>
      </w:hyperlink>
      <w:r w:rsidR="00BF48CB">
        <w:rPr>
          <w:rStyle w:val="Hyperlink"/>
          <w:color w:val="77328A"/>
          <w:sz w:val="16"/>
          <w:szCs w:val="16"/>
          <w:u w:val="none"/>
        </w:rPr>
        <w:t>.</w:t>
      </w:r>
    </w:p>
  </w:footnote>
  <w:footnote w:id="124">
    <w:p w14:paraId="7BB616F6" w14:textId="77777777" w:rsidR="00335DFD" w:rsidRDefault="00335DFD" w:rsidP="00335DFD">
      <w:pPr>
        <w:pStyle w:val="FootnoteText"/>
      </w:pPr>
      <w:r w:rsidRPr="000F728E">
        <w:rPr>
          <w:rStyle w:val="FootnoteReference"/>
          <w:color w:val="77328A"/>
          <w:sz w:val="16"/>
          <w:szCs w:val="16"/>
        </w:rPr>
        <w:footnoteRef/>
      </w:r>
      <w:r w:rsidRPr="000F728E">
        <w:rPr>
          <w:color w:val="77328A"/>
          <w:sz w:val="16"/>
          <w:szCs w:val="16"/>
        </w:rPr>
        <w:t xml:space="preserve"> Human Rights Watch, </w:t>
      </w:r>
      <w:r>
        <w:rPr>
          <w:color w:val="77328A"/>
          <w:sz w:val="16"/>
          <w:szCs w:val="16"/>
        </w:rPr>
        <w:t>‘</w:t>
      </w:r>
      <w:r w:rsidRPr="000F728E">
        <w:rPr>
          <w:color w:val="77328A"/>
          <w:sz w:val="16"/>
          <w:szCs w:val="16"/>
        </w:rPr>
        <w:t>“They’re Chasing Us Away from Sport” - Human Rights Violations in Sex Testing of Elite Women Athletes Report</w:t>
      </w:r>
      <w:r>
        <w:rPr>
          <w:color w:val="77328A"/>
          <w:sz w:val="16"/>
          <w:szCs w:val="16"/>
        </w:rPr>
        <w:t>’</w:t>
      </w:r>
      <w:r w:rsidRPr="000F728E">
        <w:rPr>
          <w:color w:val="77328A"/>
          <w:sz w:val="16"/>
          <w:szCs w:val="16"/>
        </w:rPr>
        <w:t>, 4 December 2020.</w:t>
      </w:r>
    </w:p>
  </w:footnote>
  <w:footnote w:id="125">
    <w:p w14:paraId="139BC804" w14:textId="77777777" w:rsidR="00335DFD" w:rsidRPr="004374F4" w:rsidRDefault="00335DFD" w:rsidP="00335DFD">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A. de la Chapelle, </w:t>
      </w:r>
      <w:r>
        <w:rPr>
          <w:color w:val="77328A"/>
          <w:sz w:val="16"/>
          <w:szCs w:val="16"/>
        </w:rPr>
        <w:t>‘</w:t>
      </w:r>
      <w:r w:rsidRPr="00102AF4">
        <w:rPr>
          <w:color w:val="77328A"/>
          <w:sz w:val="16"/>
          <w:szCs w:val="16"/>
        </w:rPr>
        <w:t>The use and misuse of sex chromatin screening for "gender verification" of female athletes</w:t>
      </w:r>
      <w:r>
        <w:rPr>
          <w:color w:val="77328A"/>
          <w:sz w:val="16"/>
          <w:szCs w:val="16"/>
        </w:rPr>
        <w:t>’,</w:t>
      </w:r>
      <w:r w:rsidRPr="00102AF4">
        <w:rPr>
          <w:color w:val="77328A"/>
          <w:sz w:val="16"/>
          <w:szCs w:val="16"/>
        </w:rPr>
        <w:t xml:space="preserve"> JAMA. 1986, 256.</w:t>
      </w:r>
    </w:p>
  </w:footnote>
  <w:footnote w:id="126">
    <w:p w14:paraId="5A55039D" w14:textId="6F0B8F7A" w:rsidR="00335DFD" w:rsidRPr="004374F4" w:rsidRDefault="00335DFD" w:rsidP="00335DFD">
      <w:pPr>
        <w:pStyle w:val="FootnoteText"/>
        <w:rPr>
          <w:color w:val="77328A"/>
          <w:sz w:val="16"/>
          <w:szCs w:val="16"/>
        </w:rPr>
      </w:pPr>
      <w:r w:rsidRPr="004374F4">
        <w:rPr>
          <w:rStyle w:val="FootnoteReference"/>
          <w:color w:val="77328A"/>
          <w:sz w:val="16"/>
          <w:szCs w:val="16"/>
        </w:rPr>
        <w:footnoteRef/>
      </w:r>
      <w:r w:rsidRPr="004374F4">
        <w:rPr>
          <w:color w:val="77328A"/>
          <w:sz w:val="16"/>
          <w:szCs w:val="16"/>
        </w:rPr>
        <w:t xml:space="preserve"> International Association of Athletics Federations, ‘Eligibility Regulations for the Female Classification (Athletes with Differences of Sex Development)’, Version 1.1</w:t>
      </w:r>
      <w:r w:rsidR="00BF48CB">
        <w:rPr>
          <w:color w:val="77328A"/>
          <w:sz w:val="16"/>
          <w:szCs w:val="16"/>
        </w:rPr>
        <w:t xml:space="preserve">, </w:t>
      </w:r>
      <w:r w:rsidRPr="004374F4">
        <w:rPr>
          <w:color w:val="77328A"/>
          <w:sz w:val="16"/>
          <w:szCs w:val="16"/>
        </w:rPr>
        <w:t xml:space="preserve">23 April 2018. </w:t>
      </w:r>
    </w:p>
  </w:footnote>
  <w:footnote w:id="127">
    <w:p w14:paraId="0A7886CA" w14:textId="63D054C0" w:rsidR="00335DFD" w:rsidRPr="004374F4" w:rsidRDefault="00335DFD" w:rsidP="00335DFD">
      <w:pPr>
        <w:pStyle w:val="FootnoteText"/>
        <w:rPr>
          <w:color w:val="77328A"/>
          <w:sz w:val="16"/>
          <w:szCs w:val="16"/>
        </w:rPr>
      </w:pPr>
      <w:r w:rsidRPr="004374F4">
        <w:rPr>
          <w:rStyle w:val="FootnoteReference"/>
          <w:color w:val="77328A"/>
          <w:sz w:val="16"/>
          <w:szCs w:val="16"/>
        </w:rPr>
        <w:footnoteRef/>
      </w:r>
      <w:r w:rsidRPr="004374F4">
        <w:rPr>
          <w:color w:val="77328A"/>
          <w:sz w:val="16"/>
          <w:szCs w:val="16"/>
        </w:rPr>
        <w:t xml:space="preserve"> Stéphane </w:t>
      </w:r>
      <w:proofErr w:type="spellStart"/>
      <w:r w:rsidRPr="004374F4">
        <w:rPr>
          <w:color w:val="77328A"/>
          <w:sz w:val="16"/>
          <w:szCs w:val="16"/>
        </w:rPr>
        <w:t>Bermon</w:t>
      </w:r>
      <w:proofErr w:type="spellEnd"/>
      <w:r w:rsidRPr="004374F4">
        <w:rPr>
          <w:color w:val="77328A"/>
          <w:sz w:val="16"/>
          <w:szCs w:val="16"/>
        </w:rPr>
        <w:t xml:space="preserve">, Pierre Yves Garnier, Angelica </w:t>
      </w:r>
      <w:proofErr w:type="spellStart"/>
      <w:r w:rsidRPr="004374F4">
        <w:rPr>
          <w:color w:val="77328A"/>
          <w:sz w:val="16"/>
          <w:szCs w:val="16"/>
        </w:rPr>
        <w:t>Lindén</w:t>
      </w:r>
      <w:proofErr w:type="spellEnd"/>
      <w:r w:rsidRPr="004374F4">
        <w:rPr>
          <w:color w:val="77328A"/>
          <w:sz w:val="16"/>
          <w:szCs w:val="16"/>
        </w:rPr>
        <w:t xml:space="preserve"> Hirschberg, Neil Robinson, Sylvain Giraud, Raul </w:t>
      </w:r>
      <w:proofErr w:type="spellStart"/>
      <w:r w:rsidRPr="004374F4">
        <w:rPr>
          <w:color w:val="77328A"/>
          <w:sz w:val="16"/>
          <w:szCs w:val="16"/>
        </w:rPr>
        <w:t>Nicoli</w:t>
      </w:r>
      <w:proofErr w:type="spellEnd"/>
      <w:r w:rsidRPr="004374F4">
        <w:rPr>
          <w:color w:val="77328A"/>
          <w:sz w:val="16"/>
          <w:szCs w:val="16"/>
        </w:rPr>
        <w:t xml:space="preserve">, Norbert Baume, Martial </w:t>
      </w:r>
      <w:proofErr w:type="spellStart"/>
      <w:r w:rsidRPr="004374F4">
        <w:rPr>
          <w:color w:val="77328A"/>
          <w:sz w:val="16"/>
          <w:szCs w:val="16"/>
        </w:rPr>
        <w:t>Saugy</w:t>
      </w:r>
      <w:proofErr w:type="spellEnd"/>
      <w:r w:rsidRPr="004374F4">
        <w:rPr>
          <w:color w:val="77328A"/>
          <w:sz w:val="16"/>
          <w:szCs w:val="16"/>
        </w:rPr>
        <w:t xml:space="preserve">, Patrick </w:t>
      </w:r>
      <w:proofErr w:type="spellStart"/>
      <w:r w:rsidRPr="004374F4">
        <w:rPr>
          <w:color w:val="77328A"/>
          <w:sz w:val="16"/>
          <w:szCs w:val="16"/>
        </w:rPr>
        <w:t>Fénichel</w:t>
      </w:r>
      <w:proofErr w:type="spellEnd"/>
      <w:r w:rsidRPr="004374F4">
        <w:rPr>
          <w:color w:val="77328A"/>
          <w:sz w:val="16"/>
          <w:szCs w:val="16"/>
        </w:rPr>
        <w:t>, Stephen J. Bruce, Serum Androgen Levels in Elite Female Athletes, The Journal of Clinical Endocrinology &amp; Metabolism, Volume 99, Issue 11, 1 November 2014, Pages 4328–4335</w:t>
      </w:r>
      <w:r w:rsidR="00BF48CB">
        <w:rPr>
          <w:color w:val="77328A"/>
          <w:sz w:val="16"/>
          <w:szCs w:val="16"/>
        </w:rPr>
        <w:t>.</w:t>
      </w:r>
    </w:p>
  </w:footnote>
  <w:footnote w:id="128">
    <w:p w14:paraId="4CD7A44F" w14:textId="77777777" w:rsidR="00335DFD" w:rsidRPr="004374F4" w:rsidRDefault="00335DFD" w:rsidP="00335DFD">
      <w:pPr>
        <w:pStyle w:val="FootnoteText"/>
        <w:rPr>
          <w:color w:val="77328A"/>
          <w:sz w:val="16"/>
          <w:szCs w:val="16"/>
        </w:rPr>
      </w:pPr>
      <w:r w:rsidRPr="004374F4">
        <w:rPr>
          <w:rStyle w:val="FootnoteReference"/>
          <w:color w:val="77328A"/>
          <w:sz w:val="16"/>
          <w:szCs w:val="16"/>
        </w:rPr>
        <w:footnoteRef/>
      </w:r>
      <w:r w:rsidRPr="004374F4">
        <w:rPr>
          <w:color w:val="77328A"/>
          <w:sz w:val="16"/>
          <w:szCs w:val="16"/>
        </w:rPr>
        <w:t xml:space="preserve"> Inside the Games, ‘Human Rights Watch join calls for IAAF to scrap new female classification rule’, 26 July 2018.</w:t>
      </w:r>
    </w:p>
  </w:footnote>
  <w:footnote w:id="129">
    <w:p w14:paraId="07C75BFF" w14:textId="77777777" w:rsidR="00335DFD" w:rsidRPr="004374F4" w:rsidRDefault="00335DFD" w:rsidP="00335DFD">
      <w:pPr>
        <w:pStyle w:val="FootnoteText"/>
        <w:rPr>
          <w:color w:val="77328A"/>
          <w:sz w:val="16"/>
          <w:szCs w:val="16"/>
        </w:rPr>
      </w:pPr>
      <w:r w:rsidRPr="004374F4">
        <w:rPr>
          <w:rStyle w:val="FootnoteReference"/>
          <w:color w:val="77328A"/>
          <w:sz w:val="16"/>
          <w:szCs w:val="16"/>
        </w:rPr>
        <w:footnoteRef/>
      </w:r>
      <w:r w:rsidRPr="004374F4">
        <w:rPr>
          <w:color w:val="77328A"/>
          <w:sz w:val="16"/>
          <w:szCs w:val="16"/>
        </w:rPr>
        <w:t xml:space="preserve"> Intersex Human Rights Australia, ‘Women athletes forced to undergo clitorectomies to compete’, 28 April 2014.</w:t>
      </w:r>
    </w:p>
    <w:p w14:paraId="0620EB54" w14:textId="58FA483A" w:rsidR="00335DFD" w:rsidRPr="004374F4" w:rsidRDefault="00030868" w:rsidP="00335DFD">
      <w:pPr>
        <w:pStyle w:val="FootnoteText"/>
        <w:rPr>
          <w:color w:val="77328A"/>
          <w:sz w:val="16"/>
          <w:szCs w:val="16"/>
        </w:rPr>
      </w:pPr>
      <w:r>
        <w:rPr>
          <w:color w:val="77328A"/>
          <w:sz w:val="16"/>
          <w:szCs w:val="16"/>
        </w:rPr>
        <w:t xml:space="preserve">Available at: </w:t>
      </w:r>
      <w:r w:rsidR="00335DFD" w:rsidRPr="004374F4">
        <w:rPr>
          <w:color w:val="77328A"/>
          <w:sz w:val="16"/>
          <w:szCs w:val="16"/>
        </w:rPr>
        <w:t>https://oii.org.au/25610/women-athletes-forced-clitorectomies/</w:t>
      </w:r>
      <w:r>
        <w:rPr>
          <w:color w:val="77328A"/>
          <w:sz w:val="16"/>
          <w:szCs w:val="16"/>
        </w:rPr>
        <w:t>.</w:t>
      </w:r>
    </w:p>
  </w:footnote>
  <w:footnote w:id="130">
    <w:p w14:paraId="28A971C3" w14:textId="77777777" w:rsidR="00335DFD" w:rsidRPr="004374F4" w:rsidRDefault="00335DFD" w:rsidP="00335DFD">
      <w:pPr>
        <w:pStyle w:val="FootnoteText"/>
        <w:rPr>
          <w:color w:val="77328A"/>
          <w:sz w:val="16"/>
          <w:szCs w:val="16"/>
        </w:rPr>
      </w:pPr>
      <w:r w:rsidRPr="004374F4">
        <w:rPr>
          <w:rStyle w:val="FootnoteReference"/>
          <w:color w:val="77328A"/>
          <w:sz w:val="16"/>
          <w:szCs w:val="16"/>
        </w:rPr>
        <w:footnoteRef/>
      </w:r>
      <w:r w:rsidRPr="004374F4">
        <w:rPr>
          <w:color w:val="77328A"/>
          <w:sz w:val="16"/>
          <w:szCs w:val="16"/>
        </w:rPr>
        <w:t xml:space="preserve"> A/HRC/RES/40/5, ‘UN Human Rights Council, Session 40, Resolution 40/5: Elimination of discrimination against women and girls in sport’, 4 April 2019.</w:t>
      </w:r>
    </w:p>
  </w:footnote>
  <w:footnote w:id="131">
    <w:p w14:paraId="077E1BDC" w14:textId="77777777" w:rsidR="00335DFD" w:rsidRPr="004374F4" w:rsidRDefault="00335DFD" w:rsidP="00335DFD">
      <w:pPr>
        <w:pStyle w:val="FootnoteText"/>
        <w:rPr>
          <w:color w:val="77328A"/>
          <w:sz w:val="16"/>
          <w:szCs w:val="16"/>
        </w:rPr>
      </w:pPr>
      <w:r w:rsidRPr="004374F4">
        <w:rPr>
          <w:rStyle w:val="FootnoteReference"/>
          <w:color w:val="77328A"/>
          <w:sz w:val="16"/>
          <w:szCs w:val="16"/>
        </w:rPr>
        <w:footnoteRef/>
      </w:r>
      <w:r w:rsidRPr="004374F4">
        <w:rPr>
          <w:color w:val="77328A"/>
          <w:sz w:val="16"/>
          <w:szCs w:val="16"/>
        </w:rPr>
        <w:t xml:space="preserve"> A/HRC/44/26, ‘UN Human Rights Council, Report of the United Nations High Commissioner for Human Rights, Intersection of race and gender discrimination in sport’, 15 June 2020.</w:t>
      </w:r>
    </w:p>
  </w:footnote>
  <w:footnote w:id="132">
    <w:p w14:paraId="0BFF8E7B" w14:textId="77777777" w:rsidR="00335DFD" w:rsidRPr="004374F4" w:rsidRDefault="00335DFD" w:rsidP="00335DFD">
      <w:pPr>
        <w:pStyle w:val="FootnoteText"/>
        <w:rPr>
          <w:color w:val="77328A"/>
          <w:sz w:val="16"/>
          <w:szCs w:val="16"/>
        </w:rPr>
      </w:pPr>
      <w:r w:rsidRPr="004374F4">
        <w:rPr>
          <w:rStyle w:val="FootnoteReference"/>
          <w:color w:val="77328A"/>
          <w:sz w:val="16"/>
          <w:szCs w:val="16"/>
        </w:rPr>
        <w:footnoteRef/>
      </w:r>
      <w:r w:rsidRPr="004374F4">
        <w:rPr>
          <w:color w:val="77328A"/>
          <w:sz w:val="16"/>
          <w:szCs w:val="16"/>
        </w:rPr>
        <w:t xml:space="preserve"> A/HRC/40/L.10/Rev.1, ‘UN Human Rights Council, Promotion and protection of all human rights, civil, political, economic, social and cultural rights, including the right to development’, March 2019.</w:t>
      </w:r>
    </w:p>
  </w:footnote>
  <w:footnote w:id="133">
    <w:p w14:paraId="6609CA11" w14:textId="77777777" w:rsidR="00335DFD" w:rsidRPr="00102AF4" w:rsidRDefault="00335DFD" w:rsidP="00335DFD">
      <w:pPr>
        <w:pStyle w:val="FootnoteText"/>
        <w:rPr>
          <w:color w:val="77328A"/>
          <w:sz w:val="16"/>
          <w:szCs w:val="16"/>
        </w:rPr>
      </w:pPr>
      <w:r w:rsidRPr="004374F4">
        <w:rPr>
          <w:rStyle w:val="FootnoteReference"/>
          <w:color w:val="77328A"/>
          <w:sz w:val="16"/>
          <w:szCs w:val="16"/>
        </w:rPr>
        <w:footnoteRef/>
      </w:r>
      <w:r w:rsidRPr="004374F4">
        <w:rPr>
          <w:color w:val="77328A"/>
          <w:sz w:val="16"/>
          <w:szCs w:val="16"/>
        </w:rPr>
        <w:t xml:space="preserve"> A/HRC/32/33, ‘Report of the Special Rapporteur on the right of everyone to the enjoyment of the highest attainable </w:t>
      </w:r>
      <w:r w:rsidRPr="00102AF4">
        <w:rPr>
          <w:color w:val="77328A"/>
          <w:sz w:val="16"/>
          <w:szCs w:val="16"/>
        </w:rPr>
        <w:t xml:space="preserve">standard of physical and mental health’, 4 April 2016, at para 57. </w:t>
      </w:r>
    </w:p>
  </w:footnote>
  <w:footnote w:id="134">
    <w:p w14:paraId="35EE8BAE" w14:textId="7E34DC2E" w:rsidR="00030868" w:rsidRPr="007D6319" w:rsidRDefault="00030868">
      <w:pPr>
        <w:pStyle w:val="FootnoteText"/>
        <w:rPr>
          <w:color w:val="77328A"/>
          <w:sz w:val="16"/>
          <w:szCs w:val="16"/>
        </w:rPr>
      </w:pPr>
      <w:r w:rsidRPr="007D6319">
        <w:rPr>
          <w:rStyle w:val="FootnoteReference"/>
          <w:color w:val="77328A"/>
          <w:sz w:val="16"/>
          <w:szCs w:val="16"/>
        </w:rPr>
        <w:footnoteRef/>
      </w:r>
      <w:r w:rsidRPr="007D6319">
        <w:rPr>
          <w:color w:val="77328A"/>
          <w:sz w:val="16"/>
          <w:szCs w:val="16"/>
        </w:rPr>
        <w:t xml:space="preserve"> </w:t>
      </w:r>
      <w:r w:rsidR="007D6319" w:rsidRPr="007901C8">
        <w:rPr>
          <w:color w:val="77328A"/>
          <w:sz w:val="16"/>
          <w:szCs w:val="16"/>
        </w:rPr>
        <w:t>The Yogyakarta Principles plus 10 Additional Principles and State Obligations on the Application of International Human Rights Law in Relation to Sexual Orientation, Gender Identity, Gender Expression and Sex Characteristics to complement the Yogyakarta Principles, 10 November 2017</w:t>
      </w:r>
      <w:r>
        <w:rPr>
          <w:color w:val="77328A"/>
          <w:sz w:val="16"/>
          <w:szCs w:val="16"/>
        </w:rPr>
        <w:t xml:space="preserve">, </w:t>
      </w:r>
      <w:r w:rsidRPr="007D6319">
        <w:rPr>
          <w:color w:val="77328A"/>
          <w:sz w:val="16"/>
          <w:szCs w:val="16"/>
        </w:rPr>
        <w:t>Principle 32.</w:t>
      </w:r>
    </w:p>
  </w:footnote>
  <w:footnote w:id="135">
    <w:p w14:paraId="458213D1" w14:textId="6FD3A037" w:rsidR="00030868" w:rsidRPr="007D6319" w:rsidRDefault="00030868">
      <w:pPr>
        <w:pStyle w:val="FootnoteText"/>
        <w:rPr>
          <w:sz w:val="16"/>
          <w:szCs w:val="16"/>
        </w:rPr>
      </w:pPr>
      <w:r w:rsidRPr="007D6319">
        <w:rPr>
          <w:rStyle w:val="FootnoteReference"/>
          <w:color w:val="77328A"/>
          <w:sz w:val="16"/>
          <w:szCs w:val="16"/>
        </w:rPr>
        <w:footnoteRef/>
      </w:r>
      <w:r w:rsidRPr="007D6319">
        <w:rPr>
          <w:color w:val="77328A"/>
          <w:sz w:val="16"/>
          <w:szCs w:val="16"/>
        </w:rPr>
        <w:t xml:space="preserve"> Ibid, Principle 32B.</w:t>
      </w:r>
    </w:p>
  </w:footnote>
  <w:footnote w:id="136">
    <w:p w14:paraId="383D75BC" w14:textId="77777777" w:rsidR="00030868" w:rsidRPr="00102AF4" w:rsidRDefault="00030868" w:rsidP="00030868">
      <w:pPr>
        <w:pStyle w:val="FootnoteText"/>
        <w:rPr>
          <w:color w:val="77328A"/>
          <w:sz w:val="16"/>
          <w:szCs w:val="16"/>
        </w:rPr>
      </w:pPr>
      <w:r w:rsidRPr="00102AF4">
        <w:rPr>
          <w:rStyle w:val="FootnoteReference"/>
          <w:color w:val="77328A"/>
          <w:sz w:val="16"/>
          <w:szCs w:val="16"/>
        </w:rPr>
        <w:footnoteRef/>
      </w:r>
      <w:r w:rsidRPr="00102AF4">
        <w:rPr>
          <w:color w:val="77328A"/>
          <w:sz w:val="16"/>
          <w:szCs w:val="16"/>
        </w:rPr>
        <w:t xml:space="preserve"> Ibid, </w:t>
      </w:r>
      <w:r>
        <w:rPr>
          <w:color w:val="77328A"/>
          <w:sz w:val="16"/>
          <w:szCs w:val="16"/>
        </w:rPr>
        <w:t>Principle 32D</w:t>
      </w:r>
      <w:r w:rsidRPr="00102AF4">
        <w:rPr>
          <w:color w:val="77328A"/>
          <w:sz w:val="16"/>
          <w:szCs w:val="16"/>
        </w:rPr>
        <w:t>.</w:t>
      </w:r>
    </w:p>
  </w:footnote>
  <w:footnote w:id="137">
    <w:p w14:paraId="2099CFA9" w14:textId="77777777" w:rsidR="00335DFD" w:rsidRPr="004374F4" w:rsidRDefault="00335DFD" w:rsidP="00335DFD">
      <w:pPr>
        <w:pStyle w:val="FootnoteText"/>
        <w:rPr>
          <w:color w:val="77328A"/>
        </w:rPr>
      </w:pPr>
      <w:r w:rsidRPr="00102AF4">
        <w:rPr>
          <w:rStyle w:val="FootnoteReference"/>
          <w:color w:val="77328A"/>
          <w:sz w:val="16"/>
          <w:szCs w:val="16"/>
        </w:rPr>
        <w:footnoteRef/>
      </w:r>
      <w:r w:rsidRPr="00102AF4">
        <w:rPr>
          <w:color w:val="77328A"/>
          <w:sz w:val="16"/>
          <w:szCs w:val="16"/>
        </w:rPr>
        <w:t xml:space="preserve"> International Olympic Committee, ‘Framework on Fairness, Inclusion and Non-Discrimination </w:t>
      </w:r>
      <w:proofErr w:type="gramStart"/>
      <w:r w:rsidRPr="00102AF4">
        <w:rPr>
          <w:color w:val="77328A"/>
          <w:sz w:val="16"/>
          <w:szCs w:val="16"/>
        </w:rPr>
        <w:t>on the Basis of</w:t>
      </w:r>
      <w:proofErr w:type="gramEnd"/>
      <w:r w:rsidRPr="00102AF4">
        <w:rPr>
          <w:color w:val="77328A"/>
          <w:sz w:val="16"/>
          <w:szCs w:val="16"/>
        </w:rPr>
        <w:t xml:space="preserve"> Gender Identity and Sex Variations’, 16 November 2021.</w:t>
      </w:r>
    </w:p>
  </w:footnote>
  <w:footnote w:id="138">
    <w:p w14:paraId="47C045EF" w14:textId="77777777" w:rsidR="00335DFD" w:rsidRPr="004374F4" w:rsidRDefault="00335DFD" w:rsidP="00335DFD">
      <w:pPr>
        <w:pStyle w:val="FootnoteText"/>
        <w:rPr>
          <w:color w:val="77328A"/>
          <w:sz w:val="16"/>
          <w:szCs w:val="16"/>
        </w:rPr>
      </w:pPr>
      <w:r w:rsidRPr="004374F4">
        <w:rPr>
          <w:rStyle w:val="FootnoteReference"/>
          <w:color w:val="77328A"/>
          <w:sz w:val="16"/>
          <w:szCs w:val="16"/>
        </w:rPr>
        <w:footnoteRef/>
      </w:r>
      <w:r w:rsidRPr="004374F4">
        <w:rPr>
          <w:color w:val="77328A"/>
          <w:sz w:val="16"/>
          <w:szCs w:val="16"/>
        </w:rPr>
        <w:t xml:space="preserve"> Matt Slater, ‘Sport &amp; gender: A history of bad science &amp; 'biological racism', </w:t>
      </w:r>
      <w:r w:rsidRPr="004374F4">
        <w:rPr>
          <w:i/>
          <w:iCs/>
          <w:color w:val="77328A"/>
          <w:sz w:val="16"/>
          <w:szCs w:val="16"/>
        </w:rPr>
        <w:t>BBC Sport</w:t>
      </w:r>
      <w:r w:rsidRPr="004374F4">
        <w:rPr>
          <w:color w:val="77328A"/>
          <w:sz w:val="16"/>
          <w:szCs w:val="16"/>
        </w:rPr>
        <w:t>, 28 July 2015.</w:t>
      </w:r>
    </w:p>
  </w:footnote>
  <w:footnote w:id="139">
    <w:p w14:paraId="3647BCDD" w14:textId="77777777" w:rsidR="00335DFD" w:rsidRPr="004374F4" w:rsidRDefault="00335DFD" w:rsidP="00335DFD">
      <w:pPr>
        <w:pStyle w:val="FootnoteText"/>
        <w:rPr>
          <w:color w:val="77328A"/>
          <w:sz w:val="16"/>
          <w:szCs w:val="16"/>
        </w:rPr>
      </w:pPr>
      <w:r w:rsidRPr="004374F4">
        <w:rPr>
          <w:rStyle w:val="FootnoteReference"/>
          <w:color w:val="77328A"/>
          <w:sz w:val="16"/>
          <w:szCs w:val="16"/>
        </w:rPr>
        <w:footnoteRef/>
      </w:r>
      <w:r w:rsidRPr="004374F4">
        <w:rPr>
          <w:color w:val="77328A"/>
          <w:sz w:val="16"/>
          <w:szCs w:val="16"/>
        </w:rPr>
        <w:t xml:space="preserve"> CAS 2014/A/3759 </w:t>
      </w:r>
      <w:proofErr w:type="spellStart"/>
      <w:r w:rsidRPr="004374F4">
        <w:rPr>
          <w:color w:val="77328A"/>
          <w:sz w:val="16"/>
          <w:szCs w:val="16"/>
        </w:rPr>
        <w:t>Dutee</w:t>
      </w:r>
      <w:proofErr w:type="spellEnd"/>
      <w:r w:rsidRPr="004374F4">
        <w:rPr>
          <w:color w:val="77328A"/>
          <w:sz w:val="16"/>
          <w:szCs w:val="16"/>
        </w:rPr>
        <w:t xml:space="preserve"> Chand v. Athletics Federation of India (AFI) &amp; The International Association of Athletics Federations (IAAF).</w:t>
      </w:r>
    </w:p>
  </w:footnote>
  <w:footnote w:id="140">
    <w:p w14:paraId="44565879" w14:textId="77777777" w:rsidR="008372C8" w:rsidRPr="004374F4" w:rsidRDefault="008372C8" w:rsidP="008372C8">
      <w:pPr>
        <w:pStyle w:val="FootnoteText"/>
        <w:rPr>
          <w:color w:val="77328A"/>
          <w:sz w:val="16"/>
          <w:szCs w:val="16"/>
        </w:rPr>
      </w:pPr>
      <w:r w:rsidRPr="004374F4">
        <w:rPr>
          <w:rStyle w:val="FootnoteReference"/>
          <w:color w:val="77328A"/>
          <w:sz w:val="16"/>
          <w:szCs w:val="16"/>
        </w:rPr>
        <w:footnoteRef/>
      </w:r>
      <w:r w:rsidRPr="004374F4">
        <w:rPr>
          <w:color w:val="77328A"/>
          <w:sz w:val="16"/>
          <w:szCs w:val="16"/>
        </w:rPr>
        <w:t xml:space="preserve"> </w:t>
      </w:r>
      <w:bookmarkStart w:id="44" w:name="_Hlk120703893"/>
      <w:r w:rsidRPr="004374F4">
        <w:rPr>
          <w:color w:val="77328A"/>
          <w:sz w:val="16"/>
          <w:szCs w:val="16"/>
        </w:rPr>
        <w:t>A/HRC/40/L.10/Rev.1, ‘Resolution 40/5 The Elimination of Discrimination Against Women and Girls in Sport’, 20 March 2019.</w:t>
      </w:r>
      <w:bookmarkEnd w:id="44"/>
    </w:p>
  </w:footnote>
  <w:footnote w:id="141">
    <w:p w14:paraId="23F0059A" w14:textId="77777777" w:rsidR="00335DFD" w:rsidRPr="004374F4" w:rsidRDefault="00335DFD" w:rsidP="00335DFD">
      <w:pPr>
        <w:pStyle w:val="FootnoteText"/>
        <w:rPr>
          <w:color w:val="77328A"/>
          <w:sz w:val="16"/>
          <w:szCs w:val="16"/>
        </w:rPr>
      </w:pPr>
      <w:r w:rsidRPr="004374F4">
        <w:rPr>
          <w:rStyle w:val="FootnoteReference"/>
          <w:color w:val="77328A"/>
          <w:sz w:val="16"/>
          <w:szCs w:val="16"/>
        </w:rPr>
        <w:footnoteRef/>
      </w:r>
      <w:r w:rsidRPr="004374F4">
        <w:rPr>
          <w:color w:val="77328A"/>
          <w:sz w:val="16"/>
          <w:szCs w:val="16"/>
        </w:rPr>
        <w:t xml:space="preserve"> Sean Ingle, ‘Caster Semenya accuses IAAF of using her as a “guinea pig experiment”’, </w:t>
      </w:r>
      <w:r w:rsidRPr="004374F4">
        <w:rPr>
          <w:i/>
          <w:iCs/>
          <w:color w:val="77328A"/>
          <w:sz w:val="16"/>
          <w:szCs w:val="16"/>
        </w:rPr>
        <w:t>The Guardian</w:t>
      </w:r>
      <w:r w:rsidRPr="004374F4">
        <w:rPr>
          <w:color w:val="77328A"/>
          <w:sz w:val="16"/>
          <w:szCs w:val="16"/>
        </w:rPr>
        <w:t>, 18 June 2019.</w:t>
      </w:r>
    </w:p>
  </w:footnote>
  <w:footnote w:id="142">
    <w:p w14:paraId="4A13B93D" w14:textId="77777777" w:rsidR="00335DFD" w:rsidRPr="004374F4" w:rsidRDefault="00335DFD" w:rsidP="00335DFD">
      <w:pPr>
        <w:pStyle w:val="FootnoteText"/>
        <w:rPr>
          <w:color w:val="77328A"/>
          <w:sz w:val="16"/>
          <w:szCs w:val="16"/>
        </w:rPr>
      </w:pPr>
      <w:r w:rsidRPr="004374F4">
        <w:rPr>
          <w:rStyle w:val="FootnoteReference"/>
          <w:color w:val="77328A"/>
          <w:sz w:val="16"/>
          <w:szCs w:val="16"/>
        </w:rPr>
        <w:footnoteRef/>
      </w:r>
      <w:r w:rsidRPr="004374F4">
        <w:rPr>
          <w:color w:val="77328A"/>
          <w:sz w:val="16"/>
          <w:szCs w:val="16"/>
        </w:rPr>
        <w:t xml:space="preserve"> International Association of Athletics Federations, ‘Eligibility Regulations for the Female Classification (Athletes with Differences of Sex Development)’, Version 1.1, 23 April 2018.</w:t>
      </w:r>
    </w:p>
  </w:footnote>
  <w:footnote w:id="143">
    <w:p w14:paraId="71B64042" w14:textId="77777777" w:rsidR="00335DFD" w:rsidRPr="004374F4" w:rsidRDefault="00335DFD" w:rsidP="00335DFD">
      <w:pPr>
        <w:pStyle w:val="FootnoteText"/>
        <w:rPr>
          <w:color w:val="77328A"/>
          <w:sz w:val="16"/>
          <w:szCs w:val="16"/>
        </w:rPr>
      </w:pPr>
      <w:r w:rsidRPr="004374F4">
        <w:rPr>
          <w:rStyle w:val="FootnoteReference"/>
          <w:color w:val="77328A"/>
          <w:sz w:val="16"/>
          <w:szCs w:val="16"/>
        </w:rPr>
        <w:footnoteRef/>
      </w:r>
      <w:r w:rsidRPr="004374F4">
        <w:rPr>
          <w:color w:val="77328A"/>
          <w:sz w:val="16"/>
          <w:szCs w:val="16"/>
        </w:rPr>
        <w:t xml:space="preserve"> CAS 2018/O/5794 </w:t>
      </w:r>
      <w:proofErr w:type="spellStart"/>
      <w:r w:rsidRPr="004374F4">
        <w:rPr>
          <w:color w:val="77328A"/>
          <w:sz w:val="16"/>
          <w:szCs w:val="16"/>
        </w:rPr>
        <w:t>Mokgadi</w:t>
      </w:r>
      <w:proofErr w:type="spellEnd"/>
      <w:r w:rsidRPr="004374F4">
        <w:rPr>
          <w:color w:val="77328A"/>
          <w:sz w:val="16"/>
          <w:szCs w:val="16"/>
        </w:rPr>
        <w:t xml:space="preserve"> Caster Semenya v. International Association of Athletics Federations &amp; CAS 2018/O/5798 Athletics South Africa v. International Association of Athletics Federations.</w:t>
      </w:r>
    </w:p>
  </w:footnote>
  <w:footnote w:id="144">
    <w:p w14:paraId="77CC21C7" w14:textId="77777777" w:rsidR="00335DFD" w:rsidRPr="004374F4" w:rsidRDefault="00335DFD" w:rsidP="00335DFD">
      <w:pPr>
        <w:pStyle w:val="FootnoteText"/>
        <w:rPr>
          <w:color w:val="77328A"/>
          <w:sz w:val="16"/>
          <w:szCs w:val="16"/>
        </w:rPr>
      </w:pPr>
      <w:r w:rsidRPr="004374F4">
        <w:rPr>
          <w:rStyle w:val="FootnoteReference"/>
          <w:color w:val="77328A"/>
          <w:sz w:val="16"/>
          <w:szCs w:val="16"/>
        </w:rPr>
        <w:footnoteRef/>
      </w:r>
      <w:r w:rsidRPr="004374F4">
        <w:rPr>
          <w:color w:val="77328A"/>
          <w:sz w:val="16"/>
          <w:szCs w:val="16"/>
        </w:rPr>
        <w:t xml:space="preserve"> Tribunal Federal Judgment of 25 August 2020 (4A_248/2019, 4A_398/2019)</w:t>
      </w:r>
    </w:p>
  </w:footnote>
  <w:footnote w:id="145">
    <w:p w14:paraId="6D38CE98" w14:textId="77777777" w:rsidR="00335DFD" w:rsidRPr="004374F4" w:rsidRDefault="00335DFD" w:rsidP="00335DFD">
      <w:pPr>
        <w:pStyle w:val="FootnoteText"/>
        <w:rPr>
          <w:color w:val="77328A"/>
          <w:sz w:val="16"/>
          <w:szCs w:val="16"/>
        </w:rPr>
      </w:pPr>
      <w:r w:rsidRPr="004374F4">
        <w:rPr>
          <w:rStyle w:val="FootnoteReference"/>
          <w:color w:val="77328A"/>
          <w:sz w:val="16"/>
          <w:szCs w:val="16"/>
        </w:rPr>
        <w:footnoteRef/>
      </w:r>
      <w:r w:rsidRPr="004374F4">
        <w:rPr>
          <w:color w:val="77328A"/>
          <w:sz w:val="16"/>
          <w:szCs w:val="16"/>
        </w:rPr>
        <w:t xml:space="preserve"> Semenya v. Switzerland, Application no. 10934/21.</w:t>
      </w:r>
    </w:p>
  </w:footnote>
  <w:footnote w:id="146">
    <w:p w14:paraId="375A8E70" w14:textId="77777777" w:rsidR="00335DFD" w:rsidRPr="00737F1F" w:rsidRDefault="00335DFD" w:rsidP="00335DFD">
      <w:pPr>
        <w:pStyle w:val="FootnoteText"/>
        <w:rPr>
          <w:color w:val="77328A"/>
          <w:sz w:val="16"/>
          <w:szCs w:val="16"/>
        </w:rPr>
      </w:pPr>
      <w:r w:rsidRPr="004374F4">
        <w:rPr>
          <w:rStyle w:val="FootnoteReference"/>
          <w:color w:val="77328A"/>
          <w:sz w:val="16"/>
          <w:szCs w:val="16"/>
        </w:rPr>
        <w:footnoteRef/>
      </w:r>
      <w:r w:rsidRPr="004374F4">
        <w:rPr>
          <w:color w:val="77328A"/>
          <w:sz w:val="16"/>
          <w:szCs w:val="16"/>
        </w:rPr>
        <w:t xml:space="preserve"> </w:t>
      </w:r>
      <w:proofErr w:type="spellStart"/>
      <w:r w:rsidRPr="00737F1F">
        <w:rPr>
          <w:color w:val="77328A"/>
          <w:sz w:val="16"/>
          <w:szCs w:val="16"/>
        </w:rPr>
        <w:t>Bărbulescu</w:t>
      </w:r>
      <w:proofErr w:type="spellEnd"/>
      <w:r w:rsidRPr="00737F1F">
        <w:rPr>
          <w:color w:val="77328A"/>
          <w:sz w:val="16"/>
          <w:szCs w:val="16"/>
        </w:rPr>
        <w:t xml:space="preserve"> v. Romania, Application. no. 61496/08, 5 September 2017, at para 108.</w:t>
      </w:r>
    </w:p>
  </w:footnote>
  <w:footnote w:id="147">
    <w:p w14:paraId="281723D9" w14:textId="77777777" w:rsidR="00335DFD" w:rsidRPr="00737F1F" w:rsidRDefault="00335DFD" w:rsidP="00335DFD">
      <w:pPr>
        <w:pStyle w:val="FootnoteText"/>
        <w:rPr>
          <w:color w:val="77328A"/>
          <w:sz w:val="16"/>
          <w:szCs w:val="16"/>
        </w:rPr>
      </w:pPr>
      <w:r w:rsidRPr="00737F1F">
        <w:rPr>
          <w:rStyle w:val="FootnoteReference"/>
          <w:color w:val="77328A"/>
          <w:sz w:val="16"/>
          <w:szCs w:val="16"/>
        </w:rPr>
        <w:footnoteRef/>
      </w:r>
      <w:r w:rsidRPr="00737F1F">
        <w:rPr>
          <w:color w:val="77328A"/>
          <w:sz w:val="16"/>
          <w:szCs w:val="16"/>
        </w:rPr>
        <w:t xml:space="preserve"> Evans v. the United Kingdom, Application no. 6339/05, 10 April 2007, at para 75.</w:t>
      </w:r>
    </w:p>
  </w:footnote>
  <w:footnote w:id="148">
    <w:p w14:paraId="6227F36B" w14:textId="5337B62B" w:rsidR="00737F1F" w:rsidRPr="008035BD" w:rsidRDefault="00737F1F">
      <w:pPr>
        <w:pStyle w:val="FootnoteText"/>
        <w:rPr>
          <w:color w:val="77328A"/>
          <w:sz w:val="16"/>
          <w:szCs w:val="16"/>
        </w:rPr>
      </w:pPr>
      <w:r w:rsidRPr="008035BD">
        <w:rPr>
          <w:rStyle w:val="FootnoteReference"/>
          <w:color w:val="77328A"/>
          <w:sz w:val="16"/>
          <w:szCs w:val="16"/>
        </w:rPr>
        <w:footnoteRef/>
      </w:r>
      <w:r w:rsidRPr="008035BD">
        <w:rPr>
          <w:color w:val="77328A"/>
          <w:sz w:val="16"/>
          <w:szCs w:val="16"/>
        </w:rPr>
        <w:t xml:space="preserve"> Section 1(1), Gender Recognition Act 2004.</w:t>
      </w:r>
    </w:p>
  </w:footnote>
  <w:footnote w:id="149">
    <w:p w14:paraId="573ED748" w14:textId="684B342D" w:rsidR="00007A7B" w:rsidRPr="00742C0F" w:rsidRDefault="00007A7B" w:rsidP="00007A7B">
      <w:pPr>
        <w:pStyle w:val="FootnoteText"/>
        <w:rPr>
          <w:color w:val="77328A"/>
          <w:sz w:val="16"/>
          <w:szCs w:val="16"/>
        </w:rPr>
      </w:pPr>
      <w:r w:rsidRPr="00737F1F">
        <w:rPr>
          <w:rStyle w:val="FootnoteReference"/>
          <w:color w:val="77328A"/>
          <w:sz w:val="16"/>
          <w:szCs w:val="16"/>
        </w:rPr>
        <w:footnoteRef/>
      </w:r>
      <w:r w:rsidRPr="00737F1F">
        <w:rPr>
          <w:color w:val="77328A"/>
          <w:sz w:val="16"/>
          <w:szCs w:val="16"/>
        </w:rPr>
        <w:t xml:space="preserve"> </w:t>
      </w:r>
      <w:r w:rsidR="00033E86" w:rsidRPr="00737F1F">
        <w:rPr>
          <w:color w:val="77328A"/>
          <w:sz w:val="16"/>
          <w:szCs w:val="16"/>
        </w:rPr>
        <w:t>The Yogyakarta Principles plus 10 Additional Principles and State Obligations on the Application of International Human Rights Law in Relation to Sexual Orientation</w:t>
      </w:r>
      <w:r w:rsidR="00033E86" w:rsidRPr="00742C0F">
        <w:rPr>
          <w:color w:val="77328A"/>
          <w:sz w:val="16"/>
          <w:szCs w:val="16"/>
        </w:rPr>
        <w:t>, Gender Identity, Gender Expression and Sex Characteristics to complement the Yogyakarta Principles, 10 November 2017</w:t>
      </w:r>
      <w:r w:rsidRPr="00742C0F">
        <w:rPr>
          <w:color w:val="77328A"/>
          <w:sz w:val="16"/>
          <w:szCs w:val="16"/>
        </w:rPr>
        <w:t>, at 17.</w:t>
      </w:r>
    </w:p>
  </w:footnote>
  <w:footnote w:id="150">
    <w:p w14:paraId="7752A68B" w14:textId="36AEC0C7" w:rsidR="00742C0F" w:rsidRPr="000F728E" w:rsidRDefault="00742C0F">
      <w:pPr>
        <w:pStyle w:val="FootnoteText"/>
        <w:rPr>
          <w:color w:val="77328A"/>
          <w:sz w:val="16"/>
          <w:szCs w:val="16"/>
        </w:rPr>
      </w:pPr>
      <w:r w:rsidRPr="000F728E">
        <w:rPr>
          <w:rStyle w:val="FootnoteReference"/>
          <w:color w:val="77328A"/>
          <w:sz w:val="16"/>
          <w:szCs w:val="16"/>
        </w:rPr>
        <w:footnoteRef/>
      </w:r>
      <w:r w:rsidRPr="000F728E">
        <w:rPr>
          <w:color w:val="77328A"/>
          <w:sz w:val="16"/>
          <w:szCs w:val="16"/>
        </w:rPr>
        <w:t xml:space="preserve"> </w:t>
      </w:r>
      <w:proofErr w:type="spellStart"/>
      <w:r w:rsidR="00104ECA" w:rsidRPr="00104ECA">
        <w:rPr>
          <w:color w:val="77328A"/>
          <w:sz w:val="16"/>
          <w:szCs w:val="16"/>
        </w:rPr>
        <w:t>Mutu</w:t>
      </w:r>
      <w:proofErr w:type="spellEnd"/>
      <w:r w:rsidR="00104ECA" w:rsidRPr="00104ECA">
        <w:rPr>
          <w:color w:val="77328A"/>
          <w:sz w:val="16"/>
          <w:szCs w:val="16"/>
        </w:rPr>
        <w:t xml:space="preserve"> and </w:t>
      </w:r>
      <w:proofErr w:type="spellStart"/>
      <w:r w:rsidR="00104ECA" w:rsidRPr="00104ECA">
        <w:rPr>
          <w:color w:val="77328A"/>
          <w:sz w:val="16"/>
          <w:szCs w:val="16"/>
        </w:rPr>
        <w:t>Pechstein</w:t>
      </w:r>
      <w:proofErr w:type="spellEnd"/>
      <w:r w:rsidR="00104ECA" w:rsidRPr="00104ECA">
        <w:rPr>
          <w:color w:val="77328A"/>
          <w:sz w:val="16"/>
          <w:szCs w:val="16"/>
        </w:rPr>
        <w:t xml:space="preserve"> v. Switzerland, Applications nos. 40575/10 and 67474/1040575/10, 2 October 2018</w:t>
      </w:r>
      <w:r w:rsidRPr="000F728E">
        <w:rPr>
          <w:color w:val="77328A"/>
          <w:sz w:val="16"/>
          <w:szCs w:val="16"/>
        </w:rPr>
        <w:t>, at para</w:t>
      </w:r>
      <w:r w:rsidR="00E92EAA">
        <w:rPr>
          <w:color w:val="77328A"/>
          <w:sz w:val="16"/>
          <w:szCs w:val="16"/>
        </w:rPr>
        <w:t>s</w:t>
      </w:r>
      <w:r w:rsidRPr="000F728E">
        <w:rPr>
          <w:color w:val="77328A"/>
          <w:sz w:val="16"/>
          <w:szCs w:val="16"/>
        </w:rPr>
        <w:t xml:space="preserve"> 114-115.</w:t>
      </w:r>
    </w:p>
  </w:footnote>
  <w:footnote w:id="151">
    <w:p w14:paraId="722398FD" w14:textId="750536A2" w:rsidR="002C130E" w:rsidRPr="00742C0F" w:rsidRDefault="002C130E" w:rsidP="002C130E">
      <w:pPr>
        <w:pStyle w:val="FootnoteText"/>
        <w:rPr>
          <w:color w:val="77328A"/>
          <w:sz w:val="16"/>
          <w:szCs w:val="16"/>
        </w:rPr>
      </w:pPr>
      <w:r w:rsidRPr="00742C0F">
        <w:rPr>
          <w:rStyle w:val="FootnoteReference"/>
          <w:color w:val="77328A"/>
          <w:sz w:val="16"/>
          <w:szCs w:val="16"/>
        </w:rPr>
        <w:footnoteRef/>
      </w:r>
      <w:r w:rsidRPr="00742C0F">
        <w:rPr>
          <w:color w:val="77328A"/>
          <w:sz w:val="16"/>
          <w:szCs w:val="16"/>
        </w:rPr>
        <w:t xml:space="preserve"> </w:t>
      </w:r>
      <w:r w:rsidR="008B08F5" w:rsidRPr="008B08F5">
        <w:rPr>
          <w:color w:val="77328A"/>
          <w:sz w:val="16"/>
          <w:szCs w:val="16"/>
        </w:rPr>
        <w:t>Ali Riza and others v. Turkey, Application nos. 30226/10 and 4 others, 20 January 2020</w:t>
      </w:r>
      <w:r w:rsidRPr="00742C0F">
        <w:rPr>
          <w:color w:val="77328A"/>
          <w:sz w:val="16"/>
          <w:szCs w:val="16"/>
        </w:rPr>
        <w:t>, at para 180.</w:t>
      </w:r>
    </w:p>
  </w:footnote>
  <w:footnote w:id="152">
    <w:p w14:paraId="13705AC3" w14:textId="77777777" w:rsidR="00684D42" w:rsidRPr="00102AF4" w:rsidRDefault="00684D42" w:rsidP="00684D42">
      <w:pPr>
        <w:pStyle w:val="FootnoteText"/>
        <w:rPr>
          <w:color w:val="77328A"/>
          <w:sz w:val="16"/>
          <w:szCs w:val="16"/>
        </w:rPr>
      </w:pPr>
      <w:r w:rsidRPr="00742C0F">
        <w:rPr>
          <w:rStyle w:val="FootnoteReference"/>
          <w:color w:val="77328A"/>
          <w:sz w:val="16"/>
          <w:szCs w:val="16"/>
        </w:rPr>
        <w:footnoteRef/>
      </w:r>
      <w:r w:rsidRPr="00742C0F">
        <w:rPr>
          <w:color w:val="77328A"/>
          <w:sz w:val="16"/>
          <w:szCs w:val="16"/>
        </w:rPr>
        <w:t xml:space="preserve"> National Federation of Sportspersons’ Associations and Unions (FNASS) and others v. France, Application nos. 48151/11 and 77769/13, 18 January 2018, at para 158.</w:t>
      </w:r>
    </w:p>
  </w:footnote>
  <w:footnote w:id="153">
    <w:p w14:paraId="18614287" w14:textId="77777777" w:rsidR="00A9009C" w:rsidRPr="00102AF4" w:rsidRDefault="00A9009C" w:rsidP="00A9009C">
      <w:pPr>
        <w:pStyle w:val="FootnoteText"/>
        <w:rPr>
          <w:color w:val="77328A"/>
        </w:rPr>
      </w:pPr>
      <w:r w:rsidRPr="00102AF4">
        <w:rPr>
          <w:rStyle w:val="FootnoteReference"/>
          <w:color w:val="77328A"/>
          <w:sz w:val="16"/>
          <w:szCs w:val="16"/>
        </w:rPr>
        <w:footnoteRef/>
      </w:r>
      <w:r w:rsidRPr="00102AF4">
        <w:rPr>
          <w:color w:val="77328A"/>
          <w:sz w:val="16"/>
          <w:szCs w:val="16"/>
        </w:rPr>
        <w:t xml:space="preserve"> </w:t>
      </w:r>
      <w:proofErr w:type="spellStart"/>
      <w:r w:rsidRPr="00102AF4">
        <w:rPr>
          <w:color w:val="77328A"/>
          <w:sz w:val="16"/>
          <w:szCs w:val="16"/>
        </w:rPr>
        <w:t>Bărbulescu</w:t>
      </w:r>
      <w:proofErr w:type="spellEnd"/>
      <w:r w:rsidRPr="00102AF4">
        <w:rPr>
          <w:color w:val="77328A"/>
          <w:sz w:val="16"/>
          <w:szCs w:val="16"/>
        </w:rPr>
        <w:t xml:space="preserve"> v. Romania [GC], Application no. 61496/08, 5 September 2017 at para 112.</w:t>
      </w:r>
    </w:p>
  </w:footnote>
  <w:footnote w:id="154">
    <w:p w14:paraId="1E18EDBB" w14:textId="5C8A1385" w:rsidR="0008549C" w:rsidRPr="00DF4624" w:rsidRDefault="0008549C" w:rsidP="0008549C">
      <w:pPr>
        <w:pStyle w:val="FootnoteText"/>
        <w:rPr>
          <w:color w:val="77328A"/>
          <w:sz w:val="16"/>
          <w:szCs w:val="16"/>
        </w:rPr>
      </w:pPr>
      <w:r w:rsidRPr="00DF4624">
        <w:rPr>
          <w:rStyle w:val="FootnoteReference"/>
          <w:color w:val="77328A"/>
          <w:sz w:val="16"/>
          <w:szCs w:val="16"/>
        </w:rPr>
        <w:footnoteRef/>
      </w:r>
      <w:r w:rsidRPr="00DF4624">
        <w:rPr>
          <w:color w:val="77328A"/>
          <w:sz w:val="16"/>
          <w:szCs w:val="16"/>
        </w:rPr>
        <w:t xml:space="preserve"> </w:t>
      </w:r>
      <w:proofErr w:type="spellStart"/>
      <w:r w:rsidRPr="00DF4624">
        <w:rPr>
          <w:color w:val="77328A"/>
          <w:sz w:val="16"/>
          <w:szCs w:val="16"/>
        </w:rPr>
        <w:t>Alajos</w:t>
      </w:r>
      <w:proofErr w:type="spellEnd"/>
      <w:r w:rsidRPr="00DF4624">
        <w:rPr>
          <w:color w:val="77328A"/>
          <w:sz w:val="16"/>
          <w:szCs w:val="16"/>
        </w:rPr>
        <w:t xml:space="preserve"> Kiss v. Hungary, Application no. 38832/06,</w:t>
      </w:r>
      <w:r w:rsidR="006A5EA2">
        <w:rPr>
          <w:color w:val="77328A"/>
          <w:sz w:val="16"/>
          <w:szCs w:val="16"/>
        </w:rPr>
        <w:t xml:space="preserve"> 20</w:t>
      </w:r>
      <w:r w:rsidRPr="00DF4624">
        <w:rPr>
          <w:color w:val="77328A"/>
          <w:sz w:val="16"/>
          <w:szCs w:val="16"/>
        </w:rPr>
        <w:t xml:space="preserve"> May 2010, at para 42.</w:t>
      </w:r>
    </w:p>
  </w:footnote>
  <w:footnote w:id="155">
    <w:p w14:paraId="166ED662" w14:textId="4795EB0C" w:rsidR="00DF4624" w:rsidRPr="000F728E" w:rsidRDefault="00DF4624">
      <w:pPr>
        <w:pStyle w:val="FootnoteText"/>
        <w:rPr>
          <w:sz w:val="16"/>
          <w:szCs w:val="16"/>
        </w:rPr>
      </w:pPr>
      <w:r w:rsidRPr="00E92EAA">
        <w:rPr>
          <w:rStyle w:val="FootnoteReference"/>
          <w:color w:val="77328A"/>
          <w:sz w:val="16"/>
          <w:szCs w:val="16"/>
        </w:rPr>
        <w:footnoteRef/>
      </w:r>
      <w:r w:rsidRPr="00E92EAA">
        <w:rPr>
          <w:color w:val="77328A"/>
          <w:sz w:val="16"/>
          <w:szCs w:val="16"/>
        </w:rPr>
        <w:t xml:space="preserve"> Se</w:t>
      </w:r>
      <w:r w:rsidRPr="00DF4624">
        <w:rPr>
          <w:color w:val="77328A"/>
          <w:sz w:val="16"/>
          <w:szCs w:val="16"/>
        </w:rPr>
        <w:t>x Discrimination (Northern Ireland) Order 1976</w:t>
      </w:r>
      <w:r w:rsidR="00766AB7">
        <w:rPr>
          <w:color w:val="77328A"/>
          <w:sz w:val="16"/>
          <w:szCs w:val="16"/>
        </w:rPr>
        <w:t>.</w:t>
      </w:r>
    </w:p>
  </w:footnote>
  <w:footnote w:id="156">
    <w:p w14:paraId="4CEF4625" w14:textId="0C362049" w:rsidR="00DF4624" w:rsidRDefault="00DF4624">
      <w:pPr>
        <w:pStyle w:val="FootnoteText"/>
      </w:pPr>
      <w:r w:rsidRPr="001D3915">
        <w:rPr>
          <w:rStyle w:val="FootnoteReference"/>
          <w:color w:val="77328A"/>
          <w:sz w:val="16"/>
          <w:szCs w:val="16"/>
        </w:rPr>
        <w:footnoteRef/>
      </w:r>
      <w:r w:rsidRPr="001D3915">
        <w:rPr>
          <w:color w:val="77328A"/>
          <w:sz w:val="16"/>
          <w:szCs w:val="16"/>
        </w:rPr>
        <w:t xml:space="preserve"> </w:t>
      </w:r>
      <w:r w:rsidR="00A964D0">
        <w:rPr>
          <w:color w:val="77328A"/>
          <w:sz w:val="16"/>
          <w:szCs w:val="16"/>
        </w:rPr>
        <w:t xml:space="preserve">Article 45(2), Sex Discrimination (Northern Ireland) Order 1976. </w:t>
      </w:r>
    </w:p>
  </w:footnote>
  <w:footnote w:id="157">
    <w:p w14:paraId="3C0B018B" w14:textId="6EBD25FC" w:rsidR="00F32B61" w:rsidRPr="008035BD" w:rsidRDefault="00F32B61">
      <w:pPr>
        <w:pStyle w:val="FootnoteText"/>
        <w:rPr>
          <w:sz w:val="16"/>
          <w:szCs w:val="16"/>
        </w:rPr>
      </w:pPr>
      <w:r w:rsidRPr="008035BD">
        <w:rPr>
          <w:rStyle w:val="FootnoteReference"/>
          <w:color w:val="77328A"/>
          <w:sz w:val="16"/>
          <w:szCs w:val="16"/>
        </w:rPr>
        <w:footnoteRef/>
      </w:r>
      <w:r w:rsidRPr="008035BD">
        <w:rPr>
          <w:color w:val="77328A"/>
          <w:sz w:val="16"/>
          <w:szCs w:val="16"/>
        </w:rPr>
        <w:t xml:space="preserve"> A/HRC/40/L.10/Rev.1, ‘Resolution 40/5 The Elimination of Discrimination Against Women and Girls in Sport’, 20 March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1EC"/>
    <w:multiLevelType w:val="hybridMultilevel"/>
    <w:tmpl w:val="DB2A9B26"/>
    <w:lvl w:ilvl="0" w:tplc="1DA48DF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E57901"/>
    <w:multiLevelType w:val="hybridMultilevel"/>
    <w:tmpl w:val="B93E06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AEA7609"/>
    <w:multiLevelType w:val="hybridMultilevel"/>
    <w:tmpl w:val="06FE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666A3"/>
    <w:multiLevelType w:val="hybridMultilevel"/>
    <w:tmpl w:val="749C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24704"/>
    <w:multiLevelType w:val="multilevel"/>
    <w:tmpl w:val="DBB2FC98"/>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364" w:hanging="1080"/>
      </w:pPr>
      <w:rPr>
        <w:rFonts w:hint="default"/>
        <w:color w:val="auto"/>
      </w:rPr>
    </w:lvl>
    <w:lvl w:ilvl="3">
      <w:start w:val="1"/>
      <w:numFmt w:val="decimal"/>
      <w:lvlText w:val="%1.%2.%3.%4"/>
      <w:lvlJc w:val="left"/>
      <w:pPr>
        <w:ind w:left="1506" w:hanging="1080"/>
      </w:pPr>
      <w:rPr>
        <w:rFonts w:hint="default"/>
        <w:color w:val="auto"/>
      </w:rPr>
    </w:lvl>
    <w:lvl w:ilvl="4">
      <w:start w:val="1"/>
      <w:numFmt w:val="decimal"/>
      <w:lvlText w:val="%1.%2.%3.%4.%5"/>
      <w:lvlJc w:val="left"/>
      <w:pPr>
        <w:ind w:left="2008" w:hanging="1440"/>
      </w:pPr>
      <w:rPr>
        <w:rFonts w:hint="default"/>
        <w:color w:val="auto"/>
      </w:rPr>
    </w:lvl>
    <w:lvl w:ilvl="5">
      <w:start w:val="1"/>
      <w:numFmt w:val="decimal"/>
      <w:lvlText w:val="%1.%2.%3.%4.%5.%6"/>
      <w:lvlJc w:val="left"/>
      <w:pPr>
        <w:ind w:left="2510" w:hanging="1800"/>
      </w:pPr>
      <w:rPr>
        <w:rFonts w:hint="default"/>
        <w:color w:val="auto"/>
      </w:rPr>
    </w:lvl>
    <w:lvl w:ilvl="6">
      <w:start w:val="1"/>
      <w:numFmt w:val="decimal"/>
      <w:lvlText w:val="%1.%2.%3.%4.%5.%6.%7"/>
      <w:lvlJc w:val="left"/>
      <w:pPr>
        <w:ind w:left="3012" w:hanging="2160"/>
      </w:pPr>
      <w:rPr>
        <w:rFonts w:hint="default"/>
        <w:color w:val="auto"/>
      </w:rPr>
    </w:lvl>
    <w:lvl w:ilvl="7">
      <w:start w:val="1"/>
      <w:numFmt w:val="decimal"/>
      <w:lvlText w:val="%1.%2.%3.%4.%5.%6.%7.%8"/>
      <w:lvlJc w:val="left"/>
      <w:pPr>
        <w:ind w:left="3514" w:hanging="2520"/>
      </w:pPr>
      <w:rPr>
        <w:rFonts w:hint="default"/>
        <w:color w:val="auto"/>
      </w:rPr>
    </w:lvl>
    <w:lvl w:ilvl="8">
      <w:start w:val="1"/>
      <w:numFmt w:val="decimal"/>
      <w:lvlText w:val="%1.%2.%3.%4.%5.%6.%7.%8.%9"/>
      <w:lvlJc w:val="left"/>
      <w:pPr>
        <w:ind w:left="3656" w:hanging="2520"/>
      </w:pPr>
      <w:rPr>
        <w:rFonts w:hint="default"/>
        <w:color w:val="auto"/>
      </w:rPr>
    </w:lvl>
  </w:abstractNum>
  <w:abstractNum w:abstractNumId="5" w15:restartNumberingAfterBreak="0">
    <w:nsid w:val="137A5AA8"/>
    <w:multiLevelType w:val="multilevel"/>
    <w:tmpl w:val="5866D1F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960" w:hanging="1800"/>
      </w:pPr>
      <w:rPr>
        <w:rFonts w:hint="default"/>
      </w:rPr>
    </w:lvl>
    <w:lvl w:ilvl="4">
      <w:start w:val="1"/>
      <w:numFmt w:val="decimal"/>
      <w:lvlText w:val="%1.%2.%3.%4.%5"/>
      <w:lvlJc w:val="left"/>
      <w:pPr>
        <w:ind w:left="5040" w:hanging="2160"/>
      </w:pPr>
      <w:rPr>
        <w:rFonts w:hint="default"/>
      </w:rPr>
    </w:lvl>
    <w:lvl w:ilvl="5">
      <w:start w:val="1"/>
      <w:numFmt w:val="decimal"/>
      <w:lvlText w:val="%1.%2.%3.%4.%5.%6"/>
      <w:lvlJc w:val="left"/>
      <w:pPr>
        <w:ind w:left="6120" w:hanging="2520"/>
      </w:pPr>
      <w:rPr>
        <w:rFonts w:hint="default"/>
      </w:rPr>
    </w:lvl>
    <w:lvl w:ilvl="6">
      <w:start w:val="1"/>
      <w:numFmt w:val="decimal"/>
      <w:lvlText w:val="%1.%2.%3.%4.%5.%6.%7"/>
      <w:lvlJc w:val="left"/>
      <w:pPr>
        <w:ind w:left="7200" w:hanging="2880"/>
      </w:pPr>
      <w:rPr>
        <w:rFonts w:hint="default"/>
      </w:rPr>
    </w:lvl>
    <w:lvl w:ilvl="7">
      <w:start w:val="1"/>
      <w:numFmt w:val="decimal"/>
      <w:lvlText w:val="%1.%2.%3.%4.%5.%6.%7.%8"/>
      <w:lvlJc w:val="left"/>
      <w:pPr>
        <w:ind w:left="8280" w:hanging="3240"/>
      </w:pPr>
      <w:rPr>
        <w:rFonts w:hint="default"/>
      </w:rPr>
    </w:lvl>
    <w:lvl w:ilvl="8">
      <w:start w:val="1"/>
      <w:numFmt w:val="decimal"/>
      <w:lvlText w:val="%1.%2.%3.%4.%5.%6.%7.%8.%9"/>
      <w:lvlJc w:val="left"/>
      <w:pPr>
        <w:ind w:left="9360" w:hanging="3600"/>
      </w:pPr>
      <w:rPr>
        <w:rFonts w:hint="default"/>
      </w:rPr>
    </w:lvl>
  </w:abstractNum>
  <w:abstractNum w:abstractNumId="6" w15:restartNumberingAfterBreak="0">
    <w:nsid w:val="153F3B7B"/>
    <w:multiLevelType w:val="hybridMultilevel"/>
    <w:tmpl w:val="2646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A14AB"/>
    <w:multiLevelType w:val="hybridMultilevel"/>
    <w:tmpl w:val="1FCC6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240C2D"/>
    <w:multiLevelType w:val="hybridMultilevel"/>
    <w:tmpl w:val="5A4A1B9A"/>
    <w:lvl w:ilvl="0" w:tplc="DB5AA7A8">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27D482A"/>
    <w:multiLevelType w:val="hybridMultilevel"/>
    <w:tmpl w:val="5636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90117"/>
    <w:multiLevelType w:val="hybridMultilevel"/>
    <w:tmpl w:val="E6945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34CF6"/>
    <w:multiLevelType w:val="multilevel"/>
    <w:tmpl w:val="206AC6D4"/>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b w:val="0"/>
        <w:bCs/>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07F43F7"/>
    <w:multiLevelType w:val="multilevel"/>
    <w:tmpl w:val="DBB2FC98"/>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364" w:hanging="1080"/>
      </w:pPr>
      <w:rPr>
        <w:rFonts w:hint="default"/>
        <w:color w:val="auto"/>
      </w:rPr>
    </w:lvl>
    <w:lvl w:ilvl="3">
      <w:start w:val="1"/>
      <w:numFmt w:val="decimal"/>
      <w:lvlText w:val="%1.%2.%3.%4"/>
      <w:lvlJc w:val="left"/>
      <w:pPr>
        <w:ind w:left="1506" w:hanging="1080"/>
      </w:pPr>
      <w:rPr>
        <w:rFonts w:hint="default"/>
        <w:color w:val="auto"/>
      </w:rPr>
    </w:lvl>
    <w:lvl w:ilvl="4">
      <w:start w:val="1"/>
      <w:numFmt w:val="decimal"/>
      <w:lvlText w:val="%1.%2.%3.%4.%5"/>
      <w:lvlJc w:val="left"/>
      <w:pPr>
        <w:ind w:left="2008" w:hanging="1440"/>
      </w:pPr>
      <w:rPr>
        <w:rFonts w:hint="default"/>
        <w:color w:val="auto"/>
      </w:rPr>
    </w:lvl>
    <w:lvl w:ilvl="5">
      <w:start w:val="1"/>
      <w:numFmt w:val="decimal"/>
      <w:lvlText w:val="%1.%2.%3.%4.%5.%6"/>
      <w:lvlJc w:val="left"/>
      <w:pPr>
        <w:ind w:left="2510" w:hanging="1800"/>
      </w:pPr>
      <w:rPr>
        <w:rFonts w:hint="default"/>
        <w:color w:val="auto"/>
      </w:rPr>
    </w:lvl>
    <w:lvl w:ilvl="6">
      <w:start w:val="1"/>
      <w:numFmt w:val="decimal"/>
      <w:lvlText w:val="%1.%2.%3.%4.%5.%6.%7"/>
      <w:lvlJc w:val="left"/>
      <w:pPr>
        <w:ind w:left="3012" w:hanging="2160"/>
      </w:pPr>
      <w:rPr>
        <w:rFonts w:hint="default"/>
        <w:color w:val="auto"/>
      </w:rPr>
    </w:lvl>
    <w:lvl w:ilvl="7">
      <w:start w:val="1"/>
      <w:numFmt w:val="decimal"/>
      <w:lvlText w:val="%1.%2.%3.%4.%5.%6.%7.%8"/>
      <w:lvlJc w:val="left"/>
      <w:pPr>
        <w:ind w:left="3514" w:hanging="2520"/>
      </w:pPr>
      <w:rPr>
        <w:rFonts w:hint="default"/>
        <w:color w:val="auto"/>
      </w:rPr>
    </w:lvl>
    <w:lvl w:ilvl="8">
      <w:start w:val="1"/>
      <w:numFmt w:val="decimal"/>
      <w:lvlText w:val="%1.%2.%3.%4.%5.%6.%7.%8.%9"/>
      <w:lvlJc w:val="left"/>
      <w:pPr>
        <w:ind w:left="3656" w:hanging="2520"/>
      </w:pPr>
      <w:rPr>
        <w:rFonts w:hint="default"/>
        <w:color w:val="auto"/>
      </w:rPr>
    </w:lvl>
  </w:abstractNum>
  <w:abstractNum w:abstractNumId="13" w15:restartNumberingAfterBreak="0">
    <w:nsid w:val="33865820"/>
    <w:multiLevelType w:val="hybridMultilevel"/>
    <w:tmpl w:val="14043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FA58F6"/>
    <w:multiLevelType w:val="hybridMultilevel"/>
    <w:tmpl w:val="EBC69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A53D64"/>
    <w:multiLevelType w:val="hybridMultilevel"/>
    <w:tmpl w:val="F39EB140"/>
    <w:lvl w:ilvl="0" w:tplc="F118B8E6">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9D1D90"/>
    <w:multiLevelType w:val="multilevel"/>
    <w:tmpl w:val="AFCEDE5A"/>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960" w:hanging="1800"/>
      </w:pPr>
      <w:rPr>
        <w:rFonts w:hint="default"/>
      </w:rPr>
    </w:lvl>
    <w:lvl w:ilvl="4">
      <w:start w:val="1"/>
      <w:numFmt w:val="decimal"/>
      <w:lvlText w:val="%1.%2.%3.%4.%5"/>
      <w:lvlJc w:val="left"/>
      <w:pPr>
        <w:ind w:left="5040" w:hanging="2160"/>
      </w:pPr>
      <w:rPr>
        <w:rFonts w:hint="default"/>
      </w:rPr>
    </w:lvl>
    <w:lvl w:ilvl="5">
      <w:start w:val="1"/>
      <w:numFmt w:val="decimal"/>
      <w:lvlText w:val="%1.%2.%3.%4.%5.%6"/>
      <w:lvlJc w:val="left"/>
      <w:pPr>
        <w:ind w:left="6120" w:hanging="2520"/>
      </w:pPr>
      <w:rPr>
        <w:rFonts w:hint="default"/>
      </w:rPr>
    </w:lvl>
    <w:lvl w:ilvl="6">
      <w:start w:val="1"/>
      <w:numFmt w:val="decimal"/>
      <w:lvlText w:val="%1.%2.%3.%4.%5.%6.%7"/>
      <w:lvlJc w:val="left"/>
      <w:pPr>
        <w:ind w:left="7200" w:hanging="2880"/>
      </w:pPr>
      <w:rPr>
        <w:rFonts w:hint="default"/>
      </w:rPr>
    </w:lvl>
    <w:lvl w:ilvl="7">
      <w:start w:val="1"/>
      <w:numFmt w:val="decimal"/>
      <w:lvlText w:val="%1.%2.%3.%4.%5.%6.%7.%8"/>
      <w:lvlJc w:val="left"/>
      <w:pPr>
        <w:ind w:left="8280" w:hanging="3240"/>
      </w:pPr>
      <w:rPr>
        <w:rFonts w:hint="default"/>
      </w:rPr>
    </w:lvl>
    <w:lvl w:ilvl="8">
      <w:start w:val="1"/>
      <w:numFmt w:val="decimal"/>
      <w:lvlText w:val="%1.%2.%3.%4.%5.%6.%7.%8.%9"/>
      <w:lvlJc w:val="left"/>
      <w:pPr>
        <w:ind w:left="9360" w:hanging="3600"/>
      </w:pPr>
      <w:rPr>
        <w:rFonts w:hint="default"/>
      </w:rPr>
    </w:lvl>
  </w:abstractNum>
  <w:abstractNum w:abstractNumId="17" w15:restartNumberingAfterBreak="0">
    <w:nsid w:val="5D972361"/>
    <w:multiLevelType w:val="hybridMultilevel"/>
    <w:tmpl w:val="045A4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73035E"/>
    <w:multiLevelType w:val="multilevel"/>
    <w:tmpl w:val="DBB2FC98"/>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364" w:hanging="1080"/>
      </w:pPr>
      <w:rPr>
        <w:rFonts w:hint="default"/>
        <w:color w:val="auto"/>
      </w:rPr>
    </w:lvl>
    <w:lvl w:ilvl="3">
      <w:start w:val="1"/>
      <w:numFmt w:val="decimal"/>
      <w:lvlText w:val="%1.%2.%3.%4"/>
      <w:lvlJc w:val="left"/>
      <w:pPr>
        <w:ind w:left="1506" w:hanging="1080"/>
      </w:pPr>
      <w:rPr>
        <w:rFonts w:hint="default"/>
        <w:color w:val="auto"/>
      </w:rPr>
    </w:lvl>
    <w:lvl w:ilvl="4">
      <w:start w:val="1"/>
      <w:numFmt w:val="decimal"/>
      <w:lvlText w:val="%1.%2.%3.%4.%5"/>
      <w:lvlJc w:val="left"/>
      <w:pPr>
        <w:ind w:left="2008" w:hanging="1440"/>
      </w:pPr>
      <w:rPr>
        <w:rFonts w:hint="default"/>
        <w:color w:val="auto"/>
      </w:rPr>
    </w:lvl>
    <w:lvl w:ilvl="5">
      <w:start w:val="1"/>
      <w:numFmt w:val="decimal"/>
      <w:lvlText w:val="%1.%2.%3.%4.%5.%6"/>
      <w:lvlJc w:val="left"/>
      <w:pPr>
        <w:ind w:left="2510" w:hanging="1800"/>
      </w:pPr>
      <w:rPr>
        <w:rFonts w:hint="default"/>
        <w:color w:val="auto"/>
      </w:rPr>
    </w:lvl>
    <w:lvl w:ilvl="6">
      <w:start w:val="1"/>
      <w:numFmt w:val="decimal"/>
      <w:lvlText w:val="%1.%2.%3.%4.%5.%6.%7"/>
      <w:lvlJc w:val="left"/>
      <w:pPr>
        <w:ind w:left="3012" w:hanging="2160"/>
      </w:pPr>
      <w:rPr>
        <w:rFonts w:hint="default"/>
        <w:color w:val="auto"/>
      </w:rPr>
    </w:lvl>
    <w:lvl w:ilvl="7">
      <w:start w:val="1"/>
      <w:numFmt w:val="decimal"/>
      <w:lvlText w:val="%1.%2.%3.%4.%5.%6.%7.%8"/>
      <w:lvlJc w:val="left"/>
      <w:pPr>
        <w:ind w:left="3514" w:hanging="2520"/>
      </w:pPr>
      <w:rPr>
        <w:rFonts w:hint="default"/>
        <w:color w:val="auto"/>
      </w:rPr>
    </w:lvl>
    <w:lvl w:ilvl="8">
      <w:start w:val="1"/>
      <w:numFmt w:val="decimal"/>
      <w:lvlText w:val="%1.%2.%3.%4.%5.%6.%7.%8.%9"/>
      <w:lvlJc w:val="left"/>
      <w:pPr>
        <w:ind w:left="3656" w:hanging="2520"/>
      </w:pPr>
      <w:rPr>
        <w:rFonts w:hint="default"/>
        <w:color w:val="auto"/>
      </w:rPr>
    </w:lvl>
  </w:abstractNum>
  <w:abstractNum w:abstractNumId="19" w15:restartNumberingAfterBreak="0">
    <w:nsid w:val="66D4103C"/>
    <w:multiLevelType w:val="hybridMultilevel"/>
    <w:tmpl w:val="43BE4282"/>
    <w:lvl w:ilvl="0" w:tplc="D70ECCDE">
      <w:start w:val="1"/>
      <w:numFmt w:val="decimal"/>
      <w:pStyle w:val="Heading1"/>
      <w:lvlText w:val="%1.0"/>
      <w:lvlJc w:val="left"/>
      <w:pPr>
        <w:ind w:left="720" w:hanging="360"/>
      </w:pPr>
      <w:rPr>
        <w:rFonts w:hint="default"/>
        <w:color w:val="77328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F34C0E"/>
    <w:multiLevelType w:val="hybridMultilevel"/>
    <w:tmpl w:val="06CAD160"/>
    <w:lvl w:ilvl="0" w:tplc="7130A2FC">
      <w:start w:val="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B2482E"/>
    <w:multiLevelType w:val="hybridMultilevel"/>
    <w:tmpl w:val="9D7E87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EFA4C28"/>
    <w:multiLevelType w:val="hybridMultilevel"/>
    <w:tmpl w:val="DC22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1167E7"/>
    <w:multiLevelType w:val="multilevel"/>
    <w:tmpl w:val="BDC01986"/>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960" w:hanging="1800"/>
      </w:pPr>
      <w:rPr>
        <w:rFonts w:hint="default"/>
      </w:rPr>
    </w:lvl>
    <w:lvl w:ilvl="4">
      <w:start w:val="1"/>
      <w:numFmt w:val="decimal"/>
      <w:lvlText w:val="%1.%2.%3.%4.%5"/>
      <w:lvlJc w:val="left"/>
      <w:pPr>
        <w:ind w:left="5040" w:hanging="2160"/>
      </w:pPr>
      <w:rPr>
        <w:rFonts w:hint="default"/>
      </w:rPr>
    </w:lvl>
    <w:lvl w:ilvl="5">
      <w:start w:val="1"/>
      <w:numFmt w:val="decimal"/>
      <w:lvlText w:val="%1.%2.%3.%4.%5.%6"/>
      <w:lvlJc w:val="left"/>
      <w:pPr>
        <w:ind w:left="6120" w:hanging="2520"/>
      </w:pPr>
      <w:rPr>
        <w:rFonts w:hint="default"/>
      </w:rPr>
    </w:lvl>
    <w:lvl w:ilvl="6">
      <w:start w:val="1"/>
      <w:numFmt w:val="decimal"/>
      <w:lvlText w:val="%1.%2.%3.%4.%5.%6.%7"/>
      <w:lvlJc w:val="left"/>
      <w:pPr>
        <w:ind w:left="7200" w:hanging="2880"/>
      </w:pPr>
      <w:rPr>
        <w:rFonts w:hint="default"/>
      </w:rPr>
    </w:lvl>
    <w:lvl w:ilvl="7">
      <w:start w:val="1"/>
      <w:numFmt w:val="decimal"/>
      <w:lvlText w:val="%1.%2.%3.%4.%5.%6.%7.%8"/>
      <w:lvlJc w:val="left"/>
      <w:pPr>
        <w:ind w:left="8280" w:hanging="3240"/>
      </w:pPr>
      <w:rPr>
        <w:rFonts w:hint="default"/>
      </w:rPr>
    </w:lvl>
    <w:lvl w:ilvl="8">
      <w:start w:val="1"/>
      <w:numFmt w:val="decimal"/>
      <w:lvlText w:val="%1.%2.%3.%4.%5.%6.%7.%8.%9"/>
      <w:lvlJc w:val="left"/>
      <w:pPr>
        <w:ind w:left="9360" w:hanging="3600"/>
      </w:pPr>
      <w:rPr>
        <w:rFonts w:hint="default"/>
      </w:rPr>
    </w:lvl>
  </w:abstractNum>
  <w:abstractNum w:abstractNumId="24" w15:restartNumberingAfterBreak="0">
    <w:nsid w:val="71C616F7"/>
    <w:multiLevelType w:val="hybridMultilevel"/>
    <w:tmpl w:val="5E6252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ADC16D7"/>
    <w:multiLevelType w:val="hybridMultilevel"/>
    <w:tmpl w:val="B29E0F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2070418777">
    <w:abstractNumId w:val="19"/>
  </w:num>
  <w:num w:numId="2" w16cid:durableId="2021201871">
    <w:abstractNumId w:val="11"/>
  </w:num>
  <w:num w:numId="3" w16cid:durableId="1697584480">
    <w:abstractNumId w:val="18"/>
  </w:num>
  <w:num w:numId="4" w16cid:durableId="1234507824">
    <w:abstractNumId w:val="5"/>
  </w:num>
  <w:num w:numId="5" w16cid:durableId="1566721792">
    <w:abstractNumId w:val="6"/>
  </w:num>
  <w:num w:numId="6" w16cid:durableId="268508702">
    <w:abstractNumId w:val="2"/>
  </w:num>
  <w:num w:numId="7" w16cid:durableId="550192737">
    <w:abstractNumId w:val="3"/>
  </w:num>
  <w:num w:numId="8" w16cid:durableId="804470263">
    <w:abstractNumId w:val="22"/>
  </w:num>
  <w:num w:numId="9" w16cid:durableId="1807310744">
    <w:abstractNumId w:val="9"/>
  </w:num>
  <w:num w:numId="10" w16cid:durableId="1677533681">
    <w:abstractNumId w:val="15"/>
  </w:num>
  <w:num w:numId="11" w16cid:durableId="2005472350">
    <w:abstractNumId w:val="20"/>
  </w:num>
  <w:num w:numId="12" w16cid:durableId="1101032004">
    <w:abstractNumId w:val="10"/>
  </w:num>
  <w:num w:numId="13" w16cid:durableId="782112714">
    <w:abstractNumId w:val="17"/>
  </w:num>
  <w:num w:numId="14" w16cid:durableId="709961549">
    <w:abstractNumId w:val="4"/>
  </w:num>
  <w:num w:numId="15" w16cid:durableId="268129736">
    <w:abstractNumId w:val="13"/>
  </w:num>
  <w:num w:numId="16" w16cid:durableId="1505393347">
    <w:abstractNumId w:val="21"/>
  </w:num>
  <w:num w:numId="17" w16cid:durableId="1494026981">
    <w:abstractNumId w:val="7"/>
  </w:num>
  <w:num w:numId="18" w16cid:durableId="870532968">
    <w:abstractNumId w:val="14"/>
  </w:num>
  <w:num w:numId="19" w16cid:durableId="612595522">
    <w:abstractNumId w:val="12"/>
  </w:num>
  <w:num w:numId="20" w16cid:durableId="95174973">
    <w:abstractNumId w:val="24"/>
  </w:num>
  <w:num w:numId="21" w16cid:durableId="1575116872">
    <w:abstractNumId w:val="1"/>
  </w:num>
  <w:num w:numId="22" w16cid:durableId="1761675480">
    <w:abstractNumId w:val="25"/>
  </w:num>
  <w:num w:numId="23" w16cid:durableId="866479250">
    <w:abstractNumId w:val="8"/>
  </w:num>
  <w:num w:numId="24" w16cid:durableId="317660028">
    <w:abstractNumId w:val="0"/>
  </w:num>
  <w:num w:numId="25" w16cid:durableId="950746253">
    <w:abstractNumId w:val="23"/>
  </w:num>
  <w:num w:numId="26" w16cid:durableId="151873436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22"/>
    <w:rsid w:val="00000BE1"/>
    <w:rsid w:val="00000F69"/>
    <w:rsid w:val="000011BD"/>
    <w:rsid w:val="00001287"/>
    <w:rsid w:val="00001694"/>
    <w:rsid w:val="00001B54"/>
    <w:rsid w:val="00001F8A"/>
    <w:rsid w:val="0000252B"/>
    <w:rsid w:val="00002D80"/>
    <w:rsid w:val="000032A8"/>
    <w:rsid w:val="000034B0"/>
    <w:rsid w:val="000034F1"/>
    <w:rsid w:val="0000403A"/>
    <w:rsid w:val="00004263"/>
    <w:rsid w:val="000042B0"/>
    <w:rsid w:val="0000466C"/>
    <w:rsid w:val="00004DB0"/>
    <w:rsid w:val="000051FD"/>
    <w:rsid w:val="000057F7"/>
    <w:rsid w:val="00005FE3"/>
    <w:rsid w:val="00006216"/>
    <w:rsid w:val="0000636D"/>
    <w:rsid w:val="00006777"/>
    <w:rsid w:val="00006B45"/>
    <w:rsid w:val="00006BEE"/>
    <w:rsid w:val="00006F24"/>
    <w:rsid w:val="0000703E"/>
    <w:rsid w:val="00007763"/>
    <w:rsid w:val="0000782A"/>
    <w:rsid w:val="00007A7B"/>
    <w:rsid w:val="00007B2C"/>
    <w:rsid w:val="00007CF8"/>
    <w:rsid w:val="00010960"/>
    <w:rsid w:val="0001099A"/>
    <w:rsid w:val="000112A8"/>
    <w:rsid w:val="000119A7"/>
    <w:rsid w:val="00011BC3"/>
    <w:rsid w:val="00011F1F"/>
    <w:rsid w:val="000121D4"/>
    <w:rsid w:val="000124D3"/>
    <w:rsid w:val="00013051"/>
    <w:rsid w:val="00013274"/>
    <w:rsid w:val="00013F4D"/>
    <w:rsid w:val="0001428A"/>
    <w:rsid w:val="000143AA"/>
    <w:rsid w:val="00014B5E"/>
    <w:rsid w:val="000151FE"/>
    <w:rsid w:val="0001529D"/>
    <w:rsid w:val="0001599E"/>
    <w:rsid w:val="00015A0E"/>
    <w:rsid w:val="00015B29"/>
    <w:rsid w:val="00015CF5"/>
    <w:rsid w:val="00016D81"/>
    <w:rsid w:val="00017D4A"/>
    <w:rsid w:val="0002067E"/>
    <w:rsid w:val="0002104E"/>
    <w:rsid w:val="000215C5"/>
    <w:rsid w:val="0002214B"/>
    <w:rsid w:val="00022394"/>
    <w:rsid w:val="00022BBA"/>
    <w:rsid w:val="0002330B"/>
    <w:rsid w:val="00023BDB"/>
    <w:rsid w:val="00023CDA"/>
    <w:rsid w:val="00023D23"/>
    <w:rsid w:val="00024238"/>
    <w:rsid w:val="000244CA"/>
    <w:rsid w:val="0002594F"/>
    <w:rsid w:val="00025A30"/>
    <w:rsid w:val="00025B37"/>
    <w:rsid w:val="00025F09"/>
    <w:rsid w:val="00026A05"/>
    <w:rsid w:val="00026A8D"/>
    <w:rsid w:val="00027123"/>
    <w:rsid w:val="000271FD"/>
    <w:rsid w:val="000276B2"/>
    <w:rsid w:val="0002788A"/>
    <w:rsid w:val="00027F5D"/>
    <w:rsid w:val="00030510"/>
    <w:rsid w:val="0003064A"/>
    <w:rsid w:val="0003084D"/>
    <w:rsid w:val="00030868"/>
    <w:rsid w:val="00030889"/>
    <w:rsid w:val="000312E4"/>
    <w:rsid w:val="00031463"/>
    <w:rsid w:val="0003179A"/>
    <w:rsid w:val="00031A51"/>
    <w:rsid w:val="00032093"/>
    <w:rsid w:val="00032B22"/>
    <w:rsid w:val="00032C2A"/>
    <w:rsid w:val="00032FA0"/>
    <w:rsid w:val="00033200"/>
    <w:rsid w:val="00033922"/>
    <w:rsid w:val="00033E86"/>
    <w:rsid w:val="0003459F"/>
    <w:rsid w:val="000354DB"/>
    <w:rsid w:val="00035546"/>
    <w:rsid w:val="00035AA2"/>
    <w:rsid w:val="00035D29"/>
    <w:rsid w:val="00035FD0"/>
    <w:rsid w:val="000367B9"/>
    <w:rsid w:val="0003701A"/>
    <w:rsid w:val="00040081"/>
    <w:rsid w:val="0004098E"/>
    <w:rsid w:val="000409AF"/>
    <w:rsid w:val="000414D7"/>
    <w:rsid w:val="000419DB"/>
    <w:rsid w:val="00041C8B"/>
    <w:rsid w:val="000430D0"/>
    <w:rsid w:val="00043957"/>
    <w:rsid w:val="00044522"/>
    <w:rsid w:val="00044759"/>
    <w:rsid w:val="0004488E"/>
    <w:rsid w:val="00044BF7"/>
    <w:rsid w:val="0004515C"/>
    <w:rsid w:val="000453F1"/>
    <w:rsid w:val="00045E29"/>
    <w:rsid w:val="00046093"/>
    <w:rsid w:val="0004619E"/>
    <w:rsid w:val="000464FA"/>
    <w:rsid w:val="00046730"/>
    <w:rsid w:val="00046D84"/>
    <w:rsid w:val="00046F47"/>
    <w:rsid w:val="0004718B"/>
    <w:rsid w:val="00047339"/>
    <w:rsid w:val="000473D0"/>
    <w:rsid w:val="0004758F"/>
    <w:rsid w:val="000475AF"/>
    <w:rsid w:val="000478FB"/>
    <w:rsid w:val="00050346"/>
    <w:rsid w:val="00051007"/>
    <w:rsid w:val="0005100F"/>
    <w:rsid w:val="00051401"/>
    <w:rsid w:val="000520B7"/>
    <w:rsid w:val="000524A2"/>
    <w:rsid w:val="00052909"/>
    <w:rsid w:val="00052E3E"/>
    <w:rsid w:val="0005303D"/>
    <w:rsid w:val="00053715"/>
    <w:rsid w:val="00053FF9"/>
    <w:rsid w:val="0005426A"/>
    <w:rsid w:val="00054354"/>
    <w:rsid w:val="0005438A"/>
    <w:rsid w:val="00054400"/>
    <w:rsid w:val="00055888"/>
    <w:rsid w:val="00056429"/>
    <w:rsid w:val="000565CF"/>
    <w:rsid w:val="0005662A"/>
    <w:rsid w:val="000568D6"/>
    <w:rsid w:val="00056A91"/>
    <w:rsid w:val="00056CDA"/>
    <w:rsid w:val="00056E38"/>
    <w:rsid w:val="000570EF"/>
    <w:rsid w:val="00057BC6"/>
    <w:rsid w:val="00060410"/>
    <w:rsid w:val="00060D1B"/>
    <w:rsid w:val="00060D56"/>
    <w:rsid w:val="00061303"/>
    <w:rsid w:val="0006138D"/>
    <w:rsid w:val="00061D94"/>
    <w:rsid w:val="00061E71"/>
    <w:rsid w:val="00061F6B"/>
    <w:rsid w:val="00062023"/>
    <w:rsid w:val="0006260F"/>
    <w:rsid w:val="0006282C"/>
    <w:rsid w:val="0006283C"/>
    <w:rsid w:val="00062D54"/>
    <w:rsid w:val="00062DE4"/>
    <w:rsid w:val="0006328E"/>
    <w:rsid w:val="00063731"/>
    <w:rsid w:val="000644B5"/>
    <w:rsid w:val="00064590"/>
    <w:rsid w:val="00064699"/>
    <w:rsid w:val="000649AC"/>
    <w:rsid w:val="00065D52"/>
    <w:rsid w:val="00066036"/>
    <w:rsid w:val="0006738F"/>
    <w:rsid w:val="0006741F"/>
    <w:rsid w:val="00067606"/>
    <w:rsid w:val="00067A7B"/>
    <w:rsid w:val="000705C4"/>
    <w:rsid w:val="0007082D"/>
    <w:rsid w:val="00071366"/>
    <w:rsid w:val="00071395"/>
    <w:rsid w:val="00071857"/>
    <w:rsid w:val="000718B5"/>
    <w:rsid w:val="00071C6C"/>
    <w:rsid w:val="00071E29"/>
    <w:rsid w:val="0007202D"/>
    <w:rsid w:val="0007226D"/>
    <w:rsid w:val="00072285"/>
    <w:rsid w:val="00072399"/>
    <w:rsid w:val="00072747"/>
    <w:rsid w:val="0007292E"/>
    <w:rsid w:val="00072B36"/>
    <w:rsid w:val="00072E7A"/>
    <w:rsid w:val="0007316A"/>
    <w:rsid w:val="000731AB"/>
    <w:rsid w:val="00073647"/>
    <w:rsid w:val="000750E4"/>
    <w:rsid w:val="000767CB"/>
    <w:rsid w:val="00076DD3"/>
    <w:rsid w:val="0007705C"/>
    <w:rsid w:val="00077631"/>
    <w:rsid w:val="0007774F"/>
    <w:rsid w:val="000778AF"/>
    <w:rsid w:val="0007797E"/>
    <w:rsid w:val="00077C2C"/>
    <w:rsid w:val="00077E73"/>
    <w:rsid w:val="00077EF6"/>
    <w:rsid w:val="00080911"/>
    <w:rsid w:val="00080C8F"/>
    <w:rsid w:val="00080ED7"/>
    <w:rsid w:val="0008100B"/>
    <w:rsid w:val="00082111"/>
    <w:rsid w:val="0008340F"/>
    <w:rsid w:val="0008437F"/>
    <w:rsid w:val="000847EE"/>
    <w:rsid w:val="000848CD"/>
    <w:rsid w:val="0008516D"/>
    <w:rsid w:val="0008549C"/>
    <w:rsid w:val="000865C8"/>
    <w:rsid w:val="000868F7"/>
    <w:rsid w:val="00086FC8"/>
    <w:rsid w:val="0008748A"/>
    <w:rsid w:val="00087931"/>
    <w:rsid w:val="00087A14"/>
    <w:rsid w:val="000900E6"/>
    <w:rsid w:val="00090348"/>
    <w:rsid w:val="000903F0"/>
    <w:rsid w:val="000908CC"/>
    <w:rsid w:val="000909D0"/>
    <w:rsid w:val="000914E4"/>
    <w:rsid w:val="00091AC7"/>
    <w:rsid w:val="00091CBD"/>
    <w:rsid w:val="00093C57"/>
    <w:rsid w:val="00093CF8"/>
    <w:rsid w:val="00093D79"/>
    <w:rsid w:val="00095823"/>
    <w:rsid w:val="0009595A"/>
    <w:rsid w:val="00095A60"/>
    <w:rsid w:val="000962B7"/>
    <w:rsid w:val="0009694B"/>
    <w:rsid w:val="000970DC"/>
    <w:rsid w:val="000A0103"/>
    <w:rsid w:val="000A01C2"/>
    <w:rsid w:val="000A04C5"/>
    <w:rsid w:val="000A0696"/>
    <w:rsid w:val="000A07F6"/>
    <w:rsid w:val="000A0AE5"/>
    <w:rsid w:val="000A16C9"/>
    <w:rsid w:val="000A1C63"/>
    <w:rsid w:val="000A2BA8"/>
    <w:rsid w:val="000A2FD4"/>
    <w:rsid w:val="000A32A9"/>
    <w:rsid w:val="000A3514"/>
    <w:rsid w:val="000A3DB1"/>
    <w:rsid w:val="000A3FE5"/>
    <w:rsid w:val="000A4236"/>
    <w:rsid w:val="000A44A7"/>
    <w:rsid w:val="000A4AB1"/>
    <w:rsid w:val="000A50BF"/>
    <w:rsid w:val="000A536E"/>
    <w:rsid w:val="000A54C1"/>
    <w:rsid w:val="000A57E2"/>
    <w:rsid w:val="000A580F"/>
    <w:rsid w:val="000A5EB2"/>
    <w:rsid w:val="000A604B"/>
    <w:rsid w:val="000A64C4"/>
    <w:rsid w:val="000A6D08"/>
    <w:rsid w:val="000A7027"/>
    <w:rsid w:val="000A76D2"/>
    <w:rsid w:val="000A7A07"/>
    <w:rsid w:val="000B004F"/>
    <w:rsid w:val="000B04B8"/>
    <w:rsid w:val="000B053D"/>
    <w:rsid w:val="000B1510"/>
    <w:rsid w:val="000B167D"/>
    <w:rsid w:val="000B213B"/>
    <w:rsid w:val="000B2176"/>
    <w:rsid w:val="000B227F"/>
    <w:rsid w:val="000B2604"/>
    <w:rsid w:val="000B2863"/>
    <w:rsid w:val="000B3102"/>
    <w:rsid w:val="000B335E"/>
    <w:rsid w:val="000B372E"/>
    <w:rsid w:val="000B38A5"/>
    <w:rsid w:val="000B3C0C"/>
    <w:rsid w:val="000B3E76"/>
    <w:rsid w:val="000B42E8"/>
    <w:rsid w:val="000B43DF"/>
    <w:rsid w:val="000B4745"/>
    <w:rsid w:val="000B59B9"/>
    <w:rsid w:val="000B66AA"/>
    <w:rsid w:val="000B7634"/>
    <w:rsid w:val="000B781F"/>
    <w:rsid w:val="000B79C3"/>
    <w:rsid w:val="000B7B4A"/>
    <w:rsid w:val="000B7E4E"/>
    <w:rsid w:val="000C03B1"/>
    <w:rsid w:val="000C06D7"/>
    <w:rsid w:val="000C0797"/>
    <w:rsid w:val="000C13C5"/>
    <w:rsid w:val="000C4D5E"/>
    <w:rsid w:val="000C4E5F"/>
    <w:rsid w:val="000C51D5"/>
    <w:rsid w:val="000C54C2"/>
    <w:rsid w:val="000C59AC"/>
    <w:rsid w:val="000C64DB"/>
    <w:rsid w:val="000C6784"/>
    <w:rsid w:val="000C67ED"/>
    <w:rsid w:val="000C6D7F"/>
    <w:rsid w:val="000C6DA8"/>
    <w:rsid w:val="000D000B"/>
    <w:rsid w:val="000D042D"/>
    <w:rsid w:val="000D0E51"/>
    <w:rsid w:val="000D1C72"/>
    <w:rsid w:val="000D23F1"/>
    <w:rsid w:val="000D2453"/>
    <w:rsid w:val="000D32D1"/>
    <w:rsid w:val="000D3D65"/>
    <w:rsid w:val="000D4096"/>
    <w:rsid w:val="000D434A"/>
    <w:rsid w:val="000D44A5"/>
    <w:rsid w:val="000D44B7"/>
    <w:rsid w:val="000D4D40"/>
    <w:rsid w:val="000D4F99"/>
    <w:rsid w:val="000D5775"/>
    <w:rsid w:val="000D597E"/>
    <w:rsid w:val="000D5F85"/>
    <w:rsid w:val="000D61A4"/>
    <w:rsid w:val="000D6446"/>
    <w:rsid w:val="000D6713"/>
    <w:rsid w:val="000D6761"/>
    <w:rsid w:val="000D68CB"/>
    <w:rsid w:val="000D6B80"/>
    <w:rsid w:val="000D7020"/>
    <w:rsid w:val="000D7C51"/>
    <w:rsid w:val="000E05EA"/>
    <w:rsid w:val="000E06A7"/>
    <w:rsid w:val="000E0A8F"/>
    <w:rsid w:val="000E19AC"/>
    <w:rsid w:val="000E228E"/>
    <w:rsid w:val="000E2293"/>
    <w:rsid w:val="000E273B"/>
    <w:rsid w:val="000E2FB0"/>
    <w:rsid w:val="000E3B8A"/>
    <w:rsid w:val="000E3BD0"/>
    <w:rsid w:val="000E536F"/>
    <w:rsid w:val="000E68A7"/>
    <w:rsid w:val="000E6E40"/>
    <w:rsid w:val="000E7C38"/>
    <w:rsid w:val="000F012A"/>
    <w:rsid w:val="000F0132"/>
    <w:rsid w:val="000F0409"/>
    <w:rsid w:val="000F0F2C"/>
    <w:rsid w:val="000F175C"/>
    <w:rsid w:val="000F1F9A"/>
    <w:rsid w:val="000F201D"/>
    <w:rsid w:val="000F2EFB"/>
    <w:rsid w:val="000F33E2"/>
    <w:rsid w:val="000F38A4"/>
    <w:rsid w:val="000F3B00"/>
    <w:rsid w:val="000F5BE3"/>
    <w:rsid w:val="000F664D"/>
    <w:rsid w:val="000F67AD"/>
    <w:rsid w:val="000F684B"/>
    <w:rsid w:val="000F728E"/>
    <w:rsid w:val="000F76A2"/>
    <w:rsid w:val="000F7AE8"/>
    <w:rsid w:val="000F7E4E"/>
    <w:rsid w:val="000F7EAE"/>
    <w:rsid w:val="000F7EE9"/>
    <w:rsid w:val="001001EC"/>
    <w:rsid w:val="001012B8"/>
    <w:rsid w:val="00101629"/>
    <w:rsid w:val="001018FF"/>
    <w:rsid w:val="00101C70"/>
    <w:rsid w:val="0010203D"/>
    <w:rsid w:val="001026D7"/>
    <w:rsid w:val="00102A8E"/>
    <w:rsid w:val="00102AF4"/>
    <w:rsid w:val="00102CF0"/>
    <w:rsid w:val="00102D38"/>
    <w:rsid w:val="0010317F"/>
    <w:rsid w:val="0010326E"/>
    <w:rsid w:val="00103947"/>
    <w:rsid w:val="0010405C"/>
    <w:rsid w:val="00104ECA"/>
    <w:rsid w:val="001051F3"/>
    <w:rsid w:val="00105396"/>
    <w:rsid w:val="001058CF"/>
    <w:rsid w:val="00105BCC"/>
    <w:rsid w:val="001061EE"/>
    <w:rsid w:val="0010655A"/>
    <w:rsid w:val="00106796"/>
    <w:rsid w:val="00106A0C"/>
    <w:rsid w:val="001071C4"/>
    <w:rsid w:val="00107337"/>
    <w:rsid w:val="001075AF"/>
    <w:rsid w:val="00107B66"/>
    <w:rsid w:val="001108AC"/>
    <w:rsid w:val="00110DF1"/>
    <w:rsid w:val="0011131E"/>
    <w:rsid w:val="001116E0"/>
    <w:rsid w:val="00112167"/>
    <w:rsid w:val="001122FC"/>
    <w:rsid w:val="001126EA"/>
    <w:rsid w:val="00112A98"/>
    <w:rsid w:val="00112DE9"/>
    <w:rsid w:val="0011349F"/>
    <w:rsid w:val="001137BB"/>
    <w:rsid w:val="001138BF"/>
    <w:rsid w:val="00113A95"/>
    <w:rsid w:val="00113F18"/>
    <w:rsid w:val="0011400D"/>
    <w:rsid w:val="00114509"/>
    <w:rsid w:val="00114903"/>
    <w:rsid w:val="00114D8B"/>
    <w:rsid w:val="00114DAD"/>
    <w:rsid w:val="0011551A"/>
    <w:rsid w:val="0011551C"/>
    <w:rsid w:val="00115C3C"/>
    <w:rsid w:val="0011605A"/>
    <w:rsid w:val="0011652B"/>
    <w:rsid w:val="00116C51"/>
    <w:rsid w:val="001170D1"/>
    <w:rsid w:val="00117660"/>
    <w:rsid w:val="0011776F"/>
    <w:rsid w:val="001177A8"/>
    <w:rsid w:val="00117E44"/>
    <w:rsid w:val="00120857"/>
    <w:rsid w:val="00120E0A"/>
    <w:rsid w:val="00121117"/>
    <w:rsid w:val="00121973"/>
    <w:rsid w:val="001221E3"/>
    <w:rsid w:val="00122655"/>
    <w:rsid w:val="00122C49"/>
    <w:rsid w:val="001231D3"/>
    <w:rsid w:val="00123AE5"/>
    <w:rsid w:val="00124020"/>
    <w:rsid w:val="00124161"/>
    <w:rsid w:val="001248B5"/>
    <w:rsid w:val="00124C39"/>
    <w:rsid w:val="00125699"/>
    <w:rsid w:val="0012695C"/>
    <w:rsid w:val="0013043C"/>
    <w:rsid w:val="00130A98"/>
    <w:rsid w:val="00130B7B"/>
    <w:rsid w:val="00130F7B"/>
    <w:rsid w:val="00131969"/>
    <w:rsid w:val="0013207C"/>
    <w:rsid w:val="0013229C"/>
    <w:rsid w:val="001322AE"/>
    <w:rsid w:val="001322D7"/>
    <w:rsid w:val="00132C84"/>
    <w:rsid w:val="00132F8D"/>
    <w:rsid w:val="0013328C"/>
    <w:rsid w:val="00133AD2"/>
    <w:rsid w:val="00133CC8"/>
    <w:rsid w:val="00133F98"/>
    <w:rsid w:val="001353E9"/>
    <w:rsid w:val="001358BC"/>
    <w:rsid w:val="00135C5F"/>
    <w:rsid w:val="0013601E"/>
    <w:rsid w:val="0013604B"/>
    <w:rsid w:val="001364FE"/>
    <w:rsid w:val="00136544"/>
    <w:rsid w:val="00137037"/>
    <w:rsid w:val="0013756F"/>
    <w:rsid w:val="0014029C"/>
    <w:rsid w:val="001404D0"/>
    <w:rsid w:val="001408E7"/>
    <w:rsid w:val="00140938"/>
    <w:rsid w:val="00141272"/>
    <w:rsid w:val="00141ADA"/>
    <w:rsid w:val="00141CC5"/>
    <w:rsid w:val="001420C2"/>
    <w:rsid w:val="00142682"/>
    <w:rsid w:val="00142A40"/>
    <w:rsid w:val="00142D29"/>
    <w:rsid w:val="001432A1"/>
    <w:rsid w:val="00143A69"/>
    <w:rsid w:val="001443C8"/>
    <w:rsid w:val="00144862"/>
    <w:rsid w:val="00145292"/>
    <w:rsid w:val="00145CCE"/>
    <w:rsid w:val="001461C0"/>
    <w:rsid w:val="00146471"/>
    <w:rsid w:val="0014648E"/>
    <w:rsid w:val="00146D48"/>
    <w:rsid w:val="00147057"/>
    <w:rsid w:val="00147C5F"/>
    <w:rsid w:val="00147F8B"/>
    <w:rsid w:val="00147FE6"/>
    <w:rsid w:val="0015011E"/>
    <w:rsid w:val="00150B5F"/>
    <w:rsid w:val="00151020"/>
    <w:rsid w:val="00151F91"/>
    <w:rsid w:val="001526E4"/>
    <w:rsid w:val="00152713"/>
    <w:rsid w:val="00152EF0"/>
    <w:rsid w:val="001534F7"/>
    <w:rsid w:val="00153608"/>
    <w:rsid w:val="001536C6"/>
    <w:rsid w:val="00153881"/>
    <w:rsid w:val="001540C2"/>
    <w:rsid w:val="001540D6"/>
    <w:rsid w:val="00154345"/>
    <w:rsid w:val="001546A0"/>
    <w:rsid w:val="00154837"/>
    <w:rsid w:val="00156A06"/>
    <w:rsid w:val="00156A6F"/>
    <w:rsid w:val="0015734D"/>
    <w:rsid w:val="00157DBE"/>
    <w:rsid w:val="00157F96"/>
    <w:rsid w:val="0016030F"/>
    <w:rsid w:val="0016035E"/>
    <w:rsid w:val="001609DF"/>
    <w:rsid w:val="00161BB1"/>
    <w:rsid w:val="0016266D"/>
    <w:rsid w:val="001633B1"/>
    <w:rsid w:val="001633CD"/>
    <w:rsid w:val="0016346C"/>
    <w:rsid w:val="00164614"/>
    <w:rsid w:val="0016479D"/>
    <w:rsid w:val="00164CCD"/>
    <w:rsid w:val="00164F62"/>
    <w:rsid w:val="00165558"/>
    <w:rsid w:val="00165682"/>
    <w:rsid w:val="0016575F"/>
    <w:rsid w:val="00165979"/>
    <w:rsid w:val="00165E2E"/>
    <w:rsid w:val="00166EA1"/>
    <w:rsid w:val="00167173"/>
    <w:rsid w:val="001678AC"/>
    <w:rsid w:val="00167AB0"/>
    <w:rsid w:val="00167C77"/>
    <w:rsid w:val="0017012B"/>
    <w:rsid w:val="0017061D"/>
    <w:rsid w:val="00170719"/>
    <w:rsid w:val="00170D1C"/>
    <w:rsid w:val="00171421"/>
    <w:rsid w:val="001714A5"/>
    <w:rsid w:val="001714AB"/>
    <w:rsid w:val="0017207E"/>
    <w:rsid w:val="00172978"/>
    <w:rsid w:val="00172982"/>
    <w:rsid w:val="001729EE"/>
    <w:rsid w:val="001733AC"/>
    <w:rsid w:val="001751AA"/>
    <w:rsid w:val="001760C0"/>
    <w:rsid w:val="001760FD"/>
    <w:rsid w:val="001770B9"/>
    <w:rsid w:val="00177325"/>
    <w:rsid w:val="001777E7"/>
    <w:rsid w:val="0017793B"/>
    <w:rsid w:val="001805E2"/>
    <w:rsid w:val="00180EF3"/>
    <w:rsid w:val="00181433"/>
    <w:rsid w:val="001824B9"/>
    <w:rsid w:val="00182601"/>
    <w:rsid w:val="001827AB"/>
    <w:rsid w:val="00182BC5"/>
    <w:rsid w:val="0018304F"/>
    <w:rsid w:val="0018327E"/>
    <w:rsid w:val="001832CC"/>
    <w:rsid w:val="0018348E"/>
    <w:rsid w:val="00183E18"/>
    <w:rsid w:val="001845C4"/>
    <w:rsid w:val="00184FD0"/>
    <w:rsid w:val="00184FF8"/>
    <w:rsid w:val="00185240"/>
    <w:rsid w:val="001854B0"/>
    <w:rsid w:val="001855D0"/>
    <w:rsid w:val="00185A78"/>
    <w:rsid w:val="00185AC6"/>
    <w:rsid w:val="00185E4E"/>
    <w:rsid w:val="00186F31"/>
    <w:rsid w:val="00186FF1"/>
    <w:rsid w:val="00187121"/>
    <w:rsid w:val="00187CE9"/>
    <w:rsid w:val="00190B37"/>
    <w:rsid w:val="00190CFD"/>
    <w:rsid w:val="0019111E"/>
    <w:rsid w:val="00191171"/>
    <w:rsid w:val="0019160B"/>
    <w:rsid w:val="001917B9"/>
    <w:rsid w:val="00191BDF"/>
    <w:rsid w:val="00192452"/>
    <w:rsid w:val="00192A28"/>
    <w:rsid w:val="00192BBD"/>
    <w:rsid w:val="00192BDC"/>
    <w:rsid w:val="001933C6"/>
    <w:rsid w:val="0019369B"/>
    <w:rsid w:val="001938AB"/>
    <w:rsid w:val="001939A8"/>
    <w:rsid w:val="00193D63"/>
    <w:rsid w:val="00193EB9"/>
    <w:rsid w:val="001947FF"/>
    <w:rsid w:val="001948D0"/>
    <w:rsid w:val="00194BF1"/>
    <w:rsid w:val="00194C88"/>
    <w:rsid w:val="00194F27"/>
    <w:rsid w:val="001953BF"/>
    <w:rsid w:val="001954DB"/>
    <w:rsid w:val="00195890"/>
    <w:rsid w:val="00195AC8"/>
    <w:rsid w:val="00195F39"/>
    <w:rsid w:val="001960FD"/>
    <w:rsid w:val="00197524"/>
    <w:rsid w:val="0019753D"/>
    <w:rsid w:val="0019781B"/>
    <w:rsid w:val="00197B51"/>
    <w:rsid w:val="00197F7E"/>
    <w:rsid w:val="001A00AD"/>
    <w:rsid w:val="001A0705"/>
    <w:rsid w:val="001A1825"/>
    <w:rsid w:val="001A1907"/>
    <w:rsid w:val="001A1D3B"/>
    <w:rsid w:val="001A204D"/>
    <w:rsid w:val="001A2050"/>
    <w:rsid w:val="001A21A6"/>
    <w:rsid w:val="001A29D3"/>
    <w:rsid w:val="001A2F09"/>
    <w:rsid w:val="001A2FC5"/>
    <w:rsid w:val="001A325A"/>
    <w:rsid w:val="001A36D7"/>
    <w:rsid w:val="001A404B"/>
    <w:rsid w:val="001A40C8"/>
    <w:rsid w:val="001A47AB"/>
    <w:rsid w:val="001A4EE1"/>
    <w:rsid w:val="001A4F76"/>
    <w:rsid w:val="001A502D"/>
    <w:rsid w:val="001A5153"/>
    <w:rsid w:val="001A51FB"/>
    <w:rsid w:val="001A5623"/>
    <w:rsid w:val="001A5B36"/>
    <w:rsid w:val="001A6025"/>
    <w:rsid w:val="001A6305"/>
    <w:rsid w:val="001A6475"/>
    <w:rsid w:val="001A7337"/>
    <w:rsid w:val="001A7B55"/>
    <w:rsid w:val="001B0612"/>
    <w:rsid w:val="001B098C"/>
    <w:rsid w:val="001B0B06"/>
    <w:rsid w:val="001B0E6A"/>
    <w:rsid w:val="001B10E2"/>
    <w:rsid w:val="001B1C3D"/>
    <w:rsid w:val="001B3118"/>
    <w:rsid w:val="001B3565"/>
    <w:rsid w:val="001B38AD"/>
    <w:rsid w:val="001B3A25"/>
    <w:rsid w:val="001B3F1C"/>
    <w:rsid w:val="001B4063"/>
    <w:rsid w:val="001B491B"/>
    <w:rsid w:val="001B5382"/>
    <w:rsid w:val="001B570B"/>
    <w:rsid w:val="001B5AFE"/>
    <w:rsid w:val="001B620D"/>
    <w:rsid w:val="001B644C"/>
    <w:rsid w:val="001B6DBC"/>
    <w:rsid w:val="001B6E64"/>
    <w:rsid w:val="001B77C3"/>
    <w:rsid w:val="001B7DE3"/>
    <w:rsid w:val="001C0E55"/>
    <w:rsid w:val="001C1164"/>
    <w:rsid w:val="001C1224"/>
    <w:rsid w:val="001C2C77"/>
    <w:rsid w:val="001C327E"/>
    <w:rsid w:val="001C33D7"/>
    <w:rsid w:val="001C3420"/>
    <w:rsid w:val="001C4066"/>
    <w:rsid w:val="001C4136"/>
    <w:rsid w:val="001C453F"/>
    <w:rsid w:val="001C4554"/>
    <w:rsid w:val="001C6D7C"/>
    <w:rsid w:val="001C6FD8"/>
    <w:rsid w:val="001C761A"/>
    <w:rsid w:val="001C77DE"/>
    <w:rsid w:val="001C7A93"/>
    <w:rsid w:val="001D0DA0"/>
    <w:rsid w:val="001D1567"/>
    <w:rsid w:val="001D1780"/>
    <w:rsid w:val="001D18B5"/>
    <w:rsid w:val="001D1F0D"/>
    <w:rsid w:val="001D2A2F"/>
    <w:rsid w:val="001D2B36"/>
    <w:rsid w:val="001D2C05"/>
    <w:rsid w:val="001D3300"/>
    <w:rsid w:val="001D36F7"/>
    <w:rsid w:val="001D3915"/>
    <w:rsid w:val="001D3AB5"/>
    <w:rsid w:val="001D3CB9"/>
    <w:rsid w:val="001D448E"/>
    <w:rsid w:val="001D45D1"/>
    <w:rsid w:val="001D4BEC"/>
    <w:rsid w:val="001D690A"/>
    <w:rsid w:val="001D6AD5"/>
    <w:rsid w:val="001D7120"/>
    <w:rsid w:val="001D77C4"/>
    <w:rsid w:val="001D7A05"/>
    <w:rsid w:val="001D7E13"/>
    <w:rsid w:val="001E0B4D"/>
    <w:rsid w:val="001E154C"/>
    <w:rsid w:val="001E1A0F"/>
    <w:rsid w:val="001E1E4D"/>
    <w:rsid w:val="001E23CB"/>
    <w:rsid w:val="001E2480"/>
    <w:rsid w:val="001E2B64"/>
    <w:rsid w:val="001E2C99"/>
    <w:rsid w:val="001E2CEF"/>
    <w:rsid w:val="001E326F"/>
    <w:rsid w:val="001E3285"/>
    <w:rsid w:val="001E35E2"/>
    <w:rsid w:val="001E3D42"/>
    <w:rsid w:val="001E3EAA"/>
    <w:rsid w:val="001E445D"/>
    <w:rsid w:val="001E48EA"/>
    <w:rsid w:val="001E4C3F"/>
    <w:rsid w:val="001E54A3"/>
    <w:rsid w:val="001E5A07"/>
    <w:rsid w:val="001E6A5B"/>
    <w:rsid w:val="001E6C01"/>
    <w:rsid w:val="001E6E79"/>
    <w:rsid w:val="001E7514"/>
    <w:rsid w:val="001E769C"/>
    <w:rsid w:val="001F0020"/>
    <w:rsid w:val="001F095D"/>
    <w:rsid w:val="001F1B51"/>
    <w:rsid w:val="001F1CFF"/>
    <w:rsid w:val="001F1F30"/>
    <w:rsid w:val="001F1FD7"/>
    <w:rsid w:val="001F2156"/>
    <w:rsid w:val="001F2551"/>
    <w:rsid w:val="001F25C7"/>
    <w:rsid w:val="001F2AD6"/>
    <w:rsid w:val="001F2D2A"/>
    <w:rsid w:val="001F347F"/>
    <w:rsid w:val="001F3580"/>
    <w:rsid w:val="001F3B9A"/>
    <w:rsid w:val="001F3BF1"/>
    <w:rsid w:val="001F3CB7"/>
    <w:rsid w:val="001F53DC"/>
    <w:rsid w:val="001F5682"/>
    <w:rsid w:val="001F5759"/>
    <w:rsid w:val="001F5ED1"/>
    <w:rsid w:val="001F63C7"/>
    <w:rsid w:val="001F6474"/>
    <w:rsid w:val="001F6602"/>
    <w:rsid w:val="001F66A0"/>
    <w:rsid w:val="001F68EA"/>
    <w:rsid w:val="001F6D53"/>
    <w:rsid w:val="001F6F98"/>
    <w:rsid w:val="001F71BE"/>
    <w:rsid w:val="001F761E"/>
    <w:rsid w:val="001F79B1"/>
    <w:rsid w:val="001F7A82"/>
    <w:rsid w:val="001F7EBD"/>
    <w:rsid w:val="001F7F67"/>
    <w:rsid w:val="002002AC"/>
    <w:rsid w:val="00200835"/>
    <w:rsid w:val="00200848"/>
    <w:rsid w:val="00201318"/>
    <w:rsid w:val="0020142E"/>
    <w:rsid w:val="0020164D"/>
    <w:rsid w:val="00201DF4"/>
    <w:rsid w:val="002022EA"/>
    <w:rsid w:val="00202813"/>
    <w:rsid w:val="00202AB9"/>
    <w:rsid w:val="002034B8"/>
    <w:rsid w:val="002036CD"/>
    <w:rsid w:val="00203702"/>
    <w:rsid w:val="00203938"/>
    <w:rsid w:val="0020402B"/>
    <w:rsid w:val="002043B5"/>
    <w:rsid w:val="00204401"/>
    <w:rsid w:val="002048DF"/>
    <w:rsid w:val="002049BE"/>
    <w:rsid w:val="00205ECD"/>
    <w:rsid w:val="00206371"/>
    <w:rsid w:val="002068DA"/>
    <w:rsid w:val="00206914"/>
    <w:rsid w:val="00206DAD"/>
    <w:rsid w:val="002070FE"/>
    <w:rsid w:val="002073DE"/>
    <w:rsid w:val="002103C4"/>
    <w:rsid w:val="00210DE7"/>
    <w:rsid w:val="00211748"/>
    <w:rsid w:val="00212056"/>
    <w:rsid w:val="00212127"/>
    <w:rsid w:val="0021220E"/>
    <w:rsid w:val="002127E7"/>
    <w:rsid w:val="00212B9C"/>
    <w:rsid w:val="00212D3D"/>
    <w:rsid w:val="00212D42"/>
    <w:rsid w:val="00213541"/>
    <w:rsid w:val="002135EA"/>
    <w:rsid w:val="002142CC"/>
    <w:rsid w:val="00214C77"/>
    <w:rsid w:val="00214EC1"/>
    <w:rsid w:val="00214F3D"/>
    <w:rsid w:val="00215E33"/>
    <w:rsid w:val="002165A6"/>
    <w:rsid w:val="00216BE2"/>
    <w:rsid w:val="00216DD3"/>
    <w:rsid w:val="00217DE7"/>
    <w:rsid w:val="00220ADF"/>
    <w:rsid w:val="00220B39"/>
    <w:rsid w:val="00220B6A"/>
    <w:rsid w:val="00220BE9"/>
    <w:rsid w:val="00220C93"/>
    <w:rsid w:val="00221019"/>
    <w:rsid w:val="00221221"/>
    <w:rsid w:val="002214DE"/>
    <w:rsid w:val="00221E01"/>
    <w:rsid w:val="00221F77"/>
    <w:rsid w:val="00222D3B"/>
    <w:rsid w:val="00222EA1"/>
    <w:rsid w:val="002234D8"/>
    <w:rsid w:val="00224073"/>
    <w:rsid w:val="00224C52"/>
    <w:rsid w:val="002256BA"/>
    <w:rsid w:val="00225AFB"/>
    <w:rsid w:val="00225F7A"/>
    <w:rsid w:val="0022680C"/>
    <w:rsid w:val="00226BDA"/>
    <w:rsid w:val="002270EE"/>
    <w:rsid w:val="00227367"/>
    <w:rsid w:val="00227E5D"/>
    <w:rsid w:val="00230635"/>
    <w:rsid w:val="00230859"/>
    <w:rsid w:val="002308A4"/>
    <w:rsid w:val="00230927"/>
    <w:rsid w:val="002318E5"/>
    <w:rsid w:val="00231942"/>
    <w:rsid w:val="00232137"/>
    <w:rsid w:val="002337D8"/>
    <w:rsid w:val="00233A9D"/>
    <w:rsid w:val="00234489"/>
    <w:rsid w:val="00234834"/>
    <w:rsid w:val="002349E1"/>
    <w:rsid w:val="00235288"/>
    <w:rsid w:val="002372F3"/>
    <w:rsid w:val="0023751A"/>
    <w:rsid w:val="0023768B"/>
    <w:rsid w:val="00237FC0"/>
    <w:rsid w:val="0024005C"/>
    <w:rsid w:val="00240164"/>
    <w:rsid w:val="00240D01"/>
    <w:rsid w:val="00240FC4"/>
    <w:rsid w:val="00241214"/>
    <w:rsid w:val="002416DA"/>
    <w:rsid w:val="00242C57"/>
    <w:rsid w:val="00243268"/>
    <w:rsid w:val="00243946"/>
    <w:rsid w:val="002443F1"/>
    <w:rsid w:val="0024479A"/>
    <w:rsid w:val="002447E0"/>
    <w:rsid w:val="00244812"/>
    <w:rsid w:val="002457A1"/>
    <w:rsid w:val="002462B8"/>
    <w:rsid w:val="002463E7"/>
    <w:rsid w:val="002463F7"/>
    <w:rsid w:val="002463F9"/>
    <w:rsid w:val="0024662A"/>
    <w:rsid w:val="00246978"/>
    <w:rsid w:val="00247AFB"/>
    <w:rsid w:val="00250062"/>
    <w:rsid w:val="00250890"/>
    <w:rsid w:val="00250B8F"/>
    <w:rsid w:val="00250CF9"/>
    <w:rsid w:val="00250E41"/>
    <w:rsid w:val="00250E7F"/>
    <w:rsid w:val="00250FDF"/>
    <w:rsid w:val="0025125C"/>
    <w:rsid w:val="00251379"/>
    <w:rsid w:val="002513CD"/>
    <w:rsid w:val="00251780"/>
    <w:rsid w:val="00252094"/>
    <w:rsid w:val="00252DE4"/>
    <w:rsid w:val="00252EBD"/>
    <w:rsid w:val="0025306B"/>
    <w:rsid w:val="00253237"/>
    <w:rsid w:val="00253674"/>
    <w:rsid w:val="002536F6"/>
    <w:rsid w:val="00253EA9"/>
    <w:rsid w:val="00254326"/>
    <w:rsid w:val="0025441F"/>
    <w:rsid w:val="00254554"/>
    <w:rsid w:val="00254688"/>
    <w:rsid w:val="00254863"/>
    <w:rsid w:val="00254C9D"/>
    <w:rsid w:val="00255467"/>
    <w:rsid w:val="00256836"/>
    <w:rsid w:val="00256984"/>
    <w:rsid w:val="00256B8E"/>
    <w:rsid w:val="00257700"/>
    <w:rsid w:val="00257B12"/>
    <w:rsid w:val="00260094"/>
    <w:rsid w:val="00260174"/>
    <w:rsid w:val="0026053B"/>
    <w:rsid w:val="00260C0E"/>
    <w:rsid w:val="0026120D"/>
    <w:rsid w:val="0026174F"/>
    <w:rsid w:val="00261F31"/>
    <w:rsid w:val="002621DF"/>
    <w:rsid w:val="00262846"/>
    <w:rsid w:val="00262CB5"/>
    <w:rsid w:val="00262F6F"/>
    <w:rsid w:val="00263360"/>
    <w:rsid w:val="00263690"/>
    <w:rsid w:val="00263AA6"/>
    <w:rsid w:val="00263D6C"/>
    <w:rsid w:val="0026440B"/>
    <w:rsid w:val="00264895"/>
    <w:rsid w:val="00264970"/>
    <w:rsid w:val="00264D6A"/>
    <w:rsid w:val="002652C1"/>
    <w:rsid w:val="002658FE"/>
    <w:rsid w:val="0026599B"/>
    <w:rsid w:val="00265A7F"/>
    <w:rsid w:val="00265D2B"/>
    <w:rsid w:val="002660ED"/>
    <w:rsid w:val="002667FE"/>
    <w:rsid w:val="00266853"/>
    <w:rsid w:val="0026692C"/>
    <w:rsid w:val="00267217"/>
    <w:rsid w:val="00267C74"/>
    <w:rsid w:val="00270242"/>
    <w:rsid w:val="002706B2"/>
    <w:rsid w:val="00270A87"/>
    <w:rsid w:val="00270B89"/>
    <w:rsid w:val="00271A45"/>
    <w:rsid w:val="00271BF5"/>
    <w:rsid w:val="002720EB"/>
    <w:rsid w:val="0027211B"/>
    <w:rsid w:val="002721A7"/>
    <w:rsid w:val="002723B9"/>
    <w:rsid w:val="00272428"/>
    <w:rsid w:val="00272A50"/>
    <w:rsid w:val="00272EAC"/>
    <w:rsid w:val="0027325A"/>
    <w:rsid w:val="00273575"/>
    <w:rsid w:val="0027376F"/>
    <w:rsid w:val="002737AF"/>
    <w:rsid w:val="00273AC0"/>
    <w:rsid w:val="00274206"/>
    <w:rsid w:val="002746D8"/>
    <w:rsid w:val="002749FA"/>
    <w:rsid w:val="00275358"/>
    <w:rsid w:val="00275A59"/>
    <w:rsid w:val="00275A67"/>
    <w:rsid w:val="00275CC9"/>
    <w:rsid w:val="00276524"/>
    <w:rsid w:val="0027738C"/>
    <w:rsid w:val="00277B58"/>
    <w:rsid w:val="002804FD"/>
    <w:rsid w:val="002809BD"/>
    <w:rsid w:val="00280BCA"/>
    <w:rsid w:val="002812C6"/>
    <w:rsid w:val="0028140D"/>
    <w:rsid w:val="0028262B"/>
    <w:rsid w:val="00282A48"/>
    <w:rsid w:val="002830F7"/>
    <w:rsid w:val="002844FA"/>
    <w:rsid w:val="00284998"/>
    <w:rsid w:val="00284C6F"/>
    <w:rsid w:val="00284E44"/>
    <w:rsid w:val="002856D7"/>
    <w:rsid w:val="00285789"/>
    <w:rsid w:val="00285B83"/>
    <w:rsid w:val="002860DD"/>
    <w:rsid w:val="0028674D"/>
    <w:rsid w:val="00286922"/>
    <w:rsid w:val="00286A99"/>
    <w:rsid w:val="00286F8B"/>
    <w:rsid w:val="00286FB7"/>
    <w:rsid w:val="00290EBA"/>
    <w:rsid w:val="0029175D"/>
    <w:rsid w:val="00291789"/>
    <w:rsid w:val="00291896"/>
    <w:rsid w:val="00291EAA"/>
    <w:rsid w:val="00292422"/>
    <w:rsid w:val="0029279E"/>
    <w:rsid w:val="00292A76"/>
    <w:rsid w:val="00292D9D"/>
    <w:rsid w:val="002932CC"/>
    <w:rsid w:val="00293559"/>
    <w:rsid w:val="002937E7"/>
    <w:rsid w:val="00293831"/>
    <w:rsid w:val="00293938"/>
    <w:rsid w:val="00293AEF"/>
    <w:rsid w:val="00293D4A"/>
    <w:rsid w:val="00293DC7"/>
    <w:rsid w:val="0029405B"/>
    <w:rsid w:val="00294225"/>
    <w:rsid w:val="00294778"/>
    <w:rsid w:val="0029490F"/>
    <w:rsid w:val="00294979"/>
    <w:rsid w:val="00294E69"/>
    <w:rsid w:val="0029513E"/>
    <w:rsid w:val="002952A4"/>
    <w:rsid w:val="00295675"/>
    <w:rsid w:val="002959A8"/>
    <w:rsid w:val="0029653D"/>
    <w:rsid w:val="00296727"/>
    <w:rsid w:val="0029688B"/>
    <w:rsid w:val="00296C58"/>
    <w:rsid w:val="0029755A"/>
    <w:rsid w:val="002977F8"/>
    <w:rsid w:val="00297D86"/>
    <w:rsid w:val="00297DEA"/>
    <w:rsid w:val="002A01D4"/>
    <w:rsid w:val="002A1B50"/>
    <w:rsid w:val="002A1C18"/>
    <w:rsid w:val="002A223F"/>
    <w:rsid w:val="002A2612"/>
    <w:rsid w:val="002A33E2"/>
    <w:rsid w:val="002A3AC0"/>
    <w:rsid w:val="002A3AE6"/>
    <w:rsid w:val="002A4003"/>
    <w:rsid w:val="002A436B"/>
    <w:rsid w:val="002A4725"/>
    <w:rsid w:val="002A485E"/>
    <w:rsid w:val="002A4A6F"/>
    <w:rsid w:val="002A4AFA"/>
    <w:rsid w:val="002A4B81"/>
    <w:rsid w:val="002A506A"/>
    <w:rsid w:val="002A5F68"/>
    <w:rsid w:val="002A6247"/>
    <w:rsid w:val="002A656D"/>
    <w:rsid w:val="002A721E"/>
    <w:rsid w:val="002A77AB"/>
    <w:rsid w:val="002B01D3"/>
    <w:rsid w:val="002B0C63"/>
    <w:rsid w:val="002B152F"/>
    <w:rsid w:val="002B15ED"/>
    <w:rsid w:val="002B1B26"/>
    <w:rsid w:val="002B2651"/>
    <w:rsid w:val="002B277F"/>
    <w:rsid w:val="002B2837"/>
    <w:rsid w:val="002B2AF5"/>
    <w:rsid w:val="002B35CD"/>
    <w:rsid w:val="002B36C6"/>
    <w:rsid w:val="002B3816"/>
    <w:rsid w:val="002B3A27"/>
    <w:rsid w:val="002B6C69"/>
    <w:rsid w:val="002B74F0"/>
    <w:rsid w:val="002B7639"/>
    <w:rsid w:val="002B78C1"/>
    <w:rsid w:val="002B795D"/>
    <w:rsid w:val="002B7A2F"/>
    <w:rsid w:val="002C0102"/>
    <w:rsid w:val="002C0C44"/>
    <w:rsid w:val="002C0D89"/>
    <w:rsid w:val="002C109F"/>
    <w:rsid w:val="002C130E"/>
    <w:rsid w:val="002C15B4"/>
    <w:rsid w:val="002C181F"/>
    <w:rsid w:val="002C1F26"/>
    <w:rsid w:val="002C1F33"/>
    <w:rsid w:val="002C2428"/>
    <w:rsid w:val="002C3CE4"/>
    <w:rsid w:val="002C3DD9"/>
    <w:rsid w:val="002C5169"/>
    <w:rsid w:val="002C5443"/>
    <w:rsid w:val="002C5705"/>
    <w:rsid w:val="002C57A9"/>
    <w:rsid w:val="002C5BDC"/>
    <w:rsid w:val="002C65F1"/>
    <w:rsid w:val="002C69D6"/>
    <w:rsid w:val="002C6C15"/>
    <w:rsid w:val="002C6F21"/>
    <w:rsid w:val="002C708A"/>
    <w:rsid w:val="002C70EF"/>
    <w:rsid w:val="002C713A"/>
    <w:rsid w:val="002C7396"/>
    <w:rsid w:val="002C7E64"/>
    <w:rsid w:val="002D02FE"/>
    <w:rsid w:val="002D054F"/>
    <w:rsid w:val="002D0A6E"/>
    <w:rsid w:val="002D0ACE"/>
    <w:rsid w:val="002D161B"/>
    <w:rsid w:val="002D1764"/>
    <w:rsid w:val="002D1832"/>
    <w:rsid w:val="002D1C3D"/>
    <w:rsid w:val="002D1C79"/>
    <w:rsid w:val="002D1CEE"/>
    <w:rsid w:val="002D270F"/>
    <w:rsid w:val="002D3907"/>
    <w:rsid w:val="002D3960"/>
    <w:rsid w:val="002D3C37"/>
    <w:rsid w:val="002D3DB9"/>
    <w:rsid w:val="002D41C0"/>
    <w:rsid w:val="002D4839"/>
    <w:rsid w:val="002D48A7"/>
    <w:rsid w:val="002D4E0C"/>
    <w:rsid w:val="002D50D4"/>
    <w:rsid w:val="002D5100"/>
    <w:rsid w:val="002D5644"/>
    <w:rsid w:val="002D58FD"/>
    <w:rsid w:val="002D5A2B"/>
    <w:rsid w:val="002D5CA9"/>
    <w:rsid w:val="002D61EE"/>
    <w:rsid w:val="002D6422"/>
    <w:rsid w:val="002D6696"/>
    <w:rsid w:val="002D7197"/>
    <w:rsid w:val="002D7631"/>
    <w:rsid w:val="002D7732"/>
    <w:rsid w:val="002E0189"/>
    <w:rsid w:val="002E01CA"/>
    <w:rsid w:val="002E03FF"/>
    <w:rsid w:val="002E0572"/>
    <w:rsid w:val="002E086A"/>
    <w:rsid w:val="002E0ED0"/>
    <w:rsid w:val="002E11C7"/>
    <w:rsid w:val="002E1AED"/>
    <w:rsid w:val="002E1C8F"/>
    <w:rsid w:val="002E22C4"/>
    <w:rsid w:val="002E24A4"/>
    <w:rsid w:val="002E2623"/>
    <w:rsid w:val="002E270D"/>
    <w:rsid w:val="002E29E7"/>
    <w:rsid w:val="002E2BDB"/>
    <w:rsid w:val="002E2BF5"/>
    <w:rsid w:val="002E2C00"/>
    <w:rsid w:val="002E3F65"/>
    <w:rsid w:val="002E4916"/>
    <w:rsid w:val="002E4F94"/>
    <w:rsid w:val="002E54AB"/>
    <w:rsid w:val="002E5743"/>
    <w:rsid w:val="002E5BA3"/>
    <w:rsid w:val="002E5C5C"/>
    <w:rsid w:val="002E63B0"/>
    <w:rsid w:val="002E649F"/>
    <w:rsid w:val="002E68D5"/>
    <w:rsid w:val="002E6D34"/>
    <w:rsid w:val="002E7203"/>
    <w:rsid w:val="002F006D"/>
    <w:rsid w:val="002F0268"/>
    <w:rsid w:val="002F064E"/>
    <w:rsid w:val="002F0888"/>
    <w:rsid w:val="002F08BF"/>
    <w:rsid w:val="002F0A15"/>
    <w:rsid w:val="002F0A77"/>
    <w:rsid w:val="002F0B53"/>
    <w:rsid w:val="002F1249"/>
    <w:rsid w:val="002F179A"/>
    <w:rsid w:val="002F1A65"/>
    <w:rsid w:val="002F1B60"/>
    <w:rsid w:val="002F1BA3"/>
    <w:rsid w:val="002F1C13"/>
    <w:rsid w:val="002F1C42"/>
    <w:rsid w:val="002F212F"/>
    <w:rsid w:val="002F25AA"/>
    <w:rsid w:val="002F376D"/>
    <w:rsid w:val="002F3BAA"/>
    <w:rsid w:val="002F3D3C"/>
    <w:rsid w:val="002F418E"/>
    <w:rsid w:val="002F4333"/>
    <w:rsid w:val="002F464A"/>
    <w:rsid w:val="002F49D6"/>
    <w:rsid w:val="002F4FA5"/>
    <w:rsid w:val="002F537F"/>
    <w:rsid w:val="002F53A7"/>
    <w:rsid w:val="002F55BC"/>
    <w:rsid w:val="002F57EE"/>
    <w:rsid w:val="002F5F0A"/>
    <w:rsid w:val="002F5F83"/>
    <w:rsid w:val="002F6228"/>
    <w:rsid w:val="002F687C"/>
    <w:rsid w:val="002F69CB"/>
    <w:rsid w:val="002F6D21"/>
    <w:rsid w:val="002F6D53"/>
    <w:rsid w:val="002F715B"/>
    <w:rsid w:val="002F7195"/>
    <w:rsid w:val="002F7422"/>
    <w:rsid w:val="0030001E"/>
    <w:rsid w:val="003003D3"/>
    <w:rsid w:val="003004F1"/>
    <w:rsid w:val="003004F9"/>
    <w:rsid w:val="00300519"/>
    <w:rsid w:val="003006FF"/>
    <w:rsid w:val="003008D8"/>
    <w:rsid w:val="00300C42"/>
    <w:rsid w:val="00300D7D"/>
    <w:rsid w:val="00300F4A"/>
    <w:rsid w:val="00301A11"/>
    <w:rsid w:val="00301E53"/>
    <w:rsid w:val="00301EA9"/>
    <w:rsid w:val="00302265"/>
    <w:rsid w:val="00302A59"/>
    <w:rsid w:val="00302F3B"/>
    <w:rsid w:val="00303E3D"/>
    <w:rsid w:val="003044A6"/>
    <w:rsid w:val="00304A90"/>
    <w:rsid w:val="00304DDE"/>
    <w:rsid w:val="00304F58"/>
    <w:rsid w:val="00305278"/>
    <w:rsid w:val="003054B3"/>
    <w:rsid w:val="0030554F"/>
    <w:rsid w:val="003058E7"/>
    <w:rsid w:val="00305C48"/>
    <w:rsid w:val="0030666E"/>
    <w:rsid w:val="00306C6C"/>
    <w:rsid w:val="003071FB"/>
    <w:rsid w:val="00307AFD"/>
    <w:rsid w:val="00307BDA"/>
    <w:rsid w:val="00307F52"/>
    <w:rsid w:val="00310013"/>
    <w:rsid w:val="003101B5"/>
    <w:rsid w:val="0031025A"/>
    <w:rsid w:val="00310D5A"/>
    <w:rsid w:val="00311341"/>
    <w:rsid w:val="003119A1"/>
    <w:rsid w:val="00311F00"/>
    <w:rsid w:val="00312475"/>
    <w:rsid w:val="00312493"/>
    <w:rsid w:val="0031265E"/>
    <w:rsid w:val="0031299A"/>
    <w:rsid w:val="00312E34"/>
    <w:rsid w:val="0031378D"/>
    <w:rsid w:val="00314144"/>
    <w:rsid w:val="003147E5"/>
    <w:rsid w:val="00314886"/>
    <w:rsid w:val="00314D45"/>
    <w:rsid w:val="00315017"/>
    <w:rsid w:val="003151C1"/>
    <w:rsid w:val="003153FD"/>
    <w:rsid w:val="003157A9"/>
    <w:rsid w:val="00315A77"/>
    <w:rsid w:val="003160E0"/>
    <w:rsid w:val="0031690A"/>
    <w:rsid w:val="00316922"/>
    <w:rsid w:val="003170FF"/>
    <w:rsid w:val="0031754E"/>
    <w:rsid w:val="00317D38"/>
    <w:rsid w:val="00317F64"/>
    <w:rsid w:val="00320496"/>
    <w:rsid w:val="0032066E"/>
    <w:rsid w:val="0032068D"/>
    <w:rsid w:val="0032073C"/>
    <w:rsid w:val="00320C77"/>
    <w:rsid w:val="00321BFB"/>
    <w:rsid w:val="0032268E"/>
    <w:rsid w:val="003227A4"/>
    <w:rsid w:val="003234FE"/>
    <w:rsid w:val="00323ABA"/>
    <w:rsid w:val="00324D7D"/>
    <w:rsid w:val="00325193"/>
    <w:rsid w:val="003253B4"/>
    <w:rsid w:val="00325D22"/>
    <w:rsid w:val="0032647A"/>
    <w:rsid w:val="00326C22"/>
    <w:rsid w:val="00326F3A"/>
    <w:rsid w:val="003273E8"/>
    <w:rsid w:val="00327650"/>
    <w:rsid w:val="00327D7E"/>
    <w:rsid w:val="00330695"/>
    <w:rsid w:val="003309C0"/>
    <w:rsid w:val="00330C57"/>
    <w:rsid w:val="00331337"/>
    <w:rsid w:val="00331758"/>
    <w:rsid w:val="003317BC"/>
    <w:rsid w:val="00331A11"/>
    <w:rsid w:val="00331C5F"/>
    <w:rsid w:val="00331EA7"/>
    <w:rsid w:val="00331F88"/>
    <w:rsid w:val="003322C1"/>
    <w:rsid w:val="003322CA"/>
    <w:rsid w:val="003323D1"/>
    <w:rsid w:val="00332475"/>
    <w:rsid w:val="0033279B"/>
    <w:rsid w:val="00332B64"/>
    <w:rsid w:val="00332CB2"/>
    <w:rsid w:val="0033349F"/>
    <w:rsid w:val="003337C0"/>
    <w:rsid w:val="00334330"/>
    <w:rsid w:val="003348CC"/>
    <w:rsid w:val="00334F7E"/>
    <w:rsid w:val="003354C6"/>
    <w:rsid w:val="0033563F"/>
    <w:rsid w:val="00335AAE"/>
    <w:rsid w:val="00335DFD"/>
    <w:rsid w:val="00335F94"/>
    <w:rsid w:val="00335FD7"/>
    <w:rsid w:val="00337619"/>
    <w:rsid w:val="00337E67"/>
    <w:rsid w:val="003401AF"/>
    <w:rsid w:val="003407F5"/>
    <w:rsid w:val="00341FDE"/>
    <w:rsid w:val="00342098"/>
    <w:rsid w:val="00342566"/>
    <w:rsid w:val="00342863"/>
    <w:rsid w:val="00342A67"/>
    <w:rsid w:val="00342BB0"/>
    <w:rsid w:val="00343178"/>
    <w:rsid w:val="00343785"/>
    <w:rsid w:val="00344165"/>
    <w:rsid w:val="0034435F"/>
    <w:rsid w:val="00344645"/>
    <w:rsid w:val="003449E8"/>
    <w:rsid w:val="00345429"/>
    <w:rsid w:val="0034589A"/>
    <w:rsid w:val="0034612B"/>
    <w:rsid w:val="003461F8"/>
    <w:rsid w:val="0034674D"/>
    <w:rsid w:val="00346E75"/>
    <w:rsid w:val="003473E3"/>
    <w:rsid w:val="003475E9"/>
    <w:rsid w:val="00347D0B"/>
    <w:rsid w:val="00350488"/>
    <w:rsid w:val="00350576"/>
    <w:rsid w:val="0035157C"/>
    <w:rsid w:val="003518C8"/>
    <w:rsid w:val="00351FE9"/>
    <w:rsid w:val="0035271E"/>
    <w:rsid w:val="003527E4"/>
    <w:rsid w:val="00352873"/>
    <w:rsid w:val="003528CE"/>
    <w:rsid w:val="003534C4"/>
    <w:rsid w:val="00353853"/>
    <w:rsid w:val="00353C42"/>
    <w:rsid w:val="0035403B"/>
    <w:rsid w:val="003540ED"/>
    <w:rsid w:val="0035420D"/>
    <w:rsid w:val="0035469D"/>
    <w:rsid w:val="0035525B"/>
    <w:rsid w:val="00355FA7"/>
    <w:rsid w:val="00356278"/>
    <w:rsid w:val="0035659D"/>
    <w:rsid w:val="00356774"/>
    <w:rsid w:val="00356785"/>
    <w:rsid w:val="003569F3"/>
    <w:rsid w:val="00356E85"/>
    <w:rsid w:val="00357CDF"/>
    <w:rsid w:val="0036057F"/>
    <w:rsid w:val="0036116B"/>
    <w:rsid w:val="003612DF"/>
    <w:rsid w:val="0036135C"/>
    <w:rsid w:val="0036188E"/>
    <w:rsid w:val="00361AEA"/>
    <w:rsid w:val="00363614"/>
    <w:rsid w:val="00363B6C"/>
    <w:rsid w:val="00363C2A"/>
    <w:rsid w:val="00363C2C"/>
    <w:rsid w:val="00363E1E"/>
    <w:rsid w:val="00364024"/>
    <w:rsid w:val="00364768"/>
    <w:rsid w:val="0036499B"/>
    <w:rsid w:val="00364B47"/>
    <w:rsid w:val="00364F2D"/>
    <w:rsid w:val="00366702"/>
    <w:rsid w:val="00367150"/>
    <w:rsid w:val="003671D9"/>
    <w:rsid w:val="00367877"/>
    <w:rsid w:val="0036795D"/>
    <w:rsid w:val="00370F4F"/>
    <w:rsid w:val="003711C6"/>
    <w:rsid w:val="0037159A"/>
    <w:rsid w:val="003717F4"/>
    <w:rsid w:val="0037181B"/>
    <w:rsid w:val="003723C3"/>
    <w:rsid w:val="00372EF5"/>
    <w:rsid w:val="00373451"/>
    <w:rsid w:val="0037421E"/>
    <w:rsid w:val="00374363"/>
    <w:rsid w:val="00374378"/>
    <w:rsid w:val="0037439A"/>
    <w:rsid w:val="003745F6"/>
    <w:rsid w:val="00374B94"/>
    <w:rsid w:val="00374BE3"/>
    <w:rsid w:val="003752B7"/>
    <w:rsid w:val="003756A2"/>
    <w:rsid w:val="00375ED5"/>
    <w:rsid w:val="0037615D"/>
    <w:rsid w:val="00376273"/>
    <w:rsid w:val="0037761C"/>
    <w:rsid w:val="00377A5B"/>
    <w:rsid w:val="00377A9B"/>
    <w:rsid w:val="00377E04"/>
    <w:rsid w:val="0038032A"/>
    <w:rsid w:val="003803DD"/>
    <w:rsid w:val="00382A43"/>
    <w:rsid w:val="0038334F"/>
    <w:rsid w:val="003836DA"/>
    <w:rsid w:val="00383FA1"/>
    <w:rsid w:val="0038461B"/>
    <w:rsid w:val="00384B44"/>
    <w:rsid w:val="003855C1"/>
    <w:rsid w:val="003857B4"/>
    <w:rsid w:val="00385868"/>
    <w:rsid w:val="00385C1F"/>
    <w:rsid w:val="00385CE5"/>
    <w:rsid w:val="00385E29"/>
    <w:rsid w:val="0038681E"/>
    <w:rsid w:val="0038698C"/>
    <w:rsid w:val="00386C8D"/>
    <w:rsid w:val="003875D1"/>
    <w:rsid w:val="0038783F"/>
    <w:rsid w:val="00387F28"/>
    <w:rsid w:val="00390315"/>
    <w:rsid w:val="00390349"/>
    <w:rsid w:val="003905BF"/>
    <w:rsid w:val="0039150D"/>
    <w:rsid w:val="0039152C"/>
    <w:rsid w:val="00391A71"/>
    <w:rsid w:val="00391C6C"/>
    <w:rsid w:val="00391D08"/>
    <w:rsid w:val="00391E77"/>
    <w:rsid w:val="00392051"/>
    <w:rsid w:val="00392295"/>
    <w:rsid w:val="00393717"/>
    <w:rsid w:val="00393E2F"/>
    <w:rsid w:val="0039430E"/>
    <w:rsid w:val="00394E34"/>
    <w:rsid w:val="00395576"/>
    <w:rsid w:val="00395C8A"/>
    <w:rsid w:val="0039614E"/>
    <w:rsid w:val="00396678"/>
    <w:rsid w:val="003968D5"/>
    <w:rsid w:val="00396B10"/>
    <w:rsid w:val="00396CF4"/>
    <w:rsid w:val="0039712C"/>
    <w:rsid w:val="00397133"/>
    <w:rsid w:val="00397364"/>
    <w:rsid w:val="00397874"/>
    <w:rsid w:val="00397A9F"/>
    <w:rsid w:val="00397B5B"/>
    <w:rsid w:val="00397BCF"/>
    <w:rsid w:val="00397BEC"/>
    <w:rsid w:val="003A0866"/>
    <w:rsid w:val="003A0C68"/>
    <w:rsid w:val="003A0F9A"/>
    <w:rsid w:val="003A1279"/>
    <w:rsid w:val="003A1D20"/>
    <w:rsid w:val="003A23A5"/>
    <w:rsid w:val="003A2AC0"/>
    <w:rsid w:val="003A2B52"/>
    <w:rsid w:val="003A2D1E"/>
    <w:rsid w:val="003A38BC"/>
    <w:rsid w:val="003A39EA"/>
    <w:rsid w:val="003A39EE"/>
    <w:rsid w:val="003A43BE"/>
    <w:rsid w:val="003A43F2"/>
    <w:rsid w:val="003A4A2A"/>
    <w:rsid w:val="003A4FDF"/>
    <w:rsid w:val="003A55DD"/>
    <w:rsid w:val="003A5729"/>
    <w:rsid w:val="003A5B32"/>
    <w:rsid w:val="003A5FEF"/>
    <w:rsid w:val="003A684C"/>
    <w:rsid w:val="003A6B13"/>
    <w:rsid w:val="003A6F8C"/>
    <w:rsid w:val="003A71BD"/>
    <w:rsid w:val="003A7FCB"/>
    <w:rsid w:val="003B06ED"/>
    <w:rsid w:val="003B0C37"/>
    <w:rsid w:val="003B0C9F"/>
    <w:rsid w:val="003B0CB2"/>
    <w:rsid w:val="003B15E3"/>
    <w:rsid w:val="003B1650"/>
    <w:rsid w:val="003B19D6"/>
    <w:rsid w:val="003B208E"/>
    <w:rsid w:val="003B287E"/>
    <w:rsid w:val="003B29F0"/>
    <w:rsid w:val="003B2DD1"/>
    <w:rsid w:val="003B3304"/>
    <w:rsid w:val="003B36B1"/>
    <w:rsid w:val="003B3D40"/>
    <w:rsid w:val="003B46BD"/>
    <w:rsid w:val="003B49D4"/>
    <w:rsid w:val="003B54CF"/>
    <w:rsid w:val="003B5615"/>
    <w:rsid w:val="003B5AA6"/>
    <w:rsid w:val="003B67DE"/>
    <w:rsid w:val="003B702F"/>
    <w:rsid w:val="003B748C"/>
    <w:rsid w:val="003B7578"/>
    <w:rsid w:val="003B7A9B"/>
    <w:rsid w:val="003B7B37"/>
    <w:rsid w:val="003B7CF8"/>
    <w:rsid w:val="003C0140"/>
    <w:rsid w:val="003C0841"/>
    <w:rsid w:val="003C094B"/>
    <w:rsid w:val="003C0ACF"/>
    <w:rsid w:val="003C0D76"/>
    <w:rsid w:val="003C1318"/>
    <w:rsid w:val="003C1517"/>
    <w:rsid w:val="003C1B84"/>
    <w:rsid w:val="003C1F72"/>
    <w:rsid w:val="003C20E0"/>
    <w:rsid w:val="003C2389"/>
    <w:rsid w:val="003C2882"/>
    <w:rsid w:val="003C2C61"/>
    <w:rsid w:val="003C32DE"/>
    <w:rsid w:val="003C35E4"/>
    <w:rsid w:val="003C397D"/>
    <w:rsid w:val="003C3B26"/>
    <w:rsid w:val="003C40E6"/>
    <w:rsid w:val="003C4683"/>
    <w:rsid w:val="003C50C8"/>
    <w:rsid w:val="003C5D07"/>
    <w:rsid w:val="003C625C"/>
    <w:rsid w:val="003C6F11"/>
    <w:rsid w:val="003C727D"/>
    <w:rsid w:val="003C7379"/>
    <w:rsid w:val="003C7458"/>
    <w:rsid w:val="003C7994"/>
    <w:rsid w:val="003D079D"/>
    <w:rsid w:val="003D096A"/>
    <w:rsid w:val="003D0A7B"/>
    <w:rsid w:val="003D1113"/>
    <w:rsid w:val="003D1491"/>
    <w:rsid w:val="003D1907"/>
    <w:rsid w:val="003D20EF"/>
    <w:rsid w:val="003D24EA"/>
    <w:rsid w:val="003D2525"/>
    <w:rsid w:val="003D284E"/>
    <w:rsid w:val="003D2F4A"/>
    <w:rsid w:val="003D3196"/>
    <w:rsid w:val="003D38E2"/>
    <w:rsid w:val="003D38EB"/>
    <w:rsid w:val="003D3AE1"/>
    <w:rsid w:val="003D422C"/>
    <w:rsid w:val="003D454A"/>
    <w:rsid w:val="003D5636"/>
    <w:rsid w:val="003D66F4"/>
    <w:rsid w:val="003D6772"/>
    <w:rsid w:val="003D6F83"/>
    <w:rsid w:val="003D70BD"/>
    <w:rsid w:val="003D77F5"/>
    <w:rsid w:val="003D7B5F"/>
    <w:rsid w:val="003E0608"/>
    <w:rsid w:val="003E0857"/>
    <w:rsid w:val="003E1253"/>
    <w:rsid w:val="003E126F"/>
    <w:rsid w:val="003E12F6"/>
    <w:rsid w:val="003E1388"/>
    <w:rsid w:val="003E164A"/>
    <w:rsid w:val="003E1C0B"/>
    <w:rsid w:val="003E1D93"/>
    <w:rsid w:val="003E2128"/>
    <w:rsid w:val="003E27F8"/>
    <w:rsid w:val="003E2A9B"/>
    <w:rsid w:val="003E2D7D"/>
    <w:rsid w:val="003E3A11"/>
    <w:rsid w:val="003E3AD5"/>
    <w:rsid w:val="003E409A"/>
    <w:rsid w:val="003E41A4"/>
    <w:rsid w:val="003E44C2"/>
    <w:rsid w:val="003E5894"/>
    <w:rsid w:val="003E5F49"/>
    <w:rsid w:val="003E6AEE"/>
    <w:rsid w:val="003E6E38"/>
    <w:rsid w:val="003E6FC4"/>
    <w:rsid w:val="003E7452"/>
    <w:rsid w:val="003E7579"/>
    <w:rsid w:val="003E7786"/>
    <w:rsid w:val="003F0649"/>
    <w:rsid w:val="003F08C5"/>
    <w:rsid w:val="003F16B1"/>
    <w:rsid w:val="003F19B1"/>
    <w:rsid w:val="003F1CC1"/>
    <w:rsid w:val="003F234B"/>
    <w:rsid w:val="003F251F"/>
    <w:rsid w:val="003F2C0C"/>
    <w:rsid w:val="003F30C2"/>
    <w:rsid w:val="003F3FCB"/>
    <w:rsid w:val="003F4187"/>
    <w:rsid w:val="003F4581"/>
    <w:rsid w:val="003F4B14"/>
    <w:rsid w:val="003F4C7E"/>
    <w:rsid w:val="003F502F"/>
    <w:rsid w:val="003F549A"/>
    <w:rsid w:val="003F5747"/>
    <w:rsid w:val="003F7A99"/>
    <w:rsid w:val="0040033B"/>
    <w:rsid w:val="00400739"/>
    <w:rsid w:val="004012D3"/>
    <w:rsid w:val="00401354"/>
    <w:rsid w:val="004019B4"/>
    <w:rsid w:val="0040213D"/>
    <w:rsid w:val="0040219D"/>
    <w:rsid w:val="004022E2"/>
    <w:rsid w:val="00402549"/>
    <w:rsid w:val="00402670"/>
    <w:rsid w:val="00402C2A"/>
    <w:rsid w:val="00403D52"/>
    <w:rsid w:val="004052DB"/>
    <w:rsid w:val="00405313"/>
    <w:rsid w:val="004055D1"/>
    <w:rsid w:val="0040591E"/>
    <w:rsid w:val="00405960"/>
    <w:rsid w:val="00405963"/>
    <w:rsid w:val="00405B14"/>
    <w:rsid w:val="00405B96"/>
    <w:rsid w:val="00406E2D"/>
    <w:rsid w:val="0040745C"/>
    <w:rsid w:val="00407E98"/>
    <w:rsid w:val="00407EF3"/>
    <w:rsid w:val="0041037B"/>
    <w:rsid w:val="004103F4"/>
    <w:rsid w:val="00411944"/>
    <w:rsid w:val="00411C30"/>
    <w:rsid w:val="004126E8"/>
    <w:rsid w:val="0041287A"/>
    <w:rsid w:val="00413160"/>
    <w:rsid w:val="00413243"/>
    <w:rsid w:val="0041327E"/>
    <w:rsid w:val="00413CF3"/>
    <w:rsid w:val="00414758"/>
    <w:rsid w:val="00414838"/>
    <w:rsid w:val="004149A2"/>
    <w:rsid w:val="00414D1E"/>
    <w:rsid w:val="00414E91"/>
    <w:rsid w:val="00414F05"/>
    <w:rsid w:val="004150DA"/>
    <w:rsid w:val="0041541B"/>
    <w:rsid w:val="00415782"/>
    <w:rsid w:val="0041584A"/>
    <w:rsid w:val="00415E10"/>
    <w:rsid w:val="00415FFD"/>
    <w:rsid w:val="00416542"/>
    <w:rsid w:val="0041710B"/>
    <w:rsid w:val="00417863"/>
    <w:rsid w:val="004201C1"/>
    <w:rsid w:val="004202C9"/>
    <w:rsid w:val="004206FB"/>
    <w:rsid w:val="00420A06"/>
    <w:rsid w:val="00420B6B"/>
    <w:rsid w:val="00421A58"/>
    <w:rsid w:val="00421C0E"/>
    <w:rsid w:val="004224D3"/>
    <w:rsid w:val="00422F19"/>
    <w:rsid w:val="00423179"/>
    <w:rsid w:val="00423393"/>
    <w:rsid w:val="004239BA"/>
    <w:rsid w:val="00423B62"/>
    <w:rsid w:val="00424445"/>
    <w:rsid w:val="004244B5"/>
    <w:rsid w:val="00424B39"/>
    <w:rsid w:val="00424F6B"/>
    <w:rsid w:val="0042514E"/>
    <w:rsid w:val="00425237"/>
    <w:rsid w:val="00425581"/>
    <w:rsid w:val="0042568E"/>
    <w:rsid w:val="00425C1B"/>
    <w:rsid w:val="00425C82"/>
    <w:rsid w:val="00425E8B"/>
    <w:rsid w:val="004260DD"/>
    <w:rsid w:val="00426350"/>
    <w:rsid w:val="00426755"/>
    <w:rsid w:val="004268C2"/>
    <w:rsid w:val="00426AB7"/>
    <w:rsid w:val="00427146"/>
    <w:rsid w:val="00427C39"/>
    <w:rsid w:val="00427C3B"/>
    <w:rsid w:val="00430624"/>
    <w:rsid w:val="00430ED6"/>
    <w:rsid w:val="004319A4"/>
    <w:rsid w:val="00431A72"/>
    <w:rsid w:val="00431D88"/>
    <w:rsid w:val="0043200A"/>
    <w:rsid w:val="004323D8"/>
    <w:rsid w:val="00432723"/>
    <w:rsid w:val="00432925"/>
    <w:rsid w:val="004339B2"/>
    <w:rsid w:val="00433CBE"/>
    <w:rsid w:val="00433D2F"/>
    <w:rsid w:val="0043423C"/>
    <w:rsid w:val="00434940"/>
    <w:rsid w:val="004352C0"/>
    <w:rsid w:val="00436202"/>
    <w:rsid w:val="0043705C"/>
    <w:rsid w:val="00437286"/>
    <w:rsid w:val="004374F4"/>
    <w:rsid w:val="004375CE"/>
    <w:rsid w:val="00437CA9"/>
    <w:rsid w:val="00437E7D"/>
    <w:rsid w:val="00440259"/>
    <w:rsid w:val="004404E2"/>
    <w:rsid w:val="004408AB"/>
    <w:rsid w:val="00440E4B"/>
    <w:rsid w:val="0044101F"/>
    <w:rsid w:val="004418BA"/>
    <w:rsid w:val="0044205A"/>
    <w:rsid w:val="00442411"/>
    <w:rsid w:val="0044266B"/>
    <w:rsid w:val="004431CD"/>
    <w:rsid w:val="00443B6E"/>
    <w:rsid w:val="00443CD6"/>
    <w:rsid w:val="0044420B"/>
    <w:rsid w:val="00444355"/>
    <w:rsid w:val="0044440E"/>
    <w:rsid w:val="00444534"/>
    <w:rsid w:val="00444709"/>
    <w:rsid w:val="004447AA"/>
    <w:rsid w:val="00444AC6"/>
    <w:rsid w:val="00444F98"/>
    <w:rsid w:val="00445820"/>
    <w:rsid w:val="00446053"/>
    <w:rsid w:val="00446280"/>
    <w:rsid w:val="004462EA"/>
    <w:rsid w:val="0044672A"/>
    <w:rsid w:val="00446762"/>
    <w:rsid w:val="00446D5F"/>
    <w:rsid w:val="00446DC9"/>
    <w:rsid w:val="0044738E"/>
    <w:rsid w:val="0044776E"/>
    <w:rsid w:val="00447E66"/>
    <w:rsid w:val="0045019B"/>
    <w:rsid w:val="00451541"/>
    <w:rsid w:val="00451B31"/>
    <w:rsid w:val="004526E5"/>
    <w:rsid w:val="0045293E"/>
    <w:rsid w:val="00452A1D"/>
    <w:rsid w:val="00453092"/>
    <w:rsid w:val="00453184"/>
    <w:rsid w:val="00453256"/>
    <w:rsid w:val="00453A4A"/>
    <w:rsid w:val="00453E4D"/>
    <w:rsid w:val="00454392"/>
    <w:rsid w:val="00455846"/>
    <w:rsid w:val="00455CF8"/>
    <w:rsid w:val="00455D79"/>
    <w:rsid w:val="00455E4F"/>
    <w:rsid w:val="00456583"/>
    <w:rsid w:val="00456645"/>
    <w:rsid w:val="00456987"/>
    <w:rsid w:val="0045714A"/>
    <w:rsid w:val="0045730B"/>
    <w:rsid w:val="00457377"/>
    <w:rsid w:val="00457875"/>
    <w:rsid w:val="00457AF6"/>
    <w:rsid w:val="00457B77"/>
    <w:rsid w:val="00457D2E"/>
    <w:rsid w:val="00457E39"/>
    <w:rsid w:val="0046021D"/>
    <w:rsid w:val="004607BF"/>
    <w:rsid w:val="004607DF"/>
    <w:rsid w:val="004615DC"/>
    <w:rsid w:val="004616AB"/>
    <w:rsid w:val="0046197C"/>
    <w:rsid w:val="00461ADC"/>
    <w:rsid w:val="00461DF0"/>
    <w:rsid w:val="0046212D"/>
    <w:rsid w:val="00462C2F"/>
    <w:rsid w:val="00462F61"/>
    <w:rsid w:val="004632E6"/>
    <w:rsid w:val="00463600"/>
    <w:rsid w:val="00463854"/>
    <w:rsid w:val="00463B38"/>
    <w:rsid w:val="00463B48"/>
    <w:rsid w:val="00463B4A"/>
    <w:rsid w:val="00463C8E"/>
    <w:rsid w:val="00463E92"/>
    <w:rsid w:val="004647C9"/>
    <w:rsid w:val="00464EA0"/>
    <w:rsid w:val="00465E24"/>
    <w:rsid w:val="00466E5A"/>
    <w:rsid w:val="00467118"/>
    <w:rsid w:val="00467B40"/>
    <w:rsid w:val="0047015F"/>
    <w:rsid w:val="004704D6"/>
    <w:rsid w:val="00470B91"/>
    <w:rsid w:val="00470BA6"/>
    <w:rsid w:val="00471719"/>
    <w:rsid w:val="004718B0"/>
    <w:rsid w:val="00471AF8"/>
    <w:rsid w:val="00471DA0"/>
    <w:rsid w:val="00471DFC"/>
    <w:rsid w:val="0047212A"/>
    <w:rsid w:val="00472348"/>
    <w:rsid w:val="00472391"/>
    <w:rsid w:val="00472428"/>
    <w:rsid w:val="00472A2E"/>
    <w:rsid w:val="00472C7F"/>
    <w:rsid w:val="00473082"/>
    <w:rsid w:val="004730F0"/>
    <w:rsid w:val="00473BF9"/>
    <w:rsid w:val="00473D10"/>
    <w:rsid w:val="00473F9F"/>
    <w:rsid w:val="00474105"/>
    <w:rsid w:val="00474594"/>
    <w:rsid w:val="00474ADE"/>
    <w:rsid w:val="00474E5F"/>
    <w:rsid w:val="00475237"/>
    <w:rsid w:val="004752D6"/>
    <w:rsid w:val="00475E53"/>
    <w:rsid w:val="004763ED"/>
    <w:rsid w:val="00476422"/>
    <w:rsid w:val="004767DA"/>
    <w:rsid w:val="00476B11"/>
    <w:rsid w:val="00476C47"/>
    <w:rsid w:val="00477074"/>
    <w:rsid w:val="004800FA"/>
    <w:rsid w:val="0048067A"/>
    <w:rsid w:val="004806B5"/>
    <w:rsid w:val="0048083F"/>
    <w:rsid w:val="00480958"/>
    <w:rsid w:val="00480F76"/>
    <w:rsid w:val="00481069"/>
    <w:rsid w:val="004810EC"/>
    <w:rsid w:val="0048142C"/>
    <w:rsid w:val="0048178B"/>
    <w:rsid w:val="00481F53"/>
    <w:rsid w:val="004822F9"/>
    <w:rsid w:val="004825D3"/>
    <w:rsid w:val="00482A1E"/>
    <w:rsid w:val="00482B0A"/>
    <w:rsid w:val="00482CAA"/>
    <w:rsid w:val="00483B33"/>
    <w:rsid w:val="00483C39"/>
    <w:rsid w:val="00483FAC"/>
    <w:rsid w:val="00484C86"/>
    <w:rsid w:val="00484CF8"/>
    <w:rsid w:val="0048538A"/>
    <w:rsid w:val="004854CA"/>
    <w:rsid w:val="0048556A"/>
    <w:rsid w:val="00485DA3"/>
    <w:rsid w:val="0048633D"/>
    <w:rsid w:val="00487774"/>
    <w:rsid w:val="00487F60"/>
    <w:rsid w:val="004907D3"/>
    <w:rsid w:val="00490DD4"/>
    <w:rsid w:val="00491113"/>
    <w:rsid w:val="00491603"/>
    <w:rsid w:val="004916BB"/>
    <w:rsid w:val="00492230"/>
    <w:rsid w:val="00492695"/>
    <w:rsid w:val="00492D83"/>
    <w:rsid w:val="00492F02"/>
    <w:rsid w:val="0049312D"/>
    <w:rsid w:val="00493192"/>
    <w:rsid w:val="004942D2"/>
    <w:rsid w:val="00494320"/>
    <w:rsid w:val="0049441C"/>
    <w:rsid w:val="00494841"/>
    <w:rsid w:val="004950B7"/>
    <w:rsid w:val="0049565E"/>
    <w:rsid w:val="0049565F"/>
    <w:rsid w:val="00495816"/>
    <w:rsid w:val="00495909"/>
    <w:rsid w:val="00495989"/>
    <w:rsid w:val="0049613A"/>
    <w:rsid w:val="004967FF"/>
    <w:rsid w:val="00496804"/>
    <w:rsid w:val="00496BC0"/>
    <w:rsid w:val="004972FF"/>
    <w:rsid w:val="00497CAE"/>
    <w:rsid w:val="00497E45"/>
    <w:rsid w:val="004A01B3"/>
    <w:rsid w:val="004A0330"/>
    <w:rsid w:val="004A0D5B"/>
    <w:rsid w:val="004A0F3F"/>
    <w:rsid w:val="004A1086"/>
    <w:rsid w:val="004A14F6"/>
    <w:rsid w:val="004A2482"/>
    <w:rsid w:val="004A24C3"/>
    <w:rsid w:val="004A24CF"/>
    <w:rsid w:val="004A2AE6"/>
    <w:rsid w:val="004A39D9"/>
    <w:rsid w:val="004A3E47"/>
    <w:rsid w:val="004A42A8"/>
    <w:rsid w:val="004A4397"/>
    <w:rsid w:val="004A44A8"/>
    <w:rsid w:val="004A46F9"/>
    <w:rsid w:val="004A4F8E"/>
    <w:rsid w:val="004A5041"/>
    <w:rsid w:val="004A5118"/>
    <w:rsid w:val="004A5128"/>
    <w:rsid w:val="004A5303"/>
    <w:rsid w:val="004A58CC"/>
    <w:rsid w:val="004A6877"/>
    <w:rsid w:val="004A6CAC"/>
    <w:rsid w:val="004A6F3C"/>
    <w:rsid w:val="004A6FA2"/>
    <w:rsid w:val="004A7654"/>
    <w:rsid w:val="004A79C6"/>
    <w:rsid w:val="004A7BCE"/>
    <w:rsid w:val="004A7BDB"/>
    <w:rsid w:val="004B0966"/>
    <w:rsid w:val="004B0C39"/>
    <w:rsid w:val="004B0E45"/>
    <w:rsid w:val="004B148F"/>
    <w:rsid w:val="004B1ABF"/>
    <w:rsid w:val="004B1F44"/>
    <w:rsid w:val="004B21B0"/>
    <w:rsid w:val="004B291D"/>
    <w:rsid w:val="004B397A"/>
    <w:rsid w:val="004B3AC5"/>
    <w:rsid w:val="004B3AF4"/>
    <w:rsid w:val="004B3CEB"/>
    <w:rsid w:val="004B3EE3"/>
    <w:rsid w:val="004B4225"/>
    <w:rsid w:val="004B4B83"/>
    <w:rsid w:val="004B55EE"/>
    <w:rsid w:val="004B5659"/>
    <w:rsid w:val="004B581D"/>
    <w:rsid w:val="004B71CE"/>
    <w:rsid w:val="004B745E"/>
    <w:rsid w:val="004C00FB"/>
    <w:rsid w:val="004C019B"/>
    <w:rsid w:val="004C06CC"/>
    <w:rsid w:val="004C13C1"/>
    <w:rsid w:val="004C195E"/>
    <w:rsid w:val="004C252E"/>
    <w:rsid w:val="004C2BF5"/>
    <w:rsid w:val="004C3DD8"/>
    <w:rsid w:val="004C3E3D"/>
    <w:rsid w:val="004C4542"/>
    <w:rsid w:val="004C4662"/>
    <w:rsid w:val="004C4983"/>
    <w:rsid w:val="004C4E66"/>
    <w:rsid w:val="004C5C70"/>
    <w:rsid w:val="004C6A54"/>
    <w:rsid w:val="004C7A83"/>
    <w:rsid w:val="004D0536"/>
    <w:rsid w:val="004D0A0E"/>
    <w:rsid w:val="004D0E83"/>
    <w:rsid w:val="004D0F5E"/>
    <w:rsid w:val="004D1156"/>
    <w:rsid w:val="004D1263"/>
    <w:rsid w:val="004D1833"/>
    <w:rsid w:val="004D1C20"/>
    <w:rsid w:val="004D1D75"/>
    <w:rsid w:val="004D2912"/>
    <w:rsid w:val="004D5873"/>
    <w:rsid w:val="004D5A96"/>
    <w:rsid w:val="004D5DDA"/>
    <w:rsid w:val="004D6066"/>
    <w:rsid w:val="004D65F0"/>
    <w:rsid w:val="004D6E08"/>
    <w:rsid w:val="004D7962"/>
    <w:rsid w:val="004E0599"/>
    <w:rsid w:val="004E0BBB"/>
    <w:rsid w:val="004E1DB7"/>
    <w:rsid w:val="004E21A8"/>
    <w:rsid w:val="004E2808"/>
    <w:rsid w:val="004E3392"/>
    <w:rsid w:val="004E38E1"/>
    <w:rsid w:val="004E3A9D"/>
    <w:rsid w:val="004E3D45"/>
    <w:rsid w:val="004E3D65"/>
    <w:rsid w:val="004E41FE"/>
    <w:rsid w:val="004E4CD4"/>
    <w:rsid w:val="004E53A6"/>
    <w:rsid w:val="004E54F2"/>
    <w:rsid w:val="004E56B0"/>
    <w:rsid w:val="004E767C"/>
    <w:rsid w:val="004E76AC"/>
    <w:rsid w:val="004E78BC"/>
    <w:rsid w:val="004E7D3F"/>
    <w:rsid w:val="004F113B"/>
    <w:rsid w:val="004F12D7"/>
    <w:rsid w:val="004F1586"/>
    <w:rsid w:val="004F16BC"/>
    <w:rsid w:val="004F2E74"/>
    <w:rsid w:val="004F3019"/>
    <w:rsid w:val="004F3064"/>
    <w:rsid w:val="004F419B"/>
    <w:rsid w:val="004F49B6"/>
    <w:rsid w:val="004F49BE"/>
    <w:rsid w:val="004F4E0A"/>
    <w:rsid w:val="004F5442"/>
    <w:rsid w:val="004F5643"/>
    <w:rsid w:val="004F589A"/>
    <w:rsid w:val="004F596D"/>
    <w:rsid w:val="004F5C72"/>
    <w:rsid w:val="004F5CB3"/>
    <w:rsid w:val="004F5DC7"/>
    <w:rsid w:val="004F7687"/>
    <w:rsid w:val="004F7691"/>
    <w:rsid w:val="004F77F1"/>
    <w:rsid w:val="004F7BEC"/>
    <w:rsid w:val="004F7BFF"/>
    <w:rsid w:val="004F7F3D"/>
    <w:rsid w:val="00500165"/>
    <w:rsid w:val="00501095"/>
    <w:rsid w:val="00501FE6"/>
    <w:rsid w:val="00502030"/>
    <w:rsid w:val="00502132"/>
    <w:rsid w:val="00502173"/>
    <w:rsid w:val="0050233E"/>
    <w:rsid w:val="00502427"/>
    <w:rsid w:val="0050253D"/>
    <w:rsid w:val="00502722"/>
    <w:rsid w:val="00502B55"/>
    <w:rsid w:val="005034EC"/>
    <w:rsid w:val="00503DC4"/>
    <w:rsid w:val="00504731"/>
    <w:rsid w:val="005052AE"/>
    <w:rsid w:val="00505AA3"/>
    <w:rsid w:val="00505B48"/>
    <w:rsid w:val="00505C22"/>
    <w:rsid w:val="00505CAE"/>
    <w:rsid w:val="00505D90"/>
    <w:rsid w:val="00506083"/>
    <w:rsid w:val="00506174"/>
    <w:rsid w:val="005062A3"/>
    <w:rsid w:val="005065C0"/>
    <w:rsid w:val="00506635"/>
    <w:rsid w:val="00506847"/>
    <w:rsid w:val="00506DFA"/>
    <w:rsid w:val="00507720"/>
    <w:rsid w:val="00507E84"/>
    <w:rsid w:val="0051109D"/>
    <w:rsid w:val="0051126D"/>
    <w:rsid w:val="0051155B"/>
    <w:rsid w:val="0051209E"/>
    <w:rsid w:val="0051214E"/>
    <w:rsid w:val="0051319C"/>
    <w:rsid w:val="0051358A"/>
    <w:rsid w:val="00513867"/>
    <w:rsid w:val="00514E21"/>
    <w:rsid w:val="00514EDE"/>
    <w:rsid w:val="00514F40"/>
    <w:rsid w:val="00515749"/>
    <w:rsid w:val="0051587A"/>
    <w:rsid w:val="00516935"/>
    <w:rsid w:val="0051716B"/>
    <w:rsid w:val="0051729C"/>
    <w:rsid w:val="00517815"/>
    <w:rsid w:val="005202F7"/>
    <w:rsid w:val="00520A47"/>
    <w:rsid w:val="00520B38"/>
    <w:rsid w:val="00521467"/>
    <w:rsid w:val="0052181F"/>
    <w:rsid w:val="005219B8"/>
    <w:rsid w:val="00521C79"/>
    <w:rsid w:val="00521EA1"/>
    <w:rsid w:val="0052245C"/>
    <w:rsid w:val="00522AF1"/>
    <w:rsid w:val="00523732"/>
    <w:rsid w:val="00524182"/>
    <w:rsid w:val="00524216"/>
    <w:rsid w:val="005248B4"/>
    <w:rsid w:val="00524C5F"/>
    <w:rsid w:val="00524DC0"/>
    <w:rsid w:val="00524F38"/>
    <w:rsid w:val="00525B02"/>
    <w:rsid w:val="00525C02"/>
    <w:rsid w:val="00525E02"/>
    <w:rsid w:val="00525F8D"/>
    <w:rsid w:val="0052648A"/>
    <w:rsid w:val="00526496"/>
    <w:rsid w:val="00526D25"/>
    <w:rsid w:val="00526FA2"/>
    <w:rsid w:val="005271FC"/>
    <w:rsid w:val="00527979"/>
    <w:rsid w:val="005309C0"/>
    <w:rsid w:val="00530E43"/>
    <w:rsid w:val="00530F8D"/>
    <w:rsid w:val="005316E1"/>
    <w:rsid w:val="00531BEF"/>
    <w:rsid w:val="0053259A"/>
    <w:rsid w:val="00533438"/>
    <w:rsid w:val="0053379A"/>
    <w:rsid w:val="00533913"/>
    <w:rsid w:val="00533A99"/>
    <w:rsid w:val="0053433E"/>
    <w:rsid w:val="00534A8D"/>
    <w:rsid w:val="005355EB"/>
    <w:rsid w:val="00535BD7"/>
    <w:rsid w:val="00535C2C"/>
    <w:rsid w:val="00535FC7"/>
    <w:rsid w:val="00536205"/>
    <w:rsid w:val="0053626F"/>
    <w:rsid w:val="005364B7"/>
    <w:rsid w:val="00537883"/>
    <w:rsid w:val="00537DB3"/>
    <w:rsid w:val="00540731"/>
    <w:rsid w:val="00540BAB"/>
    <w:rsid w:val="00540C12"/>
    <w:rsid w:val="005410B5"/>
    <w:rsid w:val="005410DA"/>
    <w:rsid w:val="005412CE"/>
    <w:rsid w:val="00541699"/>
    <w:rsid w:val="00541BE8"/>
    <w:rsid w:val="00541CA9"/>
    <w:rsid w:val="00541DB7"/>
    <w:rsid w:val="005434EB"/>
    <w:rsid w:val="00543B6C"/>
    <w:rsid w:val="0054418B"/>
    <w:rsid w:val="005453DE"/>
    <w:rsid w:val="00546B39"/>
    <w:rsid w:val="00547177"/>
    <w:rsid w:val="00547435"/>
    <w:rsid w:val="00547CCF"/>
    <w:rsid w:val="005502DD"/>
    <w:rsid w:val="00550ABA"/>
    <w:rsid w:val="00551898"/>
    <w:rsid w:val="00552886"/>
    <w:rsid w:val="00552C86"/>
    <w:rsid w:val="00552E19"/>
    <w:rsid w:val="00552FDD"/>
    <w:rsid w:val="00553CA8"/>
    <w:rsid w:val="00553F20"/>
    <w:rsid w:val="00553FCA"/>
    <w:rsid w:val="0055485C"/>
    <w:rsid w:val="005548D6"/>
    <w:rsid w:val="00554CD2"/>
    <w:rsid w:val="00554D5E"/>
    <w:rsid w:val="00554DBF"/>
    <w:rsid w:val="00554F15"/>
    <w:rsid w:val="00555028"/>
    <w:rsid w:val="0055580D"/>
    <w:rsid w:val="00555A57"/>
    <w:rsid w:val="00556EDA"/>
    <w:rsid w:val="0055735C"/>
    <w:rsid w:val="0055772D"/>
    <w:rsid w:val="00557791"/>
    <w:rsid w:val="005577B3"/>
    <w:rsid w:val="0055796C"/>
    <w:rsid w:val="00560589"/>
    <w:rsid w:val="005606BE"/>
    <w:rsid w:val="00561F11"/>
    <w:rsid w:val="00562612"/>
    <w:rsid w:val="0056290C"/>
    <w:rsid w:val="00562AAD"/>
    <w:rsid w:val="005632E0"/>
    <w:rsid w:val="00563B3D"/>
    <w:rsid w:val="00563EAF"/>
    <w:rsid w:val="005645AB"/>
    <w:rsid w:val="005645D7"/>
    <w:rsid w:val="00564C3A"/>
    <w:rsid w:val="00564F9A"/>
    <w:rsid w:val="00564FB6"/>
    <w:rsid w:val="0056513C"/>
    <w:rsid w:val="00565561"/>
    <w:rsid w:val="00566063"/>
    <w:rsid w:val="005667ED"/>
    <w:rsid w:val="00566CFE"/>
    <w:rsid w:val="00566E0D"/>
    <w:rsid w:val="00566EC8"/>
    <w:rsid w:val="005673DE"/>
    <w:rsid w:val="005678BD"/>
    <w:rsid w:val="00567A0A"/>
    <w:rsid w:val="00567BAE"/>
    <w:rsid w:val="005703D7"/>
    <w:rsid w:val="0057072B"/>
    <w:rsid w:val="00570A5D"/>
    <w:rsid w:val="00570E3D"/>
    <w:rsid w:val="00571244"/>
    <w:rsid w:val="0057137F"/>
    <w:rsid w:val="005713D9"/>
    <w:rsid w:val="0057144B"/>
    <w:rsid w:val="00571C2B"/>
    <w:rsid w:val="0057267B"/>
    <w:rsid w:val="00572951"/>
    <w:rsid w:val="00572AE1"/>
    <w:rsid w:val="00573FE0"/>
    <w:rsid w:val="0057432B"/>
    <w:rsid w:val="00574596"/>
    <w:rsid w:val="00574EB9"/>
    <w:rsid w:val="005752BE"/>
    <w:rsid w:val="0057544C"/>
    <w:rsid w:val="00575A83"/>
    <w:rsid w:val="00575CB5"/>
    <w:rsid w:val="00576175"/>
    <w:rsid w:val="005763BE"/>
    <w:rsid w:val="005769FD"/>
    <w:rsid w:val="0058021B"/>
    <w:rsid w:val="0058158D"/>
    <w:rsid w:val="005815B9"/>
    <w:rsid w:val="00581B16"/>
    <w:rsid w:val="005823D1"/>
    <w:rsid w:val="00582C3A"/>
    <w:rsid w:val="00582F55"/>
    <w:rsid w:val="00582FC3"/>
    <w:rsid w:val="0058310A"/>
    <w:rsid w:val="005833FA"/>
    <w:rsid w:val="005838C1"/>
    <w:rsid w:val="00583DA9"/>
    <w:rsid w:val="00583F41"/>
    <w:rsid w:val="005841C4"/>
    <w:rsid w:val="005843BD"/>
    <w:rsid w:val="005843DB"/>
    <w:rsid w:val="00584BE9"/>
    <w:rsid w:val="00585F53"/>
    <w:rsid w:val="00586A3F"/>
    <w:rsid w:val="00587014"/>
    <w:rsid w:val="0058743B"/>
    <w:rsid w:val="00587ECA"/>
    <w:rsid w:val="00590411"/>
    <w:rsid w:val="00591195"/>
    <w:rsid w:val="005912E0"/>
    <w:rsid w:val="005917B1"/>
    <w:rsid w:val="005919DB"/>
    <w:rsid w:val="00592957"/>
    <w:rsid w:val="00592CC9"/>
    <w:rsid w:val="0059307A"/>
    <w:rsid w:val="005932A4"/>
    <w:rsid w:val="00593DFC"/>
    <w:rsid w:val="00594D79"/>
    <w:rsid w:val="00594E32"/>
    <w:rsid w:val="005954B5"/>
    <w:rsid w:val="00595BE0"/>
    <w:rsid w:val="00595E9F"/>
    <w:rsid w:val="00596320"/>
    <w:rsid w:val="005965A2"/>
    <w:rsid w:val="0059750A"/>
    <w:rsid w:val="005979B7"/>
    <w:rsid w:val="00597AE6"/>
    <w:rsid w:val="005A0276"/>
    <w:rsid w:val="005A031F"/>
    <w:rsid w:val="005A0A10"/>
    <w:rsid w:val="005A14B4"/>
    <w:rsid w:val="005A1506"/>
    <w:rsid w:val="005A2865"/>
    <w:rsid w:val="005A2A34"/>
    <w:rsid w:val="005A3471"/>
    <w:rsid w:val="005A3C10"/>
    <w:rsid w:val="005A3E5F"/>
    <w:rsid w:val="005A4768"/>
    <w:rsid w:val="005A4DDB"/>
    <w:rsid w:val="005A515E"/>
    <w:rsid w:val="005A5942"/>
    <w:rsid w:val="005A5C3B"/>
    <w:rsid w:val="005A5D1D"/>
    <w:rsid w:val="005A5FF8"/>
    <w:rsid w:val="005A6747"/>
    <w:rsid w:val="005A7362"/>
    <w:rsid w:val="005A7379"/>
    <w:rsid w:val="005A750A"/>
    <w:rsid w:val="005B0980"/>
    <w:rsid w:val="005B1AFC"/>
    <w:rsid w:val="005B1F6D"/>
    <w:rsid w:val="005B285B"/>
    <w:rsid w:val="005B29DB"/>
    <w:rsid w:val="005B30BF"/>
    <w:rsid w:val="005B31A1"/>
    <w:rsid w:val="005B31D4"/>
    <w:rsid w:val="005B36D7"/>
    <w:rsid w:val="005B3925"/>
    <w:rsid w:val="005B42BE"/>
    <w:rsid w:val="005B4452"/>
    <w:rsid w:val="005B4722"/>
    <w:rsid w:val="005B588A"/>
    <w:rsid w:val="005B5B88"/>
    <w:rsid w:val="005B6148"/>
    <w:rsid w:val="005B6A40"/>
    <w:rsid w:val="005B6A51"/>
    <w:rsid w:val="005B70FD"/>
    <w:rsid w:val="005B734B"/>
    <w:rsid w:val="005B73B7"/>
    <w:rsid w:val="005B7B71"/>
    <w:rsid w:val="005C04CE"/>
    <w:rsid w:val="005C054E"/>
    <w:rsid w:val="005C111A"/>
    <w:rsid w:val="005C211C"/>
    <w:rsid w:val="005C21B4"/>
    <w:rsid w:val="005C21DC"/>
    <w:rsid w:val="005C25D4"/>
    <w:rsid w:val="005C2870"/>
    <w:rsid w:val="005C2A34"/>
    <w:rsid w:val="005C2A52"/>
    <w:rsid w:val="005C2B7A"/>
    <w:rsid w:val="005C2CC5"/>
    <w:rsid w:val="005C2DD5"/>
    <w:rsid w:val="005C32BB"/>
    <w:rsid w:val="005C35C4"/>
    <w:rsid w:val="005C378B"/>
    <w:rsid w:val="005C3CAB"/>
    <w:rsid w:val="005C3FDD"/>
    <w:rsid w:val="005C42B2"/>
    <w:rsid w:val="005C49DA"/>
    <w:rsid w:val="005C5041"/>
    <w:rsid w:val="005C5255"/>
    <w:rsid w:val="005C530F"/>
    <w:rsid w:val="005C57B3"/>
    <w:rsid w:val="005C5936"/>
    <w:rsid w:val="005C699C"/>
    <w:rsid w:val="005C6AD2"/>
    <w:rsid w:val="005C73C8"/>
    <w:rsid w:val="005C7CBC"/>
    <w:rsid w:val="005C7CD7"/>
    <w:rsid w:val="005C7F84"/>
    <w:rsid w:val="005D055A"/>
    <w:rsid w:val="005D1AC7"/>
    <w:rsid w:val="005D36A0"/>
    <w:rsid w:val="005D389F"/>
    <w:rsid w:val="005D470C"/>
    <w:rsid w:val="005D47F9"/>
    <w:rsid w:val="005D4A29"/>
    <w:rsid w:val="005D4BD3"/>
    <w:rsid w:val="005D4D55"/>
    <w:rsid w:val="005D4E69"/>
    <w:rsid w:val="005D4EB0"/>
    <w:rsid w:val="005D512A"/>
    <w:rsid w:val="005D52DB"/>
    <w:rsid w:val="005D5A4C"/>
    <w:rsid w:val="005D5DF8"/>
    <w:rsid w:val="005D5F67"/>
    <w:rsid w:val="005D64C7"/>
    <w:rsid w:val="005D6FB2"/>
    <w:rsid w:val="005D71DD"/>
    <w:rsid w:val="005D75AD"/>
    <w:rsid w:val="005D764C"/>
    <w:rsid w:val="005D7B16"/>
    <w:rsid w:val="005E017F"/>
    <w:rsid w:val="005E042D"/>
    <w:rsid w:val="005E0972"/>
    <w:rsid w:val="005E0AE9"/>
    <w:rsid w:val="005E0DC4"/>
    <w:rsid w:val="005E14BA"/>
    <w:rsid w:val="005E1597"/>
    <w:rsid w:val="005E19C2"/>
    <w:rsid w:val="005E22DF"/>
    <w:rsid w:val="005E27B7"/>
    <w:rsid w:val="005E29CD"/>
    <w:rsid w:val="005E3335"/>
    <w:rsid w:val="005E35C2"/>
    <w:rsid w:val="005E3C6E"/>
    <w:rsid w:val="005E410C"/>
    <w:rsid w:val="005E453B"/>
    <w:rsid w:val="005E4EAE"/>
    <w:rsid w:val="005E5748"/>
    <w:rsid w:val="005E6535"/>
    <w:rsid w:val="005E7BFC"/>
    <w:rsid w:val="005F0865"/>
    <w:rsid w:val="005F0D06"/>
    <w:rsid w:val="005F0EAF"/>
    <w:rsid w:val="005F1FC7"/>
    <w:rsid w:val="005F24C9"/>
    <w:rsid w:val="005F2560"/>
    <w:rsid w:val="005F25DE"/>
    <w:rsid w:val="005F29B0"/>
    <w:rsid w:val="005F2A34"/>
    <w:rsid w:val="005F31F8"/>
    <w:rsid w:val="005F341E"/>
    <w:rsid w:val="005F3D2D"/>
    <w:rsid w:val="005F49FD"/>
    <w:rsid w:val="005F4C21"/>
    <w:rsid w:val="005F4C46"/>
    <w:rsid w:val="005F4C5B"/>
    <w:rsid w:val="005F58C9"/>
    <w:rsid w:val="005F5A72"/>
    <w:rsid w:val="005F61D7"/>
    <w:rsid w:val="005F6CA2"/>
    <w:rsid w:val="005F703C"/>
    <w:rsid w:val="005F71B3"/>
    <w:rsid w:val="005F7232"/>
    <w:rsid w:val="005F7311"/>
    <w:rsid w:val="005F74E7"/>
    <w:rsid w:val="005F762C"/>
    <w:rsid w:val="005F79B6"/>
    <w:rsid w:val="005F7EBD"/>
    <w:rsid w:val="00600106"/>
    <w:rsid w:val="006007A4"/>
    <w:rsid w:val="00600835"/>
    <w:rsid w:val="00601399"/>
    <w:rsid w:val="00601C78"/>
    <w:rsid w:val="00601DE7"/>
    <w:rsid w:val="00602848"/>
    <w:rsid w:val="006028BF"/>
    <w:rsid w:val="00602AB0"/>
    <w:rsid w:val="0060335E"/>
    <w:rsid w:val="00603520"/>
    <w:rsid w:val="00604101"/>
    <w:rsid w:val="006042A4"/>
    <w:rsid w:val="00604755"/>
    <w:rsid w:val="00604D38"/>
    <w:rsid w:val="00604E9F"/>
    <w:rsid w:val="00604FCA"/>
    <w:rsid w:val="00605602"/>
    <w:rsid w:val="00606024"/>
    <w:rsid w:val="00606129"/>
    <w:rsid w:val="006062BA"/>
    <w:rsid w:val="00606754"/>
    <w:rsid w:val="006074B6"/>
    <w:rsid w:val="00607739"/>
    <w:rsid w:val="00607843"/>
    <w:rsid w:val="00610137"/>
    <w:rsid w:val="006114FA"/>
    <w:rsid w:val="0061165F"/>
    <w:rsid w:val="0061248F"/>
    <w:rsid w:val="00612497"/>
    <w:rsid w:val="006133FB"/>
    <w:rsid w:val="00613BFA"/>
    <w:rsid w:val="00613E23"/>
    <w:rsid w:val="006140C8"/>
    <w:rsid w:val="00614373"/>
    <w:rsid w:val="00615907"/>
    <w:rsid w:val="00615CD4"/>
    <w:rsid w:val="00615DC1"/>
    <w:rsid w:val="00616C9D"/>
    <w:rsid w:val="00616EA9"/>
    <w:rsid w:val="00617358"/>
    <w:rsid w:val="0062031D"/>
    <w:rsid w:val="00620338"/>
    <w:rsid w:val="006207E1"/>
    <w:rsid w:val="00620F39"/>
    <w:rsid w:val="00621EBA"/>
    <w:rsid w:val="00621F19"/>
    <w:rsid w:val="006226B8"/>
    <w:rsid w:val="0062296B"/>
    <w:rsid w:val="00622CCB"/>
    <w:rsid w:val="00622ECF"/>
    <w:rsid w:val="00623D4C"/>
    <w:rsid w:val="00623E04"/>
    <w:rsid w:val="006243C0"/>
    <w:rsid w:val="0062440E"/>
    <w:rsid w:val="006246A8"/>
    <w:rsid w:val="006248EF"/>
    <w:rsid w:val="0062518E"/>
    <w:rsid w:val="0062664B"/>
    <w:rsid w:val="00626BCE"/>
    <w:rsid w:val="00627FDF"/>
    <w:rsid w:val="006304C0"/>
    <w:rsid w:val="00630627"/>
    <w:rsid w:val="00630EB9"/>
    <w:rsid w:val="006310D5"/>
    <w:rsid w:val="00631616"/>
    <w:rsid w:val="00631A64"/>
    <w:rsid w:val="0063202C"/>
    <w:rsid w:val="006322DB"/>
    <w:rsid w:val="006323EE"/>
    <w:rsid w:val="00632D94"/>
    <w:rsid w:val="00632F7A"/>
    <w:rsid w:val="00634068"/>
    <w:rsid w:val="006340F0"/>
    <w:rsid w:val="006344FC"/>
    <w:rsid w:val="0063484C"/>
    <w:rsid w:val="00635E34"/>
    <w:rsid w:val="00635E83"/>
    <w:rsid w:val="006362CE"/>
    <w:rsid w:val="006368DE"/>
    <w:rsid w:val="006368F7"/>
    <w:rsid w:val="00636C48"/>
    <w:rsid w:val="00636D73"/>
    <w:rsid w:val="00636FBC"/>
    <w:rsid w:val="0063718A"/>
    <w:rsid w:val="00637C23"/>
    <w:rsid w:val="00637E92"/>
    <w:rsid w:val="00640168"/>
    <w:rsid w:val="006414A6"/>
    <w:rsid w:val="006416F3"/>
    <w:rsid w:val="00642B5D"/>
    <w:rsid w:val="00644470"/>
    <w:rsid w:val="00644690"/>
    <w:rsid w:val="00644D84"/>
    <w:rsid w:val="00645997"/>
    <w:rsid w:val="006459D4"/>
    <w:rsid w:val="00645B20"/>
    <w:rsid w:val="00645C09"/>
    <w:rsid w:val="00645FFD"/>
    <w:rsid w:val="00647614"/>
    <w:rsid w:val="00647629"/>
    <w:rsid w:val="006502AE"/>
    <w:rsid w:val="00650726"/>
    <w:rsid w:val="00650B20"/>
    <w:rsid w:val="00650B3D"/>
    <w:rsid w:val="0065125A"/>
    <w:rsid w:val="006517AA"/>
    <w:rsid w:val="0065187D"/>
    <w:rsid w:val="00651D11"/>
    <w:rsid w:val="0065205F"/>
    <w:rsid w:val="006522F9"/>
    <w:rsid w:val="00652320"/>
    <w:rsid w:val="00652CA5"/>
    <w:rsid w:val="0065346D"/>
    <w:rsid w:val="006536D9"/>
    <w:rsid w:val="006543D6"/>
    <w:rsid w:val="006545C5"/>
    <w:rsid w:val="00654AD3"/>
    <w:rsid w:val="0065550D"/>
    <w:rsid w:val="00656244"/>
    <w:rsid w:val="0065632E"/>
    <w:rsid w:val="00656AC8"/>
    <w:rsid w:val="006606FE"/>
    <w:rsid w:val="006610B2"/>
    <w:rsid w:val="00661AD2"/>
    <w:rsid w:val="00661DB3"/>
    <w:rsid w:val="0066243C"/>
    <w:rsid w:val="00662988"/>
    <w:rsid w:val="00663229"/>
    <w:rsid w:val="00663599"/>
    <w:rsid w:val="00663E35"/>
    <w:rsid w:val="006644E7"/>
    <w:rsid w:val="00664A8F"/>
    <w:rsid w:val="00665400"/>
    <w:rsid w:val="006654DF"/>
    <w:rsid w:val="00665FB3"/>
    <w:rsid w:val="00666EB0"/>
    <w:rsid w:val="00667822"/>
    <w:rsid w:val="00667B3A"/>
    <w:rsid w:val="00667EA3"/>
    <w:rsid w:val="006703AC"/>
    <w:rsid w:val="0067053A"/>
    <w:rsid w:val="006705CA"/>
    <w:rsid w:val="00670B67"/>
    <w:rsid w:val="00670EAF"/>
    <w:rsid w:val="00671275"/>
    <w:rsid w:val="00671484"/>
    <w:rsid w:val="00671615"/>
    <w:rsid w:val="00672467"/>
    <w:rsid w:val="006727B6"/>
    <w:rsid w:val="00672AE0"/>
    <w:rsid w:val="00673940"/>
    <w:rsid w:val="00673E0A"/>
    <w:rsid w:val="00673E58"/>
    <w:rsid w:val="00674465"/>
    <w:rsid w:val="006745D8"/>
    <w:rsid w:val="00674ACC"/>
    <w:rsid w:val="00674E13"/>
    <w:rsid w:val="00674F7B"/>
    <w:rsid w:val="00675BE7"/>
    <w:rsid w:val="00675D5E"/>
    <w:rsid w:val="00676371"/>
    <w:rsid w:val="006767DE"/>
    <w:rsid w:val="00676906"/>
    <w:rsid w:val="00676BDB"/>
    <w:rsid w:val="00676C25"/>
    <w:rsid w:val="00676CB1"/>
    <w:rsid w:val="00676CC2"/>
    <w:rsid w:val="00676EB7"/>
    <w:rsid w:val="00676F15"/>
    <w:rsid w:val="00676FF0"/>
    <w:rsid w:val="00677179"/>
    <w:rsid w:val="006773C0"/>
    <w:rsid w:val="006777FE"/>
    <w:rsid w:val="00677CBE"/>
    <w:rsid w:val="00680050"/>
    <w:rsid w:val="00680211"/>
    <w:rsid w:val="00680746"/>
    <w:rsid w:val="00680757"/>
    <w:rsid w:val="0068225E"/>
    <w:rsid w:val="006826FD"/>
    <w:rsid w:val="0068274B"/>
    <w:rsid w:val="006829C1"/>
    <w:rsid w:val="00684477"/>
    <w:rsid w:val="00684A93"/>
    <w:rsid w:val="00684D42"/>
    <w:rsid w:val="00685004"/>
    <w:rsid w:val="00685196"/>
    <w:rsid w:val="0068520C"/>
    <w:rsid w:val="00685830"/>
    <w:rsid w:val="006870F5"/>
    <w:rsid w:val="006879BA"/>
    <w:rsid w:val="00687A8D"/>
    <w:rsid w:val="00687A9B"/>
    <w:rsid w:val="00687AF5"/>
    <w:rsid w:val="00690640"/>
    <w:rsid w:val="00690723"/>
    <w:rsid w:val="00690793"/>
    <w:rsid w:val="006908DE"/>
    <w:rsid w:val="00690D84"/>
    <w:rsid w:val="00690FDB"/>
    <w:rsid w:val="00691584"/>
    <w:rsid w:val="0069160A"/>
    <w:rsid w:val="00691F9E"/>
    <w:rsid w:val="00692057"/>
    <w:rsid w:val="006921C7"/>
    <w:rsid w:val="006927BF"/>
    <w:rsid w:val="00693C4A"/>
    <w:rsid w:val="00693CCB"/>
    <w:rsid w:val="00693F03"/>
    <w:rsid w:val="006943D0"/>
    <w:rsid w:val="006943E5"/>
    <w:rsid w:val="00694519"/>
    <w:rsid w:val="006958DB"/>
    <w:rsid w:val="006959B4"/>
    <w:rsid w:val="006960A6"/>
    <w:rsid w:val="006972AA"/>
    <w:rsid w:val="0069744B"/>
    <w:rsid w:val="00697D7A"/>
    <w:rsid w:val="006A027A"/>
    <w:rsid w:val="006A07D8"/>
    <w:rsid w:val="006A11F5"/>
    <w:rsid w:val="006A121D"/>
    <w:rsid w:val="006A1B85"/>
    <w:rsid w:val="006A1F62"/>
    <w:rsid w:val="006A2426"/>
    <w:rsid w:val="006A2740"/>
    <w:rsid w:val="006A2B16"/>
    <w:rsid w:val="006A339F"/>
    <w:rsid w:val="006A3BF9"/>
    <w:rsid w:val="006A4521"/>
    <w:rsid w:val="006A4CCF"/>
    <w:rsid w:val="006A5469"/>
    <w:rsid w:val="006A562C"/>
    <w:rsid w:val="006A5EA2"/>
    <w:rsid w:val="006A61D3"/>
    <w:rsid w:val="006A627E"/>
    <w:rsid w:val="006A65D6"/>
    <w:rsid w:val="006A6674"/>
    <w:rsid w:val="006A693B"/>
    <w:rsid w:val="006A7652"/>
    <w:rsid w:val="006A7C4B"/>
    <w:rsid w:val="006A7F4E"/>
    <w:rsid w:val="006B02B0"/>
    <w:rsid w:val="006B0627"/>
    <w:rsid w:val="006B06A8"/>
    <w:rsid w:val="006B0D51"/>
    <w:rsid w:val="006B142C"/>
    <w:rsid w:val="006B16CD"/>
    <w:rsid w:val="006B1885"/>
    <w:rsid w:val="006B1A88"/>
    <w:rsid w:val="006B1DC6"/>
    <w:rsid w:val="006B239B"/>
    <w:rsid w:val="006B257F"/>
    <w:rsid w:val="006B29E5"/>
    <w:rsid w:val="006B29F9"/>
    <w:rsid w:val="006B2F8D"/>
    <w:rsid w:val="006B33D4"/>
    <w:rsid w:val="006B3B6B"/>
    <w:rsid w:val="006B3CF3"/>
    <w:rsid w:val="006B40D2"/>
    <w:rsid w:val="006B5143"/>
    <w:rsid w:val="006B558B"/>
    <w:rsid w:val="006B5AB1"/>
    <w:rsid w:val="006B5C34"/>
    <w:rsid w:val="006B5DDE"/>
    <w:rsid w:val="006B621D"/>
    <w:rsid w:val="006B656C"/>
    <w:rsid w:val="006B6676"/>
    <w:rsid w:val="006B73B0"/>
    <w:rsid w:val="006B76B9"/>
    <w:rsid w:val="006B78E0"/>
    <w:rsid w:val="006B7E50"/>
    <w:rsid w:val="006B7EDF"/>
    <w:rsid w:val="006B7FAE"/>
    <w:rsid w:val="006C0162"/>
    <w:rsid w:val="006C033A"/>
    <w:rsid w:val="006C065C"/>
    <w:rsid w:val="006C09E7"/>
    <w:rsid w:val="006C1212"/>
    <w:rsid w:val="006C144B"/>
    <w:rsid w:val="006C31E1"/>
    <w:rsid w:val="006C366D"/>
    <w:rsid w:val="006C5AA7"/>
    <w:rsid w:val="006C5C80"/>
    <w:rsid w:val="006C5D3F"/>
    <w:rsid w:val="006C6333"/>
    <w:rsid w:val="006C6376"/>
    <w:rsid w:val="006C6972"/>
    <w:rsid w:val="006C70F2"/>
    <w:rsid w:val="006C71F9"/>
    <w:rsid w:val="006C7544"/>
    <w:rsid w:val="006D08C5"/>
    <w:rsid w:val="006D0C73"/>
    <w:rsid w:val="006D105B"/>
    <w:rsid w:val="006D1BBF"/>
    <w:rsid w:val="006D1F52"/>
    <w:rsid w:val="006D244E"/>
    <w:rsid w:val="006D2DBD"/>
    <w:rsid w:val="006D2EBE"/>
    <w:rsid w:val="006D3156"/>
    <w:rsid w:val="006D347E"/>
    <w:rsid w:val="006D38D9"/>
    <w:rsid w:val="006D3A74"/>
    <w:rsid w:val="006D3F09"/>
    <w:rsid w:val="006D672A"/>
    <w:rsid w:val="006D71B3"/>
    <w:rsid w:val="006E002C"/>
    <w:rsid w:val="006E01EF"/>
    <w:rsid w:val="006E031D"/>
    <w:rsid w:val="006E0CBA"/>
    <w:rsid w:val="006E0E5F"/>
    <w:rsid w:val="006E1578"/>
    <w:rsid w:val="006E1E92"/>
    <w:rsid w:val="006E24EA"/>
    <w:rsid w:val="006E24FD"/>
    <w:rsid w:val="006E3084"/>
    <w:rsid w:val="006E329B"/>
    <w:rsid w:val="006E331B"/>
    <w:rsid w:val="006E3529"/>
    <w:rsid w:val="006E414A"/>
    <w:rsid w:val="006E41E3"/>
    <w:rsid w:val="006E4892"/>
    <w:rsid w:val="006E50FF"/>
    <w:rsid w:val="006E567B"/>
    <w:rsid w:val="006E5715"/>
    <w:rsid w:val="006E58DE"/>
    <w:rsid w:val="006E64B1"/>
    <w:rsid w:val="006E7580"/>
    <w:rsid w:val="006F067E"/>
    <w:rsid w:val="006F079D"/>
    <w:rsid w:val="006F0A20"/>
    <w:rsid w:val="006F0CB2"/>
    <w:rsid w:val="006F0D10"/>
    <w:rsid w:val="006F1498"/>
    <w:rsid w:val="006F18AB"/>
    <w:rsid w:val="006F1BCF"/>
    <w:rsid w:val="006F2524"/>
    <w:rsid w:val="006F3233"/>
    <w:rsid w:val="006F3983"/>
    <w:rsid w:val="006F4219"/>
    <w:rsid w:val="006F4C9C"/>
    <w:rsid w:val="006F5118"/>
    <w:rsid w:val="006F5657"/>
    <w:rsid w:val="006F655A"/>
    <w:rsid w:val="006F6E18"/>
    <w:rsid w:val="006F702B"/>
    <w:rsid w:val="006F79D0"/>
    <w:rsid w:val="006F7A4B"/>
    <w:rsid w:val="006F7F40"/>
    <w:rsid w:val="00700432"/>
    <w:rsid w:val="007007E8"/>
    <w:rsid w:val="007016E9"/>
    <w:rsid w:val="00701C2D"/>
    <w:rsid w:val="00701EC8"/>
    <w:rsid w:val="00702490"/>
    <w:rsid w:val="00702601"/>
    <w:rsid w:val="007026E3"/>
    <w:rsid w:val="007038EB"/>
    <w:rsid w:val="00703A00"/>
    <w:rsid w:val="00703F60"/>
    <w:rsid w:val="007041B9"/>
    <w:rsid w:val="00704826"/>
    <w:rsid w:val="00704889"/>
    <w:rsid w:val="00705209"/>
    <w:rsid w:val="007052F2"/>
    <w:rsid w:val="007056D7"/>
    <w:rsid w:val="00705908"/>
    <w:rsid w:val="00705B0A"/>
    <w:rsid w:val="0070647C"/>
    <w:rsid w:val="0070667D"/>
    <w:rsid w:val="0070701F"/>
    <w:rsid w:val="00707C61"/>
    <w:rsid w:val="00707FA1"/>
    <w:rsid w:val="0071087D"/>
    <w:rsid w:val="00710F12"/>
    <w:rsid w:val="0071102E"/>
    <w:rsid w:val="007111EC"/>
    <w:rsid w:val="0071138E"/>
    <w:rsid w:val="0071187C"/>
    <w:rsid w:val="00711B33"/>
    <w:rsid w:val="007120BB"/>
    <w:rsid w:val="007120C9"/>
    <w:rsid w:val="00712830"/>
    <w:rsid w:val="007135DE"/>
    <w:rsid w:val="00713922"/>
    <w:rsid w:val="00713935"/>
    <w:rsid w:val="00713EAB"/>
    <w:rsid w:val="007140B9"/>
    <w:rsid w:val="0071476B"/>
    <w:rsid w:val="00714EF6"/>
    <w:rsid w:val="00715083"/>
    <w:rsid w:val="00715475"/>
    <w:rsid w:val="007154BA"/>
    <w:rsid w:val="00715DB9"/>
    <w:rsid w:val="007160DC"/>
    <w:rsid w:val="00716127"/>
    <w:rsid w:val="0071734A"/>
    <w:rsid w:val="00717532"/>
    <w:rsid w:val="00717740"/>
    <w:rsid w:val="00717B42"/>
    <w:rsid w:val="007201EA"/>
    <w:rsid w:val="007202FC"/>
    <w:rsid w:val="00720854"/>
    <w:rsid w:val="00720A06"/>
    <w:rsid w:val="00720CA4"/>
    <w:rsid w:val="007211B7"/>
    <w:rsid w:val="00721EE6"/>
    <w:rsid w:val="0072201B"/>
    <w:rsid w:val="00722187"/>
    <w:rsid w:val="007227A5"/>
    <w:rsid w:val="0072307F"/>
    <w:rsid w:val="0072374C"/>
    <w:rsid w:val="00723863"/>
    <w:rsid w:val="007252E1"/>
    <w:rsid w:val="007259AF"/>
    <w:rsid w:val="00726075"/>
    <w:rsid w:val="007260AA"/>
    <w:rsid w:val="007263F2"/>
    <w:rsid w:val="0072653C"/>
    <w:rsid w:val="00726BC1"/>
    <w:rsid w:val="00726C68"/>
    <w:rsid w:val="0072747D"/>
    <w:rsid w:val="00727754"/>
    <w:rsid w:val="00730B34"/>
    <w:rsid w:val="00731503"/>
    <w:rsid w:val="0073172A"/>
    <w:rsid w:val="00731872"/>
    <w:rsid w:val="007319DD"/>
    <w:rsid w:val="00731ABC"/>
    <w:rsid w:val="00731F87"/>
    <w:rsid w:val="00732012"/>
    <w:rsid w:val="00732622"/>
    <w:rsid w:val="0073295B"/>
    <w:rsid w:val="00732D6F"/>
    <w:rsid w:val="007333B0"/>
    <w:rsid w:val="0073399E"/>
    <w:rsid w:val="00733B74"/>
    <w:rsid w:val="00733C73"/>
    <w:rsid w:val="00733E92"/>
    <w:rsid w:val="007348A7"/>
    <w:rsid w:val="00734A87"/>
    <w:rsid w:val="00734BC9"/>
    <w:rsid w:val="00734C79"/>
    <w:rsid w:val="00735103"/>
    <w:rsid w:val="00735D23"/>
    <w:rsid w:val="007362B3"/>
    <w:rsid w:val="007362E0"/>
    <w:rsid w:val="00736BEA"/>
    <w:rsid w:val="0073705A"/>
    <w:rsid w:val="007374F6"/>
    <w:rsid w:val="0073756D"/>
    <w:rsid w:val="00737F1F"/>
    <w:rsid w:val="00737F38"/>
    <w:rsid w:val="00741C48"/>
    <w:rsid w:val="00741D64"/>
    <w:rsid w:val="00741E61"/>
    <w:rsid w:val="007427E4"/>
    <w:rsid w:val="00742C0F"/>
    <w:rsid w:val="00742DF0"/>
    <w:rsid w:val="00742E6E"/>
    <w:rsid w:val="00742FFA"/>
    <w:rsid w:val="0074375A"/>
    <w:rsid w:val="00743A05"/>
    <w:rsid w:val="00743D55"/>
    <w:rsid w:val="00743DE9"/>
    <w:rsid w:val="00744059"/>
    <w:rsid w:val="007442E9"/>
    <w:rsid w:val="007443EF"/>
    <w:rsid w:val="00744A20"/>
    <w:rsid w:val="00744CE8"/>
    <w:rsid w:val="007452DF"/>
    <w:rsid w:val="00745570"/>
    <w:rsid w:val="007455F7"/>
    <w:rsid w:val="007458DB"/>
    <w:rsid w:val="00746152"/>
    <w:rsid w:val="00746371"/>
    <w:rsid w:val="007463A1"/>
    <w:rsid w:val="0074661F"/>
    <w:rsid w:val="007466E8"/>
    <w:rsid w:val="0074680B"/>
    <w:rsid w:val="00747561"/>
    <w:rsid w:val="007478A2"/>
    <w:rsid w:val="007502BE"/>
    <w:rsid w:val="007517C0"/>
    <w:rsid w:val="00751938"/>
    <w:rsid w:val="007521D4"/>
    <w:rsid w:val="0075379C"/>
    <w:rsid w:val="00753BAA"/>
    <w:rsid w:val="00753D30"/>
    <w:rsid w:val="00754048"/>
    <w:rsid w:val="007545ED"/>
    <w:rsid w:val="0075476B"/>
    <w:rsid w:val="00754A83"/>
    <w:rsid w:val="007554C0"/>
    <w:rsid w:val="00755971"/>
    <w:rsid w:val="00755BC6"/>
    <w:rsid w:val="00755D99"/>
    <w:rsid w:val="007568F3"/>
    <w:rsid w:val="007569B2"/>
    <w:rsid w:val="00756C70"/>
    <w:rsid w:val="007575A1"/>
    <w:rsid w:val="00757916"/>
    <w:rsid w:val="00757B8B"/>
    <w:rsid w:val="00757CD5"/>
    <w:rsid w:val="00761446"/>
    <w:rsid w:val="0076177D"/>
    <w:rsid w:val="0076186E"/>
    <w:rsid w:val="0076189F"/>
    <w:rsid w:val="007624CF"/>
    <w:rsid w:val="00762EB0"/>
    <w:rsid w:val="00763544"/>
    <w:rsid w:val="007638A6"/>
    <w:rsid w:val="007638D1"/>
    <w:rsid w:val="00763B65"/>
    <w:rsid w:val="00763B8B"/>
    <w:rsid w:val="00764694"/>
    <w:rsid w:val="007648AB"/>
    <w:rsid w:val="00764DFC"/>
    <w:rsid w:val="00765530"/>
    <w:rsid w:val="00765863"/>
    <w:rsid w:val="00765BBF"/>
    <w:rsid w:val="0076602C"/>
    <w:rsid w:val="00766AB7"/>
    <w:rsid w:val="00766F75"/>
    <w:rsid w:val="007677F0"/>
    <w:rsid w:val="00767E34"/>
    <w:rsid w:val="0077065F"/>
    <w:rsid w:val="0077083B"/>
    <w:rsid w:val="00770C99"/>
    <w:rsid w:val="00771251"/>
    <w:rsid w:val="0077128D"/>
    <w:rsid w:val="00771EB8"/>
    <w:rsid w:val="0077256C"/>
    <w:rsid w:val="00772C0C"/>
    <w:rsid w:val="00773829"/>
    <w:rsid w:val="00773B1C"/>
    <w:rsid w:val="0077404D"/>
    <w:rsid w:val="00774576"/>
    <w:rsid w:val="00774847"/>
    <w:rsid w:val="007748AF"/>
    <w:rsid w:val="00774EA8"/>
    <w:rsid w:val="007750E8"/>
    <w:rsid w:val="0077585B"/>
    <w:rsid w:val="00775B06"/>
    <w:rsid w:val="00775B42"/>
    <w:rsid w:val="007767BB"/>
    <w:rsid w:val="0077696B"/>
    <w:rsid w:val="00776993"/>
    <w:rsid w:val="00776C95"/>
    <w:rsid w:val="00776F34"/>
    <w:rsid w:val="0077711D"/>
    <w:rsid w:val="007772F0"/>
    <w:rsid w:val="007773D0"/>
    <w:rsid w:val="00777D9C"/>
    <w:rsid w:val="007801A7"/>
    <w:rsid w:val="007801F2"/>
    <w:rsid w:val="007810B8"/>
    <w:rsid w:val="0078121C"/>
    <w:rsid w:val="00781261"/>
    <w:rsid w:val="007815A1"/>
    <w:rsid w:val="007816F2"/>
    <w:rsid w:val="007819F5"/>
    <w:rsid w:val="00781A6C"/>
    <w:rsid w:val="00781FB5"/>
    <w:rsid w:val="007835C4"/>
    <w:rsid w:val="00783B64"/>
    <w:rsid w:val="00783BF4"/>
    <w:rsid w:val="00783F79"/>
    <w:rsid w:val="0078457B"/>
    <w:rsid w:val="007846E3"/>
    <w:rsid w:val="00784B86"/>
    <w:rsid w:val="00784F00"/>
    <w:rsid w:val="0078544A"/>
    <w:rsid w:val="00785B27"/>
    <w:rsid w:val="00785E3D"/>
    <w:rsid w:val="0078600D"/>
    <w:rsid w:val="00786CEA"/>
    <w:rsid w:val="00787136"/>
    <w:rsid w:val="00787A67"/>
    <w:rsid w:val="00787DE5"/>
    <w:rsid w:val="007901C8"/>
    <w:rsid w:val="007907EC"/>
    <w:rsid w:val="00790B95"/>
    <w:rsid w:val="00790C40"/>
    <w:rsid w:val="00790FF1"/>
    <w:rsid w:val="007910F3"/>
    <w:rsid w:val="00791E4F"/>
    <w:rsid w:val="00792268"/>
    <w:rsid w:val="007922FB"/>
    <w:rsid w:val="0079242B"/>
    <w:rsid w:val="00792554"/>
    <w:rsid w:val="00792925"/>
    <w:rsid w:val="00792FB3"/>
    <w:rsid w:val="00793269"/>
    <w:rsid w:val="007934A1"/>
    <w:rsid w:val="007934CB"/>
    <w:rsid w:val="00793E2E"/>
    <w:rsid w:val="00793F67"/>
    <w:rsid w:val="007940F6"/>
    <w:rsid w:val="00794188"/>
    <w:rsid w:val="007947A7"/>
    <w:rsid w:val="00795100"/>
    <w:rsid w:val="00795225"/>
    <w:rsid w:val="00795F88"/>
    <w:rsid w:val="007977BA"/>
    <w:rsid w:val="00797A01"/>
    <w:rsid w:val="00797BF7"/>
    <w:rsid w:val="00797EA8"/>
    <w:rsid w:val="007A0449"/>
    <w:rsid w:val="007A0963"/>
    <w:rsid w:val="007A098C"/>
    <w:rsid w:val="007A0FF6"/>
    <w:rsid w:val="007A1005"/>
    <w:rsid w:val="007A2472"/>
    <w:rsid w:val="007A27D8"/>
    <w:rsid w:val="007A2923"/>
    <w:rsid w:val="007A336B"/>
    <w:rsid w:val="007A3510"/>
    <w:rsid w:val="007A3843"/>
    <w:rsid w:val="007A3F72"/>
    <w:rsid w:val="007A4600"/>
    <w:rsid w:val="007A46CC"/>
    <w:rsid w:val="007A4D53"/>
    <w:rsid w:val="007A51A0"/>
    <w:rsid w:val="007A5808"/>
    <w:rsid w:val="007A59DD"/>
    <w:rsid w:val="007A612D"/>
    <w:rsid w:val="007A6680"/>
    <w:rsid w:val="007A6986"/>
    <w:rsid w:val="007A6B62"/>
    <w:rsid w:val="007A70A9"/>
    <w:rsid w:val="007A72FE"/>
    <w:rsid w:val="007A7433"/>
    <w:rsid w:val="007A775D"/>
    <w:rsid w:val="007B0A69"/>
    <w:rsid w:val="007B15DC"/>
    <w:rsid w:val="007B177B"/>
    <w:rsid w:val="007B1C01"/>
    <w:rsid w:val="007B1CA2"/>
    <w:rsid w:val="007B1DA0"/>
    <w:rsid w:val="007B1DB2"/>
    <w:rsid w:val="007B22DA"/>
    <w:rsid w:val="007B23E3"/>
    <w:rsid w:val="007B2DEA"/>
    <w:rsid w:val="007B3BDF"/>
    <w:rsid w:val="007B495B"/>
    <w:rsid w:val="007B4EA5"/>
    <w:rsid w:val="007B518B"/>
    <w:rsid w:val="007B5562"/>
    <w:rsid w:val="007B5709"/>
    <w:rsid w:val="007B5A19"/>
    <w:rsid w:val="007B5C2E"/>
    <w:rsid w:val="007B5D50"/>
    <w:rsid w:val="007B5DB0"/>
    <w:rsid w:val="007B6025"/>
    <w:rsid w:val="007B6183"/>
    <w:rsid w:val="007B68E4"/>
    <w:rsid w:val="007B6F12"/>
    <w:rsid w:val="007B722F"/>
    <w:rsid w:val="007B7938"/>
    <w:rsid w:val="007B7F2E"/>
    <w:rsid w:val="007C03F2"/>
    <w:rsid w:val="007C0585"/>
    <w:rsid w:val="007C0B17"/>
    <w:rsid w:val="007C0BC5"/>
    <w:rsid w:val="007C1620"/>
    <w:rsid w:val="007C1A1E"/>
    <w:rsid w:val="007C1F32"/>
    <w:rsid w:val="007C20EA"/>
    <w:rsid w:val="007C227C"/>
    <w:rsid w:val="007C24AC"/>
    <w:rsid w:val="007C24C7"/>
    <w:rsid w:val="007C46C1"/>
    <w:rsid w:val="007C4925"/>
    <w:rsid w:val="007C4C32"/>
    <w:rsid w:val="007C5441"/>
    <w:rsid w:val="007C5876"/>
    <w:rsid w:val="007C5DB6"/>
    <w:rsid w:val="007C6074"/>
    <w:rsid w:val="007C657A"/>
    <w:rsid w:val="007C6A1F"/>
    <w:rsid w:val="007C7108"/>
    <w:rsid w:val="007C7E43"/>
    <w:rsid w:val="007D063C"/>
    <w:rsid w:val="007D0CE7"/>
    <w:rsid w:val="007D1B7A"/>
    <w:rsid w:val="007D2414"/>
    <w:rsid w:val="007D25AF"/>
    <w:rsid w:val="007D36F4"/>
    <w:rsid w:val="007D37A2"/>
    <w:rsid w:val="007D4445"/>
    <w:rsid w:val="007D4487"/>
    <w:rsid w:val="007D4E77"/>
    <w:rsid w:val="007D5081"/>
    <w:rsid w:val="007D50E2"/>
    <w:rsid w:val="007D581E"/>
    <w:rsid w:val="007D6319"/>
    <w:rsid w:val="007D64EB"/>
    <w:rsid w:val="007D66D3"/>
    <w:rsid w:val="007D6B6D"/>
    <w:rsid w:val="007D7437"/>
    <w:rsid w:val="007D74A9"/>
    <w:rsid w:val="007D768B"/>
    <w:rsid w:val="007D7746"/>
    <w:rsid w:val="007D7ABC"/>
    <w:rsid w:val="007E0502"/>
    <w:rsid w:val="007E0935"/>
    <w:rsid w:val="007E0F28"/>
    <w:rsid w:val="007E173E"/>
    <w:rsid w:val="007E1858"/>
    <w:rsid w:val="007E191F"/>
    <w:rsid w:val="007E1BCA"/>
    <w:rsid w:val="007E2F66"/>
    <w:rsid w:val="007E3328"/>
    <w:rsid w:val="007E33F8"/>
    <w:rsid w:val="007E3BF2"/>
    <w:rsid w:val="007E3DDA"/>
    <w:rsid w:val="007E3DFC"/>
    <w:rsid w:val="007E4298"/>
    <w:rsid w:val="007E4307"/>
    <w:rsid w:val="007E46FD"/>
    <w:rsid w:val="007E49DD"/>
    <w:rsid w:val="007E4DB4"/>
    <w:rsid w:val="007E55D6"/>
    <w:rsid w:val="007E575F"/>
    <w:rsid w:val="007E57B1"/>
    <w:rsid w:val="007E598E"/>
    <w:rsid w:val="007E5E35"/>
    <w:rsid w:val="007E5ED4"/>
    <w:rsid w:val="007E6CA9"/>
    <w:rsid w:val="007E6DC2"/>
    <w:rsid w:val="007E6FDF"/>
    <w:rsid w:val="007E72A6"/>
    <w:rsid w:val="007E7886"/>
    <w:rsid w:val="007F0486"/>
    <w:rsid w:val="007F091A"/>
    <w:rsid w:val="007F1328"/>
    <w:rsid w:val="007F21DF"/>
    <w:rsid w:val="007F22CE"/>
    <w:rsid w:val="007F2835"/>
    <w:rsid w:val="007F2D69"/>
    <w:rsid w:val="007F2FD4"/>
    <w:rsid w:val="007F2FF9"/>
    <w:rsid w:val="007F309D"/>
    <w:rsid w:val="007F3D53"/>
    <w:rsid w:val="007F3DC7"/>
    <w:rsid w:val="007F4D3D"/>
    <w:rsid w:val="007F57AE"/>
    <w:rsid w:val="007F5D19"/>
    <w:rsid w:val="007F5E39"/>
    <w:rsid w:val="007F6011"/>
    <w:rsid w:val="007F656A"/>
    <w:rsid w:val="007F665B"/>
    <w:rsid w:val="007F6A00"/>
    <w:rsid w:val="007F6D51"/>
    <w:rsid w:val="007F7093"/>
    <w:rsid w:val="007F745E"/>
    <w:rsid w:val="00800091"/>
    <w:rsid w:val="008005DE"/>
    <w:rsid w:val="00800ACC"/>
    <w:rsid w:val="008013F1"/>
    <w:rsid w:val="00801943"/>
    <w:rsid w:val="00801CE9"/>
    <w:rsid w:val="00802054"/>
    <w:rsid w:val="00802F3F"/>
    <w:rsid w:val="008035BD"/>
    <w:rsid w:val="008036DB"/>
    <w:rsid w:val="00803C38"/>
    <w:rsid w:val="00803E8A"/>
    <w:rsid w:val="00803EDE"/>
    <w:rsid w:val="00804472"/>
    <w:rsid w:val="00804C0C"/>
    <w:rsid w:val="00804E9F"/>
    <w:rsid w:val="00805497"/>
    <w:rsid w:val="008059FC"/>
    <w:rsid w:val="00806784"/>
    <w:rsid w:val="00807296"/>
    <w:rsid w:val="00807814"/>
    <w:rsid w:val="008078B5"/>
    <w:rsid w:val="00807D04"/>
    <w:rsid w:val="00807F2A"/>
    <w:rsid w:val="008100BF"/>
    <w:rsid w:val="00810130"/>
    <w:rsid w:val="00810DB7"/>
    <w:rsid w:val="00810E35"/>
    <w:rsid w:val="00811013"/>
    <w:rsid w:val="00811494"/>
    <w:rsid w:val="0081155D"/>
    <w:rsid w:val="008122DA"/>
    <w:rsid w:val="0081230F"/>
    <w:rsid w:val="00812CC2"/>
    <w:rsid w:val="00812E1E"/>
    <w:rsid w:val="00813100"/>
    <w:rsid w:val="008132AF"/>
    <w:rsid w:val="00813DC0"/>
    <w:rsid w:val="008143F9"/>
    <w:rsid w:val="00814E03"/>
    <w:rsid w:val="00815246"/>
    <w:rsid w:val="00815CDD"/>
    <w:rsid w:val="0081679C"/>
    <w:rsid w:val="008169E0"/>
    <w:rsid w:val="00816FDF"/>
    <w:rsid w:val="00817BAA"/>
    <w:rsid w:val="0082079F"/>
    <w:rsid w:val="008207A1"/>
    <w:rsid w:val="00820D63"/>
    <w:rsid w:val="008218C0"/>
    <w:rsid w:val="0082191A"/>
    <w:rsid w:val="00821A0D"/>
    <w:rsid w:val="00821A87"/>
    <w:rsid w:val="00821B39"/>
    <w:rsid w:val="0082218B"/>
    <w:rsid w:val="0082226D"/>
    <w:rsid w:val="00822AEC"/>
    <w:rsid w:val="008230B4"/>
    <w:rsid w:val="0082387B"/>
    <w:rsid w:val="00823D80"/>
    <w:rsid w:val="00823FC6"/>
    <w:rsid w:val="008244E6"/>
    <w:rsid w:val="0082467B"/>
    <w:rsid w:val="00824A86"/>
    <w:rsid w:val="00824C47"/>
    <w:rsid w:val="00824E43"/>
    <w:rsid w:val="008257D6"/>
    <w:rsid w:val="00825B4C"/>
    <w:rsid w:val="0082604B"/>
    <w:rsid w:val="0082744B"/>
    <w:rsid w:val="00827910"/>
    <w:rsid w:val="008279AA"/>
    <w:rsid w:val="0083041A"/>
    <w:rsid w:val="00830B76"/>
    <w:rsid w:val="00831563"/>
    <w:rsid w:val="00831B14"/>
    <w:rsid w:val="008320A2"/>
    <w:rsid w:val="00832196"/>
    <w:rsid w:val="008321B1"/>
    <w:rsid w:val="00832740"/>
    <w:rsid w:val="0083353D"/>
    <w:rsid w:val="00835A24"/>
    <w:rsid w:val="00835E9B"/>
    <w:rsid w:val="008363A5"/>
    <w:rsid w:val="00836412"/>
    <w:rsid w:val="008368DB"/>
    <w:rsid w:val="00836BEB"/>
    <w:rsid w:val="008372C8"/>
    <w:rsid w:val="0083731A"/>
    <w:rsid w:val="00840226"/>
    <w:rsid w:val="00840E07"/>
    <w:rsid w:val="0084113E"/>
    <w:rsid w:val="00841255"/>
    <w:rsid w:val="008417EF"/>
    <w:rsid w:val="008422E1"/>
    <w:rsid w:val="00842744"/>
    <w:rsid w:val="008427BA"/>
    <w:rsid w:val="00842AC3"/>
    <w:rsid w:val="00842FDC"/>
    <w:rsid w:val="00843613"/>
    <w:rsid w:val="008439CA"/>
    <w:rsid w:val="00843BB2"/>
    <w:rsid w:val="008440F0"/>
    <w:rsid w:val="0084465C"/>
    <w:rsid w:val="0084498D"/>
    <w:rsid w:val="00844EC6"/>
    <w:rsid w:val="00845343"/>
    <w:rsid w:val="00845C7A"/>
    <w:rsid w:val="00846440"/>
    <w:rsid w:val="00846A1C"/>
    <w:rsid w:val="00846F7A"/>
    <w:rsid w:val="00847724"/>
    <w:rsid w:val="008477C7"/>
    <w:rsid w:val="00847841"/>
    <w:rsid w:val="00847B60"/>
    <w:rsid w:val="008502EB"/>
    <w:rsid w:val="008502FD"/>
    <w:rsid w:val="008503D6"/>
    <w:rsid w:val="008507A7"/>
    <w:rsid w:val="0085094C"/>
    <w:rsid w:val="00850C42"/>
    <w:rsid w:val="00850E6D"/>
    <w:rsid w:val="00850F89"/>
    <w:rsid w:val="00851460"/>
    <w:rsid w:val="00851B94"/>
    <w:rsid w:val="00851CA5"/>
    <w:rsid w:val="008526E4"/>
    <w:rsid w:val="00852A17"/>
    <w:rsid w:val="00852AD2"/>
    <w:rsid w:val="00852E17"/>
    <w:rsid w:val="00852E3B"/>
    <w:rsid w:val="00853174"/>
    <w:rsid w:val="008538C0"/>
    <w:rsid w:val="0085397D"/>
    <w:rsid w:val="0085427F"/>
    <w:rsid w:val="008552D4"/>
    <w:rsid w:val="00855810"/>
    <w:rsid w:val="00856588"/>
    <w:rsid w:val="00856B71"/>
    <w:rsid w:val="008577EA"/>
    <w:rsid w:val="008601B9"/>
    <w:rsid w:val="00860A41"/>
    <w:rsid w:val="00860F80"/>
    <w:rsid w:val="00861363"/>
    <w:rsid w:val="0086169C"/>
    <w:rsid w:val="00861DE5"/>
    <w:rsid w:val="00862110"/>
    <w:rsid w:val="00862193"/>
    <w:rsid w:val="00862226"/>
    <w:rsid w:val="008626F9"/>
    <w:rsid w:val="008627CE"/>
    <w:rsid w:val="00862C0A"/>
    <w:rsid w:val="00863730"/>
    <w:rsid w:val="00863B71"/>
    <w:rsid w:val="00863B94"/>
    <w:rsid w:val="00863C35"/>
    <w:rsid w:val="00863E31"/>
    <w:rsid w:val="00864316"/>
    <w:rsid w:val="008643B9"/>
    <w:rsid w:val="00864608"/>
    <w:rsid w:val="00864CB3"/>
    <w:rsid w:val="0086553B"/>
    <w:rsid w:val="00865876"/>
    <w:rsid w:val="0086596F"/>
    <w:rsid w:val="00865995"/>
    <w:rsid w:val="00865CD2"/>
    <w:rsid w:val="00865FA7"/>
    <w:rsid w:val="008660E0"/>
    <w:rsid w:val="00867AD8"/>
    <w:rsid w:val="00867FDD"/>
    <w:rsid w:val="00870A13"/>
    <w:rsid w:val="00870B7A"/>
    <w:rsid w:val="00870C5F"/>
    <w:rsid w:val="00871C55"/>
    <w:rsid w:val="00872DF8"/>
    <w:rsid w:val="008731FF"/>
    <w:rsid w:val="00874201"/>
    <w:rsid w:val="0087442D"/>
    <w:rsid w:val="00874A8D"/>
    <w:rsid w:val="00874B04"/>
    <w:rsid w:val="0087576B"/>
    <w:rsid w:val="00876720"/>
    <w:rsid w:val="00876C85"/>
    <w:rsid w:val="00876EB9"/>
    <w:rsid w:val="0087711D"/>
    <w:rsid w:val="008772E4"/>
    <w:rsid w:val="008773C2"/>
    <w:rsid w:val="0087780D"/>
    <w:rsid w:val="0087786E"/>
    <w:rsid w:val="00877BC9"/>
    <w:rsid w:val="00877C31"/>
    <w:rsid w:val="00877CF7"/>
    <w:rsid w:val="00877D79"/>
    <w:rsid w:val="00877FD3"/>
    <w:rsid w:val="008800CA"/>
    <w:rsid w:val="008802C2"/>
    <w:rsid w:val="00880F6F"/>
    <w:rsid w:val="0088130E"/>
    <w:rsid w:val="008815D6"/>
    <w:rsid w:val="00881A7B"/>
    <w:rsid w:val="00881AC8"/>
    <w:rsid w:val="00882912"/>
    <w:rsid w:val="00882FDF"/>
    <w:rsid w:val="008830FD"/>
    <w:rsid w:val="0088372B"/>
    <w:rsid w:val="008839A9"/>
    <w:rsid w:val="00883BB1"/>
    <w:rsid w:val="00884770"/>
    <w:rsid w:val="00884BF2"/>
    <w:rsid w:val="008853E0"/>
    <w:rsid w:val="008858FF"/>
    <w:rsid w:val="00885AC4"/>
    <w:rsid w:val="008863E9"/>
    <w:rsid w:val="008866A1"/>
    <w:rsid w:val="00886F04"/>
    <w:rsid w:val="008870B5"/>
    <w:rsid w:val="008872DF"/>
    <w:rsid w:val="0088794E"/>
    <w:rsid w:val="00890254"/>
    <w:rsid w:val="00890346"/>
    <w:rsid w:val="00890968"/>
    <w:rsid w:val="00890A52"/>
    <w:rsid w:val="00890BA8"/>
    <w:rsid w:val="00890E12"/>
    <w:rsid w:val="00891047"/>
    <w:rsid w:val="008917A9"/>
    <w:rsid w:val="00891D93"/>
    <w:rsid w:val="00892091"/>
    <w:rsid w:val="008920C8"/>
    <w:rsid w:val="0089226D"/>
    <w:rsid w:val="008924E4"/>
    <w:rsid w:val="0089254E"/>
    <w:rsid w:val="0089330F"/>
    <w:rsid w:val="008936FD"/>
    <w:rsid w:val="00894831"/>
    <w:rsid w:val="00894B55"/>
    <w:rsid w:val="00894E8E"/>
    <w:rsid w:val="0089594D"/>
    <w:rsid w:val="00895DE2"/>
    <w:rsid w:val="0089604D"/>
    <w:rsid w:val="0089627C"/>
    <w:rsid w:val="00896369"/>
    <w:rsid w:val="00896A36"/>
    <w:rsid w:val="008974E4"/>
    <w:rsid w:val="00897526"/>
    <w:rsid w:val="00897FBC"/>
    <w:rsid w:val="00897FD8"/>
    <w:rsid w:val="008A0030"/>
    <w:rsid w:val="008A0A13"/>
    <w:rsid w:val="008A185B"/>
    <w:rsid w:val="008A1887"/>
    <w:rsid w:val="008A1F59"/>
    <w:rsid w:val="008A23D6"/>
    <w:rsid w:val="008A25D5"/>
    <w:rsid w:val="008A2929"/>
    <w:rsid w:val="008A2F9F"/>
    <w:rsid w:val="008A3399"/>
    <w:rsid w:val="008A3A11"/>
    <w:rsid w:val="008A3E53"/>
    <w:rsid w:val="008A440C"/>
    <w:rsid w:val="008A446C"/>
    <w:rsid w:val="008A526A"/>
    <w:rsid w:val="008A5399"/>
    <w:rsid w:val="008A62DE"/>
    <w:rsid w:val="008A6716"/>
    <w:rsid w:val="008A6A6C"/>
    <w:rsid w:val="008A6CB4"/>
    <w:rsid w:val="008A7402"/>
    <w:rsid w:val="008A76BA"/>
    <w:rsid w:val="008A775A"/>
    <w:rsid w:val="008B0552"/>
    <w:rsid w:val="008B08F5"/>
    <w:rsid w:val="008B0910"/>
    <w:rsid w:val="008B0C30"/>
    <w:rsid w:val="008B2096"/>
    <w:rsid w:val="008B21F5"/>
    <w:rsid w:val="008B234B"/>
    <w:rsid w:val="008B2858"/>
    <w:rsid w:val="008B2C23"/>
    <w:rsid w:val="008B3833"/>
    <w:rsid w:val="008B3B11"/>
    <w:rsid w:val="008B414E"/>
    <w:rsid w:val="008B43BB"/>
    <w:rsid w:val="008B4900"/>
    <w:rsid w:val="008B4BBD"/>
    <w:rsid w:val="008B4C04"/>
    <w:rsid w:val="008B5627"/>
    <w:rsid w:val="008B60B0"/>
    <w:rsid w:val="008B61D6"/>
    <w:rsid w:val="008B6858"/>
    <w:rsid w:val="008B6A4B"/>
    <w:rsid w:val="008B74D3"/>
    <w:rsid w:val="008B7734"/>
    <w:rsid w:val="008B7B6E"/>
    <w:rsid w:val="008C00C3"/>
    <w:rsid w:val="008C02BB"/>
    <w:rsid w:val="008C0577"/>
    <w:rsid w:val="008C0928"/>
    <w:rsid w:val="008C0996"/>
    <w:rsid w:val="008C17AB"/>
    <w:rsid w:val="008C1ADE"/>
    <w:rsid w:val="008C29C3"/>
    <w:rsid w:val="008C29EE"/>
    <w:rsid w:val="008C3294"/>
    <w:rsid w:val="008C3433"/>
    <w:rsid w:val="008C36D0"/>
    <w:rsid w:val="008C3A7A"/>
    <w:rsid w:val="008C3C2D"/>
    <w:rsid w:val="008C3C53"/>
    <w:rsid w:val="008C4EE5"/>
    <w:rsid w:val="008C5658"/>
    <w:rsid w:val="008C56AA"/>
    <w:rsid w:val="008C5C3A"/>
    <w:rsid w:val="008C5E93"/>
    <w:rsid w:val="008C6196"/>
    <w:rsid w:val="008C65FA"/>
    <w:rsid w:val="008C68D9"/>
    <w:rsid w:val="008C68FD"/>
    <w:rsid w:val="008C6A50"/>
    <w:rsid w:val="008C6F5F"/>
    <w:rsid w:val="008C7300"/>
    <w:rsid w:val="008C7B4B"/>
    <w:rsid w:val="008D0152"/>
    <w:rsid w:val="008D06AE"/>
    <w:rsid w:val="008D17B6"/>
    <w:rsid w:val="008D1980"/>
    <w:rsid w:val="008D1E6E"/>
    <w:rsid w:val="008D2353"/>
    <w:rsid w:val="008D2705"/>
    <w:rsid w:val="008D28FB"/>
    <w:rsid w:val="008D2900"/>
    <w:rsid w:val="008D2B46"/>
    <w:rsid w:val="008D303D"/>
    <w:rsid w:val="008D30CD"/>
    <w:rsid w:val="008D3425"/>
    <w:rsid w:val="008D3C2E"/>
    <w:rsid w:val="008D44D9"/>
    <w:rsid w:val="008D47CD"/>
    <w:rsid w:val="008D480E"/>
    <w:rsid w:val="008D4B42"/>
    <w:rsid w:val="008D4BEC"/>
    <w:rsid w:val="008D52F4"/>
    <w:rsid w:val="008D530F"/>
    <w:rsid w:val="008D541F"/>
    <w:rsid w:val="008D625B"/>
    <w:rsid w:val="008D63FF"/>
    <w:rsid w:val="008D66FD"/>
    <w:rsid w:val="008D6F63"/>
    <w:rsid w:val="008D70EA"/>
    <w:rsid w:val="008D718E"/>
    <w:rsid w:val="008D77FC"/>
    <w:rsid w:val="008D7A5F"/>
    <w:rsid w:val="008E08D6"/>
    <w:rsid w:val="008E0994"/>
    <w:rsid w:val="008E0A73"/>
    <w:rsid w:val="008E0D01"/>
    <w:rsid w:val="008E0E12"/>
    <w:rsid w:val="008E1805"/>
    <w:rsid w:val="008E19CB"/>
    <w:rsid w:val="008E265D"/>
    <w:rsid w:val="008E2F56"/>
    <w:rsid w:val="008E33C8"/>
    <w:rsid w:val="008E34F0"/>
    <w:rsid w:val="008E3695"/>
    <w:rsid w:val="008E3799"/>
    <w:rsid w:val="008E3F84"/>
    <w:rsid w:val="008E403B"/>
    <w:rsid w:val="008E40B3"/>
    <w:rsid w:val="008E49C0"/>
    <w:rsid w:val="008E504E"/>
    <w:rsid w:val="008E541E"/>
    <w:rsid w:val="008E55F5"/>
    <w:rsid w:val="008E58A0"/>
    <w:rsid w:val="008E5DB8"/>
    <w:rsid w:val="008E6129"/>
    <w:rsid w:val="008E62B9"/>
    <w:rsid w:val="008E635E"/>
    <w:rsid w:val="008E685F"/>
    <w:rsid w:val="008E7285"/>
    <w:rsid w:val="008E7580"/>
    <w:rsid w:val="008E7597"/>
    <w:rsid w:val="008E799C"/>
    <w:rsid w:val="008E7CA7"/>
    <w:rsid w:val="008E7E5D"/>
    <w:rsid w:val="008E7F6C"/>
    <w:rsid w:val="008F0112"/>
    <w:rsid w:val="008F085D"/>
    <w:rsid w:val="008F10F7"/>
    <w:rsid w:val="008F12B4"/>
    <w:rsid w:val="008F16D9"/>
    <w:rsid w:val="008F224C"/>
    <w:rsid w:val="008F24C7"/>
    <w:rsid w:val="008F2583"/>
    <w:rsid w:val="008F26DA"/>
    <w:rsid w:val="008F2B01"/>
    <w:rsid w:val="008F2F8C"/>
    <w:rsid w:val="008F32B6"/>
    <w:rsid w:val="008F3363"/>
    <w:rsid w:val="008F39A5"/>
    <w:rsid w:val="008F46C0"/>
    <w:rsid w:val="008F4786"/>
    <w:rsid w:val="008F5775"/>
    <w:rsid w:val="008F5875"/>
    <w:rsid w:val="008F596C"/>
    <w:rsid w:val="008F5F98"/>
    <w:rsid w:val="008F67FF"/>
    <w:rsid w:val="008F6D2F"/>
    <w:rsid w:val="008F6F2E"/>
    <w:rsid w:val="008F6F7C"/>
    <w:rsid w:val="008F7B90"/>
    <w:rsid w:val="008F7C82"/>
    <w:rsid w:val="00900688"/>
    <w:rsid w:val="00900A92"/>
    <w:rsid w:val="00900BFE"/>
    <w:rsid w:val="00900C68"/>
    <w:rsid w:val="00900D6B"/>
    <w:rsid w:val="009016AC"/>
    <w:rsid w:val="00901CE8"/>
    <w:rsid w:val="00902A7D"/>
    <w:rsid w:val="00903779"/>
    <w:rsid w:val="0090406B"/>
    <w:rsid w:val="00904158"/>
    <w:rsid w:val="009042CD"/>
    <w:rsid w:val="0090430D"/>
    <w:rsid w:val="00904367"/>
    <w:rsid w:val="009047AE"/>
    <w:rsid w:val="00904DF7"/>
    <w:rsid w:val="00904F28"/>
    <w:rsid w:val="00905AF9"/>
    <w:rsid w:val="00905BF2"/>
    <w:rsid w:val="00905ED0"/>
    <w:rsid w:val="00906336"/>
    <w:rsid w:val="009066F0"/>
    <w:rsid w:val="009072AB"/>
    <w:rsid w:val="009078DE"/>
    <w:rsid w:val="00910830"/>
    <w:rsid w:val="009109E2"/>
    <w:rsid w:val="00911981"/>
    <w:rsid w:val="009123BC"/>
    <w:rsid w:val="009124B2"/>
    <w:rsid w:val="009124B9"/>
    <w:rsid w:val="00912625"/>
    <w:rsid w:val="00912967"/>
    <w:rsid w:val="00912A07"/>
    <w:rsid w:val="00913214"/>
    <w:rsid w:val="009135A8"/>
    <w:rsid w:val="0091399A"/>
    <w:rsid w:val="00913AB3"/>
    <w:rsid w:val="00914063"/>
    <w:rsid w:val="009144DA"/>
    <w:rsid w:val="00914834"/>
    <w:rsid w:val="00914FEF"/>
    <w:rsid w:val="00915231"/>
    <w:rsid w:val="00915243"/>
    <w:rsid w:val="009153D7"/>
    <w:rsid w:val="00915B98"/>
    <w:rsid w:val="00915C12"/>
    <w:rsid w:val="00916B58"/>
    <w:rsid w:val="00916C1F"/>
    <w:rsid w:val="00916C47"/>
    <w:rsid w:val="00916CEB"/>
    <w:rsid w:val="00916F03"/>
    <w:rsid w:val="009173B4"/>
    <w:rsid w:val="00917987"/>
    <w:rsid w:val="009179D4"/>
    <w:rsid w:val="00917C31"/>
    <w:rsid w:val="00920B78"/>
    <w:rsid w:val="00920CCE"/>
    <w:rsid w:val="00921575"/>
    <w:rsid w:val="009216D6"/>
    <w:rsid w:val="00922FD0"/>
    <w:rsid w:val="009231FF"/>
    <w:rsid w:val="0092328E"/>
    <w:rsid w:val="0092348B"/>
    <w:rsid w:val="009238B9"/>
    <w:rsid w:val="00923D69"/>
    <w:rsid w:val="00924013"/>
    <w:rsid w:val="009240B7"/>
    <w:rsid w:val="009245A7"/>
    <w:rsid w:val="009248CB"/>
    <w:rsid w:val="00924B1A"/>
    <w:rsid w:val="00924E56"/>
    <w:rsid w:val="00924EE3"/>
    <w:rsid w:val="00925A06"/>
    <w:rsid w:val="009261F9"/>
    <w:rsid w:val="00926903"/>
    <w:rsid w:val="00926D9B"/>
    <w:rsid w:val="009278FB"/>
    <w:rsid w:val="00931054"/>
    <w:rsid w:val="00931111"/>
    <w:rsid w:val="0093119B"/>
    <w:rsid w:val="009312F0"/>
    <w:rsid w:val="009313EE"/>
    <w:rsid w:val="009316B0"/>
    <w:rsid w:val="009318F7"/>
    <w:rsid w:val="00931D47"/>
    <w:rsid w:val="00931E15"/>
    <w:rsid w:val="00932438"/>
    <w:rsid w:val="009331E7"/>
    <w:rsid w:val="0093330A"/>
    <w:rsid w:val="009336B4"/>
    <w:rsid w:val="00933A71"/>
    <w:rsid w:val="00933BBE"/>
    <w:rsid w:val="00934633"/>
    <w:rsid w:val="0093532A"/>
    <w:rsid w:val="00935418"/>
    <w:rsid w:val="0093568A"/>
    <w:rsid w:val="009356D3"/>
    <w:rsid w:val="009364E5"/>
    <w:rsid w:val="00936922"/>
    <w:rsid w:val="00936F14"/>
    <w:rsid w:val="00937738"/>
    <w:rsid w:val="00937749"/>
    <w:rsid w:val="0094080F"/>
    <w:rsid w:val="00940A82"/>
    <w:rsid w:val="00940F2B"/>
    <w:rsid w:val="00941170"/>
    <w:rsid w:val="00941495"/>
    <w:rsid w:val="00941741"/>
    <w:rsid w:val="00941B0D"/>
    <w:rsid w:val="009427C4"/>
    <w:rsid w:val="00942DC1"/>
    <w:rsid w:val="00943397"/>
    <w:rsid w:val="00943413"/>
    <w:rsid w:val="00943558"/>
    <w:rsid w:val="00943620"/>
    <w:rsid w:val="009436B3"/>
    <w:rsid w:val="0094442D"/>
    <w:rsid w:val="009444A7"/>
    <w:rsid w:val="00945140"/>
    <w:rsid w:val="0094567A"/>
    <w:rsid w:val="00945E7B"/>
    <w:rsid w:val="009460BA"/>
    <w:rsid w:val="009468F9"/>
    <w:rsid w:val="0094747C"/>
    <w:rsid w:val="00947642"/>
    <w:rsid w:val="00947B9B"/>
    <w:rsid w:val="00947D9A"/>
    <w:rsid w:val="009500E2"/>
    <w:rsid w:val="009503D5"/>
    <w:rsid w:val="009512AE"/>
    <w:rsid w:val="0095146E"/>
    <w:rsid w:val="009519A8"/>
    <w:rsid w:val="00951B9A"/>
    <w:rsid w:val="009523A6"/>
    <w:rsid w:val="00952B31"/>
    <w:rsid w:val="00952E63"/>
    <w:rsid w:val="00953651"/>
    <w:rsid w:val="00953952"/>
    <w:rsid w:val="009543EA"/>
    <w:rsid w:val="00954433"/>
    <w:rsid w:val="0095447F"/>
    <w:rsid w:val="00954537"/>
    <w:rsid w:val="009548EC"/>
    <w:rsid w:val="00956092"/>
    <w:rsid w:val="0095611F"/>
    <w:rsid w:val="00956193"/>
    <w:rsid w:val="009563EA"/>
    <w:rsid w:val="009565F2"/>
    <w:rsid w:val="00957263"/>
    <w:rsid w:val="009579F9"/>
    <w:rsid w:val="00960150"/>
    <w:rsid w:val="009602DD"/>
    <w:rsid w:val="009612B6"/>
    <w:rsid w:val="009613C1"/>
    <w:rsid w:val="009623FC"/>
    <w:rsid w:val="00963299"/>
    <w:rsid w:val="00963DB4"/>
    <w:rsid w:val="009644A6"/>
    <w:rsid w:val="009646F2"/>
    <w:rsid w:val="00964960"/>
    <w:rsid w:val="00964CB5"/>
    <w:rsid w:val="0096552E"/>
    <w:rsid w:val="009658F9"/>
    <w:rsid w:val="009663B1"/>
    <w:rsid w:val="009667AA"/>
    <w:rsid w:val="0096762D"/>
    <w:rsid w:val="00971986"/>
    <w:rsid w:val="00971A94"/>
    <w:rsid w:val="00971D69"/>
    <w:rsid w:val="00972024"/>
    <w:rsid w:val="00972538"/>
    <w:rsid w:val="00972672"/>
    <w:rsid w:val="00972928"/>
    <w:rsid w:val="009729E8"/>
    <w:rsid w:val="009736A1"/>
    <w:rsid w:val="00973761"/>
    <w:rsid w:val="009737DC"/>
    <w:rsid w:val="00974161"/>
    <w:rsid w:val="0097478F"/>
    <w:rsid w:val="009749F4"/>
    <w:rsid w:val="00974EC0"/>
    <w:rsid w:val="00974F44"/>
    <w:rsid w:val="00975632"/>
    <w:rsid w:val="009756B2"/>
    <w:rsid w:val="00975822"/>
    <w:rsid w:val="00976833"/>
    <w:rsid w:val="00976E90"/>
    <w:rsid w:val="00976F9A"/>
    <w:rsid w:val="00977086"/>
    <w:rsid w:val="009770C7"/>
    <w:rsid w:val="00977C1E"/>
    <w:rsid w:val="00977FB1"/>
    <w:rsid w:val="00980458"/>
    <w:rsid w:val="00980F31"/>
    <w:rsid w:val="00981004"/>
    <w:rsid w:val="009814D8"/>
    <w:rsid w:val="00981856"/>
    <w:rsid w:val="00981BA5"/>
    <w:rsid w:val="00982518"/>
    <w:rsid w:val="009825EB"/>
    <w:rsid w:val="00982CFE"/>
    <w:rsid w:val="00982F8F"/>
    <w:rsid w:val="00983263"/>
    <w:rsid w:val="00983B0E"/>
    <w:rsid w:val="00983B2B"/>
    <w:rsid w:val="00983C30"/>
    <w:rsid w:val="0098408E"/>
    <w:rsid w:val="0098416D"/>
    <w:rsid w:val="009856A3"/>
    <w:rsid w:val="0098587E"/>
    <w:rsid w:val="00985AE6"/>
    <w:rsid w:val="00985D50"/>
    <w:rsid w:val="009866FF"/>
    <w:rsid w:val="0098694F"/>
    <w:rsid w:val="009869BF"/>
    <w:rsid w:val="00986CCA"/>
    <w:rsid w:val="00986EA0"/>
    <w:rsid w:val="00986F0D"/>
    <w:rsid w:val="00987527"/>
    <w:rsid w:val="00987F73"/>
    <w:rsid w:val="009901BE"/>
    <w:rsid w:val="009909E7"/>
    <w:rsid w:val="00990CC8"/>
    <w:rsid w:val="00990E39"/>
    <w:rsid w:val="00991532"/>
    <w:rsid w:val="00991611"/>
    <w:rsid w:val="0099194E"/>
    <w:rsid w:val="00991ECA"/>
    <w:rsid w:val="00991FF7"/>
    <w:rsid w:val="0099259F"/>
    <w:rsid w:val="00992775"/>
    <w:rsid w:val="00993110"/>
    <w:rsid w:val="00993A3C"/>
    <w:rsid w:val="00993D81"/>
    <w:rsid w:val="00993E64"/>
    <w:rsid w:val="009942E7"/>
    <w:rsid w:val="00994482"/>
    <w:rsid w:val="0099454F"/>
    <w:rsid w:val="00994810"/>
    <w:rsid w:val="00994EF8"/>
    <w:rsid w:val="009950E0"/>
    <w:rsid w:val="00995426"/>
    <w:rsid w:val="009954F7"/>
    <w:rsid w:val="009957E0"/>
    <w:rsid w:val="00995CAB"/>
    <w:rsid w:val="009963C1"/>
    <w:rsid w:val="0099668F"/>
    <w:rsid w:val="00996D4A"/>
    <w:rsid w:val="00997467"/>
    <w:rsid w:val="009A0D89"/>
    <w:rsid w:val="009A1112"/>
    <w:rsid w:val="009A1537"/>
    <w:rsid w:val="009A1A47"/>
    <w:rsid w:val="009A1B7F"/>
    <w:rsid w:val="009A23EA"/>
    <w:rsid w:val="009A25F3"/>
    <w:rsid w:val="009A2E6C"/>
    <w:rsid w:val="009A34D7"/>
    <w:rsid w:val="009A417E"/>
    <w:rsid w:val="009A4436"/>
    <w:rsid w:val="009A458A"/>
    <w:rsid w:val="009A48A9"/>
    <w:rsid w:val="009A4DD6"/>
    <w:rsid w:val="009A4FF7"/>
    <w:rsid w:val="009A52BF"/>
    <w:rsid w:val="009A5358"/>
    <w:rsid w:val="009A5E99"/>
    <w:rsid w:val="009A5FBF"/>
    <w:rsid w:val="009A642E"/>
    <w:rsid w:val="009A66A2"/>
    <w:rsid w:val="009A69FF"/>
    <w:rsid w:val="009A6CAC"/>
    <w:rsid w:val="009A6EE1"/>
    <w:rsid w:val="009B07BA"/>
    <w:rsid w:val="009B0AAC"/>
    <w:rsid w:val="009B0D18"/>
    <w:rsid w:val="009B1848"/>
    <w:rsid w:val="009B1B38"/>
    <w:rsid w:val="009B1D34"/>
    <w:rsid w:val="009B1D7B"/>
    <w:rsid w:val="009B2196"/>
    <w:rsid w:val="009B25B0"/>
    <w:rsid w:val="009B2F4E"/>
    <w:rsid w:val="009B4011"/>
    <w:rsid w:val="009B425F"/>
    <w:rsid w:val="009B4C20"/>
    <w:rsid w:val="009B4EB5"/>
    <w:rsid w:val="009B52DE"/>
    <w:rsid w:val="009B5ECA"/>
    <w:rsid w:val="009B6368"/>
    <w:rsid w:val="009B677B"/>
    <w:rsid w:val="009B6989"/>
    <w:rsid w:val="009B6D0E"/>
    <w:rsid w:val="009B7208"/>
    <w:rsid w:val="009B7608"/>
    <w:rsid w:val="009B76F8"/>
    <w:rsid w:val="009B7914"/>
    <w:rsid w:val="009B79DE"/>
    <w:rsid w:val="009C006C"/>
    <w:rsid w:val="009C01E4"/>
    <w:rsid w:val="009C0960"/>
    <w:rsid w:val="009C0D51"/>
    <w:rsid w:val="009C14E6"/>
    <w:rsid w:val="009C1518"/>
    <w:rsid w:val="009C1BD2"/>
    <w:rsid w:val="009C1E9E"/>
    <w:rsid w:val="009C2035"/>
    <w:rsid w:val="009C2494"/>
    <w:rsid w:val="009C2EB7"/>
    <w:rsid w:val="009C40CC"/>
    <w:rsid w:val="009C432A"/>
    <w:rsid w:val="009C451A"/>
    <w:rsid w:val="009C45FA"/>
    <w:rsid w:val="009C4B32"/>
    <w:rsid w:val="009C4D2A"/>
    <w:rsid w:val="009C4EBB"/>
    <w:rsid w:val="009C5459"/>
    <w:rsid w:val="009C5616"/>
    <w:rsid w:val="009C5B13"/>
    <w:rsid w:val="009C64D7"/>
    <w:rsid w:val="009C6AA8"/>
    <w:rsid w:val="009C6C5A"/>
    <w:rsid w:val="009C70EF"/>
    <w:rsid w:val="009C72D9"/>
    <w:rsid w:val="009C779A"/>
    <w:rsid w:val="009C7A12"/>
    <w:rsid w:val="009D02C7"/>
    <w:rsid w:val="009D0E7F"/>
    <w:rsid w:val="009D0EE3"/>
    <w:rsid w:val="009D125B"/>
    <w:rsid w:val="009D160B"/>
    <w:rsid w:val="009D1745"/>
    <w:rsid w:val="009D1E6B"/>
    <w:rsid w:val="009D1F82"/>
    <w:rsid w:val="009D1FCF"/>
    <w:rsid w:val="009D24CB"/>
    <w:rsid w:val="009D2B17"/>
    <w:rsid w:val="009D38C3"/>
    <w:rsid w:val="009D411E"/>
    <w:rsid w:val="009D4648"/>
    <w:rsid w:val="009D4F36"/>
    <w:rsid w:val="009D53A7"/>
    <w:rsid w:val="009D577B"/>
    <w:rsid w:val="009D57C8"/>
    <w:rsid w:val="009D57CD"/>
    <w:rsid w:val="009D5884"/>
    <w:rsid w:val="009D5D97"/>
    <w:rsid w:val="009D5E99"/>
    <w:rsid w:val="009D6C16"/>
    <w:rsid w:val="009D6D2C"/>
    <w:rsid w:val="009D6FBF"/>
    <w:rsid w:val="009D74CD"/>
    <w:rsid w:val="009D7967"/>
    <w:rsid w:val="009D7E6B"/>
    <w:rsid w:val="009D7FCF"/>
    <w:rsid w:val="009E023E"/>
    <w:rsid w:val="009E0657"/>
    <w:rsid w:val="009E0E5E"/>
    <w:rsid w:val="009E0FBD"/>
    <w:rsid w:val="009E136F"/>
    <w:rsid w:val="009E1611"/>
    <w:rsid w:val="009E1D39"/>
    <w:rsid w:val="009E1E2B"/>
    <w:rsid w:val="009E1F75"/>
    <w:rsid w:val="009E22E5"/>
    <w:rsid w:val="009E25BF"/>
    <w:rsid w:val="009E26F8"/>
    <w:rsid w:val="009E2C40"/>
    <w:rsid w:val="009E3794"/>
    <w:rsid w:val="009E38BA"/>
    <w:rsid w:val="009E40B2"/>
    <w:rsid w:val="009E45E7"/>
    <w:rsid w:val="009E4679"/>
    <w:rsid w:val="009E4DBF"/>
    <w:rsid w:val="009E50E3"/>
    <w:rsid w:val="009E55E7"/>
    <w:rsid w:val="009E5D23"/>
    <w:rsid w:val="009E5FF3"/>
    <w:rsid w:val="009E640B"/>
    <w:rsid w:val="009E6EB6"/>
    <w:rsid w:val="009E7325"/>
    <w:rsid w:val="009E7458"/>
    <w:rsid w:val="009E7CCB"/>
    <w:rsid w:val="009E7D24"/>
    <w:rsid w:val="009E7FF8"/>
    <w:rsid w:val="009F00A7"/>
    <w:rsid w:val="009F0A82"/>
    <w:rsid w:val="009F0B7B"/>
    <w:rsid w:val="009F0CAB"/>
    <w:rsid w:val="009F0F19"/>
    <w:rsid w:val="009F1224"/>
    <w:rsid w:val="009F1364"/>
    <w:rsid w:val="009F13C8"/>
    <w:rsid w:val="009F1CCC"/>
    <w:rsid w:val="009F24C7"/>
    <w:rsid w:val="009F25AC"/>
    <w:rsid w:val="009F280E"/>
    <w:rsid w:val="009F2C82"/>
    <w:rsid w:val="009F3D00"/>
    <w:rsid w:val="009F437F"/>
    <w:rsid w:val="009F5976"/>
    <w:rsid w:val="009F5ADE"/>
    <w:rsid w:val="009F5B17"/>
    <w:rsid w:val="009F6F0A"/>
    <w:rsid w:val="009F6FC1"/>
    <w:rsid w:val="009F7558"/>
    <w:rsid w:val="00A00202"/>
    <w:rsid w:val="00A00A1A"/>
    <w:rsid w:val="00A00D6E"/>
    <w:rsid w:val="00A0102B"/>
    <w:rsid w:val="00A010B2"/>
    <w:rsid w:val="00A01CAF"/>
    <w:rsid w:val="00A01EFF"/>
    <w:rsid w:val="00A023E9"/>
    <w:rsid w:val="00A032B7"/>
    <w:rsid w:val="00A04032"/>
    <w:rsid w:val="00A041DA"/>
    <w:rsid w:val="00A04BB5"/>
    <w:rsid w:val="00A051FB"/>
    <w:rsid w:val="00A05C50"/>
    <w:rsid w:val="00A06205"/>
    <w:rsid w:val="00A06D1F"/>
    <w:rsid w:val="00A06EFC"/>
    <w:rsid w:val="00A07577"/>
    <w:rsid w:val="00A07768"/>
    <w:rsid w:val="00A07A92"/>
    <w:rsid w:val="00A07D4D"/>
    <w:rsid w:val="00A07D57"/>
    <w:rsid w:val="00A07F52"/>
    <w:rsid w:val="00A10546"/>
    <w:rsid w:val="00A106B3"/>
    <w:rsid w:val="00A10C9F"/>
    <w:rsid w:val="00A114F4"/>
    <w:rsid w:val="00A120B0"/>
    <w:rsid w:val="00A1274D"/>
    <w:rsid w:val="00A1384A"/>
    <w:rsid w:val="00A13C70"/>
    <w:rsid w:val="00A13F83"/>
    <w:rsid w:val="00A13FB6"/>
    <w:rsid w:val="00A1409C"/>
    <w:rsid w:val="00A1445C"/>
    <w:rsid w:val="00A14895"/>
    <w:rsid w:val="00A14B62"/>
    <w:rsid w:val="00A14BD2"/>
    <w:rsid w:val="00A14F85"/>
    <w:rsid w:val="00A153D1"/>
    <w:rsid w:val="00A160C5"/>
    <w:rsid w:val="00A16190"/>
    <w:rsid w:val="00A16BDE"/>
    <w:rsid w:val="00A17039"/>
    <w:rsid w:val="00A171F1"/>
    <w:rsid w:val="00A177EB"/>
    <w:rsid w:val="00A17922"/>
    <w:rsid w:val="00A202C5"/>
    <w:rsid w:val="00A20316"/>
    <w:rsid w:val="00A20616"/>
    <w:rsid w:val="00A21409"/>
    <w:rsid w:val="00A22711"/>
    <w:rsid w:val="00A22901"/>
    <w:rsid w:val="00A22DFD"/>
    <w:rsid w:val="00A2356A"/>
    <w:rsid w:val="00A23726"/>
    <w:rsid w:val="00A23755"/>
    <w:rsid w:val="00A23A71"/>
    <w:rsid w:val="00A2470A"/>
    <w:rsid w:val="00A24FD3"/>
    <w:rsid w:val="00A25029"/>
    <w:rsid w:val="00A250AF"/>
    <w:rsid w:val="00A2537C"/>
    <w:rsid w:val="00A25A23"/>
    <w:rsid w:val="00A25BEC"/>
    <w:rsid w:val="00A267E2"/>
    <w:rsid w:val="00A269DF"/>
    <w:rsid w:val="00A26B52"/>
    <w:rsid w:val="00A30039"/>
    <w:rsid w:val="00A306EC"/>
    <w:rsid w:val="00A30F8F"/>
    <w:rsid w:val="00A31156"/>
    <w:rsid w:val="00A31243"/>
    <w:rsid w:val="00A312A5"/>
    <w:rsid w:val="00A313E9"/>
    <w:rsid w:val="00A3187E"/>
    <w:rsid w:val="00A31DE1"/>
    <w:rsid w:val="00A3255E"/>
    <w:rsid w:val="00A32C51"/>
    <w:rsid w:val="00A33491"/>
    <w:rsid w:val="00A33837"/>
    <w:rsid w:val="00A33A06"/>
    <w:rsid w:val="00A33A59"/>
    <w:rsid w:val="00A33E1F"/>
    <w:rsid w:val="00A34E41"/>
    <w:rsid w:val="00A34F15"/>
    <w:rsid w:val="00A35916"/>
    <w:rsid w:val="00A35A07"/>
    <w:rsid w:val="00A35BBC"/>
    <w:rsid w:val="00A369D1"/>
    <w:rsid w:val="00A36C63"/>
    <w:rsid w:val="00A370FE"/>
    <w:rsid w:val="00A37582"/>
    <w:rsid w:val="00A37925"/>
    <w:rsid w:val="00A37F20"/>
    <w:rsid w:val="00A40CA4"/>
    <w:rsid w:val="00A40FA1"/>
    <w:rsid w:val="00A41402"/>
    <w:rsid w:val="00A41FCC"/>
    <w:rsid w:val="00A41FF3"/>
    <w:rsid w:val="00A42CB5"/>
    <w:rsid w:val="00A42F69"/>
    <w:rsid w:val="00A434D4"/>
    <w:rsid w:val="00A4380B"/>
    <w:rsid w:val="00A43BFB"/>
    <w:rsid w:val="00A43F52"/>
    <w:rsid w:val="00A44017"/>
    <w:rsid w:val="00A449D1"/>
    <w:rsid w:val="00A44E74"/>
    <w:rsid w:val="00A45F3D"/>
    <w:rsid w:val="00A467C5"/>
    <w:rsid w:val="00A469AD"/>
    <w:rsid w:val="00A46EC4"/>
    <w:rsid w:val="00A476E1"/>
    <w:rsid w:val="00A477E2"/>
    <w:rsid w:val="00A47FCA"/>
    <w:rsid w:val="00A50D61"/>
    <w:rsid w:val="00A50E5C"/>
    <w:rsid w:val="00A515C2"/>
    <w:rsid w:val="00A51B16"/>
    <w:rsid w:val="00A522FE"/>
    <w:rsid w:val="00A52792"/>
    <w:rsid w:val="00A529FD"/>
    <w:rsid w:val="00A52E97"/>
    <w:rsid w:val="00A53067"/>
    <w:rsid w:val="00A535C9"/>
    <w:rsid w:val="00A535E0"/>
    <w:rsid w:val="00A54182"/>
    <w:rsid w:val="00A543DB"/>
    <w:rsid w:val="00A548B5"/>
    <w:rsid w:val="00A54A40"/>
    <w:rsid w:val="00A55506"/>
    <w:rsid w:val="00A55A18"/>
    <w:rsid w:val="00A55C08"/>
    <w:rsid w:val="00A55C7C"/>
    <w:rsid w:val="00A55D41"/>
    <w:rsid w:val="00A56411"/>
    <w:rsid w:val="00A56652"/>
    <w:rsid w:val="00A56985"/>
    <w:rsid w:val="00A56BDA"/>
    <w:rsid w:val="00A56C24"/>
    <w:rsid w:val="00A5724E"/>
    <w:rsid w:val="00A575F5"/>
    <w:rsid w:val="00A60163"/>
    <w:rsid w:val="00A6031E"/>
    <w:rsid w:val="00A60970"/>
    <w:rsid w:val="00A61498"/>
    <w:rsid w:val="00A615A5"/>
    <w:rsid w:val="00A618EA"/>
    <w:rsid w:val="00A6227A"/>
    <w:rsid w:val="00A6291C"/>
    <w:rsid w:val="00A62920"/>
    <w:rsid w:val="00A62EBD"/>
    <w:rsid w:val="00A62F97"/>
    <w:rsid w:val="00A6361E"/>
    <w:rsid w:val="00A642AD"/>
    <w:rsid w:val="00A64407"/>
    <w:rsid w:val="00A645B1"/>
    <w:rsid w:val="00A64A30"/>
    <w:rsid w:val="00A6545E"/>
    <w:rsid w:val="00A654F1"/>
    <w:rsid w:val="00A65DC4"/>
    <w:rsid w:val="00A66038"/>
    <w:rsid w:val="00A66285"/>
    <w:rsid w:val="00A6669C"/>
    <w:rsid w:val="00A6699A"/>
    <w:rsid w:val="00A6720D"/>
    <w:rsid w:val="00A70057"/>
    <w:rsid w:val="00A7033E"/>
    <w:rsid w:val="00A7088D"/>
    <w:rsid w:val="00A70945"/>
    <w:rsid w:val="00A70C54"/>
    <w:rsid w:val="00A70D0F"/>
    <w:rsid w:val="00A71037"/>
    <w:rsid w:val="00A71201"/>
    <w:rsid w:val="00A718CE"/>
    <w:rsid w:val="00A71A05"/>
    <w:rsid w:val="00A72537"/>
    <w:rsid w:val="00A73BFD"/>
    <w:rsid w:val="00A73E48"/>
    <w:rsid w:val="00A7459F"/>
    <w:rsid w:val="00A758A4"/>
    <w:rsid w:val="00A75E6F"/>
    <w:rsid w:val="00A760B0"/>
    <w:rsid w:val="00A76C40"/>
    <w:rsid w:val="00A778CA"/>
    <w:rsid w:val="00A778E4"/>
    <w:rsid w:val="00A808B1"/>
    <w:rsid w:val="00A80948"/>
    <w:rsid w:val="00A81188"/>
    <w:rsid w:val="00A81244"/>
    <w:rsid w:val="00A81524"/>
    <w:rsid w:val="00A81E56"/>
    <w:rsid w:val="00A82218"/>
    <w:rsid w:val="00A834DB"/>
    <w:rsid w:val="00A83BA9"/>
    <w:rsid w:val="00A83CE4"/>
    <w:rsid w:val="00A840D1"/>
    <w:rsid w:val="00A841D6"/>
    <w:rsid w:val="00A84328"/>
    <w:rsid w:val="00A85A28"/>
    <w:rsid w:val="00A86A9E"/>
    <w:rsid w:val="00A86B9F"/>
    <w:rsid w:val="00A86F0C"/>
    <w:rsid w:val="00A879F3"/>
    <w:rsid w:val="00A9009C"/>
    <w:rsid w:val="00A90238"/>
    <w:rsid w:val="00A908AA"/>
    <w:rsid w:val="00A9095B"/>
    <w:rsid w:val="00A90F30"/>
    <w:rsid w:val="00A911C5"/>
    <w:rsid w:val="00A9190B"/>
    <w:rsid w:val="00A91C24"/>
    <w:rsid w:val="00A91C32"/>
    <w:rsid w:val="00A91EF9"/>
    <w:rsid w:val="00A9205B"/>
    <w:rsid w:val="00A9223B"/>
    <w:rsid w:val="00A92FB5"/>
    <w:rsid w:val="00A9317D"/>
    <w:rsid w:val="00A93F76"/>
    <w:rsid w:val="00A94032"/>
    <w:rsid w:val="00A947A3"/>
    <w:rsid w:val="00A94B9A"/>
    <w:rsid w:val="00A94E72"/>
    <w:rsid w:val="00A94F59"/>
    <w:rsid w:val="00A95311"/>
    <w:rsid w:val="00A95F3B"/>
    <w:rsid w:val="00A964D0"/>
    <w:rsid w:val="00A9686D"/>
    <w:rsid w:val="00A96A2C"/>
    <w:rsid w:val="00A96FAE"/>
    <w:rsid w:val="00A971BB"/>
    <w:rsid w:val="00A9747C"/>
    <w:rsid w:val="00A9790B"/>
    <w:rsid w:val="00AA0BFE"/>
    <w:rsid w:val="00AA0C43"/>
    <w:rsid w:val="00AA18BD"/>
    <w:rsid w:val="00AA2F25"/>
    <w:rsid w:val="00AA3216"/>
    <w:rsid w:val="00AA3441"/>
    <w:rsid w:val="00AA3463"/>
    <w:rsid w:val="00AA3B11"/>
    <w:rsid w:val="00AA3BDB"/>
    <w:rsid w:val="00AA4034"/>
    <w:rsid w:val="00AA48C9"/>
    <w:rsid w:val="00AA504D"/>
    <w:rsid w:val="00AA5689"/>
    <w:rsid w:val="00AA5FC6"/>
    <w:rsid w:val="00AA6D58"/>
    <w:rsid w:val="00AA6F6D"/>
    <w:rsid w:val="00AA7386"/>
    <w:rsid w:val="00AA7B47"/>
    <w:rsid w:val="00AB155F"/>
    <w:rsid w:val="00AB1C86"/>
    <w:rsid w:val="00AB2155"/>
    <w:rsid w:val="00AB21F4"/>
    <w:rsid w:val="00AB2264"/>
    <w:rsid w:val="00AB24E6"/>
    <w:rsid w:val="00AB26E6"/>
    <w:rsid w:val="00AB2C6D"/>
    <w:rsid w:val="00AB376F"/>
    <w:rsid w:val="00AB397E"/>
    <w:rsid w:val="00AB4376"/>
    <w:rsid w:val="00AB4C66"/>
    <w:rsid w:val="00AB5315"/>
    <w:rsid w:val="00AB567E"/>
    <w:rsid w:val="00AB5DE9"/>
    <w:rsid w:val="00AB69EB"/>
    <w:rsid w:val="00AB6A83"/>
    <w:rsid w:val="00AB7153"/>
    <w:rsid w:val="00AC0F1B"/>
    <w:rsid w:val="00AC108F"/>
    <w:rsid w:val="00AC1390"/>
    <w:rsid w:val="00AC13F2"/>
    <w:rsid w:val="00AC1873"/>
    <w:rsid w:val="00AC1897"/>
    <w:rsid w:val="00AC21BA"/>
    <w:rsid w:val="00AC2713"/>
    <w:rsid w:val="00AC2E40"/>
    <w:rsid w:val="00AC2F1C"/>
    <w:rsid w:val="00AC30E6"/>
    <w:rsid w:val="00AC35F8"/>
    <w:rsid w:val="00AC36C0"/>
    <w:rsid w:val="00AC36EA"/>
    <w:rsid w:val="00AC370B"/>
    <w:rsid w:val="00AC3987"/>
    <w:rsid w:val="00AC4496"/>
    <w:rsid w:val="00AC52AF"/>
    <w:rsid w:val="00AC565A"/>
    <w:rsid w:val="00AC5963"/>
    <w:rsid w:val="00AC6156"/>
    <w:rsid w:val="00AC62F5"/>
    <w:rsid w:val="00AC6427"/>
    <w:rsid w:val="00AC6F13"/>
    <w:rsid w:val="00AC7B7A"/>
    <w:rsid w:val="00AD0125"/>
    <w:rsid w:val="00AD068D"/>
    <w:rsid w:val="00AD08CC"/>
    <w:rsid w:val="00AD149B"/>
    <w:rsid w:val="00AD18F6"/>
    <w:rsid w:val="00AD1976"/>
    <w:rsid w:val="00AD1A27"/>
    <w:rsid w:val="00AD1DD7"/>
    <w:rsid w:val="00AD1E1F"/>
    <w:rsid w:val="00AD2F60"/>
    <w:rsid w:val="00AD3581"/>
    <w:rsid w:val="00AD36D2"/>
    <w:rsid w:val="00AD3D7B"/>
    <w:rsid w:val="00AD418A"/>
    <w:rsid w:val="00AD4435"/>
    <w:rsid w:val="00AD443D"/>
    <w:rsid w:val="00AD445E"/>
    <w:rsid w:val="00AD4483"/>
    <w:rsid w:val="00AD505B"/>
    <w:rsid w:val="00AD56A8"/>
    <w:rsid w:val="00AD5A35"/>
    <w:rsid w:val="00AD5EF7"/>
    <w:rsid w:val="00AD65A2"/>
    <w:rsid w:val="00AD661F"/>
    <w:rsid w:val="00AD66F5"/>
    <w:rsid w:val="00AD7039"/>
    <w:rsid w:val="00AD7C62"/>
    <w:rsid w:val="00AD7D47"/>
    <w:rsid w:val="00AE059A"/>
    <w:rsid w:val="00AE0B5C"/>
    <w:rsid w:val="00AE1B72"/>
    <w:rsid w:val="00AE22F3"/>
    <w:rsid w:val="00AE2B60"/>
    <w:rsid w:val="00AE3219"/>
    <w:rsid w:val="00AE35F7"/>
    <w:rsid w:val="00AE3FDF"/>
    <w:rsid w:val="00AE4460"/>
    <w:rsid w:val="00AE44C3"/>
    <w:rsid w:val="00AE49F7"/>
    <w:rsid w:val="00AE4B5B"/>
    <w:rsid w:val="00AE4F43"/>
    <w:rsid w:val="00AE5526"/>
    <w:rsid w:val="00AE560D"/>
    <w:rsid w:val="00AE604C"/>
    <w:rsid w:val="00AE6206"/>
    <w:rsid w:val="00AE68D2"/>
    <w:rsid w:val="00AE7036"/>
    <w:rsid w:val="00AE760C"/>
    <w:rsid w:val="00AF075B"/>
    <w:rsid w:val="00AF0D94"/>
    <w:rsid w:val="00AF156E"/>
    <w:rsid w:val="00AF16EF"/>
    <w:rsid w:val="00AF1704"/>
    <w:rsid w:val="00AF197C"/>
    <w:rsid w:val="00AF1B2E"/>
    <w:rsid w:val="00AF216D"/>
    <w:rsid w:val="00AF222B"/>
    <w:rsid w:val="00AF2364"/>
    <w:rsid w:val="00AF396D"/>
    <w:rsid w:val="00AF4786"/>
    <w:rsid w:val="00AF4CE4"/>
    <w:rsid w:val="00AF4F35"/>
    <w:rsid w:val="00AF4F9A"/>
    <w:rsid w:val="00AF53DE"/>
    <w:rsid w:val="00AF5841"/>
    <w:rsid w:val="00AF5D06"/>
    <w:rsid w:val="00AF5FBA"/>
    <w:rsid w:val="00AF6C5C"/>
    <w:rsid w:val="00AF7601"/>
    <w:rsid w:val="00AF7628"/>
    <w:rsid w:val="00AF76D9"/>
    <w:rsid w:val="00AF7AB4"/>
    <w:rsid w:val="00AF7DE1"/>
    <w:rsid w:val="00AF7E70"/>
    <w:rsid w:val="00B00582"/>
    <w:rsid w:val="00B0114D"/>
    <w:rsid w:val="00B01163"/>
    <w:rsid w:val="00B01788"/>
    <w:rsid w:val="00B01D42"/>
    <w:rsid w:val="00B027D3"/>
    <w:rsid w:val="00B02D9E"/>
    <w:rsid w:val="00B03103"/>
    <w:rsid w:val="00B03420"/>
    <w:rsid w:val="00B03CCB"/>
    <w:rsid w:val="00B0431B"/>
    <w:rsid w:val="00B050B6"/>
    <w:rsid w:val="00B05249"/>
    <w:rsid w:val="00B059F3"/>
    <w:rsid w:val="00B05E99"/>
    <w:rsid w:val="00B0695A"/>
    <w:rsid w:val="00B06B71"/>
    <w:rsid w:val="00B06D07"/>
    <w:rsid w:val="00B07120"/>
    <w:rsid w:val="00B071E7"/>
    <w:rsid w:val="00B07373"/>
    <w:rsid w:val="00B07946"/>
    <w:rsid w:val="00B07BF1"/>
    <w:rsid w:val="00B10C09"/>
    <w:rsid w:val="00B1198D"/>
    <w:rsid w:val="00B11B2B"/>
    <w:rsid w:val="00B125FD"/>
    <w:rsid w:val="00B12CF2"/>
    <w:rsid w:val="00B12F4A"/>
    <w:rsid w:val="00B133C8"/>
    <w:rsid w:val="00B135CC"/>
    <w:rsid w:val="00B13A9E"/>
    <w:rsid w:val="00B13BFB"/>
    <w:rsid w:val="00B14073"/>
    <w:rsid w:val="00B14507"/>
    <w:rsid w:val="00B15583"/>
    <w:rsid w:val="00B155CB"/>
    <w:rsid w:val="00B1599C"/>
    <w:rsid w:val="00B15D7E"/>
    <w:rsid w:val="00B15EDF"/>
    <w:rsid w:val="00B16B40"/>
    <w:rsid w:val="00B20064"/>
    <w:rsid w:val="00B20090"/>
    <w:rsid w:val="00B204E4"/>
    <w:rsid w:val="00B20737"/>
    <w:rsid w:val="00B20B55"/>
    <w:rsid w:val="00B20C77"/>
    <w:rsid w:val="00B20D38"/>
    <w:rsid w:val="00B20E1F"/>
    <w:rsid w:val="00B20F4C"/>
    <w:rsid w:val="00B21F50"/>
    <w:rsid w:val="00B220E9"/>
    <w:rsid w:val="00B22455"/>
    <w:rsid w:val="00B237AA"/>
    <w:rsid w:val="00B246DC"/>
    <w:rsid w:val="00B2494E"/>
    <w:rsid w:val="00B24B02"/>
    <w:rsid w:val="00B25034"/>
    <w:rsid w:val="00B253B5"/>
    <w:rsid w:val="00B25489"/>
    <w:rsid w:val="00B259D8"/>
    <w:rsid w:val="00B25A18"/>
    <w:rsid w:val="00B25DD3"/>
    <w:rsid w:val="00B25F9A"/>
    <w:rsid w:val="00B26529"/>
    <w:rsid w:val="00B27F9D"/>
    <w:rsid w:val="00B306CD"/>
    <w:rsid w:val="00B30AB2"/>
    <w:rsid w:val="00B313D0"/>
    <w:rsid w:val="00B31836"/>
    <w:rsid w:val="00B31F74"/>
    <w:rsid w:val="00B32DCB"/>
    <w:rsid w:val="00B32E74"/>
    <w:rsid w:val="00B33590"/>
    <w:rsid w:val="00B33915"/>
    <w:rsid w:val="00B3395D"/>
    <w:rsid w:val="00B33AD5"/>
    <w:rsid w:val="00B343EA"/>
    <w:rsid w:val="00B34D56"/>
    <w:rsid w:val="00B34DF8"/>
    <w:rsid w:val="00B34E2F"/>
    <w:rsid w:val="00B34F5E"/>
    <w:rsid w:val="00B3544F"/>
    <w:rsid w:val="00B35C4C"/>
    <w:rsid w:val="00B361DE"/>
    <w:rsid w:val="00B36BC1"/>
    <w:rsid w:val="00B36D15"/>
    <w:rsid w:val="00B372C5"/>
    <w:rsid w:val="00B372E7"/>
    <w:rsid w:val="00B376C0"/>
    <w:rsid w:val="00B37C29"/>
    <w:rsid w:val="00B407CA"/>
    <w:rsid w:val="00B40DD3"/>
    <w:rsid w:val="00B415C8"/>
    <w:rsid w:val="00B41F24"/>
    <w:rsid w:val="00B42711"/>
    <w:rsid w:val="00B42DD4"/>
    <w:rsid w:val="00B430E7"/>
    <w:rsid w:val="00B43157"/>
    <w:rsid w:val="00B43364"/>
    <w:rsid w:val="00B43A17"/>
    <w:rsid w:val="00B4429C"/>
    <w:rsid w:val="00B4504F"/>
    <w:rsid w:val="00B450E0"/>
    <w:rsid w:val="00B46302"/>
    <w:rsid w:val="00B468AD"/>
    <w:rsid w:val="00B46E3E"/>
    <w:rsid w:val="00B4741B"/>
    <w:rsid w:val="00B47A50"/>
    <w:rsid w:val="00B47DD0"/>
    <w:rsid w:val="00B50376"/>
    <w:rsid w:val="00B51694"/>
    <w:rsid w:val="00B518E9"/>
    <w:rsid w:val="00B51A79"/>
    <w:rsid w:val="00B51B9C"/>
    <w:rsid w:val="00B5228D"/>
    <w:rsid w:val="00B529A7"/>
    <w:rsid w:val="00B52D6B"/>
    <w:rsid w:val="00B52EB4"/>
    <w:rsid w:val="00B535F5"/>
    <w:rsid w:val="00B53D54"/>
    <w:rsid w:val="00B54845"/>
    <w:rsid w:val="00B55278"/>
    <w:rsid w:val="00B55448"/>
    <w:rsid w:val="00B567E4"/>
    <w:rsid w:val="00B56FD1"/>
    <w:rsid w:val="00B5703A"/>
    <w:rsid w:val="00B572D8"/>
    <w:rsid w:val="00B5737B"/>
    <w:rsid w:val="00B5772C"/>
    <w:rsid w:val="00B57F7A"/>
    <w:rsid w:val="00B602D1"/>
    <w:rsid w:val="00B60B1B"/>
    <w:rsid w:val="00B6123C"/>
    <w:rsid w:val="00B615FA"/>
    <w:rsid w:val="00B6172E"/>
    <w:rsid w:val="00B6187B"/>
    <w:rsid w:val="00B61935"/>
    <w:rsid w:val="00B61AA8"/>
    <w:rsid w:val="00B61AE4"/>
    <w:rsid w:val="00B61B6E"/>
    <w:rsid w:val="00B61D6E"/>
    <w:rsid w:val="00B61DDE"/>
    <w:rsid w:val="00B6304C"/>
    <w:rsid w:val="00B6323C"/>
    <w:rsid w:val="00B63506"/>
    <w:rsid w:val="00B63D16"/>
    <w:rsid w:val="00B64351"/>
    <w:rsid w:val="00B64D3E"/>
    <w:rsid w:val="00B65050"/>
    <w:rsid w:val="00B653A0"/>
    <w:rsid w:val="00B657BE"/>
    <w:rsid w:val="00B65D5C"/>
    <w:rsid w:val="00B65D7B"/>
    <w:rsid w:val="00B6618C"/>
    <w:rsid w:val="00B666AE"/>
    <w:rsid w:val="00B66CE5"/>
    <w:rsid w:val="00B66DC3"/>
    <w:rsid w:val="00B66ED2"/>
    <w:rsid w:val="00B671A7"/>
    <w:rsid w:val="00B672F0"/>
    <w:rsid w:val="00B6775D"/>
    <w:rsid w:val="00B67B44"/>
    <w:rsid w:val="00B701C2"/>
    <w:rsid w:val="00B70210"/>
    <w:rsid w:val="00B7163D"/>
    <w:rsid w:val="00B716A5"/>
    <w:rsid w:val="00B72016"/>
    <w:rsid w:val="00B721BB"/>
    <w:rsid w:val="00B7223E"/>
    <w:rsid w:val="00B72526"/>
    <w:rsid w:val="00B72870"/>
    <w:rsid w:val="00B73367"/>
    <w:rsid w:val="00B734A9"/>
    <w:rsid w:val="00B7368E"/>
    <w:rsid w:val="00B73A03"/>
    <w:rsid w:val="00B73C38"/>
    <w:rsid w:val="00B742A8"/>
    <w:rsid w:val="00B743BD"/>
    <w:rsid w:val="00B74449"/>
    <w:rsid w:val="00B746EC"/>
    <w:rsid w:val="00B74CF4"/>
    <w:rsid w:val="00B74E0C"/>
    <w:rsid w:val="00B74E5A"/>
    <w:rsid w:val="00B74E75"/>
    <w:rsid w:val="00B754CA"/>
    <w:rsid w:val="00B756B4"/>
    <w:rsid w:val="00B75F20"/>
    <w:rsid w:val="00B768D8"/>
    <w:rsid w:val="00B76F65"/>
    <w:rsid w:val="00B77521"/>
    <w:rsid w:val="00B776A4"/>
    <w:rsid w:val="00B805FA"/>
    <w:rsid w:val="00B80B37"/>
    <w:rsid w:val="00B80D9C"/>
    <w:rsid w:val="00B811CB"/>
    <w:rsid w:val="00B81744"/>
    <w:rsid w:val="00B819D2"/>
    <w:rsid w:val="00B81CFE"/>
    <w:rsid w:val="00B82502"/>
    <w:rsid w:val="00B827AE"/>
    <w:rsid w:val="00B82A41"/>
    <w:rsid w:val="00B82E7D"/>
    <w:rsid w:val="00B82ED2"/>
    <w:rsid w:val="00B833D9"/>
    <w:rsid w:val="00B836A9"/>
    <w:rsid w:val="00B8388C"/>
    <w:rsid w:val="00B83CCF"/>
    <w:rsid w:val="00B841E4"/>
    <w:rsid w:val="00B844EE"/>
    <w:rsid w:val="00B848FE"/>
    <w:rsid w:val="00B84D46"/>
    <w:rsid w:val="00B84FA6"/>
    <w:rsid w:val="00B84FC2"/>
    <w:rsid w:val="00B85222"/>
    <w:rsid w:val="00B855F9"/>
    <w:rsid w:val="00B857E5"/>
    <w:rsid w:val="00B86931"/>
    <w:rsid w:val="00B869E8"/>
    <w:rsid w:val="00B875BC"/>
    <w:rsid w:val="00B87609"/>
    <w:rsid w:val="00B87622"/>
    <w:rsid w:val="00B87A8D"/>
    <w:rsid w:val="00B87D1D"/>
    <w:rsid w:val="00B900D6"/>
    <w:rsid w:val="00B901BC"/>
    <w:rsid w:val="00B9226C"/>
    <w:rsid w:val="00B9237B"/>
    <w:rsid w:val="00B9273C"/>
    <w:rsid w:val="00B92945"/>
    <w:rsid w:val="00B93006"/>
    <w:rsid w:val="00B931DA"/>
    <w:rsid w:val="00B938DB"/>
    <w:rsid w:val="00B939CD"/>
    <w:rsid w:val="00B939CE"/>
    <w:rsid w:val="00B93D7B"/>
    <w:rsid w:val="00B9409A"/>
    <w:rsid w:val="00B94670"/>
    <w:rsid w:val="00B94E4B"/>
    <w:rsid w:val="00B9563C"/>
    <w:rsid w:val="00B9600F"/>
    <w:rsid w:val="00B9644B"/>
    <w:rsid w:val="00B96AC1"/>
    <w:rsid w:val="00B96DD1"/>
    <w:rsid w:val="00B96F4D"/>
    <w:rsid w:val="00B97A35"/>
    <w:rsid w:val="00B97B81"/>
    <w:rsid w:val="00BA02A2"/>
    <w:rsid w:val="00BA061D"/>
    <w:rsid w:val="00BA078F"/>
    <w:rsid w:val="00BA0E6C"/>
    <w:rsid w:val="00BA121B"/>
    <w:rsid w:val="00BA28B3"/>
    <w:rsid w:val="00BA29F2"/>
    <w:rsid w:val="00BA2BB3"/>
    <w:rsid w:val="00BA3D6E"/>
    <w:rsid w:val="00BA4211"/>
    <w:rsid w:val="00BA4642"/>
    <w:rsid w:val="00BA4BBA"/>
    <w:rsid w:val="00BA4EA8"/>
    <w:rsid w:val="00BA4F74"/>
    <w:rsid w:val="00BA5853"/>
    <w:rsid w:val="00BA5CFE"/>
    <w:rsid w:val="00BA5DFC"/>
    <w:rsid w:val="00BA5F60"/>
    <w:rsid w:val="00BA62C2"/>
    <w:rsid w:val="00BA69D4"/>
    <w:rsid w:val="00BA6D20"/>
    <w:rsid w:val="00BA6E97"/>
    <w:rsid w:val="00BA6F5F"/>
    <w:rsid w:val="00BA7DCF"/>
    <w:rsid w:val="00BB01F2"/>
    <w:rsid w:val="00BB04D1"/>
    <w:rsid w:val="00BB11A6"/>
    <w:rsid w:val="00BB26E0"/>
    <w:rsid w:val="00BB287F"/>
    <w:rsid w:val="00BB311E"/>
    <w:rsid w:val="00BB31EF"/>
    <w:rsid w:val="00BB3C1B"/>
    <w:rsid w:val="00BB409A"/>
    <w:rsid w:val="00BB42A3"/>
    <w:rsid w:val="00BB4363"/>
    <w:rsid w:val="00BB45CE"/>
    <w:rsid w:val="00BB4EEB"/>
    <w:rsid w:val="00BB507F"/>
    <w:rsid w:val="00BB5463"/>
    <w:rsid w:val="00BB5894"/>
    <w:rsid w:val="00BB58E0"/>
    <w:rsid w:val="00BB59C5"/>
    <w:rsid w:val="00BB62E5"/>
    <w:rsid w:val="00BB66B1"/>
    <w:rsid w:val="00BB71F6"/>
    <w:rsid w:val="00BB7527"/>
    <w:rsid w:val="00BB753E"/>
    <w:rsid w:val="00BB7977"/>
    <w:rsid w:val="00BB7C19"/>
    <w:rsid w:val="00BB7F65"/>
    <w:rsid w:val="00BC0C91"/>
    <w:rsid w:val="00BC175B"/>
    <w:rsid w:val="00BC1F2F"/>
    <w:rsid w:val="00BC2A11"/>
    <w:rsid w:val="00BC3177"/>
    <w:rsid w:val="00BC3235"/>
    <w:rsid w:val="00BC352D"/>
    <w:rsid w:val="00BC3A8A"/>
    <w:rsid w:val="00BC3C62"/>
    <w:rsid w:val="00BC3F19"/>
    <w:rsid w:val="00BC437D"/>
    <w:rsid w:val="00BC4F4D"/>
    <w:rsid w:val="00BC54DE"/>
    <w:rsid w:val="00BC55EE"/>
    <w:rsid w:val="00BC5BAF"/>
    <w:rsid w:val="00BC5D30"/>
    <w:rsid w:val="00BC5D7E"/>
    <w:rsid w:val="00BC61C4"/>
    <w:rsid w:val="00BC6601"/>
    <w:rsid w:val="00BC78F0"/>
    <w:rsid w:val="00BC7FC1"/>
    <w:rsid w:val="00BD0408"/>
    <w:rsid w:val="00BD10C1"/>
    <w:rsid w:val="00BD18D2"/>
    <w:rsid w:val="00BD2246"/>
    <w:rsid w:val="00BD2622"/>
    <w:rsid w:val="00BD2731"/>
    <w:rsid w:val="00BD279C"/>
    <w:rsid w:val="00BD2D11"/>
    <w:rsid w:val="00BD2E04"/>
    <w:rsid w:val="00BD3047"/>
    <w:rsid w:val="00BD323A"/>
    <w:rsid w:val="00BD3729"/>
    <w:rsid w:val="00BD398B"/>
    <w:rsid w:val="00BD3ABE"/>
    <w:rsid w:val="00BD3F1B"/>
    <w:rsid w:val="00BD3FAC"/>
    <w:rsid w:val="00BD457C"/>
    <w:rsid w:val="00BD507B"/>
    <w:rsid w:val="00BD5147"/>
    <w:rsid w:val="00BD51ED"/>
    <w:rsid w:val="00BD5AC0"/>
    <w:rsid w:val="00BD646B"/>
    <w:rsid w:val="00BD667C"/>
    <w:rsid w:val="00BD68B9"/>
    <w:rsid w:val="00BD69E5"/>
    <w:rsid w:val="00BD7581"/>
    <w:rsid w:val="00BD7759"/>
    <w:rsid w:val="00BD7D7F"/>
    <w:rsid w:val="00BD7D92"/>
    <w:rsid w:val="00BD7F1E"/>
    <w:rsid w:val="00BD7F84"/>
    <w:rsid w:val="00BE0185"/>
    <w:rsid w:val="00BE04E8"/>
    <w:rsid w:val="00BE14BE"/>
    <w:rsid w:val="00BE1A4B"/>
    <w:rsid w:val="00BE1CBF"/>
    <w:rsid w:val="00BE1EB4"/>
    <w:rsid w:val="00BE2A58"/>
    <w:rsid w:val="00BE2F8B"/>
    <w:rsid w:val="00BE30DF"/>
    <w:rsid w:val="00BE3327"/>
    <w:rsid w:val="00BE3482"/>
    <w:rsid w:val="00BE3816"/>
    <w:rsid w:val="00BE3F5F"/>
    <w:rsid w:val="00BE4A65"/>
    <w:rsid w:val="00BE560B"/>
    <w:rsid w:val="00BE586A"/>
    <w:rsid w:val="00BE65A1"/>
    <w:rsid w:val="00BE6CEF"/>
    <w:rsid w:val="00BE7407"/>
    <w:rsid w:val="00BE785D"/>
    <w:rsid w:val="00BE7C72"/>
    <w:rsid w:val="00BF0241"/>
    <w:rsid w:val="00BF02D6"/>
    <w:rsid w:val="00BF068C"/>
    <w:rsid w:val="00BF1195"/>
    <w:rsid w:val="00BF1C4E"/>
    <w:rsid w:val="00BF2706"/>
    <w:rsid w:val="00BF2797"/>
    <w:rsid w:val="00BF2ABB"/>
    <w:rsid w:val="00BF3231"/>
    <w:rsid w:val="00BF3240"/>
    <w:rsid w:val="00BF34AC"/>
    <w:rsid w:val="00BF38AA"/>
    <w:rsid w:val="00BF3F71"/>
    <w:rsid w:val="00BF4287"/>
    <w:rsid w:val="00BF474F"/>
    <w:rsid w:val="00BF48CB"/>
    <w:rsid w:val="00BF4B7B"/>
    <w:rsid w:val="00BF4D0E"/>
    <w:rsid w:val="00BF4D58"/>
    <w:rsid w:val="00BF5947"/>
    <w:rsid w:val="00BF59BA"/>
    <w:rsid w:val="00BF5CA4"/>
    <w:rsid w:val="00BF6213"/>
    <w:rsid w:val="00BF65CE"/>
    <w:rsid w:val="00BF6EE1"/>
    <w:rsid w:val="00BF766A"/>
    <w:rsid w:val="00BF7E1A"/>
    <w:rsid w:val="00BF7FD3"/>
    <w:rsid w:val="00C01827"/>
    <w:rsid w:val="00C02468"/>
    <w:rsid w:val="00C024D0"/>
    <w:rsid w:val="00C0274F"/>
    <w:rsid w:val="00C033A4"/>
    <w:rsid w:val="00C03501"/>
    <w:rsid w:val="00C035F9"/>
    <w:rsid w:val="00C0385F"/>
    <w:rsid w:val="00C03FC9"/>
    <w:rsid w:val="00C044A5"/>
    <w:rsid w:val="00C04506"/>
    <w:rsid w:val="00C05B35"/>
    <w:rsid w:val="00C06566"/>
    <w:rsid w:val="00C0718B"/>
    <w:rsid w:val="00C07567"/>
    <w:rsid w:val="00C0763B"/>
    <w:rsid w:val="00C07C69"/>
    <w:rsid w:val="00C10ABC"/>
    <w:rsid w:val="00C10B55"/>
    <w:rsid w:val="00C10DB6"/>
    <w:rsid w:val="00C11072"/>
    <w:rsid w:val="00C1121B"/>
    <w:rsid w:val="00C11459"/>
    <w:rsid w:val="00C114C7"/>
    <w:rsid w:val="00C11795"/>
    <w:rsid w:val="00C11C1D"/>
    <w:rsid w:val="00C11FA5"/>
    <w:rsid w:val="00C12110"/>
    <w:rsid w:val="00C1240F"/>
    <w:rsid w:val="00C12DDC"/>
    <w:rsid w:val="00C13556"/>
    <w:rsid w:val="00C13708"/>
    <w:rsid w:val="00C13F16"/>
    <w:rsid w:val="00C13F53"/>
    <w:rsid w:val="00C15458"/>
    <w:rsid w:val="00C15529"/>
    <w:rsid w:val="00C15E3F"/>
    <w:rsid w:val="00C16325"/>
    <w:rsid w:val="00C1653E"/>
    <w:rsid w:val="00C16E03"/>
    <w:rsid w:val="00C16F7B"/>
    <w:rsid w:val="00C20469"/>
    <w:rsid w:val="00C20B4D"/>
    <w:rsid w:val="00C20B7A"/>
    <w:rsid w:val="00C20D91"/>
    <w:rsid w:val="00C211EA"/>
    <w:rsid w:val="00C2134E"/>
    <w:rsid w:val="00C21686"/>
    <w:rsid w:val="00C21776"/>
    <w:rsid w:val="00C21932"/>
    <w:rsid w:val="00C21A1F"/>
    <w:rsid w:val="00C21D7B"/>
    <w:rsid w:val="00C2238D"/>
    <w:rsid w:val="00C226DE"/>
    <w:rsid w:val="00C2270F"/>
    <w:rsid w:val="00C22D95"/>
    <w:rsid w:val="00C2303F"/>
    <w:rsid w:val="00C24081"/>
    <w:rsid w:val="00C24221"/>
    <w:rsid w:val="00C2460B"/>
    <w:rsid w:val="00C24894"/>
    <w:rsid w:val="00C24FF9"/>
    <w:rsid w:val="00C25710"/>
    <w:rsid w:val="00C2627B"/>
    <w:rsid w:val="00C26A76"/>
    <w:rsid w:val="00C26B2C"/>
    <w:rsid w:val="00C26E15"/>
    <w:rsid w:val="00C27280"/>
    <w:rsid w:val="00C275FC"/>
    <w:rsid w:val="00C27F08"/>
    <w:rsid w:val="00C30675"/>
    <w:rsid w:val="00C30A3C"/>
    <w:rsid w:val="00C31A76"/>
    <w:rsid w:val="00C31DAE"/>
    <w:rsid w:val="00C321A7"/>
    <w:rsid w:val="00C3308D"/>
    <w:rsid w:val="00C330E7"/>
    <w:rsid w:val="00C336C7"/>
    <w:rsid w:val="00C3440F"/>
    <w:rsid w:val="00C3477D"/>
    <w:rsid w:val="00C34D66"/>
    <w:rsid w:val="00C35731"/>
    <w:rsid w:val="00C35E5D"/>
    <w:rsid w:val="00C36FE9"/>
    <w:rsid w:val="00C40742"/>
    <w:rsid w:val="00C40A07"/>
    <w:rsid w:val="00C416F5"/>
    <w:rsid w:val="00C4186C"/>
    <w:rsid w:val="00C41D5F"/>
    <w:rsid w:val="00C41FDD"/>
    <w:rsid w:val="00C42596"/>
    <w:rsid w:val="00C42913"/>
    <w:rsid w:val="00C43CCD"/>
    <w:rsid w:val="00C43D37"/>
    <w:rsid w:val="00C440E4"/>
    <w:rsid w:val="00C4461F"/>
    <w:rsid w:val="00C44909"/>
    <w:rsid w:val="00C4491B"/>
    <w:rsid w:val="00C44966"/>
    <w:rsid w:val="00C45588"/>
    <w:rsid w:val="00C45687"/>
    <w:rsid w:val="00C4569B"/>
    <w:rsid w:val="00C46740"/>
    <w:rsid w:val="00C46879"/>
    <w:rsid w:val="00C474B0"/>
    <w:rsid w:val="00C5023C"/>
    <w:rsid w:val="00C50413"/>
    <w:rsid w:val="00C50739"/>
    <w:rsid w:val="00C5093B"/>
    <w:rsid w:val="00C50C15"/>
    <w:rsid w:val="00C50DFF"/>
    <w:rsid w:val="00C51289"/>
    <w:rsid w:val="00C51329"/>
    <w:rsid w:val="00C51531"/>
    <w:rsid w:val="00C51CD7"/>
    <w:rsid w:val="00C51ECF"/>
    <w:rsid w:val="00C51F71"/>
    <w:rsid w:val="00C525F0"/>
    <w:rsid w:val="00C52678"/>
    <w:rsid w:val="00C526B8"/>
    <w:rsid w:val="00C5276F"/>
    <w:rsid w:val="00C5294C"/>
    <w:rsid w:val="00C52B9E"/>
    <w:rsid w:val="00C52CB3"/>
    <w:rsid w:val="00C52D25"/>
    <w:rsid w:val="00C52E5F"/>
    <w:rsid w:val="00C52E6F"/>
    <w:rsid w:val="00C52F97"/>
    <w:rsid w:val="00C53607"/>
    <w:rsid w:val="00C54AE8"/>
    <w:rsid w:val="00C555B9"/>
    <w:rsid w:val="00C569CD"/>
    <w:rsid w:val="00C56D4D"/>
    <w:rsid w:val="00C57129"/>
    <w:rsid w:val="00C57159"/>
    <w:rsid w:val="00C571E8"/>
    <w:rsid w:val="00C5727C"/>
    <w:rsid w:val="00C5792C"/>
    <w:rsid w:val="00C57AA0"/>
    <w:rsid w:val="00C60B1B"/>
    <w:rsid w:val="00C61166"/>
    <w:rsid w:val="00C6120D"/>
    <w:rsid w:val="00C6176C"/>
    <w:rsid w:val="00C61CE0"/>
    <w:rsid w:val="00C62472"/>
    <w:rsid w:val="00C631FE"/>
    <w:rsid w:val="00C63F87"/>
    <w:rsid w:val="00C63FE6"/>
    <w:rsid w:val="00C648D6"/>
    <w:rsid w:val="00C653EC"/>
    <w:rsid w:val="00C6559D"/>
    <w:rsid w:val="00C65A6C"/>
    <w:rsid w:val="00C66176"/>
    <w:rsid w:val="00C66696"/>
    <w:rsid w:val="00C668F0"/>
    <w:rsid w:val="00C66A35"/>
    <w:rsid w:val="00C66CBF"/>
    <w:rsid w:val="00C66EEA"/>
    <w:rsid w:val="00C67784"/>
    <w:rsid w:val="00C701D7"/>
    <w:rsid w:val="00C701D9"/>
    <w:rsid w:val="00C701F5"/>
    <w:rsid w:val="00C70348"/>
    <w:rsid w:val="00C71529"/>
    <w:rsid w:val="00C7198C"/>
    <w:rsid w:val="00C7220E"/>
    <w:rsid w:val="00C724EB"/>
    <w:rsid w:val="00C7265D"/>
    <w:rsid w:val="00C72F84"/>
    <w:rsid w:val="00C7441F"/>
    <w:rsid w:val="00C749E1"/>
    <w:rsid w:val="00C75065"/>
    <w:rsid w:val="00C75256"/>
    <w:rsid w:val="00C7598B"/>
    <w:rsid w:val="00C75B4B"/>
    <w:rsid w:val="00C75B73"/>
    <w:rsid w:val="00C75F2A"/>
    <w:rsid w:val="00C761EF"/>
    <w:rsid w:val="00C7663E"/>
    <w:rsid w:val="00C768C5"/>
    <w:rsid w:val="00C77443"/>
    <w:rsid w:val="00C77F21"/>
    <w:rsid w:val="00C806D3"/>
    <w:rsid w:val="00C80787"/>
    <w:rsid w:val="00C80A17"/>
    <w:rsid w:val="00C80CF2"/>
    <w:rsid w:val="00C80E12"/>
    <w:rsid w:val="00C8103F"/>
    <w:rsid w:val="00C8209E"/>
    <w:rsid w:val="00C82447"/>
    <w:rsid w:val="00C82856"/>
    <w:rsid w:val="00C833C7"/>
    <w:rsid w:val="00C837E1"/>
    <w:rsid w:val="00C8381F"/>
    <w:rsid w:val="00C83BC4"/>
    <w:rsid w:val="00C84205"/>
    <w:rsid w:val="00C84352"/>
    <w:rsid w:val="00C843DA"/>
    <w:rsid w:val="00C84B03"/>
    <w:rsid w:val="00C84D61"/>
    <w:rsid w:val="00C85D90"/>
    <w:rsid w:val="00C86109"/>
    <w:rsid w:val="00C8655B"/>
    <w:rsid w:val="00C868B2"/>
    <w:rsid w:val="00C868D7"/>
    <w:rsid w:val="00C86A76"/>
    <w:rsid w:val="00C86E54"/>
    <w:rsid w:val="00C87183"/>
    <w:rsid w:val="00C87285"/>
    <w:rsid w:val="00C87A86"/>
    <w:rsid w:val="00C9009E"/>
    <w:rsid w:val="00C90BF6"/>
    <w:rsid w:val="00C90D95"/>
    <w:rsid w:val="00C91072"/>
    <w:rsid w:val="00C9160E"/>
    <w:rsid w:val="00C91BBF"/>
    <w:rsid w:val="00C921D5"/>
    <w:rsid w:val="00C92295"/>
    <w:rsid w:val="00C932A6"/>
    <w:rsid w:val="00C93DE8"/>
    <w:rsid w:val="00C94052"/>
    <w:rsid w:val="00C941A6"/>
    <w:rsid w:val="00C941CB"/>
    <w:rsid w:val="00C94548"/>
    <w:rsid w:val="00C94562"/>
    <w:rsid w:val="00C94A6C"/>
    <w:rsid w:val="00C94E9C"/>
    <w:rsid w:val="00C94FCB"/>
    <w:rsid w:val="00C9505C"/>
    <w:rsid w:val="00C95075"/>
    <w:rsid w:val="00C95184"/>
    <w:rsid w:val="00C95204"/>
    <w:rsid w:val="00C95AD8"/>
    <w:rsid w:val="00C95C9F"/>
    <w:rsid w:val="00C95CF2"/>
    <w:rsid w:val="00C96670"/>
    <w:rsid w:val="00C9685A"/>
    <w:rsid w:val="00C96A3A"/>
    <w:rsid w:val="00C9700D"/>
    <w:rsid w:val="00CA0DEF"/>
    <w:rsid w:val="00CA15D5"/>
    <w:rsid w:val="00CA170D"/>
    <w:rsid w:val="00CA18E4"/>
    <w:rsid w:val="00CA1FE7"/>
    <w:rsid w:val="00CA297B"/>
    <w:rsid w:val="00CA36FD"/>
    <w:rsid w:val="00CA3B40"/>
    <w:rsid w:val="00CA3D2F"/>
    <w:rsid w:val="00CA41B6"/>
    <w:rsid w:val="00CA4340"/>
    <w:rsid w:val="00CA480B"/>
    <w:rsid w:val="00CA4C01"/>
    <w:rsid w:val="00CA52E4"/>
    <w:rsid w:val="00CA6094"/>
    <w:rsid w:val="00CA6ABB"/>
    <w:rsid w:val="00CA6AEB"/>
    <w:rsid w:val="00CA6C6F"/>
    <w:rsid w:val="00CA70D6"/>
    <w:rsid w:val="00CA75C8"/>
    <w:rsid w:val="00CA77A6"/>
    <w:rsid w:val="00CA7884"/>
    <w:rsid w:val="00CA7E5A"/>
    <w:rsid w:val="00CA7F8C"/>
    <w:rsid w:val="00CB0343"/>
    <w:rsid w:val="00CB097B"/>
    <w:rsid w:val="00CB0A77"/>
    <w:rsid w:val="00CB0E0D"/>
    <w:rsid w:val="00CB0E32"/>
    <w:rsid w:val="00CB14B6"/>
    <w:rsid w:val="00CB1782"/>
    <w:rsid w:val="00CB1C81"/>
    <w:rsid w:val="00CB1C98"/>
    <w:rsid w:val="00CB206A"/>
    <w:rsid w:val="00CB27E2"/>
    <w:rsid w:val="00CB29DC"/>
    <w:rsid w:val="00CB2A68"/>
    <w:rsid w:val="00CB2AF9"/>
    <w:rsid w:val="00CB2B34"/>
    <w:rsid w:val="00CB2C17"/>
    <w:rsid w:val="00CB2D50"/>
    <w:rsid w:val="00CB388E"/>
    <w:rsid w:val="00CB3A91"/>
    <w:rsid w:val="00CB4851"/>
    <w:rsid w:val="00CB529A"/>
    <w:rsid w:val="00CB5793"/>
    <w:rsid w:val="00CB5E63"/>
    <w:rsid w:val="00CB6C99"/>
    <w:rsid w:val="00CB6DA0"/>
    <w:rsid w:val="00CB726F"/>
    <w:rsid w:val="00CC0901"/>
    <w:rsid w:val="00CC0952"/>
    <w:rsid w:val="00CC0978"/>
    <w:rsid w:val="00CC0AF4"/>
    <w:rsid w:val="00CC0CE8"/>
    <w:rsid w:val="00CC117D"/>
    <w:rsid w:val="00CC136A"/>
    <w:rsid w:val="00CC1709"/>
    <w:rsid w:val="00CC1C53"/>
    <w:rsid w:val="00CC1ED5"/>
    <w:rsid w:val="00CC2BF6"/>
    <w:rsid w:val="00CC2CCF"/>
    <w:rsid w:val="00CC36F5"/>
    <w:rsid w:val="00CC3D7D"/>
    <w:rsid w:val="00CC493B"/>
    <w:rsid w:val="00CC5178"/>
    <w:rsid w:val="00CC58E6"/>
    <w:rsid w:val="00CC609F"/>
    <w:rsid w:val="00CC62E0"/>
    <w:rsid w:val="00CC67C4"/>
    <w:rsid w:val="00CC7CEC"/>
    <w:rsid w:val="00CD1613"/>
    <w:rsid w:val="00CD1B36"/>
    <w:rsid w:val="00CD1E0E"/>
    <w:rsid w:val="00CD220E"/>
    <w:rsid w:val="00CD26F5"/>
    <w:rsid w:val="00CD28C7"/>
    <w:rsid w:val="00CD315D"/>
    <w:rsid w:val="00CD3A23"/>
    <w:rsid w:val="00CD49E5"/>
    <w:rsid w:val="00CD4E21"/>
    <w:rsid w:val="00CD5194"/>
    <w:rsid w:val="00CD5223"/>
    <w:rsid w:val="00CD5A94"/>
    <w:rsid w:val="00CD5FF2"/>
    <w:rsid w:val="00CD6270"/>
    <w:rsid w:val="00CD62F4"/>
    <w:rsid w:val="00CD68A4"/>
    <w:rsid w:val="00CD6AFB"/>
    <w:rsid w:val="00CD6DCA"/>
    <w:rsid w:val="00CD6E54"/>
    <w:rsid w:val="00CD7049"/>
    <w:rsid w:val="00CD761D"/>
    <w:rsid w:val="00CD7836"/>
    <w:rsid w:val="00CD790F"/>
    <w:rsid w:val="00CD7C9A"/>
    <w:rsid w:val="00CD7E84"/>
    <w:rsid w:val="00CE0237"/>
    <w:rsid w:val="00CE0ADF"/>
    <w:rsid w:val="00CE11E4"/>
    <w:rsid w:val="00CE1282"/>
    <w:rsid w:val="00CE19C8"/>
    <w:rsid w:val="00CE1E91"/>
    <w:rsid w:val="00CE2065"/>
    <w:rsid w:val="00CE23FE"/>
    <w:rsid w:val="00CE2649"/>
    <w:rsid w:val="00CE2730"/>
    <w:rsid w:val="00CE2883"/>
    <w:rsid w:val="00CE3648"/>
    <w:rsid w:val="00CE3874"/>
    <w:rsid w:val="00CE3932"/>
    <w:rsid w:val="00CE3C90"/>
    <w:rsid w:val="00CE3E86"/>
    <w:rsid w:val="00CE3FAA"/>
    <w:rsid w:val="00CE43FD"/>
    <w:rsid w:val="00CE45CD"/>
    <w:rsid w:val="00CE4821"/>
    <w:rsid w:val="00CE48FE"/>
    <w:rsid w:val="00CE49AF"/>
    <w:rsid w:val="00CE49F8"/>
    <w:rsid w:val="00CE4BCB"/>
    <w:rsid w:val="00CE4D5B"/>
    <w:rsid w:val="00CE4E32"/>
    <w:rsid w:val="00CE4F13"/>
    <w:rsid w:val="00CE5D9E"/>
    <w:rsid w:val="00CE6858"/>
    <w:rsid w:val="00CE6B0B"/>
    <w:rsid w:val="00CE6E27"/>
    <w:rsid w:val="00CE728F"/>
    <w:rsid w:val="00CE748F"/>
    <w:rsid w:val="00CF0542"/>
    <w:rsid w:val="00CF1619"/>
    <w:rsid w:val="00CF1675"/>
    <w:rsid w:val="00CF1D3A"/>
    <w:rsid w:val="00CF20CB"/>
    <w:rsid w:val="00CF21B6"/>
    <w:rsid w:val="00CF2599"/>
    <w:rsid w:val="00CF2695"/>
    <w:rsid w:val="00CF3263"/>
    <w:rsid w:val="00CF354C"/>
    <w:rsid w:val="00CF35DF"/>
    <w:rsid w:val="00CF38B5"/>
    <w:rsid w:val="00CF3900"/>
    <w:rsid w:val="00CF3CFB"/>
    <w:rsid w:val="00CF3E0E"/>
    <w:rsid w:val="00CF43D5"/>
    <w:rsid w:val="00CF4AE0"/>
    <w:rsid w:val="00CF4B03"/>
    <w:rsid w:val="00CF4DE3"/>
    <w:rsid w:val="00CF524F"/>
    <w:rsid w:val="00CF56CA"/>
    <w:rsid w:val="00CF704B"/>
    <w:rsid w:val="00CF729D"/>
    <w:rsid w:val="00CF72B7"/>
    <w:rsid w:val="00CF77CE"/>
    <w:rsid w:val="00CF7AA1"/>
    <w:rsid w:val="00CF7B45"/>
    <w:rsid w:val="00CF7F1D"/>
    <w:rsid w:val="00CF7F55"/>
    <w:rsid w:val="00D002E6"/>
    <w:rsid w:val="00D004C2"/>
    <w:rsid w:val="00D00DD6"/>
    <w:rsid w:val="00D01329"/>
    <w:rsid w:val="00D01490"/>
    <w:rsid w:val="00D01527"/>
    <w:rsid w:val="00D0165F"/>
    <w:rsid w:val="00D01D33"/>
    <w:rsid w:val="00D01DA2"/>
    <w:rsid w:val="00D01E45"/>
    <w:rsid w:val="00D01FA3"/>
    <w:rsid w:val="00D02504"/>
    <w:rsid w:val="00D02760"/>
    <w:rsid w:val="00D02A5C"/>
    <w:rsid w:val="00D03775"/>
    <w:rsid w:val="00D03A31"/>
    <w:rsid w:val="00D03FFC"/>
    <w:rsid w:val="00D040E1"/>
    <w:rsid w:val="00D0472B"/>
    <w:rsid w:val="00D04849"/>
    <w:rsid w:val="00D055E5"/>
    <w:rsid w:val="00D0584B"/>
    <w:rsid w:val="00D05B16"/>
    <w:rsid w:val="00D05FF8"/>
    <w:rsid w:val="00D06955"/>
    <w:rsid w:val="00D0731A"/>
    <w:rsid w:val="00D073F0"/>
    <w:rsid w:val="00D07E63"/>
    <w:rsid w:val="00D100FF"/>
    <w:rsid w:val="00D101A1"/>
    <w:rsid w:val="00D1128E"/>
    <w:rsid w:val="00D113B7"/>
    <w:rsid w:val="00D1240C"/>
    <w:rsid w:val="00D12694"/>
    <w:rsid w:val="00D126E4"/>
    <w:rsid w:val="00D12C9D"/>
    <w:rsid w:val="00D13455"/>
    <w:rsid w:val="00D13EFD"/>
    <w:rsid w:val="00D13F64"/>
    <w:rsid w:val="00D14DC9"/>
    <w:rsid w:val="00D151E9"/>
    <w:rsid w:val="00D1531D"/>
    <w:rsid w:val="00D16219"/>
    <w:rsid w:val="00D163E6"/>
    <w:rsid w:val="00D1651B"/>
    <w:rsid w:val="00D16B19"/>
    <w:rsid w:val="00D1752D"/>
    <w:rsid w:val="00D1775E"/>
    <w:rsid w:val="00D17D80"/>
    <w:rsid w:val="00D17E27"/>
    <w:rsid w:val="00D20047"/>
    <w:rsid w:val="00D208FA"/>
    <w:rsid w:val="00D20C4F"/>
    <w:rsid w:val="00D21AF7"/>
    <w:rsid w:val="00D2203F"/>
    <w:rsid w:val="00D222F0"/>
    <w:rsid w:val="00D22AB0"/>
    <w:rsid w:val="00D230BB"/>
    <w:rsid w:val="00D2388E"/>
    <w:rsid w:val="00D24945"/>
    <w:rsid w:val="00D24AFF"/>
    <w:rsid w:val="00D2501B"/>
    <w:rsid w:val="00D2570A"/>
    <w:rsid w:val="00D26260"/>
    <w:rsid w:val="00D2627D"/>
    <w:rsid w:val="00D26640"/>
    <w:rsid w:val="00D26820"/>
    <w:rsid w:val="00D278AC"/>
    <w:rsid w:val="00D27EA0"/>
    <w:rsid w:val="00D30717"/>
    <w:rsid w:val="00D31886"/>
    <w:rsid w:val="00D31A79"/>
    <w:rsid w:val="00D32889"/>
    <w:rsid w:val="00D32FA5"/>
    <w:rsid w:val="00D33302"/>
    <w:rsid w:val="00D33DA5"/>
    <w:rsid w:val="00D34885"/>
    <w:rsid w:val="00D34BC6"/>
    <w:rsid w:val="00D352A0"/>
    <w:rsid w:val="00D353ED"/>
    <w:rsid w:val="00D356EC"/>
    <w:rsid w:val="00D35C38"/>
    <w:rsid w:val="00D35CCA"/>
    <w:rsid w:val="00D35DFC"/>
    <w:rsid w:val="00D361BD"/>
    <w:rsid w:val="00D36BC0"/>
    <w:rsid w:val="00D3780E"/>
    <w:rsid w:val="00D40248"/>
    <w:rsid w:val="00D4050B"/>
    <w:rsid w:val="00D40839"/>
    <w:rsid w:val="00D415C3"/>
    <w:rsid w:val="00D417D9"/>
    <w:rsid w:val="00D41EAF"/>
    <w:rsid w:val="00D41FD6"/>
    <w:rsid w:val="00D42ABA"/>
    <w:rsid w:val="00D43262"/>
    <w:rsid w:val="00D434CC"/>
    <w:rsid w:val="00D434E7"/>
    <w:rsid w:val="00D43FD3"/>
    <w:rsid w:val="00D44672"/>
    <w:rsid w:val="00D45E7D"/>
    <w:rsid w:val="00D4645C"/>
    <w:rsid w:val="00D46756"/>
    <w:rsid w:val="00D46EBB"/>
    <w:rsid w:val="00D470E2"/>
    <w:rsid w:val="00D476BE"/>
    <w:rsid w:val="00D477BD"/>
    <w:rsid w:val="00D47E49"/>
    <w:rsid w:val="00D510DA"/>
    <w:rsid w:val="00D52096"/>
    <w:rsid w:val="00D521C0"/>
    <w:rsid w:val="00D52A1A"/>
    <w:rsid w:val="00D53C5B"/>
    <w:rsid w:val="00D53E5B"/>
    <w:rsid w:val="00D54418"/>
    <w:rsid w:val="00D557CA"/>
    <w:rsid w:val="00D557CC"/>
    <w:rsid w:val="00D558A8"/>
    <w:rsid w:val="00D55A38"/>
    <w:rsid w:val="00D55BA4"/>
    <w:rsid w:val="00D55BBE"/>
    <w:rsid w:val="00D55C9B"/>
    <w:rsid w:val="00D561E1"/>
    <w:rsid w:val="00D56413"/>
    <w:rsid w:val="00D56786"/>
    <w:rsid w:val="00D56ABF"/>
    <w:rsid w:val="00D56B2D"/>
    <w:rsid w:val="00D56F3C"/>
    <w:rsid w:val="00D57013"/>
    <w:rsid w:val="00D57395"/>
    <w:rsid w:val="00D577FD"/>
    <w:rsid w:val="00D57CA2"/>
    <w:rsid w:val="00D6170F"/>
    <w:rsid w:val="00D6178A"/>
    <w:rsid w:val="00D6179C"/>
    <w:rsid w:val="00D617D9"/>
    <w:rsid w:val="00D61AB4"/>
    <w:rsid w:val="00D623B7"/>
    <w:rsid w:val="00D62757"/>
    <w:rsid w:val="00D62DD1"/>
    <w:rsid w:val="00D62E79"/>
    <w:rsid w:val="00D63003"/>
    <w:rsid w:val="00D63053"/>
    <w:rsid w:val="00D6318D"/>
    <w:rsid w:val="00D633BD"/>
    <w:rsid w:val="00D64411"/>
    <w:rsid w:val="00D644D7"/>
    <w:rsid w:val="00D64588"/>
    <w:rsid w:val="00D64F2C"/>
    <w:rsid w:val="00D652E8"/>
    <w:rsid w:val="00D65E94"/>
    <w:rsid w:val="00D65F85"/>
    <w:rsid w:val="00D668C5"/>
    <w:rsid w:val="00D676A4"/>
    <w:rsid w:val="00D70C86"/>
    <w:rsid w:val="00D70D7F"/>
    <w:rsid w:val="00D70F96"/>
    <w:rsid w:val="00D71091"/>
    <w:rsid w:val="00D71D05"/>
    <w:rsid w:val="00D71D2D"/>
    <w:rsid w:val="00D7313C"/>
    <w:rsid w:val="00D73190"/>
    <w:rsid w:val="00D731D1"/>
    <w:rsid w:val="00D7333A"/>
    <w:rsid w:val="00D73347"/>
    <w:rsid w:val="00D73485"/>
    <w:rsid w:val="00D73739"/>
    <w:rsid w:val="00D73BBC"/>
    <w:rsid w:val="00D73EE8"/>
    <w:rsid w:val="00D73F37"/>
    <w:rsid w:val="00D73FAF"/>
    <w:rsid w:val="00D74297"/>
    <w:rsid w:val="00D7447F"/>
    <w:rsid w:val="00D755CF"/>
    <w:rsid w:val="00D75677"/>
    <w:rsid w:val="00D75F42"/>
    <w:rsid w:val="00D764C0"/>
    <w:rsid w:val="00D76858"/>
    <w:rsid w:val="00D77086"/>
    <w:rsid w:val="00D7747D"/>
    <w:rsid w:val="00D778E4"/>
    <w:rsid w:val="00D80B5D"/>
    <w:rsid w:val="00D80E06"/>
    <w:rsid w:val="00D80F7D"/>
    <w:rsid w:val="00D830CF"/>
    <w:rsid w:val="00D83262"/>
    <w:rsid w:val="00D83730"/>
    <w:rsid w:val="00D841D1"/>
    <w:rsid w:val="00D853B8"/>
    <w:rsid w:val="00D8541E"/>
    <w:rsid w:val="00D857E4"/>
    <w:rsid w:val="00D85F0E"/>
    <w:rsid w:val="00D86295"/>
    <w:rsid w:val="00D8661E"/>
    <w:rsid w:val="00D87D67"/>
    <w:rsid w:val="00D87E09"/>
    <w:rsid w:val="00D87EE8"/>
    <w:rsid w:val="00D87F07"/>
    <w:rsid w:val="00D90738"/>
    <w:rsid w:val="00D90758"/>
    <w:rsid w:val="00D90FE3"/>
    <w:rsid w:val="00D912FE"/>
    <w:rsid w:val="00D913B9"/>
    <w:rsid w:val="00D91A65"/>
    <w:rsid w:val="00D92257"/>
    <w:rsid w:val="00D9324B"/>
    <w:rsid w:val="00D93979"/>
    <w:rsid w:val="00D93E47"/>
    <w:rsid w:val="00D94215"/>
    <w:rsid w:val="00D94D5A"/>
    <w:rsid w:val="00D94E01"/>
    <w:rsid w:val="00D9500C"/>
    <w:rsid w:val="00D953D0"/>
    <w:rsid w:val="00D958A5"/>
    <w:rsid w:val="00D958D7"/>
    <w:rsid w:val="00D95988"/>
    <w:rsid w:val="00D96747"/>
    <w:rsid w:val="00D971C2"/>
    <w:rsid w:val="00D97377"/>
    <w:rsid w:val="00D97535"/>
    <w:rsid w:val="00D9791E"/>
    <w:rsid w:val="00D97C9B"/>
    <w:rsid w:val="00DA0096"/>
    <w:rsid w:val="00DA061B"/>
    <w:rsid w:val="00DA0832"/>
    <w:rsid w:val="00DA0866"/>
    <w:rsid w:val="00DA0F7D"/>
    <w:rsid w:val="00DA1A64"/>
    <w:rsid w:val="00DA1DA4"/>
    <w:rsid w:val="00DA20A1"/>
    <w:rsid w:val="00DA20AA"/>
    <w:rsid w:val="00DA2410"/>
    <w:rsid w:val="00DA2429"/>
    <w:rsid w:val="00DA254E"/>
    <w:rsid w:val="00DA26E1"/>
    <w:rsid w:val="00DA3526"/>
    <w:rsid w:val="00DA3891"/>
    <w:rsid w:val="00DA3AC7"/>
    <w:rsid w:val="00DA43EE"/>
    <w:rsid w:val="00DA4B96"/>
    <w:rsid w:val="00DA4E9F"/>
    <w:rsid w:val="00DA5038"/>
    <w:rsid w:val="00DA5246"/>
    <w:rsid w:val="00DA5673"/>
    <w:rsid w:val="00DA5913"/>
    <w:rsid w:val="00DA64C8"/>
    <w:rsid w:val="00DA66E7"/>
    <w:rsid w:val="00DA6726"/>
    <w:rsid w:val="00DA7198"/>
    <w:rsid w:val="00DA73DA"/>
    <w:rsid w:val="00DA7F0B"/>
    <w:rsid w:val="00DB0784"/>
    <w:rsid w:val="00DB0C92"/>
    <w:rsid w:val="00DB0EF3"/>
    <w:rsid w:val="00DB152A"/>
    <w:rsid w:val="00DB17E1"/>
    <w:rsid w:val="00DB1E70"/>
    <w:rsid w:val="00DB2A56"/>
    <w:rsid w:val="00DB2FE1"/>
    <w:rsid w:val="00DB3358"/>
    <w:rsid w:val="00DB3BD9"/>
    <w:rsid w:val="00DB4FEB"/>
    <w:rsid w:val="00DB53C9"/>
    <w:rsid w:val="00DB5B49"/>
    <w:rsid w:val="00DB699F"/>
    <w:rsid w:val="00DB7312"/>
    <w:rsid w:val="00DB7A2A"/>
    <w:rsid w:val="00DB7ECF"/>
    <w:rsid w:val="00DC0E93"/>
    <w:rsid w:val="00DC1278"/>
    <w:rsid w:val="00DC1AED"/>
    <w:rsid w:val="00DC2116"/>
    <w:rsid w:val="00DC21A8"/>
    <w:rsid w:val="00DC2581"/>
    <w:rsid w:val="00DC26BE"/>
    <w:rsid w:val="00DC29A1"/>
    <w:rsid w:val="00DC2A2E"/>
    <w:rsid w:val="00DC2B78"/>
    <w:rsid w:val="00DC2D6E"/>
    <w:rsid w:val="00DC3248"/>
    <w:rsid w:val="00DC3501"/>
    <w:rsid w:val="00DC44ED"/>
    <w:rsid w:val="00DC4D69"/>
    <w:rsid w:val="00DC503B"/>
    <w:rsid w:val="00DC514F"/>
    <w:rsid w:val="00DC53E2"/>
    <w:rsid w:val="00DC5493"/>
    <w:rsid w:val="00DC55BF"/>
    <w:rsid w:val="00DC5FD1"/>
    <w:rsid w:val="00DC63B5"/>
    <w:rsid w:val="00DC66F9"/>
    <w:rsid w:val="00DC72E3"/>
    <w:rsid w:val="00DD027D"/>
    <w:rsid w:val="00DD0CE6"/>
    <w:rsid w:val="00DD1E56"/>
    <w:rsid w:val="00DD20B4"/>
    <w:rsid w:val="00DD227E"/>
    <w:rsid w:val="00DD2334"/>
    <w:rsid w:val="00DD280C"/>
    <w:rsid w:val="00DD29B6"/>
    <w:rsid w:val="00DD29C0"/>
    <w:rsid w:val="00DD2CD8"/>
    <w:rsid w:val="00DD2FAB"/>
    <w:rsid w:val="00DD2FF6"/>
    <w:rsid w:val="00DD32E8"/>
    <w:rsid w:val="00DD394A"/>
    <w:rsid w:val="00DD3EFE"/>
    <w:rsid w:val="00DD41A4"/>
    <w:rsid w:val="00DD44A2"/>
    <w:rsid w:val="00DD45E1"/>
    <w:rsid w:val="00DD5349"/>
    <w:rsid w:val="00DD558E"/>
    <w:rsid w:val="00DD5CD6"/>
    <w:rsid w:val="00DD6214"/>
    <w:rsid w:val="00DD6D00"/>
    <w:rsid w:val="00DD6E55"/>
    <w:rsid w:val="00DD6F29"/>
    <w:rsid w:val="00DD7059"/>
    <w:rsid w:val="00DD7124"/>
    <w:rsid w:val="00DD741B"/>
    <w:rsid w:val="00DD79C5"/>
    <w:rsid w:val="00DE004D"/>
    <w:rsid w:val="00DE1D5D"/>
    <w:rsid w:val="00DE253C"/>
    <w:rsid w:val="00DE2550"/>
    <w:rsid w:val="00DE2857"/>
    <w:rsid w:val="00DE2A61"/>
    <w:rsid w:val="00DE2FCE"/>
    <w:rsid w:val="00DE37D6"/>
    <w:rsid w:val="00DE3EA1"/>
    <w:rsid w:val="00DE3F99"/>
    <w:rsid w:val="00DE40EA"/>
    <w:rsid w:val="00DE42C5"/>
    <w:rsid w:val="00DE44B5"/>
    <w:rsid w:val="00DE4732"/>
    <w:rsid w:val="00DE5329"/>
    <w:rsid w:val="00DE5A96"/>
    <w:rsid w:val="00DE5EE4"/>
    <w:rsid w:val="00DE64EB"/>
    <w:rsid w:val="00DE670A"/>
    <w:rsid w:val="00DE6DF2"/>
    <w:rsid w:val="00DE6E2B"/>
    <w:rsid w:val="00DE7058"/>
    <w:rsid w:val="00DE76D4"/>
    <w:rsid w:val="00DE7F4B"/>
    <w:rsid w:val="00DF0610"/>
    <w:rsid w:val="00DF0737"/>
    <w:rsid w:val="00DF0771"/>
    <w:rsid w:val="00DF0A8C"/>
    <w:rsid w:val="00DF0EB1"/>
    <w:rsid w:val="00DF196A"/>
    <w:rsid w:val="00DF1EC2"/>
    <w:rsid w:val="00DF20FD"/>
    <w:rsid w:val="00DF279E"/>
    <w:rsid w:val="00DF282A"/>
    <w:rsid w:val="00DF2BFA"/>
    <w:rsid w:val="00DF2FEF"/>
    <w:rsid w:val="00DF32B8"/>
    <w:rsid w:val="00DF3C4F"/>
    <w:rsid w:val="00DF3CA5"/>
    <w:rsid w:val="00DF402E"/>
    <w:rsid w:val="00DF4624"/>
    <w:rsid w:val="00DF49B4"/>
    <w:rsid w:val="00DF4E9D"/>
    <w:rsid w:val="00DF5066"/>
    <w:rsid w:val="00DF594B"/>
    <w:rsid w:val="00DF5CFE"/>
    <w:rsid w:val="00DF5D3A"/>
    <w:rsid w:val="00DF5F6D"/>
    <w:rsid w:val="00DF5FEA"/>
    <w:rsid w:val="00DF616B"/>
    <w:rsid w:val="00DF6359"/>
    <w:rsid w:val="00DF65D5"/>
    <w:rsid w:val="00DF6C9C"/>
    <w:rsid w:val="00DF6E22"/>
    <w:rsid w:val="00DF779F"/>
    <w:rsid w:val="00DF7B11"/>
    <w:rsid w:val="00E005B4"/>
    <w:rsid w:val="00E01DAA"/>
    <w:rsid w:val="00E0247F"/>
    <w:rsid w:val="00E02BD8"/>
    <w:rsid w:val="00E02FEE"/>
    <w:rsid w:val="00E03338"/>
    <w:rsid w:val="00E034D7"/>
    <w:rsid w:val="00E0437C"/>
    <w:rsid w:val="00E044AF"/>
    <w:rsid w:val="00E04E28"/>
    <w:rsid w:val="00E04E9F"/>
    <w:rsid w:val="00E05002"/>
    <w:rsid w:val="00E052C9"/>
    <w:rsid w:val="00E059D8"/>
    <w:rsid w:val="00E05A03"/>
    <w:rsid w:val="00E05C91"/>
    <w:rsid w:val="00E0657A"/>
    <w:rsid w:val="00E07285"/>
    <w:rsid w:val="00E07472"/>
    <w:rsid w:val="00E074F8"/>
    <w:rsid w:val="00E0761C"/>
    <w:rsid w:val="00E077D0"/>
    <w:rsid w:val="00E1011D"/>
    <w:rsid w:val="00E10622"/>
    <w:rsid w:val="00E108E5"/>
    <w:rsid w:val="00E11768"/>
    <w:rsid w:val="00E11D2E"/>
    <w:rsid w:val="00E128EB"/>
    <w:rsid w:val="00E12C5C"/>
    <w:rsid w:val="00E1375B"/>
    <w:rsid w:val="00E147C9"/>
    <w:rsid w:val="00E14AAA"/>
    <w:rsid w:val="00E14D17"/>
    <w:rsid w:val="00E1522F"/>
    <w:rsid w:val="00E1528B"/>
    <w:rsid w:val="00E1544E"/>
    <w:rsid w:val="00E15859"/>
    <w:rsid w:val="00E16066"/>
    <w:rsid w:val="00E16460"/>
    <w:rsid w:val="00E16563"/>
    <w:rsid w:val="00E16705"/>
    <w:rsid w:val="00E16800"/>
    <w:rsid w:val="00E1682C"/>
    <w:rsid w:val="00E169A1"/>
    <w:rsid w:val="00E16F0A"/>
    <w:rsid w:val="00E171E6"/>
    <w:rsid w:val="00E17224"/>
    <w:rsid w:val="00E174D1"/>
    <w:rsid w:val="00E1769F"/>
    <w:rsid w:val="00E17979"/>
    <w:rsid w:val="00E17A71"/>
    <w:rsid w:val="00E17D1C"/>
    <w:rsid w:val="00E203B2"/>
    <w:rsid w:val="00E21335"/>
    <w:rsid w:val="00E218E6"/>
    <w:rsid w:val="00E219FD"/>
    <w:rsid w:val="00E22E82"/>
    <w:rsid w:val="00E23A94"/>
    <w:rsid w:val="00E23FF5"/>
    <w:rsid w:val="00E240EB"/>
    <w:rsid w:val="00E24435"/>
    <w:rsid w:val="00E248BF"/>
    <w:rsid w:val="00E24A27"/>
    <w:rsid w:val="00E25150"/>
    <w:rsid w:val="00E276BC"/>
    <w:rsid w:val="00E30009"/>
    <w:rsid w:val="00E302DA"/>
    <w:rsid w:val="00E306B7"/>
    <w:rsid w:val="00E3071E"/>
    <w:rsid w:val="00E30879"/>
    <w:rsid w:val="00E30D78"/>
    <w:rsid w:val="00E31CA2"/>
    <w:rsid w:val="00E32795"/>
    <w:rsid w:val="00E32878"/>
    <w:rsid w:val="00E32E30"/>
    <w:rsid w:val="00E32EA5"/>
    <w:rsid w:val="00E331DE"/>
    <w:rsid w:val="00E337DF"/>
    <w:rsid w:val="00E33907"/>
    <w:rsid w:val="00E34A26"/>
    <w:rsid w:val="00E35644"/>
    <w:rsid w:val="00E35B72"/>
    <w:rsid w:val="00E35D95"/>
    <w:rsid w:val="00E36013"/>
    <w:rsid w:val="00E361DD"/>
    <w:rsid w:val="00E36D8D"/>
    <w:rsid w:val="00E377F7"/>
    <w:rsid w:val="00E4018B"/>
    <w:rsid w:val="00E4018F"/>
    <w:rsid w:val="00E40290"/>
    <w:rsid w:val="00E40CD5"/>
    <w:rsid w:val="00E40EC8"/>
    <w:rsid w:val="00E41455"/>
    <w:rsid w:val="00E414F5"/>
    <w:rsid w:val="00E41CE7"/>
    <w:rsid w:val="00E41EB8"/>
    <w:rsid w:val="00E424F5"/>
    <w:rsid w:val="00E424FE"/>
    <w:rsid w:val="00E428D3"/>
    <w:rsid w:val="00E429EB"/>
    <w:rsid w:val="00E432F5"/>
    <w:rsid w:val="00E4342C"/>
    <w:rsid w:val="00E4414D"/>
    <w:rsid w:val="00E44344"/>
    <w:rsid w:val="00E4452A"/>
    <w:rsid w:val="00E45047"/>
    <w:rsid w:val="00E45088"/>
    <w:rsid w:val="00E45610"/>
    <w:rsid w:val="00E45BAA"/>
    <w:rsid w:val="00E46D45"/>
    <w:rsid w:val="00E4733F"/>
    <w:rsid w:val="00E47B9E"/>
    <w:rsid w:val="00E47CFE"/>
    <w:rsid w:val="00E5088E"/>
    <w:rsid w:val="00E50B0A"/>
    <w:rsid w:val="00E50DB2"/>
    <w:rsid w:val="00E51922"/>
    <w:rsid w:val="00E51D34"/>
    <w:rsid w:val="00E52464"/>
    <w:rsid w:val="00E527D4"/>
    <w:rsid w:val="00E5321D"/>
    <w:rsid w:val="00E5364B"/>
    <w:rsid w:val="00E537CB"/>
    <w:rsid w:val="00E5397C"/>
    <w:rsid w:val="00E5416E"/>
    <w:rsid w:val="00E54583"/>
    <w:rsid w:val="00E551BD"/>
    <w:rsid w:val="00E55BAD"/>
    <w:rsid w:val="00E55F5B"/>
    <w:rsid w:val="00E5650C"/>
    <w:rsid w:val="00E56C3A"/>
    <w:rsid w:val="00E56E26"/>
    <w:rsid w:val="00E56F85"/>
    <w:rsid w:val="00E56F88"/>
    <w:rsid w:val="00E57583"/>
    <w:rsid w:val="00E577FF"/>
    <w:rsid w:val="00E57B2F"/>
    <w:rsid w:val="00E605FF"/>
    <w:rsid w:val="00E60A13"/>
    <w:rsid w:val="00E611B9"/>
    <w:rsid w:val="00E613E4"/>
    <w:rsid w:val="00E61E34"/>
    <w:rsid w:val="00E6204A"/>
    <w:rsid w:val="00E62088"/>
    <w:rsid w:val="00E621A8"/>
    <w:rsid w:val="00E62212"/>
    <w:rsid w:val="00E6283B"/>
    <w:rsid w:val="00E62D99"/>
    <w:rsid w:val="00E6341A"/>
    <w:rsid w:val="00E63D4E"/>
    <w:rsid w:val="00E6424D"/>
    <w:rsid w:val="00E644A5"/>
    <w:rsid w:val="00E65112"/>
    <w:rsid w:val="00E656EA"/>
    <w:rsid w:val="00E666EB"/>
    <w:rsid w:val="00E66D5B"/>
    <w:rsid w:val="00E67117"/>
    <w:rsid w:val="00E67789"/>
    <w:rsid w:val="00E67993"/>
    <w:rsid w:val="00E679F7"/>
    <w:rsid w:val="00E67A7A"/>
    <w:rsid w:val="00E67ACA"/>
    <w:rsid w:val="00E67C13"/>
    <w:rsid w:val="00E70CAE"/>
    <w:rsid w:val="00E71002"/>
    <w:rsid w:val="00E720F2"/>
    <w:rsid w:val="00E72347"/>
    <w:rsid w:val="00E72B8F"/>
    <w:rsid w:val="00E72F80"/>
    <w:rsid w:val="00E739B7"/>
    <w:rsid w:val="00E73E7E"/>
    <w:rsid w:val="00E746BE"/>
    <w:rsid w:val="00E747F2"/>
    <w:rsid w:val="00E74EEC"/>
    <w:rsid w:val="00E75085"/>
    <w:rsid w:val="00E75200"/>
    <w:rsid w:val="00E7532E"/>
    <w:rsid w:val="00E7583D"/>
    <w:rsid w:val="00E75A65"/>
    <w:rsid w:val="00E76566"/>
    <w:rsid w:val="00E76969"/>
    <w:rsid w:val="00E77912"/>
    <w:rsid w:val="00E77D26"/>
    <w:rsid w:val="00E8010E"/>
    <w:rsid w:val="00E8022F"/>
    <w:rsid w:val="00E805FF"/>
    <w:rsid w:val="00E80664"/>
    <w:rsid w:val="00E80952"/>
    <w:rsid w:val="00E80B0C"/>
    <w:rsid w:val="00E817CE"/>
    <w:rsid w:val="00E81FC6"/>
    <w:rsid w:val="00E82217"/>
    <w:rsid w:val="00E8238C"/>
    <w:rsid w:val="00E830DD"/>
    <w:rsid w:val="00E838FA"/>
    <w:rsid w:val="00E8395D"/>
    <w:rsid w:val="00E839FC"/>
    <w:rsid w:val="00E83C0A"/>
    <w:rsid w:val="00E83ED3"/>
    <w:rsid w:val="00E83F07"/>
    <w:rsid w:val="00E842C9"/>
    <w:rsid w:val="00E84411"/>
    <w:rsid w:val="00E84E40"/>
    <w:rsid w:val="00E84F32"/>
    <w:rsid w:val="00E857BA"/>
    <w:rsid w:val="00E875E3"/>
    <w:rsid w:val="00E8791B"/>
    <w:rsid w:val="00E8791C"/>
    <w:rsid w:val="00E900C5"/>
    <w:rsid w:val="00E90932"/>
    <w:rsid w:val="00E909F7"/>
    <w:rsid w:val="00E90A4E"/>
    <w:rsid w:val="00E90E4C"/>
    <w:rsid w:val="00E90EAB"/>
    <w:rsid w:val="00E91030"/>
    <w:rsid w:val="00E917EE"/>
    <w:rsid w:val="00E926CE"/>
    <w:rsid w:val="00E92EAA"/>
    <w:rsid w:val="00E93275"/>
    <w:rsid w:val="00E937A0"/>
    <w:rsid w:val="00E93C31"/>
    <w:rsid w:val="00E9417C"/>
    <w:rsid w:val="00E9433C"/>
    <w:rsid w:val="00E94648"/>
    <w:rsid w:val="00E946EC"/>
    <w:rsid w:val="00E94809"/>
    <w:rsid w:val="00E94CBA"/>
    <w:rsid w:val="00E94D85"/>
    <w:rsid w:val="00E94FDC"/>
    <w:rsid w:val="00E95417"/>
    <w:rsid w:val="00E95481"/>
    <w:rsid w:val="00E9581A"/>
    <w:rsid w:val="00E96034"/>
    <w:rsid w:val="00E9656F"/>
    <w:rsid w:val="00E9671B"/>
    <w:rsid w:val="00E96D94"/>
    <w:rsid w:val="00E97AAC"/>
    <w:rsid w:val="00EA03A9"/>
    <w:rsid w:val="00EA0657"/>
    <w:rsid w:val="00EA1028"/>
    <w:rsid w:val="00EA1115"/>
    <w:rsid w:val="00EA1F7C"/>
    <w:rsid w:val="00EA2BF9"/>
    <w:rsid w:val="00EA2F9C"/>
    <w:rsid w:val="00EA337D"/>
    <w:rsid w:val="00EA3632"/>
    <w:rsid w:val="00EA3C02"/>
    <w:rsid w:val="00EA3C5F"/>
    <w:rsid w:val="00EA3C83"/>
    <w:rsid w:val="00EA51CD"/>
    <w:rsid w:val="00EA5974"/>
    <w:rsid w:val="00EA5B3A"/>
    <w:rsid w:val="00EA6D15"/>
    <w:rsid w:val="00EA6F40"/>
    <w:rsid w:val="00EA71E5"/>
    <w:rsid w:val="00EB0103"/>
    <w:rsid w:val="00EB017B"/>
    <w:rsid w:val="00EB0328"/>
    <w:rsid w:val="00EB1083"/>
    <w:rsid w:val="00EB2967"/>
    <w:rsid w:val="00EB31BB"/>
    <w:rsid w:val="00EB35DE"/>
    <w:rsid w:val="00EB40B3"/>
    <w:rsid w:val="00EB4267"/>
    <w:rsid w:val="00EB502B"/>
    <w:rsid w:val="00EB5470"/>
    <w:rsid w:val="00EB5A03"/>
    <w:rsid w:val="00EB5AB0"/>
    <w:rsid w:val="00EB5FDE"/>
    <w:rsid w:val="00EB6056"/>
    <w:rsid w:val="00EB6809"/>
    <w:rsid w:val="00EB6A83"/>
    <w:rsid w:val="00EB6F3F"/>
    <w:rsid w:val="00EB73DA"/>
    <w:rsid w:val="00EB7B93"/>
    <w:rsid w:val="00EB7BAC"/>
    <w:rsid w:val="00EB7DA0"/>
    <w:rsid w:val="00EB7EBD"/>
    <w:rsid w:val="00EC0127"/>
    <w:rsid w:val="00EC09DF"/>
    <w:rsid w:val="00EC0E59"/>
    <w:rsid w:val="00EC0F80"/>
    <w:rsid w:val="00EC117F"/>
    <w:rsid w:val="00EC1480"/>
    <w:rsid w:val="00EC1AE2"/>
    <w:rsid w:val="00EC1D53"/>
    <w:rsid w:val="00EC1DAD"/>
    <w:rsid w:val="00EC23DE"/>
    <w:rsid w:val="00EC278B"/>
    <w:rsid w:val="00EC27C2"/>
    <w:rsid w:val="00EC3366"/>
    <w:rsid w:val="00EC3541"/>
    <w:rsid w:val="00EC38A8"/>
    <w:rsid w:val="00EC3CCD"/>
    <w:rsid w:val="00EC4C36"/>
    <w:rsid w:val="00EC4F9A"/>
    <w:rsid w:val="00EC531F"/>
    <w:rsid w:val="00EC5344"/>
    <w:rsid w:val="00EC53F7"/>
    <w:rsid w:val="00EC56FC"/>
    <w:rsid w:val="00EC595F"/>
    <w:rsid w:val="00EC5B91"/>
    <w:rsid w:val="00EC5C90"/>
    <w:rsid w:val="00EC60F0"/>
    <w:rsid w:val="00EC614E"/>
    <w:rsid w:val="00EC6383"/>
    <w:rsid w:val="00EC6444"/>
    <w:rsid w:val="00EC67C0"/>
    <w:rsid w:val="00EC6831"/>
    <w:rsid w:val="00EC73F4"/>
    <w:rsid w:val="00EC7AB6"/>
    <w:rsid w:val="00ED03F3"/>
    <w:rsid w:val="00ED0E1B"/>
    <w:rsid w:val="00ED1013"/>
    <w:rsid w:val="00ED12D2"/>
    <w:rsid w:val="00ED20E8"/>
    <w:rsid w:val="00ED238A"/>
    <w:rsid w:val="00ED34CD"/>
    <w:rsid w:val="00ED367E"/>
    <w:rsid w:val="00ED3E47"/>
    <w:rsid w:val="00ED4612"/>
    <w:rsid w:val="00ED47D4"/>
    <w:rsid w:val="00ED4F65"/>
    <w:rsid w:val="00ED57CB"/>
    <w:rsid w:val="00ED583D"/>
    <w:rsid w:val="00ED5A64"/>
    <w:rsid w:val="00ED5C75"/>
    <w:rsid w:val="00ED62CE"/>
    <w:rsid w:val="00ED665B"/>
    <w:rsid w:val="00ED69B2"/>
    <w:rsid w:val="00ED6B4F"/>
    <w:rsid w:val="00ED6B52"/>
    <w:rsid w:val="00ED6E31"/>
    <w:rsid w:val="00ED72D2"/>
    <w:rsid w:val="00ED7598"/>
    <w:rsid w:val="00ED791F"/>
    <w:rsid w:val="00ED7B61"/>
    <w:rsid w:val="00EE0083"/>
    <w:rsid w:val="00EE00DD"/>
    <w:rsid w:val="00EE0617"/>
    <w:rsid w:val="00EE07E1"/>
    <w:rsid w:val="00EE0938"/>
    <w:rsid w:val="00EE0BF1"/>
    <w:rsid w:val="00EE15CA"/>
    <w:rsid w:val="00EE1832"/>
    <w:rsid w:val="00EE1E21"/>
    <w:rsid w:val="00EE1F94"/>
    <w:rsid w:val="00EE2265"/>
    <w:rsid w:val="00EE2A95"/>
    <w:rsid w:val="00EE3296"/>
    <w:rsid w:val="00EE37A3"/>
    <w:rsid w:val="00EE3D49"/>
    <w:rsid w:val="00EE40B6"/>
    <w:rsid w:val="00EE428C"/>
    <w:rsid w:val="00EE42F7"/>
    <w:rsid w:val="00EE4609"/>
    <w:rsid w:val="00EE4CCA"/>
    <w:rsid w:val="00EE5055"/>
    <w:rsid w:val="00EE5C6D"/>
    <w:rsid w:val="00EE5EC1"/>
    <w:rsid w:val="00EE6266"/>
    <w:rsid w:val="00EE6C26"/>
    <w:rsid w:val="00EE6F28"/>
    <w:rsid w:val="00EE7B15"/>
    <w:rsid w:val="00EE7DE3"/>
    <w:rsid w:val="00EE7F47"/>
    <w:rsid w:val="00EF02B4"/>
    <w:rsid w:val="00EF07C7"/>
    <w:rsid w:val="00EF0CE7"/>
    <w:rsid w:val="00EF1E09"/>
    <w:rsid w:val="00EF232D"/>
    <w:rsid w:val="00EF24D9"/>
    <w:rsid w:val="00EF28D1"/>
    <w:rsid w:val="00EF28F0"/>
    <w:rsid w:val="00EF317B"/>
    <w:rsid w:val="00EF31B9"/>
    <w:rsid w:val="00EF3D5C"/>
    <w:rsid w:val="00EF5023"/>
    <w:rsid w:val="00EF5271"/>
    <w:rsid w:val="00EF5AB1"/>
    <w:rsid w:val="00EF5F81"/>
    <w:rsid w:val="00EF62B2"/>
    <w:rsid w:val="00EF6729"/>
    <w:rsid w:val="00EF6EA0"/>
    <w:rsid w:val="00F004FD"/>
    <w:rsid w:val="00F00698"/>
    <w:rsid w:val="00F00973"/>
    <w:rsid w:val="00F00E72"/>
    <w:rsid w:val="00F0101F"/>
    <w:rsid w:val="00F01AC7"/>
    <w:rsid w:val="00F01B09"/>
    <w:rsid w:val="00F01CA8"/>
    <w:rsid w:val="00F01F80"/>
    <w:rsid w:val="00F028EC"/>
    <w:rsid w:val="00F03016"/>
    <w:rsid w:val="00F0315E"/>
    <w:rsid w:val="00F03165"/>
    <w:rsid w:val="00F0342F"/>
    <w:rsid w:val="00F03C4A"/>
    <w:rsid w:val="00F046E6"/>
    <w:rsid w:val="00F0488C"/>
    <w:rsid w:val="00F04AD3"/>
    <w:rsid w:val="00F04E76"/>
    <w:rsid w:val="00F05101"/>
    <w:rsid w:val="00F05574"/>
    <w:rsid w:val="00F05F8F"/>
    <w:rsid w:val="00F06734"/>
    <w:rsid w:val="00F06904"/>
    <w:rsid w:val="00F07641"/>
    <w:rsid w:val="00F07814"/>
    <w:rsid w:val="00F078FB"/>
    <w:rsid w:val="00F10CDE"/>
    <w:rsid w:val="00F112AB"/>
    <w:rsid w:val="00F11483"/>
    <w:rsid w:val="00F116F4"/>
    <w:rsid w:val="00F12402"/>
    <w:rsid w:val="00F124DB"/>
    <w:rsid w:val="00F12628"/>
    <w:rsid w:val="00F12BDA"/>
    <w:rsid w:val="00F12E75"/>
    <w:rsid w:val="00F130F0"/>
    <w:rsid w:val="00F134FB"/>
    <w:rsid w:val="00F13629"/>
    <w:rsid w:val="00F13B9C"/>
    <w:rsid w:val="00F14EB0"/>
    <w:rsid w:val="00F14EB3"/>
    <w:rsid w:val="00F1641C"/>
    <w:rsid w:val="00F164D7"/>
    <w:rsid w:val="00F16652"/>
    <w:rsid w:val="00F166BC"/>
    <w:rsid w:val="00F178E3"/>
    <w:rsid w:val="00F17AEA"/>
    <w:rsid w:val="00F17DCD"/>
    <w:rsid w:val="00F20629"/>
    <w:rsid w:val="00F20820"/>
    <w:rsid w:val="00F20E1D"/>
    <w:rsid w:val="00F2133D"/>
    <w:rsid w:val="00F21D1E"/>
    <w:rsid w:val="00F21DFA"/>
    <w:rsid w:val="00F21F8A"/>
    <w:rsid w:val="00F2207C"/>
    <w:rsid w:val="00F22106"/>
    <w:rsid w:val="00F2223C"/>
    <w:rsid w:val="00F22675"/>
    <w:rsid w:val="00F227BD"/>
    <w:rsid w:val="00F22861"/>
    <w:rsid w:val="00F2294D"/>
    <w:rsid w:val="00F22BFE"/>
    <w:rsid w:val="00F2396A"/>
    <w:rsid w:val="00F23EBC"/>
    <w:rsid w:val="00F240DE"/>
    <w:rsid w:val="00F259D0"/>
    <w:rsid w:val="00F25ADF"/>
    <w:rsid w:val="00F26245"/>
    <w:rsid w:val="00F263E4"/>
    <w:rsid w:val="00F265C2"/>
    <w:rsid w:val="00F272E9"/>
    <w:rsid w:val="00F273B7"/>
    <w:rsid w:val="00F276A3"/>
    <w:rsid w:val="00F277E1"/>
    <w:rsid w:val="00F30064"/>
    <w:rsid w:val="00F306C8"/>
    <w:rsid w:val="00F311F5"/>
    <w:rsid w:val="00F315CE"/>
    <w:rsid w:val="00F326C5"/>
    <w:rsid w:val="00F32B61"/>
    <w:rsid w:val="00F32D1B"/>
    <w:rsid w:val="00F32D1F"/>
    <w:rsid w:val="00F3377C"/>
    <w:rsid w:val="00F33DAB"/>
    <w:rsid w:val="00F33EB3"/>
    <w:rsid w:val="00F33EFB"/>
    <w:rsid w:val="00F352BB"/>
    <w:rsid w:val="00F3553D"/>
    <w:rsid w:val="00F36CD6"/>
    <w:rsid w:val="00F36E86"/>
    <w:rsid w:val="00F374C5"/>
    <w:rsid w:val="00F375BB"/>
    <w:rsid w:val="00F3784D"/>
    <w:rsid w:val="00F37858"/>
    <w:rsid w:val="00F37B85"/>
    <w:rsid w:val="00F40053"/>
    <w:rsid w:val="00F402BA"/>
    <w:rsid w:val="00F40D65"/>
    <w:rsid w:val="00F40F97"/>
    <w:rsid w:val="00F412D2"/>
    <w:rsid w:val="00F41880"/>
    <w:rsid w:val="00F42019"/>
    <w:rsid w:val="00F42035"/>
    <w:rsid w:val="00F42404"/>
    <w:rsid w:val="00F426D7"/>
    <w:rsid w:val="00F427FF"/>
    <w:rsid w:val="00F42D42"/>
    <w:rsid w:val="00F43173"/>
    <w:rsid w:val="00F431A2"/>
    <w:rsid w:val="00F4341C"/>
    <w:rsid w:val="00F438B4"/>
    <w:rsid w:val="00F43ABF"/>
    <w:rsid w:val="00F440AA"/>
    <w:rsid w:val="00F44996"/>
    <w:rsid w:val="00F450DE"/>
    <w:rsid w:val="00F4514E"/>
    <w:rsid w:val="00F46325"/>
    <w:rsid w:val="00F4756A"/>
    <w:rsid w:val="00F475E5"/>
    <w:rsid w:val="00F476E5"/>
    <w:rsid w:val="00F47F00"/>
    <w:rsid w:val="00F50449"/>
    <w:rsid w:val="00F51AD1"/>
    <w:rsid w:val="00F51B36"/>
    <w:rsid w:val="00F52D2A"/>
    <w:rsid w:val="00F52E1C"/>
    <w:rsid w:val="00F52E21"/>
    <w:rsid w:val="00F53C6E"/>
    <w:rsid w:val="00F53F8D"/>
    <w:rsid w:val="00F548E9"/>
    <w:rsid w:val="00F54BE0"/>
    <w:rsid w:val="00F55A63"/>
    <w:rsid w:val="00F55D21"/>
    <w:rsid w:val="00F55E07"/>
    <w:rsid w:val="00F56794"/>
    <w:rsid w:val="00F5689C"/>
    <w:rsid w:val="00F570DF"/>
    <w:rsid w:val="00F57244"/>
    <w:rsid w:val="00F57834"/>
    <w:rsid w:val="00F578DB"/>
    <w:rsid w:val="00F60A1A"/>
    <w:rsid w:val="00F61B5F"/>
    <w:rsid w:val="00F62030"/>
    <w:rsid w:val="00F628B5"/>
    <w:rsid w:val="00F630B3"/>
    <w:rsid w:val="00F63709"/>
    <w:rsid w:val="00F63BFE"/>
    <w:rsid w:val="00F63DC0"/>
    <w:rsid w:val="00F63F62"/>
    <w:rsid w:val="00F6453A"/>
    <w:rsid w:val="00F646E3"/>
    <w:rsid w:val="00F6485B"/>
    <w:rsid w:val="00F64CEE"/>
    <w:rsid w:val="00F6611D"/>
    <w:rsid w:val="00F663BD"/>
    <w:rsid w:val="00F66747"/>
    <w:rsid w:val="00F67329"/>
    <w:rsid w:val="00F6767F"/>
    <w:rsid w:val="00F679F3"/>
    <w:rsid w:val="00F67ABE"/>
    <w:rsid w:val="00F67E3D"/>
    <w:rsid w:val="00F70176"/>
    <w:rsid w:val="00F70437"/>
    <w:rsid w:val="00F70F40"/>
    <w:rsid w:val="00F71810"/>
    <w:rsid w:val="00F7183F"/>
    <w:rsid w:val="00F720CD"/>
    <w:rsid w:val="00F72735"/>
    <w:rsid w:val="00F72A4D"/>
    <w:rsid w:val="00F72E0D"/>
    <w:rsid w:val="00F73884"/>
    <w:rsid w:val="00F739FC"/>
    <w:rsid w:val="00F73C0D"/>
    <w:rsid w:val="00F74020"/>
    <w:rsid w:val="00F74640"/>
    <w:rsid w:val="00F74AB7"/>
    <w:rsid w:val="00F74E70"/>
    <w:rsid w:val="00F74F8F"/>
    <w:rsid w:val="00F750AB"/>
    <w:rsid w:val="00F75265"/>
    <w:rsid w:val="00F753D8"/>
    <w:rsid w:val="00F768FF"/>
    <w:rsid w:val="00F76A3B"/>
    <w:rsid w:val="00F76B61"/>
    <w:rsid w:val="00F770AD"/>
    <w:rsid w:val="00F77AD6"/>
    <w:rsid w:val="00F77F3B"/>
    <w:rsid w:val="00F8008C"/>
    <w:rsid w:val="00F8192B"/>
    <w:rsid w:val="00F82B97"/>
    <w:rsid w:val="00F83037"/>
    <w:rsid w:val="00F83231"/>
    <w:rsid w:val="00F8401E"/>
    <w:rsid w:val="00F84047"/>
    <w:rsid w:val="00F84061"/>
    <w:rsid w:val="00F840C7"/>
    <w:rsid w:val="00F844AF"/>
    <w:rsid w:val="00F84859"/>
    <w:rsid w:val="00F849CF"/>
    <w:rsid w:val="00F85899"/>
    <w:rsid w:val="00F85981"/>
    <w:rsid w:val="00F85AE1"/>
    <w:rsid w:val="00F8603F"/>
    <w:rsid w:val="00F8614A"/>
    <w:rsid w:val="00F865AC"/>
    <w:rsid w:val="00F86BA7"/>
    <w:rsid w:val="00F86DBA"/>
    <w:rsid w:val="00F8712C"/>
    <w:rsid w:val="00F8720B"/>
    <w:rsid w:val="00F872AF"/>
    <w:rsid w:val="00F872DD"/>
    <w:rsid w:val="00F8756E"/>
    <w:rsid w:val="00F878AB"/>
    <w:rsid w:val="00F87E84"/>
    <w:rsid w:val="00F87FE8"/>
    <w:rsid w:val="00F9055C"/>
    <w:rsid w:val="00F9056D"/>
    <w:rsid w:val="00F909AC"/>
    <w:rsid w:val="00F90DB6"/>
    <w:rsid w:val="00F9127C"/>
    <w:rsid w:val="00F9171F"/>
    <w:rsid w:val="00F9186F"/>
    <w:rsid w:val="00F91B72"/>
    <w:rsid w:val="00F91DE5"/>
    <w:rsid w:val="00F91F0D"/>
    <w:rsid w:val="00F92197"/>
    <w:rsid w:val="00F9254D"/>
    <w:rsid w:val="00F92901"/>
    <w:rsid w:val="00F92E4F"/>
    <w:rsid w:val="00F9320E"/>
    <w:rsid w:val="00F93326"/>
    <w:rsid w:val="00F93377"/>
    <w:rsid w:val="00F93484"/>
    <w:rsid w:val="00F9373C"/>
    <w:rsid w:val="00F93E5F"/>
    <w:rsid w:val="00F9440A"/>
    <w:rsid w:val="00F947FE"/>
    <w:rsid w:val="00F94A49"/>
    <w:rsid w:val="00F94DBC"/>
    <w:rsid w:val="00F9528C"/>
    <w:rsid w:val="00F95512"/>
    <w:rsid w:val="00F95BC2"/>
    <w:rsid w:val="00F96183"/>
    <w:rsid w:val="00F96B76"/>
    <w:rsid w:val="00F97363"/>
    <w:rsid w:val="00F9737E"/>
    <w:rsid w:val="00F9775F"/>
    <w:rsid w:val="00F97C88"/>
    <w:rsid w:val="00F97E7F"/>
    <w:rsid w:val="00F97EA1"/>
    <w:rsid w:val="00FA026F"/>
    <w:rsid w:val="00FA1408"/>
    <w:rsid w:val="00FA1F72"/>
    <w:rsid w:val="00FA20AB"/>
    <w:rsid w:val="00FA24BE"/>
    <w:rsid w:val="00FA2ED4"/>
    <w:rsid w:val="00FA3971"/>
    <w:rsid w:val="00FA45FB"/>
    <w:rsid w:val="00FA471E"/>
    <w:rsid w:val="00FA4C1E"/>
    <w:rsid w:val="00FA4EE9"/>
    <w:rsid w:val="00FA6547"/>
    <w:rsid w:val="00FA6A4C"/>
    <w:rsid w:val="00FA711E"/>
    <w:rsid w:val="00FA7221"/>
    <w:rsid w:val="00FA760D"/>
    <w:rsid w:val="00FB078A"/>
    <w:rsid w:val="00FB158E"/>
    <w:rsid w:val="00FB17DF"/>
    <w:rsid w:val="00FB2016"/>
    <w:rsid w:val="00FB2C23"/>
    <w:rsid w:val="00FB30FF"/>
    <w:rsid w:val="00FB3547"/>
    <w:rsid w:val="00FB3D05"/>
    <w:rsid w:val="00FB4223"/>
    <w:rsid w:val="00FB42A7"/>
    <w:rsid w:val="00FB43ED"/>
    <w:rsid w:val="00FB4A5B"/>
    <w:rsid w:val="00FB4E04"/>
    <w:rsid w:val="00FB4F43"/>
    <w:rsid w:val="00FB4FF6"/>
    <w:rsid w:val="00FB50C7"/>
    <w:rsid w:val="00FB5DA2"/>
    <w:rsid w:val="00FB613E"/>
    <w:rsid w:val="00FB66AC"/>
    <w:rsid w:val="00FB6B23"/>
    <w:rsid w:val="00FB7195"/>
    <w:rsid w:val="00FB78A7"/>
    <w:rsid w:val="00FB7FE7"/>
    <w:rsid w:val="00FC006C"/>
    <w:rsid w:val="00FC10EE"/>
    <w:rsid w:val="00FC1756"/>
    <w:rsid w:val="00FC1F09"/>
    <w:rsid w:val="00FC246F"/>
    <w:rsid w:val="00FC26CD"/>
    <w:rsid w:val="00FC2BC8"/>
    <w:rsid w:val="00FC2E89"/>
    <w:rsid w:val="00FC34DE"/>
    <w:rsid w:val="00FC3D33"/>
    <w:rsid w:val="00FC5C72"/>
    <w:rsid w:val="00FC5FA3"/>
    <w:rsid w:val="00FC67A4"/>
    <w:rsid w:val="00FC67DE"/>
    <w:rsid w:val="00FC68B0"/>
    <w:rsid w:val="00FC6D93"/>
    <w:rsid w:val="00FC6F73"/>
    <w:rsid w:val="00FC7BC0"/>
    <w:rsid w:val="00FC7FE9"/>
    <w:rsid w:val="00FD00F1"/>
    <w:rsid w:val="00FD014E"/>
    <w:rsid w:val="00FD0760"/>
    <w:rsid w:val="00FD15B5"/>
    <w:rsid w:val="00FD1ED9"/>
    <w:rsid w:val="00FD270D"/>
    <w:rsid w:val="00FD2AB5"/>
    <w:rsid w:val="00FD2B80"/>
    <w:rsid w:val="00FD380B"/>
    <w:rsid w:val="00FD3E9B"/>
    <w:rsid w:val="00FD4B4E"/>
    <w:rsid w:val="00FD5200"/>
    <w:rsid w:val="00FD5619"/>
    <w:rsid w:val="00FD59CD"/>
    <w:rsid w:val="00FD59EC"/>
    <w:rsid w:val="00FD5A59"/>
    <w:rsid w:val="00FD5C7C"/>
    <w:rsid w:val="00FD61D6"/>
    <w:rsid w:val="00FD6488"/>
    <w:rsid w:val="00FD666C"/>
    <w:rsid w:val="00FD6B70"/>
    <w:rsid w:val="00FD6EFC"/>
    <w:rsid w:val="00FD72E8"/>
    <w:rsid w:val="00FD7CBF"/>
    <w:rsid w:val="00FD7F58"/>
    <w:rsid w:val="00FE03C9"/>
    <w:rsid w:val="00FE0DDE"/>
    <w:rsid w:val="00FE1550"/>
    <w:rsid w:val="00FE17E8"/>
    <w:rsid w:val="00FE2126"/>
    <w:rsid w:val="00FE26CD"/>
    <w:rsid w:val="00FE31A3"/>
    <w:rsid w:val="00FE3485"/>
    <w:rsid w:val="00FE3568"/>
    <w:rsid w:val="00FE3A62"/>
    <w:rsid w:val="00FE41CB"/>
    <w:rsid w:val="00FE4510"/>
    <w:rsid w:val="00FE462A"/>
    <w:rsid w:val="00FE4DB5"/>
    <w:rsid w:val="00FE4E51"/>
    <w:rsid w:val="00FE5FA2"/>
    <w:rsid w:val="00FE6CA1"/>
    <w:rsid w:val="00FE78D6"/>
    <w:rsid w:val="00FE7AC8"/>
    <w:rsid w:val="00FE7CA5"/>
    <w:rsid w:val="00FE7F4F"/>
    <w:rsid w:val="00FF00A1"/>
    <w:rsid w:val="00FF06C6"/>
    <w:rsid w:val="00FF0D7E"/>
    <w:rsid w:val="00FF0DC8"/>
    <w:rsid w:val="00FF0E8B"/>
    <w:rsid w:val="00FF0FC0"/>
    <w:rsid w:val="00FF1550"/>
    <w:rsid w:val="00FF15A8"/>
    <w:rsid w:val="00FF16B6"/>
    <w:rsid w:val="00FF19BF"/>
    <w:rsid w:val="00FF1D54"/>
    <w:rsid w:val="00FF21A5"/>
    <w:rsid w:val="00FF2FA9"/>
    <w:rsid w:val="00FF30D7"/>
    <w:rsid w:val="00FF336E"/>
    <w:rsid w:val="00FF3C79"/>
    <w:rsid w:val="00FF3CF0"/>
    <w:rsid w:val="00FF3D19"/>
    <w:rsid w:val="00FF4063"/>
    <w:rsid w:val="00FF40B0"/>
    <w:rsid w:val="00FF41CF"/>
    <w:rsid w:val="00FF43D6"/>
    <w:rsid w:val="00FF4ADF"/>
    <w:rsid w:val="00FF5070"/>
    <w:rsid w:val="00FF540D"/>
    <w:rsid w:val="00FF64B7"/>
    <w:rsid w:val="00FF6B8A"/>
    <w:rsid w:val="00FF72AD"/>
    <w:rsid w:val="00FF7394"/>
    <w:rsid w:val="00FF7480"/>
    <w:rsid w:val="00FF75B3"/>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4F66D"/>
  <w15:chartTrackingRefBased/>
  <w15:docId w15:val="{022DFE19-4B5B-4CCF-AAC9-57C40B7A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63B"/>
    <w:pPr>
      <w:spacing w:after="0" w:line="240" w:lineRule="auto"/>
    </w:pPr>
    <w:rPr>
      <w:rFonts w:ascii="Verdana" w:eastAsiaTheme="minorEastAsia" w:hAnsi="Verdana"/>
      <w:sz w:val="24"/>
      <w:szCs w:val="24"/>
    </w:rPr>
  </w:style>
  <w:style w:type="paragraph" w:styleId="Heading1">
    <w:name w:val="heading 1"/>
    <w:basedOn w:val="Normal"/>
    <w:next w:val="Normal"/>
    <w:link w:val="Heading1Char"/>
    <w:uiPriority w:val="9"/>
    <w:qFormat/>
    <w:rsid w:val="009E5D23"/>
    <w:pPr>
      <w:keepNext/>
      <w:keepLines/>
      <w:numPr>
        <w:numId w:val="1"/>
      </w:numPr>
      <w:spacing w:before="240"/>
      <w:outlineLvl w:val="0"/>
    </w:pPr>
    <w:rPr>
      <w:rFonts w:eastAsiaTheme="majorEastAsia" w:cstheme="majorBidi"/>
      <w:b/>
      <w:color w:val="77328A"/>
      <w:sz w:val="30"/>
      <w:szCs w:val="32"/>
    </w:rPr>
  </w:style>
  <w:style w:type="paragraph" w:styleId="Heading2">
    <w:name w:val="heading 2"/>
    <w:basedOn w:val="Normal"/>
    <w:next w:val="Normal"/>
    <w:link w:val="Heading2Char"/>
    <w:uiPriority w:val="9"/>
    <w:unhideWhenUsed/>
    <w:qFormat/>
    <w:rsid w:val="009E5D23"/>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EF6EA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259D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FBC"/>
    <w:pPr>
      <w:ind w:left="720"/>
      <w:contextualSpacing/>
    </w:pPr>
  </w:style>
  <w:style w:type="character" w:styleId="Hyperlink">
    <w:name w:val="Hyperlink"/>
    <w:basedOn w:val="DefaultParagraphFont"/>
    <w:uiPriority w:val="99"/>
    <w:unhideWhenUsed/>
    <w:rsid w:val="009C14E6"/>
    <w:rPr>
      <w:color w:val="0000FF"/>
      <w:u w:val="single"/>
    </w:rPr>
  </w:style>
  <w:style w:type="table" w:styleId="TableGrid">
    <w:name w:val="Table Grid"/>
    <w:basedOn w:val="TableNormal"/>
    <w:uiPriority w:val="39"/>
    <w:rsid w:val="00CF7F55"/>
    <w:pPr>
      <w:spacing w:after="0" w:line="24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65682"/>
    <w:rPr>
      <w:color w:val="605E5C"/>
      <w:shd w:val="clear" w:color="auto" w:fill="E1DFDD"/>
    </w:rPr>
  </w:style>
  <w:style w:type="character" w:styleId="FollowedHyperlink">
    <w:name w:val="FollowedHyperlink"/>
    <w:basedOn w:val="DefaultParagraphFont"/>
    <w:uiPriority w:val="99"/>
    <w:semiHidden/>
    <w:unhideWhenUsed/>
    <w:rsid w:val="00B901BC"/>
    <w:rPr>
      <w:color w:val="954F72" w:themeColor="followedHyperlink"/>
      <w:u w:val="single"/>
    </w:rPr>
  </w:style>
  <w:style w:type="character" w:customStyle="1" w:styleId="Heading1Char">
    <w:name w:val="Heading 1 Char"/>
    <w:basedOn w:val="DefaultParagraphFont"/>
    <w:link w:val="Heading1"/>
    <w:uiPriority w:val="9"/>
    <w:rsid w:val="009E5D23"/>
    <w:rPr>
      <w:rFonts w:ascii="Verdana" w:eastAsiaTheme="majorEastAsia" w:hAnsi="Verdana" w:cstheme="majorBidi"/>
      <w:b/>
      <w:color w:val="77328A"/>
      <w:sz w:val="30"/>
      <w:szCs w:val="32"/>
    </w:rPr>
  </w:style>
  <w:style w:type="character" w:customStyle="1" w:styleId="Heading2Char">
    <w:name w:val="Heading 2 Char"/>
    <w:basedOn w:val="DefaultParagraphFont"/>
    <w:link w:val="Heading2"/>
    <w:uiPriority w:val="9"/>
    <w:rsid w:val="009E5D23"/>
    <w:rPr>
      <w:rFonts w:ascii="Verdana" w:eastAsiaTheme="majorEastAsia" w:hAnsi="Verdana" w:cstheme="majorBidi"/>
      <w:b/>
      <w:sz w:val="24"/>
      <w:szCs w:val="26"/>
    </w:rPr>
  </w:style>
  <w:style w:type="paragraph" w:styleId="Footer">
    <w:name w:val="footer"/>
    <w:basedOn w:val="Normal"/>
    <w:link w:val="FooterChar"/>
    <w:uiPriority w:val="99"/>
    <w:unhideWhenUsed/>
    <w:rsid w:val="009E5D23"/>
    <w:pPr>
      <w:tabs>
        <w:tab w:val="center" w:pos="4320"/>
        <w:tab w:val="right" w:pos="8640"/>
      </w:tabs>
    </w:pPr>
  </w:style>
  <w:style w:type="character" w:customStyle="1" w:styleId="FooterChar">
    <w:name w:val="Footer Char"/>
    <w:basedOn w:val="DefaultParagraphFont"/>
    <w:link w:val="Footer"/>
    <w:uiPriority w:val="99"/>
    <w:rsid w:val="009E5D23"/>
    <w:rPr>
      <w:rFonts w:ascii="Verdana" w:eastAsiaTheme="minorEastAsia" w:hAnsi="Verdana"/>
      <w:sz w:val="24"/>
      <w:szCs w:val="24"/>
    </w:rPr>
  </w:style>
  <w:style w:type="paragraph" w:customStyle="1" w:styleId="BasicParagraph">
    <w:name w:val="[Basic Paragraph]"/>
    <w:basedOn w:val="Normal"/>
    <w:uiPriority w:val="99"/>
    <w:rsid w:val="009E5D2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noteText">
    <w:name w:val="footnote text"/>
    <w:basedOn w:val="Normal"/>
    <w:link w:val="FootnoteTextChar"/>
    <w:uiPriority w:val="99"/>
    <w:unhideWhenUsed/>
    <w:rsid w:val="009E5D23"/>
  </w:style>
  <w:style w:type="character" w:customStyle="1" w:styleId="FootnoteTextChar">
    <w:name w:val="Footnote Text Char"/>
    <w:basedOn w:val="DefaultParagraphFont"/>
    <w:link w:val="FootnoteText"/>
    <w:uiPriority w:val="99"/>
    <w:rsid w:val="009E5D23"/>
    <w:rPr>
      <w:rFonts w:ascii="Verdana" w:eastAsiaTheme="minorEastAsia" w:hAnsi="Verdana"/>
      <w:sz w:val="24"/>
      <w:szCs w:val="24"/>
    </w:rPr>
  </w:style>
  <w:style w:type="character" w:styleId="FootnoteReference">
    <w:name w:val="footnote reference"/>
    <w:basedOn w:val="DefaultParagraphFont"/>
    <w:uiPriority w:val="99"/>
    <w:unhideWhenUsed/>
    <w:rsid w:val="009E5D23"/>
    <w:rPr>
      <w:vertAlign w:val="superscript"/>
    </w:rPr>
  </w:style>
  <w:style w:type="character" w:styleId="PageNumber">
    <w:name w:val="page number"/>
    <w:basedOn w:val="DefaultParagraphFont"/>
    <w:uiPriority w:val="99"/>
    <w:semiHidden/>
    <w:unhideWhenUsed/>
    <w:rsid w:val="009E5D23"/>
  </w:style>
  <w:style w:type="paragraph" w:customStyle="1" w:styleId="Default">
    <w:name w:val="Default"/>
    <w:rsid w:val="009E5D23"/>
    <w:pPr>
      <w:widowControl w:val="0"/>
      <w:autoSpaceDE w:val="0"/>
      <w:autoSpaceDN w:val="0"/>
      <w:adjustRightInd w:val="0"/>
      <w:spacing w:after="0" w:line="240" w:lineRule="auto"/>
    </w:pPr>
    <w:rPr>
      <w:rFonts w:ascii="Verdana" w:eastAsiaTheme="minorEastAsia" w:hAnsi="Verdana" w:cs="Verdana"/>
      <w:color w:val="000000"/>
      <w:sz w:val="24"/>
      <w:szCs w:val="24"/>
      <w:lang w:val="en-US"/>
    </w:rPr>
  </w:style>
  <w:style w:type="paragraph" w:customStyle="1" w:styleId="NIHRCFootnotes">
    <w:name w:val="NIHRC Footnotes"/>
    <w:basedOn w:val="Normal"/>
    <w:qFormat/>
    <w:rsid w:val="009E5D23"/>
    <w:pPr>
      <w:tabs>
        <w:tab w:val="left" w:pos="284"/>
      </w:tabs>
    </w:pPr>
    <w:rPr>
      <w:rFonts w:cs="Arial"/>
      <w:color w:val="77328A"/>
      <w:sz w:val="16"/>
      <w:szCs w:val="16"/>
    </w:rPr>
  </w:style>
  <w:style w:type="paragraph" w:styleId="TOCHeading">
    <w:name w:val="TOC Heading"/>
    <w:basedOn w:val="Heading1"/>
    <w:next w:val="Normal"/>
    <w:uiPriority w:val="39"/>
    <w:unhideWhenUsed/>
    <w:qFormat/>
    <w:rsid w:val="009E5D23"/>
    <w:pPr>
      <w:numPr>
        <w:numId w:val="0"/>
      </w:numPr>
      <w:spacing w:line="259" w:lineRule="auto"/>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9E5D23"/>
    <w:pPr>
      <w:spacing w:after="100" w:line="259" w:lineRule="auto"/>
      <w:ind w:left="220"/>
    </w:pPr>
    <w:rPr>
      <w:rFonts w:cs="Times New Roman"/>
      <w:sz w:val="22"/>
      <w:szCs w:val="22"/>
      <w:lang w:val="en-US"/>
    </w:rPr>
  </w:style>
  <w:style w:type="paragraph" w:styleId="TOC1">
    <w:name w:val="toc 1"/>
    <w:basedOn w:val="Normal"/>
    <w:next w:val="Normal"/>
    <w:autoRedefine/>
    <w:uiPriority w:val="39"/>
    <w:unhideWhenUsed/>
    <w:rsid w:val="009E5D23"/>
    <w:pPr>
      <w:spacing w:after="100" w:line="259" w:lineRule="auto"/>
    </w:pPr>
    <w:rPr>
      <w:rFonts w:cs="Times New Roman"/>
      <w:sz w:val="22"/>
      <w:szCs w:val="22"/>
      <w:lang w:val="en-US"/>
    </w:rPr>
  </w:style>
  <w:style w:type="paragraph" w:styleId="Header">
    <w:name w:val="header"/>
    <w:basedOn w:val="Normal"/>
    <w:link w:val="HeaderChar"/>
    <w:uiPriority w:val="99"/>
    <w:unhideWhenUsed/>
    <w:rsid w:val="00847724"/>
    <w:pPr>
      <w:tabs>
        <w:tab w:val="center" w:pos="4513"/>
        <w:tab w:val="right" w:pos="9026"/>
      </w:tabs>
    </w:pPr>
  </w:style>
  <w:style w:type="character" w:customStyle="1" w:styleId="HeaderChar">
    <w:name w:val="Header Char"/>
    <w:basedOn w:val="DefaultParagraphFont"/>
    <w:link w:val="Header"/>
    <w:uiPriority w:val="99"/>
    <w:rsid w:val="00847724"/>
    <w:rPr>
      <w:rFonts w:ascii="Verdana" w:eastAsiaTheme="minorEastAsia" w:hAnsi="Verdana"/>
      <w:sz w:val="24"/>
      <w:szCs w:val="24"/>
    </w:rPr>
  </w:style>
  <w:style w:type="character" w:styleId="CommentReference">
    <w:name w:val="annotation reference"/>
    <w:basedOn w:val="DefaultParagraphFont"/>
    <w:uiPriority w:val="99"/>
    <w:semiHidden/>
    <w:unhideWhenUsed/>
    <w:rsid w:val="00F16652"/>
    <w:rPr>
      <w:sz w:val="16"/>
      <w:szCs w:val="16"/>
    </w:rPr>
  </w:style>
  <w:style w:type="paragraph" w:styleId="CommentText">
    <w:name w:val="annotation text"/>
    <w:basedOn w:val="Normal"/>
    <w:link w:val="CommentTextChar"/>
    <w:uiPriority w:val="99"/>
    <w:unhideWhenUsed/>
    <w:rsid w:val="00F16652"/>
    <w:rPr>
      <w:sz w:val="20"/>
      <w:szCs w:val="20"/>
    </w:rPr>
  </w:style>
  <w:style w:type="character" w:customStyle="1" w:styleId="CommentTextChar">
    <w:name w:val="Comment Text Char"/>
    <w:basedOn w:val="DefaultParagraphFont"/>
    <w:link w:val="CommentText"/>
    <w:uiPriority w:val="99"/>
    <w:rsid w:val="00F16652"/>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F16652"/>
    <w:rPr>
      <w:b/>
      <w:bCs/>
    </w:rPr>
  </w:style>
  <w:style w:type="character" w:customStyle="1" w:styleId="CommentSubjectChar">
    <w:name w:val="Comment Subject Char"/>
    <w:basedOn w:val="CommentTextChar"/>
    <w:link w:val="CommentSubject"/>
    <w:uiPriority w:val="99"/>
    <w:semiHidden/>
    <w:rsid w:val="00F16652"/>
    <w:rPr>
      <w:rFonts w:ascii="Verdana" w:eastAsiaTheme="minorEastAsia" w:hAnsi="Verdana"/>
      <w:b/>
      <w:bCs/>
      <w:sz w:val="20"/>
      <w:szCs w:val="20"/>
    </w:rPr>
  </w:style>
  <w:style w:type="paragraph" w:styleId="BalloonText">
    <w:name w:val="Balloon Text"/>
    <w:basedOn w:val="Normal"/>
    <w:link w:val="BalloonTextChar"/>
    <w:uiPriority w:val="99"/>
    <w:semiHidden/>
    <w:unhideWhenUsed/>
    <w:rsid w:val="00F16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52"/>
    <w:rPr>
      <w:rFonts w:ascii="Segoe UI" w:eastAsiaTheme="minorEastAsia" w:hAnsi="Segoe UI" w:cs="Segoe UI"/>
      <w:sz w:val="18"/>
      <w:szCs w:val="18"/>
    </w:rPr>
  </w:style>
  <w:style w:type="character" w:styleId="Emphasis">
    <w:name w:val="Emphasis"/>
    <w:basedOn w:val="DefaultParagraphFont"/>
    <w:uiPriority w:val="20"/>
    <w:qFormat/>
    <w:rsid w:val="001C0E55"/>
    <w:rPr>
      <w:i/>
      <w:iCs/>
    </w:rPr>
  </w:style>
  <w:style w:type="character" w:customStyle="1" w:styleId="UnresolvedMention2">
    <w:name w:val="Unresolved Mention2"/>
    <w:basedOn w:val="DefaultParagraphFont"/>
    <w:uiPriority w:val="99"/>
    <w:semiHidden/>
    <w:unhideWhenUsed/>
    <w:rsid w:val="00926903"/>
    <w:rPr>
      <w:color w:val="605E5C"/>
      <w:shd w:val="clear" w:color="auto" w:fill="E1DFDD"/>
    </w:rPr>
  </w:style>
  <w:style w:type="character" w:customStyle="1" w:styleId="Heading3Char">
    <w:name w:val="Heading 3 Char"/>
    <w:basedOn w:val="DefaultParagraphFont"/>
    <w:link w:val="Heading3"/>
    <w:uiPriority w:val="9"/>
    <w:semiHidden/>
    <w:rsid w:val="00EF6EA0"/>
    <w:rPr>
      <w:rFonts w:asciiTheme="majorHAnsi" w:eastAsiaTheme="majorEastAsia" w:hAnsiTheme="majorHAnsi" w:cstheme="majorBidi"/>
      <w:color w:val="1F3763" w:themeColor="accent1" w:themeShade="7F"/>
      <w:sz w:val="24"/>
      <w:szCs w:val="24"/>
    </w:rPr>
  </w:style>
  <w:style w:type="character" w:customStyle="1" w:styleId="UnresolvedMention3">
    <w:name w:val="Unresolved Mention3"/>
    <w:basedOn w:val="DefaultParagraphFont"/>
    <w:uiPriority w:val="99"/>
    <w:semiHidden/>
    <w:unhideWhenUsed/>
    <w:rsid w:val="0038698C"/>
    <w:rPr>
      <w:color w:val="605E5C"/>
      <w:shd w:val="clear" w:color="auto" w:fill="E1DFDD"/>
    </w:rPr>
  </w:style>
  <w:style w:type="character" w:customStyle="1" w:styleId="UnresolvedMention4">
    <w:name w:val="Unresolved Mention4"/>
    <w:basedOn w:val="DefaultParagraphFont"/>
    <w:uiPriority w:val="99"/>
    <w:semiHidden/>
    <w:unhideWhenUsed/>
    <w:rsid w:val="00EC27C2"/>
    <w:rPr>
      <w:color w:val="605E5C"/>
      <w:shd w:val="clear" w:color="auto" w:fill="E1DFDD"/>
    </w:rPr>
  </w:style>
  <w:style w:type="paragraph" w:styleId="NormalWeb">
    <w:name w:val="Normal (Web)"/>
    <w:basedOn w:val="Normal"/>
    <w:uiPriority w:val="99"/>
    <w:semiHidden/>
    <w:unhideWhenUsed/>
    <w:rsid w:val="00684477"/>
    <w:rPr>
      <w:rFonts w:ascii="Times New Roman" w:hAnsi="Times New Roman" w:cs="Times New Roman"/>
    </w:rPr>
  </w:style>
  <w:style w:type="character" w:styleId="UnresolvedMention">
    <w:name w:val="Unresolved Mention"/>
    <w:basedOn w:val="DefaultParagraphFont"/>
    <w:uiPriority w:val="99"/>
    <w:semiHidden/>
    <w:unhideWhenUsed/>
    <w:rsid w:val="00704826"/>
    <w:rPr>
      <w:color w:val="605E5C"/>
      <w:shd w:val="clear" w:color="auto" w:fill="E1DFDD"/>
    </w:rPr>
  </w:style>
  <w:style w:type="paragraph" w:styleId="Revision">
    <w:name w:val="Revision"/>
    <w:hidden/>
    <w:uiPriority w:val="99"/>
    <w:semiHidden/>
    <w:rsid w:val="00704826"/>
    <w:pPr>
      <w:spacing w:after="0" w:line="240" w:lineRule="auto"/>
    </w:pPr>
    <w:rPr>
      <w:rFonts w:ascii="Arial" w:hAnsi="Arial"/>
      <w:sz w:val="24"/>
    </w:rPr>
  </w:style>
  <w:style w:type="paragraph" w:customStyle="1" w:styleId="NIHRCH1">
    <w:name w:val="NIHRC H1"/>
    <w:basedOn w:val="Normal"/>
    <w:link w:val="NIHRCH1Char"/>
    <w:qFormat/>
    <w:rsid w:val="003540ED"/>
    <w:pPr>
      <w:autoSpaceDE w:val="0"/>
      <w:autoSpaceDN w:val="0"/>
      <w:adjustRightInd w:val="0"/>
    </w:pPr>
    <w:rPr>
      <w:rFonts w:eastAsiaTheme="minorHAnsi" w:cs="Arial"/>
      <w:b/>
      <w:bCs/>
      <w:iCs/>
      <w:color w:val="77328A"/>
      <w:sz w:val="30"/>
      <w:szCs w:val="22"/>
      <w:shd w:val="clear" w:color="auto" w:fill="FFFFFF"/>
    </w:rPr>
  </w:style>
  <w:style w:type="paragraph" w:customStyle="1" w:styleId="NIHRCH2">
    <w:name w:val="NIHRC H2"/>
    <w:basedOn w:val="Normal"/>
    <w:link w:val="NIHRCH2Char"/>
    <w:qFormat/>
    <w:rsid w:val="003540ED"/>
    <w:pPr>
      <w:autoSpaceDE w:val="0"/>
      <w:autoSpaceDN w:val="0"/>
      <w:adjustRightInd w:val="0"/>
    </w:pPr>
    <w:rPr>
      <w:rFonts w:eastAsiaTheme="minorHAnsi" w:cs="Arial"/>
      <w:b/>
      <w:kern w:val="24"/>
    </w:rPr>
  </w:style>
  <w:style w:type="character" w:customStyle="1" w:styleId="NIHRCH1Char">
    <w:name w:val="NIHRC H1 Char"/>
    <w:basedOn w:val="DefaultParagraphFont"/>
    <w:link w:val="NIHRCH1"/>
    <w:rsid w:val="003540ED"/>
    <w:rPr>
      <w:rFonts w:ascii="Verdana" w:hAnsi="Verdana" w:cs="Arial"/>
      <w:b/>
      <w:bCs/>
      <w:iCs/>
      <w:color w:val="77328A"/>
      <w:sz w:val="30"/>
    </w:rPr>
  </w:style>
  <w:style w:type="character" w:customStyle="1" w:styleId="NIHRCH2Char">
    <w:name w:val="NIHRC H2 Char"/>
    <w:basedOn w:val="DefaultParagraphFont"/>
    <w:link w:val="NIHRCH2"/>
    <w:rsid w:val="003540ED"/>
    <w:rPr>
      <w:rFonts w:ascii="Verdana" w:hAnsi="Verdana" w:cs="Arial"/>
      <w:b/>
      <w:kern w:val="24"/>
      <w:sz w:val="24"/>
      <w:szCs w:val="24"/>
    </w:rPr>
  </w:style>
  <w:style w:type="character" w:customStyle="1" w:styleId="Heading4Char">
    <w:name w:val="Heading 4 Char"/>
    <w:basedOn w:val="DefaultParagraphFont"/>
    <w:link w:val="Heading4"/>
    <w:uiPriority w:val="9"/>
    <w:semiHidden/>
    <w:rsid w:val="00F259D0"/>
    <w:rPr>
      <w:rFonts w:asciiTheme="majorHAnsi" w:eastAsiaTheme="majorEastAsia" w:hAnsiTheme="majorHAnsi" w:cstheme="majorBidi"/>
      <w:i/>
      <w:iCs/>
      <w:color w:val="2F5496" w:themeColor="accent1" w:themeShade="BF"/>
      <w:sz w:val="24"/>
      <w:szCs w:val="24"/>
    </w:rPr>
  </w:style>
  <w:style w:type="paragraph" w:styleId="EndnoteText">
    <w:name w:val="endnote text"/>
    <w:basedOn w:val="Normal"/>
    <w:link w:val="EndnoteTextChar"/>
    <w:uiPriority w:val="99"/>
    <w:semiHidden/>
    <w:unhideWhenUsed/>
    <w:rsid w:val="003D284E"/>
    <w:rPr>
      <w:sz w:val="20"/>
      <w:szCs w:val="20"/>
    </w:rPr>
  </w:style>
  <w:style w:type="character" w:customStyle="1" w:styleId="EndnoteTextChar">
    <w:name w:val="Endnote Text Char"/>
    <w:basedOn w:val="DefaultParagraphFont"/>
    <w:link w:val="EndnoteText"/>
    <w:uiPriority w:val="99"/>
    <w:semiHidden/>
    <w:rsid w:val="003D284E"/>
    <w:rPr>
      <w:rFonts w:ascii="Verdana" w:eastAsiaTheme="minorEastAsia" w:hAnsi="Verdana"/>
      <w:sz w:val="20"/>
      <w:szCs w:val="20"/>
    </w:rPr>
  </w:style>
  <w:style w:type="character" w:styleId="EndnoteReference">
    <w:name w:val="endnote reference"/>
    <w:basedOn w:val="DefaultParagraphFont"/>
    <w:uiPriority w:val="99"/>
    <w:semiHidden/>
    <w:unhideWhenUsed/>
    <w:rsid w:val="003D28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767">
      <w:bodyDiv w:val="1"/>
      <w:marLeft w:val="0"/>
      <w:marRight w:val="0"/>
      <w:marTop w:val="0"/>
      <w:marBottom w:val="0"/>
      <w:divBdr>
        <w:top w:val="none" w:sz="0" w:space="0" w:color="auto"/>
        <w:left w:val="none" w:sz="0" w:space="0" w:color="auto"/>
        <w:bottom w:val="none" w:sz="0" w:space="0" w:color="auto"/>
        <w:right w:val="none" w:sz="0" w:space="0" w:color="auto"/>
      </w:divBdr>
    </w:div>
    <w:div w:id="37172262">
      <w:bodyDiv w:val="1"/>
      <w:marLeft w:val="0"/>
      <w:marRight w:val="0"/>
      <w:marTop w:val="0"/>
      <w:marBottom w:val="0"/>
      <w:divBdr>
        <w:top w:val="none" w:sz="0" w:space="0" w:color="auto"/>
        <w:left w:val="none" w:sz="0" w:space="0" w:color="auto"/>
        <w:bottom w:val="none" w:sz="0" w:space="0" w:color="auto"/>
        <w:right w:val="none" w:sz="0" w:space="0" w:color="auto"/>
      </w:divBdr>
    </w:div>
    <w:div w:id="84807883">
      <w:bodyDiv w:val="1"/>
      <w:marLeft w:val="0"/>
      <w:marRight w:val="0"/>
      <w:marTop w:val="0"/>
      <w:marBottom w:val="0"/>
      <w:divBdr>
        <w:top w:val="none" w:sz="0" w:space="0" w:color="auto"/>
        <w:left w:val="none" w:sz="0" w:space="0" w:color="auto"/>
        <w:bottom w:val="none" w:sz="0" w:space="0" w:color="auto"/>
        <w:right w:val="none" w:sz="0" w:space="0" w:color="auto"/>
      </w:divBdr>
    </w:div>
    <w:div w:id="99183159">
      <w:bodyDiv w:val="1"/>
      <w:marLeft w:val="0"/>
      <w:marRight w:val="0"/>
      <w:marTop w:val="0"/>
      <w:marBottom w:val="0"/>
      <w:divBdr>
        <w:top w:val="none" w:sz="0" w:space="0" w:color="auto"/>
        <w:left w:val="none" w:sz="0" w:space="0" w:color="auto"/>
        <w:bottom w:val="none" w:sz="0" w:space="0" w:color="auto"/>
        <w:right w:val="none" w:sz="0" w:space="0" w:color="auto"/>
      </w:divBdr>
    </w:div>
    <w:div w:id="157622447">
      <w:bodyDiv w:val="1"/>
      <w:marLeft w:val="0"/>
      <w:marRight w:val="0"/>
      <w:marTop w:val="0"/>
      <w:marBottom w:val="0"/>
      <w:divBdr>
        <w:top w:val="none" w:sz="0" w:space="0" w:color="auto"/>
        <w:left w:val="none" w:sz="0" w:space="0" w:color="auto"/>
        <w:bottom w:val="none" w:sz="0" w:space="0" w:color="auto"/>
        <w:right w:val="none" w:sz="0" w:space="0" w:color="auto"/>
      </w:divBdr>
    </w:div>
    <w:div w:id="240872757">
      <w:bodyDiv w:val="1"/>
      <w:marLeft w:val="0"/>
      <w:marRight w:val="0"/>
      <w:marTop w:val="0"/>
      <w:marBottom w:val="0"/>
      <w:divBdr>
        <w:top w:val="none" w:sz="0" w:space="0" w:color="auto"/>
        <w:left w:val="none" w:sz="0" w:space="0" w:color="auto"/>
        <w:bottom w:val="none" w:sz="0" w:space="0" w:color="auto"/>
        <w:right w:val="none" w:sz="0" w:space="0" w:color="auto"/>
      </w:divBdr>
      <w:divsChild>
        <w:div w:id="1375738082">
          <w:marLeft w:val="0"/>
          <w:marRight w:val="0"/>
          <w:marTop w:val="0"/>
          <w:marBottom w:val="0"/>
          <w:divBdr>
            <w:top w:val="none" w:sz="0" w:space="0" w:color="auto"/>
            <w:left w:val="none" w:sz="0" w:space="0" w:color="auto"/>
            <w:bottom w:val="none" w:sz="0" w:space="0" w:color="auto"/>
            <w:right w:val="none" w:sz="0" w:space="0" w:color="auto"/>
          </w:divBdr>
        </w:div>
        <w:div w:id="857888967">
          <w:marLeft w:val="0"/>
          <w:marRight w:val="0"/>
          <w:marTop w:val="0"/>
          <w:marBottom w:val="0"/>
          <w:divBdr>
            <w:top w:val="none" w:sz="0" w:space="0" w:color="auto"/>
            <w:left w:val="none" w:sz="0" w:space="0" w:color="auto"/>
            <w:bottom w:val="none" w:sz="0" w:space="0" w:color="auto"/>
            <w:right w:val="none" w:sz="0" w:space="0" w:color="auto"/>
          </w:divBdr>
        </w:div>
        <w:div w:id="1887907129">
          <w:marLeft w:val="0"/>
          <w:marRight w:val="0"/>
          <w:marTop w:val="0"/>
          <w:marBottom w:val="0"/>
          <w:divBdr>
            <w:top w:val="none" w:sz="0" w:space="0" w:color="auto"/>
            <w:left w:val="none" w:sz="0" w:space="0" w:color="auto"/>
            <w:bottom w:val="none" w:sz="0" w:space="0" w:color="auto"/>
            <w:right w:val="none" w:sz="0" w:space="0" w:color="auto"/>
          </w:divBdr>
        </w:div>
        <w:div w:id="109671925">
          <w:marLeft w:val="0"/>
          <w:marRight w:val="0"/>
          <w:marTop w:val="0"/>
          <w:marBottom w:val="0"/>
          <w:divBdr>
            <w:top w:val="none" w:sz="0" w:space="0" w:color="auto"/>
            <w:left w:val="none" w:sz="0" w:space="0" w:color="auto"/>
            <w:bottom w:val="none" w:sz="0" w:space="0" w:color="auto"/>
            <w:right w:val="none" w:sz="0" w:space="0" w:color="auto"/>
          </w:divBdr>
        </w:div>
        <w:div w:id="1384014505">
          <w:marLeft w:val="0"/>
          <w:marRight w:val="0"/>
          <w:marTop w:val="0"/>
          <w:marBottom w:val="0"/>
          <w:divBdr>
            <w:top w:val="none" w:sz="0" w:space="0" w:color="auto"/>
            <w:left w:val="none" w:sz="0" w:space="0" w:color="auto"/>
            <w:bottom w:val="none" w:sz="0" w:space="0" w:color="auto"/>
            <w:right w:val="none" w:sz="0" w:space="0" w:color="auto"/>
          </w:divBdr>
        </w:div>
      </w:divsChild>
    </w:div>
    <w:div w:id="288779299">
      <w:bodyDiv w:val="1"/>
      <w:marLeft w:val="0"/>
      <w:marRight w:val="0"/>
      <w:marTop w:val="0"/>
      <w:marBottom w:val="0"/>
      <w:divBdr>
        <w:top w:val="none" w:sz="0" w:space="0" w:color="auto"/>
        <w:left w:val="none" w:sz="0" w:space="0" w:color="auto"/>
        <w:bottom w:val="none" w:sz="0" w:space="0" w:color="auto"/>
        <w:right w:val="none" w:sz="0" w:space="0" w:color="auto"/>
      </w:divBdr>
    </w:div>
    <w:div w:id="295448446">
      <w:bodyDiv w:val="1"/>
      <w:marLeft w:val="0"/>
      <w:marRight w:val="0"/>
      <w:marTop w:val="0"/>
      <w:marBottom w:val="0"/>
      <w:divBdr>
        <w:top w:val="none" w:sz="0" w:space="0" w:color="auto"/>
        <w:left w:val="none" w:sz="0" w:space="0" w:color="auto"/>
        <w:bottom w:val="none" w:sz="0" w:space="0" w:color="auto"/>
        <w:right w:val="none" w:sz="0" w:space="0" w:color="auto"/>
      </w:divBdr>
    </w:div>
    <w:div w:id="323120449">
      <w:bodyDiv w:val="1"/>
      <w:marLeft w:val="0"/>
      <w:marRight w:val="0"/>
      <w:marTop w:val="0"/>
      <w:marBottom w:val="0"/>
      <w:divBdr>
        <w:top w:val="none" w:sz="0" w:space="0" w:color="auto"/>
        <w:left w:val="none" w:sz="0" w:space="0" w:color="auto"/>
        <w:bottom w:val="none" w:sz="0" w:space="0" w:color="auto"/>
        <w:right w:val="none" w:sz="0" w:space="0" w:color="auto"/>
      </w:divBdr>
    </w:div>
    <w:div w:id="332954308">
      <w:bodyDiv w:val="1"/>
      <w:marLeft w:val="0"/>
      <w:marRight w:val="0"/>
      <w:marTop w:val="0"/>
      <w:marBottom w:val="0"/>
      <w:divBdr>
        <w:top w:val="none" w:sz="0" w:space="0" w:color="auto"/>
        <w:left w:val="none" w:sz="0" w:space="0" w:color="auto"/>
        <w:bottom w:val="none" w:sz="0" w:space="0" w:color="auto"/>
        <w:right w:val="none" w:sz="0" w:space="0" w:color="auto"/>
      </w:divBdr>
    </w:div>
    <w:div w:id="384791531">
      <w:bodyDiv w:val="1"/>
      <w:marLeft w:val="0"/>
      <w:marRight w:val="0"/>
      <w:marTop w:val="0"/>
      <w:marBottom w:val="0"/>
      <w:divBdr>
        <w:top w:val="none" w:sz="0" w:space="0" w:color="auto"/>
        <w:left w:val="none" w:sz="0" w:space="0" w:color="auto"/>
        <w:bottom w:val="none" w:sz="0" w:space="0" w:color="auto"/>
        <w:right w:val="none" w:sz="0" w:space="0" w:color="auto"/>
      </w:divBdr>
    </w:div>
    <w:div w:id="403182916">
      <w:bodyDiv w:val="1"/>
      <w:marLeft w:val="0"/>
      <w:marRight w:val="0"/>
      <w:marTop w:val="0"/>
      <w:marBottom w:val="0"/>
      <w:divBdr>
        <w:top w:val="none" w:sz="0" w:space="0" w:color="auto"/>
        <w:left w:val="none" w:sz="0" w:space="0" w:color="auto"/>
        <w:bottom w:val="none" w:sz="0" w:space="0" w:color="auto"/>
        <w:right w:val="none" w:sz="0" w:space="0" w:color="auto"/>
      </w:divBdr>
    </w:div>
    <w:div w:id="428623458">
      <w:bodyDiv w:val="1"/>
      <w:marLeft w:val="0"/>
      <w:marRight w:val="0"/>
      <w:marTop w:val="0"/>
      <w:marBottom w:val="0"/>
      <w:divBdr>
        <w:top w:val="none" w:sz="0" w:space="0" w:color="auto"/>
        <w:left w:val="none" w:sz="0" w:space="0" w:color="auto"/>
        <w:bottom w:val="none" w:sz="0" w:space="0" w:color="auto"/>
        <w:right w:val="none" w:sz="0" w:space="0" w:color="auto"/>
      </w:divBdr>
    </w:div>
    <w:div w:id="506792342">
      <w:bodyDiv w:val="1"/>
      <w:marLeft w:val="0"/>
      <w:marRight w:val="0"/>
      <w:marTop w:val="0"/>
      <w:marBottom w:val="0"/>
      <w:divBdr>
        <w:top w:val="none" w:sz="0" w:space="0" w:color="auto"/>
        <w:left w:val="none" w:sz="0" w:space="0" w:color="auto"/>
        <w:bottom w:val="none" w:sz="0" w:space="0" w:color="auto"/>
        <w:right w:val="none" w:sz="0" w:space="0" w:color="auto"/>
      </w:divBdr>
    </w:div>
    <w:div w:id="526647792">
      <w:bodyDiv w:val="1"/>
      <w:marLeft w:val="0"/>
      <w:marRight w:val="0"/>
      <w:marTop w:val="0"/>
      <w:marBottom w:val="0"/>
      <w:divBdr>
        <w:top w:val="none" w:sz="0" w:space="0" w:color="auto"/>
        <w:left w:val="none" w:sz="0" w:space="0" w:color="auto"/>
        <w:bottom w:val="none" w:sz="0" w:space="0" w:color="auto"/>
        <w:right w:val="none" w:sz="0" w:space="0" w:color="auto"/>
      </w:divBdr>
    </w:div>
    <w:div w:id="577592460">
      <w:bodyDiv w:val="1"/>
      <w:marLeft w:val="0"/>
      <w:marRight w:val="0"/>
      <w:marTop w:val="0"/>
      <w:marBottom w:val="0"/>
      <w:divBdr>
        <w:top w:val="none" w:sz="0" w:space="0" w:color="auto"/>
        <w:left w:val="none" w:sz="0" w:space="0" w:color="auto"/>
        <w:bottom w:val="none" w:sz="0" w:space="0" w:color="auto"/>
        <w:right w:val="none" w:sz="0" w:space="0" w:color="auto"/>
      </w:divBdr>
    </w:div>
    <w:div w:id="585304665">
      <w:bodyDiv w:val="1"/>
      <w:marLeft w:val="0"/>
      <w:marRight w:val="0"/>
      <w:marTop w:val="0"/>
      <w:marBottom w:val="0"/>
      <w:divBdr>
        <w:top w:val="none" w:sz="0" w:space="0" w:color="auto"/>
        <w:left w:val="none" w:sz="0" w:space="0" w:color="auto"/>
        <w:bottom w:val="none" w:sz="0" w:space="0" w:color="auto"/>
        <w:right w:val="none" w:sz="0" w:space="0" w:color="auto"/>
      </w:divBdr>
    </w:div>
    <w:div w:id="666905923">
      <w:bodyDiv w:val="1"/>
      <w:marLeft w:val="0"/>
      <w:marRight w:val="0"/>
      <w:marTop w:val="0"/>
      <w:marBottom w:val="0"/>
      <w:divBdr>
        <w:top w:val="none" w:sz="0" w:space="0" w:color="auto"/>
        <w:left w:val="none" w:sz="0" w:space="0" w:color="auto"/>
        <w:bottom w:val="none" w:sz="0" w:space="0" w:color="auto"/>
        <w:right w:val="none" w:sz="0" w:space="0" w:color="auto"/>
      </w:divBdr>
    </w:div>
    <w:div w:id="685442595">
      <w:bodyDiv w:val="1"/>
      <w:marLeft w:val="0"/>
      <w:marRight w:val="0"/>
      <w:marTop w:val="0"/>
      <w:marBottom w:val="0"/>
      <w:divBdr>
        <w:top w:val="none" w:sz="0" w:space="0" w:color="auto"/>
        <w:left w:val="none" w:sz="0" w:space="0" w:color="auto"/>
        <w:bottom w:val="none" w:sz="0" w:space="0" w:color="auto"/>
        <w:right w:val="none" w:sz="0" w:space="0" w:color="auto"/>
      </w:divBdr>
    </w:div>
    <w:div w:id="697702818">
      <w:bodyDiv w:val="1"/>
      <w:marLeft w:val="0"/>
      <w:marRight w:val="0"/>
      <w:marTop w:val="0"/>
      <w:marBottom w:val="0"/>
      <w:divBdr>
        <w:top w:val="none" w:sz="0" w:space="0" w:color="auto"/>
        <w:left w:val="none" w:sz="0" w:space="0" w:color="auto"/>
        <w:bottom w:val="none" w:sz="0" w:space="0" w:color="auto"/>
        <w:right w:val="none" w:sz="0" w:space="0" w:color="auto"/>
      </w:divBdr>
    </w:div>
    <w:div w:id="707879984">
      <w:bodyDiv w:val="1"/>
      <w:marLeft w:val="0"/>
      <w:marRight w:val="0"/>
      <w:marTop w:val="0"/>
      <w:marBottom w:val="0"/>
      <w:divBdr>
        <w:top w:val="none" w:sz="0" w:space="0" w:color="auto"/>
        <w:left w:val="none" w:sz="0" w:space="0" w:color="auto"/>
        <w:bottom w:val="none" w:sz="0" w:space="0" w:color="auto"/>
        <w:right w:val="none" w:sz="0" w:space="0" w:color="auto"/>
      </w:divBdr>
    </w:div>
    <w:div w:id="720052713">
      <w:bodyDiv w:val="1"/>
      <w:marLeft w:val="0"/>
      <w:marRight w:val="0"/>
      <w:marTop w:val="0"/>
      <w:marBottom w:val="0"/>
      <w:divBdr>
        <w:top w:val="none" w:sz="0" w:space="0" w:color="auto"/>
        <w:left w:val="none" w:sz="0" w:space="0" w:color="auto"/>
        <w:bottom w:val="none" w:sz="0" w:space="0" w:color="auto"/>
        <w:right w:val="none" w:sz="0" w:space="0" w:color="auto"/>
      </w:divBdr>
    </w:div>
    <w:div w:id="732966655">
      <w:bodyDiv w:val="1"/>
      <w:marLeft w:val="0"/>
      <w:marRight w:val="0"/>
      <w:marTop w:val="0"/>
      <w:marBottom w:val="0"/>
      <w:divBdr>
        <w:top w:val="none" w:sz="0" w:space="0" w:color="auto"/>
        <w:left w:val="none" w:sz="0" w:space="0" w:color="auto"/>
        <w:bottom w:val="none" w:sz="0" w:space="0" w:color="auto"/>
        <w:right w:val="none" w:sz="0" w:space="0" w:color="auto"/>
      </w:divBdr>
    </w:div>
    <w:div w:id="747653153">
      <w:bodyDiv w:val="1"/>
      <w:marLeft w:val="0"/>
      <w:marRight w:val="0"/>
      <w:marTop w:val="0"/>
      <w:marBottom w:val="0"/>
      <w:divBdr>
        <w:top w:val="none" w:sz="0" w:space="0" w:color="auto"/>
        <w:left w:val="none" w:sz="0" w:space="0" w:color="auto"/>
        <w:bottom w:val="none" w:sz="0" w:space="0" w:color="auto"/>
        <w:right w:val="none" w:sz="0" w:space="0" w:color="auto"/>
      </w:divBdr>
    </w:div>
    <w:div w:id="844907109">
      <w:bodyDiv w:val="1"/>
      <w:marLeft w:val="0"/>
      <w:marRight w:val="0"/>
      <w:marTop w:val="0"/>
      <w:marBottom w:val="0"/>
      <w:divBdr>
        <w:top w:val="none" w:sz="0" w:space="0" w:color="auto"/>
        <w:left w:val="none" w:sz="0" w:space="0" w:color="auto"/>
        <w:bottom w:val="none" w:sz="0" w:space="0" w:color="auto"/>
        <w:right w:val="none" w:sz="0" w:space="0" w:color="auto"/>
      </w:divBdr>
    </w:div>
    <w:div w:id="845827574">
      <w:bodyDiv w:val="1"/>
      <w:marLeft w:val="0"/>
      <w:marRight w:val="0"/>
      <w:marTop w:val="0"/>
      <w:marBottom w:val="0"/>
      <w:divBdr>
        <w:top w:val="none" w:sz="0" w:space="0" w:color="auto"/>
        <w:left w:val="none" w:sz="0" w:space="0" w:color="auto"/>
        <w:bottom w:val="none" w:sz="0" w:space="0" w:color="auto"/>
        <w:right w:val="none" w:sz="0" w:space="0" w:color="auto"/>
      </w:divBdr>
    </w:div>
    <w:div w:id="906380717">
      <w:bodyDiv w:val="1"/>
      <w:marLeft w:val="0"/>
      <w:marRight w:val="0"/>
      <w:marTop w:val="0"/>
      <w:marBottom w:val="0"/>
      <w:divBdr>
        <w:top w:val="none" w:sz="0" w:space="0" w:color="auto"/>
        <w:left w:val="none" w:sz="0" w:space="0" w:color="auto"/>
        <w:bottom w:val="none" w:sz="0" w:space="0" w:color="auto"/>
        <w:right w:val="none" w:sz="0" w:space="0" w:color="auto"/>
      </w:divBdr>
    </w:div>
    <w:div w:id="925647426">
      <w:bodyDiv w:val="1"/>
      <w:marLeft w:val="0"/>
      <w:marRight w:val="0"/>
      <w:marTop w:val="0"/>
      <w:marBottom w:val="0"/>
      <w:divBdr>
        <w:top w:val="none" w:sz="0" w:space="0" w:color="auto"/>
        <w:left w:val="none" w:sz="0" w:space="0" w:color="auto"/>
        <w:bottom w:val="none" w:sz="0" w:space="0" w:color="auto"/>
        <w:right w:val="none" w:sz="0" w:space="0" w:color="auto"/>
      </w:divBdr>
    </w:div>
    <w:div w:id="949166138">
      <w:bodyDiv w:val="1"/>
      <w:marLeft w:val="0"/>
      <w:marRight w:val="0"/>
      <w:marTop w:val="0"/>
      <w:marBottom w:val="0"/>
      <w:divBdr>
        <w:top w:val="none" w:sz="0" w:space="0" w:color="auto"/>
        <w:left w:val="none" w:sz="0" w:space="0" w:color="auto"/>
        <w:bottom w:val="none" w:sz="0" w:space="0" w:color="auto"/>
        <w:right w:val="none" w:sz="0" w:space="0" w:color="auto"/>
      </w:divBdr>
    </w:div>
    <w:div w:id="959068287">
      <w:bodyDiv w:val="1"/>
      <w:marLeft w:val="0"/>
      <w:marRight w:val="0"/>
      <w:marTop w:val="0"/>
      <w:marBottom w:val="0"/>
      <w:divBdr>
        <w:top w:val="none" w:sz="0" w:space="0" w:color="auto"/>
        <w:left w:val="none" w:sz="0" w:space="0" w:color="auto"/>
        <w:bottom w:val="none" w:sz="0" w:space="0" w:color="auto"/>
        <w:right w:val="none" w:sz="0" w:space="0" w:color="auto"/>
      </w:divBdr>
    </w:div>
    <w:div w:id="1034963804">
      <w:bodyDiv w:val="1"/>
      <w:marLeft w:val="0"/>
      <w:marRight w:val="0"/>
      <w:marTop w:val="0"/>
      <w:marBottom w:val="0"/>
      <w:divBdr>
        <w:top w:val="none" w:sz="0" w:space="0" w:color="auto"/>
        <w:left w:val="none" w:sz="0" w:space="0" w:color="auto"/>
        <w:bottom w:val="none" w:sz="0" w:space="0" w:color="auto"/>
        <w:right w:val="none" w:sz="0" w:space="0" w:color="auto"/>
      </w:divBdr>
    </w:div>
    <w:div w:id="1068578099">
      <w:bodyDiv w:val="1"/>
      <w:marLeft w:val="0"/>
      <w:marRight w:val="0"/>
      <w:marTop w:val="0"/>
      <w:marBottom w:val="0"/>
      <w:divBdr>
        <w:top w:val="none" w:sz="0" w:space="0" w:color="auto"/>
        <w:left w:val="none" w:sz="0" w:space="0" w:color="auto"/>
        <w:bottom w:val="none" w:sz="0" w:space="0" w:color="auto"/>
        <w:right w:val="none" w:sz="0" w:space="0" w:color="auto"/>
      </w:divBdr>
    </w:div>
    <w:div w:id="1069956737">
      <w:bodyDiv w:val="1"/>
      <w:marLeft w:val="0"/>
      <w:marRight w:val="0"/>
      <w:marTop w:val="0"/>
      <w:marBottom w:val="0"/>
      <w:divBdr>
        <w:top w:val="none" w:sz="0" w:space="0" w:color="auto"/>
        <w:left w:val="none" w:sz="0" w:space="0" w:color="auto"/>
        <w:bottom w:val="none" w:sz="0" w:space="0" w:color="auto"/>
        <w:right w:val="none" w:sz="0" w:space="0" w:color="auto"/>
      </w:divBdr>
    </w:div>
    <w:div w:id="1117485307">
      <w:bodyDiv w:val="1"/>
      <w:marLeft w:val="0"/>
      <w:marRight w:val="0"/>
      <w:marTop w:val="0"/>
      <w:marBottom w:val="0"/>
      <w:divBdr>
        <w:top w:val="none" w:sz="0" w:space="0" w:color="auto"/>
        <w:left w:val="none" w:sz="0" w:space="0" w:color="auto"/>
        <w:bottom w:val="none" w:sz="0" w:space="0" w:color="auto"/>
        <w:right w:val="none" w:sz="0" w:space="0" w:color="auto"/>
      </w:divBdr>
    </w:div>
    <w:div w:id="1258056999">
      <w:bodyDiv w:val="1"/>
      <w:marLeft w:val="0"/>
      <w:marRight w:val="0"/>
      <w:marTop w:val="0"/>
      <w:marBottom w:val="0"/>
      <w:divBdr>
        <w:top w:val="none" w:sz="0" w:space="0" w:color="auto"/>
        <w:left w:val="none" w:sz="0" w:space="0" w:color="auto"/>
        <w:bottom w:val="none" w:sz="0" w:space="0" w:color="auto"/>
        <w:right w:val="none" w:sz="0" w:space="0" w:color="auto"/>
      </w:divBdr>
    </w:div>
    <w:div w:id="1264460460">
      <w:bodyDiv w:val="1"/>
      <w:marLeft w:val="0"/>
      <w:marRight w:val="0"/>
      <w:marTop w:val="0"/>
      <w:marBottom w:val="0"/>
      <w:divBdr>
        <w:top w:val="none" w:sz="0" w:space="0" w:color="auto"/>
        <w:left w:val="none" w:sz="0" w:space="0" w:color="auto"/>
        <w:bottom w:val="none" w:sz="0" w:space="0" w:color="auto"/>
        <w:right w:val="none" w:sz="0" w:space="0" w:color="auto"/>
      </w:divBdr>
    </w:div>
    <w:div w:id="1311324004">
      <w:bodyDiv w:val="1"/>
      <w:marLeft w:val="0"/>
      <w:marRight w:val="0"/>
      <w:marTop w:val="0"/>
      <w:marBottom w:val="0"/>
      <w:divBdr>
        <w:top w:val="none" w:sz="0" w:space="0" w:color="auto"/>
        <w:left w:val="none" w:sz="0" w:space="0" w:color="auto"/>
        <w:bottom w:val="none" w:sz="0" w:space="0" w:color="auto"/>
        <w:right w:val="none" w:sz="0" w:space="0" w:color="auto"/>
      </w:divBdr>
    </w:div>
    <w:div w:id="1345329883">
      <w:bodyDiv w:val="1"/>
      <w:marLeft w:val="0"/>
      <w:marRight w:val="0"/>
      <w:marTop w:val="0"/>
      <w:marBottom w:val="0"/>
      <w:divBdr>
        <w:top w:val="none" w:sz="0" w:space="0" w:color="auto"/>
        <w:left w:val="none" w:sz="0" w:space="0" w:color="auto"/>
        <w:bottom w:val="none" w:sz="0" w:space="0" w:color="auto"/>
        <w:right w:val="none" w:sz="0" w:space="0" w:color="auto"/>
      </w:divBdr>
      <w:divsChild>
        <w:div w:id="5945121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98430902">
      <w:bodyDiv w:val="1"/>
      <w:marLeft w:val="0"/>
      <w:marRight w:val="0"/>
      <w:marTop w:val="0"/>
      <w:marBottom w:val="0"/>
      <w:divBdr>
        <w:top w:val="none" w:sz="0" w:space="0" w:color="auto"/>
        <w:left w:val="none" w:sz="0" w:space="0" w:color="auto"/>
        <w:bottom w:val="none" w:sz="0" w:space="0" w:color="auto"/>
        <w:right w:val="none" w:sz="0" w:space="0" w:color="auto"/>
      </w:divBdr>
    </w:div>
    <w:div w:id="1418592349">
      <w:bodyDiv w:val="1"/>
      <w:marLeft w:val="0"/>
      <w:marRight w:val="0"/>
      <w:marTop w:val="0"/>
      <w:marBottom w:val="0"/>
      <w:divBdr>
        <w:top w:val="none" w:sz="0" w:space="0" w:color="auto"/>
        <w:left w:val="none" w:sz="0" w:space="0" w:color="auto"/>
        <w:bottom w:val="none" w:sz="0" w:space="0" w:color="auto"/>
        <w:right w:val="none" w:sz="0" w:space="0" w:color="auto"/>
      </w:divBdr>
    </w:div>
    <w:div w:id="1421607048">
      <w:bodyDiv w:val="1"/>
      <w:marLeft w:val="0"/>
      <w:marRight w:val="0"/>
      <w:marTop w:val="0"/>
      <w:marBottom w:val="0"/>
      <w:divBdr>
        <w:top w:val="none" w:sz="0" w:space="0" w:color="auto"/>
        <w:left w:val="none" w:sz="0" w:space="0" w:color="auto"/>
        <w:bottom w:val="none" w:sz="0" w:space="0" w:color="auto"/>
        <w:right w:val="none" w:sz="0" w:space="0" w:color="auto"/>
      </w:divBdr>
    </w:div>
    <w:div w:id="1440179646">
      <w:bodyDiv w:val="1"/>
      <w:marLeft w:val="0"/>
      <w:marRight w:val="0"/>
      <w:marTop w:val="0"/>
      <w:marBottom w:val="0"/>
      <w:divBdr>
        <w:top w:val="none" w:sz="0" w:space="0" w:color="auto"/>
        <w:left w:val="none" w:sz="0" w:space="0" w:color="auto"/>
        <w:bottom w:val="none" w:sz="0" w:space="0" w:color="auto"/>
        <w:right w:val="none" w:sz="0" w:space="0" w:color="auto"/>
      </w:divBdr>
    </w:div>
    <w:div w:id="1444228753">
      <w:bodyDiv w:val="1"/>
      <w:marLeft w:val="0"/>
      <w:marRight w:val="0"/>
      <w:marTop w:val="0"/>
      <w:marBottom w:val="0"/>
      <w:divBdr>
        <w:top w:val="none" w:sz="0" w:space="0" w:color="auto"/>
        <w:left w:val="none" w:sz="0" w:space="0" w:color="auto"/>
        <w:bottom w:val="none" w:sz="0" w:space="0" w:color="auto"/>
        <w:right w:val="none" w:sz="0" w:space="0" w:color="auto"/>
      </w:divBdr>
    </w:div>
    <w:div w:id="1471942378">
      <w:bodyDiv w:val="1"/>
      <w:marLeft w:val="0"/>
      <w:marRight w:val="0"/>
      <w:marTop w:val="0"/>
      <w:marBottom w:val="0"/>
      <w:divBdr>
        <w:top w:val="none" w:sz="0" w:space="0" w:color="auto"/>
        <w:left w:val="none" w:sz="0" w:space="0" w:color="auto"/>
        <w:bottom w:val="none" w:sz="0" w:space="0" w:color="auto"/>
        <w:right w:val="none" w:sz="0" w:space="0" w:color="auto"/>
      </w:divBdr>
    </w:div>
    <w:div w:id="1501701574">
      <w:bodyDiv w:val="1"/>
      <w:marLeft w:val="0"/>
      <w:marRight w:val="0"/>
      <w:marTop w:val="0"/>
      <w:marBottom w:val="0"/>
      <w:divBdr>
        <w:top w:val="none" w:sz="0" w:space="0" w:color="auto"/>
        <w:left w:val="none" w:sz="0" w:space="0" w:color="auto"/>
        <w:bottom w:val="none" w:sz="0" w:space="0" w:color="auto"/>
        <w:right w:val="none" w:sz="0" w:space="0" w:color="auto"/>
      </w:divBdr>
    </w:div>
    <w:div w:id="1505049048">
      <w:bodyDiv w:val="1"/>
      <w:marLeft w:val="0"/>
      <w:marRight w:val="0"/>
      <w:marTop w:val="0"/>
      <w:marBottom w:val="0"/>
      <w:divBdr>
        <w:top w:val="none" w:sz="0" w:space="0" w:color="auto"/>
        <w:left w:val="none" w:sz="0" w:space="0" w:color="auto"/>
        <w:bottom w:val="none" w:sz="0" w:space="0" w:color="auto"/>
        <w:right w:val="none" w:sz="0" w:space="0" w:color="auto"/>
      </w:divBdr>
    </w:div>
    <w:div w:id="1657874994">
      <w:bodyDiv w:val="1"/>
      <w:marLeft w:val="0"/>
      <w:marRight w:val="0"/>
      <w:marTop w:val="0"/>
      <w:marBottom w:val="0"/>
      <w:divBdr>
        <w:top w:val="none" w:sz="0" w:space="0" w:color="auto"/>
        <w:left w:val="none" w:sz="0" w:space="0" w:color="auto"/>
        <w:bottom w:val="none" w:sz="0" w:space="0" w:color="auto"/>
        <w:right w:val="none" w:sz="0" w:space="0" w:color="auto"/>
      </w:divBdr>
    </w:div>
    <w:div w:id="1678071466">
      <w:bodyDiv w:val="1"/>
      <w:marLeft w:val="0"/>
      <w:marRight w:val="0"/>
      <w:marTop w:val="0"/>
      <w:marBottom w:val="0"/>
      <w:divBdr>
        <w:top w:val="none" w:sz="0" w:space="0" w:color="auto"/>
        <w:left w:val="none" w:sz="0" w:space="0" w:color="auto"/>
        <w:bottom w:val="none" w:sz="0" w:space="0" w:color="auto"/>
        <w:right w:val="none" w:sz="0" w:space="0" w:color="auto"/>
      </w:divBdr>
    </w:div>
    <w:div w:id="1702168340">
      <w:bodyDiv w:val="1"/>
      <w:marLeft w:val="0"/>
      <w:marRight w:val="0"/>
      <w:marTop w:val="0"/>
      <w:marBottom w:val="0"/>
      <w:divBdr>
        <w:top w:val="none" w:sz="0" w:space="0" w:color="auto"/>
        <w:left w:val="none" w:sz="0" w:space="0" w:color="auto"/>
        <w:bottom w:val="none" w:sz="0" w:space="0" w:color="auto"/>
        <w:right w:val="none" w:sz="0" w:space="0" w:color="auto"/>
      </w:divBdr>
    </w:div>
    <w:div w:id="1866477869">
      <w:bodyDiv w:val="1"/>
      <w:marLeft w:val="0"/>
      <w:marRight w:val="0"/>
      <w:marTop w:val="0"/>
      <w:marBottom w:val="0"/>
      <w:divBdr>
        <w:top w:val="none" w:sz="0" w:space="0" w:color="auto"/>
        <w:left w:val="none" w:sz="0" w:space="0" w:color="auto"/>
        <w:bottom w:val="none" w:sz="0" w:space="0" w:color="auto"/>
        <w:right w:val="none" w:sz="0" w:space="0" w:color="auto"/>
      </w:divBdr>
    </w:div>
    <w:div w:id="1873225675">
      <w:bodyDiv w:val="1"/>
      <w:marLeft w:val="0"/>
      <w:marRight w:val="0"/>
      <w:marTop w:val="0"/>
      <w:marBottom w:val="0"/>
      <w:divBdr>
        <w:top w:val="none" w:sz="0" w:space="0" w:color="auto"/>
        <w:left w:val="none" w:sz="0" w:space="0" w:color="auto"/>
        <w:bottom w:val="none" w:sz="0" w:space="0" w:color="auto"/>
        <w:right w:val="none" w:sz="0" w:space="0" w:color="auto"/>
      </w:divBdr>
    </w:div>
    <w:div w:id="1947879434">
      <w:bodyDiv w:val="1"/>
      <w:marLeft w:val="0"/>
      <w:marRight w:val="0"/>
      <w:marTop w:val="0"/>
      <w:marBottom w:val="0"/>
      <w:divBdr>
        <w:top w:val="none" w:sz="0" w:space="0" w:color="auto"/>
        <w:left w:val="none" w:sz="0" w:space="0" w:color="auto"/>
        <w:bottom w:val="none" w:sz="0" w:space="0" w:color="auto"/>
        <w:right w:val="none" w:sz="0" w:space="0" w:color="auto"/>
      </w:divBdr>
    </w:div>
    <w:div w:id="1977564421">
      <w:bodyDiv w:val="1"/>
      <w:marLeft w:val="0"/>
      <w:marRight w:val="0"/>
      <w:marTop w:val="0"/>
      <w:marBottom w:val="0"/>
      <w:divBdr>
        <w:top w:val="none" w:sz="0" w:space="0" w:color="auto"/>
        <w:left w:val="none" w:sz="0" w:space="0" w:color="auto"/>
        <w:bottom w:val="none" w:sz="0" w:space="0" w:color="auto"/>
        <w:right w:val="none" w:sz="0" w:space="0" w:color="auto"/>
      </w:divBdr>
    </w:div>
    <w:div w:id="2017607520">
      <w:bodyDiv w:val="1"/>
      <w:marLeft w:val="0"/>
      <w:marRight w:val="0"/>
      <w:marTop w:val="0"/>
      <w:marBottom w:val="0"/>
      <w:divBdr>
        <w:top w:val="none" w:sz="0" w:space="0" w:color="auto"/>
        <w:left w:val="none" w:sz="0" w:space="0" w:color="auto"/>
        <w:bottom w:val="none" w:sz="0" w:space="0" w:color="auto"/>
        <w:right w:val="none" w:sz="0" w:space="0" w:color="auto"/>
      </w:divBdr>
    </w:div>
    <w:div w:id="2063481949">
      <w:bodyDiv w:val="1"/>
      <w:marLeft w:val="0"/>
      <w:marRight w:val="0"/>
      <w:marTop w:val="0"/>
      <w:marBottom w:val="0"/>
      <w:divBdr>
        <w:top w:val="none" w:sz="0" w:space="0" w:color="auto"/>
        <w:left w:val="none" w:sz="0" w:space="0" w:color="auto"/>
        <w:bottom w:val="none" w:sz="0" w:space="0" w:color="auto"/>
        <w:right w:val="none" w:sz="0" w:space="0" w:color="auto"/>
      </w:divBdr>
    </w:div>
    <w:div w:id="2076783035">
      <w:bodyDiv w:val="1"/>
      <w:marLeft w:val="0"/>
      <w:marRight w:val="0"/>
      <w:marTop w:val="0"/>
      <w:marBottom w:val="0"/>
      <w:divBdr>
        <w:top w:val="none" w:sz="0" w:space="0" w:color="auto"/>
        <w:left w:val="none" w:sz="0" w:space="0" w:color="auto"/>
        <w:bottom w:val="none" w:sz="0" w:space="0" w:color="auto"/>
        <w:right w:val="none" w:sz="0" w:space="0" w:color="auto"/>
      </w:divBdr>
    </w:div>
    <w:div w:id="2098331893">
      <w:bodyDiv w:val="1"/>
      <w:marLeft w:val="0"/>
      <w:marRight w:val="0"/>
      <w:marTop w:val="0"/>
      <w:marBottom w:val="0"/>
      <w:divBdr>
        <w:top w:val="none" w:sz="0" w:space="0" w:color="auto"/>
        <w:left w:val="none" w:sz="0" w:space="0" w:color="auto"/>
        <w:bottom w:val="none" w:sz="0" w:space="0" w:color="auto"/>
        <w:right w:val="none" w:sz="0" w:space="0" w:color="auto"/>
      </w:divBdr>
    </w:div>
    <w:div w:id="21170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ihrc.org" TargetMode="External"/><Relationship Id="rId4" Type="http://schemas.openxmlformats.org/officeDocument/2006/relationships/settings" Target="settings.xml"/><Relationship Id="rId9" Type="http://schemas.openxmlformats.org/officeDocument/2006/relationships/hyperlink" Target="http://www.nihrc.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ka.org.uk/wp-content/uploads/2023/02/UKA-Trans-Position-Statement_FINAL-03.02.23.pdf" TargetMode="External"/><Relationship Id="rId2" Type="http://schemas.openxmlformats.org/officeDocument/2006/relationships/hyperlink" Target="https://www" TargetMode="External"/><Relationship Id="rId1" Type="http://schemas.openxmlformats.org/officeDocument/2006/relationships/hyperlink" Target="https://www" TargetMode="External"/><Relationship Id="rId4" Type="http://schemas.openxmlformats.org/officeDocument/2006/relationships/hyperlink" Target="http://www.ohchr.org/EN/NewsEvents/Pages/DisplayNews.aspx?NewsID=16431&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D31EC-9DA7-446F-A700-C256245D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7802</Words>
  <Characters>44475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Black</dc:creator>
  <cp:keywords/>
  <dc:description/>
  <cp:lastModifiedBy>Rhyannon Blythe</cp:lastModifiedBy>
  <cp:revision>3</cp:revision>
  <cp:lastPrinted>2023-03-14T13:54:00Z</cp:lastPrinted>
  <dcterms:created xsi:type="dcterms:W3CDTF">2023-03-14T13:54:00Z</dcterms:created>
  <dcterms:modified xsi:type="dcterms:W3CDTF">2023-03-14T13:54:00Z</dcterms:modified>
</cp:coreProperties>
</file>