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97D4" w14:textId="107D7F44" w:rsidR="00450B53" w:rsidRPr="00450B53" w:rsidRDefault="00450B53" w:rsidP="00450B53">
      <w:pPr>
        <w:rPr>
          <w:rFonts w:eastAsia="Aptos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Pr="00450B53">
        <w:rPr>
          <w:b/>
          <w:bCs/>
          <w:sz w:val="22"/>
          <w:szCs w:val="22"/>
        </w:rPr>
        <w:t xml:space="preserve">Template Appeal Form: Rejection of PIP Claim (Invalidity Pension in </w:t>
      </w:r>
      <w:proofErr w:type="spellStart"/>
      <w:r w:rsidRPr="00450B53">
        <w:rPr>
          <w:b/>
          <w:bCs/>
          <w:sz w:val="22"/>
          <w:szCs w:val="22"/>
        </w:rPr>
        <w:t>RoI</w:t>
      </w:r>
      <w:proofErr w:type="spellEnd"/>
      <w:r w:rsidRPr="00450B53">
        <w:rPr>
          <w:b/>
          <w:bCs/>
          <w:sz w:val="22"/>
          <w:szCs w:val="22"/>
        </w:rPr>
        <w:t>)</w:t>
      </w:r>
    </w:p>
    <w:p w14:paraId="3DF88BEA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i/>
          <w:iCs/>
          <w:sz w:val="22"/>
          <w:szCs w:val="22"/>
        </w:rPr>
      </w:pPr>
      <w:r w:rsidRPr="00450B53">
        <w:rPr>
          <w:rFonts w:eastAsia="Aptos" w:cs="Times New Roman"/>
          <w:i/>
          <w:iCs/>
          <w:sz w:val="22"/>
          <w:szCs w:val="22"/>
        </w:rPr>
        <w:t>This template is designed to be used by an advisor or claimant where an Irish or British national with a work history in Ireland, in receipt of an Invalidity Pension from Ireland, wishes to claim sickness or long-term care benefits in the UK. The assumption made in this letter is that the work abroad (and the claim for the invalidity pension) took place prior to Brexit.</w:t>
      </w:r>
    </w:p>
    <w:p w14:paraId="031C7012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I am appealing the decision made on ______ [date] to deny my claim for Personal Independence Payment – Daily Living Component and/or Personal Independence Payment – Mobility Component.  This denial is contrary to the rules applicable to me under the UK-EU Withdrawal Agreement.</w:t>
      </w:r>
    </w:p>
    <w:p w14:paraId="750410C4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 xml:space="preserve">As someone who engaged in cross-border work prior to Brexit, I am covered by the EU Social Security Coordination Regulation (Regulation 883/2004) when determining what (Member) State – the UK or Ireland – is the competent state for paying benefits to me (Article 30(1) of the UK-EU Withdrawal Agreement).  Under Article 11(2) of the EU Social Security Coordination Regulation (Regulation 883/2004), as someone in receipt of an invalidity pension from Ireland, I am not ‘pursuing an activity as an employed person’ there.  This means that I am not subject to the legislation of Ireland; instead, I am subject to the legislation of the state where I am resident, which is the UK (Article 11(3)(e) of the EU Social Security Coordination Regulation (Regulation 883/2004)). The fact that I am in receipt of a benefit like an invalidity pension from Ireland does not mean that the UK is </w:t>
      </w:r>
      <w:r w:rsidRPr="00450B53">
        <w:rPr>
          <w:rFonts w:eastAsia="Aptos" w:cs="Times New Roman"/>
          <w:i/>
          <w:iCs/>
          <w:sz w:val="22"/>
          <w:szCs w:val="22"/>
        </w:rPr>
        <w:t xml:space="preserve">not </w:t>
      </w:r>
      <w:r w:rsidRPr="00450B53">
        <w:rPr>
          <w:rFonts w:eastAsia="Aptos" w:cs="Times New Roman"/>
          <w:sz w:val="22"/>
          <w:szCs w:val="22"/>
        </w:rPr>
        <w:t>the competent state for my benefit claims; this has been confirmed by the NI Social Security Commissioner, the UK Upper Tribunal, and the Court of Appeal.</w:t>
      </w:r>
      <w:r w:rsidRPr="00450B53">
        <w:rPr>
          <w:rFonts w:eastAsia="Aptos" w:cs="Times New Roman"/>
          <w:sz w:val="22"/>
          <w:szCs w:val="22"/>
          <w:vertAlign w:val="superscript"/>
        </w:rPr>
        <w:footnoteReference w:id="1"/>
      </w:r>
      <w:r w:rsidRPr="00450B53">
        <w:rPr>
          <w:rFonts w:eastAsia="Aptos" w:cs="Times New Roman"/>
          <w:sz w:val="22"/>
          <w:szCs w:val="22"/>
        </w:rPr>
        <w:t xml:space="preserve"> The UK is the competent state in my situation and therefore is responsible for my benefits.</w:t>
      </w:r>
    </w:p>
    <w:p w14:paraId="3804322E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 xml:space="preserve">I am entitled to Personal Independence Payment (daily living component). Personal Independence Payment (daily living component) has been designated as a </w:t>
      </w:r>
      <w:r w:rsidRPr="00450B53">
        <w:rPr>
          <w:rFonts w:eastAsia="Aptos" w:cs="Times New Roman"/>
          <w:i/>
          <w:iCs/>
          <w:sz w:val="22"/>
          <w:szCs w:val="22"/>
        </w:rPr>
        <w:t xml:space="preserve">sickness benefit </w:t>
      </w:r>
      <w:r w:rsidRPr="00450B53">
        <w:rPr>
          <w:rFonts w:eastAsia="Aptos" w:cs="Times New Roman"/>
          <w:sz w:val="22"/>
          <w:szCs w:val="22"/>
        </w:rPr>
        <w:t xml:space="preserve">under the </w:t>
      </w:r>
      <w:proofErr w:type="spellStart"/>
      <w:r w:rsidRPr="00450B53">
        <w:rPr>
          <w:rFonts w:eastAsia="Aptos" w:cs="Times New Roman"/>
          <w:sz w:val="22"/>
          <w:szCs w:val="22"/>
        </w:rPr>
        <w:t>the</w:t>
      </w:r>
      <w:proofErr w:type="spellEnd"/>
      <w:r w:rsidRPr="00450B53">
        <w:rPr>
          <w:rFonts w:eastAsia="Aptos" w:cs="Times New Roman"/>
          <w:sz w:val="22"/>
          <w:szCs w:val="22"/>
        </w:rPr>
        <w:t xml:space="preserve"> EU Social Security Coordination Regulation (Regulation 883/2004).  It is in a distinct category to invalidity pension, and consequently there is no ‘overlap’ in benefit claims under the EU Social Security Coordination Regulation (Regulation 883/2004) in making this claim. As demonstrated in my original claim, I meet the eligibility criteria for Personal Independence Payment (daily living component):</w:t>
      </w:r>
    </w:p>
    <w:p w14:paraId="1405ECC0" w14:textId="77777777" w:rsidR="00450B53" w:rsidRPr="00450B53" w:rsidRDefault="00450B53" w:rsidP="00450B53">
      <w:pPr>
        <w:numPr>
          <w:ilvl w:val="0"/>
          <w:numId w:val="2"/>
        </w:numPr>
        <w:spacing w:after="160" w:line="259" w:lineRule="auto"/>
        <w:contextualSpacing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[explain how the residence condition is fulfilled]</w:t>
      </w:r>
    </w:p>
    <w:p w14:paraId="425833A7" w14:textId="77777777" w:rsidR="00450B53" w:rsidRPr="00450B53" w:rsidRDefault="00450B53" w:rsidP="00450B53">
      <w:pPr>
        <w:numPr>
          <w:ilvl w:val="0"/>
          <w:numId w:val="2"/>
        </w:numPr>
        <w:spacing w:after="160" w:line="259" w:lineRule="auto"/>
        <w:contextualSpacing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[explain how the ‘difficulty doing everyday task’ condition is fulfilled]</w:t>
      </w:r>
    </w:p>
    <w:p w14:paraId="4CC26675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I therefore am entitled to Personal Independence Payment (daily living component).</w:t>
      </w:r>
    </w:p>
    <w:p w14:paraId="58E179B5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 xml:space="preserve">I am [also] entitled to Personal Independence Payment (mobility component).  The Court of Justice of the European Union has ruled that the Personal Independence Payment (mobility component) is a special non-contributory cash benefit under the EU Social Security Coordination Regulation (Regulation </w:t>
      </w:r>
      <w:r w:rsidRPr="00450B53">
        <w:rPr>
          <w:rFonts w:eastAsia="Aptos" w:cs="Times New Roman"/>
          <w:sz w:val="22"/>
          <w:szCs w:val="22"/>
        </w:rPr>
        <w:lastRenderedPageBreak/>
        <w:t>883/2004).</w:t>
      </w:r>
      <w:r w:rsidRPr="00450B53">
        <w:rPr>
          <w:rFonts w:eastAsia="Aptos" w:cs="Times New Roman"/>
          <w:sz w:val="22"/>
          <w:szCs w:val="22"/>
          <w:vertAlign w:val="superscript"/>
        </w:rPr>
        <w:footnoteReference w:id="2"/>
      </w:r>
      <w:r w:rsidRPr="00450B53">
        <w:rPr>
          <w:rFonts w:eastAsia="Aptos" w:cs="Times New Roman"/>
          <w:sz w:val="22"/>
          <w:szCs w:val="22"/>
        </w:rPr>
        <w:t xml:space="preserve">  It is in a distinct category to invalidity pension [and sickness benefit] and consequently there is no ‘overlap’ in benefit claims under the EU Social Security Coordination Regulation (Regulation 883/2004) in making this claim. As demonstrated in my original claim, I meet the eligibility criteria for Personal Independence Payment (mobility component):</w:t>
      </w:r>
    </w:p>
    <w:p w14:paraId="5D070179" w14:textId="77777777" w:rsidR="00450B53" w:rsidRPr="00450B53" w:rsidRDefault="00450B53" w:rsidP="00450B53">
      <w:pPr>
        <w:numPr>
          <w:ilvl w:val="0"/>
          <w:numId w:val="2"/>
        </w:numPr>
        <w:spacing w:after="160" w:line="259" w:lineRule="auto"/>
        <w:contextualSpacing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[explain how the residence condition is fulfilled]</w:t>
      </w:r>
    </w:p>
    <w:p w14:paraId="70D06E4C" w14:textId="77777777" w:rsidR="00450B53" w:rsidRPr="00450B53" w:rsidRDefault="00450B53" w:rsidP="00450B53">
      <w:pPr>
        <w:numPr>
          <w:ilvl w:val="0"/>
          <w:numId w:val="2"/>
        </w:numPr>
        <w:spacing w:after="160" w:line="259" w:lineRule="auto"/>
        <w:contextualSpacing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[explain how the ‘difficulty getting around’ condition is fulfilled]</w:t>
      </w:r>
    </w:p>
    <w:p w14:paraId="072456AB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  <w:r w:rsidRPr="00450B53">
        <w:rPr>
          <w:rFonts w:eastAsia="Aptos" w:cs="Times New Roman"/>
          <w:sz w:val="22"/>
          <w:szCs w:val="22"/>
        </w:rPr>
        <w:t>I therefore am entitled to PIP (mobility component).</w:t>
      </w:r>
    </w:p>
    <w:p w14:paraId="181D97BE" w14:textId="77777777" w:rsidR="00450B53" w:rsidRPr="00450B53" w:rsidRDefault="00450B53" w:rsidP="00450B53">
      <w:pPr>
        <w:spacing w:after="160" w:line="259" w:lineRule="auto"/>
        <w:rPr>
          <w:rFonts w:eastAsia="Aptos" w:cs="Times New Roman"/>
          <w:sz w:val="22"/>
          <w:szCs w:val="22"/>
        </w:rPr>
      </w:pPr>
    </w:p>
    <w:p w14:paraId="2841FFA8" w14:textId="77777777" w:rsidR="00916793" w:rsidRDefault="00916793"/>
    <w:sectPr w:rsidR="009167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E60E" w14:textId="77777777" w:rsidR="000C12FE" w:rsidRDefault="000C12FE" w:rsidP="00450B53">
      <w:r>
        <w:separator/>
      </w:r>
    </w:p>
  </w:endnote>
  <w:endnote w:type="continuationSeparator" w:id="0">
    <w:p w14:paraId="10B0EB72" w14:textId="77777777" w:rsidR="000C12FE" w:rsidRDefault="000C12FE" w:rsidP="0045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0250F" w14:textId="77777777" w:rsidR="000C12FE" w:rsidRDefault="000C12FE" w:rsidP="00450B53">
      <w:r>
        <w:separator/>
      </w:r>
    </w:p>
  </w:footnote>
  <w:footnote w:type="continuationSeparator" w:id="0">
    <w:p w14:paraId="7E4FF1B8" w14:textId="77777777" w:rsidR="000C12FE" w:rsidRDefault="000C12FE" w:rsidP="00450B53">
      <w:r>
        <w:continuationSeparator/>
      </w:r>
    </w:p>
  </w:footnote>
  <w:footnote w:id="1">
    <w:p w14:paraId="425321A6" w14:textId="77777777" w:rsidR="00450B53" w:rsidRPr="00192772" w:rsidRDefault="00450B53" w:rsidP="00450B53">
      <w:pPr>
        <w:pStyle w:val="FootnoteText"/>
        <w:rPr>
          <w:rFonts w:ascii="Verdana" w:hAnsi="Verdana"/>
          <w:color w:val="7030A0"/>
          <w:sz w:val="16"/>
          <w:szCs w:val="16"/>
        </w:rPr>
      </w:pPr>
      <w:r w:rsidRPr="00B1164F">
        <w:rPr>
          <w:rStyle w:val="FootnoteReference"/>
          <w:rFonts w:ascii="Verdana" w:hAnsi="Verdana"/>
          <w:color w:val="77328A"/>
          <w:sz w:val="16"/>
          <w:szCs w:val="16"/>
        </w:rPr>
        <w:footnoteRef/>
      </w:r>
      <w:r w:rsidRPr="00B1164F">
        <w:rPr>
          <w:rFonts w:ascii="Verdana" w:hAnsi="Verdana"/>
          <w:color w:val="77328A"/>
          <w:sz w:val="16"/>
          <w:szCs w:val="16"/>
        </w:rPr>
        <w:t xml:space="preserve"> </w:t>
      </w:r>
      <w:r w:rsidRPr="00B1164F">
        <w:rPr>
          <w:rFonts w:ascii="Verdana" w:hAnsi="Verdana"/>
          <w:color w:val="77328A"/>
          <w:sz w:val="16"/>
          <w:szCs w:val="16"/>
          <w:lang w:val="en-US"/>
        </w:rPr>
        <w:t xml:space="preserve">See </w:t>
      </w:r>
      <w:r w:rsidRPr="00B1164F">
        <w:rPr>
          <w:rFonts w:ascii="Verdana" w:hAnsi="Verdana"/>
          <w:i/>
          <w:iCs/>
          <w:color w:val="77328A"/>
          <w:sz w:val="16"/>
          <w:szCs w:val="16"/>
        </w:rPr>
        <w:t>SP v Department for Communities (PIP)</w:t>
      </w:r>
      <w:r w:rsidRPr="00B1164F">
        <w:rPr>
          <w:rFonts w:ascii="Verdana" w:hAnsi="Verdana"/>
          <w:color w:val="77328A"/>
          <w:sz w:val="16"/>
          <w:szCs w:val="16"/>
        </w:rPr>
        <w:t xml:space="preserve"> [2023] NI Com 23; </w:t>
      </w:r>
      <w:r w:rsidRPr="00B1164F">
        <w:rPr>
          <w:rFonts w:ascii="Verdana" w:hAnsi="Verdana"/>
          <w:i/>
          <w:iCs/>
          <w:color w:val="77328A"/>
          <w:sz w:val="16"/>
          <w:szCs w:val="16"/>
        </w:rPr>
        <w:t>SE v Secretary of State for Work and Pensions</w:t>
      </w:r>
      <w:r w:rsidRPr="00B1164F">
        <w:rPr>
          <w:rFonts w:ascii="Verdana" w:hAnsi="Verdana"/>
          <w:color w:val="77328A"/>
          <w:sz w:val="16"/>
          <w:szCs w:val="16"/>
        </w:rPr>
        <w:t xml:space="preserve"> [2024] UKUT 405 (AAC); </w:t>
      </w:r>
      <w:r w:rsidRPr="00B1164F">
        <w:rPr>
          <w:rFonts w:ascii="Verdana" w:hAnsi="Verdana"/>
          <w:i/>
          <w:iCs/>
          <w:color w:val="77328A"/>
          <w:sz w:val="16"/>
          <w:szCs w:val="16"/>
        </w:rPr>
        <w:t>Harrington v Secretary of State for Work and Pensions</w:t>
      </w:r>
      <w:r w:rsidRPr="00B1164F">
        <w:rPr>
          <w:rFonts w:ascii="Verdana" w:hAnsi="Verdana"/>
          <w:color w:val="77328A"/>
          <w:sz w:val="16"/>
          <w:szCs w:val="16"/>
        </w:rPr>
        <w:t xml:space="preserve"> [2023] EWCA </w:t>
      </w:r>
      <w:proofErr w:type="spellStart"/>
      <w:r w:rsidRPr="00B1164F">
        <w:rPr>
          <w:rFonts w:ascii="Verdana" w:hAnsi="Verdana"/>
          <w:color w:val="77328A"/>
          <w:sz w:val="16"/>
          <w:szCs w:val="16"/>
        </w:rPr>
        <w:t>Civ</w:t>
      </w:r>
      <w:proofErr w:type="spellEnd"/>
      <w:r w:rsidRPr="00B1164F">
        <w:rPr>
          <w:rFonts w:ascii="Verdana" w:hAnsi="Verdana"/>
          <w:color w:val="77328A"/>
          <w:sz w:val="16"/>
          <w:szCs w:val="16"/>
        </w:rPr>
        <w:t xml:space="preserve"> 433.</w:t>
      </w:r>
    </w:p>
  </w:footnote>
  <w:footnote w:id="2">
    <w:p w14:paraId="0A3EBE0A" w14:textId="77777777" w:rsidR="00450B53" w:rsidRPr="00E46CEF" w:rsidRDefault="00450B53" w:rsidP="00450B53">
      <w:pPr>
        <w:pStyle w:val="FootnoteText"/>
        <w:rPr>
          <w:lang w:val="en-US"/>
        </w:rPr>
      </w:pPr>
      <w:r w:rsidRPr="00192772">
        <w:rPr>
          <w:rStyle w:val="FootnoteReference"/>
          <w:rFonts w:ascii="Verdana" w:hAnsi="Verdana"/>
          <w:color w:val="7030A0"/>
          <w:sz w:val="16"/>
          <w:szCs w:val="16"/>
        </w:rPr>
        <w:footnoteRef/>
      </w:r>
      <w:r w:rsidRPr="00192772">
        <w:rPr>
          <w:rFonts w:ascii="Verdana" w:hAnsi="Verdana"/>
          <w:color w:val="7030A0"/>
          <w:sz w:val="16"/>
          <w:szCs w:val="16"/>
        </w:rPr>
        <w:t xml:space="preserve"> </w:t>
      </w:r>
      <w:r w:rsidRPr="00192772">
        <w:rPr>
          <w:rFonts w:ascii="Verdana" w:hAnsi="Verdana"/>
          <w:color w:val="7030A0"/>
          <w:sz w:val="16"/>
          <w:szCs w:val="16"/>
          <w:lang w:val="en-US"/>
        </w:rPr>
        <w:t xml:space="preserve">See </w:t>
      </w:r>
      <w:r w:rsidRPr="00192772">
        <w:rPr>
          <w:rFonts w:ascii="Verdana" w:hAnsi="Verdana"/>
          <w:i/>
          <w:iCs/>
          <w:color w:val="7030A0"/>
          <w:sz w:val="16"/>
          <w:szCs w:val="16"/>
        </w:rPr>
        <w:t>Bartlett, Ramos and Taylor v Secretary of State for Work and Pensions</w:t>
      </w:r>
      <w:r>
        <w:rPr>
          <w:rFonts w:ascii="Verdana" w:hAnsi="Verdana"/>
          <w:i/>
          <w:iCs/>
          <w:color w:val="7030A0"/>
          <w:sz w:val="16"/>
          <w:szCs w:val="16"/>
        </w:rPr>
        <w:t xml:space="preserve">, </w:t>
      </w:r>
      <w:r w:rsidRPr="00192772">
        <w:rPr>
          <w:rFonts w:ascii="Verdana" w:hAnsi="Verdana"/>
          <w:color w:val="7030A0"/>
          <w:sz w:val="16"/>
          <w:szCs w:val="16"/>
        </w:rPr>
        <w:t>Case C-537/</w:t>
      </w:r>
      <w:r>
        <w:rPr>
          <w:rFonts w:ascii="Verdana" w:hAnsi="Verdana"/>
          <w:color w:val="7030A0"/>
          <w:sz w:val="16"/>
          <w:szCs w:val="16"/>
        </w:rPr>
        <w:t xml:space="preserve">09, 21 December 2009.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1454E"/>
    <w:multiLevelType w:val="hybridMultilevel"/>
    <w:tmpl w:val="F440E46C"/>
    <w:lvl w:ilvl="0" w:tplc="B21C5930">
      <w:start w:val="24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F51C8"/>
    <w:multiLevelType w:val="hybridMultilevel"/>
    <w:tmpl w:val="70C0CE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4717435">
    <w:abstractNumId w:val="1"/>
  </w:num>
  <w:num w:numId="2" w16cid:durableId="103392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53"/>
    <w:rsid w:val="0008552D"/>
    <w:rsid w:val="000C12FE"/>
    <w:rsid w:val="001C4742"/>
    <w:rsid w:val="00450B53"/>
    <w:rsid w:val="008D757D"/>
    <w:rsid w:val="00916793"/>
    <w:rsid w:val="00D51D61"/>
    <w:rsid w:val="00DB56F2"/>
    <w:rsid w:val="00F2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62E47"/>
  <w15:chartTrackingRefBased/>
  <w15:docId w15:val="{787AB323-7A54-4B31-91B3-27701D5E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906"/>
  </w:style>
  <w:style w:type="paragraph" w:styleId="Heading1">
    <w:name w:val="heading 1"/>
    <w:basedOn w:val="Normal"/>
    <w:next w:val="Normal"/>
    <w:link w:val="Heading1Char"/>
    <w:uiPriority w:val="9"/>
    <w:qFormat/>
    <w:rsid w:val="001C4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B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B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B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B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B5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B5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IHRCIA">
    <w:name w:val="NIHRC IA"/>
    <w:basedOn w:val="Normal"/>
    <w:autoRedefine/>
    <w:qFormat/>
    <w:rsid w:val="001C4742"/>
  </w:style>
  <w:style w:type="paragraph" w:customStyle="1" w:styleId="NIHRCI">
    <w:name w:val="NIHRC I"/>
    <w:basedOn w:val="Heading1"/>
    <w:link w:val="NIHRCIChar"/>
    <w:qFormat/>
    <w:rsid w:val="001C4742"/>
    <w:rPr>
      <w:b/>
      <w:color w:val="77328A"/>
    </w:rPr>
  </w:style>
  <w:style w:type="character" w:customStyle="1" w:styleId="NIHRCIChar">
    <w:name w:val="NIHRC I Char"/>
    <w:basedOn w:val="Heading1Char"/>
    <w:link w:val="NIHRCI"/>
    <w:rsid w:val="001C4742"/>
    <w:rPr>
      <w:rFonts w:asciiTheme="majorHAnsi" w:eastAsiaTheme="majorEastAsia" w:hAnsiTheme="majorHAnsi" w:cstheme="majorBidi"/>
      <w:b/>
      <w:color w:val="77328A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1C4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B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B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B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B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B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B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B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B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B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B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B5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0B53"/>
    <w:rPr>
      <w:rFonts w:ascii="Aptos" w:hAnsi="Apto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B53"/>
    <w:rPr>
      <w:rFonts w:ascii="Aptos" w:hAnsi="Apto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0B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2961</Characters>
  <Application>Microsoft Office Word</Application>
  <DocSecurity>0</DocSecurity>
  <Lines>51</Lines>
  <Paragraphs>14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Antova</dc:creator>
  <cp:keywords/>
  <dc:description/>
  <cp:lastModifiedBy>Ivanka Antova</cp:lastModifiedBy>
  <cp:revision>1</cp:revision>
  <dcterms:created xsi:type="dcterms:W3CDTF">2026-09-25T11:04:00Z</dcterms:created>
  <dcterms:modified xsi:type="dcterms:W3CDTF">2026-09-25T11:05:00Z</dcterms:modified>
</cp:coreProperties>
</file>