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3818"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378B473B" wp14:editId="75387FF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FC2CDEE"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EA7C6CD" w14:textId="77777777" w:rsidR="00C80F95" w:rsidRDefault="003F04BA" w:rsidP="003B7D0E">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Briefing Paper: </w:t>
      </w:r>
    </w:p>
    <w:p w14:paraId="1362C73C" w14:textId="0BDB8597" w:rsidR="0096459E" w:rsidRPr="003B7D0E" w:rsidRDefault="004622BC"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Human Rights and </w:t>
      </w:r>
      <w:r w:rsidR="005052DD">
        <w:rPr>
          <w:rFonts w:ascii="Verdana" w:hAnsi="Verdana" w:cs="Arial"/>
          <w:b/>
          <w:bCs/>
          <w:color w:val="77328A"/>
          <w:sz w:val="36"/>
          <w:szCs w:val="36"/>
        </w:rPr>
        <w:t>Budgeting</w:t>
      </w:r>
    </w:p>
    <w:p w14:paraId="4F8201AB" w14:textId="77777777" w:rsidR="00F31387" w:rsidRPr="00331C61" w:rsidRDefault="00F31387" w:rsidP="003B7D0E">
      <w:pPr>
        <w:pStyle w:val="Default"/>
        <w:spacing w:line="288" w:lineRule="auto"/>
        <w:jc w:val="center"/>
        <w:rPr>
          <w:rFonts w:cs="Arial"/>
          <w:color w:val="232120"/>
          <w:sz w:val="36"/>
          <w:szCs w:val="36"/>
        </w:rPr>
      </w:pPr>
    </w:p>
    <w:p w14:paraId="4986D1CA" w14:textId="271684B5" w:rsidR="008159E8" w:rsidRPr="00331C61" w:rsidRDefault="00B81BA9" w:rsidP="003B7D0E">
      <w:pPr>
        <w:spacing w:line="288" w:lineRule="auto"/>
        <w:jc w:val="center"/>
        <w:rPr>
          <w:rFonts w:ascii="Verdana" w:hAnsi="Verdana" w:cs="Arial"/>
          <w:b/>
          <w:color w:val="232120"/>
          <w:sz w:val="30"/>
          <w:szCs w:val="30"/>
        </w:rPr>
      </w:pPr>
      <w:r>
        <w:rPr>
          <w:rFonts w:ascii="Verdana" w:hAnsi="Verdana" w:cs="Arial"/>
          <w:b/>
          <w:color w:val="232120"/>
          <w:sz w:val="30"/>
          <w:szCs w:val="30"/>
        </w:rPr>
        <w:t>January 2026</w:t>
      </w:r>
    </w:p>
    <w:p w14:paraId="542B15F6" w14:textId="77777777" w:rsidR="00046705" w:rsidRPr="00331C61" w:rsidRDefault="00046705" w:rsidP="003B7D0E">
      <w:pPr>
        <w:spacing w:line="288" w:lineRule="auto"/>
        <w:jc w:val="center"/>
        <w:rPr>
          <w:rFonts w:ascii="Verdana" w:hAnsi="Verdana" w:cs="Arial"/>
          <w:b/>
          <w:color w:val="232120"/>
          <w:sz w:val="28"/>
          <w:szCs w:val="28"/>
        </w:rPr>
      </w:pPr>
    </w:p>
    <w:p w14:paraId="13F66792" w14:textId="77777777" w:rsidR="00046705" w:rsidRPr="00331C61" w:rsidRDefault="00046705" w:rsidP="003B7D0E">
      <w:pPr>
        <w:spacing w:line="288" w:lineRule="auto"/>
        <w:jc w:val="center"/>
        <w:rPr>
          <w:rFonts w:ascii="Verdana" w:hAnsi="Verdana" w:cs="Arial"/>
          <w:b/>
          <w:color w:val="232120"/>
          <w:sz w:val="28"/>
          <w:szCs w:val="28"/>
        </w:rPr>
      </w:pPr>
    </w:p>
    <w:p w14:paraId="6EF00069" w14:textId="77777777" w:rsidR="00EA12CE" w:rsidRPr="00331C61" w:rsidRDefault="00EA12CE" w:rsidP="003B7D0E">
      <w:pPr>
        <w:pStyle w:val="Default"/>
        <w:spacing w:line="288" w:lineRule="auto"/>
        <w:jc w:val="center"/>
        <w:rPr>
          <w:rFonts w:cs="Arial"/>
          <w:b/>
          <w:color w:val="232120"/>
          <w:sz w:val="28"/>
          <w:szCs w:val="28"/>
          <w:lang w:val="en-GB"/>
        </w:rPr>
      </w:pPr>
    </w:p>
    <w:p w14:paraId="084CBB14" w14:textId="77777777" w:rsidR="003B7D0E" w:rsidRPr="00331C61" w:rsidRDefault="003B7D0E" w:rsidP="003B7D0E">
      <w:pPr>
        <w:pStyle w:val="Default"/>
        <w:spacing w:line="480" w:lineRule="auto"/>
        <w:jc w:val="center"/>
        <w:rPr>
          <w:rFonts w:cs="Arial"/>
          <w:b/>
          <w:color w:val="232120"/>
          <w:sz w:val="36"/>
          <w:szCs w:val="36"/>
        </w:rPr>
      </w:pPr>
    </w:p>
    <w:p w14:paraId="02B1965B" w14:textId="77777777" w:rsidR="003B7D0E" w:rsidRDefault="003B7D0E" w:rsidP="003B7D0E">
      <w:pPr>
        <w:pStyle w:val="Default"/>
        <w:spacing w:line="480" w:lineRule="auto"/>
        <w:jc w:val="center"/>
        <w:rPr>
          <w:rFonts w:cs="Arial"/>
          <w:b/>
          <w:color w:val="232120"/>
          <w:sz w:val="36"/>
          <w:szCs w:val="36"/>
        </w:rPr>
      </w:pPr>
    </w:p>
    <w:p w14:paraId="71E1DB5A" w14:textId="77777777" w:rsidR="0096459E" w:rsidRPr="00331C61" w:rsidRDefault="0096459E" w:rsidP="003B7D0E">
      <w:pPr>
        <w:pStyle w:val="Default"/>
        <w:spacing w:line="480" w:lineRule="auto"/>
        <w:jc w:val="center"/>
        <w:rPr>
          <w:rFonts w:cs="Arial"/>
          <w:b/>
          <w:color w:val="232120"/>
          <w:sz w:val="36"/>
          <w:szCs w:val="36"/>
        </w:rPr>
      </w:pPr>
    </w:p>
    <w:p w14:paraId="00A8F1AE" w14:textId="77777777" w:rsidR="003B7D0E" w:rsidRPr="00331C61" w:rsidRDefault="003B7D0E" w:rsidP="003B7D0E">
      <w:pPr>
        <w:pStyle w:val="Default"/>
        <w:spacing w:line="480" w:lineRule="auto"/>
        <w:jc w:val="center"/>
        <w:rPr>
          <w:rFonts w:cs="Arial"/>
          <w:b/>
          <w:color w:val="232120"/>
          <w:sz w:val="36"/>
          <w:szCs w:val="36"/>
        </w:rPr>
      </w:pPr>
    </w:p>
    <w:p w14:paraId="46F698DE" w14:textId="6FE8BD71" w:rsidR="00FF5CC1" w:rsidRDefault="00FF5CC1" w:rsidP="003F04BA">
      <w:pPr>
        <w:pStyle w:val="BasicParagraph"/>
        <w:suppressAutoHyphens/>
        <w:rPr>
          <w:rFonts w:ascii="Verdana" w:hAnsi="Verdana" w:cs="Arial"/>
          <w:b/>
          <w:color w:val="77328A"/>
          <w:sz w:val="30"/>
          <w:szCs w:val="30"/>
        </w:rPr>
      </w:pPr>
    </w:p>
    <w:p w14:paraId="06815F3E" w14:textId="77777777" w:rsidR="00FA36DD" w:rsidRDefault="00FA36DD" w:rsidP="003F04BA">
      <w:pPr>
        <w:pStyle w:val="BasicParagraph"/>
        <w:suppressAutoHyphens/>
        <w:rPr>
          <w:rFonts w:ascii="Verdana" w:hAnsi="Verdana" w:cs="Arial"/>
          <w:b/>
          <w:color w:val="77328A"/>
          <w:sz w:val="30"/>
          <w:szCs w:val="30"/>
        </w:rPr>
      </w:pPr>
    </w:p>
    <w:sdt>
      <w:sdtPr>
        <w:rPr>
          <w:rFonts w:ascii="Verdana" w:hAnsi="Verdana" w:cstheme="minorBidi"/>
          <w:color w:val="auto"/>
        </w:rPr>
        <w:id w:val="-2008128549"/>
        <w:docPartObj>
          <w:docPartGallery w:val="Table of Contents"/>
          <w:docPartUnique/>
        </w:docPartObj>
      </w:sdtPr>
      <w:sdtEndPr>
        <w:rPr>
          <w:b/>
          <w:bCs/>
          <w:noProof/>
        </w:rPr>
      </w:sdtEndPr>
      <w:sdtContent>
        <w:p w14:paraId="00DA0081" w14:textId="77777777" w:rsidR="00FF5CC1" w:rsidRPr="001C30BE" w:rsidRDefault="00FF5CC1" w:rsidP="00FF5CC1">
          <w:pPr>
            <w:pStyle w:val="BasicParagraph"/>
            <w:suppressAutoHyphens/>
            <w:rPr>
              <w:rFonts w:ascii="Verdana" w:hAnsi="Verdana" w:cs="Arial"/>
              <w:b/>
              <w:color w:val="77328A"/>
              <w:sz w:val="30"/>
              <w:szCs w:val="30"/>
            </w:rPr>
          </w:pPr>
          <w:r w:rsidRPr="001C30BE">
            <w:rPr>
              <w:rFonts w:ascii="Verdana" w:hAnsi="Verdana" w:cs="Arial"/>
              <w:b/>
              <w:color w:val="77328A"/>
              <w:sz w:val="30"/>
              <w:szCs w:val="30"/>
            </w:rPr>
            <w:t xml:space="preserve">Table of Contents </w:t>
          </w:r>
        </w:p>
        <w:p w14:paraId="5FD245C2" w14:textId="27277C3A" w:rsidR="001C30BE" w:rsidRPr="001C30BE" w:rsidRDefault="00FF5CC1">
          <w:pPr>
            <w:pStyle w:val="TOC1"/>
            <w:tabs>
              <w:tab w:val="left" w:pos="720"/>
              <w:tab w:val="right" w:leader="dot" w:pos="9848"/>
            </w:tabs>
            <w:rPr>
              <w:rFonts w:ascii="Verdana" w:hAnsi="Verdana"/>
              <w:noProof/>
              <w:kern w:val="2"/>
              <w:lang w:eastAsia="en-GB"/>
              <w14:ligatures w14:val="standardContextual"/>
            </w:rPr>
          </w:pPr>
          <w:r w:rsidRPr="001C30BE">
            <w:rPr>
              <w:rFonts w:ascii="Verdana" w:hAnsi="Verdana"/>
            </w:rPr>
            <w:fldChar w:fldCharType="begin"/>
          </w:r>
          <w:r w:rsidRPr="001C30BE">
            <w:rPr>
              <w:rFonts w:ascii="Verdana" w:hAnsi="Verdana"/>
            </w:rPr>
            <w:instrText xml:space="preserve"> TOC \o "1-3" \h \z \u </w:instrText>
          </w:r>
          <w:r w:rsidRPr="001C30BE">
            <w:rPr>
              <w:rFonts w:ascii="Verdana" w:hAnsi="Verdana"/>
            </w:rPr>
            <w:fldChar w:fldCharType="separate"/>
          </w:r>
          <w:hyperlink w:anchor="_Toc190785273" w:history="1">
            <w:r w:rsidR="001C30BE" w:rsidRPr="001C30BE">
              <w:rPr>
                <w:rStyle w:val="Hyperlink"/>
                <w:rFonts w:ascii="Verdana" w:hAnsi="Verdana"/>
                <w:noProof/>
              </w:rPr>
              <w:t>1.0</w:t>
            </w:r>
            <w:r w:rsidR="001C30BE" w:rsidRPr="001C30BE">
              <w:rPr>
                <w:rFonts w:ascii="Verdana" w:hAnsi="Verdana"/>
                <w:noProof/>
                <w:kern w:val="2"/>
                <w:lang w:eastAsia="en-GB"/>
                <w14:ligatures w14:val="standardContextual"/>
              </w:rPr>
              <w:tab/>
            </w:r>
            <w:r w:rsidR="001C30BE" w:rsidRPr="001C30BE">
              <w:rPr>
                <w:rStyle w:val="Hyperlink"/>
                <w:rFonts w:ascii="Verdana" w:hAnsi="Verdana"/>
                <w:noProof/>
              </w:rPr>
              <w:t>Introduction</w:t>
            </w:r>
            <w:r w:rsidR="001C30BE" w:rsidRPr="001C30BE">
              <w:rPr>
                <w:rFonts w:ascii="Verdana" w:hAnsi="Verdana"/>
                <w:noProof/>
                <w:webHidden/>
              </w:rPr>
              <w:tab/>
            </w:r>
            <w:r w:rsidR="001C30BE" w:rsidRPr="001C30BE">
              <w:rPr>
                <w:rFonts w:ascii="Verdana" w:hAnsi="Verdana"/>
                <w:noProof/>
                <w:webHidden/>
              </w:rPr>
              <w:fldChar w:fldCharType="begin"/>
            </w:r>
            <w:r w:rsidR="001C30BE" w:rsidRPr="001C30BE">
              <w:rPr>
                <w:rFonts w:ascii="Verdana" w:hAnsi="Verdana"/>
                <w:noProof/>
                <w:webHidden/>
              </w:rPr>
              <w:instrText xml:space="preserve"> PAGEREF _Toc190785273 \h </w:instrText>
            </w:r>
            <w:r w:rsidR="001C30BE" w:rsidRPr="001C30BE">
              <w:rPr>
                <w:rFonts w:ascii="Verdana" w:hAnsi="Verdana"/>
                <w:noProof/>
                <w:webHidden/>
              </w:rPr>
            </w:r>
            <w:r w:rsidR="001C30BE" w:rsidRPr="001C30BE">
              <w:rPr>
                <w:rFonts w:ascii="Verdana" w:hAnsi="Verdana"/>
                <w:noProof/>
                <w:webHidden/>
              </w:rPr>
              <w:fldChar w:fldCharType="separate"/>
            </w:r>
            <w:r w:rsidR="002514BB">
              <w:rPr>
                <w:rFonts w:ascii="Verdana" w:hAnsi="Verdana"/>
                <w:noProof/>
                <w:webHidden/>
              </w:rPr>
              <w:t>3</w:t>
            </w:r>
            <w:r w:rsidR="001C30BE" w:rsidRPr="001C30BE">
              <w:rPr>
                <w:rFonts w:ascii="Verdana" w:hAnsi="Verdana"/>
                <w:noProof/>
                <w:webHidden/>
              </w:rPr>
              <w:fldChar w:fldCharType="end"/>
            </w:r>
          </w:hyperlink>
        </w:p>
        <w:p w14:paraId="20CB07BC" w14:textId="07B0BB17" w:rsidR="001C30BE" w:rsidRPr="001C30BE" w:rsidRDefault="001C30BE">
          <w:pPr>
            <w:pStyle w:val="TOC1"/>
            <w:tabs>
              <w:tab w:val="left" w:pos="720"/>
              <w:tab w:val="right" w:leader="dot" w:pos="9848"/>
            </w:tabs>
            <w:rPr>
              <w:rFonts w:ascii="Verdana" w:hAnsi="Verdana"/>
              <w:noProof/>
              <w:kern w:val="2"/>
              <w:lang w:eastAsia="en-GB"/>
              <w14:ligatures w14:val="standardContextual"/>
            </w:rPr>
          </w:pPr>
          <w:hyperlink w:anchor="_Toc190785274" w:history="1">
            <w:r w:rsidRPr="001C30BE">
              <w:rPr>
                <w:rStyle w:val="Hyperlink"/>
                <w:rFonts w:ascii="Verdana" w:hAnsi="Verdana"/>
                <w:noProof/>
              </w:rPr>
              <w:t>2.0</w:t>
            </w:r>
            <w:r w:rsidRPr="001C30BE">
              <w:rPr>
                <w:rFonts w:ascii="Verdana" w:hAnsi="Verdana"/>
                <w:noProof/>
                <w:kern w:val="2"/>
                <w:lang w:eastAsia="en-GB"/>
                <w14:ligatures w14:val="standardContextual"/>
              </w:rPr>
              <w:tab/>
            </w:r>
            <w:r w:rsidRPr="001C30BE">
              <w:rPr>
                <w:rStyle w:val="Hyperlink"/>
                <w:rFonts w:ascii="Verdana" w:hAnsi="Verdana"/>
                <w:noProof/>
              </w:rPr>
              <w:t>International Human Rights Framework</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_Toc190785274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3</w:t>
            </w:r>
            <w:r w:rsidRPr="001C30BE">
              <w:rPr>
                <w:rFonts w:ascii="Verdana" w:hAnsi="Verdana"/>
                <w:noProof/>
                <w:webHidden/>
              </w:rPr>
              <w:fldChar w:fldCharType="end"/>
            </w:r>
          </w:hyperlink>
        </w:p>
        <w:p w14:paraId="27F46C20" w14:textId="5E4E8191"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75" w:history="1">
            <w:r w:rsidRPr="001C30BE">
              <w:rPr>
                <w:rStyle w:val="Hyperlink"/>
                <w:rFonts w:ascii="Verdana" w:hAnsi="Verdana"/>
                <w:noProof/>
              </w:rPr>
              <w:t>International Covenant on Economic, Social and Cultural Rights</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_Toc190785275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4</w:t>
            </w:r>
            <w:r w:rsidRPr="001C30BE">
              <w:rPr>
                <w:rFonts w:ascii="Verdana" w:hAnsi="Verdana"/>
                <w:noProof/>
                <w:webHidden/>
              </w:rPr>
              <w:fldChar w:fldCharType="end"/>
            </w:r>
          </w:hyperlink>
        </w:p>
        <w:p w14:paraId="66E4BD46" w14:textId="5AEFCAF3"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76" w:history="1">
            <w:r w:rsidRPr="001C30BE">
              <w:rPr>
                <w:rStyle w:val="Hyperlink"/>
                <w:rFonts w:ascii="Verdana" w:hAnsi="Verdana"/>
                <w:noProof/>
              </w:rPr>
              <w:t>Human Rights Principles</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_Toc190785276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7</w:t>
            </w:r>
            <w:r w:rsidRPr="001C30BE">
              <w:rPr>
                <w:rFonts w:ascii="Verdana" w:hAnsi="Verdana"/>
                <w:noProof/>
                <w:webHidden/>
              </w:rPr>
              <w:fldChar w:fldCharType="end"/>
            </w:r>
          </w:hyperlink>
        </w:p>
        <w:p w14:paraId="703E025D" w14:textId="70769E91"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77" w:history="1">
            <w:r w:rsidRPr="001C30BE">
              <w:rPr>
                <w:rStyle w:val="Hyperlink"/>
                <w:rFonts w:ascii="Verdana" w:hAnsi="Verdana" w:cs="MinionPro-Regular"/>
                <w:noProof/>
              </w:rPr>
              <w:t>Summary</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_Toc190785277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10</w:t>
            </w:r>
            <w:r w:rsidRPr="001C30BE">
              <w:rPr>
                <w:rFonts w:ascii="Verdana" w:hAnsi="Verdana"/>
                <w:noProof/>
                <w:webHidden/>
              </w:rPr>
              <w:fldChar w:fldCharType="end"/>
            </w:r>
          </w:hyperlink>
        </w:p>
        <w:p w14:paraId="15EDA51F" w14:textId="601EEA42" w:rsidR="001C30BE" w:rsidRPr="001C30BE" w:rsidRDefault="001C30BE">
          <w:pPr>
            <w:pStyle w:val="TOC1"/>
            <w:tabs>
              <w:tab w:val="left" w:pos="720"/>
              <w:tab w:val="right" w:leader="dot" w:pos="9848"/>
            </w:tabs>
            <w:rPr>
              <w:rFonts w:ascii="Verdana" w:hAnsi="Verdana"/>
              <w:noProof/>
              <w:kern w:val="2"/>
              <w:lang w:eastAsia="en-GB"/>
              <w14:ligatures w14:val="standardContextual"/>
            </w:rPr>
          </w:pPr>
          <w:hyperlink w:anchor="_Toc190785278" w:history="1">
            <w:r w:rsidRPr="001C30BE">
              <w:rPr>
                <w:rStyle w:val="Hyperlink"/>
                <w:rFonts w:ascii="Verdana" w:hAnsi="Verdana"/>
                <w:noProof/>
              </w:rPr>
              <w:t>3.0</w:t>
            </w:r>
            <w:r w:rsidRPr="001C30BE">
              <w:rPr>
                <w:rFonts w:ascii="Verdana" w:hAnsi="Verdana"/>
                <w:noProof/>
                <w:kern w:val="2"/>
                <w:lang w:eastAsia="en-GB"/>
                <w14:ligatures w14:val="standardContextual"/>
              </w:rPr>
              <w:tab/>
            </w:r>
            <w:r w:rsidRPr="001C30BE">
              <w:rPr>
                <w:rStyle w:val="Hyperlink"/>
                <w:rFonts w:ascii="Verdana" w:hAnsi="Verdana"/>
                <w:noProof/>
              </w:rPr>
              <w:t>NI Budgetary Context</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_Toc190785278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10</w:t>
            </w:r>
            <w:r w:rsidRPr="001C30BE">
              <w:rPr>
                <w:rFonts w:ascii="Verdana" w:hAnsi="Verdana"/>
                <w:noProof/>
                <w:webHidden/>
              </w:rPr>
              <w:fldChar w:fldCharType="end"/>
            </w:r>
          </w:hyperlink>
        </w:p>
        <w:p w14:paraId="58E44923" w14:textId="383330AB" w:rsidR="001C30BE" w:rsidRPr="001C30BE" w:rsidRDefault="001C30BE">
          <w:pPr>
            <w:pStyle w:val="TOC1"/>
            <w:tabs>
              <w:tab w:val="left" w:pos="720"/>
              <w:tab w:val="right" w:leader="dot" w:pos="9848"/>
            </w:tabs>
            <w:rPr>
              <w:rFonts w:ascii="Verdana" w:hAnsi="Verdana"/>
              <w:noProof/>
              <w:kern w:val="2"/>
              <w:lang w:eastAsia="en-GB"/>
              <w14:ligatures w14:val="standardContextual"/>
            </w:rPr>
          </w:pPr>
          <w:hyperlink w:anchor="_Toc190785279" w:history="1">
            <w:r w:rsidRPr="001C30BE">
              <w:rPr>
                <w:rStyle w:val="Hyperlink"/>
                <w:rFonts w:ascii="Verdana" w:hAnsi="Verdana"/>
                <w:noProof/>
              </w:rPr>
              <w:t xml:space="preserve">4.0 </w:t>
            </w:r>
            <w:r w:rsidRPr="001C30BE">
              <w:rPr>
                <w:rFonts w:ascii="Verdana" w:hAnsi="Verdana"/>
                <w:noProof/>
                <w:kern w:val="2"/>
                <w:lang w:eastAsia="en-GB"/>
                <w14:ligatures w14:val="standardContextual"/>
              </w:rPr>
              <w:tab/>
            </w:r>
            <w:r w:rsidRPr="001C30BE">
              <w:rPr>
                <w:rStyle w:val="Hyperlink"/>
                <w:rFonts w:ascii="Verdana" w:hAnsi="Verdana"/>
                <w:noProof/>
              </w:rPr>
              <w:t>Implementing Human Rights Budgeting</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_Toc190785279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13</w:t>
            </w:r>
            <w:r w:rsidRPr="001C30BE">
              <w:rPr>
                <w:rFonts w:ascii="Verdana" w:hAnsi="Verdana"/>
                <w:noProof/>
                <w:webHidden/>
              </w:rPr>
              <w:fldChar w:fldCharType="end"/>
            </w:r>
          </w:hyperlink>
        </w:p>
        <w:p w14:paraId="48D6AA5E" w14:textId="69DEE73C"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80" w:history="1">
            <w:r w:rsidRPr="001C30BE">
              <w:rPr>
                <w:rStyle w:val="Hyperlink"/>
                <w:rFonts w:ascii="Verdana" w:hAnsi="Verdana"/>
                <w:noProof/>
              </w:rPr>
              <w:t>Formulation Stage: Planning</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_Toc190785280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13</w:t>
            </w:r>
            <w:r w:rsidRPr="001C30BE">
              <w:rPr>
                <w:rFonts w:ascii="Verdana" w:hAnsi="Verdana"/>
                <w:noProof/>
                <w:webHidden/>
              </w:rPr>
              <w:fldChar w:fldCharType="end"/>
            </w:r>
          </w:hyperlink>
        </w:p>
        <w:p w14:paraId="6E52AC24" w14:textId="3B95017B"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81" w:history="1">
            <w:r w:rsidRPr="001C30BE">
              <w:rPr>
                <w:rStyle w:val="Hyperlink"/>
                <w:rFonts w:ascii="Verdana" w:hAnsi="Verdana"/>
                <w:noProof/>
              </w:rPr>
              <w:t>Approval Stage: Resource Allocation</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_Toc190785281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15</w:t>
            </w:r>
            <w:r w:rsidRPr="001C30BE">
              <w:rPr>
                <w:rFonts w:ascii="Verdana" w:hAnsi="Verdana"/>
                <w:noProof/>
                <w:webHidden/>
              </w:rPr>
              <w:fldChar w:fldCharType="end"/>
            </w:r>
          </w:hyperlink>
        </w:p>
        <w:p w14:paraId="74A2D2AB" w14:textId="204B157D"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82" w:history="1">
            <w:r w:rsidRPr="001C30BE">
              <w:rPr>
                <w:rStyle w:val="Hyperlink"/>
                <w:rFonts w:ascii="Verdana" w:hAnsi="Verdana"/>
                <w:noProof/>
              </w:rPr>
              <w:t>Execution Stage</w:t>
            </w:r>
            <w:r w:rsidRPr="001C30BE">
              <w:rPr>
                <w:rStyle w:val="Hyperlink"/>
                <w:rFonts w:ascii="Verdana" w:hAnsi="Verdana"/>
                <w:bCs/>
                <w:noProof/>
              </w:rPr>
              <w:t xml:space="preserve">: </w:t>
            </w:r>
            <w:r w:rsidRPr="001C30BE">
              <w:rPr>
                <w:rStyle w:val="Hyperlink"/>
                <w:rFonts w:ascii="Verdana" w:hAnsi="Verdana"/>
                <w:noProof/>
              </w:rPr>
              <w:t>Monitoring Expenditure</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_Toc190785282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15</w:t>
            </w:r>
            <w:r w:rsidRPr="001C30BE">
              <w:rPr>
                <w:rFonts w:ascii="Verdana" w:hAnsi="Verdana"/>
                <w:noProof/>
                <w:webHidden/>
              </w:rPr>
              <w:fldChar w:fldCharType="end"/>
            </w:r>
          </w:hyperlink>
        </w:p>
        <w:p w14:paraId="2578D20C" w14:textId="147C27FA" w:rsidR="001C30BE" w:rsidRPr="001C30BE" w:rsidRDefault="001C30BE">
          <w:pPr>
            <w:pStyle w:val="TOC2"/>
            <w:tabs>
              <w:tab w:val="right" w:leader="dot" w:pos="9848"/>
            </w:tabs>
            <w:rPr>
              <w:rFonts w:ascii="Verdana" w:hAnsi="Verdana"/>
              <w:noProof/>
              <w:kern w:val="2"/>
              <w:lang w:eastAsia="en-GB"/>
              <w14:ligatures w14:val="standardContextual"/>
            </w:rPr>
          </w:pPr>
          <w:hyperlink w:anchor="_Toc190785283" w:history="1">
            <w:r w:rsidRPr="001C30BE">
              <w:rPr>
                <w:rStyle w:val="Hyperlink"/>
                <w:rFonts w:ascii="Verdana" w:hAnsi="Verdana"/>
                <w:noProof/>
              </w:rPr>
              <w:t>Audit Stage: Impact Assessments</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_Toc190785283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16</w:t>
            </w:r>
            <w:r w:rsidRPr="001C30BE">
              <w:rPr>
                <w:rFonts w:ascii="Verdana" w:hAnsi="Verdana"/>
                <w:noProof/>
                <w:webHidden/>
              </w:rPr>
              <w:fldChar w:fldCharType="end"/>
            </w:r>
          </w:hyperlink>
        </w:p>
        <w:p w14:paraId="271EEDCD" w14:textId="45F594BB" w:rsidR="001C30BE" w:rsidRPr="001C30BE" w:rsidRDefault="001C30BE">
          <w:pPr>
            <w:pStyle w:val="TOC1"/>
            <w:tabs>
              <w:tab w:val="left" w:pos="720"/>
              <w:tab w:val="right" w:leader="dot" w:pos="9848"/>
            </w:tabs>
            <w:rPr>
              <w:rFonts w:ascii="Verdana" w:hAnsi="Verdana"/>
              <w:noProof/>
              <w:kern w:val="2"/>
              <w:lang w:eastAsia="en-GB"/>
              <w14:ligatures w14:val="standardContextual"/>
            </w:rPr>
          </w:pPr>
          <w:hyperlink w:anchor="_Toc190785284" w:history="1">
            <w:r w:rsidRPr="001C30BE">
              <w:rPr>
                <w:rStyle w:val="Hyperlink"/>
                <w:rFonts w:ascii="Verdana" w:hAnsi="Verdana"/>
                <w:noProof/>
              </w:rPr>
              <w:t xml:space="preserve">5.0 </w:t>
            </w:r>
            <w:r w:rsidRPr="001C30BE">
              <w:rPr>
                <w:rFonts w:ascii="Verdana" w:hAnsi="Verdana"/>
                <w:noProof/>
                <w:kern w:val="2"/>
                <w:lang w:eastAsia="en-GB"/>
                <w14:ligatures w14:val="standardContextual"/>
              </w:rPr>
              <w:tab/>
            </w:r>
            <w:r w:rsidRPr="001C30BE">
              <w:rPr>
                <w:rStyle w:val="Hyperlink"/>
                <w:rFonts w:ascii="Verdana" w:hAnsi="Verdana"/>
                <w:noProof/>
              </w:rPr>
              <w:t>Recommendations</w:t>
            </w:r>
            <w:r w:rsidRPr="001C30BE">
              <w:rPr>
                <w:rFonts w:ascii="Verdana" w:hAnsi="Verdana"/>
                <w:noProof/>
                <w:webHidden/>
              </w:rPr>
              <w:tab/>
            </w:r>
            <w:r w:rsidRPr="001C30BE">
              <w:rPr>
                <w:rFonts w:ascii="Verdana" w:hAnsi="Verdana"/>
                <w:noProof/>
                <w:webHidden/>
              </w:rPr>
              <w:fldChar w:fldCharType="begin"/>
            </w:r>
            <w:r w:rsidRPr="001C30BE">
              <w:rPr>
                <w:rFonts w:ascii="Verdana" w:hAnsi="Verdana"/>
                <w:noProof/>
                <w:webHidden/>
              </w:rPr>
              <w:instrText xml:space="preserve"> PAGEREF _Toc190785284 \h </w:instrText>
            </w:r>
            <w:r w:rsidRPr="001C30BE">
              <w:rPr>
                <w:rFonts w:ascii="Verdana" w:hAnsi="Verdana"/>
                <w:noProof/>
                <w:webHidden/>
              </w:rPr>
            </w:r>
            <w:r w:rsidRPr="001C30BE">
              <w:rPr>
                <w:rFonts w:ascii="Verdana" w:hAnsi="Verdana"/>
                <w:noProof/>
                <w:webHidden/>
              </w:rPr>
              <w:fldChar w:fldCharType="separate"/>
            </w:r>
            <w:r w:rsidR="002514BB">
              <w:rPr>
                <w:rFonts w:ascii="Verdana" w:hAnsi="Verdana"/>
                <w:noProof/>
                <w:webHidden/>
              </w:rPr>
              <w:t>19</w:t>
            </w:r>
            <w:r w:rsidRPr="001C30BE">
              <w:rPr>
                <w:rFonts w:ascii="Verdana" w:hAnsi="Verdana"/>
                <w:noProof/>
                <w:webHidden/>
              </w:rPr>
              <w:fldChar w:fldCharType="end"/>
            </w:r>
          </w:hyperlink>
        </w:p>
        <w:p w14:paraId="010FEC40" w14:textId="6895AA56" w:rsidR="00FF5CC1" w:rsidRPr="002A02E6" w:rsidRDefault="00FF5CC1">
          <w:pPr>
            <w:rPr>
              <w:rFonts w:ascii="Verdana" w:hAnsi="Verdana"/>
            </w:rPr>
          </w:pPr>
          <w:r w:rsidRPr="001C30BE">
            <w:rPr>
              <w:rFonts w:ascii="Verdana" w:hAnsi="Verdana"/>
              <w:b/>
              <w:bCs/>
              <w:noProof/>
            </w:rPr>
            <w:fldChar w:fldCharType="end"/>
          </w:r>
        </w:p>
      </w:sdtContent>
    </w:sdt>
    <w:p w14:paraId="1627A07E" w14:textId="3725FA0D" w:rsidR="008C7999" w:rsidRDefault="008C7999" w:rsidP="003F04BA">
      <w:pPr>
        <w:pStyle w:val="BasicParagraph"/>
        <w:suppressAutoHyphens/>
        <w:rPr>
          <w:rFonts w:ascii="Verdana" w:hAnsi="Verdana" w:cs="Arial"/>
          <w:b/>
          <w:color w:val="77328A"/>
          <w:sz w:val="30"/>
          <w:szCs w:val="30"/>
        </w:rPr>
      </w:pPr>
    </w:p>
    <w:p w14:paraId="2F14229B" w14:textId="77777777" w:rsidR="00FF5CC1" w:rsidRDefault="00FF5CC1" w:rsidP="003F04BA">
      <w:pPr>
        <w:pStyle w:val="BasicParagraph"/>
        <w:suppressAutoHyphens/>
        <w:rPr>
          <w:rFonts w:ascii="Verdana" w:hAnsi="Verdana" w:cs="Arial"/>
          <w:b/>
          <w:color w:val="77328A"/>
          <w:sz w:val="30"/>
          <w:szCs w:val="30"/>
        </w:rPr>
      </w:pPr>
    </w:p>
    <w:p w14:paraId="025F4CE1" w14:textId="77777777" w:rsidR="00FF5CC1" w:rsidRDefault="00FF5CC1" w:rsidP="003F04BA">
      <w:pPr>
        <w:pStyle w:val="BasicParagraph"/>
        <w:suppressAutoHyphens/>
        <w:rPr>
          <w:rFonts w:ascii="Verdana" w:hAnsi="Verdana" w:cs="Arial"/>
          <w:b/>
          <w:color w:val="77328A"/>
          <w:sz w:val="30"/>
          <w:szCs w:val="30"/>
        </w:rPr>
      </w:pPr>
    </w:p>
    <w:p w14:paraId="4B5813EE" w14:textId="77777777" w:rsidR="00FF5CC1" w:rsidRDefault="00FF5CC1" w:rsidP="003F04BA">
      <w:pPr>
        <w:pStyle w:val="BasicParagraph"/>
        <w:suppressAutoHyphens/>
        <w:rPr>
          <w:rFonts w:ascii="Verdana" w:hAnsi="Verdana" w:cs="Arial"/>
          <w:b/>
          <w:color w:val="77328A"/>
          <w:sz w:val="30"/>
          <w:szCs w:val="30"/>
        </w:rPr>
      </w:pPr>
    </w:p>
    <w:p w14:paraId="0A811A85" w14:textId="77777777" w:rsidR="00FF5CC1" w:rsidRDefault="00FF5CC1" w:rsidP="003F04BA">
      <w:pPr>
        <w:pStyle w:val="BasicParagraph"/>
        <w:suppressAutoHyphens/>
        <w:rPr>
          <w:rFonts w:ascii="Verdana" w:hAnsi="Verdana" w:cs="Arial"/>
          <w:b/>
          <w:color w:val="77328A"/>
          <w:sz w:val="30"/>
          <w:szCs w:val="30"/>
        </w:rPr>
      </w:pPr>
    </w:p>
    <w:p w14:paraId="42CBCC4F" w14:textId="77777777" w:rsidR="00FF5CC1" w:rsidRDefault="00FF5CC1" w:rsidP="003F04BA">
      <w:pPr>
        <w:pStyle w:val="BasicParagraph"/>
        <w:suppressAutoHyphens/>
        <w:rPr>
          <w:rFonts w:ascii="Verdana" w:hAnsi="Verdana" w:cs="Arial"/>
          <w:b/>
          <w:color w:val="77328A"/>
          <w:sz w:val="30"/>
          <w:szCs w:val="30"/>
        </w:rPr>
      </w:pPr>
    </w:p>
    <w:p w14:paraId="36351A32" w14:textId="77777777" w:rsidR="00FF5CC1" w:rsidRDefault="00FF5CC1" w:rsidP="003F04BA">
      <w:pPr>
        <w:pStyle w:val="BasicParagraph"/>
        <w:suppressAutoHyphens/>
        <w:rPr>
          <w:rFonts w:ascii="Verdana" w:hAnsi="Verdana" w:cs="Arial"/>
          <w:b/>
          <w:color w:val="77328A"/>
          <w:sz w:val="30"/>
          <w:szCs w:val="30"/>
        </w:rPr>
      </w:pPr>
    </w:p>
    <w:p w14:paraId="21BA6AA6" w14:textId="77777777" w:rsidR="00FF5CC1" w:rsidRDefault="00FF5CC1" w:rsidP="003F04BA">
      <w:pPr>
        <w:pStyle w:val="BasicParagraph"/>
        <w:suppressAutoHyphens/>
        <w:rPr>
          <w:rFonts w:ascii="Verdana" w:hAnsi="Verdana" w:cs="Arial"/>
          <w:b/>
          <w:color w:val="77328A"/>
          <w:sz w:val="30"/>
          <w:szCs w:val="30"/>
        </w:rPr>
      </w:pPr>
    </w:p>
    <w:p w14:paraId="3E703DC0" w14:textId="77777777" w:rsidR="00FF5CC1" w:rsidRDefault="00FF5CC1" w:rsidP="003F04BA">
      <w:pPr>
        <w:pStyle w:val="BasicParagraph"/>
        <w:suppressAutoHyphens/>
        <w:rPr>
          <w:rFonts w:ascii="Verdana" w:hAnsi="Verdana" w:cs="Arial"/>
          <w:b/>
          <w:color w:val="77328A"/>
          <w:sz w:val="30"/>
          <w:szCs w:val="30"/>
        </w:rPr>
      </w:pPr>
    </w:p>
    <w:p w14:paraId="0B58CDCD" w14:textId="77777777" w:rsidR="00FF5CC1" w:rsidRDefault="00FF5CC1" w:rsidP="003F04BA">
      <w:pPr>
        <w:pStyle w:val="BasicParagraph"/>
        <w:suppressAutoHyphens/>
        <w:rPr>
          <w:rFonts w:ascii="Verdana" w:hAnsi="Verdana" w:cs="Arial"/>
          <w:b/>
          <w:color w:val="77328A"/>
          <w:sz w:val="30"/>
          <w:szCs w:val="30"/>
        </w:rPr>
      </w:pPr>
    </w:p>
    <w:p w14:paraId="56E55035" w14:textId="77777777" w:rsidR="00FF5CC1" w:rsidRDefault="00FF5CC1" w:rsidP="003F04BA">
      <w:pPr>
        <w:pStyle w:val="BasicParagraph"/>
        <w:suppressAutoHyphens/>
        <w:rPr>
          <w:rFonts w:ascii="Verdana" w:hAnsi="Verdana" w:cs="Arial"/>
          <w:b/>
          <w:color w:val="77328A"/>
          <w:sz w:val="30"/>
          <w:szCs w:val="30"/>
        </w:rPr>
      </w:pPr>
    </w:p>
    <w:p w14:paraId="3F06EBF1" w14:textId="77777777" w:rsidR="00FF5CC1" w:rsidRDefault="00FF5CC1" w:rsidP="003F04BA">
      <w:pPr>
        <w:pStyle w:val="BasicParagraph"/>
        <w:suppressAutoHyphens/>
        <w:rPr>
          <w:rFonts w:ascii="Verdana" w:hAnsi="Verdana" w:cs="Arial"/>
          <w:b/>
          <w:color w:val="77328A"/>
          <w:sz w:val="30"/>
          <w:szCs w:val="30"/>
        </w:rPr>
      </w:pPr>
    </w:p>
    <w:p w14:paraId="4D383E53" w14:textId="77777777" w:rsidR="009B3CEF" w:rsidRDefault="009B3CEF" w:rsidP="003F04BA">
      <w:pPr>
        <w:pStyle w:val="BasicParagraph"/>
        <w:suppressAutoHyphens/>
        <w:rPr>
          <w:rFonts w:ascii="Verdana" w:hAnsi="Verdana" w:cs="Arial"/>
          <w:b/>
          <w:color w:val="77328A"/>
          <w:sz w:val="30"/>
          <w:szCs w:val="30"/>
        </w:rPr>
      </w:pPr>
    </w:p>
    <w:p w14:paraId="2A876B45" w14:textId="77777777" w:rsidR="009B3CEF" w:rsidRDefault="009B3CEF" w:rsidP="003F04BA">
      <w:pPr>
        <w:pStyle w:val="BasicParagraph"/>
        <w:suppressAutoHyphens/>
        <w:rPr>
          <w:rFonts w:ascii="Verdana" w:hAnsi="Verdana" w:cs="Arial"/>
          <w:b/>
          <w:color w:val="77328A"/>
          <w:sz w:val="30"/>
          <w:szCs w:val="30"/>
        </w:rPr>
      </w:pPr>
    </w:p>
    <w:p w14:paraId="2C6ED828" w14:textId="77777777" w:rsidR="00FF5CC1" w:rsidRDefault="00FF5CC1" w:rsidP="003F04BA">
      <w:pPr>
        <w:pStyle w:val="BasicParagraph"/>
        <w:suppressAutoHyphens/>
        <w:rPr>
          <w:rFonts w:ascii="Verdana" w:hAnsi="Verdana" w:cs="Arial"/>
          <w:b/>
          <w:color w:val="77328A"/>
          <w:sz w:val="30"/>
          <w:szCs w:val="30"/>
        </w:rPr>
      </w:pPr>
    </w:p>
    <w:p w14:paraId="1E01987F" w14:textId="77777777" w:rsidR="00FF5CC1" w:rsidRDefault="00FF5CC1" w:rsidP="003F04BA">
      <w:pPr>
        <w:pStyle w:val="BasicParagraph"/>
        <w:suppressAutoHyphens/>
        <w:rPr>
          <w:rFonts w:ascii="Verdana" w:hAnsi="Verdana" w:cs="Arial"/>
          <w:b/>
          <w:color w:val="77328A"/>
          <w:sz w:val="30"/>
          <w:szCs w:val="30"/>
        </w:rPr>
      </w:pPr>
    </w:p>
    <w:p w14:paraId="5166CE60" w14:textId="77777777" w:rsidR="00FF5CC1" w:rsidRDefault="00FF5CC1" w:rsidP="003F04BA">
      <w:pPr>
        <w:pStyle w:val="BasicParagraph"/>
        <w:suppressAutoHyphens/>
        <w:rPr>
          <w:rFonts w:ascii="Verdana" w:hAnsi="Verdana" w:cs="Arial"/>
          <w:b/>
          <w:color w:val="77328A"/>
          <w:sz w:val="30"/>
          <w:szCs w:val="30"/>
        </w:rPr>
      </w:pPr>
    </w:p>
    <w:p w14:paraId="4223F6B5" w14:textId="77777777" w:rsidR="001B3680" w:rsidRDefault="001B3680" w:rsidP="003F04BA">
      <w:pPr>
        <w:pStyle w:val="BasicParagraph"/>
        <w:suppressAutoHyphens/>
        <w:rPr>
          <w:rFonts w:ascii="Verdana" w:hAnsi="Verdana" w:cs="Arial"/>
          <w:b/>
          <w:color w:val="77328A"/>
          <w:sz w:val="30"/>
          <w:szCs w:val="30"/>
        </w:rPr>
      </w:pPr>
    </w:p>
    <w:p w14:paraId="042CA0D7" w14:textId="77777777" w:rsidR="00FF5CC1" w:rsidRDefault="00FF5CC1" w:rsidP="003F04BA">
      <w:pPr>
        <w:pStyle w:val="BasicParagraph"/>
        <w:suppressAutoHyphens/>
        <w:rPr>
          <w:rFonts w:ascii="Verdana" w:hAnsi="Verdana" w:cs="Arial"/>
          <w:b/>
          <w:color w:val="77328A"/>
          <w:sz w:val="30"/>
          <w:szCs w:val="30"/>
        </w:rPr>
      </w:pPr>
    </w:p>
    <w:p w14:paraId="664A0DDA" w14:textId="77777777" w:rsidR="00FF5CC1" w:rsidRDefault="00FF5CC1" w:rsidP="003F04BA">
      <w:pPr>
        <w:pStyle w:val="BasicParagraph"/>
        <w:suppressAutoHyphens/>
        <w:rPr>
          <w:rFonts w:ascii="Verdana" w:hAnsi="Verdana" w:cs="Arial"/>
          <w:b/>
          <w:color w:val="77328A"/>
          <w:sz w:val="30"/>
          <w:szCs w:val="30"/>
        </w:rPr>
      </w:pPr>
    </w:p>
    <w:p w14:paraId="055DCF72" w14:textId="3193BF44" w:rsidR="007569C1" w:rsidRDefault="00ED40E9" w:rsidP="003D3278">
      <w:pPr>
        <w:pStyle w:val="Heading1"/>
        <w:ind w:hanging="720"/>
      </w:pPr>
      <w:bookmarkStart w:id="0" w:name="_Toc190785273"/>
      <w:r>
        <w:lastRenderedPageBreak/>
        <w:t>Introduction</w:t>
      </w:r>
      <w:bookmarkEnd w:id="0"/>
    </w:p>
    <w:p w14:paraId="520C5DFA" w14:textId="77777777" w:rsidR="003F04BA" w:rsidRPr="005052DD" w:rsidRDefault="003F04BA" w:rsidP="003F04BA">
      <w:pPr>
        <w:pStyle w:val="BasicParagraph"/>
        <w:suppressAutoHyphens/>
        <w:rPr>
          <w:rFonts w:ascii="Verdana" w:hAnsi="Verdana" w:cs="Arial"/>
          <w:bCs/>
          <w:color w:val="auto"/>
        </w:rPr>
      </w:pPr>
    </w:p>
    <w:p w14:paraId="0512995B" w14:textId="77777777" w:rsidR="00002F6B" w:rsidRPr="00002F6B" w:rsidRDefault="005052DD" w:rsidP="00002F6B">
      <w:pPr>
        <w:pStyle w:val="ListParagraph"/>
        <w:numPr>
          <w:ilvl w:val="1"/>
          <w:numId w:val="19"/>
        </w:numPr>
        <w:spacing w:line="288" w:lineRule="auto"/>
        <w:rPr>
          <w:rFonts w:ascii="Verdana" w:hAnsi="Verdana" w:cs="MinionPro-Regular"/>
          <w:color w:val="000000"/>
        </w:rPr>
      </w:pPr>
      <w:r w:rsidRPr="005052DD">
        <w:rPr>
          <w:rFonts w:ascii="Verdana" w:hAnsi="Verdana" w:cs="MinionPro-Regular"/>
          <w:color w:val="000000"/>
        </w:rPr>
        <w:t xml:space="preserve">The NI Human Rights Commission (the NIHRC) </w:t>
      </w:r>
      <w:r w:rsidRPr="005052DD">
        <w:rPr>
          <w:rFonts w:ascii="Verdana" w:hAnsi="Verdana" w:cs="Arial"/>
          <w:bCs/>
        </w:rPr>
        <w:t xml:space="preserve">is a statutory public body established in 1999 to promote and protect human rights. In accordance with the Northern Ireland Act 1998, the Commission reviews the adequacy and effectiveness of law and practice relating to the protection of human rights in Northern Ireland (NI). </w:t>
      </w:r>
    </w:p>
    <w:p w14:paraId="3BB2052C" w14:textId="77777777" w:rsidR="00002F6B" w:rsidRPr="00002F6B" w:rsidRDefault="00002F6B" w:rsidP="00002F6B">
      <w:pPr>
        <w:pStyle w:val="ListParagraph"/>
        <w:spacing w:line="288" w:lineRule="auto"/>
        <w:rPr>
          <w:rFonts w:ascii="Verdana" w:hAnsi="Verdana" w:cs="MinionPro-Regular"/>
          <w:color w:val="000000"/>
        </w:rPr>
      </w:pPr>
    </w:p>
    <w:p w14:paraId="36D6EFB5" w14:textId="315C3569" w:rsidR="007F2AD7" w:rsidRDefault="00002F6B" w:rsidP="00002F6B">
      <w:pPr>
        <w:pStyle w:val="ListParagraph"/>
        <w:numPr>
          <w:ilvl w:val="1"/>
          <w:numId w:val="19"/>
        </w:numPr>
        <w:spacing w:line="288" w:lineRule="auto"/>
        <w:rPr>
          <w:rFonts w:ascii="Verdana" w:hAnsi="Verdana" w:cs="MinionPro-Regular"/>
          <w:color w:val="000000"/>
        </w:rPr>
      </w:pPr>
      <w:r w:rsidRPr="00002F6B">
        <w:rPr>
          <w:rFonts w:ascii="Verdana" w:hAnsi="Verdana" w:cs="MinionPro-Regular"/>
          <w:color w:val="000000"/>
        </w:rPr>
        <w:t>This briefing paper explores the connection between government budgets and their responsibilities to respect, protect, and fulfil human rights. Human rights monitoring bodies increasingly emphasi</w:t>
      </w:r>
      <w:r>
        <w:rPr>
          <w:rFonts w:ascii="Verdana" w:hAnsi="Verdana" w:cs="MinionPro-Regular"/>
          <w:color w:val="000000"/>
        </w:rPr>
        <w:t>s</w:t>
      </w:r>
      <w:r w:rsidRPr="00002F6B">
        <w:rPr>
          <w:rFonts w:ascii="Verdana" w:hAnsi="Verdana" w:cs="MinionPro-Regular"/>
          <w:color w:val="000000"/>
        </w:rPr>
        <w:t xml:space="preserve">e the </w:t>
      </w:r>
      <w:r w:rsidR="008B6BFE">
        <w:rPr>
          <w:rFonts w:ascii="Verdana" w:hAnsi="Verdana" w:cs="MinionPro-Regular"/>
          <w:color w:val="000000"/>
        </w:rPr>
        <w:t xml:space="preserve">critical </w:t>
      </w:r>
      <w:r w:rsidRPr="00002F6B">
        <w:rPr>
          <w:rFonts w:ascii="Verdana" w:hAnsi="Verdana" w:cs="MinionPro-Regular"/>
          <w:color w:val="000000"/>
        </w:rPr>
        <w:t xml:space="preserve">role of public budgets in </w:t>
      </w:r>
      <w:r w:rsidR="008B6BFE">
        <w:rPr>
          <w:rFonts w:ascii="Verdana" w:hAnsi="Verdana" w:cs="MinionPro-Regular"/>
          <w:color w:val="000000"/>
        </w:rPr>
        <w:t>advancing</w:t>
      </w:r>
      <w:r w:rsidRPr="00002F6B">
        <w:rPr>
          <w:rFonts w:ascii="Verdana" w:hAnsi="Verdana" w:cs="MinionPro-Regular"/>
          <w:color w:val="000000"/>
        </w:rPr>
        <w:t xml:space="preserve"> people’s rights—particularly those of marginali</w:t>
      </w:r>
      <w:r w:rsidR="008B6BFE">
        <w:rPr>
          <w:rFonts w:ascii="Verdana" w:hAnsi="Verdana" w:cs="MinionPro-Regular"/>
          <w:color w:val="000000"/>
        </w:rPr>
        <w:t>s</w:t>
      </w:r>
      <w:r w:rsidRPr="00002F6B">
        <w:rPr>
          <w:rFonts w:ascii="Verdana" w:hAnsi="Verdana" w:cs="MinionPro-Regular"/>
          <w:color w:val="000000"/>
        </w:rPr>
        <w:t xml:space="preserve">ed </w:t>
      </w:r>
      <w:r w:rsidR="00DE5C14">
        <w:rPr>
          <w:rFonts w:ascii="Verdana" w:hAnsi="Verdana" w:cs="MinionPro-Regular"/>
          <w:color w:val="000000"/>
        </w:rPr>
        <w:t>or</w:t>
      </w:r>
      <w:r w:rsidRPr="00002F6B">
        <w:rPr>
          <w:rFonts w:ascii="Verdana" w:hAnsi="Verdana" w:cs="MinionPro-Regular"/>
          <w:color w:val="000000"/>
        </w:rPr>
        <w:t xml:space="preserve"> excluded groups, such as women, children, persons with disabilities, and minorities. The paper aims to</w:t>
      </w:r>
      <w:r w:rsidR="00DD7785">
        <w:rPr>
          <w:rFonts w:ascii="Verdana" w:hAnsi="Verdana" w:cs="MinionPro-Regular"/>
          <w:color w:val="000000"/>
        </w:rPr>
        <w:t xml:space="preserve"> better enable</w:t>
      </w:r>
      <w:r w:rsidR="002B1345" w:rsidRPr="002B1345">
        <w:rPr>
          <w:rFonts w:ascii="Verdana" w:hAnsi="Verdana" w:cs="MinionPro-Regular"/>
          <w:color w:val="000000"/>
        </w:rPr>
        <w:t xml:space="preserve"> government officials </w:t>
      </w:r>
      <w:r w:rsidR="00A70E9D">
        <w:rPr>
          <w:rFonts w:ascii="Verdana" w:hAnsi="Verdana" w:cs="MinionPro-Regular"/>
          <w:color w:val="000000"/>
        </w:rPr>
        <w:t xml:space="preserve">to </w:t>
      </w:r>
      <w:r w:rsidR="00064F85">
        <w:rPr>
          <w:rFonts w:ascii="Verdana" w:hAnsi="Verdana" w:cs="MinionPro-Regular"/>
          <w:color w:val="000000"/>
        </w:rPr>
        <w:t>be guided by their</w:t>
      </w:r>
      <w:r w:rsidR="009457C2">
        <w:rPr>
          <w:rFonts w:ascii="Verdana" w:hAnsi="Verdana" w:cs="MinionPro-Regular"/>
          <w:color w:val="000000"/>
        </w:rPr>
        <w:t xml:space="preserve"> </w:t>
      </w:r>
      <w:r w:rsidR="002B1345" w:rsidRPr="002B1345">
        <w:rPr>
          <w:rFonts w:ascii="Verdana" w:hAnsi="Verdana" w:cs="MinionPro-Regular"/>
          <w:color w:val="000000"/>
        </w:rPr>
        <w:t xml:space="preserve">human rights obligations </w:t>
      </w:r>
      <w:r w:rsidR="00D62C44">
        <w:rPr>
          <w:rFonts w:ascii="Verdana" w:hAnsi="Verdana" w:cs="MinionPro-Regular"/>
          <w:color w:val="000000"/>
        </w:rPr>
        <w:t>at</w:t>
      </w:r>
      <w:r w:rsidR="00064F85">
        <w:rPr>
          <w:rFonts w:ascii="Verdana" w:hAnsi="Verdana" w:cs="MinionPro-Regular"/>
          <w:color w:val="000000"/>
        </w:rPr>
        <w:t xml:space="preserve"> each stage of</w:t>
      </w:r>
      <w:r w:rsidR="00061E0A">
        <w:rPr>
          <w:rFonts w:ascii="Verdana" w:hAnsi="Verdana" w:cs="MinionPro-Regular"/>
          <w:color w:val="000000"/>
        </w:rPr>
        <w:t xml:space="preserve"> </w:t>
      </w:r>
      <w:r w:rsidR="00064F85">
        <w:rPr>
          <w:rFonts w:ascii="Verdana" w:hAnsi="Verdana" w:cs="MinionPro-Regular"/>
          <w:color w:val="000000"/>
        </w:rPr>
        <w:t>the</w:t>
      </w:r>
      <w:r w:rsidRPr="00002F6B">
        <w:rPr>
          <w:rFonts w:ascii="Verdana" w:hAnsi="Verdana" w:cs="MinionPro-Regular"/>
          <w:color w:val="000000"/>
        </w:rPr>
        <w:t xml:space="preserve"> budgeting process, including formulation, allocation, </w:t>
      </w:r>
      <w:r w:rsidR="007D6021">
        <w:rPr>
          <w:rFonts w:ascii="Verdana" w:hAnsi="Verdana" w:cs="MinionPro-Regular"/>
          <w:color w:val="000000"/>
        </w:rPr>
        <w:t>implementation</w:t>
      </w:r>
      <w:r w:rsidRPr="00002F6B">
        <w:rPr>
          <w:rFonts w:ascii="Verdana" w:hAnsi="Verdana" w:cs="MinionPro-Regular"/>
          <w:color w:val="000000"/>
        </w:rPr>
        <w:t>, and monitoring. It also provides civil society</w:t>
      </w:r>
      <w:r w:rsidR="00DC3ECE">
        <w:rPr>
          <w:rFonts w:ascii="Verdana" w:hAnsi="Verdana" w:cs="MinionPro-Regular"/>
          <w:color w:val="000000"/>
        </w:rPr>
        <w:t xml:space="preserve"> organisations</w:t>
      </w:r>
      <w:r w:rsidRPr="00002F6B">
        <w:rPr>
          <w:rFonts w:ascii="Verdana" w:hAnsi="Verdana" w:cs="MinionPro-Regular"/>
          <w:color w:val="000000"/>
        </w:rPr>
        <w:t xml:space="preserve"> with insights into the relationship between human rights and budgeting, enabling them to hold governments accountable.</w:t>
      </w:r>
    </w:p>
    <w:p w14:paraId="5B5F8B7D" w14:textId="77777777" w:rsidR="00002F6B" w:rsidRPr="00002F6B" w:rsidRDefault="00002F6B" w:rsidP="00002F6B">
      <w:pPr>
        <w:spacing w:line="288" w:lineRule="auto"/>
        <w:rPr>
          <w:rFonts w:ascii="Verdana" w:hAnsi="Verdana" w:cs="MinionPro-Regular"/>
          <w:color w:val="000000"/>
        </w:rPr>
      </w:pPr>
    </w:p>
    <w:p w14:paraId="7DB34DC1" w14:textId="3F8CD3E9" w:rsidR="00C04C7C" w:rsidRPr="00215BCA" w:rsidRDefault="005052DD" w:rsidP="00C04C7C">
      <w:pPr>
        <w:pStyle w:val="ListParagraph"/>
        <w:numPr>
          <w:ilvl w:val="1"/>
          <w:numId w:val="19"/>
        </w:numPr>
        <w:spacing w:line="288" w:lineRule="auto"/>
        <w:rPr>
          <w:rFonts w:ascii="Verdana" w:hAnsi="Verdana" w:cs="MinionPro-Regular"/>
          <w:color w:val="000000"/>
        </w:rPr>
      </w:pPr>
      <w:r>
        <w:rPr>
          <w:rFonts w:ascii="Verdana" w:hAnsi="Verdana" w:cs="MinionPro-Regular"/>
          <w:color w:val="000000"/>
        </w:rPr>
        <w:t xml:space="preserve">The following section </w:t>
      </w:r>
      <w:r w:rsidRPr="005052DD">
        <w:rPr>
          <w:rFonts w:ascii="Verdana" w:hAnsi="Verdana" w:cs="MinionPro-Regular"/>
          <w:color w:val="000000"/>
        </w:rPr>
        <w:t xml:space="preserve">explores how human rights standards provide a normative framework for complex decision-making on government budgets, while human rights principles provide operational parameters within which the development and implementation of </w:t>
      </w:r>
      <w:r w:rsidR="00722F56">
        <w:rPr>
          <w:rFonts w:ascii="Verdana" w:hAnsi="Verdana" w:cs="MinionPro-Regular"/>
          <w:color w:val="000000"/>
        </w:rPr>
        <w:t>fiscal</w:t>
      </w:r>
      <w:r w:rsidRPr="005052DD">
        <w:rPr>
          <w:rFonts w:ascii="Verdana" w:hAnsi="Verdana" w:cs="MinionPro-Regular"/>
          <w:color w:val="000000"/>
        </w:rPr>
        <w:t xml:space="preserve"> policies should operate. The </w:t>
      </w:r>
      <w:r w:rsidR="00480993">
        <w:rPr>
          <w:rFonts w:ascii="Verdana" w:hAnsi="Verdana" w:cs="MinionPro-Regular"/>
          <w:color w:val="000000"/>
        </w:rPr>
        <w:t xml:space="preserve">subsequent sections set out the NI budgetary context and </w:t>
      </w:r>
      <w:r w:rsidR="0008660E">
        <w:rPr>
          <w:rFonts w:ascii="Verdana" w:hAnsi="Verdana" w:cs="MinionPro-Regular"/>
          <w:color w:val="000000"/>
        </w:rPr>
        <w:t>demonstrate how</w:t>
      </w:r>
      <w:r w:rsidR="009436F8">
        <w:rPr>
          <w:rFonts w:ascii="Verdana" w:hAnsi="Verdana" w:cs="MinionPro-Regular"/>
          <w:color w:val="000000"/>
        </w:rPr>
        <w:t xml:space="preserve"> to</w:t>
      </w:r>
      <w:r w:rsidR="0008660E">
        <w:rPr>
          <w:rFonts w:ascii="Verdana" w:hAnsi="Verdana" w:cs="MinionPro-Regular"/>
          <w:color w:val="000000"/>
        </w:rPr>
        <w:t xml:space="preserve"> </w:t>
      </w:r>
      <w:r w:rsidR="009436F8">
        <w:rPr>
          <w:rFonts w:ascii="Verdana" w:hAnsi="Verdana" w:cs="MinionPro-Regular"/>
          <w:color w:val="000000"/>
        </w:rPr>
        <w:t xml:space="preserve">implement </w:t>
      </w:r>
      <w:r w:rsidR="0008660E">
        <w:rPr>
          <w:rFonts w:ascii="Verdana" w:hAnsi="Verdana" w:cs="MinionPro-Regular"/>
          <w:color w:val="000000"/>
        </w:rPr>
        <w:t xml:space="preserve">human rights budgeting </w:t>
      </w:r>
      <w:r w:rsidRPr="005052DD">
        <w:rPr>
          <w:rFonts w:ascii="Verdana" w:hAnsi="Verdana" w:cs="MinionPro-Regular"/>
          <w:color w:val="000000"/>
        </w:rPr>
        <w:t xml:space="preserve">in </w:t>
      </w:r>
      <w:r w:rsidR="009436F8">
        <w:rPr>
          <w:rFonts w:ascii="Verdana" w:hAnsi="Verdana" w:cs="MinionPro-Regular"/>
          <w:color w:val="000000"/>
        </w:rPr>
        <w:t>NI</w:t>
      </w:r>
      <w:r w:rsidRPr="005052DD">
        <w:rPr>
          <w:rFonts w:ascii="Verdana" w:hAnsi="Verdana" w:cs="MinionPro-Regular"/>
          <w:color w:val="000000"/>
        </w:rPr>
        <w:t>.</w:t>
      </w:r>
    </w:p>
    <w:p w14:paraId="1B392854" w14:textId="50EF9860" w:rsidR="001A71E4" w:rsidRDefault="00C04C7C" w:rsidP="001A71E4">
      <w:pPr>
        <w:pStyle w:val="Heading1"/>
        <w:numPr>
          <w:ilvl w:val="0"/>
          <w:numId w:val="0"/>
        </w:numPr>
      </w:pPr>
      <w:bookmarkStart w:id="1" w:name="_Toc190785274"/>
      <w:r>
        <w:t>2.0</w:t>
      </w:r>
      <w:r>
        <w:tab/>
      </w:r>
      <w:r w:rsidR="001A71E4">
        <w:t>International Human Rights Framework</w:t>
      </w:r>
      <w:bookmarkEnd w:id="1"/>
      <w:r w:rsidR="001A71E4">
        <w:t xml:space="preserve"> </w:t>
      </w:r>
    </w:p>
    <w:p w14:paraId="7ACCCFE4" w14:textId="77777777" w:rsidR="001A71E4" w:rsidRPr="00C04C7C" w:rsidRDefault="001A71E4" w:rsidP="001A71E4">
      <w:pPr>
        <w:rPr>
          <w:rFonts w:ascii="Verdana" w:hAnsi="Verdana"/>
          <w:b/>
          <w:bCs/>
        </w:rPr>
      </w:pPr>
    </w:p>
    <w:p w14:paraId="1E505292" w14:textId="77777777" w:rsidR="001A71E4" w:rsidRPr="00C85F24" w:rsidRDefault="001A71E4" w:rsidP="001A71E4">
      <w:pPr>
        <w:pStyle w:val="ListParagraph"/>
        <w:widowControl w:val="0"/>
        <w:numPr>
          <w:ilvl w:val="0"/>
          <w:numId w:val="19"/>
        </w:numPr>
        <w:suppressAutoHyphens/>
        <w:autoSpaceDE w:val="0"/>
        <w:autoSpaceDN w:val="0"/>
        <w:adjustRightInd w:val="0"/>
        <w:spacing w:line="288" w:lineRule="auto"/>
        <w:contextualSpacing w:val="0"/>
        <w:textAlignment w:val="center"/>
        <w:rPr>
          <w:rFonts w:ascii="Verdana" w:hAnsi="Verdana" w:cs="MinionPro-Regular"/>
          <w:vanish/>
          <w:color w:val="000000"/>
        </w:rPr>
      </w:pPr>
    </w:p>
    <w:p w14:paraId="0A7C5E85" w14:textId="77777777" w:rsidR="001A71E4" w:rsidRDefault="001A71E4" w:rsidP="001A71E4">
      <w:pPr>
        <w:pStyle w:val="BasicParagraph"/>
        <w:numPr>
          <w:ilvl w:val="1"/>
          <w:numId w:val="19"/>
        </w:numPr>
        <w:suppressAutoHyphens/>
        <w:rPr>
          <w:rFonts w:ascii="Verdana" w:hAnsi="Verdana"/>
        </w:rPr>
      </w:pPr>
      <w:r>
        <w:rPr>
          <w:rFonts w:ascii="Verdana" w:hAnsi="Verdana"/>
        </w:rPr>
        <w:t>I</w:t>
      </w:r>
      <w:r w:rsidRPr="00C85F24">
        <w:rPr>
          <w:rFonts w:ascii="Verdana" w:hAnsi="Verdana"/>
        </w:rPr>
        <w:t>nternational human rights law imposes a general commitment on States to secure enjoyment of human rights, which includes “positive obligations”. This means that the State’s duty to guarantee effective enjoyment of human rights goes beyond ensuring that the government itself respects rights. The State must also take reasonable measures to prevent human rights abuses.</w:t>
      </w:r>
      <w:r>
        <w:rPr>
          <w:rStyle w:val="FootnoteReference"/>
          <w:rFonts w:ascii="Verdana" w:hAnsi="Verdana"/>
        </w:rPr>
        <w:footnoteReference w:id="2"/>
      </w:r>
      <w:r>
        <w:rPr>
          <w:rFonts w:ascii="Verdana" w:hAnsi="Verdana"/>
        </w:rPr>
        <w:t xml:space="preserve"> </w:t>
      </w:r>
      <w:r w:rsidRPr="003D3278">
        <w:rPr>
          <w:rFonts w:ascii="Verdana" w:hAnsi="Verdana"/>
        </w:rPr>
        <w:t xml:space="preserve">This includes legislative, judicial, administrative, budgetary, economic, and other measures, such as the provision of essential public </w:t>
      </w:r>
      <w:r w:rsidRPr="003D3278">
        <w:rPr>
          <w:rFonts w:ascii="Verdana" w:hAnsi="Verdana"/>
        </w:rPr>
        <w:lastRenderedPageBreak/>
        <w:t>services and institutions.</w:t>
      </w:r>
      <w:r w:rsidRPr="003D3278">
        <w:rPr>
          <w:rFonts w:ascii="Verdana" w:hAnsi="Verdana"/>
          <w:vertAlign w:val="superscript"/>
        </w:rPr>
        <w:footnoteReference w:id="3"/>
      </w:r>
      <w:r w:rsidRPr="003D3278">
        <w:rPr>
          <w:rFonts w:ascii="Verdana" w:hAnsi="Verdana"/>
        </w:rPr>
        <w:t xml:space="preserve"> </w:t>
      </w:r>
    </w:p>
    <w:p w14:paraId="6042BFA0" w14:textId="77777777" w:rsidR="001A71E4" w:rsidRPr="003D3278" w:rsidRDefault="001A71E4" w:rsidP="001A71E4">
      <w:pPr>
        <w:pStyle w:val="BasicParagraph"/>
        <w:suppressAutoHyphens/>
        <w:ind w:left="720"/>
        <w:rPr>
          <w:rFonts w:ascii="Verdana" w:hAnsi="Verdana"/>
        </w:rPr>
      </w:pPr>
    </w:p>
    <w:p w14:paraId="7BBE3683" w14:textId="77777777" w:rsidR="001A71E4" w:rsidRPr="00907981" w:rsidRDefault="001A71E4" w:rsidP="001A71E4">
      <w:pPr>
        <w:pStyle w:val="ListParagraph"/>
        <w:numPr>
          <w:ilvl w:val="1"/>
          <w:numId w:val="19"/>
        </w:numPr>
        <w:spacing w:line="276" w:lineRule="auto"/>
        <w:rPr>
          <w:rFonts w:ascii="Verdana" w:hAnsi="Verdana"/>
        </w:rPr>
      </w:pPr>
      <w:r w:rsidRPr="00907981">
        <w:rPr>
          <w:rFonts w:ascii="Verdana" w:hAnsi="Verdana"/>
        </w:rPr>
        <w:t>Economic policy is not exempt from the duty on the UK Government and NI Executive to secure enjoyment of human rights.</w:t>
      </w:r>
      <w:r w:rsidRPr="00907981">
        <w:rPr>
          <w:rStyle w:val="FootnoteReference"/>
          <w:rFonts w:ascii="Verdana" w:hAnsi="Verdana"/>
        </w:rPr>
        <w:footnoteReference w:id="4"/>
      </w:r>
      <w:r w:rsidRPr="00907981">
        <w:rPr>
          <w:rFonts w:ascii="Verdana" w:hAnsi="Verdana"/>
        </w:rPr>
        <w:t xml:space="preserve"> </w:t>
      </w:r>
      <w:r>
        <w:rPr>
          <w:rFonts w:ascii="Verdana" w:hAnsi="Verdana"/>
        </w:rPr>
        <w:t>P</w:t>
      </w:r>
      <w:r w:rsidRPr="00907981">
        <w:rPr>
          <w:rFonts w:ascii="Verdana" w:hAnsi="Verdana"/>
        </w:rPr>
        <w:t xml:space="preserve">rotecting the rights of those already marginalised becomes particularly pertinent </w:t>
      </w:r>
      <w:r>
        <w:rPr>
          <w:rFonts w:ascii="Verdana" w:hAnsi="Verdana"/>
        </w:rPr>
        <w:t>d</w:t>
      </w:r>
      <w:r w:rsidRPr="00907981">
        <w:rPr>
          <w:rFonts w:ascii="Verdana" w:hAnsi="Verdana"/>
        </w:rPr>
        <w:t>uring times of economic downturn, so as not to compound pre-existing patterns of exclusion and discrimination.</w:t>
      </w:r>
      <w:r w:rsidRPr="00907981">
        <w:rPr>
          <w:rStyle w:val="FootnoteReference"/>
          <w:rFonts w:ascii="Verdana" w:hAnsi="Verdana"/>
        </w:rPr>
        <w:footnoteReference w:id="5"/>
      </w:r>
      <w:r w:rsidRPr="00907981">
        <w:rPr>
          <w:rFonts w:ascii="Verdana" w:hAnsi="Verdana"/>
        </w:rPr>
        <w:t xml:space="preserve"> Growing jurisprudence from human rights treaty bodies demonstrates in detailed and concrete terms how the allocation of resources </w:t>
      </w:r>
      <w:r>
        <w:rPr>
          <w:rFonts w:ascii="Verdana" w:hAnsi="Verdana"/>
        </w:rPr>
        <w:t>impacts</w:t>
      </w:r>
      <w:r w:rsidRPr="00907981">
        <w:rPr>
          <w:rFonts w:ascii="Verdana" w:hAnsi="Verdana"/>
        </w:rPr>
        <w:t xml:space="preserve"> human rights protection. For example, the Committee on the Rights of the Child,</w:t>
      </w:r>
      <w:r w:rsidRPr="00907981">
        <w:rPr>
          <w:rFonts w:ascii="Verdana" w:hAnsi="Verdana"/>
          <w:vertAlign w:val="superscript"/>
        </w:rPr>
        <w:footnoteReference w:id="6"/>
      </w:r>
      <w:r w:rsidRPr="00907981">
        <w:rPr>
          <w:rFonts w:ascii="Verdana" w:hAnsi="Verdana"/>
        </w:rPr>
        <w:t xml:space="preserve"> the Committee on the Elimination of Discrimination against Women,</w:t>
      </w:r>
      <w:r w:rsidRPr="00907981">
        <w:rPr>
          <w:rFonts w:ascii="Verdana" w:hAnsi="Verdana"/>
          <w:vertAlign w:val="superscript"/>
        </w:rPr>
        <w:footnoteReference w:id="7"/>
      </w:r>
      <w:r w:rsidRPr="00907981">
        <w:rPr>
          <w:rFonts w:ascii="Verdana" w:hAnsi="Verdana"/>
        </w:rPr>
        <w:t xml:space="preserve"> and the Committee on the Rights of Persons with Disabilities</w:t>
      </w:r>
      <w:r w:rsidRPr="00907981">
        <w:rPr>
          <w:rFonts w:ascii="Verdana" w:hAnsi="Verdana"/>
          <w:vertAlign w:val="superscript"/>
        </w:rPr>
        <w:footnoteReference w:id="8"/>
      </w:r>
      <w:r w:rsidRPr="00907981">
        <w:rPr>
          <w:rFonts w:ascii="Verdana" w:hAnsi="Verdana"/>
        </w:rPr>
        <w:t xml:space="preserve"> have all highlighted the impact of UK austerity measures on human rights within the margins of their specific mandates.  </w:t>
      </w:r>
    </w:p>
    <w:p w14:paraId="4B3E342E" w14:textId="77777777" w:rsidR="001A71E4" w:rsidRPr="00D20572" w:rsidRDefault="001A71E4" w:rsidP="001A71E4">
      <w:pPr>
        <w:spacing w:line="276" w:lineRule="auto"/>
        <w:rPr>
          <w:rFonts w:ascii="Verdana" w:hAnsi="Verdana"/>
        </w:rPr>
      </w:pPr>
    </w:p>
    <w:p w14:paraId="2C649477" w14:textId="77777777" w:rsidR="001A71E4" w:rsidRPr="00D20572" w:rsidRDefault="001A71E4" w:rsidP="001A71E4">
      <w:pPr>
        <w:pStyle w:val="ListParagraph"/>
        <w:numPr>
          <w:ilvl w:val="1"/>
          <w:numId w:val="19"/>
        </w:numPr>
        <w:spacing w:line="276" w:lineRule="auto"/>
        <w:rPr>
          <w:rFonts w:ascii="Verdana" w:hAnsi="Verdana"/>
        </w:rPr>
      </w:pPr>
      <w:r>
        <w:rPr>
          <w:rFonts w:ascii="Verdana" w:hAnsi="Verdana"/>
        </w:rPr>
        <w:t>The NIHRC</w:t>
      </w:r>
      <w:r w:rsidRPr="003D3278">
        <w:rPr>
          <w:rFonts w:ascii="Verdana" w:hAnsi="Verdana"/>
        </w:rPr>
        <w:t xml:space="preserve"> acknowledge</w:t>
      </w:r>
      <w:r>
        <w:rPr>
          <w:rFonts w:ascii="Verdana" w:hAnsi="Verdana"/>
        </w:rPr>
        <w:t>s</w:t>
      </w:r>
      <w:r w:rsidRPr="003D3278">
        <w:rPr>
          <w:rFonts w:ascii="Verdana" w:hAnsi="Verdana"/>
        </w:rPr>
        <w:t xml:space="preserve"> that </w:t>
      </w:r>
      <w:r>
        <w:rPr>
          <w:rFonts w:ascii="Verdana" w:hAnsi="Verdana"/>
        </w:rPr>
        <w:t>budgeting processes</w:t>
      </w:r>
      <w:r w:rsidRPr="003D3278">
        <w:rPr>
          <w:rFonts w:ascii="Verdana" w:hAnsi="Verdana"/>
        </w:rPr>
        <w:t xml:space="preserve"> require complex </w:t>
      </w:r>
      <w:r>
        <w:rPr>
          <w:rFonts w:ascii="Verdana" w:hAnsi="Verdana"/>
        </w:rPr>
        <w:t xml:space="preserve">analysis </w:t>
      </w:r>
      <w:r w:rsidRPr="003D3278">
        <w:rPr>
          <w:rFonts w:ascii="Verdana" w:hAnsi="Verdana"/>
        </w:rPr>
        <w:t>and governments enjoy a wide margin of appreciation in respect of the specific circumstances.</w:t>
      </w:r>
      <w:r w:rsidRPr="003D3278">
        <w:rPr>
          <w:rStyle w:val="FootnoteReference"/>
          <w:rFonts w:ascii="Verdana" w:hAnsi="Verdana"/>
        </w:rPr>
        <w:footnoteReference w:id="9"/>
      </w:r>
      <w:r w:rsidRPr="003D3278">
        <w:rPr>
          <w:rFonts w:ascii="Verdana" w:hAnsi="Verdana"/>
        </w:rPr>
        <w:t xml:space="preserve"> </w:t>
      </w:r>
      <w:r>
        <w:rPr>
          <w:rFonts w:ascii="Verdana" w:hAnsi="Verdana"/>
        </w:rPr>
        <w:t>However, i</w:t>
      </w:r>
      <w:r w:rsidRPr="00D20572">
        <w:rPr>
          <w:rFonts w:ascii="Verdana" w:hAnsi="Verdana"/>
        </w:rPr>
        <w:t xml:space="preserve">nternational human rights standards and principles </w:t>
      </w:r>
      <w:r>
        <w:rPr>
          <w:rFonts w:ascii="Verdana" w:hAnsi="Verdana"/>
        </w:rPr>
        <w:t xml:space="preserve">can </w:t>
      </w:r>
      <w:r w:rsidRPr="00D20572">
        <w:rPr>
          <w:rFonts w:ascii="Verdana" w:hAnsi="Verdana"/>
        </w:rPr>
        <w:t>provide a</w:t>
      </w:r>
      <w:r>
        <w:rPr>
          <w:rFonts w:ascii="Verdana" w:hAnsi="Verdana"/>
        </w:rPr>
        <w:t xml:space="preserve">n invaluable </w:t>
      </w:r>
      <w:r w:rsidRPr="00D20572">
        <w:rPr>
          <w:rFonts w:ascii="Verdana" w:hAnsi="Verdana"/>
        </w:rPr>
        <w:t>framework that support</w:t>
      </w:r>
      <w:r>
        <w:rPr>
          <w:rFonts w:ascii="Verdana" w:hAnsi="Verdana"/>
        </w:rPr>
        <w:t>s</w:t>
      </w:r>
      <w:r w:rsidRPr="00D20572">
        <w:rPr>
          <w:rFonts w:ascii="Verdana" w:hAnsi="Verdana"/>
        </w:rPr>
        <w:t xml:space="preserve"> and improve</w:t>
      </w:r>
      <w:r>
        <w:rPr>
          <w:rFonts w:ascii="Verdana" w:hAnsi="Verdana"/>
        </w:rPr>
        <w:t>s</w:t>
      </w:r>
      <w:r w:rsidRPr="00D20572">
        <w:rPr>
          <w:rFonts w:ascii="Verdana" w:hAnsi="Verdana"/>
        </w:rPr>
        <w:t xml:space="preserve"> budgeting processes</w:t>
      </w:r>
      <w:r>
        <w:rPr>
          <w:rFonts w:ascii="Verdana" w:hAnsi="Verdana"/>
        </w:rPr>
        <w:t xml:space="preserve">, while demonstrating the government’s clear commitment to human rights obligations. Central to this framework are the standards set out in the International </w:t>
      </w:r>
      <w:r w:rsidRPr="00207EB2">
        <w:rPr>
          <w:rFonts w:ascii="Verdana" w:hAnsi="Verdana"/>
        </w:rPr>
        <w:t>Covenant on Economic, Social and Cultural Rights</w:t>
      </w:r>
      <w:r>
        <w:rPr>
          <w:rFonts w:ascii="Verdana" w:hAnsi="Verdana"/>
        </w:rPr>
        <w:t xml:space="preserve">, which are examined in detail below. </w:t>
      </w:r>
    </w:p>
    <w:p w14:paraId="29A06536" w14:textId="77777777" w:rsidR="001A71E4" w:rsidRDefault="001A71E4" w:rsidP="001A71E4">
      <w:pPr>
        <w:pStyle w:val="BasicParagraph"/>
        <w:suppressAutoHyphens/>
        <w:rPr>
          <w:rFonts w:ascii="Verdana" w:hAnsi="Verdana"/>
        </w:rPr>
      </w:pPr>
    </w:p>
    <w:p w14:paraId="09578324" w14:textId="67B032B6" w:rsidR="001A71E4" w:rsidRDefault="001A71E4" w:rsidP="001A71E4">
      <w:pPr>
        <w:pStyle w:val="Heading2"/>
      </w:pPr>
      <w:bookmarkStart w:id="2" w:name="_Toc190785275"/>
      <w:r>
        <w:t>International Covenant on Economic, Social and Cultural Rights</w:t>
      </w:r>
      <w:bookmarkEnd w:id="2"/>
      <w:r w:rsidR="00F32857">
        <w:t xml:space="preserve"> (ICESCR)</w:t>
      </w:r>
    </w:p>
    <w:p w14:paraId="7D4EAA3B" w14:textId="77777777" w:rsidR="001A71E4" w:rsidRDefault="001A71E4" w:rsidP="001A71E4">
      <w:pPr>
        <w:pStyle w:val="BasicParagraph"/>
        <w:suppressAutoHyphens/>
        <w:rPr>
          <w:rFonts w:ascii="Verdana" w:hAnsi="Verdana"/>
        </w:rPr>
      </w:pPr>
    </w:p>
    <w:p w14:paraId="4DE59570" w14:textId="77777777" w:rsidR="001A71E4" w:rsidRPr="003D3278" w:rsidRDefault="001A71E4" w:rsidP="001A71E4">
      <w:pPr>
        <w:pStyle w:val="ListParagraph"/>
        <w:numPr>
          <w:ilvl w:val="1"/>
          <w:numId w:val="19"/>
        </w:numPr>
        <w:spacing w:line="276" w:lineRule="auto"/>
        <w:rPr>
          <w:rStyle w:val="normaltextrun"/>
          <w:rFonts w:ascii="Verdana" w:hAnsi="Verdana"/>
          <w:bCs/>
        </w:rPr>
      </w:pPr>
      <w:r w:rsidRPr="003D3278">
        <w:rPr>
          <w:rFonts w:ascii="Verdana" w:hAnsi="Verdana"/>
        </w:rPr>
        <w:t>Article 2(1) of the ICESCR requires States to “</w:t>
      </w:r>
      <w:r w:rsidRPr="003D3278">
        <w:rPr>
          <w:rFonts w:ascii="Verdana" w:hAnsi="Verdana"/>
          <w:color w:val="000000"/>
          <w:shd w:val="clear" w:color="auto" w:fill="FFFFFF"/>
        </w:rPr>
        <w:t xml:space="preserve">take steps…to the maximum of its available resources, with a view to achieving progressively the full </w:t>
      </w:r>
      <w:r w:rsidRPr="003D3278">
        <w:rPr>
          <w:rFonts w:ascii="Verdana" w:hAnsi="Verdana"/>
          <w:color w:val="000000"/>
          <w:shd w:val="clear" w:color="auto" w:fill="FFFFFF"/>
        </w:rPr>
        <w:lastRenderedPageBreak/>
        <w:t>realisation of the rights recognised in the present Covenant”. In General Comment No.3, the ICESCR Committee advises that the concept of progressive realisation is an ongoing obligation on governments to “</w:t>
      </w:r>
      <w:r w:rsidRPr="003D3278">
        <w:rPr>
          <w:rFonts w:ascii="Verdana" w:hAnsi="Verdana"/>
        </w:rPr>
        <w:t>move as expeditiously and effectively as possible” toward full implementation of all economic, social and cultural rights.</w:t>
      </w:r>
      <w:r w:rsidRPr="003D3278">
        <w:rPr>
          <w:rStyle w:val="FootnoteReference"/>
          <w:rFonts w:ascii="Verdana" w:hAnsi="Verdana"/>
        </w:rPr>
        <w:footnoteReference w:id="10"/>
      </w:r>
      <w:r w:rsidRPr="003D3278">
        <w:rPr>
          <w:rFonts w:ascii="Verdana" w:hAnsi="Verdana"/>
        </w:rPr>
        <w:t xml:space="preserve"> </w:t>
      </w:r>
      <w:r w:rsidRPr="003D3278">
        <w:rPr>
          <w:rStyle w:val="normaltextrun"/>
          <w:rFonts w:ascii="Verdana" w:hAnsi="Verdana" w:cs="Segoe UI"/>
          <w:shd w:val="clear" w:color="auto" w:fill="FFFFFF"/>
        </w:rPr>
        <w:t>Therefore, any retrogressive measures must only be applied in exceptional circumstances</w:t>
      </w:r>
      <w:r w:rsidRPr="003D3278">
        <w:rPr>
          <w:rFonts w:ascii="Verdana" w:hAnsi="Verdana" w:cs="Segoe UI"/>
          <w:shd w:val="clear" w:color="auto" w:fill="FFFFFF"/>
        </w:rPr>
        <w:t xml:space="preserve"> and only after </w:t>
      </w:r>
      <w:r w:rsidRPr="003D3278">
        <w:rPr>
          <w:rStyle w:val="normaltextrun"/>
          <w:rFonts w:ascii="Verdana" w:hAnsi="Verdana" w:cs="Segoe UI"/>
          <w:shd w:val="clear" w:color="auto" w:fill="FFFFFF"/>
        </w:rPr>
        <w:t>careful consideration of all alternatives.</w:t>
      </w:r>
      <w:r w:rsidRPr="003D3278">
        <w:rPr>
          <w:rStyle w:val="FootnoteReference"/>
          <w:rFonts w:ascii="Verdana" w:hAnsi="Verdana" w:cs="Segoe UI"/>
          <w:shd w:val="clear" w:color="auto" w:fill="FFFFFF"/>
        </w:rPr>
        <w:footnoteReference w:id="11"/>
      </w:r>
    </w:p>
    <w:p w14:paraId="7BA2DB33" w14:textId="77777777" w:rsidR="001A71E4" w:rsidRPr="003D3278" w:rsidRDefault="001A71E4" w:rsidP="001A71E4">
      <w:pPr>
        <w:pStyle w:val="ListParagraph"/>
        <w:rPr>
          <w:rFonts w:ascii="Verdana" w:hAnsi="Verdana"/>
          <w:color w:val="000000"/>
          <w:shd w:val="clear" w:color="auto" w:fill="FFFFFF"/>
        </w:rPr>
      </w:pPr>
    </w:p>
    <w:p w14:paraId="31C03AD9" w14:textId="2C6281B0" w:rsidR="001A71E4" w:rsidRPr="003D3278" w:rsidRDefault="001A71E4" w:rsidP="001A71E4">
      <w:pPr>
        <w:pStyle w:val="ListParagraph"/>
        <w:numPr>
          <w:ilvl w:val="1"/>
          <w:numId w:val="19"/>
        </w:numPr>
        <w:spacing w:line="276" w:lineRule="auto"/>
        <w:rPr>
          <w:rFonts w:ascii="Verdana" w:hAnsi="Verdana"/>
          <w:bCs/>
        </w:rPr>
      </w:pPr>
      <w:r w:rsidRPr="003D3278">
        <w:rPr>
          <w:rFonts w:ascii="Verdana" w:hAnsi="Verdana"/>
          <w:color w:val="000000"/>
          <w:shd w:val="clear" w:color="auto" w:fill="FFFFFF"/>
        </w:rPr>
        <w:t>In General Comment No.13, the ICESCR Committee elaborates</w:t>
      </w:r>
      <w:r w:rsidR="00A82BBD">
        <w:rPr>
          <w:rFonts w:ascii="Verdana" w:hAnsi="Verdana"/>
          <w:color w:val="000000"/>
          <w:shd w:val="clear" w:color="auto" w:fill="FFFFFF"/>
        </w:rPr>
        <w:t>:</w:t>
      </w:r>
      <w:r w:rsidRPr="003D3278">
        <w:rPr>
          <w:rFonts w:ascii="Verdana" w:hAnsi="Verdana"/>
          <w:color w:val="000000"/>
          <w:shd w:val="clear" w:color="auto" w:fill="FFFFFF"/>
        </w:rPr>
        <w:t xml:space="preserve"> </w:t>
      </w:r>
    </w:p>
    <w:p w14:paraId="369E7278" w14:textId="77777777" w:rsidR="001A71E4" w:rsidRPr="003D3278" w:rsidRDefault="001A71E4" w:rsidP="001A71E4">
      <w:pPr>
        <w:pStyle w:val="ListParagraph"/>
        <w:rPr>
          <w:rFonts w:ascii="Verdana" w:hAnsi="Verdana"/>
          <w:color w:val="000000"/>
          <w:shd w:val="clear" w:color="auto" w:fill="FFFFFF"/>
        </w:rPr>
      </w:pPr>
    </w:p>
    <w:p w14:paraId="779A450D" w14:textId="77777777" w:rsidR="001A71E4" w:rsidRPr="003D3278" w:rsidRDefault="001A71E4" w:rsidP="001A71E4">
      <w:pPr>
        <w:pStyle w:val="ListParagraph"/>
        <w:spacing w:line="276" w:lineRule="auto"/>
        <w:ind w:left="1440"/>
        <w:rPr>
          <w:rStyle w:val="normaltextrun"/>
          <w:rFonts w:ascii="Verdana" w:hAnsi="Verdana"/>
        </w:rPr>
      </w:pPr>
      <w:r w:rsidRPr="003D3278">
        <w:rPr>
          <w:rFonts w:ascii="Verdana" w:hAnsi="Verdana"/>
        </w:rPr>
        <w:t>If any deliberately retrogressive measures are taken, the State party has the burden of proving that they have been introduced after the most careful consideration of all alternatives and that they are fully justified by reference to the totality of the rights provided for in the Covenant and in the context of the full use of the State party’s maximum available resources.</w:t>
      </w:r>
      <w:r w:rsidRPr="003D3278">
        <w:rPr>
          <w:rStyle w:val="FootnoteReference"/>
          <w:rFonts w:ascii="Verdana" w:hAnsi="Verdana"/>
        </w:rPr>
        <w:footnoteReference w:id="12"/>
      </w:r>
    </w:p>
    <w:p w14:paraId="7457ED4B" w14:textId="77777777" w:rsidR="001A71E4" w:rsidRPr="003D3278" w:rsidRDefault="001A71E4" w:rsidP="001A71E4">
      <w:pPr>
        <w:pStyle w:val="ListParagraph"/>
        <w:spacing w:line="276" w:lineRule="auto"/>
        <w:ind w:left="709"/>
        <w:rPr>
          <w:rStyle w:val="normaltextrun"/>
          <w:rFonts w:ascii="Verdana" w:hAnsi="Verdana"/>
        </w:rPr>
      </w:pPr>
    </w:p>
    <w:p w14:paraId="6C3753E6" w14:textId="5422C395" w:rsidR="001A71E4" w:rsidRPr="003D3278" w:rsidRDefault="001A71E4" w:rsidP="001A71E4">
      <w:pPr>
        <w:pStyle w:val="ListParagraph"/>
        <w:numPr>
          <w:ilvl w:val="1"/>
          <w:numId w:val="19"/>
        </w:numPr>
        <w:spacing w:line="276" w:lineRule="auto"/>
        <w:rPr>
          <w:rFonts w:ascii="Verdana" w:hAnsi="Verdana"/>
        </w:rPr>
      </w:pPr>
      <w:r w:rsidRPr="003D3278">
        <w:rPr>
          <w:rStyle w:val="normaltextrun"/>
          <w:rFonts w:ascii="Verdana" w:hAnsi="Verdana" w:cs="Segoe UI"/>
          <w:shd w:val="clear" w:color="auto" w:fill="FFFFFF"/>
        </w:rPr>
        <w:t>Even</w:t>
      </w:r>
      <w:r w:rsidRPr="003D3278">
        <w:rPr>
          <w:rFonts w:ascii="Verdana" w:hAnsi="Verdana"/>
          <w:color w:val="000000"/>
          <w:shd w:val="clear" w:color="auto" w:fill="FFFFFF"/>
        </w:rPr>
        <w:t xml:space="preserve"> in times of severe resource constraints, the ICESCR Committee advise</w:t>
      </w:r>
      <w:r w:rsidR="00F32857">
        <w:rPr>
          <w:rFonts w:ascii="Verdana" w:hAnsi="Verdana"/>
          <w:color w:val="000000"/>
          <w:shd w:val="clear" w:color="auto" w:fill="FFFFFF"/>
        </w:rPr>
        <w:t>s</w:t>
      </w:r>
      <w:r w:rsidRPr="003D3278">
        <w:rPr>
          <w:rFonts w:ascii="Verdana" w:hAnsi="Verdana"/>
          <w:color w:val="000000"/>
          <w:shd w:val="clear" w:color="auto" w:fill="FFFFFF"/>
        </w:rPr>
        <w:t xml:space="preserve"> there </w:t>
      </w:r>
      <w:r w:rsidRPr="003D3278">
        <w:rPr>
          <w:rFonts w:ascii="Verdana" w:hAnsi="Verdana"/>
        </w:rPr>
        <w:t>are “minimum essential levels” of each right that States must guarantee. For example, essential foodstuffs, essential primary healthcare, basic shelter and housing, or basic forms of education. Therefore, States must “demonstrate that every effort has been made to use all resources that are at its disposition in an effort to satisfy, as a matter of priority, those minimum obligations”.</w:t>
      </w:r>
      <w:r w:rsidRPr="003D3278">
        <w:rPr>
          <w:rStyle w:val="FootnoteReference"/>
          <w:rFonts w:ascii="Verdana" w:hAnsi="Verdana"/>
        </w:rPr>
        <w:footnoteReference w:id="13"/>
      </w:r>
    </w:p>
    <w:p w14:paraId="219A8FEC" w14:textId="77777777" w:rsidR="001A71E4" w:rsidRPr="003D3278" w:rsidRDefault="001A71E4" w:rsidP="001A71E4">
      <w:pPr>
        <w:pStyle w:val="ListParagraph"/>
        <w:spacing w:line="276" w:lineRule="auto"/>
        <w:ind w:left="709"/>
        <w:rPr>
          <w:rFonts w:ascii="Verdana" w:hAnsi="Verdana"/>
        </w:rPr>
      </w:pPr>
    </w:p>
    <w:p w14:paraId="419023D5" w14:textId="5A15FBCD" w:rsidR="001A71E4" w:rsidRDefault="001A71E4" w:rsidP="001A71E4">
      <w:pPr>
        <w:pStyle w:val="ListParagraph"/>
        <w:numPr>
          <w:ilvl w:val="1"/>
          <w:numId w:val="19"/>
        </w:numPr>
        <w:spacing w:line="276" w:lineRule="auto"/>
        <w:rPr>
          <w:rStyle w:val="normaltextrun"/>
          <w:rFonts w:ascii="Verdana" w:hAnsi="Verdana"/>
        </w:rPr>
      </w:pPr>
      <w:r w:rsidRPr="003D3278">
        <w:rPr>
          <w:rStyle w:val="normaltextrun"/>
          <w:rFonts w:ascii="Verdana" w:hAnsi="Verdana" w:cs="Segoe UI"/>
          <w:shd w:val="clear" w:color="auto" w:fill="FFFFFF"/>
        </w:rPr>
        <w:t>The Commission reiterate</w:t>
      </w:r>
      <w:r w:rsidR="00F32857">
        <w:rPr>
          <w:rStyle w:val="normaltextrun"/>
          <w:rFonts w:ascii="Verdana" w:hAnsi="Verdana" w:cs="Segoe UI"/>
          <w:shd w:val="clear" w:color="auto" w:fill="FFFFFF"/>
        </w:rPr>
        <w:t>s</w:t>
      </w:r>
      <w:r w:rsidRPr="003D3278">
        <w:rPr>
          <w:rStyle w:val="normaltextrun"/>
          <w:rFonts w:ascii="Verdana" w:hAnsi="Verdana" w:cs="Segoe UI"/>
          <w:shd w:val="clear" w:color="auto" w:fill="FFFFFF"/>
        </w:rPr>
        <w:t xml:space="preserve"> that a fundamental obligation remains on government</w:t>
      </w:r>
      <w:r w:rsidR="00A82BBD">
        <w:rPr>
          <w:rStyle w:val="normaltextrun"/>
          <w:rFonts w:ascii="Verdana" w:hAnsi="Verdana" w:cs="Segoe UI"/>
          <w:shd w:val="clear" w:color="auto" w:fill="FFFFFF"/>
        </w:rPr>
        <w:t>s</w:t>
      </w:r>
      <w:r w:rsidRPr="003D3278">
        <w:rPr>
          <w:rFonts w:ascii="Verdana" w:hAnsi="Verdana"/>
        </w:rPr>
        <w:t xml:space="preserve"> “to strive to ensure the widest possible enjoyment” of ICESCR rights.</w:t>
      </w:r>
      <w:r w:rsidRPr="003D3278">
        <w:rPr>
          <w:rStyle w:val="FootnoteReference"/>
          <w:rFonts w:ascii="Verdana" w:hAnsi="Verdana"/>
        </w:rPr>
        <w:footnoteReference w:id="14"/>
      </w:r>
      <w:r w:rsidRPr="003D3278">
        <w:rPr>
          <w:rStyle w:val="normaltextrun"/>
          <w:rFonts w:ascii="Verdana" w:hAnsi="Verdana" w:cs="Segoe UI"/>
          <w:shd w:val="clear" w:color="auto" w:fill="FFFFFF"/>
        </w:rPr>
        <w:t xml:space="preserve"> The ICESCR Committee emphasise</w:t>
      </w:r>
      <w:r w:rsidR="00F32857">
        <w:rPr>
          <w:rStyle w:val="normaltextrun"/>
          <w:rFonts w:ascii="Verdana" w:hAnsi="Verdana" w:cs="Segoe UI"/>
          <w:shd w:val="clear" w:color="auto" w:fill="FFFFFF"/>
        </w:rPr>
        <w:t>s</w:t>
      </w:r>
      <w:r w:rsidRPr="003D3278">
        <w:rPr>
          <w:rStyle w:val="normaltextrun"/>
          <w:rFonts w:ascii="Verdana" w:hAnsi="Verdana" w:cs="Segoe UI"/>
          <w:shd w:val="clear" w:color="auto" w:fill="FFFFFF"/>
        </w:rPr>
        <w:t xml:space="preserve"> that, in particular, “the vulnerable members of society can and indeed must be protected by the adoption of relatively low-cost targeted programmes”.</w:t>
      </w:r>
      <w:r w:rsidRPr="003D3278">
        <w:rPr>
          <w:rStyle w:val="FootnoteReference"/>
          <w:rFonts w:ascii="Verdana" w:hAnsi="Verdana" w:cs="Segoe UI"/>
          <w:shd w:val="clear" w:color="auto" w:fill="FFFFFF"/>
        </w:rPr>
        <w:footnoteReference w:id="15"/>
      </w:r>
      <w:r w:rsidRPr="003D3278">
        <w:rPr>
          <w:rStyle w:val="normaltextrun"/>
          <w:rFonts w:ascii="Verdana" w:hAnsi="Verdana" w:cs="Segoe UI"/>
          <w:shd w:val="clear" w:color="auto" w:fill="FFFFFF"/>
        </w:rPr>
        <w:t xml:space="preserve"> This reflects the principle of non-discrimination and equality in Article 2(2) of the ICESCR, as people who face the biggest barriers to realising their rights must be prioritised. </w:t>
      </w:r>
      <w:r w:rsidRPr="003D3278">
        <w:rPr>
          <w:rStyle w:val="normaltextrun"/>
          <w:rFonts w:ascii="Verdana" w:hAnsi="Verdana"/>
        </w:rPr>
        <w:t xml:space="preserve">The prohibition of discrimination is expressly recognised in all </w:t>
      </w:r>
      <w:proofErr w:type="gramStart"/>
      <w:r w:rsidRPr="003D3278">
        <w:rPr>
          <w:rStyle w:val="normaltextrun"/>
          <w:rFonts w:ascii="Verdana" w:hAnsi="Verdana"/>
        </w:rPr>
        <w:t>core</w:t>
      </w:r>
      <w:proofErr w:type="gramEnd"/>
      <w:r w:rsidRPr="003D3278">
        <w:rPr>
          <w:rStyle w:val="normaltextrun"/>
          <w:rFonts w:ascii="Verdana" w:hAnsi="Verdana"/>
        </w:rPr>
        <w:t xml:space="preserve"> international human rights treaties and is a non-</w:t>
      </w:r>
      <w:proofErr w:type="spellStart"/>
      <w:r w:rsidRPr="003D3278">
        <w:rPr>
          <w:rStyle w:val="normaltextrun"/>
          <w:rFonts w:ascii="Verdana" w:hAnsi="Verdana"/>
        </w:rPr>
        <w:lastRenderedPageBreak/>
        <w:t>derogable</w:t>
      </w:r>
      <w:proofErr w:type="spellEnd"/>
      <w:r w:rsidRPr="003D3278">
        <w:rPr>
          <w:rStyle w:val="normaltextrun"/>
          <w:rFonts w:ascii="Verdana" w:hAnsi="Verdana"/>
        </w:rPr>
        <w:t xml:space="preserve"> right. This means it cannot be suspended or limited for any reason, including budget constraints. </w:t>
      </w:r>
    </w:p>
    <w:p w14:paraId="2259EE7F" w14:textId="77777777" w:rsidR="00366ECD" w:rsidRPr="00366ECD" w:rsidRDefault="00366ECD" w:rsidP="00366ECD">
      <w:pPr>
        <w:pStyle w:val="ListParagraph"/>
        <w:rPr>
          <w:rStyle w:val="normaltextrun"/>
          <w:rFonts w:ascii="Verdana" w:hAnsi="Verdana"/>
        </w:rPr>
      </w:pPr>
    </w:p>
    <w:p w14:paraId="0B0D8FFF" w14:textId="1AB97CA8" w:rsidR="00366ECD" w:rsidRPr="003D5455" w:rsidRDefault="00366ECD" w:rsidP="003D5455">
      <w:pPr>
        <w:pStyle w:val="ListParagraph"/>
        <w:numPr>
          <w:ilvl w:val="1"/>
          <w:numId w:val="19"/>
        </w:numPr>
        <w:spacing w:line="276" w:lineRule="auto"/>
        <w:rPr>
          <w:rStyle w:val="normaltextrun"/>
          <w:rFonts w:ascii="Verdana" w:hAnsi="Verdana"/>
        </w:rPr>
      </w:pPr>
      <w:r w:rsidRPr="00366ECD">
        <w:rPr>
          <w:rStyle w:val="normaltextrun"/>
          <w:rFonts w:ascii="Verdana" w:hAnsi="Verdana"/>
        </w:rPr>
        <w:t>Article 3 of the ICESCR</w:t>
      </w:r>
      <w:r w:rsidRPr="00366ECD">
        <w:rPr>
          <w:rFonts w:ascii="Verdana" w:hAnsi="Verdana" w:cs="Arial"/>
          <w:color w:val="1F1F1F"/>
          <w:shd w:val="clear" w:color="auto" w:fill="FFFFFF"/>
        </w:rPr>
        <w:t xml:space="preserve"> requires governments</w:t>
      </w:r>
      <w:r>
        <w:rPr>
          <w:rFonts w:ascii="Verdana" w:hAnsi="Verdana" w:cs="Arial"/>
          <w:color w:val="1F1F1F"/>
          <w:shd w:val="clear" w:color="auto" w:fill="FFFFFF"/>
        </w:rPr>
        <w:t xml:space="preserve"> to ensure equality between men and women. The UN Convention on the Elimination of Discrimination Against Women (CEDAW) provides a more detailed elaboration of this obligation, </w:t>
      </w:r>
      <w:r w:rsidR="00AF0A16">
        <w:rPr>
          <w:rFonts w:ascii="Verdana" w:hAnsi="Verdana" w:cs="Arial"/>
          <w:color w:val="1F1F1F"/>
          <w:shd w:val="clear" w:color="auto" w:fill="FFFFFF"/>
        </w:rPr>
        <w:t xml:space="preserve">which is </w:t>
      </w:r>
      <w:r w:rsidR="005015E5">
        <w:rPr>
          <w:rFonts w:ascii="Verdana" w:hAnsi="Verdana" w:cs="Arial"/>
          <w:color w:val="1F1F1F"/>
          <w:shd w:val="clear" w:color="auto" w:fill="FFFFFF"/>
        </w:rPr>
        <w:t xml:space="preserve">supported </w:t>
      </w:r>
      <w:r>
        <w:rPr>
          <w:rFonts w:ascii="Verdana" w:hAnsi="Verdana" w:cs="Arial"/>
          <w:color w:val="1F1F1F"/>
          <w:shd w:val="clear" w:color="auto" w:fill="FFFFFF"/>
        </w:rPr>
        <w:t>by guidance from the CEDAW Committee.</w:t>
      </w:r>
      <w:r>
        <w:rPr>
          <w:rStyle w:val="FootnoteReference"/>
          <w:rFonts w:ascii="Verdana" w:hAnsi="Verdana" w:cs="Arial"/>
          <w:color w:val="1F1F1F"/>
          <w:shd w:val="clear" w:color="auto" w:fill="FFFFFF"/>
        </w:rPr>
        <w:footnoteReference w:id="16"/>
      </w:r>
      <w:r>
        <w:rPr>
          <w:rFonts w:ascii="Verdana" w:hAnsi="Verdana" w:cs="Arial"/>
          <w:color w:val="1F1F1F"/>
          <w:shd w:val="clear" w:color="auto" w:fill="FFFFFF"/>
        </w:rPr>
        <w:t xml:space="preserve"> </w:t>
      </w:r>
      <w:r w:rsidR="004F66FC">
        <w:rPr>
          <w:rFonts w:ascii="Verdana" w:hAnsi="Verdana" w:cs="Arial"/>
          <w:color w:val="1F1F1F"/>
          <w:shd w:val="clear" w:color="auto" w:fill="FFFFFF"/>
        </w:rPr>
        <w:t>T</w:t>
      </w:r>
      <w:r w:rsidR="004F66FC" w:rsidRPr="004F66FC">
        <w:rPr>
          <w:rFonts w:ascii="Verdana" w:hAnsi="Verdana" w:cs="Arial"/>
          <w:color w:val="1F1F1F"/>
          <w:shd w:val="clear" w:color="auto" w:fill="FFFFFF"/>
        </w:rPr>
        <w:t>hrough General Recommendation No. 40, </w:t>
      </w:r>
      <w:r w:rsidR="004F66FC">
        <w:rPr>
          <w:rFonts w:ascii="Verdana" w:hAnsi="Verdana" w:cs="Arial"/>
          <w:color w:val="1F1F1F"/>
          <w:shd w:val="clear" w:color="auto" w:fill="FFFFFF"/>
        </w:rPr>
        <w:t xml:space="preserve">the CEDAW Committee </w:t>
      </w:r>
      <w:r w:rsidR="004F66FC" w:rsidRPr="004F66FC">
        <w:rPr>
          <w:rFonts w:ascii="Verdana" w:hAnsi="Verdana" w:cs="Arial"/>
          <w:color w:val="1F1F1F"/>
          <w:shd w:val="clear" w:color="auto" w:fill="FFFFFF"/>
        </w:rPr>
        <w:t>emphasi</w:t>
      </w:r>
      <w:r w:rsidR="004F66FC">
        <w:rPr>
          <w:rFonts w:ascii="Verdana" w:hAnsi="Verdana" w:cs="Arial"/>
          <w:color w:val="1F1F1F"/>
          <w:shd w:val="clear" w:color="auto" w:fill="FFFFFF"/>
        </w:rPr>
        <w:t>s</w:t>
      </w:r>
      <w:r w:rsidR="004F66FC" w:rsidRPr="004F66FC">
        <w:rPr>
          <w:rFonts w:ascii="Verdana" w:hAnsi="Verdana" w:cs="Arial"/>
          <w:color w:val="1F1F1F"/>
          <w:shd w:val="clear" w:color="auto" w:fill="FFFFFF"/>
        </w:rPr>
        <w:t>es the importance of gender-responsive budgeting</w:t>
      </w:r>
      <w:r w:rsidR="000D73F6">
        <w:rPr>
          <w:rFonts w:ascii="Verdana" w:hAnsi="Verdana" w:cs="Arial"/>
          <w:color w:val="1F1F1F"/>
          <w:shd w:val="clear" w:color="auto" w:fill="FFFFFF"/>
        </w:rPr>
        <w:t xml:space="preserve">, </w:t>
      </w:r>
      <w:r w:rsidR="00DD04C7">
        <w:rPr>
          <w:rFonts w:ascii="Verdana" w:hAnsi="Verdana" w:cs="Arial"/>
          <w:color w:val="1F1F1F"/>
          <w:shd w:val="clear" w:color="auto" w:fill="FFFFFF"/>
        </w:rPr>
        <w:t>often referred to as gender-budgeting.</w:t>
      </w:r>
      <w:r w:rsidR="00C9077D">
        <w:rPr>
          <w:rStyle w:val="FootnoteReference"/>
          <w:rFonts w:ascii="Verdana" w:hAnsi="Verdana" w:cs="Arial"/>
          <w:color w:val="1F1F1F"/>
          <w:shd w:val="clear" w:color="auto" w:fill="FFFFFF"/>
        </w:rPr>
        <w:footnoteReference w:id="17"/>
      </w:r>
      <w:r w:rsidR="00DD04C7">
        <w:rPr>
          <w:rFonts w:ascii="Verdana" w:hAnsi="Verdana" w:cs="Arial"/>
          <w:color w:val="1F1F1F"/>
          <w:shd w:val="clear" w:color="auto" w:fill="FFFFFF"/>
        </w:rPr>
        <w:t xml:space="preserve"> </w:t>
      </w:r>
      <w:r w:rsidRPr="00366ECD">
        <w:rPr>
          <w:rFonts w:ascii="Verdana" w:hAnsi="Verdana"/>
        </w:rPr>
        <w:t>Gender budgeting is a tool to address human rights inequalities because it demonstrates how budgets can disproportionately affect genders and be affected by gender. Its focus is to allocate and use public finances to achieve the best outcome for everyone thereby better ensuring equality across society.</w:t>
      </w:r>
      <w:r w:rsidR="00084572">
        <w:rPr>
          <w:rFonts w:ascii="Verdana" w:hAnsi="Verdana"/>
        </w:rPr>
        <w:t xml:space="preserve"> </w:t>
      </w:r>
      <w:r w:rsidR="00E903B2">
        <w:rPr>
          <w:rFonts w:ascii="Verdana" w:hAnsi="Verdana"/>
        </w:rPr>
        <w:t xml:space="preserve">Therefore, </w:t>
      </w:r>
      <w:r w:rsidR="00274EEC">
        <w:rPr>
          <w:rFonts w:ascii="Verdana" w:hAnsi="Verdana"/>
        </w:rPr>
        <w:t xml:space="preserve">the Commission considers gender budgeting </w:t>
      </w:r>
      <w:r w:rsidR="00253078">
        <w:rPr>
          <w:rFonts w:ascii="Verdana" w:hAnsi="Verdana"/>
        </w:rPr>
        <w:t>an integral</w:t>
      </w:r>
      <w:r w:rsidR="00274EEC">
        <w:rPr>
          <w:rFonts w:ascii="Verdana" w:hAnsi="Verdana"/>
        </w:rPr>
        <w:t xml:space="preserve"> aspect of </w:t>
      </w:r>
      <w:r w:rsidR="0029086F">
        <w:rPr>
          <w:rFonts w:ascii="Verdana" w:hAnsi="Verdana"/>
        </w:rPr>
        <w:t xml:space="preserve">implementing a </w:t>
      </w:r>
      <w:r w:rsidR="00274EEC">
        <w:rPr>
          <w:rFonts w:ascii="Verdana" w:hAnsi="Verdana"/>
        </w:rPr>
        <w:t xml:space="preserve">human </w:t>
      </w:r>
      <w:proofErr w:type="gramStart"/>
      <w:r w:rsidR="00274EEC">
        <w:rPr>
          <w:rFonts w:ascii="Verdana" w:hAnsi="Verdana"/>
        </w:rPr>
        <w:t xml:space="preserve">rights </w:t>
      </w:r>
      <w:r w:rsidR="0029086F">
        <w:rPr>
          <w:rFonts w:ascii="Verdana" w:hAnsi="Verdana"/>
        </w:rPr>
        <w:t>based</w:t>
      </w:r>
      <w:proofErr w:type="gramEnd"/>
      <w:r w:rsidR="0029086F">
        <w:rPr>
          <w:rFonts w:ascii="Verdana" w:hAnsi="Verdana"/>
        </w:rPr>
        <w:t xml:space="preserve"> approach to budgeting more generally. </w:t>
      </w:r>
      <w:r w:rsidR="00666D4A">
        <w:rPr>
          <w:rFonts w:ascii="Verdana" w:hAnsi="Verdana"/>
        </w:rPr>
        <w:t>Rather than competing</w:t>
      </w:r>
      <w:r w:rsidR="00666D4A" w:rsidRPr="003D5455">
        <w:rPr>
          <w:rFonts w:ascii="Verdana" w:hAnsi="Verdana"/>
        </w:rPr>
        <w:t>, t</w:t>
      </w:r>
      <w:r w:rsidR="00896A26" w:rsidRPr="003D5455">
        <w:rPr>
          <w:rFonts w:ascii="Verdana" w:hAnsi="Verdana"/>
        </w:rPr>
        <w:t>hese frameworks are m</w:t>
      </w:r>
      <w:r w:rsidR="00137968" w:rsidRPr="003D5455">
        <w:rPr>
          <w:rFonts w:ascii="Verdana" w:hAnsi="Verdana"/>
        </w:rPr>
        <w:t xml:space="preserve">utually reinforcing </w:t>
      </w:r>
      <w:r w:rsidR="00666D4A" w:rsidRPr="003D5455">
        <w:rPr>
          <w:rFonts w:ascii="Verdana" w:hAnsi="Verdana"/>
        </w:rPr>
        <w:t xml:space="preserve">and </w:t>
      </w:r>
      <w:r w:rsidR="00991F69" w:rsidRPr="003D5455">
        <w:rPr>
          <w:rFonts w:ascii="Verdana" w:hAnsi="Verdana"/>
        </w:rPr>
        <w:t xml:space="preserve">can </w:t>
      </w:r>
      <w:r w:rsidR="003D5455" w:rsidRPr="003D5455">
        <w:rPr>
          <w:rFonts w:ascii="Verdana" w:hAnsi="Verdana"/>
        </w:rPr>
        <w:t>draw from one another</w:t>
      </w:r>
      <w:r w:rsidR="00A075F0">
        <w:rPr>
          <w:rFonts w:ascii="Verdana" w:hAnsi="Verdana"/>
        </w:rPr>
        <w:t xml:space="preserve"> in terms of best practice</w:t>
      </w:r>
      <w:r w:rsidR="00F66CBB">
        <w:rPr>
          <w:rFonts w:ascii="Verdana" w:hAnsi="Verdana"/>
        </w:rPr>
        <w:t>.</w:t>
      </w:r>
      <w:r w:rsidR="002610A6">
        <w:rPr>
          <w:rStyle w:val="FootnoteReference"/>
          <w:rFonts w:ascii="Verdana" w:hAnsi="Verdana"/>
        </w:rPr>
        <w:footnoteReference w:id="18"/>
      </w:r>
      <w:r w:rsidR="00F66CBB">
        <w:rPr>
          <w:rFonts w:ascii="Verdana" w:hAnsi="Verdana"/>
        </w:rPr>
        <w:t xml:space="preserve"> For example, each approach emphasises the importance of </w:t>
      </w:r>
      <w:r w:rsidR="00267C27">
        <w:rPr>
          <w:rFonts w:ascii="Verdana" w:hAnsi="Verdana"/>
        </w:rPr>
        <w:t xml:space="preserve">assessing </w:t>
      </w:r>
      <w:r w:rsidR="004B790F">
        <w:rPr>
          <w:rFonts w:ascii="Verdana" w:hAnsi="Verdana"/>
        </w:rPr>
        <w:t xml:space="preserve">the </w:t>
      </w:r>
      <w:r w:rsidR="00267C27">
        <w:rPr>
          <w:rFonts w:ascii="Verdana" w:hAnsi="Verdana"/>
        </w:rPr>
        <w:t>differential impact</w:t>
      </w:r>
      <w:r w:rsidR="004B790F">
        <w:rPr>
          <w:rFonts w:ascii="Verdana" w:hAnsi="Verdana"/>
        </w:rPr>
        <w:t xml:space="preserve"> of government budgets on different </w:t>
      </w:r>
      <w:r w:rsidR="008832EB">
        <w:rPr>
          <w:rFonts w:ascii="Verdana" w:hAnsi="Verdana"/>
        </w:rPr>
        <w:t>groups</w:t>
      </w:r>
      <w:r w:rsidR="002610A6">
        <w:rPr>
          <w:rFonts w:ascii="Verdana" w:hAnsi="Verdana"/>
        </w:rPr>
        <w:t>, including through the collection</w:t>
      </w:r>
      <w:r w:rsidR="00267C27">
        <w:rPr>
          <w:rFonts w:ascii="Verdana" w:hAnsi="Verdana"/>
        </w:rPr>
        <w:t xml:space="preserve"> </w:t>
      </w:r>
      <w:r w:rsidR="008832EB">
        <w:rPr>
          <w:rFonts w:ascii="Verdana" w:hAnsi="Verdana"/>
        </w:rPr>
        <w:t xml:space="preserve">and </w:t>
      </w:r>
      <w:r w:rsidR="002610A6">
        <w:rPr>
          <w:rFonts w:ascii="Verdana" w:hAnsi="Verdana"/>
        </w:rPr>
        <w:t>monitoring of</w:t>
      </w:r>
      <w:r w:rsidR="008832EB">
        <w:rPr>
          <w:rFonts w:ascii="Verdana" w:hAnsi="Verdana"/>
        </w:rPr>
        <w:t xml:space="preserve"> </w:t>
      </w:r>
      <w:r w:rsidR="00267C27">
        <w:rPr>
          <w:rFonts w:ascii="Verdana" w:hAnsi="Verdana"/>
        </w:rPr>
        <w:t>disaggregated</w:t>
      </w:r>
      <w:r w:rsidR="008832EB">
        <w:rPr>
          <w:rFonts w:ascii="Verdana" w:hAnsi="Verdana"/>
        </w:rPr>
        <w:t xml:space="preserve"> data</w:t>
      </w:r>
      <w:r w:rsidR="002610A6">
        <w:rPr>
          <w:rFonts w:ascii="Verdana" w:hAnsi="Verdana"/>
        </w:rPr>
        <w:t>.</w:t>
      </w:r>
    </w:p>
    <w:p w14:paraId="51BB66B6" w14:textId="77777777" w:rsidR="001A71E4" w:rsidRPr="003D3278" w:rsidRDefault="001A71E4" w:rsidP="001A71E4">
      <w:pPr>
        <w:pStyle w:val="ListParagraph"/>
        <w:rPr>
          <w:rStyle w:val="normaltextrun"/>
          <w:rFonts w:ascii="Verdana" w:hAnsi="Verdana"/>
        </w:rPr>
      </w:pPr>
    </w:p>
    <w:p w14:paraId="1D604722" w14:textId="1869D086" w:rsidR="001A71E4" w:rsidRPr="003D3278" w:rsidRDefault="001A71E4" w:rsidP="001A71E4">
      <w:pPr>
        <w:pStyle w:val="ListParagraph"/>
        <w:numPr>
          <w:ilvl w:val="1"/>
          <w:numId w:val="19"/>
        </w:numPr>
        <w:spacing w:line="276" w:lineRule="auto"/>
        <w:rPr>
          <w:rStyle w:val="normaltextrun"/>
          <w:rFonts w:ascii="Verdana" w:hAnsi="Verdana"/>
        </w:rPr>
      </w:pPr>
      <w:r w:rsidRPr="003D3278">
        <w:rPr>
          <w:rStyle w:val="normaltextrun"/>
          <w:rFonts w:ascii="Verdana" w:hAnsi="Verdana"/>
        </w:rPr>
        <w:t>In response to the 2008 global financial crisis, the then Chair of the ICESCR Committee wrote an open letter to all State Parties advising that any proposed policy change or adjustment should meet the following requirements</w:t>
      </w:r>
      <w:r w:rsidR="00A82BBD">
        <w:rPr>
          <w:rStyle w:val="normaltextrun"/>
          <w:rFonts w:ascii="Verdana" w:hAnsi="Verdana"/>
        </w:rPr>
        <w:t>:</w:t>
      </w:r>
      <w:r w:rsidRPr="003D3278">
        <w:rPr>
          <w:rStyle w:val="normaltextrun"/>
          <w:rFonts w:ascii="Verdana" w:hAnsi="Verdana"/>
        </w:rPr>
        <w:t xml:space="preserve"> </w:t>
      </w:r>
    </w:p>
    <w:p w14:paraId="1195B63A" w14:textId="77777777" w:rsidR="001A71E4" w:rsidRPr="003D3278" w:rsidRDefault="001A71E4" w:rsidP="001A71E4">
      <w:pPr>
        <w:pStyle w:val="ListParagraph"/>
        <w:rPr>
          <w:rStyle w:val="normaltextrun"/>
          <w:rFonts w:ascii="Verdana" w:hAnsi="Verdana"/>
        </w:rPr>
      </w:pPr>
    </w:p>
    <w:p w14:paraId="377C7E80" w14:textId="77777777" w:rsidR="001A71E4" w:rsidRPr="003D3278" w:rsidRDefault="001A71E4" w:rsidP="001A71E4">
      <w:pPr>
        <w:spacing w:line="276" w:lineRule="auto"/>
        <w:ind w:left="1429"/>
        <w:rPr>
          <w:rStyle w:val="normaltextrun"/>
          <w:rFonts w:ascii="Verdana" w:hAnsi="Verdana"/>
        </w:rPr>
      </w:pPr>
      <w:r w:rsidRPr="003D3278">
        <w:rPr>
          <w:rStyle w:val="normaltextrun"/>
          <w:rFonts w:ascii="Verdana" w:hAnsi="Verdana"/>
        </w:rPr>
        <w:t xml:space="preserve">First, the policy is a temporary measure covering only the period of crisis; second, the policy is necessary and proportionate, in the sense that the adoption of any other policy, or a failure to act, would be more detrimental to economic, social and cultural rights; third, the policy is not discriminatory and comprises all possible measures, including tax measures, to support social transfers to mitigate inequalities that can grow in times of crisis and to ensure that the rights of the disadvantaged and marginalised individuals and groups are not disproportionately affected; fourth, the policy identifies the minimum core content of rights, or a social protection floor as </w:t>
      </w:r>
      <w:r w:rsidRPr="003D3278">
        <w:rPr>
          <w:rStyle w:val="normaltextrun"/>
          <w:rFonts w:ascii="Verdana" w:hAnsi="Verdana"/>
        </w:rPr>
        <w:lastRenderedPageBreak/>
        <w:t>developed by the International Labour Organisation, and ensures the protection of this core content at all times.</w:t>
      </w:r>
      <w:r w:rsidRPr="003D3278">
        <w:rPr>
          <w:rStyle w:val="FootnoteReference"/>
          <w:rFonts w:ascii="Verdana" w:hAnsi="Verdana"/>
        </w:rPr>
        <w:footnoteReference w:id="19"/>
      </w:r>
    </w:p>
    <w:p w14:paraId="3E0DCD84" w14:textId="77777777" w:rsidR="001A71E4" w:rsidRPr="003D3278" w:rsidRDefault="001A71E4" w:rsidP="001A71E4">
      <w:pPr>
        <w:pStyle w:val="ListParagraph"/>
        <w:rPr>
          <w:rStyle w:val="normaltextrun"/>
          <w:rFonts w:ascii="Verdana" w:hAnsi="Verdana"/>
        </w:rPr>
      </w:pPr>
    </w:p>
    <w:p w14:paraId="329212B3" w14:textId="77777777" w:rsidR="001A71E4" w:rsidRDefault="001A71E4" w:rsidP="001A71E4">
      <w:pPr>
        <w:pStyle w:val="ListParagraph"/>
        <w:numPr>
          <w:ilvl w:val="1"/>
          <w:numId w:val="19"/>
        </w:numPr>
        <w:spacing w:line="276" w:lineRule="auto"/>
        <w:rPr>
          <w:rStyle w:val="normaltextrun"/>
          <w:rFonts w:ascii="Verdana" w:hAnsi="Verdana"/>
        </w:rPr>
      </w:pPr>
      <w:r w:rsidRPr="003D3278">
        <w:rPr>
          <w:rStyle w:val="normaltextrun"/>
          <w:rFonts w:ascii="Verdana" w:hAnsi="Verdana"/>
        </w:rPr>
        <w:t>In 2016, the ICESCR Committee highlighted serious concerns about the disproportionate and adverse impact of UK austerity measures. It reminded that “such measures must be temporary, necessary, proportionate and not discriminatory, must not disproportionately affect the rights of disadvantaged and marginalised individuals and groups and respect the core content of rights”.</w:t>
      </w:r>
      <w:r w:rsidRPr="003D3278">
        <w:rPr>
          <w:rStyle w:val="FootnoteReference"/>
          <w:rFonts w:ascii="Verdana" w:hAnsi="Verdana"/>
        </w:rPr>
        <w:footnoteReference w:id="20"/>
      </w:r>
      <w:r w:rsidRPr="003D3278">
        <w:rPr>
          <w:rStyle w:val="normaltextrun"/>
          <w:rFonts w:ascii="Verdana" w:hAnsi="Verdana"/>
        </w:rPr>
        <w:t xml:space="preserve"> It recommended that the UK Government and NI Executive “conduct a comprehensive assessment of the cumulative impact of these measures on the enjoyment of economic, social and cultural rights by disadvantaged and marginalised individuals and groups, in particular women, children and persons with disabilities, that is recognised by all stakeholders”.</w:t>
      </w:r>
      <w:r w:rsidRPr="003D3278">
        <w:rPr>
          <w:rStyle w:val="FootnoteReference"/>
          <w:rFonts w:ascii="Verdana" w:hAnsi="Verdana"/>
        </w:rPr>
        <w:footnoteReference w:id="21"/>
      </w:r>
    </w:p>
    <w:p w14:paraId="28E43D63" w14:textId="77777777" w:rsidR="001A71E4" w:rsidRDefault="001A71E4" w:rsidP="001A71E4">
      <w:pPr>
        <w:pStyle w:val="BasicParagraph"/>
        <w:suppressAutoHyphens/>
        <w:rPr>
          <w:rFonts w:ascii="Verdana" w:hAnsi="Verdana"/>
        </w:rPr>
      </w:pPr>
    </w:p>
    <w:p w14:paraId="5713C911" w14:textId="77777777" w:rsidR="001A71E4" w:rsidRDefault="001A71E4" w:rsidP="001A71E4">
      <w:pPr>
        <w:pStyle w:val="Heading2"/>
      </w:pPr>
      <w:bookmarkStart w:id="3" w:name="_Toc190785276"/>
      <w:r>
        <w:t>Human Rights Principles</w:t>
      </w:r>
      <w:bookmarkEnd w:id="3"/>
    </w:p>
    <w:p w14:paraId="2D1583AB" w14:textId="77777777" w:rsidR="001A71E4" w:rsidRPr="00CF62E2" w:rsidRDefault="001A71E4" w:rsidP="001A71E4"/>
    <w:p w14:paraId="2D68FF94" w14:textId="77777777" w:rsidR="001A71E4" w:rsidRPr="00CF62E2" w:rsidRDefault="001A71E4" w:rsidP="001A71E4">
      <w:pPr>
        <w:pStyle w:val="BasicParagraph"/>
        <w:numPr>
          <w:ilvl w:val="1"/>
          <w:numId w:val="19"/>
        </w:numPr>
        <w:suppressAutoHyphens/>
        <w:rPr>
          <w:rFonts w:ascii="Verdana" w:hAnsi="Verdana"/>
        </w:rPr>
      </w:pPr>
      <w:r w:rsidRPr="00CF62E2">
        <w:rPr>
          <w:rFonts w:ascii="Verdana" w:hAnsi="Verdana"/>
        </w:rPr>
        <w:t xml:space="preserve">The Universal Declaration of Human Rights established that all human rights are universal, indivisible and interdependent. This means that all rights - civil, political, economic, social, and cultural – are of equal importance and the full enjoyment of one set of rights depends on the realisation of the other. </w:t>
      </w:r>
      <w:r>
        <w:rPr>
          <w:rFonts w:ascii="Verdana" w:hAnsi="Verdana"/>
        </w:rPr>
        <w:t>Accordingly,</w:t>
      </w:r>
      <w:r w:rsidRPr="00CF62E2">
        <w:rPr>
          <w:rFonts w:ascii="Verdana" w:hAnsi="Verdana"/>
        </w:rPr>
        <w:t xml:space="preserve"> making progress in civil and political rights makes it easier to exercise economic, social and cultural rights. Similarly, violating economic, social and cultural rights can negatively affect many other rights. </w:t>
      </w:r>
    </w:p>
    <w:p w14:paraId="30219D0B" w14:textId="77777777" w:rsidR="001A71E4" w:rsidRPr="00CF62E2" w:rsidRDefault="001A71E4" w:rsidP="001A71E4">
      <w:pPr>
        <w:pStyle w:val="BasicParagraph"/>
        <w:suppressAutoHyphens/>
        <w:ind w:left="720"/>
        <w:rPr>
          <w:rFonts w:ascii="Verdana" w:hAnsi="Verdana"/>
        </w:rPr>
      </w:pPr>
    </w:p>
    <w:p w14:paraId="14928564" w14:textId="77777777" w:rsidR="001A71E4" w:rsidRDefault="001A71E4" w:rsidP="001A71E4">
      <w:pPr>
        <w:pStyle w:val="BasicParagraph"/>
        <w:numPr>
          <w:ilvl w:val="1"/>
          <w:numId w:val="19"/>
        </w:numPr>
        <w:suppressAutoHyphens/>
        <w:rPr>
          <w:rFonts w:ascii="Verdana" w:hAnsi="Verdana"/>
        </w:rPr>
      </w:pPr>
      <w:r>
        <w:rPr>
          <w:rFonts w:ascii="Verdana" w:hAnsi="Verdana"/>
        </w:rPr>
        <w:t>T</w:t>
      </w:r>
      <w:r w:rsidRPr="00073AFF">
        <w:rPr>
          <w:rFonts w:ascii="Verdana" w:hAnsi="Verdana"/>
        </w:rPr>
        <w:t xml:space="preserve">he NIHRC </w:t>
      </w:r>
      <w:r>
        <w:rPr>
          <w:rFonts w:ascii="Verdana" w:hAnsi="Verdana"/>
        </w:rPr>
        <w:t xml:space="preserve">frequently </w:t>
      </w:r>
      <w:r w:rsidRPr="00073AFF">
        <w:rPr>
          <w:rFonts w:ascii="Verdana" w:hAnsi="Verdana"/>
        </w:rPr>
        <w:t>demonstrate</w:t>
      </w:r>
      <w:r>
        <w:rPr>
          <w:rFonts w:ascii="Verdana" w:hAnsi="Verdana"/>
        </w:rPr>
        <w:t>s</w:t>
      </w:r>
      <w:r w:rsidRPr="00073AFF">
        <w:rPr>
          <w:rFonts w:ascii="Verdana" w:hAnsi="Verdana"/>
        </w:rPr>
        <w:t xml:space="preserve"> this</w:t>
      </w:r>
      <w:r w:rsidRPr="00CF62E2">
        <w:rPr>
          <w:rFonts w:ascii="Verdana" w:hAnsi="Verdana"/>
        </w:rPr>
        <w:t xml:space="preserve"> interdependence </w:t>
      </w:r>
      <w:r>
        <w:rPr>
          <w:rFonts w:ascii="Verdana" w:hAnsi="Verdana"/>
        </w:rPr>
        <w:t>in its policy advice</w:t>
      </w:r>
      <w:r w:rsidRPr="00CF62E2">
        <w:rPr>
          <w:rFonts w:ascii="Verdana" w:hAnsi="Verdana"/>
        </w:rPr>
        <w:t xml:space="preserve">. </w:t>
      </w:r>
      <w:r w:rsidRPr="00073AFF">
        <w:rPr>
          <w:rFonts w:ascii="Verdana" w:hAnsi="Verdana"/>
        </w:rPr>
        <w:t xml:space="preserve">For </w:t>
      </w:r>
      <w:r>
        <w:rPr>
          <w:rFonts w:ascii="Verdana" w:hAnsi="Verdana"/>
        </w:rPr>
        <w:t>example,</w:t>
      </w:r>
      <w:r w:rsidRPr="00073AFF">
        <w:rPr>
          <w:rFonts w:ascii="Verdana" w:hAnsi="Verdana"/>
        </w:rPr>
        <w:t xml:space="preserve"> the NIHRC </w:t>
      </w:r>
      <w:r>
        <w:rPr>
          <w:rFonts w:ascii="Verdana" w:hAnsi="Verdana"/>
        </w:rPr>
        <w:t>has advised</w:t>
      </w:r>
      <w:r w:rsidRPr="00073AFF">
        <w:rPr>
          <w:rFonts w:ascii="Verdana" w:hAnsi="Verdana"/>
        </w:rPr>
        <w:t xml:space="preserve"> the Department for Communities that </w:t>
      </w:r>
      <w:r w:rsidRPr="00CF62E2">
        <w:rPr>
          <w:rFonts w:ascii="Verdana" w:hAnsi="Verdana"/>
        </w:rPr>
        <w:t>cutbacks to social security delivery</w:t>
      </w:r>
      <w:r w:rsidRPr="00073AFF">
        <w:rPr>
          <w:rFonts w:ascii="Verdana" w:hAnsi="Verdana"/>
        </w:rPr>
        <w:t xml:space="preserve"> could </w:t>
      </w:r>
      <w:r w:rsidRPr="00CF62E2">
        <w:rPr>
          <w:rFonts w:ascii="Verdana" w:hAnsi="Verdana"/>
        </w:rPr>
        <w:t>interfer</w:t>
      </w:r>
      <w:r w:rsidRPr="00073AFF">
        <w:rPr>
          <w:rFonts w:ascii="Verdana" w:hAnsi="Verdana"/>
        </w:rPr>
        <w:t>e</w:t>
      </w:r>
      <w:r w:rsidRPr="00CF62E2">
        <w:rPr>
          <w:rFonts w:ascii="Verdana" w:hAnsi="Verdana"/>
        </w:rPr>
        <w:t xml:space="preserve"> with </w:t>
      </w:r>
      <w:r w:rsidRPr="00073AFF">
        <w:rPr>
          <w:rFonts w:ascii="Verdana" w:hAnsi="Verdana"/>
        </w:rPr>
        <w:t xml:space="preserve">ICESCR </w:t>
      </w:r>
      <w:r w:rsidRPr="00CF62E2">
        <w:rPr>
          <w:rFonts w:ascii="Verdana" w:hAnsi="Verdana"/>
        </w:rPr>
        <w:t xml:space="preserve">obligations, and in </w:t>
      </w:r>
      <w:r w:rsidRPr="00073AFF">
        <w:rPr>
          <w:rFonts w:ascii="Verdana" w:hAnsi="Verdana"/>
        </w:rPr>
        <w:t>certain</w:t>
      </w:r>
      <w:r w:rsidRPr="00CF62E2">
        <w:rPr>
          <w:rFonts w:ascii="Verdana" w:hAnsi="Verdana"/>
        </w:rPr>
        <w:t xml:space="preserve"> circumstances</w:t>
      </w:r>
      <w:r w:rsidRPr="00073AFF">
        <w:rPr>
          <w:rFonts w:ascii="Verdana" w:hAnsi="Verdana"/>
        </w:rPr>
        <w:t>,</w:t>
      </w:r>
      <w:r w:rsidRPr="00CF62E2">
        <w:rPr>
          <w:rFonts w:ascii="Verdana" w:hAnsi="Verdana"/>
        </w:rPr>
        <w:t xml:space="preserve"> </w:t>
      </w:r>
      <w:r w:rsidRPr="00073AFF">
        <w:rPr>
          <w:rFonts w:ascii="Verdana" w:hAnsi="Verdana"/>
        </w:rPr>
        <w:t>risk interferences with</w:t>
      </w:r>
      <w:r w:rsidRPr="00CF62E2">
        <w:rPr>
          <w:rFonts w:ascii="Verdana" w:hAnsi="Verdana"/>
        </w:rPr>
        <w:t xml:space="preserve"> </w:t>
      </w:r>
      <w:r w:rsidRPr="00073AFF">
        <w:rPr>
          <w:rFonts w:ascii="Verdana" w:hAnsi="Verdana"/>
        </w:rPr>
        <w:t>the</w:t>
      </w:r>
      <w:r w:rsidRPr="00CF62E2">
        <w:rPr>
          <w:rFonts w:ascii="Verdana" w:hAnsi="Verdana"/>
        </w:rPr>
        <w:t xml:space="preserve"> prohibition of inhuman or degrading treatment (Article 3, ECHR; Article 7, ICCPR; Article 2, UN CAT) the right to private and family life (Article 8, ECHR); and the prohibition of discrimination (Article 14, ECHR).</w:t>
      </w:r>
      <w:r w:rsidRPr="00CF62E2">
        <w:rPr>
          <w:rFonts w:ascii="Verdana" w:hAnsi="Verdana"/>
          <w:vertAlign w:val="superscript"/>
        </w:rPr>
        <w:footnoteReference w:id="22"/>
      </w:r>
      <w:r w:rsidRPr="00073AFF">
        <w:rPr>
          <w:rFonts w:ascii="Verdana" w:hAnsi="Verdana"/>
        </w:rPr>
        <w:t xml:space="preserve"> This underlines the importance of conducting comprehensive assessments of the cumulative impact of budget proposals</w:t>
      </w:r>
      <w:r>
        <w:rPr>
          <w:rFonts w:ascii="Verdana" w:hAnsi="Verdana"/>
        </w:rPr>
        <w:t xml:space="preserve"> on the protection of human rights in NI.</w:t>
      </w:r>
    </w:p>
    <w:p w14:paraId="5414115D" w14:textId="77777777" w:rsidR="001A71E4" w:rsidRPr="00CF62E2" w:rsidRDefault="001A71E4" w:rsidP="001A71E4">
      <w:pPr>
        <w:pStyle w:val="BasicParagraph"/>
        <w:suppressAutoHyphens/>
        <w:rPr>
          <w:rFonts w:ascii="Verdana" w:hAnsi="Verdana"/>
        </w:rPr>
      </w:pPr>
    </w:p>
    <w:p w14:paraId="20EAF3EE" w14:textId="3D2A9C55" w:rsidR="001A71E4" w:rsidRPr="00CF62E2" w:rsidRDefault="00F2467B" w:rsidP="001A71E4">
      <w:pPr>
        <w:pStyle w:val="BasicParagraph"/>
        <w:numPr>
          <w:ilvl w:val="1"/>
          <w:numId w:val="19"/>
        </w:numPr>
        <w:suppressAutoHyphens/>
        <w:rPr>
          <w:rFonts w:ascii="Verdana" w:hAnsi="Verdana"/>
        </w:rPr>
      </w:pPr>
      <w:r>
        <w:rPr>
          <w:rFonts w:ascii="Verdana" w:hAnsi="Verdana"/>
        </w:rPr>
        <w:t>In addition</w:t>
      </w:r>
      <w:r w:rsidR="001A71E4" w:rsidRPr="00CF62E2">
        <w:rPr>
          <w:rFonts w:ascii="Verdana" w:hAnsi="Verdana"/>
        </w:rPr>
        <w:t xml:space="preserve">, there are cross-cutting human rights principles that have specific significance </w:t>
      </w:r>
      <w:r w:rsidR="00EC22D9">
        <w:rPr>
          <w:rFonts w:ascii="Verdana" w:hAnsi="Verdana"/>
        </w:rPr>
        <w:t>in relation to</w:t>
      </w:r>
      <w:r w:rsidR="001A71E4" w:rsidRPr="00CF62E2">
        <w:rPr>
          <w:rFonts w:ascii="Verdana" w:hAnsi="Verdana"/>
        </w:rPr>
        <w:t xml:space="preserve"> the more procedural aspects of government budgeting.</w:t>
      </w:r>
      <w:r w:rsidR="001A71E4" w:rsidRPr="00CF62E2">
        <w:rPr>
          <w:rFonts w:ascii="Verdana" w:hAnsi="Verdana"/>
          <w:vertAlign w:val="superscript"/>
        </w:rPr>
        <w:footnoteReference w:id="23"/>
      </w:r>
      <w:r w:rsidR="001A71E4" w:rsidRPr="00CF62E2">
        <w:rPr>
          <w:rFonts w:ascii="Verdana" w:hAnsi="Verdana"/>
        </w:rPr>
        <w:t xml:space="preserve"> UN General Assembly Resolution 67/218 </w:t>
      </w:r>
      <w:r w:rsidR="001B7906">
        <w:rPr>
          <w:rFonts w:ascii="Verdana" w:hAnsi="Verdana"/>
        </w:rPr>
        <w:t>recognised</w:t>
      </w:r>
      <w:r w:rsidR="001B7906" w:rsidRPr="001B7906">
        <w:rPr>
          <w:rFonts w:ascii="Verdana" w:hAnsi="Verdana"/>
        </w:rPr>
        <w:t xml:space="preserve"> the critical role that transparency, participation and accountability in fiscal policies can play in pursuit of financial stability, poverty reduction, equitable economic growth and the achievement of sustainable </w:t>
      </w:r>
      <w:r w:rsidR="001B7906">
        <w:rPr>
          <w:rFonts w:ascii="Verdana" w:hAnsi="Verdana"/>
        </w:rPr>
        <w:t>development</w:t>
      </w:r>
      <w:r w:rsidR="001A71E4" w:rsidRPr="00CF62E2">
        <w:rPr>
          <w:rFonts w:ascii="Verdana" w:hAnsi="Verdana"/>
        </w:rPr>
        <w:t>.</w:t>
      </w:r>
      <w:r w:rsidR="001A71E4" w:rsidRPr="00CF62E2">
        <w:rPr>
          <w:rFonts w:ascii="Verdana" w:hAnsi="Verdana"/>
          <w:vertAlign w:val="superscript"/>
        </w:rPr>
        <w:footnoteReference w:id="24"/>
      </w:r>
      <w:r w:rsidR="003B55A5">
        <w:rPr>
          <w:rFonts w:ascii="Verdana" w:hAnsi="Verdana"/>
        </w:rPr>
        <w:t xml:space="preserve"> </w:t>
      </w:r>
      <w:r w:rsidR="00A41926">
        <w:rPr>
          <w:rFonts w:ascii="Verdana" w:hAnsi="Verdana"/>
        </w:rPr>
        <w:t>T</w:t>
      </w:r>
      <w:r w:rsidR="00A41926" w:rsidRPr="00A41926">
        <w:rPr>
          <w:rFonts w:ascii="Verdana" w:hAnsi="Verdana"/>
        </w:rPr>
        <w:t xml:space="preserve">he importance of </w:t>
      </w:r>
      <w:r w:rsidR="004E2B07">
        <w:rPr>
          <w:rFonts w:ascii="Verdana" w:hAnsi="Verdana"/>
        </w:rPr>
        <w:t>these principles in the effective governance of public budgets</w:t>
      </w:r>
      <w:r w:rsidR="00A41926">
        <w:rPr>
          <w:rFonts w:ascii="Verdana" w:hAnsi="Verdana"/>
        </w:rPr>
        <w:t xml:space="preserve"> </w:t>
      </w:r>
      <w:r w:rsidR="00DE440C">
        <w:rPr>
          <w:rFonts w:ascii="Verdana" w:hAnsi="Verdana"/>
        </w:rPr>
        <w:t>has been</w:t>
      </w:r>
      <w:r w:rsidR="00C07CCD">
        <w:rPr>
          <w:rFonts w:ascii="Verdana" w:hAnsi="Verdana"/>
        </w:rPr>
        <w:t xml:space="preserve"> </w:t>
      </w:r>
      <w:r w:rsidR="009C6393">
        <w:rPr>
          <w:rFonts w:ascii="Verdana" w:hAnsi="Verdana"/>
        </w:rPr>
        <w:t xml:space="preserve">reaffirmed by </w:t>
      </w:r>
      <w:r w:rsidR="00172796">
        <w:rPr>
          <w:rFonts w:ascii="Verdana" w:hAnsi="Verdana"/>
        </w:rPr>
        <w:t xml:space="preserve">key </w:t>
      </w:r>
      <w:r w:rsidR="009C6393">
        <w:rPr>
          <w:rFonts w:ascii="Verdana" w:hAnsi="Verdana"/>
        </w:rPr>
        <w:t xml:space="preserve">international actors, including </w:t>
      </w:r>
      <w:r w:rsidR="00AF5D27">
        <w:rPr>
          <w:rFonts w:ascii="Verdana" w:hAnsi="Verdana"/>
        </w:rPr>
        <w:t xml:space="preserve">the </w:t>
      </w:r>
      <w:r w:rsidR="00AF5D27" w:rsidRPr="00AF5D27">
        <w:rPr>
          <w:rFonts w:ascii="Verdana" w:hAnsi="Verdana"/>
        </w:rPr>
        <w:t>Global Initiative for Fiscal Transparency</w:t>
      </w:r>
      <w:r w:rsidR="008F3759">
        <w:rPr>
          <w:rFonts w:ascii="Verdana" w:hAnsi="Verdana"/>
        </w:rPr>
        <w:t xml:space="preserve"> and the </w:t>
      </w:r>
      <w:r w:rsidR="008F3759" w:rsidRPr="008F3759">
        <w:rPr>
          <w:rFonts w:ascii="Verdana" w:hAnsi="Verdana"/>
        </w:rPr>
        <w:t>International Budget Partnership</w:t>
      </w:r>
      <w:r w:rsidR="00B016FF">
        <w:rPr>
          <w:rFonts w:ascii="Verdana" w:hAnsi="Verdana"/>
        </w:rPr>
        <w:t>.</w:t>
      </w:r>
      <w:r w:rsidR="00B016FF">
        <w:rPr>
          <w:rStyle w:val="FootnoteReference"/>
          <w:rFonts w:ascii="Verdana" w:hAnsi="Verdana"/>
        </w:rPr>
        <w:footnoteReference w:id="25"/>
      </w:r>
    </w:p>
    <w:p w14:paraId="5A95C580" w14:textId="17B382E5" w:rsidR="001A71E4" w:rsidRPr="00CF62E2" w:rsidRDefault="001B7906" w:rsidP="00C10DA8">
      <w:pPr>
        <w:pStyle w:val="BasicParagraph"/>
        <w:suppressAutoHyphens/>
        <w:ind w:left="720"/>
        <w:rPr>
          <w:rFonts w:ascii="Verdana" w:hAnsi="Verdana"/>
        </w:rPr>
      </w:pPr>
      <w:r>
        <w:rPr>
          <w:rFonts w:ascii="Verdana" w:hAnsi="Verdana"/>
        </w:rPr>
        <w:t xml:space="preserve"> </w:t>
      </w:r>
    </w:p>
    <w:p w14:paraId="3EC69DE9" w14:textId="2E71717C" w:rsidR="001A71E4" w:rsidRPr="00CF62E2" w:rsidRDefault="00F2467B" w:rsidP="001A71E4">
      <w:pPr>
        <w:pStyle w:val="BasicParagraph"/>
        <w:numPr>
          <w:ilvl w:val="1"/>
          <w:numId w:val="19"/>
        </w:numPr>
        <w:suppressAutoHyphens/>
        <w:rPr>
          <w:rFonts w:ascii="Verdana" w:hAnsi="Verdana"/>
        </w:rPr>
      </w:pPr>
      <w:r>
        <w:rPr>
          <w:rFonts w:ascii="Verdana" w:hAnsi="Verdana"/>
        </w:rPr>
        <w:t>I</w:t>
      </w:r>
      <w:r w:rsidR="002057DC">
        <w:rPr>
          <w:rFonts w:ascii="Verdana" w:hAnsi="Verdana"/>
        </w:rPr>
        <w:t xml:space="preserve">nternational </w:t>
      </w:r>
      <w:r w:rsidR="00C456EA">
        <w:rPr>
          <w:rFonts w:ascii="Verdana" w:hAnsi="Verdana"/>
        </w:rPr>
        <w:t xml:space="preserve">human rights </w:t>
      </w:r>
      <w:r w:rsidR="002057DC">
        <w:rPr>
          <w:rFonts w:ascii="Verdana" w:hAnsi="Verdana"/>
        </w:rPr>
        <w:t>treaty bodies</w:t>
      </w:r>
      <w:r>
        <w:rPr>
          <w:rFonts w:ascii="Verdana" w:hAnsi="Verdana"/>
        </w:rPr>
        <w:t xml:space="preserve"> </w:t>
      </w:r>
      <w:r w:rsidR="00C456EA">
        <w:rPr>
          <w:rFonts w:ascii="Verdana" w:hAnsi="Verdana"/>
        </w:rPr>
        <w:t>highlight</w:t>
      </w:r>
      <w:r>
        <w:rPr>
          <w:rFonts w:ascii="Verdana" w:hAnsi="Verdana"/>
        </w:rPr>
        <w:t xml:space="preserve"> the human rights implications of economic reform policies</w:t>
      </w:r>
      <w:r w:rsidR="001A7AD9">
        <w:rPr>
          <w:rFonts w:ascii="Verdana" w:hAnsi="Verdana"/>
        </w:rPr>
        <w:t xml:space="preserve"> on one side and </w:t>
      </w:r>
      <w:r w:rsidR="003D0007">
        <w:rPr>
          <w:rFonts w:ascii="Verdana" w:hAnsi="Verdana"/>
        </w:rPr>
        <w:t>promote</w:t>
      </w:r>
      <w:r w:rsidR="00B23DCC">
        <w:rPr>
          <w:rFonts w:ascii="Verdana" w:hAnsi="Verdana"/>
        </w:rPr>
        <w:t xml:space="preserve"> the relevance of human rights principles </w:t>
      </w:r>
      <w:r w:rsidR="00363105">
        <w:rPr>
          <w:rFonts w:ascii="Verdana" w:hAnsi="Verdana"/>
        </w:rPr>
        <w:t>for the</w:t>
      </w:r>
      <w:r w:rsidR="00363105" w:rsidRPr="00363105">
        <w:rPr>
          <w:rFonts w:ascii="Verdana" w:hAnsi="Verdana"/>
        </w:rPr>
        <w:t xml:space="preserve"> process</w:t>
      </w:r>
      <w:r w:rsidR="00FD671C">
        <w:rPr>
          <w:rFonts w:ascii="Verdana" w:hAnsi="Verdana"/>
        </w:rPr>
        <w:t xml:space="preserve"> </w:t>
      </w:r>
      <w:r w:rsidR="00363105" w:rsidRPr="00363105">
        <w:rPr>
          <w:rFonts w:ascii="Verdana" w:hAnsi="Verdana"/>
        </w:rPr>
        <w:t>and outcomes of public budgets</w:t>
      </w:r>
      <w:r w:rsidR="001A7AD9">
        <w:rPr>
          <w:rFonts w:ascii="Verdana" w:hAnsi="Verdana"/>
        </w:rPr>
        <w:t xml:space="preserve"> on the other</w:t>
      </w:r>
      <w:r w:rsidR="00363105">
        <w:rPr>
          <w:rFonts w:ascii="Verdana" w:hAnsi="Verdana"/>
        </w:rPr>
        <w:t>.</w:t>
      </w:r>
      <w:r w:rsidR="00A93517">
        <w:rPr>
          <w:rStyle w:val="FootnoteReference"/>
          <w:rFonts w:ascii="Verdana" w:hAnsi="Verdana"/>
        </w:rPr>
        <w:footnoteReference w:id="26"/>
      </w:r>
      <w:r w:rsidR="0023553F">
        <w:rPr>
          <w:rFonts w:ascii="Verdana" w:hAnsi="Verdana"/>
        </w:rPr>
        <w:t xml:space="preserve"> For example,</w:t>
      </w:r>
      <w:r w:rsidR="002057DC">
        <w:rPr>
          <w:rFonts w:ascii="Verdana" w:hAnsi="Verdana"/>
        </w:rPr>
        <w:t xml:space="preserve"> </w:t>
      </w:r>
      <w:r w:rsidR="00C10DA8">
        <w:rPr>
          <w:rFonts w:ascii="Verdana" w:hAnsi="Verdana"/>
        </w:rPr>
        <w:t xml:space="preserve">in its latest examination of the UK Government and NI Executive, </w:t>
      </w:r>
      <w:r w:rsidR="001A71E4" w:rsidRPr="00CF62E2">
        <w:rPr>
          <w:rFonts w:ascii="Verdana" w:hAnsi="Verdana"/>
        </w:rPr>
        <w:t>the UN CRC Committee recommended “transparent and participatory budgeting in which civil society, the public and children can participate effectively”.</w:t>
      </w:r>
      <w:r w:rsidR="001A71E4" w:rsidRPr="00CF62E2">
        <w:rPr>
          <w:rFonts w:ascii="Verdana" w:hAnsi="Verdana"/>
          <w:vertAlign w:val="superscript"/>
        </w:rPr>
        <w:footnoteReference w:id="27"/>
      </w:r>
      <w:r w:rsidR="001A71E4" w:rsidRPr="00CF62E2">
        <w:rPr>
          <w:rFonts w:ascii="Verdana" w:hAnsi="Verdana"/>
        </w:rPr>
        <w:t xml:space="preserve"> The UN CRC Committee’s General Comment No.19 on public budgeting elaborates that meaningful participation requires “the right to access </w:t>
      </w:r>
      <w:bookmarkStart w:id="4" w:name="_Hlk190775569"/>
      <w:r w:rsidR="001A71E4" w:rsidRPr="00CF62E2">
        <w:rPr>
          <w:rFonts w:ascii="Verdana" w:hAnsi="Verdana"/>
        </w:rPr>
        <w:t xml:space="preserve">key budgetary documents </w:t>
      </w:r>
      <w:bookmarkEnd w:id="4"/>
      <w:r w:rsidR="001A71E4" w:rsidRPr="00CF62E2">
        <w:rPr>
          <w:rFonts w:ascii="Verdana" w:hAnsi="Verdana"/>
        </w:rPr>
        <w:t>such as pre-budget statements, budget proposals, enacted budgets, midterm reports, in-year reports and audit reports”.</w:t>
      </w:r>
      <w:r w:rsidR="001A71E4" w:rsidRPr="00CF62E2">
        <w:rPr>
          <w:rFonts w:ascii="Verdana" w:hAnsi="Verdana"/>
          <w:vertAlign w:val="superscript"/>
        </w:rPr>
        <w:footnoteReference w:id="28"/>
      </w:r>
      <w:r w:rsidR="001A71E4" w:rsidRPr="00CF62E2">
        <w:rPr>
          <w:rFonts w:ascii="Verdana" w:hAnsi="Verdana"/>
        </w:rPr>
        <w:t xml:space="preserve"> </w:t>
      </w:r>
    </w:p>
    <w:p w14:paraId="64A4C863" w14:textId="77777777" w:rsidR="001A71E4" w:rsidRPr="00CF62E2" w:rsidRDefault="001A71E4" w:rsidP="001A71E4">
      <w:pPr>
        <w:pStyle w:val="BasicParagraph"/>
        <w:suppressAutoHyphens/>
        <w:ind w:left="720"/>
        <w:rPr>
          <w:rFonts w:ascii="Verdana" w:hAnsi="Verdana"/>
        </w:rPr>
      </w:pPr>
    </w:p>
    <w:p w14:paraId="5C0C5C2F" w14:textId="2A165C2A" w:rsidR="004B25EE" w:rsidRDefault="00B33B6B" w:rsidP="00C10DA8">
      <w:pPr>
        <w:pStyle w:val="BasicParagraph"/>
        <w:numPr>
          <w:ilvl w:val="1"/>
          <w:numId w:val="19"/>
        </w:numPr>
        <w:suppressAutoHyphens/>
        <w:rPr>
          <w:rFonts w:ascii="Verdana" w:hAnsi="Verdana"/>
        </w:rPr>
      </w:pPr>
      <w:r>
        <w:rPr>
          <w:rFonts w:ascii="Verdana" w:hAnsi="Verdana"/>
        </w:rPr>
        <w:t xml:space="preserve">The </w:t>
      </w:r>
      <w:r w:rsidR="00F01A61">
        <w:rPr>
          <w:rFonts w:ascii="Verdana" w:hAnsi="Verdana"/>
        </w:rPr>
        <w:t>NIHRC consider</w:t>
      </w:r>
      <w:r w:rsidR="00973698">
        <w:rPr>
          <w:rFonts w:ascii="Verdana" w:hAnsi="Verdana"/>
        </w:rPr>
        <w:t>s</w:t>
      </w:r>
      <w:r w:rsidR="00F01A61">
        <w:rPr>
          <w:rFonts w:ascii="Verdana" w:hAnsi="Verdana"/>
        </w:rPr>
        <w:t xml:space="preserve"> that the following human rights principles should </w:t>
      </w:r>
      <w:r w:rsidR="00F65BD8">
        <w:rPr>
          <w:rFonts w:ascii="Verdana" w:hAnsi="Verdana"/>
        </w:rPr>
        <w:t>inform how NI Executive Departments</w:t>
      </w:r>
      <w:r w:rsidR="003547B6">
        <w:rPr>
          <w:rFonts w:ascii="Verdana" w:hAnsi="Verdana"/>
        </w:rPr>
        <w:t xml:space="preserve"> should</w:t>
      </w:r>
      <w:r w:rsidR="004B25EE">
        <w:rPr>
          <w:rFonts w:ascii="Verdana" w:hAnsi="Verdana"/>
        </w:rPr>
        <w:t xml:space="preserve"> allocate, spend and audit the budget: </w:t>
      </w:r>
    </w:p>
    <w:p w14:paraId="61394D51" w14:textId="77777777" w:rsidR="004B25EE" w:rsidRDefault="004B25EE" w:rsidP="004B25EE">
      <w:pPr>
        <w:pStyle w:val="ListParagraph"/>
        <w:rPr>
          <w:rFonts w:ascii="Verdana" w:hAnsi="Verdana"/>
        </w:rPr>
      </w:pPr>
    </w:p>
    <w:p w14:paraId="4770C8E3" w14:textId="5454A418" w:rsidR="00E217B6" w:rsidRDefault="00C10DA8" w:rsidP="00E217B6">
      <w:pPr>
        <w:pStyle w:val="BasicParagraph"/>
        <w:suppressAutoHyphens/>
        <w:ind w:left="1440"/>
        <w:rPr>
          <w:rFonts w:ascii="Verdana" w:hAnsi="Verdana"/>
        </w:rPr>
      </w:pPr>
      <w:r w:rsidRPr="00E217B6">
        <w:rPr>
          <w:rFonts w:ascii="Verdana" w:hAnsi="Verdana"/>
          <w:b/>
          <w:bCs/>
        </w:rPr>
        <w:t>Participation</w:t>
      </w:r>
      <w:r w:rsidR="00E217B6">
        <w:rPr>
          <w:rFonts w:ascii="Verdana" w:hAnsi="Verdana"/>
        </w:rPr>
        <w:t>:</w:t>
      </w:r>
      <w:r w:rsidR="00EA4946">
        <w:rPr>
          <w:rFonts w:ascii="Verdana" w:hAnsi="Verdana"/>
        </w:rPr>
        <w:t xml:space="preserve"> </w:t>
      </w:r>
      <w:r w:rsidR="00034712">
        <w:rPr>
          <w:rFonts w:ascii="Verdana" w:hAnsi="Verdana"/>
        </w:rPr>
        <w:t>Measures should be taken to facilitate the active participation of rights holders.</w:t>
      </w:r>
      <w:r w:rsidR="00347CD7">
        <w:rPr>
          <w:rStyle w:val="FootnoteReference"/>
          <w:rFonts w:ascii="Verdana" w:hAnsi="Verdana"/>
        </w:rPr>
        <w:footnoteReference w:id="29"/>
      </w:r>
      <w:r w:rsidR="00034712">
        <w:rPr>
          <w:rFonts w:ascii="Verdana" w:hAnsi="Verdana"/>
        </w:rPr>
        <w:t xml:space="preserve"> </w:t>
      </w:r>
      <w:r w:rsidRPr="00CF62E2">
        <w:rPr>
          <w:rFonts w:ascii="Verdana" w:hAnsi="Verdana"/>
        </w:rPr>
        <w:t xml:space="preserve">This requires providing </w:t>
      </w:r>
      <w:r w:rsidR="00FD302E">
        <w:rPr>
          <w:rFonts w:ascii="Verdana" w:hAnsi="Verdana"/>
        </w:rPr>
        <w:t xml:space="preserve">effective </w:t>
      </w:r>
      <w:r w:rsidR="00FD302E">
        <w:rPr>
          <w:rFonts w:ascii="Verdana" w:hAnsi="Verdana"/>
        </w:rPr>
        <w:lastRenderedPageBreak/>
        <w:t xml:space="preserve">opportunities </w:t>
      </w:r>
      <w:r w:rsidR="00A37002">
        <w:rPr>
          <w:rFonts w:ascii="Verdana" w:hAnsi="Verdana"/>
        </w:rPr>
        <w:t xml:space="preserve">for </w:t>
      </w:r>
      <w:r w:rsidRPr="00CF62E2">
        <w:rPr>
          <w:rFonts w:ascii="Verdana" w:hAnsi="Verdana"/>
        </w:rPr>
        <w:t>individuals</w:t>
      </w:r>
      <w:r w:rsidR="00A37002">
        <w:rPr>
          <w:rFonts w:ascii="Verdana" w:hAnsi="Verdana"/>
        </w:rPr>
        <w:t xml:space="preserve"> to participate directly in public debate</w:t>
      </w:r>
      <w:r w:rsidR="0067415D">
        <w:rPr>
          <w:rFonts w:ascii="Verdana" w:hAnsi="Verdana"/>
        </w:rPr>
        <w:t xml:space="preserve"> and discussion with respect to </w:t>
      </w:r>
      <w:r w:rsidR="0049558C">
        <w:rPr>
          <w:rFonts w:ascii="Verdana" w:hAnsi="Verdana"/>
        </w:rPr>
        <w:t>the</w:t>
      </w:r>
      <w:r w:rsidRPr="00CF62E2">
        <w:rPr>
          <w:rFonts w:ascii="Verdana" w:hAnsi="Verdana"/>
        </w:rPr>
        <w:t xml:space="preserve"> formulation, implementation and evaluation</w:t>
      </w:r>
      <w:r w:rsidR="0049558C">
        <w:rPr>
          <w:rFonts w:ascii="Verdana" w:hAnsi="Verdana"/>
        </w:rPr>
        <w:t xml:space="preserve"> of budgets</w:t>
      </w:r>
      <w:r w:rsidRPr="00CF62E2">
        <w:rPr>
          <w:rFonts w:ascii="Verdana" w:hAnsi="Verdana"/>
        </w:rPr>
        <w:t xml:space="preserve">. </w:t>
      </w:r>
      <w:r w:rsidR="005A4DEE">
        <w:rPr>
          <w:rFonts w:ascii="Verdana" w:hAnsi="Verdana"/>
        </w:rPr>
        <w:t>S</w:t>
      </w:r>
      <w:r w:rsidR="004E2A60">
        <w:rPr>
          <w:rFonts w:ascii="Verdana" w:hAnsi="Verdana"/>
        </w:rPr>
        <w:t>teps should be taken to</w:t>
      </w:r>
      <w:r w:rsidR="005A4DEE">
        <w:rPr>
          <w:rFonts w:ascii="Verdana" w:hAnsi="Verdana"/>
        </w:rPr>
        <w:t xml:space="preserve"> proactively</w:t>
      </w:r>
      <w:r w:rsidR="004E2A60">
        <w:rPr>
          <w:rFonts w:ascii="Verdana" w:hAnsi="Verdana"/>
        </w:rPr>
        <w:t xml:space="preserve"> engage individuals </w:t>
      </w:r>
      <w:r w:rsidR="00770D1C">
        <w:rPr>
          <w:rFonts w:ascii="Verdana" w:hAnsi="Verdana"/>
        </w:rPr>
        <w:t xml:space="preserve">and groups who may experience </w:t>
      </w:r>
      <w:r w:rsidR="005A4DEE">
        <w:rPr>
          <w:rFonts w:ascii="Verdana" w:hAnsi="Verdana"/>
        </w:rPr>
        <w:t>exclusion</w:t>
      </w:r>
      <w:r w:rsidR="00531D9B">
        <w:rPr>
          <w:rFonts w:ascii="Verdana" w:hAnsi="Verdana"/>
        </w:rPr>
        <w:t xml:space="preserve">, </w:t>
      </w:r>
      <w:r w:rsidR="005A4DEE">
        <w:rPr>
          <w:rFonts w:ascii="Verdana" w:hAnsi="Verdana"/>
        </w:rPr>
        <w:t>marginalisation</w:t>
      </w:r>
      <w:r w:rsidR="00531D9B">
        <w:rPr>
          <w:rFonts w:ascii="Verdana" w:hAnsi="Verdana"/>
        </w:rPr>
        <w:t xml:space="preserve"> or may be particularly vulnerable to the impacts of specific budgetary decisions</w:t>
      </w:r>
      <w:r w:rsidR="0030594C">
        <w:rPr>
          <w:rFonts w:ascii="Verdana" w:hAnsi="Verdana"/>
        </w:rPr>
        <w:t>.</w:t>
      </w:r>
      <w:r w:rsidR="00682569">
        <w:rPr>
          <w:rStyle w:val="FootnoteReference"/>
          <w:rFonts w:ascii="Verdana" w:hAnsi="Verdana"/>
        </w:rPr>
        <w:footnoteReference w:id="30"/>
      </w:r>
    </w:p>
    <w:p w14:paraId="4CD779F1" w14:textId="77777777" w:rsidR="00E217B6" w:rsidRDefault="00E217B6" w:rsidP="00E217B6">
      <w:pPr>
        <w:pStyle w:val="ListParagraph"/>
        <w:rPr>
          <w:rFonts w:ascii="Verdana" w:hAnsi="Verdana"/>
        </w:rPr>
      </w:pPr>
    </w:p>
    <w:p w14:paraId="5CB1597D" w14:textId="7565C461" w:rsidR="00C10DA8" w:rsidRDefault="00E217B6" w:rsidP="00E217B6">
      <w:pPr>
        <w:pStyle w:val="BasicParagraph"/>
        <w:suppressAutoHyphens/>
        <w:ind w:left="1440"/>
        <w:rPr>
          <w:rFonts w:ascii="Verdana" w:hAnsi="Verdana"/>
        </w:rPr>
      </w:pPr>
      <w:r w:rsidRPr="00E217B6">
        <w:rPr>
          <w:rFonts w:ascii="Verdana" w:hAnsi="Verdana"/>
          <w:b/>
          <w:bCs/>
        </w:rPr>
        <w:t>T</w:t>
      </w:r>
      <w:r w:rsidR="00C10DA8" w:rsidRPr="00E217B6">
        <w:rPr>
          <w:rFonts w:ascii="Verdana" w:hAnsi="Verdana"/>
          <w:b/>
          <w:bCs/>
        </w:rPr>
        <w:t>ransparency</w:t>
      </w:r>
      <w:r>
        <w:rPr>
          <w:rFonts w:ascii="Verdana" w:hAnsi="Verdana"/>
        </w:rPr>
        <w:t>:</w:t>
      </w:r>
      <w:r w:rsidR="00C10DA8" w:rsidRPr="00CF62E2">
        <w:rPr>
          <w:rFonts w:ascii="Verdana" w:hAnsi="Verdana"/>
        </w:rPr>
        <w:t xml:space="preserve"> </w:t>
      </w:r>
      <w:r w:rsidR="00556D09">
        <w:rPr>
          <w:rFonts w:ascii="Verdana" w:hAnsi="Verdana"/>
        </w:rPr>
        <w:t>Closely linked to t</w:t>
      </w:r>
      <w:r w:rsidR="00A919FE">
        <w:rPr>
          <w:rFonts w:ascii="Verdana" w:hAnsi="Verdana"/>
        </w:rPr>
        <w:t xml:space="preserve">he right of access to information </w:t>
      </w:r>
      <w:r w:rsidR="007F0FCC">
        <w:rPr>
          <w:rFonts w:ascii="Verdana" w:hAnsi="Verdana"/>
        </w:rPr>
        <w:t xml:space="preserve">and essential to ensuring accountability, transparency </w:t>
      </w:r>
      <w:r w:rsidR="00716FAA">
        <w:rPr>
          <w:rFonts w:ascii="Verdana" w:hAnsi="Verdana"/>
        </w:rPr>
        <w:t xml:space="preserve">requires governments to fully </w:t>
      </w:r>
      <w:r w:rsidR="003B0D43" w:rsidRPr="003B0D43">
        <w:rPr>
          <w:rFonts w:ascii="Verdana" w:hAnsi="Verdana"/>
        </w:rPr>
        <w:t>disclose timely, comprehensive and accessible information and make essential budget documents available to</w:t>
      </w:r>
      <w:r w:rsidR="008A6C76">
        <w:rPr>
          <w:rFonts w:ascii="Verdana" w:hAnsi="Verdana"/>
        </w:rPr>
        <w:t xml:space="preserve"> all key</w:t>
      </w:r>
      <w:r w:rsidR="003B0D43" w:rsidRPr="003B0D43">
        <w:rPr>
          <w:rFonts w:ascii="Verdana" w:hAnsi="Verdana"/>
        </w:rPr>
        <w:t xml:space="preserve"> stakeholders</w:t>
      </w:r>
      <w:r w:rsidR="003B0D43">
        <w:rPr>
          <w:rFonts w:ascii="Verdana" w:hAnsi="Verdana"/>
        </w:rPr>
        <w:t>.</w:t>
      </w:r>
      <w:r w:rsidR="008A6C76">
        <w:rPr>
          <w:rStyle w:val="FootnoteReference"/>
          <w:rFonts w:ascii="Verdana" w:hAnsi="Verdana"/>
        </w:rPr>
        <w:footnoteReference w:id="31"/>
      </w:r>
      <w:r w:rsidR="003B0D43">
        <w:rPr>
          <w:rFonts w:ascii="Verdana" w:hAnsi="Verdana"/>
        </w:rPr>
        <w:t xml:space="preserve"> This includes </w:t>
      </w:r>
      <w:r w:rsidR="003B0D43" w:rsidRPr="003B0D43">
        <w:rPr>
          <w:rFonts w:ascii="Verdana" w:hAnsi="Verdana"/>
        </w:rPr>
        <w:t>pre-budget statements, draft budgetary plans and audit reports</w:t>
      </w:r>
      <w:r w:rsidR="00D73CBA">
        <w:rPr>
          <w:rFonts w:ascii="Verdana" w:hAnsi="Verdana"/>
        </w:rPr>
        <w:t xml:space="preserve">. </w:t>
      </w:r>
      <w:r w:rsidR="00AE629C" w:rsidRPr="00AE629C">
        <w:rPr>
          <w:rFonts w:ascii="Verdana" w:hAnsi="Verdana"/>
        </w:rPr>
        <w:t xml:space="preserve">Transparency also requires </w:t>
      </w:r>
      <w:r w:rsidR="00AE629C">
        <w:rPr>
          <w:rFonts w:ascii="Verdana" w:hAnsi="Verdana"/>
        </w:rPr>
        <w:t>g</w:t>
      </w:r>
      <w:r w:rsidR="00AE629C" w:rsidRPr="00AE629C">
        <w:rPr>
          <w:rFonts w:ascii="Verdana" w:hAnsi="Verdana"/>
        </w:rPr>
        <w:t>overnments to provide adequate justifications of policy choices to the population</w:t>
      </w:r>
      <w:r w:rsidR="00967DC6">
        <w:rPr>
          <w:rFonts w:ascii="Verdana" w:hAnsi="Verdana"/>
        </w:rPr>
        <w:t xml:space="preserve">, particularly to </w:t>
      </w:r>
      <w:r w:rsidR="00AE629C" w:rsidRPr="00AE629C">
        <w:rPr>
          <w:rFonts w:ascii="Verdana" w:hAnsi="Verdana"/>
        </w:rPr>
        <w:t>those most likely to be affected by budgetary decisions</w:t>
      </w:r>
      <w:r w:rsidR="00967DC6">
        <w:rPr>
          <w:rFonts w:ascii="Verdana" w:hAnsi="Verdana"/>
        </w:rPr>
        <w:t>.</w:t>
      </w:r>
      <w:r w:rsidR="00967DC6">
        <w:rPr>
          <w:rStyle w:val="FootnoteReference"/>
          <w:rFonts w:ascii="Verdana" w:hAnsi="Verdana"/>
        </w:rPr>
        <w:footnoteReference w:id="32"/>
      </w:r>
    </w:p>
    <w:p w14:paraId="150C7368" w14:textId="77777777" w:rsidR="00C10DA8" w:rsidRPr="00CF62E2" w:rsidRDefault="00C10DA8" w:rsidP="00C10DA8">
      <w:pPr>
        <w:pStyle w:val="BasicParagraph"/>
        <w:suppressAutoHyphens/>
        <w:rPr>
          <w:rFonts w:ascii="Verdana" w:hAnsi="Verdana"/>
        </w:rPr>
      </w:pPr>
    </w:p>
    <w:p w14:paraId="20A86884" w14:textId="495AC750" w:rsidR="001A71E4" w:rsidRDefault="00E217B6" w:rsidP="00E217B6">
      <w:pPr>
        <w:pStyle w:val="BasicParagraph"/>
        <w:suppressAutoHyphens/>
        <w:ind w:left="1440"/>
        <w:rPr>
          <w:rFonts w:ascii="Verdana" w:hAnsi="Verdana"/>
        </w:rPr>
      </w:pPr>
      <w:r w:rsidRPr="00E217B6">
        <w:rPr>
          <w:rFonts w:ascii="Verdana" w:hAnsi="Verdana"/>
          <w:b/>
          <w:bCs/>
        </w:rPr>
        <w:t>Accountability</w:t>
      </w:r>
      <w:r>
        <w:rPr>
          <w:rFonts w:ascii="Verdana" w:hAnsi="Verdana"/>
        </w:rPr>
        <w:t>:</w:t>
      </w:r>
      <w:r w:rsidR="001A71E4" w:rsidRPr="00CF62E2">
        <w:rPr>
          <w:rFonts w:ascii="Verdana" w:hAnsi="Verdana"/>
        </w:rPr>
        <w:t xml:space="preserve"> </w:t>
      </w:r>
      <w:r w:rsidR="00D8334F">
        <w:rPr>
          <w:rFonts w:ascii="Verdana" w:hAnsi="Verdana"/>
        </w:rPr>
        <w:t>Budgetary processes s</w:t>
      </w:r>
      <w:r w:rsidR="00D8334F" w:rsidRPr="00D8334F">
        <w:rPr>
          <w:rFonts w:ascii="Verdana" w:hAnsi="Verdana"/>
        </w:rPr>
        <w:t xml:space="preserve">hould not be arbitrary or discriminatory and must include accountability mechanisms for allocating and using </w:t>
      </w:r>
      <w:r w:rsidR="00C604B0">
        <w:rPr>
          <w:rFonts w:ascii="Verdana" w:hAnsi="Verdana"/>
        </w:rPr>
        <w:t xml:space="preserve">the </w:t>
      </w:r>
      <w:r w:rsidR="00347102">
        <w:rPr>
          <w:rFonts w:ascii="Verdana" w:hAnsi="Verdana"/>
        </w:rPr>
        <w:t>public budget</w:t>
      </w:r>
      <w:r w:rsidR="00D8334F" w:rsidRPr="00D8334F">
        <w:rPr>
          <w:rFonts w:ascii="Verdana" w:hAnsi="Verdana"/>
        </w:rPr>
        <w:t>.</w:t>
      </w:r>
      <w:r w:rsidR="001A71E4" w:rsidRPr="00CF62E2">
        <w:rPr>
          <w:rFonts w:ascii="Verdana" w:hAnsi="Verdana"/>
        </w:rPr>
        <w:t xml:space="preserve"> </w:t>
      </w:r>
      <w:r w:rsidR="004723E3">
        <w:rPr>
          <w:rFonts w:ascii="Verdana" w:hAnsi="Verdana"/>
        </w:rPr>
        <w:t>I</w:t>
      </w:r>
      <w:r w:rsidR="001A71E4" w:rsidRPr="00CF62E2">
        <w:rPr>
          <w:rFonts w:ascii="Verdana" w:hAnsi="Verdana"/>
        </w:rPr>
        <w:t>ndividuals should be engaged at various stages of the process, particularly at the monitoring and evaluation stage.</w:t>
      </w:r>
      <w:r w:rsidR="001A71E4" w:rsidRPr="00CF62E2">
        <w:rPr>
          <w:rFonts w:ascii="Verdana" w:hAnsi="Verdana"/>
          <w:vertAlign w:val="superscript"/>
        </w:rPr>
        <w:footnoteReference w:id="33"/>
      </w:r>
      <w:r w:rsidR="001A71E4" w:rsidRPr="00CF62E2">
        <w:rPr>
          <w:rFonts w:ascii="Verdana" w:hAnsi="Verdana"/>
        </w:rPr>
        <w:t xml:space="preserve"> </w:t>
      </w:r>
      <w:r w:rsidR="000835AE" w:rsidRPr="000835AE">
        <w:rPr>
          <w:rFonts w:ascii="Verdana" w:hAnsi="Verdana"/>
        </w:rPr>
        <w:t xml:space="preserve">States should demonstrate that their proposed </w:t>
      </w:r>
      <w:r w:rsidR="000835AE">
        <w:rPr>
          <w:rFonts w:ascii="Verdana" w:hAnsi="Verdana"/>
        </w:rPr>
        <w:t>budgetary</w:t>
      </w:r>
      <w:r w:rsidR="000835AE" w:rsidRPr="000835AE">
        <w:rPr>
          <w:rFonts w:ascii="Verdana" w:hAnsi="Verdana"/>
        </w:rPr>
        <w:t xml:space="preserve"> measures will reali</w:t>
      </w:r>
      <w:r w:rsidR="000835AE">
        <w:rPr>
          <w:rFonts w:ascii="Verdana" w:hAnsi="Verdana"/>
        </w:rPr>
        <w:t>s</w:t>
      </w:r>
      <w:r w:rsidR="000835AE" w:rsidRPr="000835AE">
        <w:rPr>
          <w:rFonts w:ascii="Verdana" w:hAnsi="Verdana"/>
        </w:rPr>
        <w:t>e, and not undermine, the</w:t>
      </w:r>
      <w:r w:rsidR="00961DBA">
        <w:rPr>
          <w:rFonts w:ascii="Verdana" w:hAnsi="Verdana"/>
        </w:rPr>
        <w:t xml:space="preserve">ir </w:t>
      </w:r>
      <w:r w:rsidR="000835AE" w:rsidRPr="000835AE">
        <w:rPr>
          <w:rFonts w:ascii="Verdana" w:hAnsi="Verdana"/>
        </w:rPr>
        <w:t>human rights obligations.</w:t>
      </w:r>
      <w:r w:rsidR="003722DF">
        <w:rPr>
          <w:rStyle w:val="FootnoteReference"/>
          <w:rFonts w:ascii="Verdana" w:hAnsi="Verdana"/>
        </w:rPr>
        <w:footnoteReference w:id="34"/>
      </w:r>
      <w:r w:rsidR="000835AE" w:rsidRPr="000835AE">
        <w:rPr>
          <w:rFonts w:ascii="Verdana" w:hAnsi="Verdana"/>
        </w:rPr>
        <w:t xml:space="preserve"> That implies a duty to carry out human rights impact assessments to evaluate and address any foreseeable effects (including in terms of direct or indirect discrimination) of </w:t>
      </w:r>
      <w:r w:rsidR="00961DBA">
        <w:rPr>
          <w:rFonts w:ascii="Verdana" w:hAnsi="Verdana"/>
        </w:rPr>
        <w:t xml:space="preserve">their budgetary allocations </w:t>
      </w:r>
      <w:r w:rsidR="000835AE" w:rsidRPr="000835AE">
        <w:rPr>
          <w:rFonts w:ascii="Verdana" w:hAnsi="Verdana"/>
        </w:rPr>
        <w:t>on human rights.</w:t>
      </w:r>
      <w:r w:rsidR="005F324C">
        <w:rPr>
          <w:rStyle w:val="FootnoteReference"/>
          <w:rFonts w:ascii="Verdana" w:hAnsi="Verdana"/>
        </w:rPr>
        <w:footnoteReference w:id="35"/>
      </w:r>
      <w:r w:rsidR="005F324C" w:rsidRPr="000835AE">
        <w:rPr>
          <w:rFonts w:ascii="Verdana" w:hAnsi="Verdana"/>
        </w:rPr>
        <w:t xml:space="preserve"> </w:t>
      </w:r>
      <w:r w:rsidR="00961DBA">
        <w:rPr>
          <w:rFonts w:ascii="Verdana" w:hAnsi="Verdana"/>
        </w:rPr>
        <w:t xml:space="preserve">The </w:t>
      </w:r>
      <w:r w:rsidR="00961DBA">
        <w:rPr>
          <w:rFonts w:ascii="Verdana" w:hAnsi="Verdana"/>
        </w:rPr>
        <w:lastRenderedPageBreak/>
        <w:t>findings of the human rights impact assessments should be used to inform</w:t>
      </w:r>
      <w:r w:rsidR="000E1D66">
        <w:rPr>
          <w:rFonts w:ascii="Verdana" w:hAnsi="Verdana"/>
        </w:rPr>
        <w:t xml:space="preserve"> final budgetary decisions.</w:t>
      </w:r>
    </w:p>
    <w:p w14:paraId="774DB623" w14:textId="77777777" w:rsidR="007E49F2" w:rsidRDefault="007E49F2" w:rsidP="007E49F2">
      <w:pPr>
        <w:pStyle w:val="Heading2"/>
      </w:pPr>
    </w:p>
    <w:p w14:paraId="0F85C05A" w14:textId="77777777" w:rsidR="007E49F2" w:rsidRPr="00670FC1" w:rsidRDefault="007E49F2" w:rsidP="007E49F2">
      <w:pPr>
        <w:pStyle w:val="Heading2"/>
        <w:rPr>
          <w:rFonts w:eastAsiaTheme="minorEastAsia" w:cs="MinionPro-Regular"/>
          <w:color w:val="000000"/>
          <w:szCs w:val="24"/>
        </w:rPr>
      </w:pPr>
      <w:bookmarkStart w:id="5" w:name="_Toc190785277"/>
      <w:r w:rsidRPr="00670FC1">
        <w:rPr>
          <w:rFonts w:eastAsiaTheme="minorEastAsia" w:cs="MinionPro-Regular"/>
          <w:color w:val="000000"/>
          <w:szCs w:val="24"/>
        </w:rPr>
        <w:t>Summary</w:t>
      </w:r>
      <w:bookmarkEnd w:id="5"/>
    </w:p>
    <w:p w14:paraId="667E1F5A" w14:textId="77777777" w:rsidR="007E49F2" w:rsidRDefault="007E49F2" w:rsidP="007E49F2">
      <w:pPr>
        <w:pStyle w:val="BasicParagraph"/>
        <w:suppressAutoHyphens/>
        <w:rPr>
          <w:rFonts w:ascii="Verdana" w:hAnsi="Verdana"/>
        </w:rPr>
      </w:pPr>
    </w:p>
    <w:p w14:paraId="159C2018" w14:textId="13E5E8AD" w:rsidR="00670FC1" w:rsidRPr="00670FC1" w:rsidRDefault="00670FC1" w:rsidP="00670FC1">
      <w:pPr>
        <w:pStyle w:val="BasicParagraph"/>
        <w:numPr>
          <w:ilvl w:val="1"/>
          <w:numId w:val="19"/>
        </w:numPr>
        <w:suppressAutoHyphens/>
        <w:rPr>
          <w:rFonts w:ascii="Verdana" w:hAnsi="Verdana"/>
        </w:rPr>
      </w:pPr>
      <w:r w:rsidRPr="00670FC1">
        <w:rPr>
          <w:rFonts w:ascii="Verdana" w:hAnsi="Verdana"/>
        </w:rPr>
        <w:t xml:space="preserve">The following standards from ICESCR should guide the </w:t>
      </w:r>
      <w:r w:rsidRPr="00203CF7">
        <w:rPr>
          <w:rFonts w:ascii="Verdana" w:hAnsi="Verdana"/>
          <w:i/>
          <w:iCs/>
        </w:rPr>
        <w:t>content</w:t>
      </w:r>
      <w:r w:rsidRPr="00670FC1">
        <w:rPr>
          <w:rFonts w:ascii="Verdana" w:hAnsi="Verdana"/>
        </w:rPr>
        <w:t xml:space="preserve"> of government budgets and ensure the mobilisation of resources protects the realisation of specific rights: </w:t>
      </w:r>
    </w:p>
    <w:p w14:paraId="2187EA40" w14:textId="77777777" w:rsidR="00670FC1" w:rsidRPr="00670FC1" w:rsidRDefault="00670FC1" w:rsidP="00670FC1">
      <w:pPr>
        <w:pStyle w:val="BasicParagraph"/>
        <w:suppressAutoHyphens/>
        <w:ind w:left="720"/>
        <w:rPr>
          <w:rFonts w:ascii="Verdana" w:hAnsi="Verdana"/>
        </w:rPr>
      </w:pPr>
    </w:p>
    <w:p w14:paraId="76324F32" w14:textId="77777777" w:rsidR="00670FC1" w:rsidRPr="00670FC1" w:rsidRDefault="00670FC1" w:rsidP="007E49F2">
      <w:pPr>
        <w:pStyle w:val="BasicParagraph"/>
        <w:numPr>
          <w:ilvl w:val="0"/>
          <w:numId w:val="32"/>
        </w:numPr>
        <w:suppressAutoHyphens/>
        <w:rPr>
          <w:rFonts w:ascii="Verdana" w:hAnsi="Verdana"/>
        </w:rPr>
      </w:pPr>
      <w:r w:rsidRPr="00670FC1">
        <w:rPr>
          <w:rFonts w:ascii="Verdana" w:hAnsi="Verdana"/>
        </w:rPr>
        <w:t>Progressive realisation and ensuring the use of maximum available resources.</w:t>
      </w:r>
    </w:p>
    <w:p w14:paraId="031528FA" w14:textId="5DD85C7C" w:rsidR="00670FC1" w:rsidRPr="00670FC1" w:rsidRDefault="00670FC1" w:rsidP="007E49F2">
      <w:pPr>
        <w:pStyle w:val="BasicParagraph"/>
        <w:numPr>
          <w:ilvl w:val="0"/>
          <w:numId w:val="32"/>
        </w:numPr>
        <w:suppressAutoHyphens/>
        <w:rPr>
          <w:rFonts w:ascii="Verdana" w:hAnsi="Verdana"/>
        </w:rPr>
      </w:pPr>
      <w:r w:rsidRPr="00670FC1">
        <w:rPr>
          <w:rFonts w:ascii="Verdana" w:hAnsi="Verdana"/>
        </w:rPr>
        <w:t xml:space="preserve">Prohibition of retrogression and the </w:t>
      </w:r>
      <w:r w:rsidR="00D510B0">
        <w:rPr>
          <w:rFonts w:ascii="Verdana" w:hAnsi="Verdana"/>
        </w:rPr>
        <w:t>responsibility</w:t>
      </w:r>
      <w:r w:rsidR="0063022B" w:rsidRPr="00670FC1">
        <w:rPr>
          <w:rFonts w:ascii="Verdana" w:hAnsi="Verdana"/>
        </w:rPr>
        <w:t xml:space="preserve"> </w:t>
      </w:r>
      <w:r w:rsidRPr="00670FC1">
        <w:rPr>
          <w:rFonts w:ascii="Verdana" w:hAnsi="Verdana"/>
        </w:rPr>
        <w:t>of proving “careful consideration of all alternatives”.</w:t>
      </w:r>
    </w:p>
    <w:p w14:paraId="5DD1C361" w14:textId="77777777" w:rsidR="00670FC1" w:rsidRPr="00670FC1" w:rsidRDefault="00670FC1" w:rsidP="007E49F2">
      <w:pPr>
        <w:pStyle w:val="BasicParagraph"/>
        <w:numPr>
          <w:ilvl w:val="0"/>
          <w:numId w:val="32"/>
        </w:numPr>
        <w:suppressAutoHyphens/>
        <w:rPr>
          <w:rFonts w:ascii="Verdana" w:hAnsi="Verdana"/>
        </w:rPr>
      </w:pPr>
      <w:r w:rsidRPr="00670FC1">
        <w:rPr>
          <w:rFonts w:ascii="Verdana" w:hAnsi="Verdana"/>
        </w:rPr>
        <w:t>Protection of the “minimum essential levels” or the “core content” of each right.</w:t>
      </w:r>
    </w:p>
    <w:p w14:paraId="534141CC" w14:textId="77777777" w:rsidR="00670FC1" w:rsidRPr="00670FC1" w:rsidRDefault="00670FC1" w:rsidP="007E49F2">
      <w:pPr>
        <w:pStyle w:val="BasicParagraph"/>
        <w:numPr>
          <w:ilvl w:val="0"/>
          <w:numId w:val="32"/>
        </w:numPr>
        <w:suppressAutoHyphens/>
        <w:rPr>
          <w:rFonts w:ascii="Verdana" w:hAnsi="Verdana"/>
        </w:rPr>
      </w:pPr>
      <w:r w:rsidRPr="00670FC1">
        <w:rPr>
          <w:rFonts w:ascii="Verdana" w:hAnsi="Verdana"/>
        </w:rPr>
        <w:t>Prohibition of discrimination.</w:t>
      </w:r>
    </w:p>
    <w:p w14:paraId="09860CA0" w14:textId="77777777" w:rsidR="00670FC1" w:rsidRPr="00670FC1" w:rsidRDefault="00670FC1" w:rsidP="007E49F2">
      <w:pPr>
        <w:pStyle w:val="BasicParagraph"/>
        <w:suppressAutoHyphens/>
        <w:ind w:left="720"/>
        <w:rPr>
          <w:rFonts w:ascii="Verdana" w:hAnsi="Verdana"/>
        </w:rPr>
      </w:pPr>
    </w:p>
    <w:p w14:paraId="769EFD9C" w14:textId="77777777" w:rsidR="00670FC1" w:rsidRPr="00670FC1" w:rsidRDefault="00670FC1" w:rsidP="00670FC1">
      <w:pPr>
        <w:pStyle w:val="BasicParagraph"/>
        <w:numPr>
          <w:ilvl w:val="1"/>
          <w:numId w:val="19"/>
        </w:numPr>
        <w:suppressAutoHyphens/>
        <w:rPr>
          <w:rFonts w:ascii="Verdana" w:hAnsi="Verdana"/>
        </w:rPr>
      </w:pPr>
      <w:r w:rsidRPr="00670FC1">
        <w:rPr>
          <w:rFonts w:ascii="Verdana" w:hAnsi="Verdana"/>
        </w:rPr>
        <w:t xml:space="preserve">In addition, the following human rights principles should be reflected throughout the budgeting </w:t>
      </w:r>
      <w:r w:rsidRPr="00203CF7">
        <w:rPr>
          <w:rFonts w:ascii="Verdana" w:hAnsi="Verdana"/>
          <w:i/>
          <w:iCs/>
        </w:rPr>
        <w:t>process</w:t>
      </w:r>
      <w:r w:rsidRPr="00670FC1">
        <w:rPr>
          <w:rFonts w:ascii="Verdana" w:hAnsi="Verdana"/>
        </w:rPr>
        <w:t>, including in the development, implementation and monitoring of the budget:</w:t>
      </w:r>
    </w:p>
    <w:p w14:paraId="4C743F4F" w14:textId="77777777" w:rsidR="00670FC1" w:rsidRPr="00670FC1" w:rsidRDefault="00670FC1" w:rsidP="007E49F2">
      <w:pPr>
        <w:pStyle w:val="BasicParagraph"/>
        <w:suppressAutoHyphens/>
        <w:ind w:left="720"/>
        <w:rPr>
          <w:rFonts w:ascii="Verdana" w:hAnsi="Verdana"/>
        </w:rPr>
      </w:pPr>
    </w:p>
    <w:p w14:paraId="790A5AE7" w14:textId="77777777" w:rsidR="00670FC1" w:rsidRPr="00670FC1" w:rsidRDefault="00670FC1" w:rsidP="007E49F2">
      <w:pPr>
        <w:pStyle w:val="BasicParagraph"/>
        <w:numPr>
          <w:ilvl w:val="0"/>
          <w:numId w:val="31"/>
        </w:numPr>
        <w:suppressAutoHyphens/>
        <w:rPr>
          <w:rFonts w:ascii="Verdana" w:hAnsi="Verdana"/>
        </w:rPr>
      </w:pPr>
      <w:r w:rsidRPr="00670FC1">
        <w:rPr>
          <w:rFonts w:ascii="Verdana" w:hAnsi="Verdana"/>
        </w:rPr>
        <w:t>Participation</w:t>
      </w:r>
    </w:p>
    <w:p w14:paraId="1D4E542B" w14:textId="77777777" w:rsidR="00670FC1" w:rsidRPr="00670FC1" w:rsidRDefault="00670FC1" w:rsidP="007E49F2">
      <w:pPr>
        <w:pStyle w:val="BasicParagraph"/>
        <w:numPr>
          <w:ilvl w:val="0"/>
          <w:numId w:val="31"/>
        </w:numPr>
        <w:suppressAutoHyphens/>
        <w:rPr>
          <w:rFonts w:ascii="Verdana" w:hAnsi="Verdana"/>
        </w:rPr>
      </w:pPr>
      <w:r w:rsidRPr="00670FC1">
        <w:rPr>
          <w:rFonts w:ascii="Verdana" w:hAnsi="Verdana"/>
        </w:rPr>
        <w:t xml:space="preserve">Transparency </w:t>
      </w:r>
    </w:p>
    <w:p w14:paraId="48D3C830" w14:textId="1E631F6B" w:rsidR="00E217B6" w:rsidRDefault="00670FC1" w:rsidP="007E49F2">
      <w:pPr>
        <w:pStyle w:val="BasicParagraph"/>
        <w:numPr>
          <w:ilvl w:val="0"/>
          <w:numId w:val="31"/>
        </w:numPr>
        <w:suppressAutoHyphens/>
        <w:rPr>
          <w:rFonts w:ascii="Verdana" w:hAnsi="Verdana"/>
        </w:rPr>
      </w:pPr>
      <w:r w:rsidRPr="00670FC1">
        <w:rPr>
          <w:rFonts w:ascii="Verdana" w:hAnsi="Verdana"/>
        </w:rPr>
        <w:t xml:space="preserve">Accountability </w:t>
      </w:r>
    </w:p>
    <w:p w14:paraId="5503FE18" w14:textId="77777777" w:rsidR="006170C2" w:rsidRPr="007E49F2" w:rsidRDefault="006170C2" w:rsidP="004700D3">
      <w:pPr>
        <w:pStyle w:val="BasicParagraph"/>
        <w:suppressAutoHyphens/>
        <w:rPr>
          <w:rFonts w:ascii="Verdana" w:hAnsi="Verdana"/>
        </w:rPr>
      </w:pPr>
    </w:p>
    <w:p w14:paraId="102C534C" w14:textId="1DE43CC5" w:rsidR="00C85F24" w:rsidRPr="00FA463A" w:rsidRDefault="00EA5286" w:rsidP="003547B6">
      <w:pPr>
        <w:pStyle w:val="Heading1"/>
        <w:numPr>
          <w:ilvl w:val="0"/>
          <w:numId w:val="0"/>
        </w:numPr>
        <w:spacing w:before="0"/>
      </w:pPr>
      <w:bookmarkStart w:id="6" w:name="_Toc190785278"/>
      <w:r>
        <w:t>3.0</w:t>
      </w:r>
      <w:r>
        <w:tab/>
      </w:r>
      <w:r w:rsidR="001B48DF">
        <w:t>NI</w:t>
      </w:r>
      <w:r w:rsidR="009436F8">
        <w:t xml:space="preserve"> Budget</w:t>
      </w:r>
      <w:r w:rsidR="001B48DF">
        <w:t>ary Context</w:t>
      </w:r>
      <w:bookmarkEnd w:id="6"/>
      <w:r w:rsidR="001B48DF">
        <w:t xml:space="preserve"> </w:t>
      </w:r>
    </w:p>
    <w:p w14:paraId="319177E6" w14:textId="77777777" w:rsidR="00C04C7C" w:rsidRPr="00C85F24" w:rsidRDefault="00C04C7C" w:rsidP="00C04C7C">
      <w:pPr>
        <w:pStyle w:val="ListParagraph"/>
        <w:widowControl w:val="0"/>
        <w:numPr>
          <w:ilvl w:val="0"/>
          <w:numId w:val="19"/>
        </w:numPr>
        <w:suppressAutoHyphens/>
        <w:autoSpaceDE w:val="0"/>
        <w:autoSpaceDN w:val="0"/>
        <w:adjustRightInd w:val="0"/>
        <w:spacing w:line="288" w:lineRule="auto"/>
        <w:contextualSpacing w:val="0"/>
        <w:textAlignment w:val="center"/>
        <w:rPr>
          <w:rFonts w:ascii="Verdana" w:hAnsi="Verdana" w:cs="MinionPro-Regular"/>
          <w:vanish/>
          <w:color w:val="000000"/>
        </w:rPr>
      </w:pPr>
    </w:p>
    <w:p w14:paraId="3CF04563" w14:textId="77777777" w:rsidR="00BB0D1D" w:rsidRPr="00FA463A" w:rsidRDefault="00BB0D1D" w:rsidP="00FA463A">
      <w:pPr>
        <w:pStyle w:val="ListParagraph"/>
        <w:widowControl w:val="0"/>
        <w:suppressAutoHyphens/>
        <w:autoSpaceDE w:val="0"/>
        <w:autoSpaceDN w:val="0"/>
        <w:adjustRightInd w:val="0"/>
        <w:spacing w:line="288" w:lineRule="auto"/>
        <w:contextualSpacing w:val="0"/>
        <w:textAlignment w:val="center"/>
        <w:rPr>
          <w:rFonts w:ascii="Verdana" w:hAnsi="Verdana"/>
        </w:rPr>
      </w:pPr>
    </w:p>
    <w:p w14:paraId="491500EC" w14:textId="28971404" w:rsidR="002D6063" w:rsidRDefault="00380B01" w:rsidP="000E4E0A">
      <w:pPr>
        <w:pStyle w:val="BasicParagraph"/>
        <w:numPr>
          <w:ilvl w:val="1"/>
          <w:numId w:val="19"/>
        </w:numPr>
        <w:suppressAutoHyphens/>
        <w:rPr>
          <w:rFonts w:ascii="Verdana" w:hAnsi="Verdana"/>
        </w:rPr>
      </w:pPr>
      <w:r w:rsidRPr="003D4931">
        <w:rPr>
          <w:rFonts w:ascii="Verdana" w:hAnsi="Verdana"/>
        </w:rPr>
        <w:t xml:space="preserve">The </w:t>
      </w:r>
      <w:r w:rsidR="00412170">
        <w:rPr>
          <w:rFonts w:ascii="Verdana" w:hAnsi="Verdana"/>
        </w:rPr>
        <w:t xml:space="preserve">NI Executive </w:t>
      </w:r>
      <w:r w:rsidR="00296FCC">
        <w:rPr>
          <w:rFonts w:ascii="Verdana" w:hAnsi="Verdana"/>
        </w:rPr>
        <w:t>receives grants from the UK Government that fund most</w:t>
      </w:r>
      <w:r w:rsidR="00883F30">
        <w:rPr>
          <w:rFonts w:ascii="Verdana" w:hAnsi="Verdana"/>
        </w:rPr>
        <w:t xml:space="preserve"> of</w:t>
      </w:r>
      <w:r w:rsidR="00296FCC">
        <w:rPr>
          <w:rFonts w:ascii="Verdana" w:hAnsi="Verdana"/>
        </w:rPr>
        <w:t xml:space="preserve"> </w:t>
      </w:r>
      <w:r w:rsidR="00883F30">
        <w:rPr>
          <w:rFonts w:ascii="Verdana" w:hAnsi="Verdana"/>
        </w:rPr>
        <w:t xml:space="preserve">its </w:t>
      </w:r>
      <w:r w:rsidR="00296FCC">
        <w:rPr>
          <w:rFonts w:ascii="Verdana" w:hAnsi="Verdana"/>
        </w:rPr>
        <w:t xml:space="preserve">spending. </w:t>
      </w:r>
      <w:r w:rsidR="0093365F" w:rsidRPr="003D4931">
        <w:rPr>
          <w:rFonts w:ascii="Verdana" w:hAnsi="Verdana"/>
        </w:rPr>
        <w:t>The largest source</w:t>
      </w:r>
      <w:r w:rsidR="00215204">
        <w:rPr>
          <w:rFonts w:ascii="Verdana" w:hAnsi="Verdana"/>
        </w:rPr>
        <w:t xml:space="preserve"> of funding </w:t>
      </w:r>
      <w:r w:rsidR="00B90F1B" w:rsidRPr="003D4931">
        <w:rPr>
          <w:rFonts w:ascii="Verdana" w:hAnsi="Verdana"/>
        </w:rPr>
        <w:t xml:space="preserve">is </w:t>
      </w:r>
      <w:r w:rsidR="00B334F4">
        <w:rPr>
          <w:rFonts w:ascii="Verdana" w:hAnsi="Verdana"/>
        </w:rPr>
        <w:t>known</w:t>
      </w:r>
      <w:r w:rsidR="00BC31ED" w:rsidRPr="003D4931">
        <w:rPr>
          <w:rFonts w:ascii="Verdana" w:hAnsi="Verdana"/>
        </w:rPr>
        <w:t xml:space="preserve"> as </w:t>
      </w:r>
      <w:r w:rsidR="00E32587" w:rsidRPr="003D4931">
        <w:rPr>
          <w:rFonts w:ascii="Verdana" w:hAnsi="Verdana"/>
        </w:rPr>
        <w:t>the Block Grant</w:t>
      </w:r>
      <w:r w:rsidR="00215204">
        <w:rPr>
          <w:rFonts w:ascii="Verdana" w:hAnsi="Verdana"/>
        </w:rPr>
        <w:t>,</w:t>
      </w:r>
      <w:r w:rsidR="00AF49DF" w:rsidRPr="003D4931">
        <w:rPr>
          <w:rFonts w:ascii="Verdana" w:hAnsi="Verdana"/>
        </w:rPr>
        <w:t xml:space="preserve"> </w:t>
      </w:r>
      <w:r w:rsidR="00D94B2D">
        <w:rPr>
          <w:rFonts w:ascii="Verdana" w:hAnsi="Verdana"/>
        </w:rPr>
        <w:t>which</w:t>
      </w:r>
      <w:r w:rsidR="00717ABA">
        <w:rPr>
          <w:rFonts w:ascii="Verdana" w:hAnsi="Verdana"/>
        </w:rPr>
        <w:t xml:space="preserve"> </w:t>
      </w:r>
      <w:r w:rsidR="00FF411B">
        <w:rPr>
          <w:rFonts w:ascii="Verdana" w:hAnsi="Verdana"/>
        </w:rPr>
        <w:t xml:space="preserve">is </w:t>
      </w:r>
      <w:r w:rsidR="00B20E97">
        <w:rPr>
          <w:rFonts w:ascii="Verdana" w:hAnsi="Verdana"/>
        </w:rPr>
        <w:t xml:space="preserve">allocated </w:t>
      </w:r>
      <w:proofErr w:type="gramStart"/>
      <w:r w:rsidR="00B20E97">
        <w:rPr>
          <w:rFonts w:ascii="Verdana" w:hAnsi="Verdana"/>
        </w:rPr>
        <w:t>on the basis of</w:t>
      </w:r>
      <w:proofErr w:type="gramEnd"/>
      <w:r w:rsidR="00B20E97">
        <w:rPr>
          <w:rFonts w:ascii="Verdana" w:hAnsi="Verdana"/>
        </w:rPr>
        <w:t xml:space="preserve"> a calculation known as the Barnett Fo</w:t>
      </w:r>
      <w:r w:rsidR="00E222F5">
        <w:rPr>
          <w:rFonts w:ascii="Verdana" w:hAnsi="Verdana"/>
        </w:rPr>
        <w:t>rmula</w:t>
      </w:r>
      <w:r w:rsidR="00D94B2D">
        <w:rPr>
          <w:rFonts w:ascii="Verdana" w:hAnsi="Verdana"/>
        </w:rPr>
        <w:t>.</w:t>
      </w:r>
      <w:r w:rsidR="003D7205">
        <w:rPr>
          <w:rFonts w:ascii="Verdana" w:hAnsi="Verdana"/>
        </w:rPr>
        <w:t xml:space="preserve"> </w:t>
      </w:r>
      <w:r w:rsidR="00CF13C8">
        <w:rPr>
          <w:rFonts w:ascii="Verdana" w:hAnsi="Verdana"/>
        </w:rPr>
        <w:t>The Barnett Formula calculates the annual change in the block gran</w:t>
      </w:r>
      <w:r w:rsidR="00755187">
        <w:rPr>
          <w:rFonts w:ascii="Verdana" w:hAnsi="Verdana"/>
        </w:rPr>
        <w:t xml:space="preserve">t and </w:t>
      </w:r>
      <w:r w:rsidR="00F7383A">
        <w:rPr>
          <w:rFonts w:ascii="Verdana" w:hAnsi="Verdana"/>
        </w:rPr>
        <w:t xml:space="preserve">aims </w:t>
      </w:r>
      <w:r w:rsidR="00603B54" w:rsidRPr="003D4931">
        <w:rPr>
          <w:rFonts w:ascii="Verdana" w:hAnsi="Verdana"/>
        </w:rPr>
        <w:t>to give each nation the same pounds-per-person change in funding each year.</w:t>
      </w:r>
      <w:r w:rsidR="007E6E9F">
        <w:rPr>
          <w:rStyle w:val="FootnoteReference"/>
          <w:rFonts w:ascii="Verdana" w:hAnsi="Verdana"/>
        </w:rPr>
        <w:footnoteReference w:id="36"/>
      </w:r>
      <w:r w:rsidR="00603B54" w:rsidRPr="003D4931">
        <w:rPr>
          <w:rFonts w:ascii="Verdana" w:hAnsi="Verdana"/>
        </w:rPr>
        <w:t> </w:t>
      </w:r>
      <w:r w:rsidR="00F73334">
        <w:rPr>
          <w:rFonts w:ascii="Verdana" w:hAnsi="Verdana"/>
        </w:rPr>
        <w:t xml:space="preserve">A </w:t>
      </w:r>
      <w:r w:rsidR="00BE58AF">
        <w:rPr>
          <w:rFonts w:ascii="Verdana" w:hAnsi="Verdana"/>
        </w:rPr>
        <w:t xml:space="preserve">much smaller portion of NI’s </w:t>
      </w:r>
      <w:r w:rsidR="00E4479E">
        <w:rPr>
          <w:rFonts w:ascii="Verdana" w:hAnsi="Verdana"/>
        </w:rPr>
        <w:t>funding is obtained</w:t>
      </w:r>
      <w:r w:rsidR="00BE58AF">
        <w:rPr>
          <w:rFonts w:ascii="Verdana" w:hAnsi="Verdana"/>
        </w:rPr>
        <w:t xml:space="preserve"> through </w:t>
      </w:r>
      <w:r w:rsidR="008C6619">
        <w:rPr>
          <w:rFonts w:ascii="Verdana" w:hAnsi="Verdana"/>
        </w:rPr>
        <w:t xml:space="preserve">other UK government grants, </w:t>
      </w:r>
      <w:r w:rsidR="00093804" w:rsidRPr="00093804">
        <w:rPr>
          <w:rFonts w:ascii="Verdana" w:hAnsi="Verdana"/>
        </w:rPr>
        <w:t>domestic and non-domestic regional rates, the European Union and other charges for services.</w:t>
      </w:r>
      <w:r w:rsidR="00821A68">
        <w:rPr>
          <w:rStyle w:val="FootnoteReference"/>
          <w:rFonts w:ascii="Verdana" w:hAnsi="Verdana"/>
        </w:rPr>
        <w:footnoteReference w:id="37"/>
      </w:r>
      <w:r w:rsidR="00B26324">
        <w:rPr>
          <w:rFonts w:ascii="Verdana" w:hAnsi="Verdana"/>
        </w:rPr>
        <w:t xml:space="preserve"> </w:t>
      </w:r>
    </w:p>
    <w:p w14:paraId="6113CD71" w14:textId="77777777" w:rsidR="003D4931" w:rsidRPr="003D4931" w:rsidRDefault="003D4931" w:rsidP="003D4931">
      <w:pPr>
        <w:pStyle w:val="BasicParagraph"/>
        <w:suppressAutoHyphens/>
        <w:rPr>
          <w:rFonts w:ascii="Verdana" w:hAnsi="Verdana"/>
        </w:rPr>
      </w:pPr>
    </w:p>
    <w:p w14:paraId="08561CAC" w14:textId="6613D33A" w:rsidR="002D6063" w:rsidRPr="00DA345F" w:rsidRDefault="007361E6" w:rsidP="00DA345F">
      <w:pPr>
        <w:pStyle w:val="BasicParagraph"/>
        <w:numPr>
          <w:ilvl w:val="1"/>
          <w:numId w:val="19"/>
        </w:numPr>
        <w:suppressAutoHyphens/>
        <w:rPr>
          <w:rFonts w:ascii="Verdana" w:hAnsi="Verdana"/>
        </w:rPr>
      </w:pPr>
      <w:r>
        <w:rPr>
          <w:rFonts w:ascii="Verdana" w:hAnsi="Verdana"/>
        </w:rPr>
        <w:lastRenderedPageBreak/>
        <w:t>In NI, p</w:t>
      </w:r>
      <w:r w:rsidR="00872B21">
        <w:rPr>
          <w:rFonts w:ascii="Verdana" w:hAnsi="Verdana"/>
        </w:rPr>
        <w:t>ublic expenditure i</w:t>
      </w:r>
      <w:r w:rsidR="00791680">
        <w:rPr>
          <w:rFonts w:ascii="Verdana" w:hAnsi="Verdana"/>
        </w:rPr>
        <w:t xml:space="preserve">s split between </w:t>
      </w:r>
      <w:r w:rsidR="00E47CFE">
        <w:rPr>
          <w:rFonts w:ascii="Verdana" w:hAnsi="Verdana"/>
        </w:rPr>
        <w:t>Departmental Expenditure Limits (DEL)</w:t>
      </w:r>
      <w:r w:rsidR="002628C8">
        <w:rPr>
          <w:rFonts w:ascii="Verdana" w:hAnsi="Verdana"/>
        </w:rPr>
        <w:t>,</w:t>
      </w:r>
      <w:r w:rsidR="00CC166F">
        <w:rPr>
          <w:rFonts w:ascii="Verdana" w:hAnsi="Verdana"/>
        </w:rPr>
        <w:t xml:space="preserve"> </w:t>
      </w:r>
      <w:r w:rsidR="002628C8">
        <w:rPr>
          <w:rFonts w:ascii="Verdana" w:hAnsi="Verdana"/>
        </w:rPr>
        <w:t xml:space="preserve">set annually by </w:t>
      </w:r>
      <w:r w:rsidR="005F413C">
        <w:rPr>
          <w:rFonts w:ascii="Verdana" w:hAnsi="Verdana"/>
        </w:rPr>
        <w:t xml:space="preserve">HM </w:t>
      </w:r>
      <w:r w:rsidR="002628C8">
        <w:rPr>
          <w:rFonts w:ascii="Verdana" w:hAnsi="Verdana"/>
        </w:rPr>
        <w:t xml:space="preserve">Treasury, </w:t>
      </w:r>
      <w:r w:rsidR="00E47CFE">
        <w:rPr>
          <w:rFonts w:ascii="Verdana" w:hAnsi="Verdana"/>
        </w:rPr>
        <w:t>and Annually Managed Expenditure</w:t>
      </w:r>
      <w:r w:rsidR="00AA0299">
        <w:rPr>
          <w:rFonts w:ascii="Verdana" w:hAnsi="Verdana"/>
        </w:rPr>
        <w:t xml:space="preserve"> (AME),</w:t>
      </w:r>
      <w:r w:rsidR="00CC166F" w:rsidRPr="00DA345F">
        <w:rPr>
          <w:rFonts w:ascii="Verdana" w:hAnsi="Verdana"/>
        </w:rPr>
        <w:t xml:space="preserve"> </w:t>
      </w:r>
      <w:r w:rsidR="00CB3BC7" w:rsidRPr="00DA345F">
        <w:rPr>
          <w:rFonts w:ascii="Verdana" w:hAnsi="Verdana"/>
        </w:rPr>
        <w:t>prima</w:t>
      </w:r>
      <w:r w:rsidR="0018357A" w:rsidRPr="00DA345F">
        <w:rPr>
          <w:rFonts w:ascii="Verdana" w:hAnsi="Verdana"/>
        </w:rPr>
        <w:t xml:space="preserve">rily </w:t>
      </w:r>
      <w:r w:rsidR="00E93ACA" w:rsidRPr="00DA345F">
        <w:rPr>
          <w:rFonts w:ascii="Verdana" w:hAnsi="Verdana"/>
        </w:rPr>
        <w:t>cover</w:t>
      </w:r>
      <w:r w:rsidR="00DA345F">
        <w:rPr>
          <w:rFonts w:ascii="Verdana" w:hAnsi="Verdana"/>
        </w:rPr>
        <w:t>ing</w:t>
      </w:r>
      <w:r w:rsidR="00E93ACA" w:rsidRPr="00DA345F">
        <w:rPr>
          <w:rFonts w:ascii="Verdana" w:hAnsi="Verdana"/>
        </w:rPr>
        <w:t xml:space="preserve"> </w:t>
      </w:r>
      <w:r w:rsidR="0049496F">
        <w:rPr>
          <w:rFonts w:ascii="Verdana" w:hAnsi="Verdana"/>
        </w:rPr>
        <w:t>expenditure</w:t>
      </w:r>
      <w:r w:rsidR="002D4380">
        <w:rPr>
          <w:rFonts w:ascii="Verdana" w:hAnsi="Verdana"/>
        </w:rPr>
        <w:t xml:space="preserve"> that can be difficult to forecast over a number of years</w:t>
      </w:r>
      <w:r w:rsidR="0049496F">
        <w:rPr>
          <w:rFonts w:ascii="Verdana" w:hAnsi="Verdana"/>
        </w:rPr>
        <w:t xml:space="preserve">, for example </w:t>
      </w:r>
      <w:r w:rsidR="00E93ACA" w:rsidRPr="00DA345F">
        <w:rPr>
          <w:rFonts w:ascii="Verdana" w:hAnsi="Verdana"/>
        </w:rPr>
        <w:t xml:space="preserve">spending on </w:t>
      </w:r>
      <w:r w:rsidR="000C45DE" w:rsidRPr="00DA345F">
        <w:rPr>
          <w:rFonts w:ascii="Verdana" w:hAnsi="Verdana"/>
        </w:rPr>
        <w:t>pensions and social security.</w:t>
      </w:r>
      <w:r w:rsidR="000C1AE0">
        <w:rPr>
          <w:rStyle w:val="FootnoteReference"/>
          <w:rFonts w:ascii="Verdana" w:hAnsi="Verdana"/>
        </w:rPr>
        <w:footnoteReference w:id="38"/>
      </w:r>
      <w:r w:rsidR="000C45DE" w:rsidRPr="00DA345F">
        <w:rPr>
          <w:rFonts w:ascii="Verdana" w:hAnsi="Verdana"/>
        </w:rPr>
        <w:t xml:space="preserve"> </w:t>
      </w:r>
      <w:r w:rsidR="00B834F9" w:rsidRPr="00DA345F">
        <w:rPr>
          <w:rFonts w:ascii="Verdana" w:hAnsi="Verdana"/>
        </w:rPr>
        <w:t xml:space="preserve">AME spending is fully financed by the UK Government outside of the </w:t>
      </w:r>
      <w:r w:rsidR="000C4443" w:rsidRPr="00DA345F">
        <w:rPr>
          <w:rFonts w:ascii="Verdana" w:hAnsi="Verdana"/>
        </w:rPr>
        <w:t xml:space="preserve">DEL envelope, except where the NI Executive </w:t>
      </w:r>
      <w:r w:rsidR="004A0C72" w:rsidRPr="00DA345F">
        <w:rPr>
          <w:rFonts w:ascii="Verdana" w:hAnsi="Verdana"/>
        </w:rPr>
        <w:t>enhances an AME program</w:t>
      </w:r>
      <w:r w:rsidR="001A6A5B" w:rsidRPr="00DA345F">
        <w:rPr>
          <w:rFonts w:ascii="Verdana" w:hAnsi="Verdana"/>
        </w:rPr>
        <w:t>me</w:t>
      </w:r>
      <w:r w:rsidR="004A0C72" w:rsidRPr="00DA345F">
        <w:rPr>
          <w:rFonts w:ascii="Verdana" w:hAnsi="Verdana"/>
        </w:rPr>
        <w:t xml:space="preserve"> beyond the level provided in the rest of the UK, any resulting</w:t>
      </w:r>
      <w:r w:rsidR="008865DE" w:rsidRPr="00DA345F">
        <w:rPr>
          <w:rFonts w:ascii="Verdana" w:hAnsi="Verdana"/>
        </w:rPr>
        <w:t xml:space="preserve"> </w:t>
      </w:r>
      <w:r w:rsidR="004A0C72" w:rsidRPr="00DA345F">
        <w:rPr>
          <w:rFonts w:ascii="Verdana" w:hAnsi="Verdana"/>
        </w:rPr>
        <w:t xml:space="preserve">costs must </w:t>
      </w:r>
      <w:r w:rsidR="00C52804" w:rsidRPr="00DA345F">
        <w:rPr>
          <w:rFonts w:ascii="Verdana" w:hAnsi="Verdana"/>
        </w:rPr>
        <w:t>t</w:t>
      </w:r>
      <w:r w:rsidR="00647C14">
        <w:rPr>
          <w:rFonts w:ascii="Verdana" w:hAnsi="Verdana"/>
        </w:rPr>
        <w:t xml:space="preserve">hen </w:t>
      </w:r>
      <w:r w:rsidR="004A0C72" w:rsidRPr="00DA345F">
        <w:rPr>
          <w:rFonts w:ascii="Verdana" w:hAnsi="Verdana"/>
        </w:rPr>
        <w:t>be funded from the DEL budget.</w:t>
      </w:r>
      <w:r w:rsidR="00D8276B">
        <w:rPr>
          <w:rStyle w:val="FootnoteReference"/>
          <w:rFonts w:ascii="Verdana" w:hAnsi="Verdana"/>
        </w:rPr>
        <w:footnoteReference w:id="39"/>
      </w:r>
      <w:r w:rsidR="009F2CE7" w:rsidRPr="00DA345F">
        <w:rPr>
          <w:rFonts w:ascii="Verdana" w:hAnsi="Verdana"/>
        </w:rPr>
        <w:t xml:space="preserve"> </w:t>
      </w:r>
      <w:r w:rsidR="00A525C3">
        <w:rPr>
          <w:rFonts w:ascii="Verdana" w:hAnsi="Verdana"/>
        </w:rPr>
        <w:t xml:space="preserve">For the purposes of </w:t>
      </w:r>
      <w:r w:rsidR="00D75C15" w:rsidRPr="00DA345F">
        <w:rPr>
          <w:rFonts w:ascii="Verdana" w:hAnsi="Verdana"/>
        </w:rPr>
        <w:t xml:space="preserve">this </w:t>
      </w:r>
      <w:r w:rsidR="00A525C3">
        <w:rPr>
          <w:rFonts w:ascii="Verdana" w:hAnsi="Verdana"/>
        </w:rPr>
        <w:t>briefing</w:t>
      </w:r>
      <w:r w:rsidR="00D75C15" w:rsidRPr="00DA345F">
        <w:rPr>
          <w:rFonts w:ascii="Verdana" w:hAnsi="Verdana"/>
        </w:rPr>
        <w:t xml:space="preserve">, the use of the term ‘NI Budget’ refers to the financing and spending of </w:t>
      </w:r>
      <w:r w:rsidR="00121108" w:rsidRPr="00DA345F">
        <w:rPr>
          <w:rFonts w:ascii="Verdana" w:hAnsi="Verdana"/>
        </w:rPr>
        <w:t>the NI Executive covered by the DEL. It</w:t>
      </w:r>
      <w:r w:rsidR="00923BA8" w:rsidRPr="00DA345F">
        <w:rPr>
          <w:rFonts w:ascii="Verdana" w:hAnsi="Verdana"/>
        </w:rPr>
        <w:t xml:space="preserve"> has three main components: </w:t>
      </w:r>
    </w:p>
    <w:p w14:paraId="6A969480" w14:textId="77777777" w:rsidR="002D6063" w:rsidRDefault="002D6063" w:rsidP="002D6063">
      <w:pPr>
        <w:pStyle w:val="ListParagraph"/>
        <w:rPr>
          <w:rFonts w:ascii="Verdana" w:hAnsi="Verdana"/>
        </w:rPr>
      </w:pPr>
    </w:p>
    <w:p w14:paraId="7EF3D39C" w14:textId="363678C7" w:rsidR="00160E74" w:rsidRDefault="002D6063" w:rsidP="00160E74">
      <w:pPr>
        <w:pStyle w:val="BasicParagraph"/>
        <w:numPr>
          <w:ilvl w:val="0"/>
          <w:numId w:val="25"/>
        </w:numPr>
        <w:suppressAutoHyphens/>
        <w:rPr>
          <w:rFonts w:ascii="Verdana" w:hAnsi="Verdana"/>
        </w:rPr>
      </w:pPr>
      <w:r>
        <w:rPr>
          <w:rFonts w:ascii="Verdana" w:hAnsi="Verdana"/>
        </w:rPr>
        <w:t>R</w:t>
      </w:r>
      <w:r w:rsidRPr="002D6063">
        <w:rPr>
          <w:rFonts w:ascii="Verdana" w:hAnsi="Verdana"/>
        </w:rPr>
        <w:t xml:space="preserve">esource </w:t>
      </w:r>
      <w:r w:rsidR="002B0BA4">
        <w:rPr>
          <w:rFonts w:ascii="Verdana" w:hAnsi="Verdana"/>
        </w:rPr>
        <w:t xml:space="preserve">Departmental Expenditure </w:t>
      </w:r>
      <w:r w:rsidR="0001397A">
        <w:rPr>
          <w:rFonts w:ascii="Verdana" w:hAnsi="Verdana"/>
        </w:rPr>
        <w:t xml:space="preserve">Limit </w:t>
      </w:r>
      <w:r w:rsidR="00D770C7">
        <w:rPr>
          <w:rFonts w:ascii="Verdana" w:hAnsi="Verdana"/>
        </w:rPr>
        <w:t xml:space="preserve">(Resource DEL): </w:t>
      </w:r>
      <w:r w:rsidR="00BD0063">
        <w:rPr>
          <w:rFonts w:ascii="Verdana" w:hAnsi="Verdana"/>
        </w:rPr>
        <w:t>day-to-day spending on</w:t>
      </w:r>
      <w:r w:rsidRPr="002D6063">
        <w:rPr>
          <w:rFonts w:ascii="Verdana" w:hAnsi="Verdana"/>
        </w:rPr>
        <w:t xml:space="preserve"> public services and administration</w:t>
      </w:r>
      <w:r w:rsidR="00BD0063">
        <w:rPr>
          <w:rFonts w:ascii="Verdana" w:hAnsi="Verdana"/>
        </w:rPr>
        <w:t xml:space="preserve"> (wages, utility bills</w:t>
      </w:r>
      <w:r w:rsidR="00E0377B">
        <w:rPr>
          <w:rFonts w:ascii="Verdana" w:hAnsi="Verdana"/>
        </w:rPr>
        <w:t xml:space="preserve"> etc</w:t>
      </w:r>
      <w:proofErr w:type="gramStart"/>
      <w:r w:rsidR="00E0377B">
        <w:rPr>
          <w:rFonts w:ascii="Verdana" w:hAnsi="Verdana"/>
        </w:rPr>
        <w:t>)</w:t>
      </w:r>
      <w:r w:rsidRPr="002D6063">
        <w:rPr>
          <w:rFonts w:ascii="Verdana" w:hAnsi="Verdana"/>
        </w:rPr>
        <w:t>;</w:t>
      </w:r>
      <w:proofErr w:type="gramEnd"/>
      <w:r w:rsidRPr="002D6063">
        <w:rPr>
          <w:rFonts w:ascii="Verdana" w:hAnsi="Verdana"/>
        </w:rPr>
        <w:t xml:space="preserve"> </w:t>
      </w:r>
    </w:p>
    <w:p w14:paraId="783C4C62" w14:textId="1DE124C0" w:rsidR="00160E74" w:rsidRDefault="00D770C7" w:rsidP="00160E74">
      <w:pPr>
        <w:pStyle w:val="BasicParagraph"/>
        <w:numPr>
          <w:ilvl w:val="0"/>
          <w:numId w:val="25"/>
        </w:numPr>
        <w:suppressAutoHyphens/>
        <w:rPr>
          <w:rFonts w:ascii="Verdana" w:hAnsi="Verdana"/>
        </w:rPr>
      </w:pPr>
      <w:r w:rsidRPr="00D770C7">
        <w:rPr>
          <w:rFonts w:ascii="Verdana" w:hAnsi="Verdana"/>
        </w:rPr>
        <w:t>Capital Departmental Expenditure Limit (Capital DEL)</w:t>
      </w:r>
      <w:r>
        <w:rPr>
          <w:rFonts w:ascii="Verdana" w:hAnsi="Verdana"/>
        </w:rPr>
        <w:t>:</w:t>
      </w:r>
      <w:r w:rsidR="00D81758">
        <w:rPr>
          <w:rFonts w:ascii="Verdana" w:hAnsi="Verdana"/>
        </w:rPr>
        <w:t xml:space="preserve"> investment into assets (</w:t>
      </w:r>
      <w:r w:rsidR="002D6063" w:rsidRPr="002D6063">
        <w:rPr>
          <w:rFonts w:ascii="Verdana" w:hAnsi="Verdana"/>
        </w:rPr>
        <w:t>infrastructure, buildings</w:t>
      </w:r>
      <w:r w:rsidR="00D81758">
        <w:rPr>
          <w:rFonts w:ascii="Verdana" w:hAnsi="Verdana"/>
        </w:rPr>
        <w:t xml:space="preserve"> etc</w:t>
      </w:r>
      <w:proofErr w:type="gramStart"/>
      <w:r w:rsidR="00D81758">
        <w:rPr>
          <w:rFonts w:ascii="Verdana" w:hAnsi="Verdana"/>
        </w:rPr>
        <w:t>)</w:t>
      </w:r>
      <w:r w:rsidR="00E0377B">
        <w:rPr>
          <w:rFonts w:ascii="Verdana" w:hAnsi="Verdana"/>
        </w:rPr>
        <w:t>;</w:t>
      </w:r>
      <w:proofErr w:type="gramEnd"/>
      <w:r w:rsidR="002D6063" w:rsidRPr="002D6063">
        <w:rPr>
          <w:rFonts w:ascii="Verdana" w:hAnsi="Verdana"/>
        </w:rPr>
        <w:t xml:space="preserve"> </w:t>
      </w:r>
    </w:p>
    <w:p w14:paraId="448A9B16" w14:textId="1D87D959" w:rsidR="001E5F21" w:rsidRDefault="007356BD" w:rsidP="00160E74">
      <w:pPr>
        <w:pStyle w:val="BasicParagraph"/>
        <w:numPr>
          <w:ilvl w:val="0"/>
          <w:numId w:val="25"/>
        </w:numPr>
        <w:suppressAutoHyphens/>
        <w:rPr>
          <w:rFonts w:ascii="Verdana" w:hAnsi="Verdana"/>
        </w:rPr>
      </w:pPr>
      <w:r w:rsidRPr="007356BD">
        <w:rPr>
          <w:rFonts w:ascii="Verdana" w:hAnsi="Verdana"/>
        </w:rPr>
        <w:t>Financial Transactions Capital</w:t>
      </w:r>
      <w:r w:rsidR="007F2C01">
        <w:rPr>
          <w:rFonts w:ascii="Verdana" w:hAnsi="Verdana"/>
        </w:rPr>
        <w:t xml:space="preserve">: </w:t>
      </w:r>
      <w:r w:rsidR="002D6063" w:rsidRPr="002D6063">
        <w:rPr>
          <w:rFonts w:ascii="Verdana" w:hAnsi="Verdana"/>
        </w:rPr>
        <w:t>involves equity injections into or loans to private sector entities, including universities.</w:t>
      </w:r>
    </w:p>
    <w:p w14:paraId="552F3C16" w14:textId="77777777" w:rsidR="00553C6C" w:rsidRPr="0098681A" w:rsidRDefault="00553C6C" w:rsidP="00553C6C">
      <w:pPr>
        <w:pStyle w:val="BasicParagraph"/>
        <w:suppressAutoHyphens/>
        <w:ind w:left="720"/>
        <w:rPr>
          <w:rFonts w:ascii="Verdana" w:hAnsi="Verdana"/>
        </w:rPr>
      </w:pPr>
    </w:p>
    <w:p w14:paraId="08B8573A" w14:textId="5D165940" w:rsidR="004723EB" w:rsidRDefault="00950EA6" w:rsidP="003D3278">
      <w:pPr>
        <w:pStyle w:val="BasicParagraph"/>
        <w:numPr>
          <w:ilvl w:val="1"/>
          <w:numId w:val="19"/>
        </w:numPr>
        <w:suppressAutoHyphens/>
        <w:rPr>
          <w:rFonts w:ascii="Verdana" w:hAnsi="Verdana"/>
        </w:rPr>
      </w:pPr>
      <w:r w:rsidRPr="00950EA6">
        <w:rPr>
          <w:rFonts w:ascii="Verdana" w:hAnsi="Verdana"/>
        </w:rPr>
        <w:t xml:space="preserve">After HM Treasury </w:t>
      </w:r>
      <w:r>
        <w:rPr>
          <w:rFonts w:ascii="Verdana" w:hAnsi="Verdana"/>
        </w:rPr>
        <w:t>sets a</w:t>
      </w:r>
      <w:r w:rsidRPr="00950EA6">
        <w:rPr>
          <w:rFonts w:ascii="Verdana" w:hAnsi="Verdana"/>
        </w:rPr>
        <w:t xml:space="preserve"> DEL budget for </w:t>
      </w:r>
      <w:r>
        <w:rPr>
          <w:rFonts w:ascii="Verdana" w:hAnsi="Verdana"/>
        </w:rPr>
        <w:t>NI</w:t>
      </w:r>
      <w:r w:rsidRPr="00950EA6">
        <w:rPr>
          <w:rFonts w:ascii="Verdana" w:hAnsi="Verdana"/>
        </w:rPr>
        <w:t>, it becomes the responsibility of the</w:t>
      </w:r>
      <w:r>
        <w:rPr>
          <w:rFonts w:ascii="Verdana" w:hAnsi="Verdana"/>
        </w:rPr>
        <w:t xml:space="preserve"> NI</w:t>
      </w:r>
      <w:r w:rsidRPr="00950EA6">
        <w:rPr>
          <w:rFonts w:ascii="Verdana" w:hAnsi="Verdana"/>
        </w:rPr>
        <w:t xml:space="preserve"> Executive to </w:t>
      </w:r>
      <w:r>
        <w:rPr>
          <w:rFonts w:ascii="Verdana" w:hAnsi="Verdana"/>
        </w:rPr>
        <w:t>determine</w:t>
      </w:r>
      <w:r w:rsidRPr="00950EA6">
        <w:rPr>
          <w:rFonts w:ascii="Verdana" w:hAnsi="Verdana"/>
        </w:rPr>
        <w:t xml:space="preserve"> how these funds should be distributed among NI </w:t>
      </w:r>
      <w:r w:rsidR="00D417CE">
        <w:rPr>
          <w:rFonts w:ascii="Verdana" w:hAnsi="Verdana"/>
        </w:rPr>
        <w:t xml:space="preserve">Executive </w:t>
      </w:r>
      <w:r w:rsidR="00466671">
        <w:rPr>
          <w:rFonts w:ascii="Verdana" w:hAnsi="Verdana"/>
        </w:rPr>
        <w:t>D</w:t>
      </w:r>
      <w:r w:rsidRPr="00950EA6">
        <w:rPr>
          <w:rFonts w:ascii="Verdana" w:hAnsi="Verdana"/>
        </w:rPr>
        <w:t>epartments. This is achieved by preparing budget documents that detail the Executive’s spending plans, which may cover a single year or multiple years.</w:t>
      </w:r>
      <w:r w:rsidR="00CA4FBE">
        <w:rPr>
          <w:rFonts w:ascii="Verdana" w:hAnsi="Verdana"/>
        </w:rPr>
        <w:t xml:space="preserve"> </w:t>
      </w:r>
      <w:r w:rsidR="00C5009C">
        <w:rPr>
          <w:rFonts w:ascii="Verdana" w:hAnsi="Verdana"/>
        </w:rPr>
        <w:t>T</w:t>
      </w:r>
      <w:r w:rsidR="00C5009C" w:rsidRPr="00C5009C">
        <w:rPr>
          <w:rFonts w:ascii="Verdana" w:hAnsi="Verdana"/>
        </w:rPr>
        <w:t xml:space="preserve">he Department of Finance has responsibility for </w:t>
      </w:r>
      <w:r w:rsidR="00C5009C">
        <w:rPr>
          <w:rFonts w:ascii="Verdana" w:hAnsi="Verdana"/>
        </w:rPr>
        <w:t>formulating and</w:t>
      </w:r>
      <w:r w:rsidR="00C5009C" w:rsidRPr="00C5009C">
        <w:rPr>
          <w:rFonts w:ascii="Verdana" w:hAnsi="Verdana"/>
        </w:rPr>
        <w:t xml:space="preserve"> publishing the NI </w:t>
      </w:r>
      <w:r w:rsidR="005F363A">
        <w:rPr>
          <w:rFonts w:ascii="Verdana" w:hAnsi="Verdana"/>
        </w:rPr>
        <w:t>Budget</w:t>
      </w:r>
      <w:r w:rsidR="00C5009C" w:rsidRPr="00C5009C">
        <w:rPr>
          <w:rFonts w:ascii="Verdana" w:hAnsi="Verdana"/>
        </w:rPr>
        <w:t>.</w:t>
      </w:r>
      <w:r w:rsidR="00407FB3">
        <w:rPr>
          <w:rStyle w:val="FootnoteReference"/>
          <w:rFonts w:ascii="Verdana" w:hAnsi="Verdana"/>
        </w:rPr>
        <w:footnoteReference w:id="40"/>
      </w:r>
      <w:r w:rsidR="005F363A">
        <w:rPr>
          <w:rFonts w:ascii="Verdana" w:hAnsi="Verdana"/>
        </w:rPr>
        <w:t xml:space="preserve"> </w:t>
      </w:r>
      <w:r w:rsidR="00BE6630">
        <w:rPr>
          <w:rFonts w:ascii="Verdana" w:hAnsi="Verdana"/>
        </w:rPr>
        <w:t>T</w:t>
      </w:r>
      <w:r w:rsidR="00B42E21">
        <w:rPr>
          <w:rFonts w:ascii="Verdana" w:hAnsi="Verdana"/>
        </w:rPr>
        <w:t xml:space="preserve">he process </w:t>
      </w:r>
      <w:r w:rsidR="006F41A4">
        <w:rPr>
          <w:rFonts w:ascii="Verdana" w:hAnsi="Verdana"/>
        </w:rPr>
        <w:t xml:space="preserve">typically </w:t>
      </w:r>
      <w:r w:rsidR="004723EB">
        <w:rPr>
          <w:rFonts w:ascii="Verdana" w:hAnsi="Verdana"/>
        </w:rPr>
        <w:t xml:space="preserve">reflects the following stages: </w:t>
      </w:r>
      <w:r w:rsidR="00E35A97">
        <w:rPr>
          <w:rFonts w:ascii="Verdana" w:hAnsi="Verdana"/>
        </w:rPr>
        <w:t xml:space="preserve"> </w:t>
      </w:r>
    </w:p>
    <w:p w14:paraId="772F811E" w14:textId="77777777" w:rsidR="004723EB" w:rsidRDefault="004723EB" w:rsidP="004723EB">
      <w:pPr>
        <w:pStyle w:val="BasicParagraph"/>
        <w:suppressAutoHyphens/>
        <w:ind w:left="720"/>
        <w:rPr>
          <w:rFonts w:ascii="Verdana" w:hAnsi="Verdana"/>
        </w:rPr>
      </w:pPr>
    </w:p>
    <w:p w14:paraId="6C7EFDD5" w14:textId="381E74DC" w:rsidR="004723EB" w:rsidRPr="006B4915" w:rsidRDefault="003E1076" w:rsidP="003E1076">
      <w:pPr>
        <w:pStyle w:val="BasicParagraph"/>
        <w:numPr>
          <w:ilvl w:val="0"/>
          <w:numId w:val="26"/>
        </w:numPr>
        <w:suppressAutoHyphens/>
        <w:rPr>
          <w:rFonts w:ascii="Verdana" w:hAnsi="Verdana"/>
          <w:b/>
          <w:bCs/>
        </w:rPr>
      </w:pPr>
      <w:r w:rsidRPr="006B4915">
        <w:rPr>
          <w:rFonts w:ascii="Verdana" w:hAnsi="Verdana"/>
          <w:b/>
          <w:bCs/>
        </w:rPr>
        <w:t xml:space="preserve">Confirmation of </w:t>
      </w:r>
      <w:r w:rsidR="00733499" w:rsidRPr="006B4915">
        <w:rPr>
          <w:rFonts w:ascii="Verdana" w:hAnsi="Verdana"/>
          <w:b/>
          <w:bCs/>
        </w:rPr>
        <w:t xml:space="preserve">HM </w:t>
      </w:r>
      <w:r w:rsidRPr="006B4915">
        <w:rPr>
          <w:rFonts w:ascii="Verdana" w:hAnsi="Verdana"/>
          <w:b/>
          <w:bCs/>
        </w:rPr>
        <w:t xml:space="preserve">Treasury </w:t>
      </w:r>
      <w:r w:rsidR="007C6A36">
        <w:rPr>
          <w:rFonts w:ascii="Verdana" w:hAnsi="Verdana"/>
          <w:b/>
          <w:bCs/>
        </w:rPr>
        <w:t>f</w:t>
      </w:r>
      <w:r w:rsidRPr="006B4915">
        <w:rPr>
          <w:rFonts w:ascii="Verdana" w:hAnsi="Verdana"/>
          <w:b/>
          <w:bCs/>
        </w:rPr>
        <w:t>unding</w:t>
      </w:r>
    </w:p>
    <w:p w14:paraId="39192E18" w14:textId="6C105A6A" w:rsidR="00156AA0" w:rsidRDefault="00815D72" w:rsidP="0083631B">
      <w:pPr>
        <w:pStyle w:val="BasicParagraph"/>
        <w:numPr>
          <w:ilvl w:val="0"/>
          <w:numId w:val="26"/>
        </w:numPr>
        <w:suppressAutoHyphens/>
        <w:rPr>
          <w:rFonts w:ascii="Verdana" w:hAnsi="Verdana"/>
        </w:rPr>
      </w:pPr>
      <w:r w:rsidRPr="00156AA0">
        <w:rPr>
          <w:rFonts w:ascii="Verdana" w:hAnsi="Verdana"/>
          <w:b/>
          <w:bCs/>
        </w:rPr>
        <w:t>Departmental Bidding Exercise</w:t>
      </w:r>
      <w:r w:rsidRPr="00156AA0">
        <w:rPr>
          <w:rFonts w:ascii="Verdana" w:hAnsi="Verdana"/>
        </w:rPr>
        <w:t xml:space="preserve">: </w:t>
      </w:r>
      <w:r w:rsidR="00D807F4" w:rsidRPr="00156AA0">
        <w:rPr>
          <w:rFonts w:ascii="Verdana" w:hAnsi="Verdana"/>
        </w:rPr>
        <w:t xml:space="preserve">Departments </w:t>
      </w:r>
      <w:r w:rsidR="00156AA0" w:rsidRPr="00156AA0">
        <w:rPr>
          <w:rFonts w:ascii="Verdana" w:hAnsi="Verdana"/>
        </w:rPr>
        <w:t xml:space="preserve">submit spending proposals to </w:t>
      </w:r>
      <w:r w:rsidR="00095451">
        <w:rPr>
          <w:rFonts w:ascii="Verdana" w:hAnsi="Verdana"/>
        </w:rPr>
        <w:t>Finance Minister</w:t>
      </w:r>
    </w:p>
    <w:p w14:paraId="250E5807" w14:textId="0887135F" w:rsidR="00CE492B" w:rsidRPr="00156AA0" w:rsidRDefault="00CE492B" w:rsidP="0083631B">
      <w:pPr>
        <w:pStyle w:val="BasicParagraph"/>
        <w:numPr>
          <w:ilvl w:val="0"/>
          <w:numId w:val="26"/>
        </w:numPr>
        <w:suppressAutoHyphens/>
        <w:rPr>
          <w:rFonts w:ascii="Verdana" w:hAnsi="Verdana"/>
        </w:rPr>
      </w:pPr>
      <w:r w:rsidRPr="00156AA0">
        <w:rPr>
          <w:rFonts w:ascii="Verdana" w:hAnsi="Verdana"/>
          <w:b/>
          <w:bCs/>
        </w:rPr>
        <w:t>NI Executive agree Draft Budget</w:t>
      </w:r>
      <w:r w:rsidRPr="00156AA0">
        <w:rPr>
          <w:rFonts w:ascii="Verdana" w:hAnsi="Verdana"/>
        </w:rPr>
        <w:t>:</w:t>
      </w:r>
      <w:r w:rsidR="00FB1A01" w:rsidRPr="00156AA0">
        <w:rPr>
          <w:rFonts w:ascii="Verdana" w:hAnsi="Verdana"/>
        </w:rPr>
        <w:t xml:space="preserve"> Finance Minister develops </w:t>
      </w:r>
      <w:r w:rsidR="0053732A" w:rsidRPr="00156AA0">
        <w:rPr>
          <w:rFonts w:ascii="Verdana" w:hAnsi="Verdana"/>
        </w:rPr>
        <w:t>draft budget</w:t>
      </w:r>
      <w:r w:rsidR="005F363A">
        <w:rPr>
          <w:rFonts w:ascii="Verdana" w:hAnsi="Verdana"/>
        </w:rPr>
        <w:t xml:space="preserve">, </w:t>
      </w:r>
      <w:r w:rsidR="00BF343A">
        <w:rPr>
          <w:rFonts w:ascii="Verdana" w:hAnsi="Verdana"/>
        </w:rPr>
        <w:t xml:space="preserve">setting out </w:t>
      </w:r>
      <w:r w:rsidR="0053732A" w:rsidRPr="00156AA0">
        <w:rPr>
          <w:rFonts w:ascii="Verdana" w:hAnsi="Verdana"/>
        </w:rPr>
        <w:t>proposed allocations within overall funding envelope</w:t>
      </w:r>
    </w:p>
    <w:p w14:paraId="1BFF1345" w14:textId="5D798BBC" w:rsidR="009854C6" w:rsidRDefault="00CE492B" w:rsidP="00671A8A">
      <w:pPr>
        <w:pStyle w:val="BasicParagraph"/>
        <w:numPr>
          <w:ilvl w:val="0"/>
          <w:numId w:val="26"/>
        </w:numPr>
        <w:suppressAutoHyphens/>
        <w:rPr>
          <w:rFonts w:ascii="Verdana" w:hAnsi="Verdana"/>
        </w:rPr>
      </w:pPr>
      <w:r w:rsidRPr="006B4915">
        <w:rPr>
          <w:rFonts w:ascii="Verdana" w:hAnsi="Verdana"/>
          <w:b/>
          <w:bCs/>
        </w:rPr>
        <w:t>Public consultation:</w:t>
      </w:r>
      <w:r w:rsidRPr="009854C6">
        <w:rPr>
          <w:rFonts w:ascii="Verdana" w:hAnsi="Verdana"/>
        </w:rPr>
        <w:t xml:space="preserve"> </w:t>
      </w:r>
      <w:r w:rsidR="001448B4" w:rsidRPr="009854C6">
        <w:rPr>
          <w:rFonts w:ascii="Verdana" w:hAnsi="Verdana"/>
        </w:rPr>
        <w:t xml:space="preserve">DoF launch </w:t>
      </w:r>
      <w:r w:rsidR="0094112D">
        <w:rPr>
          <w:rFonts w:ascii="Verdana" w:hAnsi="Verdana"/>
        </w:rPr>
        <w:t xml:space="preserve">an overarching </w:t>
      </w:r>
      <w:proofErr w:type="gramStart"/>
      <w:r w:rsidR="00665169" w:rsidRPr="009854C6">
        <w:rPr>
          <w:rFonts w:ascii="Verdana" w:hAnsi="Verdana"/>
        </w:rPr>
        <w:t>12</w:t>
      </w:r>
      <w:r w:rsidR="002B771B" w:rsidRPr="009854C6">
        <w:rPr>
          <w:rFonts w:ascii="Verdana" w:hAnsi="Verdana"/>
        </w:rPr>
        <w:t xml:space="preserve"> week</w:t>
      </w:r>
      <w:proofErr w:type="gramEnd"/>
      <w:r w:rsidR="002B771B" w:rsidRPr="009854C6">
        <w:rPr>
          <w:rFonts w:ascii="Verdana" w:hAnsi="Verdana"/>
        </w:rPr>
        <w:t xml:space="preserve"> </w:t>
      </w:r>
      <w:r w:rsidR="001448B4" w:rsidRPr="009854C6">
        <w:rPr>
          <w:rFonts w:ascii="Verdana" w:hAnsi="Verdana"/>
        </w:rPr>
        <w:t>consultation</w:t>
      </w:r>
      <w:r w:rsidR="002B771B" w:rsidRPr="009854C6">
        <w:rPr>
          <w:rFonts w:ascii="Verdana" w:hAnsi="Verdana"/>
        </w:rPr>
        <w:t>,</w:t>
      </w:r>
      <w:r w:rsidR="009854C6">
        <w:rPr>
          <w:rFonts w:ascii="Verdana" w:hAnsi="Verdana"/>
        </w:rPr>
        <w:t xml:space="preserve"> </w:t>
      </w:r>
      <w:r w:rsidR="003F6436">
        <w:rPr>
          <w:rFonts w:ascii="Verdana" w:hAnsi="Verdana"/>
        </w:rPr>
        <w:t>which is</w:t>
      </w:r>
      <w:r w:rsidR="00CE7257">
        <w:rPr>
          <w:rFonts w:ascii="Verdana" w:hAnsi="Verdana"/>
        </w:rPr>
        <w:t xml:space="preserve"> followed by</w:t>
      </w:r>
      <w:r w:rsidR="009854C6">
        <w:rPr>
          <w:rFonts w:ascii="Verdana" w:hAnsi="Verdana"/>
        </w:rPr>
        <w:t xml:space="preserve"> </w:t>
      </w:r>
      <w:r w:rsidR="00D140EF">
        <w:rPr>
          <w:rFonts w:ascii="Verdana" w:hAnsi="Verdana"/>
        </w:rPr>
        <w:t>individual</w:t>
      </w:r>
      <w:r w:rsidR="00EE2963">
        <w:rPr>
          <w:rFonts w:ascii="Verdana" w:hAnsi="Verdana"/>
        </w:rPr>
        <w:t xml:space="preserve"> </w:t>
      </w:r>
      <w:r w:rsidR="00FE60EB">
        <w:rPr>
          <w:rFonts w:ascii="Verdana" w:hAnsi="Verdana"/>
        </w:rPr>
        <w:t>department</w:t>
      </w:r>
      <w:r w:rsidR="0094112D">
        <w:rPr>
          <w:rFonts w:ascii="Verdana" w:hAnsi="Verdana"/>
        </w:rPr>
        <w:t>al consultation</w:t>
      </w:r>
      <w:r w:rsidR="00EE2963">
        <w:rPr>
          <w:rFonts w:ascii="Verdana" w:hAnsi="Verdana"/>
        </w:rPr>
        <w:t>s</w:t>
      </w:r>
      <w:r w:rsidR="00FE60EB">
        <w:rPr>
          <w:rFonts w:ascii="Verdana" w:hAnsi="Verdana"/>
        </w:rPr>
        <w:t xml:space="preserve"> </w:t>
      </w:r>
      <w:r w:rsidR="003F6436">
        <w:rPr>
          <w:rFonts w:ascii="Verdana" w:hAnsi="Verdana"/>
        </w:rPr>
        <w:t>in line with</w:t>
      </w:r>
      <w:r w:rsidR="00153F9A">
        <w:rPr>
          <w:rFonts w:ascii="Verdana" w:hAnsi="Verdana"/>
        </w:rPr>
        <w:t xml:space="preserve"> their</w:t>
      </w:r>
      <w:r w:rsidR="00FE60EB">
        <w:rPr>
          <w:rFonts w:ascii="Verdana" w:hAnsi="Verdana"/>
        </w:rPr>
        <w:t xml:space="preserve"> Equality Schemes</w:t>
      </w:r>
    </w:p>
    <w:p w14:paraId="719001F9" w14:textId="13A60267" w:rsidR="00B34EB1" w:rsidRDefault="00B34EB1" w:rsidP="00671A8A">
      <w:pPr>
        <w:pStyle w:val="BasicParagraph"/>
        <w:numPr>
          <w:ilvl w:val="0"/>
          <w:numId w:val="26"/>
        </w:numPr>
        <w:suppressAutoHyphens/>
        <w:rPr>
          <w:rFonts w:ascii="Verdana" w:hAnsi="Verdana"/>
        </w:rPr>
      </w:pPr>
      <w:r w:rsidRPr="006B4915">
        <w:rPr>
          <w:rFonts w:ascii="Verdana" w:hAnsi="Verdana"/>
          <w:b/>
          <w:bCs/>
        </w:rPr>
        <w:t>NI Executive agree Final Budget</w:t>
      </w:r>
      <w:r w:rsidRPr="009854C6">
        <w:rPr>
          <w:rFonts w:ascii="Verdana" w:hAnsi="Verdana"/>
        </w:rPr>
        <w:t>:</w:t>
      </w:r>
      <w:r w:rsidR="004B7691" w:rsidRPr="009854C6">
        <w:rPr>
          <w:rFonts w:ascii="Verdana" w:hAnsi="Verdana"/>
        </w:rPr>
        <w:t xml:space="preserve"> </w:t>
      </w:r>
      <w:r w:rsidR="006B1C80">
        <w:rPr>
          <w:rFonts w:ascii="Verdana" w:hAnsi="Verdana"/>
        </w:rPr>
        <w:t>R</w:t>
      </w:r>
      <w:r w:rsidR="004B7691" w:rsidRPr="009854C6">
        <w:rPr>
          <w:rFonts w:ascii="Verdana" w:hAnsi="Verdana"/>
        </w:rPr>
        <w:t xml:space="preserve">evised proposals brought to </w:t>
      </w:r>
      <w:r w:rsidR="004B7691" w:rsidRPr="009854C6">
        <w:rPr>
          <w:rFonts w:ascii="Verdana" w:hAnsi="Verdana"/>
        </w:rPr>
        <w:lastRenderedPageBreak/>
        <w:t>Ministers</w:t>
      </w:r>
      <w:r w:rsidR="000A60C5" w:rsidRPr="009854C6">
        <w:rPr>
          <w:rFonts w:ascii="Verdana" w:hAnsi="Verdana"/>
        </w:rPr>
        <w:t>, agreement requires the assent of the majorit</w:t>
      </w:r>
      <w:r w:rsidR="00EF5F7E">
        <w:rPr>
          <w:rFonts w:ascii="Verdana" w:hAnsi="Verdana"/>
        </w:rPr>
        <w:t>y</w:t>
      </w:r>
    </w:p>
    <w:p w14:paraId="1D13F501" w14:textId="5796FD2C" w:rsidR="00857409" w:rsidRPr="009854C6" w:rsidRDefault="00857409" w:rsidP="00671A8A">
      <w:pPr>
        <w:pStyle w:val="BasicParagraph"/>
        <w:numPr>
          <w:ilvl w:val="0"/>
          <w:numId w:val="26"/>
        </w:numPr>
        <w:suppressAutoHyphens/>
        <w:rPr>
          <w:rFonts w:ascii="Verdana" w:hAnsi="Verdana"/>
        </w:rPr>
      </w:pPr>
      <w:r>
        <w:rPr>
          <w:rFonts w:ascii="Verdana" w:hAnsi="Verdana"/>
          <w:b/>
          <w:bCs/>
        </w:rPr>
        <w:t>NI Assembly approve Final Budget</w:t>
      </w:r>
      <w:r w:rsidRPr="00857409">
        <w:rPr>
          <w:rFonts w:ascii="Verdana" w:hAnsi="Verdana"/>
        </w:rPr>
        <w:t>:</w:t>
      </w:r>
      <w:r>
        <w:rPr>
          <w:rFonts w:ascii="Verdana" w:hAnsi="Verdana"/>
        </w:rPr>
        <w:t xml:space="preserve"> </w:t>
      </w:r>
      <w:r w:rsidR="002A53BE">
        <w:rPr>
          <w:rFonts w:ascii="Verdana" w:hAnsi="Verdana"/>
        </w:rPr>
        <w:t>Agreed proposals presented to Assembly for debate and scrutiny</w:t>
      </w:r>
      <w:r w:rsidR="00BA5BD8">
        <w:rPr>
          <w:rFonts w:ascii="Verdana" w:hAnsi="Verdana"/>
        </w:rPr>
        <w:t xml:space="preserve">, once approved it becomes legal basis for expenditure. </w:t>
      </w:r>
    </w:p>
    <w:p w14:paraId="54CF182C" w14:textId="77777777" w:rsidR="004723EB" w:rsidRDefault="004723EB" w:rsidP="004723EB">
      <w:pPr>
        <w:pStyle w:val="BasicParagraph"/>
        <w:suppressAutoHyphens/>
        <w:ind w:left="720"/>
        <w:rPr>
          <w:rFonts w:ascii="Verdana" w:hAnsi="Verdana"/>
        </w:rPr>
      </w:pPr>
    </w:p>
    <w:p w14:paraId="334568A0" w14:textId="1E5A9ADC" w:rsidR="0024695E" w:rsidRPr="00724CDF" w:rsidRDefault="00C507BE" w:rsidP="0024695E">
      <w:pPr>
        <w:pStyle w:val="BasicParagraph"/>
        <w:numPr>
          <w:ilvl w:val="1"/>
          <w:numId w:val="19"/>
        </w:numPr>
        <w:suppressAutoHyphens/>
        <w:rPr>
          <w:rFonts w:ascii="Verdana" w:hAnsi="Verdana"/>
        </w:rPr>
      </w:pPr>
      <w:r w:rsidRPr="00C507BE">
        <w:rPr>
          <w:rFonts w:ascii="Verdana" w:hAnsi="Verdana"/>
        </w:rPr>
        <w:t xml:space="preserve">The </w:t>
      </w:r>
      <w:r w:rsidR="003705E1">
        <w:rPr>
          <w:rFonts w:ascii="Verdana" w:hAnsi="Verdana"/>
        </w:rPr>
        <w:t xml:space="preserve">Department of Finance </w:t>
      </w:r>
      <w:r w:rsidRPr="00C507BE">
        <w:rPr>
          <w:rFonts w:ascii="Verdana" w:hAnsi="Verdana"/>
        </w:rPr>
        <w:t xml:space="preserve">also controls a process called ‘In-Year Monitoring’ which provides </w:t>
      </w:r>
      <w:r w:rsidR="003705E1">
        <w:rPr>
          <w:rFonts w:ascii="Verdana" w:hAnsi="Verdana"/>
        </w:rPr>
        <w:t>an opportunity to</w:t>
      </w:r>
      <w:r w:rsidRPr="00C507BE">
        <w:rPr>
          <w:rFonts w:ascii="Verdana" w:hAnsi="Verdana"/>
        </w:rPr>
        <w:t xml:space="preserve"> review spending plans</w:t>
      </w:r>
      <w:r w:rsidR="00E40698">
        <w:rPr>
          <w:rFonts w:ascii="Verdana" w:hAnsi="Verdana"/>
        </w:rPr>
        <w:t xml:space="preserve"> and Executive priorities during the year</w:t>
      </w:r>
      <w:r w:rsidR="005D784A">
        <w:rPr>
          <w:rFonts w:ascii="Verdana" w:hAnsi="Verdana"/>
        </w:rPr>
        <w:t xml:space="preserve"> – typically </w:t>
      </w:r>
      <w:r w:rsidR="00E70957">
        <w:rPr>
          <w:rFonts w:ascii="Verdana" w:hAnsi="Verdana"/>
        </w:rPr>
        <w:t xml:space="preserve">occurring </w:t>
      </w:r>
      <w:r w:rsidR="005D784A">
        <w:rPr>
          <w:rFonts w:ascii="Verdana" w:hAnsi="Verdana"/>
        </w:rPr>
        <w:t>in June, October and January</w:t>
      </w:r>
      <w:r w:rsidRPr="00C507BE">
        <w:rPr>
          <w:rFonts w:ascii="Verdana" w:hAnsi="Verdana"/>
        </w:rPr>
        <w:t>.</w:t>
      </w:r>
      <w:r w:rsidR="00A13C61">
        <w:rPr>
          <w:rStyle w:val="FootnoteReference"/>
          <w:rFonts w:ascii="Verdana" w:hAnsi="Verdana"/>
        </w:rPr>
        <w:footnoteReference w:id="41"/>
      </w:r>
      <w:r w:rsidR="0099312B">
        <w:rPr>
          <w:rFonts w:ascii="Verdana" w:hAnsi="Verdana"/>
        </w:rPr>
        <w:t xml:space="preserve"> </w:t>
      </w:r>
      <w:r w:rsidR="00AB45A0">
        <w:rPr>
          <w:rFonts w:ascii="Verdana" w:hAnsi="Verdana"/>
        </w:rPr>
        <w:t>The</w:t>
      </w:r>
      <w:r w:rsidR="0084124F" w:rsidRPr="0084124F">
        <w:rPr>
          <w:rFonts w:ascii="Verdana" w:hAnsi="Verdana"/>
        </w:rPr>
        <w:t xml:space="preserve"> </w:t>
      </w:r>
      <w:r w:rsidR="004672E0" w:rsidRPr="004672E0">
        <w:rPr>
          <w:rFonts w:ascii="Verdana" w:hAnsi="Verdana"/>
        </w:rPr>
        <w:t xml:space="preserve">Comptroller and Auditor General for </w:t>
      </w:r>
      <w:r w:rsidR="004672E0">
        <w:rPr>
          <w:rFonts w:ascii="Verdana" w:hAnsi="Verdana"/>
        </w:rPr>
        <w:t>NI</w:t>
      </w:r>
      <w:r w:rsidR="0084124F" w:rsidRPr="0084124F">
        <w:rPr>
          <w:rFonts w:ascii="Verdana" w:hAnsi="Verdana"/>
        </w:rPr>
        <w:t xml:space="preserve"> </w:t>
      </w:r>
      <w:r w:rsidR="007649B0">
        <w:rPr>
          <w:rFonts w:ascii="Verdana" w:hAnsi="Verdana"/>
        </w:rPr>
        <w:t xml:space="preserve">is responsible for conducting external audits of </w:t>
      </w:r>
      <w:r w:rsidR="003B26FF">
        <w:rPr>
          <w:rFonts w:ascii="Verdana" w:hAnsi="Verdana"/>
        </w:rPr>
        <w:t xml:space="preserve">NI departmental </w:t>
      </w:r>
      <w:r w:rsidR="003B26FF" w:rsidRPr="0084124F">
        <w:rPr>
          <w:rFonts w:ascii="Verdana" w:hAnsi="Verdana"/>
        </w:rPr>
        <w:t xml:space="preserve">reports and </w:t>
      </w:r>
      <w:r w:rsidR="003B26FF">
        <w:rPr>
          <w:rFonts w:ascii="Verdana" w:hAnsi="Verdana"/>
        </w:rPr>
        <w:t xml:space="preserve">year-end </w:t>
      </w:r>
      <w:r w:rsidR="003B26FF" w:rsidRPr="0084124F">
        <w:rPr>
          <w:rFonts w:ascii="Verdana" w:hAnsi="Verdana"/>
        </w:rPr>
        <w:t>accounts</w:t>
      </w:r>
      <w:r w:rsidR="00AB45A0">
        <w:rPr>
          <w:rFonts w:ascii="Verdana" w:hAnsi="Verdana"/>
        </w:rPr>
        <w:t>, including financial audit and value for money audit, and the results are reported to the NI Assembly</w:t>
      </w:r>
      <w:r w:rsidR="0084124F" w:rsidRPr="0084124F">
        <w:rPr>
          <w:rFonts w:ascii="Verdana" w:hAnsi="Verdana"/>
        </w:rPr>
        <w:t>.</w:t>
      </w:r>
      <w:r w:rsidR="0032771D">
        <w:rPr>
          <w:rStyle w:val="FootnoteReference"/>
          <w:rFonts w:ascii="Verdana" w:hAnsi="Verdana"/>
        </w:rPr>
        <w:footnoteReference w:id="42"/>
      </w:r>
      <w:r w:rsidR="00CA4C98">
        <w:rPr>
          <w:rFonts w:ascii="Verdana" w:hAnsi="Verdana"/>
        </w:rPr>
        <w:t xml:space="preserve"> </w:t>
      </w:r>
      <w:r w:rsidR="002C032C">
        <w:rPr>
          <w:rFonts w:ascii="Verdana" w:hAnsi="Verdana"/>
        </w:rPr>
        <w:t xml:space="preserve">In addition, the </w:t>
      </w:r>
      <w:r w:rsidR="006D2EDE">
        <w:rPr>
          <w:rFonts w:ascii="Verdana" w:hAnsi="Verdana"/>
        </w:rPr>
        <w:t xml:space="preserve">NI </w:t>
      </w:r>
      <w:r w:rsidR="00CA4C98">
        <w:rPr>
          <w:rFonts w:ascii="Verdana" w:hAnsi="Verdana"/>
        </w:rPr>
        <w:t xml:space="preserve">Fiscal Council </w:t>
      </w:r>
      <w:r w:rsidR="00B85360">
        <w:rPr>
          <w:rFonts w:ascii="Verdana" w:hAnsi="Verdana"/>
        </w:rPr>
        <w:t>“</w:t>
      </w:r>
      <w:r w:rsidR="00A13C61" w:rsidRPr="00A13C61">
        <w:rPr>
          <w:rFonts w:ascii="Verdana" w:hAnsi="Verdana"/>
        </w:rPr>
        <w:t>prepare an annual assessment of the Executive’s revenue streams and spending proposals and how these allow the Executive to balance their budge</w:t>
      </w:r>
      <w:r w:rsidR="00A13C61">
        <w:rPr>
          <w:rFonts w:ascii="Verdana" w:hAnsi="Verdana"/>
        </w:rPr>
        <w:t>t”.</w:t>
      </w:r>
      <w:r w:rsidR="00A13C61">
        <w:rPr>
          <w:rStyle w:val="FootnoteReference"/>
          <w:rFonts w:ascii="Verdana" w:hAnsi="Verdana"/>
        </w:rPr>
        <w:footnoteReference w:id="43"/>
      </w:r>
      <w:r w:rsidR="00A13C61">
        <w:rPr>
          <w:rFonts w:ascii="Verdana" w:hAnsi="Verdana"/>
        </w:rPr>
        <w:t xml:space="preserve"> </w:t>
      </w:r>
      <w:r w:rsidR="0072254D" w:rsidRPr="00A13C61">
        <w:rPr>
          <w:rFonts w:ascii="Verdana" w:hAnsi="Verdana"/>
          <w:b/>
          <w:bCs/>
        </w:rPr>
        <w:t>Figure 1</w:t>
      </w:r>
      <w:r w:rsidR="0072254D" w:rsidRPr="00A13C61">
        <w:rPr>
          <w:rFonts w:ascii="Verdana" w:hAnsi="Verdana"/>
        </w:rPr>
        <w:t xml:space="preserve"> provides an overview of the annual budget cycle, including its key stages.</w:t>
      </w:r>
      <w:r w:rsidR="00F5400E">
        <w:rPr>
          <w:rStyle w:val="FootnoteReference"/>
          <w:rFonts w:ascii="Verdana" w:hAnsi="Verdana"/>
        </w:rPr>
        <w:footnoteReference w:id="44"/>
      </w:r>
    </w:p>
    <w:p w14:paraId="6021288D" w14:textId="3DCA90D6" w:rsidR="0024695E" w:rsidRDefault="0024695E" w:rsidP="00724CDF">
      <w:pPr>
        <w:pStyle w:val="BasicParagraph"/>
        <w:suppressAutoHyphens/>
        <w:jc w:val="center"/>
        <w:rPr>
          <w:rFonts w:ascii="Verdana" w:hAnsi="Verdana"/>
        </w:rPr>
      </w:pPr>
      <w:r w:rsidRPr="0024695E">
        <w:rPr>
          <w:rFonts w:ascii="Verdana" w:hAnsi="Verdana"/>
          <w:noProof/>
        </w:rPr>
        <w:drawing>
          <wp:inline distT="0" distB="0" distL="0" distR="0" wp14:anchorId="4F661183" wp14:editId="3DC105D2">
            <wp:extent cx="4191989" cy="3977226"/>
            <wp:effectExtent l="0" t="0" r="0" b="4445"/>
            <wp:docPr id="807597564" name="Picture 1" descr="A diagram of a budget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97564" name="Picture 1" descr="A diagram of a budget cycle&#10;&#10;Description automatically generated"/>
                    <pic:cNvPicPr/>
                  </pic:nvPicPr>
                  <pic:blipFill>
                    <a:blip r:embed="rId12"/>
                    <a:stretch>
                      <a:fillRect/>
                    </a:stretch>
                  </pic:blipFill>
                  <pic:spPr>
                    <a:xfrm>
                      <a:off x="0" y="0"/>
                      <a:ext cx="4232516" cy="4015677"/>
                    </a:xfrm>
                    <a:prstGeom prst="rect">
                      <a:avLst/>
                    </a:prstGeom>
                  </pic:spPr>
                </pic:pic>
              </a:graphicData>
            </a:graphic>
          </wp:inline>
        </w:drawing>
      </w:r>
    </w:p>
    <w:p w14:paraId="7AFFE8FD" w14:textId="77777777" w:rsidR="00CC08A9" w:rsidRDefault="00CC08A9" w:rsidP="00CC08A9">
      <w:pPr>
        <w:rPr>
          <w:rFonts w:ascii="Verdana" w:hAnsi="Verdana"/>
        </w:rPr>
      </w:pPr>
    </w:p>
    <w:p w14:paraId="364231F3" w14:textId="30A3DA06" w:rsidR="006C090B" w:rsidRDefault="006C090B" w:rsidP="0067698B">
      <w:pPr>
        <w:pStyle w:val="Heading1"/>
        <w:numPr>
          <w:ilvl w:val="0"/>
          <w:numId w:val="0"/>
        </w:numPr>
      </w:pPr>
      <w:bookmarkStart w:id="7" w:name="_Toc190785279"/>
      <w:r>
        <w:lastRenderedPageBreak/>
        <w:t xml:space="preserve">4.0 </w:t>
      </w:r>
      <w:r w:rsidR="002A02E6">
        <w:tab/>
      </w:r>
      <w:r w:rsidR="00247D90">
        <w:t xml:space="preserve">Implementing </w:t>
      </w:r>
      <w:r>
        <w:t>Human Rights</w:t>
      </w:r>
      <w:r w:rsidR="00247D90">
        <w:t xml:space="preserve"> </w:t>
      </w:r>
      <w:r w:rsidR="00AB5F76">
        <w:t>Budgeting</w:t>
      </w:r>
      <w:bookmarkEnd w:id="7"/>
    </w:p>
    <w:p w14:paraId="773BEB15" w14:textId="77777777" w:rsidR="006C090B" w:rsidRPr="006C090B" w:rsidRDefault="006C090B" w:rsidP="006C090B">
      <w:pPr>
        <w:pStyle w:val="ListParagraph"/>
        <w:widowControl w:val="0"/>
        <w:numPr>
          <w:ilvl w:val="0"/>
          <w:numId w:val="19"/>
        </w:numPr>
        <w:suppressAutoHyphens/>
        <w:autoSpaceDE w:val="0"/>
        <w:autoSpaceDN w:val="0"/>
        <w:adjustRightInd w:val="0"/>
        <w:spacing w:line="288" w:lineRule="auto"/>
        <w:contextualSpacing w:val="0"/>
        <w:textAlignment w:val="center"/>
        <w:rPr>
          <w:rFonts w:ascii="Verdana" w:hAnsi="Verdana" w:cs="MinionPro-Regular"/>
          <w:vanish/>
          <w:color w:val="000000"/>
        </w:rPr>
      </w:pPr>
    </w:p>
    <w:p w14:paraId="5DF6B2F3" w14:textId="77777777" w:rsidR="006C090B" w:rsidRPr="006E63ED" w:rsidRDefault="006C090B" w:rsidP="006E63ED">
      <w:pPr>
        <w:pStyle w:val="ListParagraph"/>
        <w:widowControl w:val="0"/>
        <w:suppressAutoHyphens/>
        <w:autoSpaceDE w:val="0"/>
        <w:autoSpaceDN w:val="0"/>
        <w:adjustRightInd w:val="0"/>
        <w:spacing w:line="288" w:lineRule="auto"/>
        <w:contextualSpacing w:val="0"/>
        <w:textAlignment w:val="center"/>
        <w:rPr>
          <w:rFonts w:ascii="Verdana" w:hAnsi="Verdana"/>
        </w:rPr>
      </w:pPr>
    </w:p>
    <w:p w14:paraId="14CB1A61" w14:textId="511B5C7D" w:rsidR="008A02B4" w:rsidRDefault="00B72644" w:rsidP="00162B80">
      <w:pPr>
        <w:pStyle w:val="BasicParagraph"/>
        <w:numPr>
          <w:ilvl w:val="1"/>
          <w:numId w:val="19"/>
        </w:numPr>
        <w:suppressAutoHyphens/>
        <w:rPr>
          <w:rFonts w:ascii="Verdana" w:hAnsi="Verdana"/>
        </w:rPr>
      </w:pPr>
      <w:r>
        <w:rPr>
          <w:rFonts w:ascii="Verdana" w:hAnsi="Verdana"/>
        </w:rPr>
        <w:t xml:space="preserve">Human rights budgeting </w:t>
      </w:r>
      <w:r w:rsidR="00BD59E6">
        <w:rPr>
          <w:rFonts w:ascii="Verdana" w:hAnsi="Verdana"/>
        </w:rPr>
        <w:t>means that decisions on how money is raised, allocated and spent are determined by the impact</w:t>
      </w:r>
      <w:r w:rsidR="009F284F">
        <w:rPr>
          <w:rFonts w:ascii="Verdana" w:hAnsi="Verdana"/>
        </w:rPr>
        <w:t xml:space="preserve"> they have on people’s rights</w:t>
      </w:r>
      <w:r w:rsidR="00820533">
        <w:rPr>
          <w:rFonts w:ascii="Verdana" w:hAnsi="Verdana"/>
        </w:rPr>
        <w:t xml:space="preserve">. </w:t>
      </w:r>
      <w:r w:rsidR="009A2FC2">
        <w:rPr>
          <w:rFonts w:ascii="Verdana" w:hAnsi="Verdana"/>
        </w:rPr>
        <w:t>T</w:t>
      </w:r>
      <w:r w:rsidR="005F673E">
        <w:rPr>
          <w:rFonts w:ascii="Verdana" w:hAnsi="Verdana"/>
        </w:rPr>
        <w:t xml:space="preserve">he focus is on </w:t>
      </w:r>
      <w:r w:rsidR="00276810">
        <w:rPr>
          <w:rFonts w:ascii="Verdana" w:hAnsi="Verdana"/>
        </w:rPr>
        <w:t xml:space="preserve">distributing resources in a way that delivers the most social good by prioritising those most in need and </w:t>
      </w:r>
      <w:r w:rsidR="001F2F9B">
        <w:rPr>
          <w:rFonts w:ascii="Verdana" w:hAnsi="Verdana"/>
        </w:rPr>
        <w:t>facilitating the progressive realisation of human rights</w:t>
      </w:r>
      <w:r w:rsidR="00784DF3">
        <w:rPr>
          <w:rFonts w:ascii="Verdana" w:hAnsi="Verdana"/>
        </w:rPr>
        <w:t xml:space="preserve">. </w:t>
      </w:r>
      <w:r w:rsidR="00B55972">
        <w:rPr>
          <w:rFonts w:ascii="Verdana" w:hAnsi="Verdana"/>
        </w:rPr>
        <w:t>Rather than maintaining a focus on</w:t>
      </w:r>
      <w:r w:rsidR="00941F9D">
        <w:rPr>
          <w:rFonts w:ascii="Verdana" w:hAnsi="Verdana"/>
        </w:rPr>
        <w:t xml:space="preserve"> wealth creation and financing,</w:t>
      </w:r>
      <w:r w:rsidR="009C0CA2">
        <w:rPr>
          <w:rFonts w:ascii="Verdana" w:hAnsi="Verdana"/>
        </w:rPr>
        <w:t xml:space="preserve"> </w:t>
      </w:r>
      <w:r w:rsidR="00DA6369">
        <w:rPr>
          <w:rFonts w:ascii="Verdana" w:hAnsi="Verdana"/>
        </w:rPr>
        <w:t>a rights</w:t>
      </w:r>
      <w:r w:rsidR="00324712">
        <w:rPr>
          <w:rFonts w:ascii="Verdana" w:hAnsi="Verdana"/>
        </w:rPr>
        <w:t>-</w:t>
      </w:r>
      <w:r w:rsidR="00DA6369">
        <w:rPr>
          <w:rFonts w:ascii="Verdana" w:hAnsi="Verdana"/>
        </w:rPr>
        <w:t xml:space="preserve">based approach </w:t>
      </w:r>
      <w:r w:rsidR="00AB68D8">
        <w:rPr>
          <w:rFonts w:ascii="Verdana" w:hAnsi="Verdana"/>
        </w:rPr>
        <w:t>considers</w:t>
      </w:r>
      <w:r w:rsidR="00941F9D">
        <w:rPr>
          <w:rFonts w:ascii="Verdana" w:hAnsi="Verdana"/>
        </w:rPr>
        <w:t xml:space="preserve"> </w:t>
      </w:r>
      <w:r w:rsidR="008B08D9">
        <w:rPr>
          <w:rFonts w:ascii="Verdana" w:hAnsi="Verdana"/>
        </w:rPr>
        <w:t>“</w:t>
      </w:r>
      <w:r w:rsidR="008B08D9" w:rsidRPr="008B08D9">
        <w:rPr>
          <w:rFonts w:ascii="Verdana" w:hAnsi="Verdana"/>
        </w:rPr>
        <w:t>the end result ought to be to make lives better today than they were yesterday</w:t>
      </w:r>
      <w:r w:rsidR="008B08D9">
        <w:rPr>
          <w:rFonts w:ascii="Verdana" w:hAnsi="Verdana"/>
        </w:rPr>
        <w:t>”.</w:t>
      </w:r>
      <w:r w:rsidR="002A15D8">
        <w:rPr>
          <w:rStyle w:val="FootnoteReference"/>
          <w:rFonts w:ascii="Verdana" w:hAnsi="Verdana"/>
        </w:rPr>
        <w:footnoteReference w:id="45"/>
      </w:r>
      <w:r w:rsidR="008B08D9">
        <w:rPr>
          <w:rFonts w:ascii="Verdana" w:hAnsi="Verdana"/>
        </w:rPr>
        <w:t xml:space="preserve"> </w:t>
      </w:r>
    </w:p>
    <w:p w14:paraId="29FA9B87" w14:textId="77777777" w:rsidR="008A02B4" w:rsidRDefault="008A02B4" w:rsidP="008A02B4">
      <w:pPr>
        <w:pStyle w:val="BasicParagraph"/>
        <w:suppressAutoHyphens/>
        <w:ind w:left="720"/>
        <w:rPr>
          <w:rFonts w:ascii="Verdana" w:hAnsi="Verdana"/>
        </w:rPr>
      </w:pPr>
    </w:p>
    <w:p w14:paraId="412EF47F" w14:textId="77777777" w:rsidR="002C7952" w:rsidRDefault="005E059F" w:rsidP="002C7952">
      <w:pPr>
        <w:pStyle w:val="BasicParagraph"/>
        <w:numPr>
          <w:ilvl w:val="1"/>
          <w:numId w:val="19"/>
        </w:numPr>
        <w:suppressAutoHyphens/>
        <w:rPr>
          <w:rFonts w:ascii="Verdana" w:hAnsi="Verdana"/>
        </w:rPr>
      </w:pPr>
      <w:r>
        <w:rPr>
          <w:rFonts w:ascii="Verdana" w:hAnsi="Verdana"/>
        </w:rPr>
        <w:t xml:space="preserve">Human rights budgeting also </w:t>
      </w:r>
      <w:r w:rsidR="004D168C">
        <w:rPr>
          <w:rFonts w:ascii="Verdana" w:hAnsi="Verdana"/>
        </w:rPr>
        <w:t xml:space="preserve">enhances </w:t>
      </w:r>
      <w:r w:rsidR="00454767">
        <w:rPr>
          <w:rFonts w:ascii="Verdana" w:hAnsi="Verdana"/>
        </w:rPr>
        <w:t xml:space="preserve">transparency and accountability </w:t>
      </w:r>
      <w:r w:rsidR="002941DC">
        <w:rPr>
          <w:rFonts w:ascii="Verdana" w:hAnsi="Verdana"/>
        </w:rPr>
        <w:t>by</w:t>
      </w:r>
      <w:r w:rsidR="00603D84">
        <w:rPr>
          <w:rFonts w:ascii="Verdana" w:hAnsi="Verdana"/>
        </w:rPr>
        <w:t xml:space="preserve"> ensuring </w:t>
      </w:r>
      <w:r w:rsidR="00103A61">
        <w:rPr>
          <w:rFonts w:ascii="Verdana" w:hAnsi="Verdana"/>
        </w:rPr>
        <w:t xml:space="preserve">government </w:t>
      </w:r>
      <w:r w:rsidR="00F0292C">
        <w:rPr>
          <w:rFonts w:ascii="Verdana" w:hAnsi="Verdana"/>
        </w:rPr>
        <w:t xml:space="preserve">decision-making </w:t>
      </w:r>
      <w:r w:rsidR="008A02B4">
        <w:rPr>
          <w:rFonts w:ascii="Verdana" w:hAnsi="Verdana"/>
        </w:rPr>
        <w:t>is</w:t>
      </w:r>
      <w:r w:rsidR="00103A61">
        <w:rPr>
          <w:rFonts w:ascii="Verdana" w:hAnsi="Verdana"/>
        </w:rPr>
        <w:t xml:space="preserve"> </w:t>
      </w:r>
      <w:r w:rsidR="00423EF0">
        <w:rPr>
          <w:rFonts w:ascii="Verdana" w:hAnsi="Verdana"/>
        </w:rPr>
        <w:t>deliberately directed towards the realisation of human rights</w:t>
      </w:r>
      <w:r w:rsidR="008A02B4">
        <w:rPr>
          <w:rFonts w:ascii="Verdana" w:hAnsi="Verdana"/>
        </w:rPr>
        <w:t>.</w:t>
      </w:r>
      <w:r w:rsidR="002C7952">
        <w:rPr>
          <w:rStyle w:val="FootnoteReference"/>
          <w:rFonts w:ascii="Verdana" w:hAnsi="Verdana"/>
        </w:rPr>
        <w:footnoteReference w:id="46"/>
      </w:r>
      <w:r w:rsidR="008A02B4">
        <w:rPr>
          <w:rFonts w:ascii="Verdana" w:hAnsi="Verdana"/>
        </w:rPr>
        <w:t xml:space="preserve"> </w:t>
      </w:r>
      <w:r w:rsidR="0012764F">
        <w:rPr>
          <w:rFonts w:ascii="Verdana" w:hAnsi="Verdana"/>
        </w:rPr>
        <w:t xml:space="preserve">In addition, </w:t>
      </w:r>
      <w:r w:rsidR="00EA0DA5">
        <w:rPr>
          <w:rFonts w:ascii="Verdana" w:hAnsi="Verdana"/>
        </w:rPr>
        <w:t xml:space="preserve">budgetary allocations and expenditure are </w:t>
      </w:r>
      <w:r w:rsidR="00214F14">
        <w:rPr>
          <w:rFonts w:ascii="Verdana" w:hAnsi="Verdana"/>
        </w:rPr>
        <w:t xml:space="preserve">subsequently </w:t>
      </w:r>
      <w:r w:rsidR="00EA0DA5">
        <w:rPr>
          <w:rFonts w:ascii="Verdana" w:hAnsi="Verdana"/>
        </w:rPr>
        <w:t xml:space="preserve">analysed </w:t>
      </w:r>
      <w:r w:rsidR="004167F0">
        <w:rPr>
          <w:rFonts w:ascii="Verdana" w:hAnsi="Verdana"/>
        </w:rPr>
        <w:t xml:space="preserve">in relation to </w:t>
      </w:r>
      <w:r w:rsidR="00503156">
        <w:rPr>
          <w:rFonts w:ascii="Verdana" w:hAnsi="Verdana"/>
        </w:rPr>
        <w:t>their impact o</w:t>
      </w:r>
      <w:r w:rsidR="00AE77C2">
        <w:rPr>
          <w:rFonts w:ascii="Verdana" w:hAnsi="Verdana"/>
        </w:rPr>
        <w:t>n human rights</w:t>
      </w:r>
      <w:r w:rsidR="001253B3">
        <w:rPr>
          <w:rFonts w:ascii="Verdana" w:hAnsi="Verdana"/>
        </w:rPr>
        <w:t xml:space="preserve">, requiring </w:t>
      </w:r>
      <w:r w:rsidR="000F72F7">
        <w:rPr>
          <w:rFonts w:ascii="Verdana" w:hAnsi="Verdana"/>
        </w:rPr>
        <w:t xml:space="preserve">comprehensive and </w:t>
      </w:r>
      <w:r w:rsidR="001253B3">
        <w:rPr>
          <w:rFonts w:ascii="Verdana" w:hAnsi="Verdana"/>
        </w:rPr>
        <w:t xml:space="preserve">participatory </w:t>
      </w:r>
      <w:r w:rsidR="000F72F7">
        <w:rPr>
          <w:rFonts w:ascii="Verdana" w:hAnsi="Verdana"/>
        </w:rPr>
        <w:t>processes.</w:t>
      </w:r>
      <w:r w:rsidR="002C7952">
        <w:rPr>
          <w:rFonts w:ascii="Verdana" w:hAnsi="Verdana"/>
        </w:rPr>
        <w:t xml:space="preserve"> </w:t>
      </w:r>
    </w:p>
    <w:p w14:paraId="41667784" w14:textId="77777777" w:rsidR="002C7952" w:rsidRDefault="002C7952" w:rsidP="002C7952">
      <w:pPr>
        <w:pStyle w:val="ListParagraph"/>
        <w:rPr>
          <w:rFonts w:ascii="Verdana" w:hAnsi="Verdana"/>
        </w:rPr>
      </w:pPr>
    </w:p>
    <w:p w14:paraId="43122312" w14:textId="4614E40D" w:rsidR="00365125" w:rsidRPr="002C7952" w:rsidRDefault="00B15BE3" w:rsidP="002C7952">
      <w:pPr>
        <w:pStyle w:val="BasicParagraph"/>
        <w:numPr>
          <w:ilvl w:val="1"/>
          <w:numId w:val="19"/>
        </w:numPr>
        <w:suppressAutoHyphens/>
        <w:rPr>
          <w:rFonts w:ascii="Verdana" w:hAnsi="Verdana"/>
        </w:rPr>
      </w:pPr>
      <w:r w:rsidRPr="002C7952">
        <w:rPr>
          <w:rFonts w:ascii="Verdana" w:hAnsi="Verdana"/>
        </w:rPr>
        <w:t>Human rights standards do not represent precise policy prescription</w:t>
      </w:r>
      <w:r w:rsidR="00380AA4" w:rsidRPr="002C7952">
        <w:rPr>
          <w:rFonts w:ascii="Verdana" w:hAnsi="Verdana"/>
        </w:rPr>
        <w:t>s</w:t>
      </w:r>
      <w:r w:rsidRPr="002C7952">
        <w:rPr>
          <w:rFonts w:ascii="Verdana" w:hAnsi="Verdana"/>
        </w:rPr>
        <w:t xml:space="preserve">, nor will </w:t>
      </w:r>
      <w:r w:rsidR="002E4661" w:rsidRPr="002C7952">
        <w:rPr>
          <w:rFonts w:ascii="Verdana" w:hAnsi="Verdana"/>
        </w:rPr>
        <w:t xml:space="preserve">they provide an instant fix to systemic </w:t>
      </w:r>
      <w:r w:rsidR="00E96F8A" w:rsidRPr="002C7952">
        <w:rPr>
          <w:rFonts w:ascii="Verdana" w:hAnsi="Verdana"/>
        </w:rPr>
        <w:t>social and economic inequalities.</w:t>
      </w:r>
      <w:r w:rsidR="003C29A3">
        <w:rPr>
          <w:rStyle w:val="FootnoteReference"/>
          <w:rFonts w:ascii="Verdana" w:hAnsi="Verdana"/>
        </w:rPr>
        <w:footnoteReference w:id="47"/>
      </w:r>
      <w:r w:rsidR="003C29A3" w:rsidRPr="002C7952">
        <w:rPr>
          <w:rFonts w:ascii="Verdana" w:hAnsi="Verdana"/>
        </w:rPr>
        <w:t xml:space="preserve"> </w:t>
      </w:r>
      <w:r w:rsidR="00E96F8A" w:rsidRPr="002C7952">
        <w:rPr>
          <w:rFonts w:ascii="Verdana" w:hAnsi="Verdana"/>
        </w:rPr>
        <w:t xml:space="preserve">However, human rights can </w:t>
      </w:r>
      <w:r w:rsidR="00A00266" w:rsidRPr="002C7952">
        <w:rPr>
          <w:rFonts w:ascii="Verdana" w:hAnsi="Verdana"/>
        </w:rPr>
        <w:t>be used as</w:t>
      </w:r>
      <w:r w:rsidR="00622471">
        <w:rPr>
          <w:rFonts w:ascii="Verdana" w:hAnsi="Verdana"/>
        </w:rPr>
        <w:t xml:space="preserve"> a</w:t>
      </w:r>
      <w:r w:rsidR="00A00266" w:rsidRPr="002C7952">
        <w:rPr>
          <w:rFonts w:ascii="Verdana" w:hAnsi="Verdana"/>
        </w:rPr>
        <w:t xml:space="preserve"> tool </w:t>
      </w:r>
      <w:r w:rsidR="00D01A8B" w:rsidRPr="002C7952">
        <w:rPr>
          <w:rFonts w:ascii="Verdana" w:hAnsi="Verdana"/>
        </w:rPr>
        <w:t>for guiding and assessing budgetary decision</w:t>
      </w:r>
      <w:r w:rsidR="00EC181D" w:rsidRPr="002C7952">
        <w:rPr>
          <w:rFonts w:ascii="Verdana" w:hAnsi="Verdana"/>
        </w:rPr>
        <w:t xml:space="preserve">s, helping us to </w:t>
      </w:r>
      <w:r w:rsidR="00AA22D8" w:rsidRPr="002C7952">
        <w:rPr>
          <w:rFonts w:ascii="Verdana" w:hAnsi="Verdana"/>
        </w:rPr>
        <w:t>“ask the right questions to support much more effective, transparent, fair, and accountable use of national resources”.</w:t>
      </w:r>
      <w:r w:rsidR="007C73FB">
        <w:rPr>
          <w:rStyle w:val="FootnoteReference"/>
          <w:rFonts w:ascii="Verdana" w:hAnsi="Verdana"/>
        </w:rPr>
        <w:footnoteReference w:id="48"/>
      </w:r>
      <w:r w:rsidR="00B24C7E" w:rsidRPr="002C7952">
        <w:rPr>
          <w:rFonts w:ascii="Verdana" w:hAnsi="Verdana"/>
        </w:rPr>
        <w:t xml:space="preserve"> </w:t>
      </w:r>
      <w:r w:rsidR="00D64FD6" w:rsidRPr="002C7952">
        <w:rPr>
          <w:rFonts w:ascii="Verdana" w:hAnsi="Verdana"/>
        </w:rPr>
        <w:t>Th</w:t>
      </w:r>
      <w:r w:rsidR="003870EF" w:rsidRPr="002C7952">
        <w:rPr>
          <w:rFonts w:ascii="Verdana" w:hAnsi="Verdana"/>
        </w:rPr>
        <w:t xml:space="preserve">e remainder of this </w:t>
      </w:r>
      <w:r w:rsidR="00D64FD6" w:rsidRPr="002C7952">
        <w:rPr>
          <w:rFonts w:ascii="Verdana" w:hAnsi="Verdana"/>
        </w:rPr>
        <w:t xml:space="preserve">section </w:t>
      </w:r>
      <w:r w:rsidR="006B77C3" w:rsidRPr="002C7952">
        <w:rPr>
          <w:rFonts w:ascii="Verdana" w:hAnsi="Verdana"/>
        </w:rPr>
        <w:t xml:space="preserve">explores some </w:t>
      </w:r>
      <w:r w:rsidR="00030969">
        <w:rPr>
          <w:rFonts w:ascii="Verdana" w:hAnsi="Verdana"/>
        </w:rPr>
        <w:t xml:space="preserve">of </w:t>
      </w:r>
      <w:r w:rsidR="006B77C3" w:rsidRPr="002C7952">
        <w:rPr>
          <w:rFonts w:ascii="Verdana" w:hAnsi="Verdana"/>
        </w:rPr>
        <w:t xml:space="preserve">the </w:t>
      </w:r>
      <w:r w:rsidR="00D828B2" w:rsidRPr="002C7952">
        <w:rPr>
          <w:rFonts w:ascii="Verdana" w:hAnsi="Verdana"/>
        </w:rPr>
        <w:t xml:space="preserve">questions that </w:t>
      </w:r>
      <w:r w:rsidR="00A6420E" w:rsidRPr="002C7952">
        <w:rPr>
          <w:rFonts w:ascii="Verdana" w:hAnsi="Verdana"/>
        </w:rPr>
        <w:t xml:space="preserve">key stakeholders </w:t>
      </w:r>
      <w:r w:rsidR="00A85182" w:rsidRPr="002C7952">
        <w:rPr>
          <w:rFonts w:ascii="Verdana" w:hAnsi="Verdana"/>
        </w:rPr>
        <w:t>involved in the budget cycle</w:t>
      </w:r>
      <w:r w:rsidR="00A6420E" w:rsidRPr="002C7952">
        <w:rPr>
          <w:rFonts w:ascii="Verdana" w:hAnsi="Verdana"/>
        </w:rPr>
        <w:t xml:space="preserve"> may </w:t>
      </w:r>
      <w:r w:rsidR="00455A3E" w:rsidRPr="002C7952">
        <w:rPr>
          <w:rFonts w:ascii="Verdana" w:hAnsi="Verdana"/>
        </w:rPr>
        <w:t>wish to ask and/or reflect on</w:t>
      </w:r>
      <w:r w:rsidR="00A85182" w:rsidRPr="002C7952">
        <w:rPr>
          <w:rFonts w:ascii="Verdana" w:hAnsi="Verdana"/>
        </w:rPr>
        <w:t xml:space="preserve"> at each </w:t>
      </w:r>
      <w:r w:rsidR="002B682F" w:rsidRPr="002C7952">
        <w:rPr>
          <w:rFonts w:ascii="Verdana" w:hAnsi="Verdana"/>
        </w:rPr>
        <w:t xml:space="preserve">stage of the process. </w:t>
      </w:r>
    </w:p>
    <w:p w14:paraId="4EDA0B16" w14:textId="77777777" w:rsidR="007B287C" w:rsidRDefault="007B287C" w:rsidP="007B287C">
      <w:pPr>
        <w:pStyle w:val="BasicParagraph"/>
        <w:suppressAutoHyphens/>
        <w:rPr>
          <w:rFonts w:ascii="Verdana" w:hAnsi="Verdana"/>
        </w:rPr>
      </w:pPr>
    </w:p>
    <w:p w14:paraId="6D109A1A" w14:textId="3D326BF2" w:rsidR="007B287C" w:rsidRPr="00FB0885" w:rsidRDefault="00FB0885" w:rsidP="003111A4">
      <w:pPr>
        <w:pStyle w:val="Heading2"/>
        <w:spacing w:after="240"/>
        <w:rPr>
          <w:b w:val="0"/>
          <w:bCs/>
        </w:rPr>
      </w:pPr>
      <w:bookmarkStart w:id="8" w:name="_Toc190785280"/>
      <w:r w:rsidRPr="004347D7">
        <w:t>Formulation Stage</w:t>
      </w:r>
      <w:r w:rsidR="00CA1492">
        <w:t>: Planning</w:t>
      </w:r>
      <w:bookmarkEnd w:id="8"/>
    </w:p>
    <w:p w14:paraId="6C754E82" w14:textId="21B81B54" w:rsidR="00EE24C4" w:rsidRDefault="00405DAB" w:rsidP="003111A4">
      <w:pPr>
        <w:pStyle w:val="BasicParagraph"/>
        <w:numPr>
          <w:ilvl w:val="1"/>
          <w:numId w:val="19"/>
        </w:numPr>
        <w:suppressAutoHyphens/>
        <w:spacing w:after="240"/>
        <w:rPr>
          <w:rFonts w:ascii="Verdana" w:hAnsi="Verdana"/>
        </w:rPr>
      </w:pPr>
      <w:r>
        <w:rPr>
          <w:rFonts w:ascii="Verdana" w:hAnsi="Verdana"/>
        </w:rPr>
        <w:t>Taking a human rights</w:t>
      </w:r>
      <w:r w:rsidR="00030969">
        <w:rPr>
          <w:rFonts w:ascii="Verdana" w:hAnsi="Verdana"/>
        </w:rPr>
        <w:t>-</w:t>
      </w:r>
      <w:r>
        <w:rPr>
          <w:rFonts w:ascii="Verdana" w:hAnsi="Verdana"/>
        </w:rPr>
        <w:t xml:space="preserve">based approach to </w:t>
      </w:r>
      <w:r w:rsidR="00DC3487">
        <w:rPr>
          <w:rFonts w:ascii="Verdana" w:hAnsi="Verdana"/>
        </w:rPr>
        <w:t xml:space="preserve">government budgets will require </w:t>
      </w:r>
      <w:r w:rsidR="00D32C06">
        <w:rPr>
          <w:rFonts w:ascii="Verdana" w:hAnsi="Verdana"/>
        </w:rPr>
        <w:t xml:space="preserve">government officials to </w:t>
      </w:r>
      <w:r w:rsidR="00D6747F">
        <w:rPr>
          <w:rFonts w:ascii="Verdana" w:hAnsi="Verdana"/>
        </w:rPr>
        <w:t xml:space="preserve">take proactive measures to embed human rights </w:t>
      </w:r>
      <w:r w:rsidR="00E15497">
        <w:rPr>
          <w:rFonts w:ascii="Verdana" w:hAnsi="Verdana"/>
        </w:rPr>
        <w:t xml:space="preserve">from the outset of the </w:t>
      </w:r>
      <w:r w:rsidR="00B3029C">
        <w:rPr>
          <w:rFonts w:ascii="Verdana" w:hAnsi="Verdana"/>
        </w:rPr>
        <w:t xml:space="preserve">process. </w:t>
      </w:r>
      <w:r w:rsidR="00764FD3">
        <w:rPr>
          <w:rFonts w:ascii="Verdana" w:hAnsi="Verdana"/>
        </w:rPr>
        <w:t xml:space="preserve">Budget planning will require comprehensive and realistic assessments of the economic situation and of the extent </w:t>
      </w:r>
      <w:r w:rsidR="00EE79DD" w:rsidRPr="00EE79DD">
        <w:rPr>
          <w:rFonts w:ascii="Verdana" w:hAnsi="Verdana"/>
        </w:rPr>
        <w:t xml:space="preserve">to </w:t>
      </w:r>
      <w:r w:rsidR="00EE79DD" w:rsidRPr="00EE79DD">
        <w:rPr>
          <w:rFonts w:ascii="Verdana" w:hAnsi="Verdana"/>
        </w:rPr>
        <w:lastRenderedPageBreak/>
        <w:t xml:space="preserve">which existing legislation, policies and programmes sufficiently respect, protect and fulfil </w:t>
      </w:r>
      <w:r w:rsidR="00EE79DD">
        <w:rPr>
          <w:rFonts w:ascii="Verdana" w:hAnsi="Verdana"/>
        </w:rPr>
        <w:t>human rights in NI.</w:t>
      </w:r>
      <w:r w:rsidR="00093AA0">
        <w:rPr>
          <w:rStyle w:val="FootnoteReference"/>
          <w:rFonts w:ascii="Verdana" w:hAnsi="Verdana"/>
        </w:rPr>
        <w:footnoteReference w:id="49"/>
      </w:r>
      <w:r w:rsidR="00EB6ABC">
        <w:rPr>
          <w:rFonts w:ascii="Verdana" w:hAnsi="Verdana"/>
        </w:rPr>
        <w:t xml:space="preserve"> </w:t>
      </w:r>
    </w:p>
    <w:p w14:paraId="26F3D1AC" w14:textId="77777777" w:rsidR="00462A6A" w:rsidRDefault="00C43CFC" w:rsidP="003111A4">
      <w:pPr>
        <w:pStyle w:val="BasicParagraph"/>
        <w:numPr>
          <w:ilvl w:val="1"/>
          <w:numId w:val="19"/>
        </w:numPr>
        <w:suppressAutoHyphens/>
        <w:spacing w:after="240"/>
        <w:rPr>
          <w:rFonts w:ascii="Verdana" w:hAnsi="Verdana"/>
        </w:rPr>
      </w:pPr>
      <w:r>
        <w:rPr>
          <w:rFonts w:ascii="Verdana" w:hAnsi="Verdana"/>
        </w:rPr>
        <w:t xml:space="preserve">NI Executive Departments will therefore </w:t>
      </w:r>
      <w:r w:rsidR="006F35E0">
        <w:rPr>
          <w:rFonts w:ascii="Verdana" w:hAnsi="Verdana"/>
        </w:rPr>
        <w:t>need “</w:t>
      </w:r>
      <w:r w:rsidR="006F35E0" w:rsidRPr="006F35E0">
        <w:rPr>
          <w:rFonts w:ascii="Verdana" w:hAnsi="Verdana"/>
        </w:rPr>
        <w:t>reliable, timely, accessible and comprehensive disaggregated information and data in reusable formats</w:t>
      </w:r>
      <w:r w:rsidR="006F35E0">
        <w:rPr>
          <w:rFonts w:ascii="Verdana" w:hAnsi="Verdana"/>
        </w:rPr>
        <w:t>” on the macroeconomic, budget and human rights situation in NI, both current and projected.</w:t>
      </w:r>
      <w:r w:rsidR="00D868D3">
        <w:rPr>
          <w:rStyle w:val="FootnoteReference"/>
          <w:rFonts w:ascii="Verdana" w:hAnsi="Verdana"/>
        </w:rPr>
        <w:footnoteReference w:id="50"/>
      </w:r>
      <w:r w:rsidR="00517C8C">
        <w:rPr>
          <w:rFonts w:ascii="Verdana" w:hAnsi="Verdana"/>
        </w:rPr>
        <w:t xml:space="preserve"> Departments will also need to give close consideration to the situation of different </w:t>
      </w:r>
      <w:r w:rsidR="00305E28">
        <w:rPr>
          <w:rFonts w:ascii="Verdana" w:hAnsi="Verdana"/>
        </w:rPr>
        <w:t>groups</w:t>
      </w:r>
      <w:r w:rsidR="008B72BA">
        <w:rPr>
          <w:rFonts w:ascii="Verdana" w:hAnsi="Verdana"/>
        </w:rPr>
        <w:t xml:space="preserve"> of individuals</w:t>
      </w:r>
      <w:r w:rsidR="00305E28">
        <w:rPr>
          <w:rFonts w:ascii="Verdana" w:hAnsi="Verdana"/>
        </w:rPr>
        <w:t xml:space="preserve">, particularly those most at risk of </w:t>
      </w:r>
      <w:r w:rsidR="00473AAC">
        <w:rPr>
          <w:rFonts w:ascii="Verdana" w:hAnsi="Verdana"/>
        </w:rPr>
        <w:t>marginalisation or exclusion</w:t>
      </w:r>
      <w:r w:rsidR="007B28DD">
        <w:rPr>
          <w:rFonts w:ascii="Verdana" w:hAnsi="Verdana"/>
        </w:rPr>
        <w:t xml:space="preserve"> in NI</w:t>
      </w:r>
      <w:r w:rsidR="00473AAC">
        <w:rPr>
          <w:rFonts w:ascii="Verdana" w:hAnsi="Verdana"/>
        </w:rPr>
        <w:t>.</w:t>
      </w:r>
      <w:r w:rsidR="00305E28">
        <w:rPr>
          <w:rFonts w:ascii="Verdana" w:hAnsi="Verdana"/>
        </w:rPr>
        <w:t xml:space="preserve"> </w:t>
      </w:r>
      <w:r w:rsidR="008653B8">
        <w:rPr>
          <w:rFonts w:ascii="Verdana" w:hAnsi="Verdana"/>
        </w:rPr>
        <w:t xml:space="preserve">This may require reviewing existing, or creating new, mechanisms </w:t>
      </w:r>
      <w:r w:rsidR="008653B8" w:rsidRPr="006E5D54">
        <w:rPr>
          <w:rFonts w:ascii="Verdana" w:hAnsi="Verdana"/>
        </w:rPr>
        <w:t>so that those involved in</w:t>
      </w:r>
      <w:r w:rsidR="008653B8">
        <w:rPr>
          <w:rFonts w:ascii="Verdana" w:hAnsi="Verdana"/>
        </w:rPr>
        <w:t xml:space="preserve"> planning,</w:t>
      </w:r>
      <w:r w:rsidR="008653B8" w:rsidRPr="006E5D54">
        <w:rPr>
          <w:rFonts w:ascii="Verdana" w:hAnsi="Verdana"/>
        </w:rPr>
        <w:t xml:space="preserve"> implementing and monitoring </w:t>
      </w:r>
      <w:r w:rsidR="008653B8">
        <w:rPr>
          <w:rFonts w:ascii="Verdana" w:hAnsi="Verdana"/>
        </w:rPr>
        <w:t>budgetary decisions</w:t>
      </w:r>
      <w:r w:rsidR="008653B8" w:rsidRPr="006E5D54">
        <w:rPr>
          <w:rFonts w:ascii="Verdana" w:hAnsi="Verdana"/>
        </w:rPr>
        <w:t xml:space="preserve"> have ongoing access to objective and reliable information</w:t>
      </w:r>
      <w:r w:rsidR="008653B8">
        <w:rPr>
          <w:rFonts w:ascii="Verdana" w:hAnsi="Verdana"/>
        </w:rPr>
        <w:t>.</w:t>
      </w:r>
      <w:r w:rsidR="008653B8">
        <w:rPr>
          <w:rStyle w:val="FootnoteReference"/>
          <w:rFonts w:ascii="Verdana" w:hAnsi="Verdana"/>
        </w:rPr>
        <w:footnoteReference w:id="51"/>
      </w:r>
      <w:r w:rsidR="008653B8">
        <w:rPr>
          <w:rFonts w:ascii="Verdana" w:hAnsi="Verdana"/>
        </w:rPr>
        <w:t xml:space="preserve"> </w:t>
      </w:r>
    </w:p>
    <w:p w14:paraId="01E2EFED" w14:textId="6D0E5D4E" w:rsidR="00B3029C" w:rsidRDefault="00EB07D8" w:rsidP="003111A4">
      <w:pPr>
        <w:pStyle w:val="BasicParagraph"/>
        <w:numPr>
          <w:ilvl w:val="1"/>
          <w:numId w:val="19"/>
        </w:numPr>
        <w:suppressAutoHyphens/>
        <w:spacing w:after="240"/>
        <w:rPr>
          <w:rFonts w:ascii="Verdana" w:hAnsi="Verdana"/>
        </w:rPr>
      </w:pPr>
      <w:r>
        <w:rPr>
          <w:rFonts w:ascii="Verdana" w:hAnsi="Verdana"/>
        </w:rPr>
        <w:t xml:space="preserve">To assist </w:t>
      </w:r>
      <w:r w:rsidR="008D60A0">
        <w:rPr>
          <w:rFonts w:ascii="Verdana" w:hAnsi="Verdana"/>
        </w:rPr>
        <w:t xml:space="preserve">with </w:t>
      </w:r>
      <w:r>
        <w:rPr>
          <w:rFonts w:ascii="Verdana" w:hAnsi="Verdana"/>
        </w:rPr>
        <w:t>budget planning, key questions</w:t>
      </w:r>
      <w:r w:rsidR="007A0460">
        <w:rPr>
          <w:rFonts w:ascii="Verdana" w:hAnsi="Verdana"/>
        </w:rPr>
        <w:t xml:space="preserve"> for officials to consider</w:t>
      </w:r>
      <w:r w:rsidR="003111A4">
        <w:rPr>
          <w:rFonts w:ascii="Verdana" w:hAnsi="Verdana"/>
        </w:rPr>
        <w:t xml:space="preserve"> include: </w:t>
      </w:r>
    </w:p>
    <w:p w14:paraId="780776E1" w14:textId="3C7A16B1" w:rsidR="00B3029C" w:rsidRDefault="00D542D9" w:rsidP="003111A4">
      <w:pPr>
        <w:pStyle w:val="BasicParagraph"/>
        <w:numPr>
          <w:ilvl w:val="0"/>
          <w:numId w:val="37"/>
        </w:numPr>
        <w:suppressAutoHyphens/>
        <w:rPr>
          <w:rFonts w:ascii="Verdana" w:hAnsi="Verdana"/>
        </w:rPr>
      </w:pPr>
      <w:r>
        <w:rPr>
          <w:rFonts w:ascii="Verdana" w:hAnsi="Verdana"/>
        </w:rPr>
        <w:t xml:space="preserve">What are the </w:t>
      </w:r>
      <w:r w:rsidR="00517A8F">
        <w:rPr>
          <w:rFonts w:ascii="Verdana" w:hAnsi="Verdana"/>
        </w:rPr>
        <w:t>NI Executive</w:t>
      </w:r>
      <w:r w:rsidR="0087663B">
        <w:rPr>
          <w:rFonts w:ascii="Verdana" w:hAnsi="Verdana"/>
        </w:rPr>
        <w:t xml:space="preserve">’s human rights obligations and commitments? </w:t>
      </w:r>
    </w:p>
    <w:p w14:paraId="55A2E050" w14:textId="27A80010" w:rsidR="0087663B" w:rsidRDefault="0087663B" w:rsidP="003111A4">
      <w:pPr>
        <w:pStyle w:val="BasicParagraph"/>
        <w:numPr>
          <w:ilvl w:val="0"/>
          <w:numId w:val="37"/>
        </w:numPr>
        <w:suppressAutoHyphens/>
        <w:rPr>
          <w:rFonts w:ascii="Verdana" w:hAnsi="Verdana"/>
        </w:rPr>
      </w:pPr>
      <w:r>
        <w:rPr>
          <w:rFonts w:ascii="Verdana" w:hAnsi="Verdana"/>
        </w:rPr>
        <w:t xml:space="preserve">What are the human rights concerns facing different individuals and groups within </w:t>
      </w:r>
      <w:r w:rsidR="00AD3A4E">
        <w:rPr>
          <w:rFonts w:ascii="Verdana" w:hAnsi="Verdana"/>
        </w:rPr>
        <w:t>the different sectors (e.g. health, social care, housing, education</w:t>
      </w:r>
      <w:r w:rsidR="00C35504">
        <w:rPr>
          <w:rFonts w:ascii="Verdana" w:hAnsi="Verdana"/>
        </w:rPr>
        <w:t>, etc)?</w:t>
      </w:r>
    </w:p>
    <w:p w14:paraId="2F7114C0" w14:textId="544209A5" w:rsidR="00E572AF" w:rsidRDefault="00A40312" w:rsidP="003111A4">
      <w:pPr>
        <w:pStyle w:val="BasicParagraph"/>
        <w:numPr>
          <w:ilvl w:val="0"/>
          <w:numId w:val="37"/>
        </w:numPr>
        <w:suppressAutoHyphens/>
        <w:rPr>
          <w:rFonts w:ascii="Verdana" w:hAnsi="Verdana"/>
        </w:rPr>
      </w:pPr>
      <w:r>
        <w:rPr>
          <w:rFonts w:ascii="Verdana" w:hAnsi="Verdana"/>
        </w:rPr>
        <w:t xml:space="preserve">What policies and programmes </w:t>
      </w:r>
      <w:r w:rsidR="00F62E2C">
        <w:rPr>
          <w:rFonts w:ascii="Verdana" w:hAnsi="Verdana"/>
        </w:rPr>
        <w:t xml:space="preserve">are currently in place that </w:t>
      </w:r>
      <w:r w:rsidR="00E572AF">
        <w:rPr>
          <w:rFonts w:ascii="Verdana" w:hAnsi="Verdana"/>
        </w:rPr>
        <w:t>either directly or indirectly address t</w:t>
      </w:r>
      <w:r w:rsidR="00F62E2C">
        <w:rPr>
          <w:rFonts w:ascii="Verdana" w:hAnsi="Verdana"/>
        </w:rPr>
        <w:t>he above</w:t>
      </w:r>
      <w:r w:rsidR="00E572AF">
        <w:rPr>
          <w:rFonts w:ascii="Verdana" w:hAnsi="Verdana"/>
        </w:rPr>
        <w:t xml:space="preserve"> human rights </w:t>
      </w:r>
      <w:r w:rsidR="00D96041">
        <w:rPr>
          <w:rFonts w:ascii="Verdana" w:hAnsi="Verdana"/>
        </w:rPr>
        <w:t>concerns?</w:t>
      </w:r>
    </w:p>
    <w:p w14:paraId="1A4B73FE" w14:textId="77B9C9E4" w:rsidR="00D96041" w:rsidRDefault="00457203" w:rsidP="00457203">
      <w:pPr>
        <w:pStyle w:val="BasicParagraph"/>
        <w:numPr>
          <w:ilvl w:val="0"/>
          <w:numId w:val="37"/>
        </w:numPr>
        <w:suppressAutoHyphens/>
        <w:rPr>
          <w:rFonts w:ascii="Verdana" w:hAnsi="Verdana"/>
        </w:rPr>
      </w:pPr>
      <w:r>
        <w:rPr>
          <w:rFonts w:ascii="Verdana" w:hAnsi="Verdana"/>
        </w:rPr>
        <w:t>What information</w:t>
      </w:r>
      <w:r w:rsidR="006633D9">
        <w:rPr>
          <w:rFonts w:ascii="Verdana" w:hAnsi="Verdana"/>
        </w:rPr>
        <w:t xml:space="preserve"> and data</w:t>
      </w:r>
      <w:r>
        <w:rPr>
          <w:rFonts w:ascii="Verdana" w:hAnsi="Verdana"/>
        </w:rPr>
        <w:t xml:space="preserve"> </w:t>
      </w:r>
      <w:r w:rsidR="006E455A">
        <w:rPr>
          <w:rFonts w:ascii="Verdana" w:hAnsi="Verdana"/>
        </w:rPr>
        <w:t>are</w:t>
      </w:r>
      <w:r>
        <w:rPr>
          <w:rFonts w:ascii="Verdana" w:hAnsi="Verdana"/>
        </w:rPr>
        <w:t xml:space="preserve"> </w:t>
      </w:r>
      <w:r w:rsidR="001012DB">
        <w:rPr>
          <w:rFonts w:ascii="Verdana" w:hAnsi="Verdana"/>
        </w:rPr>
        <w:t xml:space="preserve">available </w:t>
      </w:r>
      <w:r w:rsidR="00F62E2C">
        <w:rPr>
          <w:rFonts w:ascii="Verdana" w:hAnsi="Verdana"/>
        </w:rPr>
        <w:t>in relation to</w:t>
      </w:r>
      <w:r w:rsidR="001012DB">
        <w:rPr>
          <w:rFonts w:ascii="Verdana" w:hAnsi="Verdana"/>
        </w:rPr>
        <w:t xml:space="preserve"> the operation of those policies and programmes and the impact </w:t>
      </w:r>
      <w:r w:rsidR="00C91558">
        <w:rPr>
          <w:rFonts w:ascii="Verdana" w:hAnsi="Verdana"/>
        </w:rPr>
        <w:t xml:space="preserve">they have </w:t>
      </w:r>
      <w:r w:rsidR="008F05FE">
        <w:rPr>
          <w:rFonts w:ascii="Verdana" w:hAnsi="Verdana"/>
        </w:rPr>
        <w:t xml:space="preserve">had on human rights? </w:t>
      </w:r>
    </w:p>
    <w:p w14:paraId="32198E0D" w14:textId="66DC805C" w:rsidR="00316E4C" w:rsidRDefault="00C86001" w:rsidP="00077421">
      <w:pPr>
        <w:pStyle w:val="BasicParagraph"/>
        <w:numPr>
          <w:ilvl w:val="1"/>
          <w:numId w:val="37"/>
        </w:numPr>
        <w:suppressAutoHyphens/>
        <w:rPr>
          <w:rFonts w:ascii="Verdana" w:hAnsi="Verdana"/>
        </w:rPr>
      </w:pPr>
      <w:r>
        <w:rPr>
          <w:rFonts w:ascii="Verdana" w:hAnsi="Verdana"/>
        </w:rPr>
        <w:t xml:space="preserve">Is data </w:t>
      </w:r>
      <w:r w:rsidR="00114374">
        <w:rPr>
          <w:rFonts w:ascii="Verdana" w:hAnsi="Verdana"/>
        </w:rPr>
        <w:t xml:space="preserve">appropriately </w:t>
      </w:r>
      <w:r w:rsidR="00186137">
        <w:rPr>
          <w:rFonts w:ascii="Verdana" w:hAnsi="Verdana"/>
        </w:rPr>
        <w:t>disaggregated to e</w:t>
      </w:r>
      <w:r w:rsidR="00555CC1">
        <w:rPr>
          <w:rFonts w:ascii="Verdana" w:hAnsi="Verdana"/>
        </w:rPr>
        <w:t>n</w:t>
      </w:r>
      <w:r w:rsidR="00316E4C">
        <w:rPr>
          <w:rFonts w:ascii="Verdana" w:hAnsi="Verdana"/>
        </w:rPr>
        <w:t xml:space="preserve">sure the differential impacts on individuals and groups is </w:t>
      </w:r>
      <w:r w:rsidR="00114374">
        <w:rPr>
          <w:rFonts w:ascii="Verdana" w:hAnsi="Verdana"/>
        </w:rPr>
        <w:t xml:space="preserve">comprehensively </w:t>
      </w:r>
      <w:r w:rsidR="00316E4C">
        <w:rPr>
          <w:rFonts w:ascii="Verdana" w:hAnsi="Verdana"/>
        </w:rPr>
        <w:t xml:space="preserve">understood? </w:t>
      </w:r>
    </w:p>
    <w:p w14:paraId="59D0B7DE" w14:textId="1BAF1A62" w:rsidR="005D467F" w:rsidRDefault="00457203" w:rsidP="00854E12">
      <w:pPr>
        <w:pStyle w:val="BasicParagraph"/>
        <w:numPr>
          <w:ilvl w:val="0"/>
          <w:numId w:val="37"/>
        </w:numPr>
        <w:suppressAutoHyphens/>
        <w:rPr>
          <w:rFonts w:ascii="Verdana" w:hAnsi="Verdana"/>
        </w:rPr>
      </w:pPr>
      <w:r>
        <w:rPr>
          <w:rFonts w:ascii="Verdana" w:hAnsi="Verdana"/>
        </w:rPr>
        <w:t>Is</w:t>
      </w:r>
      <w:r w:rsidR="0043643F">
        <w:rPr>
          <w:rFonts w:ascii="Verdana" w:hAnsi="Verdana"/>
        </w:rPr>
        <w:t xml:space="preserve"> this</w:t>
      </w:r>
      <w:r>
        <w:rPr>
          <w:rFonts w:ascii="Verdana" w:hAnsi="Verdana"/>
        </w:rPr>
        <w:t xml:space="preserve"> </w:t>
      </w:r>
      <w:r w:rsidR="00077421">
        <w:rPr>
          <w:rFonts w:ascii="Verdana" w:hAnsi="Verdana"/>
        </w:rPr>
        <w:t>information</w:t>
      </w:r>
      <w:r w:rsidR="0043643F">
        <w:rPr>
          <w:rFonts w:ascii="Verdana" w:hAnsi="Verdana"/>
        </w:rPr>
        <w:t xml:space="preserve"> and data</w:t>
      </w:r>
      <w:r w:rsidR="00816EBC">
        <w:rPr>
          <w:rFonts w:ascii="Verdana" w:hAnsi="Verdana"/>
        </w:rPr>
        <w:t xml:space="preserve"> </w:t>
      </w:r>
      <w:r w:rsidR="003A50D7">
        <w:rPr>
          <w:rFonts w:ascii="Verdana" w:hAnsi="Verdana"/>
        </w:rPr>
        <w:t>user-friendly,</w:t>
      </w:r>
      <w:r w:rsidR="00C40358">
        <w:rPr>
          <w:rFonts w:ascii="Verdana" w:hAnsi="Verdana"/>
        </w:rPr>
        <w:t xml:space="preserve"> </w:t>
      </w:r>
      <w:r w:rsidR="003A50D7">
        <w:rPr>
          <w:rFonts w:ascii="Verdana" w:hAnsi="Verdana"/>
        </w:rPr>
        <w:t xml:space="preserve">available in a variety of formats and </w:t>
      </w:r>
      <w:r w:rsidR="00A47B03">
        <w:rPr>
          <w:rFonts w:ascii="Verdana" w:hAnsi="Verdana"/>
        </w:rPr>
        <w:t>provided</w:t>
      </w:r>
      <w:r>
        <w:rPr>
          <w:rFonts w:ascii="Verdana" w:hAnsi="Verdana"/>
        </w:rPr>
        <w:t xml:space="preserve"> in a timely manner</w:t>
      </w:r>
      <w:r w:rsidR="00FF6979">
        <w:rPr>
          <w:rFonts w:ascii="Verdana" w:hAnsi="Verdana"/>
        </w:rPr>
        <w:t xml:space="preserve"> </w:t>
      </w:r>
      <w:r w:rsidR="00AA7A7D">
        <w:rPr>
          <w:rFonts w:ascii="Verdana" w:hAnsi="Verdana"/>
        </w:rPr>
        <w:t>to all key stakeholders in</w:t>
      </w:r>
      <w:r w:rsidR="00C044E8">
        <w:rPr>
          <w:rFonts w:ascii="Verdana" w:hAnsi="Verdana"/>
        </w:rPr>
        <w:t>volved in</w:t>
      </w:r>
      <w:r w:rsidR="00AA7A7D">
        <w:rPr>
          <w:rFonts w:ascii="Verdana" w:hAnsi="Verdana"/>
        </w:rPr>
        <w:t xml:space="preserve"> the budgeting process? </w:t>
      </w:r>
    </w:p>
    <w:p w14:paraId="713DCDD8" w14:textId="5455BE77" w:rsidR="00886BF0" w:rsidRDefault="00886BF0" w:rsidP="00784C74">
      <w:pPr>
        <w:pStyle w:val="BasicParagraph"/>
        <w:numPr>
          <w:ilvl w:val="0"/>
          <w:numId w:val="37"/>
        </w:numPr>
        <w:suppressAutoHyphens/>
        <w:rPr>
          <w:rFonts w:ascii="Verdana" w:hAnsi="Verdana"/>
        </w:rPr>
      </w:pPr>
      <w:r>
        <w:rPr>
          <w:rFonts w:ascii="Verdana" w:hAnsi="Verdana"/>
        </w:rPr>
        <w:t>Do</w:t>
      </w:r>
      <w:r w:rsidR="00EB21A5">
        <w:rPr>
          <w:rFonts w:ascii="Verdana" w:hAnsi="Verdana"/>
        </w:rPr>
        <w:t>es each Department</w:t>
      </w:r>
      <w:r w:rsidR="00873F65">
        <w:rPr>
          <w:rFonts w:ascii="Verdana" w:hAnsi="Verdana"/>
        </w:rPr>
        <w:t xml:space="preserve"> </w:t>
      </w:r>
      <w:r w:rsidR="00E56839">
        <w:rPr>
          <w:rFonts w:ascii="Verdana" w:hAnsi="Verdana"/>
        </w:rPr>
        <w:t>use</w:t>
      </w:r>
      <w:r w:rsidR="007B5E07">
        <w:rPr>
          <w:rFonts w:ascii="Verdana" w:hAnsi="Verdana"/>
        </w:rPr>
        <w:t xml:space="preserve"> pre-</w:t>
      </w:r>
      <w:r w:rsidR="00873F65">
        <w:rPr>
          <w:rFonts w:ascii="Verdana" w:hAnsi="Verdana"/>
        </w:rPr>
        <w:t>budget</w:t>
      </w:r>
      <w:r w:rsidR="007B5E07">
        <w:rPr>
          <w:rFonts w:ascii="Verdana" w:hAnsi="Verdana"/>
        </w:rPr>
        <w:t xml:space="preserve"> </w:t>
      </w:r>
      <w:r w:rsidR="00873F65">
        <w:rPr>
          <w:rFonts w:ascii="Verdana" w:hAnsi="Verdana"/>
        </w:rPr>
        <w:t xml:space="preserve">statements and proposals </w:t>
      </w:r>
      <w:r w:rsidR="00512540">
        <w:rPr>
          <w:rFonts w:ascii="Verdana" w:hAnsi="Verdana"/>
        </w:rPr>
        <w:t>to convey essential information about how it plans to meet its human rights obligations</w:t>
      </w:r>
      <w:r w:rsidR="00B85C6E">
        <w:rPr>
          <w:rFonts w:ascii="Verdana" w:hAnsi="Verdana"/>
        </w:rPr>
        <w:t>?</w:t>
      </w:r>
      <w:r w:rsidR="008D57E0">
        <w:rPr>
          <w:rFonts w:ascii="Verdana" w:hAnsi="Verdana"/>
        </w:rPr>
        <w:t xml:space="preserve"> </w:t>
      </w:r>
    </w:p>
    <w:p w14:paraId="7A4F9035" w14:textId="6ECAD025" w:rsidR="00157156" w:rsidRPr="00C02FD1" w:rsidRDefault="0084319A" w:rsidP="00C02FD1">
      <w:pPr>
        <w:pStyle w:val="BasicParagraph"/>
        <w:numPr>
          <w:ilvl w:val="1"/>
          <w:numId w:val="37"/>
        </w:numPr>
        <w:suppressAutoHyphens/>
        <w:rPr>
          <w:rFonts w:ascii="Verdana" w:hAnsi="Verdana"/>
        </w:rPr>
      </w:pPr>
      <w:r>
        <w:rPr>
          <w:rFonts w:ascii="Verdana" w:hAnsi="Verdana"/>
        </w:rPr>
        <w:t xml:space="preserve">Are they prepared in such a way to enable effective comparison </w:t>
      </w:r>
      <w:r w:rsidR="007B5E07">
        <w:rPr>
          <w:rFonts w:ascii="Verdana" w:hAnsi="Verdana"/>
        </w:rPr>
        <w:t>between</w:t>
      </w:r>
      <w:r>
        <w:rPr>
          <w:rFonts w:ascii="Verdana" w:hAnsi="Verdana"/>
        </w:rPr>
        <w:t xml:space="preserve"> </w:t>
      </w:r>
      <w:r w:rsidR="004240D0" w:rsidRPr="004240D0">
        <w:rPr>
          <w:rFonts w:ascii="Verdana" w:hAnsi="Verdana"/>
        </w:rPr>
        <w:t>past, present and forecasted</w:t>
      </w:r>
      <w:r w:rsidR="004240D0">
        <w:rPr>
          <w:rFonts w:ascii="Verdana" w:hAnsi="Verdana"/>
        </w:rPr>
        <w:t xml:space="preserve"> measures</w:t>
      </w:r>
      <w:r w:rsidR="002C4391">
        <w:rPr>
          <w:rFonts w:ascii="Verdana" w:hAnsi="Verdana"/>
        </w:rPr>
        <w:t xml:space="preserve"> </w:t>
      </w:r>
      <w:r w:rsidR="000A5FE2">
        <w:rPr>
          <w:rFonts w:ascii="Verdana" w:hAnsi="Verdana"/>
        </w:rPr>
        <w:t>in terms of the</w:t>
      </w:r>
      <w:r w:rsidR="00954EDD">
        <w:rPr>
          <w:rFonts w:ascii="Verdana" w:hAnsi="Verdana"/>
        </w:rPr>
        <w:t>ir impact on human rights?</w:t>
      </w:r>
      <w:r w:rsidR="00A17D57">
        <w:rPr>
          <w:rFonts w:ascii="Verdana" w:hAnsi="Verdana"/>
        </w:rPr>
        <w:t xml:space="preserve"> </w:t>
      </w:r>
    </w:p>
    <w:p w14:paraId="4B0B5BDD" w14:textId="77777777" w:rsidR="003111A4" w:rsidRDefault="003111A4" w:rsidP="00C044E8">
      <w:pPr>
        <w:pStyle w:val="BasicParagraph"/>
        <w:suppressAutoHyphens/>
        <w:rPr>
          <w:rFonts w:ascii="Verdana" w:hAnsi="Verdana"/>
        </w:rPr>
      </w:pPr>
    </w:p>
    <w:p w14:paraId="09304446" w14:textId="7B26742B" w:rsidR="00D604F3" w:rsidRDefault="009C7AA3" w:rsidP="00A01331">
      <w:pPr>
        <w:pStyle w:val="BasicParagraph"/>
        <w:numPr>
          <w:ilvl w:val="1"/>
          <w:numId w:val="19"/>
        </w:numPr>
        <w:suppressAutoHyphens/>
        <w:spacing w:after="240"/>
        <w:rPr>
          <w:rFonts w:ascii="Verdana" w:hAnsi="Verdana"/>
        </w:rPr>
      </w:pPr>
      <w:r>
        <w:rPr>
          <w:rFonts w:ascii="Verdana" w:hAnsi="Verdana"/>
        </w:rPr>
        <w:t>It is acknowledged that the income streams available to fund the NI Executive’s activities are limited.</w:t>
      </w:r>
      <w:r>
        <w:rPr>
          <w:rStyle w:val="FootnoteReference"/>
          <w:rFonts w:ascii="Verdana" w:hAnsi="Verdana"/>
        </w:rPr>
        <w:footnoteReference w:id="52"/>
      </w:r>
      <w:r w:rsidR="008F1B3B">
        <w:rPr>
          <w:rFonts w:ascii="Verdana" w:hAnsi="Verdana"/>
        </w:rPr>
        <w:t xml:space="preserve"> However</w:t>
      </w:r>
      <w:r w:rsidR="008A7C2E">
        <w:rPr>
          <w:rFonts w:ascii="Verdana" w:hAnsi="Verdana"/>
        </w:rPr>
        <w:t xml:space="preserve">, </w:t>
      </w:r>
      <w:r w:rsidR="00F11876">
        <w:rPr>
          <w:rFonts w:ascii="Verdana" w:hAnsi="Verdana"/>
        </w:rPr>
        <w:t xml:space="preserve">the following questions may </w:t>
      </w:r>
      <w:r w:rsidR="003D43E4">
        <w:rPr>
          <w:rFonts w:ascii="Verdana" w:hAnsi="Verdana"/>
        </w:rPr>
        <w:t xml:space="preserve">still </w:t>
      </w:r>
      <w:r w:rsidR="00F11876">
        <w:rPr>
          <w:rFonts w:ascii="Verdana" w:hAnsi="Verdana"/>
        </w:rPr>
        <w:t>be useful</w:t>
      </w:r>
      <w:r w:rsidR="00A01331">
        <w:rPr>
          <w:rFonts w:ascii="Verdana" w:hAnsi="Verdana"/>
        </w:rPr>
        <w:t xml:space="preserve"> to </w:t>
      </w:r>
      <w:r w:rsidR="0028530D">
        <w:rPr>
          <w:rFonts w:ascii="Verdana" w:hAnsi="Verdana"/>
        </w:rPr>
        <w:t>consider in relation to</w:t>
      </w:r>
      <w:r w:rsidR="00A01331">
        <w:rPr>
          <w:rFonts w:ascii="Verdana" w:hAnsi="Verdana"/>
        </w:rPr>
        <w:t xml:space="preserve"> resource generation</w:t>
      </w:r>
      <w:r w:rsidR="003D43E4">
        <w:rPr>
          <w:rFonts w:ascii="Verdana" w:hAnsi="Verdana"/>
        </w:rPr>
        <w:t>:</w:t>
      </w:r>
    </w:p>
    <w:p w14:paraId="2AAB839F" w14:textId="1D6E6214" w:rsidR="00B31724" w:rsidRDefault="008E1714" w:rsidP="00B31724">
      <w:pPr>
        <w:pStyle w:val="BasicParagraph"/>
        <w:numPr>
          <w:ilvl w:val="0"/>
          <w:numId w:val="36"/>
        </w:numPr>
        <w:suppressAutoHyphens/>
        <w:rPr>
          <w:rFonts w:ascii="Verdana" w:hAnsi="Verdana"/>
        </w:rPr>
      </w:pPr>
      <w:r>
        <w:rPr>
          <w:rFonts w:ascii="Verdana" w:hAnsi="Verdana"/>
        </w:rPr>
        <w:t xml:space="preserve">Is the </w:t>
      </w:r>
      <w:r w:rsidR="006C453D">
        <w:rPr>
          <w:rFonts w:ascii="Verdana" w:hAnsi="Verdana"/>
        </w:rPr>
        <w:t>domestic rates</w:t>
      </w:r>
      <w:r>
        <w:rPr>
          <w:rFonts w:ascii="Verdana" w:hAnsi="Verdana"/>
        </w:rPr>
        <w:t xml:space="preserve"> system</w:t>
      </w:r>
      <w:r w:rsidR="00F11876">
        <w:rPr>
          <w:rFonts w:ascii="Verdana" w:hAnsi="Verdana"/>
        </w:rPr>
        <w:t xml:space="preserve"> raising the maximum available funds?</w:t>
      </w:r>
    </w:p>
    <w:p w14:paraId="45FC21F0" w14:textId="08AC47F7" w:rsidR="003D43E4" w:rsidRDefault="003D43E4" w:rsidP="00B31724">
      <w:pPr>
        <w:pStyle w:val="BasicParagraph"/>
        <w:numPr>
          <w:ilvl w:val="0"/>
          <w:numId w:val="36"/>
        </w:numPr>
        <w:suppressAutoHyphens/>
        <w:rPr>
          <w:rFonts w:ascii="Verdana" w:hAnsi="Verdana"/>
        </w:rPr>
      </w:pPr>
      <w:r>
        <w:rPr>
          <w:rFonts w:ascii="Verdana" w:hAnsi="Verdana"/>
        </w:rPr>
        <w:t>Who are the resources being generated from? Are there particular</w:t>
      </w:r>
      <w:r w:rsidR="00500176">
        <w:rPr>
          <w:rFonts w:ascii="Verdana" w:hAnsi="Verdana"/>
        </w:rPr>
        <w:t xml:space="preserve"> </w:t>
      </w:r>
      <w:r>
        <w:rPr>
          <w:rFonts w:ascii="Verdana" w:hAnsi="Verdana"/>
        </w:rPr>
        <w:t xml:space="preserve">groups being disproportionately impacted? </w:t>
      </w:r>
    </w:p>
    <w:p w14:paraId="3EB677D8" w14:textId="77777777" w:rsidR="00586B14" w:rsidRDefault="00586B14" w:rsidP="00586B14">
      <w:pPr>
        <w:pStyle w:val="BasicParagraph"/>
        <w:suppressAutoHyphens/>
        <w:ind w:left="720"/>
        <w:rPr>
          <w:rFonts w:ascii="Verdana" w:hAnsi="Verdana"/>
        </w:rPr>
      </w:pPr>
    </w:p>
    <w:p w14:paraId="61BD1AE9" w14:textId="1A32E6A9" w:rsidR="007B287C" w:rsidRPr="00FB0885" w:rsidRDefault="00FB0885" w:rsidP="00E26C59">
      <w:pPr>
        <w:pStyle w:val="Heading2"/>
        <w:spacing w:after="240"/>
        <w:rPr>
          <w:b w:val="0"/>
          <w:bCs/>
        </w:rPr>
      </w:pPr>
      <w:bookmarkStart w:id="9" w:name="_Toc190785281"/>
      <w:r w:rsidRPr="004347D7">
        <w:t>Approval Stage</w:t>
      </w:r>
      <w:r w:rsidR="00CA1492">
        <w:t>: Resource Allocation</w:t>
      </w:r>
      <w:bookmarkEnd w:id="9"/>
    </w:p>
    <w:p w14:paraId="0F54844D" w14:textId="24D95E78" w:rsidR="00FF6977" w:rsidRPr="00FF6977" w:rsidRDefault="00426A4C" w:rsidP="00A57701">
      <w:pPr>
        <w:pStyle w:val="BasicParagraph"/>
        <w:numPr>
          <w:ilvl w:val="1"/>
          <w:numId w:val="19"/>
        </w:numPr>
        <w:suppressAutoHyphens/>
        <w:rPr>
          <w:rFonts w:ascii="Verdana" w:hAnsi="Verdana"/>
        </w:rPr>
      </w:pPr>
      <w:r>
        <w:rPr>
          <w:rFonts w:ascii="Verdana" w:hAnsi="Verdana"/>
        </w:rPr>
        <w:t>Once</w:t>
      </w:r>
      <w:r w:rsidR="00CB24C2">
        <w:rPr>
          <w:rFonts w:ascii="Verdana" w:hAnsi="Verdana"/>
        </w:rPr>
        <w:t xml:space="preserve"> each NI Executive Department has identified its human rights obligations</w:t>
      </w:r>
      <w:r w:rsidR="00487CAC">
        <w:rPr>
          <w:rFonts w:ascii="Verdana" w:hAnsi="Verdana"/>
        </w:rPr>
        <w:t xml:space="preserve"> and</w:t>
      </w:r>
      <w:r w:rsidR="003C6ED0">
        <w:rPr>
          <w:rFonts w:ascii="Verdana" w:hAnsi="Verdana"/>
        </w:rPr>
        <w:t xml:space="preserve"> analysed the human rights concerns facing different individuals and</w:t>
      </w:r>
      <w:r w:rsidR="00487CAC">
        <w:rPr>
          <w:rFonts w:ascii="Verdana" w:hAnsi="Verdana"/>
        </w:rPr>
        <w:t>/or groups</w:t>
      </w:r>
      <w:r w:rsidR="00403BDC">
        <w:rPr>
          <w:rFonts w:ascii="Verdana" w:hAnsi="Verdana"/>
        </w:rPr>
        <w:t xml:space="preserve"> in NI</w:t>
      </w:r>
      <w:r w:rsidR="00487CAC">
        <w:rPr>
          <w:rFonts w:ascii="Verdana" w:hAnsi="Verdana"/>
        </w:rPr>
        <w:t xml:space="preserve">, it should reflect on the </w:t>
      </w:r>
      <w:r w:rsidR="0057094B">
        <w:rPr>
          <w:rFonts w:ascii="Verdana" w:hAnsi="Verdana"/>
        </w:rPr>
        <w:t>following</w:t>
      </w:r>
      <w:r w:rsidR="00A03270">
        <w:rPr>
          <w:rFonts w:ascii="Verdana" w:hAnsi="Verdana"/>
        </w:rPr>
        <w:t xml:space="preserve"> to assist </w:t>
      </w:r>
      <w:r w:rsidR="00E57847">
        <w:rPr>
          <w:rFonts w:ascii="Verdana" w:hAnsi="Verdana"/>
        </w:rPr>
        <w:t>decision-</w:t>
      </w:r>
      <w:r w:rsidR="0057094B">
        <w:rPr>
          <w:rFonts w:ascii="Verdana" w:hAnsi="Verdana"/>
        </w:rPr>
        <w:t>making</w:t>
      </w:r>
      <w:r w:rsidR="00E57847">
        <w:rPr>
          <w:rFonts w:ascii="Verdana" w:hAnsi="Verdana"/>
        </w:rPr>
        <w:t xml:space="preserve"> on</w:t>
      </w:r>
      <w:r w:rsidR="0057094B">
        <w:rPr>
          <w:rFonts w:ascii="Verdana" w:hAnsi="Verdana"/>
        </w:rPr>
        <w:t xml:space="preserve"> allocations:</w:t>
      </w:r>
      <w:r w:rsidR="00FF6977" w:rsidRPr="00FF6977">
        <w:rPr>
          <w:rFonts w:asciiTheme="minorHAnsi" w:hAnsiTheme="minorHAnsi" w:cstheme="minorBidi"/>
          <w:sz w:val="27"/>
          <w:szCs w:val="27"/>
        </w:rPr>
        <w:t xml:space="preserve"> </w:t>
      </w:r>
    </w:p>
    <w:p w14:paraId="7A2833A6" w14:textId="77777777" w:rsidR="00FF6977" w:rsidRDefault="00FF6977" w:rsidP="00FF6977">
      <w:pPr>
        <w:pStyle w:val="BasicParagraph"/>
        <w:suppressAutoHyphens/>
        <w:ind w:left="720"/>
        <w:rPr>
          <w:rFonts w:ascii="Verdana" w:hAnsi="Verdana"/>
        </w:rPr>
      </w:pPr>
    </w:p>
    <w:p w14:paraId="2146E3E3" w14:textId="77777777" w:rsidR="00FF6977" w:rsidRPr="00D15A17" w:rsidRDefault="00FF6977" w:rsidP="00FF6977">
      <w:pPr>
        <w:pStyle w:val="ListParagraph"/>
        <w:numPr>
          <w:ilvl w:val="0"/>
          <w:numId w:val="38"/>
        </w:numPr>
        <w:spacing w:line="276" w:lineRule="auto"/>
        <w:rPr>
          <w:rStyle w:val="normaltextrun"/>
          <w:rFonts w:ascii="Verdana" w:hAnsi="Verdana"/>
        </w:rPr>
      </w:pPr>
      <w:r w:rsidRPr="00D15A17">
        <w:rPr>
          <w:rStyle w:val="normaltextrun"/>
          <w:rFonts w:ascii="Verdana" w:hAnsi="Verdana"/>
        </w:rPr>
        <w:t>Has every effort been made to use all resources at the Department’s disposal</w:t>
      </w:r>
      <w:r>
        <w:rPr>
          <w:rStyle w:val="normaltextrun"/>
          <w:rFonts w:ascii="Verdana" w:hAnsi="Verdana"/>
        </w:rPr>
        <w:t>?</w:t>
      </w:r>
    </w:p>
    <w:p w14:paraId="37A13A08" w14:textId="77777777" w:rsidR="00FF6977" w:rsidRPr="00D15A17" w:rsidRDefault="00FF6977" w:rsidP="00FF6977">
      <w:pPr>
        <w:pStyle w:val="ListParagraph"/>
        <w:numPr>
          <w:ilvl w:val="0"/>
          <w:numId w:val="38"/>
        </w:numPr>
        <w:spacing w:line="276" w:lineRule="auto"/>
        <w:rPr>
          <w:rStyle w:val="normaltextrun"/>
          <w:rFonts w:ascii="Verdana" w:hAnsi="Verdana"/>
        </w:rPr>
      </w:pPr>
      <w:r w:rsidRPr="00D15A17">
        <w:rPr>
          <w:rStyle w:val="normaltextrun"/>
          <w:rFonts w:ascii="Verdana" w:hAnsi="Verdana"/>
        </w:rPr>
        <w:t>Has every effort been made to satisfy, as a matter of priority, certain minimum human rights obligations?</w:t>
      </w:r>
    </w:p>
    <w:p w14:paraId="3F3C1215" w14:textId="71BA1867" w:rsidR="00FF6977" w:rsidRPr="00D15A17" w:rsidRDefault="00FF6977" w:rsidP="00FF6977">
      <w:pPr>
        <w:pStyle w:val="ListParagraph"/>
        <w:numPr>
          <w:ilvl w:val="0"/>
          <w:numId w:val="38"/>
        </w:numPr>
        <w:spacing w:line="276" w:lineRule="auto"/>
        <w:rPr>
          <w:rStyle w:val="normaltextrun"/>
          <w:rFonts w:ascii="Verdana" w:hAnsi="Verdana"/>
        </w:rPr>
      </w:pPr>
      <w:r w:rsidRPr="00D15A17">
        <w:rPr>
          <w:rStyle w:val="normaltextrun"/>
          <w:rFonts w:ascii="Verdana" w:hAnsi="Verdana"/>
        </w:rPr>
        <w:t>Has particular attention been paid to</w:t>
      </w:r>
      <w:r>
        <w:rPr>
          <w:rStyle w:val="normaltextrun"/>
          <w:rFonts w:ascii="Verdana" w:hAnsi="Verdana"/>
        </w:rPr>
        <w:t xml:space="preserve"> meeting the needs of</w:t>
      </w:r>
      <w:r w:rsidRPr="00D15A17">
        <w:rPr>
          <w:rStyle w:val="normaltextrun"/>
          <w:rFonts w:ascii="Verdana" w:hAnsi="Verdana"/>
        </w:rPr>
        <w:t xml:space="preserve"> marginalised or vulnerable groups, and have measures been taken to prevent or mitigate any adverse human rights impacts?</w:t>
      </w:r>
    </w:p>
    <w:p w14:paraId="7BA91992" w14:textId="33635188" w:rsidR="00FF6977" w:rsidRDefault="00FF6977" w:rsidP="00FF6977">
      <w:pPr>
        <w:pStyle w:val="ListParagraph"/>
        <w:numPr>
          <w:ilvl w:val="0"/>
          <w:numId w:val="38"/>
        </w:numPr>
        <w:spacing w:line="276" w:lineRule="auto"/>
        <w:rPr>
          <w:rStyle w:val="normaltextrun"/>
          <w:rFonts w:ascii="Verdana" w:hAnsi="Verdana"/>
        </w:rPr>
      </w:pPr>
      <w:r w:rsidRPr="00D15A17">
        <w:rPr>
          <w:rStyle w:val="normaltextrun"/>
          <w:rFonts w:ascii="Verdana" w:hAnsi="Verdana"/>
        </w:rPr>
        <w:t>Will any restrictive measures taken be rescinded if additional resources are obtained in</w:t>
      </w:r>
      <w:r>
        <w:rPr>
          <w:rStyle w:val="normaltextrun"/>
          <w:rFonts w:ascii="Verdana" w:hAnsi="Verdana"/>
        </w:rPr>
        <w:t>-year</w:t>
      </w:r>
      <w:r w:rsidRPr="00D15A17">
        <w:rPr>
          <w:rStyle w:val="normaltextrun"/>
          <w:rFonts w:ascii="Verdana" w:hAnsi="Verdana"/>
        </w:rPr>
        <w:t>?</w:t>
      </w:r>
    </w:p>
    <w:p w14:paraId="07A3E294" w14:textId="77777777" w:rsidR="002455E6" w:rsidRDefault="00FE3EB5" w:rsidP="00FF6977">
      <w:pPr>
        <w:pStyle w:val="ListParagraph"/>
        <w:numPr>
          <w:ilvl w:val="0"/>
          <w:numId w:val="38"/>
        </w:numPr>
        <w:spacing w:line="276" w:lineRule="auto"/>
        <w:rPr>
          <w:rStyle w:val="normaltextrun"/>
          <w:rFonts w:ascii="Verdana" w:hAnsi="Verdana"/>
        </w:rPr>
      </w:pPr>
      <w:r>
        <w:rPr>
          <w:rStyle w:val="normaltextrun"/>
          <w:rFonts w:ascii="Verdana" w:hAnsi="Verdana"/>
        </w:rPr>
        <w:t xml:space="preserve">How do allocations compare to other areas of the budget? </w:t>
      </w:r>
    </w:p>
    <w:p w14:paraId="4C8E313D" w14:textId="12F94F0D" w:rsidR="00FE3EB5" w:rsidRPr="00FF6977" w:rsidRDefault="002455E6" w:rsidP="002455E6">
      <w:pPr>
        <w:pStyle w:val="ListParagraph"/>
        <w:numPr>
          <w:ilvl w:val="0"/>
          <w:numId w:val="41"/>
        </w:numPr>
        <w:spacing w:line="276" w:lineRule="auto"/>
        <w:rPr>
          <w:rFonts w:ascii="Verdana" w:hAnsi="Verdana"/>
        </w:rPr>
      </w:pPr>
      <w:r>
        <w:rPr>
          <w:rFonts w:ascii="Verdana" w:hAnsi="Verdana"/>
        </w:rPr>
        <w:t>Are</w:t>
      </w:r>
      <w:r w:rsidR="007C5BA5">
        <w:rPr>
          <w:rFonts w:ascii="Verdana" w:hAnsi="Verdana"/>
        </w:rPr>
        <w:t xml:space="preserve"> there any</w:t>
      </w:r>
      <w:r w:rsidR="001159CC">
        <w:rPr>
          <w:rFonts w:ascii="Verdana" w:hAnsi="Verdana"/>
        </w:rPr>
        <w:t xml:space="preserve"> individuals and groups </w:t>
      </w:r>
      <w:r w:rsidR="00395766">
        <w:rPr>
          <w:rFonts w:ascii="Verdana" w:hAnsi="Verdana"/>
        </w:rPr>
        <w:t>experiencing disproportionate and cumulative</w:t>
      </w:r>
      <w:r w:rsidR="007C5BA5">
        <w:rPr>
          <w:rFonts w:ascii="Verdana" w:hAnsi="Verdana"/>
        </w:rPr>
        <w:t xml:space="preserve"> impact</w:t>
      </w:r>
      <w:r w:rsidR="00395766">
        <w:rPr>
          <w:rFonts w:ascii="Verdana" w:hAnsi="Verdana"/>
        </w:rPr>
        <w:t>s</w:t>
      </w:r>
      <w:r w:rsidR="007C5BA5">
        <w:rPr>
          <w:rFonts w:ascii="Verdana" w:hAnsi="Verdana"/>
        </w:rPr>
        <w:t xml:space="preserve"> across</w:t>
      </w:r>
      <w:r w:rsidR="001159CC">
        <w:rPr>
          <w:rFonts w:ascii="Verdana" w:hAnsi="Verdana"/>
        </w:rPr>
        <w:t xml:space="preserve"> the different sectors</w:t>
      </w:r>
      <w:r w:rsidR="00395766">
        <w:rPr>
          <w:rFonts w:ascii="Verdana" w:hAnsi="Verdana"/>
        </w:rPr>
        <w:t xml:space="preserve">? </w:t>
      </w:r>
    </w:p>
    <w:p w14:paraId="2F59C90A" w14:textId="77777777" w:rsidR="00FF6977" w:rsidRPr="00FF6977" w:rsidRDefault="00FF6977" w:rsidP="00FF6977">
      <w:pPr>
        <w:pStyle w:val="BasicParagraph"/>
        <w:suppressAutoHyphens/>
        <w:ind w:left="720"/>
        <w:rPr>
          <w:rFonts w:ascii="Verdana" w:hAnsi="Verdana"/>
        </w:rPr>
      </w:pPr>
    </w:p>
    <w:p w14:paraId="17A668B2" w14:textId="300D7CC4" w:rsidR="007B287C" w:rsidRDefault="00FF6977" w:rsidP="00A57701">
      <w:pPr>
        <w:pStyle w:val="BasicParagraph"/>
        <w:numPr>
          <w:ilvl w:val="1"/>
          <w:numId w:val="19"/>
        </w:numPr>
        <w:suppressAutoHyphens/>
        <w:rPr>
          <w:rFonts w:ascii="Verdana" w:hAnsi="Verdana"/>
        </w:rPr>
      </w:pPr>
      <w:r>
        <w:rPr>
          <w:rFonts w:ascii="Verdana" w:hAnsi="Verdana"/>
        </w:rPr>
        <w:t>As outlined above, t</w:t>
      </w:r>
      <w:r w:rsidRPr="00FF6977">
        <w:rPr>
          <w:rFonts w:ascii="Verdana" w:hAnsi="Verdana"/>
        </w:rPr>
        <w:t xml:space="preserve">he process of </w:t>
      </w:r>
      <w:r w:rsidR="0053228F">
        <w:rPr>
          <w:rFonts w:ascii="Verdana" w:hAnsi="Verdana"/>
        </w:rPr>
        <w:t xml:space="preserve">formulating and </w:t>
      </w:r>
      <w:r w:rsidRPr="00FF6977">
        <w:rPr>
          <w:rFonts w:ascii="Verdana" w:hAnsi="Verdana"/>
        </w:rPr>
        <w:t xml:space="preserve">deciding </w:t>
      </w:r>
      <w:r>
        <w:rPr>
          <w:rFonts w:ascii="Verdana" w:hAnsi="Verdana"/>
        </w:rPr>
        <w:t>on resource</w:t>
      </w:r>
      <w:r w:rsidRPr="00FF6977">
        <w:rPr>
          <w:rFonts w:ascii="Verdana" w:hAnsi="Verdana"/>
        </w:rPr>
        <w:t xml:space="preserve"> allocations should reflect the principles of participation, transparency, and accountability</w:t>
      </w:r>
      <w:r w:rsidR="0053228F">
        <w:rPr>
          <w:rFonts w:ascii="Verdana" w:hAnsi="Verdana"/>
        </w:rPr>
        <w:t xml:space="preserve"> (see paragraph 2.14)</w:t>
      </w:r>
      <w:r w:rsidR="001B1246">
        <w:rPr>
          <w:rFonts w:ascii="Verdana" w:hAnsi="Verdana"/>
        </w:rPr>
        <w:t>.</w:t>
      </w:r>
    </w:p>
    <w:p w14:paraId="6BD1D42A" w14:textId="77777777" w:rsidR="00D15A17" w:rsidRDefault="00D15A17" w:rsidP="00223466">
      <w:pPr>
        <w:pStyle w:val="BasicParagraph"/>
        <w:suppressAutoHyphens/>
        <w:rPr>
          <w:rFonts w:ascii="Verdana" w:hAnsi="Verdana"/>
        </w:rPr>
      </w:pPr>
    </w:p>
    <w:p w14:paraId="69050640" w14:textId="4EDD14BF" w:rsidR="0058787D" w:rsidRPr="003D5AEA" w:rsidRDefault="003D5AEA" w:rsidP="001065CF">
      <w:pPr>
        <w:pStyle w:val="Heading2"/>
        <w:spacing w:after="240"/>
        <w:rPr>
          <w:b w:val="0"/>
          <w:bCs/>
        </w:rPr>
      </w:pPr>
      <w:bookmarkStart w:id="10" w:name="_Toc190785282"/>
      <w:r w:rsidRPr="005F29F6">
        <w:t>Execution Stage</w:t>
      </w:r>
      <w:r w:rsidR="00CA1492">
        <w:rPr>
          <w:b w:val="0"/>
          <w:bCs/>
        </w:rPr>
        <w:t xml:space="preserve">: </w:t>
      </w:r>
      <w:r w:rsidR="00CA1492">
        <w:t>Monitoring Expenditure</w:t>
      </w:r>
      <w:bookmarkEnd w:id="10"/>
    </w:p>
    <w:p w14:paraId="35097336" w14:textId="16034090" w:rsidR="0058787D" w:rsidRDefault="009E1CEF" w:rsidP="00703E7D">
      <w:pPr>
        <w:pStyle w:val="BasicParagraph"/>
        <w:numPr>
          <w:ilvl w:val="1"/>
          <w:numId w:val="19"/>
        </w:numPr>
        <w:suppressAutoHyphens/>
        <w:spacing w:after="240"/>
        <w:rPr>
          <w:rFonts w:ascii="Verdana" w:hAnsi="Verdana"/>
        </w:rPr>
      </w:pPr>
      <w:r>
        <w:rPr>
          <w:rFonts w:ascii="Verdana" w:hAnsi="Verdana"/>
        </w:rPr>
        <w:t xml:space="preserve">To ensure </w:t>
      </w:r>
      <w:r w:rsidR="00BA6486">
        <w:rPr>
          <w:rFonts w:ascii="Verdana" w:hAnsi="Verdana"/>
        </w:rPr>
        <w:t xml:space="preserve">accountability, </w:t>
      </w:r>
      <w:r w:rsidR="007E0FCD">
        <w:rPr>
          <w:rFonts w:ascii="Verdana" w:hAnsi="Verdana"/>
        </w:rPr>
        <w:t xml:space="preserve">the </w:t>
      </w:r>
      <w:r w:rsidR="00BA6486">
        <w:rPr>
          <w:rFonts w:ascii="Verdana" w:hAnsi="Verdana"/>
        </w:rPr>
        <w:t xml:space="preserve">NI Executive </w:t>
      </w:r>
      <w:r w:rsidR="00CD3E3C">
        <w:rPr>
          <w:rFonts w:ascii="Verdana" w:hAnsi="Verdana"/>
        </w:rPr>
        <w:t>should regularly monitor and report on expenditure</w:t>
      </w:r>
      <w:r w:rsidR="00B82B80">
        <w:rPr>
          <w:rFonts w:ascii="Verdana" w:hAnsi="Verdana"/>
        </w:rPr>
        <w:t xml:space="preserve"> </w:t>
      </w:r>
      <w:r w:rsidR="000B4D45">
        <w:rPr>
          <w:rFonts w:ascii="Verdana" w:hAnsi="Verdana"/>
        </w:rPr>
        <w:t xml:space="preserve">in terms of </w:t>
      </w:r>
      <w:r w:rsidR="00134684">
        <w:rPr>
          <w:rFonts w:ascii="Verdana" w:hAnsi="Verdana"/>
        </w:rPr>
        <w:t xml:space="preserve">its </w:t>
      </w:r>
      <w:r w:rsidR="00785FDC">
        <w:rPr>
          <w:rFonts w:ascii="Verdana" w:hAnsi="Verdana"/>
        </w:rPr>
        <w:t xml:space="preserve">current and forecasted </w:t>
      </w:r>
      <w:r w:rsidR="001D6471">
        <w:rPr>
          <w:rFonts w:ascii="Verdana" w:hAnsi="Verdana"/>
        </w:rPr>
        <w:t xml:space="preserve">impact on </w:t>
      </w:r>
      <w:r w:rsidR="0007120B">
        <w:rPr>
          <w:rFonts w:ascii="Verdana" w:hAnsi="Verdana"/>
        </w:rPr>
        <w:t>human rights</w:t>
      </w:r>
      <w:r w:rsidR="007911EF">
        <w:rPr>
          <w:rFonts w:ascii="Verdana" w:hAnsi="Verdana"/>
        </w:rPr>
        <w:t xml:space="preserve">. </w:t>
      </w:r>
      <w:r w:rsidR="00464255">
        <w:rPr>
          <w:rFonts w:ascii="Verdana" w:hAnsi="Verdana"/>
        </w:rPr>
        <w:t>If a department has not spent all allocated resources by the end of the year, then i</w:t>
      </w:r>
      <w:r w:rsidR="00ED4869">
        <w:rPr>
          <w:rFonts w:ascii="Verdana" w:hAnsi="Verdana"/>
        </w:rPr>
        <w:t>t</w:t>
      </w:r>
      <w:r w:rsidR="00464255">
        <w:rPr>
          <w:rFonts w:ascii="Verdana" w:hAnsi="Verdana"/>
        </w:rPr>
        <w:t xml:space="preserve"> has not made full use of </w:t>
      </w:r>
      <w:r w:rsidR="00196A04">
        <w:rPr>
          <w:rFonts w:ascii="Verdana" w:hAnsi="Verdana"/>
        </w:rPr>
        <w:t xml:space="preserve">its </w:t>
      </w:r>
      <w:r w:rsidR="00464255">
        <w:rPr>
          <w:rFonts w:ascii="Verdana" w:hAnsi="Verdana"/>
        </w:rPr>
        <w:t xml:space="preserve">maximum available </w:t>
      </w:r>
      <w:r w:rsidR="00464255">
        <w:rPr>
          <w:rFonts w:ascii="Verdana" w:hAnsi="Verdana"/>
        </w:rPr>
        <w:lastRenderedPageBreak/>
        <w:t xml:space="preserve">resources. </w:t>
      </w:r>
      <w:r w:rsidR="00210F2B">
        <w:rPr>
          <w:rFonts w:ascii="Verdana" w:hAnsi="Verdana"/>
        </w:rPr>
        <w:t xml:space="preserve">Where </w:t>
      </w:r>
      <w:r w:rsidR="00BD43D4">
        <w:rPr>
          <w:rFonts w:ascii="Verdana" w:hAnsi="Verdana"/>
        </w:rPr>
        <w:t xml:space="preserve">policies </w:t>
      </w:r>
      <w:r w:rsidR="00210F2B">
        <w:rPr>
          <w:rFonts w:ascii="Verdana" w:hAnsi="Verdana"/>
        </w:rPr>
        <w:t>and/or</w:t>
      </w:r>
      <w:r w:rsidR="00BD43D4">
        <w:rPr>
          <w:rFonts w:ascii="Verdana" w:hAnsi="Verdana"/>
        </w:rPr>
        <w:t xml:space="preserve"> programmes </w:t>
      </w:r>
      <w:r w:rsidR="00210F2B">
        <w:rPr>
          <w:rFonts w:ascii="Verdana" w:hAnsi="Verdana"/>
        </w:rPr>
        <w:t>do n</w:t>
      </w:r>
      <w:r w:rsidR="00BD43D4">
        <w:rPr>
          <w:rFonts w:ascii="Verdana" w:hAnsi="Verdana"/>
        </w:rPr>
        <w:t xml:space="preserve">ot reach </w:t>
      </w:r>
      <w:r w:rsidR="00E81F08">
        <w:rPr>
          <w:rFonts w:ascii="Verdana" w:hAnsi="Verdana"/>
        </w:rPr>
        <w:t xml:space="preserve">all intended beneficiaries as planned or </w:t>
      </w:r>
      <w:r w:rsidR="007B4D4A">
        <w:rPr>
          <w:rFonts w:ascii="Verdana" w:hAnsi="Verdana"/>
        </w:rPr>
        <w:t xml:space="preserve">have unexpected </w:t>
      </w:r>
      <w:r w:rsidR="00210F2B">
        <w:rPr>
          <w:rFonts w:ascii="Verdana" w:hAnsi="Verdana"/>
        </w:rPr>
        <w:t xml:space="preserve">results, </w:t>
      </w:r>
      <w:r w:rsidR="007B4D4A">
        <w:rPr>
          <w:rFonts w:ascii="Verdana" w:hAnsi="Verdana"/>
        </w:rPr>
        <w:t>department</w:t>
      </w:r>
      <w:r w:rsidR="00210F2B">
        <w:rPr>
          <w:rFonts w:ascii="Verdana" w:hAnsi="Verdana"/>
        </w:rPr>
        <w:t>s</w:t>
      </w:r>
      <w:r w:rsidR="007B4D4A">
        <w:rPr>
          <w:rFonts w:ascii="Verdana" w:hAnsi="Verdana"/>
        </w:rPr>
        <w:t xml:space="preserve"> </w:t>
      </w:r>
      <w:r w:rsidR="001E78F9">
        <w:rPr>
          <w:rFonts w:ascii="Verdana" w:hAnsi="Verdana"/>
        </w:rPr>
        <w:t>should use in-year</w:t>
      </w:r>
      <w:r w:rsidR="00E00B66">
        <w:rPr>
          <w:rFonts w:ascii="Verdana" w:hAnsi="Verdana"/>
        </w:rPr>
        <w:t xml:space="preserve"> monitoring</w:t>
      </w:r>
      <w:r w:rsidR="001E78F9">
        <w:rPr>
          <w:rFonts w:ascii="Verdana" w:hAnsi="Verdana"/>
        </w:rPr>
        <w:t xml:space="preserve"> </w:t>
      </w:r>
      <w:r w:rsidR="00E00B66">
        <w:rPr>
          <w:rFonts w:ascii="Verdana" w:hAnsi="Verdana"/>
        </w:rPr>
        <w:t xml:space="preserve">to </w:t>
      </w:r>
      <w:r w:rsidR="00C001AE">
        <w:rPr>
          <w:rFonts w:ascii="Verdana" w:hAnsi="Verdana"/>
        </w:rPr>
        <w:t xml:space="preserve">explore </w:t>
      </w:r>
      <w:r w:rsidR="001E78F9" w:rsidRPr="001E78F9">
        <w:rPr>
          <w:rFonts w:ascii="Verdana" w:hAnsi="Verdana"/>
        </w:rPr>
        <w:t xml:space="preserve">why this has occurred and </w:t>
      </w:r>
      <w:r w:rsidR="00C001AE">
        <w:rPr>
          <w:rFonts w:ascii="Verdana" w:hAnsi="Verdana"/>
        </w:rPr>
        <w:t>take rapid corrective action whe</w:t>
      </w:r>
      <w:r w:rsidR="00210F2B">
        <w:rPr>
          <w:rFonts w:ascii="Verdana" w:hAnsi="Verdana"/>
        </w:rPr>
        <w:t>re</w:t>
      </w:r>
      <w:r w:rsidR="00C001AE">
        <w:rPr>
          <w:rFonts w:ascii="Verdana" w:hAnsi="Verdana"/>
        </w:rPr>
        <w:t xml:space="preserve"> necessary</w:t>
      </w:r>
      <w:r w:rsidR="00E00B66">
        <w:rPr>
          <w:rFonts w:ascii="Verdana" w:hAnsi="Verdana"/>
        </w:rPr>
        <w:t>.</w:t>
      </w:r>
      <w:r w:rsidR="001C4E8F">
        <w:rPr>
          <w:rStyle w:val="FootnoteReference"/>
          <w:rFonts w:ascii="Verdana" w:hAnsi="Verdana"/>
        </w:rPr>
        <w:footnoteReference w:id="53"/>
      </w:r>
      <w:r w:rsidR="00210F2B">
        <w:rPr>
          <w:rFonts w:ascii="Verdana" w:hAnsi="Verdana"/>
        </w:rPr>
        <w:t xml:space="preserve"> </w:t>
      </w:r>
      <w:r w:rsidR="00E623ED">
        <w:rPr>
          <w:rFonts w:ascii="Verdana" w:hAnsi="Verdana"/>
        </w:rPr>
        <w:t xml:space="preserve">The following questions may </w:t>
      </w:r>
      <w:r w:rsidR="00D80EBA">
        <w:rPr>
          <w:rFonts w:ascii="Verdana" w:hAnsi="Verdana"/>
        </w:rPr>
        <w:t xml:space="preserve">facilitate </w:t>
      </w:r>
      <w:r w:rsidR="007056EC">
        <w:rPr>
          <w:rFonts w:ascii="Verdana" w:hAnsi="Verdana"/>
        </w:rPr>
        <w:t xml:space="preserve">the </w:t>
      </w:r>
      <w:r w:rsidR="00B61E33">
        <w:rPr>
          <w:rFonts w:ascii="Verdana" w:hAnsi="Verdana"/>
        </w:rPr>
        <w:t>monitoring of</w:t>
      </w:r>
      <w:r w:rsidR="00D44204">
        <w:rPr>
          <w:rFonts w:ascii="Verdana" w:hAnsi="Verdana"/>
        </w:rPr>
        <w:t xml:space="preserve"> resource</w:t>
      </w:r>
      <w:r w:rsidR="00D80EBA">
        <w:rPr>
          <w:rFonts w:ascii="Verdana" w:hAnsi="Verdana"/>
        </w:rPr>
        <w:t xml:space="preserve"> expenditure </w:t>
      </w:r>
      <w:r w:rsidR="001E19EC">
        <w:rPr>
          <w:rFonts w:ascii="Verdana" w:hAnsi="Verdana"/>
        </w:rPr>
        <w:t>in terms of each</w:t>
      </w:r>
      <w:r w:rsidR="00D44204">
        <w:rPr>
          <w:rFonts w:ascii="Verdana" w:hAnsi="Verdana"/>
        </w:rPr>
        <w:t xml:space="preserve"> </w:t>
      </w:r>
      <w:r w:rsidR="001E19EC">
        <w:rPr>
          <w:rFonts w:ascii="Verdana" w:hAnsi="Verdana"/>
        </w:rPr>
        <w:t>d</w:t>
      </w:r>
      <w:r w:rsidR="00D44204">
        <w:rPr>
          <w:rFonts w:ascii="Verdana" w:hAnsi="Verdana"/>
        </w:rPr>
        <w:t>epartment’s human rights commitments</w:t>
      </w:r>
      <w:r w:rsidR="001E19EC">
        <w:rPr>
          <w:rFonts w:ascii="Verdana" w:hAnsi="Verdana"/>
        </w:rPr>
        <w:t xml:space="preserve">: </w:t>
      </w:r>
    </w:p>
    <w:p w14:paraId="0A88D9B3" w14:textId="4E01790C" w:rsidR="00714A0A" w:rsidRDefault="008B2BE7" w:rsidP="001C4E8F">
      <w:pPr>
        <w:pStyle w:val="BasicParagraph"/>
        <w:numPr>
          <w:ilvl w:val="0"/>
          <w:numId w:val="40"/>
        </w:numPr>
        <w:suppressAutoHyphens/>
        <w:rPr>
          <w:rFonts w:ascii="Verdana" w:hAnsi="Verdana"/>
        </w:rPr>
      </w:pPr>
      <w:r>
        <w:rPr>
          <w:rFonts w:ascii="Verdana" w:hAnsi="Verdana"/>
        </w:rPr>
        <w:t xml:space="preserve">Is the Department on track to deliver </w:t>
      </w:r>
      <w:r w:rsidR="00E24346">
        <w:rPr>
          <w:rFonts w:ascii="Verdana" w:hAnsi="Verdana"/>
        </w:rPr>
        <w:t xml:space="preserve">its anticipated </w:t>
      </w:r>
      <w:r w:rsidR="00C90C65">
        <w:rPr>
          <w:rFonts w:ascii="Verdana" w:hAnsi="Verdana"/>
        </w:rPr>
        <w:t>outcomes?</w:t>
      </w:r>
    </w:p>
    <w:p w14:paraId="4DFC0254" w14:textId="5EB92B91" w:rsidR="009B328A" w:rsidRDefault="00714A0A" w:rsidP="001C4E8F">
      <w:pPr>
        <w:pStyle w:val="BasicParagraph"/>
        <w:numPr>
          <w:ilvl w:val="0"/>
          <w:numId w:val="40"/>
        </w:numPr>
        <w:suppressAutoHyphens/>
        <w:rPr>
          <w:rFonts w:ascii="Verdana" w:hAnsi="Verdana"/>
        </w:rPr>
      </w:pPr>
      <w:r w:rsidRPr="00714A0A">
        <w:rPr>
          <w:rFonts w:ascii="Verdana" w:hAnsi="Verdana"/>
        </w:rPr>
        <w:t xml:space="preserve">If not, was this because </w:t>
      </w:r>
      <w:r w:rsidR="00713360">
        <w:rPr>
          <w:rFonts w:ascii="Verdana" w:hAnsi="Verdana"/>
        </w:rPr>
        <w:t xml:space="preserve">the relevant measures </w:t>
      </w:r>
      <w:r w:rsidRPr="00714A0A">
        <w:rPr>
          <w:rFonts w:ascii="Verdana" w:hAnsi="Verdana"/>
        </w:rPr>
        <w:t>were not adequately resourced?</w:t>
      </w:r>
      <w:r w:rsidR="00E37565">
        <w:rPr>
          <w:rFonts w:ascii="Verdana" w:hAnsi="Verdana"/>
        </w:rPr>
        <w:t xml:space="preserve"> </w:t>
      </w:r>
    </w:p>
    <w:p w14:paraId="15703407" w14:textId="319B3DC5" w:rsidR="001C4E8F" w:rsidRDefault="00E37565" w:rsidP="001C4E8F">
      <w:pPr>
        <w:pStyle w:val="BasicParagraph"/>
        <w:numPr>
          <w:ilvl w:val="0"/>
          <w:numId w:val="40"/>
        </w:numPr>
        <w:suppressAutoHyphens/>
        <w:rPr>
          <w:rFonts w:ascii="Verdana" w:hAnsi="Verdana"/>
        </w:rPr>
      </w:pPr>
      <w:r w:rsidRPr="00E37565">
        <w:rPr>
          <w:rFonts w:ascii="Verdana" w:hAnsi="Verdana"/>
        </w:rPr>
        <w:t xml:space="preserve">Has </w:t>
      </w:r>
      <w:r>
        <w:rPr>
          <w:rFonts w:ascii="Verdana" w:hAnsi="Verdana"/>
        </w:rPr>
        <w:t>the Department</w:t>
      </w:r>
      <w:r w:rsidRPr="00E37565">
        <w:rPr>
          <w:rFonts w:ascii="Verdana" w:hAnsi="Verdana"/>
        </w:rPr>
        <w:t xml:space="preserve"> spent </w:t>
      </w:r>
      <w:r w:rsidR="00A408CA">
        <w:rPr>
          <w:rFonts w:ascii="Verdana" w:hAnsi="Verdana"/>
        </w:rPr>
        <w:t xml:space="preserve">its </w:t>
      </w:r>
      <w:r w:rsidRPr="00E37565">
        <w:rPr>
          <w:rFonts w:ascii="Verdana" w:hAnsi="Verdana"/>
        </w:rPr>
        <w:t>allocated funds as planned?</w:t>
      </w:r>
    </w:p>
    <w:p w14:paraId="516D9EA8" w14:textId="08A07FBB" w:rsidR="00A408CA" w:rsidRDefault="00A408CA" w:rsidP="001C4E8F">
      <w:pPr>
        <w:pStyle w:val="BasicParagraph"/>
        <w:numPr>
          <w:ilvl w:val="0"/>
          <w:numId w:val="40"/>
        </w:numPr>
        <w:suppressAutoHyphens/>
        <w:rPr>
          <w:rFonts w:ascii="Verdana" w:hAnsi="Verdana"/>
        </w:rPr>
      </w:pPr>
      <w:r w:rsidRPr="00A408CA">
        <w:rPr>
          <w:rFonts w:ascii="Verdana" w:hAnsi="Verdana"/>
        </w:rPr>
        <w:t xml:space="preserve">If allocated funds have not been spent, how </w:t>
      </w:r>
      <w:r w:rsidR="00CB4189">
        <w:rPr>
          <w:rFonts w:ascii="Verdana" w:hAnsi="Verdana"/>
        </w:rPr>
        <w:t>are they being</w:t>
      </w:r>
      <w:r w:rsidRPr="00A408CA">
        <w:rPr>
          <w:rFonts w:ascii="Verdana" w:hAnsi="Verdana"/>
        </w:rPr>
        <w:t xml:space="preserve"> reallocated?</w:t>
      </w:r>
    </w:p>
    <w:p w14:paraId="37C673E6" w14:textId="7B8B44D9" w:rsidR="00A4027A" w:rsidRPr="001C4E8F" w:rsidRDefault="00C90C65" w:rsidP="001C4E8F">
      <w:pPr>
        <w:pStyle w:val="BasicParagraph"/>
        <w:numPr>
          <w:ilvl w:val="0"/>
          <w:numId w:val="40"/>
        </w:numPr>
        <w:suppressAutoHyphens/>
        <w:rPr>
          <w:rFonts w:ascii="Verdana" w:hAnsi="Verdana"/>
        </w:rPr>
      </w:pPr>
      <w:r>
        <w:rPr>
          <w:rFonts w:ascii="Verdana" w:hAnsi="Verdana"/>
        </w:rPr>
        <w:t>During the</w:t>
      </w:r>
      <w:r w:rsidR="00A4027A" w:rsidRPr="00A4027A">
        <w:rPr>
          <w:rFonts w:ascii="Verdana" w:hAnsi="Verdana"/>
        </w:rPr>
        <w:t xml:space="preserve"> </w:t>
      </w:r>
      <w:r w:rsidR="005D0917">
        <w:rPr>
          <w:rFonts w:ascii="Verdana" w:hAnsi="Verdana"/>
        </w:rPr>
        <w:t xml:space="preserve">monitoring and </w:t>
      </w:r>
      <w:r w:rsidR="00A4027A" w:rsidRPr="00A4027A">
        <w:rPr>
          <w:rFonts w:ascii="Verdana" w:hAnsi="Verdana"/>
        </w:rPr>
        <w:t>reallocation process</w:t>
      </w:r>
      <w:r>
        <w:rPr>
          <w:rFonts w:ascii="Verdana" w:hAnsi="Verdana"/>
        </w:rPr>
        <w:t xml:space="preserve">, how </w:t>
      </w:r>
      <w:r w:rsidR="00CE22D2">
        <w:rPr>
          <w:rFonts w:ascii="Verdana" w:hAnsi="Verdana"/>
        </w:rPr>
        <w:t>has the</w:t>
      </w:r>
      <w:r>
        <w:rPr>
          <w:rFonts w:ascii="Verdana" w:hAnsi="Verdana"/>
        </w:rPr>
        <w:t xml:space="preserve"> Department ensure</w:t>
      </w:r>
      <w:r w:rsidR="00CE22D2">
        <w:rPr>
          <w:rFonts w:ascii="Verdana" w:hAnsi="Verdana"/>
        </w:rPr>
        <w:t>d</w:t>
      </w:r>
      <w:r>
        <w:rPr>
          <w:rFonts w:ascii="Verdana" w:hAnsi="Verdana"/>
        </w:rPr>
        <w:t xml:space="preserve"> </w:t>
      </w:r>
      <w:r w:rsidR="00CF5D2F">
        <w:rPr>
          <w:rFonts w:ascii="Verdana" w:hAnsi="Verdana"/>
        </w:rPr>
        <w:t xml:space="preserve">transparency, public </w:t>
      </w:r>
      <w:r w:rsidR="00A4027A" w:rsidRPr="00A4027A">
        <w:rPr>
          <w:rFonts w:ascii="Verdana" w:hAnsi="Verdana"/>
        </w:rPr>
        <w:t>participati</w:t>
      </w:r>
      <w:r w:rsidR="00CF5D2F">
        <w:rPr>
          <w:rFonts w:ascii="Verdana" w:hAnsi="Verdana"/>
        </w:rPr>
        <w:t>on</w:t>
      </w:r>
      <w:r w:rsidR="00A4027A" w:rsidRPr="00A4027A">
        <w:rPr>
          <w:rFonts w:ascii="Verdana" w:hAnsi="Verdana"/>
        </w:rPr>
        <w:t>, and accountab</w:t>
      </w:r>
      <w:r w:rsidR="00CF5D2F">
        <w:rPr>
          <w:rFonts w:ascii="Verdana" w:hAnsi="Verdana"/>
        </w:rPr>
        <w:t xml:space="preserve">ility? </w:t>
      </w:r>
    </w:p>
    <w:p w14:paraId="4B9014C5" w14:textId="77777777" w:rsidR="00586B14" w:rsidRDefault="00586B14" w:rsidP="00586B14">
      <w:pPr>
        <w:pStyle w:val="BasicParagraph"/>
        <w:suppressAutoHyphens/>
        <w:ind w:left="720"/>
        <w:rPr>
          <w:rFonts w:ascii="Verdana" w:hAnsi="Verdana"/>
        </w:rPr>
      </w:pPr>
    </w:p>
    <w:p w14:paraId="18A5A853" w14:textId="6B7BF3CD" w:rsidR="0092522E" w:rsidRPr="005F29F6" w:rsidRDefault="003D5AEA" w:rsidP="001065CF">
      <w:pPr>
        <w:pStyle w:val="Heading2"/>
        <w:spacing w:after="240"/>
      </w:pPr>
      <w:bookmarkStart w:id="11" w:name="_Toc190785283"/>
      <w:r w:rsidRPr="005F29F6">
        <w:t>Audit Stage</w:t>
      </w:r>
      <w:r w:rsidR="00CA1492">
        <w:t>: Impact Assessment</w:t>
      </w:r>
      <w:r w:rsidR="008416EF">
        <w:t>s</w:t>
      </w:r>
      <w:bookmarkEnd w:id="11"/>
    </w:p>
    <w:p w14:paraId="46BB67B3" w14:textId="2EFD18EB" w:rsidR="009D4227" w:rsidRPr="0049183B" w:rsidRDefault="00461280" w:rsidP="0049183B">
      <w:pPr>
        <w:pStyle w:val="BasicParagraph"/>
        <w:numPr>
          <w:ilvl w:val="1"/>
          <w:numId w:val="19"/>
        </w:numPr>
        <w:suppressAutoHyphens/>
        <w:rPr>
          <w:rFonts w:ascii="Verdana" w:hAnsi="Verdana"/>
        </w:rPr>
      </w:pPr>
      <w:r>
        <w:rPr>
          <w:rFonts w:ascii="Verdana" w:hAnsi="Verdana"/>
        </w:rPr>
        <w:t>E</w:t>
      </w:r>
      <w:r w:rsidR="00926C20">
        <w:rPr>
          <w:rFonts w:ascii="Verdana" w:hAnsi="Verdana"/>
        </w:rPr>
        <w:t xml:space="preserve">valuations and audits </w:t>
      </w:r>
      <w:r w:rsidR="00F70FE7">
        <w:rPr>
          <w:rFonts w:ascii="Verdana" w:hAnsi="Verdana"/>
        </w:rPr>
        <w:t xml:space="preserve">provide valuable insight </w:t>
      </w:r>
      <w:r w:rsidR="00585908">
        <w:rPr>
          <w:rFonts w:ascii="Verdana" w:hAnsi="Verdana"/>
        </w:rPr>
        <w:t>into</w:t>
      </w:r>
      <w:r w:rsidR="00F70FE7">
        <w:rPr>
          <w:rFonts w:ascii="Verdana" w:hAnsi="Verdana"/>
        </w:rPr>
        <w:t xml:space="preserve"> the impact of </w:t>
      </w:r>
      <w:r w:rsidR="00585908" w:rsidRPr="00585908">
        <w:rPr>
          <w:rFonts w:ascii="Verdana" w:hAnsi="Verdana"/>
        </w:rPr>
        <w:t xml:space="preserve">revenue collection and actual spending </w:t>
      </w:r>
      <w:proofErr w:type="gramStart"/>
      <w:r w:rsidR="00585908" w:rsidRPr="00585908">
        <w:rPr>
          <w:rFonts w:ascii="Verdana" w:hAnsi="Verdana"/>
        </w:rPr>
        <w:t>on the situation of</w:t>
      </w:r>
      <w:proofErr w:type="gramEnd"/>
      <w:r w:rsidR="00585908" w:rsidRPr="00585908">
        <w:rPr>
          <w:rFonts w:ascii="Verdana" w:hAnsi="Verdana"/>
        </w:rPr>
        <w:t xml:space="preserve"> different </w:t>
      </w:r>
      <w:r w:rsidR="00585908">
        <w:rPr>
          <w:rFonts w:ascii="Verdana" w:hAnsi="Verdana"/>
        </w:rPr>
        <w:t xml:space="preserve">individuals or </w:t>
      </w:r>
      <w:r w:rsidR="00585908" w:rsidRPr="00585908">
        <w:rPr>
          <w:rFonts w:ascii="Verdana" w:hAnsi="Verdana"/>
        </w:rPr>
        <w:t>groups</w:t>
      </w:r>
      <w:r w:rsidR="00585908">
        <w:rPr>
          <w:rFonts w:ascii="Verdana" w:hAnsi="Verdana"/>
        </w:rPr>
        <w:t xml:space="preserve">. </w:t>
      </w:r>
      <w:r w:rsidR="00567373">
        <w:rPr>
          <w:rFonts w:ascii="Verdana" w:hAnsi="Verdana"/>
        </w:rPr>
        <w:t xml:space="preserve">They also provide a basis </w:t>
      </w:r>
      <w:r w:rsidR="00A10DE8">
        <w:rPr>
          <w:rFonts w:ascii="Verdana" w:hAnsi="Verdana"/>
        </w:rPr>
        <w:t xml:space="preserve">for civil society and government to scrutinise the previous year’s budget performance and, where necessary, </w:t>
      </w:r>
      <w:r w:rsidR="00D8112B">
        <w:rPr>
          <w:rFonts w:ascii="Verdana" w:hAnsi="Verdana"/>
        </w:rPr>
        <w:t>identify concerns about</w:t>
      </w:r>
      <w:r w:rsidR="00F46CF7">
        <w:rPr>
          <w:rFonts w:ascii="Verdana" w:hAnsi="Verdana"/>
        </w:rPr>
        <w:t xml:space="preserve"> </w:t>
      </w:r>
      <w:r w:rsidR="00073FD3">
        <w:rPr>
          <w:rFonts w:ascii="Verdana" w:hAnsi="Verdana"/>
        </w:rPr>
        <w:t xml:space="preserve">expenditure and/or its impact. </w:t>
      </w:r>
      <w:r w:rsidR="009D4227" w:rsidRPr="0049183B">
        <w:rPr>
          <w:rFonts w:ascii="Verdana" w:hAnsi="Verdana"/>
        </w:rPr>
        <w:t>To embed a rights</w:t>
      </w:r>
      <w:r w:rsidR="00357F22">
        <w:rPr>
          <w:rFonts w:ascii="Verdana" w:hAnsi="Verdana"/>
        </w:rPr>
        <w:t>-</w:t>
      </w:r>
      <w:r w:rsidR="009D4227" w:rsidRPr="0049183B">
        <w:rPr>
          <w:rFonts w:ascii="Verdana" w:hAnsi="Verdana"/>
        </w:rPr>
        <w:t>based approach</w:t>
      </w:r>
      <w:r w:rsidR="00497261" w:rsidRPr="0049183B">
        <w:rPr>
          <w:rFonts w:ascii="Verdana" w:hAnsi="Verdana"/>
        </w:rPr>
        <w:t xml:space="preserve"> to budgeting</w:t>
      </w:r>
      <w:r w:rsidR="007966C3">
        <w:rPr>
          <w:rFonts w:ascii="Verdana" w:hAnsi="Verdana"/>
        </w:rPr>
        <w:t xml:space="preserve">, </w:t>
      </w:r>
      <w:r w:rsidR="00187A41">
        <w:rPr>
          <w:rFonts w:ascii="Verdana" w:hAnsi="Verdana"/>
        </w:rPr>
        <w:t>h</w:t>
      </w:r>
      <w:r w:rsidR="00187A41" w:rsidRPr="00187A41">
        <w:rPr>
          <w:rFonts w:ascii="Verdana" w:hAnsi="Verdana"/>
        </w:rPr>
        <w:t>uman rights impact assessments should form a regular part of decision</w:t>
      </w:r>
      <w:r w:rsidR="00187A41">
        <w:rPr>
          <w:rFonts w:ascii="Verdana" w:hAnsi="Verdana"/>
        </w:rPr>
        <w:t>-</w:t>
      </w:r>
      <w:r w:rsidR="00187A41" w:rsidRPr="00187A41">
        <w:rPr>
          <w:rFonts w:ascii="Verdana" w:hAnsi="Verdana"/>
        </w:rPr>
        <w:t>making processes w</w:t>
      </w:r>
      <w:r w:rsidR="00CA3518">
        <w:rPr>
          <w:rFonts w:ascii="Verdana" w:hAnsi="Verdana"/>
        </w:rPr>
        <w:t>ith respect to budgetary measures</w:t>
      </w:r>
      <w:r w:rsidR="007F3D5F">
        <w:rPr>
          <w:rFonts w:ascii="Verdana" w:hAnsi="Verdana"/>
        </w:rPr>
        <w:t xml:space="preserve"> and should be carried out at regular intervals.</w:t>
      </w:r>
    </w:p>
    <w:p w14:paraId="2C508989" w14:textId="77777777" w:rsidR="00597570" w:rsidRPr="007F3D5F" w:rsidRDefault="00597570" w:rsidP="007F3D5F">
      <w:pPr>
        <w:rPr>
          <w:rFonts w:ascii="Verdana" w:hAnsi="Verdana"/>
        </w:rPr>
      </w:pPr>
    </w:p>
    <w:p w14:paraId="246A6024" w14:textId="1987A426" w:rsidR="00533020" w:rsidRDefault="00B4537E" w:rsidP="00D81700">
      <w:pPr>
        <w:pStyle w:val="BasicParagraph"/>
        <w:numPr>
          <w:ilvl w:val="1"/>
          <w:numId w:val="19"/>
        </w:numPr>
        <w:suppressAutoHyphens/>
        <w:rPr>
          <w:rFonts w:ascii="Verdana" w:hAnsi="Verdana"/>
        </w:rPr>
      </w:pPr>
      <w:r>
        <w:rPr>
          <w:rFonts w:ascii="Verdana" w:hAnsi="Verdana"/>
        </w:rPr>
        <w:t>I</w:t>
      </w:r>
      <w:r w:rsidRPr="00B4537E">
        <w:rPr>
          <w:rFonts w:ascii="Verdana" w:hAnsi="Verdana"/>
        </w:rPr>
        <w:t xml:space="preserve">n </w:t>
      </w:r>
      <w:r w:rsidR="008538EC">
        <w:rPr>
          <w:rFonts w:ascii="Verdana" w:hAnsi="Verdana"/>
        </w:rPr>
        <w:t>2019, the</w:t>
      </w:r>
      <w:r w:rsidRPr="00B4537E">
        <w:rPr>
          <w:rFonts w:ascii="Verdana" w:hAnsi="Verdana"/>
        </w:rPr>
        <w:t xml:space="preserve"> Independent Expert on the effects of foreign debt and other related international financial obligations of States on the full enjoyment of human rights, particularly economic, social and cultural rights, present</w:t>
      </w:r>
      <w:r w:rsidR="003B784B">
        <w:rPr>
          <w:rFonts w:ascii="Verdana" w:hAnsi="Verdana"/>
        </w:rPr>
        <w:t>ed</w:t>
      </w:r>
      <w:r w:rsidRPr="00B4537E">
        <w:rPr>
          <w:rFonts w:ascii="Verdana" w:hAnsi="Verdana"/>
        </w:rPr>
        <w:t xml:space="preserve"> guiding principles on</w:t>
      </w:r>
      <w:r w:rsidR="00FE6244">
        <w:rPr>
          <w:rFonts w:ascii="Verdana" w:hAnsi="Verdana"/>
        </w:rPr>
        <w:t xml:space="preserve"> conducting</w:t>
      </w:r>
      <w:r w:rsidRPr="00B4537E">
        <w:rPr>
          <w:rFonts w:ascii="Verdana" w:hAnsi="Verdana"/>
        </w:rPr>
        <w:t xml:space="preserve"> human rights impact assessments of economic </w:t>
      </w:r>
      <w:r w:rsidR="00BF604A">
        <w:rPr>
          <w:rFonts w:ascii="Verdana" w:hAnsi="Verdana"/>
        </w:rPr>
        <w:t>measures.</w:t>
      </w:r>
      <w:r w:rsidR="00BF604A">
        <w:rPr>
          <w:rStyle w:val="FootnoteReference"/>
          <w:rFonts w:ascii="Verdana" w:hAnsi="Verdana"/>
        </w:rPr>
        <w:footnoteReference w:id="54"/>
      </w:r>
      <w:r w:rsidR="00597570">
        <w:rPr>
          <w:rFonts w:ascii="Verdana" w:hAnsi="Verdana"/>
        </w:rPr>
        <w:t xml:space="preserve"> </w:t>
      </w:r>
      <w:r w:rsidR="0035342F">
        <w:rPr>
          <w:rFonts w:ascii="Verdana" w:hAnsi="Verdana"/>
        </w:rPr>
        <w:t xml:space="preserve">It </w:t>
      </w:r>
      <w:r w:rsidR="00A415C4">
        <w:rPr>
          <w:rFonts w:ascii="Verdana" w:hAnsi="Verdana"/>
        </w:rPr>
        <w:t xml:space="preserve">recommends </w:t>
      </w:r>
      <w:r w:rsidR="007F3D5F">
        <w:rPr>
          <w:rFonts w:ascii="Verdana" w:hAnsi="Verdana"/>
        </w:rPr>
        <w:t xml:space="preserve">that </w:t>
      </w:r>
      <w:r w:rsidR="00BD741F">
        <w:rPr>
          <w:rFonts w:ascii="Verdana" w:hAnsi="Verdana"/>
        </w:rPr>
        <w:t xml:space="preserve">human rights impact assessments </w:t>
      </w:r>
      <w:r w:rsidR="00A415C4">
        <w:rPr>
          <w:rFonts w:ascii="Verdana" w:hAnsi="Verdana"/>
        </w:rPr>
        <w:t>“</w:t>
      </w:r>
      <w:r w:rsidR="00A415C4" w:rsidRPr="00A415C4">
        <w:rPr>
          <w:rFonts w:ascii="Verdana" w:hAnsi="Verdana"/>
        </w:rPr>
        <w:t>should be carried out both ex ante − to assess the foreseeable impacts of proposed policy changes − and ex post − that is, looking back to assess the actual impacts of policy change and implementation, in order to address such impacts</w:t>
      </w:r>
      <w:r w:rsidR="00A415C4">
        <w:rPr>
          <w:rFonts w:ascii="Verdana" w:hAnsi="Verdana"/>
        </w:rPr>
        <w:t>”.</w:t>
      </w:r>
      <w:r w:rsidR="00BD741F">
        <w:rPr>
          <w:rStyle w:val="FootnoteReference"/>
          <w:rFonts w:ascii="Verdana" w:hAnsi="Verdana"/>
        </w:rPr>
        <w:footnoteReference w:id="55"/>
      </w:r>
      <w:r w:rsidR="00A415C4">
        <w:rPr>
          <w:rFonts w:ascii="Verdana" w:hAnsi="Verdana"/>
        </w:rPr>
        <w:t xml:space="preserve"> </w:t>
      </w:r>
      <w:r w:rsidR="004C0752">
        <w:rPr>
          <w:rFonts w:ascii="Verdana" w:hAnsi="Verdana"/>
        </w:rPr>
        <w:t xml:space="preserve">The Independent </w:t>
      </w:r>
      <w:r w:rsidR="004C0752">
        <w:rPr>
          <w:rFonts w:ascii="Verdana" w:hAnsi="Verdana"/>
        </w:rPr>
        <w:lastRenderedPageBreak/>
        <w:t xml:space="preserve">Expert </w:t>
      </w:r>
      <w:r w:rsidR="00F8049F">
        <w:rPr>
          <w:rFonts w:ascii="Verdana" w:hAnsi="Verdana"/>
        </w:rPr>
        <w:t xml:space="preserve">further explains: </w:t>
      </w:r>
    </w:p>
    <w:p w14:paraId="1FF70299" w14:textId="77777777" w:rsidR="00533020" w:rsidRDefault="00533020" w:rsidP="00533020">
      <w:pPr>
        <w:pStyle w:val="ListParagraph"/>
        <w:rPr>
          <w:rFonts w:ascii="Verdana" w:hAnsi="Verdana"/>
        </w:rPr>
      </w:pPr>
    </w:p>
    <w:p w14:paraId="7081E3B6" w14:textId="758CF395" w:rsidR="00286688" w:rsidRDefault="00F8049F" w:rsidP="0013631E">
      <w:pPr>
        <w:pStyle w:val="BasicParagraph"/>
        <w:suppressAutoHyphens/>
        <w:ind w:left="1440"/>
        <w:rPr>
          <w:rFonts w:ascii="Verdana" w:hAnsi="Verdana"/>
        </w:rPr>
      </w:pPr>
      <w:r>
        <w:rPr>
          <w:rFonts w:ascii="Verdana" w:hAnsi="Verdana"/>
        </w:rPr>
        <w:t>[Human rights impact assessments]</w:t>
      </w:r>
      <w:r w:rsidR="00D779D0" w:rsidRPr="00D779D0">
        <w:rPr>
          <w:rFonts w:ascii="Verdana" w:hAnsi="Verdana"/>
        </w:rPr>
        <w:t xml:space="preserve"> should be incorporated in the policy continuum, from design to monitoring to implementation. They should be started as early as possible in the policymaking process so that they can influence the choice of alternative policy</w:t>
      </w:r>
      <w:r w:rsidR="00D779D0">
        <w:rPr>
          <w:rFonts w:ascii="Verdana" w:hAnsi="Verdana"/>
        </w:rPr>
        <w:t xml:space="preserve"> options… </w:t>
      </w:r>
      <w:r w:rsidR="00533020" w:rsidRPr="00533020">
        <w:rPr>
          <w:rFonts w:ascii="Verdana" w:hAnsi="Verdana"/>
        </w:rPr>
        <w:t>They should serve to look back and evaluate the short-term measures already taken and to propose adjustments as well as to provide evidence for medium- to longer-term planning going forward</w:t>
      </w:r>
      <w:r w:rsidR="00533020">
        <w:rPr>
          <w:rFonts w:ascii="Verdana" w:hAnsi="Verdana"/>
        </w:rPr>
        <w:t>.</w:t>
      </w:r>
      <w:r w:rsidR="00507EF7">
        <w:rPr>
          <w:rStyle w:val="FootnoteReference"/>
          <w:rFonts w:ascii="Verdana" w:hAnsi="Verdana"/>
        </w:rPr>
        <w:footnoteReference w:id="56"/>
      </w:r>
    </w:p>
    <w:p w14:paraId="7CF29249" w14:textId="77777777" w:rsidR="0013631E" w:rsidRPr="0013631E" w:rsidRDefault="0013631E" w:rsidP="0013631E">
      <w:pPr>
        <w:pStyle w:val="BasicParagraph"/>
        <w:suppressAutoHyphens/>
        <w:rPr>
          <w:rFonts w:ascii="Verdana" w:hAnsi="Verdana"/>
        </w:rPr>
      </w:pPr>
    </w:p>
    <w:p w14:paraId="0FC5148F" w14:textId="7D15FB26" w:rsidR="0013631E" w:rsidRDefault="00DC2A52" w:rsidP="0013631E">
      <w:pPr>
        <w:pStyle w:val="BasicParagraph"/>
        <w:numPr>
          <w:ilvl w:val="1"/>
          <w:numId w:val="19"/>
        </w:numPr>
        <w:suppressAutoHyphens/>
        <w:rPr>
          <w:rFonts w:ascii="Verdana" w:hAnsi="Verdana"/>
        </w:rPr>
      </w:pPr>
      <w:r>
        <w:rPr>
          <w:rFonts w:ascii="Verdana" w:hAnsi="Verdana"/>
        </w:rPr>
        <w:t>In addition, t</w:t>
      </w:r>
      <w:r w:rsidR="00BD741F">
        <w:rPr>
          <w:rFonts w:ascii="Verdana" w:hAnsi="Verdana"/>
        </w:rPr>
        <w:t xml:space="preserve">he Independent Expert </w:t>
      </w:r>
      <w:r w:rsidR="00D81700">
        <w:rPr>
          <w:rFonts w:ascii="Verdana" w:hAnsi="Verdana"/>
        </w:rPr>
        <w:t xml:space="preserve">advises that: </w:t>
      </w:r>
      <w:r w:rsidR="00782247">
        <w:rPr>
          <w:rFonts w:ascii="Verdana" w:hAnsi="Verdana"/>
        </w:rPr>
        <w:t xml:space="preserve"> </w:t>
      </w:r>
    </w:p>
    <w:p w14:paraId="5C8BCA07" w14:textId="77777777" w:rsidR="0013631E" w:rsidRPr="0013631E" w:rsidRDefault="0013631E" w:rsidP="0013631E">
      <w:pPr>
        <w:pStyle w:val="BasicParagraph"/>
        <w:suppressAutoHyphens/>
        <w:ind w:left="720"/>
        <w:rPr>
          <w:rFonts w:ascii="Verdana" w:hAnsi="Verdana"/>
        </w:rPr>
      </w:pPr>
    </w:p>
    <w:p w14:paraId="598B3D25" w14:textId="326388C8" w:rsidR="0013631E" w:rsidRDefault="0013631E" w:rsidP="0013631E">
      <w:pPr>
        <w:pStyle w:val="BasicParagraph"/>
        <w:suppressAutoHyphens/>
        <w:spacing w:after="240"/>
        <w:ind w:left="1440"/>
        <w:rPr>
          <w:rFonts w:ascii="Verdana" w:hAnsi="Verdana"/>
        </w:rPr>
      </w:pPr>
      <w:r w:rsidRPr="00483038">
        <w:rPr>
          <w:rFonts w:ascii="Verdana" w:hAnsi="Verdana"/>
        </w:rPr>
        <w:t>Capacity-building in conducting human rights assessments is of crucial importance as it would make the exercise less time-consuming, more predictable, less costly, and help assessments to become increasingly accurate and comprehensive</w:t>
      </w:r>
      <w:r>
        <w:rPr>
          <w:rFonts w:ascii="Verdana" w:hAnsi="Verdana"/>
        </w:rPr>
        <w:t xml:space="preserve">. </w:t>
      </w:r>
      <w:r w:rsidRPr="0049183B">
        <w:rPr>
          <w:rFonts w:ascii="Verdana" w:hAnsi="Verdana"/>
        </w:rPr>
        <w:t xml:space="preserve">Governments should build the systems to ensure that necessary data and information are produced and published and closely work with members of civil society during “good times” so that they are equipped to participate promptly in human rights impact </w:t>
      </w:r>
      <w:proofErr w:type="gramStart"/>
      <w:r w:rsidRPr="0049183B">
        <w:rPr>
          <w:rFonts w:ascii="Verdana" w:hAnsi="Verdana"/>
        </w:rPr>
        <w:t>assessments</w:t>
      </w:r>
      <w:proofErr w:type="gramEnd"/>
      <w:r w:rsidRPr="0049183B">
        <w:rPr>
          <w:rFonts w:ascii="Verdana" w:hAnsi="Verdana"/>
        </w:rPr>
        <w:t xml:space="preserve"> when necessary</w:t>
      </w:r>
      <w:r>
        <w:rPr>
          <w:rFonts w:ascii="Verdana" w:hAnsi="Verdana"/>
        </w:rPr>
        <w:t xml:space="preserve">, </w:t>
      </w:r>
      <w:r w:rsidRPr="00507EF7">
        <w:rPr>
          <w:rFonts w:ascii="Verdana" w:hAnsi="Verdana"/>
        </w:rPr>
        <w:t>whether on a regular or extraordinary basis.</w:t>
      </w:r>
      <w:r>
        <w:rPr>
          <w:rStyle w:val="FootnoteReference"/>
          <w:rFonts w:ascii="Verdana" w:hAnsi="Verdana"/>
        </w:rPr>
        <w:footnoteReference w:id="57"/>
      </w:r>
    </w:p>
    <w:p w14:paraId="1C8BB60C" w14:textId="64ACF498" w:rsidR="0013631E" w:rsidRDefault="00F332D0" w:rsidP="009303E0">
      <w:pPr>
        <w:pStyle w:val="BasicParagraph"/>
        <w:numPr>
          <w:ilvl w:val="1"/>
          <w:numId w:val="19"/>
        </w:numPr>
        <w:suppressAutoHyphens/>
        <w:rPr>
          <w:rFonts w:ascii="Verdana" w:hAnsi="Verdana"/>
        </w:rPr>
      </w:pPr>
      <w:r>
        <w:rPr>
          <w:rFonts w:ascii="Verdana" w:hAnsi="Verdana"/>
        </w:rPr>
        <w:t>In summary, human rights impact assessments should:</w:t>
      </w:r>
      <w:r w:rsidR="006213A5">
        <w:rPr>
          <w:rFonts w:ascii="Verdana" w:hAnsi="Verdana"/>
        </w:rPr>
        <w:t xml:space="preserve"> </w:t>
      </w:r>
    </w:p>
    <w:p w14:paraId="65974371" w14:textId="77777777" w:rsidR="006213A5" w:rsidRDefault="006213A5" w:rsidP="006213A5">
      <w:pPr>
        <w:pStyle w:val="BasicParagraph"/>
        <w:suppressAutoHyphens/>
        <w:ind w:left="720"/>
        <w:rPr>
          <w:rFonts w:ascii="Verdana" w:hAnsi="Verdana"/>
        </w:rPr>
      </w:pPr>
    </w:p>
    <w:p w14:paraId="70482F01" w14:textId="06BC69DE" w:rsidR="00062054" w:rsidRDefault="009A0F5D" w:rsidP="006213A5">
      <w:pPr>
        <w:pStyle w:val="BasicParagraph"/>
        <w:numPr>
          <w:ilvl w:val="0"/>
          <w:numId w:val="43"/>
        </w:numPr>
        <w:suppressAutoHyphens/>
        <w:rPr>
          <w:rFonts w:ascii="Verdana" w:hAnsi="Verdana"/>
        </w:rPr>
      </w:pPr>
      <w:r w:rsidRPr="009A0F5D">
        <w:rPr>
          <w:rFonts w:ascii="Verdana" w:hAnsi="Verdana"/>
        </w:rPr>
        <w:t>provide empirical evidence to</w:t>
      </w:r>
      <w:r w:rsidR="008440CB" w:rsidRPr="008440CB">
        <w:rPr>
          <w:rFonts w:asciiTheme="minorHAnsi" w:hAnsiTheme="minorHAnsi" w:cstheme="minorBidi"/>
          <w:color w:val="auto"/>
        </w:rPr>
        <w:t xml:space="preserve"> </w:t>
      </w:r>
      <w:r w:rsidR="008440CB" w:rsidRPr="008440CB">
        <w:rPr>
          <w:rFonts w:ascii="Verdana" w:hAnsi="Verdana"/>
        </w:rPr>
        <w:t xml:space="preserve">analyse the extent to which </w:t>
      </w:r>
      <w:r w:rsidR="008440CB">
        <w:rPr>
          <w:rFonts w:ascii="Verdana" w:hAnsi="Verdana"/>
        </w:rPr>
        <w:t>budgetary proposals</w:t>
      </w:r>
      <w:r w:rsidR="0062521B">
        <w:rPr>
          <w:rFonts w:ascii="Verdana" w:hAnsi="Verdana"/>
        </w:rPr>
        <w:t xml:space="preserve"> </w:t>
      </w:r>
      <w:r w:rsidR="008440CB" w:rsidRPr="008440CB">
        <w:rPr>
          <w:rFonts w:ascii="Verdana" w:hAnsi="Verdana"/>
        </w:rPr>
        <w:t xml:space="preserve">could contribute to fulfilling </w:t>
      </w:r>
      <w:r w:rsidR="00062054">
        <w:rPr>
          <w:rFonts w:ascii="Verdana" w:hAnsi="Verdana"/>
        </w:rPr>
        <w:t xml:space="preserve">the NI Executive’s </w:t>
      </w:r>
      <w:r w:rsidR="008440CB" w:rsidRPr="008440CB">
        <w:rPr>
          <w:rFonts w:ascii="Verdana" w:hAnsi="Verdana"/>
        </w:rPr>
        <w:t xml:space="preserve">human rights obligations or potentially undermine </w:t>
      </w:r>
      <w:proofErr w:type="gramStart"/>
      <w:r w:rsidR="008440CB" w:rsidRPr="008440CB">
        <w:rPr>
          <w:rFonts w:ascii="Verdana" w:hAnsi="Verdana"/>
        </w:rPr>
        <w:t>them</w:t>
      </w:r>
      <w:r w:rsidR="00C27ECE">
        <w:rPr>
          <w:rFonts w:ascii="Verdana" w:hAnsi="Verdana"/>
        </w:rPr>
        <w:t>;</w:t>
      </w:r>
      <w:proofErr w:type="gramEnd"/>
    </w:p>
    <w:p w14:paraId="6985BCFF" w14:textId="3EB1BA13" w:rsidR="004F69A8" w:rsidRDefault="004F69A8" w:rsidP="006213A5">
      <w:pPr>
        <w:pStyle w:val="BasicParagraph"/>
        <w:numPr>
          <w:ilvl w:val="0"/>
          <w:numId w:val="43"/>
        </w:numPr>
        <w:suppressAutoHyphens/>
        <w:rPr>
          <w:rFonts w:ascii="Verdana" w:hAnsi="Verdana"/>
        </w:rPr>
      </w:pPr>
      <w:r w:rsidRPr="004F69A8">
        <w:rPr>
          <w:rFonts w:ascii="Verdana" w:hAnsi="Verdana"/>
        </w:rPr>
        <w:t xml:space="preserve">demonstrate how proposed measures, jointly with other economic measures and policies </w:t>
      </w:r>
      <w:r w:rsidR="00C17C9A">
        <w:rPr>
          <w:rFonts w:ascii="Verdana" w:hAnsi="Verdana"/>
        </w:rPr>
        <w:t>currently being planned or</w:t>
      </w:r>
      <w:r w:rsidRPr="004F69A8">
        <w:rPr>
          <w:rFonts w:ascii="Verdana" w:hAnsi="Verdana"/>
        </w:rPr>
        <w:t xml:space="preserve"> implemented, could impact the human rights of the whole population, particularly the individuals and groups most </w:t>
      </w:r>
      <w:r>
        <w:rPr>
          <w:rFonts w:ascii="Verdana" w:hAnsi="Verdana"/>
        </w:rPr>
        <w:t>marginalised</w:t>
      </w:r>
      <w:r w:rsidRPr="004F69A8">
        <w:rPr>
          <w:rFonts w:ascii="Verdana" w:hAnsi="Verdana"/>
        </w:rPr>
        <w:t xml:space="preserve"> or at </w:t>
      </w:r>
      <w:proofErr w:type="gramStart"/>
      <w:r w:rsidRPr="004F69A8">
        <w:rPr>
          <w:rFonts w:ascii="Verdana" w:hAnsi="Verdana"/>
        </w:rPr>
        <w:t>risk</w:t>
      </w:r>
      <w:r w:rsidR="000559C2">
        <w:rPr>
          <w:rFonts w:ascii="Verdana" w:hAnsi="Verdana"/>
        </w:rPr>
        <w:t>;</w:t>
      </w:r>
      <w:proofErr w:type="gramEnd"/>
      <w:r w:rsidR="000559C2">
        <w:rPr>
          <w:rFonts w:ascii="Verdana" w:hAnsi="Verdana"/>
        </w:rPr>
        <w:t xml:space="preserve"> </w:t>
      </w:r>
    </w:p>
    <w:p w14:paraId="579669BA" w14:textId="4E69127C" w:rsidR="00B12BE0" w:rsidRDefault="004F69A8" w:rsidP="006213A5">
      <w:pPr>
        <w:pStyle w:val="BasicParagraph"/>
        <w:numPr>
          <w:ilvl w:val="0"/>
          <w:numId w:val="43"/>
        </w:numPr>
        <w:suppressAutoHyphens/>
        <w:rPr>
          <w:rFonts w:ascii="Verdana" w:hAnsi="Verdana"/>
        </w:rPr>
      </w:pPr>
      <w:r>
        <w:rPr>
          <w:rFonts w:ascii="Verdana" w:hAnsi="Verdana"/>
        </w:rPr>
        <w:t>i</w:t>
      </w:r>
      <w:r w:rsidRPr="004F69A8">
        <w:rPr>
          <w:rFonts w:ascii="Verdana" w:hAnsi="Verdana"/>
        </w:rPr>
        <w:t xml:space="preserve">dentify any prima facie retrogressive measure as well as alternative policy options that could be the least restrictive of human rights and avoid any impermissible </w:t>
      </w:r>
      <w:proofErr w:type="gramStart"/>
      <w:r w:rsidRPr="004F69A8">
        <w:rPr>
          <w:rFonts w:ascii="Verdana" w:hAnsi="Verdana"/>
        </w:rPr>
        <w:t>retrogression</w:t>
      </w:r>
      <w:r w:rsidR="00C27ECE">
        <w:rPr>
          <w:rFonts w:ascii="Verdana" w:hAnsi="Verdana"/>
        </w:rPr>
        <w:t>;</w:t>
      </w:r>
      <w:proofErr w:type="gramEnd"/>
    </w:p>
    <w:p w14:paraId="7FFDA15C" w14:textId="2DF504AA" w:rsidR="004F69A8" w:rsidRDefault="00B12BE0" w:rsidP="006213A5">
      <w:pPr>
        <w:pStyle w:val="BasicParagraph"/>
        <w:numPr>
          <w:ilvl w:val="0"/>
          <w:numId w:val="43"/>
        </w:numPr>
        <w:suppressAutoHyphens/>
        <w:rPr>
          <w:rFonts w:ascii="Verdana" w:hAnsi="Verdana"/>
        </w:rPr>
      </w:pPr>
      <w:r>
        <w:rPr>
          <w:rFonts w:ascii="Verdana" w:hAnsi="Verdana"/>
        </w:rPr>
        <w:t>e</w:t>
      </w:r>
      <w:r w:rsidR="004F69A8" w:rsidRPr="004F69A8">
        <w:rPr>
          <w:rFonts w:ascii="Verdana" w:hAnsi="Verdana"/>
        </w:rPr>
        <w:t xml:space="preserve">stablish a (non-exhaustive) list of preventive and mitigating measures to ensure conformity of </w:t>
      </w:r>
      <w:r>
        <w:rPr>
          <w:rFonts w:ascii="Verdana" w:hAnsi="Verdana"/>
        </w:rPr>
        <w:t>budg</w:t>
      </w:r>
      <w:r w:rsidR="00C27ECE">
        <w:rPr>
          <w:rFonts w:ascii="Verdana" w:hAnsi="Verdana"/>
        </w:rPr>
        <w:t>etary measures</w:t>
      </w:r>
      <w:r w:rsidR="004F69A8" w:rsidRPr="004F69A8">
        <w:rPr>
          <w:rFonts w:ascii="Verdana" w:hAnsi="Verdana"/>
        </w:rPr>
        <w:t xml:space="preserve"> with the </w:t>
      </w:r>
      <w:r w:rsidR="00C27ECE">
        <w:rPr>
          <w:rFonts w:ascii="Verdana" w:hAnsi="Verdana"/>
        </w:rPr>
        <w:t xml:space="preserve">NI </w:t>
      </w:r>
      <w:r w:rsidR="00C27ECE">
        <w:rPr>
          <w:rFonts w:ascii="Verdana" w:hAnsi="Verdana"/>
        </w:rPr>
        <w:lastRenderedPageBreak/>
        <w:t xml:space="preserve">Executive’s </w:t>
      </w:r>
      <w:r w:rsidR="004F69A8" w:rsidRPr="004F69A8">
        <w:rPr>
          <w:rFonts w:ascii="Verdana" w:hAnsi="Verdana"/>
        </w:rPr>
        <w:t>human rights obligations</w:t>
      </w:r>
      <w:r w:rsidR="00C27ECE">
        <w:rPr>
          <w:rFonts w:ascii="Verdana" w:hAnsi="Verdana"/>
        </w:rPr>
        <w:t>;</w:t>
      </w:r>
      <w:r w:rsidR="00A32DCF">
        <w:rPr>
          <w:rFonts w:ascii="Verdana" w:hAnsi="Verdana"/>
        </w:rPr>
        <w:t xml:space="preserve"> and</w:t>
      </w:r>
    </w:p>
    <w:p w14:paraId="17E5098E" w14:textId="77777777" w:rsidR="000D099A" w:rsidRDefault="001612F9" w:rsidP="006213A5">
      <w:pPr>
        <w:pStyle w:val="BasicParagraph"/>
        <w:numPr>
          <w:ilvl w:val="0"/>
          <w:numId w:val="43"/>
        </w:numPr>
        <w:suppressAutoHyphens/>
        <w:rPr>
          <w:rFonts w:ascii="Verdana" w:hAnsi="Verdana"/>
        </w:rPr>
      </w:pPr>
      <w:r w:rsidRPr="001612F9">
        <w:rPr>
          <w:rFonts w:ascii="Verdana" w:hAnsi="Verdana"/>
        </w:rPr>
        <w:t>seek the broadest possible national dialogue, with the effective, timely and meaningful participation of all individuals and groups, including marginali</w:t>
      </w:r>
      <w:r>
        <w:rPr>
          <w:rFonts w:ascii="Verdana" w:hAnsi="Verdana"/>
        </w:rPr>
        <w:t>s</w:t>
      </w:r>
      <w:r w:rsidRPr="001612F9">
        <w:rPr>
          <w:rFonts w:ascii="Verdana" w:hAnsi="Verdana"/>
        </w:rPr>
        <w:t xml:space="preserve">ed groups and those particularly at risk </w:t>
      </w:r>
      <w:r>
        <w:rPr>
          <w:rFonts w:ascii="Verdana" w:hAnsi="Verdana"/>
        </w:rPr>
        <w:t>of vulnerability from budgetary measures</w:t>
      </w:r>
      <w:r w:rsidR="000D099A">
        <w:rPr>
          <w:rFonts w:ascii="Verdana" w:hAnsi="Verdana"/>
        </w:rPr>
        <w:t xml:space="preserve">. </w:t>
      </w:r>
    </w:p>
    <w:p w14:paraId="4AE2D2A0" w14:textId="77777777" w:rsidR="00EC287C" w:rsidRPr="00495189" w:rsidRDefault="00EC287C" w:rsidP="00F332D0">
      <w:pPr>
        <w:pStyle w:val="BasicParagraph"/>
        <w:suppressAutoHyphens/>
        <w:rPr>
          <w:rFonts w:ascii="Verdana" w:hAnsi="Verdana"/>
        </w:rPr>
      </w:pPr>
    </w:p>
    <w:p w14:paraId="2FB74CB4" w14:textId="77777777" w:rsidR="001241A6" w:rsidRDefault="001241A6">
      <w:pPr>
        <w:rPr>
          <w:rFonts w:ascii="Verdana" w:eastAsiaTheme="majorEastAsia" w:hAnsi="Verdana" w:cstheme="majorBidi"/>
          <w:b/>
          <w:color w:val="77328A"/>
          <w:sz w:val="30"/>
          <w:szCs w:val="32"/>
        </w:rPr>
      </w:pPr>
      <w:bookmarkStart w:id="12" w:name="_Toc190785284"/>
      <w:r>
        <w:br w:type="page"/>
      </w:r>
    </w:p>
    <w:p w14:paraId="2E4ABFF7" w14:textId="1DF088A8" w:rsidR="00B07BA3" w:rsidRDefault="00382902" w:rsidP="00382902">
      <w:pPr>
        <w:pStyle w:val="Heading1"/>
        <w:numPr>
          <w:ilvl w:val="0"/>
          <w:numId w:val="0"/>
        </w:numPr>
        <w:ind w:left="720" w:hanging="720"/>
      </w:pPr>
      <w:r>
        <w:lastRenderedPageBreak/>
        <w:t xml:space="preserve">5.0 </w:t>
      </w:r>
      <w:r w:rsidR="002A02E6">
        <w:tab/>
      </w:r>
      <w:r w:rsidR="00B07BA3">
        <w:t>Recomm</w:t>
      </w:r>
      <w:r w:rsidR="00B07BA3" w:rsidRPr="00597570">
        <w:t>endations</w:t>
      </w:r>
      <w:bookmarkEnd w:id="12"/>
    </w:p>
    <w:p w14:paraId="329C3242" w14:textId="26618248" w:rsidR="003F04BA" w:rsidRDefault="00FC11A9" w:rsidP="003F04BA">
      <w:pPr>
        <w:rPr>
          <w:rFonts w:ascii="Verdana" w:hAnsi="Verdana"/>
        </w:rPr>
      </w:pPr>
      <w:r>
        <w:rPr>
          <w:rFonts w:ascii="Verdana" w:hAnsi="Verdana"/>
        </w:rPr>
        <w:t xml:space="preserve"> </w:t>
      </w:r>
    </w:p>
    <w:p w14:paraId="3D410630" w14:textId="0267092C" w:rsidR="00104B72" w:rsidRPr="00EA5FE0" w:rsidRDefault="00104B72" w:rsidP="00104B72">
      <w:pPr>
        <w:spacing w:after="240" w:line="276" w:lineRule="auto"/>
        <w:rPr>
          <w:rFonts w:ascii="Verdana" w:eastAsia="Times New Roman" w:hAnsi="Verdana"/>
          <w:b/>
          <w:bCs/>
          <w:color w:val="000000"/>
          <w:lang w:eastAsia="en-GB"/>
        </w:rPr>
      </w:pPr>
      <w:r w:rsidRPr="00EA5FE0">
        <w:rPr>
          <w:rFonts w:ascii="Verdana" w:hAnsi="Verdana"/>
          <w:b/>
          <w:bCs/>
        </w:rPr>
        <w:t xml:space="preserve">The NIHRC recommends that all NI Executive Departments systematise a human rights-based approach at all stages of the budgeting process, including in the </w:t>
      </w:r>
      <w:r w:rsidR="00B54834" w:rsidRPr="00EA5FE0">
        <w:rPr>
          <w:rFonts w:ascii="Verdana" w:hAnsi="Verdana"/>
          <w:b/>
          <w:bCs/>
        </w:rPr>
        <w:t>formulating</w:t>
      </w:r>
      <w:r w:rsidRPr="00EA5FE0">
        <w:rPr>
          <w:rFonts w:ascii="Verdana" w:hAnsi="Verdana"/>
          <w:b/>
          <w:bCs/>
        </w:rPr>
        <w:t>, allocating</w:t>
      </w:r>
      <w:r w:rsidR="00100A7D" w:rsidRPr="00EA5FE0">
        <w:rPr>
          <w:rFonts w:ascii="Verdana" w:hAnsi="Verdana"/>
          <w:b/>
          <w:bCs/>
        </w:rPr>
        <w:t xml:space="preserve">, </w:t>
      </w:r>
      <w:r w:rsidRPr="00EA5FE0">
        <w:rPr>
          <w:rFonts w:ascii="Verdana" w:hAnsi="Verdana"/>
          <w:b/>
          <w:bCs/>
        </w:rPr>
        <w:t xml:space="preserve">monitoring </w:t>
      </w:r>
      <w:r w:rsidR="00B54834" w:rsidRPr="00EA5FE0">
        <w:rPr>
          <w:rFonts w:ascii="Verdana" w:hAnsi="Verdana"/>
          <w:b/>
          <w:bCs/>
        </w:rPr>
        <w:t xml:space="preserve">and auditing </w:t>
      </w:r>
      <w:r w:rsidRPr="00EA5FE0">
        <w:rPr>
          <w:rFonts w:ascii="Verdana" w:hAnsi="Verdana"/>
          <w:b/>
          <w:bCs/>
        </w:rPr>
        <w:t xml:space="preserve">of budgets. This should include: </w:t>
      </w:r>
    </w:p>
    <w:p w14:paraId="02972F2A" w14:textId="2FE45E8B" w:rsidR="00104B72" w:rsidRPr="00EA5FE0" w:rsidRDefault="00104B72" w:rsidP="00104B72">
      <w:pPr>
        <w:pStyle w:val="ListParagraph"/>
        <w:numPr>
          <w:ilvl w:val="0"/>
          <w:numId w:val="35"/>
        </w:numPr>
        <w:spacing w:before="240" w:line="276" w:lineRule="auto"/>
        <w:ind w:left="1080"/>
        <w:rPr>
          <w:rFonts w:ascii="Verdana" w:eastAsia="Times New Roman" w:hAnsi="Verdana"/>
          <w:b/>
          <w:bCs/>
          <w:color w:val="000000"/>
          <w:lang w:eastAsia="en-GB"/>
        </w:rPr>
      </w:pPr>
      <w:r w:rsidRPr="00EA5FE0">
        <w:rPr>
          <w:rFonts w:ascii="Verdana" w:eastAsia="Times New Roman" w:hAnsi="Verdana"/>
          <w:b/>
          <w:bCs/>
          <w:color w:val="000000"/>
          <w:lang w:eastAsia="en-GB"/>
        </w:rPr>
        <w:t>the development of systems for analysing the impact of budgetary decisions</w:t>
      </w:r>
      <w:r w:rsidR="00E821A5">
        <w:rPr>
          <w:rFonts w:ascii="Verdana" w:eastAsia="Times New Roman" w:hAnsi="Verdana"/>
          <w:b/>
          <w:bCs/>
          <w:color w:val="000000"/>
          <w:lang w:eastAsia="en-GB"/>
        </w:rPr>
        <w:t xml:space="preserve"> or proposals</w:t>
      </w:r>
      <w:r w:rsidR="00D90CFE">
        <w:rPr>
          <w:rFonts w:ascii="Verdana" w:eastAsia="Times New Roman" w:hAnsi="Verdana"/>
          <w:b/>
          <w:bCs/>
          <w:color w:val="000000"/>
          <w:lang w:eastAsia="en-GB"/>
        </w:rPr>
        <w:t xml:space="preserve"> on human rights</w:t>
      </w:r>
      <w:r w:rsidRPr="00EA5FE0">
        <w:rPr>
          <w:rFonts w:ascii="Verdana" w:eastAsia="Times New Roman" w:hAnsi="Verdana"/>
          <w:b/>
          <w:bCs/>
          <w:color w:val="000000"/>
          <w:lang w:eastAsia="en-GB"/>
        </w:rPr>
        <w:t xml:space="preserve">, including the provision of data disaggregated by gender, disability, age, ethnicity, region, income segment and any other grounds considered relevant based on risk of </w:t>
      </w:r>
      <w:proofErr w:type="gramStart"/>
      <w:r w:rsidRPr="00EA5FE0">
        <w:rPr>
          <w:rFonts w:ascii="Verdana" w:eastAsia="Times New Roman" w:hAnsi="Verdana"/>
          <w:b/>
          <w:bCs/>
          <w:color w:val="000000"/>
          <w:lang w:eastAsia="en-GB"/>
        </w:rPr>
        <w:t>marginalisation</w:t>
      </w:r>
      <w:r w:rsidR="00243A5A">
        <w:rPr>
          <w:rFonts w:ascii="Verdana" w:eastAsia="Times New Roman" w:hAnsi="Verdana"/>
          <w:b/>
          <w:bCs/>
          <w:color w:val="000000"/>
          <w:lang w:eastAsia="en-GB"/>
        </w:rPr>
        <w:t>;</w:t>
      </w:r>
      <w:proofErr w:type="gramEnd"/>
      <w:r w:rsidRPr="00EA5FE0">
        <w:rPr>
          <w:rFonts w:ascii="Verdana" w:eastAsia="Times New Roman" w:hAnsi="Verdana"/>
          <w:b/>
          <w:bCs/>
          <w:color w:val="000000"/>
          <w:lang w:eastAsia="en-GB"/>
        </w:rPr>
        <w:t xml:space="preserve"> </w:t>
      </w:r>
    </w:p>
    <w:p w14:paraId="7CF91BEC" w14:textId="77777777" w:rsidR="00104B72" w:rsidRPr="00EA5FE0" w:rsidRDefault="00104B72" w:rsidP="00104B72">
      <w:pPr>
        <w:pStyle w:val="ListParagraph"/>
        <w:spacing w:before="240" w:line="276" w:lineRule="auto"/>
        <w:ind w:left="1080"/>
        <w:rPr>
          <w:rFonts w:ascii="Verdana" w:eastAsia="Times New Roman" w:hAnsi="Verdana"/>
          <w:b/>
          <w:bCs/>
          <w:color w:val="000000"/>
          <w:lang w:eastAsia="en-GB"/>
        </w:rPr>
      </w:pPr>
    </w:p>
    <w:p w14:paraId="7BB11961" w14:textId="670BC918" w:rsidR="00104B72" w:rsidRPr="00EA5FE0" w:rsidRDefault="00104B72" w:rsidP="00104B72">
      <w:pPr>
        <w:pStyle w:val="ListParagraph"/>
        <w:numPr>
          <w:ilvl w:val="0"/>
          <w:numId w:val="35"/>
        </w:numPr>
        <w:spacing w:line="276" w:lineRule="auto"/>
        <w:ind w:left="1080"/>
        <w:rPr>
          <w:rFonts w:ascii="Verdana" w:eastAsia="Times New Roman" w:hAnsi="Verdana"/>
          <w:b/>
          <w:bCs/>
          <w:color w:val="000000"/>
          <w:lang w:eastAsia="en-GB"/>
        </w:rPr>
      </w:pPr>
      <w:r w:rsidRPr="00EA5FE0">
        <w:rPr>
          <w:rFonts w:ascii="Verdana" w:eastAsia="Times New Roman" w:hAnsi="Verdana"/>
          <w:b/>
          <w:bCs/>
          <w:color w:val="000000"/>
          <w:lang w:eastAsia="en-GB"/>
        </w:rPr>
        <w:t xml:space="preserve">the development of formal channels of communication and collaboration between NI Executive Departments during the formulation and monitoring of budget </w:t>
      </w:r>
      <w:proofErr w:type="gramStart"/>
      <w:r w:rsidRPr="00EA5FE0">
        <w:rPr>
          <w:rFonts w:ascii="Verdana" w:eastAsia="Times New Roman" w:hAnsi="Verdana"/>
          <w:b/>
          <w:bCs/>
          <w:color w:val="000000"/>
          <w:lang w:eastAsia="en-GB"/>
        </w:rPr>
        <w:t>allocations</w:t>
      </w:r>
      <w:r w:rsidR="00243A5A">
        <w:rPr>
          <w:rFonts w:ascii="Verdana" w:eastAsia="Times New Roman" w:hAnsi="Verdana"/>
          <w:b/>
          <w:bCs/>
          <w:color w:val="000000"/>
          <w:lang w:eastAsia="en-GB"/>
        </w:rPr>
        <w:t>;</w:t>
      </w:r>
      <w:proofErr w:type="gramEnd"/>
    </w:p>
    <w:p w14:paraId="54279DB1" w14:textId="77777777" w:rsidR="00104B72" w:rsidRPr="00EA5FE0" w:rsidRDefault="00104B72" w:rsidP="00104B72">
      <w:pPr>
        <w:pStyle w:val="ListParagraph"/>
        <w:ind w:left="371"/>
        <w:rPr>
          <w:rFonts w:ascii="Verdana" w:eastAsia="Times New Roman" w:hAnsi="Verdana"/>
          <w:b/>
          <w:bCs/>
          <w:color w:val="000000"/>
          <w:lang w:eastAsia="en-GB"/>
        </w:rPr>
      </w:pPr>
    </w:p>
    <w:p w14:paraId="0ED96818" w14:textId="4A2E8C50" w:rsidR="00104B72" w:rsidRPr="008D3774" w:rsidRDefault="00104B72" w:rsidP="00104B72">
      <w:pPr>
        <w:pStyle w:val="ListParagraph"/>
        <w:numPr>
          <w:ilvl w:val="0"/>
          <w:numId w:val="35"/>
        </w:numPr>
        <w:spacing w:line="276" w:lineRule="auto"/>
        <w:ind w:left="1080"/>
        <w:rPr>
          <w:rFonts w:ascii="Verdana" w:eastAsia="Times New Roman" w:hAnsi="Verdana"/>
          <w:b/>
          <w:bCs/>
          <w:color w:val="000000"/>
          <w:lang w:eastAsia="en-GB"/>
        </w:rPr>
      </w:pPr>
      <w:r w:rsidRPr="00EA5FE0">
        <w:rPr>
          <w:rFonts w:ascii="Verdana" w:eastAsia="Times New Roman" w:hAnsi="Verdana"/>
          <w:b/>
          <w:bCs/>
          <w:color w:val="000000"/>
          <w:lang w:eastAsia="en-GB"/>
        </w:rPr>
        <w:t>the development of</w:t>
      </w:r>
      <w:r w:rsidR="00100A7D" w:rsidRPr="00EA5FE0">
        <w:rPr>
          <w:rFonts w:ascii="Verdana" w:eastAsia="Times New Roman" w:hAnsi="Verdana"/>
          <w:b/>
          <w:bCs/>
          <w:color w:val="000000"/>
          <w:lang w:eastAsia="en-GB"/>
        </w:rPr>
        <w:t xml:space="preserve"> a</w:t>
      </w:r>
      <w:r w:rsidRPr="00EA5FE0">
        <w:rPr>
          <w:rFonts w:ascii="Verdana" w:eastAsia="Times New Roman" w:hAnsi="Verdana"/>
          <w:b/>
          <w:bCs/>
          <w:color w:val="000000"/>
          <w:lang w:eastAsia="en-GB"/>
        </w:rPr>
        <w:t xml:space="preserve"> tool for conducting human rights impact assessments – both </w:t>
      </w:r>
      <w:r w:rsidRPr="00EA5FE0">
        <w:rPr>
          <w:rFonts w:ascii="Verdana" w:eastAsia="Times New Roman" w:hAnsi="Verdana"/>
          <w:b/>
          <w:bCs/>
          <w:i/>
          <w:iCs/>
          <w:color w:val="000000"/>
          <w:lang w:eastAsia="en-GB"/>
        </w:rPr>
        <w:t>ex ante</w:t>
      </w:r>
      <w:r w:rsidRPr="00EA5FE0">
        <w:rPr>
          <w:rFonts w:ascii="Verdana" w:eastAsia="Times New Roman" w:hAnsi="Verdana"/>
          <w:b/>
          <w:bCs/>
          <w:color w:val="000000"/>
          <w:lang w:eastAsia="en-GB"/>
        </w:rPr>
        <w:t xml:space="preserve"> and </w:t>
      </w:r>
      <w:r w:rsidRPr="00EA5FE0">
        <w:rPr>
          <w:rFonts w:ascii="Verdana" w:eastAsia="Times New Roman" w:hAnsi="Verdana"/>
          <w:b/>
          <w:bCs/>
          <w:i/>
          <w:iCs/>
          <w:color w:val="000000"/>
          <w:lang w:eastAsia="en-GB"/>
        </w:rPr>
        <w:t>ex post</w:t>
      </w:r>
      <w:r w:rsidRPr="00EA5FE0">
        <w:rPr>
          <w:rFonts w:ascii="Verdana" w:eastAsia="Times New Roman" w:hAnsi="Verdana"/>
          <w:b/>
          <w:bCs/>
          <w:color w:val="000000"/>
          <w:lang w:eastAsia="en-GB"/>
        </w:rPr>
        <w:t xml:space="preserve"> - </w:t>
      </w:r>
      <w:r w:rsidRPr="00EA5FE0">
        <w:rPr>
          <w:rFonts w:ascii="Verdana" w:hAnsi="Verdana"/>
          <w:b/>
          <w:bCs/>
        </w:rPr>
        <w:t>that consider the potential and cumulative distribution of impacts to ensure that</w:t>
      </w:r>
      <w:r w:rsidRPr="00104B72">
        <w:rPr>
          <w:rFonts w:ascii="Verdana" w:hAnsi="Verdana"/>
          <w:b/>
          <w:bCs/>
        </w:rPr>
        <w:t xml:space="preserve"> the most vulnerable are not disproportionally affected by budgetary decisions</w:t>
      </w:r>
      <w:r w:rsidR="00243A5A">
        <w:rPr>
          <w:rFonts w:ascii="Verdana" w:hAnsi="Verdana"/>
          <w:b/>
          <w:bCs/>
        </w:rPr>
        <w:t>;</w:t>
      </w:r>
      <w:r w:rsidR="00D4502E">
        <w:rPr>
          <w:rFonts w:ascii="Verdana" w:hAnsi="Verdana"/>
          <w:b/>
          <w:bCs/>
        </w:rPr>
        <w:t xml:space="preserve"> and</w:t>
      </w:r>
    </w:p>
    <w:p w14:paraId="10DFF852" w14:textId="77777777" w:rsidR="008D3774" w:rsidRPr="008D3774" w:rsidRDefault="008D3774" w:rsidP="008D3774">
      <w:pPr>
        <w:pStyle w:val="ListParagraph"/>
        <w:rPr>
          <w:rFonts w:ascii="Verdana" w:eastAsia="Times New Roman" w:hAnsi="Verdana"/>
          <w:b/>
          <w:bCs/>
          <w:color w:val="000000"/>
          <w:lang w:eastAsia="en-GB"/>
        </w:rPr>
      </w:pPr>
    </w:p>
    <w:p w14:paraId="52D001C0" w14:textId="6E15BB4F" w:rsidR="008D3774" w:rsidRPr="00104B72" w:rsidRDefault="004029C4" w:rsidP="00104B72">
      <w:pPr>
        <w:pStyle w:val="ListParagraph"/>
        <w:numPr>
          <w:ilvl w:val="0"/>
          <w:numId w:val="35"/>
        </w:numPr>
        <w:spacing w:line="276" w:lineRule="auto"/>
        <w:ind w:left="1080"/>
        <w:rPr>
          <w:rFonts w:ascii="Verdana" w:eastAsia="Times New Roman" w:hAnsi="Verdana"/>
          <w:b/>
          <w:bCs/>
          <w:color w:val="000000"/>
          <w:lang w:eastAsia="en-GB"/>
        </w:rPr>
      </w:pPr>
      <w:r>
        <w:rPr>
          <w:rFonts w:ascii="Verdana" w:eastAsia="Times New Roman" w:hAnsi="Verdana"/>
          <w:b/>
          <w:bCs/>
          <w:color w:val="000000"/>
          <w:lang w:eastAsia="en-GB"/>
        </w:rPr>
        <w:t>embedding the principle of public participation at each stage of the budgetary process</w:t>
      </w:r>
      <w:r w:rsidR="000244CF">
        <w:rPr>
          <w:rFonts w:ascii="Verdana" w:eastAsia="Times New Roman" w:hAnsi="Verdana"/>
          <w:b/>
          <w:bCs/>
          <w:color w:val="000000"/>
          <w:lang w:eastAsia="en-GB"/>
        </w:rPr>
        <w:t>, including conducting human rights impact assessments. Participation should be</w:t>
      </w:r>
      <w:r w:rsidR="00992422" w:rsidRPr="00992422">
        <w:t xml:space="preserve"> </w:t>
      </w:r>
      <w:r w:rsidR="00992422" w:rsidRPr="00992422">
        <w:rPr>
          <w:rFonts w:ascii="Verdana" w:eastAsia="Times New Roman" w:hAnsi="Verdana"/>
          <w:b/>
          <w:bCs/>
          <w:color w:val="000000"/>
          <w:lang w:eastAsia="en-GB"/>
        </w:rPr>
        <w:t xml:space="preserve">central in the consideration of </w:t>
      </w:r>
      <w:r w:rsidR="00992422">
        <w:rPr>
          <w:rFonts w:ascii="Verdana" w:eastAsia="Times New Roman" w:hAnsi="Verdana"/>
          <w:b/>
          <w:bCs/>
          <w:color w:val="000000"/>
          <w:lang w:eastAsia="en-GB"/>
        </w:rPr>
        <w:t xml:space="preserve">budgetary </w:t>
      </w:r>
      <w:r w:rsidR="00EB5100">
        <w:rPr>
          <w:rFonts w:ascii="Verdana" w:eastAsia="Times New Roman" w:hAnsi="Verdana"/>
          <w:b/>
          <w:bCs/>
          <w:color w:val="000000"/>
          <w:lang w:eastAsia="en-GB"/>
        </w:rPr>
        <w:t>allocations</w:t>
      </w:r>
      <w:r w:rsidR="00992422" w:rsidRPr="00992422">
        <w:rPr>
          <w:rFonts w:ascii="Verdana" w:eastAsia="Times New Roman" w:hAnsi="Verdana"/>
          <w:b/>
          <w:bCs/>
          <w:color w:val="000000"/>
          <w:lang w:eastAsia="en-GB"/>
        </w:rPr>
        <w:t xml:space="preserve">, </w:t>
      </w:r>
      <w:r w:rsidR="005E0711">
        <w:rPr>
          <w:rFonts w:ascii="Verdana" w:eastAsia="Times New Roman" w:hAnsi="Verdana"/>
          <w:b/>
          <w:bCs/>
          <w:color w:val="000000"/>
          <w:lang w:eastAsia="en-GB"/>
        </w:rPr>
        <w:t xml:space="preserve">the </w:t>
      </w:r>
      <w:r w:rsidR="00992422" w:rsidRPr="00992422">
        <w:rPr>
          <w:rFonts w:ascii="Verdana" w:eastAsia="Times New Roman" w:hAnsi="Verdana"/>
          <w:b/>
          <w:bCs/>
          <w:color w:val="000000"/>
          <w:lang w:eastAsia="en-GB"/>
        </w:rPr>
        <w:t xml:space="preserve">publication and reporting of information and the assessment, in the </w:t>
      </w:r>
      <w:r w:rsidR="00284AD5">
        <w:rPr>
          <w:rFonts w:ascii="Verdana" w:eastAsia="Times New Roman" w:hAnsi="Verdana"/>
          <w:b/>
          <w:bCs/>
          <w:color w:val="000000"/>
          <w:lang w:eastAsia="en-GB"/>
        </w:rPr>
        <w:t>execution of budget</w:t>
      </w:r>
      <w:r w:rsidR="00A9155D">
        <w:rPr>
          <w:rFonts w:ascii="Verdana" w:eastAsia="Times New Roman" w:hAnsi="Verdana"/>
          <w:b/>
          <w:bCs/>
          <w:color w:val="000000"/>
          <w:lang w:eastAsia="en-GB"/>
        </w:rPr>
        <w:t>s,</w:t>
      </w:r>
      <w:r w:rsidR="00992422" w:rsidRPr="00992422">
        <w:rPr>
          <w:rFonts w:ascii="Verdana" w:eastAsia="Times New Roman" w:hAnsi="Verdana"/>
          <w:b/>
          <w:bCs/>
          <w:color w:val="000000"/>
          <w:lang w:eastAsia="en-GB"/>
        </w:rPr>
        <w:t xml:space="preserve"> and in the monitoring of the impact of </w:t>
      </w:r>
      <w:r w:rsidR="00A9155D">
        <w:rPr>
          <w:rFonts w:ascii="Verdana" w:eastAsia="Times New Roman" w:hAnsi="Verdana"/>
          <w:b/>
          <w:bCs/>
          <w:color w:val="000000"/>
          <w:lang w:eastAsia="en-GB"/>
        </w:rPr>
        <w:t>budgets</w:t>
      </w:r>
      <w:r w:rsidR="00992422" w:rsidRPr="00992422">
        <w:rPr>
          <w:rFonts w:ascii="Verdana" w:eastAsia="Times New Roman" w:hAnsi="Verdana"/>
          <w:b/>
          <w:bCs/>
          <w:color w:val="000000"/>
          <w:lang w:eastAsia="en-GB"/>
        </w:rPr>
        <w:t>.</w:t>
      </w:r>
    </w:p>
    <w:p w14:paraId="42776248" w14:textId="77777777" w:rsidR="00383A07" w:rsidRDefault="00383A07" w:rsidP="00097803">
      <w:pPr>
        <w:rPr>
          <w:rFonts w:ascii="Verdana" w:hAnsi="Verdana"/>
        </w:rPr>
      </w:pPr>
    </w:p>
    <w:p w14:paraId="077B8D22" w14:textId="77777777" w:rsidR="003B7D0E" w:rsidRDefault="003B7D0E" w:rsidP="003B7D0E">
      <w:pPr>
        <w:pStyle w:val="BasicParagraph"/>
        <w:suppressAutoHyphens/>
        <w:jc w:val="center"/>
        <w:rPr>
          <w:rFonts w:ascii="Verdana" w:hAnsi="Verdana" w:cs="Arial"/>
          <w:color w:val="3C3C3B"/>
          <w:sz w:val="20"/>
          <w:szCs w:val="20"/>
        </w:rPr>
      </w:pPr>
    </w:p>
    <w:p w14:paraId="29E1F7A4" w14:textId="77777777" w:rsidR="003B7D0E" w:rsidRDefault="003B7D0E" w:rsidP="003B7D0E">
      <w:pPr>
        <w:pStyle w:val="BasicParagraph"/>
        <w:suppressAutoHyphens/>
        <w:jc w:val="center"/>
        <w:rPr>
          <w:rFonts w:ascii="Verdana" w:hAnsi="Verdana" w:cs="Arial"/>
          <w:color w:val="3C3C3B"/>
          <w:sz w:val="20"/>
          <w:szCs w:val="20"/>
        </w:rPr>
      </w:pPr>
    </w:p>
    <w:p w14:paraId="5CE62173" w14:textId="77777777" w:rsidR="003B7D0E" w:rsidRDefault="003B7D0E" w:rsidP="003B7D0E">
      <w:pPr>
        <w:pStyle w:val="BasicParagraph"/>
        <w:suppressAutoHyphens/>
        <w:jc w:val="center"/>
        <w:rPr>
          <w:rFonts w:ascii="Verdana" w:hAnsi="Verdana" w:cs="Arial"/>
          <w:color w:val="3C3C3B"/>
          <w:sz w:val="20"/>
          <w:szCs w:val="20"/>
        </w:rPr>
      </w:pPr>
    </w:p>
    <w:p w14:paraId="08D16157" w14:textId="77777777" w:rsidR="003F04BA" w:rsidRDefault="003F04BA" w:rsidP="00331C61">
      <w:pPr>
        <w:pStyle w:val="BasicParagraph"/>
        <w:suppressAutoHyphens/>
        <w:jc w:val="center"/>
        <w:rPr>
          <w:rFonts w:ascii="Verdana" w:hAnsi="Verdana" w:cs="Arial"/>
          <w:b/>
          <w:bCs/>
          <w:color w:val="77328A"/>
          <w:sz w:val="36"/>
          <w:szCs w:val="36"/>
        </w:rPr>
      </w:pPr>
    </w:p>
    <w:p w14:paraId="4D8ED770" w14:textId="77777777" w:rsidR="003F04BA" w:rsidRDefault="003F04BA" w:rsidP="00331C61">
      <w:pPr>
        <w:pStyle w:val="BasicParagraph"/>
        <w:suppressAutoHyphens/>
        <w:jc w:val="center"/>
        <w:rPr>
          <w:rFonts w:ascii="Verdana" w:hAnsi="Verdana" w:cs="Arial"/>
          <w:b/>
          <w:bCs/>
          <w:color w:val="77328A"/>
          <w:sz w:val="36"/>
          <w:szCs w:val="36"/>
        </w:rPr>
      </w:pPr>
    </w:p>
    <w:p w14:paraId="7C839B5A" w14:textId="77777777" w:rsidR="00081EB9" w:rsidRDefault="00081EB9" w:rsidP="00331C61">
      <w:pPr>
        <w:pStyle w:val="BasicParagraph"/>
        <w:suppressAutoHyphens/>
        <w:jc w:val="center"/>
        <w:rPr>
          <w:rFonts w:ascii="Verdana" w:hAnsi="Verdana" w:cs="Arial"/>
          <w:b/>
          <w:bCs/>
          <w:color w:val="77328A"/>
          <w:sz w:val="36"/>
          <w:szCs w:val="36"/>
        </w:rPr>
      </w:pPr>
    </w:p>
    <w:p w14:paraId="727319E3" w14:textId="77777777" w:rsidR="00081EB9" w:rsidRDefault="00081EB9" w:rsidP="00331C61">
      <w:pPr>
        <w:pStyle w:val="BasicParagraph"/>
        <w:suppressAutoHyphens/>
        <w:jc w:val="center"/>
        <w:rPr>
          <w:rFonts w:ascii="Verdana" w:hAnsi="Verdana" w:cs="Arial"/>
          <w:b/>
          <w:bCs/>
          <w:color w:val="77328A"/>
          <w:sz w:val="36"/>
          <w:szCs w:val="36"/>
        </w:rPr>
      </w:pPr>
    </w:p>
    <w:p w14:paraId="1D26EF1C" w14:textId="77777777" w:rsidR="00C53AB3" w:rsidRDefault="00C53AB3" w:rsidP="00331C61">
      <w:pPr>
        <w:pStyle w:val="BasicParagraph"/>
        <w:suppressAutoHyphens/>
        <w:jc w:val="center"/>
        <w:rPr>
          <w:rFonts w:ascii="Verdana" w:hAnsi="Verdana" w:cs="Arial"/>
          <w:b/>
          <w:bCs/>
          <w:color w:val="77328A"/>
          <w:sz w:val="36"/>
          <w:szCs w:val="36"/>
        </w:rPr>
      </w:pPr>
    </w:p>
    <w:p w14:paraId="1575DB52" w14:textId="77777777" w:rsidR="009B3CEF" w:rsidRDefault="009B3CEF" w:rsidP="00331C61">
      <w:pPr>
        <w:pStyle w:val="BasicParagraph"/>
        <w:suppressAutoHyphens/>
        <w:jc w:val="center"/>
        <w:rPr>
          <w:rFonts w:ascii="Verdana" w:hAnsi="Verdana" w:cs="Arial"/>
          <w:b/>
          <w:bCs/>
          <w:color w:val="77328A"/>
          <w:sz w:val="36"/>
          <w:szCs w:val="36"/>
        </w:rPr>
      </w:pPr>
    </w:p>
    <w:p w14:paraId="6B554E56" w14:textId="77777777" w:rsidR="009B3CEF" w:rsidRDefault="009B3CEF" w:rsidP="00331C61">
      <w:pPr>
        <w:pStyle w:val="BasicParagraph"/>
        <w:suppressAutoHyphens/>
        <w:jc w:val="center"/>
        <w:rPr>
          <w:rFonts w:ascii="Verdana" w:hAnsi="Verdana" w:cs="Arial"/>
          <w:b/>
          <w:bCs/>
          <w:color w:val="77328A"/>
          <w:sz w:val="36"/>
          <w:szCs w:val="36"/>
        </w:rPr>
      </w:pPr>
    </w:p>
    <w:p w14:paraId="3BDEF226" w14:textId="77777777" w:rsidR="009B3CEF" w:rsidRDefault="009B3CEF" w:rsidP="00331C61">
      <w:pPr>
        <w:pStyle w:val="BasicParagraph"/>
        <w:suppressAutoHyphens/>
        <w:jc w:val="center"/>
        <w:rPr>
          <w:rFonts w:ascii="Verdana" w:hAnsi="Verdana" w:cs="Arial"/>
          <w:b/>
          <w:bCs/>
          <w:color w:val="77328A"/>
          <w:sz w:val="36"/>
          <w:szCs w:val="36"/>
        </w:rPr>
      </w:pPr>
    </w:p>
    <w:p w14:paraId="56F5923F" w14:textId="77777777" w:rsidR="009B3CEF" w:rsidRDefault="009B3CEF" w:rsidP="00331C61">
      <w:pPr>
        <w:pStyle w:val="BasicParagraph"/>
        <w:suppressAutoHyphens/>
        <w:jc w:val="center"/>
        <w:rPr>
          <w:rFonts w:ascii="Verdana" w:hAnsi="Verdana" w:cs="Arial"/>
          <w:b/>
          <w:bCs/>
          <w:color w:val="77328A"/>
          <w:sz w:val="36"/>
          <w:szCs w:val="36"/>
        </w:rPr>
      </w:pPr>
    </w:p>
    <w:p w14:paraId="444724B0" w14:textId="77777777" w:rsidR="009B3CEF" w:rsidRDefault="009B3CEF" w:rsidP="00331C61">
      <w:pPr>
        <w:pStyle w:val="BasicParagraph"/>
        <w:suppressAutoHyphens/>
        <w:jc w:val="center"/>
        <w:rPr>
          <w:rFonts w:ascii="Verdana" w:hAnsi="Verdana" w:cs="Arial"/>
          <w:b/>
          <w:bCs/>
          <w:color w:val="77328A"/>
          <w:sz w:val="36"/>
          <w:szCs w:val="36"/>
        </w:rPr>
      </w:pPr>
    </w:p>
    <w:p w14:paraId="49AE4D30" w14:textId="77777777" w:rsidR="009B3CEF" w:rsidRDefault="009B3CEF" w:rsidP="00331C61">
      <w:pPr>
        <w:pStyle w:val="BasicParagraph"/>
        <w:suppressAutoHyphens/>
        <w:jc w:val="center"/>
        <w:rPr>
          <w:rFonts w:ascii="Verdana" w:hAnsi="Verdana" w:cs="Arial"/>
          <w:b/>
          <w:bCs/>
          <w:color w:val="77328A"/>
          <w:sz w:val="36"/>
          <w:szCs w:val="36"/>
        </w:rPr>
      </w:pPr>
    </w:p>
    <w:p w14:paraId="66087139" w14:textId="77777777" w:rsidR="009B3CEF" w:rsidRDefault="009B3CEF" w:rsidP="00331C61">
      <w:pPr>
        <w:pStyle w:val="BasicParagraph"/>
        <w:suppressAutoHyphens/>
        <w:jc w:val="center"/>
        <w:rPr>
          <w:rFonts w:ascii="Verdana" w:hAnsi="Verdana" w:cs="Arial"/>
          <w:b/>
          <w:bCs/>
          <w:color w:val="77328A"/>
          <w:sz w:val="36"/>
          <w:szCs w:val="36"/>
        </w:rPr>
      </w:pPr>
    </w:p>
    <w:p w14:paraId="484AFCD2" w14:textId="77777777" w:rsidR="009B3CEF" w:rsidRDefault="009B3CEF" w:rsidP="00331C61">
      <w:pPr>
        <w:pStyle w:val="BasicParagraph"/>
        <w:suppressAutoHyphens/>
        <w:jc w:val="center"/>
        <w:rPr>
          <w:rFonts w:ascii="Verdana" w:hAnsi="Verdana" w:cs="Arial"/>
          <w:b/>
          <w:bCs/>
          <w:color w:val="77328A"/>
          <w:sz w:val="36"/>
          <w:szCs w:val="36"/>
        </w:rPr>
      </w:pPr>
    </w:p>
    <w:p w14:paraId="3212605A" w14:textId="77777777" w:rsidR="009B3CEF" w:rsidRDefault="009B3CEF" w:rsidP="00331C61">
      <w:pPr>
        <w:pStyle w:val="BasicParagraph"/>
        <w:suppressAutoHyphens/>
        <w:jc w:val="center"/>
        <w:rPr>
          <w:rFonts w:ascii="Verdana" w:hAnsi="Verdana" w:cs="Arial"/>
          <w:b/>
          <w:bCs/>
          <w:color w:val="77328A"/>
          <w:sz w:val="36"/>
          <w:szCs w:val="36"/>
        </w:rPr>
      </w:pPr>
    </w:p>
    <w:p w14:paraId="597FA895" w14:textId="77777777" w:rsidR="009B3CEF" w:rsidRDefault="009B3CEF" w:rsidP="00331C61">
      <w:pPr>
        <w:pStyle w:val="BasicParagraph"/>
        <w:suppressAutoHyphens/>
        <w:jc w:val="center"/>
        <w:rPr>
          <w:rFonts w:ascii="Verdana" w:hAnsi="Verdana" w:cs="Arial"/>
          <w:b/>
          <w:bCs/>
          <w:color w:val="77328A"/>
          <w:sz w:val="36"/>
          <w:szCs w:val="36"/>
        </w:rPr>
      </w:pPr>
    </w:p>
    <w:p w14:paraId="1090473A" w14:textId="77777777" w:rsidR="009B3CEF" w:rsidRDefault="009B3CEF" w:rsidP="00331C61">
      <w:pPr>
        <w:pStyle w:val="BasicParagraph"/>
        <w:suppressAutoHyphens/>
        <w:jc w:val="center"/>
        <w:rPr>
          <w:rFonts w:ascii="Verdana" w:hAnsi="Verdana" w:cs="Arial"/>
          <w:b/>
          <w:bCs/>
          <w:color w:val="77328A"/>
          <w:sz w:val="36"/>
          <w:szCs w:val="36"/>
        </w:rPr>
      </w:pPr>
    </w:p>
    <w:p w14:paraId="6D64C8E9" w14:textId="77777777" w:rsidR="009B3CEF" w:rsidRDefault="009B3CEF" w:rsidP="00844C1C">
      <w:pPr>
        <w:pStyle w:val="BasicParagraph"/>
        <w:suppressAutoHyphens/>
        <w:rPr>
          <w:rFonts w:ascii="Verdana" w:hAnsi="Verdana" w:cs="Arial"/>
          <w:b/>
          <w:bCs/>
          <w:color w:val="77328A"/>
          <w:sz w:val="36"/>
          <w:szCs w:val="36"/>
        </w:rPr>
      </w:pPr>
    </w:p>
    <w:p w14:paraId="1C879BAB" w14:textId="77777777" w:rsidR="009B3CEF" w:rsidRDefault="009B3CEF" w:rsidP="00331C61">
      <w:pPr>
        <w:pStyle w:val="BasicParagraph"/>
        <w:suppressAutoHyphens/>
        <w:jc w:val="center"/>
        <w:rPr>
          <w:rFonts w:ascii="Verdana" w:hAnsi="Verdana" w:cs="Arial"/>
          <w:b/>
          <w:bCs/>
          <w:color w:val="77328A"/>
          <w:sz w:val="36"/>
          <w:szCs w:val="36"/>
        </w:rPr>
      </w:pPr>
    </w:p>
    <w:p w14:paraId="2002291A" w14:textId="77777777" w:rsidR="00C53AB3" w:rsidRDefault="00C53AB3" w:rsidP="00331C61">
      <w:pPr>
        <w:pStyle w:val="BasicParagraph"/>
        <w:suppressAutoHyphens/>
        <w:jc w:val="center"/>
        <w:rPr>
          <w:rFonts w:ascii="Verdana" w:hAnsi="Verdana" w:cs="Arial"/>
          <w:b/>
          <w:bCs/>
          <w:color w:val="77328A"/>
          <w:sz w:val="36"/>
          <w:szCs w:val="36"/>
        </w:rPr>
      </w:pPr>
    </w:p>
    <w:p w14:paraId="474A277F" w14:textId="77777777" w:rsidR="00556D11" w:rsidRDefault="00556D11" w:rsidP="0034649C">
      <w:pPr>
        <w:pStyle w:val="BasicParagraph"/>
        <w:suppressAutoHyphens/>
        <w:rPr>
          <w:rFonts w:ascii="Verdana" w:hAnsi="Verdana" w:cs="Arial"/>
          <w:b/>
          <w:bCs/>
          <w:color w:val="77328A"/>
          <w:sz w:val="36"/>
          <w:szCs w:val="36"/>
        </w:rPr>
      </w:pPr>
    </w:p>
    <w:p w14:paraId="239E6669" w14:textId="411B902C" w:rsidR="00705833" w:rsidRDefault="008256BE" w:rsidP="00331C61">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Contact us</w:t>
      </w:r>
      <w:r w:rsidR="00015ED2">
        <w:rPr>
          <w:rFonts w:ascii="Verdana" w:hAnsi="Verdana" w:cs="Arial"/>
          <w:b/>
          <w:bCs/>
          <w:color w:val="77328A"/>
          <w:sz w:val="36"/>
          <w:szCs w:val="36"/>
        </w:rPr>
        <w:t>:</w:t>
      </w:r>
    </w:p>
    <w:p w14:paraId="0ECBA0EA" w14:textId="77777777" w:rsidR="00331C61" w:rsidRPr="00331C61" w:rsidRDefault="00331C61" w:rsidP="00331C61">
      <w:pPr>
        <w:pStyle w:val="BasicParagraph"/>
        <w:suppressAutoHyphens/>
        <w:jc w:val="center"/>
        <w:rPr>
          <w:rFonts w:ascii="Verdana" w:hAnsi="Verdana" w:cs="Arial"/>
          <w:b/>
          <w:color w:val="77328A"/>
          <w:sz w:val="36"/>
          <w:szCs w:val="36"/>
        </w:rPr>
      </w:pPr>
    </w:p>
    <w:p w14:paraId="34E8F186" w14:textId="19BED122" w:rsidR="004672AC" w:rsidRPr="00AB5F76" w:rsidRDefault="00D96F09" w:rsidP="00AB5F76">
      <w:pPr>
        <w:spacing w:line="288" w:lineRule="auto"/>
        <w:jc w:val="center"/>
        <w:rPr>
          <w:rFonts w:ascii="Verdana" w:hAnsi="Verdana" w:cs="Arial"/>
          <w:b/>
          <w:color w:val="232120"/>
          <w:sz w:val="30"/>
          <w:szCs w:val="30"/>
        </w:rPr>
      </w:pPr>
      <w:hyperlink r:id="rId13" w:history="1">
        <w:r w:rsidRPr="00A110FF">
          <w:rPr>
            <w:rStyle w:val="Hyperlink"/>
            <w:rFonts w:ascii="Verdana" w:hAnsi="Verdana" w:cs="Arial"/>
            <w:b/>
            <w:sz w:val="30"/>
            <w:szCs w:val="30"/>
          </w:rPr>
          <w:t>Julia.Buchanan@NIHRC.org</w:t>
        </w:r>
      </w:hyperlink>
      <w:r w:rsidR="00705833" w:rsidRPr="008256BE">
        <w:rPr>
          <w:rFonts w:ascii="Verdana" w:hAnsi="Verdana" w:cs="Arial"/>
          <w:bCs/>
          <w:color w:val="232120"/>
          <w:sz w:val="30"/>
          <w:szCs w:val="30"/>
        </w:rPr>
        <w:br/>
      </w:r>
      <w:hyperlink r:id="rId14" w:history="1">
        <w:r w:rsidR="00E50D4A" w:rsidRPr="00B05462">
          <w:rPr>
            <w:rStyle w:val="Hyperlink"/>
            <w:rFonts w:ascii="Verdana" w:hAnsi="Verdana" w:cs="Arial"/>
            <w:b/>
            <w:sz w:val="30"/>
            <w:szCs w:val="30"/>
          </w:rPr>
          <w:t>Emily.Mills@NIHRC.org</w:t>
        </w:r>
      </w:hyperlink>
      <w:r w:rsidR="00E50D4A">
        <w:rPr>
          <w:rFonts w:ascii="Verdana" w:hAnsi="Verdana" w:cs="Arial"/>
          <w:b/>
          <w:color w:val="232120"/>
          <w:sz w:val="30"/>
          <w:szCs w:val="30"/>
        </w:rPr>
        <w:t xml:space="preserve"> </w:t>
      </w:r>
    </w:p>
    <w:p w14:paraId="67866437" w14:textId="77777777" w:rsidR="00331C61" w:rsidRPr="00331C61" w:rsidRDefault="00331C61" w:rsidP="003B7D0E">
      <w:pPr>
        <w:spacing w:line="288" w:lineRule="auto"/>
        <w:jc w:val="center"/>
        <w:rPr>
          <w:rFonts w:ascii="Verdana" w:hAnsi="Verdana" w:cs="Arial"/>
          <w:b/>
          <w:color w:val="232120"/>
          <w:sz w:val="30"/>
          <w:szCs w:val="30"/>
        </w:rPr>
      </w:pPr>
    </w:p>
    <w:p w14:paraId="29BF7736" w14:textId="77777777" w:rsidR="00331C61" w:rsidRPr="00331C61" w:rsidRDefault="00331C61" w:rsidP="003B7D0E">
      <w:pPr>
        <w:spacing w:line="288" w:lineRule="auto"/>
        <w:jc w:val="center"/>
        <w:rPr>
          <w:rFonts w:ascii="Verdana" w:hAnsi="Verdana" w:cs="Arial"/>
          <w:b/>
          <w:color w:val="232120"/>
          <w:sz w:val="30"/>
          <w:szCs w:val="30"/>
        </w:rPr>
      </w:pPr>
    </w:p>
    <w:p w14:paraId="314D154E" w14:textId="77777777" w:rsidR="00331C61" w:rsidRPr="00331C61" w:rsidRDefault="00331C61" w:rsidP="00331C61">
      <w:pPr>
        <w:spacing w:line="288" w:lineRule="auto"/>
        <w:jc w:val="center"/>
        <w:rPr>
          <w:rFonts w:ascii="Verdana" w:hAnsi="Verdana" w:cs="Arial"/>
          <w:color w:val="232120"/>
          <w:sz w:val="28"/>
          <w:szCs w:val="28"/>
        </w:rPr>
      </w:pPr>
      <w:hyperlink r:id="rId15" w:history="1">
        <w:r w:rsidRPr="00331C61">
          <w:rPr>
            <w:rStyle w:val="Hyperlink"/>
            <w:rFonts w:ascii="Verdana" w:hAnsi="Verdana" w:cs="Arial"/>
            <w:color w:val="232120"/>
            <w:sz w:val="28"/>
            <w:szCs w:val="28"/>
            <w:u w:val="none"/>
            <w:lang w:val="en-US"/>
          </w:rPr>
          <w:t>www.nihrc.org</w:t>
        </w:r>
      </w:hyperlink>
      <w:r w:rsidRPr="00331C61">
        <w:rPr>
          <w:rFonts w:ascii="Verdana" w:hAnsi="Verdana" w:cs="Arial"/>
          <w:color w:val="232120"/>
          <w:sz w:val="28"/>
          <w:szCs w:val="28"/>
          <w:lang w:val="en-US"/>
        </w:rPr>
        <w:t xml:space="preserve">  |  </w:t>
      </w:r>
      <w:hyperlink r:id="rId16" w:history="1">
        <w:r w:rsidRPr="00331C61">
          <w:rPr>
            <w:rStyle w:val="Hyperlink"/>
            <w:rFonts w:ascii="Verdana" w:hAnsi="Verdana" w:cs="Arial"/>
            <w:color w:val="232120"/>
            <w:sz w:val="28"/>
            <w:szCs w:val="28"/>
            <w:u w:val="none"/>
            <w:lang w:val="en-US"/>
          </w:rPr>
          <w:t>info@nihrc.org</w:t>
        </w:r>
      </w:hyperlink>
      <w:r w:rsidRPr="00331C61">
        <w:rPr>
          <w:rFonts w:ascii="Verdana" w:hAnsi="Verdana" w:cs="Arial"/>
          <w:color w:val="232120"/>
          <w:sz w:val="28"/>
          <w:szCs w:val="28"/>
          <w:lang w:val="en-US"/>
        </w:rPr>
        <w:t xml:space="preserve">  |  +44 (0)28 9024 3987</w:t>
      </w:r>
    </w:p>
    <w:p w14:paraId="75371E22"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E8C0585" w14:textId="77777777" w:rsidR="00F56C78" w:rsidRPr="00331C61" w:rsidRDefault="00F56C78" w:rsidP="003B7D0E">
      <w:pPr>
        <w:spacing w:line="288" w:lineRule="auto"/>
        <w:jc w:val="center"/>
        <w:rPr>
          <w:rFonts w:ascii="Verdana" w:hAnsi="Verdana" w:cs="Arial"/>
          <w:b/>
          <w:color w:val="232120"/>
          <w:sz w:val="28"/>
          <w:szCs w:val="28"/>
        </w:rPr>
      </w:pPr>
    </w:p>
    <w:p w14:paraId="3CBCB33B" w14:textId="77777777" w:rsidR="00F56C78" w:rsidRPr="00331C61" w:rsidRDefault="00F56C78" w:rsidP="003B7D0E">
      <w:pPr>
        <w:spacing w:line="288" w:lineRule="auto"/>
        <w:jc w:val="center"/>
        <w:rPr>
          <w:rFonts w:ascii="Verdana" w:hAnsi="Verdana" w:cs="Arial"/>
          <w:color w:val="232120"/>
          <w:sz w:val="20"/>
          <w:szCs w:val="20"/>
        </w:rPr>
      </w:pPr>
    </w:p>
    <w:p w14:paraId="2E34B83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39134C5" wp14:editId="44A2128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B0966">
      <w:footerReference w:type="default" r:id="rId18"/>
      <w:footerReference w:type="first" r:id="rId19"/>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BB73" w14:textId="77777777" w:rsidR="008B6D66" w:rsidRDefault="008B6D66" w:rsidP="00962B2B">
      <w:r>
        <w:separator/>
      </w:r>
    </w:p>
  </w:endnote>
  <w:endnote w:type="continuationSeparator" w:id="0">
    <w:p w14:paraId="6DA242E7" w14:textId="77777777" w:rsidR="008B6D66" w:rsidRDefault="008B6D66" w:rsidP="00962B2B">
      <w:r>
        <w:continuationSeparator/>
      </w:r>
    </w:p>
  </w:endnote>
  <w:endnote w:type="continuationNotice" w:id="1">
    <w:p w14:paraId="276DCBFB" w14:textId="77777777" w:rsidR="008B6D66" w:rsidRDefault="008B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8CCD" w14:textId="77777777" w:rsidR="00D2770F" w:rsidRDefault="00D2770F" w:rsidP="00656ECD">
    <w:pPr>
      <w:pStyle w:val="Footer"/>
      <w:jc w:val="right"/>
      <w:rPr>
        <w:rStyle w:val="PageNumber"/>
        <w:rFonts w:ascii="Arial" w:hAnsi="Arial" w:cs="Arial"/>
        <w:b/>
        <w:sz w:val="16"/>
        <w:szCs w:val="16"/>
      </w:rPr>
    </w:pPr>
  </w:p>
  <w:p w14:paraId="26286EFD"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F2B3" w14:textId="77777777" w:rsidR="00D2770F" w:rsidRDefault="00D2770F" w:rsidP="00046705">
    <w:pPr>
      <w:pStyle w:val="Footer"/>
      <w:jc w:val="right"/>
      <w:rPr>
        <w:rStyle w:val="PageNumber"/>
        <w:rFonts w:ascii="Arial" w:hAnsi="Arial" w:cs="Arial"/>
        <w:b/>
        <w:sz w:val="16"/>
        <w:szCs w:val="16"/>
      </w:rPr>
    </w:pPr>
  </w:p>
  <w:p w14:paraId="74C4B522"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B5C9" w14:textId="77777777" w:rsidR="008B6D66" w:rsidRDefault="008B6D66" w:rsidP="00B96D34">
      <w:r>
        <w:continuationSeparator/>
      </w:r>
    </w:p>
    <w:p w14:paraId="1BEFA0FC" w14:textId="77777777" w:rsidR="008B6D66" w:rsidRPr="00B96D34" w:rsidRDefault="008B6D66" w:rsidP="00B96D34">
      <w:pPr>
        <w:pStyle w:val="Footer"/>
      </w:pPr>
    </w:p>
  </w:footnote>
  <w:footnote w:type="continuationSeparator" w:id="0">
    <w:p w14:paraId="351792E9" w14:textId="77777777" w:rsidR="008B6D66" w:rsidRDefault="008B6D66" w:rsidP="00962B2B">
      <w:r>
        <w:continuationSeparator/>
      </w:r>
    </w:p>
  </w:footnote>
  <w:footnote w:type="continuationNotice" w:id="1">
    <w:p w14:paraId="13BB40CE" w14:textId="77777777" w:rsidR="008B6D66" w:rsidRDefault="008B6D66"/>
  </w:footnote>
  <w:footnote w:id="2">
    <w:p w14:paraId="5ADCD13C" w14:textId="77777777" w:rsidR="001A71E4" w:rsidRPr="005C66E6" w:rsidRDefault="001A71E4" w:rsidP="001A71E4">
      <w:pPr>
        <w:pStyle w:val="NIHRCFootnotes"/>
      </w:pPr>
      <w:r w:rsidRPr="005C66E6">
        <w:rPr>
          <w:rStyle w:val="FootnoteReference"/>
        </w:rPr>
        <w:footnoteRef/>
      </w:r>
      <w:r w:rsidRPr="005C66E6">
        <w:t xml:space="preserve"> For example, by enacting laws and securing their effective enforcement, through education, information, monitoring and, where necessary, the deployment of sanctions.</w:t>
      </w:r>
    </w:p>
  </w:footnote>
  <w:footnote w:id="3">
    <w:p w14:paraId="6453BFD7" w14:textId="77777777" w:rsidR="001A71E4" w:rsidRPr="005C66E6" w:rsidRDefault="001A71E4" w:rsidP="001A71E4">
      <w:pPr>
        <w:pStyle w:val="FootnoteText"/>
        <w:rPr>
          <w:rFonts w:ascii="Verdana" w:hAnsi="Verdan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For example, see: ‘UN CEDAW Committee General Recommendation No.24 on Women and Health (Article 12)’, 2 February 1999, at para 17; CRC/C/GC/14, ‘UN CRC Committee General Comment No.14 on the right of the child to have his or her best interests taken a primary consideration’, 29 May 2013, at para 10; CRPD/C/18/1, ‘UN CRPD Committee General Comment No.19 on Article 19: Living independently and being included in the community’, 29 August 2017, at para 54.</w:t>
      </w:r>
    </w:p>
  </w:footnote>
  <w:footnote w:id="4">
    <w:p w14:paraId="7BF37B29" w14:textId="77777777" w:rsidR="001A71E4" w:rsidRPr="005C66E6" w:rsidRDefault="001A71E4" w:rsidP="001A71E4">
      <w:pPr>
        <w:pStyle w:val="FootnoteText"/>
        <w:rPr>
          <w:rFonts w:ascii="Verdana" w:hAnsi="Verdana"/>
          <w:color w:val="77328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A/HRC/40/57, ‘Report of the Independent Expert on the effects of foreign debt and other related international financial obligations of States on the full enjoyment of human rights, particularly economic, social and cultural rights: Guiding principles on human rights impact assessments of economic reforms’, 19 December 2018, at para 5; Council of Europe Commissioner for Human Rights, ‘Safeguarding human rights in times of economic crisis’ (</w:t>
      </w:r>
      <w:proofErr w:type="spellStart"/>
      <w:r w:rsidRPr="005C66E6">
        <w:rPr>
          <w:rFonts w:ascii="Verdana" w:hAnsi="Verdana"/>
          <w:color w:val="77328A"/>
          <w:sz w:val="16"/>
          <w:szCs w:val="16"/>
        </w:rPr>
        <w:t>CoE</w:t>
      </w:r>
      <w:proofErr w:type="spellEnd"/>
      <w:r w:rsidRPr="005C66E6">
        <w:rPr>
          <w:rFonts w:ascii="Verdana" w:hAnsi="Verdana"/>
          <w:color w:val="77328A"/>
          <w:sz w:val="16"/>
          <w:szCs w:val="16"/>
        </w:rPr>
        <w:t>, 2013), at 7.</w:t>
      </w:r>
    </w:p>
  </w:footnote>
  <w:footnote w:id="5">
    <w:p w14:paraId="46C8CEDA" w14:textId="77777777" w:rsidR="001A71E4" w:rsidRPr="005C66E6" w:rsidRDefault="001A71E4" w:rsidP="001A71E4">
      <w:pPr>
        <w:pStyle w:val="FootnoteText"/>
        <w:rPr>
          <w:rFonts w:ascii="Verdana" w:hAnsi="Verdana"/>
          <w:color w:val="77328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E/1990/23, ‘ICESCR Committee General Comment No.2: International technical assistance measures’, 2 February 1990, at para 9; Council of Europe Commissioner for Human Rights, ‘Safeguarding human rights in times of economic crisis’ (</w:t>
      </w:r>
      <w:proofErr w:type="spellStart"/>
      <w:r w:rsidRPr="005C66E6">
        <w:rPr>
          <w:rFonts w:ascii="Verdana" w:hAnsi="Verdana"/>
          <w:color w:val="77328A"/>
          <w:sz w:val="16"/>
          <w:szCs w:val="16"/>
        </w:rPr>
        <w:t>CoE</w:t>
      </w:r>
      <w:proofErr w:type="spellEnd"/>
      <w:r w:rsidRPr="005C66E6">
        <w:rPr>
          <w:rFonts w:ascii="Verdana" w:hAnsi="Verdana"/>
          <w:color w:val="77328A"/>
          <w:sz w:val="16"/>
          <w:szCs w:val="16"/>
        </w:rPr>
        <w:t>, 2013), at 7.</w:t>
      </w:r>
    </w:p>
  </w:footnote>
  <w:footnote w:id="6">
    <w:p w14:paraId="20B45DE2" w14:textId="77777777" w:rsidR="001A71E4" w:rsidRPr="005C66E6" w:rsidRDefault="001A71E4" w:rsidP="001A71E4">
      <w:pPr>
        <w:pStyle w:val="FootnoteText"/>
        <w:rPr>
          <w:rFonts w:ascii="Verdana" w:hAnsi="Verdana"/>
          <w:color w:val="77328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See CRC/C/GBR/CO/5, ‘UN Committee on the Rights of the Child, Concluding Observations on the Fifth Periodic Report of the UK of Great Britain and NI’, 3 June 2016; and CRC/C/GBR/CO/6-7, ‘UN Committee on the Rights of the Child, Concluding Observations on the combined sixth and seventh reports of the UK of Great Britain and NI’, 2 June 2023, at para 11.</w:t>
      </w:r>
    </w:p>
  </w:footnote>
  <w:footnote w:id="7">
    <w:p w14:paraId="42827507" w14:textId="77777777" w:rsidR="001A71E4" w:rsidRPr="005C66E6" w:rsidRDefault="001A71E4" w:rsidP="001A71E4">
      <w:pPr>
        <w:pStyle w:val="FootnoteText"/>
        <w:rPr>
          <w:rFonts w:ascii="Verdana" w:hAnsi="Verdana"/>
          <w:color w:val="77328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CEDAW/C/GBR/CO/8. ‘UN Committee on the Elimination of Discrimination against Women Concluding Observations on the eighth periodic report of the United Kingdom of Great Britain and Northern Ireland’ 8 March 2019, at para 17.</w:t>
      </w:r>
    </w:p>
  </w:footnote>
  <w:footnote w:id="8">
    <w:p w14:paraId="21D063CA" w14:textId="77777777" w:rsidR="001A71E4" w:rsidRPr="005C66E6" w:rsidRDefault="001A71E4" w:rsidP="001A71E4">
      <w:pPr>
        <w:pStyle w:val="FootnoteText"/>
        <w:rPr>
          <w:rFonts w:ascii="Verdana" w:hAnsi="Verdana"/>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CRPD/C/GBR/CO/1, ‘UN Committee on Rights of Persons with Disabilities Concluding Observations on the Initial Report of the United Kingdom of Great Britain and Northern Ireland’, 3 October 2017, at para 59(b).</w:t>
      </w:r>
    </w:p>
  </w:footnote>
  <w:footnote w:id="9">
    <w:p w14:paraId="5290F27B" w14:textId="77777777" w:rsidR="001A71E4" w:rsidRPr="000D6AAF" w:rsidRDefault="001A71E4" w:rsidP="001A71E4">
      <w:pPr>
        <w:pStyle w:val="FootnoteText"/>
        <w:rPr>
          <w:color w:val="77328A"/>
          <w:sz w:val="16"/>
          <w:szCs w:val="16"/>
        </w:rPr>
      </w:pPr>
      <w:r w:rsidRPr="005C66E6">
        <w:rPr>
          <w:rStyle w:val="FootnoteReference"/>
          <w:rFonts w:ascii="Verdana" w:hAnsi="Verdana"/>
          <w:color w:val="77328A"/>
          <w:sz w:val="16"/>
          <w:szCs w:val="16"/>
        </w:rPr>
        <w:footnoteRef/>
      </w:r>
      <w:r w:rsidRPr="005C66E6">
        <w:rPr>
          <w:rFonts w:ascii="Verdana" w:hAnsi="Verdana"/>
          <w:color w:val="77328A"/>
          <w:sz w:val="16"/>
          <w:szCs w:val="16"/>
        </w:rPr>
        <w:t xml:space="preserve"> Council of Europe Commissioner for Human Rights, ‘Safeguarding human rights in times of economic crisis’ (</w:t>
      </w:r>
      <w:proofErr w:type="spellStart"/>
      <w:r w:rsidRPr="005C66E6">
        <w:rPr>
          <w:rFonts w:ascii="Verdana" w:hAnsi="Verdana"/>
          <w:color w:val="77328A"/>
          <w:sz w:val="16"/>
          <w:szCs w:val="16"/>
        </w:rPr>
        <w:t>CoE</w:t>
      </w:r>
      <w:proofErr w:type="spellEnd"/>
      <w:r w:rsidRPr="005C66E6">
        <w:rPr>
          <w:rFonts w:ascii="Verdana" w:hAnsi="Verdana"/>
          <w:color w:val="77328A"/>
          <w:sz w:val="16"/>
          <w:szCs w:val="16"/>
        </w:rPr>
        <w:t>, 2013), at 7.</w:t>
      </w:r>
    </w:p>
  </w:footnote>
  <w:footnote w:id="10">
    <w:p w14:paraId="1DB33812" w14:textId="77777777" w:rsidR="001A71E4" w:rsidRPr="00851C66" w:rsidRDefault="001A71E4" w:rsidP="001A71E4">
      <w:pPr>
        <w:pStyle w:val="FootnoteText"/>
        <w:rPr>
          <w:rFonts w:ascii="Verdana" w:hAnsi="Verdan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E/1991/23, ‘ICESCR Committee General Comment No.3: The nature of State Parties’ obligations’, 14 December 1990, at para 9.</w:t>
      </w:r>
    </w:p>
  </w:footnote>
  <w:footnote w:id="11">
    <w:p w14:paraId="7F7AC6C7" w14:textId="77777777" w:rsidR="001A71E4" w:rsidRPr="00851C66" w:rsidRDefault="001A71E4" w:rsidP="001A71E4">
      <w:pPr>
        <w:pStyle w:val="FootnoteText"/>
        <w:rPr>
          <w:rFonts w:ascii="Verdana" w:hAnsi="Verdana"/>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w:t>
      </w:r>
      <w:r w:rsidRPr="00851C66">
        <w:rPr>
          <w:rStyle w:val="normaltextrun"/>
          <w:rFonts w:ascii="Verdana" w:hAnsi="Verdana" w:cs="Segoe UI"/>
          <w:color w:val="77328A"/>
          <w:sz w:val="16"/>
          <w:szCs w:val="16"/>
          <w:shd w:val="clear" w:color="auto" w:fill="FFFFFF"/>
        </w:rPr>
        <w:t>E/C.12/GC/21, ‘ICESCR Committee General Comment No 21: Right of Everyone to Take Part in Cultural Life’, 21 December 2009, at para 65; E/C.12/GC/19, ‘ICESCR Committee General Comment No 19: The Right to Social Security’, 4 February 2008, at para 42; E/C.12/GC/18, ‘ICESCR Committee General Comment No 18: The Right to Work’, 6 February 2006, at para 21; E/C.12/GC/17, ‘ICESCR Committee General Comment No 17: The Right of Everyone to Benefit from the Protection of the Moral and Material Interests Resulting from Any Scientific, Literary or Artistic Production of which He or She is the Author’, 12 January 2006.</w:t>
      </w:r>
      <w:r w:rsidRPr="00851C66">
        <w:rPr>
          <w:rStyle w:val="eop"/>
          <w:rFonts w:ascii="Verdana" w:hAnsi="Verdana"/>
          <w:color w:val="77328A"/>
          <w:sz w:val="16"/>
          <w:szCs w:val="16"/>
          <w:shd w:val="clear" w:color="auto" w:fill="FFFFFF"/>
        </w:rPr>
        <w:t> </w:t>
      </w:r>
    </w:p>
  </w:footnote>
  <w:footnote w:id="12">
    <w:p w14:paraId="2428C1FF" w14:textId="77777777" w:rsidR="001A71E4" w:rsidRPr="00851C66" w:rsidRDefault="001A71E4" w:rsidP="001A71E4">
      <w:pPr>
        <w:pStyle w:val="FootnoteText"/>
        <w:rPr>
          <w:rFonts w:ascii="Verdana" w:hAnsi="Verdan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E/C.12/GC/14, ‘ICESCR Committee General Comment No.14 on the right to education’, 11 August 2000, at para 45. </w:t>
      </w:r>
    </w:p>
  </w:footnote>
  <w:footnote w:id="13">
    <w:p w14:paraId="4AA7174C" w14:textId="77777777" w:rsidR="001A71E4" w:rsidRPr="00851C66" w:rsidRDefault="001A71E4" w:rsidP="001A71E4">
      <w:pPr>
        <w:pStyle w:val="FootnoteText"/>
        <w:rPr>
          <w:rFonts w:ascii="Verdana" w:hAnsi="Verdana"/>
          <w:color w:val="77328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E/1991/23, ‘ICESCR Committee General Comment No.3: The nature of State Parties’ obligations’, 14 December 1990, at para 10. </w:t>
      </w:r>
    </w:p>
  </w:footnote>
  <w:footnote w:id="14">
    <w:p w14:paraId="07359947" w14:textId="77777777" w:rsidR="001A71E4" w:rsidRPr="00851C66" w:rsidRDefault="001A71E4" w:rsidP="001A71E4">
      <w:pPr>
        <w:pStyle w:val="FootnoteText"/>
        <w:rPr>
          <w:rFonts w:ascii="Verdana" w:hAnsi="Verdana"/>
          <w:color w:val="77328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Ibid, at para 11. </w:t>
      </w:r>
    </w:p>
  </w:footnote>
  <w:footnote w:id="15">
    <w:p w14:paraId="2E45E407" w14:textId="77777777" w:rsidR="001A71E4" w:rsidRPr="00851C66" w:rsidRDefault="001A71E4" w:rsidP="001A71E4">
      <w:pPr>
        <w:pStyle w:val="FootnoteText"/>
        <w:rPr>
          <w:rFonts w:ascii="Verdana" w:hAnsi="Verdana"/>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Ibid, at para 12.</w:t>
      </w:r>
    </w:p>
  </w:footnote>
  <w:footnote w:id="16">
    <w:p w14:paraId="27F049D1" w14:textId="505E60F0" w:rsidR="00366ECD" w:rsidRPr="000D73F6" w:rsidRDefault="00366ECD">
      <w:pPr>
        <w:pStyle w:val="FootnoteText"/>
        <w:rPr>
          <w:rFonts w:ascii="Verdana" w:hAnsi="Verdana"/>
          <w:color w:val="77328A"/>
          <w:sz w:val="16"/>
          <w:szCs w:val="16"/>
        </w:rPr>
      </w:pPr>
      <w:r w:rsidRPr="000D73F6">
        <w:rPr>
          <w:rStyle w:val="FootnoteReference"/>
          <w:rFonts w:ascii="Verdana" w:hAnsi="Verdana"/>
          <w:color w:val="77328A"/>
          <w:sz w:val="16"/>
          <w:szCs w:val="16"/>
        </w:rPr>
        <w:footnoteRef/>
      </w:r>
      <w:r w:rsidR="00B5617F" w:rsidRPr="000D73F6">
        <w:rPr>
          <w:rFonts w:ascii="Verdana" w:hAnsi="Verdana"/>
          <w:color w:val="77328A"/>
          <w:sz w:val="16"/>
          <w:szCs w:val="16"/>
        </w:rPr>
        <w:t xml:space="preserve"> CEDAW/C/GC/40, ‘UN CEDAW Committee: </w:t>
      </w:r>
      <w:r w:rsidR="00EE41A1" w:rsidRPr="000D73F6">
        <w:rPr>
          <w:rFonts w:ascii="Verdana" w:hAnsi="Verdana"/>
          <w:color w:val="77328A"/>
          <w:sz w:val="16"/>
          <w:szCs w:val="16"/>
        </w:rPr>
        <w:t xml:space="preserve">General recommendation No. 40 (2024) on the equal and inclusive representation of women in decision-making systems’, 25 October 2024. </w:t>
      </w:r>
    </w:p>
  </w:footnote>
  <w:footnote w:id="17">
    <w:p w14:paraId="10104E1C" w14:textId="021A0109" w:rsidR="00C9077D" w:rsidRPr="000D73F6" w:rsidRDefault="00C9077D" w:rsidP="00C9077D">
      <w:pPr>
        <w:pStyle w:val="FootnoteText"/>
        <w:rPr>
          <w:rFonts w:ascii="Verdana" w:hAnsi="Verdana"/>
          <w:color w:val="77328A"/>
          <w:sz w:val="16"/>
          <w:szCs w:val="16"/>
        </w:rPr>
      </w:pPr>
      <w:r w:rsidRPr="000D73F6">
        <w:rPr>
          <w:rStyle w:val="FootnoteReference"/>
          <w:rFonts w:ascii="Verdana" w:hAnsi="Verdana"/>
          <w:color w:val="77328A"/>
          <w:sz w:val="16"/>
          <w:szCs w:val="16"/>
        </w:rPr>
        <w:footnoteRef/>
      </w:r>
      <w:r w:rsidRPr="000D73F6">
        <w:rPr>
          <w:rFonts w:ascii="Verdana" w:hAnsi="Verdana"/>
          <w:color w:val="77328A"/>
          <w:sz w:val="16"/>
          <w:szCs w:val="16"/>
        </w:rPr>
        <w:t xml:space="preserve"> CEDAW/C/GC/40, ‘UN CEDAW Committee: General recommendation No. 40 (2024) on the equal and inclusive representation of women in decision-making systems’, 25 October 2024</w:t>
      </w:r>
      <w:r w:rsidR="000D73F6" w:rsidRPr="000D73F6">
        <w:rPr>
          <w:rFonts w:ascii="Verdana" w:hAnsi="Verdana"/>
          <w:color w:val="77328A"/>
          <w:sz w:val="16"/>
          <w:szCs w:val="16"/>
        </w:rPr>
        <w:t>, at para 47.</w:t>
      </w:r>
    </w:p>
  </w:footnote>
  <w:footnote w:id="18">
    <w:p w14:paraId="41F221E4" w14:textId="31F03D5C" w:rsidR="002610A6" w:rsidRDefault="002610A6">
      <w:pPr>
        <w:pStyle w:val="FootnoteText"/>
      </w:pPr>
      <w:r w:rsidRPr="000D73F6">
        <w:rPr>
          <w:rStyle w:val="FootnoteReference"/>
          <w:rFonts w:ascii="Verdana" w:hAnsi="Verdana"/>
          <w:color w:val="77328A"/>
          <w:sz w:val="16"/>
          <w:szCs w:val="16"/>
        </w:rPr>
        <w:footnoteRef/>
      </w:r>
      <w:r w:rsidRPr="000D73F6">
        <w:rPr>
          <w:rFonts w:ascii="Verdana" w:hAnsi="Verdana"/>
          <w:color w:val="77328A"/>
          <w:sz w:val="16"/>
          <w:szCs w:val="16"/>
        </w:rPr>
        <w:t xml:space="preserve"> </w:t>
      </w:r>
      <w:r w:rsidR="000E6D35" w:rsidRPr="000D73F6">
        <w:rPr>
          <w:rFonts w:ascii="Verdana" w:hAnsi="Verdana"/>
          <w:color w:val="77328A"/>
          <w:sz w:val="16"/>
          <w:szCs w:val="16"/>
        </w:rPr>
        <w:t>Office of the UN High Commissioner of Human Rights, ‘Realising Human Rights through Government Budgets’ (OHCHR, 2017), at 32.</w:t>
      </w:r>
    </w:p>
  </w:footnote>
  <w:footnote w:id="19">
    <w:p w14:paraId="4A49B2F7" w14:textId="77777777" w:rsidR="001A71E4" w:rsidRPr="00851C66" w:rsidRDefault="001A71E4" w:rsidP="001A71E4">
      <w:pPr>
        <w:pStyle w:val="FootnoteText"/>
        <w:rPr>
          <w:rFonts w:ascii="Verdana" w:hAnsi="Verdana"/>
          <w:color w:val="77328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Letter correspondence from </w:t>
      </w:r>
      <w:proofErr w:type="spellStart"/>
      <w:r w:rsidRPr="00851C66">
        <w:rPr>
          <w:rFonts w:ascii="Verdana" w:hAnsi="Verdana"/>
          <w:color w:val="77328A"/>
          <w:sz w:val="16"/>
          <w:szCs w:val="16"/>
        </w:rPr>
        <w:t>Ariranga</w:t>
      </w:r>
      <w:proofErr w:type="spellEnd"/>
      <w:r w:rsidRPr="00851C66">
        <w:rPr>
          <w:rFonts w:ascii="Verdana" w:hAnsi="Verdana"/>
          <w:color w:val="77328A"/>
          <w:sz w:val="16"/>
          <w:szCs w:val="16"/>
        </w:rPr>
        <w:t xml:space="preserve"> G. Pillay, Chairperson of Committee on Economic, Social and Cultural Rights to Member States, 16 May 2012.</w:t>
      </w:r>
    </w:p>
  </w:footnote>
  <w:footnote w:id="20">
    <w:p w14:paraId="08638015" w14:textId="77777777" w:rsidR="001A71E4" w:rsidRPr="00851C66" w:rsidRDefault="001A71E4" w:rsidP="001A71E4">
      <w:pPr>
        <w:pStyle w:val="FootnoteText"/>
        <w:rPr>
          <w:rFonts w:ascii="Verdana" w:hAnsi="Verdan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E/C.12/GBR/CO/6, ‘UN Committee on Economic, Social and Cultural Rights, Concluding Observations on the Sixth Periodic Report of the UK of Great Britain and NI’, 14 July 2016, at para 19.</w:t>
      </w:r>
    </w:p>
  </w:footnote>
  <w:footnote w:id="21">
    <w:p w14:paraId="6C354AA4" w14:textId="77777777" w:rsidR="001A71E4" w:rsidRPr="009733A4" w:rsidRDefault="001A71E4" w:rsidP="001A71E4">
      <w:pPr>
        <w:pStyle w:val="FootnoteText"/>
        <w:rPr>
          <w:color w:val="77328A"/>
          <w:sz w:val="16"/>
          <w:szCs w:val="16"/>
        </w:rPr>
      </w:pPr>
      <w:r w:rsidRPr="00851C66">
        <w:rPr>
          <w:rStyle w:val="FootnoteReference"/>
          <w:rFonts w:ascii="Verdana" w:hAnsi="Verdana"/>
          <w:color w:val="77328A"/>
          <w:sz w:val="16"/>
          <w:szCs w:val="16"/>
        </w:rPr>
        <w:footnoteRef/>
      </w:r>
      <w:r w:rsidRPr="00851C66">
        <w:rPr>
          <w:rFonts w:ascii="Verdana" w:hAnsi="Verdana"/>
          <w:color w:val="77328A"/>
          <w:sz w:val="16"/>
          <w:szCs w:val="16"/>
        </w:rPr>
        <w:t xml:space="preserve"> Ibid.</w:t>
      </w:r>
    </w:p>
  </w:footnote>
  <w:footnote w:id="22">
    <w:p w14:paraId="537D6B71" w14:textId="77777777" w:rsidR="001A71E4" w:rsidRPr="001F358D" w:rsidRDefault="001A71E4" w:rsidP="001A71E4">
      <w:pPr>
        <w:pStyle w:val="FootnoteText"/>
        <w:rPr>
          <w:rFonts w:ascii="Verdana" w:hAnsi="Verdana"/>
        </w:rPr>
      </w:pPr>
      <w:r w:rsidRPr="001F358D">
        <w:rPr>
          <w:rStyle w:val="FootnoteReference"/>
          <w:rFonts w:ascii="Verdana" w:hAnsi="Verdana"/>
          <w:color w:val="77328A"/>
          <w:sz w:val="16"/>
          <w:szCs w:val="16"/>
        </w:rPr>
        <w:footnoteRef/>
      </w:r>
      <w:r w:rsidRPr="001F358D">
        <w:rPr>
          <w:rFonts w:ascii="Verdana" w:hAnsi="Verdana"/>
          <w:color w:val="77328A"/>
          <w:sz w:val="16"/>
          <w:szCs w:val="16"/>
        </w:rPr>
        <w:t xml:space="preserve"> NI Human Rights Commission, ‘Submission to the Department for Communities on its Budget 2023-24 Allocations’, (NIHRC, 2023).</w:t>
      </w:r>
    </w:p>
  </w:footnote>
  <w:footnote w:id="23">
    <w:p w14:paraId="0D8F9D41" w14:textId="77777777" w:rsidR="001A71E4" w:rsidRPr="001F358D" w:rsidRDefault="001A71E4" w:rsidP="001A71E4">
      <w:pPr>
        <w:pStyle w:val="FootnoteText"/>
        <w:rPr>
          <w:rFonts w:ascii="Verdana" w:hAnsi="Verdana"/>
          <w:color w:val="77328A"/>
          <w:sz w:val="16"/>
          <w:szCs w:val="16"/>
        </w:rPr>
      </w:pPr>
      <w:r w:rsidRPr="001F358D">
        <w:rPr>
          <w:rStyle w:val="FootnoteReference"/>
          <w:rFonts w:ascii="Verdana" w:hAnsi="Verdana"/>
          <w:color w:val="77328A"/>
          <w:sz w:val="16"/>
          <w:szCs w:val="16"/>
        </w:rPr>
        <w:footnoteRef/>
      </w:r>
      <w:r w:rsidRPr="001F358D">
        <w:rPr>
          <w:rFonts w:ascii="Verdana" w:hAnsi="Verdana"/>
          <w:color w:val="77328A"/>
          <w:sz w:val="16"/>
          <w:szCs w:val="16"/>
        </w:rPr>
        <w:t xml:space="preserve"> Office of the UN High Commissioner of Human Rights, ‘Realising Human Rights through Government Budgets’ (OHCHR, 2017), at 17.</w:t>
      </w:r>
    </w:p>
  </w:footnote>
  <w:footnote w:id="24">
    <w:p w14:paraId="599079DD" w14:textId="77777777" w:rsidR="001A71E4" w:rsidRPr="001F358D" w:rsidRDefault="001A71E4" w:rsidP="001A71E4">
      <w:pPr>
        <w:pStyle w:val="FootnoteText"/>
        <w:rPr>
          <w:rFonts w:ascii="Verdana" w:hAnsi="Verdana"/>
          <w:sz w:val="16"/>
          <w:szCs w:val="16"/>
        </w:rPr>
      </w:pPr>
      <w:r w:rsidRPr="001F358D">
        <w:rPr>
          <w:rStyle w:val="FootnoteReference"/>
          <w:rFonts w:ascii="Verdana" w:hAnsi="Verdana"/>
          <w:color w:val="77328A"/>
          <w:sz w:val="16"/>
          <w:szCs w:val="16"/>
        </w:rPr>
        <w:footnoteRef/>
      </w:r>
      <w:r w:rsidRPr="001F358D">
        <w:rPr>
          <w:rFonts w:ascii="Verdana" w:hAnsi="Verdana"/>
          <w:color w:val="77328A"/>
          <w:sz w:val="16"/>
          <w:szCs w:val="16"/>
        </w:rPr>
        <w:t xml:space="preserve"> A/RES/67/218, ‘UN General Assembly Resolution 67/218: Promoting transparency, participation and accountability in fiscal policies’, 20 March 2013.</w:t>
      </w:r>
    </w:p>
  </w:footnote>
  <w:footnote w:id="25">
    <w:p w14:paraId="7C702B34" w14:textId="3C1341D6" w:rsidR="00B016FF" w:rsidRPr="001F358D" w:rsidRDefault="00B016FF">
      <w:pPr>
        <w:pStyle w:val="FootnoteText"/>
        <w:rPr>
          <w:rFonts w:ascii="Verdana" w:hAnsi="Verdana"/>
          <w:color w:val="77328A"/>
        </w:rPr>
      </w:pPr>
      <w:r w:rsidRPr="001F358D">
        <w:rPr>
          <w:rStyle w:val="FootnoteReference"/>
          <w:rFonts w:ascii="Verdana" w:hAnsi="Verdana"/>
          <w:color w:val="77328A"/>
          <w:sz w:val="16"/>
          <w:szCs w:val="16"/>
        </w:rPr>
        <w:footnoteRef/>
      </w:r>
      <w:r w:rsidR="00901029" w:rsidRPr="001F358D">
        <w:rPr>
          <w:rFonts w:ascii="Verdana" w:hAnsi="Verdana"/>
          <w:color w:val="77328A"/>
          <w:sz w:val="16"/>
          <w:szCs w:val="16"/>
        </w:rPr>
        <w:t xml:space="preserve"> </w:t>
      </w:r>
      <w:r w:rsidR="001F358D" w:rsidRPr="001F358D">
        <w:rPr>
          <w:rFonts w:ascii="Verdana" w:hAnsi="Verdana"/>
          <w:color w:val="77328A"/>
          <w:sz w:val="16"/>
          <w:szCs w:val="16"/>
        </w:rPr>
        <w:t xml:space="preserve">Global Initiative for Fiscal Transparency, ‘Principles and Guidance’. Available at: </w:t>
      </w:r>
      <w:hyperlink r:id="rId1" w:history="1">
        <w:r w:rsidR="001F358D" w:rsidRPr="001F358D">
          <w:rPr>
            <w:rStyle w:val="Hyperlink"/>
            <w:rFonts w:ascii="Verdana" w:hAnsi="Verdana"/>
            <w:color w:val="77328A"/>
            <w:sz w:val="16"/>
            <w:szCs w:val="16"/>
          </w:rPr>
          <w:t>Principles and Guidance – GIFT</w:t>
        </w:r>
      </w:hyperlink>
      <w:r w:rsidR="001F358D" w:rsidRPr="001F358D">
        <w:rPr>
          <w:rFonts w:ascii="Verdana" w:hAnsi="Verdana"/>
          <w:color w:val="77328A"/>
          <w:sz w:val="16"/>
          <w:szCs w:val="16"/>
        </w:rPr>
        <w:t xml:space="preserve">; </w:t>
      </w:r>
      <w:r w:rsidR="00A2330C" w:rsidRPr="001F358D">
        <w:rPr>
          <w:rFonts w:ascii="Verdana" w:hAnsi="Verdana"/>
          <w:color w:val="77328A"/>
          <w:sz w:val="16"/>
          <w:szCs w:val="16"/>
        </w:rPr>
        <w:t xml:space="preserve">International Budget Partnership, ‘Open Budget Survey’. Available at: </w:t>
      </w:r>
      <w:hyperlink r:id="rId2" w:history="1">
        <w:r w:rsidR="00C63624" w:rsidRPr="001F358D">
          <w:rPr>
            <w:rStyle w:val="Hyperlink"/>
            <w:rFonts w:ascii="Verdana" w:hAnsi="Verdana"/>
            <w:color w:val="77328A"/>
            <w:sz w:val="16"/>
            <w:szCs w:val="16"/>
          </w:rPr>
          <w:t>Open Budget Survey - International Budget Partnership</w:t>
        </w:r>
      </w:hyperlink>
      <w:r w:rsidR="001F358D" w:rsidRPr="001F358D">
        <w:rPr>
          <w:rFonts w:ascii="Verdana" w:hAnsi="Verdana"/>
          <w:color w:val="77328A"/>
          <w:sz w:val="16"/>
          <w:szCs w:val="16"/>
        </w:rPr>
        <w:t>.</w:t>
      </w:r>
    </w:p>
  </w:footnote>
  <w:footnote w:id="26">
    <w:p w14:paraId="6EAA56AC" w14:textId="57AEC5C1" w:rsidR="00A93517" w:rsidRPr="00123730" w:rsidRDefault="00A93517">
      <w:pPr>
        <w:pStyle w:val="FootnoteText"/>
        <w:rPr>
          <w:rFonts w:ascii="Verdana" w:hAnsi="Verdana"/>
          <w:sz w:val="16"/>
          <w:szCs w:val="16"/>
        </w:rPr>
      </w:pPr>
      <w:r w:rsidRPr="00123730">
        <w:rPr>
          <w:rStyle w:val="FootnoteReference"/>
          <w:rFonts w:ascii="Verdana" w:hAnsi="Verdana"/>
          <w:color w:val="77328A"/>
          <w:sz w:val="16"/>
          <w:szCs w:val="16"/>
        </w:rPr>
        <w:footnoteRef/>
      </w:r>
      <w:r w:rsidRPr="00123730">
        <w:rPr>
          <w:rFonts w:ascii="Verdana" w:hAnsi="Verdana"/>
          <w:color w:val="77328A"/>
          <w:sz w:val="16"/>
          <w:szCs w:val="16"/>
        </w:rPr>
        <w:t xml:space="preserve"> </w:t>
      </w:r>
      <w:r w:rsidR="007142DA" w:rsidRPr="00123730">
        <w:rPr>
          <w:rFonts w:ascii="Verdana" w:hAnsi="Verdana"/>
          <w:color w:val="77328A"/>
          <w:sz w:val="16"/>
          <w:szCs w:val="16"/>
        </w:rPr>
        <w:t xml:space="preserve">A/HRC/55/54, </w:t>
      </w:r>
      <w:r w:rsidR="00242550" w:rsidRPr="00123730">
        <w:rPr>
          <w:rFonts w:ascii="Verdana" w:hAnsi="Verdana"/>
          <w:color w:val="77328A"/>
          <w:sz w:val="16"/>
          <w:szCs w:val="16"/>
        </w:rPr>
        <w:t>‘</w:t>
      </w:r>
      <w:r w:rsidR="00555DE1" w:rsidRPr="00123730">
        <w:rPr>
          <w:rFonts w:ascii="Verdana" w:hAnsi="Verdana"/>
          <w:color w:val="77328A"/>
          <w:sz w:val="16"/>
          <w:szCs w:val="16"/>
        </w:rPr>
        <w:t xml:space="preserve">Report of the Independent Expert on the effects of foreign debt and other related international financial obligations of States on the full enjoyment of all human rights, particularly economic, social and cultural rights, Attiya Waris </w:t>
      </w:r>
      <w:r w:rsidR="00123730" w:rsidRPr="00123730">
        <w:rPr>
          <w:rFonts w:ascii="Verdana" w:hAnsi="Verdana"/>
          <w:color w:val="77328A"/>
          <w:sz w:val="16"/>
          <w:szCs w:val="16"/>
        </w:rPr>
        <w:t>- Fiscal legitimacy through human rights: a principled approach to financial resource collection and allocation for the realization of human rights</w:t>
      </w:r>
      <w:r w:rsidR="00242550" w:rsidRPr="00123730">
        <w:rPr>
          <w:rFonts w:ascii="Verdana" w:hAnsi="Verdana"/>
          <w:color w:val="77328A"/>
          <w:sz w:val="16"/>
          <w:szCs w:val="16"/>
        </w:rPr>
        <w:t xml:space="preserve">’, 16 January 2024, </w:t>
      </w:r>
      <w:r w:rsidR="007142DA" w:rsidRPr="00123730">
        <w:rPr>
          <w:rFonts w:ascii="Verdana" w:hAnsi="Verdana"/>
          <w:color w:val="77328A"/>
          <w:sz w:val="16"/>
          <w:szCs w:val="16"/>
        </w:rPr>
        <w:t xml:space="preserve">at para 14. </w:t>
      </w:r>
    </w:p>
  </w:footnote>
  <w:footnote w:id="27">
    <w:p w14:paraId="169FF66B" w14:textId="77777777" w:rsidR="001A71E4" w:rsidRPr="00D156B6" w:rsidRDefault="001A71E4" w:rsidP="001A71E4">
      <w:pPr>
        <w:pStyle w:val="FootnoteText"/>
        <w:rPr>
          <w:color w:val="77328A"/>
          <w:sz w:val="16"/>
          <w:szCs w:val="16"/>
        </w:rPr>
      </w:pPr>
      <w:r w:rsidRPr="001F358D">
        <w:rPr>
          <w:rStyle w:val="FootnoteReference"/>
          <w:rFonts w:ascii="Verdana" w:hAnsi="Verdana"/>
          <w:color w:val="77328A"/>
          <w:sz w:val="16"/>
          <w:szCs w:val="16"/>
        </w:rPr>
        <w:footnoteRef/>
      </w:r>
      <w:r w:rsidRPr="001F358D">
        <w:rPr>
          <w:rFonts w:ascii="Verdana" w:hAnsi="Verdana"/>
          <w:color w:val="77328A"/>
          <w:sz w:val="16"/>
          <w:szCs w:val="16"/>
        </w:rPr>
        <w:t xml:space="preserve"> CRC/C/GBR/CO/6-7, ‘Concluding observations on the combined sixth and seventh reports of the UK of Great Britain and NI’, 2 June 2023, at para 11(e).</w:t>
      </w:r>
    </w:p>
  </w:footnote>
  <w:footnote w:id="28">
    <w:p w14:paraId="11BD2643" w14:textId="77777777" w:rsidR="001A71E4" w:rsidRPr="00203CF7" w:rsidRDefault="001A71E4" w:rsidP="001A71E4">
      <w:pPr>
        <w:pStyle w:val="FootnoteText"/>
        <w:rPr>
          <w:rFonts w:ascii="Verdana" w:hAnsi="Verdana"/>
          <w:color w:val="77328A"/>
          <w:sz w:val="16"/>
          <w:szCs w:val="16"/>
        </w:rPr>
      </w:pPr>
      <w:r w:rsidRPr="00203CF7">
        <w:rPr>
          <w:rStyle w:val="FootnoteReference"/>
          <w:color w:val="77328A"/>
          <w:sz w:val="16"/>
          <w:szCs w:val="16"/>
        </w:rPr>
        <w:footnoteRef/>
      </w:r>
      <w:r w:rsidRPr="00203CF7">
        <w:rPr>
          <w:color w:val="77328A"/>
          <w:sz w:val="16"/>
          <w:szCs w:val="16"/>
        </w:rPr>
        <w:t xml:space="preserve"> CRC/C/GC/19, ‘UN Committee on the Rights of the Child General Comment No. 19 on public budgeting for the realisation of children’s rights’, </w:t>
      </w:r>
      <w:r w:rsidRPr="00203CF7">
        <w:rPr>
          <w:rFonts w:ascii="Verdana" w:hAnsi="Verdana"/>
          <w:color w:val="77328A"/>
          <w:sz w:val="16"/>
          <w:szCs w:val="16"/>
        </w:rPr>
        <w:t>20 July 2016, at para 55.</w:t>
      </w:r>
    </w:p>
  </w:footnote>
  <w:footnote w:id="29">
    <w:p w14:paraId="3980349E" w14:textId="3EE98A01" w:rsidR="00347CD7" w:rsidRPr="00203CF7" w:rsidRDefault="00347CD7">
      <w:pPr>
        <w:pStyle w:val="FootnoteText"/>
        <w:rPr>
          <w:rFonts w:ascii="Verdana" w:hAnsi="Verdana"/>
          <w:color w:val="77328A"/>
          <w:sz w:val="16"/>
          <w:szCs w:val="16"/>
        </w:rPr>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Article 25, International Covenant on Civil and Political Rights.</w:t>
      </w:r>
    </w:p>
  </w:footnote>
  <w:footnote w:id="30">
    <w:p w14:paraId="4E2810AC" w14:textId="3D48A039" w:rsidR="00682569" w:rsidRPr="00203CF7" w:rsidRDefault="00682569">
      <w:pPr>
        <w:pStyle w:val="FootnoteText"/>
        <w:rPr>
          <w:rFonts w:ascii="Verdana" w:hAnsi="Verdana"/>
          <w:color w:val="77328A"/>
          <w:sz w:val="16"/>
          <w:szCs w:val="16"/>
        </w:rPr>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w:t>
      </w:r>
      <w:r w:rsidR="00203CF7" w:rsidRPr="00203CF7">
        <w:rPr>
          <w:rFonts w:ascii="Verdana" w:hAnsi="Verdana"/>
          <w:color w:val="77328A"/>
          <w:sz w:val="16"/>
          <w:szCs w:val="16"/>
        </w:rPr>
        <w:t xml:space="preserve">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w:t>
      </w:r>
      <w:r w:rsidRPr="00203CF7">
        <w:rPr>
          <w:rFonts w:ascii="Verdana" w:hAnsi="Verdana"/>
          <w:color w:val="77328A"/>
          <w:sz w:val="16"/>
          <w:szCs w:val="16"/>
        </w:rPr>
        <w:t>at para 25.</w:t>
      </w:r>
    </w:p>
  </w:footnote>
  <w:footnote w:id="31">
    <w:p w14:paraId="5C2BB9FE" w14:textId="1386EFDE" w:rsidR="008A6C76" w:rsidRPr="00203CF7" w:rsidRDefault="008A6C76">
      <w:pPr>
        <w:pStyle w:val="FootnoteText"/>
        <w:rPr>
          <w:rFonts w:ascii="Verdana" w:hAnsi="Verdana"/>
          <w:color w:val="77328A"/>
          <w:sz w:val="16"/>
          <w:szCs w:val="16"/>
        </w:rPr>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w:t>
      </w:r>
      <w:r w:rsidR="00B672D3" w:rsidRPr="00203CF7">
        <w:rPr>
          <w:rFonts w:ascii="Verdana" w:hAnsi="Verdana"/>
          <w:color w:val="77328A"/>
          <w:sz w:val="16"/>
          <w:szCs w:val="16"/>
        </w:rPr>
        <w:t xml:space="preserve">Article 19, International Covenant on Civil and Political Rights. See also: </w:t>
      </w:r>
      <w:r w:rsidR="00203CF7" w:rsidRPr="00203CF7">
        <w:rPr>
          <w:rFonts w:ascii="Verdana" w:hAnsi="Verdana"/>
          <w:color w:val="77328A"/>
          <w:sz w:val="16"/>
          <w:szCs w:val="16"/>
        </w:rPr>
        <w:t>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w:t>
      </w:r>
      <w:r w:rsidRPr="00203CF7">
        <w:rPr>
          <w:rFonts w:ascii="Verdana" w:hAnsi="Verdana"/>
          <w:color w:val="77328A"/>
          <w:sz w:val="16"/>
          <w:szCs w:val="16"/>
        </w:rPr>
        <w:t xml:space="preserve"> at para 20.</w:t>
      </w:r>
    </w:p>
  </w:footnote>
  <w:footnote w:id="32">
    <w:p w14:paraId="650EA840" w14:textId="33E51FA9" w:rsidR="00967DC6" w:rsidRDefault="00967DC6">
      <w:pPr>
        <w:pStyle w:val="FootnoteText"/>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w:t>
      </w:r>
      <w:r w:rsidR="00203CF7" w:rsidRPr="00203CF7">
        <w:rPr>
          <w:rFonts w:ascii="Verdana" w:hAnsi="Verdana"/>
          <w:color w:val="77328A"/>
          <w:sz w:val="16"/>
          <w:szCs w:val="16"/>
        </w:rPr>
        <w:t xml:space="preserve">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w:t>
      </w:r>
      <w:r w:rsidR="00CE6E1B" w:rsidRPr="00203CF7">
        <w:rPr>
          <w:rFonts w:ascii="Verdana" w:hAnsi="Verdana"/>
          <w:color w:val="77328A"/>
          <w:sz w:val="16"/>
          <w:szCs w:val="16"/>
        </w:rPr>
        <w:t>at para 20.</w:t>
      </w:r>
    </w:p>
  </w:footnote>
  <w:footnote w:id="33">
    <w:p w14:paraId="2071A571" w14:textId="77777777" w:rsidR="001A71E4" w:rsidRPr="00203CF7" w:rsidRDefault="001A71E4" w:rsidP="001A71E4">
      <w:pPr>
        <w:pStyle w:val="FootnoteText"/>
        <w:rPr>
          <w:rFonts w:ascii="Verdana" w:hAnsi="Verdana"/>
          <w:color w:val="77328A"/>
          <w:sz w:val="16"/>
          <w:szCs w:val="16"/>
        </w:rPr>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Office of the UN High Commissioner of Human Rights, ‘Realising Human Rights through Government Budgets’ (OHCHR, 2017), at 17.</w:t>
      </w:r>
    </w:p>
  </w:footnote>
  <w:footnote w:id="34">
    <w:p w14:paraId="12352894" w14:textId="7E62F9D7" w:rsidR="003722DF" w:rsidRPr="00203CF7" w:rsidRDefault="003722DF">
      <w:pPr>
        <w:pStyle w:val="FootnoteText"/>
        <w:rPr>
          <w:rFonts w:ascii="Verdana" w:hAnsi="Verdana"/>
          <w:color w:val="77328A"/>
          <w:sz w:val="16"/>
          <w:szCs w:val="16"/>
        </w:rPr>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w:t>
      </w:r>
      <w:r w:rsidR="00203CF7" w:rsidRPr="00203CF7">
        <w:rPr>
          <w:rFonts w:ascii="Verdana" w:hAnsi="Verdana"/>
          <w:color w:val="77328A"/>
          <w:sz w:val="16"/>
          <w:szCs w:val="16"/>
        </w:rPr>
        <w:t xml:space="preserve">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w:t>
      </w:r>
      <w:r w:rsidRPr="00203CF7">
        <w:rPr>
          <w:rFonts w:ascii="Verdana" w:hAnsi="Verdana"/>
          <w:color w:val="77328A"/>
          <w:sz w:val="16"/>
          <w:szCs w:val="16"/>
        </w:rPr>
        <w:t>at para 28.</w:t>
      </w:r>
    </w:p>
  </w:footnote>
  <w:footnote w:id="35">
    <w:p w14:paraId="4AD430A3" w14:textId="5D31616B" w:rsidR="005F324C" w:rsidRDefault="005F324C" w:rsidP="005F324C">
      <w:pPr>
        <w:pStyle w:val="FootnoteText"/>
      </w:pPr>
      <w:r w:rsidRPr="00203CF7">
        <w:rPr>
          <w:rStyle w:val="FootnoteReference"/>
          <w:rFonts w:ascii="Verdana" w:hAnsi="Verdana"/>
          <w:color w:val="77328A"/>
          <w:sz w:val="16"/>
          <w:szCs w:val="16"/>
        </w:rPr>
        <w:footnoteRef/>
      </w:r>
      <w:r w:rsidRPr="00203CF7">
        <w:rPr>
          <w:rFonts w:ascii="Verdana" w:hAnsi="Verdana"/>
          <w:color w:val="77328A"/>
          <w:sz w:val="16"/>
          <w:szCs w:val="16"/>
        </w:rPr>
        <w:t xml:space="preserve"> </w:t>
      </w:r>
      <w:r w:rsidR="00203CF7" w:rsidRPr="00203CF7">
        <w:rPr>
          <w:rFonts w:ascii="Verdana" w:hAnsi="Verdana"/>
          <w:color w:val="77328A"/>
          <w:sz w:val="16"/>
          <w:szCs w:val="16"/>
        </w:rPr>
        <w:t xml:space="preserve">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w:t>
      </w:r>
      <w:r w:rsidRPr="00203CF7">
        <w:rPr>
          <w:rFonts w:ascii="Verdana" w:hAnsi="Verdana"/>
          <w:color w:val="77328A"/>
          <w:sz w:val="16"/>
          <w:szCs w:val="16"/>
        </w:rPr>
        <w:t>at para 28.</w:t>
      </w:r>
    </w:p>
  </w:footnote>
  <w:footnote w:id="36">
    <w:p w14:paraId="16956FF9" w14:textId="324101DA" w:rsidR="007E6E9F" w:rsidRPr="00602979" w:rsidRDefault="007E6E9F" w:rsidP="00F874C8">
      <w:pPr>
        <w:pStyle w:val="FootnoteText"/>
        <w:rPr>
          <w:rFonts w:ascii="Verdana" w:hAnsi="Verdana"/>
          <w:color w:val="77328A"/>
          <w:sz w:val="16"/>
          <w:szCs w:val="16"/>
        </w:rPr>
      </w:pPr>
      <w:r w:rsidRPr="00602979">
        <w:rPr>
          <w:rStyle w:val="FootnoteReference"/>
          <w:rFonts w:ascii="Verdana" w:hAnsi="Verdana"/>
          <w:color w:val="77328A"/>
          <w:sz w:val="16"/>
          <w:szCs w:val="16"/>
        </w:rPr>
        <w:footnoteRef/>
      </w:r>
      <w:r w:rsidRPr="00602979">
        <w:rPr>
          <w:rFonts w:ascii="Verdana" w:hAnsi="Verdana"/>
          <w:color w:val="77328A"/>
          <w:sz w:val="16"/>
          <w:szCs w:val="16"/>
        </w:rPr>
        <w:t xml:space="preserve"> UK Parliament, ‘House of Lords Library</w:t>
      </w:r>
      <w:r w:rsidR="00F874C8" w:rsidRPr="00602979">
        <w:rPr>
          <w:rFonts w:ascii="Verdana" w:hAnsi="Verdana"/>
          <w:color w:val="77328A"/>
          <w:sz w:val="16"/>
          <w:szCs w:val="16"/>
        </w:rPr>
        <w:t xml:space="preserve"> - The Barnett formula: How it operates and proposals for change’. Available at: </w:t>
      </w:r>
      <w:hyperlink r:id="rId3" w:history="1">
        <w:r w:rsidR="007F393E" w:rsidRPr="00602979">
          <w:rPr>
            <w:rStyle w:val="Hyperlink"/>
            <w:rFonts w:ascii="Verdana" w:hAnsi="Verdana"/>
            <w:color w:val="77328A"/>
            <w:sz w:val="16"/>
            <w:szCs w:val="16"/>
          </w:rPr>
          <w:t>The Barnett formula: How it operates and proposals for change - House of Lords Library</w:t>
        </w:r>
      </w:hyperlink>
    </w:p>
  </w:footnote>
  <w:footnote w:id="37">
    <w:p w14:paraId="757590AF" w14:textId="3F850719" w:rsidR="00821A68" w:rsidRPr="00602979" w:rsidRDefault="00821A68">
      <w:pPr>
        <w:pStyle w:val="FootnoteText"/>
        <w:rPr>
          <w:rFonts w:ascii="Verdana" w:hAnsi="Verdana"/>
          <w:color w:val="77328A"/>
          <w:sz w:val="16"/>
          <w:szCs w:val="16"/>
        </w:rPr>
      </w:pPr>
      <w:r w:rsidRPr="00602979">
        <w:rPr>
          <w:rStyle w:val="FootnoteReference"/>
          <w:rFonts w:ascii="Verdana" w:hAnsi="Verdana"/>
          <w:color w:val="77328A"/>
          <w:sz w:val="16"/>
          <w:szCs w:val="16"/>
        </w:rPr>
        <w:footnoteRef/>
      </w:r>
      <w:r w:rsidRPr="00602979">
        <w:rPr>
          <w:rFonts w:ascii="Verdana" w:hAnsi="Verdana"/>
          <w:color w:val="77328A"/>
          <w:sz w:val="16"/>
          <w:szCs w:val="16"/>
        </w:rPr>
        <w:t xml:space="preserve"> </w:t>
      </w:r>
      <w:r w:rsidR="000C1AE0" w:rsidRPr="00602979">
        <w:rPr>
          <w:rFonts w:ascii="Verdana" w:hAnsi="Verdana"/>
          <w:color w:val="77328A"/>
          <w:sz w:val="16"/>
          <w:szCs w:val="16"/>
        </w:rPr>
        <w:t xml:space="preserve">NI Audit Office, ‘The NI budget process’ (NIAO, 2021), at para 1.5. </w:t>
      </w:r>
    </w:p>
  </w:footnote>
  <w:footnote w:id="38">
    <w:p w14:paraId="36CF161D" w14:textId="76095522" w:rsidR="000C1AE0" w:rsidRPr="00602979" w:rsidRDefault="000C1AE0">
      <w:pPr>
        <w:pStyle w:val="FootnoteText"/>
        <w:rPr>
          <w:rFonts w:ascii="Verdana" w:hAnsi="Verdana"/>
          <w:color w:val="77328A"/>
          <w:sz w:val="16"/>
          <w:szCs w:val="16"/>
        </w:rPr>
      </w:pPr>
      <w:r w:rsidRPr="00602979">
        <w:rPr>
          <w:rStyle w:val="FootnoteReference"/>
          <w:rFonts w:ascii="Verdana" w:hAnsi="Verdana"/>
          <w:color w:val="77328A"/>
          <w:sz w:val="16"/>
          <w:szCs w:val="16"/>
        </w:rPr>
        <w:footnoteRef/>
      </w:r>
      <w:r w:rsidRPr="00602979">
        <w:rPr>
          <w:rFonts w:ascii="Verdana" w:hAnsi="Verdana"/>
          <w:color w:val="77328A"/>
          <w:sz w:val="16"/>
          <w:szCs w:val="16"/>
        </w:rPr>
        <w:t xml:space="preserve"> NI Audit Office, ‘The NI budget process’ (NIAO, 2021)</w:t>
      </w:r>
      <w:r w:rsidR="00D8276B" w:rsidRPr="00602979">
        <w:rPr>
          <w:rFonts w:ascii="Verdana" w:hAnsi="Verdana"/>
          <w:color w:val="77328A"/>
          <w:sz w:val="16"/>
          <w:szCs w:val="16"/>
        </w:rPr>
        <w:t>, at para 1.3.</w:t>
      </w:r>
    </w:p>
  </w:footnote>
  <w:footnote w:id="39">
    <w:p w14:paraId="185A3C60" w14:textId="335A0B91" w:rsidR="00D8276B" w:rsidRDefault="00D8276B">
      <w:pPr>
        <w:pStyle w:val="FootnoteText"/>
      </w:pPr>
      <w:r w:rsidRPr="00602979">
        <w:rPr>
          <w:rStyle w:val="FootnoteReference"/>
          <w:rFonts w:ascii="Verdana" w:hAnsi="Verdana"/>
          <w:color w:val="77328A"/>
          <w:sz w:val="16"/>
          <w:szCs w:val="16"/>
        </w:rPr>
        <w:footnoteRef/>
      </w:r>
      <w:r w:rsidRPr="00602979">
        <w:rPr>
          <w:rFonts w:ascii="Verdana" w:hAnsi="Verdana"/>
          <w:color w:val="77328A"/>
          <w:sz w:val="16"/>
          <w:szCs w:val="16"/>
        </w:rPr>
        <w:t xml:space="preserve"> Ibid.</w:t>
      </w:r>
      <w:r w:rsidRPr="00602979">
        <w:rPr>
          <w:color w:val="77328A"/>
        </w:rPr>
        <w:t xml:space="preserve"> </w:t>
      </w:r>
    </w:p>
  </w:footnote>
  <w:footnote w:id="40">
    <w:p w14:paraId="3D6AD839" w14:textId="79E8783F" w:rsidR="00407FB3" w:rsidRPr="001C30BE" w:rsidRDefault="00407FB3">
      <w:pPr>
        <w:pStyle w:val="FootnoteText"/>
        <w:rPr>
          <w:rFonts w:ascii="Verdana" w:hAnsi="Verdana"/>
          <w:color w:val="77328A"/>
          <w:sz w:val="16"/>
          <w:szCs w:val="16"/>
        </w:rPr>
      </w:pPr>
      <w:r w:rsidRPr="001C30BE">
        <w:rPr>
          <w:rStyle w:val="FootnoteReference"/>
          <w:rFonts w:ascii="Verdana" w:hAnsi="Verdana"/>
          <w:color w:val="77328A"/>
          <w:sz w:val="16"/>
          <w:szCs w:val="16"/>
        </w:rPr>
        <w:footnoteRef/>
      </w:r>
      <w:r w:rsidRPr="001C30BE">
        <w:rPr>
          <w:rFonts w:ascii="Verdana" w:hAnsi="Verdana"/>
          <w:color w:val="77328A"/>
          <w:sz w:val="16"/>
          <w:szCs w:val="16"/>
        </w:rPr>
        <w:t xml:space="preserve"> NI Assembly, ‘Research and Information Service Briefing Paper: Executive </w:t>
      </w:r>
      <w:r w:rsidR="00BC6770" w:rsidRPr="001C30BE">
        <w:rPr>
          <w:rFonts w:ascii="Verdana" w:hAnsi="Verdana"/>
          <w:color w:val="77328A"/>
          <w:sz w:val="16"/>
          <w:szCs w:val="16"/>
        </w:rPr>
        <w:t xml:space="preserve">Budget 2024-25: Allocations Paper 2 of 3 Part Series’, (NIA, 2024). </w:t>
      </w:r>
    </w:p>
  </w:footnote>
  <w:footnote w:id="41">
    <w:p w14:paraId="4E9DF688" w14:textId="2B6E199D" w:rsidR="00A13C61" w:rsidRPr="001C30BE" w:rsidRDefault="00A13C61">
      <w:pPr>
        <w:pStyle w:val="FootnoteText"/>
        <w:rPr>
          <w:rFonts w:ascii="Verdana" w:hAnsi="Verdana"/>
          <w:color w:val="77328A"/>
          <w:sz w:val="16"/>
          <w:szCs w:val="16"/>
        </w:rPr>
      </w:pPr>
      <w:r w:rsidRPr="001C30BE">
        <w:rPr>
          <w:rStyle w:val="FootnoteReference"/>
          <w:rFonts w:ascii="Verdana" w:hAnsi="Verdana"/>
          <w:color w:val="77328A"/>
          <w:sz w:val="16"/>
          <w:szCs w:val="16"/>
        </w:rPr>
        <w:footnoteRef/>
      </w:r>
      <w:r w:rsidRPr="001C30BE">
        <w:rPr>
          <w:rFonts w:ascii="Verdana" w:hAnsi="Verdana"/>
          <w:color w:val="77328A"/>
          <w:sz w:val="16"/>
          <w:szCs w:val="16"/>
        </w:rPr>
        <w:t xml:space="preserve"> </w:t>
      </w:r>
      <w:r w:rsidR="004950B5" w:rsidRPr="001C30BE">
        <w:rPr>
          <w:rFonts w:ascii="Verdana" w:hAnsi="Verdana"/>
          <w:color w:val="77328A"/>
          <w:sz w:val="16"/>
          <w:szCs w:val="16"/>
        </w:rPr>
        <w:t xml:space="preserve">NI Audit Office, ‘The </w:t>
      </w:r>
      <w:r w:rsidR="00101D0D" w:rsidRPr="001C30BE">
        <w:rPr>
          <w:rFonts w:ascii="Verdana" w:hAnsi="Verdana"/>
          <w:color w:val="77328A"/>
          <w:sz w:val="16"/>
          <w:szCs w:val="16"/>
        </w:rPr>
        <w:t>NI</w:t>
      </w:r>
      <w:r w:rsidR="004950B5" w:rsidRPr="001C30BE">
        <w:rPr>
          <w:rFonts w:ascii="Verdana" w:hAnsi="Verdana"/>
          <w:color w:val="77328A"/>
          <w:sz w:val="16"/>
          <w:szCs w:val="16"/>
        </w:rPr>
        <w:t xml:space="preserve"> budget process</w:t>
      </w:r>
      <w:r w:rsidR="005A3801" w:rsidRPr="001C30BE">
        <w:rPr>
          <w:rFonts w:ascii="Verdana" w:hAnsi="Verdana"/>
          <w:color w:val="77328A"/>
          <w:sz w:val="16"/>
          <w:szCs w:val="16"/>
        </w:rPr>
        <w:t xml:space="preserve">’ (NIAO, 2021). </w:t>
      </w:r>
    </w:p>
  </w:footnote>
  <w:footnote w:id="42">
    <w:p w14:paraId="0380B924" w14:textId="4ADF488D" w:rsidR="0032771D" w:rsidRPr="001C30BE" w:rsidRDefault="0032771D">
      <w:pPr>
        <w:pStyle w:val="FootnoteText"/>
        <w:rPr>
          <w:rFonts w:ascii="Verdana" w:hAnsi="Verdana"/>
          <w:color w:val="77328A"/>
          <w:sz w:val="16"/>
          <w:szCs w:val="16"/>
        </w:rPr>
      </w:pPr>
      <w:r w:rsidRPr="001C30BE">
        <w:rPr>
          <w:rStyle w:val="FootnoteReference"/>
          <w:rFonts w:ascii="Verdana" w:hAnsi="Verdana"/>
          <w:color w:val="77328A"/>
          <w:sz w:val="16"/>
          <w:szCs w:val="16"/>
        </w:rPr>
        <w:footnoteRef/>
      </w:r>
      <w:r w:rsidRPr="001C30BE">
        <w:rPr>
          <w:rFonts w:ascii="Verdana" w:hAnsi="Verdana"/>
          <w:color w:val="77328A"/>
          <w:sz w:val="16"/>
          <w:szCs w:val="16"/>
        </w:rPr>
        <w:t xml:space="preserve"> </w:t>
      </w:r>
      <w:r w:rsidR="006242AE" w:rsidRPr="001C30BE">
        <w:rPr>
          <w:rFonts w:ascii="Verdana" w:hAnsi="Verdana"/>
          <w:color w:val="77328A"/>
          <w:sz w:val="16"/>
          <w:szCs w:val="16"/>
        </w:rPr>
        <w:t xml:space="preserve">NI Audit Office, ‘Role of Comptroller &amp; Auditor General’. Available at: </w:t>
      </w:r>
      <w:hyperlink r:id="rId4" w:history="1">
        <w:r w:rsidR="00751A44" w:rsidRPr="001C30BE">
          <w:rPr>
            <w:rStyle w:val="Hyperlink"/>
            <w:rFonts w:ascii="Verdana" w:hAnsi="Verdana"/>
            <w:color w:val="77328A"/>
            <w:sz w:val="16"/>
            <w:szCs w:val="16"/>
          </w:rPr>
          <w:t>Role of Comptroller &amp; Auditor General | Northern Ireland Audit Office</w:t>
        </w:r>
      </w:hyperlink>
    </w:p>
  </w:footnote>
  <w:footnote w:id="43">
    <w:p w14:paraId="014949E1" w14:textId="518A798F" w:rsidR="00A13C61" w:rsidRPr="001C30BE" w:rsidRDefault="00A13C61">
      <w:pPr>
        <w:pStyle w:val="FootnoteText"/>
        <w:rPr>
          <w:rFonts w:ascii="Verdana" w:hAnsi="Verdana"/>
          <w:color w:val="77328A"/>
          <w:sz w:val="16"/>
          <w:szCs w:val="16"/>
        </w:rPr>
      </w:pPr>
      <w:r w:rsidRPr="001C30BE">
        <w:rPr>
          <w:rStyle w:val="FootnoteReference"/>
          <w:rFonts w:ascii="Verdana" w:hAnsi="Verdana"/>
          <w:color w:val="77328A"/>
          <w:sz w:val="16"/>
          <w:szCs w:val="16"/>
        </w:rPr>
        <w:footnoteRef/>
      </w:r>
      <w:r w:rsidRPr="001C30BE">
        <w:rPr>
          <w:rFonts w:ascii="Verdana" w:hAnsi="Verdana"/>
          <w:color w:val="77328A"/>
          <w:sz w:val="16"/>
          <w:szCs w:val="16"/>
        </w:rPr>
        <w:t xml:space="preserve"> NI Fiscal Council, ‘Terms of Reference’</w:t>
      </w:r>
      <w:r w:rsidR="001D522F" w:rsidRPr="001C30BE">
        <w:rPr>
          <w:rFonts w:ascii="Verdana" w:hAnsi="Verdana"/>
          <w:color w:val="77328A"/>
          <w:sz w:val="16"/>
          <w:szCs w:val="16"/>
        </w:rPr>
        <w:t xml:space="preserve">. Available at: </w:t>
      </w:r>
      <w:hyperlink r:id="rId5" w:history="1">
        <w:r w:rsidR="001D522F" w:rsidRPr="001C30BE">
          <w:rPr>
            <w:rStyle w:val="Hyperlink"/>
            <w:rFonts w:ascii="Verdana" w:hAnsi="Verdana"/>
            <w:color w:val="77328A"/>
            <w:sz w:val="16"/>
            <w:szCs w:val="16"/>
          </w:rPr>
          <w:t>Terms of Reference | NI Fiscal Council</w:t>
        </w:r>
      </w:hyperlink>
    </w:p>
  </w:footnote>
  <w:footnote w:id="44">
    <w:p w14:paraId="14F3BCCC" w14:textId="0F483224" w:rsidR="00F5400E" w:rsidRDefault="00F5400E">
      <w:pPr>
        <w:pStyle w:val="FootnoteText"/>
      </w:pPr>
      <w:r w:rsidRPr="001C30BE">
        <w:rPr>
          <w:rStyle w:val="FootnoteReference"/>
          <w:rFonts w:ascii="Verdana" w:hAnsi="Verdana"/>
          <w:color w:val="77328A"/>
          <w:sz w:val="16"/>
          <w:szCs w:val="16"/>
        </w:rPr>
        <w:footnoteRef/>
      </w:r>
      <w:r w:rsidRPr="001C30BE">
        <w:rPr>
          <w:rFonts w:ascii="Verdana" w:hAnsi="Verdana"/>
          <w:color w:val="77328A"/>
          <w:sz w:val="16"/>
          <w:szCs w:val="16"/>
        </w:rPr>
        <w:t xml:space="preserve"> NI Assembly, ‘Research and Information Service Briefing Paper: Executive Budget 2024-25: Allocations Paper 2 of 3 Part Series’, (NIA, 2024), at </w:t>
      </w:r>
      <w:r w:rsidR="001C30BE" w:rsidRPr="001C30BE">
        <w:rPr>
          <w:rFonts w:ascii="Verdana" w:hAnsi="Verdana"/>
          <w:color w:val="77328A"/>
          <w:sz w:val="16"/>
          <w:szCs w:val="16"/>
        </w:rPr>
        <w:t xml:space="preserve">5. </w:t>
      </w:r>
    </w:p>
  </w:footnote>
  <w:footnote w:id="45">
    <w:p w14:paraId="07847346" w14:textId="6461E2E0" w:rsidR="002A15D8" w:rsidRPr="002C7952" w:rsidRDefault="002A15D8">
      <w:pPr>
        <w:pStyle w:val="FootnoteText"/>
        <w:rPr>
          <w:rFonts w:ascii="Verdana" w:hAnsi="Verdana"/>
          <w:color w:val="77328A"/>
          <w:sz w:val="16"/>
          <w:szCs w:val="16"/>
        </w:rPr>
      </w:pPr>
      <w:r w:rsidRPr="002C7952">
        <w:rPr>
          <w:rStyle w:val="FootnoteReference"/>
          <w:rFonts w:ascii="Verdana" w:hAnsi="Verdana"/>
          <w:color w:val="77328A"/>
          <w:sz w:val="16"/>
          <w:szCs w:val="16"/>
        </w:rPr>
        <w:footnoteRef/>
      </w:r>
      <w:r w:rsidRPr="002C7952">
        <w:rPr>
          <w:rFonts w:ascii="Verdana" w:hAnsi="Verdana"/>
          <w:color w:val="77328A"/>
          <w:sz w:val="16"/>
          <w:szCs w:val="16"/>
        </w:rPr>
        <w:t xml:space="preserve"> </w:t>
      </w:r>
      <w:r w:rsidR="00284CCF" w:rsidRPr="002C7952">
        <w:rPr>
          <w:rFonts w:ascii="Verdana" w:hAnsi="Verdana"/>
          <w:color w:val="77328A"/>
          <w:sz w:val="16"/>
          <w:szCs w:val="16"/>
        </w:rPr>
        <w:t>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at para</w:t>
      </w:r>
      <w:r w:rsidR="00176963" w:rsidRPr="002C7952">
        <w:rPr>
          <w:rFonts w:ascii="Verdana" w:hAnsi="Verdana"/>
          <w:color w:val="77328A"/>
          <w:sz w:val="16"/>
          <w:szCs w:val="16"/>
        </w:rPr>
        <w:t>s</w:t>
      </w:r>
      <w:r w:rsidR="00284CCF" w:rsidRPr="002C7952">
        <w:rPr>
          <w:rFonts w:ascii="Verdana" w:hAnsi="Verdana"/>
          <w:color w:val="77328A"/>
          <w:sz w:val="16"/>
          <w:szCs w:val="16"/>
        </w:rPr>
        <w:t xml:space="preserve"> </w:t>
      </w:r>
      <w:r w:rsidR="00176963" w:rsidRPr="002C7952">
        <w:rPr>
          <w:rFonts w:ascii="Verdana" w:hAnsi="Verdana"/>
          <w:color w:val="77328A"/>
          <w:sz w:val="16"/>
          <w:szCs w:val="16"/>
        </w:rPr>
        <w:t>1-4.</w:t>
      </w:r>
    </w:p>
  </w:footnote>
  <w:footnote w:id="46">
    <w:p w14:paraId="04C29671" w14:textId="72769DAA" w:rsidR="002C7952" w:rsidRDefault="002C7952">
      <w:pPr>
        <w:pStyle w:val="FootnoteText"/>
      </w:pPr>
      <w:r w:rsidRPr="002C7952">
        <w:rPr>
          <w:rStyle w:val="FootnoteReference"/>
          <w:rFonts w:ascii="Verdana" w:hAnsi="Verdana"/>
          <w:color w:val="77328A"/>
          <w:sz w:val="16"/>
          <w:szCs w:val="16"/>
        </w:rPr>
        <w:footnoteRef/>
      </w:r>
      <w:r w:rsidRPr="002C7952">
        <w:rPr>
          <w:rFonts w:ascii="Verdana" w:hAnsi="Verdana"/>
          <w:color w:val="77328A"/>
          <w:sz w:val="16"/>
          <w:szCs w:val="16"/>
        </w:rPr>
        <w:t xml:space="preserve"> 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at 35.</w:t>
      </w:r>
    </w:p>
  </w:footnote>
  <w:footnote w:id="47">
    <w:p w14:paraId="024C1605" w14:textId="77777777" w:rsidR="003C29A3" w:rsidRPr="00566B40" w:rsidRDefault="003C29A3" w:rsidP="003C29A3">
      <w:pPr>
        <w:pStyle w:val="FootnoteText"/>
        <w:rPr>
          <w:rFonts w:ascii="Verdana" w:hAnsi="Verdana"/>
          <w:sz w:val="16"/>
          <w:szCs w:val="16"/>
        </w:rPr>
      </w:pPr>
      <w:r w:rsidRPr="00566B40">
        <w:rPr>
          <w:rStyle w:val="FootnoteReference"/>
          <w:rFonts w:ascii="Verdana" w:hAnsi="Verdana"/>
          <w:color w:val="77328A"/>
          <w:sz w:val="16"/>
          <w:szCs w:val="16"/>
        </w:rPr>
        <w:footnoteRef/>
      </w:r>
      <w:r w:rsidRPr="00566B40">
        <w:rPr>
          <w:rFonts w:ascii="Verdana" w:hAnsi="Verdana"/>
          <w:color w:val="77328A"/>
          <w:sz w:val="16"/>
          <w:szCs w:val="16"/>
        </w:rPr>
        <w:t xml:space="preserve"> </w:t>
      </w:r>
      <w:proofErr w:type="spellStart"/>
      <w:r w:rsidRPr="00566B40">
        <w:rPr>
          <w:rFonts w:ascii="Verdana" w:hAnsi="Verdana"/>
          <w:color w:val="77328A"/>
          <w:sz w:val="16"/>
          <w:szCs w:val="16"/>
        </w:rPr>
        <w:t>CoE</w:t>
      </w:r>
      <w:proofErr w:type="spellEnd"/>
      <w:r w:rsidRPr="00566B40">
        <w:rPr>
          <w:rFonts w:ascii="Verdana" w:hAnsi="Verdana"/>
          <w:color w:val="77328A"/>
          <w:sz w:val="16"/>
          <w:szCs w:val="16"/>
        </w:rPr>
        <w:t xml:space="preserve"> Commissioner for Human Rights, ‘Safeguarding human rights in times of economic crisis’ (</w:t>
      </w:r>
      <w:proofErr w:type="spellStart"/>
      <w:r w:rsidRPr="00566B40">
        <w:rPr>
          <w:rFonts w:ascii="Verdana" w:hAnsi="Verdana"/>
          <w:color w:val="77328A"/>
          <w:sz w:val="16"/>
          <w:szCs w:val="16"/>
        </w:rPr>
        <w:t>CoE</w:t>
      </w:r>
      <w:proofErr w:type="spellEnd"/>
      <w:r w:rsidRPr="00566B40">
        <w:rPr>
          <w:rFonts w:ascii="Verdana" w:hAnsi="Verdana"/>
          <w:color w:val="77328A"/>
          <w:sz w:val="16"/>
          <w:szCs w:val="16"/>
        </w:rPr>
        <w:t>, 2013), at 8.</w:t>
      </w:r>
    </w:p>
  </w:footnote>
  <w:footnote w:id="48">
    <w:p w14:paraId="0C81D2BA" w14:textId="480C3298" w:rsidR="007C73FB" w:rsidRPr="00386B08" w:rsidRDefault="007C73FB">
      <w:pPr>
        <w:pStyle w:val="FootnoteText"/>
        <w:rPr>
          <w:rFonts w:ascii="Verdana" w:hAnsi="Verdana"/>
          <w:color w:val="77328A"/>
          <w:sz w:val="16"/>
          <w:szCs w:val="16"/>
        </w:rPr>
      </w:pPr>
      <w:r w:rsidRPr="00386B08">
        <w:rPr>
          <w:rStyle w:val="FootnoteReference"/>
          <w:rFonts w:ascii="Verdana" w:hAnsi="Verdana"/>
          <w:color w:val="77328A"/>
          <w:sz w:val="16"/>
          <w:szCs w:val="16"/>
        </w:rPr>
        <w:footnoteRef/>
      </w:r>
      <w:r w:rsidRPr="00386B08">
        <w:rPr>
          <w:rFonts w:ascii="Verdana" w:hAnsi="Verdana"/>
          <w:color w:val="77328A"/>
          <w:sz w:val="16"/>
          <w:szCs w:val="16"/>
        </w:rPr>
        <w:t xml:space="preserve"> </w:t>
      </w:r>
      <w:r w:rsidR="007E0A80" w:rsidRPr="00386B08">
        <w:rPr>
          <w:rFonts w:ascii="Verdana" w:hAnsi="Verdana"/>
          <w:color w:val="77328A"/>
          <w:sz w:val="16"/>
          <w:szCs w:val="16"/>
        </w:rPr>
        <w:t>Scottish Human Rights Commission, ‘</w:t>
      </w:r>
      <w:r w:rsidR="005F2DAD" w:rsidRPr="00386B08">
        <w:rPr>
          <w:rFonts w:ascii="Verdana" w:hAnsi="Verdana"/>
          <w:color w:val="77328A"/>
          <w:sz w:val="16"/>
          <w:szCs w:val="16"/>
        </w:rPr>
        <w:t xml:space="preserve">Human Rights Budget Work: What, </w:t>
      </w:r>
      <w:proofErr w:type="gramStart"/>
      <w:r w:rsidR="005F2DAD" w:rsidRPr="00386B08">
        <w:rPr>
          <w:rFonts w:ascii="Verdana" w:hAnsi="Verdana"/>
          <w:color w:val="77328A"/>
          <w:sz w:val="16"/>
          <w:szCs w:val="16"/>
        </w:rPr>
        <w:t>Why</w:t>
      </w:r>
      <w:proofErr w:type="gramEnd"/>
      <w:r w:rsidR="005F2DAD" w:rsidRPr="00386B08">
        <w:rPr>
          <w:rFonts w:ascii="Verdana" w:hAnsi="Verdana"/>
          <w:color w:val="77328A"/>
          <w:sz w:val="16"/>
          <w:szCs w:val="16"/>
        </w:rPr>
        <w:t xml:space="preserve">, </w:t>
      </w:r>
      <w:proofErr w:type="gramStart"/>
      <w:r w:rsidR="005F2DAD" w:rsidRPr="00386B08">
        <w:rPr>
          <w:rFonts w:ascii="Verdana" w:hAnsi="Verdana"/>
          <w:color w:val="77328A"/>
          <w:sz w:val="16"/>
          <w:szCs w:val="16"/>
        </w:rPr>
        <w:t>How</w:t>
      </w:r>
      <w:proofErr w:type="gramEnd"/>
      <w:r w:rsidR="005F2DAD" w:rsidRPr="00386B08">
        <w:rPr>
          <w:rFonts w:ascii="Verdana" w:hAnsi="Verdana"/>
          <w:color w:val="77328A"/>
          <w:sz w:val="16"/>
          <w:szCs w:val="16"/>
        </w:rPr>
        <w:t>? Collected Briefing Papers – Briefing Paper 3</w:t>
      </w:r>
      <w:r w:rsidR="00C51104" w:rsidRPr="00386B08">
        <w:rPr>
          <w:rFonts w:ascii="Verdana" w:hAnsi="Verdana"/>
          <w:color w:val="77328A"/>
          <w:sz w:val="16"/>
          <w:szCs w:val="16"/>
        </w:rPr>
        <w:t>’</w:t>
      </w:r>
      <w:r w:rsidR="005F2DAD" w:rsidRPr="00386B08">
        <w:rPr>
          <w:rFonts w:ascii="Verdana" w:hAnsi="Verdana"/>
          <w:color w:val="77328A"/>
          <w:sz w:val="16"/>
          <w:szCs w:val="16"/>
        </w:rPr>
        <w:t xml:space="preserve"> (SHRC, 202</w:t>
      </w:r>
      <w:r w:rsidR="006877A4" w:rsidRPr="00386B08">
        <w:rPr>
          <w:rFonts w:ascii="Verdana" w:hAnsi="Verdana"/>
          <w:color w:val="77328A"/>
          <w:sz w:val="16"/>
          <w:szCs w:val="16"/>
        </w:rPr>
        <w:t xml:space="preserve">3), </w:t>
      </w:r>
      <w:r w:rsidR="00386B08" w:rsidRPr="00386B08">
        <w:rPr>
          <w:rFonts w:ascii="Verdana" w:hAnsi="Verdana"/>
          <w:color w:val="77328A"/>
          <w:sz w:val="16"/>
          <w:szCs w:val="16"/>
        </w:rPr>
        <w:t xml:space="preserve">at 5. See also: </w:t>
      </w:r>
      <w:r w:rsidR="007E0A80" w:rsidRPr="00386B08">
        <w:rPr>
          <w:rFonts w:ascii="Verdana" w:hAnsi="Verdana"/>
          <w:color w:val="77328A"/>
          <w:sz w:val="16"/>
          <w:szCs w:val="16"/>
        </w:rPr>
        <w:t>A/HRC/55/54, ‘Report of the Independent Expert on the effects of foreign debt and other related international financial obligations of States on the full enjoyment of all human rights, particularly economic, social and cultural rights, Attiya Waris - Fiscal legitimacy through human rights: a principled approach to financial resource collection and allocation for the realization of human rights’, 16 January 2024, at paras 1-4.</w:t>
      </w:r>
    </w:p>
  </w:footnote>
  <w:footnote w:id="49">
    <w:p w14:paraId="25C90CD5" w14:textId="1232CC60" w:rsidR="00093AA0" w:rsidRPr="00293E81" w:rsidRDefault="00093AA0">
      <w:pPr>
        <w:pStyle w:val="FootnoteText"/>
        <w:rPr>
          <w:rFonts w:ascii="Verdana" w:hAnsi="Verdana"/>
          <w:color w:val="77328A"/>
          <w:sz w:val="16"/>
          <w:szCs w:val="16"/>
        </w:rPr>
      </w:pPr>
      <w:r w:rsidRPr="00293E81">
        <w:rPr>
          <w:rStyle w:val="FootnoteReference"/>
          <w:rFonts w:ascii="Verdana" w:hAnsi="Verdana"/>
          <w:color w:val="77328A"/>
          <w:sz w:val="16"/>
          <w:szCs w:val="16"/>
        </w:rPr>
        <w:footnoteRef/>
      </w:r>
      <w:r w:rsidRPr="00293E81">
        <w:rPr>
          <w:rFonts w:ascii="Verdana" w:hAnsi="Verdana"/>
          <w:color w:val="77328A"/>
          <w:sz w:val="16"/>
          <w:szCs w:val="16"/>
        </w:rPr>
        <w:t xml:space="preserve"> </w:t>
      </w:r>
      <w:r w:rsidR="00635E07" w:rsidRPr="00293E81">
        <w:rPr>
          <w:rFonts w:ascii="Verdana" w:hAnsi="Verdana"/>
          <w:color w:val="77328A"/>
          <w:sz w:val="16"/>
          <w:szCs w:val="16"/>
        </w:rPr>
        <w:t>CRC/C/GC/19,</w:t>
      </w:r>
      <w:r w:rsidR="005D6961" w:rsidRPr="00293E81">
        <w:rPr>
          <w:rFonts w:ascii="Verdana" w:hAnsi="Verdana"/>
          <w:color w:val="77328A"/>
          <w:sz w:val="16"/>
          <w:szCs w:val="16"/>
        </w:rPr>
        <w:t xml:space="preserve"> ‘UN CRC Committee General Comment No. 19 (2016) on public budgeting for the realization of children’s rights (art. 4)’</w:t>
      </w:r>
      <w:r w:rsidR="00293E81" w:rsidRPr="00293E81">
        <w:rPr>
          <w:rFonts w:ascii="Verdana" w:hAnsi="Verdana"/>
          <w:color w:val="77328A"/>
          <w:sz w:val="16"/>
          <w:szCs w:val="16"/>
        </w:rPr>
        <w:t>, 20 July 2016,</w:t>
      </w:r>
      <w:r w:rsidR="00635E07" w:rsidRPr="00293E81">
        <w:rPr>
          <w:rFonts w:ascii="Verdana" w:hAnsi="Verdana"/>
          <w:color w:val="77328A"/>
          <w:sz w:val="16"/>
          <w:szCs w:val="16"/>
        </w:rPr>
        <w:t xml:space="preserve"> at para 67. </w:t>
      </w:r>
    </w:p>
  </w:footnote>
  <w:footnote w:id="50">
    <w:p w14:paraId="0757A2AC" w14:textId="35A5B39E" w:rsidR="00D868D3" w:rsidRPr="00293E81" w:rsidRDefault="00D868D3">
      <w:pPr>
        <w:pStyle w:val="FootnoteText"/>
        <w:rPr>
          <w:rFonts w:ascii="Verdana" w:hAnsi="Verdana"/>
          <w:color w:val="77328A"/>
          <w:sz w:val="16"/>
          <w:szCs w:val="16"/>
        </w:rPr>
      </w:pPr>
      <w:r w:rsidRPr="00293E81">
        <w:rPr>
          <w:rStyle w:val="FootnoteReference"/>
          <w:rFonts w:ascii="Verdana" w:hAnsi="Verdana"/>
          <w:color w:val="77328A"/>
          <w:sz w:val="16"/>
          <w:szCs w:val="16"/>
        </w:rPr>
        <w:footnoteRef/>
      </w:r>
      <w:r w:rsidRPr="00293E81">
        <w:rPr>
          <w:rFonts w:ascii="Verdana" w:hAnsi="Verdana"/>
          <w:color w:val="77328A"/>
          <w:sz w:val="16"/>
          <w:szCs w:val="16"/>
        </w:rPr>
        <w:t xml:space="preserve"> Ibid. </w:t>
      </w:r>
    </w:p>
  </w:footnote>
  <w:footnote w:id="51">
    <w:p w14:paraId="7B077CB5" w14:textId="1D7C6F15" w:rsidR="008653B8" w:rsidRDefault="008653B8">
      <w:pPr>
        <w:pStyle w:val="FootnoteText"/>
      </w:pPr>
      <w:r w:rsidRPr="00293E81">
        <w:rPr>
          <w:rStyle w:val="FootnoteReference"/>
          <w:rFonts w:ascii="Verdana" w:hAnsi="Verdana"/>
          <w:color w:val="77328A"/>
          <w:sz w:val="16"/>
          <w:szCs w:val="16"/>
        </w:rPr>
        <w:footnoteRef/>
      </w:r>
      <w:r w:rsidRPr="00293E81">
        <w:rPr>
          <w:rFonts w:ascii="Verdana" w:hAnsi="Verdana"/>
          <w:color w:val="77328A"/>
          <w:sz w:val="16"/>
          <w:szCs w:val="16"/>
        </w:rPr>
        <w:t xml:space="preserve"> Ibid, at para 69.</w:t>
      </w:r>
    </w:p>
  </w:footnote>
  <w:footnote w:id="52">
    <w:p w14:paraId="5DC69D74" w14:textId="1DC79CAB" w:rsidR="009C7AA3" w:rsidRPr="000F2810" w:rsidRDefault="009C7AA3">
      <w:pPr>
        <w:pStyle w:val="FootnoteText"/>
        <w:rPr>
          <w:rFonts w:ascii="Verdana" w:hAnsi="Verdana"/>
          <w:sz w:val="16"/>
          <w:szCs w:val="16"/>
        </w:rPr>
      </w:pPr>
      <w:r w:rsidRPr="000F2810">
        <w:rPr>
          <w:rStyle w:val="FootnoteReference"/>
          <w:rFonts w:ascii="Verdana" w:hAnsi="Verdana"/>
          <w:color w:val="77328A"/>
          <w:sz w:val="16"/>
          <w:szCs w:val="16"/>
        </w:rPr>
        <w:footnoteRef/>
      </w:r>
      <w:r w:rsidRPr="000F2810">
        <w:rPr>
          <w:rFonts w:ascii="Verdana" w:hAnsi="Verdana"/>
          <w:color w:val="77328A"/>
          <w:sz w:val="16"/>
          <w:szCs w:val="16"/>
        </w:rPr>
        <w:t xml:space="preserve"> </w:t>
      </w:r>
      <w:r w:rsidR="00B36A2A" w:rsidRPr="000F2810">
        <w:rPr>
          <w:rFonts w:ascii="Verdana" w:hAnsi="Verdana"/>
          <w:color w:val="77328A"/>
          <w:sz w:val="16"/>
          <w:szCs w:val="16"/>
        </w:rPr>
        <w:t>NI</w:t>
      </w:r>
      <w:r w:rsidR="00223466" w:rsidRPr="000F2810">
        <w:rPr>
          <w:rFonts w:ascii="Verdana" w:hAnsi="Verdana"/>
          <w:color w:val="77328A"/>
          <w:sz w:val="16"/>
          <w:szCs w:val="16"/>
        </w:rPr>
        <w:t xml:space="preserve"> </w:t>
      </w:r>
      <w:r w:rsidR="00B36A2A" w:rsidRPr="000F2810">
        <w:rPr>
          <w:rFonts w:ascii="Verdana" w:hAnsi="Verdana"/>
          <w:color w:val="77328A"/>
          <w:sz w:val="16"/>
          <w:szCs w:val="16"/>
        </w:rPr>
        <w:t>A</w:t>
      </w:r>
      <w:r w:rsidR="00223466" w:rsidRPr="000F2810">
        <w:rPr>
          <w:rFonts w:ascii="Verdana" w:hAnsi="Verdana"/>
          <w:color w:val="77328A"/>
          <w:sz w:val="16"/>
          <w:szCs w:val="16"/>
        </w:rPr>
        <w:t xml:space="preserve">udit </w:t>
      </w:r>
      <w:r w:rsidR="00B36A2A" w:rsidRPr="000F2810">
        <w:rPr>
          <w:rFonts w:ascii="Verdana" w:hAnsi="Verdana"/>
          <w:color w:val="77328A"/>
          <w:sz w:val="16"/>
          <w:szCs w:val="16"/>
        </w:rPr>
        <w:t>O</w:t>
      </w:r>
      <w:r w:rsidR="00223466" w:rsidRPr="000F2810">
        <w:rPr>
          <w:rFonts w:ascii="Verdana" w:hAnsi="Verdana"/>
          <w:color w:val="77328A"/>
          <w:sz w:val="16"/>
          <w:szCs w:val="16"/>
        </w:rPr>
        <w:t>ffice</w:t>
      </w:r>
      <w:r w:rsidR="00B36A2A" w:rsidRPr="000F2810">
        <w:rPr>
          <w:rFonts w:ascii="Verdana" w:hAnsi="Verdana"/>
          <w:color w:val="77328A"/>
          <w:sz w:val="16"/>
          <w:szCs w:val="16"/>
        </w:rPr>
        <w:t xml:space="preserve">, ‘The </w:t>
      </w:r>
      <w:r w:rsidR="00223466" w:rsidRPr="000F2810">
        <w:rPr>
          <w:rFonts w:ascii="Verdana" w:hAnsi="Verdana"/>
          <w:color w:val="77328A"/>
          <w:sz w:val="16"/>
          <w:szCs w:val="16"/>
        </w:rPr>
        <w:t>NI</w:t>
      </w:r>
      <w:r w:rsidR="00B36A2A" w:rsidRPr="000F2810">
        <w:rPr>
          <w:rFonts w:ascii="Verdana" w:hAnsi="Verdana"/>
          <w:color w:val="77328A"/>
          <w:sz w:val="16"/>
          <w:szCs w:val="16"/>
        </w:rPr>
        <w:t xml:space="preserve"> budget process’</w:t>
      </w:r>
      <w:r w:rsidR="000F2810" w:rsidRPr="000F2810">
        <w:rPr>
          <w:rFonts w:ascii="Verdana" w:hAnsi="Verdana"/>
          <w:color w:val="77328A"/>
          <w:sz w:val="16"/>
          <w:szCs w:val="16"/>
        </w:rPr>
        <w:t xml:space="preserve"> (NIAO, 2021),</w:t>
      </w:r>
      <w:r w:rsidR="00B36A2A" w:rsidRPr="000F2810">
        <w:rPr>
          <w:rFonts w:ascii="Verdana" w:hAnsi="Verdana"/>
          <w:color w:val="77328A"/>
          <w:sz w:val="16"/>
          <w:szCs w:val="16"/>
        </w:rPr>
        <w:t xml:space="preserve"> </w:t>
      </w:r>
      <w:r w:rsidR="000F2810" w:rsidRPr="000F2810">
        <w:rPr>
          <w:rFonts w:ascii="Verdana" w:hAnsi="Verdana"/>
          <w:color w:val="77328A"/>
          <w:sz w:val="16"/>
          <w:szCs w:val="16"/>
        </w:rPr>
        <w:t>a</w:t>
      </w:r>
      <w:r w:rsidRPr="000F2810">
        <w:rPr>
          <w:rFonts w:ascii="Verdana" w:hAnsi="Verdana"/>
          <w:color w:val="77328A"/>
          <w:sz w:val="16"/>
          <w:szCs w:val="16"/>
        </w:rPr>
        <w:t xml:space="preserve">t para 1.5. </w:t>
      </w:r>
    </w:p>
  </w:footnote>
  <w:footnote w:id="53">
    <w:p w14:paraId="05CC6F0F" w14:textId="514BADFF" w:rsidR="001C4E8F" w:rsidRPr="00597570" w:rsidRDefault="001C4E8F">
      <w:pPr>
        <w:pStyle w:val="FootnoteText"/>
        <w:rPr>
          <w:rFonts w:ascii="Verdana" w:hAnsi="Verdana"/>
          <w:sz w:val="16"/>
          <w:szCs w:val="16"/>
        </w:rPr>
      </w:pPr>
      <w:r w:rsidRPr="00597570">
        <w:rPr>
          <w:rStyle w:val="FootnoteReference"/>
          <w:rFonts w:ascii="Verdana" w:hAnsi="Verdana"/>
          <w:color w:val="77328A"/>
          <w:sz w:val="16"/>
          <w:szCs w:val="16"/>
        </w:rPr>
        <w:footnoteRef/>
      </w:r>
      <w:r w:rsidRPr="00597570">
        <w:rPr>
          <w:rFonts w:ascii="Verdana" w:hAnsi="Verdana"/>
          <w:color w:val="77328A"/>
          <w:sz w:val="16"/>
          <w:szCs w:val="16"/>
        </w:rPr>
        <w:t xml:space="preserve"> CRC/C/GC/19, ‘UN CRC Committee General Comment No. 19 (2016) on public budgeting for the realization of children’s rights (art. 4)’, 20 July 2016, at para 96.</w:t>
      </w:r>
    </w:p>
  </w:footnote>
  <w:footnote w:id="54">
    <w:p w14:paraId="59FE7657" w14:textId="5B6F675D" w:rsidR="00BF604A" w:rsidRPr="00842CA3" w:rsidRDefault="00BF604A">
      <w:pPr>
        <w:pStyle w:val="FootnoteText"/>
        <w:rPr>
          <w:rFonts w:ascii="Verdana" w:hAnsi="Verdana"/>
          <w:color w:val="77328A"/>
          <w:sz w:val="16"/>
          <w:szCs w:val="16"/>
        </w:rPr>
      </w:pPr>
      <w:r w:rsidRPr="00842CA3">
        <w:rPr>
          <w:rStyle w:val="FootnoteReference"/>
          <w:rFonts w:ascii="Verdana" w:hAnsi="Verdana"/>
          <w:color w:val="77328A"/>
          <w:sz w:val="16"/>
          <w:szCs w:val="16"/>
        </w:rPr>
        <w:footnoteRef/>
      </w:r>
      <w:r w:rsidRPr="00842CA3">
        <w:rPr>
          <w:rFonts w:ascii="Verdana" w:hAnsi="Verdana"/>
          <w:color w:val="77328A"/>
          <w:sz w:val="16"/>
          <w:szCs w:val="16"/>
        </w:rPr>
        <w:t xml:space="preserve"> A/HRC/40/57, </w:t>
      </w:r>
      <w:r w:rsidR="00781F05" w:rsidRPr="00842CA3">
        <w:rPr>
          <w:rFonts w:ascii="Verdana" w:hAnsi="Verdana"/>
          <w:color w:val="77328A"/>
          <w:sz w:val="16"/>
          <w:szCs w:val="16"/>
        </w:rPr>
        <w:t>‘Report of the Independent Expert on the effects of foreign debt and other related international financial obligations of States on the full enjoyment of human rights, particularly economic, social and cultural rights: Guiding principles on human rights impact assessments of economic reforms</w:t>
      </w:r>
      <w:r w:rsidR="00597570" w:rsidRPr="00842CA3">
        <w:rPr>
          <w:rFonts w:ascii="Verdana" w:hAnsi="Verdana"/>
          <w:color w:val="77328A"/>
          <w:sz w:val="16"/>
          <w:szCs w:val="16"/>
        </w:rPr>
        <w:t>’, 19 December 2018.</w:t>
      </w:r>
    </w:p>
  </w:footnote>
  <w:footnote w:id="55">
    <w:p w14:paraId="03B105CC" w14:textId="5BBDA3F6" w:rsidR="00BD741F" w:rsidRPr="00842CA3" w:rsidRDefault="00BD741F">
      <w:pPr>
        <w:pStyle w:val="FootnoteText"/>
        <w:rPr>
          <w:rFonts w:ascii="Verdana" w:hAnsi="Verdana"/>
          <w:color w:val="77328A"/>
          <w:sz w:val="16"/>
          <w:szCs w:val="16"/>
        </w:rPr>
      </w:pPr>
      <w:r w:rsidRPr="00842CA3">
        <w:rPr>
          <w:rStyle w:val="FootnoteReference"/>
          <w:rFonts w:ascii="Verdana" w:hAnsi="Verdana"/>
          <w:color w:val="77328A"/>
          <w:sz w:val="16"/>
          <w:szCs w:val="16"/>
        </w:rPr>
        <w:footnoteRef/>
      </w:r>
      <w:r w:rsidRPr="00842CA3">
        <w:rPr>
          <w:rFonts w:ascii="Verdana" w:hAnsi="Verdana"/>
          <w:color w:val="77328A"/>
          <w:sz w:val="16"/>
          <w:szCs w:val="16"/>
        </w:rPr>
        <w:t xml:space="preserve"> </w:t>
      </w:r>
      <w:r w:rsidR="00B16661" w:rsidRPr="00842CA3">
        <w:rPr>
          <w:rFonts w:ascii="Verdana" w:hAnsi="Verdana"/>
          <w:color w:val="77328A"/>
          <w:sz w:val="16"/>
          <w:szCs w:val="16"/>
        </w:rPr>
        <w:t xml:space="preserve">Ibid, at </w:t>
      </w:r>
      <w:r w:rsidR="00B4754D" w:rsidRPr="00842CA3">
        <w:rPr>
          <w:rFonts w:ascii="Verdana" w:hAnsi="Verdana"/>
          <w:color w:val="77328A"/>
          <w:sz w:val="16"/>
          <w:szCs w:val="16"/>
        </w:rPr>
        <w:t>Principle 18.</w:t>
      </w:r>
    </w:p>
  </w:footnote>
  <w:footnote w:id="56">
    <w:p w14:paraId="1709F563" w14:textId="62A26986" w:rsidR="00507EF7" w:rsidRPr="00842CA3" w:rsidRDefault="00507EF7">
      <w:pPr>
        <w:pStyle w:val="FootnoteText"/>
        <w:rPr>
          <w:rFonts w:ascii="Verdana" w:hAnsi="Verdana"/>
          <w:color w:val="77328A"/>
          <w:sz w:val="16"/>
          <w:szCs w:val="16"/>
        </w:rPr>
      </w:pPr>
      <w:r w:rsidRPr="00842CA3">
        <w:rPr>
          <w:rStyle w:val="FootnoteReference"/>
          <w:rFonts w:ascii="Verdana" w:hAnsi="Verdana"/>
          <w:color w:val="77328A"/>
          <w:sz w:val="16"/>
          <w:szCs w:val="16"/>
        </w:rPr>
        <w:footnoteRef/>
      </w:r>
      <w:r w:rsidRPr="00842CA3">
        <w:rPr>
          <w:rFonts w:ascii="Verdana" w:hAnsi="Verdana"/>
          <w:color w:val="77328A"/>
          <w:sz w:val="16"/>
          <w:szCs w:val="16"/>
        </w:rPr>
        <w:t xml:space="preserve"> </w:t>
      </w:r>
      <w:r w:rsidR="00B4754D" w:rsidRPr="00842CA3">
        <w:rPr>
          <w:rFonts w:ascii="Verdana" w:hAnsi="Verdana"/>
          <w:color w:val="77328A"/>
          <w:sz w:val="16"/>
          <w:szCs w:val="16"/>
        </w:rPr>
        <w:t xml:space="preserve">Ibid, at para 18.1. </w:t>
      </w:r>
    </w:p>
  </w:footnote>
  <w:footnote w:id="57">
    <w:p w14:paraId="77713888" w14:textId="46BE73EF" w:rsidR="0013631E" w:rsidRDefault="0013631E" w:rsidP="0013631E">
      <w:pPr>
        <w:pStyle w:val="FootnoteText"/>
      </w:pPr>
      <w:r w:rsidRPr="00842CA3">
        <w:rPr>
          <w:rStyle w:val="FootnoteReference"/>
          <w:rFonts w:ascii="Verdana" w:hAnsi="Verdana"/>
          <w:color w:val="77328A"/>
          <w:sz w:val="16"/>
          <w:szCs w:val="16"/>
        </w:rPr>
        <w:footnoteRef/>
      </w:r>
      <w:r w:rsidRPr="00842CA3">
        <w:rPr>
          <w:rFonts w:ascii="Verdana" w:hAnsi="Verdana"/>
          <w:color w:val="77328A"/>
          <w:sz w:val="16"/>
          <w:szCs w:val="16"/>
        </w:rPr>
        <w:t xml:space="preserve"> </w:t>
      </w:r>
      <w:r w:rsidR="00B4754D" w:rsidRPr="00842CA3">
        <w:rPr>
          <w:rFonts w:ascii="Verdana" w:hAnsi="Verdana"/>
          <w:color w:val="77328A"/>
          <w:sz w:val="16"/>
          <w:szCs w:val="16"/>
        </w:rPr>
        <w:t xml:space="preserve">Ibid, at para </w:t>
      </w:r>
      <w:r w:rsidR="00842CA3" w:rsidRPr="00842CA3">
        <w:rPr>
          <w:rFonts w:ascii="Verdana" w:hAnsi="Verdana"/>
          <w:color w:val="77328A"/>
          <w:sz w:val="16"/>
          <w:szCs w:val="16"/>
        </w:rPr>
        <w:t>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652"/>
    <w:multiLevelType w:val="hybridMultilevel"/>
    <w:tmpl w:val="EB48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73DD5"/>
    <w:multiLevelType w:val="hybridMultilevel"/>
    <w:tmpl w:val="92FAE4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22E10BB"/>
    <w:multiLevelType w:val="hybridMultilevel"/>
    <w:tmpl w:val="06F2B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36403"/>
    <w:multiLevelType w:val="hybridMultilevel"/>
    <w:tmpl w:val="808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04791"/>
    <w:multiLevelType w:val="hybridMultilevel"/>
    <w:tmpl w:val="866A0A1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14DE4"/>
    <w:multiLevelType w:val="hybridMultilevel"/>
    <w:tmpl w:val="BC408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5E508E"/>
    <w:multiLevelType w:val="hybridMultilevel"/>
    <w:tmpl w:val="281E8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E2546"/>
    <w:multiLevelType w:val="multilevel"/>
    <w:tmpl w:val="35AEA6DC"/>
    <w:lvl w:ilvl="0">
      <w:start w:val="3"/>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072" w:hanging="2520"/>
      </w:pPr>
      <w:rPr>
        <w:rFonts w:hint="default"/>
      </w:rPr>
    </w:lvl>
  </w:abstractNum>
  <w:abstractNum w:abstractNumId="9" w15:restartNumberingAfterBreak="0">
    <w:nsid w:val="20121A3E"/>
    <w:multiLevelType w:val="hybridMultilevel"/>
    <w:tmpl w:val="04D245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183277"/>
    <w:multiLevelType w:val="multilevel"/>
    <w:tmpl w:val="B176AB3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eastAsiaTheme="minorEastAsia" w:hint="default"/>
        <w:color w:val="auto"/>
      </w:rPr>
    </w:lvl>
    <w:lvl w:ilvl="2">
      <w:start w:val="1"/>
      <w:numFmt w:val="decimal"/>
      <w:isLgl/>
      <w:lvlText w:val="%1.%2.%3"/>
      <w:lvlJc w:val="left"/>
      <w:pPr>
        <w:ind w:left="2149" w:hanging="1080"/>
      </w:pPr>
      <w:rPr>
        <w:rFonts w:eastAsiaTheme="minorEastAsia" w:hint="default"/>
        <w:color w:val="auto"/>
      </w:rPr>
    </w:lvl>
    <w:lvl w:ilvl="3">
      <w:start w:val="1"/>
      <w:numFmt w:val="decimal"/>
      <w:isLgl/>
      <w:lvlText w:val="%1.%2.%3.%4"/>
      <w:lvlJc w:val="left"/>
      <w:pPr>
        <w:ind w:left="2149" w:hanging="1080"/>
      </w:pPr>
      <w:rPr>
        <w:rFonts w:eastAsiaTheme="minorEastAsia" w:hint="default"/>
        <w:color w:val="auto"/>
      </w:rPr>
    </w:lvl>
    <w:lvl w:ilvl="4">
      <w:start w:val="1"/>
      <w:numFmt w:val="decimal"/>
      <w:isLgl/>
      <w:lvlText w:val="%1.%2.%3.%4.%5"/>
      <w:lvlJc w:val="left"/>
      <w:pPr>
        <w:ind w:left="2509" w:hanging="1440"/>
      </w:pPr>
      <w:rPr>
        <w:rFonts w:eastAsiaTheme="minorEastAsia" w:hint="default"/>
        <w:color w:val="auto"/>
      </w:rPr>
    </w:lvl>
    <w:lvl w:ilvl="5">
      <w:start w:val="1"/>
      <w:numFmt w:val="decimal"/>
      <w:isLgl/>
      <w:lvlText w:val="%1.%2.%3.%4.%5.%6"/>
      <w:lvlJc w:val="left"/>
      <w:pPr>
        <w:ind w:left="2869" w:hanging="1800"/>
      </w:pPr>
      <w:rPr>
        <w:rFonts w:eastAsiaTheme="minorEastAsia" w:hint="default"/>
        <w:color w:val="auto"/>
      </w:rPr>
    </w:lvl>
    <w:lvl w:ilvl="6">
      <w:start w:val="1"/>
      <w:numFmt w:val="decimal"/>
      <w:isLgl/>
      <w:lvlText w:val="%1.%2.%3.%4.%5.%6.%7"/>
      <w:lvlJc w:val="left"/>
      <w:pPr>
        <w:ind w:left="3229" w:hanging="2160"/>
      </w:pPr>
      <w:rPr>
        <w:rFonts w:eastAsiaTheme="minorEastAsia" w:hint="default"/>
        <w:color w:val="auto"/>
      </w:rPr>
    </w:lvl>
    <w:lvl w:ilvl="7">
      <w:start w:val="1"/>
      <w:numFmt w:val="decimal"/>
      <w:isLgl/>
      <w:lvlText w:val="%1.%2.%3.%4.%5.%6.%7.%8"/>
      <w:lvlJc w:val="left"/>
      <w:pPr>
        <w:ind w:left="3589" w:hanging="2520"/>
      </w:pPr>
      <w:rPr>
        <w:rFonts w:eastAsiaTheme="minorEastAsia" w:hint="default"/>
        <w:color w:val="auto"/>
      </w:rPr>
    </w:lvl>
    <w:lvl w:ilvl="8">
      <w:start w:val="1"/>
      <w:numFmt w:val="decimal"/>
      <w:isLgl/>
      <w:lvlText w:val="%1.%2.%3.%4.%5.%6.%7.%8.%9"/>
      <w:lvlJc w:val="left"/>
      <w:pPr>
        <w:ind w:left="3589" w:hanging="2520"/>
      </w:pPr>
      <w:rPr>
        <w:rFonts w:eastAsiaTheme="minorEastAsia" w:hint="default"/>
        <w:color w:val="auto"/>
      </w:rPr>
    </w:lvl>
  </w:abstractNum>
  <w:abstractNum w:abstractNumId="12" w15:restartNumberingAfterBreak="0">
    <w:nsid w:val="27C27A55"/>
    <w:multiLevelType w:val="hybridMultilevel"/>
    <w:tmpl w:val="CACA2DF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3E7192"/>
    <w:multiLevelType w:val="hybridMultilevel"/>
    <w:tmpl w:val="94C49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9F15CF"/>
    <w:multiLevelType w:val="hybridMultilevel"/>
    <w:tmpl w:val="C414A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135F60"/>
    <w:multiLevelType w:val="hybridMultilevel"/>
    <w:tmpl w:val="17128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A32AFA"/>
    <w:multiLevelType w:val="hybridMultilevel"/>
    <w:tmpl w:val="EB34D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6B14C9"/>
    <w:multiLevelType w:val="hybridMultilevel"/>
    <w:tmpl w:val="33FEEB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45AE560E"/>
    <w:multiLevelType w:val="multilevel"/>
    <w:tmpl w:val="24F6493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45E700B3"/>
    <w:multiLevelType w:val="hybridMultilevel"/>
    <w:tmpl w:val="F1829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0D4D4C"/>
    <w:multiLevelType w:val="hybridMultilevel"/>
    <w:tmpl w:val="E47E38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E7298B"/>
    <w:multiLevelType w:val="multilevel"/>
    <w:tmpl w:val="EECC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E14FB"/>
    <w:multiLevelType w:val="hybridMultilevel"/>
    <w:tmpl w:val="2AC0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05DB3"/>
    <w:multiLevelType w:val="hybridMultilevel"/>
    <w:tmpl w:val="AB50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B4999"/>
    <w:multiLevelType w:val="hybridMultilevel"/>
    <w:tmpl w:val="749263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BB736A3"/>
    <w:multiLevelType w:val="hybridMultilevel"/>
    <w:tmpl w:val="267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154ED"/>
    <w:multiLevelType w:val="hybridMultilevel"/>
    <w:tmpl w:val="83F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4103C"/>
    <w:multiLevelType w:val="hybridMultilevel"/>
    <w:tmpl w:val="06BE17B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A33C7"/>
    <w:multiLevelType w:val="hybridMultilevel"/>
    <w:tmpl w:val="0E4CF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F0C5C6E"/>
    <w:multiLevelType w:val="hybridMultilevel"/>
    <w:tmpl w:val="87AA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44D9F"/>
    <w:multiLevelType w:val="hybridMultilevel"/>
    <w:tmpl w:val="28C42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BE4385"/>
    <w:multiLevelType w:val="multilevel"/>
    <w:tmpl w:val="6CEE57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3F5FA9"/>
    <w:multiLevelType w:val="hybridMultilevel"/>
    <w:tmpl w:val="20D60EE6"/>
    <w:lvl w:ilvl="0" w:tplc="08090011">
      <w:start w:val="1"/>
      <w:numFmt w:val="decimal"/>
      <w:lvlText w:val="%1)"/>
      <w:lvlJc w:val="left"/>
      <w:pPr>
        <w:ind w:left="1429" w:hanging="360"/>
      </w:pPr>
      <w:rPr>
        <w:rFont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76637A5E"/>
    <w:multiLevelType w:val="hybridMultilevel"/>
    <w:tmpl w:val="64E4F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7916EC"/>
    <w:multiLevelType w:val="hybridMultilevel"/>
    <w:tmpl w:val="04989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3190446">
    <w:abstractNumId w:val="25"/>
  </w:num>
  <w:num w:numId="2" w16cid:durableId="488250544">
    <w:abstractNumId w:val="41"/>
  </w:num>
  <w:num w:numId="3" w16cid:durableId="1759248870">
    <w:abstractNumId w:val="5"/>
  </w:num>
  <w:num w:numId="4" w16cid:durableId="1439301701">
    <w:abstractNumId w:val="17"/>
  </w:num>
  <w:num w:numId="5" w16cid:durableId="545026117">
    <w:abstractNumId w:val="37"/>
  </w:num>
  <w:num w:numId="6" w16cid:durableId="1307010369">
    <w:abstractNumId w:val="10"/>
  </w:num>
  <w:num w:numId="7" w16cid:durableId="587275928">
    <w:abstractNumId w:val="20"/>
  </w:num>
  <w:num w:numId="8" w16cid:durableId="1617831089">
    <w:abstractNumId w:val="15"/>
  </w:num>
  <w:num w:numId="9" w16cid:durableId="1481072098">
    <w:abstractNumId w:val="21"/>
  </w:num>
  <w:num w:numId="10" w16cid:durableId="120390995">
    <w:abstractNumId w:val="32"/>
  </w:num>
  <w:num w:numId="11" w16cid:durableId="974144211">
    <w:abstractNumId w:val="31"/>
  </w:num>
  <w:num w:numId="12" w16cid:durableId="1306592401">
    <w:abstractNumId w:val="26"/>
  </w:num>
  <w:num w:numId="13" w16cid:durableId="319161273">
    <w:abstractNumId w:val="2"/>
  </w:num>
  <w:num w:numId="14" w16cid:durableId="1884713786">
    <w:abstractNumId w:val="28"/>
  </w:num>
  <w:num w:numId="15" w16cid:durableId="2025478829">
    <w:abstractNumId w:val="34"/>
  </w:num>
  <w:num w:numId="16" w16cid:durableId="1956714439">
    <w:abstractNumId w:val="30"/>
  </w:num>
  <w:num w:numId="17" w16cid:durableId="1844273774">
    <w:abstractNumId w:val="27"/>
  </w:num>
  <w:num w:numId="18" w16cid:durableId="1577590639">
    <w:abstractNumId w:val="3"/>
  </w:num>
  <w:num w:numId="19" w16cid:durableId="971594030">
    <w:abstractNumId w:val="36"/>
  </w:num>
  <w:num w:numId="20" w16cid:durableId="462771653">
    <w:abstractNumId w:val="6"/>
  </w:num>
  <w:num w:numId="21" w16cid:durableId="1234588666">
    <w:abstractNumId w:val="35"/>
  </w:num>
  <w:num w:numId="22" w16cid:durableId="1721127562">
    <w:abstractNumId w:val="32"/>
  </w:num>
  <w:num w:numId="23" w16cid:durableId="94794582">
    <w:abstractNumId w:val="22"/>
  </w:num>
  <w:num w:numId="24" w16cid:durableId="1157841689">
    <w:abstractNumId w:val="33"/>
  </w:num>
  <w:num w:numId="25" w16cid:durableId="426850965">
    <w:abstractNumId w:val="14"/>
  </w:num>
  <w:num w:numId="26" w16cid:durableId="750080886">
    <w:abstractNumId w:val="13"/>
  </w:num>
  <w:num w:numId="27" w16cid:durableId="1500272286">
    <w:abstractNumId w:val="19"/>
  </w:num>
  <w:num w:numId="28" w16cid:durableId="2088185742">
    <w:abstractNumId w:val="9"/>
  </w:num>
  <w:num w:numId="29" w16cid:durableId="1657681993">
    <w:abstractNumId w:val="1"/>
  </w:num>
  <w:num w:numId="30" w16cid:durableId="272445972">
    <w:abstractNumId w:val="29"/>
  </w:num>
  <w:num w:numId="31" w16cid:durableId="740950256">
    <w:abstractNumId w:val="7"/>
  </w:num>
  <w:num w:numId="32" w16cid:durableId="1231110939">
    <w:abstractNumId w:val="18"/>
  </w:num>
  <w:num w:numId="33" w16cid:durableId="2020112079">
    <w:abstractNumId w:val="8"/>
  </w:num>
  <w:num w:numId="34" w16cid:durableId="1378434159">
    <w:abstractNumId w:val="12"/>
  </w:num>
  <w:num w:numId="35" w16cid:durableId="724839536">
    <w:abstractNumId w:val="38"/>
  </w:num>
  <w:num w:numId="36" w16cid:durableId="553735813">
    <w:abstractNumId w:val="39"/>
  </w:num>
  <w:num w:numId="37" w16cid:durableId="475495627">
    <w:abstractNumId w:val="24"/>
  </w:num>
  <w:num w:numId="38" w16cid:durableId="778838074">
    <w:abstractNumId w:val="40"/>
  </w:num>
  <w:num w:numId="39" w16cid:durableId="934824942">
    <w:abstractNumId w:val="11"/>
  </w:num>
  <w:num w:numId="40" w16cid:durableId="515969876">
    <w:abstractNumId w:val="16"/>
  </w:num>
  <w:num w:numId="41" w16cid:durableId="800541327">
    <w:abstractNumId w:val="4"/>
  </w:num>
  <w:num w:numId="42" w16cid:durableId="800225471">
    <w:abstractNumId w:val="0"/>
  </w:num>
  <w:num w:numId="43" w16cid:durableId="11941979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004"/>
    <w:rsid w:val="00002F6B"/>
    <w:rsid w:val="000052DE"/>
    <w:rsid w:val="00011A4E"/>
    <w:rsid w:val="00011CFC"/>
    <w:rsid w:val="00012DE1"/>
    <w:rsid w:val="0001397A"/>
    <w:rsid w:val="00013DF8"/>
    <w:rsid w:val="00014B9A"/>
    <w:rsid w:val="0001527F"/>
    <w:rsid w:val="00015ED2"/>
    <w:rsid w:val="000168B4"/>
    <w:rsid w:val="00016CFA"/>
    <w:rsid w:val="00022EF4"/>
    <w:rsid w:val="0002393B"/>
    <w:rsid w:val="00023A08"/>
    <w:rsid w:val="000244CF"/>
    <w:rsid w:val="00024B33"/>
    <w:rsid w:val="000268EA"/>
    <w:rsid w:val="00030969"/>
    <w:rsid w:val="000343C6"/>
    <w:rsid w:val="00034712"/>
    <w:rsid w:val="00035E71"/>
    <w:rsid w:val="000401A5"/>
    <w:rsid w:val="0004428A"/>
    <w:rsid w:val="00044D1B"/>
    <w:rsid w:val="0004511B"/>
    <w:rsid w:val="0004539A"/>
    <w:rsid w:val="00046705"/>
    <w:rsid w:val="00046D71"/>
    <w:rsid w:val="00047FD0"/>
    <w:rsid w:val="00050AF2"/>
    <w:rsid w:val="0005221D"/>
    <w:rsid w:val="0005379E"/>
    <w:rsid w:val="00054BB0"/>
    <w:rsid w:val="000559C2"/>
    <w:rsid w:val="000565C3"/>
    <w:rsid w:val="000604C5"/>
    <w:rsid w:val="00061E0A"/>
    <w:rsid w:val="00062054"/>
    <w:rsid w:val="000622E1"/>
    <w:rsid w:val="00063513"/>
    <w:rsid w:val="00064780"/>
    <w:rsid w:val="00064F85"/>
    <w:rsid w:val="00065EC7"/>
    <w:rsid w:val="00066DA3"/>
    <w:rsid w:val="0007120B"/>
    <w:rsid w:val="00071D69"/>
    <w:rsid w:val="00073AFF"/>
    <w:rsid w:val="00073FD3"/>
    <w:rsid w:val="000763F5"/>
    <w:rsid w:val="00077421"/>
    <w:rsid w:val="00077D87"/>
    <w:rsid w:val="00081EB9"/>
    <w:rsid w:val="00082B9D"/>
    <w:rsid w:val="000835AE"/>
    <w:rsid w:val="00084572"/>
    <w:rsid w:val="000855B4"/>
    <w:rsid w:val="00085F2F"/>
    <w:rsid w:val="0008660E"/>
    <w:rsid w:val="00086B24"/>
    <w:rsid w:val="00090112"/>
    <w:rsid w:val="000912DD"/>
    <w:rsid w:val="00091B23"/>
    <w:rsid w:val="00093804"/>
    <w:rsid w:val="00093872"/>
    <w:rsid w:val="00093AA0"/>
    <w:rsid w:val="00095451"/>
    <w:rsid w:val="00096455"/>
    <w:rsid w:val="00097803"/>
    <w:rsid w:val="00097D9D"/>
    <w:rsid w:val="000A0497"/>
    <w:rsid w:val="000A12A9"/>
    <w:rsid w:val="000A12D9"/>
    <w:rsid w:val="000A1FF8"/>
    <w:rsid w:val="000A21BD"/>
    <w:rsid w:val="000A5FE2"/>
    <w:rsid w:val="000A60C5"/>
    <w:rsid w:val="000A728D"/>
    <w:rsid w:val="000B0C63"/>
    <w:rsid w:val="000B1062"/>
    <w:rsid w:val="000B3625"/>
    <w:rsid w:val="000B4D45"/>
    <w:rsid w:val="000B4FCF"/>
    <w:rsid w:val="000B6304"/>
    <w:rsid w:val="000B67CC"/>
    <w:rsid w:val="000C0FC7"/>
    <w:rsid w:val="000C1AE0"/>
    <w:rsid w:val="000C2652"/>
    <w:rsid w:val="000C4443"/>
    <w:rsid w:val="000C45DE"/>
    <w:rsid w:val="000C5AE5"/>
    <w:rsid w:val="000C5EDB"/>
    <w:rsid w:val="000C5EE0"/>
    <w:rsid w:val="000D099A"/>
    <w:rsid w:val="000D115D"/>
    <w:rsid w:val="000D12BB"/>
    <w:rsid w:val="000D4A5C"/>
    <w:rsid w:val="000D4E23"/>
    <w:rsid w:val="000D73F6"/>
    <w:rsid w:val="000E018D"/>
    <w:rsid w:val="000E1D32"/>
    <w:rsid w:val="000E1D66"/>
    <w:rsid w:val="000E1F61"/>
    <w:rsid w:val="000E3B9C"/>
    <w:rsid w:val="000E4607"/>
    <w:rsid w:val="000E59C0"/>
    <w:rsid w:val="000E6109"/>
    <w:rsid w:val="000E6D35"/>
    <w:rsid w:val="000E7F0C"/>
    <w:rsid w:val="000F2379"/>
    <w:rsid w:val="000F2810"/>
    <w:rsid w:val="000F2935"/>
    <w:rsid w:val="000F4E64"/>
    <w:rsid w:val="000F4F80"/>
    <w:rsid w:val="000F72F7"/>
    <w:rsid w:val="000F7361"/>
    <w:rsid w:val="00100A7D"/>
    <w:rsid w:val="001012DB"/>
    <w:rsid w:val="00101D0D"/>
    <w:rsid w:val="0010293D"/>
    <w:rsid w:val="00103A61"/>
    <w:rsid w:val="00104B72"/>
    <w:rsid w:val="00104E7C"/>
    <w:rsid w:val="001065CF"/>
    <w:rsid w:val="00110039"/>
    <w:rsid w:val="00111A28"/>
    <w:rsid w:val="00111CC7"/>
    <w:rsid w:val="0011351C"/>
    <w:rsid w:val="00114374"/>
    <w:rsid w:val="0011461B"/>
    <w:rsid w:val="00114F39"/>
    <w:rsid w:val="001159CC"/>
    <w:rsid w:val="00121108"/>
    <w:rsid w:val="0012302A"/>
    <w:rsid w:val="00123569"/>
    <w:rsid w:val="00123579"/>
    <w:rsid w:val="00123630"/>
    <w:rsid w:val="00123730"/>
    <w:rsid w:val="00123FC0"/>
    <w:rsid w:val="00124171"/>
    <w:rsid w:val="001241A6"/>
    <w:rsid w:val="001253B3"/>
    <w:rsid w:val="0012764F"/>
    <w:rsid w:val="00127A81"/>
    <w:rsid w:val="0013045D"/>
    <w:rsid w:val="00131D3C"/>
    <w:rsid w:val="00134684"/>
    <w:rsid w:val="00134CC0"/>
    <w:rsid w:val="0013631E"/>
    <w:rsid w:val="00137968"/>
    <w:rsid w:val="0014147D"/>
    <w:rsid w:val="00141DC7"/>
    <w:rsid w:val="001448B4"/>
    <w:rsid w:val="00151BAF"/>
    <w:rsid w:val="00151D3C"/>
    <w:rsid w:val="00151DF7"/>
    <w:rsid w:val="0015282E"/>
    <w:rsid w:val="00153F9A"/>
    <w:rsid w:val="0015408D"/>
    <w:rsid w:val="00154E44"/>
    <w:rsid w:val="0015638C"/>
    <w:rsid w:val="00156AA0"/>
    <w:rsid w:val="00157156"/>
    <w:rsid w:val="001600FA"/>
    <w:rsid w:val="00160E74"/>
    <w:rsid w:val="001612F9"/>
    <w:rsid w:val="00161B7B"/>
    <w:rsid w:val="00162B80"/>
    <w:rsid w:val="00163A57"/>
    <w:rsid w:val="00163E24"/>
    <w:rsid w:val="00164F57"/>
    <w:rsid w:val="0016614F"/>
    <w:rsid w:val="0016688E"/>
    <w:rsid w:val="00166CC8"/>
    <w:rsid w:val="00170F33"/>
    <w:rsid w:val="00171919"/>
    <w:rsid w:val="00171C0A"/>
    <w:rsid w:val="00172796"/>
    <w:rsid w:val="00172994"/>
    <w:rsid w:val="00173446"/>
    <w:rsid w:val="0017533C"/>
    <w:rsid w:val="00176963"/>
    <w:rsid w:val="00180287"/>
    <w:rsid w:val="00180503"/>
    <w:rsid w:val="0018357A"/>
    <w:rsid w:val="001836C8"/>
    <w:rsid w:val="00184AED"/>
    <w:rsid w:val="00186137"/>
    <w:rsid w:val="00186886"/>
    <w:rsid w:val="001874EC"/>
    <w:rsid w:val="00187A41"/>
    <w:rsid w:val="00187ED7"/>
    <w:rsid w:val="00193055"/>
    <w:rsid w:val="00193B59"/>
    <w:rsid w:val="00196A04"/>
    <w:rsid w:val="001A37B7"/>
    <w:rsid w:val="001A3C1F"/>
    <w:rsid w:val="001A4083"/>
    <w:rsid w:val="001A5836"/>
    <w:rsid w:val="001A5879"/>
    <w:rsid w:val="001A68F7"/>
    <w:rsid w:val="001A6A5B"/>
    <w:rsid w:val="001A71E4"/>
    <w:rsid w:val="001A77DF"/>
    <w:rsid w:val="001A7AD9"/>
    <w:rsid w:val="001B082B"/>
    <w:rsid w:val="001B1246"/>
    <w:rsid w:val="001B21E2"/>
    <w:rsid w:val="001B2899"/>
    <w:rsid w:val="001B3680"/>
    <w:rsid w:val="001B48DF"/>
    <w:rsid w:val="001B6176"/>
    <w:rsid w:val="001B7906"/>
    <w:rsid w:val="001C0E92"/>
    <w:rsid w:val="001C1889"/>
    <w:rsid w:val="001C2095"/>
    <w:rsid w:val="001C2423"/>
    <w:rsid w:val="001C2ECC"/>
    <w:rsid w:val="001C30BE"/>
    <w:rsid w:val="001C330A"/>
    <w:rsid w:val="001C3B5B"/>
    <w:rsid w:val="001C451E"/>
    <w:rsid w:val="001C4E8F"/>
    <w:rsid w:val="001C54E6"/>
    <w:rsid w:val="001D0FB9"/>
    <w:rsid w:val="001D1E33"/>
    <w:rsid w:val="001D30E4"/>
    <w:rsid w:val="001D522F"/>
    <w:rsid w:val="001D6471"/>
    <w:rsid w:val="001E0992"/>
    <w:rsid w:val="001E1774"/>
    <w:rsid w:val="001E19EC"/>
    <w:rsid w:val="001E5F21"/>
    <w:rsid w:val="001E6D11"/>
    <w:rsid w:val="001E78F9"/>
    <w:rsid w:val="001E79A9"/>
    <w:rsid w:val="001F2B9C"/>
    <w:rsid w:val="001F2F9B"/>
    <w:rsid w:val="001F358D"/>
    <w:rsid w:val="001F3799"/>
    <w:rsid w:val="001F3E9F"/>
    <w:rsid w:val="001F56CF"/>
    <w:rsid w:val="001F58A5"/>
    <w:rsid w:val="001F5ED4"/>
    <w:rsid w:val="00201823"/>
    <w:rsid w:val="002035B4"/>
    <w:rsid w:val="00203CF7"/>
    <w:rsid w:val="002057DC"/>
    <w:rsid w:val="00206463"/>
    <w:rsid w:val="0020730D"/>
    <w:rsid w:val="00207EB2"/>
    <w:rsid w:val="0021067E"/>
    <w:rsid w:val="00210F2B"/>
    <w:rsid w:val="00213B8A"/>
    <w:rsid w:val="002147A1"/>
    <w:rsid w:val="0021498D"/>
    <w:rsid w:val="00214F14"/>
    <w:rsid w:val="00215204"/>
    <w:rsid w:val="00215BCA"/>
    <w:rsid w:val="00216FC1"/>
    <w:rsid w:val="00220ECA"/>
    <w:rsid w:val="00221246"/>
    <w:rsid w:val="00223466"/>
    <w:rsid w:val="0022370D"/>
    <w:rsid w:val="00223BCE"/>
    <w:rsid w:val="00224140"/>
    <w:rsid w:val="002245FE"/>
    <w:rsid w:val="00225688"/>
    <w:rsid w:val="00230C26"/>
    <w:rsid w:val="002320E6"/>
    <w:rsid w:val="00232793"/>
    <w:rsid w:val="00232BC5"/>
    <w:rsid w:val="0023405E"/>
    <w:rsid w:val="002351CB"/>
    <w:rsid w:val="0023553F"/>
    <w:rsid w:val="00240B2E"/>
    <w:rsid w:val="00241A84"/>
    <w:rsid w:val="00242550"/>
    <w:rsid w:val="002428EC"/>
    <w:rsid w:val="00242CA8"/>
    <w:rsid w:val="00243A5A"/>
    <w:rsid w:val="00243E0D"/>
    <w:rsid w:val="00245151"/>
    <w:rsid w:val="002455E6"/>
    <w:rsid w:val="00245E55"/>
    <w:rsid w:val="00246026"/>
    <w:rsid w:val="0024695E"/>
    <w:rsid w:val="00247D90"/>
    <w:rsid w:val="002514BB"/>
    <w:rsid w:val="00253078"/>
    <w:rsid w:val="00253BF9"/>
    <w:rsid w:val="00255FAD"/>
    <w:rsid w:val="00256D1A"/>
    <w:rsid w:val="00257AAD"/>
    <w:rsid w:val="00257DA1"/>
    <w:rsid w:val="002610A6"/>
    <w:rsid w:val="002628C8"/>
    <w:rsid w:val="0026564A"/>
    <w:rsid w:val="00265767"/>
    <w:rsid w:val="00265CA1"/>
    <w:rsid w:val="00267C27"/>
    <w:rsid w:val="002705BF"/>
    <w:rsid w:val="00272445"/>
    <w:rsid w:val="00272ADE"/>
    <w:rsid w:val="00274EEC"/>
    <w:rsid w:val="00275187"/>
    <w:rsid w:val="00276810"/>
    <w:rsid w:val="0028118E"/>
    <w:rsid w:val="002815B7"/>
    <w:rsid w:val="002823B0"/>
    <w:rsid w:val="00284AD5"/>
    <w:rsid w:val="00284CCF"/>
    <w:rsid w:val="0028530D"/>
    <w:rsid w:val="00286688"/>
    <w:rsid w:val="0028773D"/>
    <w:rsid w:val="0029086F"/>
    <w:rsid w:val="00290E9D"/>
    <w:rsid w:val="0029150A"/>
    <w:rsid w:val="0029159B"/>
    <w:rsid w:val="00293A7E"/>
    <w:rsid w:val="00293E81"/>
    <w:rsid w:val="002941DC"/>
    <w:rsid w:val="0029488E"/>
    <w:rsid w:val="002962F4"/>
    <w:rsid w:val="002966AB"/>
    <w:rsid w:val="00296FCC"/>
    <w:rsid w:val="00297B0A"/>
    <w:rsid w:val="002A02E6"/>
    <w:rsid w:val="002A0E5F"/>
    <w:rsid w:val="002A15D8"/>
    <w:rsid w:val="002A3AB1"/>
    <w:rsid w:val="002A4C17"/>
    <w:rsid w:val="002A5366"/>
    <w:rsid w:val="002A53BE"/>
    <w:rsid w:val="002A69AE"/>
    <w:rsid w:val="002B0BA4"/>
    <w:rsid w:val="002B1272"/>
    <w:rsid w:val="002B1305"/>
    <w:rsid w:val="002B1345"/>
    <w:rsid w:val="002B3100"/>
    <w:rsid w:val="002B3518"/>
    <w:rsid w:val="002B682F"/>
    <w:rsid w:val="002B6A44"/>
    <w:rsid w:val="002B6A5A"/>
    <w:rsid w:val="002B713E"/>
    <w:rsid w:val="002B771B"/>
    <w:rsid w:val="002C032C"/>
    <w:rsid w:val="002C087F"/>
    <w:rsid w:val="002C0D1D"/>
    <w:rsid w:val="002C0F0D"/>
    <w:rsid w:val="002C1B8B"/>
    <w:rsid w:val="002C4391"/>
    <w:rsid w:val="002C73E7"/>
    <w:rsid w:val="002C7952"/>
    <w:rsid w:val="002D114C"/>
    <w:rsid w:val="002D3426"/>
    <w:rsid w:val="002D4380"/>
    <w:rsid w:val="002D5129"/>
    <w:rsid w:val="002D53B5"/>
    <w:rsid w:val="002D54D4"/>
    <w:rsid w:val="002D6063"/>
    <w:rsid w:val="002D60CE"/>
    <w:rsid w:val="002D708E"/>
    <w:rsid w:val="002E17F0"/>
    <w:rsid w:val="002E1E8C"/>
    <w:rsid w:val="002E2BB8"/>
    <w:rsid w:val="002E434B"/>
    <w:rsid w:val="002E4661"/>
    <w:rsid w:val="002E6413"/>
    <w:rsid w:val="002E7A71"/>
    <w:rsid w:val="002F6D0F"/>
    <w:rsid w:val="002F7727"/>
    <w:rsid w:val="002F7D62"/>
    <w:rsid w:val="00301E3F"/>
    <w:rsid w:val="003052D2"/>
    <w:rsid w:val="0030594C"/>
    <w:rsid w:val="00305E28"/>
    <w:rsid w:val="00306317"/>
    <w:rsid w:val="00307498"/>
    <w:rsid w:val="003078A1"/>
    <w:rsid w:val="00307EFB"/>
    <w:rsid w:val="00307F86"/>
    <w:rsid w:val="003111A4"/>
    <w:rsid w:val="00311F0A"/>
    <w:rsid w:val="0031249E"/>
    <w:rsid w:val="0031267B"/>
    <w:rsid w:val="00314536"/>
    <w:rsid w:val="00315842"/>
    <w:rsid w:val="00315DB7"/>
    <w:rsid w:val="00316E4C"/>
    <w:rsid w:val="003177A0"/>
    <w:rsid w:val="0032091A"/>
    <w:rsid w:val="003214F8"/>
    <w:rsid w:val="003233E2"/>
    <w:rsid w:val="00323C1A"/>
    <w:rsid w:val="00324712"/>
    <w:rsid w:val="0032771D"/>
    <w:rsid w:val="00330227"/>
    <w:rsid w:val="00331C61"/>
    <w:rsid w:val="00332C5B"/>
    <w:rsid w:val="00333FB7"/>
    <w:rsid w:val="0033673D"/>
    <w:rsid w:val="00337599"/>
    <w:rsid w:val="00341960"/>
    <w:rsid w:val="00341BFE"/>
    <w:rsid w:val="00342485"/>
    <w:rsid w:val="003434A5"/>
    <w:rsid w:val="0034395D"/>
    <w:rsid w:val="0034649C"/>
    <w:rsid w:val="00346A14"/>
    <w:rsid w:val="00347102"/>
    <w:rsid w:val="00347B58"/>
    <w:rsid w:val="00347CD7"/>
    <w:rsid w:val="00352E8E"/>
    <w:rsid w:val="0035342F"/>
    <w:rsid w:val="003547B6"/>
    <w:rsid w:val="00354F46"/>
    <w:rsid w:val="00357F22"/>
    <w:rsid w:val="00357FE1"/>
    <w:rsid w:val="00360E33"/>
    <w:rsid w:val="003627E2"/>
    <w:rsid w:val="00362C98"/>
    <w:rsid w:val="00363105"/>
    <w:rsid w:val="00365125"/>
    <w:rsid w:val="00365972"/>
    <w:rsid w:val="00366ECD"/>
    <w:rsid w:val="00367CCA"/>
    <w:rsid w:val="003705E1"/>
    <w:rsid w:val="003721A4"/>
    <w:rsid w:val="003722DF"/>
    <w:rsid w:val="00373C35"/>
    <w:rsid w:val="00374D83"/>
    <w:rsid w:val="00380AA4"/>
    <w:rsid w:val="00380B01"/>
    <w:rsid w:val="00382902"/>
    <w:rsid w:val="00383A07"/>
    <w:rsid w:val="00383EC7"/>
    <w:rsid w:val="00384838"/>
    <w:rsid w:val="00386B08"/>
    <w:rsid w:val="003870EF"/>
    <w:rsid w:val="0039154E"/>
    <w:rsid w:val="00391B34"/>
    <w:rsid w:val="00393EFE"/>
    <w:rsid w:val="00395766"/>
    <w:rsid w:val="00396CC2"/>
    <w:rsid w:val="003A04E5"/>
    <w:rsid w:val="003A3A04"/>
    <w:rsid w:val="003A50D7"/>
    <w:rsid w:val="003A5F5F"/>
    <w:rsid w:val="003A6C8F"/>
    <w:rsid w:val="003B0D43"/>
    <w:rsid w:val="003B26FF"/>
    <w:rsid w:val="003B2B94"/>
    <w:rsid w:val="003B3E19"/>
    <w:rsid w:val="003B55A5"/>
    <w:rsid w:val="003B784B"/>
    <w:rsid w:val="003B7D0E"/>
    <w:rsid w:val="003C0C0B"/>
    <w:rsid w:val="003C29A3"/>
    <w:rsid w:val="003C3617"/>
    <w:rsid w:val="003C4A63"/>
    <w:rsid w:val="003C59D9"/>
    <w:rsid w:val="003C6E14"/>
    <w:rsid w:val="003C6ED0"/>
    <w:rsid w:val="003D0007"/>
    <w:rsid w:val="003D00CB"/>
    <w:rsid w:val="003D09D2"/>
    <w:rsid w:val="003D0F70"/>
    <w:rsid w:val="003D1B5B"/>
    <w:rsid w:val="003D3278"/>
    <w:rsid w:val="003D43E4"/>
    <w:rsid w:val="003D4931"/>
    <w:rsid w:val="003D5455"/>
    <w:rsid w:val="003D5AEA"/>
    <w:rsid w:val="003D604F"/>
    <w:rsid w:val="003D7205"/>
    <w:rsid w:val="003D7470"/>
    <w:rsid w:val="003E1076"/>
    <w:rsid w:val="003E34A1"/>
    <w:rsid w:val="003E39BD"/>
    <w:rsid w:val="003E6EE8"/>
    <w:rsid w:val="003F04BA"/>
    <w:rsid w:val="003F081D"/>
    <w:rsid w:val="003F13C3"/>
    <w:rsid w:val="003F18D5"/>
    <w:rsid w:val="003F2584"/>
    <w:rsid w:val="003F456D"/>
    <w:rsid w:val="003F6436"/>
    <w:rsid w:val="003F7B89"/>
    <w:rsid w:val="00401073"/>
    <w:rsid w:val="0040141F"/>
    <w:rsid w:val="00402166"/>
    <w:rsid w:val="00402467"/>
    <w:rsid w:val="004029C4"/>
    <w:rsid w:val="00403BDC"/>
    <w:rsid w:val="00405DAB"/>
    <w:rsid w:val="004075E0"/>
    <w:rsid w:val="00407757"/>
    <w:rsid w:val="00407FB3"/>
    <w:rsid w:val="00411661"/>
    <w:rsid w:val="00412170"/>
    <w:rsid w:val="004129C1"/>
    <w:rsid w:val="00412FDC"/>
    <w:rsid w:val="00414A24"/>
    <w:rsid w:val="004153FA"/>
    <w:rsid w:val="004167F0"/>
    <w:rsid w:val="0042111D"/>
    <w:rsid w:val="00423EF0"/>
    <w:rsid w:val="004240D0"/>
    <w:rsid w:val="00424B4D"/>
    <w:rsid w:val="00426A4C"/>
    <w:rsid w:val="00427BF6"/>
    <w:rsid w:val="00431AF9"/>
    <w:rsid w:val="00432381"/>
    <w:rsid w:val="004347D7"/>
    <w:rsid w:val="004358A3"/>
    <w:rsid w:val="0043643F"/>
    <w:rsid w:val="0044742E"/>
    <w:rsid w:val="004475AB"/>
    <w:rsid w:val="00450BD0"/>
    <w:rsid w:val="00450F1F"/>
    <w:rsid w:val="0045246F"/>
    <w:rsid w:val="00452C3D"/>
    <w:rsid w:val="00454028"/>
    <w:rsid w:val="00454767"/>
    <w:rsid w:val="00454CAD"/>
    <w:rsid w:val="00455A3E"/>
    <w:rsid w:val="00457203"/>
    <w:rsid w:val="00461280"/>
    <w:rsid w:val="004622BC"/>
    <w:rsid w:val="00462552"/>
    <w:rsid w:val="00462A6A"/>
    <w:rsid w:val="004633C5"/>
    <w:rsid w:val="0046350B"/>
    <w:rsid w:val="00463629"/>
    <w:rsid w:val="00463D6B"/>
    <w:rsid w:val="00464255"/>
    <w:rsid w:val="00466671"/>
    <w:rsid w:val="00466A2E"/>
    <w:rsid w:val="00466D81"/>
    <w:rsid w:val="004672AC"/>
    <w:rsid w:val="004672E0"/>
    <w:rsid w:val="00467A42"/>
    <w:rsid w:val="00470008"/>
    <w:rsid w:val="004700D3"/>
    <w:rsid w:val="004707EF"/>
    <w:rsid w:val="004723E3"/>
    <w:rsid w:val="004723EB"/>
    <w:rsid w:val="004724A3"/>
    <w:rsid w:val="00472A41"/>
    <w:rsid w:val="00472A5D"/>
    <w:rsid w:val="00473AAC"/>
    <w:rsid w:val="00476673"/>
    <w:rsid w:val="004770C2"/>
    <w:rsid w:val="00480993"/>
    <w:rsid w:val="00483038"/>
    <w:rsid w:val="00483AE8"/>
    <w:rsid w:val="0048447B"/>
    <w:rsid w:val="00484E2C"/>
    <w:rsid w:val="004868BC"/>
    <w:rsid w:val="004875CB"/>
    <w:rsid w:val="00487CAC"/>
    <w:rsid w:val="004910CD"/>
    <w:rsid w:val="0049183B"/>
    <w:rsid w:val="00494571"/>
    <w:rsid w:val="0049496F"/>
    <w:rsid w:val="004950B5"/>
    <w:rsid w:val="00495189"/>
    <w:rsid w:val="0049558C"/>
    <w:rsid w:val="004957CD"/>
    <w:rsid w:val="0049665E"/>
    <w:rsid w:val="00497261"/>
    <w:rsid w:val="004A0C72"/>
    <w:rsid w:val="004A0C88"/>
    <w:rsid w:val="004A18FA"/>
    <w:rsid w:val="004A1AA3"/>
    <w:rsid w:val="004A2E10"/>
    <w:rsid w:val="004A3C56"/>
    <w:rsid w:val="004A50B8"/>
    <w:rsid w:val="004A68ED"/>
    <w:rsid w:val="004A7158"/>
    <w:rsid w:val="004A7FBE"/>
    <w:rsid w:val="004B07CA"/>
    <w:rsid w:val="004B25EE"/>
    <w:rsid w:val="004B7691"/>
    <w:rsid w:val="004B790F"/>
    <w:rsid w:val="004C0752"/>
    <w:rsid w:val="004C3EA8"/>
    <w:rsid w:val="004C5FE8"/>
    <w:rsid w:val="004C6A89"/>
    <w:rsid w:val="004D053E"/>
    <w:rsid w:val="004D168C"/>
    <w:rsid w:val="004D320E"/>
    <w:rsid w:val="004E2A60"/>
    <w:rsid w:val="004E2B07"/>
    <w:rsid w:val="004F419A"/>
    <w:rsid w:val="004F5635"/>
    <w:rsid w:val="004F64F3"/>
    <w:rsid w:val="004F6654"/>
    <w:rsid w:val="004F66FC"/>
    <w:rsid w:val="004F69A8"/>
    <w:rsid w:val="00500176"/>
    <w:rsid w:val="005015E5"/>
    <w:rsid w:val="00501E98"/>
    <w:rsid w:val="00502A96"/>
    <w:rsid w:val="00502CFA"/>
    <w:rsid w:val="00503156"/>
    <w:rsid w:val="005052DD"/>
    <w:rsid w:val="00506CE4"/>
    <w:rsid w:val="00506DE7"/>
    <w:rsid w:val="00507EF7"/>
    <w:rsid w:val="00511E42"/>
    <w:rsid w:val="00512540"/>
    <w:rsid w:val="005136F4"/>
    <w:rsid w:val="00517A8F"/>
    <w:rsid w:val="00517B16"/>
    <w:rsid w:val="00517C8C"/>
    <w:rsid w:val="005209B3"/>
    <w:rsid w:val="00522C6F"/>
    <w:rsid w:val="005265D7"/>
    <w:rsid w:val="00531258"/>
    <w:rsid w:val="00531D9B"/>
    <w:rsid w:val="0053228F"/>
    <w:rsid w:val="00533020"/>
    <w:rsid w:val="00534063"/>
    <w:rsid w:val="00534DA2"/>
    <w:rsid w:val="0053732A"/>
    <w:rsid w:val="00537F31"/>
    <w:rsid w:val="005400AB"/>
    <w:rsid w:val="005401F7"/>
    <w:rsid w:val="00544EC5"/>
    <w:rsid w:val="00544F93"/>
    <w:rsid w:val="005458C8"/>
    <w:rsid w:val="00546E9A"/>
    <w:rsid w:val="005502B4"/>
    <w:rsid w:val="00551EE4"/>
    <w:rsid w:val="00552293"/>
    <w:rsid w:val="0055273A"/>
    <w:rsid w:val="00553C6C"/>
    <w:rsid w:val="00554CD8"/>
    <w:rsid w:val="00555CC1"/>
    <w:rsid w:val="00555DE1"/>
    <w:rsid w:val="00556D09"/>
    <w:rsid w:val="00556D11"/>
    <w:rsid w:val="0056088C"/>
    <w:rsid w:val="00560B2C"/>
    <w:rsid w:val="00560E68"/>
    <w:rsid w:val="00561101"/>
    <w:rsid w:val="00561A23"/>
    <w:rsid w:val="005630D7"/>
    <w:rsid w:val="0056470C"/>
    <w:rsid w:val="005651FC"/>
    <w:rsid w:val="00566574"/>
    <w:rsid w:val="00566B40"/>
    <w:rsid w:val="00567373"/>
    <w:rsid w:val="0056776F"/>
    <w:rsid w:val="0057094B"/>
    <w:rsid w:val="00572A56"/>
    <w:rsid w:val="00575B20"/>
    <w:rsid w:val="00577959"/>
    <w:rsid w:val="0058177F"/>
    <w:rsid w:val="00582EDD"/>
    <w:rsid w:val="00583980"/>
    <w:rsid w:val="005858AD"/>
    <w:rsid w:val="00585908"/>
    <w:rsid w:val="00585B4A"/>
    <w:rsid w:val="00586B14"/>
    <w:rsid w:val="0058787D"/>
    <w:rsid w:val="005912C1"/>
    <w:rsid w:val="005917C3"/>
    <w:rsid w:val="0059278C"/>
    <w:rsid w:val="005955A7"/>
    <w:rsid w:val="00596A7A"/>
    <w:rsid w:val="00597570"/>
    <w:rsid w:val="005A3801"/>
    <w:rsid w:val="005A4DEE"/>
    <w:rsid w:val="005B132B"/>
    <w:rsid w:val="005B2658"/>
    <w:rsid w:val="005B3803"/>
    <w:rsid w:val="005B723E"/>
    <w:rsid w:val="005B77AF"/>
    <w:rsid w:val="005C3D64"/>
    <w:rsid w:val="005C40C8"/>
    <w:rsid w:val="005C433A"/>
    <w:rsid w:val="005C66E6"/>
    <w:rsid w:val="005D0917"/>
    <w:rsid w:val="005D467F"/>
    <w:rsid w:val="005D5154"/>
    <w:rsid w:val="005D58EB"/>
    <w:rsid w:val="005D64DC"/>
    <w:rsid w:val="005D6961"/>
    <w:rsid w:val="005D784A"/>
    <w:rsid w:val="005D7DD7"/>
    <w:rsid w:val="005E059F"/>
    <w:rsid w:val="005E0711"/>
    <w:rsid w:val="005E1009"/>
    <w:rsid w:val="005E23F6"/>
    <w:rsid w:val="005E3AAD"/>
    <w:rsid w:val="005E40E0"/>
    <w:rsid w:val="005E4CC2"/>
    <w:rsid w:val="005E6A4C"/>
    <w:rsid w:val="005F1C13"/>
    <w:rsid w:val="005F29F6"/>
    <w:rsid w:val="005F2DAD"/>
    <w:rsid w:val="005F324C"/>
    <w:rsid w:val="005F363A"/>
    <w:rsid w:val="005F413C"/>
    <w:rsid w:val="005F4D92"/>
    <w:rsid w:val="005F60C9"/>
    <w:rsid w:val="005F673E"/>
    <w:rsid w:val="005F6A26"/>
    <w:rsid w:val="00601F39"/>
    <w:rsid w:val="006024BE"/>
    <w:rsid w:val="00602979"/>
    <w:rsid w:val="00603B54"/>
    <w:rsid w:val="00603C32"/>
    <w:rsid w:val="00603CE4"/>
    <w:rsid w:val="00603D84"/>
    <w:rsid w:val="006052EE"/>
    <w:rsid w:val="00605F87"/>
    <w:rsid w:val="00606D8D"/>
    <w:rsid w:val="006078F4"/>
    <w:rsid w:val="006103BD"/>
    <w:rsid w:val="00611ACF"/>
    <w:rsid w:val="00611CB2"/>
    <w:rsid w:val="00611EB0"/>
    <w:rsid w:val="00614D43"/>
    <w:rsid w:val="006170C2"/>
    <w:rsid w:val="006213A5"/>
    <w:rsid w:val="00621D55"/>
    <w:rsid w:val="00622471"/>
    <w:rsid w:val="006242AE"/>
    <w:rsid w:val="00624D33"/>
    <w:rsid w:val="00625096"/>
    <w:rsid w:val="0062521B"/>
    <w:rsid w:val="006253B5"/>
    <w:rsid w:val="0063000B"/>
    <w:rsid w:val="0063022B"/>
    <w:rsid w:val="006303E2"/>
    <w:rsid w:val="00634663"/>
    <w:rsid w:val="00635D33"/>
    <w:rsid w:val="00635E07"/>
    <w:rsid w:val="00636BB8"/>
    <w:rsid w:val="006379EA"/>
    <w:rsid w:val="00640D3E"/>
    <w:rsid w:val="00645E5C"/>
    <w:rsid w:val="006462AB"/>
    <w:rsid w:val="006471AE"/>
    <w:rsid w:val="00647C14"/>
    <w:rsid w:val="00651D7B"/>
    <w:rsid w:val="00653325"/>
    <w:rsid w:val="00654743"/>
    <w:rsid w:val="00655C78"/>
    <w:rsid w:val="00656ECD"/>
    <w:rsid w:val="00657C7E"/>
    <w:rsid w:val="00660545"/>
    <w:rsid w:val="00661BAD"/>
    <w:rsid w:val="006633D9"/>
    <w:rsid w:val="006648DE"/>
    <w:rsid w:val="00665169"/>
    <w:rsid w:val="00666D4A"/>
    <w:rsid w:val="00670CE0"/>
    <w:rsid w:val="00670FC1"/>
    <w:rsid w:val="00672137"/>
    <w:rsid w:val="0067415D"/>
    <w:rsid w:val="0067698B"/>
    <w:rsid w:val="006771D3"/>
    <w:rsid w:val="00682569"/>
    <w:rsid w:val="00684232"/>
    <w:rsid w:val="00684A17"/>
    <w:rsid w:val="006877A4"/>
    <w:rsid w:val="00690546"/>
    <w:rsid w:val="00690B47"/>
    <w:rsid w:val="00695059"/>
    <w:rsid w:val="006A0601"/>
    <w:rsid w:val="006A0AFD"/>
    <w:rsid w:val="006A12AD"/>
    <w:rsid w:val="006A1DBC"/>
    <w:rsid w:val="006A3AA7"/>
    <w:rsid w:val="006A580E"/>
    <w:rsid w:val="006B1C80"/>
    <w:rsid w:val="006B32EB"/>
    <w:rsid w:val="006B4915"/>
    <w:rsid w:val="006B4AB7"/>
    <w:rsid w:val="006B77C3"/>
    <w:rsid w:val="006C0065"/>
    <w:rsid w:val="006C090B"/>
    <w:rsid w:val="006C1EFC"/>
    <w:rsid w:val="006C22DF"/>
    <w:rsid w:val="006C3EDA"/>
    <w:rsid w:val="006C453D"/>
    <w:rsid w:val="006C5499"/>
    <w:rsid w:val="006C55AE"/>
    <w:rsid w:val="006C599D"/>
    <w:rsid w:val="006D2CCA"/>
    <w:rsid w:val="006D2EDE"/>
    <w:rsid w:val="006D2F27"/>
    <w:rsid w:val="006D303A"/>
    <w:rsid w:val="006D31E3"/>
    <w:rsid w:val="006D6AC2"/>
    <w:rsid w:val="006E3BBB"/>
    <w:rsid w:val="006E3D95"/>
    <w:rsid w:val="006E455A"/>
    <w:rsid w:val="006E5210"/>
    <w:rsid w:val="006E535B"/>
    <w:rsid w:val="006E5D54"/>
    <w:rsid w:val="006E63ED"/>
    <w:rsid w:val="006F220A"/>
    <w:rsid w:val="006F2F0A"/>
    <w:rsid w:val="006F35E0"/>
    <w:rsid w:val="006F3CCB"/>
    <w:rsid w:val="006F41A4"/>
    <w:rsid w:val="006F679F"/>
    <w:rsid w:val="006F7AEF"/>
    <w:rsid w:val="006F7E1C"/>
    <w:rsid w:val="007019E4"/>
    <w:rsid w:val="00703E7D"/>
    <w:rsid w:val="0070423E"/>
    <w:rsid w:val="007056EC"/>
    <w:rsid w:val="00705833"/>
    <w:rsid w:val="00706E6F"/>
    <w:rsid w:val="00712515"/>
    <w:rsid w:val="00713360"/>
    <w:rsid w:val="0071373D"/>
    <w:rsid w:val="007142DA"/>
    <w:rsid w:val="00714A0A"/>
    <w:rsid w:val="00716FAA"/>
    <w:rsid w:val="00717ABA"/>
    <w:rsid w:val="0072000B"/>
    <w:rsid w:val="00720239"/>
    <w:rsid w:val="007221F3"/>
    <w:rsid w:val="0072254D"/>
    <w:rsid w:val="007228B8"/>
    <w:rsid w:val="00722F56"/>
    <w:rsid w:val="007239B7"/>
    <w:rsid w:val="00724CDF"/>
    <w:rsid w:val="007262FC"/>
    <w:rsid w:val="00731AEA"/>
    <w:rsid w:val="00731D32"/>
    <w:rsid w:val="0073337E"/>
    <w:rsid w:val="00733499"/>
    <w:rsid w:val="00734119"/>
    <w:rsid w:val="00735610"/>
    <w:rsid w:val="007356BD"/>
    <w:rsid w:val="00735737"/>
    <w:rsid w:val="00735F9F"/>
    <w:rsid w:val="007361E6"/>
    <w:rsid w:val="00736CBA"/>
    <w:rsid w:val="00737EDA"/>
    <w:rsid w:val="00737F90"/>
    <w:rsid w:val="00742C7C"/>
    <w:rsid w:val="00743BD9"/>
    <w:rsid w:val="00743F93"/>
    <w:rsid w:val="00745DCB"/>
    <w:rsid w:val="00745E7C"/>
    <w:rsid w:val="00746FEF"/>
    <w:rsid w:val="007476DA"/>
    <w:rsid w:val="00750187"/>
    <w:rsid w:val="00751A44"/>
    <w:rsid w:val="007531F2"/>
    <w:rsid w:val="00755187"/>
    <w:rsid w:val="00755CF0"/>
    <w:rsid w:val="007569C1"/>
    <w:rsid w:val="00760726"/>
    <w:rsid w:val="007644FD"/>
    <w:rsid w:val="007649B0"/>
    <w:rsid w:val="00764FD3"/>
    <w:rsid w:val="007652AE"/>
    <w:rsid w:val="0076583B"/>
    <w:rsid w:val="00766392"/>
    <w:rsid w:val="00767414"/>
    <w:rsid w:val="00767D43"/>
    <w:rsid w:val="00767E06"/>
    <w:rsid w:val="00770D1C"/>
    <w:rsid w:val="00770F39"/>
    <w:rsid w:val="00771F38"/>
    <w:rsid w:val="00776604"/>
    <w:rsid w:val="00777708"/>
    <w:rsid w:val="00781F05"/>
    <w:rsid w:val="00782247"/>
    <w:rsid w:val="00782396"/>
    <w:rsid w:val="007834DC"/>
    <w:rsid w:val="0078412D"/>
    <w:rsid w:val="00784C74"/>
    <w:rsid w:val="00784DF3"/>
    <w:rsid w:val="007852A6"/>
    <w:rsid w:val="00785FDC"/>
    <w:rsid w:val="00787FF9"/>
    <w:rsid w:val="007911EF"/>
    <w:rsid w:val="00791680"/>
    <w:rsid w:val="00792981"/>
    <w:rsid w:val="00792CC2"/>
    <w:rsid w:val="007951BD"/>
    <w:rsid w:val="007966C3"/>
    <w:rsid w:val="00797E48"/>
    <w:rsid w:val="007A0460"/>
    <w:rsid w:val="007A193B"/>
    <w:rsid w:val="007A3E19"/>
    <w:rsid w:val="007A4249"/>
    <w:rsid w:val="007A4458"/>
    <w:rsid w:val="007B04A0"/>
    <w:rsid w:val="007B287C"/>
    <w:rsid w:val="007B28DD"/>
    <w:rsid w:val="007B4030"/>
    <w:rsid w:val="007B4D4A"/>
    <w:rsid w:val="007B4D77"/>
    <w:rsid w:val="007B5E07"/>
    <w:rsid w:val="007B6C38"/>
    <w:rsid w:val="007B7FCE"/>
    <w:rsid w:val="007C258C"/>
    <w:rsid w:val="007C3E1F"/>
    <w:rsid w:val="007C4A46"/>
    <w:rsid w:val="007C5BA5"/>
    <w:rsid w:val="007C6A36"/>
    <w:rsid w:val="007C73FB"/>
    <w:rsid w:val="007C75FD"/>
    <w:rsid w:val="007D1C1B"/>
    <w:rsid w:val="007D34BD"/>
    <w:rsid w:val="007D3928"/>
    <w:rsid w:val="007D6021"/>
    <w:rsid w:val="007D6667"/>
    <w:rsid w:val="007D77CA"/>
    <w:rsid w:val="007E06F2"/>
    <w:rsid w:val="007E0A80"/>
    <w:rsid w:val="007E0FCD"/>
    <w:rsid w:val="007E49F2"/>
    <w:rsid w:val="007E5081"/>
    <w:rsid w:val="007E6E9F"/>
    <w:rsid w:val="007E7826"/>
    <w:rsid w:val="007F0836"/>
    <w:rsid w:val="007F0FCC"/>
    <w:rsid w:val="007F266D"/>
    <w:rsid w:val="007F2AD7"/>
    <w:rsid w:val="007F2C01"/>
    <w:rsid w:val="007F393E"/>
    <w:rsid w:val="007F3D5F"/>
    <w:rsid w:val="007F3EFE"/>
    <w:rsid w:val="007F40A1"/>
    <w:rsid w:val="007F596B"/>
    <w:rsid w:val="00801600"/>
    <w:rsid w:val="00801E48"/>
    <w:rsid w:val="00802AAC"/>
    <w:rsid w:val="0080366F"/>
    <w:rsid w:val="00803F4B"/>
    <w:rsid w:val="0080570A"/>
    <w:rsid w:val="00807829"/>
    <w:rsid w:val="00812D47"/>
    <w:rsid w:val="008139B1"/>
    <w:rsid w:val="00814C52"/>
    <w:rsid w:val="008159E8"/>
    <w:rsid w:val="00815D72"/>
    <w:rsid w:val="00816EBC"/>
    <w:rsid w:val="00820533"/>
    <w:rsid w:val="008207B5"/>
    <w:rsid w:val="00821629"/>
    <w:rsid w:val="00821A68"/>
    <w:rsid w:val="0082456B"/>
    <w:rsid w:val="00824BFE"/>
    <w:rsid w:val="008250CF"/>
    <w:rsid w:val="008256BE"/>
    <w:rsid w:val="008258C4"/>
    <w:rsid w:val="00825E64"/>
    <w:rsid w:val="00826386"/>
    <w:rsid w:val="0082653F"/>
    <w:rsid w:val="00826A32"/>
    <w:rsid w:val="00827B25"/>
    <w:rsid w:val="0083086B"/>
    <w:rsid w:val="008317F3"/>
    <w:rsid w:val="008337D2"/>
    <w:rsid w:val="0083464C"/>
    <w:rsid w:val="00836520"/>
    <w:rsid w:val="008368B9"/>
    <w:rsid w:val="0083712D"/>
    <w:rsid w:val="0084124F"/>
    <w:rsid w:val="008416EF"/>
    <w:rsid w:val="00842CA3"/>
    <w:rsid w:val="0084319A"/>
    <w:rsid w:val="0084350F"/>
    <w:rsid w:val="008438E0"/>
    <w:rsid w:val="008440CB"/>
    <w:rsid w:val="00844C1C"/>
    <w:rsid w:val="00850861"/>
    <w:rsid w:val="00851C66"/>
    <w:rsid w:val="008538EC"/>
    <w:rsid w:val="0085409F"/>
    <w:rsid w:val="00854E12"/>
    <w:rsid w:val="00855FBD"/>
    <w:rsid w:val="00857409"/>
    <w:rsid w:val="008646F7"/>
    <w:rsid w:val="008650AD"/>
    <w:rsid w:val="008653B8"/>
    <w:rsid w:val="00867A37"/>
    <w:rsid w:val="0087161B"/>
    <w:rsid w:val="00872187"/>
    <w:rsid w:val="00872B21"/>
    <w:rsid w:val="00873AEA"/>
    <w:rsid w:val="00873F65"/>
    <w:rsid w:val="00875E68"/>
    <w:rsid w:val="0087663B"/>
    <w:rsid w:val="008767DE"/>
    <w:rsid w:val="008806D7"/>
    <w:rsid w:val="0088273C"/>
    <w:rsid w:val="008832EB"/>
    <w:rsid w:val="00883D7B"/>
    <w:rsid w:val="00883F30"/>
    <w:rsid w:val="00884F54"/>
    <w:rsid w:val="008865DE"/>
    <w:rsid w:val="00886BF0"/>
    <w:rsid w:val="00891B84"/>
    <w:rsid w:val="00892288"/>
    <w:rsid w:val="00895A23"/>
    <w:rsid w:val="00896A26"/>
    <w:rsid w:val="008A02B4"/>
    <w:rsid w:val="008A0826"/>
    <w:rsid w:val="008A1889"/>
    <w:rsid w:val="008A4C43"/>
    <w:rsid w:val="008A5393"/>
    <w:rsid w:val="008A6C76"/>
    <w:rsid w:val="008A7210"/>
    <w:rsid w:val="008A7C2E"/>
    <w:rsid w:val="008B064B"/>
    <w:rsid w:val="008B0690"/>
    <w:rsid w:val="008B08D9"/>
    <w:rsid w:val="008B174B"/>
    <w:rsid w:val="008B2BE7"/>
    <w:rsid w:val="008B3A69"/>
    <w:rsid w:val="008B4EEE"/>
    <w:rsid w:val="008B5D35"/>
    <w:rsid w:val="008B6BFE"/>
    <w:rsid w:val="008B6D66"/>
    <w:rsid w:val="008B72BA"/>
    <w:rsid w:val="008B735E"/>
    <w:rsid w:val="008C13AC"/>
    <w:rsid w:val="008C1445"/>
    <w:rsid w:val="008C14EA"/>
    <w:rsid w:val="008C62DC"/>
    <w:rsid w:val="008C6619"/>
    <w:rsid w:val="008C7726"/>
    <w:rsid w:val="008C7999"/>
    <w:rsid w:val="008D3774"/>
    <w:rsid w:val="008D57E0"/>
    <w:rsid w:val="008D60A0"/>
    <w:rsid w:val="008D7C32"/>
    <w:rsid w:val="008E1714"/>
    <w:rsid w:val="008E26B1"/>
    <w:rsid w:val="008E2AFD"/>
    <w:rsid w:val="008E2CD7"/>
    <w:rsid w:val="008E7E9A"/>
    <w:rsid w:val="008F05FE"/>
    <w:rsid w:val="008F0DB9"/>
    <w:rsid w:val="008F18C3"/>
    <w:rsid w:val="008F1B3B"/>
    <w:rsid w:val="008F3759"/>
    <w:rsid w:val="008F53AD"/>
    <w:rsid w:val="008F6180"/>
    <w:rsid w:val="008F6724"/>
    <w:rsid w:val="009002EE"/>
    <w:rsid w:val="00901029"/>
    <w:rsid w:val="0090272D"/>
    <w:rsid w:val="009076A4"/>
    <w:rsid w:val="00907981"/>
    <w:rsid w:val="00907B4D"/>
    <w:rsid w:val="00910C90"/>
    <w:rsid w:val="009127B0"/>
    <w:rsid w:val="009127FE"/>
    <w:rsid w:val="00914542"/>
    <w:rsid w:val="009169ED"/>
    <w:rsid w:val="00920C18"/>
    <w:rsid w:val="00923034"/>
    <w:rsid w:val="00923BA8"/>
    <w:rsid w:val="009241B4"/>
    <w:rsid w:val="0092522E"/>
    <w:rsid w:val="00926C20"/>
    <w:rsid w:val="009303E0"/>
    <w:rsid w:val="00932AAE"/>
    <w:rsid w:val="0093365F"/>
    <w:rsid w:val="0094112D"/>
    <w:rsid w:val="00941C55"/>
    <w:rsid w:val="00941F9D"/>
    <w:rsid w:val="0094342E"/>
    <w:rsid w:val="009436F8"/>
    <w:rsid w:val="009457C2"/>
    <w:rsid w:val="00946D0C"/>
    <w:rsid w:val="00946D29"/>
    <w:rsid w:val="00947274"/>
    <w:rsid w:val="00947925"/>
    <w:rsid w:val="00950EA6"/>
    <w:rsid w:val="0095436B"/>
    <w:rsid w:val="00954B8E"/>
    <w:rsid w:val="00954EDD"/>
    <w:rsid w:val="00957C0B"/>
    <w:rsid w:val="00961DBA"/>
    <w:rsid w:val="009621CD"/>
    <w:rsid w:val="00962B2B"/>
    <w:rsid w:val="0096459E"/>
    <w:rsid w:val="00964D84"/>
    <w:rsid w:val="00965448"/>
    <w:rsid w:val="0096682B"/>
    <w:rsid w:val="00967DC6"/>
    <w:rsid w:val="00973698"/>
    <w:rsid w:val="009761D5"/>
    <w:rsid w:val="0097762E"/>
    <w:rsid w:val="00980E76"/>
    <w:rsid w:val="009852E2"/>
    <w:rsid w:val="009854C6"/>
    <w:rsid w:val="00985B58"/>
    <w:rsid w:val="0098681A"/>
    <w:rsid w:val="00986F58"/>
    <w:rsid w:val="00990C77"/>
    <w:rsid w:val="00991F69"/>
    <w:rsid w:val="00991F97"/>
    <w:rsid w:val="00992422"/>
    <w:rsid w:val="0099312B"/>
    <w:rsid w:val="00995125"/>
    <w:rsid w:val="0099582A"/>
    <w:rsid w:val="009A0011"/>
    <w:rsid w:val="009A0935"/>
    <w:rsid w:val="009A0F5D"/>
    <w:rsid w:val="009A1711"/>
    <w:rsid w:val="009A23E3"/>
    <w:rsid w:val="009A2FC2"/>
    <w:rsid w:val="009A65C9"/>
    <w:rsid w:val="009A72E8"/>
    <w:rsid w:val="009A7F2A"/>
    <w:rsid w:val="009B328A"/>
    <w:rsid w:val="009B3A8C"/>
    <w:rsid w:val="009B3CEF"/>
    <w:rsid w:val="009B413E"/>
    <w:rsid w:val="009B49A6"/>
    <w:rsid w:val="009B6418"/>
    <w:rsid w:val="009B6F13"/>
    <w:rsid w:val="009B75E8"/>
    <w:rsid w:val="009C0CA2"/>
    <w:rsid w:val="009C14D5"/>
    <w:rsid w:val="009C3773"/>
    <w:rsid w:val="009C6393"/>
    <w:rsid w:val="009C7AA3"/>
    <w:rsid w:val="009C7F71"/>
    <w:rsid w:val="009D0470"/>
    <w:rsid w:val="009D13E4"/>
    <w:rsid w:val="009D4227"/>
    <w:rsid w:val="009D58F5"/>
    <w:rsid w:val="009D59A7"/>
    <w:rsid w:val="009D6832"/>
    <w:rsid w:val="009D6FC5"/>
    <w:rsid w:val="009D71C0"/>
    <w:rsid w:val="009E1CEF"/>
    <w:rsid w:val="009E1DAF"/>
    <w:rsid w:val="009E24FE"/>
    <w:rsid w:val="009E4DFB"/>
    <w:rsid w:val="009E5515"/>
    <w:rsid w:val="009E55BC"/>
    <w:rsid w:val="009E5E00"/>
    <w:rsid w:val="009F01E2"/>
    <w:rsid w:val="009F284F"/>
    <w:rsid w:val="009F2CE7"/>
    <w:rsid w:val="009F2F3E"/>
    <w:rsid w:val="009F30CA"/>
    <w:rsid w:val="009F46F0"/>
    <w:rsid w:val="00A00266"/>
    <w:rsid w:val="00A01331"/>
    <w:rsid w:val="00A03270"/>
    <w:rsid w:val="00A03312"/>
    <w:rsid w:val="00A075F0"/>
    <w:rsid w:val="00A107B6"/>
    <w:rsid w:val="00A10DE8"/>
    <w:rsid w:val="00A13C61"/>
    <w:rsid w:val="00A14E62"/>
    <w:rsid w:val="00A16C39"/>
    <w:rsid w:val="00A176B1"/>
    <w:rsid w:val="00A17985"/>
    <w:rsid w:val="00A17CA5"/>
    <w:rsid w:val="00A17D57"/>
    <w:rsid w:val="00A209C4"/>
    <w:rsid w:val="00A20E78"/>
    <w:rsid w:val="00A21AD9"/>
    <w:rsid w:val="00A22EF5"/>
    <w:rsid w:val="00A2330C"/>
    <w:rsid w:val="00A2347B"/>
    <w:rsid w:val="00A2398C"/>
    <w:rsid w:val="00A261B9"/>
    <w:rsid w:val="00A2642E"/>
    <w:rsid w:val="00A2753A"/>
    <w:rsid w:val="00A30A29"/>
    <w:rsid w:val="00A30E94"/>
    <w:rsid w:val="00A326F3"/>
    <w:rsid w:val="00A32DCF"/>
    <w:rsid w:val="00A33337"/>
    <w:rsid w:val="00A349F7"/>
    <w:rsid w:val="00A34AF0"/>
    <w:rsid w:val="00A34D9B"/>
    <w:rsid w:val="00A366D7"/>
    <w:rsid w:val="00A37002"/>
    <w:rsid w:val="00A4027A"/>
    <w:rsid w:val="00A40312"/>
    <w:rsid w:val="00A408CA"/>
    <w:rsid w:val="00A415C4"/>
    <w:rsid w:val="00A41926"/>
    <w:rsid w:val="00A4584F"/>
    <w:rsid w:val="00A475EA"/>
    <w:rsid w:val="00A47B03"/>
    <w:rsid w:val="00A47CF1"/>
    <w:rsid w:val="00A51A25"/>
    <w:rsid w:val="00A525C3"/>
    <w:rsid w:val="00A52A85"/>
    <w:rsid w:val="00A538B1"/>
    <w:rsid w:val="00A54424"/>
    <w:rsid w:val="00A54569"/>
    <w:rsid w:val="00A55D94"/>
    <w:rsid w:val="00A56208"/>
    <w:rsid w:val="00A63FB1"/>
    <w:rsid w:val="00A640F3"/>
    <w:rsid w:val="00A6420E"/>
    <w:rsid w:val="00A64324"/>
    <w:rsid w:val="00A64874"/>
    <w:rsid w:val="00A64A9B"/>
    <w:rsid w:val="00A659A2"/>
    <w:rsid w:val="00A671BB"/>
    <w:rsid w:val="00A70E9D"/>
    <w:rsid w:val="00A71366"/>
    <w:rsid w:val="00A77F18"/>
    <w:rsid w:val="00A81F77"/>
    <w:rsid w:val="00A82004"/>
    <w:rsid w:val="00A82BBD"/>
    <w:rsid w:val="00A85182"/>
    <w:rsid w:val="00A873B5"/>
    <w:rsid w:val="00A9155D"/>
    <w:rsid w:val="00A919FE"/>
    <w:rsid w:val="00A91F4A"/>
    <w:rsid w:val="00A9203C"/>
    <w:rsid w:val="00A934D8"/>
    <w:rsid w:val="00A93517"/>
    <w:rsid w:val="00AA0299"/>
    <w:rsid w:val="00AA18B4"/>
    <w:rsid w:val="00AA22D8"/>
    <w:rsid w:val="00AA368E"/>
    <w:rsid w:val="00AA5A65"/>
    <w:rsid w:val="00AA7487"/>
    <w:rsid w:val="00AA78BB"/>
    <w:rsid w:val="00AA7A7D"/>
    <w:rsid w:val="00AB08FC"/>
    <w:rsid w:val="00AB2098"/>
    <w:rsid w:val="00AB45A0"/>
    <w:rsid w:val="00AB5F76"/>
    <w:rsid w:val="00AB68D8"/>
    <w:rsid w:val="00AB72A2"/>
    <w:rsid w:val="00AB73A4"/>
    <w:rsid w:val="00AC56CD"/>
    <w:rsid w:val="00AC583C"/>
    <w:rsid w:val="00AC5928"/>
    <w:rsid w:val="00AC5DC4"/>
    <w:rsid w:val="00AC6C52"/>
    <w:rsid w:val="00AC70C9"/>
    <w:rsid w:val="00AC7B36"/>
    <w:rsid w:val="00AD0997"/>
    <w:rsid w:val="00AD0C71"/>
    <w:rsid w:val="00AD12D2"/>
    <w:rsid w:val="00AD3A4E"/>
    <w:rsid w:val="00AD6471"/>
    <w:rsid w:val="00AE2B52"/>
    <w:rsid w:val="00AE5CF8"/>
    <w:rsid w:val="00AE629C"/>
    <w:rsid w:val="00AE77C2"/>
    <w:rsid w:val="00AF0A16"/>
    <w:rsid w:val="00AF1005"/>
    <w:rsid w:val="00AF14FE"/>
    <w:rsid w:val="00AF18D4"/>
    <w:rsid w:val="00AF213E"/>
    <w:rsid w:val="00AF2D2D"/>
    <w:rsid w:val="00AF3C60"/>
    <w:rsid w:val="00AF49DF"/>
    <w:rsid w:val="00AF4E6F"/>
    <w:rsid w:val="00AF4ECE"/>
    <w:rsid w:val="00AF5D27"/>
    <w:rsid w:val="00AF6DD8"/>
    <w:rsid w:val="00B016FF"/>
    <w:rsid w:val="00B018B0"/>
    <w:rsid w:val="00B0218F"/>
    <w:rsid w:val="00B02924"/>
    <w:rsid w:val="00B06B9C"/>
    <w:rsid w:val="00B06BB2"/>
    <w:rsid w:val="00B0720F"/>
    <w:rsid w:val="00B07BA3"/>
    <w:rsid w:val="00B10866"/>
    <w:rsid w:val="00B10F6A"/>
    <w:rsid w:val="00B12BE0"/>
    <w:rsid w:val="00B12FCF"/>
    <w:rsid w:val="00B1579D"/>
    <w:rsid w:val="00B15BE3"/>
    <w:rsid w:val="00B16661"/>
    <w:rsid w:val="00B20E97"/>
    <w:rsid w:val="00B2230B"/>
    <w:rsid w:val="00B23DCC"/>
    <w:rsid w:val="00B24822"/>
    <w:rsid w:val="00B24C7E"/>
    <w:rsid w:val="00B25CB2"/>
    <w:rsid w:val="00B26324"/>
    <w:rsid w:val="00B27E7D"/>
    <w:rsid w:val="00B3029C"/>
    <w:rsid w:val="00B31724"/>
    <w:rsid w:val="00B33116"/>
    <w:rsid w:val="00B334F4"/>
    <w:rsid w:val="00B335F2"/>
    <w:rsid w:val="00B33B6B"/>
    <w:rsid w:val="00B34270"/>
    <w:rsid w:val="00B3435A"/>
    <w:rsid w:val="00B34EB1"/>
    <w:rsid w:val="00B36A2A"/>
    <w:rsid w:val="00B36AF0"/>
    <w:rsid w:val="00B406B6"/>
    <w:rsid w:val="00B412F9"/>
    <w:rsid w:val="00B42E21"/>
    <w:rsid w:val="00B43435"/>
    <w:rsid w:val="00B435CE"/>
    <w:rsid w:val="00B44A69"/>
    <w:rsid w:val="00B4537E"/>
    <w:rsid w:val="00B47059"/>
    <w:rsid w:val="00B4754D"/>
    <w:rsid w:val="00B53132"/>
    <w:rsid w:val="00B54834"/>
    <w:rsid w:val="00B55972"/>
    <w:rsid w:val="00B5617F"/>
    <w:rsid w:val="00B56358"/>
    <w:rsid w:val="00B61E33"/>
    <w:rsid w:val="00B63E1D"/>
    <w:rsid w:val="00B672D3"/>
    <w:rsid w:val="00B72644"/>
    <w:rsid w:val="00B73338"/>
    <w:rsid w:val="00B76D9D"/>
    <w:rsid w:val="00B81009"/>
    <w:rsid w:val="00B81BA9"/>
    <w:rsid w:val="00B827EF"/>
    <w:rsid w:val="00B82B80"/>
    <w:rsid w:val="00B8339C"/>
    <w:rsid w:val="00B834F9"/>
    <w:rsid w:val="00B845E0"/>
    <w:rsid w:val="00B85360"/>
    <w:rsid w:val="00B85C6E"/>
    <w:rsid w:val="00B8775A"/>
    <w:rsid w:val="00B90F1B"/>
    <w:rsid w:val="00B95F51"/>
    <w:rsid w:val="00B96D34"/>
    <w:rsid w:val="00B97520"/>
    <w:rsid w:val="00BA2A04"/>
    <w:rsid w:val="00BA5489"/>
    <w:rsid w:val="00BA5BD8"/>
    <w:rsid w:val="00BA6486"/>
    <w:rsid w:val="00BA79B7"/>
    <w:rsid w:val="00BB0966"/>
    <w:rsid w:val="00BB0D1D"/>
    <w:rsid w:val="00BB38D9"/>
    <w:rsid w:val="00BB43DE"/>
    <w:rsid w:val="00BB57AC"/>
    <w:rsid w:val="00BC0180"/>
    <w:rsid w:val="00BC2924"/>
    <w:rsid w:val="00BC31ED"/>
    <w:rsid w:val="00BC3D48"/>
    <w:rsid w:val="00BC6770"/>
    <w:rsid w:val="00BD0063"/>
    <w:rsid w:val="00BD06C6"/>
    <w:rsid w:val="00BD224C"/>
    <w:rsid w:val="00BD42CE"/>
    <w:rsid w:val="00BD43D4"/>
    <w:rsid w:val="00BD59E6"/>
    <w:rsid w:val="00BD6C48"/>
    <w:rsid w:val="00BD741F"/>
    <w:rsid w:val="00BD7C72"/>
    <w:rsid w:val="00BE05F3"/>
    <w:rsid w:val="00BE076A"/>
    <w:rsid w:val="00BE2330"/>
    <w:rsid w:val="00BE5849"/>
    <w:rsid w:val="00BE58AF"/>
    <w:rsid w:val="00BE5FBD"/>
    <w:rsid w:val="00BE6630"/>
    <w:rsid w:val="00BE688A"/>
    <w:rsid w:val="00BF343A"/>
    <w:rsid w:val="00BF5119"/>
    <w:rsid w:val="00BF604A"/>
    <w:rsid w:val="00BF7265"/>
    <w:rsid w:val="00BF789C"/>
    <w:rsid w:val="00C001AE"/>
    <w:rsid w:val="00C01966"/>
    <w:rsid w:val="00C02C32"/>
    <w:rsid w:val="00C02FD1"/>
    <w:rsid w:val="00C030E9"/>
    <w:rsid w:val="00C044E8"/>
    <w:rsid w:val="00C04C7C"/>
    <w:rsid w:val="00C050FF"/>
    <w:rsid w:val="00C07CCD"/>
    <w:rsid w:val="00C1047D"/>
    <w:rsid w:val="00C10C32"/>
    <w:rsid w:val="00C10DA8"/>
    <w:rsid w:val="00C11329"/>
    <w:rsid w:val="00C12567"/>
    <w:rsid w:val="00C12C3D"/>
    <w:rsid w:val="00C14BF0"/>
    <w:rsid w:val="00C153A6"/>
    <w:rsid w:val="00C17A24"/>
    <w:rsid w:val="00C17C9A"/>
    <w:rsid w:val="00C21C08"/>
    <w:rsid w:val="00C22227"/>
    <w:rsid w:val="00C25516"/>
    <w:rsid w:val="00C25FEB"/>
    <w:rsid w:val="00C2609B"/>
    <w:rsid w:val="00C265E5"/>
    <w:rsid w:val="00C2725D"/>
    <w:rsid w:val="00C27ECE"/>
    <w:rsid w:val="00C3294A"/>
    <w:rsid w:val="00C32EB6"/>
    <w:rsid w:val="00C35504"/>
    <w:rsid w:val="00C361B4"/>
    <w:rsid w:val="00C37795"/>
    <w:rsid w:val="00C40358"/>
    <w:rsid w:val="00C41874"/>
    <w:rsid w:val="00C43CFC"/>
    <w:rsid w:val="00C44B8A"/>
    <w:rsid w:val="00C45001"/>
    <w:rsid w:val="00C456EA"/>
    <w:rsid w:val="00C45EA4"/>
    <w:rsid w:val="00C5009C"/>
    <w:rsid w:val="00C507BE"/>
    <w:rsid w:val="00C51104"/>
    <w:rsid w:val="00C52804"/>
    <w:rsid w:val="00C53AB3"/>
    <w:rsid w:val="00C57B67"/>
    <w:rsid w:val="00C57BF4"/>
    <w:rsid w:val="00C604B0"/>
    <w:rsid w:val="00C606A2"/>
    <w:rsid w:val="00C61086"/>
    <w:rsid w:val="00C61715"/>
    <w:rsid w:val="00C62360"/>
    <w:rsid w:val="00C63624"/>
    <w:rsid w:val="00C6754C"/>
    <w:rsid w:val="00C71797"/>
    <w:rsid w:val="00C7559A"/>
    <w:rsid w:val="00C75A22"/>
    <w:rsid w:val="00C76D67"/>
    <w:rsid w:val="00C76E49"/>
    <w:rsid w:val="00C803D2"/>
    <w:rsid w:val="00C80F95"/>
    <w:rsid w:val="00C817EE"/>
    <w:rsid w:val="00C832F4"/>
    <w:rsid w:val="00C84542"/>
    <w:rsid w:val="00C85B9C"/>
    <w:rsid w:val="00C85F24"/>
    <w:rsid w:val="00C86001"/>
    <w:rsid w:val="00C871EE"/>
    <w:rsid w:val="00C9077D"/>
    <w:rsid w:val="00C90C65"/>
    <w:rsid w:val="00C91558"/>
    <w:rsid w:val="00C9191F"/>
    <w:rsid w:val="00C92E4E"/>
    <w:rsid w:val="00C93734"/>
    <w:rsid w:val="00C9387A"/>
    <w:rsid w:val="00C93F63"/>
    <w:rsid w:val="00CA06AB"/>
    <w:rsid w:val="00CA10C8"/>
    <w:rsid w:val="00CA1492"/>
    <w:rsid w:val="00CA3518"/>
    <w:rsid w:val="00CA42C3"/>
    <w:rsid w:val="00CA4C98"/>
    <w:rsid w:val="00CA4FBE"/>
    <w:rsid w:val="00CA60C8"/>
    <w:rsid w:val="00CB24C2"/>
    <w:rsid w:val="00CB26DD"/>
    <w:rsid w:val="00CB33D0"/>
    <w:rsid w:val="00CB3BC7"/>
    <w:rsid w:val="00CB4189"/>
    <w:rsid w:val="00CB6C44"/>
    <w:rsid w:val="00CC08A9"/>
    <w:rsid w:val="00CC166F"/>
    <w:rsid w:val="00CC30BE"/>
    <w:rsid w:val="00CD0015"/>
    <w:rsid w:val="00CD2015"/>
    <w:rsid w:val="00CD3D30"/>
    <w:rsid w:val="00CD3E3C"/>
    <w:rsid w:val="00CD7843"/>
    <w:rsid w:val="00CD7A6B"/>
    <w:rsid w:val="00CE0CEC"/>
    <w:rsid w:val="00CE2182"/>
    <w:rsid w:val="00CE22D2"/>
    <w:rsid w:val="00CE3039"/>
    <w:rsid w:val="00CE492B"/>
    <w:rsid w:val="00CE56A7"/>
    <w:rsid w:val="00CE6E1B"/>
    <w:rsid w:val="00CE7257"/>
    <w:rsid w:val="00CF0261"/>
    <w:rsid w:val="00CF090A"/>
    <w:rsid w:val="00CF0F35"/>
    <w:rsid w:val="00CF0F68"/>
    <w:rsid w:val="00CF13C8"/>
    <w:rsid w:val="00CF5D2F"/>
    <w:rsid w:val="00CF5E23"/>
    <w:rsid w:val="00CF62E2"/>
    <w:rsid w:val="00CF6C74"/>
    <w:rsid w:val="00D0054F"/>
    <w:rsid w:val="00D019BB"/>
    <w:rsid w:val="00D01A8B"/>
    <w:rsid w:val="00D02FF4"/>
    <w:rsid w:val="00D0439A"/>
    <w:rsid w:val="00D04612"/>
    <w:rsid w:val="00D07F9D"/>
    <w:rsid w:val="00D12EF8"/>
    <w:rsid w:val="00D140EF"/>
    <w:rsid w:val="00D15A17"/>
    <w:rsid w:val="00D16532"/>
    <w:rsid w:val="00D17BBD"/>
    <w:rsid w:val="00D20572"/>
    <w:rsid w:val="00D20B37"/>
    <w:rsid w:val="00D24DCE"/>
    <w:rsid w:val="00D24EE3"/>
    <w:rsid w:val="00D2712F"/>
    <w:rsid w:val="00D2770F"/>
    <w:rsid w:val="00D279B5"/>
    <w:rsid w:val="00D32302"/>
    <w:rsid w:val="00D32C06"/>
    <w:rsid w:val="00D342D6"/>
    <w:rsid w:val="00D35184"/>
    <w:rsid w:val="00D35879"/>
    <w:rsid w:val="00D365EE"/>
    <w:rsid w:val="00D417CE"/>
    <w:rsid w:val="00D44204"/>
    <w:rsid w:val="00D4502E"/>
    <w:rsid w:val="00D477A8"/>
    <w:rsid w:val="00D510B0"/>
    <w:rsid w:val="00D5232C"/>
    <w:rsid w:val="00D5292D"/>
    <w:rsid w:val="00D532B4"/>
    <w:rsid w:val="00D542D9"/>
    <w:rsid w:val="00D5504C"/>
    <w:rsid w:val="00D604F3"/>
    <w:rsid w:val="00D60CDE"/>
    <w:rsid w:val="00D6178C"/>
    <w:rsid w:val="00D62171"/>
    <w:rsid w:val="00D62C44"/>
    <w:rsid w:val="00D62F48"/>
    <w:rsid w:val="00D64FD6"/>
    <w:rsid w:val="00D6747F"/>
    <w:rsid w:val="00D676CD"/>
    <w:rsid w:val="00D71A3F"/>
    <w:rsid w:val="00D71E37"/>
    <w:rsid w:val="00D723C1"/>
    <w:rsid w:val="00D72532"/>
    <w:rsid w:val="00D73CBA"/>
    <w:rsid w:val="00D75C15"/>
    <w:rsid w:val="00D770C7"/>
    <w:rsid w:val="00D77158"/>
    <w:rsid w:val="00D779D0"/>
    <w:rsid w:val="00D807F4"/>
    <w:rsid w:val="00D80EBA"/>
    <w:rsid w:val="00D8112B"/>
    <w:rsid w:val="00D81700"/>
    <w:rsid w:val="00D81758"/>
    <w:rsid w:val="00D8276B"/>
    <w:rsid w:val="00D82785"/>
    <w:rsid w:val="00D828B2"/>
    <w:rsid w:val="00D831C4"/>
    <w:rsid w:val="00D8334F"/>
    <w:rsid w:val="00D859CE"/>
    <w:rsid w:val="00D868D3"/>
    <w:rsid w:val="00D90CFE"/>
    <w:rsid w:val="00D9107B"/>
    <w:rsid w:val="00D9180C"/>
    <w:rsid w:val="00D9340D"/>
    <w:rsid w:val="00D9366A"/>
    <w:rsid w:val="00D94B2D"/>
    <w:rsid w:val="00D95F14"/>
    <w:rsid w:val="00D96041"/>
    <w:rsid w:val="00D96F09"/>
    <w:rsid w:val="00DA345F"/>
    <w:rsid w:val="00DA6369"/>
    <w:rsid w:val="00DB421B"/>
    <w:rsid w:val="00DB5B9B"/>
    <w:rsid w:val="00DB6D5D"/>
    <w:rsid w:val="00DB74F1"/>
    <w:rsid w:val="00DB786F"/>
    <w:rsid w:val="00DC1766"/>
    <w:rsid w:val="00DC24B0"/>
    <w:rsid w:val="00DC2A52"/>
    <w:rsid w:val="00DC316A"/>
    <w:rsid w:val="00DC3487"/>
    <w:rsid w:val="00DC3ECE"/>
    <w:rsid w:val="00DC42AD"/>
    <w:rsid w:val="00DC637F"/>
    <w:rsid w:val="00DC7C3B"/>
    <w:rsid w:val="00DD04C7"/>
    <w:rsid w:val="00DD069E"/>
    <w:rsid w:val="00DD14F6"/>
    <w:rsid w:val="00DD18DD"/>
    <w:rsid w:val="00DD19EA"/>
    <w:rsid w:val="00DD22EB"/>
    <w:rsid w:val="00DD40DF"/>
    <w:rsid w:val="00DD711A"/>
    <w:rsid w:val="00DD7785"/>
    <w:rsid w:val="00DE3879"/>
    <w:rsid w:val="00DE416A"/>
    <w:rsid w:val="00DE440C"/>
    <w:rsid w:val="00DE48E3"/>
    <w:rsid w:val="00DE4F57"/>
    <w:rsid w:val="00DE54FE"/>
    <w:rsid w:val="00DE5C14"/>
    <w:rsid w:val="00DF33D8"/>
    <w:rsid w:val="00DF451A"/>
    <w:rsid w:val="00DF674D"/>
    <w:rsid w:val="00E00B66"/>
    <w:rsid w:val="00E00D3F"/>
    <w:rsid w:val="00E014FB"/>
    <w:rsid w:val="00E01E56"/>
    <w:rsid w:val="00E0377B"/>
    <w:rsid w:val="00E05876"/>
    <w:rsid w:val="00E05E86"/>
    <w:rsid w:val="00E063E7"/>
    <w:rsid w:val="00E069BA"/>
    <w:rsid w:val="00E107FE"/>
    <w:rsid w:val="00E15497"/>
    <w:rsid w:val="00E217B6"/>
    <w:rsid w:val="00E222F5"/>
    <w:rsid w:val="00E23ED9"/>
    <w:rsid w:val="00E24346"/>
    <w:rsid w:val="00E26C59"/>
    <w:rsid w:val="00E30CED"/>
    <w:rsid w:val="00E312E5"/>
    <w:rsid w:val="00E3250B"/>
    <w:rsid w:val="00E32587"/>
    <w:rsid w:val="00E33F4A"/>
    <w:rsid w:val="00E35A97"/>
    <w:rsid w:val="00E372AC"/>
    <w:rsid w:val="00E37565"/>
    <w:rsid w:val="00E40249"/>
    <w:rsid w:val="00E40698"/>
    <w:rsid w:val="00E415EC"/>
    <w:rsid w:val="00E41710"/>
    <w:rsid w:val="00E417E9"/>
    <w:rsid w:val="00E421CB"/>
    <w:rsid w:val="00E4479E"/>
    <w:rsid w:val="00E4620C"/>
    <w:rsid w:val="00E475DE"/>
    <w:rsid w:val="00E479D3"/>
    <w:rsid w:val="00E47CFE"/>
    <w:rsid w:val="00E50D4A"/>
    <w:rsid w:val="00E51A07"/>
    <w:rsid w:val="00E51B3C"/>
    <w:rsid w:val="00E5401E"/>
    <w:rsid w:val="00E549BE"/>
    <w:rsid w:val="00E54BA2"/>
    <w:rsid w:val="00E55090"/>
    <w:rsid w:val="00E55101"/>
    <w:rsid w:val="00E56839"/>
    <w:rsid w:val="00E572AF"/>
    <w:rsid w:val="00E57847"/>
    <w:rsid w:val="00E60EA1"/>
    <w:rsid w:val="00E6121C"/>
    <w:rsid w:val="00E623ED"/>
    <w:rsid w:val="00E65CDF"/>
    <w:rsid w:val="00E6649E"/>
    <w:rsid w:val="00E70957"/>
    <w:rsid w:val="00E717AB"/>
    <w:rsid w:val="00E73A23"/>
    <w:rsid w:val="00E74300"/>
    <w:rsid w:val="00E74B0B"/>
    <w:rsid w:val="00E76857"/>
    <w:rsid w:val="00E81597"/>
    <w:rsid w:val="00E81F08"/>
    <w:rsid w:val="00E821A5"/>
    <w:rsid w:val="00E837FF"/>
    <w:rsid w:val="00E903B2"/>
    <w:rsid w:val="00E903D1"/>
    <w:rsid w:val="00E93648"/>
    <w:rsid w:val="00E93ACA"/>
    <w:rsid w:val="00E95337"/>
    <w:rsid w:val="00E966B4"/>
    <w:rsid w:val="00E96F8A"/>
    <w:rsid w:val="00EA0DA5"/>
    <w:rsid w:val="00EA12CE"/>
    <w:rsid w:val="00EA2481"/>
    <w:rsid w:val="00EA2DEE"/>
    <w:rsid w:val="00EA2EB7"/>
    <w:rsid w:val="00EA4946"/>
    <w:rsid w:val="00EA5286"/>
    <w:rsid w:val="00EA5FE0"/>
    <w:rsid w:val="00EA6C9A"/>
    <w:rsid w:val="00EA6DBF"/>
    <w:rsid w:val="00EA76B2"/>
    <w:rsid w:val="00EB07D8"/>
    <w:rsid w:val="00EB21A5"/>
    <w:rsid w:val="00EB5100"/>
    <w:rsid w:val="00EB59B6"/>
    <w:rsid w:val="00EB60F0"/>
    <w:rsid w:val="00EB6964"/>
    <w:rsid w:val="00EB6ABC"/>
    <w:rsid w:val="00EC0ED9"/>
    <w:rsid w:val="00EC14ED"/>
    <w:rsid w:val="00EC181D"/>
    <w:rsid w:val="00EC22D9"/>
    <w:rsid w:val="00EC287C"/>
    <w:rsid w:val="00EC78A5"/>
    <w:rsid w:val="00ED19F9"/>
    <w:rsid w:val="00ED40E9"/>
    <w:rsid w:val="00ED41B9"/>
    <w:rsid w:val="00ED4869"/>
    <w:rsid w:val="00ED5DF8"/>
    <w:rsid w:val="00ED636A"/>
    <w:rsid w:val="00EE0581"/>
    <w:rsid w:val="00EE0CEA"/>
    <w:rsid w:val="00EE116B"/>
    <w:rsid w:val="00EE1BC4"/>
    <w:rsid w:val="00EE24C4"/>
    <w:rsid w:val="00EE2963"/>
    <w:rsid w:val="00EE3F27"/>
    <w:rsid w:val="00EE41A1"/>
    <w:rsid w:val="00EE45B7"/>
    <w:rsid w:val="00EE79DD"/>
    <w:rsid w:val="00EF0F5C"/>
    <w:rsid w:val="00EF5F7E"/>
    <w:rsid w:val="00EF62BE"/>
    <w:rsid w:val="00EF65FA"/>
    <w:rsid w:val="00EF71ED"/>
    <w:rsid w:val="00EF7B49"/>
    <w:rsid w:val="00F00B4F"/>
    <w:rsid w:val="00F01A61"/>
    <w:rsid w:val="00F0292C"/>
    <w:rsid w:val="00F0449C"/>
    <w:rsid w:val="00F055F2"/>
    <w:rsid w:val="00F07BCD"/>
    <w:rsid w:val="00F10C35"/>
    <w:rsid w:val="00F1122C"/>
    <w:rsid w:val="00F11876"/>
    <w:rsid w:val="00F1734C"/>
    <w:rsid w:val="00F20014"/>
    <w:rsid w:val="00F2368B"/>
    <w:rsid w:val="00F2467B"/>
    <w:rsid w:val="00F24C4E"/>
    <w:rsid w:val="00F31387"/>
    <w:rsid w:val="00F32857"/>
    <w:rsid w:val="00F332D0"/>
    <w:rsid w:val="00F33956"/>
    <w:rsid w:val="00F340B1"/>
    <w:rsid w:val="00F41A2B"/>
    <w:rsid w:val="00F430B1"/>
    <w:rsid w:val="00F43CE4"/>
    <w:rsid w:val="00F46389"/>
    <w:rsid w:val="00F46CF7"/>
    <w:rsid w:val="00F504B9"/>
    <w:rsid w:val="00F50C94"/>
    <w:rsid w:val="00F51560"/>
    <w:rsid w:val="00F51798"/>
    <w:rsid w:val="00F530DB"/>
    <w:rsid w:val="00F534E2"/>
    <w:rsid w:val="00F53C49"/>
    <w:rsid w:val="00F5400E"/>
    <w:rsid w:val="00F56C78"/>
    <w:rsid w:val="00F60EC9"/>
    <w:rsid w:val="00F62381"/>
    <w:rsid w:val="00F62391"/>
    <w:rsid w:val="00F62E2C"/>
    <w:rsid w:val="00F65783"/>
    <w:rsid w:val="00F65BD8"/>
    <w:rsid w:val="00F65E8B"/>
    <w:rsid w:val="00F665BF"/>
    <w:rsid w:val="00F66CBB"/>
    <w:rsid w:val="00F70FE7"/>
    <w:rsid w:val="00F71561"/>
    <w:rsid w:val="00F73334"/>
    <w:rsid w:val="00F7383A"/>
    <w:rsid w:val="00F74ADA"/>
    <w:rsid w:val="00F759B1"/>
    <w:rsid w:val="00F77608"/>
    <w:rsid w:val="00F8049F"/>
    <w:rsid w:val="00F8059B"/>
    <w:rsid w:val="00F80E75"/>
    <w:rsid w:val="00F83518"/>
    <w:rsid w:val="00F83A70"/>
    <w:rsid w:val="00F83BC4"/>
    <w:rsid w:val="00F84DD3"/>
    <w:rsid w:val="00F8541B"/>
    <w:rsid w:val="00F874C8"/>
    <w:rsid w:val="00F91EA8"/>
    <w:rsid w:val="00F96208"/>
    <w:rsid w:val="00FA19C8"/>
    <w:rsid w:val="00FA2CDD"/>
    <w:rsid w:val="00FA36DD"/>
    <w:rsid w:val="00FA463A"/>
    <w:rsid w:val="00FA5165"/>
    <w:rsid w:val="00FB0885"/>
    <w:rsid w:val="00FB163B"/>
    <w:rsid w:val="00FB1A01"/>
    <w:rsid w:val="00FB1F3D"/>
    <w:rsid w:val="00FB3A9E"/>
    <w:rsid w:val="00FB4292"/>
    <w:rsid w:val="00FB57D1"/>
    <w:rsid w:val="00FB706A"/>
    <w:rsid w:val="00FC11A9"/>
    <w:rsid w:val="00FC377A"/>
    <w:rsid w:val="00FC3B5F"/>
    <w:rsid w:val="00FC3D7A"/>
    <w:rsid w:val="00FC659D"/>
    <w:rsid w:val="00FD15BC"/>
    <w:rsid w:val="00FD1EB4"/>
    <w:rsid w:val="00FD2E48"/>
    <w:rsid w:val="00FD302E"/>
    <w:rsid w:val="00FD5334"/>
    <w:rsid w:val="00FD5E40"/>
    <w:rsid w:val="00FD669E"/>
    <w:rsid w:val="00FD671C"/>
    <w:rsid w:val="00FE0983"/>
    <w:rsid w:val="00FE36A9"/>
    <w:rsid w:val="00FE3EB5"/>
    <w:rsid w:val="00FE5F40"/>
    <w:rsid w:val="00FE60EB"/>
    <w:rsid w:val="00FE6244"/>
    <w:rsid w:val="00FE6772"/>
    <w:rsid w:val="00FE7661"/>
    <w:rsid w:val="00FF0482"/>
    <w:rsid w:val="00FF12EB"/>
    <w:rsid w:val="00FF3CBA"/>
    <w:rsid w:val="00FF411B"/>
    <w:rsid w:val="00FF5CC1"/>
    <w:rsid w:val="00FF6977"/>
    <w:rsid w:val="00FF6979"/>
    <w:rsid w:val="020D32F4"/>
    <w:rsid w:val="04726D00"/>
    <w:rsid w:val="0BC93499"/>
    <w:rsid w:val="1013EDA2"/>
    <w:rsid w:val="17F75037"/>
    <w:rsid w:val="1B1F9A3A"/>
    <w:rsid w:val="1C9BEE9B"/>
    <w:rsid w:val="1D5CD26A"/>
    <w:rsid w:val="1E256B67"/>
    <w:rsid w:val="25AF106A"/>
    <w:rsid w:val="25FA8AA9"/>
    <w:rsid w:val="263DFE24"/>
    <w:rsid w:val="284AB6A6"/>
    <w:rsid w:val="2ABBE7C6"/>
    <w:rsid w:val="2B186EF2"/>
    <w:rsid w:val="2B836B28"/>
    <w:rsid w:val="2D960AEC"/>
    <w:rsid w:val="2F7E85B3"/>
    <w:rsid w:val="30732002"/>
    <w:rsid w:val="34B3F657"/>
    <w:rsid w:val="386938E0"/>
    <w:rsid w:val="390B49BC"/>
    <w:rsid w:val="3A36D8CD"/>
    <w:rsid w:val="41B6110B"/>
    <w:rsid w:val="435767A3"/>
    <w:rsid w:val="46D833AB"/>
    <w:rsid w:val="47C456AE"/>
    <w:rsid w:val="49A104C8"/>
    <w:rsid w:val="4D694531"/>
    <w:rsid w:val="50166F8A"/>
    <w:rsid w:val="550267D8"/>
    <w:rsid w:val="55E12E42"/>
    <w:rsid w:val="5704575F"/>
    <w:rsid w:val="5A6E6204"/>
    <w:rsid w:val="61337310"/>
    <w:rsid w:val="62A27B2F"/>
    <w:rsid w:val="6414D329"/>
    <w:rsid w:val="6489E36A"/>
    <w:rsid w:val="659FAA23"/>
    <w:rsid w:val="65AF2F29"/>
    <w:rsid w:val="66657091"/>
    <w:rsid w:val="67EDEB5C"/>
    <w:rsid w:val="699CFE26"/>
    <w:rsid w:val="6B2F89A4"/>
    <w:rsid w:val="6C45A835"/>
    <w:rsid w:val="6E0FBBAB"/>
    <w:rsid w:val="72B1ABC1"/>
    <w:rsid w:val="73B2D4BA"/>
    <w:rsid w:val="73CCC953"/>
    <w:rsid w:val="741774CB"/>
    <w:rsid w:val="74A81C5D"/>
    <w:rsid w:val="79C5791C"/>
    <w:rsid w:val="7B299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780CB"/>
  <w14:defaultImageDpi w14:val="300"/>
  <w15:docId w15:val="{2A3D06F5-99BB-48CA-B3F5-76167430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numPr>
        <w:numId w:val="10"/>
      </w:numPr>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78412D"/>
    <w:pPr>
      <w:keepNext/>
      <w:keepLines/>
      <w:spacing w:before="40"/>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3F04BA"/>
    <w:rPr>
      <w:sz w:val="16"/>
      <w:szCs w:val="16"/>
    </w:rPr>
  </w:style>
  <w:style w:type="paragraph" w:styleId="CommentText">
    <w:name w:val="annotation text"/>
    <w:basedOn w:val="Normal"/>
    <w:link w:val="CommentTextChar"/>
    <w:uiPriority w:val="99"/>
    <w:unhideWhenUsed/>
    <w:rsid w:val="003F04BA"/>
    <w:rPr>
      <w:sz w:val="20"/>
      <w:szCs w:val="20"/>
    </w:rPr>
  </w:style>
  <w:style w:type="character" w:customStyle="1" w:styleId="CommentTextChar">
    <w:name w:val="Comment Text Char"/>
    <w:basedOn w:val="DefaultParagraphFont"/>
    <w:link w:val="CommentText"/>
    <w:uiPriority w:val="99"/>
    <w:rsid w:val="003F04BA"/>
    <w:rPr>
      <w:sz w:val="20"/>
      <w:szCs w:val="20"/>
    </w:rPr>
  </w:style>
  <w:style w:type="paragraph" w:styleId="CommentSubject">
    <w:name w:val="annotation subject"/>
    <w:basedOn w:val="CommentText"/>
    <w:next w:val="CommentText"/>
    <w:link w:val="CommentSubjectChar"/>
    <w:uiPriority w:val="99"/>
    <w:semiHidden/>
    <w:unhideWhenUsed/>
    <w:rsid w:val="003F04BA"/>
    <w:rPr>
      <w:b/>
      <w:bCs/>
    </w:rPr>
  </w:style>
  <w:style w:type="character" w:customStyle="1" w:styleId="CommentSubjectChar">
    <w:name w:val="Comment Subject Char"/>
    <w:basedOn w:val="CommentTextChar"/>
    <w:link w:val="CommentSubject"/>
    <w:uiPriority w:val="99"/>
    <w:semiHidden/>
    <w:rsid w:val="003F04BA"/>
    <w:rPr>
      <w:b/>
      <w:bCs/>
      <w:sz w:val="20"/>
      <w:szCs w:val="20"/>
    </w:rPr>
  </w:style>
  <w:style w:type="character" w:styleId="FollowedHyperlink">
    <w:name w:val="FollowedHyperlink"/>
    <w:basedOn w:val="DefaultParagraphFont"/>
    <w:uiPriority w:val="99"/>
    <w:semiHidden/>
    <w:unhideWhenUsed/>
    <w:rsid w:val="00827B25"/>
    <w:rPr>
      <w:color w:val="800080" w:themeColor="followedHyperlink"/>
      <w:u w:val="single"/>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104E7C"/>
    <w:pPr>
      <w:spacing w:line="240" w:lineRule="exact"/>
      <w:jc w:val="both"/>
    </w:pPr>
    <w:rPr>
      <w:vertAlign w:val="superscript"/>
    </w:rPr>
  </w:style>
  <w:style w:type="paragraph" w:styleId="Revision">
    <w:name w:val="Revision"/>
    <w:hidden/>
    <w:uiPriority w:val="99"/>
    <w:semiHidden/>
    <w:rsid w:val="009B6F13"/>
  </w:style>
  <w:style w:type="character" w:customStyle="1" w:styleId="Heading2Char">
    <w:name w:val="Heading 2 Char"/>
    <w:basedOn w:val="DefaultParagraphFont"/>
    <w:link w:val="Heading2"/>
    <w:uiPriority w:val="9"/>
    <w:rsid w:val="0078412D"/>
    <w:rPr>
      <w:rFonts w:ascii="Verdana" w:eastAsiaTheme="majorEastAsia" w:hAnsi="Verdana" w:cstheme="majorBidi"/>
      <w:b/>
      <w:color w:val="000000" w:themeColor="text1"/>
      <w:szCs w:val="26"/>
    </w:rPr>
  </w:style>
  <w:style w:type="paragraph" w:styleId="TOCHeading">
    <w:name w:val="TOC Heading"/>
    <w:basedOn w:val="Heading1"/>
    <w:next w:val="Normal"/>
    <w:uiPriority w:val="39"/>
    <w:unhideWhenUsed/>
    <w:qFormat/>
    <w:rsid w:val="00FF5CC1"/>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FF5CC1"/>
    <w:pPr>
      <w:spacing w:after="100"/>
    </w:pPr>
  </w:style>
  <w:style w:type="paragraph" w:styleId="TOC2">
    <w:name w:val="toc 2"/>
    <w:basedOn w:val="Normal"/>
    <w:next w:val="Normal"/>
    <w:autoRedefine/>
    <w:uiPriority w:val="39"/>
    <w:unhideWhenUsed/>
    <w:rsid w:val="00FF5CC1"/>
    <w:pPr>
      <w:spacing w:after="100"/>
      <w:ind w:left="240"/>
    </w:pPr>
  </w:style>
  <w:style w:type="character" w:styleId="UnresolvedMention">
    <w:name w:val="Unresolved Mention"/>
    <w:basedOn w:val="DefaultParagraphFont"/>
    <w:uiPriority w:val="99"/>
    <w:semiHidden/>
    <w:unhideWhenUsed/>
    <w:rsid w:val="00015ED2"/>
    <w:rPr>
      <w:color w:val="605E5C"/>
      <w:shd w:val="clear" w:color="auto" w:fill="E1DFDD"/>
    </w:rPr>
  </w:style>
  <w:style w:type="paragraph" w:customStyle="1" w:styleId="legclearfix">
    <w:name w:val="legclearfix"/>
    <w:basedOn w:val="Normal"/>
    <w:rsid w:val="004910CD"/>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4910CD"/>
  </w:style>
  <w:style w:type="character" w:styleId="Mention">
    <w:name w:val="Mention"/>
    <w:basedOn w:val="DefaultParagraphFont"/>
    <w:uiPriority w:val="99"/>
    <w:unhideWhenUsed/>
    <w:rsid w:val="00E76857"/>
    <w:rPr>
      <w:color w:val="2B579A"/>
      <w:shd w:val="clear" w:color="auto" w:fill="E1DFDD"/>
    </w:rPr>
  </w:style>
  <w:style w:type="character" w:customStyle="1" w:styleId="normaltextrun">
    <w:name w:val="normaltextrun"/>
    <w:basedOn w:val="DefaultParagraphFont"/>
    <w:rsid w:val="003D3278"/>
  </w:style>
  <w:style w:type="character" w:customStyle="1" w:styleId="eop">
    <w:name w:val="eop"/>
    <w:basedOn w:val="DefaultParagraphFont"/>
    <w:rsid w:val="003D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0201">
      <w:bodyDiv w:val="1"/>
      <w:marLeft w:val="0"/>
      <w:marRight w:val="0"/>
      <w:marTop w:val="0"/>
      <w:marBottom w:val="0"/>
      <w:divBdr>
        <w:top w:val="none" w:sz="0" w:space="0" w:color="auto"/>
        <w:left w:val="none" w:sz="0" w:space="0" w:color="auto"/>
        <w:bottom w:val="none" w:sz="0" w:space="0" w:color="auto"/>
        <w:right w:val="none" w:sz="0" w:space="0" w:color="auto"/>
      </w:divBdr>
    </w:div>
    <w:div w:id="699160808">
      <w:bodyDiv w:val="1"/>
      <w:marLeft w:val="0"/>
      <w:marRight w:val="0"/>
      <w:marTop w:val="0"/>
      <w:marBottom w:val="0"/>
      <w:divBdr>
        <w:top w:val="none" w:sz="0" w:space="0" w:color="auto"/>
        <w:left w:val="none" w:sz="0" w:space="0" w:color="auto"/>
        <w:bottom w:val="none" w:sz="0" w:space="0" w:color="auto"/>
        <w:right w:val="none" w:sz="0" w:space="0" w:color="auto"/>
      </w:divBdr>
    </w:div>
    <w:div w:id="979650597">
      <w:bodyDiv w:val="1"/>
      <w:marLeft w:val="0"/>
      <w:marRight w:val="0"/>
      <w:marTop w:val="0"/>
      <w:marBottom w:val="0"/>
      <w:divBdr>
        <w:top w:val="none" w:sz="0" w:space="0" w:color="auto"/>
        <w:left w:val="none" w:sz="0" w:space="0" w:color="auto"/>
        <w:bottom w:val="none" w:sz="0" w:space="0" w:color="auto"/>
        <w:right w:val="none" w:sz="0" w:space="0" w:color="auto"/>
      </w:divBdr>
    </w:div>
    <w:div w:id="979771605">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14029895">
      <w:bodyDiv w:val="1"/>
      <w:marLeft w:val="0"/>
      <w:marRight w:val="0"/>
      <w:marTop w:val="0"/>
      <w:marBottom w:val="0"/>
      <w:divBdr>
        <w:top w:val="none" w:sz="0" w:space="0" w:color="auto"/>
        <w:left w:val="none" w:sz="0" w:space="0" w:color="auto"/>
        <w:bottom w:val="none" w:sz="0" w:space="0" w:color="auto"/>
        <w:right w:val="none" w:sz="0" w:space="0" w:color="auto"/>
      </w:divBdr>
    </w:div>
    <w:div w:id="1750884837">
      <w:bodyDiv w:val="1"/>
      <w:marLeft w:val="0"/>
      <w:marRight w:val="0"/>
      <w:marTop w:val="0"/>
      <w:marBottom w:val="0"/>
      <w:divBdr>
        <w:top w:val="none" w:sz="0" w:space="0" w:color="auto"/>
        <w:left w:val="none" w:sz="0" w:space="0" w:color="auto"/>
        <w:bottom w:val="none" w:sz="0" w:space="0" w:color="auto"/>
        <w:right w:val="none" w:sz="0" w:space="0" w:color="auto"/>
      </w:divBdr>
    </w:div>
    <w:div w:id="179956535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Buchanan@NIHR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info@nihr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ihrc.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Mills@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rdslibrary.parliament.uk/the-barnett-formula-how-it-operates-and-proposals-for-change/" TargetMode="External"/><Relationship Id="rId2" Type="http://schemas.openxmlformats.org/officeDocument/2006/relationships/hyperlink" Target="https://internationalbudget.org/open-budget-survey" TargetMode="External"/><Relationship Id="rId1" Type="http://schemas.openxmlformats.org/officeDocument/2006/relationships/hyperlink" Target="https://fiscaltransparency.net/principles-and-guidance/" TargetMode="External"/><Relationship Id="rId5" Type="http://schemas.openxmlformats.org/officeDocument/2006/relationships/hyperlink" Target="https://www.nifiscalcouncil.org/terms-reference" TargetMode="External"/><Relationship Id="rId4" Type="http://schemas.openxmlformats.org/officeDocument/2006/relationships/hyperlink" Target="https://www.niauditoffice.gov.uk/role-comptroller-auditor-gene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D74DE-CEBD-41D6-BF27-CD5C0703F70A}">
  <ds:schemaRefs>
    <ds:schemaRef ds:uri="http://schemas.microsoft.com/sharepoint/v3/contenttype/forms"/>
  </ds:schemaRefs>
</ds:datastoreItem>
</file>

<file path=customXml/itemProps2.xml><?xml version="1.0" encoding="utf-8"?>
<ds:datastoreItem xmlns:ds="http://schemas.openxmlformats.org/officeDocument/2006/customXml" ds:itemID="{06DAAFA3-B274-4A42-80D1-0391FC07285A}">
  <ds:schemaRefs>
    <ds:schemaRef ds:uri="806d6863-a85d-4a14-ba5d-ada9e5b222dd"/>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12479bdc-b58c-44ab-9f0f-fa5baefb3da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9468127E-72CD-4461-8943-3BB0F3CF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1616</TotalTime>
  <Pages>20</Pages>
  <Words>4261</Words>
  <Characters>25186</Characters>
  <Application>Microsoft Office Word</Application>
  <DocSecurity>0</DocSecurity>
  <Lines>612</Lines>
  <Paragraphs>125</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Lucy Keown</cp:lastModifiedBy>
  <cp:revision>39</cp:revision>
  <cp:lastPrinted>2024-10-30T11:55:00Z</cp:lastPrinted>
  <dcterms:created xsi:type="dcterms:W3CDTF">2025-04-04T14:41:00Z</dcterms:created>
  <dcterms:modified xsi:type="dcterms:W3CDTF">2026-04-28T16:17:00Z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