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rPr>
          <w:rFonts w:ascii="Times New Roman"/>
          <w:sz w:val="60"/>
        </w:rPr>
      </w:pPr>
      <w:r>
        <w:rPr/>
        <mc:AlternateContent>
          <mc:Choice Requires="wps">
            <w:drawing>
              <wp:anchor distT="0" distB="0" distL="0" distR="0" allowOverlap="1" layoutInCell="1" locked="0" behindDoc="1" simplePos="0" relativeHeight="485728256">
                <wp:simplePos x="0" y="0"/>
                <wp:positionH relativeFrom="page">
                  <wp:posOffset>0</wp:posOffset>
                </wp:positionH>
                <wp:positionV relativeFrom="page">
                  <wp:posOffset>12</wp:posOffset>
                </wp:positionV>
                <wp:extent cx="7560309" cy="655256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560309" cy="6552565"/>
                        </a:xfrm>
                        <a:custGeom>
                          <a:avLst/>
                          <a:gdLst/>
                          <a:ahLst/>
                          <a:cxnLst/>
                          <a:rect l="l" t="t" r="r" b="b"/>
                          <a:pathLst>
                            <a:path w="7560309" h="6552565">
                              <a:moveTo>
                                <a:pt x="7559992" y="0"/>
                              </a:moveTo>
                              <a:lnTo>
                                <a:pt x="0" y="0"/>
                              </a:lnTo>
                              <a:lnTo>
                                <a:pt x="0" y="6551993"/>
                              </a:lnTo>
                              <a:lnTo>
                                <a:pt x="7559992" y="6551993"/>
                              </a:lnTo>
                              <a:lnTo>
                                <a:pt x="7559992" y="0"/>
                              </a:lnTo>
                              <a:close/>
                            </a:path>
                          </a:pathLst>
                        </a:custGeom>
                        <a:solidFill>
                          <a:srgbClr val="E3E3E3"/>
                        </a:solidFill>
                      </wps:spPr>
                      <wps:bodyPr wrap="square" lIns="0" tIns="0" rIns="0" bIns="0" rtlCol="0">
                        <a:prstTxWarp prst="textNoShape">
                          <a:avLst/>
                        </a:prstTxWarp>
                        <a:noAutofit/>
                      </wps:bodyPr>
                    </wps:wsp>
                  </a:graphicData>
                </a:graphic>
              </wp:anchor>
            </w:drawing>
          </mc:Choice>
          <mc:Fallback>
            <w:pict>
              <v:rect style="position:absolute;margin-left:0pt;margin-top:.001015pt;width:595.275pt;height:515.905pt;mso-position-horizontal-relative:page;mso-position-vertical-relative:page;z-index:-17588224" id="docshape1" filled="true" fillcolor="#e3e3e3" stroked="false">
                <v:fill type="solid"/>
                <w10:wrap type="none"/>
              </v:rect>
            </w:pict>
          </mc:Fallback>
        </mc:AlternateContent>
      </w:r>
      <w:r>
        <w:rPr/>
        <mc:AlternateContent>
          <mc:Choice Requires="wps">
            <w:drawing>
              <wp:anchor distT="0" distB="0" distL="0" distR="0" allowOverlap="1" layoutInCell="1" locked="0" behindDoc="1" simplePos="0" relativeHeight="485728768">
                <wp:simplePos x="0" y="0"/>
                <wp:positionH relativeFrom="page">
                  <wp:posOffset>0</wp:posOffset>
                </wp:positionH>
                <wp:positionV relativeFrom="page">
                  <wp:posOffset>0</wp:posOffset>
                </wp:positionV>
                <wp:extent cx="75603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560309" cy="10692130"/>
                          <a:chExt cx="7560309" cy="10692130"/>
                        </a:xfrm>
                      </wpg:grpSpPr>
                      <pic:pic>
                        <pic:nvPicPr>
                          <pic:cNvPr id="3" name="Image 3"/>
                          <pic:cNvPicPr/>
                        </pic:nvPicPr>
                        <pic:blipFill>
                          <a:blip r:embed="rId5" cstate="print"/>
                          <a:stretch>
                            <a:fillRect/>
                          </a:stretch>
                        </pic:blipFill>
                        <pic:spPr>
                          <a:xfrm>
                            <a:off x="0" y="0"/>
                            <a:ext cx="7560005" cy="6231877"/>
                          </a:xfrm>
                          <a:prstGeom prst="rect">
                            <a:avLst/>
                          </a:prstGeom>
                        </pic:spPr>
                      </pic:pic>
                      <wps:wsp>
                        <wps:cNvPr id="4" name="Graphic 4"/>
                        <wps:cNvSpPr/>
                        <wps:spPr>
                          <a:xfrm>
                            <a:off x="0" y="5394007"/>
                            <a:ext cx="7560309" cy="5298440"/>
                          </a:xfrm>
                          <a:custGeom>
                            <a:avLst/>
                            <a:gdLst/>
                            <a:ahLst/>
                            <a:cxnLst/>
                            <a:rect l="l" t="t" r="r" b="b"/>
                            <a:pathLst>
                              <a:path w="7560309" h="5298440">
                                <a:moveTo>
                                  <a:pt x="970823" y="0"/>
                                </a:moveTo>
                                <a:lnTo>
                                  <a:pt x="924518" y="398"/>
                                </a:lnTo>
                                <a:lnTo>
                                  <a:pt x="877363" y="1575"/>
                                </a:lnTo>
                                <a:lnTo>
                                  <a:pt x="829445" y="3499"/>
                                </a:lnTo>
                                <a:lnTo>
                                  <a:pt x="780847" y="6140"/>
                                </a:lnTo>
                                <a:lnTo>
                                  <a:pt x="731656" y="9469"/>
                                </a:lnTo>
                                <a:lnTo>
                                  <a:pt x="681958" y="13456"/>
                                </a:lnTo>
                                <a:lnTo>
                                  <a:pt x="631837" y="18070"/>
                                </a:lnTo>
                                <a:lnTo>
                                  <a:pt x="581380" y="23281"/>
                                </a:lnTo>
                                <a:lnTo>
                                  <a:pt x="530671" y="29060"/>
                                </a:lnTo>
                                <a:lnTo>
                                  <a:pt x="479797" y="35375"/>
                                </a:lnTo>
                                <a:lnTo>
                                  <a:pt x="377893" y="49499"/>
                                </a:lnTo>
                                <a:lnTo>
                                  <a:pt x="276353" y="65411"/>
                                </a:lnTo>
                                <a:lnTo>
                                  <a:pt x="175859" y="82871"/>
                                </a:lnTo>
                                <a:lnTo>
                                  <a:pt x="77097" y="101639"/>
                                </a:lnTo>
                                <a:lnTo>
                                  <a:pt x="0" y="117435"/>
                                </a:lnTo>
                                <a:lnTo>
                                  <a:pt x="0" y="5297995"/>
                                </a:lnTo>
                                <a:lnTo>
                                  <a:pt x="7560005" y="5297995"/>
                                </a:lnTo>
                                <a:lnTo>
                                  <a:pt x="7560005" y="821575"/>
                                </a:lnTo>
                                <a:lnTo>
                                  <a:pt x="3775453" y="821575"/>
                                </a:lnTo>
                                <a:lnTo>
                                  <a:pt x="3744807" y="818237"/>
                                </a:lnTo>
                                <a:lnTo>
                                  <a:pt x="3719833" y="810895"/>
                                </a:lnTo>
                                <a:lnTo>
                                  <a:pt x="3703022" y="803552"/>
                                </a:lnTo>
                                <a:lnTo>
                                  <a:pt x="3696865" y="800214"/>
                                </a:lnTo>
                                <a:lnTo>
                                  <a:pt x="3653953" y="772926"/>
                                </a:lnTo>
                                <a:lnTo>
                                  <a:pt x="3610756" y="746092"/>
                                </a:lnTo>
                                <a:lnTo>
                                  <a:pt x="3567281" y="719713"/>
                                </a:lnTo>
                                <a:lnTo>
                                  <a:pt x="3523533" y="693790"/>
                                </a:lnTo>
                                <a:lnTo>
                                  <a:pt x="3479518" y="668325"/>
                                </a:lnTo>
                                <a:lnTo>
                                  <a:pt x="3435243" y="643318"/>
                                </a:lnTo>
                                <a:lnTo>
                                  <a:pt x="3390714" y="618770"/>
                                </a:lnTo>
                                <a:lnTo>
                                  <a:pt x="3345935" y="594682"/>
                                </a:lnTo>
                                <a:lnTo>
                                  <a:pt x="3300914" y="571056"/>
                                </a:lnTo>
                                <a:lnTo>
                                  <a:pt x="3255656" y="547893"/>
                                </a:lnTo>
                                <a:lnTo>
                                  <a:pt x="3210167" y="525193"/>
                                </a:lnTo>
                                <a:lnTo>
                                  <a:pt x="3164452" y="502957"/>
                                </a:lnTo>
                                <a:lnTo>
                                  <a:pt x="3118519" y="481187"/>
                                </a:lnTo>
                                <a:lnTo>
                                  <a:pt x="3072373" y="459884"/>
                                </a:lnTo>
                                <a:lnTo>
                                  <a:pt x="3026020" y="439048"/>
                                </a:lnTo>
                                <a:lnTo>
                                  <a:pt x="2979465" y="418681"/>
                                </a:lnTo>
                                <a:lnTo>
                                  <a:pt x="2932715" y="398784"/>
                                </a:lnTo>
                                <a:lnTo>
                                  <a:pt x="2885776" y="379358"/>
                                </a:lnTo>
                                <a:lnTo>
                                  <a:pt x="2838653" y="360403"/>
                                </a:lnTo>
                                <a:lnTo>
                                  <a:pt x="2791353" y="341921"/>
                                </a:lnTo>
                                <a:lnTo>
                                  <a:pt x="2743882" y="323913"/>
                                </a:lnTo>
                                <a:lnTo>
                                  <a:pt x="2696245" y="306380"/>
                                </a:lnTo>
                                <a:lnTo>
                                  <a:pt x="2648448" y="289323"/>
                                </a:lnTo>
                                <a:lnTo>
                                  <a:pt x="2600498" y="272743"/>
                                </a:lnTo>
                                <a:lnTo>
                                  <a:pt x="2552400" y="256641"/>
                                </a:lnTo>
                                <a:lnTo>
                                  <a:pt x="2504160" y="241018"/>
                                </a:lnTo>
                                <a:lnTo>
                                  <a:pt x="2455784" y="225875"/>
                                </a:lnTo>
                                <a:lnTo>
                                  <a:pt x="2407279" y="211213"/>
                                </a:lnTo>
                                <a:lnTo>
                                  <a:pt x="2358649" y="197034"/>
                                </a:lnTo>
                                <a:lnTo>
                                  <a:pt x="2309901" y="183337"/>
                                </a:lnTo>
                                <a:lnTo>
                                  <a:pt x="2261042" y="170125"/>
                                </a:lnTo>
                                <a:lnTo>
                                  <a:pt x="2212076" y="157399"/>
                                </a:lnTo>
                                <a:lnTo>
                                  <a:pt x="2163010" y="145158"/>
                                </a:lnTo>
                                <a:lnTo>
                                  <a:pt x="2113850" y="133405"/>
                                </a:lnTo>
                                <a:lnTo>
                                  <a:pt x="2064601" y="122141"/>
                                </a:lnTo>
                                <a:lnTo>
                                  <a:pt x="2015603" y="111439"/>
                                </a:lnTo>
                                <a:lnTo>
                                  <a:pt x="1965863" y="101081"/>
                                </a:lnTo>
                                <a:lnTo>
                                  <a:pt x="1916386" y="91289"/>
                                </a:lnTo>
                                <a:lnTo>
                                  <a:pt x="1866843" y="81988"/>
                                </a:lnTo>
                                <a:lnTo>
                                  <a:pt x="1817242" y="73181"/>
                                </a:lnTo>
                                <a:lnTo>
                                  <a:pt x="1767589" y="64869"/>
                                </a:lnTo>
                                <a:lnTo>
                                  <a:pt x="1717889" y="57053"/>
                                </a:lnTo>
                                <a:lnTo>
                                  <a:pt x="1668148" y="49733"/>
                                </a:lnTo>
                                <a:lnTo>
                                  <a:pt x="1618372" y="42912"/>
                                </a:lnTo>
                                <a:lnTo>
                                  <a:pt x="1568567" y="36589"/>
                                </a:lnTo>
                                <a:lnTo>
                                  <a:pt x="1518740" y="30765"/>
                                </a:lnTo>
                                <a:lnTo>
                                  <a:pt x="1468895" y="25443"/>
                                </a:lnTo>
                                <a:lnTo>
                                  <a:pt x="1419040" y="20623"/>
                                </a:lnTo>
                                <a:lnTo>
                                  <a:pt x="1369179" y="16306"/>
                                </a:lnTo>
                                <a:lnTo>
                                  <a:pt x="1319319" y="12492"/>
                                </a:lnTo>
                                <a:lnTo>
                                  <a:pt x="1269466" y="9184"/>
                                </a:lnTo>
                                <a:lnTo>
                                  <a:pt x="1219626" y="6382"/>
                                </a:lnTo>
                                <a:lnTo>
                                  <a:pt x="1169804" y="4087"/>
                                </a:lnTo>
                                <a:lnTo>
                                  <a:pt x="1120007" y="2300"/>
                                </a:lnTo>
                                <a:lnTo>
                                  <a:pt x="1070241" y="1023"/>
                                </a:lnTo>
                                <a:lnTo>
                                  <a:pt x="1020511" y="255"/>
                                </a:lnTo>
                                <a:lnTo>
                                  <a:pt x="970823" y="0"/>
                                </a:lnTo>
                                <a:close/>
                              </a:path>
                              <a:path w="7560309" h="5298440">
                                <a:moveTo>
                                  <a:pt x="6580172" y="0"/>
                                </a:moveTo>
                                <a:lnTo>
                                  <a:pt x="6530482" y="255"/>
                                </a:lnTo>
                                <a:lnTo>
                                  <a:pt x="6480749" y="1023"/>
                                </a:lnTo>
                                <a:lnTo>
                                  <a:pt x="6430980" y="2300"/>
                                </a:lnTo>
                                <a:lnTo>
                                  <a:pt x="6381181" y="4087"/>
                                </a:lnTo>
                                <a:lnTo>
                                  <a:pt x="6331357" y="6382"/>
                                </a:lnTo>
                                <a:lnTo>
                                  <a:pt x="6281515" y="9184"/>
                                </a:lnTo>
                                <a:lnTo>
                                  <a:pt x="6231660" y="12492"/>
                                </a:lnTo>
                                <a:lnTo>
                                  <a:pt x="6181799" y="16306"/>
                                </a:lnTo>
                                <a:lnTo>
                                  <a:pt x="6131936" y="20623"/>
                                </a:lnTo>
                                <a:lnTo>
                                  <a:pt x="6082079" y="25443"/>
                                </a:lnTo>
                                <a:lnTo>
                                  <a:pt x="6032233" y="30765"/>
                                </a:lnTo>
                                <a:lnTo>
                                  <a:pt x="5982404" y="36589"/>
                                </a:lnTo>
                                <a:lnTo>
                                  <a:pt x="5932598" y="42912"/>
                                </a:lnTo>
                                <a:lnTo>
                                  <a:pt x="5882821" y="49733"/>
                                </a:lnTo>
                                <a:lnTo>
                                  <a:pt x="5833079" y="57053"/>
                                </a:lnTo>
                                <a:lnTo>
                                  <a:pt x="5783378" y="64869"/>
                                </a:lnTo>
                                <a:lnTo>
                                  <a:pt x="5733724" y="73181"/>
                                </a:lnTo>
                                <a:lnTo>
                                  <a:pt x="5684122" y="81988"/>
                                </a:lnTo>
                                <a:lnTo>
                                  <a:pt x="5634579" y="91289"/>
                                </a:lnTo>
                                <a:lnTo>
                                  <a:pt x="5585101" y="101081"/>
                                </a:lnTo>
                                <a:lnTo>
                                  <a:pt x="5535361" y="111439"/>
                                </a:lnTo>
                                <a:lnTo>
                                  <a:pt x="5486361" y="122141"/>
                                </a:lnTo>
                                <a:lnTo>
                                  <a:pt x="5437112" y="133405"/>
                                </a:lnTo>
                                <a:lnTo>
                                  <a:pt x="5387952" y="145158"/>
                                </a:lnTo>
                                <a:lnTo>
                                  <a:pt x="5338885" y="157399"/>
                                </a:lnTo>
                                <a:lnTo>
                                  <a:pt x="5289919" y="170125"/>
                                </a:lnTo>
                                <a:lnTo>
                                  <a:pt x="5241059" y="183337"/>
                                </a:lnTo>
                                <a:lnTo>
                                  <a:pt x="5192311" y="197034"/>
                                </a:lnTo>
                                <a:lnTo>
                                  <a:pt x="5143681" y="211213"/>
                                </a:lnTo>
                                <a:lnTo>
                                  <a:pt x="5095175" y="225875"/>
                                </a:lnTo>
                                <a:lnTo>
                                  <a:pt x="5046799" y="241018"/>
                                </a:lnTo>
                                <a:lnTo>
                                  <a:pt x="4998559" y="256641"/>
                                </a:lnTo>
                                <a:lnTo>
                                  <a:pt x="4950461" y="272743"/>
                                </a:lnTo>
                                <a:lnTo>
                                  <a:pt x="4902510" y="289323"/>
                                </a:lnTo>
                                <a:lnTo>
                                  <a:pt x="4854713" y="306380"/>
                                </a:lnTo>
                                <a:lnTo>
                                  <a:pt x="4807076" y="323913"/>
                                </a:lnTo>
                                <a:lnTo>
                                  <a:pt x="4759604" y="341921"/>
                                </a:lnTo>
                                <a:lnTo>
                                  <a:pt x="4712304" y="360403"/>
                                </a:lnTo>
                                <a:lnTo>
                                  <a:pt x="4665181" y="379358"/>
                                </a:lnTo>
                                <a:lnTo>
                                  <a:pt x="4618241" y="398784"/>
                                </a:lnTo>
                                <a:lnTo>
                                  <a:pt x="4571491" y="418681"/>
                                </a:lnTo>
                                <a:lnTo>
                                  <a:pt x="4524936" y="439048"/>
                                </a:lnTo>
                                <a:lnTo>
                                  <a:pt x="4478582" y="459884"/>
                                </a:lnTo>
                                <a:lnTo>
                                  <a:pt x="4432436" y="481187"/>
                                </a:lnTo>
                                <a:lnTo>
                                  <a:pt x="4386502" y="502957"/>
                                </a:lnTo>
                                <a:lnTo>
                                  <a:pt x="4340787" y="525193"/>
                                </a:lnTo>
                                <a:lnTo>
                                  <a:pt x="4295298" y="547893"/>
                                </a:lnTo>
                                <a:lnTo>
                                  <a:pt x="4250039" y="571056"/>
                                </a:lnTo>
                                <a:lnTo>
                                  <a:pt x="4205017" y="594682"/>
                                </a:lnTo>
                                <a:lnTo>
                                  <a:pt x="4160238" y="618770"/>
                                </a:lnTo>
                                <a:lnTo>
                                  <a:pt x="4115707" y="643318"/>
                                </a:lnTo>
                                <a:lnTo>
                                  <a:pt x="4071431" y="668325"/>
                                </a:lnTo>
                                <a:lnTo>
                                  <a:pt x="4027416" y="693790"/>
                                </a:lnTo>
                                <a:lnTo>
                                  <a:pt x="3983667" y="719713"/>
                                </a:lnTo>
                                <a:lnTo>
                                  <a:pt x="3940190" y="746092"/>
                                </a:lnTo>
                                <a:lnTo>
                                  <a:pt x="3896992" y="772926"/>
                                </a:lnTo>
                                <a:lnTo>
                                  <a:pt x="3854079" y="800214"/>
                                </a:lnTo>
                                <a:lnTo>
                                  <a:pt x="3833176" y="812563"/>
                                </a:lnTo>
                                <a:lnTo>
                                  <a:pt x="3818019" y="818905"/>
                                </a:lnTo>
                                <a:lnTo>
                                  <a:pt x="3801235" y="821241"/>
                                </a:lnTo>
                                <a:lnTo>
                                  <a:pt x="3775453" y="821575"/>
                                </a:lnTo>
                                <a:lnTo>
                                  <a:pt x="7560005" y="821575"/>
                                </a:lnTo>
                                <a:lnTo>
                                  <a:pt x="7560005" y="80602"/>
                                </a:lnTo>
                                <a:lnTo>
                                  <a:pt x="7538002" y="76665"/>
                                </a:lnTo>
                                <a:lnTo>
                                  <a:pt x="7490529" y="68814"/>
                                </a:lnTo>
                                <a:lnTo>
                                  <a:pt x="7441961" y="61387"/>
                                </a:lnTo>
                                <a:lnTo>
                                  <a:pt x="7392434" y="54383"/>
                                </a:lnTo>
                                <a:lnTo>
                                  <a:pt x="7342083" y="47802"/>
                                </a:lnTo>
                                <a:lnTo>
                                  <a:pt x="7239453" y="35912"/>
                                </a:lnTo>
                                <a:lnTo>
                                  <a:pt x="7135155" y="25717"/>
                                </a:lnTo>
                                <a:lnTo>
                                  <a:pt x="7030275" y="17219"/>
                                </a:lnTo>
                                <a:lnTo>
                                  <a:pt x="6925895" y="10418"/>
                                </a:lnTo>
                                <a:lnTo>
                                  <a:pt x="6823102" y="5316"/>
                                </a:lnTo>
                                <a:lnTo>
                                  <a:pt x="6775175" y="3499"/>
                                </a:lnTo>
                                <a:lnTo>
                                  <a:pt x="6775848" y="3499"/>
                                </a:lnTo>
                                <a:lnTo>
                                  <a:pt x="6674257" y="850"/>
                                </a:lnTo>
                                <a:lnTo>
                                  <a:pt x="6629838" y="255"/>
                                </a:lnTo>
                                <a:lnTo>
                                  <a:pt x="6636047" y="255"/>
                                </a:lnTo>
                                <a:lnTo>
                                  <a:pt x="6580172"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0" y="0"/>
                            <a:ext cx="7560309" cy="3654425"/>
                          </a:xfrm>
                          <a:custGeom>
                            <a:avLst/>
                            <a:gdLst/>
                            <a:ahLst/>
                            <a:cxnLst/>
                            <a:rect l="l" t="t" r="r" b="b"/>
                            <a:pathLst>
                              <a:path w="7560309" h="3654425">
                                <a:moveTo>
                                  <a:pt x="0" y="3654006"/>
                                </a:moveTo>
                                <a:lnTo>
                                  <a:pt x="7560005" y="3654006"/>
                                </a:lnTo>
                                <a:lnTo>
                                  <a:pt x="7560005" y="0"/>
                                </a:lnTo>
                                <a:lnTo>
                                  <a:pt x="0" y="0"/>
                                </a:lnTo>
                                <a:lnTo>
                                  <a:pt x="0" y="3654006"/>
                                </a:lnTo>
                                <a:close/>
                              </a:path>
                            </a:pathLst>
                          </a:custGeom>
                          <a:solidFill>
                            <a:srgbClr val="77328A"/>
                          </a:solidFill>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3222345" y="2088973"/>
                            <a:ext cx="164515" cy="171919"/>
                          </a:xfrm>
                          <a:prstGeom prst="rect">
                            <a:avLst/>
                          </a:prstGeom>
                        </pic:spPr>
                      </pic:pic>
                      <pic:pic>
                        <pic:nvPicPr>
                          <pic:cNvPr id="7" name="Image 7"/>
                          <pic:cNvPicPr/>
                        </pic:nvPicPr>
                        <pic:blipFill>
                          <a:blip r:embed="rId7" cstate="print"/>
                          <a:stretch>
                            <a:fillRect/>
                          </a:stretch>
                        </pic:blipFill>
                        <pic:spPr>
                          <a:xfrm>
                            <a:off x="3426077" y="2088982"/>
                            <a:ext cx="67843" cy="169862"/>
                          </a:xfrm>
                          <a:prstGeom prst="rect">
                            <a:avLst/>
                          </a:prstGeom>
                        </pic:spPr>
                      </pic:pic>
                      <pic:pic>
                        <pic:nvPicPr>
                          <pic:cNvPr id="8" name="Image 8"/>
                          <pic:cNvPicPr/>
                        </pic:nvPicPr>
                        <pic:blipFill>
                          <a:blip r:embed="rId8" cstate="print"/>
                          <a:stretch>
                            <a:fillRect/>
                          </a:stretch>
                        </pic:blipFill>
                        <pic:spPr>
                          <a:xfrm>
                            <a:off x="3554345" y="2085661"/>
                            <a:ext cx="170383" cy="176504"/>
                          </a:xfrm>
                          <a:prstGeom prst="rect">
                            <a:avLst/>
                          </a:prstGeom>
                        </pic:spPr>
                      </pic:pic>
                      <pic:pic>
                        <pic:nvPicPr>
                          <pic:cNvPr id="9" name="Image 9"/>
                          <pic:cNvPicPr/>
                        </pic:nvPicPr>
                        <pic:blipFill>
                          <a:blip r:embed="rId9" cstate="print"/>
                          <a:stretch>
                            <a:fillRect/>
                          </a:stretch>
                        </pic:blipFill>
                        <pic:spPr>
                          <a:xfrm>
                            <a:off x="3782063" y="2088980"/>
                            <a:ext cx="186436" cy="169862"/>
                          </a:xfrm>
                          <a:prstGeom prst="rect">
                            <a:avLst/>
                          </a:prstGeom>
                        </pic:spPr>
                      </pic:pic>
                      <pic:pic>
                        <pic:nvPicPr>
                          <pic:cNvPr id="10" name="Image 10"/>
                          <pic:cNvPicPr/>
                        </pic:nvPicPr>
                        <pic:blipFill>
                          <a:blip r:embed="rId10" cstate="print"/>
                          <a:stretch>
                            <a:fillRect/>
                          </a:stretch>
                        </pic:blipFill>
                        <pic:spPr>
                          <a:xfrm>
                            <a:off x="4019496" y="2081081"/>
                            <a:ext cx="163995" cy="177761"/>
                          </a:xfrm>
                          <a:prstGeom prst="rect">
                            <a:avLst/>
                          </a:prstGeom>
                        </pic:spPr>
                      </pic:pic>
                      <pic:pic>
                        <pic:nvPicPr>
                          <pic:cNvPr id="11" name="Image 11"/>
                          <pic:cNvPicPr/>
                        </pic:nvPicPr>
                        <pic:blipFill>
                          <a:blip r:embed="rId11" cstate="print"/>
                          <a:stretch>
                            <a:fillRect/>
                          </a:stretch>
                        </pic:blipFill>
                        <pic:spPr>
                          <a:xfrm>
                            <a:off x="4232962" y="2085669"/>
                            <a:ext cx="101003" cy="176491"/>
                          </a:xfrm>
                          <a:prstGeom prst="rect">
                            <a:avLst/>
                          </a:prstGeom>
                        </pic:spPr>
                      </pic:pic>
                      <pic:pic>
                        <pic:nvPicPr>
                          <pic:cNvPr id="12" name="Image 12"/>
                          <pic:cNvPicPr/>
                        </pic:nvPicPr>
                        <pic:blipFill>
                          <a:blip r:embed="rId12" cstate="print"/>
                          <a:stretch>
                            <a:fillRect/>
                          </a:stretch>
                        </pic:blipFill>
                        <pic:spPr>
                          <a:xfrm>
                            <a:off x="3226060" y="1397191"/>
                            <a:ext cx="1108411" cy="114251"/>
                          </a:xfrm>
                          <a:prstGeom prst="rect">
                            <a:avLst/>
                          </a:prstGeom>
                        </pic:spPr>
                      </pic:pic>
                      <wps:wsp>
                        <wps:cNvPr id="13" name="Graphic 13"/>
                        <wps:cNvSpPr/>
                        <wps:spPr>
                          <a:xfrm>
                            <a:off x="3226095" y="1603886"/>
                            <a:ext cx="44450" cy="111760"/>
                          </a:xfrm>
                          <a:custGeom>
                            <a:avLst/>
                            <a:gdLst/>
                            <a:ahLst/>
                            <a:cxnLst/>
                            <a:rect l="l" t="t" r="r" b="b"/>
                            <a:pathLst>
                              <a:path w="44450" h="111760">
                                <a:moveTo>
                                  <a:pt x="43091" y="0"/>
                                </a:moveTo>
                                <a:lnTo>
                                  <a:pt x="29057" y="495"/>
                                </a:lnTo>
                                <a:lnTo>
                                  <a:pt x="15367" y="495"/>
                                </a:lnTo>
                                <a:lnTo>
                                  <a:pt x="1346" y="0"/>
                                </a:lnTo>
                                <a:lnTo>
                                  <a:pt x="342" y="495"/>
                                </a:lnTo>
                                <a:lnTo>
                                  <a:pt x="0" y="3505"/>
                                </a:lnTo>
                                <a:lnTo>
                                  <a:pt x="1003" y="4165"/>
                                </a:lnTo>
                                <a:lnTo>
                                  <a:pt x="15036" y="5334"/>
                                </a:lnTo>
                                <a:lnTo>
                                  <a:pt x="15367" y="8178"/>
                                </a:lnTo>
                                <a:lnTo>
                                  <a:pt x="15367" y="25882"/>
                                </a:lnTo>
                                <a:lnTo>
                                  <a:pt x="15367" y="103022"/>
                                </a:lnTo>
                                <a:lnTo>
                                  <a:pt x="15036" y="105359"/>
                                </a:lnTo>
                                <a:lnTo>
                                  <a:pt x="1003" y="107048"/>
                                </a:lnTo>
                                <a:lnTo>
                                  <a:pt x="0" y="108038"/>
                                </a:lnTo>
                                <a:lnTo>
                                  <a:pt x="342" y="110705"/>
                                </a:lnTo>
                                <a:lnTo>
                                  <a:pt x="1346" y="111201"/>
                                </a:lnTo>
                                <a:lnTo>
                                  <a:pt x="15367" y="110705"/>
                                </a:lnTo>
                                <a:lnTo>
                                  <a:pt x="29057" y="110705"/>
                                </a:lnTo>
                                <a:lnTo>
                                  <a:pt x="43091" y="111201"/>
                                </a:lnTo>
                                <a:lnTo>
                                  <a:pt x="44094" y="110705"/>
                                </a:lnTo>
                                <a:lnTo>
                                  <a:pt x="44424" y="107696"/>
                                </a:lnTo>
                                <a:lnTo>
                                  <a:pt x="43421" y="107048"/>
                                </a:lnTo>
                                <a:lnTo>
                                  <a:pt x="29400" y="105359"/>
                                </a:lnTo>
                                <a:lnTo>
                                  <a:pt x="29057" y="103022"/>
                                </a:lnTo>
                                <a:lnTo>
                                  <a:pt x="29057" y="8178"/>
                                </a:lnTo>
                                <a:lnTo>
                                  <a:pt x="29400" y="5334"/>
                                </a:lnTo>
                                <a:lnTo>
                                  <a:pt x="43421" y="4165"/>
                                </a:lnTo>
                                <a:lnTo>
                                  <a:pt x="44424" y="3505"/>
                                </a:lnTo>
                                <a:lnTo>
                                  <a:pt x="44094" y="495"/>
                                </a:lnTo>
                                <a:lnTo>
                                  <a:pt x="43091" y="0"/>
                                </a:lnTo>
                                <a:close/>
                              </a:path>
                            </a:pathLst>
                          </a:custGeom>
                          <a:solidFill>
                            <a:srgbClr val="FFFFFF"/>
                          </a:solidFill>
                        </wps:spPr>
                        <wps:bodyPr wrap="square" lIns="0" tIns="0" rIns="0" bIns="0" rtlCol="0">
                          <a:prstTxWarp prst="textNoShape">
                            <a:avLst/>
                          </a:prstTxWarp>
                          <a:noAutofit/>
                        </wps:bodyPr>
                      </wps:wsp>
                      <pic:pic>
                        <pic:nvPicPr>
                          <pic:cNvPr id="14" name="Image 14"/>
                          <pic:cNvPicPr/>
                        </pic:nvPicPr>
                        <pic:blipFill>
                          <a:blip r:embed="rId13" cstate="print"/>
                          <a:stretch>
                            <a:fillRect/>
                          </a:stretch>
                        </pic:blipFill>
                        <pic:spPr>
                          <a:xfrm>
                            <a:off x="3349501" y="1604071"/>
                            <a:ext cx="107696" cy="112349"/>
                          </a:xfrm>
                          <a:prstGeom prst="rect">
                            <a:avLst/>
                          </a:prstGeom>
                        </pic:spPr>
                      </pic:pic>
                      <pic:pic>
                        <pic:nvPicPr>
                          <pic:cNvPr id="15" name="Image 15"/>
                          <pic:cNvPicPr/>
                        </pic:nvPicPr>
                        <pic:blipFill>
                          <a:blip r:embed="rId14" cstate="print"/>
                          <a:stretch>
                            <a:fillRect/>
                          </a:stretch>
                        </pic:blipFill>
                        <pic:spPr>
                          <a:xfrm>
                            <a:off x="3522308" y="1603870"/>
                            <a:ext cx="91338" cy="111213"/>
                          </a:xfrm>
                          <a:prstGeom prst="rect">
                            <a:avLst/>
                          </a:prstGeom>
                        </pic:spPr>
                      </pic:pic>
                      <pic:pic>
                        <pic:nvPicPr>
                          <pic:cNvPr id="16" name="Image 16"/>
                          <pic:cNvPicPr/>
                        </pic:nvPicPr>
                        <pic:blipFill>
                          <a:blip r:embed="rId15" cstate="print"/>
                          <a:stretch>
                            <a:fillRect/>
                          </a:stretch>
                        </pic:blipFill>
                        <pic:spPr>
                          <a:xfrm>
                            <a:off x="3687460" y="1603870"/>
                            <a:ext cx="87007" cy="111213"/>
                          </a:xfrm>
                          <a:prstGeom prst="rect">
                            <a:avLst/>
                          </a:prstGeom>
                        </pic:spPr>
                      </pic:pic>
                      <pic:pic>
                        <pic:nvPicPr>
                          <pic:cNvPr id="17" name="Image 17"/>
                          <pic:cNvPicPr/>
                        </pic:nvPicPr>
                        <pic:blipFill>
                          <a:blip r:embed="rId16" cstate="print"/>
                          <a:stretch>
                            <a:fillRect/>
                          </a:stretch>
                        </pic:blipFill>
                        <pic:spPr>
                          <a:xfrm>
                            <a:off x="3838592" y="1601711"/>
                            <a:ext cx="112382" cy="113385"/>
                          </a:xfrm>
                          <a:prstGeom prst="rect">
                            <a:avLst/>
                          </a:prstGeom>
                        </pic:spPr>
                      </pic:pic>
                      <pic:pic>
                        <pic:nvPicPr>
                          <pic:cNvPr id="18" name="Image 18"/>
                          <pic:cNvPicPr/>
                        </pic:nvPicPr>
                        <pic:blipFill>
                          <a:blip r:embed="rId17" cstate="print"/>
                          <a:stretch>
                            <a:fillRect/>
                          </a:stretch>
                        </pic:blipFill>
                        <pic:spPr>
                          <a:xfrm>
                            <a:off x="4017250" y="1603883"/>
                            <a:ext cx="123228" cy="113385"/>
                          </a:xfrm>
                          <a:prstGeom prst="rect">
                            <a:avLst/>
                          </a:prstGeom>
                        </pic:spPr>
                      </pic:pic>
                      <pic:pic>
                        <pic:nvPicPr>
                          <pic:cNvPr id="19" name="Image 19"/>
                          <pic:cNvPicPr/>
                        </pic:nvPicPr>
                        <pic:blipFill>
                          <a:blip r:embed="rId18" cstate="print"/>
                          <a:stretch>
                            <a:fillRect/>
                          </a:stretch>
                        </pic:blipFill>
                        <pic:spPr>
                          <a:xfrm>
                            <a:off x="4218149" y="1603968"/>
                            <a:ext cx="116052" cy="111948"/>
                          </a:xfrm>
                          <a:prstGeom prst="rect">
                            <a:avLst/>
                          </a:prstGeom>
                        </pic:spPr>
                      </pic:pic>
                      <pic:pic>
                        <pic:nvPicPr>
                          <pic:cNvPr id="20" name="Image 20"/>
                          <pic:cNvPicPr/>
                        </pic:nvPicPr>
                        <pic:blipFill>
                          <a:blip r:embed="rId19" cstate="print"/>
                          <a:stretch>
                            <a:fillRect/>
                          </a:stretch>
                        </pic:blipFill>
                        <pic:spPr>
                          <a:xfrm>
                            <a:off x="3223592" y="2342770"/>
                            <a:ext cx="1112293" cy="94551"/>
                          </a:xfrm>
                          <a:prstGeom prst="rect">
                            <a:avLst/>
                          </a:prstGeom>
                        </pic:spPr>
                      </pic:pic>
                      <pic:pic>
                        <pic:nvPicPr>
                          <pic:cNvPr id="21" name="Image 21"/>
                          <pic:cNvPicPr/>
                        </pic:nvPicPr>
                        <pic:blipFill>
                          <a:blip r:embed="rId20" cstate="print"/>
                          <a:stretch>
                            <a:fillRect/>
                          </a:stretch>
                        </pic:blipFill>
                        <pic:spPr>
                          <a:xfrm>
                            <a:off x="3226363" y="1815623"/>
                            <a:ext cx="186436" cy="169875"/>
                          </a:xfrm>
                          <a:prstGeom prst="rect">
                            <a:avLst/>
                          </a:prstGeom>
                        </pic:spPr>
                      </pic:pic>
                      <pic:pic>
                        <pic:nvPicPr>
                          <pic:cNvPr id="22" name="Image 22"/>
                          <pic:cNvPicPr/>
                        </pic:nvPicPr>
                        <pic:blipFill>
                          <a:blip r:embed="rId21" cstate="print"/>
                          <a:stretch>
                            <a:fillRect/>
                          </a:stretch>
                        </pic:blipFill>
                        <pic:spPr>
                          <a:xfrm>
                            <a:off x="3464940" y="1815637"/>
                            <a:ext cx="181355" cy="173189"/>
                          </a:xfrm>
                          <a:prstGeom prst="rect">
                            <a:avLst/>
                          </a:prstGeom>
                        </pic:spPr>
                      </pic:pic>
                      <pic:pic>
                        <pic:nvPicPr>
                          <pic:cNvPr id="23" name="Image 23"/>
                          <pic:cNvPicPr/>
                        </pic:nvPicPr>
                        <pic:blipFill>
                          <a:blip r:embed="rId22" cstate="print"/>
                          <a:stretch>
                            <a:fillRect/>
                          </a:stretch>
                        </pic:blipFill>
                        <pic:spPr>
                          <a:xfrm>
                            <a:off x="3688465" y="1815640"/>
                            <a:ext cx="218566" cy="171640"/>
                          </a:xfrm>
                          <a:prstGeom prst="rect">
                            <a:avLst/>
                          </a:prstGeom>
                        </pic:spPr>
                      </pic:pic>
                      <pic:pic>
                        <pic:nvPicPr>
                          <pic:cNvPr id="24" name="Image 24"/>
                          <pic:cNvPicPr/>
                        </pic:nvPicPr>
                        <pic:blipFill>
                          <a:blip r:embed="rId23" cstate="print"/>
                          <a:stretch>
                            <a:fillRect/>
                          </a:stretch>
                        </pic:blipFill>
                        <pic:spPr>
                          <a:xfrm>
                            <a:off x="3943358" y="1812307"/>
                            <a:ext cx="171640" cy="173189"/>
                          </a:xfrm>
                          <a:prstGeom prst="rect">
                            <a:avLst/>
                          </a:prstGeom>
                        </pic:spPr>
                      </pic:pic>
                      <pic:pic>
                        <pic:nvPicPr>
                          <pic:cNvPr id="25" name="Image 25"/>
                          <pic:cNvPicPr/>
                        </pic:nvPicPr>
                        <pic:blipFill>
                          <a:blip r:embed="rId24" cstate="print"/>
                          <a:stretch>
                            <a:fillRect/>
                          </a:stretch>
                        </pic:blipFill>
                        <pic:spPr>
                          <a:xfrm>
                            <a:off x="4149248" y="1815622"/>
                            <a:ext cx="188226" cy="173202"/>
                          </a:xfrm>
                          <a:prstGeom prst="rect">
                            <a:avLst/>
                          </a:prstGeom>
                        </pic:spPr>
                      </pic:pic>
                      <wps:wsp>
                        <wps:cNvPr id="26" name="Graphic 26"/>
                        <wps:cNvSpPr/>
                        <wps:spPr>
                          <a:xfrm>
                            <a:off x="3529864" y="770292"/>
                            <a:ext cx="500380" cy="500380"/>
                          </a:xfrm>
                          <a:custGeom>
                            <a:avLst/>
                            <a:gdLst/>
                            <a:ahLst/>
                            <a:cxnLst/>
                            <a:rect l="l" t="t" r="r" b="b"/>
                            <a:pathLst>
                              <a:path w="500380" h="500380">
                                <a:moveTo>
                                  <a:pt x="500278" y="0"/>
                                </a:moveTo>
                                <a:lnTo>
                                  <a:pt x="0" y="0"/>
                                </a:lnTo>
                                <a:lnTo>
                                  <a:pt x="0" y="500291"/>
                                </a:lnTo>
                                <a:lnTo>
                                  <a:pt x="500278" y="500291"/>
                                </a:lnTo>
                                <a:lnTo>
                                  <a:pt x="500278" y="372211"/>
                                </a:lnTo>
                                <a:lnTo>
                                  <a:pt x="248678" y="372211"/>
                                </a:lnTo>
                                <a:lnTo>
                                  <a:pt x="247484" y="371335"/>
                                </a:lnTo>
                                <a:lnTo>
                                  <a:pt x="226140" y="357082"/>
                                </a:lnTo>
                                <a:lnTo>
                                  <a:pt x="203392" y="346751"/>
                                </a:lnTo>
                                <a:lnTo>
                                  <a:pt x="200475" y="345973"/>
                                </a:lnTo>
                                <a:lnTo>
                                  <a:pt x="112598" y="345973"/>
                                </a:lnTo>
                                <a:lnTo>
                                  <a:pt x="109816" y="344004"/>
                                </a:lnTo>
                                <a:lnTo>
                                  <a:pt x="109816" y="136817"/>
                                </a:lnTo>
                                <a:lnTo>
                                  <a:pt x="110045" y="136283"/>
                                </a:lnTo>
                                <a:lnTo>
                                  <a:pt x="155562" y="128079"/>
                                </a:lnTo>
                                <a:lnTo>
                                  <a:pt x="500278" y="128079"/>
                                </a:lnTo>
                                <a:lnTo>
                                  <a:pt x="500278" y="0"/>
                                </a:lnTo>
                                <a:close/>
                              </a:path>
                              <a:path w="500380" h="500380">
                                <a:moveTo>
                                  <a:pt x="344271" y="338340"/>
                                </a:moveTo>
                                <a:lnTo>
                                  <a:pt x="296872" y="346751"/>
                                </a:lnTo>
                                <a:lnTo>
                                  <a:pt x="252768" y="371335"/>
                                </a:lnTo>
                                <a:lnTo>
                                  <a:pt x="251599" y="372211"/>
                                </a:lnTo>
                                <a:lnTo>
                                  <a:pt x="500278" y="372211"/>
                                </a:lnTo>
                                <a:lnTo>
                                  <a:pt x="500278" y="345973"/>
                                </a:lnTo>
                                <a:lnTo>
                                  <a:pt x="387680" y="345973"/>
                                </a:lnTo>
                                <a:lnTo>
                                  <a:pt x="384378" y="344817"/>
                                </a:lnTo>
                                <a:lnTo>
                                  <a:pt x="374730" y="341984"/>
                                </a:lnTo>
                                <a:lnTo>
                                  <a:pt x="364805" y="339959"/>
                                </a:lnTo>
                                <a:lnTo>
                                  <a:pt x="354640" y="338745"/>
                                </a:lnTo>
                                <a:lnTo>
                                  <a:pt x="344271" y="338340"/>
                                </a:lnTo>
                                <a:close/>
                              </a:path>
                              <a:path w="500380" h="500380">
                                <a:moveTo>
                                  <a:pt x="155994" y="338340"/>
                                </a:moveTo>
                                <a:lnTo>
                                  <a:pt x="115900" y="344817"/>
                                </a:lnTo>
                                <a:lnTo>
                                  <a:pt x="112598" y="345973"/>
                                </a:lnTo>
                                <a:lnTo>
                                  <a:pt x="200475" y="345973"/>
                                </a:lnTo>
                                <a:lnTo>
                                  <a:pt x="179817" y="340463"/>
                                </a:lnTo>
                                <a:lnTo>
                                  <a:pt x="155994" y="338340"/>
                                </a:lnTo>
                                <a:close/>
                              </a:path>
                              <a:path w="500380" h="500380">
                                <a:moveTo>
                                  <a:pt x="500278" y="128079"/>
                                </a:moveTo>
                                <a:lnTo>
                                  <a:pt x="344716" y="128079"/>
                                </a:lnTo>
                                <a:lnTo>
                                  <a:pt x="355906" y="128566"/>
                                </a:lnTo>
                                <a:lnTo>
                                  <a:pt x="366976" y="130000"/>
                                </a:lnTo>
                                <a:lnTo>
                                  <a:pt x="390461" y="136817"/>
                                </a:lnTo>
                                <a:lnTo>
                                  <a:pt x="390461" y="344004"/>
                                </a:lnTo>
                                <a:lnTo>
                                  <a:pt x="387680" y="345973"/>
                                </a:lnTo>
                                <a:lnTo>
                                  <a:pt x="500278" y="345973"/>
                                </a:lnTo>
                                <a:lnTo>
                                  <a:pt x="500278" y="128079"/>
                                </a:lnTo>
                                <a:close/>
                              </a:path>
                              <a:path w="500380" h="500380">
                                <a:moveTo>
                                  <a:pt x="344716" y="128079"/>
                                </a:moveTo>
                                <a:lnTo>
                                  <a:pt x="155562" y="128079"/>
                                </a:lnTo>
                                <a:lnTo>
                                  <a:pt x="180294" y="130558"/>
                                </a:lnTo>
                                <a:lnTo>
                                  <a:pt x="204660" y="137594"/>
                                </a:lnTo>
                                <a:lnTo>
                                  <a:pt x="228121" y="148589"/>
                                </a:lnTo>
                                <a:lnTo>
                                  <a:pt x="250139" y="162940"/>
                                </a:lnTo>
                                <a:lnTo>
                                  <a:pt x="272155" y="148589"/>
                                </a:lnTo>
                                <a:lnTo>
                                  <a:pt x="295613" y="137594"/>
                                </a:lnTo>
                                <a:lnTo>
                                  <a:pt x="319978" y="130558"/>
                                </a:lnTo>
                                <a:lnTo>
                                  <a:pt x="344716" y="12807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pt;width:595.3pt;height:841.9pt;mso-position-horizontal-relative:page;mso-position-vertical-relative:page;z-index:-17587712" id="docshapegroup2" coordorigin="0,0" coordsize="11906,16838">
                <v:shape style="position:absolute;left:0;top:0;width:11906;height:9814" type="#_x0000_t75" id="docshape3" stroked="false">
                  <v:imagedata r:id="rId5" o:title=""/>
                </v:shape>
                <v:shape style="position:absolute;left:0;top:8494;width:11906;height:8344" id="docshape4" coordorigin="0,8495" coordsize="11906,8344" path="m1529,8495l1456,8495,1382,8497,1306,8500,1230,8504,1152,8509,1074,8516,995,8523,916,8531,836,8540,756,8550,595,8572,435,8598,277,8625,121,8655,0,8679,0,16838,11906,16838,11906,9788,5946,9788,5897,9783,5858,9772,5832,9760,5822,9755,5754,9712,5686,9669,5618,9628,5549,9587,5480,9547,5410,9508,5340,9469,5269,9431,5198,9394,5127,9357,5055,9322,4983,9287,4911,9252,4838,9219,4765,9186,4692,9154,4618,9123,4545,9092,4470,9062,4396,9033,4321,9005,4246,8977,4171,8950,4095,8924,4020,8899,3944,8874,3867,8850,3791,8827,3714,8805,3638,8783,3561,8762,3484,8742,3406,8723,3329,8705,3251,8687,3174,8670,3096,8654,3018,8638,2940,8624,2862,8610,2784,8597,2705,8584,2627,8573,2549,8562,2470,8552,2392,8543,2313,8535,2235,8527,2156,8520,2078,8514,1999,8509,1921,8505,1842,8501,1764,8498,1685,8496,1607,8495,1529,8495xm10362,8495l10284,8495,10206,8496,10128,8498,10049,8501,9971,8505,9892,8509,9814,8514,9735,8520,9657,8527,9578,8535,9500,8543,9421,8552,9343,8562,9264,8573,9186,8584,9108,8597,9029,8610,8951,8624,8873,8638,8795,8654,8717,8670,8640,8687,8562,8705,8485,8723,8408,8742,8331,8762,8254,8783,8177,8805,8100,8827,8024,8850,7948,8874,7872,8899,7796,8924,7720,8950,7645,8977,7570,9005,7495,9033,7421,9062,7347,9092,7273,9123,7199,9154,7126,9186,7053,9219,6980,9252,6908,9287,6836,9322,6764,9357,6693,9394,6622,9431,6552,9469,6481,9508,6412,9547,6342,9587,6273,9628,6205,9669,6137,9712,6069,9755,6036,9774,6013,9784,5986,9788,5946,9788,11906,9788,11906,8621,11871,8615,11796,8603,11720,8591,11642,8580,11562,8570,11401,8551,11236,8535,11071,8522,10907,8511,10745,8503,10670,8500,10671,8500,10511,8496,10441,8495,10450,8495,10362,8495xe" filled="true" fillcolor="#ffffff" stroked="false">
                  <v:path arrowok="t"/>
                  <v:fill type="solid"/>
                </v:shape>
                <v:rect style="position:absolute;left:0;top:0;width:11906;height:5755" id="docshape5" filled="true" fillcolor="#77328a" stroked="false">
                  <v:fill type="solid"/>
                </v:rect>
                <v:shape style="position:absolute;left:5074;top:3289;width:260;height:271" type="#_x0000_t75" id="docshape6" stroked="false">
                  <v:imagedata r:id="rId6" o:title=""/>
                </v:shape>
                <v:shape style="position:absolute;left:5395;top:3289;width:107;height:268" type="#_x0000_t75" id="docshape7" stroked="false">
                  <v:imagedata r:id="rId7" o:title=""/>
                </v:shape>
                <v:shape style="position:absolute;left:5597;top:3284;width:269;height:278" type="#_x0000_t75" id="docshape8" stroked="false">
                  <v:imagedata r:id="rId8" o:title=""/>
                </v:shape>
                <v:shape style="position:absolute;left:5956;top:3289;width:294;height:268" type="#_x0000_t75" id="docshape9" stroked="false">
                  <v:imagedata r:id="rId9" o:title=""/>
                </v:shape>
                <v:shape style="position:absolute;left:6329;top:3277;width:259;height:280" type="#_x0000_t75" id="docshape10" stroked="false">
                  <v:imagedata r:id="rId10" o:title=""/>
                </v:shape>
                <v:shape style="position:absolute;left:6666;top:3284;width:160;height:278" type="#_x0000_t75" id="docshape11" stroked="false">
                  <v:imagedata r:id="rId11" o:title=""/>
                </v:shape>
                <v:shape style="position:absolute;left:5080;top:2200;width:1746;height:180" type="#_x0000_t75" id="docshape12" stroked="false">
                  <v:imagedata r:id="rId12" o:title=""/>
                </v:shape>
                <v:shape style="position:absolute;left:5080;top:2525;width:70;height:176" id="docshape13" coordorigin="5080,2526" coordsize="70,176" path="m5148,2526l5126,2527,5105,2527,5083,2526,5081,2527,5080,2531,5082,2532,5104,2534,5105,2539,5105,2567,5105,2688,5104,2692,5082,2694,5080,2696,5081,2700,5083,2701,5105,2700,5126,2700,5148,2701,5150,2700,5150,2695,5149,2694,5127,2692,5126,2688,5126,2539,5127,2534,5149,2532,5150,2531,5150,2527,5148,2526xe" filled="true" fillcolor="#ffffff" stroked="false">
                  <v:path arrowok="t"/>
                  <v:fill type="solid"/>
                </v:shape>
                <v:shape style="position:absolute;left:5274;top:2526;width:170;height:177" type="#_x0000_t75" id="docshape14" stroked="false">
                  <v:imagedata r:id="rId13" o:title=""/>
                </v:shape>
                <v:shape style="position:absolute;left:5546;top:2525;width:144;height:176" type="#_x0000_t75" id="docshape15" stroked="false">
                  <v:imagedata r:id="rId14" o:title=""/>
                </v:shape>
                <v:shape style="position:absolute;left:5807;top:2525;width:138;height:176" type="#_x0000_t75" id="docshape16" stroked="false">
                  <v:imagedata r:id="rId15" o:title=""/>
                </v:shape>
                <v:shape style="position:absolute;left:6045;top:2522;width:177;height:179" type="#_x0000_t75" id="docshape17" stroked="false">
                  <v:imagedata r:id="rId16" o:title=""/>
                </v:shape>
                <v:shape style="position:absolute;left:6326;top:2525;width:195;height:179" type="#_x0000_t75" id="docshape18" stroked="false">
                  <v:imagedata r:id="rId17" o:title=""/>
                </v:shape>
                <v:shape style="position:absolute;left:6642;top:2525;width:183;height:177" type="#_x0000_t75" id="docshape19" stroked="false">
                  <v:imagedata r:id="rId18" o:title=""/>
                </v:shape>
                <v:shape style="position:absolute;left:5076;top:3689;width:1752;height:149" type="#_x0000_t75" id="docshape20" stroked="false">
                  <v:imagedata r:id="rId19" o:title=""/>
                </v:shape>
                <v:shape style="position:absolute;left:5080;top:2859;width:294;height:268" type="#_x0000_t75" id="docshape21" stroked="false">
                  <v:imagedata r:id="rId20" o:title=""/>
                </v:shape>
                <v:shape style="position:absolute;left:5456;top:2859;width:286;height:273" type="#_x0000_t75" id="docshape22" stroked="false">
                  <v:imagedata r:id="rId21" o:title=""/>
                </v:shape>
                <v:shape style="position:absolute;left:5808;top:2859;width:345;height:271" type="#_x0000_t75" id="docshape23" stroked="false">
                  <v:imagedata r:id="rId22" o:title=""/>
                </v:shape>
                <v:shape style="position:absolute;left:6210;top:2854;width:271;height:273" type="#_x0000_t75" id="docshape24" stroked="false">
                  <v:imagedata r:id="rId23" o:title=""/>
                </v:shape>
                <v:shape style="position:absolute;left:6534;top:2859;width:297;height:273" type="#_x0000_t75" id="docshape25" stroked="false">
                  <v:imagedata r:id="rId24" o:title=""/>
                </v:shape>
                <v:shape style="position:absolute;left:5558;top:1213;width:788;height:788" id="docshape26" coordorigin="5559,1213" coordsize="788,788" path="m6347,1213l5559,1213,5559,2001,6347,2001,6347,1799,5950,1799,5949,1798,5915,1775,5879,1759,5875,1758,5736,1758,5732,1755,5732,1429,5732,1428,5734,1427,5735,1427,5752,1421,5769,1418,5786,1416,5804,1415,6347,1415,6347,1213xm6101,1746l6063,1749,6026,1759,5991,1775,5957,1798,5955,1799,6347,1799,6347,1758,6169,1758,6164,1756,6149,1752,6133,1748,6117,1747,6101,1746xm5805,1746l5788,1747,5772,1748,5757,1752,5741,1756,5736,1758,5875,1758,5842,1749,5805,1746xm6347,1415l6102,1415,6119,1416,6137,1418,6154,1421,6170,1427,6172,1427,6173,1428,6174,1429,6174,1755,6169,1758,6347,1758,6347,1415xm6102,1415l5804,1415,5843,1419,5881,1430,5918,1447,5953,1470,5987,1447,6024,1430,6063,1419,6102,1415xe" filled="true" fillcolor="#ffffff" stroked="false">
                  <v:path arrowok="t"/>
                  <v:fill type="solid"/>
                </v:shape>
                <w10:wrap type="none"/>
              </v:group>
            </w:pict>
          </mc:Fallback>
        </mc:AlternateContent>
      </w:r>
    </w:p>
    <w:p>
      <w:pPr>
        <w:pStyle w:val="BodyText"/>
        <w:ind w:left="0"/>
        <w:rPr>
          <w:rFonts w:ascii="Times New Roman"/>
          <w:sz w:val="60"/>
        </w:rPr>
      </w:pPr>
    </w:p>
    <w:p>
      <w:pPr>
        <w:pStyle w:val="BodyText"/>
        <w:ind w:left="0"/>
        <w:rPr>
          <w:rFonts w:ascii="Times New Roman"/>
          <w:sz w:val="60"/>
        </w:rPr>
      </w:pPr>
    </w:p>
    <w:p>
      <w:pPr>
        <w:pStyle w:val="BodyText"/>
        <w:ind w:left="0"/>
        <w:rPr>
          <w:rFonts w:ascii="Times New Roman"/>
          <w:sz w:val="60"/>
        </w:rPr>
      </w:pPr>
    </w:p>
    <w:p>
      <w:pPr>
        <w:pStyle w:val="BodyText"/>
        <w:ind w:left="0"/>
        <w:rPr>
          <w:rFonts w:ascii="Times New Roman"/>
          <w:sz w:val="60"/>
        </w:rPr>
      </w:pPr>
    </w:p>
    <w:p>
      <w:pPr>
        <w:pStyle w:val="BodyText"/>
        <w:ind w:left="0"/>
        <w:rPr>
          <w:rFonts w:ascii="Times New Roman"/>
          <w:sz w:val="60"/>
        </w:rPr>
      </w:pPr>
    </w:p>
    <w:p>
      <w:pPr>
        <w:pStyle w:val="BodyText"/>
        <w:ind w:left="0"/>
        <w:rPr>
          <w:rFonts w:ascii="Times New Roman"/>
          <w:sz w:val="60"/>
        </w:rPr>
      </w:pPr>
    </w:p>
    <w:p>
      <w:pPr>
        <w:pStyle w:val="BodyText"/>
        <w:ind w:left="0"/>
        <w:rPr>
          <w:rFonts w:ascii="Times New Roman"/>
          <w:sz w:val="60"/>
        </w:rPr>
      </w:pPr>
    </w:p>
    <w:p>
      <w:pPr>
        <w:pStyle w:val="BodyText"/>
        <w:ind w:left="0"/>
        <w:rPr>
          <w:rFonts w:ascii="Times New Roman"/>
          <w:sz w:val="60"/>
        </w:rPr>
      </w:pPr>
    </w:p>
    <w:p>
      <w:pPr>
        <w:pStyle w:val="BodyText"/>
        <w:ind w:left="0"/>
        <w:rPr>
          <w:rFonts w:ascii="Times New Roman"/>
          <w:sz w:val="60"/>
        </w:rPr>
      </w:pPr>
    </w:p>
    <w:p>
      <w:pPr>
        <w:pStyle w:val="BodyText"/>
        <w:ind w:left="0"/>
        <w:rPr>
          <w:rFonts w:ascii="Times New Roman"/>
          <w:sz w:val="60"/>
        </w:rPr>
      </w:pPr>
    </w:p>
    <w:p>
      <w:pPr>
        <w:pStyle w:val="BodyText"/>
        <w:ind w:left="0"/>
        <w:rPr>
          <w:rFonts w:ascii="Times New Roman"/>
          <w:sz w:val="60"/>
        </w:rPr>
      </w:pPr>
    </w:p>
    <w:p>
      <w:pPr>
        <w:pStyle w:val="BodyText"/>
        <w:ind w:left="0"/>
        <w:rPr>
          <w:rFonts w:ascii="Times New Roman"/>
          <w:sz w:val="60"/>
        </w:rPr>
      </w:pPr>
    </w:p>
    <w:p>
      <w:pPr>
        <w:pStyle w:val="BodyText"/>
        <w:ind w:left="0"/>
        <w:rPr>
          <w:rFonts w:ascii="Times New Roman"/>
          <w:sz w:val="60"/>
        </w:rPr>
      </w:pPr>
    </w:p>
    <w:p>
      <w:pPr>
        <w:pStyle w:val="BodyText"/>
        <w:spacing w:before="383"/>
        <w:ind w:left="0"/>
        <w:rPr>
          <w:rFonts w:ascii="Times New Roman"/>
          <w:sz w:val="60"/>
        </w:rPr>
      </w:pPr>
    </w:p>
    <w:p>
      <w:pPr>
        <w:pStyle w:val="Heading1"/>
        <w:spacing w:line="235" w:lineRule="auto"/>
        <w:ind w:left="488"/>
      </w:pPr>
      <w:r>
        <w:rPr>
          <w:color w:val="77328A"/>
          <w:w w:val="115"/>
        </w:rPr>
        <w:t>The</w:t>
      </w:r>
      <w:r>
        <w:rPr>
          <w:color w:val="77328A"/>
          <w:spacing w:val="-38"/>
          <w:w w:val="115"/>
        </w:rPr>
        <w:t> </w:t>
      </w:r>
      <w:r>
        <w:rPr>
          <w:color w:val="77328A"/>
          <w:w w:val="115"/>
        </w:rPr>
        <w:t>Interaction</w:t>
      </w:r>
      <w:r>
        <w:rPr>
          <w:color w:val="77328A"/>
          <w:spacing w:val="-38"/>
          <w:w w:val="115"/>
        </w:rPr>
        <w:t> </w:t>
      </w:r>
      <w:r>
        <w:rPr>
          <w:color w:val="77328A"/>
          <w:w w:val="115"/>
        </w:rPr>
        <w:t>between</w:t>
      </w:r>
      <w:r>
        <w:rPr>
          <w:color w:val="77328A"/>
          <w:spacing w:val="-38"/>
          <w:w w:val="115"/>
        </w:rPr>
        <w:t> </w:t>
      </w:r>
      <w:r>
        <w:rPr>
          <w:color w:val="77328A"/>
          <w:w w:val="115"/>
        </w:rPr>
        <w:t>the EU Charter of Fundamental Rights</w:t>
      </w:r>
      <w:r>
        <w:rPr>
          <w:color w:val="77328A"/>
          <w:spacing w:val="-24"/>
          <w:w w:val="115"/>
        </w:rPr>
        <w:t> </w:t>
      </w:r>
      <w:r>
        <w:rPr>
          <w:color w:val="77328A"/>
          <w:w w:val="115"/>
        </w:rPr>
        <w:t>and</w:t>
      </w:r>
      <w:r>
        <w:rPr>
          <w:color w:val="77328A"/>
          <w:spacing w:val="-24"/>
          <w:w w:val="115"/>
        </w:rPr>
        <w:t> </w:t>
      </w:r>
      <w:r>
        <w:rPr>
          <w:color w:val="77328A"/>
          <w:w w:val="115"/>
        </w:rPr>
        <w:t>general</w:t>
      </w:r>
      <w:r>
        <w:rPr>
          <w:color w:val="77328A"/>
          <w:spacing w:val="-24"/>
          <w:w w:val="115"/>
        </w:rPr>
        <w:t> </w:t>
      </w:r>
      <w:r>
        <w:rPr>
          <w:color w:val="77328A"/>
          <w:w w:val="115"/>
        </w:rPr>
        <w:t>principles with</w:t>
      </w:r>
      <w:r>
        <w:rPr>
          <w:color w:val="77328A"/>
          <w:spacing w:val="-27"/>
          <w:w w:val="115"/>
        </w:rPr>
        <w:t> </w:t>
      </w:r>
      <w:r>
        <w:rPr>
          <w:color w:val="77328A"/>
          <w:w w:val="115"/>
        </w:rPr>
        <w:t>the</w:t>
      </w:r>
      <w:r>
        <w:rPr>
          <w:color w:val="77328A"/>
          <w:spacing w:val="-26"/>
          <w:w w:val="115"/>
        </w:rPr>
        <w:t> </w:t>
      </w:r>
      <w:r>
        <w:rPr>
          <w:color w:val="77328A"/>
          <w:w w:val="115"/>
        </w:rPr>
        <w:t>Windsor</w:t>
      </w:r>
      <w:r>
        <w:rPr>
          <w:color w:val="77328A"/>
          <w:spacing w:val="-27"/>
          <w:w w:val="115"/>
        </w:rPr>
        <w:t> </w:t>
      </w:r>
      <w:r>
        <w:rPr>
          <w:color w:val="77328A"/>
          <w:spacing w:val="-2"/>
          <w:w w:val="115"/>
        </w:rPr>
        <w:t>Framework</w:t>
      </w:r>
    </w:p>
    <w:p>
      <w:pPr>
        <w:spacing w:before="612"/>
        <w:ind w:left="488" w:right="0" w:firstLine="0"/>
        <w:jc w:val="left"/>
        <w:rPr>
          <w:sz w:val="24"/>
        </w:rPr>
      </w:pPr>
      <w:r>
        <w:rPr>
          <w:rFonts w:ascii="Tahoma"/>
          <w:b/>
          <w:w w:val="105"/>
          <w:sz w:val="24"/>
        </w:rPr>
        <w:t>Prof</w:t>
      </w:r>
      <w:r>
        <w:rPr>
          <w:rFonts w:ascii="Tahoma"/>
          <w:b/>
          <w:spacing w:val="4"/>
          <w:w w:val="105"/>
          <w:sz w:val="24"/>
        </w:rPr>
        <w:t> </w:t>
      </w:r>
      <w:r>
        <w:rPr>
          <w:rFonts w:ascii="Tahoma"/>
          <w:b/>
          <w:w w:val="105"/>
          <w:sz w:val="24"/>
        </w:rPr>
        <w:t>Tobias</w:t>
      </w:r>
      <w:r>
        <w:rPr>
          <w:rFonts w:ascii="Tahoma"/>
          <w:b/>
          <w:spacing w:val="4"/>
          <w:w w:val="105"/>
          <w:sz w:val="24"/>
        </w:rPr>
        <w:t> </w:t>
      </w:r>
      <w:r>
        <w:rPr>
          <w:rFonts w:ascii="Tahoma"/>
          <w:b/>
          <w:w w:val="105"/>
          <w:sz w:val="24"/>
        </w:rPr>
        <w:t>Lock</w:t>
      </w:r>
      <w:r>
        <w:rPr>
          <w:rFonts w:ascii="Tahoma"/>
          <w:b/>
          <w:spacing w:val="5"/>
          <w:w w:val="105"/>
          <w:sz w:val="24"/>
        </w:rPr>
        <w:t> </w:t>
      </w:r>
      <w:r>
        <w:rPr>
          <w:w w:val="105"/>
          <w:sz w:val="24"/>
        </w:rPr>
        <w:t>(Maynooth</w:t>
      </w:r>
      <w:r>
        <w:rPr>
          <w:spacing w:val="8"/>
          <w:w w:val="105"/>
          <w:sz w:val="24"/>
        </w:rPr>
        <w:t> </w:t>
      </w:r>
      <w:r>
        <w:rPr>
          <w:spacing w:val="-2"/>
          <w:w w:val="105"/>
          <w:sz w:val="24"/>
        </w:rPr>
        <w:t>University),</w:t>
      </w:r>
    </w:p>
    <w:p>
      <w:pPr>
        <w:spacing w:before="19"/>
        <w:ind w:left="488" w:right="0" w:firstLine="0"/>
        <w:jc w:val="left"/>
        <w:rPr>
          <w:sz w:val="24"/>
        </w:rPr>
      </w:pPr>
      <w:r>
        <w:rPr>
          <w:rFonts w:ascii="Tahoma"/>
          <w:b/>
          <w:w w:val="105"/>
          <w:sz w:val="24"/>
        </w:rPr>
        <w:t>Dr</w:t>
      </w:r>
      <w:r>
        <w:rPr>
          <w:rFonts w:ascii="Tahoma"/>
          <w:b/>
          <w:spacing w:val="-5"/>
          <w:w w:val="105"/>
          <w:sz w:val="24"/>
        </w:rPr>
        <w:t> </w:t>
      </w:r>
      <w:r>
        <w:rPr>
          <w:rFonts w:ascii="Tahoma"/>
          <w:b/>
          <w:w w:val="105"/>
          <w:sz w:val="24"/>
        </w:rPr>
        <w:t>Eleni</w:t>
      </w:r>
      <w:r>
        <w:rPr>
          <w:rFonts w:ascii="Tahoma"/>
          <w:b/>
          <w:spacing w:val="-5"/>
          <w:w w:val="105"/>
          <w:sz w:val="24"/>
        </w:rPr>
        <w:t> </w:t>
      </w:r>
      <w:r>
        <w:rPr>
          <w:rFonts w:ascii="Tahoma"/>
          <w:b/>
          <w:w w:val="105"/>
          <w:sz w:val="24"/>
        </w:rPr>
        <w:t>Frantziou</w:t>
      </w:r>
      <w:r>
        <w:rPr>
          <w:rFonts w:ascii="Tahoma"/>
          <w:b/>
          <w:spacing w:val="-5"/>
          <w:w w:val="105"/>
          <w:sz w:val="24"/>
        </w:rPr>
        <w:t> </w:t>
      </w:r>
      <w:r>
        <w:rPr>
          <w:w w:val="105"/>
          <w:sz w:val="24"/>
        </w:rPr>
        <w:t>(Durham</w:t>
      </w:r>
      <w:r>
        <w:rPr>
          <w:spacing w:val="-1"/>
          <w:w w:val="105"/>
          <w:sz w:val="24"/>
        </w:rPr>
        <w:t> </w:t>
      </w:r>
      <w:r>
        <w:rPr>
          <w:spacing w:val="-2"/>
          <w:w w:val="105"/>
          <w:sz w:val="24"/>
        </w:rPr>
        <w:t>University)</w:t>
      </w:r>
    </w:p>
    <w:p>
      <w:pPr>
        <w:spacing w:before="19"/>
        <w:ind w:left="488" w:right="0" w:firstLine="0"/>
        <w:jc w:val="left"/>
        <w:rPr>
          <w:sz w:val="24"/>
        </w:rPr>
      </w:pPr>
      <w:r>
        <w:rPr>
          <w:rFonts w:ascii="Tahoma" w:hAnsi="Tahoma"/>
          <w:b/>
          <w:sz w:val="24"/>
        </w:rPr>
        <w:t>and</w:t>
      </w:r>
      <w:r>
        <w:rPr>
          <w:rFonts w:ascii="Tahoma" w:hAnsi="Tahoma"/>
          <w:b/>
          <w:spacing w:val="48"/>
          <w:sz w:val="24"/>
        </w:rPr>
        <w:t> </w:t>
      </w:r>
      <w:r>
        <w:rPr>
          <w:rFonts w:ascii="Tahoma" w:hAnsi="Tahoma"/>
          <w:b/>
          <w:sz w:val="24"/>
        </w:rPr>
        <w:t>Anurag</w:t>
      </w:r>
      <w:r>
        <w:rPr>
          <w:rFonts w:ascii="Tahoma" w:hAnsi="Tahoma"/>
          <w:b/>
          <w:spacing w:val="48"/>
          <w:sz w:val="24"/>
        </w:rPr>
        <w:t> </w:t>
      </w:r>
      <w:r>
        <w:rPr>
          <w:rFonts w:ascii="Tahoma" w:hAnsi="Tahoma"/>
          <w:b/>
          <w:sz w:val="24"/>
        </w:rPr>
        <w:t>Deb</w:t>
      </w:r>
      <w:r>
        <w:rPr>
          <w:rFonts w:ascii="Tahoma" w:hAnsi="Tahoma"/>
          <w:b/>
          <w:spacing w:val="49"/>
          <w:sz w:val="24"/>
        </w:rPr>
        <w:t> </w:t>
      </w:r>
      <w:r>
        <w:rPr>
          <w:sz w:val="24"/>
        </w:rPr>
        <w:t>(Queen’s</w:t>
      </w:r>
      <w:r>
        <w:rPr>
          <w:spacing w:val="52"/>
          <w:sz w:val="24"/>
        </w:rPr>
        <w:t> </w:t>
      </w:r>
      <w:r>
        <w:rPr>
          <w:sz w:val="24"/>
        </w:rPr>
        <w:t>University</w:t>
      </w:r>
      <w:r>
        <w:rPr>
          <w:spacing w:val="53"/>
          <w:sz w:val="24"/>
        </w:rPr>
        <w:t> </w:t>
      </w:r>
      <w:r>
        <w:rPr>
          <w:spacing w:val="-2"/>
          <w:sz w:val="24"/>
        </w:rPr>
        <w:t>Belfast)</w:t>
      </w:r>
    </w:p>
    <w:p>
      <w:pPr>
        <w:pStyle w:val="BodyText"/>
        <w:spacing w:before="144"/>
        <w:ind w:left="0"/>
      </w:pPr>
    </w:p>
    <w:p>
      <w:pPr>
        <w:spacing w:before="0"/>
        <w:ind w:left="0" w:right="361" w:firstLine="0"/>
        <w:jc w:val="right"/>
        <w:rPr>
          <w:rFonts w:ascii="Tahoma"/>
          <w:b/>
          <w:sz w:val="28"/>
        </w:rPr>
      </w:pPr>
      <w:r>
        <w:rPr>
          <w:rFonts w:ascii="Tahoma"/>
          <w:b/>
          <w:color w:val="77328A"/>
          <w:sz w:val="28"/>
        </w:rPr>
        <w:t>May</w:t>
      </w:r>
      <w:r>
        <w:rPr>
          <w:rFonts w:ascii="Tahoma"/>
          <w:b/>
          <w:color w:val="77328A"/>
          <w:spacing w:val="-12"/>
          <w:sz w:val="28"/>
        </w:rPr>
        <w:t> </w:t>
      </w:r>
      <w:r>
        <w:rPr>
          <w:rFonts w:ascii="Tahoma"/>
          <w:b/>
          <w:color w:val="77328A"/>
          <w:spacing w:val="-4"/>
          <w:sz w:val="28"/>
        </w:rPr>
        <w:t>2024</w:t>
      </w:r>
    </w:p>
    <w:p>
      <w:pPr>
        <w:spacing w:after="0"/>
        <w:jc w:val="right"/>
        <w:rPr>
          <w:rFonts w:ascii="Tahoma"/>
          <w:sz w:val="28"/>
        </w:rPr>
        <w:sectPr>
          <w:type w:val="continuous"/>
          <w:pgSz w:w="11910" w:h="16840"/>
          <w:pgMar w:top="0" w:bottom="280" w:left="1020" w:right="1020"/>
        </w:sectPr>
      </w:pPr>
    </w:p>
    <w:p>
      <w:pPr>
        <w:pStyle w:val="BodyText"/>
        <w:spacing w:before="6"/>
        <w:ind w:left="0"/>
        <w:rPr>
          <w:rFonts w:ascii="Tahoma"/>
          <w:b/>
          <w:sz w:val="16"/>
        </w:rPr>
      </w:pPr>
    </w:p>
    <w:p>
      <w:pPr>
        <w:spacing w:after="0"/>
        <w:rPr>
          <w:rFonts w:ascii="Tahoma"/>
          <w:sz w:val="16"/>
        </w:rPr>
        <w:sectPr>
          <w:pgSz w:w="11910" w:h="16840"/>
          <w:pgMar w:top="1920" w:bottom="280" w:left="1020" w:right="1020"/>
        </w:sectPr>
      </w:pPr>
    </w:p>
    <w:p>
      <w:pPr>
        <w:pStyle w:val="BodyText"/>
        <w:ind w:left="0"/>
        <w:rPr>
          <w:rFonts w:ascii="Tahoma"/>
          <w:b/>
        </w:rPr>
      </w:pPr>
    </w:p>
    <w:p>
      <w:pPr>
        <w:pStyle w:val="BodyText"/>
        <w:ind w:left="0"/>
        <w:rPr>
          <w:rFonts w:ascii="Tahoma"/>
          <w:b/>
        </w:rPr>
      </w:pPr>
    </w:p>
    <w:p>
      <w:pPr>
        <w:pStyle w:val="BodyText"/>
        <w:ind w:left="0"/>
        <w:rPr>
          <w:rFonts w:ascii="Tahoma"/>
          <w:b/>
        </w:rPr>
      </w:pPr>
    </w:p>
    <w:p>
      <w:pPr>
        <w:pStyle w:val="BodyText"/>
        <w:ind w:left="0"/>
        <w:rPr>
          <w:rFonts w:ascii="Tahoma"/>
          <w:b/>
        </w:rPr>
      </w:pPr>
    </w:p>
    <w:p>
      <w:pPr>
        <w:pStyle w:val="BodyText"/>
        <w:ind w:left="0"/>
        <w:rPr>
          <w:rFonts w:ascii="Tahoma"/>
          <w:b/>
        </w:rPr>
      </w:pPr>
    </w:p>
    <w:p>
      <w:pPr>
        <w:pStyle w:val="BodyText"/>
        <w:ind w:left="0"/>
        <w:rPr>
          <w:rFonts w:ascii="Tahoma"/>
          <w:b/>
        </w:rPr>
      </w:pPr>
    </w:p>
    <w:p>
      <w:pPr>
        <w:pStyle w:val="BodyText"/>
        <w:ind w:left="0"/>
        <w:rPr>
          <w:rFonts w:ascii="Tahoma"/>
          <w:b/>
        </w:rPr>
      </w:pPr>
    </w:p>
    <w:p>
      <w:pPr>
        <w:pStyle w:val="BodyText"/>
        <w:ind w:left="0"/>
        <w:rPr>
          <w:rFonts w:ascii="Tahoma"/>
          <w:b/>
        </w:rPr>
      </w:pPr>
    </w:p>
    <w:p>
      <w:pPr>
        <w:pStyle w:val="BodyText"/>
        <w:ind w:left="0"/>
        <w:rPr>
          <w:rFonts w:ascii="Tahoma"/>
          <w:b/>
        </w:rPr>
      </w:pPr>
    </w:p>
    <w:p>
      <w:pPr>
        <w:pStyle w:val="BodyText"/>
        <w:ind w:left="0"/>
        <w:rPr>
          <w:rFonts w:ascii="Tahoma"/>
          <w:b/>
        </w:rPr>
      </w:pPr>
    </w:p>
    <w:p>
      <w:pPr>
        <w:pStyle w:val="BodyText"/>
        <w:ind w:left="0"/>
        <w:rPr>
          <w:rFonts w:ascii="Tahoma"/>
          <w:b/>
        </w:rPr>
      </w:pPr>
    </w:p>
    <w:p>
      <w:pPr>
        <w:pStyle w:val="BodyText"/>
        <w:ind w:left="0"/>
        <w:rPr>
          <w:rFonts w:ascii="Tahoma"/>
          <w:b/>
        </w:rPr>
      </w:pPr>
    </w:p>
    <w:p>
      <w:pPr>
        <w:pStyle w:val="BodyText"/>
        <w:ind w:left="0"/>
        <w:rPr>
          <w:rFonts w:ascii="Tahoma"/>
          <w:b/>
        </w:rPr>
      </w:pPr>
    </w:p>
    <w:p>
      <w:pPr>
        <w:pStyle w:val="BodyText"/>
        <w:ind w:left="0"/>
        <w:rPr>
          <w:rFonts w:ascii="Tahoma"/>
          <w:b/>
        </w:rPr>
      </w:pPr>
    </w:p>
    <w:p>
      <w:pPr>
        <w:pStyle w:val="BodyText"/>
        <w:ind w:left="0"/>
        <w:rPr>
          <w:rFonts w:ascii="Tahoma"/>
          <w:b/>
        </w:rPr>
      </w:pPr>
    </w:p>
    <w:p>
      <w:pPr>
        <w:pStyle w:val="BodyText"/>
        <w:ind w:left="0"/>
        <w:rPr>
          <w:rFonts w:ascii="Tahoma"/>
          <w:b/>
        </w:rPr>
      </w:pPr>
    </w:p>
    <w:p>
      <w:pPr>
        <w:pStyle w:val="BodyText"/>
        <w:ind w:left="0"/>
        <w:rPr>
          <w:rFonts w:ascii="Tahoma"/>
          <w:b/>
        </w:rPr>
      </w:pPr>
    </w:p>
    <w:p>
      <w:pPr>
        <w:pStyle w:val="BodyText"/>
        <w:ind w:left="0"/>
        <w:rPr>
          <w:rFonts w:ascii="Tahoma"/>
          <w:b/>
        </w:rPr>
      </w:pPr>
    </w:p>
    <w:p>
      <w:pPr>
        <w:pStyle w:val="BodyText"/>
        <w:ind w:left="0"/>
        <w:rPr>
          <w:rFonts w:ascii="Tahoma"/>
          <w:b/>
        </w:rPr>
      </w:pPr>
    </w:p>
    <w:p>
      <w:pPr>
        <w:pStyle w:val="BodyText"/>
        <w:ind w:left="0"/>
        <w:rPr>
          <w:rFonts w:ascii="Tahoma"/>
          <w:b/>
        </w:rPr>
      </w:pPr>
    </w:p>
    <w:p>
      <w:pPr>
        <w:pStyle w:val="BodyText"/>
        <w:ind w:left="0"/>
        <w:rPr>
          <w:rFonts w:ascii="Tahoma"/>
          <w:b/>
        </w:rPr>
      </w:pPr>
    </w:p>
    <w:p>
      <w:pPr>
        <w:pStyle w:val="BodyText"/>
        <w:ind w:left="0"/>
        <w:rPr>
          <w:rFonts w:ascii="Tahoma"/>
          <w:b/>
        </w:rPr>
      </w:pPr>
    </w:p>
    <w:p>
      <w:pPr>
        <w:pStyle w:val="BodyText"/>
        <w:ind w:left="0"/>
        <w:rPr>
          <w:rFonts w:ascii="Tahoma"/>
          <w:b/>
        </w:rPr>
      </w:pPr>
    </w:p>
    <w:p>
      <w:pPr>
        <w:pStyle w:val="BodyText"/>
        <w:ind w:left="0"/>
        <w:rPr>
          <w:rFonts w:ascii="Tahoma"/>
          <w:b/>
        </w:rPr>
      </w:pPr>
    </w:p>
    <w:p>
      <w:pPr>
        <w:pStyle w:val="BodyText"/>
        <w:ind w:left="0"/>
        <w:rPr>
          <w:rFonts w:ascii="Tahoma"/>
          <w:b/>
        </w:rPr>
      </w:pPr>
    </w:p>
    <w:p>
      <w:pPr>
        <w:pStyle w:val="BodyText"/>
        <w:ind w:left="0"/>
        <w:rPr>
          <w:rFonts w:ascii="Tahoma"/>
          <w:b/>
        </w:rPr>
      </w:pPr>
    </w:p>
    <w:p>
      <w:pPr>
        <w:pStyle w:val="BodyText"/>
        <w:ind w:left="0"/>
        <w:rPr>
          <w:rFonts w:ascii="Tahoma"/>
          <w:b/>
        </w:rPr>
      </w:pPr>
    </w:p>
    <w:p>
      <w:pPr>
        <w:pStyle w:val="BodyText"/>
        <w:ind w:left="0"/>
        <w:rPr>
          <w:rFonts w:ascii="Tahoma"/>
          <w:b/>
        </w:rPr>
      </w:pPr>
    </w:p>
    <w:p>
      <w:pPr>
        <w:pStyle w:val="BodyText"/>
        <w:ind w:left="0"/>
        <w:rPr>
          <w:rFonts w:ascii="Tahoma"/>
          <w:b/>
        </w:rPr>
      </w:pPr>
    </w:p>
    <w:p>
      <w:pPr>
        <w:pStyle w:val="BodyText"/>
        <w:ind w:left="0"/>
        <w:rPr>
          <w:rFonts w:ascii="Tahoma"/>
          <w:b/>
        </w:rPr>
      </w:pPr>
    </w:p>
    <w:p>
      <w:pPr>
        <w:pStyle w:val="BodyText"/>
        <w:ind w:left="0"/>
        <w:rPr>
          <w:rFonts w:ascii="Tahoma"/>
          <w:b/>
        </w:rPr>
      </w:pPr>
    </w:p>
    <w:p>
      <w:pPr>
        <w:pStyle w:val="BodyText"/>
        <w:spacing w:before="271"/>
        <w:ind w:left="0"/>
        <w:rPr>
          <w:rFonts w:ascii="Tahoma"/>
          <w:b/>
        </w:rPr>
      </w:pPr>
    </w:p>
    <w:p>
      <w:pPr>
        <w:pStyle w:val="BodyText"/>
      </w:pPr>
      <w:r>
        <w:rPr>
          <w:w w:val="110"/>
        </w:rPr>
        <w:t>This</w:t>
      </w:r>
      <w:r>
        <w:rPr>
          <w:spacing w:val="6"/>
          <w:w w:val="110"/>
        </w:rPr>
        <w:t> </w:t>
      </w:r>
      <w:r>
        <w:rPr>
          <w:w w:val="110"/>
        </w:rPr>
        <w:t>paper</w:t>
      </w:r>
      <w:r>
        <w:rPr>
          <w:spacing w:val="7"/>
          <w:w w:val="110"/>
        </w:rPr>
        <w:t> </w:t>
      </w:r>
      <w:r>
        <w:rPr>
          <w:w w:val="110"/>
        </w:rPr>
        <w:t>was</w:t>
      </w:r>
      <w:r>
        <w:rPr>
          <w:spacing w:val="6"/>
          <w:w w:val="110"/>
        </w:rPr>
        <w:t> </w:t>
      </w:r>
      <w:r>
        <w:rPr>
          <w:w w:val="110"/>
        </w:rPr>
        <w:t>written</w:t>
      </w:r>
      <w:r>
        <w:rPr>
          <w:spacing w:val="7"/>
          <w:w w:val="110"/>
        </w:rPr>
        <w:t> </w:t>
      </w:r>
      <w:r>
        <w:rPr>
          <w:w w:val="110"/>
        </w:rPr>
        <w:t>by</w:t>
      </w:r>
      <w:r>
        <w:rPr>
          <w:spacing w:val="6"/>
          <w:w w:val="110"/>
        </w:rPr>
        <w:t> </w:t>
      </w:r>
      <w:r>
        <w:rPr>
          <w:w w:val="110"/>
        </w:rPr>
        <w:t>Professor</w:t>
      </w:r>
      <w:r>
        <w:rPr>
          <w:spacing w:val="7"/>
          <w:w w:val="110"/>
        </w:rPr>
        <w:t> </w:t>
      </w:r>
      <w:r>
        <w:rPr>
          <w:w w:val="110"/>
        </w:rPr>
        <w:t>Tobias</w:t>
      </w:r>
      <w:r>
        <w:rPr>
          <w:spacing w:val="7"/>
          <w:w w:val="110"/>
        </w:rPr>
        <w:t> </w:t>
      </w:r>
      <w:r>
        <w:rPr>
          <w:w w:val="110"/>
        </w:rPr>
        <w:t>Lock</w:t>
      </w:r>
      <w:r>
        <w:rPr>
          <w:spacing w:val="6"/>
          <w:w w:val="110"/>
        </w:rPr>
        <w:t> </w:t>
      </w:r>
      <w:r>
        <w:rPr>
          <w:w w:val="110"/>
        </w:rPr>
        <w:t>(Maynooth</w:t>
      </w:r>
      <w:r>
        <w:rPr>
          <w:spacing w:val="7"/>
          <w:w w:val="110"/>
        </w:rPr>
        <w:t> </w:t>
      </w:r>
      <w:r>
        <w:rPr>
          <w:spacing w:val="-2"/>
          <w:w w:val="110"/>
        </w:rPr>
        <w:t>University),</w:t>
      </w:r>
    </w:p>
    <w:p>
      <w:pPr>
        <w:pStyle w:val="BodyText"/>
        <w:spacing w:line="268" w:lineRule="auto" w:before="34"/>
        <w:ind w:right="471"/>
      </w:pPr>
      <w:r>
        <w:rPr>
          <w:w w:val="115"/>
        </w:rPr>
        <w:t>Dr</w:t>
      </w:r>
      <w:r>
        <w:rPr>
          <w:spacing w:val="-14"/>
          <w:w w:val="115"/>
        </w:rPr>
        <w:t> </w:t>
      </w:r>
      <w:r>
        <w:rPr>
          <w:w w:val="115"/>
        </w:rPr>
        <w:t>Eleni</w:t>
      </w:r>
      <w:r>
        <w:rPr>
          <w:spacing w:val="-14"/>
          <w:w w:val="115"/>
        </w:rPr>
        <w:t> </w:t>
      </w:r>
      <w:r>
        <w:rPr>
          <w:w w:val="115"/>
        </w:rPr>
        <w:t>Frantziou</w:t>
      </w:r>
      <w:r>
        <w:rPr>
          <w:spacing w:val="-14"/>
          <w:w w:val="115"/>
        </w:rPr>
        <w:t> </w:t>
      </w:r>
      <w:r>
        <w:rPr>
          <w:w w:val="115"/>
        </w:rPr>
        <w:t>(Durham</w:t>
      </w:r>
      <w:r>
        <w:rPr>
          <w:spacing w:val="-14"/>
          <w:w w:val="115"/>
        </w:rPr>
        <w:t> </w:t>
      </w:r>
      <w:r>
        <w:rPr>
          <w:w w:val="115"/>
        </w:rPr>
        <w:t>University)</w:t>
      </w:r>
      <w:r>
        <w:rPr>
          <w:spacing w:val="-14"/>
          <w:w w:val="115"/>
        </w:rPr>
        <w:t> </w:t>
      </w:r>
      <w:r>
        <w:rPr>
          <w:w w:val="115"/>
        </w:rPr>
        <w:t>and</w:t>
      </w:r>
      <w:r>
        <w:rPr>
          <w:spacing w:val="-14"/>
          <w:w w:val="115"/>
        </w:rPr>
        <w:t> </w:t>
      </w:r>
      <w:r>
        <w:rPr>
          <w:w w:val="115"/>
        </w:rPr>
        <w:t>Anurag</w:t>
      </w:r>
      <w:r>
        <w:rPr>
          <w:spacing w:val="-14"/>
          <w:w w:val="115"/>
        </w:rPr>
        <w:t> </w:t>
      </w:r>
      <w:r>
        <w:rPr>
          <w:w w:val="115"/>
        </w:rPr>
        <w:t>Deb</w:t>
      </w:r>
      <w:r>
        <w:rPr>
          <w:spacing w:val="-14"/>
          <w:w w:val="115"/>
        </w:rPr>
        <w:t> </w:t>
      </w:r>
      <w:r>
        <w:rPr>
          <w:w w:val="115"/>
        </w:rPr>
        <w:t>(Queen’s</w:t>
      </w:r>
      <w:r>
        <w:rPr>
          <w:spacing w:val="-14"/>
          <w:w w:val="115"/>
        </w:rPr>
        <w:t> </w:t>
      </w:r>
      <w:r>
        <w:rPr>
          <w:w w:val="115"/>
        </w:rPr>
        <w:t>University Belfast)</w:t>
      </w:r>
      <w:r>
        <w:rPr>
          <w:spacing w:val="-15"/>
          <w:w w:val="115"/>
        </w:rPr>
        <w:t> </w:t>
      </w:r>
      <w:r>
        <w:rPr>
          <w:w w:val="115"/>
        </w:rPr>
        <w:t>for</w:t>
      </w:r>
      <w:r>
        <w:rPr>
          <w:spacing w:val="-15"/>
          <w:w w:val="115"/>
        </w:rPr>
        <w:t> </w:t>
      </w:r>
      <w:r>
        <w:rPr>
          <w:w w:val="115"/>
        </w:rPr>
        <w:t>the</w:t>
      </w:r>
      <w:r>
        <w:rPr>
          <w:spacing w:val="-15"/>
          <w:w w:val="115"/>
        </w:rPr>
        <w:t> </w:t>
      </w:r>
      <w:r>
        <w:rPr>
          <w:w w:val="115"/>
        </w:rPr>
        <w:t>Northern</w:t>
      </w:r>
      <w:r>
        <w:rPr>
          <w:spacing w:val="-15"/>
          <w:w w:val="115"/>
        </w:rPr>
        <w:t> </w:t>
      </w:r>
      <w:r>
        <w:rPr>
          <w:w w:val="115"/>
        </w:rPr>
        <w:t>Ireland</w:t>
      </w:r>
      <w:r>
        <w:rPr>
          <w:spacing w:val="-15"/>
          <w:w w:val="115"/>
        </w:rPr>
        <w:t> </w:t>
      </w:r>
      <w:r>
        <w:rPr>
          <w:w w:val="115"/>
        </w:rPr>
        <w:t>Human</w:t>
      </w:r>
      <w:r>
        <w:rPr>
          <w:spacing w:val="-15"/>
          <w:w w:val="115"/>
        </w:rPr>
        <w:t> </w:t>
      </w:r>
      <w:r>
        <w:rPr>
          <w:w w:val="115"/>
        </w:rPr>
        <w:t>Rights</w:t>
      </w:r>
      <w:r>
        <w:rPr>
          <w:spacing w:val="-15"/>
          <w:w w:val="115"/>
        </w:rPr>
        <w:t> </w:t>
      </w:r>
      <w:r>
        <w:rPr>
          <w:w w:val="115"/>
        </w:rPr>
        <w:t>Commission.</w:t>
      </w:r>
      <w:r>
        <w:rPr>
          <w:spacing w:val="-15"/>
          <w:w w:val="115"/>
        </w:rPr>
        <w:t> </w:t>
      </w:r>
      <w:r>
        <w:rPr>
          <w:w w:val="115"/>
        </w:rPr>
        <w:t>The</w:t>
      </w:r>
      <w:r>
        <w:rPr>
          <w:spacing w:val="-15"/>
          <w:w w:val="115"/>
        </w:rPr>
        <w:t> </w:t>
      </w:r>
      <w:r>
        <w:rPr>
          <w:w w:val="115"/>
        </w:rPr>
        <w:t>views expressed</w:t>
      </w:r>
      <w:r>
        <w:rPr>
          <w:spacing w:val="-20"/>
          <w:w w:val="115"/>
        </w:rPr>
        <w:t> </w:t>
      </w:r>
      <w:r>
        <w:rPr>
          <w:w w:val="115"/>
        </w:rPr>
        <w:t>in</w:t>
      </w:r>
      <w:r>
        <w:rPr>
          <w:spacing w:val="-19"/>
          <w:w w:val="115"/>
        </w:rPr>
        <w:t> </w:t>
      </w:r>
      <w:r>
        <w:rPr>
          <w:w w:val="115"/>
        </w:rPr>
        <w:t>the</w:t>
      </w:r>
      <w:r>
        <w:rPr>
          <w:spacing w:val="-19"/>
          <w:w w:val="115"/>
        </w:rPr>
        <w:t> </w:t>
      </w:r>
      <w:r>
        <w:rPr>
          <w:w w:val="115"/>
        </w:rPr>
        <w:t>paper</w:t>
      </w:r>
      <w:r>
        <w:rPr>
          <w:spacing w:val="-19"/>
          <w:w w:val="115"/>
        </w:rPr>
        <w:t> </w:t>
      </w:r>
      <w:r>
        <w:rPr>
          <w:w w:val="115"/>
        </w:rPr>
        <w:t>do</w:t>
      </w:r>
      <w:r>
        <w:rPr>
          <w:spacing w:val="-19"/>
          <w:w w:val="115"/>
        </w:rPr>
        <w:t> </w:t>
      </w:r>
      <w:r>
        <w:rPr>
          <w:w w:val="115"/>
        </w:rPr>
        <w:t>not</w:t>
      </w:r>
      <w:r>
        <w:rPr>
          <w:spacing w:val="-20"/>
          <w:w w:val="115"/>
        </w:rPr>
        <w:t> </w:t>
      </w:r>
      <w:r>
        <w:rPr>
          <w:w w:val="115"/>
        </w:rPr>
        <w:t>necessarily</w:t>
      </w:r>
      <w:r>
        <w:rPr>
          <w:spacing w:val="-19"/>
          <w:w w:val="115"/>
        </w:rPr>
        <w:t> </w:t>
      </w:r>
      <w:r>
        <w:rPr>
          <w:w w:val="115"/>
        </w:rPr>
        <w:t>represent</w:t>
      </w:r>
      <w:r>
        <w:rPr>
          <w:spacing w:val="-19"/>
          <w:w w:val="115"/>
        </w:rPr>
        <w:t> </w:t>
      </w:r>
      <w:r>
        <w:rPr>
          <w:w w:val="115"/>
        </w:rPr>
        <w:t>the</w:t>
      </w:r>
      <w:r>
        <w:rPr>
          <w:spacing w:val="-19"/>
          <w:w w:val="115"/>
        </w:rPr>
        <w:t> </w:t>
      </w:r>
      <w:r>
        <w:rPr>
          <w:w w:val="115"/>
        </w:rPr>
        <w:t>views</w:t>
      </w:r>
      <w:r>
        <w:rPr>
          <w:spacing w:val="-19"/>
          <w:w w:val="115"/>
        </w:rPr>
        <w:t> </w:t>
      </w:r>
      <w:r>
        <w:rPr>
          <w:w w:val="115"/>
        </w:rPr>
        <w:t>of</w:t>
      </w:r>
      <w:r>
        <w:rPr>
          <w:spacing w:val="-19"/>
          <w:w w:val="115"/>
        </w:rPr>
        <w:t> </w:t>
      </w:r>
      <w:r>
        <w:rPr>
          <w:w w:val="115"/>
        </w:rPr>
        <w:t>the</w:t>
      </w:r>
      <w:r>
        <w:rPr>
          <w:spacing w:val="-20"/>
          <w:w w:val="115"/>
        </w:rPr>
        <w:t> </w:t>
      </w:r>
      <w:r>
        <w:rPr>
          <w:w w:val="115"/>
        </w:rPr>
        <w:t>Northern Ireland</w:t>
      </w:r>
      <w:r>
        <w:rPr>
          <w:spacing w:val="-14"/>
          <w:w w:val="115"/>
        </w:rPr>
        <w:t> </w:t>
      </w:r>
      <w:r>
        <w:rPr>
          <w:w w:val="115"/>
        </w:rPr>
        <w:t>Human</w:t>
      </w:r>
      <w:r>
        <w:rPr>
          <w:spacing w:val="-14"/>
          <w:w w:val="115"/>
        </w:rPr>
        <w:t> </w:t>
      </w:r>
      <w:r>
        <w:rPr>
          <w:w w:val="115"/>
        </w:rPr>
        <w:t>Rights</w:t>
      </w:r>
      <w:r>
        <w:rPr>
          <w:spacing w:val="-14"/>
          <w:w w:val="115"/>
        </w:rPr>
        <w:t> </w:t>
      </w:r>
      <w:r>
        <w:rPr>
          <w:w w:val="115"/>
        </w:rPr>
        <w:t>Commission,</w:t>
      </w:r>
      <w:r>
        <w:rPr>
          <w:spacing w:val="-14"/>
          <w:w w:val="115"/>
        </w:rPr>
        <w:t> </w:t>
      </w:r>
      <w:r>
        <w:rPr>
          <w:w w:val="115"/>
        </w:rPr>
        <w:t>nor</w:t>
      </w:r>
      <w:r>
        <w:rPr>
          <w:spacing w:val="-14"/>
          <w:w w:val="115"/>
        </w:rPr>
        <w:t> </w:t>
      </w:r>
      <w:r>
        <w:rPr>
          <w:w w:val="115"/>
        </w:rPr>
        <w:t>the</w:t>
      </w:r>
      <w:r>
        <w:rPr>
          <w:spacing w:val="-14"/>
          <w:w w:val="115"/>
        </w:rPr>
        <w:t> </w:t>
      </w:r>
      <w:r>
        <w:rPr>
          <w:w w:val="115"/>
        </w:rPr>
        <w:t>employers</w:t>
      </w:r>
      <w:r>
        <w:rPr>
          <w:spacing w:val="-14"/>
          <w:w w:val="115"/>
        </w:rPr>
        <w:t> </w:t>
      </w:r>
      <w:r>
        <w:rPr>
          <w:w w:val="115"/>
        </w:rPr>
        <w:t>of</w:t>
      </w:r>
      <w:r>
        <w:rPr>
          <w:spacing w:val="-14"/>
          <w:w w:val="115"/>
        </w:rPr>
        <w:t> </w:t>
      </w:r>
      <w:r>
        <w:rPr>
          <w:w w:val="115"/>
        </w:rPr>
        <w:t>the</w:t>
      </w:r>
      <w:r>
        <w:rPr>
          <w:spacing w:val="-14"/>
          <w:w w:val="115"/>
        </w:rPr>
        <w:t> </w:t>
      </w:r>
      <w:r>
        <w:rPr>
          <w:w w:val="115"/>
        </w:rPr>
        <w:t>authors.</w:t>
      </w:r>
    </w:p>
    <w:p>
      <w:pPr>
        <w:pStyle w:val="BodyText"/>
        <w:spacing w:line="268" w:lineRule="auto" w:before="3"/>
        <w:ind w:right="1291"/>
      </w:pPr>
      <w:r>
        <w:rPr>
          <w:w w:val="115"/>
        </w:rPr>
        <w:t>The</w:t>
      </w:r>
      <w:r>
        <w:rPr>
          <w:spacing w:val="-20"/>
          <w:w w:val="115"/>
        </w:rPr>
        <w:t> </w:t>
      </w:r>
      <w:r>
        <w:rPr>
          <w:w w:val="115"/>
        </w:rPr>
        <w:t>paper</w:t>
      </w:r>
      <w:r>
        <w:rPr>
          <w:spacing w:val="-19"/>
          <w:w w:val="115"/>
        </w:rPr>
        <w:t> </w:t>
      </w:r>
      <w:r>
        <w:rPr>
          <w:w w:val="115"/>
        </w:rPr>
        <w:t>is</w:t>
      </w:r>
      <w:r>
        <w:rPr>
          <w:spacing w:val="-19"/>
          <w:w w:val="115"/>
        </w:rPr>
        <w:t> </w:t>
      </w:r>
      <w:r>
        <w:rPr>
          <w:w w:val="115"/>
        </w:rPr>
        <w:t>not</w:t>
      </w:r>
      <w:r>
        <w:rPr>
          <w:spacing w:val="-19"/>
          <w:w w:val="115"/>
        </w:rPr>
        <w:t> </w:t>
      </w:r>
      <w:r>
        <w:rPr>
          <w:w w:val="115"/>
        </w:rPr>
        <w:t>intended</w:t>
      </w:r>
      <w:r>
        <w:rPr>
          <w:spacing w:val="-19"/>
          <w:w w:val="115"/>
        </w:rPr>
        <w:t> </w:t>
      </w:r>
      <w:r>
        <w:rPr>
          <w:w w:val="115"/>
        </w:rPr>
        <w:t>to</w:t>
      </w:r>
      <w:r>
        <w:rPr>
          <w:spacing w:val="-19"/>
          <w:w w:val="115"/>
        </w:rPr>
        <w:t> </w:t>
      </w:r>
      <w:r>
        <w:rPr>
          <w:w w:val="115"/>
        </w:rPr>
        <w:t>be</w:t>
      </w:r>
      <w:r>
        <w:rPr>
          <w:spacing w:val="-20"/>
          <w:w w:val="115"/>
        </w:rPr>
        <w:t> </w:t>
      </w:r>
      <w:r>
        <w:rPr>
          <w:w w:val="115"/>
        </w:rPr>
        <w:t>relied</w:t>
      </w:r>
      <w:r>
        <w:rPr>
          <w:spacing w:val="-19"/>
          <w:w w:val="115"/>
        </w:rPr>
        <w:t> </w:t>
      </w:r>
      <w:r>
        <w:rPr>
          <w:w w:val="115"/>
        </w:rPr>
        <w:t>upon</w:t>
      </w:r>
      <w:r>
        <w:rPr>
          <w:spacing w:val="-19"/>
          <w:w w:val="115"/>
        </w:rPr>
        <w:t> </w:t>
      </w:r>
      <w:r>
        <w:rPr>
          <w:w w:val="115"/>
        </w:rPr>
        <w:t>as</w:t>
      </w:r>
      <w:r>
        <w:rPr>
          <w:spacing w:val="-19"/>
          <w:w w:val="115"/>
        </w:rPr>
        <w:t> </w:t>
      </w:r>
      <w:r>
        <w:rPr>
          <w:w w:val="115"/>
        </w:rPr>
        <w:t>legal</w:t>
      </w:r>
      <w:r>
        <w:rPr>
          <w:spacing w:val="-19"/>
          <w:w w:val="115"/>
        </w:rPr>
        <w:t> </w:t>
      </w:r>
      <w:r>
        <w:rPr>
          <w:w w:val="115"/>
        </w:rPr>
        <w:t>advice</w:t>
      </w:r>
      <w:r>
        <w:rPr>
          <w:spacing w:val="-19"/>
          <w:w w:val="115"/>
        </w:rPr>
        <w:t> </w:t>
      </w:r>
      <w:r>
        <w:rPr>
          <w:w w:val="115"/>
        </w:rPr>
        <w:t>applicable to any individual case.</w:t>
      </w:r>
    </w:p>
    <w:p>
      <w:pPr>
        <w:pStyle w:val="BodyText"/>
        <w:spacing w:before="264"/>
        <w:rPr>
          <w:rFonts w:ascii="Lucida Sans Unicode"/>
        </w:rPr>
      </w:pPr>
      <w:r>
        <w:rPr>
          <w:rFonts w:ascii="Lucida Sans Unicode"/>
        </w:rPr>
        <w:t>Paper</w:t>
      </w:r>
      <w:r>
        <w:rPr>
          <w:rFonts w:ascii="Lucida Sans Unicode"/>
          <w:spacing w:val="13"/>
        </w:rPr>
        <w:t> </w:t>
      </w:r>
      <w:r>
        <w:rPr>
          <w:rFonts w:ascii="Lucida Sans Unicode"/>
        </w:rPr>
        <w:t>finalised</w:t>
      </w:r>
      <w:r>
        <w:rPr>
          <w:rFonts w:ascii="Lucida Sans Unicode"/>
          <w:spacing w:val="14"/>
        </w:rPr>
        <w:t> </w:t>
      </w:r>
      <w:r>
        <w:rPr>
          <w:rFonts w:ascii="Lucida Sans Unicode"/>
        </w:rPr>
        <w:t>March</w:t>
      </w:r>
      <w:r>
        <w:rPr>
          <w:rFonts w:ascii="Lucida Sans Unicode"/>
          <w:spacing w:val="14"/>
        </w:rPr>
        <w:t> </w:t>
      </w:r>
      <w:r>
        <w:rPr>
          <w:rFonts w:ascii="Lucida Sans Unicode"/>
          <w:spacing w:val="-4"/>
        </w:rPr>
        <w:t>2024.</w:t>
      </w:r>
    </w:p>
    <w:p>
      <w:pPr>
        <w:pStyle w:val="BodyText"/>
        <w:spacing w:line="610" w:lineRule="atLeast"/>
        <w:ind w:right="630"/>
        <w:rPr>
          <w:rFonts w:ascii="Lucida Sans Unicode" w:hAnsi="Lucida Sans Unicode"/>
        </w:rPr>
      </w:pPr>
      <w:r>
        <w:rPr>
          <w:rFonts w:ascii="Lucida Sans Unicode" w:hAnsi="Lucida Sans Unicode"/>
        </w:rPr>
        <w:t>© 2024. Copyright is held by Northern Ireland Human Rights </w:t>
      </w:r>
      <w:r>
        <w:rPr>
          <w:rFonts w:ascii="Lucida Sans Unicode" w:hAnsi="Lucida Sans Unicode"/>
        </w:rPr>
        <w:t>Commission. Northern Ireland Human Rights Commission, 4th Floor, Alfred House,</w:t>
      </w:r>
    </w:p>
    <w:p>
      <w:pPr>
        <w:pStyle w:val="BodyText"/>
        <w:spacing w:line="310" w:lineRule="exact"/>
        <w:rPr>
          <w:rFonts w:ascii="Lucida Sans Unicode"/>
        </w:rPr>
      </w:pPr>
      <w:r>
        <w:rPr>
          <w:rFonts w:ascii="Lucida Sans Unicode"/>
        </w:rPr>
        <w:t>19-21</w:t>
      </w:r>
      <w:r>
        <w:rPr>
          <w:rFonts w:ascii="Lucida Sans Unicode"/>
          <w:spacing w:val="-19"/>
        </w:rPr>
        <w:t> </w:t>
      </w:r>
      <w:r>
        <w:rPr>
          <w:rFonts w:ascii="Lucida Sans Unicode"/>
        </w:rPr>
        <w:t>Alfred</w:t>
      </w:r>
      <w:r>
        <w:rPr>
          <w:rFonts w:ascii="Lucida Sans Unicode"/>
          <w:spacing w:val="-18"/>
        </w:rPr>
        <w:t> </w:t>
      </w:r>
      <w:r>
        <w:rPr>
          <w:rFonts w:ascii="Lucida Sans Unicode"/>
        </w:rPr>
        <w:t>Street,</w:t>
      </w:r>
      <w:r>
        <w:rPr>
          <w:rFonts w:ascii="Lucida Sans Unicode"/>
          <w:spacing w:val="-19"/>
        </w:rPr>
        <w:t> </w:t>
      </w:r>
      <w:r>
        <w:rPr>
          <w:rFonts w:ascii="Lucida Sans Unicode"/>
        </w:rPr>
        <w:t>Belfast</w:t>
      </w:r>
      <w:r>
        <w:rPr>
          <w:rFonts w:ascii="Lucida Sans Unicode"/>
          <w:spacing w:val="-18"/>
        </w:rPr>
        <w:t> </w:t>
      </w:r>
      <w:r>
        <w:rPr>
          <w:rFonts w:ascii="Lucida Sans Unicode"/>
        </w:rPr>
        <w:t>BT2</w:t>
      </w:r>
      <w:r>
        <w:rPr>
          <w:rFonts w:ascii="Lucida Sans Unicode"/>
          <w:spacing w:val="-19"/>
        </w:rPr>
        <w:t> </w:t>
      </w:r>
      <w:r>
        <w:rPr>
          <w:rFonts w:ascii="Lucida Sans Unicode"/>
          <w:spacing w:val="-4"/>
        </w:rPr>
        <w:t>8ED.</w:t>
      </w:r>
    </w:p>
    <w:p>
      <w:pPr>
        <w:spacing w:after="0" w:line="310" w:lineRule="exact"/>
        <w:rPr>
          <w:rFonts w:ascii="Lucida Sans Unicode"/>
        </w:rPr>
        <w:sectPr>
          <w:pgSz w:w="11910" w:h="16840"/>
          <w:pgMar w:top="1920" w:bottom="280" w:left="1020" w:right="1020"/>
        </w:sectPr>
      </w:pPr>
    </w:p>
    <w:p>
      <w:pPr>
        <w:spacing w:before="54"/>
        <w:ind w:left="113" w:right="0" w:firstLine="0"/>
        <w:jc w:val="left"/>
        <w:rPr>
          <w:sz w:val="14"/>
        </w:rPr>
      </w:pPr>
      <w:r>
        <w:rPr/>
        <mc:AlternateContent>
          <mc:Choice Requires="wps">
            <w:drawing>
              <wp:anchor distT="0" distB="0" distL="0" distR="0" allowOverlap="1" layoutInCell="1" locked="0" behindDoc="1" simplePos="0" relativeHeight="485730816">
                <wp:simplePos x="0" y="0"/>
                <wp:positionH relativeFrom="page">
                  <wp:posOffset>0</wp:posOffset>
                </wp:positionH>
                <wp:positionV relativeFrom="page">
                  <wp:posOffset>0</wp:posOffset>
                </wp:positionV>
                <wp:extent cx="7560309" cy="1069213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77328A"/>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7585664" id="docshape27" filled="true" fillcolor="#77328a" stroked="false">
                <v:fill type="solid"/>
                <w10:wrap type="none"/>
              </v:rect>
            </w:pict>
          </mc:Fallback>
        </mc:AlternateContent>
      </w:r>
      <w:r>
        <w:rPr>
          <w:color w:val="FFFFFF"/>
          <w:w w:val="110"/>
          <w:sz w:val="14"/>
        </w:rPr>
        <w:t>The</w:t>
      </w:r>
      <w:r>
        <w:rPr>
          <w:color w:val="FFFFFF"/>
          <w:spacing w:val="7"/>
          <w:w w:val="110"/>
          <w:sz w:val="14"/>
        </w:rPr>
        <w:t> </w:t>
      </w:r>
      <w:r>
        <w:rPr>
          <w:color w:val="FFFFFF"/>
          <w:w w:val="110"/>
          <w:sz w:val="14"/>
        </w:rPr>
        <w:t>Interaction</w:t>
      </w:r>
      <w:r>
        <w:rPr>
          <w:color w:val="FFFFFF"/>
          <w:spacing w:val="8"/>
          <w:w w:val="110"/>
          <w:sz w:val="14"/>
        </w:rPr>
        <w:t> </w:t>
      </w:r>
      <w:r>
        <w:rPr>
          <w:color w:val="FFFFFF"/>
          <w:w w:val="110"/>
          <w:sz w:val="14"/>
        </w:rPr>
        <w:t>between</w:t>
      </w:r>
      <w:r>
        <w:rPr>
          <w:color w:val="FFFFFF"/>
          <w:spacing w:val="8"/>
          <w:w w:val="110"/>
          <w:sz w:val="14"/>
        </w:rPr>
        <w:t> </w:t>
      </w:r>
      <w:r>
        <w:rPr>
          <w:color w:val="FFFFFF"/>
          <w:w w:val="110"/>
          <w:sz w:val="14"/>
        </w:rPr>
        <w:t>the</w:t>
      </w:r>
      <w:r>
        <w:rPr>
          <w:color w:val="FFFFFF"/>
          <w:spacing w:val="8"/>
          <w:w w:val="110"/>
          <w:sz w:val="14"/>
        </w:rPr>
        <w:t> </w:t>
      </w:r>
      <w:r>
        <w:rPr>
          <w:color w:val="FFFFFF"/>
          <w:w w:val="110"/>
          <w:sz w:val="14"/>
        </w:rPr>
        <w:t>EU</w:t>
      </w:r>
      <w:r>
        <w:rPr>
          <w:color w:val="FFFFFF"/>
          <w:spacing w:val="7"/>
          <w:w w:val="110"/>
          <w:sz w:val="14"/>
        </w:rPr>
        <w:t> </w:t>
      </w:r>
      <w:r>
        <w:rPr>
          <w:color w:val="FFFFFF"/>
          <w:w w:val="110"/>
          <w:sz w:val="14"/>
        </w:rPr>
        <w:t>Charter</w:t>
      </w:r>
      <w:r>
        <w:rPr>
          <w:color w:val="FFFFFF"/>
          <w:spacing w:val="8"/>
          <w:w w:val="110"/>
          <w:sz w:val="14"/>
        </w:rPr>
        <w:t> </w:t>
      </w:r>
      <w:r>
        <w:rPr>
          <w:color w:val="FFFFFF"/>
          <w:w w:val="110"/>
          <w:sz w:val="14"/>
        </w:rPr>
        <w:t>of</w:t>
      </w:r>
      <w:r>
        <w:rPr>
          <w:color w:val="FFFFFF"/>
          <w:spacing w:val="8"/>
          <w:w w:val="110"/>
          <w:sz w:val="14"/>
        </w:rPr>
        <w:t> </w:t>
      </w:r>
      <w:r>
        <w:rPr>
          <w:color w:val="FFFFFF"/>
          <w:w w:val="110"/>
          <w:sz w:val="14"/>
        </w:rPr>
        <w:t>Fundamental</w:t>
      </w:r>
      <w:r>
        <w:rPr>
          <w:color w:val="FFFFFF"/>
          <w:spacing w:val="8"/>
          <w:w w:val="110"/>
          <w:sz w:val="14"/>
        </w:rPr>
        <w:t> </w:t>
      </w:r>
      <w:r>
        <w:rPr>
          <w:color w:val="FFFFFF"/>
          <w:w w:val="110"/>
          <w:sz w:val="14"/>
        </w:rPr>
        <w:t>Rights</w:t>
      </w:r>
      <w:r>
        <w:rPr>
          <w:color w:val="FFFFFF"/>
          <w:spacing w:val="8"/>
          <w:w w:val="110"/>
          <w:sz w:val="14"/>
        </w:rPr>
        <w:t> </w:t>
      </w:r>
      <w:r>
        <w:rPr>
          <w:color w:val="FFFFFF"/>
          <w:w w:val="110"/>
          <w:sz w:val="14"/>
        </w:rPr>
        <w:t>and</w:t>
      </w:r>
      <w:r>
        <w:rPr>
          <w:color w:val="FFFFFF"/>
          <w:spacing w:val="7"/>
          <w:w w:val="110"/>
          <w:sz w:val="14"/>
        </w:rPr>
        <w:t> </w:t>
      </w:r>
      <w:r>
        <w:rPr>
          <w:color w:val="FFFFFF"/>
          <w:w w:val="110"/>
          <w:sz w:val="14"/>
        </w:rPr>
        <w:t>general</w:t>
      </w:r>
      <w:r>
        <w:rPr>
          <w:color w:val="FFFFFF"/>
          <w:spacing w:val="8"/>
          <w:w w:val="110"/>
          <w:sz w:val="14"/>
        </w:rPr>
        <w:t> </w:t>
      </w:r>
      <w:r>
        <w:rPr>
          <w:color w:val="FFFFFF"/>
          <w:w w:val="110"/>
          <w:sz w:val="14"/>
        </w:rPr>
        <w:t>principles</w:t>
      </w:r>
      <w:r>
        <w:rPr>
          <w:color w:val="FFFFFF"/>
          <w:spacing w:val="8"/>
          <w:w w:val="110"/>
          <w:sz w:val="14"/>
        </w:rPr>
        <w:t> </w:t>
      </w:r>
      <w:r>
        <w:rPr>
          <w:color w:val="FFFFFF"/>
          <w:w w:val="110"/>
          <w:sz w:val="14"/>
        </w:rPr>
        <w:t>with</w:t>
      </w:r>
      <w:r>
        <w:rPr>
          <w:color w:val="FFFFFF"/>
          <w:spacing w:val="8"/>
          <w:w w:val="110"/>
          <w:sz w:val="14"/>
        </w:rPr>
        <w:t> </w:t>
      </w:r>
      <w:r>
        <w:rPr>
          <w:color w:val="FFFFFF"/>
          <w:w w:val="110"/>
          <w:sz w:val="14"/>
        </w:rPr>
        <w:t>the</w:t>
      </w:r>
      <w:r>
        <w:rPr>
          <w:color w:val="FFFFFF"/>
          <w:spacing w:val="7"/>
          <w:w w:val="110"/>
          <w:sz w:val="14"/>
        </w:rPr>
        <w:t> </w:t>
      </w:r>
      <w:r>
        <w:rPr>
          <w:color w:val="FFFFFF"/>
          <w:w w:val="110"/>
          <w:sz w:val="14"/>
        </w:rPr>
        <w:t>Windsor</w:t>
      </w:r>
      <w:r>
        <w:rPr>
          <w:color w:val="FFFFFF"/>
          <w:spacing w:val="8"/>
          <w:w w:val="110"/>
          <w:sz w:val="14"/>
        </w:rPr>
        <w:t> </w:t>
      </w:r>
      <w:r>
        <w:rPr>
          <w:color w:val="FFFFFF"/>
          <w:spacing w:val="-2"/>
          <w:w w:val="110"/>
          <w:sz w:val="14"/>
        </w:rPr>
        <w:t>Framework</w:t>
      </w:r>
    </w:p>
    <w:p>
      <w:pPr>
        <w:pStyle w:val="BodyText"/>
        <w:spacing w:before="7"/>
        <w:ind w:left="0"/>
        <w:rPr>
          <w:sz w:val="8"/>
        </w:rPr>
      </w:pPr>
      <w:r>
        <w:rPr/>
        <mc:AlternateContent>
          <mc:Choice Requires="wps">
            <w:drawing>
              <wp:anchor distT="0" distB="0" distL="0" distR="0" allowOverlap="1" layoutInCell="1" locked="0" behindDoc="1" simplePos="0" relativeHeight="487588864">
                <wp:simplePos x="0" y="0"/>
                <wp:positionH relativeFrom="page">
                  <wp:posOffset>719999</wp:posOffset>
                </wp:positionH>
                <wp:positionV relativeFrom="paragraph">
                  <wp:posOffset>78163</wp:posOffset>
                </wp:positionV>
                <wp:extent cx="6120130" cy="1270"/>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6120130" cy="1270"/>
                        </a:xfrm>
                        <a:custGeom>
                          <a:avLst/>
                          <a:gdLst/>
                          <a:ahLst/>
                          <a:cxnLst/>
                          <a:rect l="l" t="t" r="r" b="b"/>
                          <a:pathLst>
                            <a:path w="6120130" h="0">
                              <a:moveTo>
                                <a:pt x="0" y="0"/>
                              </a:moveTo>
                              <a:lnTo>
                                <a:pt x="6120003" y="0"/>
                              </a:lnTo>
                            </a:path>
                          </a:pathLst>
                        </a:custGeom>
                        <a:ln w="6350">
                          <a:solidFill>
                            <a:srgbClr val="B696C6"/>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6.154583pt;width:481.9pt;height:.1pt;mso-position-horizontal-relative:page;mso-position-vertical-relative:paragraph;z-index:-15727616;mso-wrap-distance-left:0;mso-wrap-distance-right:0" id="docshape28" coordorigin="1134,123" coordsize="9638,0" path="m1134,123l10772,123e" filled="false" stroked="true" strokeweight=".5pt" strokecolor="#b696c6">
                <v:path arrowok="t"/>
                <v:stroke dashstyle="solid"/>
                <w10:wrap type="topAndBottom"/>
              </v:shape>
            </w:pict>
          </mc:Fallback>
        </mc:AlternateContent>
      </w:r>
    </w:p>
    <w:p>
      <w:pPr>
        <w:pStyle w:val="BodyText"/>
        <w:spacing w:before="44"/>
        <w:ind w:left="0"/>
        <w:rPr>
          <w:sz w:val="60"/>
        </w:rPr>
      </w:pPr>
    </w:p>
    <w:p>
      <w:pPr>
        <w:spacing w:before="0"/>
        <w:ind w:left="113" w:right="0" w:firstLine="0"/>
        <w:jc w:val="left"/>
        <w:rPr>
          <w:rFonts w:ascii="Trebuchet MS"/>
          <w:sz w:val="60"/>
        </w:rPr>
      </w:pPr>
      <w:r>
        <w:rPr>
          <w:rFonts w:ascii="Trebuchet MS"/>
          <w:color w:val="FFFFFF"/>
          <w:w w:val="115"/>
          <w:sz w:val="60"/>
        </w:rPr>
        <w:t>About</w:t>
      </w:r>
      <w:r>
        <w:rPr>
          <w:rFonts w:ascii="Trebuchet MS"/>
          <w:color w:val="FFFFFF"/>
          <w:spacing w:val="-9"/>
          <w:w w:val="115"/>
          <w:sz w:val="60"/>
        </w:rPr>
        <w:t> </w:t>
      </w:r>
      <w:r>
        <w:rPr>
          <w:rFonts w:ascii="Trebuchet MS"/>
          <w:color w:val="FFFFFF"/>
          <w:w w:val="115"/>
          <w:sz w:val="60"/>
        </w:rPr>
        <w:t>the</w:t>
      </w:r>
      <w:r>
        <w:rPr>
          <w:rFonts w:ascii="Trebuchet MS"/>
          <w:color w:val="FFFFFF"/>
          <w:spacing w:val="-8"/>
          <w:w w:val="115"/>
          <w:sz w:val="60"/>
        </w:rPr>
        <w:t> </w:t>
      </w:r>
      <w:r>
        <w:rPr>
          <w:rFonts w:ascii="Trebuchet MS"/>
          <w:color w:val="FFFFFF"/>
          <w:spacing w:val="-2"/>
          <w:w w:val="115"/>
          <w:sz w:val="60"/>
        </w:rPr>
        <w:t>authors</w:t>
      </w:r>
    </w:p>
    <w:p>
      <w:pPr>
        <w:pStyle w:val="BodyText"/>
        <w:spacing w:line="220" w:lineRule="auto" w:before="410"/>
        <w:ind w:left="2381" w:right="630"/>
      </w:pPr>
      <w:r>
        <w:rPr/>
        <mc:AlternateContent>
          <mc:Choice Requires="wps">
            <w:drawing>
              <wp:anchor distT="0" distB="0" distL="0" distR="0" allowOverlap="1" layoutInCell="1" locked="0" behindDoc="1" simplePos="0" relativeHeight="485731840">
                <wp:simplePos x="0" y="0"/>
                <wp:positionH relativeFrom="page">
                  <wp:posOffset>719999</wp:posOffset>
                </wp:positionH>
                <wp:positionV relativeFrom="paragraph">
                  <wp:posOffset>139052</wp:posOffset>
                </wp:positionV>
                <wp:extent cx="6120130" cy="1230630"/>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6120130" cy="1230630"/>
                          <a:chExt cx="6120130" cy="1230630"/>
                        </a:xfrm>
                      </wpg:grpSpPr>
                      <pic:pic>
                        <pic:nvPicPr>
                          <pic:cNvPr id="30" name="Image 30"/>
                          <pic:cNvPicPr/>
                        </pic:nvPicPr>
                        <pic:blipFill>
                          <a:blip r:embed="rId25" cstate="print"/>
                          <a:stretch>
                            <a:fillRect/>
                          </a:stretch>
                        </pic:blipFill>
                        <pic:spPr>
                          <a:xfrm>
                            <a:off x="1" y="6197"/>
                            <a:ext cx="1220355" cy="1223987"/>
                          </a:xfrm>
                          <a:prstGeom prst="rect">
                            <a:avLst/>
                          </a:prstGeom>
                        </pic:spPr>
                      </pic:pic>
                      <wps:wsp>
                        <wps:cNvPr id="31" name="Graphic 31"/>
                        <wps:cNvSpPr/>
                        <wps:spPr>
                          <a:xfrm>
                            <a:off x="0" y="4762"/>
                            <a:ext cx="6120130" cy="1270"/>
                          </a:xfrm>
                          <a:custGeom>
                            <a:avLst/>
                            <a:gdLst/>
                            <a:ahLst/>
                            <a:cxnLst/>
                            <a:rect l="l" t="t" r="r" b="b"/>
                            <a:pathLst>
                              <a:path w="6120130" h="0">
                                <a:moveTo>
                                  <a:pt x="0" y="0"/>
                                </a:moveTo>
                                <a:lnTo>
                                  <a:pt x="6120003" y="0"/>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10.949045pt;width:481.9pt;height:96.9pt;mso-position-horizontal-relative:page;mso-position-vertical-relative:paragraph;z-index:-17584640" id="docshapegroup29" coordorigin="1134,219" coordsize="9638,1938">
                <v:shape style="position:absolute;left:1133;top:228;width:1922;height:1928" type="#_x0000_t75" id="docshape30" stroked="false">
                  <v:imagedata r:id="rId25" o:title=""/>
                </v:shape>
                <v:line style="position:absolute" from="1134,226" to="10772,226" stroked="true" strokeweight=".75pt" strokecolor="#ffffff">
                  <v:stroke dashstyle="solid"/>
                </v:line>
                <w10:wrap type="none"/>
              </v:group>
            </w:pict>
          </mc:Fallback>
        </mc:AlternateContent>
      </w:r>
      <w:r>
        <w:rPr>
          <w:rFonts w:ascii="Tahoma"/>
          <w:b/>
          <w:color w:val="FFFFFF"/>
          <w:w w:val="105"/>
        </w:rPr>
        <w:t>Tobias Lock </w:t>
      </w:r>
      <w:r>
        <w:rPr>
          <w:color w:val="FFFFFF"/>
          <w:w w:val="105"/>
        </w:rPr>
        <w:t>is a Professor of Law at Maynooth University</w:t>
      </w:r>
      <w:r>
        <w:rPr>
          <w:color w:val="FFFFFF"/>
          <w:spacing w:val="40"/>
          <w:w w:val="105"/>
        </w:rPr>
        <w:t> </w:t>
      </w:r>
      <w:r>
        <w:rPr>
          <w:rFonts w:ascii="Lucida Sans Unicode"/>
          <w:color w:val="FFFFFF"/>
          <w:w w:val="105"/>
        </w:rPr>
        <w:t>School</w:t>
      </w:r>
      <w:r>
        <w:rPr>
          <w:rFonts w:ascii="Lucida Sans Unicode"/>
          <w:color w:val="FFFFFF"/>
          <w:spacing w:val="-6"/>
          <w:w w:val="105"/>
        </w:rPr>
        <w:t> </w:t>
      </w:r>
      <w:r>
        <w:rPr>
          <w:rFonts w:ascii="Lucida Sans Unicode"/>
          <w:color w:val="FFFFFF"/>
          <w:w w:val="105"/>
        </w:rPr>
        <w:t>of</w:t>
      </w:r>
      <w:r>
        <w:rPr>
          <w:rFonts w:ascii="Lucida Sans Unicode"/>
          <w:color w:val="FFFFFF"/>
          <w:spacing w:val="-6"/>
          <w:w w:val="105"/>
        </w:rPr>
        <w:t> </w:t>
      </w:r>
      <w:r>
        <w:rPr>
          <w:rFonts w:ascii="Lucida Sans Unicode"/>
          <w:color w:val="FFFFFF"/>
          <w:w w:val="105"/>
        </w:rPr>
        <w:t>Law</w:t>
      </w:r>
      <w:r>
        <w:rPr>
          <w:rFonts w:ascii="Lucida Sans Unicode"/>
          <w:color w:val="FFFFFF"/>
          <w:spacing w:val="-6"/>
          <w:w w:val="105"/>
        </w:rPr>
        <w:t> </w:t>
      </w:r>
      <w:r>
        <w:rPr>
          <w:rFonts w:ascii="Lucida Sans Unicode"/>
          <w:color w:val="FFFFFF"/>
          <w:w w:val="105"/>
        </w:rPr>
        <w:t>and</w:t>
      </w:r>
      <w:r>
        <w:rPr>
          <w:rFonts w:ascii="Lucida Sans Unicode"/>
          <w:color w:val="FFFFFF"/>
          <w:spacing w:val="-6"/>
          <w:w w:val="105"/>
        </w:rPr>
        <w:t> </w:t>
      </w:r>
      <w:r>
        <w:rPr>
          <w:rFonts w:ascii="Lucida Sans Unicode"/>
          <w:color w:val="FFFFFF"/>
          <w:w w:val="105"/>
        </w:rPr>
        <w:t>Criminology</w:t>
      </w:r>
      <w:r>
        <w:rPr>
          <w:rFonts w:ascii="Lucida Sans Unicode"/>
          <w:color w:val="FFFFFF"/>
          <w:spacing w:val="-6"/>
          <w:w w:val="105"/>
        </w:rPr>
        <w:t> </w:t>
      </w:r>
      <w:r>
        <w:rPr>
          <w:rFonts w:ascii="Lucida Sans Unicode"/>
          <w:color w:val="FFFFFF"/>
          <w:w w:val="105"/>
        </w:rPr>
        <w:t>and</w:t>
      </w:r>
      <w:r>
        <w:rPr>
          <w:rFonts w:ascii="Lucida Sans Unicode"/>
          <w:color w:val="FFFFFF"/>
          <w:spacing w:val="-6"/>
          <w:w w:val="105"/>
        </w:rPr>
        <w:t> </w:t>
      </w:r>
      <w:r>
        <w:rPr>
          <w:rFonts w:ascii="Lucida Sans Unicode"/>
          <w:color w:val="FFFFFF"/>
          <w:w w:val="105"/>
        </w:rPr>
        <w:t>founding</w:t>
      </w:r>
      <w:r>
        <w:rPr>
          <w:rFonts w:ascii="Lucida Sans Unicode"/>
          <w:color w:val="FFFFFF"/>
          <w:spacing w:val="-6"/>
          <w:w w:val="105"/>
        </w:rPr>
        <w:t> </w:t>
      </w:r>
      <w:r>
        <w:rPr>
          <w:rFonts w:ascii="Lucida Sans Unicode"/>
          <w:color w:val="FFFFFF"/>
          <w:w w:val="105"/>
        </w:rPr>
        <w:t>director</w:t>
      </w:r>
      <w:r>
        <w:rPr>
          <w:rFonts w:ascii="Lucida Sans Unicode"/>
          <w:color w:val="FFFFFF"/>
          <w:spacing w:val="-6"/>
          <w:w w:val="105"/>
        </w:rPr>
        <w:t> </w:t>
      </w:r>
      <w:r>
        <w:rPr>
          <w:rFonts w:ascii="Lucida Sans Unicode"/>
          <w:color w:val="FFFFFF"/>
          <w:w w:val="105"/>
        </w:rPr>
        <w:t>of </w:t>
      </w:r>
      <w:r>
        <w:rPr>
          <w:rFonts w:ascii="Lucida Sans Unicode"/>
          <w:color w:val="FFFFFF"/>
          <w:spacing w:val="-2"/>
          <w:w w:val="105"/>
        </w:rPr>
        <w:t>the</w:t>
      </w:r>
      <w:r>
        <w:rPr>
          <w:rFonts w:ascii="Lucida Sans Unicode"/>
          <w:color w:val="FFFFFF"/>
          <w:spacing w:val="-18"/>
          <w:w w:val="105"/>
        </w:rPr>
        <w:t> </w:t>
      </w:r>
      <w:r>
        <w:rPr>
          <w:rFonts w:ascii="Lucida Sans Unicode"/>
          <w:color w:val="FFFFFF"/>
          <w:spacing w:val="-2"/>
          <w:w w:val="105"/>
        </w:rPr>
        <w:t>Maynooth</w:t>
      </w:r>
      <w:r>
        <w:rPr>
          <w:rFonts w:ascii="Lucida Sans Unicode"/>
          <w:color w:val="FFFFFF"/>
          <w:spacing w:val="-18"/>
          <w:w w:val="105"/>
        </w:rPr>
        <w:t> </w:t>
      </w:r>
      <w:r>
        <w:rPr>
          <w:rFonts w:ascii="Lucida Sans Unicode"/>
          <w:color w:val="FFFFFF"/>
          <w:spacing w:val="-2"/>
          <w:w w:val="105"/>
        </w:rPr>
        <w:t>Centre</w:t>
      </w:r>
      <w:r>
        <w:rPr>
          <w:rFonts w:ascii="Lucida Sans Unicode"/>
          <w:color w:val="FFFFFF"/>
          <w:spacing w:val="-18"/>
          <w:w w:val="105"/>
        </w:rPr>
        <w:t> </w:t>
      </w:r>
      <w:r>
        <w:rPr>
          <w:rFonts w:ascii="Lucida Sans Unicode"/>
          <w:color w:val="FFFFFF"/>
          <w:spacing w:val="-2"/>
          <w:w w:val="105"/>
        </w:rPr>
        <w:t>for</w:t>
      </w:r>
      <w:r>
        <w:rPr>
          <w:rFonts w:ascii="Lucida Sans Unicode"/>
          <w:color w:val="FFFFFF"/>
          <w:spacing w:val="-18"/>
          <w:w w:val="105"/>
        </w:rPr>
        <w:t> </w:t>
      </w:r>
      <w:r>
        <w:rPr>
          <w:rFonts w:ascii="Lucida Sans Unicode"/>
          <w:color w:val="FFFFFF"/>
          <w:spacing w:val="-2"/>
          <w:w w:val="105"/>
        </w:rPr>
        <w:t>European</w:t>
      </w:r>
      <w:r>
        <w:rPr>
          <w:rFonts w:ascii="Lucida Sans Unicode"/>
          <w:color w:val="FFFFFF"/>
          <w:spacing w:val="-18"/>
          <w:w w:val="105"/>
        </w:rPr>
        <w:t> </w:t>
      </w:r>
      <w:r>
        <w:rPr>
          <w:rFonts w:ascii="Lucida Sans Unicode"/>
          <w:color w:val="FFFFFF"/>
          <w:spacing w:val="-2"/>
          <w:w w:val="105"/>
        </w:rPr>
        <w:t>Law.</w:t>
      </w:r>
      <w:r>
        <w:rPr>
          <w:rFonts w:ascii="Lucida Sans Unicode"/>
          <w:color w:val="FFFFFF"/>
          <w:spacing w:val="-18"/>
          <w:w w:val="105"/>
        </w:rPr>
        <w:t> </w:t>
      </w:r>
      <w:r>
        <w:rPr>
          <w:rFonts w:ascii="Lucida Sans Unicode"/>
          <w:color w:val="FFFFFF"/>
          <w:spacing w:val="-2"/>
          <w:w w:val="105"/>
        </w:rPr>
        <w:t>From</w:t>
      </w:r>
      <w:r>
        <w:rPr>
          <w:rFonts w:ascii="Lucida Sans Unicode"/>
          <w:color w:val="FFFFFF"/>
          <w:spacing w:val="-18"/>
          <w:w w:val="105"/>
        </w:rPr>
        <w:t> </w:t>
      </w:r>
      <w:r>
        <w:rPr>
          <w:rFonts w:ascii="Lucida Sans Unicode"/>
          <w:color w:val="FFFFFF"/>
          <w:spacing w:val="-2"/>
          <w:w w:val="105"/>
        </w:rPr>
        <w:t>2020-2023 </w:t>
      </w:r>
      <w:r>
        <w:rPr>
          <w:color w:val="FFFFFF"/>
          <w:w w:val="105"/>
        </w:rPr>
        <w:t>he</w:t>
      </w:r>
      <w:r>
        <w:rPr>
          <w:color w:val="FFFFFF"/>
          <w:spacing w:val="19"/>
          <w:w w:val="105"/>
        </w:rPr>
        <w:t> </w:t>
      </w:r>
      <w:r>
        <w:rPr>
          <w:color w:val="FFFFFF"/>
          <w:w w:val="105"/>
        </w:rPr>
        <w:t>held</w:t>
      </w:r>
      <w:r>
        <w:rPr>
          <w:color w:val="FFFFFF"/>
          <w:spacing w:val="19"/>
          <w:w w:val="105"/>
        </w:rPr>
        <w:t> </w:t>
      </w:r>
      <w:r>
        <w:rPr>
          <w:color w:val="FFFFFF"/>
          <w:w w:val="105"/>
        </w:rPr>
        <w:t>a</w:t>
      </w:r>
      <w:r>
        <w:rPr>
          <w:color w:val="FFFFFF"/>
          <w:spacing w:val="19"/>
          <w:w w:val="105"/>
        </w:rPr>
        <w:t> </w:t>
      </w:r>
      <w:r>
        <w:rPr>
          <w:color w:val="FFFFFF"/>
          <w:w w:val="105"/>
        </w:rPr>
        <w:t>Jean</w:t>
      </w:r>
      <w:r>
        <w:rPr>
          <w:color w:val="FFFFFF"/>
          <w:spacing w:val="19"/>
          <w:w w:val="105"/>
        </w:rPr>
        <w:t> </w:t>
      </w:r>
      <w:r>
        <w:rPr>
          <w:color w:val="FFFFFF"/>
          <w:w w:val="105"/>
        </w:rPr>
        <w:t>Monnet</w:t>
      </w:r>
      <w:r>
        <w:rPr>
          <w:color w:val="FFFFFF"/>
          <w:spacing w:val="19"/>
          <w:w w:val="105"/>
        </w:rPr>
        <w:t> </w:t>
      </w:r>
      <w:r>
        <w:rPr>
          <w:color w:val="FFFFFF"/>
          <w:w w:val="105"/>
        </w:rPr>
        <w:t>Chair</w:t>
      </w:r>
      <w:r>
        <w:rPr>
          <w:color w:val="FFFFFF"/>
          <w:spacing w:val="19"/>
          <w:w w:val="105"/>
        </w:rPr>
        <w:t> </w:t>
      </w:r>
      <w:r>
        <w:rPr>
          <w:color w:val="FFFFFF"/>
          <w:w w:val="105"/>
        </w:rPr>
        <w:t>in</w:t>
      </w:r>
      <w:r>
        <w:rPr>
          <w:color w:val="FFFFFF"/>
          <w:spacing w:val="19"/>
          <w:w w:val="105"/>
        </w:rPr>
        <w:t> </w:t>
      </w:r>
      <w:r>
        <w:rPr>
          <w:color w:val="FFFFFF"/>
          <w:w w:val="105"/>
        </w:rPr>
        <w:t>EU</w:t>
      </w:r>
      <w:r>
        <w:rPr>
          <w:color w:val="FFFFFF"/>
          <w:spacing w:val="19"/>
          <w:w w:val="105"/>
        </w:rPr>
        <w:t> </w:t>
      </w:r>
      <w:r>
        <w:rPr>
          <w:color w:val="FFFFFF"/>
          <w:w w:val="105"/>
        </w:rPr>
        <w:t>Law</w:t>
      </w:r>
      <w:r>
        <w:rPr>
          <w:color w:val="FFFFFF"/>
          <w:spacing w:val="19"/>
          <w:w w:val="105"/>
        </w:rPr>
        <w:t> </w:t>
      </w:r>
      <w:r>
        <w:rPr>
          <w:color w:val="FFFFFF"/>
          <w:w w:val="105"/>
        </w:rPr>
        <w:t>and</w:t>
      </w:r>
      <w:r>
        <w:rPr>
          <w:color w:val="FFFFFF"/>
          <w:spacing w:val="19"/>
          <w:w w:val="105"/>
        </w:rPr>
        <w:t> </w:t>
      </w:r>
      <w:r>
        <w:rPr>
          <w:color w:val="FFFFFF"/>
          <w:spacing w:val="-2"/>
          <w:w w:val="105"/>
        </w:rPr>
        <w:t>Fundamental</w:t>
      </w:r>
    </w:p>
    <w:p>
      <w:pPr>
        <w:pStyle w:val="BodyText"/>
        <w:spacing w:line="310" w:lineRule="exact" w:before="12"/>
        <w:ind w:left="2381" w:right="227"/>
        <w:rPr>
          <w:rFonts w:ascii="Lucida Sans Unicode" w:hAnsi="Lucida Sans Unicode"/>
        </w:rPr>
      </w:pPr>
      <w:r>
        <w:rPr>
          <w:color w:val="FFFFFF"/>
          <w:w w:val="110"/>
        </w:rPr>
        <w:t>Rights there. Prof. Lock joined Maynooth from the University of Edinburgh, where he was a senior lecturer in EU law and co-director of the Europa Institute. He is on the board of the Irish Centre for European Law and currently serves as an EU </w:t>
      </w:r>
      <w:r>
        <w:rPr>
          <w:rFonts w:ascii="Lucida Sans Unicode" w:hAnsi="Lucida Sans Unicode"/>
          <w:color w:val="FFFFFF"/>
        </w:rPr>
        <w:t>law adviser to the Scottish Parliament’s Constitution, </w:t>
      </w:r>
      <w:r>
        <w:rPr>
          <w:rFonts w:ascii="Lucida Sans Unicode" w:hAnsi="Lucida Sans Unicode"/>
          <w:color w:val="FFFFFF"/>
        </w:rPr>
        <w:t>Europe, </w:t>
      </w:r>
      <w:r>
        <w:rPr>
          <w:color w:val="FFFFFF"/>
          <w:w w:val="110"/>
        </w:rPr>
        <w:t>External Affairs and Culture Committee. He is also a member </w:t>
      </w:r>
      <w:r>
        <w:rPr>
          <w:rFonts w:ascii="Lucida Sans Unicode" w:hAnsi="Lucida Sans Unicode"/>
          <w:color w:val="FFFFFF"/>
        </w:rPr>
        <w:t>of</w:t>
      </w:r>
      <w:r>
        <w:rPr>
          <w:rFonts w:ascii="Lucida Sans Unicode" w:hAnsi="Lucida Sans Unicode"/>
          <w:color w:val="FFFFFF"/>
          <w:spacing w:val="40"/>
        </w:rPr>
        <w:t> </w:t>
      </w:r>
      <w:r>
        <w:rPr>
          <w:rFonts w:ascii="Lucida Sans Unicode" w:hAnsi="Lucida Sans Unicode"/>
          <w:color w:val="FFFFFF"/>
        </w:rPr>
        <w:t>the</w:t>
      </w:r>
      <w:r>
        <w:rPr>
          <w:rFonts w:ascii="Lucida Sans Unicode" w:hAnsi="Lucida Sans Unicode"/>
          <w:color w:val="FFFFFF"/>
          <w:spacing w:val="40"/>
        </w:rPr>
        <w:t> </w:t>
      </w:r>
      <w:r>
        <w:rPr>
          <w:rFonts w:ascii="Lucida Sans Unicode" w:hAnsi="Lucida Sans Unicode"/>
          <w:color w:val="FFFFFF"/>
        </w:rPr>
        <w:t>Royal</w:t>
      </w:r>
      <w:r>
        <w:rPr>
          <w:rFonts w:ascii="Lucida Sans Unicode" w:hAnsi="Lucida Sans Unicode"/>
          <w:color w:val="FFFFFF"/>
          <w:spacing w:val="40"/>
        </w:rPr>
        <w:t> </w:t>
      </w:r>
      <w:r>
        <w:rPr>
          <w:rFonts w:ascii="Lucida Sans Unicode" w:hAnsi="Lucida Sans Unicode"/>
          <w:color w:val="FFFFFF"/>
        </w:rPr>
        <w:t>Irish</w:t>
      </w:r>
      <w:r>
        <w:rPr>
          <w:rFonts w:ascii="Lucida Sans Unicode" w:hAnsi="Lucida Sans Unicode"/>
          <w:color w:val="FFFFFF"/>
          <w:spacing w:val="40"/>
        </w:rPr>
        <w:t> </w:t>
      </w:r>
      <w:r>
        <w:rPr>
          <w:rFonts w:ascii="Lucida Sans Unicode" w:hAnsi="Lucida Sans Unicode"/>
          <w:color w:val="FFFFFF"/>
        </w:rPr>
        <w:t>Academy’s</w:t>
      </w:r>
      <w:r>
        <w:rPr>
          <w:rFonts w:ascii="Lucida Sans Unicode" w:hAnsi="Lucida Sans Unicode"/>
          <w:color w:val="FFFFFF"/>
          <w:spacing w:val="40"/>
        </w:rPr>
        <w:t> </w:t>
      </w:r>
      <w:r>
        <w:rPr>
          <w:rFonts w:ascii="Lucida Sans Unicode" w:hAnsi="Lucida Sans Unicode"/>
          <w:color w:val="FFFFFF"/>
        </w:rPr>
        <w:t>ARINS</w:t>
      </w:r>
      <w:r>
        <w:rPr>
          <w:rFonts w:ascii="Lucida Sans Unicode" w:hAnsi="Lucida Sans Unicode"/>
          <w:color w:val="FFFFFF"/>
          <w:spacing w:val="40"/>
        </w:rPr>
        <w:t> </w:t>
      </w:r>
      <w:r>
        <w:rPr>
          <w:rFonts w:ascii="Lucida Sans Unicode" w:hAnsi="Lucida Sans Unicode"/>
          <w:color w:val="FFFFFF"/>
        </w:rPr>
        <w:t>project</w:t>
      </w:r>
      <w:r>
        <w:rPr>
          <w:rFonts w:ascii="Lucida Sans Unicode" w:hAnsi="Lucida Sans Unicode"/>
          <w:color w:val="FFFFFF"/>
          <w:spacing w:val="40"/>
        </w:rPr>
        <w:t> </w:t>
      </w:r>
      <w:r>
        <w:rPr>
          <w:rFonts w:ascii="Lucida Sans Unicode" w:hAnsi="Lucida Sans Unicode"/>
          <w:color w:val="FFFFFF"/>
        </w:rPr>
        <w:t>(Analysing</w:t>
      </w:r>
    </w:p>
    <w:p>
      <w:pPr>
        <w:pStyle w:val="BodyText"/>
        <w:spacing w:line="310" w:lineRule="exact"/>
        <w:ind w:left="2381" w:right="141"/>
      </w:pPr>
      <w:r>
        <w:rPr>
          <w:rFonts w:ascii="Lucida Sans Unicode"/>
          <w:color w:val="FFFFFF"/>
        </w:rPr>
        <w:t>and Researching Ireland North and South). His research </w:t>
      </w:r>
      <w:r>
        <w:rPr>
          <w:color w:val="FFFFFF"/>
          <w:w w:val="110"/>
        </w:rPr>
        <w:t>centres on EU constitutional and fundamental rights law as well as the relationship between EU law, domestic law, and international law. His current focus is on EU fundamental</w:t>
      </w:r>
      <w:r>
        <w:rPr>
          <w:color w:val="FFFFFF"/>
          <w:spacing w:val="40"/>
          <w:w w:val="110"/>
        </w:rPr>
        <w:t> </w:t>
      </w:r>
      <w:r>
        <w:rPr>
          <w:color w:val="FFFFFF"/>
          <w:w w:val="110"/>
        </w:rPr>
        <w:t>rights law; EU accession to the ECHR; and the fallout from Brexit,</w:t>
      </w:r>
      <w:r>
        <w:rPr>
          <w:color w:val="FFFFFF"/>
          <w:spacing w:val="17"/>
          <w:w w:val="110"/>
        </w:rPr>
        <w:t> </w:t>
      </w:r>
      <w:r>
        <w:rPr>
          <w:color w:val="FFFFFF"/>
          <w:w w:val="110"/>
        </w:rPr>
        <w:t>particularly</w:t>
      </w:r>
      <w:r>
        <w:rPr>
          <w:color w:val="FFFFFF"/>
          <w:spacing w:val="17"/>
          <w:w w:val="110"/>
        </w:rPr>
        <w:t> </w:t>
      </w:r>
      <w:r>
        <w:rPr>
          <w:color w:val="FFFFFF"/>
          <w:w w:val="110"/>
        </w:rPr>
        <w:t>its</w:t>
      </w:r>
      <w:r>
        <w:rPr>
          <w:color w:val="FFFFFF"/>
          <w:spacing w:val="17"/>
          <w:w w:val="110"/>
        </w:rPr>
        <w:t> </w:t>
      </w:r>
      <w:r>
        <w:rPr>
          <w:color w:val="FFFFFF"/>
          <w:w w:val="110"/>
        </w:rPr>
        <w:t>effects</w:t>
      </w:r>
      <w:r>
        <w:rPr>
          <w:color w:val="FFFFFF"/>
          <w:spacing w:val="17"/>
          <w:w w:val="110"/>
        </w:rPr>
        <w:t> </w:t>
      </w:r>
      <w:r>
        <w:rPr>
          <w:color w:val="FFFFFF"/>
          <w:w w:val="110"/>
        </w:rPr>
        <w:t>on</w:t>
      </w:r>
      <w:r>
        <w:rPr>
          <w:color w:val="FFFFFF"/>
          <w:spacing w:val="17"/>
          <w:w w:val="110"/>
        </w:rPr>
        <w:t> </w:t>
      </w:r>
      <w:r>
        <w:rPr>
          <w:color w:val="FFFFFF"/>
          <w:w w:val="110"/>
        </w:rPr>
        <w:t>the</w:t>
      </w:r>
      <w:r>
        <w:rPr>
          <w:color w:val="FFFFFF"/>
          <w:spacing w:val="17"/>
          <w:w w:val="110"/>
        </w:rPr>
        <w:t> </w:t>
      </w:r>
      <w:r>
        <w:rPr>
          <w:color w:val="FFFFFF"/>
          <w:w w:val="110"/>
        </w:rPr>
        <w:t>devolved</w:t>
      </w:r>
      <w:r>
        <w:rPr>
          <w:color w:val="FFFFFF"/>
          <w:spacing w:val="17"/>
          <w:w w:val="110"/>
        </w:rPr>
        <w:t> </w:t>
      </w:r>
      <w:r>
        <w:rPr>
          <w:color w:val="FFFFFF"/>
          <w:w w:val="110"/>
        </w:rPr>
        <w:t>parts</w:t>
      </w:r>
      <w:r>
        <w:rPr>
          <w:color w:val="FFFFFF"/>
          <w:spacing w:val="17"/>
          <w:w w:val="110"/>
        </w:rPr>
        <w:t> </w:t>
      </w:r>
      <w:r>
        <w:rPr>
          <w:color w:val="FFFFFF"/>
          <w:w w:val="110"/>
        </w:rPr>
        <w:t>of</w:t>
      </w:r>
      <w:r>
        <w:rPr>
          <w:color w:val="FFFFFF"/>
          <w:spacing w:val="17"/>
          <w:w w:val="110"/>
        </w:rPr>
        <w:t> </w:t>
      </w:r>
      <w:r>
        <w:rPr>
          <w:color w:val="FFFFFF"/>
          <w:w w:val="110"/>
        </w:rPr>
        <w:t>the</w:t>
      </w:r>
      <w:r>
        <w:rPr>
          <w:color w:val="FFFFFF"/>
          <w:spacing w:val="17"/>
          <w:w w:val="110"/>
        </w:rPr>
        <w:t> </w:t>
      </w:r>
      <w:r>
        <w:rPr>
          <w:color w:val="FFFFFF"/>
          <w:w w:val="110"/>
        </w:rPr>
        <w:t>UK.</w:t>
      </w:r>
    </w:p>
    <w:p>
      <w:pPr>
        <w:pStyle w:val="BodyText"/>
        <w:ind w:left="0"/>
      </w:pPr>
    </w:p>
    <w:p>
      <w:pPr>
        <w:pStyle w:val="BodyText"/>
        <w:spacing w:before="42"/>
        <w:ind w:left="0"/>
      </w:pPr>
    </w:p>
    <w:p>
      <w:pPr>
        <w:pStyle w:val="BodyText"/>
        <w:spacing w:line="220" w:lineRule="auto"/>
        <w:ind w:left="2381" w:right="305"/>
      </w:pPr>
      <w:r>
        <w:rPr/>
        <mc:AlternateContent>
          <mc:Choice Requires="wps">
            <w:drawing>
              <wp:anchor distT="0" distB="0" distL="0" distR="0" allowOverlap="1" layoutInCell="1" locked="0" behindDoc="1" simplePos="0" relativeHeight="485731328">
                <wp:simplePos x="0" y="0"/>
                <wp:positionH relativeFrom="page">
                  <wp:posOffset>719999</wp:posOffset>
                </wp:positionH>
                <wp:positionV relativeFrom="paragraph">
                  <wp:posOffset>-120849</wp:posOffset>
                </wp:positionV>
                <wp:extent cx="6120130" cy="1228090"/>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6120130" cy="1228090"/>
                          <a:chExt cx="6120130" cy="1228090"/>
                        </a:xfrm>
                      </wpg:grpSpPr>
                      <pic:pic>
                        <pic:nvPicPr>
                          <pic:cNvPr id="33" name="Image 33"/>
                          <pic:cNvPicPr/>
                        </pic:nvPicPr>
                        <pic:blipFill>
                          <a:blip r:embed="rId26" cstate="print"/>
                          <a:stretch>
                            <a:fillRect/>
                          </a:stretch>
                        </pic:blipFill>
                        <pic:spPr>
                          <a:xfrm>
                            <a:off x="1" y="4095"/>
                            <a:ext cx="1224000" cy="1224000"/>
                          </a:xfrm>
                          <a:prstGeom prst="rect">
                            <a:avLst/>
                          </a:prstGeom>
                        </pic:spPr>
                      </pic:pic>
                      <wps:wsp>
                        <wps:cNvPr id="34" name="Graphic 34"/>
                        <wps:cNvSpPr/>
                        <wps:spPr>
                          <a:xfrm>
                            <a:off x="0" y="4762"/>
                            <a:ext cx="6120130" cy="1270"/>
                          </a:xfrm>
                          <a:custGeom>
                            <a:avLst/>
                            <a:gdLst/>
                            <a:ahLst/>
                            <a:cxnLst/>
                            <a:rect l="l" t="t" r="r" b="b"/>
                            <a:pathLst>
                              <a:path w="6120130" h="0">
                                <a:moveTo>
                                  <a:pt x="0" y="0"/>
                                </a:moveTo>
                                <a:lnTo>
                                  <a:pt x="6120003" y="0"/>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9.515705pt;width:481.9pt;height:96.7pt;mso-position-horizontal-relative:page;mso-position-vertical-relative:paragraph;z-index:-17585152" id="docshapegroup31" coordorigin="1134,-190" coordsize="9638,1934">
                <v:shape style="position:absolute;left:1133;top:-184;width:1928;height:1928" type="#_x0000_t75" id="docshape32" stroked="false">
                  <v:imagedata r:id="rId26" o:title=""/>
                </v:shape>
                <v:line style="position:absolute" from="1134,-183" to="10772,-183" stroked="true" strokeweight=".75pt" strokecolor="#ffffff">
                  <v:stroke dashstyle="solid"/>
                </v:line>
                <w10:wrap type="none"/>
              </v:group>
            </w:pict>
          </mc:Fallback>
        </mc:AlternateContent>
      </w:r>
      <w:r>
        <w:rPr>
          <w:rFonts w:ascii="Tahoma"/>
          <w:b/>
          <w:color w:val="FFFFFF"/>
          <w:w w:val="105"/>
        </w:rPr>
        <w:t>Dr Eleni Frantziou </w:t>
      </w:r>
      <w:r>
        <w:rPr>
          <w:color w:val="FFFFFF"/>
          <w:w w:val="105"/>
        </w:rPr>
        <w:t>is an Associate Professor of Public Law </w:t>
      </w:r>
      <w:r>
        <w:rPr>
          <w:rFonts w:ascii="Lucida Sans Unicode"/>
          <w:color w:val="FFFFFF"/>
          <w:w w:val="105"/>
        </w:rPr>
        <w:t>and Human Rights at Durham Law School, University of Durham.</w:t>
      </w:r>
      <w:r>
        <w:rPr>
          <w:rFonts w:ascii="Lucida Sans Unicode"/>
          <w:color w:val="FFFFFF"/>
          <w:spacing w:val="-10"/>
          <w:w w:val="105"/>
        </w:rPr>
        <w:t> </w:t>
      </w:r>
      <w:r>
        <w:rPr>
          <w:rFonts w:ascii="Lucida Sans Unicode"/>
          <w:color w:val="FFFFFF"/>
          <w:w w:val="105"/>
        </w:rPr>
        <w:t>She</w:t>
      </w:r>
      <w:r>
        <w:rPr>
          <w:rFonts w:ascii="Lucida Sans Unicode"/>
          <w:color w:val="FFFFFF"/>
          <w:spacing w:val="-10"/>
          <w:w w:val="105"/>
        </w:rPr>
        <w:t> </w:t>
      </w:r>
      <w:r>
        <w:rPr>
          <w:rFonts w:ascii="Lucida Sans Unicode"/>
          <w:color w:val="FFFFFF"/>
          <w:w w:val="105"/>
        </w:rPr>
        <w:t>has</w:t>
      </w:r>
      <w:r>
        <w:rPr>
          <w:rFonts w:ascii="Lucida Sans Unicode"/>
          <w:color w:val="FFFFFF"/>
          <w:spacing w:val="-10"/>
          <w:w w:val="105"/>
        </w:rPr>
        <w:t> </w:t>
      </w:r>
      <w:r>
        <w:rPr>
          <w:rFonts w:ascii="Lucida Sans Unicode"/>
          <w:color w:val="FFFFFF"/>
          <w:w w:val="105"/>
        </w:rPr>
        <w:t>written</w:t>
      </w:r>
      <w:r>
        <w:rPr>
          <w:rFonts w:ascii="Lucida Sans Unicode"/>
          <w:color w:val="FFFFFF"/>
          <w:spacing w:val="-10"/>
          <w:w w:val="105"/>
        </w:rPr>
        <w:t> </w:t>
      </w:r>
      <w:r>
        <w:rPr>
          <w:rFonts w:ascii="Lucida Sans Unicode"/>
          <w:color w:val="FFFFFF"/>
          <w:w w:val="105"/>
        </w:rPr>
        <w:t>extensively</w:t>
      </w:r>
      <w:r>
        <w:rPr>
          <w:rFonts w:ascii="Lucida Sans Unicode"/>
          <w:color w:val="FFFFFF"/>
          <w:spacing w:val="-10"/>
          <w:w w:val="105"/>
        </w:rPr>
        <w:t> </w:t>
      </w:r>
      <w:r>
        <w:rPr>
          <w:rFonts w:ascii="Lucida Sans Unicode"/>
          <w:color w:val="FFFFFF"/>
          <w:w w:val="105"/>
        </w:rPr>
        <w:t>about</w:t>
      </w:r>
      <w:r>
        <w:rPr>
          <w:rFonts w:ascii="Lucida Sans Unicode"/>
          <w:color w:val="FFFFFF"/>
          <w:spacing w:val="-10"/>
          <w:w w:val="105"/>
        </w:rPr>
        <w:t> </w:t>
      </w:r>
      <w:r>
        <w:rPr>
          <w:rFonts w:ascii="Lucida Sans Unicode"/>
          <w:color w:val="FFFFFF"/>
          <w:w w:val="105"/>
        </w:rPr>
        <w:t>the</w:t>
      </w:r>
      <w:r>
        <w:rPr>
          <w:rFonts w:ascii="Lucida Sans Unicode"/>
          <w:color w:val="FFFFFF"/>
          <w:spacing w:val="-10"/>
          <w:w w:val="105"/>
        </w:rPr>
        <w:t> </w:t>
      </w:r>
      <w:r>
        <w:rPr>
          <w:rFonts w:ascii="Lucida Sans Unicode"/>
          <w:color w:val="FFFFFF"/>
          <w:w w:val="105"/>
        </w:rPr>
        <w:t>application </w:t>
      </w:r>
      <w:r>
        <w:rPr>
          <w:color w:val="FFFFFF"/>
          <w:w w:val="105"/>
        </w:rPr>
        <w:t>of</w:t>
      </w:r>
      <w:r>
        <w:rPr>
          <w:color w:val="FFFFFF"/>
          <w:spacing w:val="38"/>
          <w:w w:val="105"/>
        </w:rPr>
        <w:t> </w:t>
      </w:r>
      <w:r>
        <w:rPr>
          <w:color w:val="FFFFFF"/>
          <w:w w:val="105"/>
        </w:rPr>
        <w:t>human</w:t>
      </w:r>
      <w:r>
        <w:rPr>
          <w:color w:val="FFFFFF"/>
          <w:spacing w:val="38"/>
          <w:w w:val="105"/>
        </w:rPr>
        <w:t> </w:t>
      </w:r>
      <w:r>
        <w:rPr>
          <w:color w:val="FFFFFF"/>
          <w:w w:val="105"/>
        </w:rPr>
        <w:t>rights</w:t>
      </w:r>
      <w:r>
        <w:rPr>
          <w:color w:val="FFFFFF"/>
          <w:spacing w:val="38"/>
          <w:w w:val="105"/>
        </w:rPr>
        <w:t> </w:t>
      </w:r>
      <w:r>
        <w:rPr>
          <w:color w:val="FFFFFF"/>
          <w:w w:val="105"/>
        </w:rPr>
        <w:t>in</w:t>
      </w:r>
      <w:r>
        <w:rPr>
          <w:color w:val="FFFFFF"/>
          <w:spacing w:val="38"/>
          <w:w w:val="105"/>
        </w:rPr>
        <w:t> </w:t>
      </w:r>
      <w:r>
        <w:rPr>
          <w:color w:val="FFFFFF"/>
          <w:w w:val="105"/>
        </w:rPr>
        <w:t>the</w:t>
      </w:r>
      <w:r>
        <w:rPr>
          <w:color w:val="FFFFFF"/>
          <w:spacing w:val="38"/>
          <w:w w:val="105"/>
        </w:rPr>
        <w:t> </w:t>
      </w:r>
      <w:r>
        <w:rPr>
          <w:color w:val="FFFFFF"/>
          <w:w w:val="105"/>
        </w:rPr>
        <w:t>European</w:t>
      </w:r>
      <w:r>
        <w:rPr>
          <w:color w:val="FFFFFF"/>
          <w:spacing w:val="38"/>
          <w:w w:val="105"/>
        </w:rPr>
        <w:t> </w:t>
      </w:r>
      <w:r>
        <w:rPr>
          <w:color w:val="FFFFFF"/>
          <w:w w:val="105"/>
        </w:rPr>
        <w:t>legal</w:t>
      </w:r>
      <w:r>
        <w:rPr>
          <w:color w:val="FFFFFF"/>
          <w:spacing w:val="38"/>
          <w:w w:val="105"/>
        </w:rPr>
        <w:t> </w:t>
      </w:r>
      <w:r>
        <w:rPr>
          <w:color w:val="FFFFFF"/>
          <w:w w:val="105"/>
        </w:rPr>
        <w:t>space</w:t>
      </w:r>
      <w:r>
        <w:rPr>
          <w:color w:val="FFFFFF"/>
          <w:spacing w:val="38"/>
          <w:w w:val="105"/>
        </w:rPr>
        <w:t> </w:t>
      </w:r>
      <w:r>
        <w:rPr>
          <w:color w:val="FFFFFF"/>
          <w:w w:val="105"/>
        </w:rPr>
        <w:t>and</w:t>
      </w:r>
      <w:r>
        <w:rPr>
          <w:color w:val="FFFFFF"/>
          <w:spacing w:val="38"/>
          <w:w w:val="105"/>
        </w:rPr>
        <w:t> </w:t>
      </w:r>
      <w:r>
        <w:rPr>
          <w:color w:val="FFFFFF"/>
          <w:w w:val="105"/>
        </w:rPr>
        <w:t>the</w:t>
      </w:r>
      <w:r>
        <w:rPr>
          <w:color w:val="FFFFFF"/>
          <w:spacing w:val="38"/>
          <w:w w:val="105"/>
        </w:rPr>
        <w:t> </w:t>
      </w:r>
      <w:r>
        <w:rPr>
          <w:color w:val="FFFFFF"/>
          <w:w w:val="105"/>
        </w:rPr>
        <w:t>human</w:t>
      </w:r>
    </w:p>
    <w:p>
      <w:pPr>
        <w:pStyle w:val="BodyText"/>
        <w:spacing w:line="268" w:lineRule="auto" w:before="36"/>
        <w:ind w:left="2381"/>
      </w:pPr>
      <w:r>
        <w:rPr>
          <w:color w:val="FFFFFF"/>
          <w:w w:val="115"/>
        </w:rPr>
        <w:t>rights</w:t>
      </w:r>
      <w:r>
        <w:rPr>
          <w:color w:val="FFFFFF"/>
          <w:spacing w:val="-14"/>
          <w:w w:val="115"/>
        </w:rPr>
        <w:t> </w:t>
      </w:r>
      <w:r>
        <w:rPr>
          <w:color w:val="FFFFFF"/>
          <w:w w:val="115"/>
        </w:rPr>
        <w:t>implications</w:t>
      </w:r>
      <w:r>
        <w:rPr>
          <w:color w:val="FFFFFF"/>
          <w:spacing w:val="-14"/>
          <w:w w:val="115"/>
        </w:rPr>
        <w:t> </w:t>
      </w:r>
      <w:r>
        <w:rPr>
          <w:color w:val="FFFFFF"/>
          <w:w w:val="115"/>
        </w:rPr>
        <w:t>of</w:t>
      </w:r>
      <w:r>
        <w:rPr>
          <w:color w:val="FFFFFF"/>
          <w:spacing w:val="-14"/>
          <w:w w:val="115"/>
        </w:rPr>
        <w:t> </w:t>
      </w:r>
      <w:r>
        <w:rPr>
          <w:color w:val="FFFFFF"/>
          <w:w w:val="115"/>
        </w:rPr>
        <w:t>Brexit,</w:t>
      </w:r>
      <w:r>
        <w:rPr>
          <w:color w:val="FFFFFF"/>
          <w:spacing w:val="-14"/>
          <w:w w:val="115"/>
        </w:rPr>
        <w:t> </w:t>
      </w:r>
      <w:r>
        <w:rPr>
          <w:color w:val="FFFFFF"/>
          <w:w w:val="115"/>
        </w:rPr>
        <w:t>with</w:t>
      </w:r>
      <w:r>
        <w:rPr>
          <w:color w:val="FFFFFF"/>
          <w:spacing w:val="-14"/>
          <w:w w:val="115"/>
        </w:rPr>
        <w:t> </w:t>
      </w:r>
      <w:r>
        <w:rPr>
          <w:color w:val="FFFFFF"/>
          <w:w w:val="115"/>
        </w:rPr>
        <w:t>a</w:t>
      </w:r>
      <w:r>
        <w:rPr>
          <w:color w:val="FFFFFF"/>
          <w:spacing w:val="-14"/>
          <w:w w:val="115"/>
        </w:rPr>
        <w:t> </w:t>
      </w:r>
      <w:r>
        <w:rPr>
          <w:color w:val="FFFFFF"/>
          <w:w w:val="115"/>
        </w:rPr>
        <w:t>particular</w:t>
      </w:r>
      <w:r>
        <w:rPr>
          <w:color w:val="FFFFFF"/>
          <w:spacing w:val="-14"/>
          <w:w w:val="115"/>
        </w:rPr>
        <w:t> </w:t>
      </w:r>
      <w:r>
        <w:rPr>
          <w:color w:val="FFFFFF"/>
          <w:w w:val="115"/>
        </w:rPr>
        <w:t>focus</w:t>
      </w:r>
      <w:r>
        <w:rPr>
          <w:color w:val="FFFFFF"/>
          <w:spacing w:val="-14"/>
          <w:w w:val="115"/>
        </w:rPr>
        <w:t> </w:t>
      </w:r>
      <w:r>
        <w:rPr>
          <w:color w:val="FFFFFF"/>
          <w:w w:val="115"/>
        </w:rPr>
        <w:t>on</w:t>
      </w:r>
      <w:r>
        <w:rPr>
          <w:color w:val="FFFFFF"/>
          <w:spacing w:val="-14"/>
          <w:w w:val="115"/>
        </w:rPr>
        <w:t> </w:t>
      </w:r>
      <w:r>
        <w:rPr>
          <w:color w:val="FFFFFF"/>
          <w:w w:val="115"/>
        </w:rPr>
        <w:t>the</w:t>
      </w:r>
      <w:r>
        <w:rPr>
          <w:color w:val="FFFFFF"/>
          <w:spacing w:val="-14"/>
          <w:w w:val="115"/>
        </w:rPr>
        <w:t> </w:t>
      </w:r>
      <w:r>
        <w:rPr>
          <w:color w:val="FFFFFF"/>
          <w:w w:val="115"/>
        </w:rPr>
        <w:t>EU Charter</w:t>
      </w:r>
      <w:r>
        <w:rPr>
          <w:color w:val="FFFFFF"/>
          <w:spacing w:val="-2"/>
          <w:w w:val="115"/>
        </w:rPr>
        <w:t> </w:t>
      </w:r>
      <w:r>
        <w:rPr>
          <w:color w:val="FFFFFF"/>
          <w:w w:val="115"/>
        </w:rPr>
        <w:t>of</w:t>
      </w:r>
      <w:r>
        <w:rPr>
          <w:color w:val="FFFFFF"/>
          <w:spacing w:val="-3"/>
          <w:w w:val="115"/>
        </w:rPr>
        <w:t> </w:t>
      </w:r>
      <w:r>
        <w:rPr>
          <w:color w:val="FFFFFF"/>
          <w:w w:val="115"/>
        </w:rPr>
        <w:t>Fundamental</w:t>
      </w:r>
      <w:r>
        <w:rPr>
          <w:color w:val="FFFFFF"/>
          <w:spacing w:val="-2"/>
          <w:w w:val="115"/>
        </w:rPr>
        <w:t> </w:t>
      </w:r>
      <w:r>
        <w:rPr>
          <w:color w:val="FFFFFF"/>
          <w:w w:val="115"/>
        </w:rPr>
        <w:t>Rights.</w:t>
      </w:r>
      <w:r>
        <w:rPr>
          <w:color w:val="FFFFFF"/>
          <w:spacing w:val="-3"/>
          <w:w w:val="115"/>
        </w:rPr>
        <w:t> </w:t>
      </w:r>
      <w:r>
        <w:rPr>
          <w:color w:val="FFFFFF"/>
          <w:w w:val="115"/>
        </w:rPr>
        <w:t>Eleni</w:t>
      </w:r>
      <w:r>
        <w:rPr>
          <w:color w:val="FFFFFF"/>
          <w:spacing w:val="-2"/>
          <w:w w:val="115"/>
        </w:rPr>
        <w:t> </w:t>
      </w:r>
      <w:r>
        <w:rPr>
          <w:color w:val="FFFFFF"/>
          <w:w w:val="115"/>
        </w:rPr>
        <w:t>regularly</w:t>
      </w:r>
      <w:r>
        <w:rPr>
          <w:color w:val="FFFFFF"/>
          <w:spacing w:val="-3"/>
          <w:w w:val="115"/>
        </w:rPr>
        <w:t> </w:t>
      </w:r>
      <w:r>
        <w:rPr>
          <w:color w:val="FFFFFF"/>
          <w:w w:val="115"/>
        </w:rPr>
        <w:t>contributes</w:t>
      </w:r>
    </w:p>
    <w:p>
      <w:pPr>
        <w:pStyle w:val="BodyText"/>
        <w:spacing w:line="268" w:lineRule="auto" w:before="2"/>
        <w:ind w:left="2381" w:right="305"/>
      </w:pPr>
      <w:r>
        <w:rPr>
          <w:color w:val="FFFFFF"/>
          <w:w w:val="115"/>
        </w:rPr>
        <w:t>to public inquiries and consultations on human rights law </w:t>
      </w:r>
      <w:r>
        <w:rPr>
          <w:color w:val="FFFFFF"/>
          <w:spacing w:val="-2"/>
          <w:w w:val="115"/>
        </w:rPr>
        <w:t>and</w:t>
      </w:r>
      <w:r>
        <w:rPr>
          <w:color w:val="FFFFFF"/>
          <w:spacing w:val="-12"/>
          <w:w w:val="115"/>
        </w:rPr>
        <w:t> </w:t>
      </w:r>
      <w:r>
        <w:rPr>
          <w:color w:val="FFFFFF"/>
          <w:spacing w:val="-2"/>
          <w:w w:val="115"/>
        </w:rPr>
        <w:t>has</w:t>
      </w:r>
      <w:r>
        <w:rPr>
          <w:color w:val="FFFFFF"/>
          <w:spacing w:val="-12"/>
          <w:w w:val="115"/>
        </w:rPr>
        <w:t> </w:t>
      </w:r>
      <w:r>
        <w:rPr>
          <w:color w:val="FFFFFF"/>
          <w:spacing w:val="-2"/>
          <w:w w:val="115"/>
        </w:rPr>
        <w:t>trained</w:t>
      </w:r>
      <w:r>
        <w:rPr>
          <w:color w:val="FFFFFF"/>
          <w:spacing w:val="-12"/>
          <w:w w:val="115"/>
        </w:rPr>
        <w:t> </w:t>
      </w:r>
      <w:r>
        <w:rPr>
          <w:color w:val="FFFFFF"/>
          <w:spacing w:val="-2"/>
          <w:w w:val="115"/>
        </w:rPr>
        <w:t>judges</w:t>
      </w:r>
      <w:r>
        <w:rPr>
          <w:color w:val="FFFFFF"/>
          <w:spacing w:val="-12"/>
          <w:w w:val="115"/>
        </w:rPr>
        <w:t> </w:t>
      </w:r>
      <w:r>
        <w:rPr>
          <w:color w:val="FFFFFF"/>
          <w:spacing w:val="-2"/>
          <w:w w:val="115"/>
        </w:rPr>
        <w:t>and</w:t>
      </w:r>
      <w:r>
        <w:rPr>
          <w:color w:val="FFFFFF"/>
          <w:spacing w:val="-12"/>
          <w:w w:val="115"/>
        </w:rPr>
        <w:t> </w:t>
      </w:r>
      <w:r>
        <w:rPr>
          <w:color w:val="FFFFFF"/>
          <w:spacing w:val="-2"/>
          <w:w w:val="115"/>
        </w:rPr>
        <w:t>civil</w:t>
      </w:r>
      <w:r>
        <w:rPr>
          <w:color w:val="FFFFFF"/>
          <w:spacing w:val="-12"/>
          <w:w w:val="115"/>
        </w:rPr>
        <w:t> </w:t>
      </w:r>
      <w:r>
        <w:rPr>
          <w:color w:val="FFFFFF"/>
          <w:spacing w:val="-2"/>
          <w:w w:val="115"/>
        </w:rPr>
        <w:t>servants</w:t>
      </w:r>
      <w:r>
        <w:rPr>
          <w:color w:val="FFFFFF"/>
          <w:spacing w:val="-12"/>
          <w:w w:val="115"/>
        </w:rPr>
        <w:t> </w:t>
      </w:r>
      <w:r>
        <w:rPr>
          <w:color w:val="FFFFFF"/>
          <w:spacing w:val="-2"/>
          <w:w w:val="115"/>
        </w:rPr>
        <w:t>on</w:t>
      </w:r>
      <w:r>
        <w:rPr>
          <w:color w:val="FFFFFF"/>
          <w:spacing w:val="-12"/>
          <w:w w:val="115"/>
        </w:rPr>
        <w:t> </w:t>
      </w:r>
      <w:r>
        <w:rPr>
          <w:color w:val="FFFFFF"/>
          <w:spacing w:val="-2"/>
          <w:w w:val="115"/>
        </w:rPr>
        <w:t>the</w:t>
      </w:r>
      <w:r>
        <w:rPr>
          <w:color w:val="FFFFFF"/>
          <w:spacing w:val="-12"/>
          <w:w w:val="115"/>
        </w:rPr>
        <w:t> </w:t>
      </w:r>
      <w:r>
        <w:rPr>
          <w:color w:val="FFFFFF"/>
          <w:spacing w:val="-2"/>
          <w:w w:val="115"/>
        </w:rPr>
        <w:t>application </w:t>
      </w:r>
      <w:r>
        <w:rPr>
          <w:color w:val="FFFFFF"/>
          <w:w w:val="115"/>
        </w:rPr>
        <w:t>of</w:t>
      </w:r>
      <w:r>
        <w:rPr>
          <w:color w:val="FFFFFF"/>
          <w:spacing w:val="-19"/>
          <w:w w:val="115"/>
        </w:rPr>
        <w:t> </w:t>
      </w:r>
      <w:r>
        <w:rPr>
          <w:color w:val="FFFFFF"/>
          <w:w w:val="115"/>
        </w:rPr>
        <w:t>the</w:t>
      </w:r>
      <w:r>
        <w:rPr>
          <w:color w:val="FFFFFF"/>
          <w:spacing w:val="-19"/>
          <w:w w:val="115"/>
        </w:rPr>
        <w:t> </w:t>
      </w:r>
      <w:r>
        <w:rPr>
          <w:color w:val="FFFFFF"/>
          <w:w w:val="115"/>
        </w:rPr>
        <w:t>Charter</w:t>
      </w:r>
      <w:r>
        <w:rPr>
          <w:color w:val="FFFFFF"/>
          <w:spacing w:val="-19"/>
          <w:w w:val="115"/>
        </w:rPr>
        <w:t> </w:t>
      </w:r>
      <w:r>
        <w:rPr>
          <w:color w:val="FFFFFF"/>
          <w:w w:val="115"/>
        </w:rPr>
        <w:t>both</w:t>
      </w:r>
      <w:r>
        <w:rPr>
          <w:color w:val="FFFFFF"/>
          <w:spacing w:val="-19"/>
          <w:w w:val="115"/>
        </w:rPr>
        <w:t> </w:t>
      </w:r>
      <w:r>
        <w:rPr>
          <w:color w:val="FFFFFF"/>
          <w:w w:val="115"/>
        </w:rPr>
        <w:t>in</w:t>
      </w:r>
      <w:r>
        <w:rPr>
          <w:color w:val="FFFFFF"/>
          <w:spacing w:val="-19"/>
          <w:w w:val="115"/>
        </w:rPr>
        <w:t> </w:t>
      </w:r>
      <w:r>
        <w:rPr>
          <w:color w:val="FFFFFF"/>
          <w:w w:val="115"/>
        </w:rPr>
        <w:t>the</w:t>
      </w:r>
      <w:r>
        <w:rPr>
          <w:color w:val="FFFFFF"/>
          <w:spacing w:val="-19"/>
          <w:w w:val="115"/>
        </w:rPr>
        <w:t> </w:t>
      </w:r>
      <w:r>
        <w:rPr>
          <w:color w:val="FFFFFF"/>
          <w:w w:val="115"/>
        </w:rPr>
        <w:t>UK</w:t>
      </w:r>
      <w:r>
        <w:rPr>
          <w:color w:val="FFFFFF"/>
          <w:spacing w:val="-19"/>
          <w:w w:val="115"/>
        </w:rPr>
        <w:t> </w:t>
      </w:r>
      <w:r>
        <w:rPr>
          <w:color w:val="FFFFFF"/>
          <w:w w:val="115"/>
        </w:rPr>
        <w:t>and</w:t>
      </w:r>
      <w:r>
        <w:rPr>
          <w:color w:val="FFFFFF"/>
          <w:spacing w:val="-19"/>
          <w:w w:val="115"/>
        </w:rPr>
        <w:t> </w:t>
      </w:r>
      <w:r>
        <w:rPr>
          <w:color w:val="FFFFFF"/>
          <w:w w:val="115"/>
        </w:rPr>
        <w:t>the</w:t>
      </w:r>
      <w:r>
        <w:rPr>
          <w:color w:val="FFFFFF"/>
          <w:spacing w:val="-19"/>
          <w:w w:val="115"/>
        </w:rPr>
        <w:t> </w:t>
      </w:r>
      <w:r>
        <w:rPr>
          <w:color w:val="FFFFFF"/>
          <w:w w:val="115"/>
        </w:rPr>
        <w:t>EU.</w:t>
      </w:r>
      <w:r>
        <w:rPr>
          <w:color w:val="FFFFFF"/>
          <w:spacing w:val="-19"/>
          <w:w w:val="115"/>
        </w:rPr>
        <w:t> </w:t>
      </w:r>
      <w:r>
        <w:rPr>
          <w:color w:val="FFFFFF"/>
          <w:w w:val="115"/>
        </w:rPr>
        <w:t>Her</w:t>
      </w:r>
      <w:r>
        <w:rPr>
          <w:color w:val="FFFFFF"/>
          <w:spacing w:val="-19"/>
          <w:w w:val="115"/>
        </w:rPr>
        <w:t> </w:t>
      </w:r>
      <w:r>
        <w:rPr>
          <w:color w:val="FFFFFF"/>
          <w:w w:val="115"/>
        </w:rPr>
        <w:t>research</w:t>
      </w:r>
      <w:r>
        <w:rPr>
          <w:color w:val="FFFFFF"/>
          <w:spacing w:val="-19"/>
          <w:w w:val="115"/>
        </w:rPr>
        <w:t> </w:t>
      </w:r>
      <w:r>
        <w:rPr>
          <w:color w:val="FFFFFF"/>
          <w:w w:val="115"/>
        </w:rPr>
        <w:t>has been</w:t>
      </w:r>
      <w:r>
        <w:rPr>
          <w:color w:val="FFFFFF"/>
          <w:spacing w:val="-9"/>
          <w:w w:val="115"/>
        </w:rPr>
        <w:t> </w:t>
      </w:r>
      <w:r>
        <w:rPr>
          <w:color w:val="FFFFFF"/>
          <w:w w:val="115"/>
        </w:rPr>
        <w:t>cited</w:t>
      </w:r>
      <w:r>
        <w:rPr>
          <w:color w:val="FFFFFF"/>
          <w:spacing w:val="-9"/>
          <w:w w:val="115"/>
        </w:rPr>
        <w:t> </w:t>
      </w:r>
      <w:r>
        <w:rPr>
          <w:color w:val="FFFFFF"/>
          <w:w w:val="115"/>
        </w:rPr>
        <w:t>by</w:t>
      </w:r>
      <w:r>
        <w:rPr>
          <w:color w:val="FFFFFF"/>
          <w:spacing w:val="-9"/>
          <w:w w:val="115"/>
        </w:rPr>
        <w:t> </w:t>
      </w:r>
      <w:r>
        <w:rPr>
          <w:color w:val="FFFFFF"/>
          <w:w w:val="115"/>
        </w:rPr>
        <w:t>national</w:t>
      </w:r>
      <w:r>
        <w:rPr>
          <w:color w:val="FFFFFF"/>
          <w:spacing w:val="-9"/>
          <w:w w:val="115"/>
        </w:rPr>
        <w:t> </w:t>
      </w:r>
      <w:r>
        <w:rPr>
          <w:color w:val="FFFFFF"/>
          <w:w w:val="115"/>
        </w:rPr>
        <w:t>and</w:t>
      </w:r>
      <w:r>
        <w:rPr>
          <w:color w:val="FFFFFF"/>
          <w:spacing w:val="-9"/>
          <w:w w:val="115"/>
        </w:rPr>
        <w:t> </w:t>
      </w:r>
      <w:r>
        <w:rPr>
          <w:color w:val="FFFFFF"/>
          <w:w w:val="115"/>
        </w:rPr>
        <w:t>supranational</w:t>
      </w:r>
      <w:r>
        <w:rPr>
          <w:color w:val="FFFFFF"/>
          <w:spacing w:val="-9"/>
          <w:w w:val="115"/>
        </w:rPr>
        <w:t> </w:t>
      </w:r>
      <w:r>
        <w:rPr>
          <w:color w:val="FFFFFF"/>
          <w:w w:val="115"/>
        </w:rPr>
        <w:t>bodies,</w:t>
      </w:r>
      <w:r>
        <w:rPr>
          <w:color w:val="FFFFFF"/>
          <w:spacing w:val="-9"/>
          <w:w w:val="115"/>
        </w:rPr>
        <w:t> </w:t>
      </w:r>
      <w:r>
        <w:rPr>
          <w:color w:val="FFFFFF"/>
          <w:w w:val="115"/>
        </w:rPr>
        <w:t>such</w:t>
      </w:r>
      <w:r>
        <w:rPr>
          <w:color w:val="FFFFFF"/>
          <w:spacing w:val="-9"/>
          <w:w w:val="115"/>
        </w:rPr>
        <w:t> </w:t>
      </w:r>
      <w:r>
        <w:rPr>
          <w:color w:val="FFFFFF"/>
          <w:w w:val="115"/>
        </w:rPr>
        <w:t>as select</w:t>
      </w:r>
      <w:r>
        <w:rPr>
          <w:color w:val="FFFFFF"/>
          <w:spacing w:val="-9"/>
          <w:w w:val="115"/>
        </w:rPr>
        <w:t> </w:t>
      </w:r>
      <w:r>
        <w:rPr>
          <w:color w:val="FFFFFF"/>
          <w:w w:val="115"/>
        </w:rPr>
        <w:t>committees</w:t>
      </w:r>
      <w:r>
        <w:rPr>
          <w:color w:val="FFFFFF"/>
          <w:spacing w:val="-9"/>
          <w:w w:val="115"/>
        </w:rPr>
        <w:t> </w:t>
      </w:r>
      <w:r>
        <w:rPr>
          <w:color w:val="FFFFFF"/>
          <w:w w:val="115"/>
        </w:rPr>
        <w:t>of</w:t>
      </w:r>
      <w:r>
        <w:rPr>
          <w:color w:val="FFFFFF"/>
          <w:spacing w:val="-9"/>
          <w:w w:val="115"/>
        </w:rPr>
        <w:t> </w:t>
      </w:r>
      <w:r>
        <w:rPr>
          <w:color w:val="FFFFFF"/>
          <w:w w:val="115"/>
        </w:rPr>
        <w:t>the</w:t>
      </w:r>
      <w:r>
        <w:rPr>
          <w:color w:val="FFFFFF"/>
          <w:spacing w:val="-9"/>
          <w:w w:val="115"/>
        </w:rPr>
        <w:t> </w:t>
      </w:r>
      <w:r>
        <w:rPr>
          <w:color w:val="FFFFFF"/>
          <w:w w:val="115"/>
        </w:rPr>
        <w:t>House</w:t>
      </w:r>
      <w:r>
        <w:rPr>
          <w:color w:val="FFFFFF"/>
          <w:spacing w:val="-9"/>
          <w:w w:val="115"/>
        </w:rPr>
        <w:t> </w:t>
      </w:r>
      <w:r>
        <w:rPr>
          <w:color w:val="FFFFFF"/>
          <w:w w:val="115"/>
        </w:rPr>
        <w:t>of</w:t>
      </w:r>
      <w:r>
        <w:rPr>
          <w:color w:val="FFFFFF"/>
          <w:spacing w:val="-9"/>
          <w:w w:val="115"/>
        </w:rPr>
        <w:t> </w:t>
      </w:r>
      <w:r>
        <w:rPr>
          <w:color w:val="FFFFFF"/>
          <w:w w:val="115"/>
        </w:rPr>
        <w:t>Lords</w:t>
      </w:r>
      <w:r>
        <w:rPr>
          <w:color w:val="FFFFFF"/>
          <w:spacing w:val="-9"/>
          <w:w w:val="115"/>
        </w:rPr>
        <w:t> </w:t>
      </w:r>
      <w:r>
        <w:rPr>
          <w:color w:val="FFFFFF"/>
          <w:w w:val="115"/>
        </w:rPr>
        <w:t>and</w:t>
      </w:r>
      <w:r>
        <w:rPr>
          <w:color w:val="FFFFFF"/>
          <w:spacing w:val="-9"/>
          <w:w w:val="115"/>
        </w:rPr>
        <w:t> </w:t>
      </w:r>
      <w:r>
        <w:rPr>
          <w:color w:val="FFFFFF"/>
          <w:w w:val="115"/>
        </w:rPr>
        <w:t>the</w:t>
      </w:r>
      <w:r>
        <w:rPr>
          <w:color w:val="FFFFFF"/>
          <w:spacing w:val="-9"/>
          <w:w w:val="115"/>
        </w:rPr>
        <w:t> </w:t>
      </w:r>
      <w:r>
        <w:rPr>
          <w:color w:val="FFFFFF"/>
          <w:w w:val="115"/>
        </w:rPr>
        <w:t>House</w:t>
      </w:r>
      <w:r>
        <w:rPr>
          <w:color w:val="FFFFFF"/>
          <w:spacing w:val="-9"/>
          <w:w w:val="115"/>
        </w:rPr>
        <w:t> </w:t>
      </w:r>
      <w:r>
        <w:rPr>
          <w:color w:val="FFFFFF"/>
          <w:w w:val="115"/>
        </w:rPr>
        <w:t>of</w:t>
      </w:r>
    </w:p>
    <w:p>
      <w:pPr>
        <w:pStyle w:val="BodyText"/>
        <w:spacing w:line="325" w:lineRule="exact"/>
        <w:ind w:left="2381"/>
        <w:rPr>
          <w:rFonts w:ascii="Lucida Sans Unicode"/>
        </w:rPr>
      </w:pPr>
      <w:r>
        <w:rPr>
          <w:rFonts w:ascii="Lucida Sans Unicode"/>
          <w:color w:val="FFFFFF"/>
        </w:rPr>
        <w:t>Commons,</w:t>
      </w:r>
      <w:r>
        <w:rPr>
          <w:rFonts w:ascii="Lucida Sans Unicode"/>
          <w:color w:val="FFFFFF"/>
          <w:spacing w:val="18"/>
        </w:rPr>
        <w:t> </w:t>
      </w:r>
      <w:r>
        <w:rPr>
          <w:rFonts w:ascii="Lucida Sans Unicode"/>
          <w:color w:val="FFFFFF"/>
        </w:rPr>
        <w:t>the</w:t>
      </w:r>
      <w:r>
        <w:rPr>
          <w:rFonts w:ascii="Lucida Sans Unicode"/>
          <w:color w:val="FFFFFF"/>
          <w:spacing w:val="19"/>
        </w:rPr>
        <w:t> </w:t>
      </w:r>
      <w:r>
        <w:rPr>
          <w:rFonts w:ascii="Lucida Sans Unicode"/>
          <w:color w:val="FFFFFF"/>
        </w:rPr>
        <w:t>Scottish</w:t>
      </w:r>
      <w:r>
        <w:rPr>
          <w:rFonts w:ascii="Lucida Sans Unicode"/>
          <w:color w:val="FFFFFF"/>
          <w:spacing w:val="19"/>
        </w:rPr>
        <w:t> </w:t>
      </w:r>
      <w:r>
        <w:rPr>
          <w:rFonts w:ascii="Lucida Sans Unicode"/>
          <w:color w:val="FFFFFF"/>
        </w:rPr>
        <w:t>Parliament,</w:t>
      </w:r>
      <w:r>
        <w:rPr>
          <w:rFonts w:ascii="Lucida Sans Unicode"/>
          <w:color w:val="FFFFFF"/>
          <w:spacing w:val="18"/>
        </w:rPr>
        <w:t> </w:t>
      </w:r>
      <w:r>
        <w:rPr>
          <w:rFonts w:ascii="Lucida Sans Unicode"/>
          <w:color w:val="FFFFFF"/>
        </w:rPr>
        <w:t>the</w:t>
      </w:r>
      <w:r>
        <w:rPr>
          <w:rFonts w:ascii="Lucida Sans Unicode"/>
          <w:color w:val="FFFFFF"/>
          <w:spacing w:val="19"/>
        </w:rPr>
        <w:t> </w:t>
      </w:r>
      <w:r>
        <w:rPr>
          <w:rFonts w:ascii="Lucida Sans Unicode"/>
          <w:color w:val="FFFFFF"/>
        </w:rPr>
        <w:t>European</w:t>
      </w:r>
      <w:r>
        <w:rPr>
          <w:rFonts w:ascii="Lucida Sans Unicode"/>
          <w:color w:val="FFFFFF"/>
          <w:spacing w:val="19"/>
        </w:rPr>
        <w:t> </w:t>
      </w:r>
      <w:r>
        <w:rPr>
          <w:rFonts w:ascii="Lucida Sans Unicode"/>
          <w:color w:val="FFFFFF"/>
        </w:rPr>
        <w:t>Court</w:t>
      </w:r>
      <w:r>
        <w:rPr>
          <w:rFonts w:ascii="Lucida Sans Unicode"/>
          <w:color w:val="FFFFFF"/>
          <w:spacing w:val="18"/>
        </w:rPr>
        <w:t> </w:t>
      </w:r>
      <w:r>
        <w:rPr>
          <w:rFonts w:ascii="Lucida Sans Unicode"/>
          <w:color w:val="FFFFFF"/>
          <w:spacing w:val="-5"/>
        </w:rPr>
        <w:t>of</w:t>
      </w:r>
    </w:p>
    <w:p>
      <w:pPr>
        <w:pStyle w:val="BodyText"/>
        <w:spacing w:line="268" w:lineRule="auto"/>
        <w:ind w:left="2381" w:right="165"/>
      </w:pPr>
      <w:r>
        <w:rPr>
          <w:color w:val="FFFFFF"/>
          <w:w w:val="110"/>
        </w:rPr>
        <w:t>Justice, the European Parliament, the EU Fundamental </w:t>
      </w:r>
      <w:r>
        <w:rPr>
          <w:color w:val="FFFFFF"/>
          <w:w w:val="110"/>
        </w:rPr>
        <w:t>Rights Agency, as well as in several Opinions of Advocates General at the European Court of Justice.</w:t>
      </w:r>
    </w:p>
    <w:p>
      <w:pPr>
        <w:pStyle w:val="BodyText"/>
        <w:spacing w:before="118"/>
        <w:ind w:left="0"/>
        <w:rPr>
          <w:sz w:val="20"/>
        </w:rPr>
      </w:pPr>
      <w:r>
        <w:rPr/>
        <mc:AlternateContent>
          <mc:Choice Requires="wps">
            <w:drawing>
              <wp:anchor distT="0" distB="0" distL="0" distR="0" allowOverlap="1" layoutInCell="1" locked="0" behindDoc="1" simplePos="0" relativeHeight="487589376">
                <wp:simplePos x="0" y="0"/>
                <wp:positionH relativeFrom="page">
                  <wp:posOffset>719999</wp:posOffset>
                </wp:positionH>
                <wp:positionV relativeFrom="paragraph">
                  <wp:posOffset>236551</wp:posOffset>
                </wp:positionV>
                <wp:extent cx="6120130" cy="1273175"/>
                <wp:effectExtent l="0" t="0" r="0" b="0"/>
                <wp:wrapTopAndBottom/>
                <wp:docPr id="35" name="Group 35"/>
                <wp:cNvGraphicFramePr>
                  <a:graphicFrameLocks/>
                </wp:cNvGraphicFramePr>
                <a:graphic>
                  <a:graphicData uri="http://schemas.microsoft.com/office/word/2010/wordprocessingGroup">
                    <wpg:wgp>
                      <wpg:cNvPr id="35" name="Group 35"/>
                      <wpg:cNvGrpSpPr/>
                      <wpg:grpSpPr>
                        <a:xfrm>
                          <a:off x="0" y="0"/>
                          <a:ext cx="6120130" cy="1273175"/>
                          <a:chExt cx="6120130" cy="1273175"/>
                        </a:xfrm>
                      </wpg:grpSpPr>
                      <pic:pic>
                        <pic:nvPicPr>
                          <pic:cNvPr id="36" name="Image 36"/>
                          <pic:cNvPicPr/>
                        </pic:nvPicPr>
                        <pic:blipFill>
                          <a:blip r:embed="rId27" cstate="print"/>
                          <a:stretch>
                            <a:fillRect/>
                          </a:stretch>
                        </pic:blipFill>
                        <pic:spPr>
                          <a:xfrm>
                            <a:off x="1" y="3352"/>
                            <a:ext cx="1224000" cy="1223987"/>
                          </a:xfrm>
                          <a:prstGeom prst="rect">
                            <a:avLst/>
                          </a:prstGeom>
                        </pic:spPr>
                      </pic:pic>
                      <wps:wsp>
                        <wps:cNvPr id="37" name="Graphic 37"/>
                        <wps:cNvSpPr/>
                        <wps:spPr>
                          <a:xfrm>
                            <a:off x="0" y="4762"/>
                            <a:ext cx="6120130" cy="1270"/>
                          </a:xfrm>
                          <a:custGeom>
                            <a:avLst/>
                            <a:gdLst/>
                            <a:ahLst/>
                            <a:cxnLst/>
                            <a:rect l="l" t="t" r="r" b="b"/>
                            <a:pathLst>
                              <a:path w="6120130" h="0">
                                <a:moveTo>
                                  <a:pt x="0" y="0"/>
                                </a:moveTo>
                                <a:lnTo>
                                  <a:pt x="6120003" y="0"/>
                                </a:lnTo>
                              </a:path>
                            </a:pathLst>
                          </a:custGeom>
                          <a:ln w="9525">
                            <a:solidFill>
                              <a:srgbClr val="FFFFFF"/>
                            </a:solidFill>
                            <a:prstDash val="solid"/>
                          </a:ln>
                        </wps:spPr>
                        <wps:bodyPr wrap="square" lIns="0" tIns="0" rIns="0" bIns="0" rtlCol="0">
                          <a:prstTxWarp prst="textNoShape">
                            <a:avLst/>
                          </a:prstTxWarp>
                          <a:noAutofit/>
                        </wps:bodyPr>
                      </wps:wsp>
                      <wps:wsp>
                        <wps:cNvPr id="38" name="Textbox 38"/>
                        <wps:cNvSpPr txBox="1"/>
                        <wps:spPr>
                          <a:xfrm>
                            <a:off x="0" y="0"/>
                            <a:ext cx="6120130" cy="1273175"/>
                          </a:xfrm>
                          <a:prstGeom prst="rect">
                            <a:avLst/>
                          </a:prstGeom>
                        </wps:spPr>
                        <wps:txbx>
                          <w:txbxContent>
                            <w:p>
                              <w:pPr>
                                <w:spacing w:line="310" w:lineRule="exact" w:before="145"/>
                                <w:ind w:left="2267" w:right="53" w:firstLine="0"/>
                                <w:jc w:val="left"/>
                                <w:rPr>
                                  <w:sz w:val="24"/>
                                </w:rPr>
                              </w:pPr>
                              <w:r>
                                <w:rPr>
                                  <w:rFonts w:ascii="Tahoma" w:hAnsi="Tahoma"/>
                                  <w:b/>
                                  <w:color w:val="FFFFFF"/>
                                  <w:spacing w:val="-2"/>
                                  <w:w w:val="110"/>
                                  <w:sz w:val="24"/>
                                </w:rPr>
                                <w:t>Anurag</w:t>
                              </w:r>
                              <w:r>
                                <w:rPr>
                                  <w:rFonts w:ascii="Tahoma" w:hAnsi="Tahoma"/>
                                  <w:b/>
                                  <w:color w:val="FFFFFF"/>
                                  <w:spacing w:val="-13"/>
                                  <w:w w:val="110"/>
                                  <w:sz w:val="24"/>
                                </w:rPr>
                                <w:t> </w:t>
                              </w:r>
                              <w:r>
                                <w:rPr>
                                  <w:rFonts w:ascii="Tahoma" w:hAnsi="Tahoma"/>
                                  <w:b/>
                                  <w:color w:val="FFFFFF"/>
                                  <w:spacing w:val="-2"/>
                                  <w:w w:val="110"/>
                                  <w:sz w:val="24"/>
                                </w:rPr>
                                <w:t>Deb</w:t>
                              </w:r>
                              <w:r>
                                <w:rPr>
                                  <w:rFonts w:ascii="Tahoma" w:hAnsi="Tahoma"/>
                                  <w:b/>
                                  <w:color w:val="FFFFFF"/>
                                  <w:spacing w:val="-13"/>
                                  <w:w w:val="110"/>
                                  <w:sz w:val="24"/>
                                </w:rPr>
                                <w:t> </w:t>
                              </w:r>
                              <w:r>
                                <w:rPr>
                                  <w:rFonts w:ascii="Lucida Sans Unicode" w:hAnsi="Lucida Sans Unicode"/>
                                  <w:color w:val="FFFFFF"/>
                                  <w:spacing w:val="-2"/>
                                  <w:w w:val="110"/>
                                  <w:sz w:val="24"/>
                                </w:rPr>
                                <w:t>is</w:t>
                              </w:r>
                              <w:r>
                                <w:rPr>
                                  <w:rFonts w:ascii="Lucida Sans Unicode" w:hAnsi="Lucida Sans Unicode"/>
                                  <w:color w:val="FFFFFF"/>
                                  <w:spacing w:val="-19"/>
                                  <w:w w:val="110"/>
                                  <w:sz w:val="24"/>
                                </w:rPr>
                                <w:t> </w:t>
                              </w:r>
                              <w:r>
                                <w:rPr>
                                  <w:rFonts w:ascii="Lucida Sans Unicode" w:hAnsi="Lucida Sans Unicode"/>
                                  <w:color w:val="FFFFFF"/>
                                  <w:spacing w:val="-2"/>
                                  <w:w w:val="110"/>
                                  <w:sz w:val="24"/>
                                </w:rPr>
                                <w:t>a</w:t>
                              </w:r>
                              <w:r>
                                <w:rPr>
                                  <w:rFonts w:ascii="Lucida Sans Unicode" w:hAnsi="Lucida Sans Unicode"/>
                                  <w:color w:val="FFFFFF"/>
                                  <w:spacing w:val="-19"/>
                                  <w:w w:val="110"/>
                                  <w:sz w:val="24"/>
                                </w:rPr>
                                <w:t> </w:t>
                              </w:r>
                              <w:r>
                                <w:rPr>
                                  <w:rFonts w:ascii="Lucida Sans Unicode" w:hAnsi="Lucida Sans Unicode"/>
                                  <w:color w:val="FFFFFF"/>
                                  <w:spacing w:val="-2"/>
                                  <w:w w:val="110"/>
                                  <w:sz w:val="24"/>
                                </w:rPr>
                                <w:t>PhD</w:t>
                              </w:r>
                              <w:r>
                                <w:rPr>
                                  <w:rFonts w:ascii="Lucida Sans Unicode" w:hAnsi="Lucida Sans Unicode"/>
                                  <w:color w:val="FFFFFF"/>
                                  <w:spacing w:val="-19"/>
                                  <w:w w:val="110"/>
                                  <w:sz w:val="24"/>
                                </w:rPr>
                                <w:t> </w:t>
                              </w:r>
                              <w:r>
                                <w:rPr>
                                  <w:rFonts w:ascii="Lucida Sans Unicode" w:hAnsi="Lucida Sans Unicode"/>
                                  <w:color w:val="FFFFFF"/>
                                  <w:spacing w:val="-2"/>
                                  <w:w w:val="110"/>
                                  <w:sz w:val="24"/>
                                </w:rPr>
                                <w:t>candidate</w:t>
                              </w:r>
                              <w:r>
                                <w:rPr>
                                  <w:rFonts w:ascii="Lucida Sans Unicode" w:hAnsi="Lucida Sans Unicode"/>
                                  <w:color w:val="FFFFFF"/>
                                  <w:spacing w:val="-19"/>
                                  <w:w w:val="110"/>
                                  <w:sz w:val="24"/>
                                </w:rPr>
                                <w:t> </w:t>
                              </w:r>
                              <w:r>
                                <w:rPr>
                                  <w:rFonts w:ascii="Lucida Sans Unicode" w:hAnsi="Lucida Sans Unicode"/>
                                  <w:color w:val="FFFFFF"/>
                                  <w:spacing w:val="-2"/>
                                  <w:w w:val="110"/>
                                  <w:sz w:val="24"/>
                                </w:rPr>
                                <w:t>in</w:t>
                              </w:r>
                              <w:r>
                                <w:rPr>
                                  <w:rFonts w:ascii="Lucida Sans Unicode" w:hAnsi="Lucida Sans Unicode"/>
                                  <w:color w:val="FFFFFF"/>
                                  <w:spacing w:val="-19"/>
                                  <w:w w:val="110"/>
                                  <w:sz w:val="24"/>
                                </w:rPr>
                                <w:t> </w:t>
                              </w:r>
                              <w:r>
                                <w:rPr>
                                  <w:rFonts w:ascii="Lucida Sans Unicode" w:hAnsi="Lucida Sans Unicode"/>
                                  <w:color w:val="FFFFFF"/>
                                  <w:spacing w:val="-2"/>
                                  <w:w w:val="110"/>
                                  <w:sz w:val="24"/>
                                </w:rPr>
                                <w:t>the</w:t>
                              </w:r>
                              <w:r>
                                <w:rPr>
                                  <w:rFonts w:ascii="Lucida Sans Unicode" w:hAnsi="Lucida Sans Unicode"/>
                                  <w:color w:val="FFFFFF"/>
                                  <w:spacing w:val="-19"/>
                                  <w:w w:val="110"/>
                                  <w:sz w:val="24"/>
                                </w:rPr>
                                <w:t> </w:t>
                              </w:r>
                              <w:r>
                                <w:rPr>
                                  <w:rFonts w:ascii="Lucida Sans Unicode" w:hAnsi="Lucida Sans Unicode"/>
                                  <w:color w:val="FFFFFF"/>
                                  <w:spacing w:val="-2"/>
                                  <w:w w:val="110"/>
                                  <w:sz w:val="24"/>
                                </w:rPr>
                                <w:t>School</w:t>
                              </w:r>
                              <w:r>
                                <w:rPr>
                                  <w:rFonts w:ascii="Lucida Sans Unicode" w:hAnsi="Lucida Sans Unicode"/>
                                  <w:color w:val="FFFFFF"/>
                                  <w:spacing w:val="-18"/>
                                  <w:w w:val="110"/>
                                  <w:sz w:val="24"/>
                                </w:rPr>
                                <w:t> </w:t>
                              </w:r>
                              <w:r>
                                <w:rPr>
                                  <w:rFonts w:ascii="Lucida Sans Unicode" w:hAnsi="Lucida Sans Unicode"/>
                                  <w:color w:val="FFFFFF"/>
                                  <w:spacing w:val="-2"/>
                                  <w:w w:val="110"/>
                                  <w:sz w:val="24"/>
                                </w:rPr>
                                <w:t>of</w:t>
                              </w:r>
                              <w:r>
                                <w:rPr>
                                  <w:rFonts w:ascii="Lucida Sans Unicode" w:hAnsi="Lucida Sans Unicode"/>
                                  <w:color w:val="FFFFFF"/>
                                  <w:spacing w:val="-19"/>
                                  <w:w w:val="110"/>
                                  <w:sz w:val="24"/>
                                </w:rPr>
                                <w:t> </w:t>
                              </w:r>
                              <w:r>
                                <w:rPr>
                                  <w:rFonts w:ascii="Lucida Sans Unicode" w:hAnsi="Lucida Sans Unicode"/>
                                  <w:color w:val="FFFFFF"/>
                                  <w:spacing w:val="-2"/>
                                  <w:w w:val="110"/>
                                  <w:sz w:val="24"/>
                                </w:rPr>
                                <w:t>Law</w:t>
                              </w:r>
                              <w:r>
                                <w:rPr>
                                  <w:rFonts w:ascii="Lucida Sans Unicode" w:hAnsi="Lucida Sans Unicode"/>
                                  <w:color w:val="FFFFFF"/>
                                  <w:spacing w:val="-19"/>
                                  <w:w w:val="110"/>
                                  <w:sz w:val="24"/>
                                </w:rPr>
                                <w:t> </w:t>
                              </w:r>
                              <w:r>
                                <w:rPr>
                                  <w:rFonts w:ascii="Lucida Sans Unicode" w:hAnsi="Lucida Sans Unicode"/>
                                  <w:color w:val="FFFFFF"/>
                                  <w:spacing w:val="-2"/>
                                  <w:w w:val="110"/>
                                  <w:sz w:val="24"/>
                                </w:rPr>
                                <w:t>at </w:t>
                              </w:r>
                              <w:r>
                                <w:rPr>
                                  <w:color w:val="FFFFFF"/>
                                  <w:w w:val="110"/>
                                  <w:sz w:val="24"/>
                                </w:rPr>
                                <w:t>Queen’s University Belfast and a paralegal at KRW LAW LLP. He is undertaking his thesis in legislative drafting and has written extensively on issues around the Windsor Framework. His practice as a paralegal also covers public law, with a particular focus on human rights litigation.</w:t>
                              </w:r>
                            </w:p>
                          </w:txbxContent>
                        </wps:txbx>
                        <wps:bodyPr wrap="square" lIns="0" tIns="0" rIns="0" bIns="0" rtlCol="0">
                          <a:noAutofit/>
                        </wps:bodyPr>
                      </wps:wsp>
                    </wpg:wgp>
                  </a:graphicData>
                </a:graphic>
              </wp:anchor>
            </w:drawing>
          </mc:Choice>
          <mc:Fallback>
            <w:pict>
              <v:group style="position:absolute;margin-left:56.692902pt;margin-top:18.626080pt;width:481.9pt;height:100.25pt;mso-position-horizontal-relative:page;mso-position-vertical-relative:paragraph;z-index:-15727104;mso-wrap-distance-left:0;mso-wrap-distance-right:0" id="docshapegroup33" coordorigin="1134,373" coordsize="9638,2005">
                <v:shape style="position:absolute;left:1133;top:377;width:1928;height:1928" type="#_x0000_t75" id="docshape34" stroked="false">
                  <v:imagedata r:id="rId27" o:title=""/>
                </v:shape>
                <v:line style="position:absolute" from="1134,380" to="10772,380" stroked="true" strokeweight=".75pt" strokecolor="#ffffff">
                  <v:stroke dashstyle="solid"/>
                </v:line>
                <v:shapetype id="_x0000_t202" o:spt="202" coordsize="21600,21600" path="m,l,21600r21600,l21600,xe">
                  <v:stroke joinstyle="miter"/>
                  <v:path gradientshapeok="t" o:connecttype="rect"/>
                </v:shapetype>
                <v:shape style="position:absolute;left:1133;top:372;width:9638;height:2005" type="#_x0000_t202" id="docshape35" filled="false" stroked="false">
                  <v:textbox inset="0,0,0,0">
                    <w:txbxContent>
                      <w:p>
                        <w:pPr>
                          <w:spacing w:line="310" w:lineRule="exact" w:before="145"/>
                          <w:ind w:left="2267" w:right="53" w:firstLine="0"/>
                          <w:jc w:val="left"/>
                          <w:rPr>
                            <w:sz w:val="24"/>
                          </w:rPr>
                        </w:pPr>
                        <w:r>
                          <w:rPr>
                            <w:rFonts w:ascii="Tahoma" w:hAnsi="Tahoma"/>
                            <w:b/>
                            <w:color w:val="FFFFFF"/>
                            <w:spacing w:val="-2"/>
                            <w:w w:val="110"/>
                            <w:sz w:val="24"/>
                          </w:rPr>
                          <w:t>Anurag</w:t>
                        </w:r>
                        <w:r>
                          <w:rPr>
                            <w:rFonts w:ascii="Tahoma" w:hAnsi="Tahoma"/>
                            <w:b/>
                            <w:color w:val="FFFFFF"/>
                            <w:spacing w:val="-13"/>
                            <w:w w:val="110"/>
                            <w:sz w:val="24"/>
                          </w:rPr>
                          <w:t> </w:t>
                        </w:r>
                        <w:r>
                          <w:rPr>
                            <w:rFonts w:ascii="Tahoma" w:hAnsi="Tahoma"/>
                            <w:b/>
                            <w:color w:val="FFFFFF"/>
                            <w:spacing w:val="-2"/>
                            <w:w w:val="110"/>
                            <w:sz w:val="24"/>
                          </w:rPr>
                          <w:t>Deb</w:t>
                        </w:r>
                        <w:r>
                          <w:rPr>
                            <w:rFonts w:ascii="Tahoma" w:hAnsi="Tahoma"/>
                            <w:b/>
                            <w:color w:val="FFFFFF"/>
                            <w:spacing w:val="-13"/>
                            <w:w w:val="110"/>
                            <w:sz w:val="24"/>
                          </w:rPr>
                          <w:t> </w:t>
                        </w:r>
                        <w:r>
                          <w:rPr>
                            <w:rFonts w:ascii="Lucida Sans Unicode" w:hAnsi="Lucida Sans Unicode"/>
                            <w:color w:val="FFFFFF"/>
                            <w:spacing w:val="-2"/>
                            <w:w w:val="110"/>
                            <w:sz w:val="24"/>
                          </w:rPr>
                          <w:t>is</w:t>
                        </w:r>
                        <w:r>
                          <w:rPr>
                            <w:rFonts w:ascii="Lucida Sans Unicode" w:hAnsi="Lucida Sans Unicode"/>
                            <w:color w:val="FFFFFF"/>
                            <w:spacing w:val="-19"/>
                            <w:w w:val="110"/>
                            <w:sz w:val="24"/>
                          </w:rPr>
                          <w:t> </w:t>
                        </w:r>
                        <w:r>
                          <w:rPr>
                            <w:rFonts w:ascii="Lucida Sans Unicode" w:hAnsi="Lucida Sans Unicode"/>
                            <w:color w:val="FFFFFF"/>
                            <w:spacing w:val="-2"/>
                            <w:w w:val="110"/>
                            <w:sz w:val="24"/>
                          </w:rPr>
                          <w:t>a</w:t>
                        </w:r>
                        <w:r>
                          <w:rPr>
                            <w:rFonts w:ascii="Lucida Sans Unicode" w:hAnsi="Lucida Sans Unicode"/>
                            <w:color w:val="FFFFFF"/>
                            <w:spacing w:val="-19"/>
                            <w:w w:val="110"/>
                            <w:sz w:val="24"/>
                          </w:rPr>
                          <w:t> </w:t>
                        </w:r>
                        <w:r>
                          <w:rPr>
                            <w:rFonts w:ascii="Lucida Sans Unicode" w:hAnsi="Lucida Sans Unicode"/>
                            <w:color w:val="FFFFFF"/>
                            <w:spacing w:val="-2"/>
                            <w:w w:val="110"/>
                            <w:sz w:val="24"/>
                          </w:rPr>
                          <w:t>PhD</w:t>
                        </w:r>
                        <w:r>
                          <w:rPr>
                            <w:rFonts w:ascii="Lucida Sans Unicode" w:hAnsi="Lucida Sans Unicode"/>
                            <w:color w:val="FFFFFF"/>
                            <w:spacing w:val="-19"/>
                            <w:w w:val="110"/>
                            <w:sz w:val="24"/>
                          </w:rPr>
                          <w:t> </w:t>
                        </w:r>
                        <w:r>
                          <w:rPr>
                            <w:rFonts w:ascii="Lucida Sans Unicode" w:hAnsi="Lucida Sans Unicode"/>
                            <w:color w:val="FFFFFF"/>
                            <w:spacing w:val="-2"/>
                            <w:w w:val="110"/>
                            <w:sz w:val="24"/>
                          </w:rPr>
                          <w:t>candidate</w:t>
                        </w:r>
                        <w:r>
                          <w:rPr>
                            <w:rFonts w:ascii="Lucida Sans Unicode" w:hAnsi="Lucida Sans Unicode"/>
                            <w:color w:val="FFFFFF"/>
                            <w:spacing w:val="-19"/>
                            <w:w w:val="110"/>
                            <w:sz w:val="24"/>
                          </w:rPr>
                          <w:t> </w:t>
                        </w:r>
                        <w:r>
                          <w:rPr>
                            <w:rFonts w:ascii="Lucida Sans Unicode" w:hAnsi="Lucida Sans Unicode"/>
                            <w:color w:val="FFFFFF"/>
                            <w:spacing w:val="-2"/>
                            <w:w w:val="110"/>
                            <w:sz w:val="24"/>
                          </w:rPr>
                          <w:t>in</w:t>
                        </w:r>
                        <w:r>
                          <w:rPr>
                            <w:rFonts w:ascii="Lucida Sans Unicode" w:hAnsi="Lucida Sans Unicode"/>
                            <w:color w:val="FFFFFF"/>
                            <w:spacing w:val="-19"/>
                            <w:w w:val="110"/>
                            <w:sz w:val="24"/>
                          </w:rPr>
                          <w:t> </w:t>
                        </w:r>
                        <w:r>
                          <w:rPr>
                            <w:rFonts w:ascii="Lucida Sans Unicode" w:hAnsi="Lucida Sans Unicode"/>
                            <w:color w:val="FFFFFF"/>
                            <w:spacing w:val="-2"/>
                            <w:w w:val="110"/>
                            <w:sz w:val="24"/>
                          </w:rPr>
                          <w:t>the</w:t>
                        </w:r>
                        <w:r>
                          <w:rPr>
                            <w:rFonts w:ascii="Lucida Sans Unicode" w:hAnsi="Lucida Sans Unicode"/>
                            <w:color w:val="FFFFFF"/>
                            <w:spacing w:val="-19"/>
                            <w:w w:val="110"/>
                            <w:sz w:val="24"/>
                          </w:rPr>
                          <w:t> </w:t>
                        </w:r>
                        <w:r>
                          <w:rPr>
                            <w:rFonts w:ascii="Lucida Sans Unicode" w:hAnsi="Lucida Sans Unicode"/>
                            <w:color w:val="FFFFFF"/>
                            <w:spacing w:val="-2"/>
                            <w:w w:val="110"/>
                            <w:sz w:val="24"/>
                          </w:rPr>
                          <w:t>School</w:t>
                        </w:r>
                        <w:r>
                          <w:rPr>
                            <w:rFonts w:ascii="Lucida Sans Unicode" w:hAnsi="Lucida Sans Unicode"/>
                            <w:color w:val="FFFFFF"/>
                            <w:spacing w:val="-18"/>
                            <w:w w:val="110"/>
                            <w:sz w:val="24"/>
                          </w:rPr>
                          <w:t> </w:t>
                        </w:r>
                        <w:r>
                          <w:rPr>
                            <w:rFonts w:ascii="Lucida Sans Unicode" w:hAnsi="Lucida Sans Unicode"/>
                            <w:color w:val="FFFFFF"/>
                            <w:spacing w:val="-2"/>
                            <w:w w:val="110"/>
                            <w:sz w:val="24"/>
                          </w:rPr>
                          <w:t>of</w:t>
                        </w:r>
                        <w:r>
                          <w:rPr>
                            <w:rFonts w:ascii="Lucida Sans Unicode" w:hAnsi="Lucida Sans Unicode"/>
                            <w:color w:val="FFFFFF"/>
                            <w:spacing w:val="-19"/>
                            <w:w w:val="110"/>
                            <w:sz w:val="24"/>
                          </w:rPr>
                          <w:t> </w:t>
                        </w:r>
                        <w:r>
                          <w:rPr>
                            <w:rFonts w:ascii="Lucida Sans Unicode" w:hAnsi="Lucida Sans Unicode"/>
                            <w:color w:val="FFFFFF"/>
                            <w:spacing w:val="-2"/>
                            <w:w w:val="110"/>
                            <w:sz w:val="24"/>
                          </w:rPr>
                          <w:t>Law</w:t>
                        </w:r>
                        <w:r>
                          <w:rPr>
                            <w:rFonts w:ascii="Lucida Sans Unicode" w:hAnsi="Lucida Sans Unicode"/>
                            <w:color w:val="FFFFFF"/>
                            <w:spacing w:val="-19"/>
                            <w:w w:val="110"/>
                            <w:sz w:val="24"/>
                          </w:rPr>
                          <w:t> </w:t>
                        </w:r>
                        <w:r>
                          <w:rPr>
                            <w:rFonts w:ascii="Lucida Sans Unicode" w:hAnsi="Lucida Sans Unicode"/>
                            <w:color w:val="FFFFFF"/>
                            <w:spacing w:val="-2"/>
                            <w:w w:val="110"/>
                            <w:sz w:val="24"/>
                          </w:rPr>
                          <w:t>at </w:t>
                        </w:r>
                        <w:r>
                          <w:rPr>
                            <w:color w:val="FFFFFF"/>
                            <w:w w:val="110"/>
                            <w:sz w:val="24"/>
                          </w:rPr>
                          <w:t>Queen’s University Belfast and a paralegal at KRW LAW LLP. He is undertaking his thesis in legislative drafting and has written extensively on issues around the Windsor Framework. His practice as a paralegal also covers public law, with a particular focus on human rights litigation.</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89888">
                <wp:simplePos x="0" y="0"/>
                <wp:positionH relativeFrom="page">
                  <wp:posOffset>719999</wp:posOffset>
                </wp:positionH>
                <wp:positionV relativeFrom="paragraph">
                  <wp:posOffset>1781548</wp:posOffset>
                </wp:positionV>
                <wp:extent cx="6120130" cy="6350"/>
                <wp:effectExtent l="0" t="0" r="0" b="0"/>
                <wp:wrapTopAndBottom/>
                <wp:docPr id="39" name="Group 39"/>
                <wp:cNvGraphicFramePr>
                  <a:graphicFrameLocks/>
                </wp:cNvGraphicFramePr>
                <a:graphic>
                  <a:graphicData uri="http://schemas.microsoft.com/office/word/2010/wordprocessingGroup">
                    <wpg:wgp>
                      <wpg:cNvPr id="39" name="Group 39"/>
                      <wpg:cNvGrpSpPr/>
                      <wpg:grpSpPr>
                        <a:xfrm>
                          <a:off x="0" y="0"/>
                          <a:ext cx="6120130" cy="6350"/>
                          <a:chExt cx="6120130" cy="6350"/>
                        </a:xfrm>
                      </wpg:grpSpPr>
                      <wps:wsp>
                        <wps:cNvPr id="40" name="Graphic 40"/>
                        <wps:cNvSpPr/>
                        <wps:spPr>
                          <a:xfrm>
                            <a:off x="0" y="3175"/>
                            <a:ext cx="6120130" cy="1270"/>
                          </a:xfrm>
                          <a:custGeom>
                            <a:avLst/>
                            <a:gdLst/>
                            <a:ahLst/>
                            <a:cxnLst/>
                            <a:rect l="l" t="t" r="r" b="b"/>
                            <a:pathLst>
                              <a:path w="6120130" h="0">
                                <a:moveTo>
                                  <a:pt x="0" y="0"/>
                                </a:moveTo>
                                <a:lnTo>
                                  <a:pt x="6120003" y="0"/>
                                </a:lnTo>
                              </a:path>
                            </a:pathLst>
                          </a:custGeom>
                          <a:ln w="6350">
                            <a:solidFill>
                              <a:srgbClr val="9D9D9C"/>
                            </a:solidFill>
                            <a:prstDash val="solid"/>
                          </a:ln>
                        </wps:spPr>
                        <wps:bodyPr wrap="square" lIns="0" tIns="0" rIns="0" bIns="0" rtlCol="0">
                          <a:prstTxWarp prst="textNoShape">
                            <a:avLst/>
                          </a:prstTxWarp>
                          <a:noAutofit/>
                        </wps:bodyPr>
                      </wps:wsp>
                      <wps:wsp>
                        <wps:cNvPr id="41" name="Graphic 41"/>
                        <wps:cNvSpPr/>
                        <wps:spPr>
                          <a:xfrm>
                            <a:off x="0" y="3175"/>
                            <a:ext cx="6120130" cy="1270"/>
                          </a:xfrm>
                          <a:custGeom>
                            <a:avLst/>
                            <a:gdLst/>
                            <a:ahLst/>
                            <a:cxnLst/>
                            <a:rect l="l" t="t" r="r" b="b"/>
                            <a:pathLst>
                              <a:path w="6120130" h="0">
                                <a:moveTo>
                                  <a:pt x="0" y="0"/>
                                </a:moveTo>
                                <a:lnTo>
                                  <a:pt x="6120003" y="0"/>
                                </a:lnTo>
                              </a:path>
                            </a:pathLst>
                          </a:custGeom>
                          <a:ln w="6350">
                            <a:solidFill>
                              <a:srgbClr val="B696C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140.279373pt;width:481.9pt;height:.5pt;mso-position-horizontal-relative:page;mso-position-vertical-relative:paragraph;z-index:-15726592;mso-wrap-distance-left:0;mso-wrap-distance-right:0" id="docshapegroup36" coordorigin="1134,2806" coordsize="9638,10">
                <v:line style="position:absolute" from="1134,2811" to="10772,2811" stroked="true" strokeweight=".5pt" strokecolor="#9d9d9c">
                  <v:stroke dashstyle="solid"/>
                </v:line>
                <v:line style="position:absolute" from="1134,2811" to="10772,2811" stroked="true" strokeweight=".5pt" strokecolor="#b696c6">
                  <v:stroke dashstyle="solid"/>
                </v:line>
                <w10:wrap type="topAndBottom"/>
              </v:group>
            </w:pict>
          </mc:Fallback>
        </mc:AlternateContent>
      </w:r>
    </w:p>
    <w:p>
      <w:pPr>
        <w:pStyle w:val="BodyText"/>
        <w:spacing w:before="174"/>
        <w:ind w:left="0"/>
        <w:rPr>
          <w:sz w:val="20"/>
        </w:rPr>
      </w:pPr>
    </w:p>
    <w:p>
      <w:pPr>
        <w:spacing w:before="88"/>
        <w:ind w:left="113" w:right="0" w:firstLine="0"/>
        <w:jc w:val="left"/>
        <w:rPr>
          <w:rFonts w:ascii="Tahoma"/>
          <w:b/>
          <w:sz w:val="16"/>
        </w:rPr>
      </w:pPr>
      <w:r>
        <w:rPr>
          <w:rFonts w:ascii="Tahoma"/>
          <w:b/>
          <w:color w:val="FFFFFF"/>
          <w:spacing w:val="-10"/>
          <w:w w:val="110"/>
          <w:sz w:val="16"/>
        </w:rPr>
        <w:t>4</w:t>
      </w:r>
    </w:p>
    <w:p>
      <w:pPr>
        <w:spacing w:after="0"/>
        <w:jc w:val="left"/>
        <w:rPr>
          <w:rFonts w:ascii="Tahoma"/>
          <w:sz w:val="16"/>
        </w:rPr>
        <w:sectPr>
          <w:pgSz w:w="11910" w:h="16840"/>
          <w:pgMar w:top="480" w:bottom="280" w:left="1020" w:right="1020"/>
        </w:sectPr>
      </w:pPr>
    </w:p>
    <w:p>
      <w:pPr>
        <w:pStyle w:val="BodyText"/>
        <w:spacing w:before="10"/>
        <w:ind w:left="0"/>
        <w:rPr>
          <w:rFonts w:ascii="Tahoma"/>
          <w:b/>
          <w:sz w:val="60"/>
        </w:rPr>
      </w:pPr>
    </w:p>
    <w:p>
      <w:pPr>
        <w:pStyle w:val="Heading1"/>
      </w:pPr>
      <w:r>
        <w:rPr>
          <w:color w:val="77328A"/>
          <w:spacing w:val="-5"/>
          <w:w w:val="115"/>
        </w:rPr>
        <w:t>Executive</w:t>
      </w:r>
      <w:r>
        <w:rPr>
          <w:color w:val="77328A"/>
          <w:spacing w:val="-37"/>
          <w:w w:val="115"/>
        </w:rPr>
        <w:t> </w:t>
      </w:r>
      <w:r>
        <w:rPr>
          <w:color w:val="77328A"/>
          <w:spacing w:val="-2"/>
          <w:w w:val="115"/>
        </w:rPr>
        <w:t>Summary</w:t>
      </w:r>
    </w:p>
    <w:p>
      <w:pPr>
        <w:spacing w:line="256" w:lineRule="auto" w:before="400"/>
        <w:ind w:left="113" w:right="444" w:firstLine="0"/>
        <w:jc w:val="left"/>
        <w:rPr>
          <w:rFonts w:ascii="Tahoma" w:hAnsi="Tahoma"/>
          <w:b/>
          <w:sz w:val="28"/>
        </w:rPr>
      </w:pPr>
      <w:r>
        <w:rPr>
          <w:rFonts w:ascii="Tahoma" w:hAnsi="Tahoma"/>
          <w:b/>
          <w:color w:val="77328A"/>
          <w:sz w:val="28"/>
        </w:rPr>
        <w:t>This</w:t>
      </w:r>
      <w:r>
        <w:rPr>
          <w:rFonts w:ascii="Tahoma" w:hAnsi="Tahoma"/>
          <w:b/>
          <w:color w:val="77328A"/>
          <w:spacing w:val="-2"/>
          <w:sz w:val="28"/>
        </w:rPr>
        <w:t> </w:t>
      </w:r>
      <w:r>
        <w:rPr>
          <w:rFonts w:ascii="Tahoma" w:hAnsi="Tahoma"/>
          <w:b/>
          <w:color w:val="77328A"/>
          <w:sz w:val="28"/>
        </w:rPr>
        <w:t>report</w:t>
      </w:r>
      <w:r>
        <w:rPr>
          <w:rFonts w:ascii="Tahoma" w:hAnsi="Tahoma"/>
          <w:b/>
          <w:color w:val="77328A"/>
          <w:spacing w:val="-2"/>
          <w:sz w:val="28"/>
        </w:rPr>
        <w:t> </w:t>
      </w:r>
      <w:r>
        <w:rPr>
          <w:rFonts w:ascii="Tahoma" w:hAnsi="Tahoma"/>
          <w:b/>
          <w:color w:val="77328A"/>
          <w:sz w:val="28"/>
        </w:rPr>
        <w:t>analyses</w:t>
      </w:r>
      <w:r>
        <w:rPr>
          <w:rFonts w:ascii="Tahoma" w:hAnsi="Tahoma"/>
          <w:b/>
          <w:color w:val="77328A"/>
          <w:spacing w:val="-2"/>
          <w:sz w:val="28"/>
        </w:rPr>
        <w:t> </w:t>
      </w:r>
      <w:r>
        <w:rPr>
          <w:rFonts w:ascii="Tahoma" w:hAnsi="Tahoma"/>
          <w:b/>
          <w:color w:val="77328A"/>
          <w:sz w:val="28"/>
        </w:rPr>
        <w:t>the</w:t>
      </w:r>
      <w:r>
        <w:rPr>
          <w:rFonts w:ascii="Tahoma" w:hAnsi="Tahoma"/>
          <w:b/>
          <w:color w:val="77328A"/>
          <w:spacing w:val="-2"/>
          <w:sz w:val="28"/>
        </w:rPr>
        <w:t> </w:t>
      </w:r>
      <w:r>
        <w:rPr>
          <w:rFonts w:ascii="Tahoma" w:hAnsi="Tahoma"/>
          <w:b/>
          <w:color w:val="77328A"/>
          <w:sz w:val="28"/>
        </w:rPr>
        <w:t>extent</w:t>
      </w:r>
      <w:r>
        <w:rPr>
          <w:rFonts w:ascii="Tahoma" w:hAnsi="Tahoma"/>
          <w:b/>
          <w:color w:val="77328A"/>
          <w:spacing w:val="-2"/>
          <w:sz w:val="28"/>
        </w:rPr>
        <w:t> </w:t>
      </w:r>
      <w:r>
        <w:rPr>
          <w:rFonts w:ascii="Tahoma" w:hAnsi="Tahoma"/>
          <w:b/>
          <w:color w:val="77328A"/>
          <w:sz w:val="28"/>
        </w:rPr>
        <w:t>and</w:t>
      </w:r>
      <w:r>
        <w:rPr>
          <w:rFonts w:ascii="Tahoma" w:hAnsi="Tahoma"/>
          <w:b/>
          <w:color w:val="77328A"/>
          <w:spacing w:val="-2"/>
          <w:sz w:val="28"/>
        </w:rPr>
        <w:t> </w:t>
      </w:r>
      <w:r>
        <w:rPr>
          <w:rFonts w:ascii="Tahoma" w:hAnsi="Tahoma"/>
          <w:b/>
          <w:color w:val="77328A"/>
          <w:sz w:val="28"/>
        </w:rPr>
        <w:t>ways</w:t>
      </w:r>
      <w:r>
        <w:rPr>
          <w:rFonts w:ascii="Tahoma" w:hAnsi="Tahoma"/>
          <w:b/>
          <w:color w:val="77328A"/>
          <w:spacing w:val="-2"/>
          <w:sz w:val="28"/>
        </w:rPr>
        <w:t> </w:t>
      </w:r>
      <w:r>
        <w:rPr>
          <w:rFonts w:ascii="Tahoma" w:hAnsi="Tahoma"/>
          <w:b/>
          <w:color w:val="77328A"/>
          <w:sz w:val="28"/>
        </w:rPr>
        <w:t>in</w:t>
      </w:r>
      <w:r>
        <w:rPr>
          <w:rFonts w:ascii="Tahoma" w:hAnsi="Tahoma"/>
          <w:b/>
          <w:color w:val="77328A"/>
          <w:spacing w:val="-2"/>
          <w:sz w:val="28"/>
        </w:rPr>
        <w:t> </w:t>
      </w:r>
      <w:r>
        <w:rPr>
          <w:rFonts w:ascii="Tahoma" w:hAnsi="Tahoma"/>
          <w:b/>
          <w:color w:val="77328A"/>
          <w:sz w:val="28"/>
        </w:rPr>
        <w:t>which</w:t>
      </w:r>
      <w:r>
        <w:rPr>
          <w:rFonts w:ascii="Tahoma" w:hAnsi="Tahoma"/>
          <w:b/>
          <w:color w:val="77328A"/>
          <w:spacing w:val="-2"/>
          <w:sz w:val="28"/>
        </w:rPr>
        <w:t> </w:t>
      </w:r>
      <w:r>
        <w:rPr>
          <w:rFonts w:ascii="Tahoma" w:hAnsi="Tahoma"/>
          <w:b/>
          <w:color w:val="77328A"/>
          <w:sz w:val="28"/>
        </w:rPr>
        <w:t>the</w:t>
      </w:r>
      <w:r>
        <w:rPr>
          <w:rFonts w:ascii="Tahoma" w:hAnsi="Tahoma"/>
          <w:b/>
          <w:color w:val="77328A"/>
          <w:spacing w:val="-2"/>
          <w:sz w:val="28"/>
        </w:rPr>
        <w:t> </w:t>
      </w:r>
      <w:r>
        <w:rPr>
          <w:rFonts w:ascii="Tahoma" w:hAnsi="Tahoma"/>
          <w:b/>
          <w:color w:val="77328A"/>
          <w:sz w:val="28"/>
        </w:rPr>
        <w:t>EU</w:t>
      </w:r>
      <w:r>
        <w:rPr>
          <w:rFonts w:ascii="Tahoma" w:hAnsi="Tahoma"/>
          <w:b/>
          <w:color w:val="77328A"/>
          <w:spacing w:val="-2"/>
          <w:sz w:val="28"/>
        </w:rPr>
        <w:t> </w:t>
      </w:r>
      <w:r>
        <w:rPr>
          <w:rFonts w:ascii="Tahoma" w:hAnsi="Tahoma"/>
          <w:b/>
          <w:color w:val="77328A"/>
          <w:sz w:val="28"/>
        </w:rPr>
        <w:t>Charter of Fundamental Rights (‘CFR’ or ‘Charter’) and the general principles of EU law continue to apply in the Northern Ireland legal order under the Windsor Framework.</w:t>
      </w:r>
    </w:p>
    <w:p>
      <w:pPr>
        <w:pStyle w:val="BodyText"/>
        <w:spacing w:before="45"/>
        <w:ind w:left="0"/>
        <w:rPr>
          <w:rFonts w:ascii="Tahoma"/>
          <w:b/>
          <w:sz w:val="20"/>
        </w:rPr>
      </w:pPr>
    </w:p>
    <w:p>
      <w:pPr>
        <w:spacing w:after="0"/>
        <w:rPr>
          <w:rFonts w:ascii="Tahoma"/>
          <w:sz w:val="20"/>
        </w:rPr>
        <w:sectPr>
          <w:headerReference w:type="default" r:id="rId28"/>
          <w:headerReference w:type="even" r:id="rId29"/>
          <w:footerReference w:type="default" r:id="rId30"/>
          <w:footerReference w:type="even" r:id="rId31"/>
          <w:pgSz w:w="11910" w:h="16840"/>
          <w:pgMar w:header="568" w:footer="580" w:top="840" w:bottom="780" w:left="1020" w:right="1020"/>
          <w:pgNumType w:start="5"/>
        </w:sectPr>
      </w:pPr>
    </w:p>
    <w:p>
      <w:pPr>
        <w:pStyle w:val="BodyText"/>
        <w:spacing w:line="310" w:lineRule="exact" w:before="49"/>
        <w:ind w:right="74"/>
      </w:pPr>
      <w:r>
        <w:rPr>
          <w:w w:val="110"/>
        </w:rPr>
        <w:t>The report explains that the </w:t>
      </w:r>
      <w:r>
        <w:rPr>
          <w:w w:val="110"/>
        </w:rPr>
        <w:t>continued application of the Charter and general principles of EU law is principally </w:t>
      </w:r>
      <w:r>
        <w:rPr>
          <w:rFonts w:ascii="Lucida Sans Unicode"/>
          <w:spacing w:val="-2"/>
          <w:w w:val="110"/>
        </w:rPr>
        <w:t>underpinned</w:t>
      </w:r>
      <w:r>
        <w:rPr>
          <w:rFonts w:ascii="Lucida Sans Unicode"/>
          <w:spacing w:val="-18"/>
          <w:w w:val="110"/>
        </w:rPr>
        <w:t> </w:t>
      </w:r>
      <w:r>
        <w:rPr>
          <w:rFonts w:ascii="Lucida Sans Unicode"/>
          <w:spacing w:val="-2"/>
          <w:w w:val="110"/>
        </w:rPr>
        <w:t>by</w:t>
      </w:r>
      <w:r>
        <w:rPr>
          <w:rFonts w:ascii="Lucida Sans Unicode"/>
          <w:spacing w:val="-18"/>
          <w:w w:val="110"/>
        </w:rPr>
        <w:t> </w:t>
      </w:r>
      <w:r>
        <w:rPr>
          <w:rFonts w:ascii="Lucida Sans Unicode"/>
          <w:spacing w:val="-2"/>
          <w:w w:val="110"/>
        </w:rPr>
        <w:t>Articles</w:t>
      </w:r>
      <w:r>
        <w:rPr>
          <w:rFonts w:ascii="Lucida Sans Unicode"/>
          <w:spacing w:val="-18"/>
          <w:w w:val="110"/>
        </w:rPr>
        <w:t> </w:t>
      </w:r>
      <w:r>
        <w:rPr>
          <w:rFonts w:ascii="Lucida Sans Unicode"/>
          <w:spacing w:val="-2"/>
          <w:w w:val="110"/>
        </w:rPr>
        <w:t>2</w:t>
      </w:r>
      <w:r>
        <w:rPr>
          <w:rFonts w:ascii="Lucida Sans Unicode"/>
          <w:spacing w:val="-18"/>
          <w:w w:val="110"/>
        </w:rPr>
        <w:t> </w:t>
      </w:r>
      <w:r>
        <w:rPr>
          <w:rFonts w:ascii="Lucida Sans Unicode"/>
          <w:spacing w:val="-2"/>
          <w:w w:val="110"/>
        </w:rPr>
        <w:t>and</w:t>
      </w:r>
      <w:r>
        <w:rPr>
          <w:rFonts w:ascii="Lucida Sans Unicode"/>
          <w:spacing w:val="-18"/>
          <w:w w:val="110"/>
        </w:rPr>
        <w:t> </w:t>
      </w:r>
      <w:r>
        <w:rPr>
          <w:rFonts w:ascii="Lucida Sans Unicode"/>
          <w:spacing w:val="-2"/>
          <w:w w:val="110"/>
        </w:rPr>
        <w:t>4</w:t>
      </w:r>
      <w:r>
        <w:rPr>
          <w:rFonts w:ascii="Lucida Sans Unicode"/>
          <w:spacing w:val="-18"/>
          <w:w w:val="110"/>
        </w:rPr>
        <w:t> </w:t>
      </w:r>
      <w:r>
        <w:rPr>
          <w:rFonts w:ascii="Lucida Sans Unicode"/>
          <w:spacing w:val="-2"/>
          <w:w w:val="110"/>
        </w:rPr>
        <w:t>of </w:t>
      </w:r>
      <w:r>
        <w:rPr>
          <w:w w:val="110"/>
        </w:rPr>
        <w:t>the Withdrawal Agreement, which </w:t>
      </w:r>
      <w:r>
        <w:rPr>
          <w:rFonts w:ascii="Lucida Sans Unicode"/>
        </w:rPr>
        <w:t>explicitly define EU law as including</w:t>
      </w:r>
      <w:r>
        <w:rPr>
          <w:rFonts w:ascii="Lucida Sans Unicode"/>
          <w:w w:val="110"/>
        </w:rPr>
        <w:t> </w:t>
      </w:r>
      <w:r>
        <w:rPr>
          <w:w w:val="110"/>
        </w:rPr>
        <w:t>the Charter and general principles</w:t>
      </w:r>
    </w:p>
    <w:p>
      <w:pPr>
        <w:pStyle w:val="BodyText"/>
        <w:spacing w:line="310" w:lineRule="exact"/>
        <w:ind w:right="64"/>
      </w:pPr>
      <w:r>
        <w:rPr>
          <w:w w:val="110"/>
        </w:rPr>
        <w:t>of EU law and stipulate that EU law covered by the Agreement ‘shall be interpreted and applied in accordance with the methods and general principles of Union law’, respectively. This gives rise to two main avenues</w:t>
      </w:r>
      <w:r>
        <w:rPr>
          <w:spacing w:val="40"/>
          <w:w w:val="110"/>
        </w:rPr>
        <w:t> </w:t>
      </w:r>
      <w:r>
        <w:rPr>
          <w:w w:val="110"/>
        </w:rPr>
        <w:t>for the application of the Charter and general principles under the Windsor </w:t>
      </w:r>
      <w:r>
        <w:rPr>
          <w:rFonts w:ascii="Lucida Sans Unicode" w:hAnsi="Lucida Sans Unicode"/>
        </w:rPr>
        <w:t>Framework: first, the application and </w:t>
      </w:r>
      <w:r>
        <w:rPr>
          <w:w w:val="110"/>
        </w:rPr>
        <w:t>interpretation of provisions listed in</w:t>
      </w:r>
      <w:r>
        <w:rPr>
          <w:spacing w:val="80"/>
          <w:w w:val="150"/>
        </w:rPr>
        <w:t> </w:t>
      </w:r>
      <w:r>
        <w:rPr>
          <w:w w:val="110"/>
        </w:rPr>
        <w:t>the Withdrawal Agreement (including </w:t>
      </w:r>
      <w:r>
        <w:rPr>
          <w:rFonts w:ascii="Lucida Sans Unicode" w:hAnsi="Lucida Sans Unicode"/>
        </w:rPr>
        <w:t>the Windsor Framework). Second, the </w:t>
      </w:r>
      <w:r>
        <w:rPr>
          <w:w w:val="110"/>
        </w:rPr>
        <w:t>Charter and general principles may </w:t>
      </w:r>
      <w:r>
        <w:rPr>
          <w:w w:val="110"/>
        </w:rPr>
        <w:t>be </w:t>
      </w:r>
      <w:r>
        <w:rPr>
          <w:rFonts w:ascii="Lucida Sans Unicode" w:hAnsi="Lucida Sans Unicode"/>
          <w:w w:val="110"/>
        </w:rPr>
        <w:t>used</w:t>
      </w:r>
      <w:r>
        <w:rPr>
          <w:rFonts w:ascii="Lucida Sans Unicode" w:hAnsi="Lucida Sans Unicode"/>
          <w:spacing w:val="-21"/>
          <w:w w:val="110"/>
        </w:rPr>
        <w:t> </w:t>
      </w:r>
      <w:r>
        <w:rPr>
          <w:rFonts w:ascii="Lucida Sans Unicode" w:hAnsi="Lucida Sans Unicode"/>
          <w:w w:val="110"/>
        </w:rPr>
        <w:t>beyond</w:t>
      </w:r>
      <w:r>
        <w:rPr>
          <w:rFonts w:ascii="Lucida Sans Unicode" w:hAnsi="Lucida Sans Unicode"/>
          <w:spacing w:val="-21"/>
          <w:w w:val="110"/>
        </w:rPr>
        <w:t> </w:t>
      </w:r>
      <w:r>
        <w:rPr>
          <w:rFonts w:ascii="Lucida Sans Unicode" w:hAnsi="Lucida Sans Unicode"/>
          <w:w w:val="110"/>
        </w:rPr>
        <w:t>the</w:t>
      </w:r>
      <w:r>
        <w:rPr>
          <w:rFonts w:ascii="Lucida Sans Unicode" w:hAnsi="Lucida Sans Unicode"/>
          <w:spacing w:val="-21"/>
          <w:w w:val="110"/>
        </w:rPr>
        <w:t> </w:t>
      </w:r>
      <w:r>
        <w:rPr>
          <w:rFonts w:ascii="Lucida Sans Unicode" w:hAnsi="Lucida Sans Unicode"/>
          <w:w w:val="110"/>
        </w:rPr>
        <w:t>EU</w:t>
      </w:r>
      <w:r>
        <w:rPr>
          <w:rFonts w:ascii="Lucida Sans Unicode" w:hAnsi="Lucida Sans Unicode"/>
          <w:spacing w:val="-21"/>
          <w:w w:val="110"/>
        </w:rPr>
        <w:t> </w:t>
      </w:r>
      <w:r>
        <w:rPr>
          <w:rFonts w:ascii="Lucida Sans Unicode" w:hAnsi="Lucida Sans Unicode"/>
          <w:w w:val="110"/>
        </w:rPr>
        <w:t>law</w:t>
      </w:r>
      <w:r>
        <w:rPr>
          <w:rFonts w:ascii="Lucida Sans Unicode" w:hAnsi="Lucida Sans Unicode"/>
          <w:spacing w:val="-21"/>
          <w:w w:val="110"/>
        </w:rPr>
        <w:t> </w:t>
      </w:r>
      <w:r>
        <w:rPr>
          <w:rFonts w:ascii="Lucida Sans Unicode" w:hAnsi="Lucida Sans Unicode"/>
          <w:w w:val="110"/>
        </w:rPr>
        <w:t>specifically </w:t>
      </w:r>
      <w:r>
        <w:rPr>
          <w:w w:val="110"/>
        </w:rPr>
        <w:t>mentioned in the Withdrawal Agreement in the application and interpretation of the requirement</w:t>
      </w:r>
    </w:p>
    <w:p>
      <w:pPr>
        <w:pStyle w:val="BodyText"/>
        <w:spacing w:line="310" w:lineRule="exact"/>
        <w:ind w:right="64"/>
      </w:pPr>
      <w:r>
        <w:rPr>
          <w:rFonts w:ascii="Lucida Sans Unicode" w:hAnsi="Lucida Sans Unicode"/>
          <w:w w:val="110"/>
        </w:rPr>
        <w:t>set</w:t>
      </w:r>
      <w:r>
        <w:rPr>
          <w:rFonts w:ascii="Lucida Sans Unicode" w:hAnsi="Lucida Sans Unicode"/>
          <w:spacing w:val="-19"/>
          <w:w w:val="110"/>
        </w:rPr>
        <w:t> </w:t>
      </w:r>
      <w:r>
        <w:rPr>
          <w:rFonts w:ascii="Lucida Sans Unicode" w:hAnsi="Lucida Sans Unicode"/>
          <w:w w:val="110"/>
        </w:rPr>
        <w:t>out</w:t>
      </w:r>
      <w:r>
        <w:rPr>
          <w:rFonts w:ascii="Lucida Sans Unicode" w:hAnsi="Lucida Sans Unicode"/>
          <w:spacing w:val="-19"/>
          <w:w w:val="110"/>
        </w:rPr>
        <w:t> </w:t>
      </w:r>
      <w:r>
        <w:rPr>
          <w:rFonts w:ascii="Lucida Sans Unicode" w:hAnsi="Lucida Sans Unicode"/>
          <w:w w:val="110"/>
        </w:rPr>
        <w:t>in</w:t>
      </w:r>
      <w:r>
        <w:rPr>
          <w:rFonts w:ascii="Lucida Sans Unicode" w:hAnsi="Lucida Sans Unicode"/>
          <w:spacing w:val="-19"/>
          <w:w w:val="110"/>
        </w:rPr>
        <w:t> </w:t>
      </w:r>
      <w:r>
        <w:rPr>
          <w:rFonts w:ascii="Lucida Sans Unicode" w:hAnsi="Lucida Sans Unicode"/>
          <w:w w:val="110"/>
        </w:rPr>
        <w:t>Article</w:t>
      </w:r>
      <w:r>
        <w:rPr>
          <w:rFonts w:ascii="Lucida Sans Unicode" w:hAnsi="Lucida Sans Unicode"/>
          <w:spacing w:val="-19"/>
          <w:w w:val="110"/>
        </w:rPr>
        <w:t> </w:t>
      </w:r>
      <w:r>
        <w:rPr>
          <w:rFonts w:ascii="Lucida Sans Unicode" w:hAnsi="Lucida Sans Unicode"/>
          <w:w w:val="110"/>
        </w:rPr>
        <w:t>2</w:t>
      </w:r>
      <w:r>
        <w:rPr>
          <w:rFonts w:ascii="Lucida Sans Unicode" w:hAnsi="Lucida Sans Unicode"/>
          <w:spacing w:val="-19"/>
          <w:w w:val="110"/>
        </w:rPr>
        <w:t> </w:t>
      </w:r>
      <w:r>
        <w:rPr>
          <w:rFonts w:ascii="Lucida Sans Unicode" w:hAnsi="Lucida Sans Unicode"/>
          <w:w w:val="110"/>
        </w:rPr>
        <w:t>of</w:t>
      </w:r>
      <w:r>
        <w:rPr>
          <w:rFonts w:ascii="Lucida Sans Unicode" w:hAnsi="Lucida Sans Unicode"/>
          <w:spacing w:val="-19"/>
          <w:w w:val="110"/>
        </w:rPr>
        <w:t> </w:t>
      </w:r>
      <w:r>
        <w:rPr>
          <w:rFonts w:ascii="Lucida Sans Unicode" w:hAnsi="Lucida Sans Unicode"/>
          <w:w w:val="110"/>
        </w:rPr>
        <w:t>the</w:t>
      </w:r>
      <w:r>
        <w:rPr>
          <w:rFonts w:ascii="Lucida Sans Unicode" w:hAnsi="Lucida Sans Unicode"/>
          <w:spacing w:val="-19"/>
          <w:w w:val="110"/>
        </w:rPr>
        <w:t> </w:t>
      </w:r>
      <w:r>
        <w:rPr>
          <w:rFonts w:ascii="Lucida Sans Unicode" w:hAnsi="Lucida Sans Unicode"/>
          <w:w w:val="110"/>
        </w:rPr>
        <w:t>Windsor </w:t>
      </w:r>
      <w:r>
        <w:rPr>
          <w:w w:val="110"/>
        </w:rPr>
        <w:t>Framework, namely that there shall </w:t>
      </w:r>
      <w:r>
        <w:rPr>
          <w:w w:val="110"/>
        </w:rPr>
        <w:t>be ‘no diminution of rights, safeguards</w:t>
      </w:r>
    </w:p>
    <w:p>
      <w:pPr>
        <w:pStyle w:val="BodyText"/>
        <w:spacing w:line="310" w:lineRule="exact"/>
        <w:ind w:right="242"/>
      </w:pPr>
      <w:r>
        <w:rPr>
          <w:w w:val="110"/>
        </w:rPr>
        <w:t>or equality of opportunity, as set </w:t>
      </w:r>
      <w:r>
        <w:rPr>
          <w:w w:val="110"/>
        </w:rPr>
        <w:t>out </w:t>
      </w:r>
      <w:r>
        <w:rPr>
          <w:rFonts w:ascii="Lucida Sans Unicode" w:hAnsi="Lucida Sans Unicode"/>
        </w:rPr>
        <w:t>in that part of the 1998 Agreement entitled Rights, Safeguards and </w:t>
      </w:r>
      <w:r>
        <w:rPr>
          <w:w w:val="110"/>
        </w:rPr>
        <w:t>Equality of Opportunity results from its withdrawal from the Union’.</w:t>
      </w:r>
    </w:p>
    <w:p>
      <w:pPr>
        <w:pStyle w:val="BodyText"/>
        <w:spacing w:before="9"/>
        <w:ind w:left="0"/>
      </w:pPr>
    </w:p>
    <w:p>
      <w:pPr>
        <w:pStyle w:val="BodyText"/>
        <w:spacing w:line="247" w:lineRule="auto"/>
        <w:ind w:right="407"/>
      </w:pPr>
      <w:r>
        <w:rPr>
          <w:rFonts w:ascii="Lucida Sans Unicode"/>
        </w:rPr>
        <w:t>The</w:t>
      </w:r>
      <w:r>
        <w:rPr>
          <w:rFonts w:ascii="Lucida Sans Unicode"/>
          <w:spacing w:val="-1"/>
        </w:rPr>
        <w:t> </w:t>
      </w:r>
      <w:r>
        <w:rPr>
          <w:rFonts w:ascii="Lucida Sans Unicode"/>
        </w:rPr>
        <w:t>principal</w:t>
      </w:r>
      <w:r>
        <w:rPr>
          <w:rFonts w:ascii="Lucida Sans Unicode"/>
          <w:spacing w:val="-1"/>
        </w:rPr>
        <w:t> </w:t>
      </w:r>
      <w:r>
        <w:rPr>
          <w:rFonts w:ascii="Lucida Sans Unicode"/>
        </w:rPr>
        <w:t>finding</w:t>
      </w:r>
      <w:r>
        <w:rPr>
          <w:rFonts w:ascii="Lucida Sans Unicode"/>
          <w:spacing w:val="-1"/>
        </w:rPr>
        <w:t> </w:t>
      </w:r>
      <w:r>
        <w:rPr>
          <w:rFonts w:ascii="Lucida Sans Unicode"/>
        </w:rPr>
        <w:t>of</w:t>
      </w:r>
      <w:r>
        <w:rPr>
          <w:rFonts w:ascii="Lucida Sans Unicode"/>
          <w:spacing w:val="-1"/>
        </w:rPr>
        <w:t> </w:t>
      </w:r>
      <w:r>
        <w:rPr>
          <w:rFonts w:ascii="Lucida Sans Unicode"/>
        </w:rPr>
        <w:t>this</w:t>
      </w:r>
      <w:r>
        <w:rPr>
          <w:rFonts w:ascii="Lucida Sans Unicode"/>
          <w:spacing w:val="-1"/>
        </w:rPr>
        <w:t> </w:t>
      </w:r>
      <w:r>
        <w:rPr>
          <w:rFonts w:ascii="Lucida Sans Unicode"/>
        </w:rPr>
        <w:t>report </w:t>
      </w:r>
      <w:r>
        <w:rPr>
          <w:w w:val="110"/>
        </w:rPr>
        <w:t>is that the Charter and general principles of EU law have not only</w:t>
      </w:r>
    </w:p>
    <w:p>
      <w:pPr>
        <w:pStyle w:val="BodyText"/>
        <w:spacing w:line="310" w:lineRule="exact" w:before="49"/>
        <w:ind w:right="266"/>
        <w:rPr>
          <w:rFonts w:ascii="Lucida Sans Unicode"/>
        </w:rPr>
      </w:pPr>
      <w:r>
        <w:rPr/>
        <w:br w:type="column"/>
      </w:r>
      <w:r>
        <w:rPr>
          <w:w w:val="110"/>
        </w:rPr>
        <w:t>remained relevant in Northern </w:t>
      </w:r>
      <w:r>
        <w:rPr>
          <w:w w:val="110"/>
        </w:rPr>
        <w:t>Ireland after</w:t>
      </w:r>
      <w:r>
        <w:rPr>
          <w:spacing w:val="40"/>
          <w:w w:val="110"/>
        </w:rPr>
        <w:t> </w:t>
      </w:r>
      <w:r>
        <w:rPr>
          <w:w w:val="110"/>
        </w:rPr>
        <w:t>Brexit,</w:t>
      </w:r>
      <w:r>
        <w:rPr>
          <w:spacing w:val="40"/>
          <w:w w:val="110"/>
        </w:rPr>
        <w:t> </w:t>
      </w:r>
      <w:r>
        <w:rPr>
          <w:w w:val="110"/>
        </w:rPr>
        <w:t>but</w:t>
      </w:r>
      <w:r>
        <w:rPr>
          <w:spacing w:val="40"/>
          <w:w w:val="110"/>
        </w:rPr>
        <w:t> </w:t>
      </w:r>
      <w:r>
        <w:rPr>
          <w:w w:val="110"/>
        </w:rPr>
        <w:t>that</w:t>
      </w:r>
      <w:r>
        <w:rPr>
          <w:spacing w:val="40"/>
          <w:w w:val="110"/>
        </w:rPr>
        <w:t> </w:t>
      </w:r>
      <w:r>
        <w:rPr>
          <w:w w:val="110"/>
        </w:rPr>
        <w:t>they</w:t>
      </w:r>
      <w:r>
        <w:rPr>
          <w:spacing w:val="40"/>
          <w:w w:val="110"/>
        </w:rPr>
        <w:t> </w:t>
      </w:r>
      <w:r>
        <w:rPr>
          <w:w w:val="110"/>
        </w:rPr>
        <w:t>are</w:t>
      </w:r>
      <w:r>
        <w:rPr>
          <w:spacing w:val="40"/>
          <w:w w:val="110"/>
        </w:rPr>
        <w:t> </w:t>
      </w:r>
      <w:r>
        <w:rPr>
          <w:w w:val="110"/>
        </w:rPr>
        <w:t>likely to</w:t>
      </w:r>
      <w:r>
        <w:rPr>
          <w:spacing w:val="40"/>
          <w:w w:val="110"/>
        </w:rPr>
        <w:t> </w:t>
      </w:r>
      <w:r>
        <w:rPr>
          <w:w w:val="110"/>
        </w:rPr>
        <w:t>continue</w:t>
      </w:r>
      <w:r>
        <w:rPr>
          <w:spacing w:val="40"/>
          <w:w w:val="110"/>
        </w:rPr>
        <w:t> </w:t>
      </w:r>
      <w:r>
        <w:rPr>
          <w:w w:val="110"/>
        </w:rPr>
        <w:t>to</w:t>
      </w:r>
      <w:r>
        <w:rPr>
          <w:spacing w:val="40"/>
          <w:w w:val="110"/>
        </w:rPr>
        <w:t> </w:t>
      </w:r>
      <w:r>
        <w:rPr>
          <w:w w:val="110"/>
        </w:rPr>
        <w:t>be</w:t>
      </w:r>
      <w:r>
        <w:rPr>
          <w:spacing w:val="40"/>
          <w:w w:val="110"/>
        </w:rPr>
        <w:t> </w:t>
      </w:r>
      <w:r>
        <w:rPr>
          <w:w w:val="110"/>
        </w:rPr>
        <w:t>applied</w:t>
      </w:r>
      <w:r>
        <w:rPr>
          <w:spacing w:val="40"/>
          <w:w w:val="110"/>
        </w:rPr>
        <w:t> </w:t>
      </w:r>
      <w:r>
        <w:rPr>
          <w:w w:val="110"/>
        </w:rPr>
        <w:t>in</w:t>
      </w:r>
      <w:r>
        <w:rPr>
          <w:spacing w:val="40"/>
          <w:w w:val="110"/>
        </w:rPr>
        <w:t> </w:t>
      </w:r>
      <w:r>
        <w:rPr>
          <w:w w:val="110"/>
        </w:rPr>
        <w:t>much the same way as they did whilst the </w:t>
      </w:r>
      <w:r>
        <w:rPr>
          <w:rFonts w:ascii="Lucida Sans Unicode"/>
          <w:w w:val="110"/>
        </w:rPr>
        <w:t>UK</w:t>
      </w:r>
      <w:r>
        <w:rPr>
          <w:rFonts w:ascii="Lucida Sans Unicode"/>
          <w:spacing w:val="-18"/>
          <w:w w:val="110"/>
        </w:rPr>
        <w:t> </w:t>
      </w:r>
      <w:r>
        <w:rPr>
          <w:rFonts w:ascii="Lucida Sans Unicode"/>
          <w:w w:val="110"/>
        </w:rPr>
        <w:t>was</w:t>
      </w:r>
      <w:r>
        <w:rPr>
          <w:rFonts w:ascii="Lucida Sans Unicode"/>
          <w:spacing w:val="-18"/>
          <w:w w:val="110"/>
        </w:rPr>
        <w:t> </w:t>
      </w:r>
      <w:r>
        <w:rPr>
          <w:rFonts w:ascii="Lucida Sans Unicode"/>
          <w:w w:val="110"/>
        </w:rPr>
        <w:t>an</w:t>
      </w:r>
      <w:r>
        <w:rPr>
          <w:rFonts w:ascii="Lucida Sans Unicode"/>
          <w:spacing w:val="-18"/>
          <w:w w:val="110"/>
        </w:rPr>
        <w:t> </w:t>
      </w:r>
      <w:r>
        <w:rPr>
          <w:rFonts w:ascii="Lucida Sans Unicode"/>
          <w:w w:val="110"/>
        </w:rPr>
        <w:t>EU</w:t>
      </w:r>
      <w:r>
        <w:rPr>
          <w:rFonts w:ascii="Lucida Sans Unicode"/>
          <w:spacing w:val="-18"/>
          <w:w w:val="110"/>
        </w:rPr>
        <w:t> </w:t>
      </w:r>
      <w:r>
        <w:rPr>
          <w:rFonts w:ascii="Lucida Sans Unicode"/>
          <w:w w:val="110"/>
        </w:rPr>
        <w:t>Member</w:t>
      </w:r>
      <w:r>
        <w:rPr>
          <w:rFonts w:ascii="Lucida Sans Unicode"/>
          <w:spacing w:val="-18"/>
          <w:w w:val="110"/>
        </w:rPr>
        <w:t> </w:t>
      </w:r>
      <w:r>
        <w:rPr>
          <w:rFonts w:ascii="Lucida Sans Unicode"/>
          <w:w w:val="110"/>
        </w:rPr>
        <w:t>State.</w:t>
      </w:r>
      <w:r>
        <w:rPr>
          <w:rFonts w:ascii="Lucida Sans Unicode"/>
          <w:spacing w:val="-18"/>
          <w:w w:val="110"/>
        </w:rPr>
        <w:t> </w:t>
      </w:r>
      <w:r>
        <w:rPr>
          <w:rFonts w:ascii="Lucida Sans Unicode"/>
          <w:w w:val="110"/>
        </w:rPr>
        <w:t>This</w:t>
      </w:r>
    </w:p>
    <w:p>
      <w:pPr>
        <w:pStyle w:val="BodyText"/>
        <w:spacing w:line="310" w:lineRule="exact"/>
        <w:ind w:right="538"/>
        <w:rPr>
          <w:rFonts w:ascii="Lucida Sans Unicode"/>
        </w:rPr>
      </w:pPr>
      <w:r>
        <w:rPr>
          <w:rFonts w:ascii="Lucida Sans Unicode"/>
        </w:rPr>
        <w:t>is a result of two factors: first, the combination of Article 4 WA and s. 7A of the EU (Withdrawal) Act </w:t>
      </w:r>
      <w:r>
        <w:rPr>
          <w:rFonts w:ascii="Lucida Sans Unicode"/>
        </w:rPr>
        <w:t>2018 </w:t>
      </w:r>
      <w:r>
        <w:rPr>
          <w:w w:val="110"/>
        </w:rPr>
        <w:t>results in large quantities of EU law remaining applicable in Northern </w:t>
      </w:r>
      <w:r>
        <w:rPr/>
        <w:t>Ireland </w:t>
      </w:r>
      <w:r>
        <w:rPr>
          <w:rFonts w:ascii="Verdana"/>
          <w:i/>
        </w:rPr>
        <w:t>as EU law</w:t>
      </w:r>
      <w:r>
        <w:rPr>
          <w:rFonts w:ascii="Lucida Sans Unicode"/>
        </w:rPr>
        <w:t>. Second, Article 2 </w:t>
      </w:r>
      <w:r>
        <w:rPr>
          <w:w w:val="110"/>
        </w:rPr>
        <w:t>of the Windsor Framework permits</w:t>
      </w:r>
      <w:r>
        <w:rPr>
          <w:spacing w:val="80"/>
          <w:w w:val="110"/>
        </w:rPr>
        <w:t> </w:t>
      </w:r>
      <w:r>
        <w:rPr>
          <w:w w:val="110"/>
        </w:rPr>
        <w:t>a further application of the Charter and general principles of EU law in situations where there is a risk of diminution</w:t>
      </w:r>
      <w:r>
        <w:rPr>
          <w:spacing w:val="40"/>
          <w:w w:val="110"/>
        </w:rPr>
        <w:t> </w:t>
      </w:r>
      <w:r>
        <w:rPr>
          <w:w w:val="110"/>
        </w:rPr>
        <w:t>to</w:t>
      </w:r>
      <w:r>
        <w:rPr>
          <w:spacing w:val="40"/>
          <w:w w:val="110"/>
        </w:rPr>
        <w:t> </w:t>
      </w:r>
      <w:r>
        <w:rPr>
          <w:w w:val="110"/>
        </w:rPr>
        <w:t>the</w:t>
      </w:r>
      <w:r>
        <w:rPr>
          <w:spacing w:val="40"/>
          <w:w w:val="110"/>
        </w:rPr>
        <w:t> </w:t>
      </w:r>
      <w:r>
        <w:rPr>
          <w:w w:val="110"/>
        </w:rPr>
        <w:t>rights</w:t>
      </w:r>
      <w:r>
        <w:rPr>
          <w:spacing w:val="40"/>
          <w:w w:val="110"/>
        </w:rPr>
        <w:t> </w:t>
      </w:r>
      <w:r>
        <w:rPr>
          <w:w w:val="110"/>
        </w:rPr>
        <w:t>protected</w:t>
      </w:r>
      <w:r>
        <w:rPr>
          <w:spacing w:val="80"/>
          <w:w w:val="110"/>
        </w:rPr>
        <w:t> </w:t>
      </w:r>
      <w:r>
        <w:rPr>
          <w:rFonts w:ascii="Lucida Sans Unicode"/>
        </w:rPr>
        <w:t>in the RSEO part of the GFA. In this</w:t>
      </w:r>
    </w:p>
    <w:p>
      <w:pPr>
        <w:pStyle w:val="BodyText"/>
        <w:spacing w:line="268" w:lineRule="auto" w:before="23"/>
      </w:pPr>
      <w:r>
        <w:rPr>
          <w:w w:val="110"/>
        </w:rPr>
        <w:t>regard, the report highlights that there are considerable differences between measures listed in Annex </w:t>
      </w:r>
      <w:r>
        <w:rPr/>
        <w:t>1 </w:t>
      </w:r>
      <w:r>
        <w:rPr>
          <w:w w:val="110"/>
        </w:rPr>
        <w:t>which,</w:t>
      </w:r>
    </w:p>
    <w:p>
      <w:pPr>
        <w:pStyle w:val="BodyText"/>
        <w:spacing w:line="259" w:lineRule="auto" w:before="3"/>
        <w:ind w:right="420"/>
        <w:rPr>
          <w:rFonts w:ascii="Lucida Sans Unicode"/>
        </w:rPr>
      </w:pPr>
      <w:r>
        <w:rPr>
          <w:w w:val="115"/>
        </w:rPr>
        <w:t>for</w:t>
      </w:r>
      <w:r>
        <w:rPr>
          <w:spacing w:val="-19"/>
          <w:w w:val="115"/>
        </w:rPr>
        <w:t> </w:t>
      </w:r>
      <w:r>
        <w:rPr>
          <w:w w:val="115"/>
        </w:rPr>
        <w:t>the</w:t>
      </w:r>
      <w:r>
        <w:rPr>
          <w:spacing w:val="-19"/>
          <w:w w:val="115"/>
        </w:rPr>
        <w:t> </w:t>
      </w:r>
      <w:r>
        <w:rPr>
          <w:w w:val="115"/>
        </w:rPr>
        <w:t>purposes</w:t>
      </w:r>
      <w:r>
        <w:rPr>
          <w:spacing w:val="-19"/>
          <w:w w:val="115"/>
        </w:rPr>
        <w:t> </w:t>
      </w:r>
      <w:r>
        <w:rPr>
          <w:w w:val="115"/>
        </w:rPr>
        <w:t>of</w:t>
      </w:r>
      <w:r>
        <w:rPr>
          <w:spacing w:val="-19"/>
          <w:w w:val="115"/>
        </w:rPr>
        <w:t> </w:t>
      </w:r>
      <w:r>
        <w:rPr>
          <w:w w:val="115"/>
        </w:rPr>
        <w:t>rights</w:t>
      </w:r>
      <w:r>
        <w:rPr>
          <w:spacing w:val="-19"/>
          <w:w w:val="115"/>
        </w:rPr>
        <w:t> </w:t>
      </w:r>
      <w:r>
        <w:rPr>
          <w:w w:val="115"/>
        </w:rPr>
        <w:t>standards applicable in Northern Ireland are to</w:t>
      </w:r>
      <w:r>
        <w:rPr>
          <w:spacing w:val="-9"/>
          <w:w w:val="115"/>
        </w:rPr>
        <w:t> </w:t>
      </w:r>
      <w:r>
        <w:rPr>
          <w:w w:val="115"/>
        </w:rPr>
        <w:t>be</w:t>
      </w:r>
      <w:r>
        <w:rPr>
          <w:spacing w:val="-9"/>
          <w:w w:val="115"/>
        </w:rPr>
        <w:t> </w:t>
      </w:r>
      <w:r>
        <w:rPr>
          <w:w w:val="115"/>
        </w:rPr>
        <w:t>treated</w:t>
      </w:r>
      <w:r>
        <w:rPr>
          <w:spacing w:val="-9"/>
          <w:w w:val="115"/>
        </w:rPr>
        <w:t> </w:t>
      </w:r>
      <w:r>
        <w:rPr>
          <w:w w:val="115"/>
        </w:rPr>
        <w:t>as</w:t>
      </w:r>
      <w:r>
        <w:rPr>
          <w:spacing w:val="-9"/>
          <w:w w:val="115"/>
        </w:rPr>
        <w:t> </w:t>
      </w:r>
      <w:r>
        <w:rPr>
          <w:w w:val="115"/>
        </w:rPr>
        <w:t>if</w:t>
      </w:r>
      <w:r>
        <w:rPr>
          <w:spacing w:val="-9"/>
          <w:w w:val="115"/>
        </w:rPr>
        <w:t> </w:t>
      </w:r>
      <w:r>
        <w:rPr>
          <w:w w:val="115"/>
        </w:rPr>
        <w:t>the</w:t>
      </w:r>
      <w:r>
        <w:rPr>
          <w:spacing w:val="-9"/>
          <w:w w:val="115"/>
        </w:rPr>
        <w:t> </w:t>
      </w:r>
      <w:r>
        <w:rPr>
          <w:w w:val="115"/>
        </w:rPr>
        <w:t>UK</w:t>
      </w:r>
      <w:r>
        <w:rPr>
          <w:spacing w:val="-9"/>
          <w:w w:val="115"/>
        </w:rPr>
        <w:t> </w:t>
      </w:r>
      <w:r>
        <w:rPr>
          <w:w w:val="115"/>
        </w:rPr>
        <w:t>was</w:t>
      </w:r>
      <w:r>
        <w:rPr>
          <w:spacing w:val="-9"/>
          <w:w w:val="115"/>
        </w:rPr>
        <w:t> </w:t>
      </w:r>
      <w:r>
        <w:rPr>
          <w:w w:val="115"/>
        </w:rPr>
        <w:t>still</w:t>
      </w:r>
      <w:r>
        <w:rPr>
          <w:spacing w:val="-9"/>
          <w:w w:val="115"/>
        </w:rPr>
        <w:t> </w:t>
      </w:r>
      <w:r>
        <w:rPr>
          <w:w w:val="115"/>
        </w:rPr>
        <w:t>a </w:t>
      </w:r>
      <w:r>
        <w:rPr>
          <w:rFonts w:ascii="Lucida Sans Unicode"/>
        </w:rPr>
        <w:t>Member State of the EU, and other,</w:t>
      </w:r>
    </w:p>
    <w:p>
      <w:pPr>
        <w:pStyle w:val="BodyText"/>
        <w:spacing w:line="224" w:lineRule="exact"/>
      </w:pPr>
      <w:r>
        <w:rPr>
          <w:w w:val="105"/>
        </w:rPr>
        <w:t>non-annexed</w:t>
      </w:r>
      <w:r>
        <w:rPr>
          <w:spacing w:val="28"/>
          <w:w w:val="105"/>
        </w:rPr>
        <w:t> </w:t>
      </w:r>
      <w:r>
        <w:rPr>
          <w:w w:val="105"/>
        </w:rPr>
        <w:t>EU</w:t>
      </w:r>
      <w:r>
        <w:rPr>
          <w:spacing w:val="28"/>
          <w:w w:val="105"/>
        </w:rPr>
        <w:t> </w:t>
      </w:r>
      <w:r>
        <w:rPr>
          <w:spacing w:val="-2"/>
          <w:w w:val="105"/>
        </w:rPr>
        <w:t>measures.</w:t>
      </w:r>
    </w:p>
    <w:p>
      <w:pPr>
        <w:pStyle w:val="BodyText"/>
        <w:spacing w:before="58"/>
        <w:ind w:left="0"/>
      </w:pPr>
    </w:p>
    <w:p>
      <w:pPr>
        <w:pStyle w:val="BodyText"/>
        <w:spacing w:line="268" w:lineRule="auto"/>
      </w:pPr>
      <w:r>
        <w:rPr>
          <w:w w:val="115"/>
        </w:rPr>
        <w:t>After</w:t>
      </w:r>
      <w:r>
        <w:rPr>
          <w:spacing w:val="-5"/>
          <w:w w:val="115"/>
        </w:rPr>
        <w:t> </w:t>
      </w:r>
      <w:r>
        <w:rPr>
          <w:w w:val="115"/>
        </w:rPr>
        <w:t>setting</w:t>
      </w:r>
      <w:r>
        <w:rPr>
          <w:spacing w:val="-5"/>
          <w:w w:val="115"/>
        </w:rPr>
        <w:t> </w:t>
      </w:r>
      <w:r>
        <w:rPr>
          <w:w w:val="115"/>
        </w:rPr>
        <w:t>out</w:t>
      </w:r>
      <w:r>
        <w:rPr>
          <w:spacing w:val="-5"/>
          <w:w w:val="115"/>
        </w:rPr>
        <w:t> </w:t>
      </w:r>
      <w:r>
        <w:rPr>
          <w:w w:val="115"/>
        </w:rPr>
        <w:t>the</w:t>
      </w:r>
      <w:r>
        <w:rPr>
          <w:spacing w:val="-5"/>
          <w:w w:val="115"/>
        </w:rPr>
        <w:t> </w:t>
      </w:r>
      <w:r>
        <w:rPr>
          <w:w w:val="115"/>
        </w:rPr>
        <w:t>relevant</w:t>
      </w:r>
      <w:r>
        <w:rPr>
          <w:spacing w:val="-5"/>
          <w:w w:val="115"/>
        </w:rPr>
        <w:t> </w:t>
      </w:r>
      <w:r>
        <w:rPr>
          <w:w w:val="115"/>
        </w:rPr>
        <w:t>tests</w:t>
      </w:r>
      <w:r>
        <w:rPr>
          <w:spacing w:val="-5"/>
          <w:w w:val="115"/>
        </w:rPr>
        <w:t> </w:t>
      </w:r>
      <w:r>
        <w:rPr>
          <w:w w:val="115"/>
        </w:rPr>
        <w:t>for diminution</w:t>
      </w:r>
      <w:r>
        <w:rPr>
          <w:spacing w:val="-7"/>
          <w:w w:val="115"/>
        </w:rPr>
        <w:t> </w:t>
      </w:r>
      <w:r>
        <w:rPr>
          <w:w w:val="115"/>
        </w:rPr>
        <w:t>to</w:t>
      </w:r>
      <w:r>
        <w:rPr>
          <w:spacing w:val="-7"/>
          <w:w w:val="115"/>
        </w:rPr>
        <w:t> </w:t>
      </w:r>
      <w:r>
        <w:rPr>
          <w:w w:val="115"/>
        </w:rPr>
        <w:t>occur</w:t>
      </w:r>
      <w:r>
        <w:rPr>
          <w:spacing w:val="-7"/>
          <w:w w:val="115"/>
        </w:rPr>
        <w:t> </w:t>
      </w:r>
      <w:r>
        <w:rPr>
          <w:w w:val="115"/>
        </w:rPr>
        <w:t>in</w:t>
      </w:r>
      <w:r>
        <w:rPr>
          <w:spacing w:val="-7"/>
          <w:w w:val="115"/>
        </w:rPr>
        <w:t> </w:t>
      </w:r>
      <w:r>
        <w:rPr>
          <w:w w:val="115"/>
        </w:rPr>
        <w:t>respect</w:t>
      </w:r>
      <w:r>
        <w:rPr>
          <w:spacing w:val="-7"/>
          <w:w w:val="115"/>
        </w:rPr>
        <w:t> </w:t>
      </w:r>
      <w:r>
        <w:rPr>
          <w:w w:val="115"/>
        </w:rPr>
        <w:t>of</w:t>
      </w:r>
      <w:r>
        <w:rPr>
          <w:spacing w:val="-7"/>
          <w:w w:val="115"/>
        </w:rPr>
        <w:t> </w:t>
      </w:r>
      <w:r>
        <w:rPr>
          <w:w w:val="115"/>
        </w:rPr>
        <w:t>non- </w:t>
      </w:r>
      <w:r>
        <w:rPr>
          <w:spacing w:val="-2"/>
          <w:w w:val="115"/>
        </w:rPr>
        <w:t>annexed</w:t>
      </w:r>
      <w:r>
        <w:rPr>
          <w:spacing w:val="-15"/>
          <w:w w:val="115"/>
        </w:rPr>
        <w:t> </w:t>
      </w:r>
      <w:r>
        <w:rPr>
          <w:spacing w:val="-2"/>
          <w:w w:val="115"/>
        </w:rPr>
        <w:t>measures,</w:t>
      </w:r>
      <w:r>
        <w:rPr>
          <w:spacing w:val="-15"/>
          <w:w w:val="115"/>
        </w:rPr>
        <w:t> </w:t>
      </w:r>
      <w:r>
        <w:rPr>
          <w:spacing w:val="-2"/>
          <w:w w:val="115"/>
        </w:rPr>
        <w:t>the</w:t>
      </w:r>
      <w:r>
        <w:rPr>
          <w:spacing w:val="-15"/>
          <w:w w:val="115"/>
        </w:rPr>
        <w:t> </w:t>
      </w:r>
      <w:r>
        <w:rPr>
          <w:spacing w:val="-2"/>
          <w:w w:val="115"/>
        </w:rPr>
        <w:t>report</w:t>
      </w:r>
      <w:r>
        <w:rPr>
          <w:spacing w:val="-15"/>
          <w:w w:val="115"/>
        </w:rPr>
        <w:t> </w:t>
      </w:r>
      <w:r>
        <w:rPr>
          <w:spacing w:val="-2"/>
          <w:w w:val="115"/>
        </w:rPr>
        <w:t>argues </w:t>
      </w:r>
      <w:r>
        <w:rPr>
          <w:w w:val="115"/>
        </w:rPr>
        <w:t>that, in accordance with settled principles of EU constitutional law,</w:t>
      </w:r>
    </w:p>
    <w:p>
      <w:pPr>
        <w:pStyle w:val="BodyText"/>
        <w:spacing w:line="268" w:lineRule="auto" w:before="5"/>
      </w:pPr>
      <w:r>
        <w:rPr>
          <w:w w:val="115"/>
        </w:rPr>
        <w:t>the</w:t>
      </w:r>
      <w:r>
        <w:rPr>
          <w:spacing w:val="-7"/>
          <w:w w:val="115"/>
        </w:rPr>
        <w:t> </w:t>
      </w:r>
      <w:r>
        <w:rPr>
          <w:w w:val="115"/>
        </w:rPr>
        <w:t>critical</w:t>
      </w:r>
      <w:r>
        <w:rPr>
          <w:spacing w:val="-7"/>
          <w:w w:val="115"/>
        </w:rPr>
        <w:t> </w:t>
      </w:r>
      <w:r>
        <w:rPr>
          <w:w w:val="115"/>
        </w:rPr>
        <w:t>factors</w:t>
      </w:r>
      <w:r>
        <w:rPr>
          <w:spacing w:val="-7"/>
          <w:w w:val="115"/>
        </w:rPr>
        <w:t> </w:t>
      </w:r>
      <w:r>
        <w:rPr>
          <w:w w:val="115"/>
        </w:rPr>
        <w:t>for</w:t>
      </w:r>
      <w:r>
        <w:rPr>
          <w:spacing w:val="-7"/>
          <w:w w:val="115"/>
        </w:rPr>
        <w:t> </w:t>
      </w:r>
      <w:r>
        <w:rPr>
          <w:w w:val="115"/>
        </w:rPr>
        <w:t>domestic</w:t>
      </w:r>
      <w:r>
        <w:rPr>
          <w:spacing w:val="-7"/>
          <w:w w:val="115"/>
        </w:rPr>
        <w:t> </w:t>
      </w:r>
      <w:r>
        <w:rPr>
          <w:w w:val="115"/>
        </w:rPr>
        <w:t>courts should be whether the measures assessed</w:t>
      </w:r>
      <w:r>
        <w:rPr>
          <w:spacing w:val="-5"/>
          <w:w w:val="115"/>
        </w:rPr>
        <w:t> </w:t>
      </w:r>
      <w:r>
        <w:rPr>
          <w:w w:val="115"/>
        </w:rPr>
        <w:t>for</w:t>
      </w:r>
      <w:r>
        <w:rPr>
          <w:spacing w:val="-5"/>
          <w:w w:val="115"/>
        </w:rPr>
        <w:t> </w:t>
      </w:r>
      <w:r>
        <w:rPr>
          <w:w w:val="115"/>
        </w:rPr>
        <w:t>diminution</w:t>
      </w:r>
      <w:r>
        <w:rPr>
          <w:spacing w:val="-5"/>
          <w:w w:val="115"/>
        </w:rPr>
        <w:t> </w:t>
      </w:r>
      <w:r>
        <w:rPr>
          <w:w w:val="115"/>
        </w:rPr>
        <w:t>were</w:t>
      </w:r>
      <w:r>
        <w:rPr>
          <w:spacing w:val="-5"/>
          <w:w w:val="115"/>
        </w:rPr>
        <w:t> </w:t>
      </w:r>
      <w:r>
        <w:rPr>
          <w:w w:val="115"/>
        </w:rPr>
        <w:t>binding on Northern Ireland at the end of the implementation period and whether</w:t>
      </w:r>
    </w:p>
    <w:p>
      <w:pPr>
        <w:spacing w:after="0" w:line="268" w:lineRule="auto"/>
        <w:sectPr>
          <w:type w:val="continuous"/>
          <w:pgSz w:w="11910" w:h="16840"/>
          <w:pgMar w:header="568" w:footer="580" w:top="0" w:bottom="280" w:left="1020" w:right="1020"/>
          <w:cols w:num="2" w:equalWidth="0">
            <w:col w:w="4723" w:space="322"/>
            <w:col w:w="4825"/>
          </w:cols>
        </w:sectPr>
      </w:pPr>
    </w:p>
    <w:p>
      <w:pPr>
        <w:pStyle w:val="BodyText"/>
        <w:ind w:left="0"/>
        <w:rPr>
          <w:sz w:val="20"/>
        </w:rPr>
      </w:pPr>
    </w:p>
    <w:p>
      <w:pPr>
        <w:pStyle w:val="BodyText"/>
        <w:ind w:left="0"/>
        <w:rPr>
          <w:sz w:val="20"/>
        </w:rPr>
      </w:pPr>
    </w:p>
    <w:p>
      <w:pPr>
        <w:pStyle w:val="BodyText"/>
        <w:spacing w:before="48"/>
        <w:ind w:left="0"/>
        <w:rPr>
          <w:sz w:val="20"/>
        </w:rPr>
      </w:pPr>
    </w:p>
    <w:p>
      <w:pPr>
        <w:spacing w:after="0"/>
        <w:rPr>
          <w:sz w:val="20"/>
        </w:rPr>
        <w:sectPr>
          <w:pgSz w:w="11910" w:h="16840"/>
          <w:pgMar w:header="568" w:footer="580" w:top="840" w:bottom="780" w:left="1020" w:right="1020"/>
        </w:sectPr>
      </w:pPr>
    </w:p>
    <w:p>
      <w:pPr>
        <w:pStyle w:val="BodyText"/>
        <w:spacing w:line="268" w:lineRule="auto" w:before="72"/>
        <w:ind w:right="125"/>
      </w:pPr>
      <w:r>
        <w:rPr>
          <w:w w:val="115"/>
        </w:rPr>
        <w:t>they were within the scope of EU law.</w:t>
      </w:r>
      <w:r>
        <w:rPr>
          <w:spacing w:val="40"/>
          <w:w w:val="115"/>
        </w:rPr>
        <w:t> </w:t>
      </w:r>
      <w:r>
        <w:rPr>
          <w:w w:val="115"/>
        </w:rPr>
        <w:t>The</w:t>
      </w:r>
      <w:r>
        <w:rPr>
          <w:spacing w:val="-2"/>
          <w:w w:val="115"/>
        </w:rPr>
        <w:t> </w:t>
      </w:r>
      <w:r>
        <w:rPr>
          <w:w w:val="115"/>
        </w:rPr>
        <w:t>report</w:t>
      </w:r>
      <w:r>
        <w:rPr>
          <w:spacing w:val="-2"/>
          <w:w w:val="115"/>
        </w:rPr>
        <w:t> </w:t>
      </w:r>
      <w:r>
        <w:rPr>
          <w:w w:val="115"/>
        </w:rPr>
        <w:t>also</w:t>
      </w:r>
      <w:r>
        <w:rPr>
          <w:spacing w:val="-2"/>
          <w:w w:val="115"/>
        </w:rPr>
        <w:t> </w:t>
      </w:r>
      <w:r>
        <w:rPr>
          <w:w w:val="115"/>
        </w:rPr>
        <w:t>explains</w:t>
      </w:r>
      <w:r>
        <w:rPr>
          <w:spacing w:val="-2"/>
          <w:w w:val="115"/>
        </w:rPr>
        <w:t> </w:t>
      </w:r>
      <w:r>
        <w:rPr>
          <w:w w:val="115"/>
        </w:rPr>
        <w:t>that, provided that these conditions are met, it is essential for diminution to </w:t>
      </w:r>
      <w:r>
        <w:rPr>
          <w:w w:val="110"/>
        </w:rPr>
        <w:t>be</w:t>
      </w:r>
      <w:r>
        <w:rPr>
          <w:spacing w:val="-11"/>
          <w:w w:val="110"/>
        </w:rPr>
        <w:t> </w:t>
      </w:r>
      <w:r>
        <w:rPr>
          <w:w w:val="110"/>
        </w:rPr>
        <w:t>assessed</w:t>
      </w:r>
      <w:r>
        <w:rPr>
          <w:spacing w:val="-11"/>
          <w:w w:val="110"/>
        </w:rPr>
        <w:t> </w:t>
      </w:r>
      <w:r>
        <w:rPr>
          <w:w w:val="110"/>
        </w:rPr>
        <w:t>based</w:t>
      </w:r>
      <w:r>
        <w:rPr>
          <w:spacing w:val="-11"/>
          <w:w w:val="110"/>
        </w:rPr>
        <w:t> </w:t>
      </w:r>
      <w:r>
        <w:rPr>
          <w:w w:val="110"/>
        </w:rPr>
        <w:t>on</w:t>
      </w:r>
      <w:r>
        <w:rPr>
          <w:spacing w:val="-11"/>
          <w:w w:val="110"/>
        </w:rPr>
        <w:t> </w:t>
      </w:r>
      <w:r>
        <w:rPr>
          <w:w w:val="110"/>
        </w:rPr>
        <w:t>a</w:t>
      </w:r>
      <w:r>
        <w:rPr>
          <w:spacing w:val="-11"/>
          <w:w w:val="110"/>
        </w:rPr>
        <w:t> </w:t>
      </w:r>
      <w:r>
        <w:rPr>
          <w:w w:val="110"/>
        </w:rPr>
        <w:t>comparative </w:t>
      </w:r>
      <w:r>
        <w:rPr>
          <w:spacing w:val="-2"/>
          <w:w w:val="115"/>
        </w:rPr>
        <w:t>exercise.</w:t>
      </w:r>
      <w:r>
        <w:rPr>
          <w:spacing w:val="-16"/>
          <w:w w:val="115"/>
        </w:rPr>
        <w:t> </w:t>
      </w:r>
      <w:r>
        <w:rPr>
          <w:spacing w:val="-2"/>
          <w:w w:val="115"/>
        </w:rPr>
        <w:t>This</w:t>
      </w:r>
      <w:r>
        <w:rPr>
          <w:spacing w:val="-16"/>
          <w:w w:val="115"/>
        </w:rPr>
        <w:t> </w:t>
      </w:r>
      <w:r>
        <w:rPr>
          <w:spacing w:val="-2"/>
          <w:w w:val="115"/>
        </w:rPr>
        <w:t>involves</w:t>
      </w:r>
      <w:r>
        <w:rPr>
          <w:spacing w:val="-16"/>
          <w:w w:val="115"/>
        </w:rPr>
        <w:t> </w:t>
      </w:r>
      <w:r>
        <w:rPr>
          <w:spacing w:val="-2"/>
          <w:w w:val="115"/>
        </w:rPr>
        <w:t>an</w:t>
      </w:r>
      <w:r>
        <w:rPr>
          <w:spacing w:val="-16"/>
          <w:w w:val="115"/>
        </w:rPr>
        <w:t> </w:t>
      </w:r>
      <w:r>
        <w:rPr>
          <w:spacing w:val="-2"/>
          <w:w w:val="115"/>
        </w:rPr>
        <w:t>analysis</w:t>
      </w:r>
    </w:p>
    <w:p>
      <w:pPr>
        <w:pStyle w:val="BodyText"/>
        <w:spacing w:line="268" w:lineRule="auto" w:before="5"/>
        <w:ind w:right="125"/>
      </w:pPr>
      <w:r>
        <w:rPr>
          <w:w w:val="115"/>
        </w:rPr>
        <w:t>of the pre-Brexit application of EU fundamental</w:t>
      </w:r>
      <w:r>
        <w:rPr>
          <w:spacing w:val="-16"/>
          <w:w w:val="115"/>
        </w:rPr>
        <w:t> </w:t>
      </w:r>
      <w:r>
        <w:rPr>
          <w:w w:val="115"/>
        </w:rPr>
        <w:t>rights</w:t>
      </w:r>
      <w:r>
        <w:rPr>
          <w:spacing w:val="-16"/>
          <w:w w:val="115"/>
        </w:rPr>
        <w:t> </w:t>
      </w:r>
      <w:r>
        <w:rPr>
          <w:w w:val="115"/>
        </w:rPr>
        <w:t>under</w:t>
      </w:r>
      <w:r>
        <w:rPr>
          <w:spacing w:val="-16"/>
          <w:w w:val="115"/>
        </w:rPr>
        <w:t> </w:t>
      </w:r>
      <w:r>
        <w:rPr>
          <w:w w:val="115"/>
        </w:rPr>
        <w:t>the</w:t>
      </w:r>
      <w:r>
        <w:rPr>
          <w:spacing w:val="-16"/>
          <w:w w:val="115"/>
        </w:rPr>
        <w:t> </w:t>
      </w:r>
      <w:r>
        <w:rPr>
          <w:w w:val="115"/>
        </w:rPr>
        <w:t>Charter and general principles of EU law on the one hand, and the application of those rights after Brexit under any system</w:t>
      </w:r>
      <w:r>
        <w:rPr>
          <w:spacing w:val="-9"/>
          <w:w w:val="115"/>
        </w:rPr>
        <w:t> </w:t>
      </w:r>
      <w:r>
        <w:rPr>
          <w:w w:val="115"/>
        </w:rPr>
        <w:t>of</w:t>
      </w:r>
      <w:r>
        <w:rPr>
          <w:spacing w:val="-9"/>
          <w:w w:val="115"/>
        </w:rPr>
        <w:t> </w:t>
      </w:r>
      <w:r>
        <w:rPr>
          <w:w w:val="115"/>
        </w:rPr>
        <w:t>rights</w:t>
      </w:r>
      <w:r>
        <w:rPr>
          <w:spacing w:val="-9"/>
          <w:w w:val="115"/>
        </w:rPr>
        <w:t> </w:t>
      </w:r>
      <w:r>
        <w:rPr>
          <w:w w:val="115"/>
        </w:rPr>
        <w:t>protection</w:t>
      </w:r>
      <w:r>
        <w:rPr>
          <w:spacing w:val="-9"/>
          <w:w w:val="115"/>
        </w:rPr>
        <w:t> </w:t>
      </w:r>
      <w:r>
        <w:rPr>
          <w:w w:val="115"/>
        </w:rPr>
        <w:t>(including domestic law and the ECHR), on</w:t>
      </w:r>
    </w:p>
    <w:p>
      <w:pPr>
        <w:pStyle w:val="BodyText"/>
        <w:spacing w:line="268" w:lineRule="auto" w:before="7"/>
      </w:pPr>
      <w:r>
        <w:rPr>
          <w:w w:val="115"/>
        </w:rPr>
        <w:t>the other. The report highlights that, </w:t>
      </w:r>
      <w:r>
        <w:rPr>
          <w:spacing w:val="-2"/>
          <w:w w:val="115"/>
        </w:rPr>
        <w:t>since</w:t>
      </w:r>
      <w:r>
        <w:rPr>
          <w:spacing w:val="-14"/>
          <w:w w:val="115"/>
        </w:rPr>
        <w:t> </w:t>
      </w:r>
      <w:r>
        <w:rPr>
          <w:spacing w:val="-2"/>
          <w:w w:val="115"/>
        </w:rPr>
        <w:t>the</w:t>
      </w:r>
      <w:r>
        <w:rPr>
          <w:spacing w:val="-14"/>
          <w:w w:val="115"/>
        </w:rPr>
        <w:t> </w:t>
      </w:r>
      <w:r>
        <w:rPr>
          <w:spacing w:val="-2"/>
          <w:w w:val="115"/>
        </w:rPr>
        <w:t>remedial</w:t>
      </w:r>
      <w:r>
        <w:rPr>
          <w:spacing w:val="-14"/>
          <w:w w:val="115"/>
        </w:rPr>
        <w:t> </w:t>
      </w:r>
      <w:r>
        <w:rPr>
          <w:spacing w:val="-2"/>
          <w:w w:val="115"/>
        </w:rPr>
        <w:t>strength</w:t>
      </w:r>
      <w:r>
        <w:rPr>
          <w:spacing w:val="-14"/>
          <w:w w:val="115"/>
        </w:rPr>
        <w:t> </w:t>
      </w:r>
      <w:r>
        <w:rPr>
          <w:spacing w:val="-2"/>
          <w:w w:val="115"/>
        </w:rPr>
        <w:t>of</w:t>
      </w:r>
      <w:r>
        <w:rPr>
          <w:spacing w:val="-14"/>
          <w:w w:val="115"/>
        </w:rPr>
        <w:t> </w:t>
      </w:r>
      <w:r>
        <w:rPr>
          <w:spacing w:val="-2"/>
          <w:w w:val="115"/>
        </w:rPr>
        <w:t>Charter </w:t>
      </w:r>
      <w:r>
        <w:rPr>
          <w:w w:val="115"/>
        </w:rPr>
        <w:t>rights was their key added value – a feature of the Charter that was well-</w:t>
      </w:r>
    </w:p>
    <w:p>
      <w:pPr>
        <w:pStyle w:val="BodyText"/>
        <w:spacing w:line="324" w:lineRule="exact"/>
        <w:rPr>
          <w:rFonts w:ascii="Lucida Sans Unicode"/>
        </w:rPr>
      </w:pPr>
      <w:r>
        <w:rPr>
          <w:rFonts w:ascii="Lucida Sans Unicode"/>
          <w:w w:val="105"/>
        </w:rPr>
        <w:t>recognised</w:t>
      </w:r>
      <w:r>
        <w:rPr>
          <w:rFonts w:ascii="Lucida Sans Unicode"/>
          <w:spacing w:val="-16"/>
          <w:w w:val="105"/>
        </w:rPr>
        <w:t> </w:t>
      </w:r>
      <w:r>
        <w:rPr>
          <w:rFonts w:ascii="Lucida Sans Unicode"/>
          <w:w w:val="105"/>
        </w:rPr>
        <w:t>by</w:t>
      </w:r>
      <w:r>
        <w:rPr>
          <w:rFonts w:ascii="Lucida Sans Unicode"/>
          <w:spacing w:val="-16"/>
          <w:w w:val="105"/>
        </w:rPr>
        <w:t> </w:t>
      </w:r>
      <w:r>
        <w:rPr>
          <w:rFonts w:ascii="Lucida Sans Unicode"/>
          <w:w w:val="105"/>
        </w:rPr>
        <w:t>the</w:t>
      </w:r>
      <w:r>
        <w:rPr>
          <w:rFonts w:ascii="Lucida Sans Unicode"/>
          <w:spacing w:val="-15"/>
          <w:w w:val="105"/>
        </w:rPr>
        <w:t> </w:t>
      </w:r>
      <w:r>
        <w:rPr>
          <w:rFonts w:ascii="Lucida Sans Unicode"/>
          <w:w w:val="105"/>
        </w:rPr>
        <w:t>UK</w:t>
      </w:r>
      <w:r>
        <w:rPr>
          <w:rFonts w:ascii="Lucida Sans Unicode"/>
          <w:spacing w:val="-16"/>
          <w:w w:val="105"/>
        </w:rPr>
        <w:t> </w:t>
      </w:r>
      <w:r>
        <w:rPr>
          <w:rFonts w:ascii="Lucida Sans Unicode"/>
          <w:w w:val="105"/>
        </w:rPr>
        <w:t>Supreme</w:t>
      </w:r>
      <w:r>
        <w:rPr>
          <w:rFonts w:ascii="Lucida Sans Unicode"/>
          <w:spacing w:val="-16"/>
          <w:w w:val="105"/>
        </w:rPr>
        <w:t> </w:t>
      </w:r>
      <w:r>
        <w:rPr>
          <w:rFonts w:ascii="Lucida Sans Unicode"/>
          <w:spacing w:val="-4"/>
          <w:w w:val="105"/>
        </w:rPr>
        <w:t>Court</w:t>
      </w:r>
    </w:p>
    <w:p>
      <w:pPr>
        <w:pStyle w:val="BodyText"/>
        <w:spacing w:line="268" w:lineRule="auto"/>
        <w:ind w:right="240"/>
      </w:pPr>
      <w:r>
        <w:rPr>
          <w:w w:val="115"/>
        </w:rPr>
        <w:t>before Brexit – it is essential that this</w:t>
      </w:r>
      <w:r>
        <w:rPr>
          <w:spacing w:val="-17"/>
          <w:w w:val="115"/>
        </w:rPr>
        <w:t> </w:t>
      </w:r>
      <w:r>
        <w:rPr>
          <w:w w:val="115"/>
        </w:rPr>
        <w:t>feature</w:t>
      </w:r>
      <w:r>
        <w:rPr>
          <w:spacing w:val="-17"/>
          <w:w w:val="115"/>
        </w:rPr>
        <w:t> </w:t>
      </w:r>
      <w:r>
        <w:rPr>
          <w:w w:val="115"/>
        </w:rPr>
        <w:t>be</w:t>
      </w:r>
      <w:r>
        <w:rPr>
          <w:spacing w:val="-17"/>
          <w:w w:val="115"/>
        </w:rPr>
        <w:t> </w:t>
      </w:r>
      <w:r>
        <w:rPr>
          <w:w w:val="115"/>
        </w:rPr>
        <w:t>maintained</w:t>
      </w:r>
      <w:r>
        <w:rPr>
          <w:spacing w:val="-17"/>
          <w:w w:val="115"/>
        </w:rPr>
        <w:t> </w:t>
      </w:r>
      <w:r>
        <w:rPr>
          <w:w w:val="115"/>
        </w:rPr>
        <w:t>within</w:t>
      </w:r>
      <w:r>
        <w:rPr>
          <w:spacing w:val="-17"/>
          <w:w w:val="115"/>
        </w:rPr>
        <w:t> </w:t>
      </w:r>
      <w:r>
        <w:rPr>
          <w:w w:val="115"/>
        </w:rPr>
        <w:t>the non-diminution guarantee, if that guarantee is to remain of practical</w:t>
      </w:r>
    </w:p>
    <w:p>
      <w:pPr>
        <w:pStyle w:val="BodyText"/>
        <w:spacing w:line="334" w:lineRule="exact"/>
        <w:rPr>
          <w:rFonts w:ascii="Lucida Sans Unicode"/>
        </w:rPr>
      </w:pPr>
      <w:r>
        <w:rPr>
          <w:rFonts w:ascii="Lucida Sans Unicode"/>
          <w:spacing w:val="-2"/>
        </w:rPr>
        <w:t>significance.</w:t>
      </w:r>
    </w:p>
    <w:p>
      <w:pPr>
        <w:pStyle w:val="BodyText"/>
        <w:spacing w:line="310" w:lineRule="exact" w:before="246"/>
        <w:ind w:right="33"/>
      </w:pPr>
      <w:r>
        <w:rPr>
          <w:rFonts w:ascii="Lucida Sans Unicode"/>
          <w:spacing w:val="-2"/>
          <w:w w:val="110"/>
        </w:rPr>
        <w:t>This</w:t>
      </w:r>
      <w:r>
        <w:rPr>
          <w:rFonts w:ascii="Lucida Sans Unicode"/>
          <w:spacing w:val="-18"/>
          <w:w w:val="110"/>
        </w:rPr>
        <w:t> </w:t>
      </w:r>
      <w:r>
        <w:rPr>
          <w:rFonts w:ascii="Lucida Sans Unicode"/>
          <w:spacing w:val="-2"/>
          <w:w w:val="110"/>
        </w:rPr>
        <w:t>means</w:t>
      </w:r>
      <w:r>
        <w:rPr>
          <w:rFonts w:ascii="Lucida Sans Unicode"/>
          <w:spacing w:val="-18"/>
          <w:w w:val="110"/>
        </w:rPr>
        <w:t> </w:t>
      </w:r>
      <w:r>
        <w:rPr>
          <w:rFonts w:ascii="Lucida Sans Unicode"/>
          <w:spacing w:val="-2"/>
          <w:w w:val="110"/>
        </w:rPr>
        <w:t>that</w:t>
      </w:r>
      <w:r>
        <w:rPr>
          <w:rFonts w:ascii="Lucida Sans Unicode"/>
          <w:spacing w:val="-18"/>
          <w:w w:val="110"/>
        </w:rPr>
        <w:t> </w:t>
      </w:r>
      <w:r>
        <w:rPr>
          <w:rFonts w:ascii="Lucida Sans Unicode"/>
          <w:spacing w:val="-2"/>
          <w:w w:val="110"/>
        </w:rPr>
        <w:t>Article</w:t>
      </w:r>
      <w:r>
        <w:rPr>
          <w:rFonts w:ascii="Lucida Sans Unicode"/>
          <w:spacing w:val="-18"/>
          <w:w w:val="110"/>
        </w:rPr>
        <w:t> </w:t>
      </w:r>
      <w:r>
        <w:rPr>
          <w:rFonts w:ascii="Lucida Sans Unicode"/>
          <w:spacing w:val="-2"/>
          <w:w w:val="110"/>
        </w:rPr>
        <w:t>2</w:t>
      </w:r>
      <w:r>
        <w:rPr>
          <w:rFonts w:ascii="Lucida Sans Unicode"/>
          <w:spacing w:val="-18"/>
          <w:w w:val="110"/>
        </w:rPr>
        <w:t> </w:t>
      </w:r>
      <w:r>
        <w:rPr>
          <w:rFonts w:ascii="Lucida Sans Unicode"/>
          <w:spacing w:val="-2"/>
          <w:w w:val="110"/>
        </w:rPr>
        <w:t>of</w:t>
      </w:r>
      <w:r>
        <w:rPr>
          <w:rFonts w:ascii="Lucida Sans Unicode"/>
          <w:spacing w:val="-18"/>
          <w:w w:val="110"/>
        </w:rPr>
        <w:t> </w:t>
      </w:r>
      <w:r>
        <w:rPr>
          <w:rFonts w:ascii="Lucida Sans Unicode"/>
          <w:spacing w:val="-2"/>
          <w:w w:val="110"/>
        </w:rPr>
        <w:t>the </w:t>
      </w:r>
      <w:r>
        <w:rPr>
          <w:w w:val="115"/>
        </w:rPr>
        <w:t>Windsor Framework not only preserves the substance of the Charter rights, but also the EU law </w:t>
      </w:r>
      <w:r>
        <w:rPr>
          <w:spacing w:val="-2"/>
          <w:w w:val="115"/>
        </w:rPr>
        <w:t>remedies</w:t>
      </w:r>
      <w:r>
        <w:rPr>
          <w:spacing w:val="-16"/>
          <w:w w:val="115"/>
        </w:rPr>
        <w:t> </w:t>
      </w:r>
      <w:r>
        <w:rPr>
          <w:spacing w:val="-2"/>
          <w:w w:val="115"/>
        </w:rPr>
        <w:t>that</w:t>
      </w:r>
      <w:r>
        <w:rPr>
          <w:spacing w:val="-16"/>
          <w:w w:val="115"/>
        </w:rPr>
        <w:t> </w:t>
      </w:r>
      <w:r>
        <w:rPr>
          <w:spacing w:val="-2"/>
          <w:w w:val="115"/>
        </w:rPr>
        <w:t>accompany</w:t>
      </w:r>
      <w:r>
        <w:rPr>
          <w:spacing w:val="-16"/>
          <w:w w:val="115"/>
        </w:rPr>
        <w:t> </w:t>
      </w:r>
      <w:r>
        <w:rPr>
          <w:spacing w:val="-2"/>
          <w:w w:val="115"/>
        </w:rPr>
        <w:t>those</w:t>
      </w:r>
      <w:r>
        <w:rPr>
          <w:spacing w:val="-16"/>
          <w:w w:val="115"/>
        </w:rPr>
        <w:t> </w:t>
      </w:r>
      <w:r>
        <w:rPr>
          <w:spacing w:val="-2"/>
          <w:w w:val="115"/>
        </w:rPr>
        <w:t>rights </w:t>
      </w:r>
      <w:r>
        <w:rPr>
          <w:w w:val="115"/>
        </w:rPr>
        <w:t>as a function of the primacy of EU law, notably direct effect (including the disapplication of incompatible legislation), consistent interpretation, as</w:t>
      </w:r>
      <w:r>
        <w:rPr>
          <w:spacing w:val="-5"/>
          <w:w w:val="115"/>
        </w:rPr>
        <w:t> </w:t>
      </w:r>
      <w:r>
        <w:rPr>
          <w:w w:val="115"/>
        </w:rPr>
        <w:t>well</w:t>
      </w:r>
      <w:r>
        <w:rPr>
          <w:spacing w:val="-5"/>
          <w:w w:val="115"/>
        </w:rPr>
        <w:t> </w:t>
      </w:r>
      <w:r>
        <w:rPr>
          <w:w w:val="115"/>
        </w:rPr>
        <w:t>as</w:t>
      </w:r>
      <w:r>
        <w:rPr>
          <w:spacing w:val="-5"/>
          <w:w w:val="115"/>
        </w:rPr>
        <w:t> </w:t>
      </w:r>
      <w:r>
        <w:rPr>
          <w:w w:val="115"/>
        </w:rPr>
        <w:t>state</w:t>
      </w:r>
      <w:r>
        <w:rPr>
          <w:spacing w:val="-5"/>
          <w:w w:val="115"/>
        </w:rPr>
        <w:t> </w:t>
      </w:r>
      <w:r>
        <w:rPr>
          <w:w w:val="115"/>
        </w:rPr>
        <w:t>liability.</w:t>
      </w:r>
      <w:r>
        <w:rPr>
          <w:spacing w:val="-5"/>
          <w:w w:val="115"/>
        </w:rPr>
        <w:t> </w:t>
      </w:r>
      <w:r>
        <w:rPr>
          <w:w w:val="115"/>
        </w:rPr>
        <w:t>Finally,</w:t>
      </w:r>
      <w:r>
        <w:rPr>
          <w:spacing w:val="-5"/>
          <w:w w:val="115"/>
        </w:rPr>
        <w:t> </w:t>
      </w:r>
      <w:r>
        <w:rPr>
          <w:w w:val="115"/>
        </w:rPr>
        <w:t>the report discusses the potential impact of post-Brexit EU law developments with regard to the continued applicability of the Charter under</w:t>
      </w:r>
    </w:p>
    <w:p>
      <w:pPr>
        <w:pStyle w:val="BodyText"/>
        <w:spacing w:line="268" w:lineRule="auto" w:before="22"/>
        <w:ind w:right="412"/>
      </w:pPr>
      <w:r>
        <w:rPr>
          <w:w w:val="115"/>
        </w:rPr>
        <w:t>the</w:t>
      </w:r>
      <w:r>
        <w:rPr>
          <w:spacing w:val="-20"/>
          <w:w w:val="115"/>
        </w:rPr>
        <w:t> </w:t>
      </w:r>
      <w:r>
        <w:rPr>
          <w:w w:val="115"/>
        </w:rPr>
        <w:t>Withdrawal</w:t>
      </w:r>
      <w:r>
        <w:rPr>
          <w:spacing w:val="-19"/>
          <w:w w:val="115"/>
        </w:rPr>
        <w:t> </w:t>
      </w:r>
      <w:r>
        <w:rPr>
          <w:w w:val="115"/>
        </w:rPr>
        <w:t>Agreement</w:t>
      </w:r>
      <w:r>
        <w:rPr>
          <w:spacing w:val="-19"/>
          <w:w w:val="115"/>
        </w:rPr>
        <w:t> </w:t>
      </w:r>
      <w:r>
        <w:rPr>
          <w:w w:val="115"/>
        </w:rPr>
        <w:t>and</w:t>
      </w:r>
      <w:r>
        <w:rPr>
          <w:spacing w:val="-19"/>
          <w:w w:val="115"/>
        </w:rPr>
        <w:t> </w:t>
      </w:r>
      <w:r>
        <w:rPr>
          <w:w w:val="115"/>
        </w:rPr>
        <w:t>the Windsor Framework.</w:t>
      </w:r>
    </w:p>
    <w:p>
      <w:pPr>
        <w:pStyle w:val="BodyText"/>
        <w:spacing w:line="310" w:lineRule="exact" w:before="49"/>
        <w:ind w:right="170"/>
      </w:pPr>
      <w:r>
        <w:rPr/>
        <w:br w:type="column"/>
      </w:r>
      <w:r>
        <w:rPr>
          <w:rFonts w:ascii="Lucida Sans Unicode"/>
        </w:rPr>
        <w:t>It finds that post-Brexit </w:t>
      </w:r>
      <w:r>
        <w:rPr>
          <w:rFonts w:ascii="Lucida Sans Unicode"/>
        </w:rPr>
        <w:t>developments </w:t>
      </w:r>
      <w:r>
        <w:rPr>
          <w:w w:val="115"/>
        </w:rPr>
        <w:t>in</w:t>
      </w:r>
      <w:r>
        <w:rPr>
          <w:spacing w:val="-15"/>
          <w:w w:val="115"/>
        </w:rPr>
        <w:t> </w:t>
      </w:r>
      <w:r>
        <w:rPr>
          <w:w w:val="115"/>
        </w:rPr>
        <w:t>CJEU</w:t>
      </w:r>
      <w:r>
        <w:rPr>
          <w:spacing w:val="-15"/>
          <w:w w:val="115"/>
        </w:rPr>
        <w:t> </w:t>
      </w:r>
      <w:r>
        <w:rPr>
          <w:w w:val="115"/>
        </w:rPr>
        <w:t>case</w:t>
      </w:r>
      <w:r>
        <w:rPr>
          <w:spacing w:val="-15"/>
          <w:w w:val="115"/>
        </w:rPr>
        <w:t> </w:t>
      </w:r>
      <w:r>
        <w:rPr>
          <w:w w:val="115"/>
        </w:rPr>
        <w:t>law</w:t>
      </w:r>
      <w:r>
        <w:rPr>
          <w:spacing w:val="-15"/>
          <w:w w:val="115"/>
        </w:rPr>
        <w:t> </w:t>
      </w:r>
      <w:r>
        <w:rPr>
          <w:w w:val="115"/>
        </w:rPr>
        <w:t>remain</w:t>
      </w:r>
      <w:r>
        <w:rPr>
          <w:spacing w:val="-15"/>
          <w:w w:val="115"/>
        </w:rPr>
        <w:t> </w:t>
      </w:r>
      <w:r>
        <w:rPr>
          <w:w w:val="115"/>
        </w:rPr>
        <w:t>relevant, both with regard to the dynamic alignment obligations in the Withdrawal Agreement and Windsor Framework and the more general</w:t>
      </w:r>
    </w:p>
    <w:p>
      <w:pPr>
        <w:pStyle w:val="BodyText"/>
        <w:spacing w:line="310" w:lineRule="exact"/>
        <w:ind w:right="157"/>
      </w:pPr>
      <w:r>
        <w:rPr>
          <w:rFonts w:ascii="Lucida Sans Unicode" w:hAnsi="Lucida Sans Unicode"/>
          <w:spacing w:val="-2"/>
          <w:w w:val="105"/>
        </w:rPr>
        <w:t>non-diminution</w:t>
      </w:r>
      <w:r>
        <w:rPr>
          <w:rFonts w:ascii="Lucida Sans Unicode" w:hAnsi="Lucida Sans Unicode"/>
          <w:spacing w:val="-16"/>
          <w:w w:val="105"/>
        </w:rPr>
        <w:t> </w:t>
      </w:r>
      <w:r>
        <w:rPr>
          <w:rFonts w:ascii="Lucida Sans Unicode" w:hAnsi="Lucida Sans Unicode"/>
          <w:spacing w:val="-2"/>
          <w:w w:val="105"/>
        </w:rPr>
        <w:t>guarantee</w:t>
      </w:r>
      <w:r>
        <w:rPr>
          <w:rFonts w:ascii="Lucida Sans Unicode" w:hAnsi="Lucida Sans Unicode"/>
          <w:spacing w:val="-16"/>
          <w:w w:val="105"/>
        </w:rPr>
        <w:t> </w:t>
      </w:r>
      <w:r>
        <w:rPr>
          <w:rFonts w:ascii="Lucida Sans Unicode" w:hAnsi="Lucida Sans Unicode"/>
          <w:spacing w:val="-2"/>
          <w:w w:val="105"/>
        </w:rPr>
        <w:t>in</w:t>
      </w:r>
      <w:r>
        <w:rPr>
          <w:rFonts w:ascii="Lucida Sans Unicode" w:hAnsi="Lucida Sans Unicode"/>
          <w:spacing w:val="-16"/>
          <w:w w:val="105"/>
        </w:rPr>
        <w:t> </w:t>
      </w:r>
      <w:r>
        <w:rPr>
          <w:rFonts w:ascii="Lucida Sans Unicode" w:hAnsi="Lucida Sans Unicode"/>
          <w:spacing w:val="-2"/>
          <w:w w:val="105"/>
        </w:rPr>
        <w:t>Article</w:t>
      </w:r>
      <w:r>
        <w:rPr>
          <w:rFonts w:ascii="Lucida Sans Unicode" w:hAnsi="Lucida Sans Unicode"/>
          <w:spacing w:val="-16"/>
          <w:w w:val="105"/>
        </w:rPr>
        <w:t> </w:t>
      </w:r>
      <w:r>
        <w:rPr>
          <w:rFonts w:ascii="Lucida Sans Unicode" w:hAnsi="Lucida Sans Unicode"/>
          <w:spacing w:val="-2"/>
          <w:w w:val="105"/>
        </w:rPr>
        <w:t>2 </w:t>
      </w:r>
      <w:r>
        <w:rPr>
          <w:w w:val="105"/>
        </w:rPr>
        <w:t>Windsor Framework more generally.</w:t>
      </w:r>
      <w:r>
        <w:rPr>
          <w:spacing w:val="40"/>
          <w:w w:val="105"/>
        </w:rPr>
        <w:t> </w:t>
      </w:r>
      <w:r>
        <w:rPr>
          <w:rFonts w:ascii="Lucida Sans Unicode" w:hAnsi="Lucida Sans Unicode"/>
          <w:w w:val="105"/>
        </w:rPr>
        <w:t>Furthermore,</w:t>
      </w:r>
      <w:r>
        <w:rPr>
          <w:rFonts w:ascii="Lucida Sans Unicode" w:hAnsi="Lucida Sans Unicode"/>
          <w:spacing w:val="-17"/>
          <w:w w:val="105"/>
        </w:rPr>
        <w:t> </w:t>
      </w:r>
      <w:r>
        <w:rPr>
          <w:rFonts w:ascii="Lucida Sans Unicode" w:hAnsi="Lucida Sans Unicode"/>
          <w:w w:val="105"/>
        </w:rPr>
        <w:t>the</w:t>
      </w:r>
      <w:r>
        <w:rPr>
          <w:rFonts w:ascii="Lucida Sans Unicode" w:hAnsi="Lucida Sans Unicode"/>
          <w:spacing w:val="-17"/>
          <w:w w:val="105"/>
        </w:rPr>
        <w:t> </w:t>
      </w:r>
      <w:r>
        <w:rPr>
          <w:rFonts w:ascii="Lucida Sans Unicode" w:hAnsi="Lucida Sans Unicode"/>
          <w:w w:val="105"/>
        </w:rPr>
        <w:t>report</w:t>
      </w:r>
      <w:r>
        <w:rPr>
          <w:rFonts w:ascii="Lucida Sans Unicode" w:hAnsi="Lucida Sans Unicode"/>
          <w:spacing w:val="-17"/>
          <w:w w:val="105"/>
        </w:rPr>
        <w:t> </w:t>
      </w:r>
      <w:r>
        <w:rPr>
          <w:rFonts w:ascii="Lucida Sans Unicode" w:hAnsi="Lucida Sans Unicode"/>
          <w:w w:val="105"/>
        </w:rPr>
        <w:t>briefly</w:t>
      </w:r>
      <w:r>
        <w:rPr>
          <w:rFonts w:ascii="Lucida Sans Unicode" w:hAnsi="Lucida Sans Unicode"/>
          <w:spacing w:val="-17"/>
          <w:w w:val="105"/>
        </w:rPr>
        <w:t> </w:t>
      </w:r>
      <w:r>
        <w:rPr>
          <w:rFonts w:ascii="Lucida Sans Unicode" w:hAnsi="Lucida Sans Unicode"/>
          <w:w w:val="105"/>
        </w:rPr>
        <w:t>shows </w:t>
      </w:r>
      <w:r>
        <w:rPr>
          <w:w w:val="105"/>
        </w:rPr>
        <w:t>how divergence in legal </w:t>
      </w:r>
      <w:r>
        <w:rPr>
          <w:w w:val="105"/>
        </w:rPr>
        <w:t>developments</w:t>
      </w:r>
      <w:r>
        <w:rPr>
          <w:spacing w:val="80"/>
          <w:w w:val="105"/>
        </w:rPr>
        <w:t> </w:t>
      </w:r>
      <w:r>
        <w:rPr>
          <w:rFonts w:ascii="Lucida Sans Unicode" w:hAnsi="Lucida Sans Unicode"/>
          <w:w w:val="105"/>
        </w:rPr>
        <w:t>as a result of the ‘Stormont Brake’ </w:t>
      </w:r>
      <w:r>
        <w:rPr>
          <w:w w:val="105"/>
        </w:rPr>
        <w:t>would give rise to legal uncertainty</w:t>
      </w:r>
      <w:r>
        <w:rPr>
          <w:spacing w:val="80"/>
          <w:w w:val="150"/>
        </w:rPr>
        <w:t> </w:t>
      </w:r>
      <w:r>
        <w:rPr>
          <w:w w:val="105"/>
        </w:rPr>
        <w:t>insofar</w:t>
      </w:r>
      <w:r>
        <w:rPr>
          <w:spacing w:val="40"/>
          <w:w w:val="105"/>
        </w:rPr>
        <w:t> </w:t>
      </w:r>
      <w:r>
        <w:rPr>
          <w:w w:val="105"/>
        </w:rPr>
        <w:t>as</w:t>
      </w:r>
      <w:r>
        <w:rPr>
          <w:spacing w:val="40"/>
          <w:w w:val="105"/>
        </w:rPr>
        <w:t> </w:t>
      </w:r>
      <w:r>
        <w:rPr>
          <w:w w:val="105"/>
        </w:rPr>
        <w:t>the</w:t>
      </w:r>
      <w:r>
        <w:rPr>
          <w:spacing w:val="40"/>
          <w:w w:val="105"/>
        </w:rPr>
        <w:t> </w:t>
      </w:r>
      <w:r>
        <w:rPr>
          <w:w w:val="105"/>
        </w:rPr>
        <w:t>interpretation</w:t>
      </w:r>
      <w:r>
        <w:rPr>
          <w:spacing w:val="40"/>
          <w:w w:val="105"/>
        </w:rPr>
        <w:t> </w:t>
      </w:r>
      <w:r>
        <w:rPr>
          <w:w w:val="105"/>
        </w:rPr>
        <w:t>and</w:t>
      </w:r>
      <w:r>
        <w:rPr>
          <w:spacing w:val="80"/>
          <w:w w:val="105"/>
        </w:rPr>
        <w:t> </w:t>
      </w:r>
      <w:r>
        <w:rPr>
          <w:w w:val="105"/>
        </w:rPr>
        <w:t>validity of EU law made applicable in</w:t>
      </w:r>
      <w:r>
        <w:rPr>
          <w:spacing w:val="80"/>
          <w:w w:val="105"/>
        </w:rPr>
        <w:t> </w:t>
      </w:r>
      <w:r>
        <w:rPr>
          <w:w w:val="105"/>
        </w:rPr>
        <w:t>Northern</w:t>
      </w:r>
      <w:r>
        <w:rPr>
          <w:spacing w:val="40"/>
          <w:w w:val="105"/>
        </w:rPr>
        <w:t> </w:t>
      </w:r>
      <w:r>
        <w:rPr>
          <w:w w:val="105"/>
        </w:rPr>
        <w:t>Ireland</w:t>
      </w:r>
      <w:r>
        <w:rPr>
          <w:spacing w:val="40"/>
          <w:w w:val="105"/>
        </w:rPr>
        <w:t> </w:t>
      </w:r>
      <w:r>
        <w:rPr>
          <w:w w:val="105"/>
        </w:rPr>
        <w:t>on</w:t>
      </w:r>
      <w:r>
        <w:rPr>
          <w:spacing w:val="40"/>
          <w:w w:val="105"/>
        </w:rPr>
        <w:t> </w:t>
      </w:r>
      <w:r>
        <w:rPr>
          <w:w w:val="105"/>
        </w:rPr>
        <w:t>the</w:t>
      </w:r>
      <w:r>
        <w:rPr>
          <w:spacing w:val="40"/>
          <w:w w:val="105"/>
        </w:rPr>
        <w:t> </w:t>
      </w:r>
      <w:r>
        <w:rPr>
          <w:w w:val="105"/>
        </w:rPr>
        <w:t>basis</w:t>
      </w:r>
      <w:r>
        <w:rPr>
          <w:spacing w:val="40"/>
          <w:w w:val="105"/>
        </w:rPr>
        <w:t> </w:t>
      </w:r>
      <w:r>
        <w:rPr>
          <w:w w:val="105"/>
        </w:rPr>
        <w:t>of</w:t>
      </w:r>
      <w:r>
        <w:rPr>
          <w:spacing w:val="40"/>
          <w:w w:val="105"/>
        </w:rPr>
        <w:t> </w:t>
      </w:r>
      <w:r>
        <w:rPr>
          <w:w w:val="105"/>
        </w:rPr>
        <w:t>the WA is concerned.</w:t>
      </w:r>
    </w:p>
    <w:p>
      <w:pPr>
        <w:pStyle w:val="BodyText"/>
        <w:spacing w:before="24"/>
        <w:ind w:left="0"/>
      </w:pPr>
    </w:p>
    <w:p>
      <w:pPr>
        <w:pStyle w:val="BodyText"/>
        <w:spacing w:line="310" w:lineRule="exact"/>
        <w:ind w:right="266"/>
      </w:pPr>
      <w:r>
        <w:rPr>
          <w:w w:val="110"/>
        </w:rPr>
        <w:t>The report is structured as follows. Chapter </w:t>
      </w:r>
      <w:r>
        <w:rPr/>
        <w:t>1 </w:t>
      </w:r>
      <w:r>
        <w:rPr>
          <w:w w:val="110"/>
        </w:rPr>
        <w:t>explains the key concepts, effects, and methods of </w:t>
      </w:r>
      <w:r>
        <w:rPr>
          <w:w w:val="110"/>
        </w:rPr>
        <w:t>interpretation of the Charter and general principles </w:t>
      </w:r>
      <w:r>
        <w:rPr>
          <w:rFonts w:ascii="Lucida Sans Unicode"/>
        </w:rPr>
        <w:t>under EU law. Chapter 2 explores the </w:t>
      </w:r>
      <w:r>
        <w:rPr>
          <w:w w:val="110"/>
        </w:rPr>
        <w:t>basic</w:t>
      </w:r>
      <w:r>
        <w:rPr>
          <w:spacing w:val="40"/>
          <w:w w:val="110"/>
        </w:rPr>
        <w:t> </w:t>
      </w:r>
      <w:r>
        <w:rPr>
          <w:w w:val="110"/>
        </w:rPr>
        <w:t>framework</w:t>
      </w:r>
      <w:r>
        <w:rPr>
          <w:spacing w:val="40"/>
          <w:w w:val="110"/>
        </w:rPr>
        <w:t> </w:t>
      </w:r>
      <w:r>
        <w:rPr>
          <w:w w:val="110"/>
        </w:rPr>
        <w:t>for</w:t>
      </w:r>
      <w:r>
        <w:rPr>
          <w:spacing w:val="40"/>
          <w:w w:val="110"/>
        </w:rPr>
        <w:t> </w:t>
      </w:r>
      <w:r>
        <w:rPr>
          <w:w w:val="110"/>
        </w:rPr>
        <w:t>the</w:t>
      </w:r>
      <w:r>
        <w:rPr>
          <w:spacing w:val="40"/>
          <w:w w:val="110"/>
        </w:rPr>
        <w:t> </w:t>
      </w:r>
      <w:r>
        <w:rPr>
          <w:w w:val="110"/>
        </w:rPr>
        <w:t>application</w:t>
      </w:r>
      <w:r>
        <w:rPr>
          <w:spacing w:val="80"/>
          <w:w w:val="110"/>
        </w:rPr>
        <w:t> </w:t>
      </w:r>
      <w:r>
        <w:rPr>
          <w:w w:val="110"/>
        </w:rPr>
        <w:t>of the Charter in Northern Ireland under the Withdrawal Agreement</w:t>
      </w:r>
    </w:p>
    <w:p>
      <w:pPr>
        <w:pStyle w:val="BodyText"/>
        <w:spacing w:line="310" w:lineRule="exact"/>
        <w:ind w:right="165"/>
      </w:pPr>
      <w:r>
        <w:rPr>
          <w:rFonts w:ascii="Lucida Sans Unicode" w:hAnsi="Lucida Sans Unicode"/>
          <w:spacing w:val="-2"/>
          <w:w w:val="110"/>
        </w:rPr>
        <w:t>and</w:t>
      </w:r>
      <w:r>
        <w:rPr>
          <w:rFonts w:ascii="Lucida Sans Unicode" w:hAnsi="Lucida Sans Unicode"/>
          <w:spacing w:val="-19"/>
          <w:w w:val="110"/>
        </w:rPr>
        <w:t> </w:t>
      </w:r>
      <w:r>
        <w:rPr>
          <w:rFonts w:ascii="Lucida Sans Unicode" w:hAnsi="Lucida Sans Unicode"/>
          <w:spacing w:val="-2"/>
          <w:w w:val="110"/>
        </w:rPr>
        <w:t>Windsor</w:t>
      </w:r>
      <w:r>
        <w:rPr>
          <w:rFonts w:ascii="Lucida Sans Unicode" w:hAnsi="Lucida Sans Unicode"/>
          <w:spacing w:val="-19"/>
          <w:w w:val="110"/>
        </w:rPr>
        <w:t> </w:t>
      </w:r>
      <w:r>
        <w:rPr>
          <w:rFonts w:ascii="Lucida Sans Unicode" w:hAnsi="Lucida Sans Unicode"/>
          <w:spacing w:val="-2"/>
          <w:w w:val="110"/>
        </w:rPr>
        <w:t>Framework.</w:t>
      </w:r>
      <w:r>
        <w:rPr>
          <w:rFonts w:ascii="Lucida Sans Unicode" w:hAnsi="Lucida Sans Unicode"/>
          <w:spacing w:val="-19"/>
          <w:w w:val="110"/>
        </w:rPr>
        <w:t> </w:t>
      </w:r>
      <w:r>
        <w:rPr>
          <w:rFonts w:ascii="Lucida Sans Unicode" w:hAnsi="Lucida Sans Unicode"/>
          <w:spacing w:val="-2"/>
          <w:w w:val="110"/>
        </w:rPr>
        <w:t>Chapters</w:t>
      </w:r>
      <w:r>
        <w:rPr>
          <w:rFonts w:ascii="Lucida Sans Unicode" w:hAnsi="Lucida Sans Unicode"/>
          <w:spacing w:val="-19"/>
          <w:w w:val="110"/>
        </w:rPr>
        <w:t> </w:t>
      </w:r>
      <w:r>
        <w:rPr>
          <w:rFonts w:ascii="Lucida Sans Unicode" w:hAnsi="Lucida Sans Unicode"/>
          <w:spacing w:val="-2"/>
          <w:w w:val="110"/>
        </w:rPr>
        <w:t>3 and</w:t>
      </w:r>
      <w:r>
        <w:rPr>
          <w:rFonts w:ascii="Lucida Sans Unicode" w:hAnsi="Lucida Sans Unicode"/>
          <w:spacing w:val="-18"/>
          <w:w w:val="110"/>
        </w:rPr>
        <w:t> </w:t>
      </w:r>
      <w:r>
        <w:rPr>
          <w:rFonts w:ascii="Lucida Sans Unicode" w:hAnsi="Lucida Sans Unicode"/>
          <w:spacing w:val="-2"/>
          <w:w w:val="110"/>
        </w:rPr>
        <w:t>4</w:t>
      </w:r>
      <w:r>
        <w:rPr>
          <w:rFonts w:ascii="Lucida Sans Unicode" w:hAnsi="Lucida Sans Unicode"/>
          <w:spacing w:val="-18"/>
          <w:w w:val="110"/>
        </w:rPr>
        <w:t> </w:t>
      </w:r>
      <w:r>
        <w:rPr>
          <w:rFonts w:ascii="Lucida Sans Unicode" w:hAnsi="Lucida Sans Unicode"/>
          <w:spacing w:val="-2"/>
          <w:w w:val="110"/>
        </w:rPr>
        <w:t>go</w:t>
      </w:r>
      <w:r>
        <w:rPr>
          <w:rFonts w:ascii="Lucida Sans Unicode" w:hAnsi="Lucida Sans Unicode"/>
          <w:spacing w:val="-18"/>
          <w:w w:val="110"/>
        </w:rPr>
        <w:t> </w:t>
      </w:r>
      <w:r>
        <w:rPr>
          <w:rFonts w:ascii="Lucida Sans Unicode" w:hAnsi="Lucida Sans Unicode"/>
          <w:spacing w:val="-2"/>
          <w:w w:val="110"/>
        </w:rPr>
        <w:t>on</w:t>
      </w:r>
      <w:r>
        <w:rPr>
          <w:rFonts w:ascii="Lucida Sans Unicode" w:hAnsi="Lucida Sans Unicode"/>
          <w:spacing w:val="-18"/>
          <w:w w:val="110"/>
        </w:rPr>
        <w:t> </w:t>
      </w:r>
      <w:r>
        <w:rPr>
          <w:rFonts w:ascii="Lucida Sans Unicode" w:hAnsi="Lucida Sans Unicode"/>
          <w:spacing w:val="-2"/>
          <w:w w:val="110"/>
        </w:rPr>
        <w:t>to</w:t>
      </w:r>
      <w:r>
        <w:rPr>
          <w:rFonts w:ascii="Lucida Sans Unicode" w:hAnsi="Lucida Sans Unicode"/>
          <w:spacing w:val="-18"/>
          <w:w w:val="110"/>
        </w:rPr>
        <w:t> </w:t>
      </w:r>
      <w:r>
        <w:rPr>
          <w:rFonts w:ascii="Lucida Sans Unicode" w:hAnsi="Lucida Sans Unicode"/>
          <w:spacing w:val="-2"/>
          <w:w w:val="110"/>
        </w:rPr>
        <w:t>provide</w:t>
      </w:r>
      <w:r>
        <w:rPr>
          <w:rFonts w:ascii="Lucida Sans Unicode" w:hAnsi="Lucida Sans Unicode"/>
          <w:spacing w:val="-18"/>
          <w:w w:val="110"/>
        </w:rPr>
        <w:t> </w:t>
      </w:r>
      <w:r>
        <w:rPr>
          <w:rFonts w:ascii="Lucida Sans Unicode" w:hAnsi="Lucida Sans Unicode"/>
          <w:spacing w:val="-2"/>
          <w:w w:val="110"/>
        </w:rPr>
        <w:t>further</w:t>
      </w:r>
      <w:r>
        <w:rPr>
          <w:rFonts w:ascii="Lucida Sans Unicode" w:hAnsi="Lucida Sans Unicode"/>
          <w:spacing w:val="-18"/>
          <w:w w:val="110"/>
        </w:rPr>
        <w:t> </w:t>
      </w:r>
      <w:r>
        <w:rPr>
          <w:rFonts w:ascii="Lucida Sans Unicode" w:hAnsi="Lucida Sans Unicode"/>
          <w:spacing w:val="-2"/>
          <w:w w:val="110"/>
        </w:rPr>
        <w:t>detail </w:t>
      </w:r>
      <w:r>
        <w:rPr>
          <w:w w:val="110"/>
        </w:rPr>
        <w:t>about the interaction of between the Charter and general principles and </w:t>
      </w:r>
      <w:r>
        <w:rPr>
          <w:w w:val="110"/>
        </w:rPr>
        <w:t>the Windsor Framework in terms of scope and remedies, respectively. Chapter 5 analyses the domestic application of EU case law and legislation now and</w:t>
      </w:r>
      <w:r>
        <w:rPr>
          <w:spacing w:val="40"/>
          <w:w w:val="110"/>
        </w:rPr>
        <w:t> </w:t>
      </w:r>
      <w:r>
        <w:rPr>
          <w:w w:val="110"/>
        </w:rPr>
        <w:t>in the future (‘dynamic alignment’).</w:t>
      </w:r>
    </w:p>
    <w:p>
      <w:pPr>
        <w:pStyle w:val="BodyText"/>
        <w:spacing w:before="51"/>
        <w:ind w:left="0"/>
      </w:pPr>
    </w:p>
    <w:p>
      <w:pPr>
        <w:pStyle w:val="BodyText"/>
        <w:spacing w:line="201" w:lineRule="auto"/>
        <w:ind w:right="266"/>
        <w:rPr>
          <w:rFonts w:ascii="Lucida Sans Unicode"/>
        </w:rPr>
      </w:pPr>
      <w:r>
        <w:rPr>
          <w:rFonts w:ascii="Lucida Sans Unicode"/>
        </w:rPr>
        <w:t>The report reflects the law as it </w:t>
      </w:r>
      <w:r>
        <w:rPr>
          <w:rFonts w:ascii="Lucida Sans Unicode"/>
        </w:rPr>
        <w:t>stood on 19 March 2024.</w:t>
      </w:r>
    </w:p>
    <w:p>
      <w:pPr>
        <w:spacing w:after="0" w:line="201" w:lineRule="auto"/>
        <w:rPr>
          <w:rFonts w:ascii="Lucida Sans Unicode"/>
        </w:rPr>
        <w:sectPr>
          <w:type w:val="continuous"/>
          <w:pgSz w:w="11910" w:h="16840"/>
          <w:pgMar w:header="568" w:footer="580" w:top="0" w:bottom="280" w:left="1020" w:right="1020"/>
          <w:cols w:num="2" w:equalWidth="0">
            <w:col w:w="4729" w:space="316"/>
            <w:col w:w="4825"/>
          </w:cols>
        </w:sectPr>
      </w:pPr>
    </w:p>
    <w:p>
      <w:pPr>
        <w:pStyle w:val="Title"/>
      </w:pPr>
      <w:r>
        <w:rPr>
          <w:color w:val="77328A"/>
          <w:spacing w:val="-6"/>
          <w:w w:val="105"/>
        </w:rPr>
        <w:t>Table</w:t>
      </w:r>
      <w:r>
        <w:rPr>
          <w:color w:val="77328A"/>
          <w:spacing w:val="-38"/>
          <w:w w:val="105"/>
        </w:rPr>
        <w:t> </w:t>
      </w:r>
      <w:r>
        <w:rPr>
          <w:color w:val="77328A"/>
          <w:spacing w:val="-6"/>
          <w:w w:val="105"/>
        </w:rPr>
        <w:t>of</w:t>
      </w:r>
      <w:r>
        <w:rPr>
          <w:color w:val="77328A"/>
          <w:spacing w:val="-37"/>
          <w:w w:val="105"/>
        </w:rPr>
        <w:t> </w:t>
      </w:r>
      <w:r>
        <w:rPr>
          <w:color w:val="77328A"/>
          <w:spacing w:val="-6"/>
          <w:w w:val="105"/>
        </w:rPr>
        <w:t>Contents</w:t>
      </w:r>
    </w:p>
    <w:p>
      <w:pPr>
        <w:spacing w:after="0"/>
        <w:sectPr>
          <w:pgSz w:w="11910" w:h="16840"/>
          <w:pgMar w:header="568" w:footer="580" w:top="840" w:bottom="1170" w:left="1020" w:right="1020"/>
        </w:sectPr>
      </w:pPr>
    </w:p>
    <w:sdt>
      <w:sdtPr>
        <w:docPartObj>
          <w:docPartGallery w:val="Table of Contents"/>
          <w:docPartUnique/>
        </w:docPartObj>
      </w:sdtPr>
      <w:sdtEndPr/>
      <w:sdtContent>
        <w:p>
          <w:pPr>
            <w:pStyle w:val="TOC1"/>
            <w:tabs>
              <w:tab w:pos="9592" w:val="left" w:leader="none"/>
            </w:tabs>
            <w:spacing w:before="400"/>
          </w:pPr>
          <w:hyperlink w:history="true" w:anchor="_bookmark0">
            <w:r>
              <w:rPr>
                <w:color w:val="77328A"/>
                <w:w w:val="105"/>
              </w:rPr>
              <w:t>List</w:t>
            </w:r>
            <w:r>
              <w:rPr>
                <w:color w:val="77328A"/>
                <w:spacing w:val="-14"/>
                <w:w w:val="105"/>
              </w:rPr>
              <w:t> </w:t>
            </w:r>
            <w:r>
              <w:rPr>
                <w:color w:val="77328A"/>
                <w:w w:val="105"/>
              </w:rPr>
              <w:t>of</w:t>
            </w:r>
            <w:r>
              <w:rPr>
                <w:color w:val="77328A"/>
                <w:spacing w:val="-13"/>
                <w:w w:val="105"/>
              </w:rPr>
              <w:t> </w:t>
            </w:r>
            <w:r>
              <w:rPr>
                <w:color w:val="77328A"/>
                <w:spacing w:val="-2"/>
                <w:w w:val="105"/>
              </w:rPr>
              <w:t>Abbreviations</w:t>
            </w:r>
            <w:r>
              <w:rPr>
                <w:color w:val="77328A"/>
              </w:rPr>
              <w:tab/>
            </w:r>
            <w:r>
              <w:rPr>
                <w:color w:val="77328A"/>
                <w:spacing w:val="-10"/>
                <w:w w:val="105"/>
              </w:rPr>
              <w:t>9</w:t>
            </w:r>
          </w:hyperlink>
        </w:p>
        <w:p>
          <w:pPr>
            <w:pStyle w:val="TOC1"/>
            <w:tabs>
              <w:tab w:pos="9474" w:val="left" w:leader="none"/>
            </w:tabs>
            <w:spacing w:before="134"/>
          </w:pPr>
          <w:hyperlink w:history="true" w:anchor="_bookmark1">
            <w:r>
              <w:rPr>
                <w:color w:val="77328A"/>
                <w:spacing w:val="-2"/>
              </w:rPr>
              <w:t>Introduction</w:t>
            </w:r>
            <w:r>
              <w:rPr>
                <w:color w:val="77328A"/>
              </w:rPr>
              <w:tab/>
            </w:r>
            <w:r>
              <w:rPr>
                <w:color w:val="77328A"/>
                <w:spacing w:val="-5"/>
              </w:rPr>
              <w:t>10</w:t>
            </w:r>
          </w:hyperlink>
        </w:p>
        <w:p>
          <w:pPr>
            <w:pStyle w:val="TOC1"/>
            <w:spacing w:before="133"/>
          </w:pPr>
          <w:hyperlink w:history="true" w:anchor="_bookmark2">
            <w:r>
              <w:rPr>
                <w:color w:val="77328A"/>
              </w:rPr>
              <w:t>Chapter</w:t>
            </w:r>
            <w:r>
              <w:rPr>
                <w:color w:val="77328A"/>
                <w:spacing w:val="2"/>
              </w:rPr>
              <w:t> </w:t>
            </w:r>
            <w:r>
              <w:rPr>
                <w:color w:val="77328A"/>
              </w:rPr>
              <w:t>1:</w:t>
            </w:r>
            <w:r>
              <w:rPr>
                <w:color w:val="77328A"/>
                <w:spacing w:val="2"/>
              </w:rPr>
              <w:t> </w:t>
            </w:r>
            <w:r>
              <w:rPr>
                <w:color w:val="77328A"/>
              </w:rPr>
              <w:t>Key</w:t>
            </w:r>
            <w:r>
              <w:rPr>
                <w:color w:val="77328A"/>
                <w:spacing w:val="2"/>
              </w:rPr>
              <w:t> </w:t>
            </w:r>
            <w:r>
              <w:rPr>
                <w:color w:val="77328A"/>
              </w:rPr>
              <w:t>concepts</w:t>
            </w:r>
            <w:r>
              <w:rPr>
                <w:color w:val="77328A"/>
                <w:spacing w:val="2"/>
              </w:rPr>
              <w:t> </w:t>
            </w:r>
            <w:r>
              <w:rPr>
                <w:color w:val="77328A"/>
              </w:rPr>
              <w:t>and</w:t>
            </w:r>
            <w:r>
              <w:rPr>
                <w:color w:val="77328A"/>
                <w:spacing w:val="2"/>
              </w:rPr>
              <w:t> </w:t>
            </w:r>
            <w:r>
              <w:rPr>
                <w:color w:val="77328A"/>
              </w:rPr>
              <w:t>effects</w:t>
            </w:r>
            <w:r>
              <w:rPr>
                <w:color w:val="77328A"/>
                <w:spacing w:val="2"/>
              </w:rPr>
              <w:t> </w:t>
            </w:r>
            <w:r>
              <w:rPr>
                <w:color w:val="77328A"/>
              </w:rPr>
              <w:t>of</w:t>
            </w:r>
            <w:r>
              <w:rPr>
                <w:color w:val="77328A"/>
                <w:spacing w:val="2"/>
              </w:rPr>
              <w:t> </w:t>
            </w:r>
            <w:r>
              <w:rPr>
                <w:color w:val="77328A"/>
              </w:rPr>
              <w:t>the</w:t>
            </w:r>
            <w:r>
              <w:rPr>
                <w:color w:val="77328A"/>
                <w:spacing w:val="2"/>
              </w:rPr>
              <w:t> </w:t>
            </w:r>
            <w:r>
              <w:rPr>
                <w:color w:val="77328A"/>
              </w:rPr>
              <w:t>Charter</w:t>
            </w:r>
            <w:r>
              <w:rPr>
                <w:color w:val="77328A"/>
                <w:spacing w:val="2"/>
              </w:rPr>
              <w:t> </w:t>
            </w:r>
            <w:r>
              <w:rPr>
                <w:color w:val="77328A"/>
              </w:rPr>
              <w:t>and</w:t>
            </w:r>
            <w:r>
              <w:rPr>
                <w:color w:val="77328A"/>
                <w:spacing w:val="3"/>
              </w:rPr>
              <w:t> </w:t>
            </w:r>
            <w:r>
              <w:rPr>
                <w:color w:val="77328A"/>
                <w:spacing w:val="-2"/>
              </w:rPr>
              <w:t>general</w:t>
            </w:r>
          </w:hyperlink>
        </w:p>
        <w:p>
          <w:pPr>
            <w:pStyle w:val="TOC1"/>
            <w:tabs>
              <w:tab w:pos="9500" w:val="left" w:leader="none"/>
            </w:tabs>
            <w:spacing w:before="21"/>
          </w:pPr>
          <w:hyperlink w:history="true" w:anchor="_bookmark2">
            <w:r>
              <w:rPr>
                <w:color w:val="77328A"/>
              </w:rPr>
              <w:t>principles</w:t>
            </w:r>
            <w:r>
              <w:rPr>
                <w:color w:val="77328A"/>
                <w:spacing w:val="14"/>
              </w:rPr>
              <w:t> </w:t>
            </w:r>
            <w:r>
              <w:rPr>
                <w:color w:val="77328A"/>
              </w:rPr>
              <w:t>under</w:t>
            </w:r>
            <w:r>
              <w:rPr>
                <w:color w:val="77328A"/>
                <w:spacing w:val="14"/>
              </w:rPr>
              <w:t> </w:t>
            </w:r>
            <w:r>
              <w:rPr>
                <w:color w:val="77328A"/>
              </w:rPr>
              <w:t>EU</w:t>
            </w:r>
            <w:r>
              <w:rPr>
                <w:color w:val="77328A"/>
                <w:spacing w:val="14"/>
              </w:rPr>
              <w:t> </w:t>
            </w:r>
            <w:r>
              <w:rPr>
                <w:color w:val="77328A"/>
                <w:spacing w:val="-5"/>
              </w:rPr>
              <w:t>law</w:t>
            </w:r>
            <w:r>
              <w:rPr>
                <w:color w:val="77328A"/>
              </w:rPr>
              <w:tab/>
            </w:r>
            <w:r>
              <w:rPr>
                <w:color w:val="77328A"/>
                <w:spacing w:val="-5"/>
              </w:rPr>
              <w:t>12</w:t>
            </w:r>
          </w:hyperlink>
        </w:p>
        <w:p>
          <w:pPr>
            <w:pStyle w:val="TOC2"/>
            <w:numPr>
              <w:ilvl w:val="0"/>
              <w:numId w:val="1"/>
            </w:numPr>
            <w:tabs>
              <w:tab w:pos="567" w:val="left" w:leader="none"/>
              <w:tab w:pos="9522" w:val="left" w:leader="none"/>
            </w:tabs>
            <w:spacing w:line="334" w:lineRule="exact" w:before="43" w:after="0"/>
            <w:ind w:left="567" w:right="0" w:hanging="454"/>
            <w:jc w:val="left"/>
          </w:pPr>
          <w:hyperlink w:history="true" w:anchor="_bookmark2">
            <w:r>
              <w:rPr/>
              <w:t>Introductory</w:t>
            </w:r>
            <w:r>
              <w:rPr>
                <w:spacing w:val="45"/>
              </w:rPr>
              <w:t> </w:t>
            </w:r>
            <w:r>
              <w:rPr>
                <w:spacing w:val="-2"/>
              </w:rPr>
              <w:t>remarks</w:t>
            </w:r>
            <w:r>
              <w:rPr>
                <w:rFonts w:ascii="Times New Roman"/>
              </w:rPr>
              <w:tab/>
            </w:r>
            <w:r>
              <w:rPr>
                <w:spacing w:val="-5"/>
              </w:rPr>
              <w:t>12</w:t>
            </w:r>
          </w:hyperlink>
        </w:p>
        <w:p>
          <w:pPr>
            <w:pStyle w:val="TOC2"/>
            <w:numPr>
              <w:ilvl w:val="0"/>
              <w:numId w:val="1"/>
            </w:numPr>
            <w:tabs>
              <w:tab w:pos="567" w:val="left" w:leader="none"/>
              <w:tab w:pos="9522" w:val="left" w:leader="none"/>
            </w:tabs>
            <w:spacing w:line="300" w:lineRule="exact" w:before="0" w:after="0"/>
            <w:ind w:left="567" w:right="0" w:hanging="454"/>
            <w:jc w:val="left"/>
          </w:pPr>
          <w:hyperlink w:history="true" w:anchor="_bookmark2">
            <w:r>
              <w:rPr/>
              <w:t>The</w:t>
            </w:r>
            <w:r>
              <w:rPr>
                <w:spacing w:val="13"/>
              </w:rPr>
              <w:t> </w:t>
            </w:r>
            <w:r>
              <w:rPr/>
              <w:t>relationship</w:t>
            </w:r>
            <w:r>
              <w:rPr>
                <w:spacing w:val="13"/>
              </w:rPr>
              <w:t> </w:t>
            </w:r>
            <w:r>
              <w:rPr/>
              <w:t>between</w:t>
            </w:r>
            <w:r>
              <w:rPr>
                <w:spacing w:val="14"/>
              </w:rPr>
              <w:t> </w:t>
            </w:r>
            <w:r>
              <w:rPr/>
              <w:t>the</w:t>
            </w:r>
            <w:r>
              <w:rPr>
                <w:spacing w:val="13"/>
              </w:rPr>
              <w:t> </w:t>
            </w:r>
            <w:r>
              <w:rPr/>
              <w:t>Charter</w:t>
            </w:r>
            <w:r>
              <w:rPr>
                <w:spacing w:val="14"/>
              </w:rPr>
              <w:t> </w:t>
            </w:r>
            <w:r>
              <w:rPr/>
              <w:t>and</w:t>
            </w:r>
            <w:r>
              <w:rPr>
                <w:spacing w:val="13"/>
              </w:rPr>
              <w:t> </w:t>
            </w:r>
            <w:r>
              <w:rPr/>
              <w:t>general</w:t>
            </w:r>
            <w:r>
              <w:rPr>
                <w:spacing w:val="14"/>
              </w:rPr>
              <w:t> </w:t>
            </w:r>
            <w:r>
              <w:rPr/>
              <w:t>principles</w:t>
            </w:r>
            <w:r>
              <w:rPr>
                <w:spacing w:val="13"/>
              </w:rPr>
              <w:t> </w:t>
            </w:r>
            <w:r>
              <w:rPr/>
              <w:t>of</w:t>
            </w:r>
            <w:r>
              <w:rPr>
                <w:spacing w:val="14"/>
              </w:rPr>
              <w:t> </w:t>
            </w:r>
            <w:r>
              <w:rPr/>
              <w:t>EU</w:t>
            </w:r>
            <w:r>
              <w:rPr>
                <w:spacing w:val="13"/>
              </w:rPr>
              <w:t> </w:t>
            </w:r>
            <w:r>
              <w:rPr>
                <w:spacing w:val="-5"/>
              </w:rPr>
              <w:t>Law</w:t>
            </w:r>
            <w:r>
              <w:rPr>
                <w:rFonts w:ascii="Times New Roman"/>
              </w:rPr>
              <w:tab/>
            </w:r>
            <w:r>
              <w:rPr>
                <w:spacing w:val="-5"/>
              </w:rPr>
              <w:t>12</w:t>
            </w:r>
          </w:hyperlink>
        </w:p>
        <w:p>
          <w:pPr>
            <w:pStyle w:val="TOC2"/>
            <w:numPr>
              <w:ilvl w:val="0"/>
              <w:numId w:val="1"/>
            </w:numPr>
            <w:tabs>
              <w:tab w:pos="567" w:val="left" w:leader="none"/>
              <w:tab w:pos="9504" w:val="left" w:leader="none"/>
            </w:tabs>
            <w:spacing w:line="300" w:lineRule="exact" w:before="0" w:after="0"/>
            <w:ind w:left="567" w:right="0" w:hanging="454"/>
            <w:jc w:val="left"/>
          </w:pPr>
          <w:hyperlink w:history="true" w:anchor="_bookmark3">
            <w:r>
              <w:rPr/>
              <w:t>Rights</w:t>
            </w:r>
            <w:r>
              <w:rPr>
                <w:spacing w:val="5"/>
              </w:rPr>
              <w:t> </w:t>
            </w:r>
            <w:r>
              <w:rPr/>
              <w:t>and</w:t>
            </w:r>
            <w:r>
              <w:rPr>
                <w:spacing w:val="6"/>
              </w:rPr>
              <w:t> </w:t>
            </w:r>
            <w:r>
              <w:rPr/>
              <w:t>principles</w:t>
            </w:r>
            <w:r>
              <w:rPr>
                <w:spacing w:val="6"/>
              </w:rPr>
              <w:t> </w:t>
            </w:r>
            <w:r>
              <w:rPr/>
              <w:t>in</w:t>
            </w:r>
            <w:r>
              <w:rPr>
                <w:spacing w:val="5"/>
              </w:rPr>
              <w:t> </w:t>
            </w:r>
            <w:r>
              <w:rPr/>
              <w:t>the</w:t>
            </w:r>
            <w:r>
              <w:rPr>
                <w:spacing w:val="6"/>
              </w:rPr>
              <w:t> </w:t>
            </w:r>
            <w:r>
              <w:rPr>
                <w:spacing w:val="-2"/>
              </w:rPr>
              <w:t>Charter</w:t>
            </w:r>
            <w:r>
              <w:rPr>
                <w:rFonts w:ascii="Times New Roman"/>
              </w:rPr>
              <w:tab/>
            </w:r>
            <w:r>
              <w:rPr>
                <w:spacing w:val="-5"/>
              </w:rPr>
              <w:t>14</w:t>
            </w:r>
          </w:hyperlink>
        </w:p>
        <w:p>
          <w:pPr>
            <w:pStyle w:val="TOC2"/>
            <w:numPr>
              <w:ilvl w:val="0"/>
              <w:numId w:val="1"/>
            </w:numPr>
            <w:tabs>
              <w:tab w:pos="567" w:val="left" w:leader="none"/>
              <w:tab w:pos="9522" w:val="left" w:leader="none"/>
            </w:tabs>
            <w:spacing w:line="300" w:lineRule="exact" w:before="0" w:after="0"/>
            <w:ind w:left="567" w:right="0" w:hanging="454"/>
            <w:jc w:val="left"/>
          </w:pPr>
          <w:hyperlink w:history="true" w:anchor="_bookmark4">
            <w:r>
              <w:rPr/>
              <w:t>The</w:t>
            </w:r>
            <w:r>
              <w:rPr>
                <w:spacing w:val="8"/>
              </w:rPr>
              <w:t> </w:t>
            </w:r>
            <w:r>
              <w:rPr/>
              <w:t>Charter</w:t>
            </w:r>
            <w:r>
              <w:rPr>
                <w:spacing w:val="9"/>
              </w:rPr>
              <w:t> </w:t>
            </w:r>
            <w:r>
              <w:rPr/>
              <w:t>and</w:t>
            </w:r>
            <w:r>
              <w:rPr>
                <w:spacing w:val="9"/>
              </w:rPr>
              <w:t> </w:t>
            </w:r>
            <w:r>
              <w:rPr/>
              <w:t>the</w:t>
            </w:r>
            <w:r>
              <w:rPr>
                <w:spacing w:val="8"/>
              </w:rPr>
              <w:t> </w:t>
            </w:r>
            <w:r>
              <w:rPr>
                <w:spacing w:val="-4"/>
              </w:rPr>
              <w:t>ECHR</w:t>
            </w:r>
            <w:r>
              <w:rPr>
                <w:rFonts w:ascii="Times New Roman"/>
              </w:rPr>
              <w:tab/>
            </w:r>
            <w:r>
              <w:rPr>
                <w:spacing w:val="-5"/>
              </w:rPr>
              <w:t>17</w:t>
            </w:r>
          </w:hyperlink>
        </w:p>
        <w:p>
          <w:pPr>
            <w:pStyle w:val="TOC2"/>
            <w:numPr>
              <w:ilvl w:val="0"/>
              <w:numId w:val="1"/>
            </w:numPr>
            <w:tabs>
              <w:tab w:pos="567" w:val="left" w:leader="none"/>
            </w:tabs>
            <w:spacing w:line="319" w:lineRule="exact" w:before="0" w:after="0"/>
            <w:ind w:left="567" w:right="0" w:hanging="454"/>
            <w:jc w:val="left"/>
          </w:pPr>
          <w:hyperlink w:history="true" w:anchor="_bookmark5">
            <w:r>
              <w:rPr>
                <w:w w:val="105"/>
              </w:rPr>
              <w:t>Applicability</w:t>
            </w:r>
            <w:r>
              <w:rPr>
                <w:spacing w:val="-19"/>
                <w:w w:val="105"/>
              </w:rPr>
              <w:t> </w:t>
            </w:r>
            <w:r>
              <w:rPr>
                <w:w w:val="105"/>
              </w:rPr>
              <w:t>of</w:t>
            </w:r>
            <w:r>
              <w:rPr>
                <w:spacing w:val="-19"/>
                <w:w w:val="105"/>
              </w:rPr>
              <w:t> </w:t>
            </w:r>
            <w:r>
              <w:rPr>
                <w:w w:val="105"/>
              </w:rPr>
              <w:t>the</w:t>
            </w:r>
            <w:r>
              <w:rPr>
                <w:spacing w:val="-19"/>
                <w:w w:val="105"/>
              </w:rPr>
              <w:t> </w:t>
            </w:r>
            <w:r>
              <w:rPr>
                <w:w w:val="105"/>
              </w:rPr>
              <w:t>Charter</w:t>
            </w:r>
            <w:r>
              <w:rPr>
                <w:spacing w:val="-19"/>
                <w:w w:val="105"/>
              </w:rPr>
              <w:t> </w:t>
            </w:r>
            <w:r>
              <w:rPr>
                <w:w w:val="105"/>
              </w:rPr>
              <w:t>to</w:t>
            </w:r>
            <w:r>
              <w:rPr>
                <w:spacing w:val="-19"/>
                <w:w w:val="105"/>
              </w:rPr>
              <w:t> </w:t>
            </w:r>
            <w:r>
              <w:rPr>
                <w:w w:val="105"/>
              </w:rPr>
              <w:t>the</w:t>
            </w:r>
            <w:r>
              <w:rPr>
                <w:spacing w:val="-19"/>
                <w:w w:val="105"/>
              </w:rPr>
              <w:t> </w:t>
            </w:r>
            <w:r>
              <w:rPr>
                <w:w w:val="105"/>
              </w:rPr>
              <w:t>Member</w:t>
            </w:r>
            <w:r>
              <w:rPr>
                <w:spacing w:val="-18"/>
                <w:w w:val="105"/>
              </w:rPr>
              <w:t> </w:t>
            </w:r>
            <w:r>
              <w:rPr>
                <w:w w:val="105"/>
              </w:rPr>
              <w:t>States:</w:t>
            </w:r>
            <w:r>
              <w:rPr>
                <w:spacing w:val="-19"/>
                <w:w w:val="105"/>
              </w:rPr>
              <w:t> </w:t>
            </w:r>
            <w:r>
              <w:rPr>
                <w:spacing w:val="-2"/>
                <w:w w:val="105"/>
              </w:rPr>
              <w:t>implementing</w:t>
            </w:r>
          </w:hyperlink>
        </w:p>
        <w:p>
          <w:pPr>
            <w:pStyle w:val="TOC3"/>
            <w:tabs>
              <w:tab w:pos="9510" w:val="left" w:leader="none"/>
            </w:tabs>
            <w:spacing w:line="254" w:lineRule="exact"/>
            <w:ind w:left="567" w:firstLine="0"/>
            <w:rPr>
              <w:rFonts w:ascii="Arial"/>
            </w:rPr>
          </w:pPr>
          <w:hyperlink w:history="true" w:anchor="_bookmark5">
            <w:r>
              <w:rPr>
                <w:rFonts w:ascii="Arial"/>
                <w:w w:val="105"/>
              </w:rPr>
              <w:t>Union</w:t>
            </w:r>
            <w:r>
              <w:rPr>
                <w:rFonts w:ascii="Arial"/>
                <w:spacing w:val="33"/>
                <w:w w:val="105"/>
              </w:rPr>
              <w:t> </w:t>
            </w:r>
            <w:r>
              <w:rPr>
                <w:rFonts w:ascii="Arial"/>
                <w:spacing w:val="-5"/>
                <w:w w:val="105"/>
              </w:rPr>
              <w:t>Law</w:t>
            </w:r>
            <w:r>
              <w:rPr>
                <w:rFonts w:ascii="Arial"/>
              </w:rPr>
              <w:tab/>
            </w:r>
            <w:r>
              <w:rPr>
                <w:rFonts w:ascii="Arial"/>
                <w:spacing w:val="-7"/>
                <w:w w:val="105"/>
              </w:rPr>
              <w:t>19</w:t>
            </w:r>
          </w:hyperlink>
        </w:p>
        <w:p>
          <w:pPr>
            <w:pStyle w:val="TOC2"/>
            <w:numPr>
              <w:ilvl w:val="0"/>
              <w:numId w:val="1"/>
            </w:numPr>
            <w:tabs>
              <w:tab w:pos="567" w:val="left" w:leader="none"/>
              <w:tab w:pos="9460" w:val="left" w:leader="none"/>
            </w:tabs>
            <w:spacing w:line="327" w:lineRule="exact" w:before="0" w:after="0"/>
            <w:ind w:left="567" w:right="0" w:hanging="454"/>
            <w:jc w:val="left"/>
          </w:pPr>
          <w:hyperlink w:history="true" w:anchor="_bookmark6">
            <w:r>
              <w:rPr/>
              <w:t>Effects</w:t>
            </w:r>
            <w:r>
              <w:rPr>
                <w:spacing w:val="21"/>
              </w:rPr>
              <w:t> </w:t>
            </w:r>
            <w:r>
              <w:rPr/>
              <w:t>of</w:t>
            </w:r>
            <w:r>
              <w:rPr>
                <w:spacing w:val="22"/>
              </w:rPr>
              <w:t> </w:t>
            </w:r>
            <w:r>
              <w:rPr/>
              <w:t>Charter</w:t>
            </w:r>
            <w:r>
              <w:rPr>
                <w:spacing w:val="22"/>
              </w:rPr>
              <w:t> </w:t>
            </w:r>
            <w:r>
              <w:rPr>
                <w:spacing w:val="-2"/>
              </w:rPr>
              <w:t>rights</w:t>
            </w:r>
            <w:r>
              <w:rPr>
                <w:rFonts w:ascii="Times New Roman"/>
              </w:rPr>
              <w:tab/>
            </w:r>
            <w:r>
              <w:rPr>
                <w:spacing w:val="-5"/>
              </w:rPr>
              <w:t>23</w:t>
            </w:r>
          </w:hyperlink>
        </w:p>
        <w:p>
          <w:pPr>
            <w:pStyle w:val="TOC3"/>
            <w:numPr>
              <w:ilvl w:val="1"/>
              <w:numId w:val="1"/>
            </w:numPr>
            <w:tabs>
              <w:tab w:pos="963" w:val="left" w:leader="none"/>
              <w:tab w:pos="9460" w:val="left" w:leader="none"/>
            </w:tabs>
            <w:spacing w:line="300" w:lineRule="exact" w:before="0" w:after="0"/>
            <w:ind w:left="963" w:right="0" w:hanging="396"/>
            <w:jc w:val="left"/>
          </w:pPr>
          <w:hyperlink w:history="true" w:anchor="_bookmark6">
            <w:r>
              <w:rPr/>
              <w:t>The</w:t>
            </w:r>
            <w:r>
              <w:rPr>
                <w:spacing w:val="10"/>
              </w:rPr>
              <w:t> </w:t>
            </w:r>
            <w:r>
              <w:rPr/>
              <w:t>source</w:t>
            </w:r>
            <w:r>
              <w:rPr>
                <w:spacing w:val="10"/>
              </w:rPr>
              <w:t> </w:t>
            </w:r>
            <w:r>
              <w:rPr/>
              <w:t>of</w:t>
            </w:r>
            <w:r>
              <w:rPr>
                <w:spacing w:val="10"/>
              </w:rPr>
              <w:t> </w:t>
            </w:r>
            <w:r>
              <w:rPr/>
              <w:t>EU</w:t>
            </w:r>
            <w:r>
              <w:rPr>
                <w:spacing w:val="10"/>
              </w:rPr>
              <w:t> </w:t>
            </w:r>
            <w:r>
              <w:rPr/>
              <w:t>remedies:</w:t>
            </w:r>
            <w:r>
              <w:rPr>
                <w:spacing w:val="10"/>
              </w:rPr>
              <w:t> </w:t>
            </w:r>
            <w:r>
              <w:rPr>
                <w:spacing w:val="-2"/>
              </w:rPr>
              <w:t>primacy</w:t>
            </w:r>
            <w:r>
              <w:rPr>
                <w:rFonts w:ascii="Times New Roman"/>
              </w:rPr>
              <w:tab/>
            </w:r>
            <w:r>
              <w:rPr>
                <w:spacing w:val="-5"/>
              </w:rPr>
              <w:t>23</w:t>
            </w:r>
          </w:hyperlink>
        </w:p>
        <w:p>
          <w:pPr>
            <w:pStyle w:val="TOC3"/>
            <w:numPr>
              <w:ilvl w:val="1"/>
              <w:numId w:val="1"/>
            </w:numPr>
            <w:tabs>
              <w:tab w:pos="963" w:val="left" w:leader="none"/>
              <w:tab w:pos="9453" w:val="left" w:leader="none"/>
            </w:tabs>
            <w:spacing w:line="300" w:lineRule="exact" w:before="0" w:after="0"/>
            <w:ind w:left="963" w:right="0" w:hanging="396"/>
            <w:jc w:val="left"/>
          </w:pPr>
          <w:hyperlink w:history="true" w:anchor="_bookmark7">
            <w:r>
              <w:rPr/>
              <w:t>Consistent</w:t>
            </w:r>
            <w:r>
              <w:rPr>
                <w:spacing w:val="8"/>
              </w:rPr>
              <w:t> </w:t>
            </w:r>
            <w:r>
              <w:rPr>
                <w:spacing w:val="-2"/>
              </w:rPr>
              <w:t>interpretation</w:t>
            </w:r>
            <w:r>
              <w:rPr>
                <w:rFonts w:ascii="Times New Roman"/>
              </w:rPr>
              <w:tab/>
            </w:r>
            <w:r>
              <w:rPr>
                <w:spacing w:val="-5"/>
              </w:rPr>
              <w:t>24</w:t>
            </w:r>
          </w:hyperlink>
        </w:p>
        <w:p>
          <w:pPr>
            <w:pStyle w:val="TOC3"/>
            <w:numPr>
              <w:ilvl w:val="1"/>
              <w:numId w:val="1"/>
            </w:numPr>
            <w:tabs>
              <w:tab w:pos="964" w:val="left" w:leader="none"/>
              <w:tab w:pos="9460" w:val="left" w:leader="none"/>
            </w:tabs>
            <w:spacing w:line="300" w:lineRule="exact" w:before="0" w:after="0"/>
            <w:ind w:left="964" w:right="0" w:hanging="397"/>
            <w:jc w:val="left"/>
          </w:pPr>
          <w:hyperlink w:history="true" w:anchor="_bookmark8">
            <w:r>
              <w:rPr>
                <w:spacing w:val="-2"/>
                <w:w w:val="105"/>
              </w:rPr>
              <w:t>Direct</w:t>
            </w:r>
            <w:r>
              <w:rPr>
                <w:spacing w:val="-9"/>
                <w:w w:val="105"/>
              </w:rPr>
              <w:t> </w:t>
            </w:r>
            <w:r>
              <w:rPr>
                <w:spacing w:val="-2"/>
                <w:w w:val="105"/>
              </w:rPr>
              <w:t>effect</w:t>
            </w:r>
            <w:r>
              <w:rPr>
                <w:rFonts w:ascii="Times New Roman"/>
              </w:rPr>
              <w:tab/>
            </w:r>
            <w:r>
              <w:rPr>
                <w:spacing w:val="-5"/>
                <w:w w:val="105"/>
              </w:rPr>
              <w:t>25</w:t>
            </w:r>
          </w:hyperlink>
        </w:p>
        <w:p>
          <w:pPr>
            <w:pStyle w:val="TOC3"/>
            <w:numPr>
              <w:ilvl w:val="1"/>
              <w:numId w:val="1"/>
            </w:numPr>
            <w:tabs>
              <w:tab w:pos="963" w:val="left" w:leader="none"/>
              <w:tab w:pos="9467" w:val="left" w:leader="none"/>
            </w:tabs>
            <w:spacing w:line="300" w:lineRule="exact" w:before="0" w:after="0"/>
            <w:ind w:left="963" w:right="0" w:hanging="396"/>
            <w:jc w:val="left"/>
          </w:pPr>
          <w:hyperlink w:history="true" w:anchor="_bookmark9">
            <w:r>
              <w:rPr/>
              <w:t>Effective</w:t>
            </w:r>
            <w:r>
              <w:rPr>
                <w:spacing w:val="18"/>
              </w:rPr>
              <w:t> </w:t>
            </w:r>
            <w:r>
              <w:rPr/>
              <w:t>remedial</w:t>
            </w:r>
            <w:r>
              <w:rPr>
                <w:spacing w:val="18"/>
              </w:rPr>
              <w:t> </w:t>
            </w:r>
            <w:r>
              <w:rPr/>
              <w:t>action</w:t>
            </w:r>
            <w:r>
              <w:rPr>
                <w:spacing w:val="19"/>
              </w:rPr>
              <w:t> </w:t>
            </w:r>
            <w:r>
              <w:rPr/>
              <w:t>under</w:t>
            </w:r>
            <w:r>
              <w:rPr>
                <w:spacing w:val="18"/>
              </w:rPr>
              <w:t> </w:t>
            </w:r>
            <w:r>
              <w:rPr/>
              <w:t>the</w:t>
            </w:r>
            <w:r>
              <w:rPr>
                <w:spacing w:val="19"/>
              </w:rPr>
              <w:t> </w:t>
            </w:r>
            <w:r>
              <w:rPr>
                <w:spacing w:val="-2"/>
              </w:rPr>
              <w:t>Charter</w:t>
            </w:r>
            <w:r>
              <w:rPr>
                <w:rFonts w:ascii="Times New Roman"/>
              </w:rPr>
              <w:tab/>
            </w:r>
            <w:r>
              <w:rPr>
                <w:spacing w:val="-5"/>
              </w:rPr>
              <w:t>27</w:t>
            </w:r>
          </w:hyperlink>
        </w:p>
        <w:p>
          <w:pPr>
            <w:pStyle w:val="TOC2"/>
            <w:numPr>
              <w:ilvl w:val="0"/>
              <w:numId w:val="1"/>
            </w:numPr>
            <w:tabs>
              <w:tab w:pos="567" w:val="left" w:leader="none"/>
              <w:tab w:pos="9457" w:val="left" w:leader="none"/>
            </w:tabs>
            <w:spacing w:line="300" w:lineRule="exact" w:before="0" w:after="0"/>
            <w:ind w:left="567" w:right="0" w:hanging="454"/>
            <w:jc w:val="left"/>
          </w:pPr>
          <w:hyperlink w:history="true" w:anchor="_bookmark10">
            <w:r>
              <w:rPr/>
              <w:t>Limitations</w:t>
            </w:r>
            <w:r>
              <w:rPr>
                <w:spacing w:val="13"/>
              </w:rPr>
              <w:t> </w:t>
            </w:r>
            <w:r>
              <w:rPr/>
              <w:t>to</w:t>
            </w:r>
            <w:r>
              <w:rPr>
                <w:spacing w:val="13"/>
              </w:rPr>
              <w:t> </w:t>
            </w:r>
            <w:r>
              <w:rPr/>
              <w:t>Charter</w:t>
            </w:r>
            <w:r>
              <w:rPr>
                <w:spacing w:val="13"/>
              </w:rPr>
              <w:t> </w:t>
            </w:r>
            <w:r>
              <w:rPr>
                <w:spacing w:val="-2"/>
              </w:rPr>
              <w:t>rights</w:t>
            </w:r>
            <w:r>
              <w:rPr>
                <w:rFonts w:ascii="Times New Roman"/>
              </w:rPr>
              <w:tab/>
            </w:r>
            <w:r>
              <w:rPr>
                <w:spacing w:val="-5"/>
              </w:rPr>
              <w:t>33</w:t>
            </w:r>
          </w:hyperlink>
        </w:p>
        <w:p>
          <w:pPr>
            <w:pStyle w:val="TOC2"/>
            <w:numPr>
              <w:ilvl w:val="0"/>
              <w:numId w:val="1"/>
            </w:numPr>
            <w:tabs>
              <w:tab w:pos="567" w:val="left" w:leader="none"/>
              <w:tab w:pos="9443" w:val="left" w:leader="none"/>
            </w:tabs>
            <w:spacing w:line="334" w:lineRule="exact" w:before="0" w:after="0"/>
            <w:ind w:left="567" w:right="0" w:hanging="454"/>
            <w:jc w:val="left"/>
          </w:pPr>
          <w:hyperlink w:history="true" w:anchor="_bookmark11">
            <w:r>
              <w:rPr/>
              <w:t>No</w:t>
            </w:r>
            <w:r>
              <w:rPr>
                <w:spacing w:val="6"/>
              </w:rPr>
              <w:t> </w:t>
            </w:r>
            <w:r>
              <w:rPr/>
              <w:t>UK</w:t>
            </w:r>
            <w:r>
              <w:rPr>
                <w:spacing w:val="7"/>
              </w:rPr>
              <w:t> </w:t>
            </w:r>
            <w:r>
              <w:rPr/>
              <w:t>opt-out</w:t>
            </w:r>
            <w:r>
              <w:rPr>
                <w:spacing w:val="7"/>
              </w:rPr>
              <w:t> </w:t>
            </w:r>
            <w:r>
              <w:rPr/>
              <w:t>from</w:t>
            </w:r>
            <w:r>
              <w:rPr>
                <w:spacing w:val="7"/>
              </w:rPr>
              <w:t> </w:t>
            </w:r>
            <w:r>
              <w:rPr/>
              <w:t>the</w:t>
            </w:r>
            <w:r>
              <w:rPr>
                <w:spacing w:val="6"/>
              </w:rPr>
              <w:t> </w:t>
            </w:r>
            <w:r>
              <w:rPr>
                <w:spacing w:val="-2"/>
              </w:rPr>
              <w:t>Charter</w:t>
            </w:r>
            <w:r>
              <w:rPr>
                <w:rFonts w:ascii="Times New Roman"/>
              </w:rPr>
              <w:tab/>
            </w:r>
            <w:r>
              <w:rPr>
                <w:spacing w:val="-5"/>
              </w:rPr>
              <w:t>34</w:t>
            </w:r>
          </w:hyperlink>
        </w:p>
        <w:p>
          <w:pPr>
            <w:pStyle w:val="TOC1"/>
            <w:tabs>
              <w:tab w:pos="9443" w:val="left" w:leader="none"/>
            </w:tabs>
            <w:spacing w:line="256" w:lineRule="auto"/>
            <w:ind w:right="111"/>
          </w:pPr>
          <w:hyperlink w:history="true" w:anchor="_bookmark12">
            <w:r>
              <w:rPr>
                <w:color w:val="77328A"/>
              </w:rPr>
              <w:t>Chapter 2: The basic framework for the application of the Charter and the</w:t>
            </w:r>
          </w:hyperlink>
          <w:r>
            <w:rPr>
              <w:color w:val="77328A"/>
            </w:rPr>
            <w:t> </w:t>
          </w:r>
          <w:hyperlink w:history="true" w:anchor="_bookmark12">
            <w:r>
              <w:rPr>
                <w:color w:val="77328A"/>
              </w:rPr>
              <w:t>general</w:t>
            </w:r>
            <w:r>
              <w:rPr>
                <w:color w:val="77328A"/>
                <w:spacing w:val="1"/>
              </w:rPr>
              <w:t> </w:t>
            </w:r>
            <w:r>
              <w:rPr>
                <w:color w:val="77328A"/>
              </w:rPr>
              <w:t>principles</w:t>
            </w:r>
            <w:r>
              <w:rPr>
                <w:color w:val="77328A"/>
                <w:spacing w:val="1"/>
              </w:rPr>
              <w:t> </w:t>
            </w:r>
            <w:r>
              <w:rPr>
                <w:color w:val="77328A"/>
              </w:rPr>
              <w:t>of</w:t>
            </w:r>
            <w:r>
              <w:rPr>
                <w:color w:val="77328A"/>
                <w:spacing w:val="1"/>
              </w:rPr>
              <w:t> </w:t>
            </w:r>
            <w:r>
              <w:rPr>
                <w:color w:val="77328A"/>
              </w:rPr>
              <w:t>EU</w:t>
            </w:r>
            <w:r>
              <w:rPr>
                <w:color w:val="77328A"/>
                <w:spacing w:val="1"/>
              </w:rPr>
              <w:t> </w:t>
            </w:r>
            <w:r>
              <w:rPr>
                <w:color w:val="77328A"/>
              </w:rPr>
              <w:t>law</w:t>
            </w:r>
            <w:r>
              <w:rPr>
                <w:color w:val="77328A"/>
                <w:spacing w:val="2"/>
              </w:rPr>
              <w:t> </w:t>
            </w:r>
            <w:r>
              <w:rPr>
                <w:color w:val="77328A"/>
              </w:rPr>
              <w:t>in</w:t>
            </w:r>
            <w:r>
              <w:rPr>
                <w:color w:val="77328A"/>
                <w:spacing w:val="1"/>
              </w:rPr>
              <w:t> </w:t>
            </w:r>
            <w:r>
              <w:rPr>
                <w:color w:val="77328A"/>
              </w:rPr>
              <w:t>the</w:t>
            </w:r>
            <w:r>
              <w:rPr>
                <w:color w:val="77328A"/>
                <w:spacing w:val="1"/>
              </w:rPr>
              <w:t> </w:t>
            </w:r>
            <w:r>
              <w:rPr>
                <w:color w:val="77328A"/>
              </w:rPr>
              <w:t>Northern</w:t>
            </w:r>
            <w:r>
              <w:rPr>
                <w:color w:val="77328A"/>
                <w:spacing w:val="1"/>
              </w:rPr>
              <w:t> </w:t>
            </w:r>
            <w:r>
              <w:rPr>
                <w:color w:val="77328A"/>
              </w:rPr>
              <w:t>Ireland</w:t>
            </w:r>
            <w:r>
              <w:rPr>
                <w:color w:val="77328A"/>
                <w:spacing w:val="2"/>
              </w:rPr>
              <w:t> </w:t>
            </w:r>
            <w:r>
              <w:rPr>
                <w:color w:val="77328A"/>
              </w:rPr>
              <w:t>legal</w:t>
            </w:r>
            <w:r>
              <w:rPr>
                <w:color w:val="77328A"/>
                <w:spacing w:val="1"/>
              </w:rPr>
              <w:t> </w:t>
            </w:r>
            <w:r>
              <w:rPr>
                <w:color w:val="77328A"/>
                <w:spacing w:val="-2"/>
              </w:rPr>
              <w:t>order</w:t>
            </w:r>
            <w:r>
              <w:rPr>
                <w:color w:val="77328A"/>
              </w:rPr>
              <w:tab/>
            </w:r>
            <w:r>
              <w:rPr>
                <w:color w:val="77328A"/>
                <w:spacing w:val="-5"/>
              </w:rPr>
              <w:t>36</w:t>
            </w:r>
          </w:hyperlink>
        </w:p>
        <w:p>
          <w:pPr>
            <w:pStyle w:val="TOC2"/>
            <w:numPr>
              <w:ilvl w:val="0"/>
              <w:numId w:val="2"/>
            </w:numPr>
            <w:tabs>
              <w:tab w:pos="567" w:val="left" w:leader="none"/>
              <w:tab w:pos="9449" w:val="left" w:leader="none"/>
            </w:tabs>
            <w:spacing w:line="334" w:lineRule="exact" w:before="24" w:after="0"/>
            <w:ind w:left="567" w:right="0" w:hanging="454"/>
            <w:jc w:val="left"/>
          </w:pPr>
          <w:hyperlink w:history="true" w:anchor="_bookmark12">
            <w:r>
              <w:rPr/>
              <w:t>Introductory</w:t>
            </w:r>
            <w:r>
              <w:rPr>
                <w:spacing w:val="45"/>
              </w:rPr>
              <w:t> </w:t>
            </w:r>
            <w:r>
              <w:rPr>
                <w:spacing w:val="-2"/>
              </w:rPr>
              <w:t>remarks</w:t>
            </w:r>
            <w:r>
              <w:rPr>
                <w:rFonts w:ascii="Times New Roman"/>
              </w:rPr>
              <w:tab/>
            </w:r>
            <w:r>
              <w:rPr>
                <w:spacing w:val="-5"/>
              </w:rPr>
              <w:t>36</w:t>
            </w:r>
          </w:hyperlink>
        </w:p>
        <w:p>
          <w:pPr>
            <w:pStyle w:val="TOC2"/>
            <w:numPr>
              <w:ilvl w:val="0"/>
              <w:numId w:val="2"/>
            </w:numPr>
            <w:tabs>
              <w:tab w:pos="567" w:val="left" w:leader="none"/>
              <w:tab w:pos="9449" w:val="left" w:leader="none"/>
            </w:tabs>
            <w:spacing w:line="194" w:lineRule="auto" w:before="15" w:after="0"/>
            <w:ind w:left="567" w:right="111" w:hanging="454"/>
            <w:jc w:val="left"/>
          </w:pPr>
          <w:hyperlink w:history="true" w:anchor="_bookmark12">
            <w:r>
              <w:rPr>
                <w:w w:val="105"/>
              </w:rPr>
              <w:t>The</w:t>
            </w:r>
            <w:r>
              <w:rPr>
                <w:spacing w:val="-2"/>
                <w:w w:val="105"/>
              </w:rPr>
              <w:t> </w:t>
            </w:r>
            <w:r>
              <w:rPr>
                <w:w w:val="105"/>
              </w:rPr>
              <w:t>relevant</w:t>
            </w:r>
            <w:r>
              <w:rPr>
                <w:spacing w:val="-2"/>
                <w:w w:val="105"/>
              </w:rPr>
              <w:t> </w:t>
            </w:r>
            <w:r>
              <w:rPr>
                <w:w w:val="105"/>
              </w:rPr>
              <w:t>provisions</w:t>
            </w:r>
            <w:r>
              <w:rPr>
                <w:spacing w:val="-2"/>
                <w:w w:val="105"/>
              </w:rPr>
              <w:t> </w:t>
            </w:r>
            <w:r>
              <w:rPr>
                <w:w w:val="105"/>
              </w:rPr>
              <w:t>of</w:t>
            </w:r>
            <w:r>
              <w:rPr>
                <w:spacing w:val="-2"/>
                <w:w w:val="105"/>
              </w:rPr>
              <w:t> </w:t>
            </w:r>
            <w:r>
              <w:rPr>
                <w:w w:val="105"/>
              </w:rPr>
              <w:t>the</w:t>
            </w:r>
            <w:r>
              <w:rPr>
                <w:spacing w:val="-2"/>
                <w:w w:val="105"/>
              </w:rPr>
              <w:t> </w:t>
            </w:r>
            <w:r>
              <w:rPr>
                <w:w w:val="105"/>
              </w:rPr>
              <w:t>Withdrawal</w:t>
            </w:r>
            <w:r>
              <w:rPr>
                <w:spacing w:val="-2"/>
                <w:w w:val="105"/>
              </w:rPr>
              <w:t> </w:t>
            </w:r>
            <w:r>
              <w:rPr>
                <w:w w:val="105"/>
              </w:rPr>
              <w:t>Agreement</w:t>
            </w:r>
            <w:r>
              <w:rPr>
                <w:spacing w:val="-2"/>
                <w:w w:val="105"/>
              </w:rPr>
              <w:t> </w:t>
            </w:r>
            <w:r>
              <w:rPr>
                <w:w w:val="105"/>
              </w:rPr>
              <w:t>and</w:t>
            </w:r>
            <w:r>
              <w:rPr>
                <w:spacing w:val="-2"/>
                <w:w w:val="105"/>
              </w:rPr>
              <w:t> </w:t>
            </w:r>
            <w:r>
              <w:rPr>
                <w:w w:val="105"/>
              </w:rPr>
              <w:t>the</w:t>
            </w:r>
            <w:r>
              <w:rPr>
                <w:spacing w:val="-2"/>
                <w:w w:val="105"/>
              </w:rPr>
              <w:t> </w:t>
            </w:r>
            <w:r>
              <w:rPr>
                <w:w w:val="105"/>
              </w:rPr>
              <w:t>Windsor</w:t>
            </w:r>
          </w:hyperlink>
          <w:r>
            <w:rPr>
              <w:w w:val="105"/>
            </w:rPr>
            <w:t> </w:t>
          </w:r>
          <w:hyperlink w:history="true" w:anchor="_bookmark12">
            <w:r>
              <w:rPr>
                <w:spacing w:val="-2"/>
                <w:w w:val="105"/>
              </w:rPr>
              <w:t>Framework</w:t>
            </w:r>
            <w:r>
              <w:rPr>
                <w:rFonts w:ascii="Times New Roman"/>
              </w:rPr>
              <w:tab/>
            </w:r>
            <w:r>
              <w:rPr>
                <w:spacing w:val="-11"/>
                <w:w w:val="105"/>
              </w:rPr>
              <w:t>36</w:t>
            </w:r>
          </w:hyperlink>
        </w:p>
        <w:p>
          <w:pPr>
            <w:pStyle w:val="TOC2"/>
            <w:numPr>
              <w:ilvl w:val="0"/>
              <w:numId w:val="2"/>
            </w:numPr>
            <w:tabs>
              <w:tab w:pos="390" w:val="left" w:leader="none"/>
              <w:tab w:pos="9467" w:val="left" w:leader="none"/>
            </w:tabs>
            <w:spacing w:line="287" w:lineRule="exact" w:before="0" w:after="0"/>
            <w:ind w:left="390" w:right="0" w:hanging="277"/>
            <w:jc w:val="left"/>
          </w:pPr>
          <w:hyperlink w:history="true" w:anchor="_bookmark13">
            <w:r>
              <w:rPr>
                <w:w w:val="105"/>
              </w:rPr>
              <w:t>The</w:t>
            </w:r>
            <w:r>
              <w:rPr>
                <w:spacing w:val="-14"/>
                <w:w w:val="105"/>
              </w:rPr>
              <w:t> </w:t>
            </w:r>
            <w:r>
              <w:rPr>
                <w:w w:val="105"/>
              </w:rPr>
              <w:t>architecture</w:t>
            </w:r>
            <w:r>
              <w:rPr>
                <w:spacing w:val="-13"/>
                <w:w w:val="105"/>
              </w:rPr>
              <w:t> </w:t>
            </w:r>
            <w:r>
              <w:rPr>
                <w:w w:val="105"/>
              </w:rPr>
              <w:t>and</w:t>
            </w:r>
            <w:r>
              <w:rPr>
                <w:spacing w:val="-13"/>
                <w:w w:val="105"/>
              </w:rPr>
              <w:t> </w:t>
            </w:r>
            <w:r>
              <w:rPr>
                <w:w w:val="105"/>
              </w:rPr>
              <w:t>consequences</w:t>
            </w:r>
            <w:r>
              <w:rPr>
                <w:spacing w:val="-14"/>
                <w:w w:val="105"/>
              </w:rPr>
              <w:t> </w:t>
            </w:r>
            <w:r>
              <w:rPr>
                <w:w w:val="105"/>
              </w:rPr>
              <w:t>of</w:t>
            </w:r>
            <w:r>
              <w:rPr>
                <w:spacing w:val="-13"/>
                <w:w w:val="105"/>
              </w:rPr>
              <w:t> </w:t>
            </w:r>
            <w:r>
              <w:rPr>
                <w:w w:val="105"/>
              </w:rPr>
              <w:t>the</w:t>
            </w:r>
            <w:r>
              <w:rPr>
                <w:spacing w:val="-13"/>
                <w:w w:val="105"/>
              </w:rPr>
              <w:t> </w:t>
            </w:r>
            <w:r>
              <w:rPr>
                <w:w w:val="105"/>
              </w:rPr>
              <w:t>EUWA</w:t>
            </w:r>
            <w:r>
              <w:rPr>
                <w:spacing w:val="-14"/>
                <w:w w:val="105"/>
              </w:rPr>
              <w:t> </w:t>
            </w:r>
            <w:r>
              <w:rPr>
                <w:w w:val="105"/>
              </w:rPr>
              <w:t>and</w:t>
            </w:r>
            <w:r>
              <w:rPr>
                <w:spacing w:val="-13"/>
                <w:w w:val="105"/>
              </w:rPr>
              <w:t> </w:t>
            </w:r>
            <w:r>
              <w:rPr>
                <w:spacing w:val="-2"/>
                <w:w w:val="105"/>
              </w:rPr>
              <w:t>REULA</w:t>
            </w:r>
            <w:r>
              <w:rPr>
                <w:rFonts w:ascii="Times New Roman"/>
              </w:rPr>
              <w:tab/>
            </w:r>
            <w:r>
              <w:rPr>
                <w:spacing w:val="-5"/>
                <w:w w:val="105"/>
              </w:rPr>
              <w:t>37</w:t>
            </w:r>
          </w:hyperlink>
        </w:p>
        <w:p>
          <w:pPr>
            <w:pStyle w:val="TOC3"/>
            <w:numPr>
              <w:ilvl w:val="1"/>
              <w:numId w:val="2"/>
            </w:numPr>
            <w:tabs>
              <w:tab w:pos="963" w:val="left" w:leader="none"/>
              <w:tab w:pos="9467" w:val="left" w:leader="none"/>
            </w:tabs>
            <w:spacing w:line="300" w:lineRule="exact" w:before="0" w:after="0"/>
            <w:ind w:left="963" w:right="0" w:hanging="396"/>
            <w:jc w:val="left"/>
          </w:pPr>
          <w:hyperlink w:history="true" w:anchor="_bookmark13">
            <w:r>
              <w:rPr/>
              <w:t>The</w:t>
            </w:r>
            <w:r>
              <w:rPr>
                <w:spacing w:val="9"/>
              </w:rPr>
              <w:t> </w:t>
            </w:r>
            <w:r>
              <w:rPr/>
              <w:t>statutory</w:t>
            </w:r>
            <w:r>
              <w:rPr>
                <w:spacing w:val="9"/>
              </w:rPr>
              <w:t> </w:t>
            </w:r>
            <w:r>
              <w:rPr/>
              <w:t>provisions</w:t>
            </w:r>
            <w:r>
              <w:rPr>
                <w:spacing w:val="9"/>
              </w:rPr>
              <w:t> </w:t>
            </w:r>
            <w:r>
              <w:rPr/>
              <w:t>and</w:t>
            </w:r>
            <w:r>
              <w:rPr>
                <w:spacing w:val="9"/>
              </w:rPr>
              <w:t> </w:t>
            </w:r>
            <w:r>
              <w:rPr>
                <w:spacing w:val="-4"/>
              </w:rPr>
              <w:t>text</w:t>
            </w:r>
            <w:r>
              <w:rPr>
                <w:rFonts w:ascii="Times New Roman"/>
              </w:rPr>
              <w:tab/>
            </w:r>
            <w:r>
              <w:rPr>
                <w:spacing w:val="-5"/>
              </w:rPr>
              <w:t>37</w:t>
            </w:r>
          </w:hyperlink>
        </w:p>
        <w:p>
          <w:pPr>
            <w:pStyle w:val="TOC3"/>
            <w:numPr>
              <w:ilvl w:val="1"/>
              <w:numId w:val="2"/>
            </w:numPr>
            <w:tabs>
              <w:tab w:pos="963" w:val="left" w:leader="none"/>
              <w:tab w:pos="9450" w:val="left" w:leader="none"/>
            </w:tabs>
            <w:spacing w:line="300" w:lineRule="exact" w:before="0" w:after="0"/>
            <w:ind w:left="963" w:right="0" w:hanging="396"/>
            <w:jc w:val="left"/>
          </w:pPr>
          <w:hyperlink w:history="true" w:anchor="_bookmark14">
            <w:r>
              <w:rPr/>
              <w:t>The</w:t>
            </w:r>
            <w:r>
              <w:rPr>
                <w:spacing w:val="14"/>
              </w:rPr>
              <w:t> </w:t>
            </w:r>
            <w:r>
              <w:rPr/>
              <w:t>impact</w:t>
            </w:r>
            <w:r>
              <w:rPr>
                <w:spacing w:val="14"/>
              </w:rPr>
              <w:t> </w:t>
            </w:r>
            <w:r>
              <w:rPr/>
              <w:t>of</w:t>
            </w:r>
            <w:r>
              <w:rPr>
                <w:spacing w:val="14"/>
              </w:rPr>
              <w:t> </w:t>
            </w:r>
            <w:r>
              <w:rPr/>
              <w:t>the</w:t>
            </w:r>
            <w:r>
              <w:rPr>
                <w:spacing w:val="14"/>
              </w:rPr>
              <w:t> </w:t>
            </w:r>
            <w:r>
              <w:rPr/>
              <w:t>statutory</w:t>
            </w:r>
            <w:r>
              <w:rPr>
                <w:spacing w:val="14"/>
              </w:rPr>
              <w:t> </w:t>
            </w:r>
            <w:r>
              <w:rPr>
                <w:spacing w:val="-2"/>
              </w:rPr>
              <w:t>provisions</w:t>
            </w:r>
            <w:r>
              <w:rPr>
                <w:rFonts w:ascii="Times New Roman"/>
              </w:rPr>
              <w:tab/>
            </w:r>
            <w:r>
              <w:rPr>
                <w:spacing w:val="-5"/>
              </w:rPr>
              <w:t>39</w:t>
            </w:r>
          </w:hyperlink>
        </w:p>
        <w:p>
          <w:pPr>
            <w:pStyle w:val="TOC3"/>
            <w:numPr>
              <w:ilvl w:val="1"/>
              <w:numId w:val="2"/>
            </w:numPr>
            <w:tabs>
              <w:tab w:pos="964" w:val="left" w:leader="none"/>
              <w:tab w:pos="9509" w:val="left" w:leader="none"/>
            </w:tabs>
            <w:spacing w:line="300" w:lineRule="exact" w:before="0" w:after="0"/>
            <w:ind w:left="964" w:right="0" w:hanging="397"/>
            <w:jc w:val="left"/>
          </w:pPr>
          <w:hyperlink w:history="true" w:anchor="_bookmark15">
            <w:r>
              <w:rPr/>
              <w:t>How</w:t>
            </w:r>
            <w:r>
              <w:rPr>
                <w:spacing w:val="14"/>
              </w:rPr>
              <w:t> </w:t>
            </w:r>
            <w:r>
              <w:rPr/>
              <w:t>to</w:t>
            </w:r>
            <w:r>
              <w:rPr>
                <w:spacing w:val="15"/>
              </w:rPr>
              <w:t> </w:t>
            </w:r>
            <w:r>
              <w:rPr/>
              <w:t>read</w:t>
            </w:r>
            <w:r>
              <w:rPr>
                <w:spacing w:val="15"/>
              </w:rPr>
              <w:t> </w:t>
            </w:r>
            <w:r>
              <w:rPr/>
              <w:t>seemingly</w:t>
            </w:r>
            <w:r>
              <w:rPr>
                <w:spacing w:val="15"/>
              </w:rPr>
              <w:t> </w:t>
            </w:r>
            <w:r>
              <w:rPr/>
              <w:t>conflicting</w:t>
            </w:r>
            <w:r>
              <w:rPr>
                <w:spacing w:val="15"/>
              </w:rPr>
              <w:t> </w:t>
            </w:r>
            <w:r>
              <w:rPr>
                <w:spacing w:val="-2"/>
              </w:rPr>
              <w:t>provisions</w:t>
            </w:r>
            <w:r>
              <w:rPr>
                <w:rFonts w:ascii="Times New Roman"/>
              </w:rPr>
              <w:tab/>
            </w:r>
            <w:r>
              <w:rPr>
                <w:spacing w:val="-5"/>
              </w:rPr>
              <w:t>41</w:t>
            </w:r>
          </w:hyperlink>
        </w:p>
        <w:p>
          <w:pPr>
            <w:pStyle w:val="TOC3"/>
            <w:numPr>
              <w:ilvl w:val="1"/>
              <w:numId w:val="2"/>
            </w:numPr>
            <w:tabs>
              <w:tab w:pos="963" w:val="left" w:leader="none"/>
              <w:tab w:pos="9429" w:val="left" w:leader="none"/>
            </w:tabs>
            <w:spacing w:line="300" w:lineRule="exact" w:before="0" w:after="0"/>
            <w:ind w:left="963" w:right="0" w:hanging="396"/>
            <w:jc w:val="left"/>
          </w:pPr>
          <w:hyperlink w:history="true" w:anchor="_bookmark16">
            <w:r>
              <w:rPr>
                <w:w w:val="105"/>
              </w:rPr>
              <w:t>Section</w:t>
            </w:r>
            <w:r>
              <w:rPr>
                <w:spacing w:val="3"/>
                <w:w w:val="105"/>
              </w:rPr>
              <w:t> </w:t>
            </w:r>
            <w:r>
              <w:rPr>
                <w:w w:val="105"/>
              </w:rPr>
              <w:t>7A</w:t>
            </w:r>
            <w:r>
              <w:rPr>
                <w:spacing w:val="4"/>
                <w:w w:val="105"/>
              </w:rPr>
              <w:t> </w:t>
            </w:r>
            <w:r>
              <w:rPr>
                <w:w w:val="105"/>
              </w:rPr>
              <w:t>EUWA</w:t>
            </w:r>
            <w:r>
              <w:rPr>
                <w:spacing w:val="4"/>
                <w:w w:val="105"/>
              </w:rPr>
              <w:t> </w:t>
            </w:r>
            <w:r>
              <w:rPr>
                <w:w w:val="105"/>
              </w:rPr>
              <w:t>after</w:t>
            </w:r>
            <w:r>
              <w:rPr>
                <w:spacing w:val="4"/>
                <w:w w:val="105"/>
              </w:rPr>
              <w:t> </w:t>
            </w:r>
            <w:r>
              <w:rPr>
                <w:w w:val="105"/>
              </w:rPr>
              <w:t>the</w:t>
            </w:r>
            <w:r>
              <w:rPr>
                <w:spacing w:val="3"/>
                <w:w w:val="105"/>
              </w:rPr>
              <w:t> </w:t>
            </w:r>
            <w:r>
              <w:rPr>
                <w:spacing w:val="-2"/>
                <w:w w:val="105"/>
              </w:rPr>
              <w:t>REULA</w:t>
            </w:r>
            <w:r>
              <w:rPr>
                <w:rFonts w:ascii="Times New Roman"/>
              </w:rPr>
              <w:tab/>
            </w:r>
            <w:r>
              <w:rPr>
                <w:spacing w:val="-5"/>
                <w:w w:val="110"/>
              </w:rPr>
              <w:t>44</w:t>
            </w:r>
          </w:hyperlink>
        </w:p>
        <w:p>
          <w:pPr>
            <w:pStyle w:val="TOC2"/>
            <w:numPr>
              <w:ilvl w:val="0"/>
              <w:numId w:val="2"/>
            </w:numPr>
            <w:tabs>
              <w:tab w:pos="567" w:val="left" w:leader="none"/>
              <w:tab w:pos="9443" w:val="left" w:leader="none"/>
            </w:tabs>
            <w:spacing w:line="300" w:lineRule="exact" w:before="0" w:after="0"/>
            <w:ind w:left="567" w:right="0" w:hanging="454"/>
            <w:jc w:val="left"/>
          </w:pPr>
          <w:hyperlink w:history="true" w:anchor="_bookmark17">
            <w:r>
              <w:rPr/>
              <w:t>Article</w:t>
            </w:r>
            <w:r>
              <w:rPr>
                <w:spacing w:val="16"/>
              </w:rPr>
              <w:t> </w:t>
            </w:r>
            <w:r>
              <w:rPr/>
              <w:t>2</w:t>
            </w:r>
            <w:r>
              <w:rPr>
                <w:spacing w:val="17"/>
              </w:rPr>
              <w:t> </w:t>
            </w:r>
            <w:r>
              <w:rPr/>
              <w:t>of</w:t>
            </w:r>
            <w:r>
              <w:rPr>
                <w:spacing w:val="17"/>
              </w:rPr>
              <w:t> </w:t>
            </w:r>
            <w:r>
              <w:rPr/>
              <w:t>the</w:t>
            </w:r>
            <w:r>
              <w:rPr>
                <w:spacing w:val="17"/>
              </w:rPr>
              <w:t> </w:t>
            </w:r>
            <w:r>
              <w:rPr/>
              <w:t>Windsor</w:t>
            </w:r>
            <w:r>
              <w:rPr>
                <w:spacing w:val="16"/>
              </w:rPr>
              <w:t> </w:t>
            </w:r>
            <w:r>
              <w:rPr/>
              <w:t>Framework:</w:t>
            </w:r>
            <w:r>
              <w:rPr>
                <w:spacing w:val="17"/>
              </w:rPr>
              <w:t> </w:t>
            </w:r>
            <w:r>
              <w:rPr/>
              <w:t>general</w:t>
            </w:r>
            <w:r>
              <w:rPr>
                <w:spacing w:val="17"/>
              </w:rPr>
              <w:t> </w:t>
            </w:r>
            <w:r>
              <w:rPr>
                <w:spacing w:val="-2"/>
              </w:rPr>
              <w:t>considerations</w:t>
            </w:r>
            <w:r>
              <w:rPr>
                <w:rFonts w:ascii="Times New Roman"/>
              </w:rPr>
              <w:tab/>
            </w:r>
            <w:r>
              <w:rPr>
                <w:spacing w:val="-5"/>
              </w:rPr>
              <w:t>45</w:t>
            </w:r>
          </w:hyperlink>
        </w:p>
        <w:p>
          <w:pPr>
            <w:pStyle w:val="TOC3"/>
            <w:numPr>
              <w:ilvl w:val="1"/>
              <w:numId w:val="2"/>
            </w:numPr>
            <w:tabs>
              <w:tab w:pos="963" w:val="left" w:leader="none"/>
              <w:tab w:pos="9443" w:val="left" w:leader="none"/>
            </w:tabs>
            <w:spacing w:line="300" w:lineRule="exact" w:before="0" w:after="0"/>
            <w:ind w:left="963" w:right="0" w:hanging="396"/>
            <w:jc w:val="left"/>
          </w:pPr>
          <w:hyperlink w:history="true" w:anchor="_bookmark17">
            <w:r>
              <w:rPr>
                <w:w w:val="105"/>
              </w:rPr>
              <w:t>The</w:t>
            </w:r>
            <w:r>
              <w:rPr>
                <w:spacing w:val="-20"/>
                <w:w w:val="105"/>
              </w:rPr>
              <w:t> </w:t>
            </w:r>
            <w:r>
              <w:rPr>
                <w:w w:val="105"/>
              </w:rPr>
              <w:t>basic</w:t>
            </w:r>
            <w:r>
              <w:rPr>
                <w:spacing w:val="-19"/>
                <w:w w:val="105"/>
              </w:rPr>
              <w:t> </w:t>
            </w:r>
            <w:r>
              <w:rPr>
                <w:w w:val="105"/>
              </w:rPr>
              <w:t>features</w:t>
            </w:r>
            <w:r>
              <w:rPr>
                <w:spacing w:val="-19"/>
                <w:w w:val="105"/>
              </w:rPr>
              <w:t> </w:t>
            </w:r>
            <w:r>
              <w:rPr>
                <w:w w:val="105"/>
              </w:rPr>
              <w:t>of</w:t>
            </w:r>
            <w:r>
              <w:rPr>
                <w:spacing w:val="-19"/>
                <w:w w:val="105"/>
              </w:rPr>
              <w:t> </w:t>
            </w:r>
            <w:r>
              <w:rPr>
                <w:w w:val="105"/>
              </w:rPr>
              <w:t>Article</w:t>
            </w:r>
            <w:r>
              <w:rPr>
                <w:spacing w:val="-19"/>
                <w:w w:val="105"/>
              </w:rPr>
              <w:t> </w:t>
            </w:r>
            <w:r>
              <w:rPr>
                <w:w w:val="105"/>
              </w:rPr>
              <w:t>2</w:t>
            </w:r>
            <w:r>
              <w:rPr>
                <w:spacing w:val="-19"/>
                <w:w w:val="105"/>
              </w:rPr>
              <w:t> </w:t>
            </w:r>
            <w:r>
              <w:rPr>
                <w:w w:val="105"/>
              </w:rPr>
              <w:t>Windsor</w:t>
            </w:r>
            <w:r>
              <w:rPr>
                <w:spacing w:val="-20"/>
                <w:w w:val="105"/>
              </w:rPr>
              <w:t> </w:t>
            </w:r>
            <w:r>
              <w:rPr>
                <w:spacing w:val="-2"/>
                <w:w w:val="105"/>
              </w:rPr>
              <w:t>Framework</w:t>
            </w:r>
            <w:r>
              <w:rPr>
                <w:rFonts w:ascii="Times New Roman"/>
              </w:rPr>
              <w:tab/>
            </w:r>
            <w:r>
              <w:rPr>
                <w:spacing w:val="-5"/>
                <w:w w:val="105"/>
              </w:rPr>
              <w:t>45</w:t>
            </w:r>
          </w:hyperlink>
        </w:p>
        <w:p>
          <w:pPr>
            <w:pStyle w:val="TOC3"/>
            <w:numPr>
              <w:ilvl w:val="1"/>
              <w:numId w:val="2"/>
            </w:numPr>
            <w:tabs>
              <w:tab w:pos="963" w:val="left" w:leader="none"/>
              <w:tab w:pos="9439" w:val="left" w:leader="none"/>
            </w:tabs>
            <w:spacing w:line="300" w:lineRule="exact" w:before="0" w:after="0"/>
            <w:ind w:left="963" w:right="0" w:hanging="396"/>
            <w:jc w:val="left"/>
          </w:pPr>
          <w:hyperlink w:history="true" w:anchor="_bookmark18">
            <w:r>
              <w:rPr/>
              <w:t>The</w:t>
            </w:r>
            <w:r>
              <w:rPr>
                <w:spacing w:val="-1"/>
              </w:rPr>
              <w:t> </w:t>
            </w:r>
            <w:r>
              <w:rPr/>
              <w:t>enforcement</w:t>
            </w:r>
            <w:r>
              <w:rPr>
                <w:spacing w:val="-1"/>
              </w:rPr>
              <w:t> </w:t>
            </w:r>
            <w:r>
              <w:rPr/>
              <w:t>of the</w:t>
            </w:r>
            <w:r>
              <w:rPr>
                <w:spacing w:val="-1"/>
              </w:rPr>
              <w:t> </w:t>
            </w:r>
            <w:r>
              <w:rPr/>
              <w:t>non-diminution</w:t>
            </w:r>
            <w:r>
              <w:rPr>
                <w:spacing w:val="-1"/>
              </w:rPr>
              <w:t> </w:t>
            </w:r>
            <w:r>
              <w:rPr>
                <w:spacing w:val="-2"/>
              </w:rPr>
              <w:t>requirement</w:t>
            </w:r>
            <w:r>
              <w:rPr>
                <w:rFonts w:ascii="Times New Roman"/>
              </w:rPr>
              <w:tab/>
            </w:r>
            <w:r>
              <w:rPr>
                <w:spacing w:val="-5"/>
              </w:rPr>
              <w:t>48</w:t>
            </w:r>
          </w:hyperlink>
        </w:p>
        <w:p>
          <w:pPr>
            <w:pStyle w:val="TOC3"/>
            <w:numPr>
              <w:ilvl w:val="1"/>
              <w:numId w:val="2"/>
            </w:numPr>
            <w:tabs>
              <w:tab w:pos="964" w:val="left" w:leader="none"/>
            </w:tabs>
            <w:spacing w:line="300" w:lineRule="exact" w:before="0" w:after="0"/>
            <w:ind w:left="964" w:right="0" w:hanging="397"/>
            <w:jc w:val="left"/>
          </w:pPr>
          <w:hyperlink w:history="true" w:anchor="_bookmark19">
            <w:r>
              <w:rPr>
                <w:w w:val="105"/>
              </w:rPr>
              <w:t>The</w:t>
            </w:r>
            <w:r>
              <w:rPr>
                <w:spacing w:val="-15"/>
                <w:w w:val="105"/>
              </w:rPr>
              <w:t> </w:t>
            </w:r>
            <w:r>
              <w:rPr>
                <w:w w:val="105"/>
              </w:rPr>
              <w:t>relationship</w:t>
            </w:r>
            <w:r>
              <w:rPr>
                <w:spacing w:val="-14"/>
                <w:w w:val="105"/>
              </w:rPr>
              <w:t> </w:t>
            </w:r>
            <w:r>
              <w:rPr>
                <w:w w:val="105"/>
              </w:rPr>
              <w:t>between</w:t>
            </w:r>
            <w:r>
              <w:rPr>
                <w:spacing w:val="-14"/>
                <w:w w:val="105"/>
              </w:rPr>
              <w:t> </w:t>
            </w:r>
            <w:r>
              <w:rPr>
                <w:w w:val="105"/>
              </w:rPr>
              <w:t>Article</w:t>
            </w:r>
            <w:r>
              <w:rPr>
                <w:spacing w:val="-15"/>
                <w:w w:val="105"/>
              </w:rPr>
              <w:t> </w:t>
            </w:r>
            <w:r>
              <w:rPr>
                <w:w w:val="105"/>
              </w:rPr>
              <w:t>4</w:t>
            </w:r>
            <w:r>
              <w:rPr>
                <w:spacing w:val="-14"/>
                <w:w w:val="105"/>
              </w:rPr>
              <w:t> </w:t>
            </w:r>
            <w:r>
              <w:rPr>
                <w:w w:val="105"/>
              </w:rPr>
              <w:t>WA</w:t>
            </w:r>
            <w:r>
              <w:rPr>
                <w:spacing w:val="-14"/>
                <w:w w:val="105"/>
              </w:rPr>
              <w:t> </w:t>
            </w:r>
            <w:r>
              <w:rPr>
                <w:w w:val="105"/>
              </w:rPr>
              <w:t>and</w:t>
            </w:r>
            <w:r>
              <w:rPr>
                <w:spacing w:val="-14"/>
                <w:w w:val="105"/>
              </w:rPr>
              <w:t> </w:t>
            </w:r>
            <w:r>
              <w:rPr>
                <w:w w:val="105"/>
              </w:rPr>
              <w:t>Article</w:t>
            </w:r>
            <w:r>
              <w:rPr>
                <w:spacing w:val="-15"/>
                <w:w w:val="105"/>
              </w:rPr>
              <w:t> </w:t>
            </w:r>
            <w:r>
              <w:rPr>
                <w:spacing w:val="-10"/>
                <w:w w:val="105"/>
              </w:rPr>
              <w:t>2</w:t>
            </w:r>
          </w:hyperlink>
        </w:p>
        <w:p>
          <w:pPr>
            <w:pStyle w:val="TOC4"/>
            <w:tabs>
              <w:tab w:pos="9437" w:val="left" w:leader="none"/>
            </w:tabs>
            <w:spacing w:line="334" w:lineRule="exact"/>
          </w:pPr>
          <w:hyperlink w:history="true" w:anchor="_bookmark19">
            <w:r>
              <w:rPr>
                <w:w w:val="105"/>
              </w:rPr>
              <w:t>Windsor </w:t>
            </w:r>
            <w:r>
              <w:rPr>
                <w:spacing w:val="-2"/>
                <w:w w:val="105"/>
              </w:rPr>
              <w:t>Framework</w:t>
            </w:r>
            <w:r>
              <w:rPr>
                <w:rFonts w:ascii="Times New Roman"/>
              </w:rPr>
              <w:tab/>
            </w:r>
            <w:r>
              <w:rPr>
                <w:spacing w:val="-5"/>
                <w:w w:val="105"/>
              </w:rPr>
              <w:t>49</w:t>
            </w:r>
          </w:hyperlink>
        </w:p>
        <w:p>
          <w:pPr>
            <w:pStyle w:val="TOC1"/>
          </w:pPr>
          <w:hyperlink w:history="true" w:anchor="_bookmark20">
            <w:r>
              <w:rPr>
                <w:color w:val="77328A"/>
              </w:rPr>
              <w:t>Chapter</w:t>
            </w:r>
            <w:r>
              <w:rPr>
                <w:color w:val="77328A"/>
                <w:spacing w:val="6"/>
              </w:rPr>
              <w:t> </w:t>
            </w:r>
            <w:r>
              <w:rPr>
                <w:color w:val="77328A"/>
              </w:rPr>
              <w:t>3:</w:t>
            </w:r>
            <w:r>
              <w:rPr>
                <w:color w:val="77328A"/>
                <w:spacing w:val="6"/>
              </w:rPr>
              <w:t> </w:t>
            </w:r>
            <w:r>
              <w:rPr>
                <w:color w:val="77328A"/>
              </w:rPr>
              <w:t>The</w:t>
            </w:r>
            <w:r>
              <w:rPr>
                <w:color w:val="77328A"/>
                <w:spacing w:val="6"/>
              </w:rPr>
              <w:t> </w:t>
            </w:r>
            <w:r>
              <w:rPr>
                <w:color w:val="77328A"/>
              </w:rPr>
              <w:t>continued</w:t>
            </w:r>
            <w:r>
              <w:rPr>
                <w:color w:val="77328A"/>
                <w:spacing w:val="6"/>
              </w:rPr>
              <w:t> </w:t>
            </w:r>
            <w:r>
              <w:rPr>
                <w:color w:val="77328A"/>
              </w:rPr>
              <w:t>operability</w:t>
            </w:r>
            <w:r>
              <w:rPr>
                <w:color w:val="77328A"/>
                <w:spacing w:val="6"/>
              </w:rPr>
              <w:t> </w:t>
            </w:r>
            <w:r>
              <w:rPr>
                <w:color w:val="77328A"/>
              </w:rPr>
              <w:t>of</w:t>
            </w:r>
            <w:r>
              <w:rPr>
                <w:color w:val="77328A"/>
                <w:spacing w:val="6"/>
              </w:rPr>
              <w:t> </w:t>
            </w:r>
            <w:r>
              <w:rPr>
                <w:color w:val="77328A"/>
              </w:rPr>
              <w:t>the</w:t>
            </w:r>
            <w:r>
              <w:rPr>
                <w:color w:val="77328A"/>
                <w:spacing w:val="6"/>
              </w:rPr>
              <w:t> </w:t>
            </w:r>
            <w:r>
              <w:rPr>
                <w:color w:val="77328A"/>
              </w:rPr>
              <w:t>Charter</w:t>
            </w:r>
            <w:r>
              <w:rPr>
                <w:color w:val="77328A"/>
                <w:spacing w:val="7"/>
              </w:rPr>
              <w:t> </w:t>
            </w:r>
            <w:r>
              <w:rPr>
                <w:color w:val="77328A"/>
              </w:rPr>
              <w:t>in</w:t>
            </w:r>
            <w:r>
              <w:rPr>
                <w:color w:val="77328A"/>
                <w:spacing w:val="6"/>
              </w:rPr>
              <w:t> </w:t>
            </w:r>
            <w:r>
              <w:rPr>
                <w:color w:val="77328A"/>
              </w:rPr>
              <w:t>the</w:t>
            </w:r>
            <w:r>
              <w:rPr>
                <w:color w:val="77328A"/>
                <w:spacing w:val="6"/>
              </w:rPr>
              <w:t> </w:t>
            </w:r>
            <w:r>
              <w:rPr>
                <w:color w:val="77328A"/>
                <w:spacing w:val="-2"/>
              </w:rPr>
              <w:t>Northern</w:t>
            </w:r>
          </w:hyperlink>
        </w:p>
        <w:p>
          <w:pPr>
            <w:pStyle w:val="TOC1"/>
            <w:tabs>
              <w:tab w:pos="9452" w:val="left" w:leader="none"/>
            </w:tabs>
            <w:spacing w:before="20"/>
          </w:pPr>
          <w:hyperlink w:history="true" w:anchor="_bookmark20">
            <w:r>
              <w:rPr>
                <w:color w:val="77328A"/>
              </w:rPr>
              <w:t>Ireland</w:t>
            </w:r>
            <w:r>
              <w:rPr>
                <w:color w:val="77328A"/>
                <w:spacing w:val="-12"/>
              </w:rPr>
              <w:t> </w:t>
            </w:r>
            <w:r>
              <w:rPr>
                <w:color w:val="77328A"/>
              </w:rPr>
              <w:t>legal</w:t>
            </w:r>
            <w:r>
              <w:rPr>
                <w:color w:val="77328A"/>
                <w:spacing w:val="-12"/>
              </w:rPr>
              <w:t> </w:t>
            </w:r>
            <w:r>
              <w:rPr>
                <w:color w:val="77328A"/>
                <w:spacing w:val="-4"/>
              </w:rPr>
              <w:t>order</w:t>
            </w:r>
            <w:r>
              <w:rPr>
                <w:color w:val="77328A"/>
              </w:rPr>
              <w:tab/>
            </w:r>
            <w:r>
              <w:rPr>
                <w:color w:val="77328A"/>
                <w:spacing w:val="-5"/>
              </w:rPr>
              <w:t>53</w:t>
            </w:r>
          </w:hyperlink>
        </w:p>
        <w:p>
          <w:pPr>
            <w:pStyle w:val="TOC2"/>
            <w:numPr>
              <w:ilvl w:val="0"/>
              <w:numId w:val="3"/>
            </w:numPr>
            <w:tabs>
              <w:tab w:pos="567" w:val="left" w:leader="none"/>
              <w:tab w:pos="9458" w:val="left" w:leader="none"/>
            </w:tabs>
            <w:spacing w:line="334" w:lineRule="exact" w:before="44" w:after="0"/>
            <w:ind w:left="567" w:right="0" w:hanging="454"/>
            <w:jc w:val="left"/>
          </w:pPr>
          <w:hyperlink w:history="true" w:anchor="_bookmark20">
            <w:r>
              <w:rPr/>
              <w:t>Introductory</w:t>
            </w:r>
            <w:r>
              <w:rPr>
                <w:spacing w:val="45"/>
              </w:rPr>
              <w:t> </w:t>
            </w:r>
            <w:r>
              <w:rPr>
                <w:spacing w:val="-2"/>
              </w:rPr>
              <w:t>remarks</w:t>
            </w:r>
            <w:r>
              <w:rPr>
                <w:rFonts w:ascii="Times New Roman"/>
              </w:rPr>
              <w:tab/>
            </w:r>
            <w:r>
              <w:rPr>
                <w:spacing w:val="-5"/>
              </w:rPr>
              <w:t>53</w:t>
            </w:r>
          </w:hyperlink>
        </w:p>
        <w:p>
          <w:pPr>
            <w:pStyle w:val="TOC2"/>
            <w:numPr>
              <w:ilvl w:val="0"/>
              <w:numId w:val="3"/>
            </w:numPr>
            <w:tabs>
              <w:tab w:pos="567" w:val="left" w:leader="none"/>
              <w:tab w:pos="9458" w:val="left" w:leader="none"/>
            </w:tabs>
            <w:spacing w:line="300" w:lineRule="exact" w:before="0" w:after="0"/>
            <w:ind w:left="567" w:right="0" w:hanging="454"/>
            <w:jc w:val="left"/>
          </w:pPr>
          <w:hyperlink w:history="true" w:anchor="_bookmark20">
            <w:r>
              <w:rPr>
                <w:spacing w:val="-2"/>
                <w:w w:val="105"/>
              </w:rPr>
              <w:t>Applicability</w:t>
            </w:r>
            <w:r>
              <w:rPr>
                <w:spacing w:val="-11"/>
                <w:w w:val="105"/>
              </w:rPr>
              <w:t> </w:t>
            </w:r>
            <w:r>
              <w:rPr>
                <w:spacing w:val="-2"/>
                <w:w w:val="105"/>
              </w:rPr>
              <w:t>of</w:t>
            </w:r>
            <w:r>
              <w:rPr>
                <w:spacing w:val="-11"/>
                <w:w w:val="105"/>
              </w:rPr>
              <w:t> </w:t>
            </w:r>
            <w:r>
              <w:rPr>
                <w:spacing w:val="-2"/>
                <w:w w:val="105"/>
              </w:rPr>
              <w:t>the</w:t>
            </w:r>
            <w:r>
              <w:rPr>
                <w:spacing w:val="-11"/>
                <w:w w:val="105"/>
              </w:rPr>
              <w:t> </w:t>
            </w:r>
            <w:r>
              <w:rPr>
                <w:spacing w:val="-2"/>
                <w:w w:val="105"/>
              </w:rPr>
              <w:t>Charter</w:t>
            </w:r>
            <w:r>
              <w:rPr>
                <w:spacing w:val="-10"/>
                <w:w w:val="105"/>
              </w:rPr>
              <w:t> </w:t>
            </w:r>
            <w:r>
              <w:rPr>
                <w:spacing w:val="-2"/>
                <w:w w:val="105"/>
              </w:rPr>
              <w:t>in</w:t>
            </w:r>
            <w:r>
              <w:rPr>
                <w:spacing w:val="-11"/>
                <w:w w:val="105"/>
              </w:rPr>
              <w:t> </w:t>
            </w:r>
            <w:r>
              <w:rPr>
                <w:spacing w:val="-2"/>
                <w:w w:val="105"/>
              </w:rPr>
              <w:t>Northern</w:t>
            </w:r>
            <w:r>
              <w:rPr>
                <w:spacing w:val="-11"/>
                <w:w w:val="105"/>
              </w:rPr>
              <w:t> </w:t>
            </w:r>
            <w:r>
              <w:rPr>
                <w:spacing w:val="-2"/>
                <w:w w:val="105"/>
              </w:rPr>
              <w:t>Ireland</w:t>
            </w:r>
            <w:r>
              <w:rPr>
                <w:spacing w:val="-11"/>
                <w:w w:val="105"/>
              </w:rPr>
              <w:t> </w:t>
            </w:r>
            <w:r>
              <w:rPr>
                <w:spacing w:val="-2"/>
                <w:w w:val="105"/>
              </w:rPr>
              <w:t>due</w:t>
            </w:r>
            <w:r>
              <w:rPr>
                <w:spacing w:val="-10"/>
                <w:w w:val="105"/>
              </w:rPr>
              <w:t> </w:t>
            </w:r>
            <w:r>
              <w:rPr>
                <w:spacing w:val="-2"/>
                <w:w w:val="105"/>
              </w:rPr>
              <w:t>to</w:t>
            </w:r>
            <w:r>
              <w:rPr>
                <w:spacing w:val="-11"/>
                <w:w w:val="105"/>
              </w:rPr>
              <w:t> </w:t>
            </w:r>
            <w:r>
              <w:rPr>
                <w:spacing w:val="-2"/>
                <w:w w:val="105"/>
              </w:rPr>
              <w:t>Article</w:t>
            </w:r>
            <w:r>
              <w:rPr>
                <w:spacing w:val="-11"/>
                <w:w w:val="105"/>
              </w:rPr>
              <w:t> </w:t>
            </w:r>
            <w:r>
              <w:rPr>
                <w:spacing w:val="-2"/>
                <w:w w:val="105"/>
              </w:rPr>
              <w:t>4</w:t>
            </w:r>
            <w:r>
              <w:rPr>
                <w:spacing w:val="-11"/>
                <w:w w:val="105"/>
              </w:rPr>
              <w:t> </w:t>
            </w:r>
            <w:r>
              <w:rPr>
                <w:spacing w:val="-5"/>
                <w:w w:val="105"/>
              </w:rPr>
              <w:t>WA</w:t>
            </w:r>
            <w:r>
              <w:rPr>
                <w:rFonts w:ascii="Times New Roman"/>
              </w:rPr>
              <w:tab/>
            </w:r>
            <w:r>
              <w:rPr>
                <w:spacing w:val="-5"/>
                <w:w w:val="105"/>
              </w:rPr>
              <w:t>53</w:t>
            </w:r>
          </w:hyperlink>
        </w:p>
        <w:p>
          <w:pPr>
            <w:pStyle w:val="TOC2"/>
            <w:numPr>
              <w:ilvl w:val="0"/>
              <w:numId w:val="3"/>
            </w:numPr>
            <w:tabs>
              <w:tab w:pos="567" w:val="left" w:leader="none"/>
              <w:tab w:pos="9457" w:val="left" w:leader="none"/>
            </w:tabs>
            <w:spacing w:line="319" w:lineRule="exact" w:before="0" w:after="0"/>
            <w:ind w:left="567" w:right="0" w:hanging="454"/>
            <w:jc w:val="left"/>
          </w:pPr>
          <w:hyperlink w:history="true" w:anchor="_bookmark21">
            <w:r>
              <w:rPr>
                <w:w w:val="105"/>
              </w:rPr>
              <w:t>Applicability</w:t>
            </w:r>
            <w:r>
              <w:rPr>
                <w:spacing w:val="-19"/>
                <w:w w:val="105"/>
              </w:rPr>
              <w:t> </w:t>
            </w:r>
            <w:r>
              <w:rPr>
                <w:w w:val="105"/>
              </w:rPr>
              <w:t>of</w:t>
            </w:r>
            <w:r>
              <w:rPr>
                <w:spacing w:val="-18"/>
                <w:w w:val="105"/>
              </w:rPr>
              <w:t> </w:t>
            </w:r>
            <w:r>
              <w:rPr>
                <w:w w:val="105"/>
              </w:rPr>
              <w:t>the</w:t>
            </w:r>
            <w:r>
              <w:rPr>
                <w:spacing w:val="-18"/>
                <w:w w:val="105"/>
              </w:rPr>
              <w:t> </w:t>
            </w:r>
            <w:r>
              <w:rPr>
                <w:w w:val="105"/>
              </w:rPr>
              <w:t>Charter</w:t>
            </w:r>
            <w:r>
              <w:rPr>
                <w:spacing w:val="-18"/>
                <w:w w:val="105"/>
              </w:rPr>
              <w:t> </w:t>
            </w:r>
            <w:r>
              <w:rPr>
                <w:w w:val="105"/>
              </w:rPr>
              <w:t>under</w:t>
            </w:r>
            <w:r>
              <w:rPr>
                <w:spacing w:val="-19"/>
                <w:w w:val="105"/>
              </w:rPr>
              <w:t> </w:t>
            </w:r>
            <w:r>
              <w:rPr>
                <w:w w:val="105"/>
              </w:rPr>
              <w:t>Article</w:t>
            </w:r>
            <w:r>
              <w:rPr>
                <w:spacing w:val="-18"/>
                <w:w w:val="105"/>
              </w:rPr>
              <w:t> </w:t>
            </w:r>
            <w:r>
              <w:rPr>
                <w:w w:val="105"/>
              </w:rPr>
              <w:t>2</w:t>
            </w:r>
            <w:r>
              <w:rPr>
                <w:spacing w:val="-18"/>
                <w:w w:val="105"/>
              </w:rPr>
              <w:t> </w:t>
            </w:r>
            <w:r>
              <w:rPr>
                <w:w w:val="105"/>
              </w:rPr>
              <w:t>Windsor</w:t>
            </w:r>
            <w:r>
              <w:rPr>
                <w:spacing w:val="-18"/>
                <w:w w:val="105"/>
              </w:rPr>
              <w:t> </w:t>
            </w:r>
            <w:r>
              <w:rPr>
                <w:spacing w:val="-2"/>
                <w:w w:val="105"/>
              </w:rPr>
              <w:t>Framework</w:t>
            </w:r>
            <w:r>
              <w:rPr>
                <w:rFonts w:ascii="Times New Roman"/>
              </w:rPr>
              <w:tab/>
            </w:r>
            <w:r>
              <w:rPr>
                <w:spacing w:val="-5"/>
                <w:w w:val="105"/>
              </w:rPr>
              <w:t>55</w:t>
            </w:r>
          </w:hyperlink>
        </w:p>
        <w:p>
          <w:pPr>
            <w:pStyle w:val="TOC3"/>
            <w:numPr>
              <w:ilvl w:val="1"/>
              <w:numId w:val="3"/>
            </w:numPr>
            <w:tabs>
              <w:tab w:pos="963" w:val="left" w:leader="none"/>
              <w:tab w:pos="9468" w:val="left" w:leader="none"/>
            </w:tabs>
            <w:spacing w:line="254" w:lineRule="exact" w:before="0" w:after="0"/>
            <w:ind w:left="963" w:right="0" w:hanging="396"/>
            <w:jc w:val="left"/>
            <w:rPr>
              <w:rFonts w:ascii="Arial"/>
            </w:rPr>
          </w:pPr>
          <w:hyperlink w:history="true" w:anchor="_bookmark22">
            <w:r>
              <w:rPr>
                <w:rFonts w:ascii="Arial"/>
              </w:rPr>
              <w:t>Annex</w:t>
            </w:r>
            <w:r>
              <w:rPr>
                <w:rFonts w:ascii="Arial"/>
                <w:spacing w:val="16"/>
              </w:rPr>
              <w:t> </w:t>
            </w:r>
            <w:r>
              <w:rPr>
                <w:rFonts w:ascii="Arial"/>
              </w:rPr>
              <w:t>1</w:t>
            </w:r>
            <w:r>
              <w:rPr>
                <w:rFonts w:ascii="Arial"/>
                <w:spacing w:val="16"/>
              </w:rPr>
              <w:t> </w:t>
            </w:r>
            <w:r>
              <w:rPr>
                <w:rFonts w:ascii="Arial"/>
                <w:spacing w:val="-2"/>
              </w:rPr>
              <w:t>Directives</w:t>
            </w:r>
            <w:r>
              <w:rPr>
                <w:rFonts w:ascii="Arial"/>
              </w:rPr>
              <w:tab/>
            </w:r>
            <w:r>
              <w:rPr>
                <w:rFonts w:ascii="Arial"/>
                <w:spacing w:val="-5"/>
              </w:rPr>
              <w:t>57</w:t>
            </w:r>
          </w:hyperlink>
        </w:p>
        <w:p>
          <w:pPr>
            <w:pStyle w:val="TOC3"/>
            <w:numPr>
              <w:ilvl w:val="1"/>
              <w:numId w:val="3"/>
            </w:numPr>
            <w:tabs>
              <w:tab w:pos="963" w:val="left" w:leader="none"/>
              <w:tab w:pos="9453" w:val="left" w:leader="none"/>
            </w:tabs>
            <w:spacing w:line="327" w:lineRule="exact" w:before="0" w:after="0"/>
            <w:ind w:left="963" w:right="0" w:hanging="396"/>
            <w:jc w:val="left"/>
          </w:pPr>
          <w:hyperlink w:history="true" w:anchor="_bookmark23">
            <w:r>
              <w:rPr/>
              <w:t>The</w:t>
            </w:r>
            <w:r>
              <w:rPr>
                <w:spacing w:val="1"/>
              </w:rPr>
              <w:t> </w:t>
            </w:r>
            <w:r>
              <w:rPr/>
              <w:t>Charter</w:t>
            </w:r>
            <w:r>
              <w:rPr>
                <w:spacing w:val="1"/>
              </w:rPr>
              <w:t> </w:t>
            </w:r>
            <w:r>
              <w:rPr/>
              <w:t>and</w:t>
            </w:r>
            <w:r>
              <w:rPr>
                <w:spacing w:val="2"/>
              </w:rPr>
              <w:t> </w:t>
            </w:r>
            <w:r>
              <w:rPr/>
              <w:t>Article</w:t>
            </w:r>
            <w:r>
              <w:rPr>
                <w:spacing w:val="1"/>
              </w:rPr>
              <w:t> </w:t>
            </w:r>
            <w:r>
              <w:rPr/>
              <w:t>2</w:t>
            </w:r>
            <w:r>
              <w:rPr>
                <w:spacing w:val="2"/>
              </w:rPr>
              <w:t> </w:t>
            </w:r>
            <w:r>
              <w:rPr/>
              <w:t>outside</w:t>
            </w:r>
            <w:r>
              <w:rPr>
                <w:spacing w:val="1"/>
              </w:rPr>
              <w:t> </w:t>
            </w:r>
            <w:r>
              <w:rPr/>
              <w:t>the</w:t>
            </w:r>
            <w:r>
              <w:rPr>
                <w:spacing w:val="1"/>
              </w:rPr>
              <w:t> </w:t>
            </w:r>
            <w:r>
              <w:rPr/>
              <w:t>Annex</w:t>
            </w:r>
            <w:r>
              <w:rPr>
                <w:spacing w:val="2"/>
              </w:rPr>
              <w:t> </w:t>
            </w:r>
            <w:r>
              <w:rPr>
                <w:w w:val="95"/>
              </w:rPr>
              <w:t>1</w:t>
            </w:r>
            <w:r>
              <w:rPr>
                <w:spacing w:val="1"/>
              </w:rPr>
              <w:t> </w:t>
            </w:r>
            <w:r>
              <w:rPr>
                <w:spacing w:val="-2"/>
              </w:rPr>
              <w:t>directives</w:t>
            </w:r>
            <w:r>
              <w:rPr>
                <w:rFonts w:ascii="Times New Roman"/>
              </w:rPr>
              <w:tab/>
            </w:r>
            <w:r>
              <w:rPr>
                <w:spacing w:val="-5"/>
              </w:rPr>
              <w:t>58</w:t>
            </w:r>
          </w:hyperlink>
        </w:p>
        <w:p>
          <w:pPr>
            <w:pStyle w:val="TOC3"/>
            <w:numPr>
              <w:ilvl w:val="1"/>
              <w:numId w:val="3"/>
            </w:numPr>
            <w:tabs>
              <w:tab w:pos="964" w:val="left" w:leader="none"/>
              <w:tab w:pos="9452" w:val="left" w:leader="none"/>
            </w:tabs>
            <w:spacing w:line="319" w:lineRule="exact" w:before="0" w:after="0"/>
            <w:ind w:left="964" w:right="0" w:hanging="397"/>
            <w:jc w:val="left"/>
          </w:pPr>
          <w:hyperlink w:history="true" w:anchor="_bookmark24">
            <w:r>
              <w:rPr>
                <w:w w:val="105"/>
              </w:rPr>
              <w:t>Relevance</w:t>
            </w:r>
            <w:r>
              <w:rPr>
                <w:spacing w:val="-7"/>
                <w:w w:val="105"/>
              </w:rPr>
              <w:t> </w:t>
            </w:r>
            <w:r>
              <w:rPr>
                <w:w w:val="105"/>
              </w:rPr>
              <w:t>of</w:t>
            </w:r>
            <w:r>
              <w:rPr>
                <w:spacing w:val="-7"/>
                <w:w w:val="105"/>
              </w:rPr>
              <w:t> </w:t>
            </w:r>
            <w:r>
              <w:rPr>
                <w:w w:val="105"/>
              </w:rPr>
              <w:t>post-Brexit</w:t>
            </w:r>
            <w:r>
              <w:rPr>
                <w:spacing w:val="-7"/>
                <w:w w:val="105"/>
              </w:rPr>
              <w:t> </w:t>
            </w:r>
            <w:r>
              <w:rPr>
                <w:w w:val="105"/>
              </w:rPr>
              <w:t>CJEU</w:t>
            </w:r>
            <w:r>
              <w:rPr>
                <w:spacing w:val="-7"/>
                <w:w w:val="105"/>
              </w:rPr>
              <w:t> </w:t>
            </w:r>
            <w:r>
              <w:rPr>
                <w:w w:val="105"/>
              </w:rPr>
              <w:t>case</w:t>
            </w:r>
            <w:r>
              <w:rPr>
                <w:spacing w:val="-7"/>
                <w:w w:val="105"/>
              </w:rPr>
              <w:t> </w:t>
            </w:r>
            <w:r>
              <w:rPr>
                <w:spacing w:val="-5"/>
                <w:w w:val="105"/>
              </w:rPr>
              <w:t>law</w:t>
            </w:r>
            <w:r>
              <w:rPr>
                <w:rFonts w:ascii="Times New Roman"/>
              </w:rPr>
              <w:tab/>
            </w:r>
            <w:r>
              <w:rPr>
                <w:spacing w:val="-5"/>
                <w:w w:val="105"/>
              </w:rPr>
              <w:t>62</w:t>
            </w:r>
          </w:hyperlink>
        </w:p>
        <w:p>
          <w:pPr>
            <w:pStyle w:val="TOC3"/>
            <w:numPr>
              <w:ilvl w:val="1"/>
              <w:numId w:val="3"/>
            </w:numPr>
            <w:tabs>
              <w:tab w:pos="963" w:val="left" w:leader="none"/>
              <w:tab w:pos="9449" w:val="left" w:leader="none"/>
            </w:tabs>
            <w:spacing w:line="261" w:lineRule="exact" w:before="0" w:after="20"/>
            <w:ind w:left="963" w:right="0" w:hanging="396"/>
            <w:jc w:val="left"/>
            <w:rPr>
              <w:rFonts w:ascii="Arial" w:hAnsi="Arial"/>
            </w:rPr>
          </w:pPr>
          <w:hyperlink w:history="true" w:anchor="_bookmark25">
            <w:r>
              <w:rPr>
                <w:rFonts w:ascii="Arial" w:hAnsi="Arial"/>
                <w:w w:val="110"/>
              </w:rPr>
              <w:t>The</w:t>
            </w:r>
            <w:r>
              <w:rPr>
                <w:rFonts w:ascii="Arial" w:hAnsi="Arial"/>
                <w:spacing w:val="3"/>
                <w:w w:val="110"/>
              </w:rPr>
              <w:t> </w:t>
            </w:r>
            <w:r>
              <w:rPr>
                <w:rFonts w:ascii="Arial" w:hAnsi="Arial"/>
                <w:w w:val="110"/>
              </w:rPr>
              <w:t>meaning</w:t>
            </w:r>
            <w:r>
              <w:rPr>
                <w:rFonts w:ascii="Arial" w:hAnsi="Arial"/>
                <w:spacing w:val="4"/>
                <w:w w:val="110"/>
              </w:rPr>
              <w:t> </w:t>
            </w:r>
            <w:r>
              <w:rPr>
                <w:rFonts w:ascii="Arial" w:hAnsi="Arial"/>
                <w:w w:val="110"/>
              </w:rPr>
              <w:t>of</w:t>
            </w:r>
            <w:r>
              <w:rPr>
                <w:rFonts w:ascii="Arial" w:hAnsi="Arial"/>
                <w:spacing w:val="4"/>
                <w:w w:val="110"/>
              </w:rPr>
              <w:t> </w:t>
            </w:r>
            <w:r>
              <w:rPr>
                <w:rFonts w:ascii="Arial" w:hAnsi="Arial"/>
                <w:spacing w:val="-2"/>
                <w:w w:val="110"/>
              </w:rPr>
              <w:t>‘diminution’</w:t>
            </w:r>
            <w:r>
              <w:rPr>
                <w:rFonts w:ascii="Arial" w:hAnsi="Arial"/>
              </w:rPr>
              <w:tab/>
            </w:r>
            <w:r>
              <w:rPr>
                <w:rFonts w:ascii="Arial" w:hAnsi="Arial"/>
                <w:spacing w:val="-5"/>
                <w:w w:val="115"/>
              </w:rPr>
              <w:t>65</w:t>
            </w:r>
          </w:hyperlink>
        </w:p>
        <w:p>
          <w:pPr>
            <w:pStyle w:val="TOC1"/>
            <w:spacing w:before="795"/>
          </w:pPr>
          <w:hyperlink w:history="true" w:anchor="_bookmark26">
            <w:r>
              <w:rPr>
                <w:color w:val="77328A"/>
              </w:rPr>
              <w:t>Chapter</w:t>
            </w:r>
            <w:r>
              <w:rPr>
                <w:color w:val="77328A"/>
                <w:spacing w:val="7"/>
              </w:rPr>
              <w:t> </w:t>
            </w:r>
            <w:r>
              <w:rPr>
                <w:color w:val="77328A"/>
              </w:rPr>
              <w:t>4:</w:t>
            </w:r>
            <w:r>
              <w:rPr>
                <w:color w:val="77328A"/>
                <w:spacing w:val="7"/>
              </w:rPr>
              <w:t> </w:t>
            </w:r>
            <w:r>
              <w:rPr>
                <w:color w:val="77328A"/>
              </w:rPr>
              <w:t>Charter</w:t>
            </w:r>
            <w:r>
              <w:rPr>
                <w:color w:val="77328A"/>
                <w:spacing w:val="7"/>
              </w:rPr>
              <w:t> </w:t>
            </w:r>
            <w:r>
              <w:rPr>
                <w:color w:val="77328A"/>
              </w:rPr>
              <w:t>functions</w:t>
            </w:r>
            <w:r>
              <w:rPr>
                <w:color w:val="77328A"/>
                <w:spacing w:val="7"/>
              </w:rPr>
              <w:t> </w:t>
            </w:r>
            <w:r>
              <w:rPr>
                <w:color w:val="77328A"/>
              </w:rPr>
              <w:t>in</w:t>
            </w:r>
            <w:r>
              <w:rPr>
                <w:color w:val="77328A"/>
                <w:spacing w:val="7"/>
              </w:rPr>
              <w:t> </w:t>
            </w:r>
            <w:r>
              <w:rPr>
                <w:color w:val="77328A"/>
              </w:rPr>
              <w:t>the</w:t>
            </w:r>
            <w:r>
              <w:rPr>
                <w:color w:val="77328A"/>
                <w:spacing w:val="7"/>
              </w:rPr>
              <w:t> </w:t>
            </w:r>
            <w:r>
              <w:rPr>
                <w:color w:val="77328A"/>
              </w:rPr>
              <w:t>domestic</w:t>
            </w:r>
            <w:r>
              <w:rPr>
                <w:color w:val="77328A"/>
                <w:spacing w:val="7"/>
              </w:rPr>
              <w:t> </w:t>
            </w:r>
            <w:r>
              <w:rPr>
                <w:color w:val="77328A"/>
              </w:rPr>
              <w:t>legal</w:t>
            </w:r>
            <w:r>
              <w:rPr>
                <w:color w:val="77328A"/>
                <w:spacing w:val="7"/>
              </w:rPr>
              <w:t> </w:t>
            </w:r>
            <w:r>
              <w:rPr>
                <w:color w:val="77328A"/>
              </w:rPr>
              <w:t>order</w:t>
            </w:r>
            <w:r>
              <w:rPr>
                <w:color w:val="77328A"/>
                <w:spacing w:val="7"/>
              </w:rPr>
              <w:t> </w:t>
            </w:r>
            <w:r>
              <w:rPr>
                <w:color w:val="77328A"/>
                <w:spacing w:val="-5"/>
              </w:rPr>
              <w:t>pre</w:t>
            </w:r>
          </w:hyperlink>
        </w:p>
        <w:p>
          <w:pPr>
            <w:pStyle w:val="TOC1"/>
            <w:tabs>
              <w:tab w:pos="9447" w:val="left" w:leader="none"/>
            </w:tabs>
            <w:spacing w:before="20"/>
          </w:pPr>
          <w:hyperlink w:history="true" w:anchor="_bookmark26">
            <w:r>
              <w:rPr>
                <w:color w:val="77328A"/>
              </w:rPr>
              <w:t>and</w:t>
            </w:r>
            <w:r>
              <w:rPr>
                <w:color w:val="77328A"/>
                <w:spacing w:val="9"/>
              </w:rPr>
              <w:t> </w:t>
            </w:r>
            <w:r>
              <w:rPr>
                <w:color w:val="77328A"/>
              </w:rPr>
              <w:t>post</w:t>
            </w:r>
            <w:r>
              <w:rPr>
                <w:color w:val="77328A"/>
                <w:spacing w:val="10"/>
              </w:rPr>
              <w:t> </w:t>
            </w:r>
            <w:r>
              <w:rPr>
                <w:color w:val="77328A"/>
                <w:spacing w:val="-2"/>
              </w:rPr>
              <w:t>Brexit</w:t>
            </w:r>
            <w:r>
              <w:rPr>
                <w:color w:val="77328A"/>
              </w:rPr>
              <w:tab/>
            </w:r>
            <w:r>
              <w:rPr>
                <w:color w:val="77328A"/>
                <w:spacing w:val="-5"/>
              </w:rPr>
              <w:t>67</w:t>
            </w:r>
          </w:hyperlink>
        </w:p>
        <w:p>
          <w:pPr>
            <w:pStyle w:val="TOC2"/>
            <w:numPr>
              <w:ilvl w:val="0"/>
              <w:numId w:val="4"/>
            </w:numPr>
            <w:tabs>
              <w:tab w:pos="567" w:val="left" w:leader="none"/>
              <w:tab w:pos="9458" w:val="left" w:leader="none"/>
            </w:tabs>
            <w:spacing w:line="269" w:lineRule="exact" w:before="82" w:after="0"/>
            <w:ind w:left="567" w:right="0" w:hanging="454"/>
            <w:jc w:val="left"/>
            <w:rPr>
              <w:rFonts w:ascii="Arial"/>
            </w:rPr>
          </w:pPr>
          <w:hyperlink w:history="true" w:anchor="_bookmark26">
            <w:r>
              <w:rPr>
                <w:rFonts w:ascii="Arial"/>
                <w:w w:val="115"/>
              </w:rPr>
              <w:t>Introductory</w:t>
            </w:r>
            <w:r>
              <w:rPr>
                <w:rFonts w:ascii="Arial"/>
                <w:spacing w:val="23"/>
                <w:w w:val="115"/>
              </w:rPr>
              <w:t> </w:t>
            </w:r>
            <w:r>
              <w:rPr>
                <w:rFonts w:ascii="Arial"/>
                <w:spacing w:val="-2"/>
                <w:w w:val="115"/>
              </w:rPr>
              <w:t>remarks</w:t>
            </w:r>
            <w:r>
              <w:rPr>
                <w:rFonts w:ascii="Arial"/>
              </w:rPr>
              <w:tab/>
            </w:r>
            <w:r>
              <w:rPr>
                <w:rFonts w:ascii="Arial"/>
                <w:spacing w:val="-5"/>
                <w:w w:val="115"/>
              </w:rPr>
              <w:t>67</w:t>
            </w:r>
          </w:hyperlink>
        </w:p>
        <w:p>
          <w:pPr>
            <w:pStyle w:val="TOC2"/>
            <w:numPr>
              <w:ilvl w:val="0"/>
              <w:numId w:val="4"/>
            </w:numPr>
            <w:tabs>
              <w:tab w:pos="567" w:val="left" w:leader="none"/>
              <w:tab w:pos="9445" w:val="left" w:leader="none"/>
            </w:tabs>
            <w:spacing w:line="346" w:lineRule="exact" w:before="0" w:after="0"/>
            <w:ind w:left="567" w:right="0" w:hanging="454"/>
            <w:jc w:val="left"/>
          </w:pPr>
          <w:hyperlink w:history="true" w:anchor="_bookmark27">
            <w:r>
              <w:rPr>
                <w:spacing w:val="-2"/>
                <w:w w:val="105"/>
              </w:rPr>
              <w:t>The</w:t>
            </w:r>
            <w:r>
              <w:rPr>
                <w:spacing w:val="-15"/>
                <w:w w:val="105"/>
              </w:rPr>
              <w:t> </w:t>
            </w:r>
            <w:r>
              <w:rPr>
                <w:spacing w:val="-2"/>
                <w:w w:val="105"/>
              </w:rPr>
              <w:t>effects</w:t>
            </w:r>
            <w:r>
              <w:rPr>
                <w:spacing w:val="-12"/>
                <w:w w:val="105"/>
              </w:rPr>
              <w:t> </w:t>
            </w:r>
            <w:r>
              <w:rPr>
                <w:spacing w:val="-2"/>
                <w:w w:val="105"/>
              </w:rPr>
              <w:t>of</w:t>
            </w:r>
            <w:r>
              <w:rPr>
                <w:spacing w:val="-13"/>
                <w:w w:val="105"/>
              </w:rPr>
              <w:t> </w:t>
            </w:r>
            <w:r>
              <w:rPr>
                <w:spacing w:val="-2"/>
                <w:w w:val="105"/>
              </w:rPr>
              <w:t>the</w:t>
            </w:r>
            <w:r>
              <w:rPr>
                <w:spacing w:val="-12"/>
                <w:w w:val="105"/>
              </w:rPr>
              <w:t> </w:t>
            </w:r>
            <w:r>
              <w:rPr>
                <w:spacing w:val="-2"/>
                <w:w w:val="105"/>
              </w:rPr>
              <w:t>Charter</w:t>
            </w:r>
            <w:r>
              <w:rPr>
                <w:spacing w:val="-13"/>
                <w:w w:val="105"/>
              </w:rPr>
              <w:t> </w:t>
            </w:r>
            <w:r>
              <w:rPr>
                <w:spacing w:val="-2"/>
                <w:w w:val="105"/>
              </w:rPr>
              <w:t>in</w:t>
            </w:r>
            <w:r>
              <w:rPr>
                <w:spacing w:val="-12"/>
                <w:w w:val="105"/>
              </w:rPr>
              <w:t> </w:t>
            </w:r>
            <w:r>
              <w:rPr>
                <w:spacing w:val="-2"/>
                <w:w w:val="105"/>
              </w:rPr>
              <w:t>domestic</w:t>
            </w:r>
            <w:r>
              <w:rPr>
                <w:spacing w:val="-13"/>
                <w:w w:val="105"/>
              </w:rPr>
              <w:t> </w:t>
            </w:r>
            <w:r>
              <w:rPr>
                <w:spacing w:val="-2"/>
                <w:w w:val="105"/>
              </w:rPr>
              <w:t>law</w:t>
            </w:r>
            <w:r>
              <w:rPr>
                <w:spacing w:val="-12"/>
                <w:w w:val="105"/>
              </w:rPr>
              <w:t> </w:t>
            </w:r>
            <w:r>
              <w:rPr>
                <w:spacing w:val="-2"/>
                <w:w w:val="105"/>
              </w:rPr>
              <w:t>before</w:t>
            </w:r>
            <w:r>
              <w:rPr>
                <w:spacing w:val="-12"/>
                <w:w w:val="105"/>
              </w:rPr>
              <w:t> </w:t>
            </w:r>
            <w:r>
              <w:rPr>
                <w:spacing w:val="-2"/>
                <w:w w:val="105"/>
              </w:rPr>
              <w:t>Brexit</w:t>
            </w:r>
            <w:r>
              <w:rPr>
                <w:rFonts w:ascii="Times New Roman"/>
              </w:rPr>
              <w:tab/>
            </w:r>
            <w:r>
              <w:rPr>
                <w:spacing w:val="-5"/>
                <w:w w:val="105"/>
              </w:rPr>
              <w:t>68</w:t>
            </w:r>
          </w:hyperlink>
        </w:p>
        <w:p>
          <w:pPr>
            <w:pStyle w:val="TOC3"/>
            <w:numPr>
              <w:ilvl w:val="1"/>
              <w:numId w:val="4"/>
            </w:numPr>
            <w:tabs>
              <w:tab w:pos="963" w:val="left" w:leader="none"/>
              <w:tab w:pos="9443" w:val="left" w:leader="none"/>
            </w:tabs>
            <w:spacing w:line="254" w:lineRule="exact" w:before="0" w:after="0"/>
            <w:ind w:left="963" w:right="0" w:hanging="396"/>
            <w:jc w:val="left"/>
            <w:rPr>
              <w:rFonts w:ascii="Arial"/>
            </w:rPr>
          </w:pPr>
          <w:hyperlink w:history="true" w:anchor="_bookmark28">
            <w:r>
              <w:rPr>
                <w:rFonts w:ascii="Arial"/>
                <w:w w:val="115"/>
              </w:rPr>
              <w:t>Disapplication</w:t>
            </w:r>
            <w:r>
              <w:rPr>
                <w:rFonts w:ascii="Arial"/>
                <w:spacing w:val="-9"/>
                <w:w w:val="115"/>
              </w:rPr>
              <w:t> </w:t>
            </w:r>
            <w:r>
              <w:rPr>
                <w:rFonts w:ascii="Arial"/>
                <w:w w:val="115"/>
              </w:rPr>
              <w:t>through</w:t>
            </w:r>
            <w:r>
              <w:rPr>
                <w:rFonts w:ascii="Arial"/>
                <w:spacing w:val="-9"/>
                <w:w w:val="115"/>
              </w:rPr>
              <w:t> </w:t>
            </w:r>
            <w:r>
              <w:rPr>
                <w:rFonts w:ascii="Arial"/>
                <w:w w:val="115"/>
              </w:rPr>
              <w:t>direct</w:t>
            </w:r>
            <w:r>
              <w:rPr>
                <w:rFonts w:ascii="Arial"/>
                <w:spacing w:val="-9"/>
                <w:w w:val="115"/>
              </w:rPr>
              <w:t> </w:t>
            </w:r>
            <w:r>
              <w:rPr>
                <w:rFonts w:ascii="Arial"/>
                <w:spacing w:val="-2"/>
                <w:w w:val="115"/>
              </w:rPr>
              <w:t>effect</w:t>
            </w:r>
            <w:r>
              <w:rPr>
                <w:rFonts w:ascii="Arial"/>
              </w:rPr>
              <w:tab/>
            </w:r>
            <w:r>
              <w:rPr>
                <w:rFonts w:ascii="Arial"/>
                <w:spacing w:val="-5"/>
                <w:w w:val="115"/>
              </w:rPr>
              <w:t>69</w:t>
            </w:r>
          </w:hyperlink>
        </w:p>
        <w:p>
          <w:pPr>
            <w:pStyle w:val="TOC3"/>
            <w:numPr>
              <w:ilvl w:val="1"/>
              <w:numId w:val="4"/>
            </w:numPr>
            <w:tabs>
              <w:tab w:pos="963" w:val="left" w:leader="none"/>
              <w:tab w:pos="9468" w:val="left" w:leader="none"/>
            </w:tabs>
            <w:spacing w:line="327" w:lineRule="exact" w:before="0" w:after="0"/>
            <w:ind w:left="963" w:right="0" w:hanging="396"/>
            <w:jc w:val="left"/>
          </w:pPr>
          <w:hyperlink w:history="true" w:anchor="_bookmark29">
            <w:r>
              <w:rPr/>
              <w:t>Consistent</w:t>
            </w:r>
            <w:r>
              <w:rPr>
                <w:spacing w:val="8"/>
              </w:rPr>
              <w:t> </w:t>
            </w:r>
            <w:r>
              <w:rPr>
                <w:spacing w:val="-2"/>
              </w:rPr>
              <w:t>Interpretation</w:t>
            </w:r>
            <w:r>
              <w:rPr>
                <w:rFonts w:ascii="Times New Roman"/>
              </w:rPr>
              <w:tab/>
            </w:r>
            <w:r>
              <w:rPr>
                <w:spacing w:val="-5"/>
              </w:rPr>
              <w:t>72</w:t>
            </w:r>
          </w:hyperlink>
        </w:p>
        <w:p>
          <w:pPr>
            <w:pStyle w:val="TOC3"/>
            <w:numPr>
              <w:ilvl w:val="1"/>
              <w:numId w:val="4"/>
            </w:numPr>
            <w:tabs>
              <w:tab w:pos="964" w:val="left" w:leader="none"/>
              <w:tab w:pos="9467" w:val="left" w:leader="none"/>
            </w:tabs>
            <w:spacing w:line="300" w:lineRule="exact" w:before="0" w:after="0"/>
            <w:ind w:left="964" w:right="0" w:hanging="397"/>
            <w:jc w:val="left"/>
          </w:pPr>
          <w:hyperlink w:history="true" w:anchor="_bookmark30">
            <w:r>
              <w:rPr/>
              <w:t>Reparation</w:t>
            </w:r>
            <w:r>
              <w:rPr>
                <w:spacing w:val="15"/>
              </w:rPr>
              <w:t> </w:t>
            </w:r>
            <w:r>
              <w:rPr/>
              <w:t>through</w:t>
            </w:r>
            <w:r>
              <w:rPr>
                <w:spacing w:val="15"/>
              </w:rPr>
              <w:t> </w:t>
            </w:r>
            <w:r>
              <w:rPr/>
              <w:t>state</w:t>
            </w:r>
            <w:r>
              <w:rPr>
                <w:spacing w:val="16"/>
              </w:rPr>
              <w:t> </w:t>
            </w:r>
            <w:r>
              <w:rPr/>
              <w:t>liability</w:t>
            </w:r>
            <w:r>
              <w:rPr>
                <w:spacing w:val="15"/>
              </w:rPr>
              <w:t> </w:t>
            </w:r>
            <w:r>
              <w:rPr/>
              <w:t>and</w:t>
            </w:r>
            <w:r>
              <w:rPr>
                <w:spacing w:val="15"/>
              </w:rPr>
              <w:t> </w:t>
            </w:r>
            <w:r>
              <w:rPr/>
              <w:t>Article</w:t>
            </w:r>
            <w:r>
              <w:rPr>
                <w:spacing w:val="16"/>
              </w:rPr>
              <w:t> </w:t>
            </w:r>
            <w:r>
              <w:rPr>
                <w:spacing w:val="-5"/>
              </w:rPr>
              <w:t>47</w:t>
            </w:r>
            <w:r>
              <w:rPr>
                <w:rFonts w:ascii="Times New Roman"/>
              </w:rPr>
              <w:tab/>
            </w:r>
            <w:r>
              <w:rPr>
                <w:spacing w:val="-5"/>
              </w:rPr>
              <w:t>74</w:t>
            </w:r>
          </w:hyperlink>
        </w:p>
        <w:p>
          <w:pPr>
            <w:pStyle w:val="TOC2"/>
            <w:numPr>
              <w:ilvl w:val="0"/>
              <w:numId w:val="4"/>
            </w:numPr>
            <w:tabs>
              <w:tab w:pos="567" w:val="left" w:leader="none"/>
            </w:tabs>
            <w:spacing w:line="319" w:lineRule="exact" w:before="0" w:after="0"/>
            <w:ind w:left="567" w:right="0" w:hanging="454"/>
            <w:jc w:val="left"/>
          </w:pPr>
          <w:hyperlink w:history="true" w:anchor="_bookmark31">
            <w:r>
              <w:rPr/>
              <w:t>The</w:t>
            </w:r>
            <w:r>
              <w:rPr>
                <w:spacing w:val="12"/>
              </w:rPr>
              <w:t> </w:t>
            </w:r>
            <w:r>
              <w:rPr/>
              <w:t>Continued</w:t>
            </w:r>
            <w:r>
              <w:rPr>
                <w:spacing w:val="13"/>
              </w:rPr>
              <w:t> </w:t>
            </w:r>
            <w:r>
              <w:rPr/>
              <w:t>Effects</w:t>
            </w:r>
            <w:r>
              <w:rPr>
                <w:spacing w:val="13"/>
              </w:rPr>
              <w:t> </w:t>
            </w:r>
            <w:r>
              <w:rPr/>
              <w:t>of</w:t>
            </w:r>
            <w:r>
              <w:rPr>
                <w:spacing w:val="12"/>
              </w:rPr>
              <w:t> </w:t>
            </w:r>
            <w:r>
              <w:rPr/>
              <w:t>the</w:t>
            </w:r>
            <w:r>
              <w:rPr>
                <w:spacing w:val="13"/>
              </w:rPr>
              <w:t> </w:t>
            </w:r>
            <w:r>
              <w:rPr/>
              <w:t>Charter</w:t>
            </w:r>
            <w:r>
              <w:rPr>
                <w:spacing w:val="13"/>
              </w:rPr>
              <w:t> </w:t>
            </w:r>
            <w:r>
              <w:rPr/>
              <w:t>under</w:t>
            </w:r>
            <w:r>
              <w:rPr>
                <w:spacing w:val="13"/>
              </w:rPr>
              <w:t> </w:t>
            </w:r>
            <w:r>
              <w:rPr/>
              <w:t>Art</w:t>
            </w:r>
            <w:r>
              <w:rPr>
                <w:spacing w:val="12"/>
              </w:rPr>
              <w:t> </w:t>
            </w:r>
            <w:r>
              <w:rPr/>
              <w:t>4</w:t>
            </w:r>
            <w:r>
              <w:rPr>
                <w:spacing w:val="13"/>
              </w:rPr>
              <w:t> </w:t>
            </w:r>
            <w:r>
              <w:rPr/>
              <w:t>and</w:t>
            </w:r>
            <w:r>
              <w:rPr>
                <w:spacing w:val="13"/>
              </w:rPr>
              <w:t> </w:t>
            </w:r>
            <w:r>
              <w:rPr/>
              <w:t>the</w:t>
            </w:r>
            <w:r>
              <w:rPr>
                <w:spacing w:val="12"/>
              </w:rPr>
              <w:t> </w:t>
            </w:r>
            <w:r>
              <w:rPr/>
              <w:t>Annex</w:t>
            </w:r>
            <w:r>
              <w:rPr>
                <w:spacing w:val="13"/>
              </w:rPr>
              <w:t> </w:t>
            </w:r>
            <w:r>
              <w:rPr>
                <w:spacing w:val="-10"/>
                <w:w w:val="95"/>
              </w:rPr>
              <w:t>1</w:t>
            </w:r>
          </w:hyperlink>
        </w:p>
        <w:p>
          <w:pPr>
            <w:pStyle w:val="TOC3"/>
            <w:tabs>
              <w:tab w:pos="9467" w:val="left" w:leader="none"/>
            </w:tabs>
            <w:spacing w:line="261" w:lineRule="exact"/>
            <w:ind w:left="567" w:firstLine="0"/>
            <w:rPr>
              <w:rFonts w:ascii="Arial"/>
            </w:rPr>
          </w:pPr>
          <w:hyperlink w:history="true" w:anchor="_bookmark31">
            <w:r>
              <w:rPr>
                <w:rFonts w:ascii="Arial"/>
                <w:spacing w:val="-2"/>
                <w:w w:val="110"/>
              </w:rPr>
              <w:t>Directives</w:t>
            </w:r>
            <w:r>
              <w:rPr>
                <w:rFonts w:ascii="Arial"/>
              </w:rPr>
              <w:tab/>
            </w:r>
            <w:r>
              <w:rPr>
                <w:rFonts w:ascii="Arial"/>
                <w:spacing w:val="-7"/>
                <w:w w:val="110"/>
              </w:rPr>
              <w:t>75</w:t>
            </w:r>
          </w:hyperlink>
        </w:p>
        <w:p>
          <w:pPr>
            <w:pStyle w:val="TOC3"/>
            <w:numPr>
              <w:ilvl w:val="1"/>
              <w:numId w:val="4"/>
            </w:numPr>
            <w:tabs>
              <w:tab w:pos="963" w:val="left" w:leader="none"/>
              <w:tab w:pos="9467" w:val="left" w:leader="none"/>
            </w:tabs>
            <w:spacing w:line="240" w:lineRule="auto" w:before="24" w:after="0"/>
            <w:ind w:left="963" w:right="0" w:hanging="396"/>
            <w:jc w:val="left"/>
            <w:rPr>
              <w:rFonts w:ascii="Arial"/>
            </w:rPr>
          </w:pPr>
          <w:hyperlink w:history="true" w:anchor="_bookmark31">
            <w:r>
              <w:rPr>
                <w:rFonts w:ascii="Arial"/>
                <w:w w:val="110"/>
              </w:rPr>
              <w:t>Disapplication</w:t>
            </w:r>
            <w:r>
              <w:rPr>
                <w:rFonts w:ascii="Arial"/>
                <w:spacing w:val="17"/>
                <w:w w:val="110"/>
              </w:rPr>
              <w:t> </w:t>
            </w:r>
            <w:r>
              <w:rPr>
                <w:rFonts w:ascii="Arial"/>
                <w:w w:val="110"/>
              </w:rPr>
              <w:t>and</w:t>
            </w:r>
            <w:r>
              <w:rPr>
                <w:rFonts w:ascii="Arial"/>
                <w:spacing w:val="18"/>
                <w:w w:val="110"/>
              </w:rPr>
              <w:t> </w:t>
            </w:r>
            <w:r>
              <w:rPr>
                <w:rFonts w:ascii="Arial"/>
                <w:w w:val="110"/>
              </w:rPr>
              <w:t>state</w:t>
            </w:r>
            <w:r>
              <w:rPr>
                <w:rFonts w:ascii="Arial"/>
                <w:spacing w:val="17"/>
                <w:w w:val="110"/>
              </w:rPr>
              <w:t> </w:t>
            </w:r>
            <w:r>
              <w:rPr>
                <w:rFonts w:ascii="Arial"/>
                <w:spacing w:val="-2"/>
                <w:w w:val="110"/>
              </w:rPr>
              <w:t>liability</w:t>
            </w:r>
            <w:r>
              <w:rPr>
                <w:rFonts w:ascii="Arial"/>
              </w:rPr>
              <w:tab/>
            </w:r>
            <w:r>
              <w:rPr>
                <w:rFonts w:ascii="Arial"/>
                <w:spacing w:val="-5"/>
                <w:w w:val="115"/>
              </w:rPr>
              <w:t>75</w:t>
            </w:r>
          </w:hyperlink>
        </w:p>
        <w:p>
          <w:pPr>
            <w:pStyle w:val="TOC3"/>
            <w:numPr>
              <w:ilvl w:val="1"/>
              <w:numId w:val="4"/>
            </w:numPr>
            <w:tabs>
              <w:tab w:pos="963" w:val="left" w:leader="none"/>
            </w:tabs>
            <w:spacing w:line="240" w:lineRule="auto" w:before="24" w:after="0"/>
            <w:ind w:left="963" w:right="0" w:hanging="396"/>
            <w:jc w:val="left"/>
            <w:rPr>
              <w:rFonts w:ascii="Arial"/>
            </w:rPr>
          </w:pPr>
          <w:hyperlink w:history="true" w:anchor="_bookmark32">
            <w:r>
              <w:rPr>
                <w:rFonts w:ascii="Arial"/>
                <w:spacing w:val="-2"/>
                <w:w w:val="115"/>
              </w:rPr>
              <w:t>Consistent</w:t>
            </w:r>
            <w:r>
              <w:rPr>
                <w:rFonts w:ascii="Arial"/>
                <w:spacing w:val="-8"/>
                <w:w w:val="115"/>
              </w:rPr>
              <w:t> </w:t>
            </w:r>
            <w:r>
              <w:rPr>
                <w:rFonts w:ascii="Arial"/>
                <w:spacing w:val="-2"/>
                <w:w w:val="115"/>
              </w:rPr>
              <w:t>interpretation</w:t>
            </w:r>
            <w:r>
              <w:rPr>
                <w:rFonts w:ascii="Arial"/>
                <w:spacing w:val="-8"/>
                <w:w w:val="115"/>
              </w:rPr>
              <w:t> </w:t>
            </w:r>
            <w:r>
              <w:rPr>
                <w:rFonts w:ascii="Arial"/>
                <w:spacing w:val="-2"/>
                <w:w w:val="115"/>
              </w:rPr>
              <w:t>of</w:t>
            </w:r>
            <w:r>
              <w:rPr>
                <w:rFonts w:ascii="Arial"/>
                <w:spacing w:val="-8"/>
                <w:w w:val="115"/>
              </w:rPr>
              <w:t> </w:t>
            </w:r>
            <w:r>
              <w:rPr>
                <w:rFonts w:ascii="Arial"/>
                <w:spacing w:val="-2"/>
                <w:w w:val="115"/>
              </w:rPr>
              <w:t>EU</w:t>
            </w:r>
            <w:r>
              <w:rPr>
                <w:rFonts w:ascii="Arial"/>
                <w:spacing w:val="-8"/>
                <w:w w:val="115"/>
              </w:rPr>
              <w:t> </w:t>
            </w:r>
            <w:r>
              <w:rPr>
                <w:rFonts w:ascii="Arial"/>
                <w:spacing w:val="-2"/>
                <w:w w:val="115"/>
              </w:rPr>
              <w:t>and</w:t>
            </w:r>
            <w:r>
              <w:rPr>
                <w:rFonts w:ascii="Arial"/>
                <w:spacing w:val="-7"/>
                <w:w w:val="115"/>
              </w:rPr>
              <w:t> </w:t>
            </w:r>
            <w:r>
              <w:rPr>
                <w:rFonts w:ascii="Arial"/>
                <w:spacing w:val="-2"/>
                <w:w w:val="115"/>
              </w:rPr>
              <w:t>implementing</w:t>
            </w:r>
            <w:r>
              <w:rPr>
                <w:rFonts w:ascii="Arial"/>
                <w:spacing w:val="-8"/>
                <w:w w:val="115"/>
              </w:rPr>
              <w:t> </w:t>
            </w:r>
            <w:r>
              <w:rPr>
                <w:rFonts w:ascii="Arial"/>
                <w:spacing w:val="-2"/>
                <w:w w:val="115"/>
              </w:rPr>
              <w:t>legislation</w:t>
            </w:r>
          </w:hyperlink>
        </w:p>
        <w:p>
          <w:pPr>
            <w:pStyle w:val="TOC4"/>
            <w:tabs>
              <w:tab w:pos="9465" w:val="left" w:leader="none"/>
            </w:tabs>
            <w:spacing w:before="24"/>
            <w:rPr>
              <w:rFonts w:ascii="Arial"/>
            </w:rPr>
          </w:pPr>
          <w:hyperlink w:history="true" w:anchor="_bookmark32">
            <w:r>
              <w:rPr>
                <w:rFonts w:ascii="Arial"/>
                <w:w w:val="115"/>
              </w:rPr>
              <w:t>with</w:t>
            </w:r>
            <w:r>
              <w:rPr>
                <w:rFonts w:ascii="Arial"/>
                <w:spacing w:val="5"/>
                <w:w w:val="115"/>
              </w:rPr>
              <w:t> </w:t>
            </w:r>
            <w:r>
              <w:rPr>
                <w:rFonts w:ascii="Arial"/>
                <w:w w:val="115"/>
              </w:rPr>
              <w:t>the</w:t>
            </w:r>
            <w:r>
              <w:rPr>
                <w:rFonts w:ascii="Arial"/>
                <w:spacing w:val="6"/>
                <w:w w:val="115"/>
              </w:rPr>
              <w:t> </w:t>
            </w:r>
            <w:r>
              <w:rPr>
                <w:rFonts w:ascii="Arial"/>
                <w:spacing w:val="-2"/>
                <w:w w:val="115"/>
              </w:rPr>
              <w:t>Charter</w:t>
            </w:r>
            <w:r>
              <w:rPr>
                <w:rFonts w:ascii="Arial"/>
              </w:rPr>
              <w:tab/>
            </w:r>
            <w:r>
              <w:rPr>
                <w:rFonts w:ascii="Arial"/>
                <w:spacing w:val="-5"/>
                <w:w w:val="115"/>
              </w:rPr>
              <w:t>77</w:t>
            </w:r>
          </w:hyperlink>
        </w:p>
        <w:p>
          <w:pPr>
            <w:pStyle w:val="TOC1"/>
            <w:tabs>
              <w:tab w:pos="9498" w:val="left" w:leader="none"/>
            </w:tabs>
            <w:spacing w:before="132"/>
          </w:pPr>
          <w:hyperlink w:history="true" w:anchor="_bookmark33">
            <w:r>
              <w:rPr>
                <w:color w:val="77328A"/>
              </w:rPr>
              <w:t>Chapter</w:t>
            </w:r>
            <w:r>
              <w:rPr>
                <w:color w:val="77328A"/>
                <w:spacing w:val="1"/>
              </w:rPr>
              <w:t> </w:t>
            </w:r>
            <w:r>
              <w:rPr>
                <w:color w:val="77328A"/>
              </w:rPr>
              <w:t>5:</w:t>
            </w:r>
            <w:r>
              <w:rPr>
                <w:color w:val="77328A"/>
                <w:spacing w:val="1"/>
              </w:rPr>
              <w:t> </w:t>
            </w:r>
            <w:r>
              <w:rPr>
                <w:color w:val="77328A"/>
              </w:rPr>
              <w:t>Post-Brexit</w:t>
            </w:r>
            <w:r>
              <w:rPr>
                <w:color w:val="77328A"/>
                <w:spacing w:val="1"/>
              </w:rPr>
              <w:t> </w:t>
            </w:r>
            <w:r>
              <w:rPr>
                <w:color w:val="77328A"/>
              </w:rPr>
              <w:t>Developments</w:t>
            </w:r>
            <w:r>
              <w:rPr>
                <w:color w:val="77328A"/>
                <w:spacing w:val="1"/>
              </w:rPr>
              <w:t> </w:t>
            </w:r>
            <w:r>
              <w:rPr>
                <w:color w:val="77328A"/>
              </w:rPr>
              <w:t>and the</w:t>
            </w:r>
            <w:r>
              <w:rPr>
                <w:color w:val="77328A"/>
                <w:spacing w:val="1"/>
              </w:rPr>
              <w:t> </w:t>
            </w:r>
            <w:r>
              <w:rPr>
                <w:color w:val="77328A"/>
                <w:spacing w:val="-2"/>
              </w:rPr>
              <w:t>Charter</w:t>
            </w:r>
            <w:r>
              <w:rPr>
                <w:color w:val="77328A"/>
              </w:rPr>
              <w:tab/>
            </w:r>
            <w:r>
              <w:rPr>
                <w:color w:val="77328A"/>
                <w:spacing w:val="-5"/>
              </w:rPr>
              <w:t>81</w:t>
            </w:r>
          </w:hyperlink>
        </w:p>
        <w:p>
          <w:pPr>
            <w:pStyle w:val="TOC2"/>
            <w:numPr>
              <w:ilvl w:val="0"/>
              <w:numId w:val="5"/>
            </w:numPr>
            <w:tabs>
              <w:tab w:pos="567" w:val="left" w:leader="none"/>
              <w:tab w:pos="9514" w:val="left" w:leader="none"/>
            </w:tabs>
            <w:spacing w:line="334" w:lineRule="exact" w:before="44" w:after="0"/>
            <w:ind w:left="567" w:right="0" w:hanging="454"/>
            <w:jc w:val="left"/>
          </w:pPr>
          <w:hyperlink w:history="true" w:anchor="_bookmark33">
            <w:r>
              <w:rPr/>
              <w:t>Introductory</w:t>
            </w:r>
            <w:r>
              <w:rPr>
                <w:spacing w:val="45"/>
              </w:rPr>
              <w:t> </w:t>
            </w:r>
            <w:r>
              <w:rPr>
                <w:spacing w:val="-2"/>
              </w:rPr>
              <w:t>remarks</w:t>
            </w:r>
            <w:r>
              <w:rPr>
                <w:rFonts w:ascii="Times New Roman"/>
              </w:rPr>
              <w:tab/>
            </w:r>
            <w:r>
              <w:rPr>
                <w:spacing w:val="-5"/>
              </w:rPr>
              <w:t>81</w:t>
            </w:r>
          </w:hyperlink>
        </w:p>
        <w:p>
          <w:pPr>
            <w:pStyle w:val="TOC2"/>
            <w:numPr>
              <w:ilvl w:val="0"/>
              <w:numId w:val="5"/>
            </w:numPr>
            <w:tabs>
              <w:tab w:pos="567" w:val="left" w:leader="none"/>
              <w:tab w:pos="9514" w:val="left" w:leader="none"/>
            </w:tabs>
            <w:spacing w:line="300" w:lineRule="exact" w:before="0" w:after="0"/>
            <w:ind w:left="567" w:right="0" w:hanging="454"/>
            <w:jc w:val="left"/>
          </w:pPr>
          <w:hyperlink w:history="true" w:anchor="_bookmark33">
            <w:r>
              <w:rPr/>
              <w:t>The</w:t>
            </w:r>
            <w:r>
              <w:rPr>
                <w:spacing w:val="11"/>
              </w:rPr>
              <w:t> </w:t>
            </w:r>
            <w:r>
              <w:rPr/>
              <w:t>‘Dynamic</w:t>
            </w:r>
            <w:r>
              <w:rPr>
                <w:spacing w:val="12"/>
              </w:rPr>
              <w:t> </w:t>
            </w:r>
            <w:r>
              <w:rPr/>
              <w:t>Alignment’</w:t>
            </w:r>
            <w:r>
              <w:rPr>
                <w:spacing w:val="11"/>
              </w:rPr>
              <w:t> </w:t>
            </w:r>
            <w:r>
              <w:rPr>
                <w:spacing w:val="-2"/>
              </w:rPr>
              <w:t>Obligation</w:t>
            </w:r>
            <w:r>
              <w:rPr>
                <w:rFonts w:ascii="Times New Roman" w:hAnsi="Times New Roman"/>
              </w:rPr>
              <w:tab/>
            </w:r>
            <w:r>
              <w:rPr>
                <w:spacing w:val="-5"/>
              </w:rPr>
              <w:t>81</w:t>
            </w:r>
          </w:hyperlink>
        </w:p>
        <w:p>
          <w:pPr>
            <w:pStyle w:val="TOC2"/>
            <w:numPr>
              <w:ilvl w:val="0"/>
              <w:numId w:val="5"/>
            </w:numPr>
            <w:tabs>
              <w:tab w:pos="567" w:val="left" w:leader="none"/>
            </w:tabs>
            <w:spacing w:line="300" w:lineRule="exact" w:before="0" w:after="0"/>
            <w:ind w:left="567" w:right="0" w:hanging="454"/>
            <w:jc w:val="left"/>
          </w:pPr>
          <w:hyperlink w:history="true" w:anchor="_bookmark34">
            <w:r>
              <w:rPr>
                <w:w w:val="105"/>
              </w:rPr>
              <w:t>Post-Brexit</w:t>
            </w:r>
            <w:r>
              <w:rPr>
                <w:spacing w:val="-20"/>
                <w:w w:val="105"/>
              </w:rPr>
              <w:t> </w:t>
            </w:r>
            <w:r>
              <w:rPr>
                <w:w w:val="105"/>
              </w:rPr>
              <w:t>EU</w:t>
            </w:r>
            <w:r>
              <w:rPr>
                <w:spacing w:val="-20"/>
                <w:w w:val="105"/>
              </w:rPr>
              <w:t> </w:t>
            </w:r>
            <w:r>
              <w:rPr>
                <w:w w:val="105"/>
              </w:rPr>
              <w:t>law</w:t>
            </w:r>
            <w:r>
              <w:rPr>
                <w:spacing w:val="-20"/>
                <w:w w:val="105"/>
              </w:rPr>
              <w:t> </w:t>
            </w:r>
            <w:r>
              <w:rPr>
                <w:w w:val="105"/>
              </w:rPr>
              <w:t>that</w:t>
            </w:r>
            <w:r>
              <w:rPr>
                <w:spacing w:val="-20"/>
                <w:w w:val="105"/>
              </w:rPr>
              <w:t> </w:t>
            </w:r>
            <w:r>
              <w:rPr>
                <w:w w:val="105"/>
              </w:rPr>
              <w:t>neither</w:t>
            </w:r>
            <w:r>
              <w:rPr>
                <w:spacing w:val="-20"/>
                <w:w w:val="105"/>
              </w:rPr>
              <w:t> </w:t>
            </w:r>
            <w:r>
              <w:rPr>
                <w:w w:val="105"/>
              </w:rPr>
              <w:t>amends</w:t>
            </w:r>
            <w:r>
              <w:rPr>
                <w:spacing w:val="-20"/>
                <w:w w:val="105"/>
              </w:rPr>
              <w:t> </w:t>
            </w:r>
            <w:r>
              <w:rPr>
                <w:w w:val="105"/>
              </w:rPr>
              <w:t>nor</w:t>
            </w:r>
            <w:r>
              <w:rPr>
                <w:spacing w:val="-19"/>
                <w:w w:val="105"/>
              </w:rPr>
              <w:t> </w:t>
            </w:r>
            <w:r>
              <w:rPr>
                <w:w w:val="105"/>
              </w:rPr>
              <w:t>replaces</w:t>
            </w:r>
            <w:r>
              <w:rPr>
                <w:spacing w:val="-20"/>
                <w:w w:val="105"/>
              </w:rPr>
              <w:t> </w:t>
            </w:r>
            <w:r>
              <w:rPr>
                <w:w w:val="105"/>
              </w:rPr>
              <w:t>EU</w:t>
            </w:r>
            <w:r>
              <w:rPr>
                <w:spacing w:val="-20"/>
                <w:w w:val="105"/>
              </w:rPr>
              <w:t> </w:t>
            </w:r>
            <w:r>
              <w:rPr>
                <w:spacing w:val="-5"/>
                <w:w w:val="105"/>
              </w:rPr>
              <w:t>law</w:t>
            </w:r>
          </w:hyperlink>
        </w:p>
        <w:p>
          <w:pPr>
            <w:pStyle w:val="TOC3"/>
            <w:tabs>
              <w:tab w:pos="9453" w:val="left" w:leader="none"/>
            </w:tabs>
            <w:ind w:left="567" w:firstLine="0"/>
          </w:pPr>
          <w:hyperlink w:history="true" w:anchor="_bookmark34">
            <w:r>
              <w:rPr>
                <w:spacing w:val="-2"/>
                <w:w w:val="105"/>
              </w:rPr>
              <w:t>referenced</w:t>
            </w:r>
            <w:r>
              <w:rPr>
                <w:spacing w:val="-11"/>
                <w:w w:val="105"/>
              </w:rPr>
              <w:t> </w:t>
            </w:r>
            <w:r>
              <w:rPr>
                <w:spacing w:val="-2"/>
                <w:w w:val="105"/>
              </w:rPr>
              <w:t>in</w:t>
            </w:r>
            <w:r>
              <w:rPr>
                <w:spacing w:val="-10"/>
                <w:w w:val="105"/>
              </w:rPr>
              <w:t> </w:t>
            </w:r>
            <w:r>
              <w:rPr>
                <w:spacing w:val="-2"/>
                <w:w w:val="105"/>
              </w:rPr>
              <w:t>the</w:t>
            </w:r>
            <w:r>
              <w:rPr>
                <w:spacing w:val="-10"/>
                <w:w w:val="105"/>
              </w:rPr>
              <w:t> </w:t>
            </w:r>
            <w:r>
              <w:rPr>
                <w:spacing w:val="-2"/>
                <w:w w:val="105"/>
              </w:rPr>
              <w:t>Windsor</w:t>
            </w:r>
            <w:r>
              <w:rPr>
                <w:spacing w:val="-10"/>
                <w:w w:val="105"/>
              </w:rPr>
              <w:t> </w:t>
            </w:r>
            <w:r>
              <w:rPr>
                <w:spacing w:val="-2"/>
                <w:w w:val="105"/>
              </w:rPr>
              <w:t>Framework</w:t>
            </w:r>
            <w:r>
              <w:rPr>
                <w:rFonts w:ascii="Times New Roman"/>
              </w:rPr>
              <w:tab/>
            </w:r>
            <w:r>
              <w:rPr>
                <w:spacing w:val="-5"/>
                <w:w w:val="105"/>
              </w:rPr>
              <w:t>83</w:t>
            </w:r>
          </w:hyperlink>
        </w:p>
        <w:p>
          <w:pPr>
            <w:pStyle w:val="TOC2"/>
            <w:numPr>
              <w:ilvl w:val="0"/>
              <w:numId w:val="5"/>
            </w:numPr>
            <w:tabs>
              <w:tab w:pos="567" w:val="left" w:leader="none"/>
              <w:tab w:pos="9439" w:val="left" w:leader="none"/>
            </w:tabs>
            <w:spacing w:line="300" w:lineRule="exact" w:before="0" w:after="0"/>
            <w:ind w:left="567" w:right="0" w:hanging="454"/>
            <w:jc w:val="left"/>
          </w:pPr>
          <w:hyperlink w:history="true" w:anchor="_bookmark35">
            <w:r>
              <w:rPr>
                <w:spacing w:val="-2"/>
                <w:w w:val="105"/>
              </w:rPr>
              <w:t>The</w:t>
            </w:r>
            <w:r>
              <w:rPr>
                <w:spacing w:val="-12"/>
                <w:w w:val="105"/>
              </w:rPr>
              <w:t> </w:t>
            </w:r>
            <w:r>
              <w:rPr>
                <w:spacing w:val="-2"/>
                <w:w w:val="105"/>
              </w:rPr>
              <w:t>Stormont</w:t>
            </w:r>
            <w:r>
              <w:rPr>
                <w:spacing w:val="-11"/>
                <w:w w:val="105"/>
              </w:rPr>
              <w:t> </w:t>
            </w:r>
            <w:r>
              <w:rPr>
                <w:spacing w:val="-2"/>
                <w:w w:val="105"/>
              </w:rPr>
              <w:t>brake</w:t>
            </w:r>
            <w:r>
              <w:rPr>
                <w:rFonts w:ascii="Times New Roman"/>
              </w:rPr>
              <w:tab/>
            </w:r>
            <w:r>
              <w:rPr>
                <w:spacing w:val="-5"/>
                <w:w w:val="105"/>
              </w:rPr>
              <w:t>84</w:t>
            </w:r>
          </w:hyperlink>
        </w:p>
        <w:p>
          <w:pPr>
            <w:pStyle w:val="TOC2"/>
            <w:numPr>
              <w:ilvl w:val="0"/>
              <w:numId w:val="5"/>
            </w:numPr>
            <w:tabs>
              <w:tab w:pos="567" w:val="left" w:leader="none"/>
              <w:tab w:pos="9439" w:val="left" w:leader="none"/>
            </w:tabs>
            <w:spacing w:line="300" w:lineRule="exact" w:before="0" w:after="0"/>
            <w:ind w:left="567" w:right="0" w:hanging="454"/>
            <w:jc w:val="left"/>
          </w:pPr>
          <w:hyperlink w:history="true" w:anchor="_bookmark35">
            <w:r>
              <w:rPr/>
              <w:t>How</w:t>
            </w:r>
            <w:r>
              <w:rPr>
                <w:spacing w:val="14"/>
              </w:rPr>
              <w:t> </w:t>
            </w:r>
            <w:r>
              <w:rPr/>
              <w:t>the</w:t>
            </w:r>
            <w:r>
              <w:rPr>
                <w:spacing w:val="15"/>
              </w:rPr>
              <w:t> </w:t>
            </w:r>
            <w:r>
              <w:rPr/>
              <w:t>Stormont</w:t>
            </w:r>
            <w:r>
              <w:rPr>
                <w:spacing w:val="14"/>
              </w:rPr>
              <w:t> </w:t>
            </w:r>
            <w:r>
              <w:rPr/>
              <w:t>Brake</w:t>
            </w:r>
            <w:r>
              <w:rPr>
                <w:spacing w:val="15"/>
              </w:rPr>
              <w:t> </w:t>
            </w:r>
            <w:r>
              <w:rPr/>
              <w:t>functions</w:t>
            </w:r>
            <w:r>
              <w:rPr>
                <w:spacing w:val="14"/>
              </w:rPr>
              <w:t> </w:t>
            </w:r>
            <w:r>
              <w:rPr/>
              <w:t>in</w:t>
            </w:r>
            <w:r>
              <w:rPr>
                <w:spacing w:val="15"/>
              </w:rPr>
              <w:t> </w:t>
            </w:r>
            <w:r>
              <w:rPr>
                <w:spacing w:val="-2"/>
              </w:rPr>
              <w:t>practice</w:t>
            </w:r>
            <w:r>
              <w:rPr>
                <w:rFonts w:ascii="Times New Roman"/>
              </w:rPr>
              <w:tab/>
            </w:r>
            <w:r>
              <w:rPr>
                <w:spacing w:val="-5"/>
              </w:rPr>
              <w:t>84</w:t>
            </w:r>
          </w:hyperlink>
        </w:p>
        <w:p>
          <w:pPr>
            <w:pStyle w:val="TOC2"/>
            <w:numPr>
              <w:ilvl w:val="0"/>
              <w:numId w:val="5"/>
            </w:numPr>
            <w:tabs>
              <w:tab w:pos="567" w:val="left" w:leader="none"/>
              <w:tab w:pos="9453" w:val="left" w:leader="none"/>
            </w:tabs>
            <w:spacing w:line="300" w:lineRule="exact" w:before="0" w:after="0"/>
            <w:ind w:left="567" w:right="0" w:hanging="454"/>
            <w:jc w:val="left"/>
          </w:pPr>
          <w:hyperlink w:history="true" w:anchor="_bookmark36">
            <w:r>
              <w:rPr/>
              <w:t>Dynamic</w:t>
            </w:r>
            <w:r>
              <w:rPr>
                <w:spacing w:val="20"/>
              </w:rPr>
              <w:t> </w:t>
            </w:r>
            <w:r>
              <w:rPr/>
              <w:t>alignment</w:t>
            </w:r>
            <w:r>
              <w:rPr>
                <w:spacing w:val="21"/>
              </w:rPr>
              <w:t> </w:t>
            </w:r>
            <w:r>
              <w:rPr/>
              <w:t>and</w:t>
            </w:r>
            <w:r>
              <w:rPr>
                <w:spacing w:val="21"/>
              </w:rPr>
              <w:t> </w:t>
            </w:r>
            <w:r>
              <w:rPr/>
              <w:t>Article</w:t>
            </w:r>
            <w:r>
              <w:rPr>
                <w:spacing w:val="21"/>
              </w:rPr>
              <w:t> </w:t>
            </w:r>
            <w:r>
              <w:rPr/>
              <w:t>2</w:t>
            </w:r>
            <w:r>
              <w:rPr>
                <w:spacing w:val="20"/>
              </w:rPr>
              <w:t> </w:t>
            </w:r>
            <w:r>
              <w:rPr/>
              <w:t>Windsor</w:t>
            </w:r>
            <w:r>
              <w:rPr>
                <w:spacing w:val="21"/>
              </w:rPr>
              <w:t> </w:t>
            </w:r>
            <w:r>
              <w:rPr>
                <w:spacing w:val="-2"/>
              </w:rPr>
              <w:t>Framework?</w:t>
            </w:r>
            <w:r>
              <w:rPr>
                <w:rFonts w:ascii="Times New Roman"/>
              </w:rPr>
              <w:tab/>
            </w:r>
            <w:r>
              <w:rPr>
                <w:spacing w:val="-5"/>
              </w:rPr>
              <w:t>85</w:t>
            </w:r>
          </w:hyperlink>
        </w:p>
        <w:p>
          <w:pPr>
            <w:pStyle w:val="TOC2"/>
            <w:numPr>
              <w:ilvl w:val="0"/>
              <w:numId w:val="5"/>
            </w:numPr>
            <w:tabs>
              <w:tab w:pos="567" w:val="left" w:leader="none"/>
              <w:tab w:pos="9446" w:val="left" w:leader="none"/>
            </w:tabs>
            <w:spacing w:line="334" w:lineRule="exact" w:before="0" w:after="0"/>
            <w:ind w:left="567" w:right="0" w:hanging="454"/>
            <w:jc w:val="left"/>
          </w:pPr>
          <w:hyperlink w:history="true" w:anchor="_bookmark37">
            <w:r>
              <w:rPr>
                <w:w w:val="105"/>
              </w:rPr>
              <w:t>Relevance</w:t>
            </w:r>
            <w:r>
              <w:rPr>
                <w:spacing w:val="-14"/>
                <w:w w:val="105"/>
              </w:rPr>
              <w:t> </w:t>
            </w:r>
            <w:r>
              <w:rPr>
                <w:w w:val="105"/>
              </w:rPr>
              <w:t>of</w:t>
            </w:r>
            <w:r>
              <w:rPr>
                <w:spacing w:val="-13"/>
                <w:w w:val="105"/>
              </w:rPr>
              <w:t> </w:t>
            </w:r>
            <w:r>
              <w:rPr>
                <w:w w:val="105"/>
              </w:rPr>
              <w:t>Future</w:t>
            </w:r>
            <w:r>
              <w:rPr>
                <w:spacing w:val="-14"/>
                <w:w w:val="105"/>
              </w:rPr>
              <w:t> </w:t>
            </w:r>
            <w:r>
              <w:rPr>
                <w:w w:val="105"/>
              </w:rPr>
              <w:t>Case</w:t>
            </w:r>
            <w:r>
              <w:rPr>
                <w:spacing w:val="-13"/>
                <w:w w:val="105"/>
              </w:rPr>
              <w:t> </w:t>
            </w:r>
            <w:r>
              <w:rPr>
                <w:w w:val="105"/>
              </w:rPr>
              <w:t>Law</w:t>
            </w:r>
            <w:r>
              <w:rPr>
                <w:spacing w:val="-14"/>
                <w:w w:val="105"/>
              </w:rPr>
              <w:t> </w:t>
            </w:r>
            <w:r>
              <w:rPr>
                <w:w w:val="105"/>
              </w:rPr>
              <w:t>in</w:t>
            </w:r>
            <w:r>
              <w:rPr>
                <w:spacing w:val="-13"/>
                <w:w w:val="105"/>
              </w:rPr>
              <w:t> </w:t>
            </w:r>
            <w:r>
              <w:rPr>
                <w:w w:val="105"/>
              </w:rPr>
              <w:t>Domestic</w:t>
            </w:r>
            <w:r>
              <w:rPr>
                <w:spacing w:val="-14"/>
                <w:w w:val="105"/>
              </w:rPr>
              <w:t> </w:t>
            </w:r>
            <w:r>
              <w:rPr>
                <w:spacing w:val="-2"/>
                <w:w w:val="105"/>
              </w:rPr>
              <w:t>Decisions</w:t>
            </w:r>
            <w:r>
              <w:rPr>
                <w:rFonts w:ascii="Times New Roman"/>
              </w:rPr>
              <w:tab/>
            </w:r>
            <w:r>
              <w:rPr>
                <w:spacing w:val="-5"/>
                <w:w w:val="105"/>
              </w:rPr>
              <w:t>89</w:t>
            </w:r>
          </w:hyperlink>
        </w:p>
        <w:p>
          <w:pPr>
            <w:pStyle w:val="TOC1"/>
            <w:tabs>
              <w:tab w:pos="9445" w:val="left" w:leader="none"/>
            </w:tabs>
          </w:pPr>
          <w:hyperlink w:history="true" w:anchor="_bookmark38">
            <w:r>
              <w:rPr>
                <w:color w:val="77328A"/>
                <w:spacing w:val="-2"/>
              </w:rPr>
              <w:t>Conclusion</w:t>
            </w:r>
            <w:r>
              <w:rPr>
                <w:color w:val="77328A"/>
              </w:rPr>
              <w:tab/>
            </w:r>
            <w:r>
              <w:rPr>
                <w:color w:val="77328A"/>
                <w:spacing w:val="-5"/>
              </w:rPr>
              <w:t>92</w:t>
            </w:r>
          </w:hyperlink>
        </w:p>
      </w:sdtContent>
    </w:sdt>
    <w:p>
      <w:pPr>
        <w:spacing w:after="0"/>
        <w:sectPr>
          <w:type w:val="continuous"/>
          <w:pgSz w:w="11910" w:h="16840"/>
          <w:pgMar w:header="568" w:footer="580" w:top="843" w:bottom="1170" w:left="1020" w:right="1020"/>
        </w:sectPr>
      </w:pPr>
    </w:p>
    <w:p>
      <w:pPr>
        <w:pStyle w:val="Heading1"/>
        <w:spacing w:before="734"/>
      </w:pPr>
      <w:bookmarkStart w:name="List of Abbreviations " w:id="1"/>
      <w:bookmarkEnd w:id="1"/>
      <w:r>
        <w:rPr/>
      </w:r>
      <w:bookmarkStart w:name="_bookmark0" w:id="2"/>
      <w:bookmarkEnd w:id="2"/>
      <w:r>
        <w:rPr/>
      </w:r>
      <w:r>
        <w:rPr>
          <w:color w:val="77328A"/>
          <w:w w:val="115"/>
        </w:rPr>
        <w:t>List</w:t>
      </w:r>
      <w:r>
        <w:rPr>
          <w:color w:val="77328A"/>
          <w:spacing w:val="-36"/>
          <w:w w:val="115"/>
        </w:rPr>
        <w:t> </w:t>
      </w:r>
      <w:r>
        <w:rPr>
          <w:color w:val="77328A"/>
          <w:w w:val="115"/>
        </w:rPr>
        <w:t>of</w:t>
      </w:r>
      <w:r>
        <w:rPr>
          <w:color w:val="77328A"/>
          <w:spacing w:val="-36"/>
          <w:w w:val="115"/>
        </w:rPr>
        <w:t> </w:t>
      </w:r>
      <w:r>
        <w:rPr>
          <w:color w:val="77328A"/>
          <w:spacing w:val="-2"/>
          <w:w w:val="115"/>
        </w:rPr>
        <w:t>Abbreviations</w:t>
      </w:r>
    </w:p>
    <w:p>
      <w:pPr>
        <w:pStyle w:val="BodyText"/>
        <w:spacing w:before="174" w:after="1"/>
        <w:ind w:left="0"/>
        <w:rPr>
          <w:rFonts w:ascii="Trebuchet MS"/>
          <w:sz w:val="20"/>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6"/>
        <w:gridCol w:w="7962"/>
      </w:tblGrid>
      <w:tr>
        <w:trPr>
          <w:trHeight w:val="450" w:hRule="atLeast"/>
        </w:trPr>
        <w:tc>
          <w:tcPr>
            <w:tcW w:w="1676" w:type="dxa"/>
            <w:tcBorders>
              <w:bottom w:val="single" w:sz="4" w:space="0" w:color="A881B9"/>
            </w:tcBorders>
          </w:tcPr>
          <w:p>
            <w:pPr>
              <w:pStyle w:val="TableParagraph"/>
              <w:spacing w:line="273" w:lineRule="exact" w:before="0"/>
              <w:rPr>
                <w:rFonts w:ascii="Tahoma"/>
                <w:b/>
                <w:sz w:val="24"/>
              </w:rPr>
            </w:pPr>
            <w:r>
              <w:rPr>
                <w:rFonts w:ascii="Tahoma"/>
                <w:b/>
                <w:color w:val="77328A"/>
                <w:spacing w:val="-2"/>
                <w:sz w:val="24"/>
              </w:rPr>
              <w:t>CFR/Charter</w:t>
            </w:r>
          </w:p>
        </w:tc>
        <w:tc>
          <w:tcPr>
            <w:tcW w:w="7962" w:type="dxa"/>
            <w:tcBorders>
              <w:bottom w:val="single" w:sz="4" w:space="0" w:color="A881B9"/>
            </w:tcBorders>
          </w:tcPr>
          <w:p>
            <w:pPr>
              <w:pStyle w:val="TableParagraph"/>
              <w:spacing w:line="275" w:lineRule="exact" w:before="0"/>
              <w:ind w:left="138"/>
              <w:rPr>
                <w:sz w:val="24"/>
              </w:rPr>
            </w:pPr>
            <w:r>
              <w:rPr>
                <w:w w:val="110"/>
                <w:sz w:val="24"/>
              </w:rPr>
              <w:t>Charter</w:t>
            </w:r>
            <w:r>
              <w:rPr>
                <w:spacing w:val="10"/>
                <w:w w:val="110"/>
                <w:sz w:val="24"/>
              </w:rPr>
              <w:t> </w:t>
            </w:r>
            <w:r>
              <w:rPr>
                <w:w w:val="110"/>
                <w:sz w:val="24"/>
              </w:rPr>
              <w:t>of</w:t>
            </w:r>
            <w:r>
              <w:rPr>
                <w:spacing w:val="11"/>
                <w:w w:val="110"/>
                <w:sz w:val="24"/>
              </w:rPr>
              <w:t> </w:t>
            </w:r>
            <w:r>
              <w:rPr>
                <w:w w:val="110"/>
                <w:sz w:val="24"/>
              </w:rPr>
              <w:t>Fundamental</w:t>
            </w:r>
            <w:r>
              <w:rPr>
                <w:spacing w:val="11"/>
                <w:w w:val="110"/>
                <w:sz w:val="24"/>
              </w:rPr>
              <w:t> </w:t>
            </w:r>
            <w:r>
              <w:rPr>
                <w:w w:val="110"/>
                <w:sz w:val="24"/>
              </w:rPr>
              <w:t>Rights</w:t>
            </w:r>
            <w:r>
              <w:rPr>
                <w:spacing w:val="10"/>
                <w:w w:val="110"/>
                <w:sz w:val="24"/>
              </w:rPr>
              <w:t> </w:t>
            </w:r>
            <w:r>
              <w:rPr>
                <w:w w:val="110"/>
                <w:sz w:val="24"/>
              </w:rPr>
              <w:t>of</w:t>
            </w:r>
            <w:r>
              <w:rPr>
                <w:spacing w:val="11"/>
                <w:w w:val="110"/>
                <w:sz w:val="24"/>
              </w:rPr>
              <w:t> </w:t>
            </w:r>
            <w:r>
              <w:rPr>
                <w:w w:val="110"/>
                <w:sz w:val="24"/>
              </w:rPr>
              <w:t>the</w:t>
            </w:r>
            <w:r>
              <w:rPr>
                <w:spacing w:val="11"/>
                <w:w w:val="110"/>
                <w:sz w:val="24"/>
              </w:rPr>
              <w:t> </w:t>
            </w:r>
            <w:r>
              <w:rPr>
                <w:w w:val="110"/>
                <w:sz w:val="24"/>
              </w:rPr>
              <w:t>European</w:t>
            </w:r>
            <w:r>
              <w:rPr>
                <w:spacing w:val="11"/>
                <w:w w:val="110"/>
                <w:sz w:val="24"/>
              </w:rPr>
              <w:t> </w:t>
            </w:r>
            <w:r>
              <w:rPr>
                <w:spacing w:val="-2"/>
                <w:w w:val="110"/>
                <w:sz w:val="24"/>
              </w:rPr>
              <w:t>Union</w:t>
            </w:r>
          </w:p>
        </w:tc>
      </w:tr>
      <w:tr>
        <w:trPr>
          <w:trHeight w:val="600" w:hRule="atLeast"/>
        </w:trPr>
        <w:tc>
          <w:tcPr>
            <w:tcW w:w="1676" w:type="dxa"/>
            <w:tcBorders>
              <w:top w:val="single" w:sz="4" w:space="0" w:color="A881B9"/>
              <w:bottom w:val="single" w:sz="4" w:space="0" w:color="A881B9"/>
            </w:tcBorders>
          </w:tcPr>
          <w:p>
            <w:pPr>
              <w:pStyle w:val="TableParagraph"/>
              <w:rPr>
                <w:rFonts w:ascii="Tahoma"/>
                <w:b/>
                <w:sz w:val="24"/>
              </w:rPr>
            </w:pPr>
            <w:r>
              <w:rPr>
                <w:rFonts w:ascii="Tahoma"/>
                <w:b/>
                <w:color w:val="77328A"/>
                <w:spacing w:val="-4"/>
                <w:w w:val="110"/>
                <w:sz w:val="24"/>
              </w:rPr>
              <w:t>CJEU</w:t>
            </w:r>
          </w:p>
        </w:tc>
        <w:tc>
          <w:tcPr>
            <w:tcW w:w="7962" w:type="dxa"/>
            <w:tcBorders>
              <w:top w:val="single" w:sz="4" w:space="0" w:color="A881B9"/>
              <w:bottom w:val="single" w:sz="4" w:space="0" w:color="A881B9"/>
            </w:tcBorders>
          </w:tcPr>
          <w:p>
            <w:pPr>
              <w:pStyle w:val="TableParagraph"/>
              <w:spacing w:before="148"/>
              <w:ind w:left="138"/>
              <w:rPr>
                <w:sz w:val="24"/>
              </w:rPr>
            </w:pPr>
            <w:r>
              <w:rPr>
                <w:w w:val="115"/>
                <w:sz w:val="24"/>
              </w:rPr>
              <w:t>Court</w:t>
            </w:r>
            <w:r>
              <w:rPr>
                <w:spacing w:val="-17"/>
                <w:w w:val="115"/>
                <w:sz w:val="24"/>
              </w:rPr>
              <w:t> </w:t>
            </w:r>
            <w:r>
              <w:rPr>
                <w:w w:val="115"/>
                <w:sz w:val="24"/>
              </w:rPr>
              <w:t>of</w:t>
            </w:r>
            <w:r>
              <w:rPr>
                <w:spacing w:val="-17"/>
                <w:w w:val="115"/>
                <w:sz w:val="24"/>
              </w:rPr>
              <w:t> </w:t>
            </w:r>
            <w:r>
              <w:rPr>
                <w:w w:val="115"/>
                <w:sz w:val="24"/>
              </w:rPr>
              <w:t>Justice</w:t>
            </w:r>
            <w:r>
              <w:rPr>
                <w:spacing w:val="-16"/>
                <w:w w:val="115"/>
                <w:sz w:val="24"/>
              </w:rPr>
              <w:t> </w:t>
            </w:r>
            <w:r>
              <w:rPr>
                <w:w w:val="115"/>
                <w:sz w:val="24"/>
              </w:rPr>
              <w:t>of</w:t>
            </w:r>
            <w:r>
              <w:rPr>
                <w:spacing w:val="-17"/>
                <w:w w:val="115"/>
                <w:sz w:val="24"/>
              </w:rPr>
              <w:t> </w:t>
            </w:r>
            <w:r>
              <w:rPr>
                <w:w w:val="115"/>
                <w:sz w:val="24"/>
              </w:rPr>
              <w:t>the</w:t>
            </w:r>
            <w:r>
              <w:rPr>
                <w:spacing w:val="-16"/>
                <w:w w:val="115"/>
                <w:sz w:val="24"/>
              </w:rPr>
              <w:t> </w:t>
            </w:r>
            <w:r>
              <w:rPr>
                <w:w w:val="115"/>
                <w:sz w:val="24"/>
              </w:rPr>
              <w:t>European</w:t>
            </w:r>
            <w:r>
              <w:rPr>
                <w:spacing w:val="-17"/>
                <w:w w:val="115"/>
                <w:sz w:val="24"/>
              </w:rPr>
              <w:t> </w:t>
            </w:r>
            <w:r>
              <w:rPr>
                <w:spacing w:val="-2"/>
                <w:w w:val="115"/>
                <w:sz w:val="24"/>
              </w:rPr>
              <w:t>Union</w:t>
            </w:r>
          </w:p>
        </w:tc>
      </w:tr>
      <w:tr>
        <w:trPr>
          <w:trHeight w:val="910" w:hRule="atLeast"/>
        </w:trPr>
        <w:tc>
          <w:tcPr>
            <w:tcW w:w="1676" w:type="dxa"/>
            <w:tcBorders>
              <w:top w:val="single" w:sz="4" w:space="0" w:color="A881B9"/>
              <w:bottom w:val="single" w:sz="4" w:space="0" w:color="A881B9"/>
            </w:tcBorders>
          </w:tcPr>
          <w:p>
            <w:pPr>
              <w:pStyle w:val="TableParagraph"/>
              <w:rPr>
                <w:rFonts w:ascii="Tahoma"/>
                <w:b/>
                <w:sz w:val="24"/>
              </w:rPr>
            </w:pPr>
            <w:r>
              <w:rPr>
                <w:rFonts w:ascii="Tahoma"/>
                <w:b/>
                <w:color w:val="77328A"/>
                <w:spacing w:val="-4"/>
                <w:w w:val="105"/>
                <w:sz w:val="24"/>
              </w:rPr>
              <w:t>ECHR</w:t>
            </w:r>
          </w:p>
        </w:tc>
        <w:tc>
          <w:tcPr>
            <w:tcW w:w="7962" w:type="dxa"/>
            <w:tcBorders>
              <w:top w:val="single" w:sz="4" w:space="0" w:color="A881B9"/>
              <w:bottom w:val="single" w:sz="4" w:space="0" w:color="A881B9"/>
            </w:tcBorders>
          </w:tcPr>
          <w:p>
            <w:pPr>
              <w:pStyle w:val="TableParagraph"/>
              <w:spacing w:line="268" w:lineRule="auto" w:before="148"/>
              <w:ind w:left="138"/>
              <w:rPr>
                <w:sz w:val="24"/>
              </w:rPr>
            </w:pPr>
            <w:r>
              <w:rPr>
                <w:w w:val="110"/>
                <w:sz w:val="24"/>
              </w:rPr>
              <w:t>European Convention on Human Rights and </w:t>
            </w:r>
            <w:r>
              <w:rPr>
                <w:w w:val="110"/>
                <w:sz w:val="24"/>
              </w:rPr>
              <w:t>Fundamental </w:t>
            </w:r>
            <w:r>
              <w:rPr>
                <w:spacing w:val="-2"/>
                <w:w w:val="110"/>
                <w:sz w:val="24"/>
              </w:rPr>
              <w:t>Freedoms</w:t>
            </w:r>
          </w:p>
        </w:tc>
      </w:tr>
      <w:tr>
        <w:trPr>
          <w:trHeight w:val="600" w:hRule="atLeast"/>
        </w:trPr>
        <w:tc>
          <w:tcPr>
            <w:tcW w:w="1676" w:type="dxa"/>
            <w:tcBorders>
              <w:top w:val="single" w:sz="4" w:space="0" w:color="A881B9"/>
              <w:bottom w:val="single" w:sz="4" w:space="0" w:color="A881B9"/>
            </w:tcBorders>
          </w:tcPr>
          <w:p>
            <w:pPr>
              <w:pStyle w:val="TableParagraph"/>
              <w:rPr>
                <w:rFonts w:ascii="Tahoma"/>
                <w:b/>
                <w:sz w:val="24"/>
              </w:rPr>
            </w:pPr>
            <w:r>
              <w:rPr>
                <w:rFonts w:ascii="Tahoma"/>
                <w:b/>
                <w:color w:val="77328A"/>
                <w:spacing w:val="-4"/>
                <w:sz w:val="24"/>
              </w:rPr>
              <w:t>ECNI</w:t>
            </w:r>
          </w:p>
        </w:tc>
        <w:tc>
          <w:tcPr>
            <w:tcW w:w="7962" w:type="dxa"/>
            <w:tcBorders>
              <w:top w:val="single" w:sz="4" w:space="0" w:color="A881B9"/>
              <w:bottom w:val="single" w:sz="4" w:space="0" w:color="A881B9"/>
            </w:tcBorders>
          </w:tcPr>
          <w:p>
            <w:pPr>
              <w:pStyle w:val="TableParagraph"/>
              <w:spacing w:before="148"/>
              <w:ind w:left="138"/>
              <w:rPr>
                <w:sz w:val="24"/>
              </w:rPr>
            </w:pPr>
            <w:r>
              <w:rPr>
                <w:w w:val="110"/>
                <w:sz w:val="24"/>
              </w:rPr>
              <w:t>Equality</w:t>
            </w:r>
            <w:r>
              <w:rPr>
                <w:spacing w:val="19"/>
                <w:w w:val="110"/>
                <w:sz w:val="24"/>
              </w:rPr>
              <w:t> </w:t>
            </w:r>
            <w:r>
              <w:rPr>
                <w:w w:val="110"/>
                <w:sz w:val="24"/>
              </w:rPr>
              <w:t>Commission</w:t>
            </w:r>
            <w:r>
              <w:rPr>
                <w:spacing w:val="20"/>
                <w:w w:val="110"/>
                <w:sz w:val="24"/>
              </w:rPr>
              <w:t> </w:t>
            </w:r>
            <w:r>
              <w:rPr>
                <w:w w:val="110"/>
                <w:sz w:val="24"/>
              </w:rPr>
              <w:t>for</w:t>
            </w:r>
            <w:r>
              <w:rPr>
                <w:spacing w:val="20"/>
                <w:w w:val="110"/>
                <w:sz w:val="24"/>
              </w:rPr>
              <w:t> </w:t>
            </w:r>
            <w:r>
              <w:rPr>
                <w:w w:val="110"/>
                <w:sz w:val="24"/>
              </w:rPr>
              <w:t>Northern</w:t>
            </w:r>
            <w:r>
              <w:rPr>
                <w:spacing w:val="20"/>
                <w:w w:val="110"/>
                <w:sz w:val="24"/>
              </w:rPr>
              <w:t> </w:t>
            </w:r>
            <w:r>
              <w:rPr>
                <w:spacing w:val="-2"/>
                <w:w w:val="110"/>
                <w:sz w:val="24"/>
              </w:rPr>
              <w:t>Ireland</w:t>
            </w:r>
          </w:p>
        </w:tc>
      </w:tr>
      <w:tr>
        <w:trPr>
          <w:trHeight w:val="600" w:hRule="atLeast"/>
        </w:trPr>
        <w:tc>
          <w:tcPr>
            <w:tcW w:w="1676" w:type="dxa"/>
            <w:tcBorders>
              <w:top w:val="single" w:sz="4" w:space="0" w:color="A881B9"/>
              <w:bottom w:val="single" w:sz="4" w:space="0" w:color="A881B9"/>
            </w:tcBorders>
          </w:tcPr>
          <w:p>
            <w:pPr>
              <w:pStyle w:val="TableParagraph"/>
              <w:rPr>
                <w:rFonts w:ascii="Tahoma"/>
                <w:b/>
                <w:sz w:val="24"/>
              </w:rPr>
            </w:pPr>
            <w:r>
              <w:rPr>
                <w:rFonts w:ascii="Tahoma"/>
                <w:b/>
                <w:color w:val="77328A"/>
                <w:spacing w:val="-2"/>
                <w:w w:val="105"/>
                <w:sz w:val="24"/>
              </w:rPr>
              <w:t>ECtHR</w:t>
            </w:r>
          </w:p>
        </w:tc>
        <w:tc>
          <w:tcPr>
            <w:tcW w:w="7962" w:type="dxa"/>
            <w:tcBorders>
              <w:top w:val="single" w:sz="4" w:space="0" w:color="A881B9"/>
              <w:bottom w:val="single" w:sz="4" w:space="0" w:color="A881B9"/>
            </w:tcBorders>
          </w:tcPr>
          <w:p>
            <w:pPr>
              <w:pStyle w:val="TableParagraph"/>
              <w:spacing w:before="148"/>
              <w:ind w:left="138"/>
              <w:rPr>
                <w:sz w:val="24"/>
              </w:rPr>
            </w:pPr>
            <w:r>
              <w:rPr>
                <w:w w:val="110"/>
                <w:sz w:val="24"/>
              </w:rPr>
              <w:t>European</w:t>
            </w:r>
            <w:r>
              <w:rPr>
                <w:spacing w:val="6"/>
                <w:w w:val="110"/>
                <w:sz w:val="24"/>
              </w:rPr>
              <w:t> </w:t>
            </w:r>
            <w:r>
              <w:rPr>
                <w:w w:val="110"/>
                <w:sz w:val="24"/>
              </w:rPr>
              <w:t>Court</w:t>
            </w:r>
            <w:r>
              <w:rPr>
                <w:spacing w:val="6"/>
                <w:w w:val="110"/>
                <w:sz w:val="24"/>
              </w:rPr>
              <w:t> </w:t>
            </w:r>
            <w:r>
              <w:rPr>
                <w:w w:val="110"/>
                <w:sz w:val="24"/>
              </w:rPr>
              <w:t>of</w:t>
            </w:r>
            <w:r>
              <w:rPr>
                <w:spacing w:val="6"/>
                <w:w w:val="110"/>
                <w:sz w:val="24"/>
              </w:rPr>
              <w:t> </w:t>
            </w:r>
            <w:r>
              <w:rPr>
                <w:w w:val="110"/>
                <w:sz w:val="24"/>
              </w:rPr>
              <w:t>Human</w:t>
            </w:r>
            <w:r>
              <w:rPr>
                <w:spacing w:val="7"/>
                <w:w w:val="110"/>
                <w:sz w:val="24"/>
              </w:rPr>
              <w:t> </w:t>
            </w:r>
            <w:r>
              <w:rPr>
                <w:spacing w:val="-2"/>
                <w:w w:val="110"/>
                <w:sz w:val="24"/>
              </w:rPr>
              <w:t>Rights</w:t>
            </w:r>
          </w:p>
        </w:tc>
      </w:tr>
      <w:tr>
        <w:trPr>
          <w:trHeight w:val="600" w:hRule="atLeast"/>
        </w:trPr>
        <w:tc>
          <w:tcPr>
            <w:tcW w:w="1676" w:type="dxa"/>
            <w:tcBorders>
              <w:top w:val="single" w:sz="4" w:space="0" w:color="A881B9"/>
              <w:bottom w:val="single" w:sz="4" w:space="0" w:color="A881B9"/>
            </w:tcBorders>
          </w:tcPr>
          <w:p>
            <w:pPr>
              <w:pStyle w:val="TableParagraph"/>
              <w:rPr>
                <w:rFonts w:ascii="Tahoma"/>
                <w:b/>
                <w:sz w:val="24"/>
              </w:rPr>
            </w:pPr>
            <w:r>
              <w:rPr>
                <w:rFonts w:ascii="Tahoma"/>
                <w:b/>
                <w:color w:val="77328A"/>
                <w:spacing w:val="-5"/>
                <w:w w:val="105"/>
                <w:sz w:val="24"/>
              </w:rPr>
              <w:t>EU</w:t>
            </w:r>
          </w:p>
        </w:tc>
        <w:tc>
          <w:tcPr>
            <w:tcW w:w="7962" w:type="dxa"/>
            <w:tcBorders>
              <w:top w:val="single" w:sz="4" w:space="0" w:color="A881B9"/>
              <w:bottom w:val="single" w:sz="4" w:space="0" w:color="A881B9"/>
            </w:tcBorders>
          </w:tcPr>
          <w:p>
            <w:pPr>
              <w:pStyle w:val="TableParagraph"/>
              <w:spacing w:before="148"/>
              <w:ind w:left="138"/>
              <w:rPr>
                <w:sz w:val="24"/>
              </w:rPr>
            </w:pPr>
            <w:r>
              <w:rPr>
                <w:w w:val="110"/>
                <w:sz w:val="24"/>
              </w:rPr>
              <w:t>European</w:t>
            </w:r>
            <w:r>
              <w:rPr>
                <w:spacing w:val="-9"/>
                <w:w w:val="110"/>
                <w:sz w:val="24"/>
              </w:rPr>
              <w:t> </w:t>
            </w:r>
            <w:r>
              <w:rPr>
                <w:spacing w:val="-4"/>
                <w:w w:val="110"/>
                <w:sz w:val="24"/>
              </w:rPr>
              <w:t>Union</w:t>
            </w:r>
          </w:p>
        </w:tc>
      </w:tr>
      <w:tr>
        <w:trPr>
          <w:trHeight w:val="600" w:hRule="atLeast"/>
        </w:trPr>
        <w:tc>
          <w:tcPr>
            <w:tcW w:w="1676" w:type="dxa"/>
            <w:tcBorders>
              <w:top w:val="single" w:sz="4" w:space="0" w:color="A881B9"/>
              <w:bottom w:val="single" w:sz="4" w:space="0" w:color="A881B9"/>
            </w:tcBorders>
          </w:tcPr>
          <w:p>
            <w:pPr>
              <w:pStyle w:val="TableParagraph"/>
              <w:rPr>
                <w:rFonts w:ascii="Tahoma"/>
                <w:b/>
                <w:sz w:val="24"/>
              </w:rPr>
            </w:pPr>
            <w:r>
              <w:rPr>
                <w:rFonts w:ascii="Tahoma"/>
                <w:b/>
                <w:color w:val="77328A"/>
                <w:spacing w:val="-4"/>
                <w:w w:val="110"/>
                <w:sz w:val="24"/>
              </w:rPr>
              <w:t>EUWA</w:t>
            </w:r>
          </w:p>
        </w:tc>
        <w:tc>
          <w:tcPr>
            <w:tcW w:w="7962" w:type="dxa"/>
            <w:tcBorders>
              <w:top w:val="single" w:sz="4" w:space="0" w:color="A881B9"/>
              <w:bottom w:val="single" w:sz="4" w:space="0" w:color="A881B9"/>
            </w:tcBorders>
          </w:tcPr>
          <w:p>
            <w:pPr>
              <w:pStyle w:val="TableParagraph"/>
              <w:spacing w:before="110"/>
              <w:ind w:left="138"/>
              <w:rPr>
                <w:rFonts w:ascii="Lucida Sans Unicode"/>
                <w:sz w:val="24"/>
              </w:rPr>
            </w:pPr>
            <w:r>
              <w:rPr>
                <w:rFonts w:ascii="Lucida Sans Unicode"/>
                <w:w w:val="105"/>
                <w:sz w:val="24"/>
              </w:rPr>
              <w:t>European</w:t>
            </w:r>
            <w:r>
              <w:rPr>
                <w:rFonts w:ascii="Lucida Sans Unicode"/>
                <w:spacing w:val="2"/>
                <w:w w:val="105"/>
                <w:sz w:val="24"/>
              </w:rPr>
              <w:t> </w:t>
            </w:r>
            <w:r>
              <w:rPr>
                <w:rFonts w:ascii="Lucida Sans Unicode"/>
                <w:w w:val="105"/>
                <w:sz w:val="24"/>
              </w:rPr>
              <w:t>Union</w:t>
            </w:r>
            <w:r>
              <w:rPr>
                <w:rFonts w:ascii="Lucida Sans Unicode"/>
                <w:spacing w:val="3"/>
                <w:w w:val="105"/>
                <w:sz w:val="24"/>
              </w:rPr>
              <w:t> </w:t>
            </w:r>
            <w:r>
              <w:rPr>
                <w:rFonts w:ascii="Lucida Sans Unicode"/>
                <w:w w:val="105"/>
                <w:sz w:val="24"/>
              </w:rPr>
              <w:t>(Withdrawal)</w:t>
            </w:r>
            <w:r>
              <w:rPr>
                <w:rFonts w:ascii="Lucida Sans Unicode"/>
                <w:spacing w:val="3"/>
                <w:w w:val="105"/>
                <w:sz w:val="24"/>
              </w:rPr>
              <w:t> </w:t>
            </w:r>
            <w:r>
              <w:rPr>
                <w:rFonts w:ascii="Lucida Sans Unicode"/>
                <w:w w:val="105"/>
                <w:sz w:val="24"/>
              </w:rPr>
              <w:t>Act</w:t>
            </w:r>
            <w:r>
              <w:rPr>
                <w:rFonts w:ascii="Lucida Sans Unicode"/>
                <w:spacing w:val="2"/>
                <w:w w:val="105"/>
                <w:sz w:val="24"/>
              </w:rPr>
              <w:t> </w:t>
            </w:r>
            <w:r>
              <w:rPr>
                <w:rFonts w:ascii="Lucida Sans Unicode"/>
                <w:spacing w:val="-4"/>
                <w:w w:val="105"/>
                <w:sz w:val="24"/>
              </w:rPr>
              <w:t>2018</w:t>
            </w:r>
          </w:p>
        </w:tc>
      </w:tr>
      <w:tr>
        <w:trPr>
          <w:trHeight w:val="600" w:hRule="atLeast"/>
        </w:trPr>
        <w:tc>
          <w:tcPr>
            <w:tcW w:w="1676" w:type="dxa"/>
            <w:tcBorders>
              <w:top w:val="single" w:sz="4" w:space="0" w:color="A881B9"/>
              <w:bottom w:val="single" w:sz="4" w:space="0" w:color="A881B9"/>
            </w:tcBorders>
          </w:tcPr>
          <w:p>
            <w:pPr>
              <w:pStyle w:val="TableParagraph"/>
              <w:rPr>
                <w:rFonts w:ascii="Tahoma"/>
                <w:b/>
                <w:sz w:val="24"/>
              </w:rPr>
            </w:pPr>
            <w:r>
              <w:rPr>
                <w:rFonts w:ascii="Tahoma"/>
                <w:b/>
                <w:color w:val="77328A"/>
                <w:spacing w:val="-5"/>
                <w:w w:val="105"/>
                <w:sz w:val="24"/>
              </w:rPr>
              <w:t>HRA</w:t>
            </w:r>
          </w:p>
        </w:tc>
        <w:tc>
          <w:tcPr>
            <w:tcW w:w="7962" w:type="dxa"/>
            <w:tcBorders>
              <w:top w:val="single" w:sz="4" w:space="0" w:color="A881B9"/>
              <w:bottom w:val="single" w:sz="4" w:space="0" w:color="A881B9"/>
            </w:tcBorders>
          </w:tcPr>
          <w:p>
            <w:pPr>
              <w:pStyle w:val="TableParagraph"/>
              <w:spacing w:before="110"/>
              <w:ind w:left="138"/>
              <w:rPr>
                <w:rFonts w:ascii="Lucida Sans Unicode"/>
                <w:sz w:val="24"/>
              </w:rPr>
            </w:pPr>
            <w:r>
              <w:rPr>
                <w:rFonts w:ascii="Lucida Sans Unicode"/>
                <w:sz w:val="24"/>
              </w:rPr>
              <w:t>Human</w:t>
            </w:r>
            <w:r>
              <w:rPr>
                <w:rFonts w:ascii="Lucida Sans Unicode"/>
                <w:spacing w:val="18"/>
                <w:sz w:val="24"/>
              </w:rPr>
              <w:t> </w:t>
            </w:r>
            <w:r>
              <w:rPr>
                <w:rFonts w:ascii="Lucida Sans Unicode"/>
                <w:sz w:val="24"/>
              </w:rPr>
              <w:t>Rights</w:t>
            </w:r>
            <w:r>
              <w:rPr>
                <w:rFonts w:ascii="Lucida Sans Unicode"/>
                <w:spacing w:val="19"/>
                <w:sz w:val="24"/>
              </w:rPr>
              <w:t> </w:t>
            </w:r>
            <w:r>
              <w:rPr>
                <w:rFonts w:ascii="Lucida Sans Unicode"/>
                <w:sz w:val="24"/>
              </w:rPr>
              <w:t>Act</w:t>
            </w:r>
            <w:r>
              <w:rPr>
                <w:rFonts w:ascii="Lucida Sans Unicode"/>
                <w:spacing w:val="18"/>
                <w:sz w:val="24"/>
              </w:rPr>
              <w:t> </w:t>
            </w:r>
            <w:r>
              <w:rPr>
                <w:rFonts w:ascii="Lucida Sans Unicode"/>
                <w:spacing w:val="-4"/>
                <w:sz w:val="24"/>
              </w:rPr>
              <w:t>1998</w:t>
            </w:r>
          </w:p>
        </w:tc>
      </w:tr>
      <w:tr>
        <w:trPr>
          <w:trHeight w:val="600" w:hRule="atLeast"/>
        </w:trPr>
        <w:tc>
          <w:tcPr>
            <w:tcW w:w="1676" w:type="dxa"/>
            <w:tcBorders>
              <w:top w:val="single" w:sz="4" w:space="0" w:color="A881B9"/>
              <w:bottom w:val="single" w:sz="4" w:space="0" w:color="A881B9"/>
            </w:tcBorders>
          </w:tcPr>
          <w:p>
            <w:pPr>
              <w:pStyle w:val="TableParagraph"/>
              <w:rPr>
                <w:rFonts w:ascii="Tahoma"/>
                <w:b/>
                <w:sz w:val="24"/>
              </w:rPr>
            </w:pPr>
            <w:r>
              <w:rPr>
                <w:rFonts w:ascii="Tahoma"/>
                <w:b/>
                <w:color w:val="77328A"/>
                <w:spacing w:val="-4"/>
                <w:sz w:val="24"/>
              </w:rPr>
              <w:t>GDPR</w:t>
            </w:r>
          </w:p>
        </w:tc>
        <w:tc>
          <w:tcPr>
            <w:tcW w:w="7962" w:type="dxa"/>
            <w:tcBorders>
              <w:top w:val="single" w:sz="4" w:space="0" w:color="A881B9"/>
              <w:bottom w:val="single" w:sz="4" w:space="0" w:color="A881B9"/>
            </w:tcBorders>
          </w:tcPr>
          <w:p>
            <w:pPr>
              <w:pStyle w:val="TableParagraph"/>
              <w:spacing w:before="148"/>
              <w:ind w:left="138"/>
              <w:rPr>
                <w:sz w:val="24"/>
              </w:rPr>
            </w:pPr>
            <w:r>
              <w:rPr>
                <w:w w:val="110"/>
                <w:sz w:val="24"/>
              </w:rPr>
              <w:t>EU</w:t>
            </w:r>
            <w:r>
              <w:rPr>
                <w:spacing w:val="-5"/>
                <w:w w:val="110"/>
                <w:sz w:val="24"/>
              </w:rPr>
              <w:t> </w:t>
            </w:r>
            <w:r>
              <w:rPr>
                <w:w w:val="110"/>
                <w:sz w:val="24"/>
              </w:rPr>
              <w:t>General</w:t>
            </w:r>
            <w:r>
              <w:rPr>
                <w:spacing w:val="-5"/>
                <w:w w:val="110"/>
                <w:sz w:val="24"/>
              </w:rPr>
              <w:t> </w:t>
            </w:r>
            <w:r>
              <w:rPr>
                <w:w w:val="110"/>
                <w:sz w:val="24"/>
              </w:rPr>
              <w:t>Data</w:t>
            </w:r>
            <w:r>
              <w:rPr>
                <w:spacing w:val="-4"/>
                <w:w w:val="110"/>
                <w:sz w:val="24"/>
              </w:rPr>
              <w:t> </w:t>
            </w:r>
            <w:r>
              <w:rPr>
                <w:w w:val="110"/>
                <w:sz w:val="24"/>
              </w:rPr>
              <w:t>Protection</w:t>
            </w:r>
            <w:r>
              <w:rPr>
                <w:spacing w:val="-5"/>
                <w:w w:val="110"/>
                <w:sz w:val="24"/>
              </w:rPr>
              <w:t> </w:t>
            </w:r>
            <w:r>
              <w:rPr>
                <w:spacing w:val="-2"/>
                <w:w w:val="110"/>
                <w:sz w:val="24"/>
              </w:rPr>
              <w:t>Regulation</w:t>
            </w:r>
          </w:p>
        </w:tc>
      </w:tr>
      <w:tr>
        <w:trPr>
          <w:trHeight w:val="600" w:hRule="atLeast"/>
        </w:trPr>
        <w:tc>
          <w:tcPr>
            <w:tcW w:w="1676" w:type="dxa"/>
            <w:tcBorders>
              <w:top w:val="single" w:sz="4" w:space="0" w:color="A881B9"/>
              <w:bottom w:val="single" w:sz="4" w:space="0" w:color="A881B9"/>
            </w:tcBorders>
          </w:tcPr>
          <w:p>
            <w:pPr>
              <w:pStyle w:val="TableParagraph"/>
              <w:rPr>
                <w:rFonts w:ascii="Tahoma"/>
                <w:b/>
                <w:sz w:val="24"/>
              </w:rPr>
            </w:pPr>
            <w:r>
              <w:rPr>
                <w:rFonts w:ascii="Tahoma"/>
                <w:b/>
                <w:color w:val="77328A"/>
                <w:spacing w:val="-2"/>
                <w:sz w:val="24"/>
              </w:rPr>
              <w:t>IHREC</w:t>
            </w:r>
          </w:p>
        </w:tc>
        <w:tc>
          <w:tcPr>
            <w:tcW w:w="7962" w:type="dxa"/>
            <w:tcBorders>
              <w:top w:val="single" w:sz="4" w:space="0" w:color="A881B9"/>
              <w:bottom w:val="single" w:sz="4" w:space="0" w:color="A881B9"/>
            </w:tcBorders>
          </w:tcPr>
          <w:p>
            <w:pPr>
              <w:pStyle w:val="TableParagraph"/>
              <w:spacing w:before="148"/>
              <w:ind w:left="138"/>
              <w:rPr>
                <w:sz w:val="24"/>
              </w:rPr>
            </w:pPr>
            <w:r>
              <w:rPr>
                <w:w w:val="110"/>
                <w:sz w:val="24"/>
              </w:rPr>
              <w:t>Irish</w:t>
            </w:r>
            <w:r>
              <w:rPr>
                <w:spacing w:val="3"/>
                <w:w w:val="110"/>
                <w:sz w:val="24"/>
              </w:rPr>
              <w:t> </w:t>
            </w:r>
            <w:r>
              <w:rPr>
                <w:w w:val="110"/>
                <w:sz w:val="24"/>
              </w:rPr>
              <w:t>Human</w:t>
            </w:r>
            <w:r>
              <w:rPr>
                <w:spacing w:val="3"/>
                <w:w w:val="110"/>
                <w:sz w:val="24"/>
              </w:rPr>
              <w:t> </w:t>
            </w:r>
            <w:r>
              <w:rPr>
                <w:w w:val="110"/>
                <w:sz w:val="24"/>
              </w:rPr>
              <w:t>Rights</w:t>
            </w:r>
            <w:r>
              <w:rPr>
                <w:spacing w:val="3"/>
                <w:w w:val="110"/>
                <w:sz w:val="24"/>
              </w:rPr>
              <w:t> </w:t>
            </w:r>
            <w:r>
              <w:rPr>
                <w:w w:val="110"/>
                <w:sz w:val="24"/>
              </w:rPr>
              <w:t>and</w:t>
            </w:r>
            <w:r>
              <w:rPr>
                <w:spacing w:val="3"/>
                <w:w w:val="110"/>
                <w:sz w:val="24"/>
              </w:rPr>
              <w:t> </w:t>
            </w:r>
            <w:r>
              <w:rPr>
                <w:w w:val="110"/>
                <w:sz w:val="24"/>
              </w:rPr>
              <w:t>Equality</w:t>
            </w:r>
            <w:r>
              <w:rPr>
                <w:spacing w:val="3"/>
                <w:w w:val="110"/>
                <w:sz w:val="24"/>
              </w:rPr>
              <w:t> </w:t>
            </w:r>
            <w:r>
              <w:rPr>
                <w:spacing w:val="-2"/>
                <w:w w:val="110"/>
                <w:sz w:val="24"/>
              </w:rPr>
              <w:t>Commission</w:t>
            </w:r>
          </w:p>
        </w:tc>
      </w:tr>
      <w:tr>
        <w:trPr>
          <w:trHeight w:val="600" w:hRule="atLeast"/>
        </w:trPr>
        <w:tc>
          <w:tcPr>
            <w:tcW w:w="1676" w:type="dxa"/>
            <w:tcBorders>
              <w:top w:val="single" w:sz="4" w:space="0" w:color="A881B9"/>
              <w:bottom w:val="single" w:sz="4" w:space="0" w:color="A881B9"/>
            </w:tcBorders>
          </w:tcPr>
          <w:p>
            <w:pPr>
              <w:pStyle w:val="TableParagraph"/>
              <w:rPr>
                <w:rFonts w:ascii="Tahoma"/>
                <w:b/>
                <w:sz w:val="24"/>
              </w:rPr>
            </w:pPr>
            <w:r>
              <w:rPr>
                <w:rFonts w:ascii="Tahoma"/>
                <w:b/>
                <w:color w:val="77328A"/>
                <w:spacing w:val="-2"/>
                <w:sz w:val="24"/>
              </w:rPr>
              <w:t>NIHRC</w:t>
            </w:r>
          </w:p>
        </w:tc>
        <w:tc>
          <w:tcPr>
            <w:tcW w:w="7962" w:type="dxa"/>
            <w:tcBorders>
              <w:top w:val="single" w:sz="4" w:space="0" w:color="A881B9"/>
              <w:bottom w:val="single" w:sz="4" w:space="0" w:color="A881B9"/>
            </w:tcBorders>
          </w:tcPr>
          <w:p>
            <w:pPr>
              <w:pStyle w:val="TableParagraph"/>
              <w:spacing w:before="148"/>
              <w:ind w:left="138"/>
              <w:rPr>
                <w:sz w:val="24"/>
              </w:rPr>
            </w:pPr>
            <w:r>
              <w:rPr>
                <w:w w:val="110"/>
                <w:sz w:val="24"/>
              </w:rPr>
              <w:t>Northern</w:t>
            </w:r>
            <w:r>
              <w:rPr>
                <w:spacing w:val="7"/>
                <w:w w:val="110"/>
                <w:sz w:val="24"/>
              </w:rPr>
              <w:t> </w:t>
            </w:r>
            <w:r>
              <w:rPr>
                <w:w w:val="110"/>
                <w:sz w:val="24"/>
              </w:rPr>
              <w:t>Ireland</w:t>
            </w:r>
            <w:r>
              <w:rPr>
                <w:spacing w:val="7"/>
                <w:w w:val="110"/>
                <w:sz w:val="24"/>
              </w:rPr>
              <w:t> </w:t>
            </w:r>
            <w:r>
              <w:rPr>
                <w:w w:val="110"/>
                <w:sz w:val="24"/>
              </w:rPr>
              <w:t>Human</w:t>
            </w:r>
            <w:r>
              <w:rPr>
                <w:spacing w:val="7"/>
                <w:w w:val="110"/>
                <w:sz w:val="24"/>
              </w:rPr>
              <w:t> </w:t>
            </w:r>
            <w:r>
              <w:rPr>
                <w:w w:val="110"/>
                <w:sz w:val="24"/>
              </w:rPr>
              <w:t>Rights</w:t>
            </w:r>
            <w:r>
              <w:rPr>
                <w:spacing w:val="7"/>
                <w:w w:val="110"/>
                <w:sz w:val="24"/>
              </w:rPr>
              <w:t> </w:t>
            </w:r>
            <w:r>
              <w:rPr>
                <w:spacing w:val="-2"/>
                <w:w w:val="110"/>
                <w:sz w:val="24"/>
              </w:rPr>
              <w:t>Commission</w:t>
            </w:r>
          </w:p>
        </w:tc>
      </w:tr>
      <w:tr>
        <w:trPr>
          <w:trHeight w:val="600" w:hRule="atLeast"/>
        </w:trPr>
        <w:tc>
          <w:tcPr>
            <w:tcW w:w="1676" w:type="dxa"/>
            <w:tcBorders>
              <w:top w:val="single" w:sz="4" w:space="0" w:color="A881B9"/>
              <w:bottom w:val="single" w:sz="4" w:space="0" w:color="A881B9"/>
            </w:tcBorders>
          </w:tcPr>
          <w:p>
            <w:pPr>
              <w:pStyle w:val="TableParagraph"/>
              <w:rPr>
                <w:rFonts w:ascii="Tahoma"/>
                <w:b/>
                <w:sz w:val="24"/>
              </w:rPr>
            </w:pPr>
            <w:r>
              <w:rPr>
                <w:rFonts w:ascii="Tahoma"/>
                <w:b/>
                <w:color w:val="77328A"/>
                <w:spacing w:val="-5"/>
                <w:w w:val="110"/>
                <w:sz w:val="24"/>
              </w:rPr>
              <w:t>OJ</w:t>
            </w:r>
          </w:p>
        </w:tc>
        <w:tc>
          <w:tcPr>
            <w:tcW w:w="7962" w:type="dxa"/>
            <w:tcBorders>
              <w:top w:val="single" w:sz="4" w:space="0" w:color="A881B9"/>
              <w:bottom w:val="single" w:sz="4" w:space="0" w:color="A881B9"/>
            </w:tcBorders>
          </w:tcPr>
          <w:p>
            <w:pPr>
              <w:pStyle w:val="TableParagraph"/>
              <w:spacing w:before="110"/>
              <w:ind w:left="138"/>
              <w:rPr>
                <w:rFonts w:ascii="Lucida Sans Unicode"/>
                <w:sz w:val="24"/>
              </w:rPr>
            </w:pPr>
            <w:r>
              <w:rPr>
                <w:rFonts w:ascii="Lucida Sans Unicode"/>
                <w:w w:val="105"/>
                <w:sz w:val="24"/>
              </w:rPr>
              <w:t>Official</w:t>
            </w:r>
            <w:r>
              <w:rPr>
                <w:rFonts w:ascii="Lucida Sans Unicode"/>
                <w:spacing w:val="-14"/>
                <w:w w:val="105"/>
                <w:sz w:val="24"/>
              </w:rPr>
              <w:t> </w:t>
            </w:r>
            <w:r>
              <w:rPr>
                <w:rFonts w:ascii="Lucida Sans Unicode"/>
                <w:w w:val="105"/>
                <w:sz w:val="24"/>
              </w:rPr>
              <w:t>Journal</w:t>
            </w:r>
            <w:r>
              <w:rPr>
                <w:rFonts w:ascii="Lucida Sans Unicode"/>
                <w:spacing w:val="-13"/>
                <w:w w:val="105"/>
                <w:sz w:val="24"/>
              </w:rPr>
              <w:t> </w:t>
            </w:r>
            <w:r>
              <w:rPr>
                <w:rFonts w:ascii="Lucida Sans Unicode"/>
                <w:w w:val="105"/>
                <w:sz w:val="24"/>
              </w:rPr>
              <w:t>of</w:t>
            </w:r>
            <w:r>
              <w:rPr>
                <w:rFonts w:ascii="Lucida Sans Unicode"/>
                <w:spacing w:val="-13"/>
                <w:w w:val="105"/>
                <w:sz w:val="24"/>
              </w:rPr>
              <w:t> </w:t>
            </w:r>
            <w:r>
              <w:rPr>
                <w:rFonts w:ascii="Lucida Sans Unicode"/>
                <w:w w:val="105"/>
                <w:sz w:val="24"/>
              </w:rPr>
              <w:t>the</w:t>
            </w:r>
            <w:r>
              <w:rPr>
                <w:rFonts w:ascii="Lucida Sans Unicode"/>
                <w:spacing w:val="-13"/>
                <w:w w:val="105"/>
                <w:sz w:val="24"/>
              </w:rPr>
              <w:t> </w:t>
            </w:r>
            <w:r>
              <w:rPr>
                <w:rFonts w:ascii="Lucida Sans Unicode"/>
                <w:w w:val="105"/>
                <w:sz w:val="24"/>
              </w:rPr>
              <w:t>European</w:t>
            </w:r>
            <w:r>
              <w:rPr>
                <w:rFonts w:ascii="Lucida Sans Unicode"/>
                <w:spacing w:val="-13"/>
                <w:w w:val="105"/>
                <w:sz w:val="24"/>
              </w:rPr>
              <w:t> </w:t>
            </w:r>
            <w:r>
              <w:rPr>
                <w:rFonts w:ascii="Lucida Sans Unicode"/>
                <w:spacing w:val="-2"/>
                <w:w w:val="105"/>
                <w:sz w:val="24"/>
              </w:rPr>
              <w:t>Union</w:t>
            </w:r>
          </w:p>
        </w:tc>
      </w:tr>
      <w:tr>
        <w:trPr>
          <w:trHeight w:val="600" w:hRule="atLeast"/>
        </w:trPr>
        <w:tc>
          <w:tcPr>
            <w:tcW w:w="1676" w:type="dxa"/>
            <w:tcBorders>
              <w:top w:val="single" w:sz="4" w:space="0" w:color="A881B9"/>
              <w:bottom w:val="single" w:sz="4" w:space="0" w:color="A881B9"/>
            </w:tcBorders>
          </w:tcPr>
          <w:p>
            <w:pPr>
              <w:pStyle w:val="TableParagraph"/>
              <w:rPr>
                <w:rFonts w:ascii="Tahoma"/>
                <w:b/>
                <w:sz w:val="24"/>
              </w:rPr>
            </w:pPr>
            <w:r>
              <w:rPr>
                <w:rFonts w:ascii="Tahoma"/>
                <w:b/>
                <w:color w:val="77328A"/>
                <w:spacing w:val="-2"/>
                <w:w w:val="105"/>
                <w:sz w:val="24"/>
              </w:rPr>
              <w:t>REULA</w:t>
            </w:r>
          </w:p>
        </w:tc>
        <w:tc>
          <w:tcPr>
            <w:tcW w:w="7962" w:type="dxa"/>
            <w:tcBorders>
              <w:top w:val="single" w:sz="4" w:space="0" w:color="A881B9"/>
              <w:bottom w:val="single" w:sz="4" w:space="0" w:color="A881B9"/>
            </w:tcBorders>
          </w:tcPr>
          <w:p>
            <w:pPr>
              <w:pStyle w:val="TableParagraph"/>
              <w:spacing w:before="110"/>
              <w:ind w:left="138"/>
              <w:rPr>
                <w:rFonts w:ascii="Lucida Sans Unicode"/>
                <w:sz w:val="24"/>
              </w:rPr>
            </w:pPr>
            <w:r>
              <w:rPr>
                <w:rFonts w:ascii="Lucida Sans Unicode"/>
                <w:w w:val="105"/>
                <w:sz w:val="24"/>
              </w:rPr>
              <w:t>Retained</w:t>
            </w:r>
            <w:r>
              <w:rPr>
                <w:rFonts w:ascii="Lucida Sans Unicode"/>
                <w:spacing w:val="2"/>
                <w:w w:val="105"/>
                <w:sz w:val="24"/>
              </w:rPr>
              <w:t> </w:t>
            </w:r>
            <w:r>
              <w:rPr>
                <w:rFonts w:ascii="Lucida Sans Unicode"/>
                <w:w w:val="105"/>
                <w:sz w:val="24"/>
              </w:rPr>
              <w:t>EU</w:t>
            </w:r>
            <w:r>
              <w:rPr>
                <w:rFonts w:ascii="Lucida Sans Unicode"/>
                <w:spacing w:val="3"/>
                <w:w w:val="105"/>
                <w:sz w:val="24"/>
              </w:rPr>
              <w:t> </w:t>
            </w:r>
            <w:r>
              <w:rPr>
                <w:rFonts w:ascii="Lucida Sans Unicode"/>
                <w:w w:val="105"/>
                <w:sz w:val="24"/>
              </w:rPr>
              <w:t>Law</w:t>
            </w:r>
            <w:r>
              <w:rPr>
                <w:rFonts w:ascii="Lucida Sans Unicode"/>
                <w:spacing w:val="3"/>
                <w:w w:val="105"/>
                <w:sz w:val="24"/>
              </w:rPr>
              <w:t> </w:t>
            </w:r>
            <w:r>
              <w:rPr>
                <w:rFonts w:ascii="Lucida Sans Unicode"/>
                <w:w w:val="105"/>
                <w:sz w:val="24"/>
              </w:rPr>
              <w:t>(Revocation</w:t>
            </w:r>
            <w:r>
              <w:rPr>
                <w:rFonts w:ascii="Lucida Sans Unicode"/>
                <w:spacing w:val="3"/>
                <w:w w:val="105"/>
                <w:sz w:val="24"/>
              </w:rPr>
              <w:t> </w:t>
            </w:r>
            <w:r>
              <w:rPr>
                <w:rFonts w:ascii="Lucida Sans Unicode"/>
                <w:w w:val="105"/>
                <w:sz w:val="24"/>
              </w:rPr>
              <w:t>and</w:t>
            </w:r>
            <w:r>
              <w:rPr>
                <w:rFonts w:ascii="Lucida Sans Unicode"/>
                <w:spacing w:val="3"/>
                <w:w w:val="105"/>
                <w:sz w:val="24"/>
              </w:rPr>
              <w:t> </w:t>
            </w:r>
            <w:r>
              <w:rPr>
                <w:rFonts w:ascii="Lucida Sans Unicode"/>
                <w:w w:val="105"/>
                <w:sz w:val="24"/>
              </w:rPr>
              <w:t>Reform)</w:t>
            </w:r>
            <w:r>
              <w:rPr>
                <w:rFonts w:ascii="Lucida Sans Unicode"/>
                <w:spacing w:val="2"/>
                <w:w w:val="105"/>
                <w:sz w:val="24"/>
              </w:rPr>
              <w:t> </w:t>
            </w:r>
            <w:r>
              <w:rPr>
                <w:rFonts w:ascii="Lucida Sans Unicode"/>
                <w:w w:val="105"/>
                <w:sz w:val="24"/>
              </w:rPr>
              <w:t>Act</w:t>
            </w:r>
            <w:r>
              <w:rPr>
                <w:rFonts w:ascii="Lucida Sans Unicode"/>
                <w:spacing w:val="3"/>
                <w:w w:val="105"/>
                <w:sz w:val="24"/>
              </w:rPr>
              <w:t> </w:t>
            </w:r>
            <w:r>
              <w:rPr>
                <w:rFonts w:ascii="Lucida Sans Unicode"/>
                <w:spacing w:val="-4"/>
                <w:w w:val="105"/>
                <w:sz w:val="24"/>
              </w:rPr>
              <w:t>2023</w:t>
            </w:r>
          </w:p>
        </w:tc>
      </w:tr>
      <w:tr>
        <w:trPr>
          <w:trHeight w:val="600" w:hRule="atLeast"/>
        </w:trPr>
        <w:tc>
          <w:tcPr>
            <w:tcW w:w="1676" w:type="dxa"/>
            <w:tcBorders>
              <w:top w:val="single" w:sz="4" w:space="0" w:color="A881B9"/>
              <w:bottom w:val="single" w:sz="4" w:space="0" w:color="A881B9"/>
            </w:tcBorders>
          </w:tcPr>
          <w:p>
            <w:pPr>
              <w:pStyle w:val="TableParagraph"/>
              <w:rPr>
                <w:rFonts w:ascii="Tahoma"/>
                <w:b/>
                <w:sz w:val="24"/>
              </w:rPr>
            </w:pPr>
            <w:r>
              <w:rPr>
                <w:rFonts w:ascii="Tahoma"/>
                <w:b/>
                <w:color w:val="77328A"/>
                <w:spacing w:val="-4"/>
                <w:w w:val="105"/>
                <w:sz w:val="24"/>
              </w:rPr>
              <w:t>RSEO</w:t>
            </w:r>
          </w:p>
        </w:tc>
        <w:tc>
          <w:tcPr>
            <w:tcW w:w="7962" w:type="dxa"/>
            <w:tcBorders>
              <w:top w:val="single" w:sz="4" w:space="0" w:color="A881B9"/>
              <w:bottom w:val="single" w:sz="4" w:space="0" w:color="A881B9"/>
            </w:tcBorders>
          </w:tcPr>
          <w:p>
            <w:pPr>
              <w:pStyle w:val="TableParagraph"/>
              <w:spacing w:before="110"/>
              <w:ind w:left="138"/>
              <w:rPr>
                <w:rFonts w:ascii="Lucida Sans Unicode"/>
                <w:sz w:val="24"/>
              </w:rPr>
            </w:pPr>
            <w:r>
              <w:rPr>
                <w:rFonts w:ascii="Lucida Sans Unicode"/>
                <w:w w:val="105"/>
                <w:sz w:val="24"/>
              </w:rPr>
              <w:t>Rights,</w:t>
            </w:r>
            <w:r>
              <w:rPr>
                <w:rFonts w:ascii="Lucida Sans Unicode"/>
                <w:spacing w:val="-20"/>
                <w:w w:val="105"/>
                <w:sz w:val="24"/>
              </w:rPr>
              <w:t> </w:t>
            </w:r>
            <w:r>
              <w:rPr>
                <w:rFonts w:ascii="Lucida Sans Unicode"/>
                <w:w w:val="105"/>
                <w:sz w:val="24"/>
              </w:rPr>
              <w:t>Safeguards</w:t>
            </w:r>
            <w:r>
              <w:rPr>
                <w:rFonts w:ascii="Lucida Sans Unicode"/>
                <w:spacing w:val="-19"/>
                <w:w w:val="105"/>
                <w:sz w:val="24"/>
              </w:rPr>
              <w:t> </w:t>
            </w:r>
            <w:r>
              <w:rPr>
                <w:rFonts w:ascii="Lucida Sans Unicode"/>
                <w:w w:val="105"/>
                <w:sz w:val="24"/>
              </w:rPr>
              <w:t>and</w:t>
            </w:r>
            <w:r>
              <w:rPr>
                <w:rFonts w:ascii="Lucida Sans Unicode"/>
                <w:spacing w:val="-19"/>
                <w:w w:val="105"/>
                <w:sz w:val="24"/>
              </w:rPr>
              <w:t> </w:t>
            </w:r>
            <w:r>
              <w:rPr>
                <w:rFonts w:ascii="Lucida Sans Unicode"/>
                <w:w w:val="105"/>
                <w:sz w:val="24"/>
              </w:rPr>
              <w:t>Equality</w:t>
            </w:r>
            <w:r>
              <w:rPr>
                <w:rFonts w:ascii="Lucida Sans Unicode"/>
                <w:spacing w:val="-19"/>
                <w:w w:val="105"/>
                <w:sz w:val="24"/>
              </w:rPr>
              <w:t> </w:t>
            </w:r>
            <w:r>
              <w:rPr>
                <w:rFonts w:ascii="Lucida Sans Unicode"/>
                <w:w w:val="105"/>
                <w:sz w:val="24"/>
              </w:rPr>
              <w:t>of</w:t>
            </w:r>
            <w:r>
              <w:rPr>
                <w:rFonts w:ascii="Lucida Sans Unicode"/>
                <w:spacing w:val="-19"/>
                <w:w w:val="105"/>
                <w:sz w:val="24"/>
              </w:rPr>
              <w:t> </w:t>
            </w:r>
            <w:r>
              <w:rPr>
                <w:rFonts w:ascii="Lucida Sans Unicode"/>
                <w:spacing w:val="-2"/>
                <w:w w:val="105"/>
                <w:sz w:val="24"/>
              </w:rPr>
              <w:t>Opportunity</w:t>
            </w:r>
          </w:p>
        </w:tc>
      </w:tr>
      <w:tr>
        <w:trPr>
          <w:trHeight w:val="599" w:hRule="atLeast"/>
        </w:trPr>
        <w:tc>
          <w:tcPr>
            <w:tcW w:w="1676" w:type="dxa"/>
            <w:tcBorders>
              <w:top w:val="single" w:sz="4" w:space="0" w:color="A881B9"/>
              <w:bottom w:val="single" w:sz="4" w:space="0" w:color="A881B9"/>
            </w:tcBorders>
          </w:tcPr>
          <w:p>
            <w:pPr>
              <w:pStyle w:val="TableParagraph"/>
              <w:rPr>
                <w:rFonts w:ascii="Tahoma"/>
                <w:b/>
                <w:sz w:val="24"/>
              </w:rPr>
            </w:pPr>
            <w:r>
              <w:rPr>
                <w:rFonts w:ascii="Tahoma"/>
                <w:b/>
                <w:color w:val="77328A"/>
                <w:spacing w:val="-5"/>
                <w:sz w:val="24"/>
              </w:rPr>
              <w:t>SIA</w:t>
            </w:r>
          </w:p>
        </w:tc>
        <w:tc>
          <w:tcPr>
            <w:tcW w:w="7962" w:type="dxa"/>
            <w:tcBorders>
              <w:top w:val="single" w:sz="4" w:space="0" w:color="A881B9"/>
              <w:bottom w:val="single" w:sz="4" w:space="0" w:color="A881B9"/>
            </w:tcBorders>
          </w:tcPr>
          <w:p>
            <w:pPr>
              <w:pStyle w:val="TableParagraph"/>
              <w:spacing w:before="110"/>
              <w:ind w:left="138"/>
              <w:rPr>
                <w:rFonts w:ascii="Lucida Sans Unicode"/>
                <w:sz w:val="24"/>
              </w:rPr>
            </w:pPr>
            <w:r>
              <w:rPr>
                <w:rFonts w:ascii="Lucida Sans Unicode"/>
                <w:sz w:val="24"/>
              </w:rPr>
              <w:t>State</w:t>
            </w:r>
            <w:r>
              <w:rPr>
                <w:rFonts w:ascii="Lucida Sans Unicode"/>
                <w:spacing w:val="30"/>
                <w:sz w:val="24"/>
              </w:rPr>
              <w:t> </w:t>
            </w:r>
            <w:r>
              <w:rPr>
                <w:rFonts w:ascii="Lucida Sans Unicode"/>
                <w:sz w:val="24"/>
              </w:rPr>
              <w:t>Immunity</w:t>
            </w:r>
            <w:r>
              <w:rPr>
                <w:rFonts w:ascii="Lucida Sans Unicode"/>
                <w:spacing w:val="30"/>
                <w:sz w:val="24"/>
              </w:rPr>
              <w:t> </w:t>
            </w:r>
            <w:r>
              <w:rPr>
                <w:rFonts w:ascii="Lucida Sans Unicode"/>
                <w:sz w:val="24"/>
              </w:rPr>
              <w:t>Act</w:t>
            </w:r>
            <w:r>
              <w:rPr>
                <w:rFonts w:ascii="Lucida Sans Unicode"/>
                <w:spacing w:val="31"/>
                <w:sz w:val="24"/>
              </w:rPr>
              <w:t> </w:t>
            </w:r>
            <w:r>
              <w:rPr>
                <w:rFonts w:ascii="Lucida Sans Unicode"/>
                <w:spacing w:val="-4"/>
                <w:sz w:val="24"/>
              </w:rPr>
              <w:t>1978</w:t>
            </w:r>
          </w:p>
        </w:tc>
      </w:tr>
      <w:tr>
        <w:trPr>
          <w:trHeight w:val="600" w:hRule="atLeast"/>
        </w:trPr>
        <w:tc>
          <w:tcPr>
            <w:tcW w:w="1676" w:type="dxa"/>
            <w:tcBorders>
              <w:top w:val="single" w:sz="4" w:space="0" w:color="A881B9"/>
              <w:bottom w:val="single" w:sz="4" w:space="0" w:color="A881B9"/>
            </w:tcBorders>
          </w:tcPr>
          <w:p>
            <w:pPr>
              <w:pStyle w:val="TableParagraph"/>
              <w:rPr>
                <w:rFonts w:ascii="Tahoma"/>
                <w:b/>
                <w:sz w:val="24"/>
              </w:rPr>
            </w:pPr>
            <w:r>
              <w:rPr>
                <w:rFonts w:ascii="Tahoma"/>
                <w:b/>
                <w:color w:val="77328A"/>
                <w:spacing w:val="-5"/>
                <w:w w:val="105"/>
                <w:sz w:val="24"/>
              </w:rPr>
              <w:t>TEU</w:t>
            </w:r>
          </w:p>
        </w:tc>
        <w:tc>
          <w:tcPr>
            <w:tcW w:w="7962" w:type="dxa"/>
            <w:tcBorders>
              <w:top w:val="single" w:sz="4" w:space="0" w:color="A881B9"/>
              <w:bottom w:val="single" w:sz="4" w:space="0" w:color="A881B9"/>
            </w:tcBorders>
          </w:tcPr>
          <w:p>
            <w:pPr>
              <w:pStyle w:val="TableParagraph"/>
              <w:spacing w:before="148"/>
              <w:ind w:left="138"/>
              <w:rPr>
                <w:sz w:val="24"/>
              </w:rPr>
            </w:pPr>
            <w:r>
              <w:rPr>
                <w:w w:val="110"/>
                <w:sz w:val="24"/>
              </w:rPr>
              <w:t>Treaty</w:t>
            </w:r>
            <w:r>
              <w:rPr>
                <w:spacing w:val="-5"/>
                <w:w w:val="110"/>
                <w:sz w:val="24"/>
              </w:rPr>
              <w:t> </w:t>
            </w:r>
            <w:r>
              <w:rPr>
                <w:w w:val="110"/>
                <w:sz w:val="24"/>
              </w:rPr>
              <w:t>on</w:t>
            </w:r>
            <w:r>
              <w:rPr>
                <w:spacing w:val="-4"/>
                <w:w w:val="110"/>
                <w:sz w:val="24"/>
              </w:rPr>
              <w:t> </w:t>
            </w:r>
            <w:r>
              <w:rPr>
                <w:w w:val="110"/>
                <w:sz w:val="24"/>
              </w:rPr>
              <w:t>European</w:t>
            </w:r>
            <w:r>
              <w:rPr>
                <w:spacing w:val="-4"/>
                <w:w w:val="110"/>
                <w:sz w:val="24"/>
              </w:rPr>
              <w:t> </w:t>
            </w:r>
            <w:r>
              <w:rPr>
                <w:spacing w:val="-2"/>
                <w:w w:val="110"/>
                <w:sz w:val="24"/>
              </w:rPr>
              <w:t>Union</w:t>
            </w:r>
          </w:p>
        </w:tc>
      </w:tr>
      <w:tr>
        <w:trPr>
          <w:trHeight w:val="600" w:hRule="atLeast"/>
        </w:trPr>
        <w:tc>
          <w:tcPr>
            <w:tcW w:w="1676" w:type="dxa"/>
            <w:tcBorders>
              <w:top w:val="single" w:sz="4" w:space="0" w:color="A881B9"/>
              <w:bottom w:val="single" w:sz="4" w:space="0" w:color="A881B9"/>
            </w:tcBorders>
          </w:tcPr>
          <w:p>
            <w:pPr>
              <w:pStyle w:val="TableParagraph"/>
              <w:rPr>
                <w:rFonts w:ascii="Tahoma"/>
                <w:b/>
                <w:sz w:val="24"/>
              </w:rPr>
            </w:pPr>
            <w:r>
              <w:rPr>
                <w:rFonts w:ascii="Tahoma"/>
                <w:b/>
                <w:color w:val="77328A"/>
                <w:spacing w:val="-4"/>
                <w:w w:val="105"/>
                <w:sz w:val="24"/>
              </w:rPr>
              <w:t>TFEU</w:t>
            </w:r>
          </w:p>
        </w:tc>
        <w:tc>
          <w:tcPr>
            <w:tcW w:w="7962" w:type="dxa"/>
            <w:tcBorders>
              <w:top w:val="single" w:sz="4" w:space="0" w:color="A881B9"/>
              <w:bottom w:val="single" w:sz="4" w:space="0" w:color="A881B9"/>
            </w:tcBorders>
          </w:tcPr>
          <w:p>
            <w:pPr>
              <w:pStyle w:val="TableParagraph"/>
              <w:spacing w:before="148"/>
              <w:ind w:left="138"/>
              <w:rPr>
                <w:sz w:val="24"/>
              </w:rPr>
            </w:pPr>
            <w:r>
              <w:rPr>
                <w:spacing w:val="-2"/>
                <w:w w:val="115"/>
                <w:sz w:val="24"/>
              </w:rPr>
              <w:t>Treaty</w:t>
            </w:r>
            <w:r>
              <w:rPr>
                <w:spacing w:val="-11"/>
                <w:w w:val="115"/>
                <w:sz w:val="24"/>
              </w:rPr>
              <w:t> </w:t>
            </w:r>
            <w:r>
              <w:rPr>
                <w:spacing w:val="-2"/>
                <w:w w:val="115"/>
                <w:sz w:val="24"/>
              </w:rPr>
              <w:t>on</w:t>
            </w:r>
            <w:r>
              <w:rPr>
                <w:spacing w:val="-10"/>
                <w:w w:val="115"/>
                <w:sz w:val="24"/>
              </w:rPr>
              <w:t> </w:t>
            </w:r>
            <w:r>
              <w:rPr>
                <w:spacing w:val="-2"/>
                <w:w w:val="115"/>
                <w:sz w:val="24"/>
              </w:rPr>
              <w:t>the</w:t>
            </w:r>
            <w:r>
              <w:rPr>
                <w:spacing w:val="-10"/>
                <w:w w:val="115"/>
                <w:sz w:val="24"/>
              </w:rPr>
              <w:t> </w:t>
            </w:r>
            <w:r>
              <w:rPr>
                <w:spacing w:val="-2"/>
                <w:w w:val="115"/>
                <w:sz w:val="24"/>
              </w:rPr>
              <w:t>Functioning</w:t>
            </w:r>
            <w:r>
              <w:rPr>
                <w:spacing w:val="-11"/>
                <w:w w:val="115"/>
                <w:sz w:val="24"/>
              </w:rPr>
              <w:t> </w:t>
            </w:r>
            <w:r>
              <w:rPr>
                <w:spacing w:val="-2"/>
                <w:w w:val="115"/>
                <w:sz w:val="24"/>
              </w:rPr>
              <w:t>of</w:t>
            </w:r>
            <w:r>
              <w:rPr>
                <w:spacing w:val="-10"/>
                <w:w w:val="115"/>
                <w:sz w:val="24"/>
              </w:rPr>
              <w:t> </w:t>
            </w:r>
            <w:r>
              <w:rPr>
                <w:spacing w:val="-2"/>
                <w:w w:val="115"/>
                <w:sz w:val="24"/>
              </w:rPr>
              <w:t>the</w:t>
            </w:r>
            <w:r>
              <w:rPr>
                <w:spacing w:val="-10"/>
                <w:w w:val="115"/>
                <w:sz w:val="24"/>
              </w:rPr>
              <w:t> </w:t>
            </w:r>
            <w:r>
              <w:rPr>
                <w:spacing w:val="-2"/>
                <w:w w:val="115"/>
                <w:sz w:val="24"/>
              </w:rPr>
              <w:t>European</w:t>
            </w:r>
            <w:r>
              <w:rPr>
                <w:spacing w:val="-11"/>
                <w:w w:val="115"/>
                <w:sz w:val="24"/>
              </w:rPr>
              <w:t> </w:t>
            </w:r>
            <w:r>
              <w:rPr>
                <w:spacing w:val="-2"/>
                <w:w w:val="115"/>
                <w:sz w:val="24"/>
              </w:rPr>
              <w:t>Union</w:t>
            </w:r>
          </w:p>
        </w:tc>
      </w:tr>
      <w:tr>
        <w:trPr>
          <w:trHeight w:val="600" w:hRule="atLeast"/>
        </w:trPr>
        <w:tc>
          <w:tcPr>
            <w:tcW w:w="1676" w:type="dxa"/>
            <w:tcBorders>
              <w:top w:val="single" w:sz="4" w:space="0" w:color="A881B9"/>
              <w:bottom w:val="single" w:sz="4" w:space="0" w:color="A881B9"/>
            </w:tcBorders>
          </w:tcPr>
          <w:p>
            <w:pPr>
              <w:pStyle w:val="TableParagraph"/>
              <w:rPr>
                <w:rFonts w:ascii="Tahoma"/>
                <w:b/>
                <w:sz w:val="24"/>
              </w:rPr>
            </w:pPr>
            <w:r>
              <w:rPr>
                <w:rFonts w:ascii="Tahoma"/>
                <w:b/>
                <w:color w:val="77328A"/>
                <w:spacing w:val="-5"/>
                <w:w w:val="105"/>
                <w:sz w:val="24"/>
              </w:rPr>
              <w:t>UK</w:t>
            </w:r>
          </w:p>
        </w:tc>
        <w:tc>
          <w:tcPr>
            <w:tcW w:w="7962" w:type="dxa"/>
            <w:tcBorders>
              <w:top w:val="single" w:sz="4" w:space="0" w:color="A881B9"/>
              <w:bottom w:val="single" w:sz="4" w:space="0" w:color="A881B9"/>
            </w:tcBorders>
          </w:tcPr>
          <w:p>
            <w:pPr>
              <w:pStyle w:val="TableParagraph"/>
              <w:spacing w:before="148"/>
              <w:ind w:left="138"/>
              <w:rPr>
                <w:sz w:val="24"/>
              </w:rPr>
            </w:pPr>
            <w:r>
              <w:rPr>
                <w:spacing w:val="-2"/>
                <w:w w:val="115"/>
                <w:sz w:val="24"/>
              </w:rPr>
              <w:t>United</w:t>
            </w:r>
            <w:r>
              <w:rPr>
                <w:spacing w:val="-10"/>
                <w:w w:val="115"/>
                <w:sz w:val="24"/>
              </w:rPr>
              <w:t> </w:t>
            </w:r>
            <w:r>
              <w:rPr>
                <w:spacing w:val="-2"/>
                <w:w w:val="115"/>
                <w:sz w:val="24"/>
              </w:rPr>
              <w:t>Kingdom</w:t>
            </w:r>
          </w:p>
        </w:tc>
      </w:tr>
      <w:tr>
        <w:trPr>
          <w:trHeight w:val="600" w:hRule="atLeast"/>
        </w:trPr>
        <w:tc>
          <w:tcPr>
            <w:tcW w:w="1676" w:type="dxa"/>
            <w:tcBorders>
              <w:top w:val="single" w:sz="4" w:space="0" w:color="A881B9"/>
              <w:bottom w:val="single" w:sz="4" w:space="0" w:color="A881B9"/>
            </w:tcBorders>
          </w:tcPr>
          <w:p>
            <w:pPr>
              <w:pStyle w:val="TableParagraph"/>
              <w:rPr>
                <w:rFonts w:ascii="Tahoma"/>
                <w:b/>
                <w:sz w:val="24"/>
              </w:rPr>
            </w:pPr>
            <w:r>
              <w:rPr>
                <w:rFonts w:ascii="Tahoma"/>
                <w:b/>
                <w:color w:val="77328A"/>
                <w:spacing w:val="-5"/>
                <w:w w:val="110"/>
                <w:sz w:val="24"/>
              </w:rPr>
              <w:t>WA</w:t>
            </w:r>
          </w:p>
        </w:tc>
        <w:tc>
          <w:tcPr>
            <w:tcW w:w="7962" w:type="dxa"/>
            <w:tcBorders>
              <w:top w:val="single" w:sz="4" w:space="0" w:color="A881B9"/>
              <w:bottom w:val="single" w:sz="4" w:space="0" w:color="A881B9"/>
            </w:tcBorders>
          </w:tcPr>
          <w:p>
            <w:pPr>
              <w:pStyle w:val="TableParagraph"/>
              <w:spacing w:before="148"/>
              <w:ind w:left="138"/>
              <w:rPr>
                <w:sz w:val="24"/>
              </w:rPr>
            </w:pPr>
            <w:r>
              <w:rPr>
                <w:w w:val="115"/>
                <w:sz w:val="24"/>
              </w:rPr>
              <w:t>Withdrawal</w:t>
            </w:r>
            <w:r>
              <w:rPr>
                <w:spacing w:val="-18"/>
                <w:w w:val="115"/>
                <w:sz w:val="24"/>
              </w:rPr>
              <w:t> </w:t>
            </w:r>
            <w:r>
              <w:rPr>
                <w:spacing w:val="-2"/>
                <w:w w:val="115"/>
                <w:sz w:val="24"/>
              </w:rPr>
              <w:t>Agreement</w:t>
            </w:r>
          </w:p>
        </w:tc>
      </w:tr>
      <w:tr>
        <w:trPr>
          <w:trHeight w:val="600" w:hRule="atLeast"/>
        </w:trPr>
        <w:tc>
          <w:tcPr>
            <w:tcW w:w="1676" w:type="dxa"/>
            <w:tcBorders>
              <w:top w:val="single" w:sz="4" w:space="0" w:color="A881B9"/>
              <w:bottom w:val="single" w:sz="4" w:space="0" w:color="A881B9"/>
            </w:tcBorders>
          </w:tcPr>
          <w:p>
            <w:pPr>
              <w:pStyle w:val="TableParagraph"/>
              <w:rPr>
                <w:rFonts w:ascii="Tahoma"/>
                <w:b/>
                <w:sz w:val="24"/>
              </w:rPr>
            </w:pPr>
            <w:r>
              <w:rPr>
                <w:rFonts w:ascii="Tahoma"/>
                <w:b/>
                <w:color w:val="77328A"/>
                <w:spacing w:val="-5"/>
                <w:w w:val="110"/>
                <w:sz w:val="24"/>
              </w:rPr>
              <w:t>WF</w:t>
            </w:r>
          </w:p>
        </w:tc>
        <w:tc>
          <w:tcPr>
            <w:tcW w:w="7962" w:type="dxa"/>
            <w:tcBorders>
              <w:top w:val="single" w:sz="4" w:space="0" w:color="A881B9"/>
              <w:bottom w:val="single" w:sz="4" w:space="0" w:color="A881B9"/>
            </w:tcBorders>
          </w:tcPr>
          <w:p>
            <w:pPr>
              <w:pStyle w:val="TableParagraph"/>
              <w:spacing w:before="148"/>
              <w:ind w:left="138"/>
              <w:rPr>
                <w:sz w:val="24"/>
              </w:rPr>
            </w:pPr>
            <w:r>
              <w:rPr>
                <w:w w:val="115"/>
                <w:sz w:val="24"/>
              </w:rPr>
              <w:t>Windsor</w:t>
            </w:r>
            <w:r>
              <w:rPr>
                <w:spacing w:val="-18"/>
                <w:w w:val="115"/>
                <w:sz w:val="24"/>
              </w:rPr>
              <w:t> </w:t>
            </w:r>
            <w:r>
              <w:rPr>
                <w:spacing w:val="-2"/>
                <w:w w:val="115"/>
                <w:sz w:val="24"/>
              </w:rPr>
              <w:t>Framework</w:t>
            </w:r>
          </w:p>
        </w:tc>
      </w:tr>
    </w:tbl>
    <w:p>
      <w:pPr>
        <w:spacing w:after="0"/>
        <w:rPr>
          <w:sz w:val="24"/>
        </w:rPr>
        <w:sectPr>
          <w:pgSz w:w="11910" w:h="16840"/>
          <w:pgMar w:header="568" w:footer="580" w:top="840" w:bottom="780" w:left="1020" w:right="1020"/>
        </w:sectPr>
      </w:pPr>
    </w:p>
    <w:p>
      <w:pPr>
        <w:pStyle w:val="BodyText"/>
        <w:spacing w:before="37"/>
        <w:ind w:left="0"/>
        <w:rPr>
          <w:rFonts w:ascii="Trebuchet MS"/>
          <w:sz w:val="60"/>
        </w:rPr>
      </w:pPr>
    </w:p>
    <w:p>
      <w:pPr>
        <w:pStyle w:val="Heading1"/>
        <w:spacing w:before="1"/>
      </w:pPr>
      <w:bookmarkStart w:name="Introduction" w:id="3"/>
      <w:bookmarkEnd w:id="3"/>
      <w:r>
        <w:rPr/>
      </w:r>
      <w:bookmarkStart w:name="_bookmark1" w:id="4"/>
      <w:bookmarkEnd w:id="4"/>
      <w:r>
        <w:rPr/>
      </w:r>
      <w:r>
        <w:rPr>
          <w:color w:val="77328A"/>
          <w:spacing w:val="-2"/>
          <w:w w:val="115"/>
        </w:rPr>
        <w:t>Introduction</w:t>
      </w:r>
    </w:p>
    <w:p>
      <w:pPr>
        <w:spacing w:line="256" w:lineRule="auto" w:before="400"/>
        <w:ind w:left="113" w:right="674" w:firstLine="0"/>
        <w:jc w:val="left"/>
        <w:rPr>
          <w:rFonts w:ascii="Tahoma" w:hAnsi="Tahoma"/>
          <w:b/>
          <w:sz w:val="28"/>
        </w:rPr>
      </w:pPr>
      <w:r>
        <w:rPr>
          <w:rFonts w:ascii="Tahoma" w:hAnsi="Tahoma"/>
          <w:b/>
          <w:color w:val="77328A"/>
          <w:sz w:val="28"/>
        </w:rPr>
        <w:t>This report explores the interaction between the Charter of Fundamental Rights of the European Union (‘Charter’ and ‘CFR’) and general principles of EU Law protecting fundamental rights on the one hand, and the Windsor Framework (‘WF’),</w:t>
      </w:r>
      <w:r>
        <w:rPr>
          <w:rFonts w:ascii="Tahoma" w:hAnsi="Tahoma"/>
          <w:b/>
          <w:color w:val="77328A"/>
          <w:sz w:val="28"/>
          <w:vertAlign w:val="superscript"/>
        </w:rPr>
        <w:t>1</w:t>
      </w:r>
      <w:r>
        <w:rPr>
          <w:rFonts w:ascii="Tahoma" w:hAnsi="Tahoma"/>
          <w:b/>
          <w:color w:val="77328A"/>
          <w:sz w:val="28"/>
          <w:vertAlign w:val="baseline"/>
        </w:rPr>
        <w:t> which forms part of the EU-UK Withdrawal Agreement (‘WA’), on the other. Whereas UK domestic law after Brexit largely removes</w:t>
      </w:r>
      <w:r>
        <w:rPr>
          <w:rFonts w:ascii="Tahoma" w:hAnsi="Tahoma"/>
          <w:b/>
          <w:color w:val="77328A"/>
          <w:spacing w:val="80"/>
          <w:sz w:val="28"/>
          <w:vertAlign w:val="baseline"/>
        </w:rPr>
        <w:t> </w:t>
      </w:r>
      <w:r>
        <w:rPr>
          <w:rFonts w:ascii="Tahoma" w:hAnsi="Tahoma"/>
          <w:b/>
          <w:color w:val="77328A"/>
          <w:sz w:val="28"/>
          <w:vertAlign w:val="baseline"/>
        </w:rPr>
        <w:t>the domestic applicability of the Charter and general principles of EU law, the Windsor Framework partly retains their relevance in Northern Ireland. This gives rise to a complex relationship</w:t>
      </w:r>
    </w:p>
    <w:p>
      <w:pPr>
        <w:spacing w:line="323" w:lineRule="exact" w:before="0"/>
        <w:ind w:left="113" w:right="0" w:firstLine="0"/>
        <w:jc w:val="left"/>
        <w:rPr>
          <w:rFonts w:ascii="Tahoma"/>
          <w:b/>
          <w:sz w:val="28"/>
        </w:rPr>
      </w:pPr>
      <w:r>
        <w:rPr>
          <w:rFonts w:ascii="Tahoma"/>
          <w:b/>
          <w:color w:val="77328A"/>
          <w:sz w:val="28"/>
        </w:rPr>
        <w:t>between</w:t>
      </w:r>
      <w:r>
        <w:rPr>
          <w:rFonts w:ascii="Tahoma"/>
          <w:b/>
          <w:color w:val="77328A"/>
          <w:spacing w:val="7"/>
          <w:sz w:val="28"/>
        </w:rPr>
        <w:t> </w:t>
      </w:r>
      <w:r>
        <w:rPr>
          <w:rFonts w:ascii="Tahoma"/>
          <w:b/>
          <w:color w:val="77328A"/>
          <w:sz w:val="28"/>
        </w:rPr>
        <w:t>the</w:t>
      </w:r>
      <w:r>
        <w:rPr>
          <w:rFonts w:ascii="Tahoma"/>
          <w:b/>
          <w:color w:val="77328A"/>
          <w:spacing w:val="9"/>
          <w:sz w:val="28"/>
        </w:rPr>
        <w:t> </w:t>
      </w:r>
      <w:r>
        <w:rPr>
          <w:rFonts w:ascii="Tahoma"/>
          <w:b/>
          <w:color w:val="77328A"/>
          <w:sz w:val="28"/>
        </w:rPr>
        <w:t>Windsor</w:t>
      </w:r>
      <w:r>
        <w:rPr>
          <w:rFonts w:ascii="Tahoma"/>
          <w:b/>
          <w:color w:val="77328A"/>
          <w:spacing w:val="10"/>
          <w:sz w:val="28"/>
        </w:rPr>
        <w:t> </w:t>
      </w:r>
      <w:r>
        <w:rPr>
          <w:rFonts w:ascii="Tahoma"/>
          <w:b/>
          <w:color w:val="77328A"/>
          <w:sz w:val="28"/>
        </w:rPr>
        <w:t>Framework</w:t>
      </w:r>
      <w:r>
        <w:rPr>
          <w:rFonts w:ascii="Tahoma"/>
          <w:b/>
          <w:color w:val="77328A"/>
          <w:spacing w:val="9"/>
          <w:sz w:val="28"/>
        </w:rPr>
        <w:t> </w:t>
      </w:r>
      <w:r>
        <w:rPr>
          <w:rFonts w:ascii="Tahoma"/>
          <w:b/>
          <w:color w:val="77328A"/>
          <w:sz w:val="28"/>
        </w:rPr>
        <w:t>and</w:t>
      </w:r>
      <w:r>
        <w:rPr>
          <w:rFonts w:ascii="Tahoma"/>
          <w:b/>
          <w:color w:val="77328A"/>
          <w:spacing w:val="9"/>
          <w:sz w:val="28"/>
        </w:rPr>
        <w:t> </w:t>
      </w:r>
      <w:r>
        <w:rPr>
          <w:rFonts w:ascii="Tahoma"/>
          <w:b/>
          <w:color w:val="77328A"/>
          <w:sz w:val="28"/>
        </w:rPr>
        <w:t>other</w:t>
      </w:r>
      <w:r>
        <w:rPr>
          <w:rFonts w:ascii="Tahoma"/>
          <w:b/>
          <w:color w:val="77328A"/>
          <w:spacing w:val="10"/>
          <w:sz w:val="28"/>
        </w:rPr>
        <w:t> </w:t>
      </w:r>
      <w:r>
        <w:rPr>
          <w:rFonts w:ascii="Tahoma"/>
          <w:b/>
          <w:color w:val="77328A"/>
          <w:sz w:val="28"/>
        </w:rPr>
        <w:t>aspects</w:t>
      </w:r>
      <w:r>
        <w:rPr>
          <w:rFonts w:ascii="Tahoma"/>
          <w:b/>
          <w:color w:val="77328A"/>
          <w:spacing w:val="9"/>
          <w:sz w:val="28"/>
        </w:rPr>
        <w:t> </w:t>
      </w:r>
      <w:r>
        <w:rPr>
          <w:rFonts w:ascii="Tahoma"/>
          <w:b/>
          <w:color w:val="77328A"/>
          <w:sz w:val="28"/>
        </w:rPr>
        <w:t>of</w:t>
      </w:r>
      <w:r>
        <w:rPr>
          <w:rFonts w:ascii="Tahoma"/>
          <w:b/>
          <w:color w:val="77328A"/>
          <w:spacing w:val="10"/>
          <w:sz w:val="28"/>
        </w:rPr>
        <w:t> </w:t>
      </w:r>
      <w:r>
        <w:rPr>
          <w:rFonts w:ascii="Tahoma"/>
          <w:b/>
          <w:color w:val="77328A"/>
          <w:spacing w:val="-2"/>
          <w:sz w:val="28"/>
        </w:rPr>
        <w:t>withdrawal</w:t>
      </w:r>
    </w:p>
    <w:p>
      <w:pPr>
        <w:spacing w:line="256" w:lineRule="auto" w:before="22"/>
        <w:ind w:left="113" w:right="630" w:firstLine="0"/>
        <w:jc w:val="left"/>
        <w:rPr>
          <w:rFonts w:ascii="Tahoma"/>
          <w:b/>
          <w:sz w:val="28"/>
        </w:rPr>
      </w:pPr>
      <w:r>
        <w:rPr>
          <w:rFonts w:ascii="Tahoma"/>
          <w:b/>
          <w:color w:val="77328A"/>
          <w:sz w:val="28"/>
        </w:rPr>
        <w:t>legislation, the exact scope of which is difficult to determine at first glance. The purpose of this report is to explain the relevant provisions and their interplay, thereby minimising the risk of misunderstandings or inaccurate application of the Charter</w:t>
      </w:r>
    </w:p>
    <w:p>
      <w:pPr>
        <w:spacing w:line="256" w:lineRule="auto" w:before="0"/>
        <w:ind w:left="113" w:right="630" w:firstLine="0"/>
        <w:jc w:val="left"/>
        <w:rPr>
          <w:rFonts w:ascii="Tahoma"/>
          <w:b/>
          <w:sz w:val="28"/>
        </w:rPr>
      </w:pPr>
      <w:r>
        <w:rPr>
          <w:rFonts w:ascii="Tahoma"/>
          <w:b/>
          <w:color w:val="77328A"/>
          <w:sz w:val="28"/>
        </w:rPr>
        <w:t>and general principles in Northern Ireland. As such, the report contributes to preventing the UK breaching its obligations under the EU-UK Withdrawal Agreement.</w:t>
      </w:r>
    </w:p>
    <w:p>
      <w:pPr>
        <w:pStyle w:val="BodyText"/>
        <w:spacing w:before="40"/>
        <w:ind w:left="0"/>
        <w:rPr>
          <w:rFonts w:ascii="Tahoma"/>
          <w:b/>
          <w:sz w:val="20"/>
        </w:rPr>
      </w:pPr>
    </w:p>
    <w:p>
      <w:pPr>
        <w:spacing w:after="0"/>
        <w:rPr>
          <w:rFonts w:ascii="Tahoma"/>
          <w:sz w:val="20"/>
        </w:rPr>
        <w:sectPr>
          <w:pgSz w:w="11910" w:h="16840"/>
          <w:pgMar w:header="568" w:footer="580" w:top="840" w:bottom="780" w:left="1020" w:right="1020"/>
        </w:sectPr>
      </w:pPr>
    </w:p>
    <w:p>
      <w:pPr>
        <w:pStyle w:val="BodyText"/>
        <w:spacing w:line="247" w:lineRule="auto" w:before="34"/>
        <w:ind w:right="623"/>
      </w:pPr>
      <w:r>
        <w:rPr>
          <w:rFonts w:ascii="Lucida Sans Unicode"/>
        </w:rPr>
        <w:t>More specifically, even though</w:t>
      </w:r>
      <w:r>
        <w:rPr>
          <w:rFonts w:ascii="Lucida Sans Unicode"/>
          <w:spacing w:val="40"/>
          <w:w w:val="110"/>
        </w:rPr>
        <w:t> </w:t>
      </w:r>
      <w:r>
        <w:rPr>
          <w:w w:val="110"/>
        </w:rPr>
        <w:t>the</w:t>
      </w:r>
      <w:r>
        <w:rPr>
          <w:spacing w:val="40"/>
          <w:w w:val="110"/>
        </w:rPr>
        <w:t> </w:t>
      </w:r>
      <w:r>
        <w:rPr>
          <w:w w:val="110"/>
        </w:rPr>
        <w:t>Windsor</w:t>
      </w:r>
      <w:r>
        <w:rPr>
          <w:spacing w:val="40"/>
          <w:w w:val="110"/>
        </w:rPr>
        <w:t> </w:t>
      </w:r>
      <w:r>
        <w:rPr>
          <w:w w:val="110"/>
        </w:rPr>
        <w:t>Framework</w:t>
      </w:r>
      <w:r>
        <w:rPr>
          <w:spacing w:val="40"/>
          <w:w w:val="110"/>
        </w:rPr>
        <w:t> </w:t>
      </w:r>
      <w:r>
        <w:rPr>
          <w:w w:val="110"/>
        </w:rPr>
        <w:t>does not expressly declare the </w:t>
      </w:r>
      <w:r>
        <w:rPr>
          <w:w w:val="110"/>
        </w:rPr>
        <w:t>Charter</w:t>
      </w:r>
    </w:p>
    <w:p>
      <w:pPr>
        <w:pStyle w:val="BodyText"/>
        <w:spacing w:line="268" w:lineRule="auto" w:before="20"/>
        <w:ind w:right="35"/>
      </w:pPr>
      <w:r>
        <w:rPr>
          <w:w w:val="115"/>
        </w:rPr>
        <w:t>applicable in Northern Ireland, there are two routes through which both </w:t>
      </w:r>
      <w:r>
        <w:rPr>
          <w:spacing w:val="-2"/>
          <w:w w:val="115"/>
        </w:rPr>
        <w:t>the</w:t>
      </w:r>
      <w:r>
        <w:rPr>
          <w:spacing w:val="-16"/>
          <w:w w:val="115"/>
        </w:rPr>
        <w:t> </w:t>
      </w:r>
      <w:r>
        <w:rPr>
          <w:spacing w:val="-2"/>
          <w:w w:val="115"/>
        </w:rPr>
        <w:t>Charter</w:t>
      </w:r>
      <w:r>
        <w:rPr>
          <w:spacing w:val="-16"/>
          <w:w w:val="115"/>
        </w:rPr>
        <w:t> </w:t>
      </w:r>
      <w:r>
        <w:rPr>
          <w:spacing w:val="-2"/>
          <w:w w:val="115"/>
        </w:rPr>
        <w:t>and</w:t>
      </w:r>
      <w:r>
        <w:rPr>
          <w:spacing w:val="-16"/>
          <w:w w:val="115"/>
        </w:rPr>
        <w:t> </w:t>
      </w:r>
      <w:r>
        <w:rPr>
          <w:spacing w:val="-2"/>
          <w:w w:val="115"/>
        </w:rPr>
        <w:t>the</w:t>
      </w:r>
      <w:r>
        <w:rPr>
          <w:spacing w:val="-16"/>
          <w:w w:val="115"/>
        </w:rPr>
        <w:t> </w:t>
      </w:r>
      <w:r>
        <w:rPr>
          <w:spacing w:val="-2"/>
          <w:w w:val="115"/>
        </w:rPr>
        <w:t>general</w:t>
      </w:r>
      <w:r>
        <w:rPr>
          <w:spacing w:val="-16"/>
          <w:w w:val="115"/>
        </w:rPr>
        <w:t> </w:t>
      </w:r>
      <w:r>
        <w:rPr>
          <w:spacing w:val="-2"/>
          <w:w w:val="115"/>
        </w:rPr>
        <w:t>principles </w:t>
      </w:r>
      <w:r>
        <w:rPr>
          <w:w w:val="115"/>
        </w:rPr>
        <w:t>of EU law that predated it continue</w:t>
      </w:r>
    </w:p>
    <w:p>
      <w:pPr>
        <w:pStyle w:val="BodyText"/>
        <w:spacing w:line="230" w:lineRule="auto" w:before="12"/>
        <w:ind w:right="174"/>
      </w:pPr>
      <w:r>
        <w:rPr>
          <w:w w:val="110"/>
        </w:rPr>
        <w:t>to have effect in Northern </w:t>
      </w:r>
      <w:r>
        <w:rPr>
          <w:w w:val="110"/>
        </w:rPr>
        <w:t>Ireland. </w:t>
      </w:r>
      <w:r>
        <w:rPr>
          <w:rFonts w:ascii="Lucida Sans Unicode" w:hAnsi="Lucida Sans Unicode"/>
          <w:w w:val="110"/>
        </w:rPr>
        <w:t>The</w:t>
      </w:r>
      <w:r>
        <w:rPr>
          <w:rFonts w:ascii="Lucida Sans Unicode" w:hAnsi="Lucida Sans Unicode"/>
          <w:spacing w:val="-18"/>
          <w:w w:val="110"/>
        </w:rPr>
        <w:t> </w:t>
      </w:r>
      <w:r>
        <w:rPr>
          <w:rFonts w:ascii="Lucida Sans Unicode" w:hAnsi="Lucida Sans Unicode"/>
          <w:w w:val="110"/>
        </w:rPr>
        <w:t>first</w:t>
      </w:r>
      <w:r>
        <w:rPr>
          <w:rFonts w:ascii="Lucida Sans Unicode" w:hAnsi="Lucida Sans Unicode"/>
          <w:spacing w:val="-18"/>
          <w:w w:val="110"/>
        </w:rPr>
        <w:t> </w:t>
      </w:r>
      <w:r>
        <w:rPr>
          <w:rFonts w:ascii="Lucida Sans Unicode" w:hAnsi="Lucida Sans Unicode"/>
          <w:w w:val="110"/>
        </w:rPr>
        <w:t>is</w:t>
      </w:r>
      <w:r>
        <w:rPr>
          <w:rFonts w:ascii="Lucida Sans Unicode" w:hAnsi="Lucida Sans Unicode"/>
          <w:spacing w:val="-18"/>
          <w:w w:val="110"/>
        </w:rPr>
        <w:t> </w:t>
      </w:r>
      <w:r>
        <w:rPr>
          <w:rFonts w:ascii="Lucida Sans Unicode" w:hAnsi="Lucida Sans Unicode"/>
          <w:w w:val="110"/>
        </w:rPr>
        <w:t>Article</w:t>
      </w:r>
      <w:r>
        <w:rPr>
          <w:rFonts w:ascii="Lucida Sans Unicode" w:hAnsi="Lucida Sans Unicode"/>
          <w:spacing w:val="-18"/>
          <w:w w:val="110"/>
        </w:rPr>
        <w:t> </w:t>
      </w:r>
      <w:r>
        <w:rPr>
          <w:rFonts w:ascii="Lucida Sans Unicode" w:hAnsi="Lucida Sans Unicode"/>
          <w:w w:val="110"/>
        </w:rPr>
        <w:t>4</w:t>
      </w:r>
      <w:r>
        <w:rPr>
          <w:rFonts w:ascii="Lucida Sans Unicode" w:hAnsi="Lucida Sans Unicode"/>
          <w:spacing w:val="-18"/>
          <w:w w:val="110"/>
        </w:rPr>
        <w:t> </w:t>
      </w:r>
      <w:r>
        <w:rPr>
          <w:rFonts w:ascii="Lucida Sans Unicode" w:hAnsi="Lucida Sans Unicode"/>
          <w:w w:val="110"/>
        </w:rPr>
        <w:t>WA,</w:t>
      </w:r>
      <w:r>
        <w:rPr>
          <w:rFonts w:ascii="Lucida Sans Unicode" w:hAnsi="Lucida Sans Unicode"/>
          <w:spacing w:val="-18"/>
          <w:w w:val="110"/>
        </w:rPr>
        <w:t> </w:t>
      </w:r>
      <w:r>
        <w:rPr>
          <w:rFonts w:ascii="Lucida Sans Unicode" w:hAnsi="Lucida Sans Unicode"/>
          <w:w w:val="110"/>
        </w:rPr>
        <w:t>which </w:t>
      </w:r>
      <w:r>
        <w:rPr>
          <w:w w:val="110"/>
        </w:rPr>
        <w:t>stipulates that ‘the provisions of</w:t>
      </w:r>
    </w:p>
    <w:p>
      <w:pPr>
        <w:pStyle w:val="BodyText"/>
        <w:spacing w:line="268" w:lineRule="auto" w:before="37"/>
        <w:ind w:right="174"/>
      </w:pPr>
      <w:r>
        <w:rPr>
          <w:w w:val="115"/>
        </w:rPr>
        <w:t>Union law made applicable by this </w:t>
      </w:r>
      <w:r>
        <w:rPr>
          <w:spacing w:val="-2"/>
          <w:w w:val="115"/>
        </w:rPr>
        <w:t>Agreement</w:t>
      </w:r>
      <w:r>
        <w:rPr>
          <w:spacing w:val="-18"/>
          <w:w w:val="115"/>
        </w:rPr>
        <w:t> </w:t>
      </w:r>
      <w:r>
        <w:rPr>
          <w:spacing w:val="-2"/>
          <w:w w:val="115"/>
        </w:rPr>
        <w:t>shall</w:t>
      </w:r>
      <w:r>
        <w:rPr>
          <w:spacing w:val="-17"/>
          <w:w w:val="115"/>
        </w:rPr>
        <w:t> </w:t>
      </w:r>
      <w:r>
        <w:rPr>
          <w:spacing w:val="-2"/>
          <w:w w:val="115"/>
        </w:rPr>
        <w:t>produce</w:t>
      </w:r>
      <w:r>
        <w:rPr>
          <w:spacing w:val="-17"/>
          <w:w w:val="115"/>
        </w:rPr>
        <w:t> </w:t>
      </w:r>
      <w:r>
        <w:rPr>
          <w:spacing w:val="-2"/>
          <w:w w:val="115"/>
        </w:rPr>
        <w:t>in</w:t>
      </w:r>
      <w:r>
        <w:rPr>
          <w:spacing w:val="-17"/>
          <w:w w:val="115"/>
        </w:rPr>
        <w:t> </w:t>
      </w:r>
      <w:r>
        <w:rPr>
          <w:spacing w:val="-2"/>
          <w:w w:val="115"/>
        </w:rPr>
        <w:t>respect </w:t>
      </w:r>
      <w:r>
        <w:rPr>
          <w:w w:val="115"/>
        </w:rPr>
        <w:t>of and in the United Kingdom the same legal effects as those which they produce within the Union and</w:t>
      </w:r>
    </w:p>
    <w:p>
      <w:pPr>
        <w:pStyle w:val="BodyText"/>
        <w:spacing w:line="310" w:lineRule="exact" w:before="49"/>
        <w:ind w:right="178"/>
      </w:pPr>
      <w:r>
        <w:rPr/>
        <w:br w:type="column"/>
      </w:r>
      <w:r>
        <w:rPr>
          <w:rFonts w:ascii="Lucida Sans Unicode" w:hAnsi="Lucida Sans Unicode"/>
          <w:w w:val="110"/>
        </w:rPr>
        <w:t>its</w:t>
      </w:r>
      <w:r>
        <w:rPr>
          <w:rFonts w:ascii="Lucida Sans Unicode" w:hAnsi="Lucida Sans Unicode"/>
          <w:spacing w:val="-5"/>
          <w:w w:val="110"/>
        </w:rPr>
        <w:t> </w:t>
      </w:r>
      <w:r>
        <w:rPr>
          <w:rFonts w:ascii="Lucida Sans Unicode" w:hAnsi="Lucida Sans Unicode"/>
          <w:w w:val="110"/>
        </w:rPr>
        <w:t>Member</w:t>
      </w:r>
      <w:r>
        <w:rPr>
          <w:rFonts w:ascii="Lucida Sans Unicode" w:hAnsi="Lucida Sans Unicode"/>
          <w:spacing w:val="-5"/>
          <w:w w:val="110"/>
        </w:rPr>
        <w:t> </w:t>
      </w:r>
      <w:r>
        <w:rPr>
          <w:rFonts w:ascii="Lucida Sans Unicode" w:hAnsi="Lucida Sans Unicode"/>
          <w:w w:val="110"/>
        </w:rPr>
        <w:t>States’</w:t>
      </w:r>
      <w:r>
        <w:rPr>
          <w:rFonts w:ascii="Lucida Sans Unicode" w:hAnsi="Lucida Sans Unicode"/>
          <w:w w:val="110"/>
          <w:vertAlign w:val="superscript"/>
        </w:rPr>
        <w:t>2</w:t>
      </w:r>
      <w:r>
        <w:rPr>
          <w:w w:val="110"/>
          <w:vertAlign w:val="baseline"/>
        </w:rPr>
        <w:t>; and that the provisions of Union law referred to </w:t>
      </w:r>
      <w:r>
        <w:rPr>
          <w:w w:val="110"/>
          <w:vertAlign w:val="baseline"/>
        </w:rPr>
        <w:t>in the Withdrawal Agreement – which includes the Windsor Framework – ‘shall be interpreted and applied in accordance with the methods and general principles of Union law’.</w:t>
      </w:r>
      <w:r>
        <w:rPr>
          <w:rFonts w:ascii="Lucida Sans Unicode" w:hAnsi="Lucida Sans Unicode"/>
          <w:w w:val="110"/>
          <w:vertAlign w:val="superscript"/>
        </w:rPr>
        <w:t>3</w:t>
      </w:r>
      <w:r>
        <w:rPr>
          <w:rFonts w:ascii="Lucida Sans Unicode" w:hAnsi="Lucida Sans Unicode"/>
          <w:w w:val="110"/>
          <w:vertAlign w:val="baseline"/>
        </w:rPr>
        <w:t> Given</w:t>
      </w:r>
      <w:r>
        <w:rPr>
          <w:rFonts w:ascii="Lucida Sans Unicode" w:hAnsi="Lucida Sans Unicode"/>
          <w:spacing w:val="-19"/>
          <w:w w:val="110"/>
          <w:vertAlign w:val="baseline"/>
        </w:rPr>
        <w:t> </w:t>
      </w:r>
      <w:r>
        <w:rPr>
          <w:rFonts w:ascii="Lucida Sans Unicode" w:hAnsi="Lucida Sans Unicode"/>
          <w:w w:val="110"/>
          <w:vertAlign w:val="baseline"/>
        </w:rPr>
        <w:t>that</w:t>
      </w:r>
      <w:r>
        <w:rPr>
          <w:rFonts w:ascii="Lucida Sans Unicode" w:hAnsi="Lucida Sans Unicode"/>
          <w:spacing w:val="-19"/>
          <w:w w:val="110"/>
          <w:vertAlign w:val="baseline"/>
        </w:rPr>
        <w:t> </w:t>
      </w:r>
      <w:r>
        <w:rPr>
          <w:rFonts w:ascii="Lucida Sans Unicode" w:hAnsi="Lucida Sans Unicode"/>
          <w:w w:val="110"/>
          <w:vertAlign w:val="baseline"/>
        </w:rPr>
        <w:t>Article</w:t>
      </w:r>
      <w:r>
        <w:rPr>
          <w:rFonts w:ascii="Lucida Sans Unicode" w:hAnsi="Lucida Sans Unicode"/>
          <w:spacing w:val="-19"/>
          <w:w w:val="110"/>
          <w:vertAlign w:val="baseline"/>
        </w:rPr>
        <w:t> </w:t>
      </w:r>
      <w:r>
        <w:rPr>
          <w:rFonts w:ascii="Lucida Sans Unicode" w:hAnsi="Lucida Sans Unicode"/>
          <w:w w:val="110"/>
          <w:vertAlign w:val="baseline"/>
        </w:rPr>
        <w:t>2</w:t>
      </w:r>
      <w:r>
        <w:rPr>
          <w:rFonts w:ascii="Lucida Sans Unicode" w:hAnsi="Lucida Sans Unicode"/>
          <w:spacing w:val="-19"/>
          <w:w w:val="110"/>
          <w:vertAlign w:val="baseline"/>
        </w:rPr>
        <w:t> </w:t>
      </w:r>
      <w:r>
        <w:rPr>
          <w:rFonts w:ascii="Lucida Sans Unicode" w:hAnsi="Lucida Sans Unicode"/>
          <w:w w:val="110"/>
          <w:vertAlign w:val="baseline"/>
        </w:rPr>
        <w:t>WA</w:t>
      </w:r>
      <w:r>
        <w:rPr>
          <w:rFonts w:ascii="Lucida Sans Unicode" w:hAnsi="Lucida Sans Unicode"/>
          <w:spacing w:val="-19"/>
          <w:w w:val="110"/>
          <w:vertAlign w:val="baseline"/>
        </w:rPr>
        <w:t> </w:t>
      </w:r>
      <w:r>
        <w:rPr>
          <w:rFonts w:ascii="Lucida Sans Unicode" w:hAnsi="Lucida Sans Unicode"/>
          <w:w w:val="110"/>
          <w:vertAlign w:val="baseline"/>
        </w:rPr>
        <w:t>explicitly </w:t>
      </w:r>
      <w:r>
        <w:rPr>
          <w:rFonts w:ascii="Lucida Sans Unicode" w:hAnsi="Lucida Sans Unicode"/>
          <w:vertAlign w:val="baseline"/>
        </w:rPr>
        <w:t>defines ‘Union law’ as including the </w:t>
      </w:r>
      <w:r>
        <w:rPr>
          <w:w w:val="110"/>
          <w:vertAlign w:val="baseline"/>
        </w:rPr>
        <w:t>Charter and general principles of</w:t>
      </w:r>
    </w:p>
    <w:p>
      <w:pPr>
        <w:pStyle w:val="BodyText"/>
        <w:spacing w:line="268" w:lineRule="auto" w:before="23"/>
        <w:ind w:right="374"/>
      </w:pPr>
      <w:r>
        <w:rPr>
          <w:w w:val="115"/>
        </w:rPr>
        <w:t>EU</w:t>
      </w:r>
      <w:r>
        <w:rPr>
          <w:spacing w:val="-10"/>
          <w:w w:val="115"/>
        </w:rPr>
        <w:t> </w:t>
      </w:r>
      <w:r>
        <w:rPr>
          <w:w w:val="115"/>
        </w:rPr>
        <w:t>law,</w:t>
      </w:r>
      <w:r>
        <w:rPr>
          <w:spacing w:val="-10"/>
          <w:w w:val="115"/>
        </w:rPr>
        <w:t> </w:t>
      </w:r>
      <w:r>
        <w:rPr>
          <w:w w:val="115"/>
        </w:rPr>
        <w:t>these</w:t>
      </w:r>
      <w:r>
        <w:rPr>
          <w:spacing w:val="-10"/>
          <w:w w:val="115"/>
        </w:rPr>
        <w:t> </w:t>
      </w:r>
      <w:r>
        <w:rPr>
          <w:w w:val="115"/>
        </w:rPr>
        <w:t>instruments</w:t>
      </w:r>
      <w:r>
        <w:rPr>
          <w:spacing w:val="-10"/>
          <w:w w:val="115"/>
        </w:rPr>
        <w:t> </w:t>
      </w:r>
      <w:r>
        <w:rPr>
          <w:w w:val="115"/>
        </w:rPr>
        <w:t>continue to have effects where the Windsor </w:t>
      </w:r>
      <w:r>
        <w:rPr>
          <w:spacing w:val="-2"/>
          <w:w w:val="115"/>
        </w:rPr>
        <w:t>Framework</w:t>
      </w:r>
      <w:r>
        <w:rPr>
          <w:spacing w:val="-18"/>
          <w:w w:val="115"/>
        </w:rPr>
        <w:t> </w:t>
      </w:r>
      <w:r>
        <w:rPr>
          <w:spacing w:val="-2"/>
          <w:w w:val="115"/>
        </w:rPr>
        <w:t>refers</w:t>
      </w:r>
      <w:r>
        <w:rPr>
          <w:spacing w:val="-17"/>
          <w:w w:val="115"/>
        </w:rPr>
        <w:t> </w:t>
      </w:r>
      <w:r>
        <w:rPr>
          <w:spacing w:val="-2"/>
          <w:w w:val="115"/>
        </w:rPr>
        <w:t>to</w:t>
      </w:r>
      <w:r>
        <w:rPr>
          <w:spacing w:val="-17"/>
          <w:w w:val="115"/>
        </w:rPr>
        <w:t> </w:t>
      </w:r>
      <w:r>
        <w:rPr>
          <w:spacing w:val="-2"/>
          <w:w w:val="115"/>
        </w:rPr>
        <w:t>EU</w:t>
      </w:r>
      <w:r>
        <w:rPr>
          <w:spacing w:val="-17"/>
          <w:w w:val="115"/>
        </w:rPr>
        <w:t> </w:t>
      </w:r>
      <w:r>
        <w:rPr>
          <w:spacing w:val="-2"/>
          <w:w w:val="115"/>
        </w:rPr>
        <w:t>law,</w:t>
      </w:r>
      <w:r>
        <w:rPr>
          <w:spacing w:val="-17"/>
          <w:w w:val="115"/>
        </w:rPr>
        <w:t> </w:t>
      </w:r>
      <w:r>
        <w:rPr>
          <w:spacing w:val="-2"/>
          <w:w w:val="115"/>
        </w:rPr>
        <w:t>notably</w:t>
      </w:r>
    </w:p>
    <w:p>
      <w:pPr>
        <w:pStyle w:val="BodyText"/>
        <w:spacing w:line="201" w:lineRule="auto" w:before="7"/>
        <w:rPr>
          <w:rFonts w:ascii="Lucida Sans Unicode"/>
        </w:rPr>
      </w:pPr>
      <w:r>
        <w:rPr>
          <w:rFonts w:ascii="Lucida Sans Unicode"/>
        </w:rPr>
        <w:t>in,</w:t>
      </w:r>
      <w:r>
        <w:rPr>
          <w:rFonts w:ascii="Lucida Sans Unicode"/>
          <w:spacing w:val="-1"/>
        </w:rPr>
        <w:t> </w:t>
      </w:r>
      <w:r>
        <w:rPr>
          <w:rFonts w:ascii="Lucida Sans Unicode"/>
        </w:rPr>
        <w:t>but</w:t>
      </w:r>
      <w:r>
        <w:rPr>
          <w:rFonts w:ascii="Lucida Sans Unicode"/>
          <w:spacing w:val="-1"/>
        </w:rPr>
        <w:t> </w:t>
      </w:r>
      <w:r>
        <w:rPr>
          <w:rFonts w:ascii="Lucida Sans Unicode"/>
        </w:rPr>
        <w:t>not</w:t>
      </w:r>
      <w:r>
        <w:rPr>
          <w:rFonts w:ascii="Lucida Sans Unicode"/>
          <w:spacing w:val="-1"/>
        </w:rPr>
        <w:t> </w:t>
      </w:r>
      <w:r>
        <w:rPr>
          <w:rFonts w:ascii="Lucida Sans Unicode"/>
        </w:rPr>
        <w:t>confined</w:t>
      </w:r>
      <w:r>
        <w:rPr>
          <w:rFonts w:ascii="Lucida Sans Unicode"/>
          <w:spacing w:val="-1"/>
        </w:rPr>
        <w:t> </w:t>
      </w:r>
      <w:r>
        <w:rPr>
          <w:rFonts w:ascii="Lucida Sans Unicode"/>
        </w:rPr>
        <w:t>to,</w:t>
      </w:r>
      <w:r>
        <w:rPr>
          <w:rFonts w:ascii="Lucida Sans Unicode"/>
          <w:spacing w:val="-1"/>
        </w:rPr>
        <w:t> </w:t>
      </w:r>
      <w:r>
        <w:rPr>
          <w:rFonts w:ascii="Lucida Sans Unicode"/>
        </w:rPr>
        <w:t>the</w:t>
      </w:r>
      <w:r>
        <w:rPr>
          <w:rFonts w:ascii="Lucida Sans Unicode"/>
          <w:spacing w:val="-1"/>
        </w:rPr>
        <w:t> </w:t>
      </w:r>
      <w:r>
        <w:rPr>
          <w:rFonts w:ascii="Lucida Sans Unicode"/>
        </w:rPr>
        <w:t>Annexes</w:t>
      </w:r>
      <w:r>
        <w:rPr>
          <w:rFonts w:ascii="Lucida Sans Unicode"/>
          <w:spacing w:val="-1"/>
        </w:rPr>
        <w:t> </w:t>
      </w:r>
      <w:r>
        <w:rPr>
          <w:rFonts w:ascii="Lucida Sans Unicode"/>
        </w:rPr>
        <w:t>to </w:t>
      </w:r>
      <w:r>
        <w:rPr>
          <w:w w:val="105"/>
        </w:rPr>
        <w:t>the</w:t>
      </w:r>
      <w:r>
        <w:rPr>
          <w:spacing w:val="40"/>
          <w:w w:val="105"/>
        </w:rPr>
        <w:t> </w:t>
      </w:r>
      <w:r>
        <w:rPr>
          <w:w w:val="105"/>
        </w:rPr>
        <w:t>Withdrawal</w:t>
      </w:r>
      <w:r>
        <w:rPr>
          <w:spacing w:val="40"/>
          <w:w w:val="105"/>
        </w:rPr>
        <w:t> </w:t>
      </w:r>
      <w:r>
        <w:rPr>
          <w:w w:val="105"/>
        </w:rPr>
        <w:t>Agreement.</w:t>
      </w:r>
      <w:r>
        <w:rPr>
          <w:rFonts w:ascii="Lucida Sans Unicode"/>
          <w:w w:val="105"/>
          <w:vertAlign w:val="superscript"/>
        </w:rPr>
        <w:t>4</w:t>
      </w:r>
    </w:p>
    <w:p>
      <w:pPr>
        <w:spacing w:after="0" w:line="201" w:lineRule="auto"/>
        <w:rPr>
          <w:rFonts w:ascii="Lucida Sans Unicode"/>
        </w:rPr>
        <w:sectPr>
          <w:type w:val="continuous"/>
          <w:pgSz w:w="11910" w:h="16840"/>
          <w:pgMar w:header="568" w:footer="580" w:top="0" w:bottom="280" w:left="1020" w:right="1020"/>
          <w:cols w:num="2" w:equalWidth="0">
            <w:col w:w="4664" w:space="381"/>
            <w:col w:w="4825"/>
          </w:cols>
        </w:sectPr>
      </w:pPr>
    </w:p>
    <w:p>
      <w:pPr>
        <w:pStyle w:val="BodyText"/>
        <w:spacing w:before="5" w:after="1"/>
        <w:ind w:left="0"/>
        <w:rPr>
          <w:rFonts w:ascii="Lucida Sans Unicode"/>
          <w:sz w:val="15"/>
        </w:rPr>
      </w:pPr>
    </w:p>
    <w:p>
      <w:pPr>
        <w:pStyle w:val="BodyText"/>
        <w:spacing w:line="20" w:lineRule="exact"/>
        <w:rPr>
          <w:rFonts w:ascii="Lucida Sans Unicode"/>
          <w:sz w:val="2"/>
        </w:rPr>
      </w:pPr>
      <w:r>
        <w:rPr>
          <w:rFonts w:ascii="Lucida Sans Unicode"/>
          <w:sz w:val="2"/>
        </w:rPr>
        <mc:AlternateContent>
          <mc:Choice Requires="wps">
            <w:drawing>
              <wp:inline distT="0" distB="0" distL="0" distR="0">
                <wp:extent cx="6120130" cy="6350"/>
                <wp:effectExtent l="9525" t="0" r="0" b="3175"/>
                <wp:docPr id="50" name="Group 50"/>
                <wp:cNvGraphicFramePr>
                  <a:graphicFrameLocks/>
                </wp:cNvGraphicFramePr>
                <a:graphic>
                  <a:graphicData uri="http://schemas.microsoft.com/office/word/2010/wordprocessingGroup">
                    <wpg:wgp>
                      <wpg:cNvPr id="50" name="Group 50"/>
                      <wpg:cNvGrpSpPr/>
                      <wpg:grpSpPr>
                        <a:xfrm>
                          <a:off x="0" y="0"/>
                          <a:ext cx="6120130" cy="6350"/>
                          <a:chExt cx="6120130" cy="6350"/>
                        </a:xfrm>
                      </wpg:grpSpPr>
                      <wps:wsp>
                        <wps:cNvPr id="51" name="Graphic 51"/>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43" coordorigin="0,0" coordsize="9638,10">
                <v:line style="position:absolute" from="0,5" to="9638,5" stroked="true" strokeweight=".5pt" strokecolor="#77328a">
                  <v:stroke dashstyle="solid"/>
                </v:line>
              </v:group>
            </w:pict>
          </mc:Fallback>
        </mc:AlternateContent>
      </w:r>
      <w:r>
        <w:rPr>
          <w:rFonts w:ascii="Lucida Sans Unicode"/>
          <w:sz w:val="2"/>
        </w:rPr>
      </w:r>
    </w:p>
    <w:p>
      <w:pPr>
        <w:pStyle w:val="ListParagraph"/>
        <w:numPr>
          <w:ilvl w:val="0"/>
          <w:numId w:val="6"/>
        </w:numPr>
        <w:tabs>
          <w:tab w:pos="567" w:val="left" w:leader="none"/>
        </w:tabs>
        <w:spacing w:line="200" w:lineRule="exact" w:before="76" w:after="0"/>
        <w:ind w:left="567" w:right="173" w:hanging="454"/>
        <w:jc w:val="left"/>
        <w:rPr>
          <w:sz w:val="16"/>
        </w:rPr>
      </w:pPr>
      <w:r>
        <w:rPr>
          <w:sz w:val="16"/>
        </w:rPr>
        <w:t>In</w:t>
      </w:r>
      <w:r>
        <w:rPr>
          <w:spacing w:val="16"/>
          <w:sz w:val="16"/>
        </w:rPr>
        <w:t> </w:t>
      </w:r>
      <w:r>
        <w:rPr>
          <w:sz w:val="16"/>
        </w:rPr>
        <w:t>line</w:t>
      </w:r>
      <w:r>
        <w:rPr>
          <w:spacing w:val="16"/>
          <w:sz w:val="16"/>
        </w:rPr>
        <w:t> </w:t>
      </w:r>
      <w:r>
        <w:rPr>
          <w:sz w:val="16"/>
        </w:rPr>
        <w:t>with</w:t>
      </w:r>
      <w:r>
        <w:rPr>
          <w:spacing w:val="16"/>
          <w:sz w:val="16"/>
        </w:rPr>
        <w:t> </w:t>
      </w:r>
      <w:r>
        <w:rPr>
          <w:sz w:val="16"/>
        </w:rPr>
        <w:t>Joint</w:t>
      </w:r>
      <w:r>
        <w:rPr>
          <w:spacing w:val="16"/>
          <w:sz w:val="16"/>
        </w:rPr>
        <w:t> </w:t>
      </w:r>
      <w:r>
        <w:rPr>
          <w:sz w:val="16"/>
        </w:rPr>
        <w:t>Declaration</w:t>
      </w:r>
      <w:r>
        <w:rPr>
          <w:spacing w:val="16"/>
          <w:sz w:val="16"/>
        </w:rPr>
        <w:t> </w:t>
      </w:r>
      <w:r>
        <w:rPr>
          <w:sz w:val="16"/>
        </w:rPr>
        <w:t>No</w:t>
      </w:r>
      <w:r>
        <w:rPr>
          <w:spacing w:val="16"/>
          <w:sz w:val="16"/>
        </w:rPr>
        <w:t> </w:t>
      </w:r>
      <w:r>
        <w:rPr>
          <w:sz w:val="16"/>
        </w:rPr>
        <w:t>1/2023</w:t>
      </w:r>
      <w:r>
        <w:rPr>
          <w:spacing w:val="16"/>
          <w:sz w:val="16"/>
        </w:rPr>
        <w:t> </w:t>
      </w:r>
      <w:r>
        <w:rPr>
          <w:sz w:val="16"/>
        </w:rPr>
        <w:t>of</w:t>
      </w:r>
      <w:r>
        <w:rPr>
          <w:spacing w:val="16"/>
          <w:sz w:val="16"/>
        </w:rPr>
        <w:t> </w:t>
      </w:r>
      <w:r>
        <w:rPr>
          <w:sz w:val="16"/>
        </w:rPr>
        <w:t>the</w:t>
      </w:r>
      <w:r>
        <w:rPr>
          <w:spacing w:val="16"/>
          <w:sz w:val="16"/>
        </w:rPr>
        <w:t> </w:t>
      </w:r>
      <w:r>
        <w:rPr>
          <w:sz w:val="16"/>
        </w:rPr>
        <w:t>Union</w:t>
      </w:r>
      <w:r>
        <w:rPr>
          <w:spacing w:val="16"/>
          <w:sz w:val="16"/>
        </w:rPr>
        <w:t> </w:t>
      </w:r>
      <w:r>
        <w:rPr>
          <w:sz w:val="16"/>
        </w:rPr>
        <w:t>and</w:t>
      </w:r>
      <w:r>
        <w:rPr>
          <w:spacing w:val="16"/>
          <w:sz w:val="16"/>
        </w:rPr>
        <w:t> </w:t>
      </w:r>
      <w:r>
        <w:rPr>
          <w:sz w:val="16"/>
        </w:rPr>
        <w:t>the</w:t>
      </w:r>
      <w:r>
        <w:rPr>
          <w:spacing w:val="16"/>
          <w:sz w:val="16"/>
        </w:rPr>
        <w:t> </w:t>
      </w:r>
      <w:r>
        <w:rPr>
          <w:sz w:val="16"/>
        </w:rPr>
        <w:t>United</w:t>
      </w:r>
      <w:r>
        <w:rPr>
          <w:spacing w:val="16"/>
          <w:sz w:val="16"/>
        </w:rPr>
        <w:t> </w:t>
      </w:r>
      <w:r>
        <w:rPr>
          <w:sz w:val="16"/>
        </w:rPr>
        <w:t>Kingdom</w:t>
      </w:r>
      <w:r>
        <w:rPr>
          <w:spacing w:val="16"/>
          <w:sz w:val="16"/>
        </w:rPr>
        <w:t> </w:t>
      </w:r>
      <w:r>
        <w:rPr>
          <w:sz w:val="16"/>
        </w:rPr>
        <w:t>in</w:t>
      </w:r>
      <w:r>
        <w:rPr>
          <w:spacing w:val="16"/>
          <w:sz w:val="16"/>
        </w:rPr>
        <w:t> </w:t>
      </w:r>
      <w:r>
        <w:rPr>
          <w:sz w:val="16"/>
        </w:rPr>
        <w:t>the</w:t>
      </w:r>
      <w:r>
        <w:rPr>
          <w:spacing w:val="16"/>
          <w:sz w:val="16"/>
        </w:rPr>
        <w:t> </w:t>
      </w:r>
      <w:r>
        <w:rPr>
          <w:sz w:val="16"/>
        </w:rPr>
        <w:t>Joint</w:t>
      </w:r>
      <w:r>
        <w:rPr>
          <w:spacing w:val="16"/>
          <w:sz w:val="16"/>
        </w:rPr>
        <w:t> </w:t>
      </w:r>
      <w:r>
        <w:rPr>
          <w:sz w:val="16"/>
        </w:rPr>
        <w:t>Committee</w:t>
      </w:r>
      <w:r>
        <w:rPr>
          <w:spacing w:val="16"/>
          <w:sz w:val="16"/>
        </w:rPr>
        <w:t> </w:t>
      </w:r>
      <w:r>
        <w:rPr>
          <w:sz w:val="16"/>
        </w:rPr>
        <w:t>established </w:t>
      </w:r>
      <w:r>
        <w:rPr>
          <w:rFonts w:ascii="Arial" w:hAnsi="Arial"/>
          <w:w w:val="110"/>
          <w:sz w:val="16"/>
        </w:rPr>
        <w:t>by</w:t>
      </w:r>
      <w:r>
        <w:rPr>
          <w:rFonts w:ascii="Arial" w:hAnsi="Arial"/>
          <w:spacing w:val="24"/>
          <w:w w:val="110"/>
          <w:sz w:val="16"/>
        </w:rPr>
        <w:t> </w:t>
      </w:r>
      <w:r>
        <w:rPr>
          <w:rFonts w:ascii="Arial" w:hAnsi="Arial"/>
          <w:w w:val="110"/>
          <w:sz w:val="16"/>
        </w:rPr>
        <w:t>the</w:t>
      </w:r>
      <w:r>
        <w:rPr>
          <w:rFonts w:ascii="Arial" w:hAnsi="Arial"/>
          <w:spacing w:val="24"/>
          <w:w w:val="110"/>
          <w:sz w:val="16"/>
        </w:rPr>
        <w:t> </w:t>
      </w:r>
      <w:r>
        <w:rPr>
          <w:rFonts w:ascii="Arial" w:hAnsi="Arial"/>
          <w:w w:val="110"/>
          <w:sz w:val="16"/>
        </w:rPr>
        <w:t>Agreement</w:t>
      </w:r>
      <w:r>
        <w:rPr>
          <w:rFonts w:ascii="Arial" w:hAnsi="Arial"/>
          <w:spacing w:val="24"/>
          <w:w w:val="110"/>
          <w:sz w:val="16"/>
        </w:rPr>
        <w:t> </w:t>
      </w:r>
      <w:r>
        <w:rPr>
          <w:rFonts w:ascii="Arial" w:hAnsi="Arial"/>
          <w:w w:val="110"/>
          <w:sz w:val="16"/>
        </w:rPr>
        <w:t>on</w:t>
      </w:r>
      <w:r>
        <w:rPr>
          <w:rFonts w:ascii="Arial" w:hAnsi="Arial"/>
          <w:spacing w:val="24"/>
          <w:w w:val="110"/>
          <w:sz w:val="16"/>
        </w:rPr>
        <w:t> </w:t>
      </w:r>
      <w:r>
        <w:rPr>
          <w:rFonts w:ascii="Arial" w:hAnsi="Arial"/>
          <w:w w:val="110"/>
          <w:sz w:val="16"/>
        </w:rPr>
        <w:t>the</w:t>
      </w:r>
      <w:r>
        <w:rPr>
          <w:rFonts w:ascii="Arial" w:hAnsi="Arial"/>
          <w:spacing w:val="24"/>
          <w:w w:val="110"/>
          <w:sz w:val="16"/>
        </w:rPr>
        <w:t> </w:t>
      </w:r>
      <w:r>
        <w:rPr>
          <w:rFonts w:ascii="Arial" w:hAnsi="Arial"/>
          <w:w w:val="110"/>
          <w:sz w:val="16"/>
        </w:rPr>
        <w:t>withdrawal</w:t>
      </w:r>
      <w:r>
        <w:rPr>
          <w:rFonts w:ascii="Arial" w:hAnsi="Arial"/>
          <w:spacing w:val="24"/>
          <w:w w:val="110"/>
          <w:sz w:val="16"/>
        </w:rPr>
        <w:t> </w:t>
      </w:r>
      <w:r>
        <w:rPr>
          <w:rFonts w:ascii="Arial" w:hAnsi="Arial"/>
          <w:w w:val="110"/>
          <w:sz w:val="16"/>
        </w:rPr>
        <w:t>of</w:t>
      </w:r>
      <w:r>
        <w:rPr>
          <w:rFonts w:ascii="Arial" w:hAnsi="Arial"/>
          <w:spacing w:val="24"/>
          <w:w w:val="110"/>
          <w:sz w:val="16"/>
        </w:rPr>
        <w:t> </w:t>
      </w:r>
      <w:r>
        <w:rPr>
          <w:rFonts w:ascii="Arial" w:hAnsi="Arial"/>
          <w:w w:val="110"/>
          <w:sz w:val="16"/>
        </w:rPr>
        <w:t>the</w:t>
      </w:r>
      <w:r>
        <w:rPr>
          <w:rFonts w:ascii="Arial" w:hAnsi="Arial"/>
          <w:spacing w:val="24"/>
          <w:w w:val="110"/>
          <w:sz w:val="16"/>
        </w:rPr>
        <w:t> </w:t>
      </w:r>
      <w:r>
        <w:rPr>
          <w:rFonts w:ascii="Arial" w:hAnsi="Arial"/>
          <w:w w:val="110"/>
          <w:sz w:val="16"/>
        </w:rPr>
        <w:t>United</w:t>
      </w:r>
      <w:r>
        <w:rPr>
          <w:rFonts w:ascii="Arial" w:hAnsi="Arial"/>
          <w:spacing w:val="24"/>
          <w:w w:val="110"/>
          <w:sz w:val="16"/>
        </w:rPr>
        <w:t> </w:t>
      </w:r>
      <w:r>
        <w:rPr>
          <w:rFonts w:ascii="Arial" w:hAnsi="Arial"/>
          <w:w w:val="110"/>
          <w:sz w:val="16"/>
        </w:rPr>
        <w:t>Kingdom</w:t>
      </w:r>
      <w:r>
        <w:rPr>
          <w:rFonts w:ascii="Arial" w:hAnsi="Arial"/>
          <w:spacing w:val="24"/>
          <w:w w:val="110"/>
          <w:sz w:val="16"/>
        </w:rPr>
        <w:t> </w:t>
      </w:r>
      <w:r>
        <w:rPr>
          <w:rFonts w:ascii="Arial" w:hAnsi="Arial"/>
          <w:w w:val="110"/>
          <w:sz w:val="16"/>
        </w:rPr>
        <w:t>of</w:t>
      </w:r>
      <w:r>
        <w:rPr>
          <w:rFonts w:ascii="Arial" w:hAnsi="Arial"/>
          <w:spacing w:val="24"/>
          <w:w w:val="110"/>
          <w:sz w:val="16"/>
        </w:rPr>
        <w:t> </w:t>
      </w:r>
      <w:r>
        <w:rPr>
          <w:rFonts w:ascii="Arial" w:hAnsi="Arial"/>
          <w:w w:val="110"/>
          <w:sz w:val="16"/>
        </w:rPr>
        <w:t>Great</w:t>
      </w:r>
      <w:r>
        <w:rPr>
          <w:rFonts w:ascii="Arial" w:hAnsi="Arial"/>
          <w:spacing w:val="24"/>
          <w:w w:val="110"/>
          <w:sz w:val="16"/>
        </w:rPr>
        <w:t> </w:t>
      </w:r>
      <w:r>
        <w:rPr>
          <w:rFonts w:ascii="Arial" w:hAnsi="Arial"/>
          <w:w w:val="110"/>
          <w:sz w:val="16"/>
        </w:rPr>
        <w:t>Britain</w:t>
      </w:r>
      <w:r>
        <w:rPr>
          <w:rFonts w:ascii="Arial" w:hAnsi="Arial"/>
          <w:spacing w:val="24"/>
          <w:w w:val="110"/>
          <w:sz w:val="16"/>
        </w:rPr>
        <w:t> </w:t>
      </w:r>
      <w:r>
        <w:rPr>
          <w:rFonts w:ascii="Arial" w:hAnsi="Arial"/>
          <w:w w:val="110"/>
          <w:sz w:val="16"/>
        </w:rPr>
        <w:t>and</w:t>
      </w:r>
      <w:r>
        <w:rPr>
          <w:rFonts w:ascii="Arial" w:hAnsi="Arial"/>
          <w:spacing w:val="24"/>
          <w:w w:val="110"/>
          <w:sz w:val="16"/>
        </w:rPr>
        <w:t> </w:t>
      </w:r>
      <w:r>
        <w:rPr>
          <w:rFonts w:ascii="Arial" w:hAnsi="Arial"/>
          <w:w w:val="110"/>
          <w:sz w:val="16"/>
        </w:rPr>
        <w:t>Northern</w:t>
      </w:r>
      <w:r>
        <w:rPr>
          <w:rFonts w:ascii="Arial" w:hAnsi="Arial"/>
          <w:spacing w:val="24"/>
          <w:w w:val="110"/>
          <w:sz w:val="16"/>
        </w:rPr>
        <w:t> </w:t>
      </w:r>
      <w:r>
        <w:rPr>
          <w:rFonts w:ascii="Arial" w:hAnsi="Arial"/>
          <w:w w:val="110"/>
          <w:sz w:val="16"/>
        </w:rPr>
        <w:t>Ireland</w:t>
      </w:r>
      <w:r>
        <w:rPr>
          <w:rFonts w:ascii="Arial" w:hAnsi="Arial"/>
          <w:spacing w:val="24"/>
          <w:w w:val="110"/>
          <w:sz w:val="16"/>
        </w:rPr>
        <w:t> </w:t>
      </w:r>
      <w:r>
        <w:rPr>
          <w:rFonts w:ascii="Arial" w:hAnsi="Arial"/>
          <w:w w:val="110"/>
          <w:sz w:val="16"/>
        </w:rPr>
        <w:t>from</w:t>
      </w:r>
      <w:r>
        <w:rPr>
          <w:rFonts w:ascii="Arial" w:hAnsi="Arial"/>
          <w:spacing w:val="24"/>
          <w:w w:val="110"/>
          <w:sz w:val="16"/>
        </w:rPr>
        <w:t> </w:t>
      </w:r>
      <w:r>
        <w:rPr>
          <w:rFonts w:ascii="Arial" w:hAnsi="Arial"/>
          <w:w w:val="110"/>
          <w:sz w:val="16"/>
        </w:rPr>
        <w:t>the </w:t>
      </w:r>
      <w:r>
        <w:rPr>
          <w:sz w:val="16"/>
        </w:rPr>
        <w:t>European</w:t>
      </w:r>
      <w:r>
        <w:rPr>
          <w:spacing w:val="21"/>
          <w:sz w:val="16"/>
        </w:rPr>
        <w:t> </w:t>
      </w:r>
      <w:r>
        <w:rPr>
          <w:sz w:val="16"/>
        </w:rPr>
        <w:t>Union</w:t>
      </w:r>
      <w:r>
        <w:rPr>
          <w:spacing w:val="21"/>
          <w:sz w:val="16"/>
        </w:rPr>
        <w:t> </w:t>
      </w:r>
      <w:r>
        <w:rPr>
          <w:sz w:val="16"/>
        </w:rPr>
        <w:t>and</w:t>
      </w:r>
      <w:r>
        <w:rPr>
          <w:spacing w:val="21"/>
          <w:sz w:val="16"/>
        </w:rPr>
        <w:t> </w:t>
      </w:r>
      <w:r>
        <w:rPr>
          <w:sz w:val="16"/>
        </w:rPr>
        <w:t>the</w:t>
      </w:r>
      <w:r>
        <w:rPr>
          <w:spacing w:val="21"/>
          <w:sz w:val="16"/>
        </w:rPr>
        <w:t> </w:t>
      </w:r>
      <w:r>
        <w:rPr>
          <w:sz w:val="16"/>
        </w:rPr>
        <w:t>European</w:t>
      </w:r>
      <w:r>
        <w:rPr>
          <w:spacing w:val="21"/>
          <w:sz w:val="16"/>
        </w:rPr>
        <w:t> </w:t>
      </w:r>
      <w:r>
        <w:rPr>
          <w:sz w:val="16"/>
        </w:rPr>
        <w:t>Atomic</w:t>
      </w:r>
      <w:r>
        <w:rPr>
          <w:spacing w:val="21"/>
          <w:sz w:val="16"/>
        </w:rPr>
        <w:t> </w:t>
      </w:r>
      <w:r>
        <w:rPr>
          <w:sz w:val="16"/>
        </w:rPr>
        <w:t>Energy</w:t>
      </w:r>
      <w:r>
        <w:rPr>
          <w:spacing w:val="21"/>
          <w:sz w:val="16"/>
        </w:rPr>
        <w:t> </w:t>
      </w:r>
      <w:r>
        <w:rPr>
          <w:sz w:val="16"/>
        </w:rPr>
        <w:t>Community</w:t>
      </w:r>
      <w:r>
        <w:rPr>
          <w:spacing w:val="21"/>
          <w:sz w:val="16"/>
        </w:rPr>
        <w:t> </w:t>
      </w:r>
      <w:r>
        <w:rPr>
          <w:sz w:val="16"/>
        </w:rPr>
        <w:t>of</w:t>
      </w:r>
      <w:r>
        <w:rPr>
          <w:spacing w:val="21"/>
          <w:sz w:val="16"/>
        </w:rPr>
        <w:t> </w:t>
      </w:r>
      <w:r>
        <w:rPr>
          <w:sz w:val="16"/>
        </w:rPr>
        <w:t>24</w:t>
      </w:r>
      <w:r>
        <w:rPr>
          <w:spacing w:val="21"/>
          <w:sz w:val="16"/>
        </w:rPr>
        <w:t> </w:t>
      </w:r>
      <w:r>
        <w:rPr>
          <w:sz w:val="16"/>
        </w:rPr>
        <w:t>March</w:t>
      </w:r>
      <w:r>
        <w:rPr>
          <w:spacing w:val="21"/>
          <w:sz w:val="16"/>
        </w:rPr>
        <w:t> </w:t>
      </w:r>
      <w:r>
        <w:rPr>
          <w:sz w:val="16"/>
        </w:rPr>
        <w:t>2023</w:t>
      </w:r>
      <w:r>
        <w:rPr>
          <w:spacing w:val="21"/>
          <w:sz w:val="16"/>
        </w:rPr>
        <w:t> </w:t>
      </w:r>
      <w:r>
        <w:rPr>
          <w:sz w:val="16"/>
        </w:rPr>
        <w:t>[2023]</w:t>
      </w:r>
      <w:r>
        <w:rPr>
          <w:spacing w:val="21"/>
          <w:sz w:val="16"/>
        </w:rPr>
        <w:t> </w:t>
      </w:r>
      <w:r>
        <w:rPr>
          <w:sz w:val="16"/>
        </w:rPr>
        <w:t>OJ</w:t>
      </w:r>
      <w:r>
        <w:rPr>
          <w:spacing w:val="21"/>
          <w:sz w:val="16"/>
        </w:rPr>
        <w:t> </w:t>
      </w:r>
      <w:r>
        <w:rPr>
          <w:sz w:val="16"/>
        </w:rPr>
        <w:t>L102/87,</w:t>
      </w:r>
      <w:r>
        <w:rPr>
          <w:spacing w:val="21"/>
          <w:sz w:val="16"/>
        </w:rPr>
        <w:t> </w:t>
      </w:r>
      <w:r>
        <w:rPr>
          <w:sz w:val="16"/>
        </w:rPr>
        <w:t>the</w:t>
      </w:r>
      <w:r>
        <w:rPr>
          <w:spacing w:val="21"/>
          <w:sz w:val="16"/>
        </w:rPr>
        <w:t> </w:t>
      </w:r>
      <w:r>
        <w:rPr>
          <w:sz w:val="16"/>
        </w:rPr>
        <w:t>Protocol </w:t>
      </w:r>
      <w:r>
        <w:rPr>
          <w:rFonts w:ascii="Arial" w:hAnsi="Arial"/>
          <w:w w:val="110"/>
          <w:sz w:val="16"/>
        </w:rPr>
        <w:t>on</w:t>
      </w:r>
      <w:r>
        <w:rPr>
          <w:rFonts w:ascii="Arial" w:hAnsi="Arial"/>
          <w:spacing w:val="8"/>
          <w:w w:val="110"/>
          <w:sz w:val="16"/>
        </w:rPr>
        <w:t> </w:t>
      </w:r>
      <w:r>
        <w:rPr>
          <w:rFonts w:ascii="Arial" w:hAnsi="Arial"/>
          <w:w w:val="110"/>
          <w:sz w:val="16"/>
        </w:rPr>
        <w:t>Ireland/Northern</w:t>
      </w:r>
      <w:r>
        <w:rPr>
          <w:rFonts w:ascii="Arial" w:hAnsi="Arial"/>
          <w:spacing w:val="8"/>
          <w:w w:val="110"/>
          <w:sz w:val="16"/>
        </w:rPr>
        <w:t> </w:t>
      </w:r>
      <w:r>
        <w:rPr>
          <w:rFonts w:ascii="Arial" w:hAnsi="Arial"/>
          <w:w w:val="110"/>
          <w:sz w:val="16"/>
        </w:rPr>
        <w:t>Ireland</w:t>
      </w:r>
      <w:r>
        <w:rPr>
          <w:rFonts w:ascii="Arial" w:hAnsi="Arial"/>
          <w:spacing w:val="8"/>
          <w:w w:val="110"/>
          <w:sz w:val="16"/>
        </w:rPr>
        <w:t> </w:t>
      </w:r>
      <w:r>
        <w:rPr>
          <w:rFonts w:ascii="Arial" w:hAnsi="Arial"/>
          <w:w w:val="110"/>
          <w:sz w:val="16"/>
        </w:rPr>
        <w:t>–</w:t>
      </w:r>
      <w:r>
        <w:rPr>
          <w:rFonts w:ascii="Arial" w:hAnsi="Arial"/>
          <w:spacing w:val="8"/>
          <w:w w:val="110"/>
          <w:sz w:val="16"/>
        </w:rPr>
        <w:t> </w:t>
      </w:r>
      <w:r>
        <w:rPr>
          <w:rFonts w:ascii="Arial" w:hAnsi="Arial"/>
          <w:w w:val="110"/>
          <w:sz w:val="16"/>
        </w:rPr>
        <w:t>as</w:t>
      </w:r>
      <w:r>
        <w:rPr>
          <w:rFonts w:ascii="Arial" w:hAnsi="Arial"/>
          <w:w w:val="115"/>
          <w:sz w:val="16"/>
        </w:rPr>
        <w:t> it </w:t>
      </w:r>
      <w:r>
        <w:rPr>
          <w:rFonts w:ascii="Arial" w:hAnsi="Arial"/>
          <w:w w:val="110"/>
          <w:sz w:val="16"/>
        </w:rPr>
        <w:t>continues</w:t>
      </w:r>
      <w:r>
        <w:rPr>
          <w:rFonts w:ascii="Arial" w:hAnsi="Arial"/>
          <w:w w:val="115"/>
          <w:sz w:val="16"/>
        </w:rPr>
        <w:t> to </w:t>
      </w:r>
      <w:r>
        <w:rPr>
          <w:rFonts w:ascii="Arial" w:hAnsi="Arial"/>
          <w:w w:val="110"/>
          <w:sz w:val="16"/>
        </w:rPr>
        <w:t>be</w:t>
      </w:r>
      <w:r>
        <w:rPr>
          <w:rFonts w:ascii="Arial" w:hAnsi="Arial"/>
          <w:spacing w:val="8"/>
          <w:w w:val="110"/>
          <w:sz w:val="16"/>
        </w:rPr>
        <w:t> </w:t>
      </w:r>
      <w:r>
        <w:rPr>
          <w:rFonts w:ascii="Arial" w:hAnsi="Arial"/>
          <w:w w:val="110"/>
          <w:sz w:val="16"/>
        </w:rPr>
        <w:t>called</w:t>
      </w:r>
      <w:r>
        <w:rPr>
          <w:rFonts w:ascii="Arial" w:hAnsi="Arial"/>
          <w:spacing w:val="8"/>
          <w:w w:val="110"/>
          <w:sz w:val="16"/>
        </w:rPr>
        <w:t> </w:t>
      </w:r>
      <w:r>
        <w:rPr>
          <w:rFonts w:ascii="Arial" w:hAnsi="Arial"/>
          <w:w w:val="110"/>
          <w:sz w:val="16"/>
        </w:rPr>
        <w:t>in</w:t>
      </w:r>
      <w:r>
        <w:rPr>
          <w:rFonts w:ascii="Arial" w:hAnsi="Arial"/>
          <w:spacing w:val="8"/>
          <w:w w:val="110"/>
          <w:sz w:val="16"/>
        </w:rPr>
        <w:t> </w:t>
      </w:r>
      <w:r>
        <w:rPr>
          <w:rFonts w:ascii="Arial" w:hAnsi="Arial"/>
          <w:w w:val="110"/>
          <w:sz w:val="16"/>
        </w:rPr>
        <w:t>the</w:t>
      </w:r>
      <w:r>
        <w:rPr>
          <w:rFonts w:ascii="Arial" w:hAnsi="Arial"/>
          <w:spacing w:val="8"/>
          <w:w w:val="110"/>
          <w:sz w:val="16"/>
        </w:rPr>
        <w:t> </w:t>
      </w:r>
      <w:r>
        <w:rPr>
          <w:rFonts w:ascii="Arial" w:hAnsi="Arial"/>
          <w:w w:val="110"/>
          <w:sz w:val="16"/>
        </w:rPr>
        <w:t>Withdrawal</w:t>
      </w:r>
      <w:r>
        <w:rPr>
          <w:rFonts w:ascii="Arial" w:hAnsi="Arial"/>
          <w:spacing w:val="8"/>
          <w:w w:val="110"/>
          <w:sz w:val="16"/>
        </w:rPr>
        <w:t> </w:t>
      </w:r>
      <w:r>
        <w:rPr>
          <w:rFonts w:ascii="Arial" w:hAnsi="Arial"/>
          <w:w w:val="110"/>
          <w:sz w:val="16"/>
        </w:rPr>
        <w:t>Agreement</w:t>
      </w:r>
      <w:r>
        <w:rPr>
          <w:rFonts w:ascii="Arial" w:hAnsi="Arial"/>
          <w:spacing w:val="8"/>
          <w:w w:val="110"/>
          <w:sz w:val="16"/>
        </w:rPr>
        <w:t> </w:t>
      </w:r>
      <w:r>
        <w:rPr>
          <w:rFonts w:ascii="Arial" w:hAnsi="Arial"/>
          <w:w w:val="110"/>
          <w:sz w:val="16"/>
        </w:rPr>
        <w:t>between</w:t>
      </w:r>
      <w:r>
        <w:rPr>
          <w:rFonts w:ascii="Arial" w:hAnsi="Arial"/>
          <w:spacing w:val="8"/>
          <w:w w:val="110"/>
          <w:sz w:val="16"/>
        </w:rPr>
        <w:t> </w:t>
      </w:r>
      <w:r>
        <w:rPr>
          <w:rFonts w:ascii="Arial" w:hAnsi="Arial"/>
          <w:w w:val="110"/>
          <w:sz w:val="16"/>
        </w:rPr>
        <w:t>the</w:t>
      </w:r>
      <w:r>
        <w:rPr>
          <w:rFonts w:ascii="Arial" w:hAnsi="Arial"/>
          <w:spacing w:val="8"/>
          <w:w w:val="110"/>
          <w:sz w:val="16"/>
        </w:rPr>
        <w:t> </w:t>
      </w:r>
      <w:r>
        <w:rPr>
          <w:rFonts w:ascii="Arial" w:hAnsi="Arial"/>
          <w:w w:val="110"/>
          <w:sz w:val="16"/>
        </w:rPr>
        <w:t>EU</w:t>
      </w:r>
      <w:r>
        <w:rPr>
          <w:rFonts w:ascii="Arial" w:hAnsi="Arial"/>
          <w:spacing w:val="8"/>
          <w:w w:val="110"/>
          <w:sz w:val="16"/>
        </w:rPr>
        <w:t> </w:t>
      </w:r>
      <w:r>
        <w:rPr>
          <w:rFonts w:ascii="Arial" w:hAnsi="Arial"/>
          <w:w w:val="110"/>
          <w:sz w:val="16"/>
        </w:rPr>
        <w:t>and</w:t>
      </w:r>
      <w:r>
        <w:rPr>
          <w:rFonts w:ascii="Arial" w:hAnsi="Arial"/>
          <w:spacing w:val="8"/>
          <w:w w:val="110"/>
          <w:sz w:val="16"/>
        </w:rPr>
        <w:t> </w:t>
      </w:r>
      <w:r>
        <w:rPr>
          <w:rFonts w:ascii="Arial" w:hAnsi="Arial"/>
          <w:w w:val="110"/>
          <w:sz w:val="16"/>
        </w:rPr>
        <w:t>the</w:t>
      </w:r>
      <w:r>
        <w:rPr>
          <w:rFonts w:ascii="Arial" w:hAnsi="Arial"/>
          <w:spacing w:val="8"/>
          <w:w w:val="110"/>
          <w:sz w:val="16"/>
        </w:rPr>
        <w:t> </w:t>
      </w:r>
      <w:r>
        <w:rPr>
          <w:rFonts w:ascii="Arial" w:hAnsi="Arial"/>
          <w:w w:val="110"/>
          <w:sz w:val="16"/>
        </w:rPr>
        <w:t>UK – is referred </w:t>
      </w:r>
      <w:r>
        <w:rPr>
          <w:rFonts w:ascii="Arial" w:hAnsi="Arial"/>
          <w:w w:val="115"/>
          <w:sz w:val="16"/>
        </w:rPr>
        <w:t>to </w:t>
      </w:r>
      <w:r>
        <w:rPr>
          <w:rFonts w:ascii="Arial" w:hAnsi="Arial"/>
          <w:w w:val="110"/>
          <w:sz w:val="16"/>
        </w:rPr>
        <w:t>in this report as ‘the Windsor Framework’.</w:t>
      </w:r>
    </w:p>
    <w:p>
      <w:pPr>
        <w:pStyle w:val="ListParagraph"/>
        <w:numPr>
          <w:ilvl w:val="0"/>
          <w:numId w:val="6"/>
        </w:numPr>
        <w:tabs>
          <w:tab w:pos="567" w:val="left" w:leader="none"/>
        </w:tabs>
        <w:spacing w:line="207" w:lineRule="exact" w:before="0" w:after="0"/>
        <w:ind w:left="567" w:right="0" w:hanging="454"/>
        <w:jc w:val="left"/>
        <w:rPr>
          <w:sz w:val="16"/>
        </w:rPr>
      </w:pPr>
      <w:r>
        <w:rPr>
          <w:sz w:val="16"/>
        </w:rPr>
        <w:t>Article</w:t>
      </w:r>
      <w:r>
        <w:rPr>
          <w:spacing w:val="7"/>
          <w:sz w:val="16"/>
        </w:rPr>
        <w:t> </w:t>
      </w:r>
      <w:r>
        <w:rPr>
          <w:sz w:val="16"/>
        </w:rPr>
        <w:t>4(1)</w:t>
      </w:r>
      <w:r>
        <w:rPr>
          <w:spacing w:val="8"/>
          <w:sz w:val="16"/>
        </w:rPr>
        <w:t> </w:t>
      </w:r>
      <w:r>
        <w:rPr>
          <w:spacing w:val="-5"/>
          <w:sz w:val="16"/>
        </w:rPr>
        <w:t>WA.</w:t>
      </w:r>
    </w:p>
    <w:p>
      <w:pPr>
        <w:pStyle w:val="ListParagraph"/>
        <w:numPr>
          <w:ilvl w:val="0"/>
          <w:numId w:val="6"/>
        </w:numPr>
        <w:tabs>
          <w:tab w:pos="567" w:val="left" w:leader="none"/>
        </w:tabs>
        <w:spacing w:line="200" w:lineRule="exact" w:before="0" w:after="0"/>
        <w:ind w:left="567" w:right="0" w:hanging="454"/>
        <w:jc w:val="left"/>
        <w:rPr>
          <w:sz w:val="16"/>
        </w:rPr>
      </w:pPr>
      <w:r>
        <w:rPr>
          <w:sz w:val="16"/>
        </w:rPr>
        <w:t>Article</w:t>
      </w:r>
      <w:r>
        <w:rPr>
          <w:spacing w:val="27"/>
          <w:sz w:val="16"/>
        </w:rPr>
        <w:t> </w:t>
      </w:r>
      <w:r>
        <w:rPr>
          <w:sz w:val="16"/>
        </w:rPr>
        <w:t>4(3)</w:t>
      </w:r>
      <w:r>
        <w:rPr>
          <w:spacing w:val="28"/>
          <w:sz w:val="16"/>
        </w:rPr>
        <w:t> </w:t>
      </w:r>
      <w:r>
        <w:rPr>
          <w:spacing w:val="-5"/>
          <w:sz w:val="16"/>
        </w:rPr>
        <w:t>WA.</w:t>
      </w:r>
    </w:p>
    <w:p>
      <w:pPr>
        <w:pStyle w:val="ListParagraph"/>
        <w:numPr>
          <w:ilvl w:val="0"/>
          <w:numId w:val="6"/>
        </w:numPr>
        <w:tabs>
          <w:tab w:pos="567" w:val="left" w:leader="none"/>
        </w:tabs>
        <w:spacing w:line="223" w:lineRule="exact" w:before="0" w:after="0"/>
        <w:ind w:left="567" w:right="0" w:hanging="454"/>
        <w:jc w:val="left"/>
        <w:rPr>
          <w:sz w:val="16"/>
        </w:rPr>
      </w:pPr>
      <w:r>
        <w:rPr>
          <w:sz w:val="16"/>
        </w:rPr>
        <w:t>We</w:t>
      </w:r>
      <w:r>
        <w:rPr>
          <w:spacing w:val="2"/>
          <w:sz w:val="16"/>
        </w:rPr>
        <w:t> </w:t>
      </w:r>
      <w:r>
        <w:rPr>
          <w:sz w:val="16"/>
        </w:rPr>
        <w:t>explain</w:t>
      </w:r>
      <w:r>
        <w:rPr>
          <w:spacing w:val="3"/>
          <w:sz w:val="16"/>
        </w:rPr>
        <w:t> </w:t>
      </w:r>
      <w:r>
        <w:rPr>
          <w:sz w:val="16"/>
        </w:rPr>
        <w:t>this</w:t>
      </w:r>
      <w:r>
        <w:rPr>
          <w:spacing w:val="3"/>
          <w:sz w:val="16"/>
        </w:rPr>
        <w:t> </w:t>
      </w:r>
      <w:r>
        <w:rPr>
          <w:sz w:val="16"/>
        </w:rPr>
        <w:t>in</w:t>
      </w:r>
      <w:r>
        <w:rPr>
          <w:spacing w:val="3"/>
          <w:sz w:val="16"/>
        </w:rPr>
        <w:t> </w:t>
      </w:r>
      <w:r>
        <w:rPr>
          <w:sz w:val="16"/>
        </w:rPr>
        <w:t>more</w:t>
      </w:r>
      <w:r>
        <w:rPr>
          <w:spacing w:val="3"/>
          <w:sz w:val="16"/>
        </w:rPr>
        <w:t> </w:t>
      </w:r>
      <w:r>
        <w:rPr>
          <w:sz w:val="16"/>
        </w:rPr>
        <w:t>detail</w:t>
      </w:r>
      <w:r>
        <w:rPr>
          <w:spacing w:val="2"/>
          <w:sz w:val="16"/>
        </w:rPr>
        <w:t> </w:t>
      </w:r>
      <w:r>
        <w:rPr>
          <w:sz w:val="16"/>
        </w:rPr>
        <w:t>in</w:t>
      </w:r>
      <w:r>
        <w:rPr>
          <w:spacing w:val="3"/>
          <w:sz w:val="16"/>
        </w:rPr>
        <w:t> </w:t>
      </w:r>
      <w:r>
        <w:rPr>
          <w:sz w:val="16"/>
        </w:rPr>
        <w:t>Chapter</w:t>
      </w:r>
      <w:r>
        <w:rPr>
          <w:spacing w:val="3"/>
          <w:sz w:val="16"/>
        </w:rPr>
        <w:t> </w:t>
      </w:r>
      <w:r>
        <w:rPr>
          <w:spacing w:val="-2"/>
          <w:sz w:val="16"/>
        </w:rPr>
        <w:t>2(4).</w:t>
      </w:r>
    </w:p>
    <w:p>
      <w:pPr>
        <w:spacing w:after="0" w:line="223" w:lineRule="exact"/>
        <w:jc w:val="left"/>
        <w:rPr>
          <w:sz w:val="16"/>
        </w:rPr>
        <w:sectPr>
          <w:type w:val="continuous"/>
          <w:pgSz w:w="11910" w:h="16840"/>
          <w:pgMar w:header="568" w:footer="580" w:top="0" w:bottom="280" w:left="1020" w:right="1020"/>
        </w:sectPr>
      </w:pPr>
    </w:p>
    <w:p>
      <w:pPr>
        <w:pStyle w:val="BodyText"/>
        <w:ind w:left="0"/>
        <w:rPr>
          <w:rFonts w:ascii="Lucida Sans Unicode"/>
        </w:rPr>
      </w:pPr>
    </w:p>
    <w:p>
      <w:pPr>
        <w:pStyle w:val="BodyText"/>
        <w:spacing w:before="49"/>
        <w:ind w:left="0"/>
        <w:rPr>
          <w:rFonts w:ascii="Lucida Sans Unicode"/>
        </w:rPr>
      </w:pPr>
    </w:p>
    <w:p>
      <w:pPr>
        <w:pStyle w:val="BodyText"/>
        <w:spacing w:line="310" w:lineRule="exact"/>
        <w:ind w:right="5325"/>
      </w:pPr>
      <w:r>
        <w:rPr>
          <w:w w:val="110"/>
        </w:rPr>
        <w:t>The second route is under the Windsor Framework itself, which entails a non-diminution </w:t>
      </w:r>
      <w:r>
        <w:rPr>
          <w:w w:val="110"/>
        </w:rPr>
        <w:t>commitment </w:t>
      </w:r>
      <w:r>
        <w:rPr>
          <w:rFonts w:ascii="Lucida Sans Unicode"/>
        </w:rPr>
        <w:t>in Article 2 thereof. This involves an </w:t>
      </w:r>
      <w:r>
        <w:rPr>
          <w:w w:val="110"/>
        </w:rPr>
        <w:t>assessment of whether a diminution</w:t>
      </w:r>
      <w:r>
        <w:rPr>
          <w:spacing w:val="40"/>
          <w:w w:val="110"/>
        </w:rPr>
        <w:t> </w:t>
      </w:r>
      <w:r>
        <w:rPr>
          <w:w w:val="110"/>
        </w:rPr>
        <w:t>of rights, safeguards or equality</w:t>
      </w:r>
    </w:p>
    <w:p>
      <w:pPr>
        <w:pStyle w:val="BodyText"/>
        <w:spacing w:line="268" w:lineRule="auto" w:before="23"/>
        <w:ind w:right="5325"/>
      </w:pPr>
      <w:r>
        <w:rPr>
          <w:w w:val="115"/>
        </w:rPr>
        <w:t>of opportunity as set out in the Belfast (Good Friday) Agreement has</w:t>
      </w:r>
      <w:r>
        <w:rPr>
          <w:spacing w:val="-10"/>
          <w:w w:val="115"/>
        </w:rPr>
        <w:t> </w:t>
      </w:r>
      <w:r>
        <w:rPr>
          <w:w w:val="115"/>
        </w:rPr>
        <w:t>occurred</w:t>
      </w:r>
      <w:r>
        <w:rPr>
          <w:spacing w:val="-10"/>
          <w:w w:val="115"/>
        </w:rPr>
        <w:t> </w:t>
      </w:r>
      <w:r>
        <w:rPr>
          <w:w w:val="115"/>
        </w:rPr>
        <w:t>as</w:t>
      </w:r>
      <w:r>
        <w:rPr>
          <w:spacing w:val="-10"/>
          <w:w w:val="115"/>
        </w:rPr>
        <w:t> </w:t>
      </w:r>
      <w:r>
        <w:rPr>
          <w:w w:val="115"/>
        </w:rPr>
        <w:t>a</w:t>
      </w:r>
      <w:r>
        <w:rPr>
          <w:spacing w:val="-10"/>
          <w:w w:val="115"/>
        </w:rPr>
        <w:t> </w:t>
      </w:r>
      <w:r>
        <w:rPr>
          <w:w w:val="115"/>
        </w:rPr>
        <w:t>result</w:t>
      </w:r>
      <w:r>
        <w:rPr>
          <w:spacing w:val="-10"/>
          <w:w w:val="115"/>
        </w:rPr>
        <w:t> </w:t>
      </w:r>
      <w:r>
        <w:rPr>
          <w:w w:val="115"/>
        </w:rPr>
        <w:t>of</w:t>
      </w:r>
      <w:r>
        <w:rPr>
          <w:spacing w:val="-10"/>
          <w:w w:val="115"/>
        </w:rPr>
        <w:t> </w:t>
      </w:r>
      <w:r>
        <w:rPr>
          <w:w w:val="115"/>
        </w:rPr>
        <w:t>Brexit.</w:t>
      </w:r>
      <w:r>
        <w:rPr>
          <w:w w:val="115"/>
          <w:vertAlign w:val="superscript"/>
        </w:rPr>
        <w:t>5</w:t>
      </w:r>
      <w:r>
        <w:rPr>
          <w:w w:val="115"/>
          <w:vertAlign w:val="baseline"/>
        </w:rPr>
        <w:t> Given</w:t>
      </w:r>
      <w:r>
        <w:rPr>
          <w:spacing w:val="-20"/>
          <w:w w:val="115"/>
          <w:vertAlign w:val="baseline"/>
        </w:rPr>
        <w:t> </w:t>
      </w:r>
      <w:r>
        <w:rPr>
          <w:w w:val="115"/>
          <w:vertAlign w:val="baseline"/>
        </w:rPr>
        <w:t>that</w:t>
      </w:r>
      <w:r>
        <w:rPr>
          <w:spacing w:val="-19"/>
          <w:w w:val="115"/>
          <w:vertAlign w:val="baseline"/>
        </w:rPr>
        <w:t> </w:t>
      </w:r>
      <w:r>
        <w:rPr>
          <w:w w:val="115"/>
          <w:vertAlign w:val="baseline"/>
        </w:rPr>
        <w:t>the</w:t>
      </w:r>
      <w:r>
        <w:rPr>
          <w:spacing w:val="-19"/>
          <w:w w:val="115"/>
          <w:vertAlign w:val="baseline"/>
        </w:rPr>
        <w:t> </w:t>
      </w:r>
      <w:r>
        <w:rPr>
          <w:w w:val="115"/>
          <w:vertAlign w:val="baseline"/>
        </w:rPr>
        <w:t>Charter</w:t>
      </w:r>
      <w:r>
        <w:rPr>
          <w:spacing w:val="-19"/>
          <w:w w:val="115"/>
          <w:vertAlign w:val="baseline"/>
        </w:rPr>
        <w:t> </w:t>
      </w:r>
      <w:r>
        <w:rPr>
          <w:w w:val="115"/>
          <w:vertAlign w:val="baseline"/>
        </w:rPr>
        <w:t>and</w:t>
      </w:r>
      <w:r>
        <w:rPr>
          <w:spacing w:val="-19"/>
          <w:w w:val="115"/>
          <w:vertAlign w:val="baseline"/>
        </w:rPr>
        <w:t> </w:t>
      </w:r>
      <w:r>
        <w:rPr>
          <w:w w:val="115"/>
          <w:vertAlign w:val="baseline"/>
        </w:rPr>
        <w:t>general principles</w:t>
      </w:r>
      <w:r>
        <w:rPr>
          <w:spacing w:val="-4"/>
          <w:w w:val="115"/>
          <w:vertAlign w:val="baseline"/>
        </w:rPr>
        <w:t> </w:t>
      </w:r>
      <w:r>
        <w:rPr>
          <w:w w:val="115"/>
          <w:vertAlign w:val="baseline"/>
        </w:rPr>
        <w:t>formed</w:t>
      </w:r>
      <w:r>
        <w:rPr>
          <w:spacing w:val="-3"/>
          <w:w w:val="115"/>
          <w:vertAlign w:val="baseline"/>
        </w:rPr>
        <w:t> </w:t>
      </w:r>
      <w:r>
        <w:rPr>
          <w:w w:val="115"/>
          <w:vertAlign w:val="baseline"/>
        </w:rPr>
        <w:t>part</w:t>
      </w:r>
      <w:r>
        <w:rPr>
          <w:spacing w:val="-3"/>
          <w:w w:val="115"/>
          <w:vertAlign w:val="baseline"/>
        </w:rPr>
        <w:t> </w:t>
      </w:r>
      <w:r>
        <w:rPr>
          <w:w w:val="115"/>
          <w:vertAlign w:val="baseline"/>
        </w:rPr>
        <w:t>of</w:t>
      </w:r>
      <w:r>
        <w:rPr>
          <w:spacing w:val="-3"/>
          <w:w w:val="115"/>
          <w:vertAlign w:val="baseline"/>
        </w:rPr>
        <w:t> </w:t>
      </w:r>
      <w:r>
        <w:rPr>
          <w:w w:val="115"/>
          <w:vertAlign w:val="baseline"/>
        </w:rPr>
        <w:t>the</w:t>
      </w:r>
      <w:r>
        <w:rPr>
          <w:spacing w:val="-3"/>
          <w:w w:val="115"/>
          <w:vertAlign w:val="baseline"/>
        </w:rPr>
        <w:t> </w:t>
      </w:r>
      <w:r>
        <w:rPr>
          <w:spacing w:val="-2"/>
          <w:w w:val="115"/>
          <w:vertAlign w:val="baseline"/>
        </w:rPr>
        <w:t>rights</w:t>
      </w:r>
    </w:p>
    <w:p>
      <w:pPr>
        <w:pStyle w:val="BodyText"/>
        <w:spacing w:line="268" w:lineRule="auto" w:before="5"/>
        <w:ind w:right="5095"/>
      </w:pPr>
      <w:r>
        <w:rPr>
          <w:w w:val="115"/>
        </w:rPr>
        <w:t>protections</w:t>
      </w:r>
      <w:r>
        <w:rPr>
          <w:spacing w:val="-20"/>
          <w:w w:val="115"/>
        </w:rPr>
        <w:t> </w:t>
      </w:r>
      <w:r>
        <w:rPr>
          <w:w w:val="115"/>
        </w:rPr>
        <w:t>in</w:t>
      </w:r>
      <w:r>
        <w:rPr>
          <w:spacing w:val="-19"/>
          <w:w w:val="115"/>
        </w:rPr>
        <w:t> </w:t>
      </w:r>
      <w:r>
        <w:rPr>
          <w:w w:val="115"/>
        </w:rPr>
        <w:t>Northern</w:t>
      </w:r>
      <w:r>
        <w:rPr>
          <w:spacing w:val="-19"/>
          <w:w w:val="115"/>
        </w:rPr>
        <w:t> </w:t>
      </w:r>
      <w:r>
        <w:rPr>
          <w:w w:val="115"/>
        </w:rPr>
        <w:t>Ireland</w:t>
      </w:r>
      <w:r>
        <w:rPr>
          <w:spacing w:val="-19"/>
          <w:w w:val="115"/>
        </w:rPr>
        <w:t> </w:t>
      </w:r>
      <w:r>
        <w:rPr>
          <w:w w:val="115"/>
        </w:rPr>
        <w:t>before the end of the Brexit implementation period, they are a relevant factor in this assessment.</w:t>
      </w:r>
    </w:p>
    <w:p>
      <w:pPr>
        <w:pStyle w:val="BodyText"/>
        <w:spacing w:before="4"/>
        <w:ind w:left="0"/>
      </w:pPr>
    </w:p>
    <w:p>
      <w:pPr>
        <w:pStyle w:val="BodyText"/>
        <w:spacing w:line="310" w:lineRule="exact"/>
        <w:ind w:right="5329"/>
      </w:pPr>
      <w:r>
        <w:rPr>
          <w:w w:val="110"/>
        </w:rPr>
        <w:t>The report commences by</w:t>
      </w:r>
      <w:r>
        <w:rPr>
          <w:spacing w:val="40"/>
          <w:w w:val="110"/>
        </w:rPr>
        <w:t> </w:t>
      </w:r>
      <w:r>
        <w:rPr>
          <w:w w:val="110"/>
        </w:rPr>
        <w:t>establishing the baseline of key concepts and effects of the Charter and general principles under EU law</w:t>
      </w:r>
      <w:r>
        <w:rPr>
          <w:spacing w:val="40"/>
          <w:w w:val="110"/>
        </w:rPr>
        <w:t> </w:t>
      </w:r>
      <w:r>
        <w:rPr>
          <w:w w:val="110"/>
        </w:rPr>
        <w:t>in Chapter </w:t>
      </w:r>
      <w:r>
        <w:rPr/>
        <w:t>1;</w:t>
      </w:r>
      <w:r>
        <w:rPr>
          <w:w w:val="110"/>
        </w:rPr>
        <w:t> it then explores the</w:t>
      </w:r>
      <w:r>
        <w:rPr>
          <w:spacing w:val="80"/>
          <w:w w:val="110"/>
        </w:rPr>
        <w:t> </w:t>
      </w:r>
      <w:r>
        <w:rPr>
          <w:w w:val="110"/>
        </w:rPr>
        <w:t>basic</w:t>
      </w:r>
      <w:r>
        <w:rPr>
          <w:spacing w:val="40"/>
          <w:w w:val="110"/>
        </w:rPr>
        <w:t> </w:t>
      </w:r>
      <w:r>
        <w:rPr>
          <w:w w:val="110"/>
        </w:rPr>
        <w:t>framework</w:t>
      </w:r>
      <w:r>
        <w:rPr>
          <w:spacing w:val="40"/>
          <w:w w:val="110"/>
        </w:rPr>
        <w:t> </w:t>
      </w:r>
      <w:r>
        <w:rPr>
          <w:w w:val="110"/>
        </w:rPr>
        <w:t>for</w:t>
      </w:r>
      <w:r>
        <w:rPr>
          <w:spacing w:val="40"/>
          <w:w w:val="110"/>
        </w:rPr>
        <w:t> </w:t>
      </w:r>
      <w:r>
        <w:rPr>
          <w:w w:val="110"/>
        </w:rPr>
        <w:t>the</w:t>
      </w:r>
      <w:r>
        <w:rPr>
          <w:spacing w:val="40"/>
          <w:w w:val="110"/>
        </w:rPr>
        <w:t> </w:t>
      </w:r>
      <w:r>
        <w:rPr>
          <w:w w:val="110"/>
        </w:rPr>
        <w:t>application</w:t>
      </w:r>
      <w:r>
        <w:rPr>
          <w:spacing w:val="40"/>
          <w:w w:val="110"/>
        </w:rPr>
        <w:t> </w:t>
      </w:r>
      <w:r>
        <w:rPr>
          <w:w w:val="110"/>
        </w:rPr>
        <w:t>of the Charter in Northern Ireland according to the Windsor Framework </w:t>
      </w:r>
      <w:r>
        <w:rPr>
          <w:rFonts w:ascii="Lucida Sans Unicode"/>
        </w:rPr>
        <w:t>in Chapter 2; the report subsequently </w:t>
      </w:r>
      <w:r>
        <w:rPr>
          <w:w w:val="110"/>
        </w:rPr>
        <w:t>explores the details of this interaction between the Charter and the </w:t>
      </w:r>
      <w:r>
        <w:rPr>
          <w:w w:val="110"/>
        </w:rPr>
        <w:t>Windsor </w:t>
      </w:r>
      <w:r>
        <w:rPr>
          <w:rFonts w:ascii="Lucida Sans Unicode"/>
          <w:spacing w:val="-2"/>
          <w:w w:val="110"/>
        </w:rPr>
        <w:t>Framework</w:t>
      </w:r>
      <w:r>
        <w:rPr>
          <w:rFonts w:ascii="Lucida Sans Unicode"/>
          <w:spacing w:val="-18"/>
          <w:w w:val="110"/>
        </w:rPr>
        <w:t> </w:t>
      </w:r>
      <w:r>
        <w:rPr>
          <w:rFonts w:ascii="Lucida Sans Unicode"/>
          <w:spacing w:val="-2"/>
          <w:w w:val="110"/>
        </w:rPr>
        <w:t>in</w:t>
      </w:r>
      <w:r>
        <w:rPr>
          <w:rFonts w:ascii="Lucida Sans Unicode"/>
          <w:spacing w:val="-18"/>
          <w:w w:val="110"/>
        </w:rPr>
        <w:t> </w:t>
      </w:r>
      <w:r>
        <w:rPr>
          <w:rFonts w:ascii="Lucida Sans Unicode"/>
          <w:spacing w:val="-2"/>
          <w:w w:val="110"/>
        </w:rPr>
        <w:t>Chapter</w:t>
      </w:r>
      <w:r>
        <w:rPr>
          <w:rFonts w:ascii="Lucida Sans Unicode"/>
          <w:spacing w:val="-18"/>
          <w:w w:val="110"/>
        </w:rPr>
        <w:t> </w:t>
      </w:r>
      <w:r>
        <w:rPr>
          <w:rFonts w:ascii="Lucida Sans Unicode"/>
          <w:spacing w:val="-2"/>
          <w:w w:val="110"/>
        </w:rPr>
        <w:t>3</w:t>
      </w:r>
      <w:r>
        <w:rPr>
          <w:rFonts w:ascii="Lucida Sans Unicode"/>
          <w:spacing w:val="-18"/>
          <w:w w:val="110"/>
        </w:rPr>
        <w:t> </w:t>
      </w:r>
      <w:r>
        <w:rPr>
          <w:rFonts w:ascii="Lucida Sans Unicode"/>
          <w:spacing w:val="-2"/>
          <w:w w:val="110"/>
        </w:rPr>
        <w:t>before </w:t>
      </w:r>
      <w:r>
        <w:rPr>
          <w:w w:val="110"/>
        </w:rPr>
        <w:t>addressing the functions of the</w:t>
      </w:r>
      <w:r>
        <w:rPr>
          <w:spacing w:val="40"/>
          <w:w w:val="110"/>
        </w:rPr>
        <w:t> </w:t>
      </w:r>
      <w:r>
        <w:rPr>
          <w:w w:val="110"/>
        </w:rPr>
        <w:t>Charter in the domestic legal order with a focus on remedies in Chapter</w:t>
      </w:r>
    </w:p>
    <w:p>
      <w:pPr>
        <w:pStyle w:val="BodyText"/>
        <w:spacing w:line="310" w:lineRule="exact"/>
        <w:ind w:right="5095"/>
      </w:pPr>
      <w:r>
        <w:rPr>
          <w:rFonts w:ascii="Lucida Sans Unicode"/>
        </w:rPr>
        <w:t>4. The final Chapter 5 then focuses </w:t>
      </w:r>
      <w:r>
        <w:rPr>
          <w:rFonts w:ascii="Lucida Sans Unicode"/>
        </w:rPr>
        <w:t>on</w:t>
      </w:r>
      <w:r>
        <w:rPr>
          <w:rFonts w:ascii="Lucida Sans Unicode"/>
        </w:rPr>
        <w:t> </w:t>
      </w:r>
      <w:r>
        <w:rPr>
          <w:w w:val="110"/>
        </w:rPr>
        <w:t>the temporal element, i.e., questions around dynamic alignment and what that means for the applicability of the </w:t>
      </w:r>
      <w:r>
        <w:rPr>
          <w:spacing w:val="-2"/>
          <w:w w:val="110"/>
        </w:rPr>
        <w:t>Charter.</w:t>
      </w:r>
    </w:p>
    <w:p>
      <w:pPr>
        <w:pStyle w:val="BodyText"/>
        <w:spacing w:before="51"/>
        <w:ind w:left="0"/>
      </w:pPr>
    </w:p>
    <w:p>
      <w:pPr>
        <w:pStyle w:val="BodyText"/>
        <w:spacing w:line="201" w:lineRule="auto"/>
        <w:ind w:right="5325"/>
        <w:rPr>
          <w:rFonts w:ascii="Lucida Sans Unicode"/>
        </w:rPr>
      </w:pPr>
      <w:r>
        <w:rPr>
          <w:rFonts w:ascii="Lucida Sans Unicode"/>
        </w:rPr>
        <w:t>The report reflects the law as it </w:t>
      </w:r>
      <w:r>
        <w:rPr>
          <w:rFonts w:ascii="Lucida Sans Unicode"/>
        </w:rPr>
        <w:t>stood on 19 March 2024.</w:t>
      </w:r>
    </w:p>
    <w:p>
      <w:pPr>
        <w:pStyle w:val="BodyText"/>
        <w:spacing w:before="192"/>
        <w:ind w:left="0"/>
        <w:rPr>
          <w:rFonts w:ascii="Lucida Sans Unicode"/>
          <w:sz w:val="20"/>
        </w:rPr>
      </w:pPr>
      <w:r>
        <w:rPr/>
        <mc:AlternateContent>
          <mc:Choice Requires="wps">
            <w:drawing>
              <wp:anchor distT="0" distB="0" distL="0" distR="0" allowOverlap="1" layoutInCell="1" locked="0" behindDoc="1" simplePos="0" relativeHeight="487592448">
                <wp:simplePos x="0" y="0"/>
                <wp:positionH relativeFrom="page">
                  <wp:posOffset>719999</wp:posOffset>
                </wp:positionH>
                <wp:positionV relativeFrom="paragraph">
                  <wp:posOffset>332376</wp:posOffset>
                </wp:positionV>
                <wp:extent cx="6120130" cy="1270"/>
                <wp:effectExtent l="0" t="0" r="0" b="0"/>
                <wp:wrapTopAndBottom/>
                <wp:docPr id="52" name="Graphic 52"/>
                <wp:cNvGraphicFramePr>
                  <a:graphicFrameLocks/>
                </wp:cNvGraphicFramePr>
                <a:graphic>
                  <a:graphicData uri="http://schemas.microsoft.com/office/word/2010/wordprocessingShape">
                    <wps:wsp>
                      <wps:cNvPr id="52" name="Graphic 52"/>
                      <wps:cNvSpPr/>
                      <wps:spPr>
                        <a:xfrm>
                          <a:off x="0" y="0"/>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26.17137pt;width:481.9pt;height:.1pt;mso-position-horizontal-relative:page;mso-position-vertical-relative:paragraph;z-index:-15724032;mso-wrap-distance-left:0;mso-wrap-distance-right:0" id="docshape44" coordorigin="1134,523" coordsize="9638,0" path="m1134,523l10772,523e" filled="false" stroked="true" strokeweight=".5pt" strokecolor="#77328a">
                <v:path arrowok="t"/>
                <v:stroke dashstyle="solid"/>
                <w10:wrap type="topAndBottom"/>
              </v:shape>
            </w:pict>
          </mc:Fallback>
        </mc:AlternateContent>
      </w:r>
    </w:p>
    <w:p>
      <w:pPr>
        <w:pStyle w:val="ListParagraph"/>
        <w:numPr>
          <w:ilvl w:val="0"/>
          <w:numId w:val="6"/>
        </w:numPr>
        <w:tabs>
          <w:tab w:pos="567" w:val="left" w:leader="none"/>
        </w:tabs>
        <w:spacing w:line="218" w:lineRule="auto" w:before="92" w:after="0"/>
        <w:ind w:left="567" w:right="464" w:hanging="454"/>
        <w:jc w:val="left"/>
        <w:rPr>
          <w:sz w:val="16"/>
        </w:rPr>
      </w:pPr>
      <w:r>
        <w:rPr>
          <w:sz w:val="16"/>
        </w:rPr>
        <w:t>For a detailed analysis of Article 2 WF, see: Sarah Craig, Anurag Deb, Eleni Frantziou, Alexander Horne, Colin </w:t>
      </w:r>
      <w:r>
        <w:rPr>
          <w:rFonts w:ascii="Arial"/>
          <w:sz w:val="16"/>
        </w:rPr>
        <w:t>Murray,</w:t>
      </w:r>
      <w:r>
        <w:rPr>
          <w:rFonts w:ascii="Arial"/>
          <w:spacing w:val="14"/>
          <w:sz w:val="16"/>
        </w:rPr>
        <w:t> </w:t>
      </w:r>
      <w:r>
        <w:rPr>
          <w:rFonts w:ascii="Arial"/>
          <w:sz w:val="16"/>
        </w:rPr>
        <w:t>Clare</w:t>
      </w:r>
      <w:r>
        <w:rPr>
          <w:rFonts w:ascii="Arial"/>
          <w:spacing w:val="14"/>
          <w:sz w:val="16"/>
        </w:rPr>
        <w:t> </w:t>
      </w:r>
      <w:r>
        <w:rPr>
          <w:rFonts w:ascii="Arial"/>
          <w:sz w:val="16"/>
        </w:rPr>
        <w:t>Rice</w:t>
      </w:r>
      <w:r>
        <w:rPr>
          <w:rFonts w:ascii="Arial"/>
          <w:spacing w:val="14"/>
          <w:sz w:val="16"/>
        </w:rPr>
        <w:t> </w:t>
      </w:r>
      <w:r>
        <w:rPr>
          <w:rFonts w:ascii="Arial"/>
          <w:sz w:val="16"/>
        </w:rPr>
        <w:t>and</w:t>
      </w:r>
      <w:r>
        <w:rPr>
          <w:rFonts w:ascii="Arial"/>
          <w:spacing w:val="14"/>
          <w:sz w:val="16"/>
        </w:rPr>
        <w:t> </w:t>
      </w:r>
      <w:r>
        <w:rPr>
          <w:rFonts w:ascii="Arial"/>
          <w:sz w:val="16"/>
        </w:rPr>
        <w:t>Jane</w:t>
      </w:r>
      <w:r>
        <w:rPr>
          <w:rFonts w:ascii="Arial"/>
          <w:spacing w:val="14"/>
          <w:sz w:val="16"/>
        </w:rPr>
        <w:t> </w:t>
      </w:r>
      <w:r>
        <w:rPr>
          <w:rFonts w:ascii="Arial"/>
          <w:sz w:val="16"/>
        </w:rPr>
        <w:t>Rooney,</w:t>
      </w:r>
      <w:r>
        <w:rPr>
          <w:rFonts w:ascii="Arial"/>
          <w:spacing w:val="14"/>
          <w:sz w:val="16"/>
        </w:rPr>
        <w:t> </w:t>
      </w:r>
      <w:r>
        <w:rPr>
          <w:rFonts w:ascii="Verdana"/>
          <w:i/>
          <w:sz w:val="16"/>
        </w:rPr>
        <w:t>European Union Developments in Equality and Human Rights: The Impact</w:t>
      </w:r>
      <w:r>
        <w:rPr>
          <w:rFonts w:ascii="Verdana"/>
          <w:i/>
          <w:sz w:val="16"/>
        </w:rPr>
        <w:t> of</w:t>
      </w:r>
      <w:r>
        <w:rPr>
          <w:rFonts w:ascii="Verdana"/>
          <w:i/>
          <w:spacing w:val="-5"/>
          <w:sz w:val="16"/>
        </w:rPr>
        <w:t> </w:t>
      </w:r>
      <w:r>
        <w:rPr>
          <w:rFonts w:ascii="Verdana"/>
          <w:i/>
          <w:sz w:val="16"/>
        </w:rPr>
        <w:t>Brexit</w:t>
      </w:r>
      <w:r>
        <w:rPr>
          <w:rFonts w:ascii="Verdana"/>
          <w:i/>
          <w:spacing w:val="-5"/>
          <w:sz w:val="16"/>
        </w:rPr>
        <w:t> </w:t>
      </w:r>
      <w:r>
        <w:rPr>
          <w:rFonts w:ascii="Verdana"/>
          <w:i/>
          <w:sz w:val="16"/>
        </w:rPr>
        <w:t>on</w:t>
      </w:r>
      <w:r>
        <w:rPr>
          <w:rFonts w:ascii="Verdana"/>
          <w:i/>
          <w:spacing w:val="-5"/>
          <w:sz w:val="16"/>
        </w:rPr>
        <w:t> </w:t>
      </w:r>
      <w:r>
        <w:rPr>
          <w:rFonts w:ascii="Verdana"/>
          <w:i/>
          <w:sz w:val="16"/>
        </w:rPr>
        <w:t>the</w:t>
      </w:r>
      <w:r>
        <w:rPr>
          <w:rFonts w:ascii="Verdana"/>
          <w:i/>
          <w:spacing w:val="-5"/>
          <w:sz w:val="16"/>
        </w:rPr>
        <w:t> </w:t>
      </w:r>
      <w:r>
        <w:rPr>
          <w:rFonts w:ascii="Verdana"/>
          <w:i/>
          <w:sz w:val="16"/>
        </w:rPr>
        <w:t>Divergence</w:t>
      </w:r>
      <w:r>
        <w:rPr>
          <w:rFonts w:ascii="Verdana"/>
          <w:i/>
          <w:spacing w:val="-5"/>
          <w:sz w:val="16"/>
        </w:rPr>
        <w:t> </w:t>
      </w:r>
      <w:r>
        <w:rPr>
          <w:rFonts w:ascii="Verdana"/>
          <w:i/>
          <w:sz w:val="16"/>
        </w:rPr>
        <w:t>of</w:t>
      </w:r>
      <w:r>
        <w:rPr>
          <w:rFonts w:ascii="Verdana"/>
          <w:i/>
          <w:spacing w:val="-5"/>
          <w:sz w:val="16"/>
        </w:rPr>
        <w:t> </w:t>
      </w:r>
      <w:r>
        <w:rPr>
          <w:rFonts w:ascii="Verdana"/>
          <w:i/>
          <w:sz w:val="16"/>
        </w:rPr>
        <w:t>Rights</w:t>
      </w:r>
      <w:r>
        <w:rPr>
          <w:rFonts w:ascii="Verdana"/>
          <w:i/>
          <w:spacing w:val="-5"/>
          <w:sz w:val="16"/>
        </w:rPr>
        <w:t> </w:t>
      </w:r>
      <w:r>
        <w:rPr>
          <w:rFonts w:ascii="Verdana"/>
          <w:i/>
          <w:sz w:val="16"/>
        </w:rPr>
        <w:t>and</w:t>
      </w:r>
      <w:r>
        <w:rPr>
          <w:rFonts w:ascii="Verdana"/>
          <w:i/>
          <w:spacing w:val="-5"/>
          <w:sz w:val="16"/>
        </w:rPr>
        <w:t> </w:t>
      </w:r>
      <w:r>
        <w:rPr>
          <w:rFonts w:ascii="Verdana"/>
          <w:i/>
          <w:sz w:val="16"/>
        </w:rPr>
        <w:t>Best</w:t>
      </w:r>
      <w:r>
        <w:rPr>
          <w:rFonts w:ascii="Verdana"/>
          <w:i/>
          <w:spacing w:val="-5"/>
          <w:sz w:val="16"/>
        </w:rPr>
        <w:t> </w:t>
      </w:r>
      <w:r>
        <w:rPr>
          <w:rFonts w:ascii="Verdana"/>
          <w:i/>
          <w:sz w:val="16"/>
        </w:rPr>
        <w:t>Practice</w:t>
      </w:r>
      <w:r>
        <w:rPr>
          <w:rFonts w:ascii="Verdana"/>
          <w:i/>
          <w:spacing w:val="-5"/>
          <w:sz w:val="16"/>
        </w:rPr>
        <w:t> </w:t>
      </w:r>
      <w:r>
        <w:rPr>
          <w:rFonts w:ascii="Verdana"/>
          <w:i/>
          <w:sz w:val="16"/>
        </w:rPr>
        <w:t>on</w:t>
      </w:r>
      <w:r>
        <w:rPr>
          <w:rFonts w:ascii="Verdana"/>
          <w:i/>
          <w:spacing w:val="-5"/>
          <w:sz w:val="16"/>
        </w:rPr>
        <w:t> </w:t>
      </w:r>
      <w:r>
        <w:rPr>
          <w:rFonts w:ascii="Verdana"/>
          <w:i/>
          <w:sz w:val="16"/>
        </w:rPr>
        <w:t>the</w:t>
      </w:r>
      <w:r>
        <w:rPr>
          <w:rFonts w:ascii="Verdana"/>
          <w:i/>
          <w:spacing w:val="-5"/>
          <w:sz w:val="16"/>
        </w:rPr>
        <w:t> </w:t>
      </w:r>
      <w:r>
        <w:rPr>
          <w:rFonts w:ascii="Verdana"/>
          <w:i/>
          <w:sz w:val="16"/>
        </w:rPr>
        <w:t>Island</w:t>
      </w:r>
      <w:r>
        <w:rPr>
          <w:rFonts w:ascii="Verdana"/>
          <w:i/>
          <w:spacing w:val="-5"/>
          <w:sz w:val="16"/>
        </w:rPr>
        <w:t> </w:t>
      </w:r>
      <w:r>
        <w:rPr>
          <w:rFonts w:ascii="Verdana"/>
          <w:i/>
          <w:sz w:val="16"/>
        </w:rPr>
        <w:t>of</w:t>
      </w:r>
      <w:r>
        <w:rPr>
          <w:rFonts w:ascii="Verdana"/>
          <w:i/>
          <w:spacing w:val="-5"/>
          <w:sz w:val="16"/>
        </w:rPr>
        <w:t> </w:t>
      </w:r>
      <w:r>
        <w:rPr>
          <w:rFonts w:ascii="Verdana"/>
          <w:i/>
          <w:sz w:val="16"/>
        </w:rPr>
        <w:t>Ireland</w:t>
      </w:r>
      <w:r>
        <w:rPr>
          <w:rFonts w:ascii="Verdana"/>
          <w:i/>
          <w:spacing w:val="-5"/>
          <w:sz w:val="16"/>
        </w:rPr>
        <w:t> </w:t>
      </w:r>
      <w:r>
        <w:rPr>
          <w:sz w:val="16"/>
        </w:rPr>
        <w:t>(ECNI, NIHRC and IHREC, 2022)</w:t>
      </w:r>
    </w:p>
    <w:p>
      <w:pPr>
        <w:spacing w:line="194" w:lineRule="auto" w:before="0"/>
        <w:ind w:left="567" w:right="203" w:firstLine="0"/>
        <w:jc w:val="left"/>
        <w:rPr>
          <w:sz w:val="16"/>
        </w:rPr>
      </w:pPr>
      <w:hyperlink r:id="rId32">
        <w:r>
          <w:rPr>
            <w:rFonts w:ascii="Lucida Sans Unicode"/>
            <w:color w:val="77328A"/>
            <w:spacing w:val="-2"/>
            <w:sz w:val="16"/>
            <w:u w:val="single" w:color="77328A"/>
          </w:rPr>
          <w:t>https://www.ihrec.ie/app/uploads/2023/04/The-Impact-of-Brexit-on-the-Divergence-of-Rights-and-Best-Practice-</w:t>
        </w:r>
      </w:hyperlink>
      <w:r>
        <w:rPr>
          <w:rFonts w:ascii="Lucida Sans Unicode"/>
          <w:color w:val="77328A"/>
          <w:spacing w:val="-2"/>
          <w:sz w:val="16"/>
          <w:u w:val="none"/>
        </w:rPr>
        <w:t> </w:t>
      </w:r>
      <w:hyperlink r:id="rId32">
        <w:r>
          <w:rPr>
            <w:color w:val="77328A"/>
            <w:sz w:val="16"/>
            <w:u w:val="single" w:color="77328A"/>
          </w:rPr>
          <w:t>on-the-Island-of-Ireland-1.pdf</w:t>
        </w:r>
      </w:hyperlink>
      <w:r>
        <w:rPr>
          <w:rFonts w:ascii="Lucida Sans Unicode"/>
          <w:sz w:val="16"/>
          <w:u w:val="none"/>
        </w:rPr>
        <w:t>;</w:t>
      </w:r>
      <w:r>
        <w:rPr>
          <w:rFonts w:ascii="Lucida Sans Unicode"/>
          <w:spacing w:val="38"/>
          <w:sz w:val="16"/>
          <w:u w:val="none"/>
        </w:rPr>
        <w:t> </w:t>
      </w:r>
      <w:r>
        <w:rPr>
          <w:rFonts w:ascii="Lucida Sans Unicode"/>
          <w:sz w:val="16"/>
          <w:u w:val="none"/>
        </w:rPr>
        <w:t>see</w:t>
      </w:r>
      <w:r>
        <w:rPr>
          <w:rFonts w:ascii="Lucida Sans Unicode"/>
          <w:spacing w:val="38"/>
          <w:sz w:val="16"/>
          <w:u w:val="none"/>
        </w:rPr>
        <w:t> </w:t>
      </w:r>
      <w:r>
        <w:rPr>
          <w:rFonts w:ascii="Lucida Sans Unicode"/>
          <w:sz w:val="16"/>
          <w:u w:val="none"/>
        </w:rPr>
        <w:t>also</w:t>
      </w:r>
      <w:r>
        <w:rPr>
          <w:rFonts w:ascii="Lucida Sans Unicode"/>
          <w:spacing w:val="38"/>
          <w:sz w:val="16"/>
          <w:u w:val="none"/>
        </w:rPr>
        <w:t> </w:t>
      </w:r>
      <w:r>
        <w:rPr>
          <w:rFonts w:ascii="Lucida Sans Unicode"/>
          <w:sz w:val="16"/>
          <w:u w:val="none"/>
        </w:rPr>
        <w:t>NIHRC</w:t>
      </w:r>
      <w:r>
        <w:rPr>
          <w:rFonts w:ascii="Lucida Sans Unicode"/>
          <w:spacing w:val="38"/>
          <w:sz w:val="16"/>
          <w:u w:val="none"/>
        </w:rPr>
        <w:t> </w:t>
      </w:r>
      <w:r>
        <w:rPr>
          <w:rFonts w:ascii="Lucida Sans Unicode"/>
          <w:sz w:val="16"/>
          <w:u w:val="none"/>
        </w:rPr>
        <w:t>and</w:t>
      </w:r>
      <w:r>
        <w:rPr>
          <w:rFonts w:ascii="Lucida Sans Unicode"/>
          <w:spacing w:val="38"/>
          <w:sz w:val="16"/>
          <w:u w:val="none"/>
        </w:rPr>
        <w:t> </w:t>
      </w:r>
      <w:r>
        <w:rPr>
          <w:rFonts w:ascii="Lucida Sans Unicode"/>
          <w:sz w:val="16"/>
          <w:u w:val="none"/>
        </w:rPr>
        <w:t>ECNI</w:t>
      </w:r>
      <w:r>
        <w:rPr>
          <w:rFonts w:ascii="Lucida Sans Unicode"/>
          <w:spacing w:val="38"/>
          <w:sz w:val="16"/>
          <w:u w:val="none"/>
        </w:rPr>
        <w:t> </w:t>
      </w:r>
      <w:r>
        <w:rPr>
          <w:rFonts w:ascii="Lucida Sans Unicode"/>
          <w:sz w:val="16"/>
          <w:u w:val="none"/>
        </w:rPr>
        <w:t>Working</w:t>
      </w:r>
      <w:r>
        <w:rPr>
          <w:rFonts w:ascii="Lucida Sans Unicode"/>
          <w:spacing w:val="38"/>
          <w:sz w:val="16"/>
          <w:u w:val="none"/>
        </w:rPr>
        <w:t> </w:t>
      </w:r>
      <w:r>
        <w:rPr>
          <w:rFonts w:ascii="Lucida Sans Unicode"/>
          <w:sz w:val="16"/>
          <w:u w:val="none"/>
        </w:rPr>
        <w:t>Paper:</w:t>
      </w:r>
      <w:r>
        <w:rPr>
          <w:rFonts w:ascii="Lucida Sans Unicode"/>
          <w:spacing w:val="38"/>
          <w:sz w:val="16"/>
          <w:u w:val="none"/>
        </w:rPr>
        <w:t> </w:t>
      </w:r>
      <w:r>
        <w:rPr>
          <w:rFonts w:ascii="Lucida Sans Unicode"/>
          <w:sz w:val="16"/>
          <w:u w:val="none"/>
        </w:rPr>
        <w:t>The</w:t>
      </w:r>
      <w:r>
        <w:rPr>
          <w:rFonts w:ascii="Lucida Sans Unicode"/>
          <w:spacing w:val="38"/>
          <w:sz w:val="16"/>
          <w:u w:val="none"/>
        </w:rPr>
        <w:t> </w:t>
      </w:r>
      <w:r>
        <w:rPr>
          <w:rFonts w:ascii="Lucida Sans Unicode"/>
          <w:sz w:val="16"/>
          <w:u w:val="none"/>
        </w:rPr>
        <w:t>Scope</w:t>
      </w:r>
      <w:r>
        <w:rPr>
          <w:rFonts w:ascii="Lucida Sans Unicode"/>
          <w:spacing w:val="38"/>
          <w:sz w:val="16"/>
          <w:u w:val="none"/>
        </w:rPr>
        <w:t> </w:t>
      </w:r>
      <w:r>
        <w:rPr>
          <w:rFonts w:ascii="Lucida Sans Unicode"/>
          <w:sz w:val="16"/>
          <w:u w:val="none"/>
        </w:rPr>
        <w:t>of</w:t>
      </w:r>
      <w:r>
        <w:rPr>
          <w:rFonts w:ascii="Lucida Sans Unicode"/>
          <w:spacing w:val="38"/>
          <w:sz w:val="16"/>
          <w:u w:val="none"/>
        </w:rPr>
        <w:t> </w:t>
      </w:r>
      <w:r>
        <w:rPr>
          <w:rFonts w:ascii="Lucida Sans Unicode"/>
          <w:sz w:val="16"/>
          <w:u w:val="none"/>
        </w:rPr>
        <w:t>Article</w:t>
      </w:r>
      <w:r>
        <w:rPr>
          <w:rFonts w:ascii="Lucida Sans Unicode"/>
          <w:spacing w:val="38"/>
          <w:sz w:val="16"/>
          <w:u w:val="none"/>
        </w:rPr>
        <w:t> </w:t>
      </w:r>
      <w:r>
        <w:rPr>
          <w:rFonts w:ascii="Lucida Sans Unicode"/>
          <w:sz w:val="16"/>
          <w:u w:val="none"/>
        </w:rPr>
        <w:t>2(1)</w:t>
      </w:r>
      <w:r>
        <w:rPr>
          <w:rFonts w:ascii="Lucida Sans Unicode"/>
          <w:spacing w:val="38"/>
          <w:sz w:val="16"/>
          <w:u w:val="none"/>
        </w:rPr>
        <w:t> </w:t>
      </w:r>
      <w:r>
        <w:rPr>
          <w:rFonts w:ascii="Lucida Sans Unicode"/>
          <w:sz w:val="16"/>
          <w:u w:val="none"/>
        </w:rPr>
        <w:t>of</w:t>
      </w:r>
      <w:r>
        <w:rPr>
          <w:rFonts w:ascii="Lucida Sans Unicode"/>
          <w:spacing w:val="38"/>
          <w:sz w:val="16"/>
          <w:u w:val="none"/>
        </w:rPr>
        <w:t> </w:t>
      </w:r>
      <w:r>
        <w:rPr>
          <w:rFonts w:ascii="Lucida Sans Unicode"/>
          <w:sz w:val="16"/>
          <w:u w:val="none"/>
        </w:rPr>
        <w:t>the</w:t>
      </w:r>
      <w:r>
        <w:rPr>
          <w:rFonts w:ascii="Lucida Sans Unicode"/>
          <w:spacing w:val="38"/>
          <w:sz w:val="16"/>
          <w:u w:val="none"/>
        </w:rPr>
        <w:t> </w:t>
      </w:r>
      <w:r>
        <w:rPr>
          <w:rFonts w:ascii="Lucida Sans Unicode"/>
          <w:sz w:val="16"/>
          <w:u w:val="none"/>
        </w:rPr>
        <w:t>Ireland/ Northern</w:t>
      </w:r>
      <w:r>
        <w:rPr>
          <w:rFonts w:ascii="Lucida Sans Unicode"/>
          <w:spacing w:val="59"/>
          <w:sz w:val="16"/>
          <w:u w:val="none"/>
        </w:rPr>
        <w:t> </w:t>
      </w:r>
      <w:r>
        <w:rPr>
          <w:rFonts w:ascii="Lucida Sans Unicode"/>
          <w:sz w:val="16"/>
          <w:u w:val="none"/>
        </w:rPr>
        <w:t>Ireland</w:t>
      </w:r>
      <w:r>
        <w:rPr>
          <w:rFonts w:ascii="Lucida Sans Unicode"/>
          <w:spacing w:val="60"/>
          <w:sz w:val="16"/>
          <w:u w:val="none"/>
        </w:rPr>
        <w:t> </w:t>
      </w:r>
      <w:r>
        <w:rPr>
          <w:rFonts w:ascii="Lucida Sans Unicode"/>
          <w:sz w:val="16"/>
          <w:u w:val="none"/>
        </w:rPr>
        <w:t>Protocol</w:t>
      </w:r>
      <w:r>
        <w:rPr>
          <w:rFonts w:ascii="Lucida Sans Unicode"/>
          <w:spacing w:val="60"/>
          <w:sz w:val="16"/>
          <w:u w:val="none"/>
        </w:rPr>
        <w:t> </w:t>
      </w:r>
      <w:r>
        <w:rPr>
          <w:rFonts w:ascii="Lucida Sans Unicode"/>
          <w:sz w:val="16"/>
          <w:u w:val="none"/>
        </w:rPr>
        <w:t>(December</w:t>
      </w:r>
      <w:r>
        <w:rPr>
          <w:rFonts w:ascii="Lucida Sans Unicode"/>
          <w:spacing w:val="59"/>
          <w:sz w:val="16"/>
          <w:u w:val="none"/>
        </w:rPr>
        <w:t> </w:t>
      </w:r>
      <w:r>
        <w:rPr>
          <w:rFonts w:ascii="Lucida Sans Unicode"/>
          <w:sz w:val="16"/>
          <w:u w:val="none"/>
        </w:rPr>
        <w:t>2022),</w:t>
      </w:r>
      <w:r>
        <w:rPr>
          <w:rFonts w:ascii="Lucida Sans Unicode"/>
          <w:spacing w:val="60"/>
          <w:sz w:val="16"/>
          <w:u w:val="none"/>
        </w:rPr>
        <w:t> </w:t>
      </w:r>
      <w:r>
        <w:rPr>
          <w:rFonts w:ascii="Lucida Sans Unicode"/>
          <w:sz w:val="16"/>
          <w:u w:val="none"/>
        </w:rPr>
        <w:t>available</w:t>
      </w:r>
      <w:r>
        <w:rPr>
          <w:rFonts w:ascii="Lucida Sans Unicode"/>
          <w:spacing w:val="60"/>
          <w:sz w:val="16"/>
          <w:u w:val="none"/>
        </w:rPr>
        <w:t> </w:t>
      </w:r>
      <w:r>
        <w:rPr>
          <w:rFonts w:ascii="Lucida Sans Unicode"/>
          <w:sz w:val="16"/>
          <w:u w:val="none"/>
        </w:rPr>
        <w:t>here:</w:t>
      </w:r>
      <w:r>
        <w:rPr>
          <w:rFonts w:ascii="Lucida Sans Unicode"/>
          <w:spacing w:val="60"/>
          <w:sz w:val="16"/>
          <w:u w:val="none"/>
        </w:rPr>
        <w:t> </w:t>
      </w:r>
      <w:hyperlink r:id="rId33">
        <w:r>
          <w:rPr>
            <w:color w:val="77328A"/>
            <w:sz w:val="16"/>
            <w:u w:val="single" w:color="77328A"/>
          </w:rPr>
          <w:t>https://nihrc.org/uploads/publications/NIHRC-and-</w:t>
        </w:r>
      </w:hyperlink>
      <w:r>
        <w:rPr>
          <w:color w:val="77328A"/>
          <w:spacing w:val="80"/>
          <w:sz w:val="16"/>
          <w:u w:val="none"/>
        </w:rPr>
        <w:t> </w:t>
      </w:r>
      <w:hyperlink r:id="rId33">
        <w:r>
          <w:rPr>
            <w:rFonts w:ascii="Lucida Sans Unicode"/>
            <w:color w:val="77328A"/>
            <w:spacing w:val="-2"/>
            <w:sz w:val="16"/>
            <w:u w:val="single" w:color="77328A"/>
          </w:rPr>
          <w:t>ECNI-Scope-of-Article-2-Working-Paper_2022-12-06-101316_vcpq.pdf</w:t>
        </w:r>
      </w:hyperlink>
      <w:r>
        <w:rPr>
          <w:spacing w:val="-2"/>
          <w:sz w:val="16"/>
          <w:u w:val="none"/>
        </w:rPr>
        <w:t>.</w:t>
      </w:r>
    </w:p>
    <w:p>
      <w:pPr>
        <w:spacing w:after="0" w:line="194" w:lineRule="auto"/>
        <w:jc w:val="left"/>
        <w:rPr>
          <w:sz w:val="16"/>
        </w:rPr>
        <w:sectPr>
          <w:pgSz w:w="11910" w:h="16840"/>
          <w:pgMar w:header="568" w:footer="580" w:top="840" w:bottom="780" w:left="1020" w:right="1020"/>
        </w:sectPr>
      </w:pPr>
    </w:p>
    <w:p>
      <w:pPr>
        <w:pStyle w:val="BodyText"/>
        <w:spacing w:before="44"/>
        <w:ind w:left="0"/>
        <w:rPr>
          <w:sz w:val="60"/>
        </w:rPr>
      </w:pPr>
    </w:p>
    <w:p>
      <w:pPr>
        <w:pStyle w:val="Heading1"/>
        <w:spacing w:line="685" w:lineRule="exact"/>
      </w:pPr>
      <w:bookmarkStart w:name="Chapter 1:Key concepts and effects of th" w:id="5"/>
      <w:bookmarkEnd w:id="5"/>
      <w:r>
        <w:rPr/>
      </w:r>
      <w:bookmarkStart w:name="1. Introductory remarks" w:id="6"/>
      <w:bookmarkEnd w:id="6"/>
      <w:r>
        <w:rPr/>
      </w:r>
      <w:bookmarkStart w:name="2.  The relationship between the Charter" w:id="7"/>
      <w:bookmarkEnd w:id="7"/>
      <w:r>
        <w:rPr/>
      </w:r>
      <w:bookmarkStart w:name="_bookmark2" w:id="8"/>
      <w:bookmarkEnd w:id="8"/>
      <w:r>
        <w:rPr/>
      </w:r>
      <w:r>
        <w:rPr>
          <w:color w:val="77328A"/>
          <w:spacing w:val="20"/>
        </w:rPr>
        <w:t>Chapter</w:t>
      </w:r>
      <w:r>
        <w:rPr>
          <w:color w:val="77328A"/>
          <w:spacing w:val="58"/>
          <w:w w:val="150"/>
        </w:rPr>
        <w:t> </w:t>
      </w:r>
      <w:r>
        <w:rPr>
          <w:color w:val="77328A"/>
          <w:spacing w:val="-5"/>
        </w:rPr>
        <w:t>1:</w:t>
      </w:r>
    </w:p>
    <w:p>
      <w:pPr>
        <w:spacing w:line="471" w:lineRule="exact" w:before="0"/>
        <w:ind w:left="113" w:right="0" w:firstLine="0"/>
        <w:jc w:val="left"/>
        <w:rPr>
          <w:rFonts w:ascii="Tahoma"/>
          <w:b/>
          <w:sz w:val="40"/>
        </w:rPr>
      </w:pPr>
      <w:r>
        <w:rPr>
          <w:rFonts w:ascii="Tahoma"/>
          <w:b/>
          <w:color w:val="77328A"/>
          <w:sz w:val="40"/>
        </w:rPr>
        <w:t>Key</w:t>
      </w:r>
      <w:r>
        <w:rPr>
          <w:rFonts w:ascii="Tahoma"/>
          <w:b/>
          <w:color w:val="77328A"/>
          <w:spacing w:val="17"/>
          <w:sz w:val="40"/>
        </w:rPr>
        <w:t> </w:t>
      </w:r>
      <w:r>
        <w:rPr>
          <w:rFonts w:ascii="Tahoma"/>
          <w:b/>
          <w:color w:val="77328A"/>
          <w:sz w:val="40"/>
        </w:rPr>
        <w:t>concepts</w:t>
      </w:r>
      <w:r>
        <w:rPr>
          <w:rFonts w:ascii="Tahoma"/>
          <w:b/>
          <w:color w:val="77328A"/>
          <w:spacing w:val="18"/>
          <w:sz w:val="40"/>
        </w:rPr>
        <w:t> </w:t>
      </w:r>
      <w:r>
        <w:rPr>
          <w:rFonts w:ascii="Tahoma"/>
          <w:b/>
          <w:color w:val="77328A"/>
          <w:sz w:val="40"/>
        </w:rPr>
        <w:t>and</w:t>
      </w:r>
      <w:r>
        <w:rPr>
          <w:rFonts w:ascii="Tahoma"/>
          <w:b/>
          <w:color w:val="77328A"/>
          <w:spacing w:val="18"/>
          <w:sz w:val="40"/>
        </w:rPr>
        <w:t> </w:t>
      </w:r>
      <w:r>
        <w:rPr>
          <w:rFonts w:ascii="Tahoma"/>
          <w:b/>
          <w:color w:val="77328A"/>
          <w:sz w:val="40"/>
        </w:rPr>
        <w:t>effects</w:t>
      </w:r>
      <w:r>
        <w:rPr>
          <w:rFonts w:ascii="Tahoma"/>
          <w:b/>
          <w:color w:val="77328A"/>
          <w:spacing w:val="18"/>
          <w:sz w:val="40"/>
        </w:rPr>
        <w:t> </w:t>
      </w:r>
      <w:r>
        <w:rPr>
          <w:rFonts w:ascii="Tahoma"/>
          <w:b/>
          <w:color w:val="77328A"/>
          <w:sz w:val="40"/>
        </w:rPr>
        <w:t>of</w:t>
      </w:r>
      <w:r>
        <w:rPr>
          <w:rFonts w:ascii="Tahoma"/>
          <w:b/>
          <w:color w:val="77328A"/>
          <w:spacing w:val="18"/>
          <w:sz w:val="40"/>
        </w:rPr>
        <w:t> </w:t>
      </w:r>
      <w:r>
        <w:rPr>
          <w:rFonts w:ascii="Tahoma"/>
          <w:b/>
          <w:color w:val="77328A"/>
          <w:sz w:val="40"/>
        </w:rPr>
        <w:t>the</w:t>
      </w:r>
      <w:r>
        <w:rPr>
          <w:rFonts w:ascii="Tahoma"/>
          <w:b/>
          <w:color w:val="77328A"/>
          <w:spacing w:val="18"/>
          <w:sz w:val="40"/>
        </w:rPr>
        <w:t> </w:t>
      </w:r>
      <w:r>
        <w:rPr>
          <w:rFonts w:ascii="Tahoma"/>
          <w:b/>
          <w:color w:val="77328A"/>
          <w:spacing w:val="-2"/>
          <w:sz w:val="40"/>
        </w:rPr>
        <w:t>Charter</w:t>
      </w:r>
    </w:p>
    <w:p>
      <w:pPr>
        <w:spacing w:before="27"/>
        <w:ind w:left="113" w:right="0" w:firstLine="0"/>
        <w:jc w:val="left"/>
        <w:rPr>
          <w:rFonts w:ascii="Tahoma"/>
          <w:b/>
          <w:sz w:val="40"/>
        </w:rPr>
      </w:pPr>
      <w:r>
        <w:rPr>
          <w:rFonts w:ascii="Tahoma"/>
          <w:b/>
          <w:color w:val="77328A"/>
          <w:sz w:val="40"/>
        </w:rPr>
        <w:t>and</w:t>
      </w:r>
      <w:r>
        <w:rPr>
          <w:rFonts w:ascii="Tahoma"/>
          <w:b/>
          <w:color w:val="77328A"/>
          <w:spacing w:val="16"/>
          <w:sz w:val="40"/>
        </w:rPr>
        <w:t> </w:t>
      </w:r>
      <w:r>
        <w:rPr>
          <w:rFonts w:ascii="Tahoma"/>
          <w:b/>
          <w:color w:val="77328A"/>
          <w:sz w:val="40"/>
        </w:rPr>
        <w:t>general</w:t>
      </w:r>
      <w:r>
        <w:rPr>
          <w:rFonts w:ascii="Tahoma"/>
          <w:b/>
          <w:color w:val="77328A"/>
          <w:spacing w:val="16"/>
          <w:sz w:val="40"/>
        </w:rPr>
        <w:t> </w:t>
      </w:r>
      <w:r>
        <w:rPr>
          <w:rFonts w:ascii="Tahoma"/>
          <w:b/>
          <w:color w:val="77328A"/>
          <w:sz w:val="40"/>
        </w:rPr>
        <w:t>principles</w:t>
      </w:r>
      <w:r>
        <w:rPr>
          <w:rFonts w:ascii="Tahoma"/>
          <w:b/>
          <w:color w:val="77328A"/>
          <w:spacing w:val="16"/>
          <w:sz w:val="40"/>
        </w:rPr>
        <w:t> </w:t>
      </w:r>
      <w:r>
        <w:rPr>
          <w:rFonts w:ascii="Tahoma"/>
          <w:b/>
          <w:color w:val="77328A"/>
          <w:sz w:val="40"/>
        </w:rPr>
        <w:t>under</w:t>
      </w:r>
      <w:r>
        <w:rPr>
          <w:rFonts w:ascii="Tahoma"/>
          <w:b/>
          <w:color w:val="77328A"/>
          <w:spacing w:val="16"/>
          <w:sz w:val="40"/>
        </w:rPr>
        <w:t> </w:t>
      </w:r>
      <w:r>
        <w:rPr>
          <w:rFonts w:ascii="Tahoma"/>
          <w:b/>
          <w:color w:val="77328A"/>
          <w:sz w:val="40"/>
        </w:rPr>
        <w:t>EU</w:t>
      </w:r>
      <w:r>
        <w:rPr>
          <w:rFonts w:ascii="Tahoma"/>
          <w:b/>
          <w:color w:val="77328A"/>
          <w:spacing w:val="16"/>
          <w:sz w:val="40"/>
        </w:rPr>
        <w:t> </w:t>
      </w:r>
      <w:r>
        <w:rPr>
          <w:rFonts w:ascii="Tahoma"/>
          <w:b/>
          <w:color w:val="77328A"/>
          <w:spacing w:val="-5"/>
          <w:sz w:val="40"/>
        </w:rPr>
        <w:t>law</w:t>
      </w:r>
    </w:p>
    <w:p>
      <w:pPr>
        <w:pStyle w:val="BodyText"/>
        <w:spacing w:before="121"/>
        <w:ind w:left="0"/>
        <w:rPr>
          <w:rFonts w:ascii="Tahoma"/>
          <w:b/>
          <w:sz w:val="20"/>
        </w:rPr>
      </w:pPr>
    </w:p>
    <w:p>
      <w:pPr>
        <w:spacing w:after="0"/>
        <w:rPr>
          <w:rFonts w:ascii="Tahoma"/>
          <w:sz w:val="20"/>
        </w:rPr>
        <w:sectPr>
          <w:pgSz w:w="11910" w:h="16840"/>
          <w:pgMar w:header="568" w:footer="580" w:top="840" w:bottom="780" w:left="1020" w:right="1020"/>
        </w:sectPr>
      </w:pPr>
    </w:p>
    <w:p>
      <w:pPr>
        <w:pStyle w:val="Heading2"/>
        <w:numPr>
          <w:ilvl w:val="0"/>
          <w:numId w:val="7"/>
        </w:numPr>
        <w:tabs>
          <w:tab w:pos="680" w:val="left" w:leader="none"/>
        </w:tabs>
        <w:spacing w:line="240" w:lineRule="auto" w:before="78" w:after="0"/>
        <w:ind w:left="680" w:right="0" w:hanging="567"/>
        <w:jc w:val="left"/>
        <w:rPr>
          <w:color w:val="77328A"/>
        </w:rPr>
      </w:pPr>
      <w:r>
        <w:rPr>
          <w:color w:val="77328A"/>
        </w:rPr>
        <w:t>Introductory</w:t>
      </w:r>
      <w:r>
        <w:rPr>
          <w:color w:val="77328A"/>
          <w:spacing w:val="-20"/>
        </w:rPr>
        <w:t> </w:t>
      </w:r>
      <w:r>
        <w:rPr>
          <w:color w:val="77328A"/>
          <w:spacing w:val="-2"/>
        </w:rPr>
        <w:t>remarks</w:t>
      </w:r>
    </w:p>
    <w:p>
      <w:pPr>
        <w:pStyle w:val="BodyText"/>
        <w:spacing w:line="320" w:lineRule="exact" w:before="168"/>
        <w:ind w:right="167"/>
      </w:pPr>
      <w:r>
        <w:rPr>
          <w:w w:val="115"/>
        </w:rPr>
        <w:t>The operation of the Charter and general principles of EU law in Northern Ireland after Brexit is a </w:t>
      </w:r>
      <w:r>
        <w:rPr>
          <w:rFonts w:ascii="Lucida Sans Unicode"/>
        </w:rPr>
        <w:t>topic of significant complexity, </w:t>
      </w:r>
      <w:r>
        <w:rPr>
          <w:rFonts w:ascii="Lucida Sans Unicode"/>
        </w:rPr>
        <w:t>which </w:t>
      </w:r>
      <w:r>
        <w:rPr>
          <w:w w:val="115"/>
        </w:rPr>
        <w:t>presupposes an understanding of the history and interaction of these</w:t>
      </w:r>
    </w:p>
    <w:p>
      <w:pPr>
        <w:pStyle w:val="BodyText"/>
        <w:spacing w:line="278" w:lineRule="auto" w:before="29"/>
      </w:pPr>
      <w:r>
        <w:rPr>
          <w:w w:val="115"/>
        </w:rPr>
        <w:t>instruments</w:t>
      </w:r>
      <w:r>
        <w:rPr>
          <w:spacing w:val="-2"/>
          <w:w w:val="115"/>
        </w:rPr>
        <w:t> </w:t>
      </w:r>
      <w:r>
        <w:rPr>
          <w:w w:val="115"/>
        </w:rPr>
        <w:t>of</w:t>
      </w:r>
      <w:r>
        <w:rPr>
          <w:spacing w:val="-2"/>
          <w:w w:val="115"/>
        </w:rPr>
        <w:t> </w:t>
      </w:r>
      <w:r>
        <w:rPr>
          <w:w w:val="115"/>
        </w:rPr>
        <w:t>rights</w:t>
      </w:r>
      <w:r>
        <w:rPr>
          <w:spacing w:val="-2"/>
          <w:w w:val="115"/>
        </w:rPr>
        <w:t> </w:t>
      </w:r>
      <w:r>
        <w:rPr>
          <w:w w:val="115"/>
        </w:rPr>
        <w:t>protection</w:t>
      </w:r>
      <w:r>
        <w:rPr>
          <w:spacing w:val="-2"/>
          <w:w w:val="115"/>
        </w:rPr>
        <w:t> </w:t>
      </w:r>
      <w:r>
        <w:rPr>
          <w:w w:val="115"/>
        </w:rPr>
        <w:t>within EU constitutional law and practice.</w:t>
      </w:r>
    </w:p>
    <w:p>
      <w:pPr>
        <w:pStyle w:val="BodyText"/>
        <w:spacing w:line="237" w:lineRule="auto" w:before="1"/>
        <w:ind w:right="167"/>
      </w:pPr>
      <w:r>
        <w:rPr>
          <w:w w:val="110"/>
        </w:rPr>
        <w:t>As the Northern Ireland Court of </w:t>
      </w:r>
      <w:r>
        <w:rPr>
          <w:rFonts w:ascii="Lucida Sans Unicode" w:hAnsi="Lucida Sans Unicode"/>
        </w:rPr>
        <w:t>Appeal judge Sir Bernard McCloskey </w:t>
      </w:r>
      <w:r>
        <w:rPr>
          <w:w w:val="110"/>
        </w:rPr>
        <w:t>has put it, ‘human rights </w:t>
      </w:r>
      <w:r>
        <w:rPr>
          <w:w w:val="110"/>
        </w:rPr>
        <w:t>development</w:t>
      </w:r>
    </w:p>
    <w:p>
      <w:pPr>
        <w:pStyle w:val="BodyText"/>
        <w:spacing w:line="320" w:lineRule="exact" w:before="15"/>
        <w:ind w:right="138"/>
      </w:pPr>
      <w:r>
        <w:rPr>
          <w:w w:val="110"/>
        </w:rPr>
        <w:t>in EU law has been a product of evolution, not revolution.’</w:t>
      </w:r>
      <w:r>
        <w:rPr>
          <w:w w:val="110"/>
          <w:vertAlign w:val="superscript"/>
        </w:rPr>
        <w:t>6</w:t>
      </w:r>
      <w:r>
        <w:rPr>
          <w:w w:val="110"/>
          <w:vertAlign w:val="baseline"/>
        </w:rPr>
        <w:t> A process of development of EU human rights started</w:t>
      </w:r>
      <w:r>
        <w:rPr>
          <w:spacing w:val="40"/>
          <w:w w:val="110"/>
          <w:vertAlign w:val="baseline"/>
        </w:rPr>
        <w:t> </w:t>
      </w:r>
      <w:r>
        <w:rPr>
          <w:w w:val="110"/>
          <w:vertAlign w:val="baseline"/>
        </w:rPr>
        <w:t>from</w:t>
      </w:r>
      <w:r>
        <w:rPr>
          <w:spacing w:val="40"/>
          <w:w w:val="110"/>
          <w:vertAlign w:val="baseline"/>
        </w:rPr>
        <w:t> </w:t>
      </w:r>
      <w:r>
        <w:rPr>
          <w:w w:val="110"/>
          <w:vertAlign w:val="baseline"/>
        </w:rPr>
        <w:t>the</w:t>
      </w:r>
      <w:r>
        <w:rPr>
          <w:spacing w:val="40"/>
          <w:w w:val="110"/>
          <w:vertAlign w:val="baseline"/>
        </w:rPr>
        <w:t> </w:t>
      </w:r>
      <w:r>
        <w:rPr>
          <w:w w:val="110"/>
          <w:vertAlign w:val="baseline"/>
        </w:rPr>
        <w:t>judicial</w:t>
      </w:r>
      <w:r>
        <w:rPr>
          <w:spacing w:val="40"/>
          <w:w w:val="110"/>
          <w:vertAlign w:val="baseline"/>
        </w:rPr>
        <w:t> </w:t>
      </w:r>
      <w:r>
        <w:rPr>
          <w:w w:val="110"/>
          <w:vertAlign w:val="baseline"/>
        </w:rPr>
        <w:t>recognition</w:t>
      </w:r>
      <w:r>
        <w:rPr>
          <w:spacing w:val="40"/>
          <w:w w:val="110"/>
          <w:vertAlign w:val="baseline"/>
        </w:rPr>
        <w:t> </w:t>
      </w:r>
      <w:r>
        <w:rPr>
          <w:w w:val="110"/>
          <w:vertAlign w:val="baseline"/>
        </w:rPr>
        <w:t>of fundamental rights as general </w:t>
      </w:r>
      <w:r>
        <w:rPr>
          <w:rFonts w:ascii="Lucida Sans Unicode" w:hAnsi="Lucida Sans Unicode"/>
          <w:w w:val="110"/>
          <w:vertAlign w:val="baseline"/>
        </w:rPr>
        <w:t>principles</w:t>
      </w:r>
      <w:r>
        <w:rPr>
          <w:rFonts w:ascii="Lucida Sans Unicode" w:hAnsi="Lucida Sans Unicode"/>
          <w:spacing w:val="-21"/>
          <w:w w:val="110"/>
          <w:vertAlign w:val="baseline"/>
        </w:rPr>
        <w:t> </w:t>
      </w:r>
      <w:r>
        <w:rPr>
          <w:rFonts w:ascii="Lucida Sans Unicode" w:hAnsi="Lucida Sans Unicode"/>
          <w:w w:val="110"/>
          <w:vertAlign w:val="baseline"/>
        </w:rPr>
        <w:t>of</w:t>
      </w:r>
      <w:r>
        <w:rPr>
          <w:rFonts w:ascii="Lucida Sans Unicode" w:hAnsi="Lucida Sans Unicode"/>
          <w:spacing w:val="-21"/>
          <w:w w:val="110"/>
          <w:vertAlign w:val="baseline"/>
        </w:rPr>
        <w:t> </w:t>
      </w:r>
      <w:r>
        <w:rPr>
          <w:rFonts w:ascii="Lucida Sans Unicode" w:hAnsi="Lucida Sans Unicode"/>
          <w:w w:val="110"/>
          <w:vertAlign w:val="baseline"/>
        </w:rPr>
        <w:t>EU</w:t>
      </w:r>
      <w:r>
        <w:rPr>
          <w:rFonts w:ascii="Lucida Sans Unicode" w:hAnsi="Lucida Sans Unicode"/>
          <w:spacing w:val="-21"/>
          <w:w w:val="110"/>
          <w:vertAlign w:val="baseline"/>
        </w:rPr>
        <w:t> </w:t>
      </w:r>
      <w:r>
        <w:rPr>
          <w:rFonts w:ascii="Lucida Sans Unicode" w:hAnsi="Lucida Sans Unicode"/>
          <w:w w:val="110"/>
          <w:vertAlign w:val="baseline"/>
        </w:rPr>
        <w:t>law</w:t>
      </w:r>
      <w:r>
        <w:rPr>
          <w:rFonts w:ascii="Lucida Sans Unicode" w:hAnsi="Lucida Sans Unicode"/>
          <w:spacing w:val="-21"/>
          <w:w w:val="110"/>
          <w:vertAlign w:val="baseline"/>
        </w:rPr>
        <w:t> </w:t>
      </w:r>
      <w:r>
        <w:rPr>
          <w:rFonts w:ascii="Lucida Sans Unicode" w:hAnsi="Lucida Sans Unicode"/>
          <w:w w:val="110"/>
          <w:vertAlign w:val="baseline"/>
        </w:rPr>
        <w:t>more</w:t>
      </w:r>
      <w:r>
        <w:rPr>
          <w:rFonts w:ascii="Lucida Sans Unicode" w:hAnsi="Lucida Sans Unicode"/>
          <w:spacing w:val="-21"/>
          <w:w w:val="110"/>
          <w:vertAlign w:val="baseline"/>
        </w:rPr>
        <w:t> </w:t>
      </w:r>
      <w:r>
        <w:rPr>
          <w:rFonts w:ascii="Lucida Sans Unicode" w:hAnsi="Lucida Sans Unicode"/>
          <w:w w:val="110"/>
          <w:vertAlign w:val="baseline"/>
        </w:rPr>
        <w:t>than</w:t>
      </w:r>
      <w:r>
        <w:rPr>
          <w:rFonts w:ascii="Lucida Sans Unicode" w:hAnsi="Lucida Sans Unicode"/>
          <w:spacing w:val="-21"/>
          <w:w w:val="110"/>
          <w:vertAlign w:val="baseline"/>
        </w:rPr>
        <w:t> </w:t>
      </w:r>
      <w:r>
        <w:rPr>
          <w:rFonts w:ascii="Lucida Sans Unicode" w:hAnsi="Lucida Sans Unicode"/>
          <w:w w:val="110"/>
          <w:vertAlign w:val="baseline"/>
        </w:rPr>
        <w:t>fifty </w:t>
      </w:r>
      <w:r>
        <w:rPr>
          <w:w w:val="110"/>
          <w:vertAlign w:val="baseline"/>
        </w:rPr>
        <w:t>years</w:t>
      </w:r>
      <w:r>
        <w:rPr>
          <w:spacing w:val="-19"/>
          <w:w w:val="110"/>
          <w:vertAlign w:val="baseline"/>
        </w:rPr>
        <w:t> </w:t>
      </w:r>
      <w:r>
        <w:rPr>
          <w:w w:val="110"/>
          <w:vertAlign w:val="baseline"/>
        </w:rPr>
        <w:t>ago</w:t>
      </w:r>
      <w:r>
        <w:rPr>
          <w:spacing w:val="-14"/>
          <w:w w:val="110"/>
          <w:vertAlign w:val="baseline"/>
        </w:rPr>
        <w:t> </w:t>
      </w:r>
      <w:r>
        <w:rPr>
          <w:w w:val="110"/>
          <w:vertAlign w:val="baseline"/>
        </w:rPr>
        <w:t>in</w:t>
      </w:r>
      <w:r>
        <w:rPr>
          <w:spacing w:val="-13"/>
          <w:w w:val="110"/>
          <w:vertAlign w:val="baseline"/>
        </w:rPr>
        <w:t> </w:t>
      </w:r>
      <w:r>
        <w:rPr>
          <w:rFonts w:ascii="Verdana" w:hAnsi="Verdana"/>
          <w:i/>
          <w:w w:val="110"/>
          <w:vertAlign w:val="baseline"/>
        </w:rPr>
        <w:t>Stauder</w:t>
      </w:r>
      <w:r>
        <w:rPr>
          <w:rFonts w:ascii="Verdana" w:hAnsi="Verdana"/>
          <w:i/>
          <w:w w:val="110"/>
          <w:vertAlign w:val="superscript"/>
        </w:rPr>
        <w:t>7</w:t>
      </w:r>
      <w:r>
        <w:rPr>
          <w:rFonts w:ascii="Verdana" w:hAnsi="Verdana"/>
          <w:i/>
          <w:spacing w:val="-24"/>
          <w:w w:val="110"/>
          <w:vertAlign w:val="baseline"/>
        </w:rPr>
        <w:t> </w:t>
      </w:r>
      <w:r>
        <w:rPr>
          <w:w w:val="110"/>
          <w:vertAlign w:val="baseline"/>
        </w:rPr>
        <w:t>and</w:t>
      </w:r>
      <w:r>
        <w:rPr>
          <w:spacing w:val="-12"/>
          <w:w w:val="110"/>
          <w:vertAlign w:val="baseline"/>
        </w:rPr>
        <w:t> </w:t>
      </w:r>
      <w:r>
        <w:rPr>
          <w:w w:val="110"/>
          <w:vertAlign w:val="baseline"/>
        </w:rPr>
        <w:t>culminated </w:t>
      </w:r>
      <w:r>
        <w:rPr>
          <w:rFonts w:ascii="Lucida Sans Unicode" w:hAnsi="Lucida Sans Unicode"/>
          <w:vertAlign w:val="baseline"/>
        </w:rPr>
        <w:t>in the codification of fundamental </w:t>
      </w:r>
      <w:r>
        <w:rPr>
          <w:w w:val="110"/>
          <w:vertAlign w:val="baseline"/>
        </w:rPr>
        <w:t>rights in the binding Charter under Article 6(1) TEU in the Treaty of Lisbon.</w:t>
      </w:r>
      <w:r>
        <w:rPr>
          <w:rFonts w:ascii="Lucida Sans Unicode" w:hAnsi="Lucida Sans Unicode"/>
          <w:w w:val="110"/>
          <w:vertAlign w:val="superscript"/>
        </w:rPr>
        <w:t>8</w:t>
      </w:r>
      <w:r>
        <w:rPr>
          <w:rFonts w:ascii="Lucida Sans Unicode" w:hAnsi="Lucida Sans Unicode"/>
          <w:w w:val="110"/>
          <w:vertAlign w:val="baseline"/>
        </w:rPr>
        <w:t> </w:t>
      </w:r>
      <w:r>
        <w:rPr>
          <w:w w:val="110"/>
          <w:vertAlign w:val="baseline"/>
        </w:rPr>
        <w:t>Today, EU law comprises an expansive human rights </w:t>
      </w:r>
      <w:r>
        <w:rPr>
          <w:w w:val="110"/>
          <w:vertAlign w:val="baseline"/>
        </w:rPr>
        <w:t>jurisprudence with</w:t>
      </w:r>
      <w:r>
        <w:rPr>
          <w:spacing w:val="56"/>
          <w:w w:val="110"/>
          <w:vertAlign w:val="baseline"/>
        </w:rPr>
        <w:t> </w:t>
      </w:r>
      <w:r>
        <w:rPr>
          <w:w w:val="110"/>
          <w:vertAlign w:val="baseline"/>
        </w:rPr>
        <w:t>distinctive</w:t>
      </w:r>
      <w:r>
        <w:rPr>
          <w:spacing w:val="56"/>
          <w:w w:val="110"/>
          <w:vertAlign w:val="baseline"/>
        </w:rPr>
        <w:t> </w:t>
      </w:r>
      <w:r>
        <w:rPr>
          <w:w w:val="110"/>
          <w:vertAlign w:val="baseline"/>
        </w:rPr>
        <w:t>characteristics</w:t>
      </w:r>
      <w:r>
        <w:rPr>
          <w:spacing w:val="56"/>
          <w:w w:val="110"/>
          <w:vertAlign w:val="baseline"/>
        </w:rPr>
        <w:t> </w:t>
      </w:r>
      <w:r>
        <w:rPr>
          <w:w w:val="110"/>
          <w:vertAlign w:val="baseline"/>
        </w:rPr>
        <w:t>both</w:t>
      </w:r>
      <w:r>
        <w:rPr>
          <w:spacing w:val="80"/>
          <w:w w:val="110"/>
          <w:vertAlign w:val="baseline"/>
        </w:rPr>
        <w:t> </w:t>
      </w:r>
      <w:r>
        <w:rPr>
          <w:w w:val="110"/>
          <w:vertAlign w:val="baseline"/>
        </w:rPr>
        <w:t>in terms of its content and in terms</w:t>
      </w:r>
    </w:p>
    <w:p>
      <w:pPr>
        <w:pStyle w:val="BodyText"/>
        <w:spacing w:line="278" w:lineRule="auto" w:before="27"/>
      </w:pPr>
      <w:r>
        <w:rPr>
          <w:w w:val="110"/>
        </w:rPr>
        <w:t>of its enforcement mechanisms. </w:t>
      </w:r>
      <w:r>
        <w:rPr>
          <w:w w:val="110"/>
        </w:rPr>
        <w:t>This </w:t>
      </w:r>
      <w:r>
        <w:rPr>
          <w:w w:val="115"/>
        </w:rPr>
        <w:t>chapter explains the key concepts,</w:t>
      </w:r>
    </w:p>
    <w:p>
      <w:pPr>
        <w:pStyle w:val="BodyText"/>
        <w:spacing w:line="285" w:lineRule="auto" w:before="103"/>
        <w:ind w:right="172"/>
        <w:jc w:val="both"/>
      </w:pPr>
      <w:r>
        <w:rPr/>
        <w:br w:type="column"/>
      </w:r>
      <w:r>
        <w:rPr>
          <w:w w:val="115"/>
        </w:rPr>
        <w:t>effects,</w:t>
      </w:r>
      <w:r>
        <w:rPr>
          <w:spacing w:val="-15"/>
          <w:w w:val="115"/>
        </w:rPr>
        <w:t> </w:t>
      </w:r>
      <w:r>
        <w:rPr>
          <w:w w:val="115"/>
        </w:rPr>
        <w:t>and</w:t>
      </w:r>
      <w:r>
        <w:rPr>
          <w:spacing w:val="-15"/>
          <w:w w:val="115"/>
        </w:rPr>
        <w:t> </w:t>
      </w:r>
      <w:r>
        <w:rPr>
          <w:w w:val="115"/>
        </w:rPr>
        <w:t>methods</w:t>
      </w:r>
      <w:r>
        <w:rPr>
          <w:spacing w:val="-15"/>
          <w:w w:val="115"/>
        </w:rPr>
        <w:t> </w:t>
      </w:r>
      <w:r>
        <w:rPr>
          <w:w w:val="115"/>
        </w:rPr>
        <w:t>of</w:t>
      </w:r>
      <w:r>
        <w:rPr>
          <w:spacing w:val="-15"/>
          <w:w w:val="115"/>
        </w:rPr>
        <w:t> </w:t>
      </w:r>
      <w:r>
        <w:rPr>
          <w:w w:val="115"/>
        </w:rPr>
        <w:t>interpretation that</w:t>
      </w:r>
      <w:r>
        <w:rPr>
          <w:spacing w:val="-20"/>
          <w:w w:val="115"/>
        </w:rPr>
        <w:t> </w:t>
      </w:r>
      <w:r>
        <w:rPr>
          <w:w w:val="115"/>
        </w:rPr>
        <w:t>underpin</w:t>
      </w:r>
      <w:r>
        <w:rPr>
          <w:spacing w:val="-19"/>
          <w:w w:val="115"/>
        </w:rPr>
        <w:t> </w:t>
      </w:r>
      <w:r>
        <w:rPr>
          <w:w w:val="115"/>
        </w:rPr>
        <w:t>the</w:t>
      </w:r>
      <w:r>
        <w:rPr>
          <w:spacing w:val="-19"/>
          <w:w w:val="115"/>
        </w:rPr>
        <w:t> </w:t>
      </w:r>
      <w:r>
        <w:rPr>
          <w:w w:val="115"/>
        </w:rPr>
        <w:t>Charter</w:t>
      </w:r>
      <w:r>
        <w:rPr>
          <w:spacing w:val="-19"/>
          <w:w w:val="115"/>
        </w:rPr>
        <w:t> </w:t>
      </w:r>
      <w:r>
        <w:rPr>
          <w:w w:val="115"/>
        </w:rPr>
        <w:t>and</w:t>
      </w:r>
      <w:r>
        <w:rPr>
          <w:spacing w:val="-19"/>
          <w:w w:val="115"/>
        </w:rPr>
        <w:t> </w:t>
      </w:r>
      <w:r>
        <w:rPr>
          <w:w w:val="115"/>
        </w:rPr>
        <w:t>general principles of EU law. Its purpose is</w:t>
      </w:r>
    </w:p>
    <w:p>
      <w:pPr>
        <w:pStyle w:val="BodyText"/>
        <w:spacing w:line="285" w:lineRule="auto"/>
        <w:ind w:right="178"/>
      </w:pPr>
      <w:r>
        <w:rPr>
          <w:w w:val="115"/>
        </w:rPr>
        <w:t>to acquaint the reader with the main </w:t>
      </w:r>
      <w:r>
        <w:rPr>
          <w:spacing w:val="-2"/>
          <w:w w:val="115"/>
        </w:rPr>
        <w:t>features</w:t>
      </w:r>
      <w:r>
        <w:rPr>
          <w:spacing w:val="-18"/>
          <w:w w:val="115"/>
        </w:rPr>
        <w:t> </w:t>
      </w:r>
      <w:r>
        <w:rPr>
          <w:spacing w:val="-2"/>
          <w:w w:val="115"/>
        </w:rPr>
        <w:t>and</w:t>
      </w:r>
      <w:r>
        <w:rPr>
          <w:spacing w:val="-17"/>
          <w:w w:val="115"/>
        </w:rPr>
        <w:t> </w:t>
      </w:r>
      <w:r>
        <w:rPr>
          <w:spacing w:val="-2"/>
          <w:w w:val="115"/>
        </w:rPr>
        <w:t>interpretative</w:t>
      </w:r>
      <w:r>
        <w:rPr>
          <w:spacing w:val="-17"/>
          <w:w w:val="115"/>
        </w:rPr>
        <w:t> </w:t>
      </w:r>
      <w:r>
        <w:rPr>
          <w:spacing w:val="-2"/>
          <w:w w:val="115"/>
        </w:rPr>
        <w:t>challenges </w:t>
      </w:r>
      <w:r>
        <w:rPr>
          <w:w w:val="115"/>
        </w:rPr>
        <w:t>posed by the Charter and general principles of EU law, so that the changes effected to their status by Brexit (explained in the subsequent chapters) can be fully appreciated.</w:t>
      </w:r>
    </w:p>
    <w:p>
      <w:pPr>
        <w:pStyle w:val="BodyText"/>
        <w:spacing w:before="12"/>
        <w:ind w:left="0"/>
      </w:pPr>
    </w:p>
    <w:p>
      <w:pPr>
        <w:pStyle w:val="Heading3"/>
        <w:numPr>
          <w:ilvl w:val="0"/>
          <w:numId w:val="7"/>
        </w:numPr>
        <w:tabs>
          <w:tab w:pos="680" w:val="left" w:leader="none"/>
        </w:tabs>
        <w:spacing w:line="264" w:lineRule="auto" w:before="0" w:after="0"/>
        <w:ind w:left="680" w:right="272" w:hanging="567"/>
        <w:jc w:val="left"/>
        <w:rPr>
          <w:color w:val="77328A"/>
        </w:rPr>
      </w:pPr>
      <w:r>
        <w:rPr>
          <w:color w:val="77328A"/>
        </w:rPr>
        <w:t>The</w:t>
      </w:r>
      <w:r>
        <w:rPr>
          <w:color w:val="77328A"/>
          <w:spacing w:val="-1"/>
        </w:rPr>
        <w:t> </w:t>
      </w:r>
      <w:r>
        <w:rPr>
          <w:color w:val="77328A"/>
        </w:rPr>
        <w:t>relationship</w:t>
      </w:r>
      <w:r>
        <w:rPr>
          <w:color w:val="77328A"/>
          <w:spacing w:val="-1"/>
        </w:rPr>
        <w:t> </w:t>
      </w:r>
      <w:r>
        <w:rPr>
          <w:color w:val="77328A"/>
        </w:rPr>
        <w:t>between the Charter and general principles of EU Law</w:t>
      </w:r>
    </w:p>
    <w:p>
      <w:pPr>
        <w:pStyle w:val="BodyText"/>
        <w:spacing w:line="285" w:lineRule="auto" w:before="173"/>
        <w:ind w:right="634"/>
      </w:pPr>
      <w:r>
        <w:rPr>
          <w:w w:val="115"/>
        </w:rPr>
        <w:t>The general principles of EU law are</w:t>
      </w:r>
      <w:r>
        <w:rPr>
          <w:spacing w:val="-19"/>
          <w:w w:val="115"/>
        </w:rPr>
        <w:t> </w:t>
      </w:r>
      <w:r>
        <w:rPr>
          <w:w w:val="115"/>
        </w:rPr>
        <w:t>an</w:t>
      </w:r>
      <w:r>
        <w:rPr>
          <w:spacing w:val="-19"/>
          <w:w w:val="115"/>
        </w:rPr>
        <w:t> </w:t>
      </w:r>
      <w:r>
        <w:rPr>
          <w:w w:val="115"/>
        </w:rPr>
        <w:t>unwritten</w:t>
      </w:r>
      <w:r>
        <w:rPr>
          <w:spacing w:val="-19"/>
          <w:w w:val="115"/>
        </w:rPr>
        <w:t> </w:t>
      </w:r>
      <w:r>
        <w:rPr>
          <w:w w:val="115"/>
        </w:rPr>
        <w:t>source</w:t>
      </w:r>
      <w:r>
        <w:rPr>
          <w:spacing w:val="-19"/>
          <w:w w:val="115"/>
        </w:rPr>
        <w:t> </w:t>
      </w:r>
      <w:r>
        <w:rPr>
          <w:w w:val="115"/>
        </w:rPr>
        <w:t>of</w:t>
      </w:r>
      <w:r>
        <w:rPr>
          <w:spacing w:val="-19"/>
          <w:w w:val="115"/>
        </w:rPr>
        <w:t> </w:t>
      </w:r>
      <w:r>
        <w:rPr>
          <w:w w:val="115"/>
        </w:rPr>
        <w:t>EU</w:t>
      </w:r>
      <w:r>
        <w:rPr>
          <w:spacing w:val="-19"/>
          <w:w w:val="115"/>
        </w:rPr>
        <w:t> </w:t>
      </w:r>
      <w:r>
        <w:rPr>
          <w:w w:val="115"/>
        </w:rPr>
        <w:t>law uncovered and developed in the case</w:t>
      </w:r>
      <w:r>
        <w:rPr>
          <w:spacing w:val="-20"/>
          <w:w w:val="115"/>
        </w:rPr>
        <w:t> </w:t>
      </w:r>
      <w:r>
        <w:rPr>
          <w:w w:val="115"/>
        </w:rPr>
        <w:t>law</w:t>
      </w:r>
      <w:r>
        <w:rPr>
          <w:spacing w:val="-19"/>
          <w:w w:val="115"/>
        </w:rPr>
        <w:t> </w:t>
      </w:r>
      <w:r>
        <w:rPr>
          <w:w w:val="115"/>
        </w:rPr>
        <w:t>of</w:t>
      </w:r>
      <w:r>
        <w:rPr>
          <w:spacing w:val="-19"/>
          <w:w w:val="115"/>
        </w:rPr>
        <w:t> </w:t>
      </w:r>
      <w:r>
        <w:rPr>
          <w:w w:val="115"/>
        </w:rPr>
        <w:t>the</w:t>
      </w:r>
      <w:r>
        <w:rPr>
          <w:spacing w:val="-19"/>
          <w:w w:val="115"/>
        </w:rPr>
        <w:t> </w:t>
      </w:r>
      <w:r>
        <w:rPr>
          <w:w w:val="115"/>
        </w:rPr>
        <w:t>European</w:t>
      </w:r>
      <w:r>
        <w:rPr>
          <w:spacing w:val="-19"/>
          <w:w w:val="115"/>
        </w:rPr>
        <w:t> </w:t>
      </w:r>
      <w:r>
        <w:rPr>
          <w:w w:val="115"/>
        </w:rPr>
        <w:t>Court</w:t>
      </w:r>
      <w:r>
        <w:rPr>
          <w:spacing w:val="-20"/>
          <w:w w:val="115"/>
        </w:rPr>
        <w:t> </w:t>
      </w:r>
      <w:r>
        <w:rPr>
          <w:w w:val="115"/>
        </w:rPr>
        <w:t>of</w:t>
      </w:r>
    </w:p>
    <w:p>
      <w:pPr>
        <w:pStyle w:val="BodyText"/>
        <w:spacing w:line="285" w:lineRule="auto"/>
        <w:ind w:right="170"/>
      </w:pPr>
      <w:r>
        <w:rPr>
          <w:spacing w:val="-2"/>
          <w:w w:val="115"/>
        </w:rPr>
        <w:t>Justice</w:t>
      </w:r>
      <w:r>
        <w:rPr>
          <w:spacing w:val="-18"/>
          <w:w w:val="115"/>
        </w:rPr>
        <w:t> </w:t>
      </w:r>
      <w:r>
        <w:rPr>
          <w:spacing w:val="-2"/>
          <w:w w:val="115"/>
        </w:rPr>
        <w:t>(‘CJEU’).</w:t>
      </w:r>
      <w:r>
        <w:rPr>
          <w:spacing w:val="-17"/>
          <w:w w:val="115"/>
        </w:rPr>
        <w:t> </w:t>
      </w:r>
      <w:r>
        <w:rPr>
          <w:spacing w:val="-2"/>
          <w:w w:val="115"/>
        </w:rPr>
        <w:t>They</w:t>
      </w:r>
      <w:r>
        <w:rPr>
          <w:spacing w:val="-17"/>
          <w:w w:val="115"/>
        </w:rPr>
        <w:t> </w:t>
      </w:r>
      <w:r>
        <w:rPr>
          <w:spacing w:val="-2"/>
          <w:w w:val="115"/>
        </w:rPr>
        <w:t>form</w:t>
      </w:r>
      <w:r>
        <w:rPr>
          <w:spacing w:val="-17"/>
          <w:w w:val="115"/>
        </w:rPr>
        <w:t> </w:t>
      </w:r>
      <w:r>
        <w:rPr>
          <w:spacing w:val="-2"/>
          <w:w w:val="115"/>
        </w:rPr>
        <w:t>part</w:t>
      </w:r>
      <w:r>
        <w:rPr>
          <w:spacing w:val="-17"/>
          <w:w w:val="115"/>
        </w:rPr>
        <w:t> </w:t>
      </w:r>
      <w:r>
        <w:rPr>
          <w:spacing w:val="-2"/>
          <w:w w:val="115"/>
        </w:rPr>
        <w:t>of</w:t>
      </w:r>
      <w:r>
        <w:rPr>
          <w:spacing w:val="-18"/>
          <w:w w:val="115"/>
        </w:rPr>
        <w:t> </w:t>
      </w:r>
      <w:r>
        <w:rPr>
          <w:spacing w:val="-2"/>
          <w:w w:val="115"/>
        </w:rPr>
        <w:t>EU </w:t>
      </w:r>
      <w:r>
        <w:rPr>
          <w:w w:val="115"/>
        </w:rPr>
        <w:t>primary</w:t>
      </w:r>
      <w:r>
        <w:rPr>
          <w:spacing w:val="-20"/>
          <w:w w:val="115"/>
        </w:rPr>
        <w:t> </w:t>
      </w:r>
      <w:r>
        <w:rPr>
          <w:w w:val="115"/>
        </w:rPr>
        <w:t>law,</w:t>
      </w:r>
      <w:r>
        <w:rPr>
          <w:spacing w:val="-19"/>
          <w:w w:val="115"/>
        </w:rPr>
        <w:t> </w:t>
      </w:r>
      <w:r>
        <w:rPr>
          <w:w w:val="115"/>
        </w:rPr>
        <w:t>and</w:t>
      </w:r>
      <w:r>
        <w:rPr>
          <w:spacing w:val="-19"/>
          <w:w w:val="115"/>
        </w:rPr>
        <w:t> </w:t>
      </w:r>
      <w:r>
        <w:rPr>
          <w:w w:val="115"/>
        </w:rPr>
        <w:t>have</w:t>
      </w:r>
      <w:r>
        <w:rPr>
          <w:spacing w:val="-19"/>
          <w:w w:val="115"/>
        </w:rPr>
        <w:t> </w:t>
      </w:r>
      <w:r>
        <w:rPr>
          <w:w w:val="115"/>
        </w:rPr>
        <w:t>a</w:t>
      </w:r>
      <w:r>
        <w:rPr>
          <w:spacing w:val="-19"/>
          <w:w w:val="115"/>
        </w:rPr>
        <w:t> </w:t>
      </w:r>
      <w:r>
        <w:rPr>
          <w:w w:val="115"/>
        </w:rPr>
        <w:t>constitutional status.</w:t>
      </w:r>
      <w:r>
        <w:rPr>
          <w:w w:val="115"/>
          <w:vertAlign w:val="superscript"/>
        </w:rPr>
        <w:t>9</w:t>
      </w:r>
      <w:r>
        <w:rPr>
          <w:spacing w:val="-7"/>
          <w:w w:val="115"/>
          <w:vertAlign w:val="baseline"/>
        </w:rPr>
        <w:t> </w:t>
      </w:r>
      <w:r>
        <w:rPr>
          <w:w w:val="115"/>
          <w:vertAlign w:val="baseline"/>
        </w:rPr>
        <w:t>The</w:t>
      </w:r>
      <w:r>
        <w:rPr>
          <w:spacing w:val="-7"/>
          <w:w w:val="115"/>
          <w:vertAlign w:val="baseline"/>
        </w:rPr>
        <w:t> </w:t>
      </w:r>
      <w:r>
        <w:rPr>
          <w:w w:val="115"/>
          <w:vertAlign w:val="baseline"/>
        </w:rPr>
        <w:t>general</w:t>
      </w:r>
      <w:r>
        <w:rPr>
          <w:spacing w:val="-7"/>
          <w:w w:val="115"/>
          <w:vertAlign w:val="baseline"/>
        </w:rPr>
        <w:t> </w:t>
      </w:r>
      <w:r>
        <w:rPr>
          <w:w w:val="115"/>
          <w:vertAlign w:val="baseline"/>
        </w:rPr>
        <w:t>principles</w:t>
      </w:r>
      <w:r>
        <w:rPr>
          <w:spacing w:val="-7"/>
          <w:w w:val="115"/>
          <w:vertAlign w:val="baseline"/>
        </w:rPr>
        <w:t> </w:t>
      </w:r>
      <w:r>
        <w:rPr>
          <w:w w:val="115"/>
          <w:vertAlign w:val="baseline"/>
        </w:rPr>
        <w:t>of</w:t>
      </w:r>
      <w:r>
        <w:rPr>
          <w:spacing w:val="-7"/>
          <w:w w:val="115"/>
          <w:vertAlign w:val="baseline"/>
        </w:rPr>
        <w:t> </w:t>
      </w:r>
      <w:r>
        <w:rPr>
          <w:w w:val="115"/>
          <w:vertAlign w:val="baseline"/>
        </w:rPr>
        <w:t>EU law have a range of functions both</w:t>
      </w:r>
    </w:p>
    <w:p>
      <w:pPr>
        <w:pStyle w:val="BodyText"/>
        <w:spacing w:line="244" w:lineRule="auto"/>
        <w:ind w:right="510"/>
        <w:jc w:val="both"/>
      </w:pPr>
      <w:r>
        <w:rPr>
          <w:w w:val="110"/>
        </w:rPr>
        <w:t>in interpreting and in enforcing EU law,</w:t>
      </w:r>
      <w:r>
        <w:rPr>
          <w:spacing w:val="-8"/>
          <w:w w:val="110"/>
        </w:rPr>
        <w:t> </w:t>
      </w:r>
      <w:r>
        <w:rPr>
          <w:w w:val="110"/>
        </w:rPr>
        <w:t>including</w:t>
      </w:r>
      <w:r>
        <w:rPr>
          <w:spacing w:val="-8"/>
          <w:w w:val="110"/>
        </w:rPr>
        <w:t> </w:t>
      </w:r>
      <w:r>
        <w:rPr>
          <w:w w:val="110"/>
        </w:rPr>
        <w:t>the</w:t>
      </w:r>
      <w:r>
        <w:rPr>
          <w:spacing w:val="-8"/>
          <w:w w:val="110"/>
        </w:rPr>
        <w:t> </w:t>
      </w:r>
      <w:r>
        <w:rPr>
          <w:w w:val="110"/>
        </w:rPr>
        <w:t>following:</w:t>
      </w:r>
      <w:r>
        <w:rPr>
          <w:rFonts w:ascii="Lucida Sans Unicode"/>
          <w:w w:val="110"/>
          <w:vertAlign w:val="superscript"/>
        </w:rPr>
        <w:t>10</w:t>
      </w:r>
      <w:r>
        <w:rPr>
          <w:rFonts w:ascii="Lucida Sans Unicode"/>
          <w:spacing w:val="-18"/>
          <w:w w:val="110"/>
          <w:vertAlign w:val="baseline"/>
        </w:rPr>
        <w:t> </w:t>
      </w:r>
      <w:r>
        <w:rPr>
          <w:w w:val="110"/>
          <w:vertAlign w:val="baseline"/>
        </w:rPr>
        <w:t>all</w:t>
      </w:r>
      <w:r>
        <w:rPr>
          <w:spacing w:val="-8"/>
          <w:w w:val="110"/>
          <w:vertAlign w:val="baseline"/>
        </w:rPr>
        <w:t> </w:t>
      </w:r>
      <w:r>
        <w:rPr>
          <w:w w:val="110"/>
          <w:vertAlign w:val="baseline"/>
        </w:rPr>
        <w:t>EU secondary law must comply with</w:t>
      </w:r>
    </w:p>
    <w:p>
      <w:pPr>
        <w:pStyle w:val="BodyText"/>
        <w:spacing w:line="285" w:lineRule="auto" w:before="39"/>
        <w:ind w:right="821"/>
        <w:jc w:val="both"/>
      </w:pPr>
      <w:r>
        <w:rPr>
          <w:w w:val="110"/>
        </w:rPr>
        <w:t>and be interpreted in light of </w:t>
      </w:r>
      <w:r>
        <w:rPr>
          <w:w w:val="110"/>
        </w:rPr>
        <w:t>the general principles of EU law.</w:t>
      </w:r>
    </w:p>
    <w:p>
      <w:pPr>
        <w:spacing w:after="0" w:line="285" w:lineRule="auto"/>
        <w:jc w:val="both"/>
        <w:sectPr>
          <w:type w:val="continuous"/>
          <w:pgSz w:w="11910" w:h="16840"/>
          <w:pgMar w:header="568" w:footer="580" w:top="0" w:bottom="280" w:left="1020" w:right="1020"/>
          <w:cols w:num="2" w:equalWidth="0">
            <w:col w:w="4741" w:space="304"/>
            <w:col w:w="4825"/>
          </w:cols>
        </w:sectPr>
      </w:pPr>
    </w:p>
    <w:p>
      <w:pPr>
        <w:pStyle w:val="BodyText"/>
        <w:spacing w:before="1"/>
        <w:ind w:left="0"/>
        <w:rPr>
          <w:sz w:val="12"/>
        </w:rPr>
      </w:pPr>
    </w:p>
    <w:p>
      <w:pPr>
        <w:pStyle w:val="BodyText"/>
        <w:spacing w:line="20" w:lineRule="exact"/>
        <w:rPr>
          <w:sz w:val="2"/>
        </w:rPr>
      </w:pPr>
      <w:r>
        <w:rPr>
          <w:sz w:val="2"/>
        </w:rPr>
        <mc:AlternateContent>
          <mc:Choice Requires="wps">
            <w:drawing>
              <wp:inline distT="0" distB="0" distL="0" distR="0">
                <wp:extent cx="6120130" cy="6350"/>
                <wp:effectExtent l="9525" t="0" r="0" b="3175"/>
                <wp:docPr id="53" name="Group 53"/>
                <wp:cNvGraphicFramePr>
                  <a:graphicFrameLocks/>
                </wp:cNvGraphicFramePr>
                <a:graphic>
                  <a:graphicData uri="http://schemas.microsoft.com/office/word/2010/wordprocessingGroup">
                    <wpg:wgp>
                      <wpg:cNvPr id="53" name="Group 53"/>
                      <wpg:cNvGrpSpPr/>
                      <wpg:grpSpPr>
                        <a:xfrm>
                          <a:off x="0" y="0"/>
                          <a:ext cx="6120130" cy="6350"/>
                          <a:chExt cx="6120130" cy="6350"/>
                        </a:xfrm>
                      </wpg:grpSpPr>
                      <wps:wsp>
                        <wps:cNvPr id="54" name="Graphic 54"/>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45"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7" w:val="left" w:leader="none"/>
        </w:tabs>
        <w:spacing w:line="194" w:lineRule="auto" w:before="94" w:after="0"/>
        <w:ind w:left="567" w:right="139" w:hanging="454"/>
        <w:jc w:val="left"/>
        <w:rPr>
          <w:sz w:val="16"/>
        </w:rPr>
      </w:pPr>
      <w:r>
        <w:rPr>
          <w:sz w:val="16"/>
        </w:rPr>
        <w:t>Sir Bernard McCloskey, ‘The Charter of Fundamental Rights’, in: Christopher McCrudden (ed.), </w:t>
      </w:r>
      <w:r>
        <w:rPr>
          <w:rFonts w:ascii="Verdana" w:hAnsi="Verdana"/>
          <w:i/>
          <w:sz w:val="16"/>
        </w:rPr>
        <w:t>The Law and Practice</w:t>
      </w:r>
      <w:r>
        <w:rPr>
          <w:rFonts w:ascii="Verdana" w:hAnsi="Verdana"/>
          <w:i/>
          <w:sz w:val="16"/>
        </w:rPr>
        <w:t> of</w:t>
      </w:r>
      <w:r>
        <w:rPr>
          <w:rFonts w:ascii="Verdana" w:hAnsi="Verdana"/>
          <w:i/>
          <w:spacing w:val="-5"/>
          <w:sz w:val="16"/>
        </w:rPr>
        <w:t> </w:t>
      </w:r>
      <w:r>
        <w:rPr>
          <w:rFonts w:ascii="Verdana" w:hAnsi="Verdana"/>
          <w:i/>
          <w:sz w:val="16"/>
        </w:rPr>
        <w:t>the</w:t>
      </w:r>
      <w:r>
        <w:rPr>
          <w:rFonts w:ascii="Verdana" w:hAnsi="Verdana"/>
          <w:i/>
          <w:spacing w:val="-5"/>
          <w:sz w:val="16"/>
        </w:rPr>
        <w:t> </w:t>
      </w:r>
      <w:r>
        <w:rPr>
          <w:rFonts w:ascii="Verdana" w:hAnsi="Verdana"/>
          <w:i/>
          <w:sz w:val="16"/>
        </w:rPr>
        <w:t>lreland-Northern</w:t>
      </w:r>
      <w:r>
        <w:rPr>
          <w:rFonts w:ascii="Verdana" w:hAnsi="Verdana"/>
          <w:i/>
          <w:spacing w:val="-5"/>
          <w:sz w:val="16"/>
        </w:rPr>
        <w:t> </w:t>
      </w:r>
      <w:r>
        <w:rPr>
          <w:rFonts w:ascii="Verdana" w:hAnsi="Verdana"/>
          <w:i/>
          <w:sz w:val="16"/>
        </w:rPr>
        <w:t>Ireland</w:t>
      </w:r>
      <w:r>
        <w:rPr>
          <w:rFonts w:ascii="Verdana" w:hAnsi="Verdana"/>
          <w:i/>
          <w:spacing w:val="-5"/>
          <w:sz w:val="16"/>
        </w:rPr>
        <w:t> </w:t>
      </w:r>
      <w:r>
        <w:rPr>
          <w:rFonts w:ascii="Verdana" w:hAnsi="Verdana"/>
          <w:i/>
          <w:sz w:val="16"/>
        </w:rPr>
        <w:t>Protocol</w:t>
      </w:r>
      <w:r>
        <w:rPr>
          <w:sz w:val="16"/>
        </w:rPr>
        <w:t>, CUP 2022, 159, 159.</w:t>
      </w:r>
    </w:p>
    <w:p>
      <w:pPr>
        <w:pStyle w:val="ListParagraph"/>
        <w:numPr>
          <w:ilvl w:val="0"/>
          <w:numId w:val="6"/>
        </w:numPr>
        <w:tabs>
          <w:tab w:pos="567" w:val="left" w:leader="none"/>
        </w:tabs>
        <w:spacing w:line="191" w:lineRule="exact" w:before="0" w:after="0"/>
        <w:ind w:left="567" w:right="0" w:hanging="454"/>
        <w:jc w:val="left"/>
        <w:rPr>
          <w:sz w:val="16"/>
        </w:rPr>
      </w:pPr>
      <w:r>
        <w:rPr>
          <w:sz w:val="16"/>
        </w:rPr>
        <w:t>Case</w:t>
      </w:r>
      <w:r>
        <w:rPr>
          <w:spacing w:val="-6"/>
          <w:sz w:val="16"/>
        </w:rPr>
        <w:t> </w:t>
      </w:r>
      <w:r>
        <w:rPr>
          <w:sz w:val="16"/>
        </w:rPr>
        <w:t>29/69,</w:t>
      </w:r>
      <w:r>
        <w:rPr>
          <w:spacing w:val="-5"/>
          <w:sz w:val="16"/>
        </w:rPr>
        <w:t> </w:t>
      </w:r>
      <w:r>
        <w:rPr>
          <w:rFonts w:ascii="Verdana"/>
          <w:i/>
          <w:sz w:val="16"/>
        </w:rPr>
        <w:t>Stauder</w:t>
      </w:r>
      <w:r>
        <w:rPr>
          <w:rFonts w:ascii="Verdana"/>
          <w:i/>
          <w:spacing w:val="-11"/>
          <w:sz w:val="16"/>
        </w:rPr>
        <w:t> </w:t>
      </w:r>
      <w:r>
        <w:rPr>
          <w:rFonts w:ascii="Verdana"/>
          <w:i/>
          <w:sz w:val="16"/>
        </w:rPr>
        <w:t>v</w:t>
      </w:r>
      <w:r>
        <w:rPr>
          <w:rFonts w:ascii="Verdana"/>
          <w:i/>
          <w:spacing w:val="-11"/>
          <w:sz w:val="16"/>
        </w:rPr>
        <w:t> </w:t>
      </w:r>
      <w:r>
        <w:rPr>
          <w:rFonts w:ascii="Verdana"/>
          <w:i/>
          <w:sz w:val="16"/>
        </w:rPr>
        <w:t>City</w:t>
      </w:r>
      <w:r>
        <w:rPr>
          <w:rFonts w:ascii="Verdana"/>
          <w:i/>
          <w:spacing w:val="-12"/>
          <w:sz w:val="16"/>
        </w:rPr>
        <w:t> </w:t>
      </w:r>
      <w:r>
        <w:rPr>
          <w:rFonts w:ascii="Verdana"/>
          <w:i/>
          <w:sz w:val="16"/>
        </w:rPr>
        <w:t>of</w:t>
      </w:r>
      <w:r>
        <w:rPr>
          <w:rFonts w:ascii="Verdana"/>
          <w:i/>
          <w:spacing w:val="-11"/>
          <w:sz w:val="16"/>
        </w:rPr>
        <w:t> </w:t>
      </w:r>
      <w:r>
        <w:rPr>
          <w:rFonts w:ascii="Verdana"/>
          <w:i/>
          <w:sz w:val="16"/>
        </w:rPr>
        <w:t>Ulm</w:t>
      </w:r>
      <w:r>
        <w:rPr>
          <w:rFonts w:ascii="Arial"/>
          <w:sz w:val="16"/>
        </w:rPr>
        <w:t>,</w:t>
      </w:r>
      <w:r>
        <w:rPr>
          <w:rFonts w:ascii="Arial"/>
          <w:spacing w:val="1"/>
          <w:sz w:val="16"/>
        </w:rPr>
        <w:t> </w:t>
      </w:r>
      <w:r>
        <w:rPr>
          <w:rFonts w:ascii="Arial"/>
          <w:sz w:val="16"/>
        </w:rPr>
        <w:t>EU:C:1969:57,</w:t>
      </w:r>
      <w:r>
        <w:rPr>
          <w:rFonts w:ascii="Arial"/>
          <w:spacing w:val="1"/>
          <w:sz w:val="16"/>
        </w:rPr>
        <w:t> </w:t>
      </w:r>
      <w:r>
        <w:rPr>
          <w:rFonts w:ascii="Arial"/>
          <w:sz w:val="16"/>
        </w:rPr>
        <w:t>para </w:t>
      </w:r>
      <w:r>
        <w:rPr>
          <w:rFonts w:ascii="Arial"/>
          <w:spacing w:val="-5"/>
          <w:sz w:val="16"/>
        </w:rPr>
        <w:t>7.</w:t>
      </w:r>
    </w:p>
    <w:p>
      <w:pPr>
        <w:pStyle w:val="ListParagraph"/>
        <w:numPr>
          <w:ilvl w:val="0"/>
          <w:numId w:val="6"/>
        </w:numPr>
        <w:tabs>
          <w:tab w:pos="567" w:val="left" w:leader="none"/>
        </w:tabs>
        <w:spacing w:line="200" w:lineRule="exact" w:before="0" w:after="0"/>
        <w:ind w:left="567" w:right="0" w:hanging="454"/>
        <w:jc w:val="left"/>
        <w:rPr>
          <w:sz w:val="16"/>
        </w:rPr>
      </w:pPr>
      <w:r>
        <w:rPr>
          <w:sz w:val="16"/>
        </w:rPr>
        <w:t>McCloskey</w:t>
      </w:r>
      <w:r>
        <w:rPr>
          <w:spacing w:val="-12"/>
          <w:sz w:val="16"/>
        </w:rPr>
        <w:t> </w:t>
      </w:r>
      <w:r>
        <w:rPr>
          <w:sz w:val="16"/>
        </w:rPr>
        <w:t>(n</w:t>
      </w:r>
      <w:r>
        <w:rPr>
          <w:spacing w:val="-11"/>
          <w:sz w:val="16"/>
        </w:rPr>
        <w:t> </w:t>
      </w:r>
      <w:r>
        <w:rPr>
          <w:sz w:val="16"/>
        </w:rPr>
        <w:t>6)</w:t>
      </w:r>
      <w:r>
        <w:rPr>
          <w:spacing w:val="-11"/>
          <w:sz w:val="16"/>
        </w:rPr>
        <w:t> </w:t>
      </w:r>
      <w:r>
        <w:rPr>
          <w:sz w:val="16"/>
        </w:rPr>
        <w:t>159-</w:t>
      </w:r>
      <w:r>
        <w:rPr>
          <w:spacing w:val="-4"/>
          <w:sz w:val="16"/>
        </w:rPr>
        <w:t>160.</w:t>
      </w:r>
    </w:p>
    <w:p>
      <w:pPr>
        <w:pStyle w:val="ListParagraph"/>
        <w:numPr>
          <w:ilvl w:val="0"/>
          <w:numId w:val="6"/>
        </w:numPr>
        <w:tabs>
          <w:tab w:pos="567" w:val="left" w:leader="none"/>
        </w:tabs>
        <w:spacing w:line="201" w:lineRule="auto" w:before="5" w:after="0"/>
        <w:ind w:left="567" w:right="280" w:hanging="454"/>
        <w:jc w:val="left"/>
        <w:rPr>
          <w:sz w:val="16"/>
        </w:rPr>
      </w:pPr>
      <w:r>
        <w:rPr>
          <w:sz w:val="16"/>
        </w:rPr>
        <w:t>Case C-101/08, </w:t>
      </w:r>
      <w:r>
        <w:rPr>
          <w:rFonts w:ascii="Verdana" w:hAnsi="Verdana"/>
          <w:i/>
          <w:sz w:val="16"/>
        </w:rPr>
        <w:t>Audiolux</w:t>
      </w:r>
      <w:r>
        <w:rPr>
          <w:sz w:val="16"/>
        </w:rPr>
        <w:t>, EU:C:2009:626, para 63. As Neuvonen and Ziegler highlight, there is some uncertainty </w:t>
      </w:r>
      <w:r>
        <w:rPr>
          <w:w w:val="105"/>
          <w:sz w:val="16"/>
        </w:rPr>
        <w:t>as</w:t>
      </w:r>
      <w:r>
        <w:rPr>
          <w:spacing w:val="-11"/>
          <w:w w:val="105"/>
          <w:sz w:val="16"/>
        </w:rPr>
        <w:t> </w:t>
      </w:r>
      <w:r>
        <w:rPr>
          <w:w w:val="105"/>
          <w:sz w:val="16"/>
        </w:rPr>
        <w:t>to</w:t>
      </w:r>
      <w:r>
        <w:rPr>
          <w:spacing w:val="-8"/>
          <w:w w:val="105"/>
          <w:sz w:val="16"/>
        </w:rPr>
        <w:t> </w:t>
      </w:r>
      <w:r>
        <w:rPr>
          <w:w w:val="105"/>
          <w:sz w:val="16"/>
        </w:rPr>
        <w:t>whether</w:t>
      </w:r>
      <w:r>
        <w:rPr>
          <w:spacing w:val="-8"/>
          <w:w w:val="105"/>
          <w:sz w:val="16"/>
        </w:rPr>
        <w:t> </w:t>
      </w:r>
      <w:r>
        <w:rPr>
          <w:w w:val="105"/>
          <w:sz w:val="16"/>
        </w:rPr>
        <w:t>all</w:t>
      </w:r>
      <w:r>
        <w:rPr>
          <w:spacing w:val="-8"/>
          <w:w w:val="105"/>
          <w:sz w:val="16"/>
        </w:rPr>
        <w:t> </w:t>
      </w:r>
      <w:r>
        <w:rPr>
          <w:w w:val="105"/>
          <w:sz w:val="16"/>
        </w:rPr>
        <w:t>general</w:t>
      </w:r>
      <w:r>
        <w:rPr>
          <w:spacing w:val="-8"/>
          <w:w w:val="105"/>
          <w:sz w:val="16"/>
        </w:rPr>
        <w:t> </w:t>
      </w:r>
      <w:r>
        <w:rPr>
          <w:w w:val="105"/>
          <w:sz w:val="16"/>
        </w:rPr>
        <w:t>principles</w:t>
      </w:r>
      <w:r>
        <w:rPr>
          <w:spacing w:val="-8"/>
          <w:w w:val="105"/>
          <w:sz w:val="16"/>
        </w:rPr>
        <w:t> </w:t>
      </w:r>
      <w:r>
        <w:rPr>
          <w:w w:val="105"/>
          <w:sz w:val="16"/>
        </w:rPr>
        <w:t>have</w:t>
      </w:r>
      <w:r>
        <w:rPr>
          <w:spacing w:val="-8"/>
          <w:w w:val="105"/>
          <w:sz w:val="16"/>
        </w:rPr>
        <w:t> </w:t>
      </w:r>
      <w:r>
        <w:rPr>
          <w:w w:val="105"/>
          <w:sz w:val="16"/>
        </w:rPr>
        <w:t>a</w:t>
      </w:r>
      <w:r>
        <w:rPr>
          <w:spacing w:val="-8"/>
          <w:w w:val="105"/>
          <w:sz w:val="16"/>
        </w:rPr>
        <w:t> </w:t>
      </w:r>
      <w:r>
        <w:rPr>
          <w:w w:val="105"/>
          <w:sz w:val="16"/>
        </w:rPr>
        <w:t>constitutional</w:t>
      </w:r>
      <w:r>
        <w:rPr>
          <w:spacing w:val="-8"/>
          <w:w w:val="105"/>
          <w:sz w:val="16"/>
        </w:rPr>
        <w:t> </w:t>
      </w:r>
      <w:r>
        <w:rPr>
          <w:w w:val="105"/>
          <w:sz w:val="16"/>
        </w:rPr>
        <w:t>status:</w:t>
      </w:r>
      <w:r>
        <w:rPr>
          <w:spacing w:val="-8"/>
          <w:w w:val="105"/>
          <w:sz w:val="16"/>
        </w:rPr>
        <w:t> </w:t>
      </w:r>
      <w:r>
        <w:rPr>
          <w:w w:val="105"/>
          <w:sz w:val="16"/>
        </w:rPr>
        <w:t>Päivi</w:t>
      </w:r>
      <w:r>
        <w:rPr>
          <w:spacing w:val="-8"/>
          <w:w w:val="105"/>
          <w:sz w:val="16"/>
        </w:rPr>
        <w:t> </w:t>
      </w:r>
      <w:r>
        <w:rPr>
          <w:w w:val="145"/>
          <w:sz w:val="16"/>
        </w:rPr>
        <w:t>J</w:t>
      </w:r>
      <w:r>
        <w:rPr>
          <w:spacing w:val="-26"/>
          <w:w w:val="145"/>
          <w:sz w:val="16"/>
        </w:rPr>
        <w:t> </w:t>
      </w:r>
      <w:r>
        <w:rPr>
          <w:w w:val="105"/>
          <w:sz w:val="16"/>
        </w:rPr>
        <w:t>Neuvonen</w:t>
      </w:r>
      <w:r>
        <w:rPr>
          <w:spacing w:val="-8"/>
          <w:w w:val="105"/>
          <w:sz w:val="16"/>
        </w:rPr>
        <w:t> </w:t>
      </w:r>
      <w:r>
        <w:rPr>
          <w:w w:val="105"/>
          <w:sz w:val="16"/>
        </w:rPr>
        <w:t>and</w:t>
      </w:r>
      <w:r>
        <w:rPr>
          <w:spacing w:val="-8"/>
          <w:w w:val="105"/>
          <w:sz w:val="16"/>
        </w:rPr>
        <w:t> </w:t>
      </w:r>
      <w:r>
        <w:rPr>
          <w:w w:val="105"/>
          <w:sz w:val="16"/>
        </w:rPr>
        <w:t>Katja</w:t>
      </w:r>
      <w:r>
        <w:rPr>
          <w:spacing w:val="-8"/>
          <w:w w:val="105"/>
          <w:sz w:val="16"/>
        </w:rPr>
        <w:t> </w:t>
      </w:r>
      <w:r>
        <w:rPr>
          <w:w w:val="105"/>
          <w:sz w:val="16"/>
        </w:rPr>
        <w:t>Ziegler,</w:t>
      </w:r>
      <w:r>
        <w:rPr>
          <w:spacing w:val="-8"/>
          <w:w w:val="105"/>
          <w:sz w:val="16"/>
        </w:rPr>
        <w:t> </w:t>
      </w:r>
      <w:r>
        <w:rPr>
          <w:w w:val="105"/>
          <w:sz w:val="16"/>
        </w:rPr>
        <w:t>‘General principles</w:t>
      </w:r>
      <w:r>
        <w:rPr>
          <w:spacing w:val="-6"/>
          <w:w w:val="105"/>
          <w:sz w:val="16"/>
        </w:rPr>
        <w:t> </w:t>
      </w:r>
      <w:r>
        <w:rPr>
          <w:w w:val="105"/>
          <w:sz w:val="16"/>
        </w:rPr>
        <w:t>in</w:t>
      </w:r>
      <w:r>
        <w:rPr>
          <w:spacing w:val="-6"/>
          <w:w w:val="105"/>
          <w:sz w:val="16"/>
        </w:rPr>
        <w:t> </w:t>
      </w:r>
      <w:r>
        <w:rPr>
          <w:w w:val="105"/>
          <w:sz w:val="16"/>
        </w:rPr>
        <w:t>the</w:t>
      </w:r>
      <w:r>
        <w:rPr>
          <w:spacing w:val="-6"/>
          <w:w w:val="105"/>
          <w:sz w:val="16"/>
        </w:rPr>
        <w:t> </w:t>
      </w:r>
      <w:r>
        <w:rPr>
          <w:w w:val="105"/>
          <w:sz w:val="16"/>
        </w:rPr>
        <w:t>EU</w:t>
      </w:r>
      <w:r>
        <w:rPr>
          <w:spacing w:val="-6"/>
          <w:w w:val="105"/>
          <w:sz w:val="16"/>
        </w:rPr>
        <w:t> </w:t>
      </w:r>
      <w:r>
        <w:rPr>
          <w:w w:val="105"/>
          <w:sz w:val="16"/>
        </w:rPr>
        <w:t>legal</w:t>
      </w:r>
      <w:r>
        <w:rPr>
          <w:spacing w:val="-6"/>
          <w:w w:val="105"/>
          <w:sz w:val="16"/>
        </w:rPr>
        <w:t> </w:t>
      </w:r>
      <w:r>
        <w:rPr>
          <w:w w:val="105"/>
          <w:sz w:val="16"/>
        </w:rPr>
        <w:t>order:</w:t>
      </w:r>
      <w:r>
        <w:rPr>
          <w:spacing w:val="-6"/>
          <w:w w:val="105"/>
          <w:sz w:val="16"/>
        </w:rPr>
        <w:t> </w:t>
      </w:r>
      <w:r>
        <w:rPr>
          <w:w w:val="105"/>
          <w:sz w:val="16"/>
        </w:rPr>
        <w:t>past,</w:t>
      </w:r>
      <w:r>
        <w:rPr>
          <w:spacing w:val="-6"/>
          <w:w w:val="105"/>
          <w:sz w:val="16"/>
        </w:rPr>
        <w:t> </w:t>
      </w:r>
      <w:r>
        <w:rPr>
          <w:w w:val="105"/>
          <w:sz w:val="16"/>
        </w:rPr>
        <w:t>present</w:t>
      </w:r>
      <w:r>
        <w:rPr>
          <w:spacing w:val="-6"/>
          <w:w w:val="105"/>
          <w:sz w:val="16"/>
        </w:rPr>
        <w:t> </w:t>
      </w:r>
      <w:r>
        <w:rPr>
          <w:w w:val="105"/>
          <w:sz w:val="16"/>
        </w:rPr>
        <w:t>and</w:t>
      </w:r>
      <w:r>
        <w:rPr>
          <w:spacing w:val="-6"/>
          <w:w w:val="105"/>
          <w:sz w:val="16"/>
        </w:rPr>
        <w:t> </w:t>
      </w:r>
      <w:r>
        <w:rPr>
          <w:w w:val="105"/>
          <w:sz w:val="16"/>
        </w:rPr>
        <w:t>future</w:t>
      </w:r>
      <w:r>
        <w:rPr>
          <w:spacing w:val="-6"/>
          <w:w w:val="105"/>
          <w:sz w:val="16"/>
        </w:rPr>
        <w:t> </w:t>
      </w:r>
      <w:r>
        <w:rPr>
          <w:w w:val="105"/>
          <w:sz w:val="16"/>
        </w:rPr>
        <w:t>directions’</w:t>
      </w:r>
      <w:r>
        <w:rPr>
          <w:spacing w:val="-6"/>
          <w:w w:val="105"/>
          <w:sz w:val="16"/>
        </w:rPr>
        <w:t> </w:t>
      </w:r>
      <w:r>
        <w:rPr>
          <w:w w:val="105"/>
          <w:sz w:val="16"/>
        </w:rPr>
        <w:t>in</w:t>
      </w:r>
      <w:r>
        <w:rPr>
          <w:spacing w:val="-6"/>
          <w:w w:val="105"/>
          <w:sz w:val="16"/>
        </w:rPr>
        <w:t> </w:t>
      </w:r>
      <w:r>
        <w:rPr>
          <w:w w:val="105"/>
          <w:sz w:val="16"/>
        </w:rPr>
        <w:t>Päivi</w:t>
      </w:r>
      <w:r>
        <w:rPr>
          <w:spacing w:val="-6"/>
          <w:w w:val="105"/>
          <w:sz w:val="16"/>
        </w:rPr>
        <w:t> </w:t>
      </w:r>
      <w:r>
        <w:rPr>
          <w:w w:val="145"/>
          <w:sz w:val="16"/>
        </w:rPr>
        <w:t>J</w:t>
      </w:r>
      <w:r>
        <w:rPr>
          <w:spacing w:val="-26"/>
          <w:w w:val="145"/>
          <w:sz w:val="16"/>
        </w:rPr>
        <w:t> </w:t>
      </w:r>
      <w:r>
        <w:rPr>
          <w:w w:val="105"/>
          <w:sz w:val="16"/>
        </w:rPr>
        <w:t>Neuvonen</w:t>
      </w:r>
      <w:r>
        <w:rPr>
          <w:spacing w:val="-6"/>
          <w:w w:val="105"/>
          <w:sz w:val="16"/>
        </w:rPr>
        <w:t> </w:t>
      </w:r>
      <w:r>
        <w:rPr>
          <w:w w:val="105"/>
          <w:sz w:val="16"/>
        </w:rPr>
        <w:t>and</w:t>
      </w:r>
      <w:r>
        <w:rPr>
          <w:spacing w:val="-6"/>
          <w:w w:val="105"/>
          <w:sz w:val="16"/>
        </w:rPr>
        <w:t> </w:t>
      </w:r>
      <w:r>
        <w:rPr>
          <w:w w:val="105"/>
          <w:sz w:val="16"/>
        </w:rPr>
        <w:t>Katja</w:t>
      </w:r>
      <w:r>
        <w:rPr>
          <w:spacing w:val="-6"/>
          <w:w w:val="105"/>
          <w:sz w:val="16"/>
        </w:rPr>
        <w:t> </w:t>
      </w:r>
      <w:r>
        <w:rPr>
          <w:w w:val="105"/>
          <w:sz w:val="16"/>
        </w:rPr>
        <w:t>S</w:t>
      </w:r>
      <w:r>
        <w:rPr>
          <w:spacing w:val="-6"/>
          <w:w w:val="105"/>
          <w:sz w:val="16"/>
        </w:rPr>
        <w:t> </w:t>
      </w:r>
      <w:r>
        <w:rPr>
          <w:w w:val="105"/>
          <w:sz w:val="16"/>
        </w:rPr>
        <w:t>Ziegler</w:t>
      </w:r>
      <w:r>
        <w:rPr>
          <w:spacing w:val="-6"/>
          <w:w w:val="105"/>
          <w:sz w:val="16"/>
        </w:rPr>
        <w:t> </w:t>
      </w:r>
      <w:r>
        <w:rPr>
          <w:w w:val="105"/>
          <w:sz w:val="16"/>
        </w:rPr>
        <w:t>and </w:t>
      </w:r>
      <w:r>
        <w:rPr>
          <w:rFonts w:ascii="Arial" w:hAnsi="Arial"/>
          <w:spacing w:val="-2"/>
          <w:w w:val="105"/>
          <w:sz w:val="16"/>
        </w:rPr>
        <w:t>Violeta Moreno-Lax (eds), </w:t>
      </w:r>
      <w:r>
        <w:rPr>
          <w:rFonts w:ascii="Verdana" w:hAnsi="Verdana"/>
          <w:i/>
          <w:spacing w:val="-2"/>
          <w:w w:val="105"/>
          <w:sz w:val="16"/>
        </w:rPr>
        <w:t>Research</w:t>
      </w:r>
      <w:r>
        <w:rPr>
          <w:rFonts w:ascii="Verdana" w:hAnsi="Verdana"/>
          <w:i/>
          <w:spacing w:val="-12"/>
          <w:w w:val="105"/>
          <w:sz w:val="16"/>
        </w:rPr>
        <w:t> </w:t>
      </w:r>
      <w:r>
        <w:rPr>
          <w:rFonts w:ascii="Verdana" w:hAnsi="Verdana"/>
          <w:i/>
          <w:spacing w:val="-2"/>
          <w:w w:val="105"/>
          <w:sz w:val="16"/>
        </w:rPr>
        <w:t>Handbook</w:t>
      </w:r>
      <w:r>
        <w:rPr>
          <w:rFonts w:ascii="Verdana" w:hAnsi="Verdana"/>
          <w:i/>
          <w:spacing w:val="-12"/>
          <w:w w:val="105"/>
          <w:sz w:val="16"/>
        </w:rPr>
        <w:t> </w:t>
      </w:r>
      <w:r>
        <w:rPr>
          <w:rFonts w:ascii="Verdana" w:hAnsi="Verdana"/>
          <w:i/>
          <w:spacing w:val="-2"/>
          <w:w w:val="105"/>
          <w:sz w:val="16"/>
        </w:rPr>
        <w:t>on</w:t>
      </w:r>
      <w:r>
        <w:rPr>
          <w:rFonts w:ascii="Verdana" w:hAnsi="Verdana"/>
          <w:i/>
          <w:spacing w:val="-12"/>
          <w:w w:val="105"/>
          <w:sz w:val="16"/>
        </w:rPr>
        <w:t> </w:t>
      </w:r>
      <w:r>
        <w:rPr>
          <w:rFonts w:ascii="Verdana" w:hAnsi="Verdana"/>
          <w:i/>
          <w:spacing w:val="-2"/>
          <w:w w:val="105"/>
          <w:sz w:val="16"/>
        </w:rPr>
        <w:t>General</w:t>
      </w:r>
      <w:r>
        <w:rPr>
          <w:rFonts w:ascii="Verdana" w:hAnsi="Verdana"/>
          <w:i/>
          <w:spacing w:val="-12"/>
          <w:w w:val="105"/>
          <w:sz w:val="16"/>
        </w:rPr>
        <w:t> </w:t>
      </w:r>
      <w:r>
        <w:rPr>
          <w:rFonts w:ascii="Verdana" w:hAnsi="Verdana"/>
          <w:i/>
          <w:spacing w:val="-2"/>
          <w:w w:val="105"/>
          <w:sz w:val="16"/>
        </w:rPr>
        <w:t>Principles</w:t>
      </w:r>
      <w:r>
        <w:rPr>
          <w:rFonts w:ascii="Verdana" w:hAnsi="Verdana"/>
          <w:i/>
          <w:spacing w:val="-12"/>
          <w:w w:val="105"/>
          <w:sz w:val="16"/>
        </w:rPr>
        <w:t> </w:t>
      </w:r>
      <w:r>
        <w:rPr>
          <w:rFonts w:ascii="Verdana" w:hAnsi="Verdana"/>
          <w:i/>
          <w:spacing w:val="-2"/>
          <w:w w:val="105"/>
          <w:sz w:val="16"/>
        </w:rPr>
        <w:t>in</w:t>
      </w:r>
      <w:r>
        <w:rPr>
          <w:rFonts w:ascii="Verdana" w:hAnsi="Verdana"/>
          <w:i/>
          <w:spacing w:val="-12"/>
          <w:w w:val="105"/>
          <w:sz w:val="16"/>
        </w:rPr>
        <w:t> </w:t>
      </w:r>
      <w:r>
        <w:rPr>
          <w:rFonts w:ascii="Verdana" w:hAnsi="Verdana"/>
          <w:i/>
          <w:spacing w:val="-2"/>
          <w:w w:val="105"/>
          <w:sz w:val="16"/>
        </w:rPr>
        <w:t>EU</w:t>
      </w:r>
      <w:r>
        <w:rPr>
          <w:rFonts w:ascii="Verdana" w:hAnsi="Verdana"/>
          <w:i/>
          <w:spacing w:val="-12"/>
          <w:w w:val="105"/>
          <w:sz w:val="16"/>
        </w:rPr>
        <w:t> </w:t>
      </w:r>
      <w:r>
        <w:rPr>
          <w:rFonts w:ascii="Verdana" w:hAnsi="Verdana"/>
          <w:i/>
          <w:spacing w:val="-2"/>
          <w:w w:val="105"/>
          <w:sz w:val="16"/>
        </w:rPr>
        <w:t>Law</w:t>
      </w:r>
      <w:r>
        <w:rPr>
          <w:spacing w:val="-2"/>
          <w:w w:val="105"/>
          <w:sz w:val="16"/>
        </w:rPr>
        <w:t>,</w:t>
      </w:r>
      <w:r>
        <w:rPr>
          <w:spacing w:val="-5"/>
          <w:w w:val="105"/>
          <w:sz w:val="16"/>
        </w:rPr>
        <w:t> </w:t>
      </w:r>
      <w:r>
        <w:rPr>
          <w:spacing w:val="-2"/>
          <w:w w:val="105"/>
          <w:sz w:val="16"/>
        </w:rPr>
        <w:t>Edward</w:t>
      </w:r>
      <w:r>
        <w:rPr>
          <w:spacing w:val="-5"/>
          <w:w w:val="105"/>
          <w:sz w:val="16"/>
        </w:rPr>
        <w:t> </w:t>
      </w:r>
      <w:r>
        <w:rPr>
          <w:spacing w:val="-2"/>
          <w:w w:val="105"/>
          <w:sz w:val="16"/>
        </w:rPr>
        <w:t>Elgar</w:t>
      </w:r>
      <w:r>
        <w:rPr>
          <w:spacing w:val="-5"/>
          <w:w w:val="105"/>
          <w:sz w:val="16"/>
        </w:rPr>
        <w:t> </w:t>
      </w:r>
      <w:r>
        <w:rPr>
          <w:spacing w:val="-2"/>
          <w:w w:val="105"/>
          <w:sz w:val="16"/>
        </w:rPr>
        <w:t>2022,</w:t>
      </w:r>
      <w:r>
        <w:rPr>
          <w:spacing w:val="-5"/>
          <w:w w:val="105"/>
          <w:sz w:val="16"/>
        </w:rPr>
        <w:t> </w:t>
      </w:r>
      <w:r>
        <w:rPr>
          <w:spacing w:val="-2"/>
          <w:w w:val="105"/>
          <w:sz w:val="16"/>
        </w:rPr>
        <w:t>7,</w:t>
      </w:r>
      <w:r>
        <w:rPr>
          <w:spacing w:val="-5"/>
          <w:w w:val="105"/>
          <w:sz w:val="16"/>
        </w:rPr>
        <w:t> </w:t>
      </w:r>
      <w:r>
        <w:rPr>
          <w:spacing w:val="-2"/>
          <w:sz w:val="16"/>
        </w:rPr>
        <w:t>11-12.</w:t>
      </w:r>
      <w:r>
        <w:rPr>
          <w:spacing w:val="-3"/>
          <w:sz w:val="16"/>
        </w:rPr>
        <w:t> </w:t>
      </w:r>
      <w:r>
        <w:rPr>
          <w:spacing w:val="-2"/>
          <w:w w:val="105"/>
          <w:sz w:val="16"/>
        </w:rPr>
        <w:t>It</w:t>
      </w:r>
      <w:r>
        <w:rPr>
          <w:spacing w:val="-5"/>
          <w:w w:val="105"/>
          <w:sz w:val="16"/>
        </w:rPr>
        <w:t> </w:t>
      </w:r>
      <w:r>
        <w:rPr>
          <w:spacing w:val="-2"/>
          <w:w w:val="105"/>
          <w:sz w:val="16"/>
        </w:rPr>
        <w:t>is </w:t>
      </w:r>
      <w:r>
        <w:rPr>
          <w:rFonts w:ascii="Arial" w:hAnsi="Arial"/>
          <w:w w:val="105"/>
          <w:sz w:val="16"/>
        </w:rPr>
        <w:t>clear,</w:t>
      </w:r>
      <w:r>
        <w:rPr>
          <w:rFonts w:ascii="Arial" w:hAnsi="Arial"/>
          <w:spacing w:val="34"/>
          <w:w w:val="105"/>
          <w:sz w:val="16"/>
        </w:rPr>
        <w:t> </w:t>
      </w:r>
      <w:r>
        <w:rPr>
          <w:rFonts w:ascii="Arial" w:hAnsi="Arial"/>
          <w:w w:val="105"/>
          <w:sz w:val="16"/>
        </w:rPr>
        <w:t>however,</w:t>
      </w:r>
      <w:r>
        <w:rPr>
          <w:rFonts w:ascii="Arial" w:hAnsi="Arial"/>
          <w:spacing w:val="34"/>
          <w:w w:val="105"/>
          <w:sz w:val="16"/>
        </w:rPr>
        <w:t> </w:t>
      </w:r>
      <w:r>
        <w:rPr>
          <w:rFonts w:ascii="Arial" w:hAnsi="Arial"/>
          <w:w w:val="105"/>
          <w:sz w:val="16"/>
        </w:rPr>
        <w:t>that</w:t>
      </w:r>
      <w:r>
        <w:rPr>
          <w:rFonts w:ascii="Arial" w:hAnsi="Arial"/>
          <w:spacing w:val="34"/>
          <w:w w:val="105"/>
          <w:sz w:val="16"/>
        </w:rPr>
        <w:t> </w:t>
      </w:r>
      <w:r>
        <w:rPr>
          <w:rFonts w:ascii="Arial" w:hAnsi="Arial"/>
          <w:w w:val="105"/>
          <w:sz w:val="16"/>
        </w:rPr>
        <w:t>the</w:t>
      </w:r>
      <w:r>
        <w:rPr>
          <w:rFonts w:ascii="Arial" w:hAnsi="Arial"/>
          <w:spacing w:val="34"/>
          <w:w w:val="105"/>
          <w:sz w:val="16"/>
        </w:rPr>
        <w:t> </w:t>
      </w:r>
      <w:r>
        <w:rPr>
          <w:rFonts w:ascii="Arial" w:hAnsi="Arial"/>
          <w:w w:val="105"/>
          <w:sz w:val="16"/>
        </w:rPr>
        <w:t>protection</w:t>
      </w:r>
      <w:r>
        <w:rPr>
          <w:rFonts w:ascii="Arial" w:hAnsi="Arial"/>
          <w:spacing w:val="34"/>
          <w:w w:val="105"/>
          <w:sz w:val="16"/>
        </w:rPr>
        <w:t> </w:t>
      </w:r>
      <w:r>
        <w:rPr>
          <w:rFonts w:ascii="Arial" w:hAnsi="Arial"/>
          <w:w w:val="105"/>
          <w:sz w:val="16"/>
        </w:rPr>
        <w:t>of</w:t>
      </w:r>
      <w:r>
        <w:rPr>
          <w:rFonts w:ascii="Arial" w:hAnsi="Arial"/>
          <w:spacing w:val="34"/>
          <w:w w:val="105"/>
          <w:sz w:val="16"/>
        </w:rPr>
        <w:t> </w:t>
      </w:r>
      <w:r>
        <w:rPr>
          <w:rFonts w:ascii="Arial" w:hAnsi="Arial"/>
          <w:w w:val="105"/>
          <w:sz w:val="16"/>
        </w:rPr>
        <w:t>fundamental</w:t>
      </w:r>
      <w:r>
        <w:rPr>
          <w:rFonts w:ascii="Arial" w:hAnsi="Arial"/>
          <w:spacing w:val="34"/>
          <w:w w:val="105"/>
          <w:sz w:val="16"/>
        </w:rPr>
        <w:t> </w:t>
      </w:r>
      <w:r>
        <w:rPr>
          <w:rFonts w:ascii="Arial" w:hAnsi="Arial"/>
          <w:w w:val="105"/>
          <w:sz w:val="16"/>
        </w:rPr>
        <w:t>rights</w:t>
      </w:r>
      <w:r>
        <w:rPr>
          <w:rFonts w:ascii="Arial" w:hAnsi="Arial"/>
          <w:spacing w:val="34"/>
          <w:w w:val="105"/>
          <w:sz w:val="16"/>
        </w:rPr>
        <w:t> </w:t>
      </w:r>
      <w:r>
        <w:rPr>
          <w:rFonts w:ascii="Arial" w:hAnsi="Arial"/>
          <w:w w:val="105"/>
          <w:sz w:val="16"/>
        </w:rPr>
        <w:t>is</w:t>
      </w:r>
      <w:r>
        <w:rPr>
          <w:rFonts w:ascii="Arial" w:hAnsi="Arial"/>
          <w:spacing w:val="34"/>
          <w:w w:val="105"/>
          <w:sz w:val="16"/>
        </w:rPr>
        <w:t> </w:t>
      </w:r>
      <w:r>
        <w:rPr>
          <w:rFonts w:ascii="Arial" w:hAnsi="Arial"/>
          <w:w w:val="105"/>
          <w:sz w:val="16"/>
        </w:rPr>
        <w:t>a</w:t>
      </w:r>
      <w:r>
        <w:rPr>
          <w:rFonts w:ascii="Arial" w:hAnsi="Arial"/>
          <w:spacing w:val="34"/>
          <w:w w:val="105"/>
          <w:sz w:val="16"/>
        </w:rPr>
        <w:t> </w:t>
      </w:r>
      <w:r>
        <w:rPr>
          <w:rFonts w:ascii="Arial" w:hAnsi="Arial"/>
          <w:w w:val="105"/>
          <w:sz w:val="16"/>
        </w:rPr>
        <w:t>general</w:t>
      </w:r>
      <w:r>
        <w:rPr>
          <w:rFonts w:ascii="Arial" w:hAnsi="Arial"/>
          <w:spacing w:val="34"/>
          <w:w w:val="105"/>
          <w:sz w:val="16"/>
        </w:rPr>
        <w:t> </w:t>
      </w:r>
      <w:r>
        <w:rPr>
          <w:rFonts w:ascii="Arial" w:hAnsi="Arial"/>
          <w:w w:val="105"/>
          <w:sz w:val="16"/>
        </w:rPr>
        <w:t>principle</w:t>
      </w:r>
      <w:r>
        <w:rPr>
          <w:rFonts w:ascii="Arial" w:hAnsi="Arial"/>
          <w:spacing w:val="34"/>
          <w:w w:val="105"/>
          <w:sz w:val="16"/>
        </w:rPr>
        <w:t> </w:t>
      </w:r>
      <w:r>
        <w:rPr>
          <w:rFonts w:ascii="Arial" w:hAnsi="Arial"/>
          <w:w w:val="105"/>
          <w:sz w:val="16"/>
        </w:rPr>
        <w:t>of</w:t>
      </w:r>
      <w:r>
        <w:rPr>
          <w:rFonts w:ascii="Arial" w:hAnsi="Arial"/>
          <w:spacing w:val="34"/>
          <w:w w:val="105"/>
          <w:sz w:val="16"/>
        </w:rPr>
        <w:t> </w:t>
      </w:r>
      <w:r>
        <w:rPr>
          <w:rFonts w:ascii="Arial" w:hAnsi="Arial"/>
          <w:w w:val="105"/>
          <w:sz w:val="16"/>
        </w:rPr>
        <w:t>constitutional</w:t>
      </w:r>
      <w:r>
        <w:rPr>
          <w:rFonts w:ascii="Arial" w:hAnsi="Arial"/>
          <w:spacing w:val="34"/>
          <w:w w:val="105"/>
          <w:sz w:val="16"/>
        </w:rPr>
        <w:t> </w:t>
      </w:r>
      <w:r>
        <w:rPr>
          <w:rFonts w:ascii="Arial" w:hAnsi="Arial"/>
          <w:w w:val="105"/>
          <w:sz w:val="16"/>
        </w:rPr>
        <w:t>rank:</w:t>
      </w:r>
      <w:r>
        <w:rPr>
          <w:rFonts w:ascii="Arial" w:hAnsi="Arial"/>
          <w:spacing w:val="34"/>
          <w:w w:val="105"/>
          <w:sz w:val="16"/>
        </w:rPr>
        <w:t> </w:t>
      </w:r>
      <w:r>
        <w:rPr>
          <w:rFonts w:ascii="Arial" w:hAnsi="Arial"/>
          <w:w w:val="105"/>
          <w:sz w:val="16"/>
        </w:rPr>
        <w:t>Joined</w:t>
      </w:r>
      <w:r>
        <w:rPr>
          <w:rFonts w:ascii="Arial" w:hAnsi="Arial"/>
          <w:spacing w:val="34"/>
          <w:w w:val="105"/>
          <w:sz w:val="16"/>
        </w:rPr>
        <w:t> </w:t>
      </w:r>
      <w:r>
        <w:rPr>
          <w:rFonts w:ascii="Arial" w:hAnsi="Arial"/>
          <w:w w:val="105"/>
          <w:sz w:val="16"/>
        </w:rPr>
        <w:t>Cases</w:t>
      </w:r>
    </w:p>
    <w:p>
      <w:pPr>
        <w:spacing w:line="194" w:lineRule="auto" w:before="25"/>
        <w:ind w:left="567" w:right="0" w:firstLine="0"/>
        <w:jc w:val="left"/>
        <w:rPr>
          <w:rFonts w:ascii="Lucida Sans Unicode"/>
          <w:sz w:val="16"/>
        </w:rPr>
      </w:pPr>
      <w:r>
        <w:rPr>
          <w:rFonts w:ascii="Lucida Sans Unicode"/>
          <w:sz w:val="16"/>
        </w:rPr>
        <w:t>C-402</w:t>
      </w:r>
      <w:r>
        <w:rPr>
          <w:rFonts w:ascii="Lucida Sans Unicode"/>
          <w:spacing w:val="-8"/>
          <w:sz w:val="16"/>
        </w:rPr>
        <w:t> </w:t>
      </w:r>
      <w:r>
        <w:rPr>
          <w:rFonts w:ascii="Lucida Sans Unicode"/>
          <w:sz w:val="16"/>
        </w:rPr>
        <w:t>&amp;</w:t>
      </w:r>
      <w:r>
        <w:rPr>
          <w:rFonts w:ascii="Lucida Sans Unicode"/>
          <w:spacing w:val="-8"/>
          <w:sz w:val="16"/>
        </w:rPr>
        <w:t> </w:t>
      </w:r>
      <w:r>
        <w:rPr>
          <w:rFonts w:ascii="Lucida Sans Unicode"/>
          <w:sz w:val="16"/>
        </w:rPr>
        <w:t>415/05</w:t>
      </w:r>
      <w:r>
        <w:rPr>
          <w:rFonts w:ascii="Lucida Sans Unicode"/>
          <w:spacing w:val="-8"/>
          <w:sz w:val="16"/>
        </w:rPr>
        <w:t> </w:t>
      </w:r>
      <w:r>
        <w:rPr>
          <w:rFonts w:ascii="Lucida Sans Unicode"/>
          <w:sz w:val="16"/>
        </w:rPr>
        <w:t>P</w:t>
      </w:r>
      <w:r>
        <w:rPr>
          <w:rFonts w:ascii="Lucida Sans Unicode"/>
          <w:spacing w:val="-8"/>
          <w:sz w:val="16"/>
        </w:rPr>
        <w:t> </w:t>
      </w:r>
      <w:r>
        <w:rPr>
          <w:rFonts w:ascii="Verdana"/>
          <w:i/>
          <w:sz w:val="16"/>
        </w:rPr>
        <w:t>Yassin</w:t>
      </w:r>
      <w:r>
        <w:rPr>
          <w:rFonts w:ascii="Verdana"/>
          <w:i/>
          <w:spacing w:val="-14"/>
          <w:sz w:val="16"/>
        </w:rPr>
        <w:t> </w:t>
      </w:r>
      <w:r>
        <w:rPr>
          <w:rFonts w:ascii="Verdana"/>
          <w:i/>
          <w:sz w:val="16"/>
        </w:rPr>
        <w:t>Abdullah</w:t>
      </w:r>
      <w:r>
        <w:rPr>
          <w:rFonts w:ascii="Verdana"/>
          <w:i/>
          <w:spacing w:val="-14"/>
          <w:sz w:val="16"/>
        </w:rPr>
        <w:t> </w:t>
      </w:r>
      <w:r>
        <w:rPr>
          <w:rFonts w:ascii="Verdana"/>
          <w:i/>
          <w:sz w:val="16"/>
        </w:rPr>
        <w:t>Kadi</w:t>
      </w:r>
      <w:r>
        <w:rPr>
          <w:rFonts w:ascii="Verdana"/>
          <w:i/>
          <w:spacing w:val="-14"/>
          <w:sz w:val="16"/>
        </w:rPr>
        <w:t> </w:t>
      </w:r>
      <w:r>
        <w:rPr>
          <w:rFonts w:ascii="Verdana"/>
          <w:i/>
          <w:sz w:val="16"/>
        </w:rPr>
        <w:t>and</w:t>
      </w:r>
      <w:r>
        <w:rPr>
          <w:rFonts w:ascii="Verdana"/>
          <w:i/>
          <w:spacing w:val="-14"/>
          <w:sz w:val="16"/>
        </w:rPr>
        <w:t> </w:t>
      </w:r>
      <w:r>
        <w:rPr>
          <w:rFonts w:ascii="Verdana"/>
          <w:i/>
          <w:sz w:val="16"/>
        </w:rPr>
        <w:t>Al</w:t>
      </w:r>
      <w:r>
        <w:rPr>
          <w:rFonts w:ascii="Verdana"/>
          <w:i/>
          <w:spacing w:val="-14"/>
          <w:sz w:val="16"/>
        </w:rPr>
        <w:t> </w:t>
      </w:r>
      <w:r>
        <w:rPr>
          <w:rFonts w:ascii="Verdana"/>
          <w:i/>
          <w:sz w:val="16"/>
        </w:rPr>
        <w:t>Barakaat</w:t>
      </w:r>
      <w:r>
        <w:rPr>
          <w:rFonts w:ascii="Verdana"/>
          <w:i/>
          <w:spacing w:val="-14"/>
          <w:sz w:val="16"/>
        </w:rPr>
        <w:t> </w:t>
      </w:r>
      <w:r>
        <w:rPr>
          <w:rFonts w:ascii="Verdana"/>
          <w:i/>
          <w:sz w:val="16"/>
        </w:rPr>
        <w:t>International</w:t>
      </w:r>
      <w:r>
        <w:rPr>
          <w:rFonts w:ascii="Verdana"/>
          <w:i/>
          <w:spacing w:val="-14"/>
          <w:sz w:val="16"/>
        </w:rPr>
        <w:t> </w:t>
      </w:r>
      <w:r>
        <w:rPr>
          <w:rFonts w:ascii="Verdana"/>
          <w:i/>
          <w:sz w:val="16"/>
        </w:rPr>
        <w:t>Foundation</w:t>
      </w:r>
      <w:r>
        <w:rPr>
          <w:rFonts w:ascii="Verdana"/>
          <w:i/>
          <w:spacing w:val="-14"/>
          <w:sz w:val="16"/>
        </w:rPr>
        <w:t> </w:t>
      </w:r>
      <w:r>
        <w:rPr>
          <w:rFonts w:ascii="Verdana"/>
          <w:i/>
          <w:sz w:val="16"/>
        </w:rPr>
        <w:t>v</w:t>
      </w:r>
      <w:r>
        <w:rPr>
          <w:rFonts w:ascii="Verdana"/>
          <w:i/>
          <w:spacing w:val="-14"/>
          <w:sz w:val="16"/>
        </w:rPr>
        <w:t> </w:t>
      </w:r>
      <w:r>
        <w:rPr>
          <w:rFonts w:ascii="Verdana"/>
          <w:i/>
          <w:sz w:val="16"/>
        </w:rPr>
        <w:t>Council</w:t>
      </w:r>
      <w:r>
        <w:rPr>
          <w:rFonts w:ascii="Verdana"/>
          <w:i/>
          <w:spacing w:val="-14"/>
          <w:sz w:val="16"/>
        </w:rPr>
        <w:t> </w:t>
      </w:r>
      <w:r>
        <w:rPr>
          <w:rFonts w:ascii="Verdana"/>
          <w:i/>
          <w:sz w:val="16"/>
        </w:rPr>
        <w:t>and</w:t>
      </w:r>
      <w:r>
        <w:rPr>
          <w:rFonts w:ascii="Verdana"/>
          <w:i/>
          <w:spacing w:val="-14"/>
          <w:sz w:val="16"/>
        </w:rPr>
        <w:t> </w:t>
      </w:r>
      <w:r>
        <w:rPr>
          <w:rFonts w:ascii="Verdana"/>
          <w:i/>
          <w:sz w:val="16"/>
        </w:rPr>
        <w:t>Commission</w:t>
      </w:r>
      <w:r>
        <w:rPr>
          <w:rFonts w:ascii="Verdana"/>
          <w:i/>
          <w:spacing w:val="-14"/>
          <w:sz w:val="16"/>
        </w:rPr>
        <w:t> </w:t>
      </w:r>
      <w:r>
        <w:rPr>
          <w:rFonts w:ascii="Verdana"/>
          <w:i/>
          <w:sz w:val="16"/>
        </w:rPr>
        <w:t>of</w:t>
      </w:r>
      <w:r>
        <w:rPr>
          <w:rFonts w:ascii="Verdana"/>
          <w:i/>
          <w:spacing w:val="-14"/>
          <w:sz w:val="16"/>
        </w:rPr>
        <w:t> </w:t>
      </w:r>
      <w:r>
        <w:rPr>
          <w:rFonts w:ascii="Verdana"/>
          <w:i/>
          <w:sz w:val="16"/>
        </w:rPr>
        <w:t>the</w:t>
      </w:r>
      <w:r>
        <w:rPr>
          <w:rFonts w:ascii="Verdana"/>
          <w:i/>
          <w:sz w:val="16"/>
        </w:rPr>
        <w:t> European Union</w:t>
      </w:r>
      <w:r>
        <w:rPr>
          <w:rFonts w:ascii="Lucida Sans Unicode"/>
          <w:sz w:val="16"/>
        </w:rPr>
        <w:t>, EU: C: 2008: 46, para 303</w:t>
      </w:r>
    </w:p>
    <w:p>
      <w:pPr>
        <w:pStyle w:val="ListParagraph"/>
        <w:numPr>
          <w:ilvl w:val="0"/>
          <w:numId w:val="6"/>
        </w:numPr>
        <w:tabs>
          <w:tab w:pos="567" w:val="left" w:leader="none"/>
        </w:tabs>
        <w:spacing w:line="194" w:lineRule="auto" w:before="2" w:after="0"/>
        <w:ind w:left="567" w:right="716" w:hanging="454"/>
        <w:jc w:val="left"/>
        <w:rPr>
          <w:sz w:val="16"/>
        </w:rPr>
      </w:pPr>
      <w:r>
        <w:rPr>
          <w:rFonts w:ascii="Arial"/>
          <w:w w:val="105"/>
          <w:sz w:val="16"/>
        </w:rPr>
        <w:t>For</w:t>
      </w:r>
      <w:r>
        <w:rPr>
          <w:rFonts w:ascii="Arial"/>
          <w:spacing w:val="16"/>
          <w:w w:val="105"/>
          <w:sz w:val="16"/>
        </w:rPr>
        <w:t> </w:t>
      </w:r>
      <w:r>
        <w:rPr>
          <w:rFonts w:ascii="Arial"/>
          <w:w w:val="105"/>
          <w:sz w:val="16"/>
        </w:rPr>
        <w:t>a</w:t>
      </w:r>
      <w:r>
        <w:rPr>
          <w:rFonts w:ascii="Arial"/>
          <w:spacing w:val="16"/>
          <w:w w:val="105"/>
          <w:sz w:val="16"/>
        </w:rPr>
        <w:t> </w:t>
      </w:r>
      <w:r>
        <w:rPr>
          <w:rFonts w:ascii="Arial"/>
          <w:w w:val="105"/>
          <w:sz w:val="16"/>
        </w:rPr>
        <w:t>detailed</w:t>
      </w:r>
      <w:r>
        <w:rPr>
          <w:rFonts w:ascii="Arial"/>
          <w:spacing w:val="16"/>
          <w:w w:val="105"/>
          <w:sz w:val="16"/>
        </w:rPr>
        <w:t> </w:t>
      </w:r>
      <w:r>
        <w:rPr>
          <w:rFonts w:ascii="Arial"/>
          <w:w w:val="105"/>
          <w:sz w:val="16"/>
        </w:rPr>
        <w:t>discussion</w:t>
      </w:r>
      <w:r>
        <w:rPr>
          <w:rFonts w:ascii="Arial"/>
          <w:spacing w:val="16"/>
          <w:w w:val="105"/>
          <w:sz w:val="16"/>
        </w:rPr>
        <w:t> </w:t>
      </w:r>
      <w:r>
        <w:rPr>
          <w:rFonts w:ascii="Arial"/>
          <w:w w:val="105"/>
          <w:sz w:val="16"/>
        </w:rPr>
        <w:t>of</w:t>
      </w:r>
      <w:r>
        <w:rPr>
          <w:rFonts w:ascii="Arial"/>
          <w:spacing w:val="16"/>
          <w:w w:val="105"/>
          <w:sz w:val="16"/>
        </w:rPr>
        <w:t> </w:t>
      </w:r>
      <w:r>
        <w:rPr>
          <w:rFonts w:ascii="Arial"/>
          <w:w w:val="105"/>
          <w:sz w:val="16"/>
        </w:rPr>
        <w:t>the</w:t>
      </w:r>
      <w:r>
        <w:rPr>
          <w:rFonts w:ascii="Arial"/>
          <w:spacing w:val="16"/>
          <w:w w:val="105"/>
          <w:sz w:val="16"/>
        </w:rPr>
        <w:t> </w:t>
      </w:r>
      <w:r>
        <w:rPr>
          <w:rFonts w:ascii="Arial"/>
          <w:w w:val="105"/>
          <w:sz w:val="16"/>
        </w:rPr>
        <w:t>functions</w:t>
      </w:r>
      <w:r>
        <w:rPr>
          <w:rFonts w:ascii="Arial"/>
          <w:spacing w:val="16"/>
          <w:w w:val="105"/>
          <w:sz w:val="16"/>
        </w:rPr>
        <w:t> </w:t>
      </w:r>
      <w:r>
        <w:rPr>
          <w:rFonts w:ascii="Arial"/>
          <w:w w:val="105"/>
          <w:sz w:val="16"/>
        </w:rPr>
        <w:t>of</w:t>
      </w:r>
      <w:r>
        <w:rPr>
          <w:rFonts w:ascii="Arial"/>
          <w:spacing w:val="16"/>
          <w:w w:val="105"/>
          <w:sz w:val="16"/>
        </w:rPr>
        <w:t> </w:t>
      </w:r>
      <w:r>
        <w:rPr>
          <w:rFonts w:ascii="Arial"/>
          <w:w w:val="105"/>
          <w:sz w:val="16"/>
        </w:rPr>
        <w:t>the</w:t>
      </w:r>
      <w:r>
        <w:rPr>
          <w:rFonts w:ascii="Arial"/>
          <w:spacing w:val="16"/>
          <w:w w:val="105"/>
          <w:sz w:val="16"/>
        </w:rPr>
        <w:t> </w:t>
      </w:r>
      <w:r>
        <w:rPr>
          <w:rFonts w:ascii="Arial"/>
          <w:w w:val="105"/>
          <w:sz w:val="16"/>
        </w:rPr>
        <w:t>general</w:t>
      </w:r>
      <w:r>
        <w:rPr>
          <w:rFonts w:ascii="Arial"/>
          <w:spacing w:val="16"/>
          <w:w w:val="105"/>
          <w:sz w:val="16"/>
        </w:rPr>
        <w:t> </w:t>
      </w:r>
      <w:r>
        <w:rPr>
          <w:rFonts w:ascii="Arial"/>
          <w:w w:val="105"/>
          <w:sz w:val="16"/>
        </w:rPr>
        <w:t>principles</w:t>
      </w:r>
      <w:r>
        <w:rPr>
          <w:rFonts w:ascii="Arial"/>
          <w:spacing w:val="16"/>
          <w:w w:val="105"/>
          <w:sz w:val="16"/>
        </w:rPr>
        <w:t> </w:t>
      </w:r>
      <w:r>
        <w:rPr>
          <w:rFonts w:ascii="Arial"/>
          <w:w w:val="105"/>
          <w:sz w:val="16"/>
        </w:rPr>
        <w:t>of</w:t>
      </w:r>
      <w:r>
        <w:rPr>
          <w:rFonts w:ascii="Arial"/>
          <w:spacing w:val="16"/>
          <w:w w:val="105"/>
          <w:sz w:val="16"/>
        </w:rPr>
        <w:t> </w:t>
      </w:r>
      <w:r>
        <w:rPr>
          <w:rFonts w:ascii="Arial"/>
          <w:w w:val="105"/>
          <w:sz w:val="16"/>
        </w:rPr>
        <w:t>EU</w:t>
      </w:r>
      <w:r>
        <w:rPr>
          <w:rFonts w:ascii="Arial"/>
          <w:spacing w:val="16"/>
          <w:w w:val="105"/>
          <w:sz w:val="16"/>
        </w:rPr>
        <w:t> </w:t>
      </w:r>
      <w:r>
        <w:rPr>
          <w:rFonts w:ascii="Arial"/>
          <w:w w:val="105"/>
          <w:sz w:val="16"/>
        </w:rPr>
        <w:t>law,</w:t>
      </w:r>
      <w:r>
        <w:rPr>
          <w:rFonts w:ascii="Arial"/>
          <w:spacing w:val="16"/>
          <w:w w:val="105"/>
          <w:sz w:val="16"/>
        </w:rPr>
        <w:t> </w:t>
      </w:r>
      <w:r>
        <w:rPr>
          <w:rFonts w:ascii="Arial"/>
          <w:w w:val="105"/>
          <w:sz w:val="16"/>
        </w:rPr>
        <w:t>see</w:t>
      </w:r>
      <w:r>
        <w:rPr>
          <w:rFonts w:ascii="Arial"/>
          <w:spacing w:val="16"/>
          <w:w w:val="105"/>
          <w:sz w:val="16"/>
        </w:rPr>
        <w:t> </w:t>
      </w:r>
      <w:r>
        <w:rPr>
          <w:rFonts w:ascii="Arial"/>
          <w:w w:val="105"/>
          <w:sz w:val="16"/>
        </w:rPr>
        <w:t>Takis</w:t>
      </w:r>
      <w:r>
        <w:rPr>
          <w:rFonts w:ascii="Arial"/>
          <w:spacing w:val="16"/>
          <w:w w:val="105"/>
          <w:sz w:val="16"/>
        </w:rPr>
        <w:t> </w:t>
      </w:r>
      <w:r>
        <w:rPr>
          <w:rFonts w:ascii="Arial"/>
          <w:w w:val="105"/>
          <w:sz w:val="16"/>
        </w:rPr>
        <w:t>Tridimas,</w:t>
      </w:r>
      <w:r>
        <w:rPr>
          <w:rFonts w:ascii="Arial"/>
          <w:spacing w:val="16"/>
          <w:w w:val="105"/>
          <w:sz w:val="16"/>
        </w:rPr>
        <w:t> </w:t>
      </w:r>
      <w:r>
        <w:rPr>
          <w:rFonts w:ascii="Verdana"/>
          <w:i/>
          <w:w w:val="105"/>
          <w:sz w:val="16"/>
        </w:rPr>
        <w:t>The General</w:t>
      </w:r>
      <w:r>
        <w:rPr>
          <w:rFonts w:ascii="Verdana"/>
          <w:i/>
          <w:w w:val="105"/>
          <w:sz w:val="16"/>
        </w:rPr>
        <w:t> Principles</w:t>
      </w:r>
      <w:r>
        <w:rPr>
          <w:rFonts w:ascii="Verdana"/>
          <w:i/>
          <w:spacing w:val="-6"/>
          <w:w w:val="105"/>
          <w:sz w:val="16"/>
        </w:rPr>
        <w:t> </w:t>
      </w:r>
      <w:r>
        <w:rPr>
          <w:rFonts w:ascii="Verdana"/>
          <w:i/>
          <w:w w:val="105"/>
          <w:sz w:val="16"/>
        </w:rPr>
        <w:t>of</w:t>
      </w:r>
      <w:r>
        <w:rPr>
          <w:rFonts w:ascii="Verdana"/>
          <w:i/>
          <w:spacing w:val="-6"/>
          <w:w w:val="105"/>
          <w:sz w:val="16"/>
        </w:rPr>
        <w:t> </w:t>
      </w:r>
      <w:r>
        <w:rPr>
          <w:rFonts w:ascii="Verdana"/>
          <w:i/>
          <w:w w:val="105"/>
          <w:sz w:val="16"/>
        </w:rPr>
        <w:t>EU</w:t>
      </w:r>
      <w:r>
        <w:rPr>
          <w:rFonts w:ascii="Verdana"/>
          <w:i/>
          <w:spacing w:val="-6"/>
          <w:w w:val="105"/>
          <w:sz w:val="16"/>
        </w:rPr>
        <w:t> </w:t>
      </w:r>
      <w:r>
        <w:rPr>
          <w:rFonts w:ascii="Verdana"/>
          <w:i/>
          <w:w w:val="105"/>
          <w:sz w:val="16"/>
        </w:rPr>
        <w:t>Law</w:t>
      </w:r>
      <w:r>
        <w:rPr>
          <w:rFonts w:ascii="Verdana"/>
          <w:i/>
          <w:spacing w:val="-6"/>
          <w:w w:val="105"/>
          <w:sz w:val="16"/>
        </w:rPr>
        <w:t> </w:t>
      </w:r>
      <w:r>
        <w:rPr>
          <w:w w:val="105"/>
          <w:sz w:val="16"/>
        </w:rPr>
        <w:t>(2nd edn), OUP 2006, 29-35.</w:t>
      </w:r>
    </w:p>
    <w:p>
      <w:pPr>
        <w:spacing w:after="0" w:line="194" w:lineRule="auto"/>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268" w:lineRule="auto" w:before="72"/>
        <w:ind w:right="48"/>
      </w:pPr>
      <w:r>
        <w:rPr>
          <w:w w:val="110"/>
        </w:rPr>
        <w:t>Where there is doubt as to the</w:t>
      </w:r>
      <w:r>
        <w:rPr>
          <w:spacing w:val="40"/>
          <w:w w:val="110"/>
        </w:rPr>
        <w:t> </w:t>
      </w:r>
      <w:r>
        <w:rPr>
          <w:w w:val="110"/>
        </w:rPr>
        <w:t>meaning of EU primary law, the latter</w:t>
      </w:r>
      <w:r>
        <w:rPr>
          <w:spacing w:val="40"/>
          <w:w w:val="110"/>
        </w:rPr>
        <w:t> </w:t>
      </w:r>
      <w:r>
        <w:rPr>
          <w:w w:val="110"/>
        </w:rPr>
        <w:t>is also interpreted in the light of the general</w:t>
      </w:r>
      <w:r>
        <w:rPr>
          <w:spacing w:val="-5"/>
          <w:w w:val="110"/>
        </w:rPr>
        <w:t> </w:t>
      </w:r>
      <w:r>
        <w:rPr>
          <w:w w:val="110"/>
        </w:rPr>
        <w:t>principles.</w:t>
      </w:r>
      <w:r>
        <w:rPr>
          <w:spacing w:val="-5"/>
          <w:w w:val="110"/>
        </w:rPr>
        <w:t> </w:t>
      </w:r>
      <w:r>
        <w:rPr>
          <w:w w:val="110"/>
        </w:rPr>
        <w:t>Moreover,</w:t>
      </w:r>
      <w:r>
        <w:rPr>
          <w:spacing w:val="-5"/>
          <w:w w:val="110"/>
        </w:rPr>
        <w:t> </w:t>
      </w:r>
      <w:r>
        <w:rPr>
          <w:w w:val="110"/>
        </w:rPr>
        <w:t>and</w:t>
      </w:r>
      <w:r>
        <w:rPr>
          <w:spacing w:val="-5"/>
          <w:w w:val="110"/>
        </w:rPr>
        <w:t> </w:t>
      </w:r>
      <w:r>
        <w:rPr>
          <w:w w:val="110"/>
        </w:rPr>
        <w:t>most controversially, the general principles of EU law can be relied upon as self- standing directly effective protections</w:t>
      </w:r>
      <w:r>
        <w:rPr>
          <w:spacing w:val="40"/>
          <w:w w:val="110"/>
        </w:rPr>
        <w:t> </w:t>
      </w:r>
      <w:r>
        <w:rPr>
          <w:w w:val="110"/>
        </w:rPr>
        <w:t>in situations falling within the scope of EU law. Thus, despite their unwritten character, the general principles of EU law can, in practice, operate similarly</w:t>
      </w:r>
      <w:r>
        <w:rPr>
          <w:spacing w:val="40"/>
          <w:w w:val="110"/>
        </w:rPr>
        <w:t> </w:t>
      </w:r>
      <w:r>
        <w:rPr>
          <w:w w:val="110"/>
        </w:rPr>
        <w:t>to rights-conferring provisions of the </w:t>
      </w:r>
      <w:r>
        <w:rPr>
          <w:spacing w:val="-2"/>
          <w:w w:val="110"/>
        </w:rPr>
        <w:t>Treaties.</w:t>
      </w:r>
    </w:p>
    <w:p>
      <w:pPr>
        <w:pStyle w:val="BodyText"/>
        <w:spacing w:before="13"/>
        <w:ind w:left="0"/>
      </w:pPr>
    </w:p>
    <w:p>
      <w:pPr>
        <w:pStyle w:val="BodyText"/>
        <w:spacing w:line="310" w:lineRule="exact"/>
        <w:rPr>
          <w:rFonts w:ascii="Lucida Sans Unicode"/>
        </w:rPr>
      </w:pPr>
      <w:r>
        <w:rPr>
          <w:w w:val="110"/>
        </w:rPr>
        <w:t>The CJEU typically derives the general principles from the constitutional traditions common to the Member </w:t>
      </w:r>
      <w:r>
        <w:rPr>
          <w:rFonts w:ascii="Lucida Sans Unicode"/>
          <w:w w:val="110"/>
        </w:rPr>
        <w:t>States.</w:t>
      </w:r>
      <w:r>
        <w:rPr>
          <w:rFonts w:ascii="Lucida Sans Unicode"/>
          <w:spacing w:val="-15"/>
          <w:w w:val="110"/>
        </w:rPr>
        <w:t> </w:t>
      </w:r>
      <w:r>
        <w:rPr>
          <w:rFonts w:ascii="Lucida Sans Unicode"/>
          <w:w w:val="110"/>
        </w:rPr>
        <w:t>While</w:t>
      </w:r>
      <w:r>
        <w:rPr>
          <w:rFonts w:ascii="Lucida Sans Unicode"/>
          <w:spacing w:val="-15"/>
          <w:w w:val="110"/>
        </w:rPr>
        <w:t> </w:t>
      </w:r>
      <w:r>
        <w:rPr>
          <w:rFonts w:ascii="Lucida Sans Unicode"/>
          <w:w w:val="110"/>
        </w:rPr>
        <w:t>there</w:t>
      </w:r>
      <w:r>
        <w:rPr>
          <w:rFonts w:ascii="Lucida Sans Unicode"/>
          <w:spacing w:val="-15"/>
          <w:w w:val="110"/>
        </w:rPr>
        <w:t> </w:t>
      </w:r>
      <w:r>
        <w:rPr>
          <w:rFonts w:ascii="Lucida Sans Unicode"/>
          <w:w w:val="110"/>
        </w:rPr>
        <w:t>have</w:t>
      </w:r>
      <w:r>
        <w:rPr>
          <w:rFonts w:ascii="Lucida Sans Unicode"/>
          <w:spacing w:val="-15"/>
          <w:w w:val="110"/>
        </w:rPr>
        <w:t> </w:t>
      </w:r>
      <w:r>
        <w:rPr>
          <w:rFonts w:ascii="Lucida Sans Unicode"/>
          <w:w w:val="110"/>
        </w:rPr>
        <w:t>been </w:t>
      </w:r>
      <w:r>
        <w:rPr>
          <w:w w:val="110"/>
        </w:rPr>
        <w:t>exceptions to this rule,</w:t>
      </w:r>
      <w:r>
        <w:rPr>
          <w:w w:val="110"/>
          <w:vertAlign w:val="superscript"/>
        </w:rPr>
        <w:t>11</w:t>
      </w:r>
      <w:r>
        <w:rPr>
          <w:w w:val="110"/>
          <w:vertAlign w:val="baseline"/>
        </w:rPr>
        <w:t> and one </w:t>
      </w:r>
      <w:r>
        <w:rPr>
          <w:rFonts w:ascii="Lucida Sans Unicode"/>
          <w:spacing w:val="-2"/>
          <w:w w:val="110"/>
          <w:vertAlign w:val="baseline"/>
        </w:rPr>
        <w:t>should</w:t>
      </w:r>
      <w:r>
        <w:rPr>
          <w:rFonts w:ascii="Lucida Sans Unicode"/>
          <w:spacing w:val="-18"/>
          <w:w w:val="110"/>
          <w:vertAlign w:val="baseline"/>
        </w:rPr>
        <w:t> </w:t>
      </w:r>
      <w:r>
        <w:rPr>
          <w:rFonts w:ascii="Lucida Sans Unicode"/>
          <w:spacing w:val="-2"/>
          <w:w w:val="110"/>
          <w:vertAlign w:val="baseline"/>
        </w:rPr>
        <w:t>not</w:t>
      </w:r>
      <w:r>
        <w:rPr>
          <w:rFonts w:ascii="Lucida Sans Unicode"/>
          <w:spacing w:val="-15"/>
          <w:w w:val="110"/>
          <w:vertAlign w:val="baseline"/>
        </w:rPr>
        <w:t> </w:t>
      </w:r>
      <w:r>
        <w:rPr>
          <w:rFonts w:ascii="Lucida Sans Unicode"/>
          <w:spacing w:val="-2"/>
          <w:w w:val="110"/>
          <w:vertAlign w:val="baseline"/>
        </w:rPr>
        <w:t>expect</w:t>
      </w:r>
      <w:r>
        <w:rPr>
          <w:rFonts w:ascii="Lucida Sans Unicode"/>
          <w:spacing w:val="-15"/>
          <w:w w:val="110"/>
          <w:vertAlign w:val="baseline"/>
        </w:rPr>
        <w:t> </w:t>
      </w:r>
      <w:r>
        <w:rPr>
          <w:rFonts w:ascii="Lucida Sans Unicode"/>
          <w:spacing w:val="-2"/>
          <w:w w:val="110"/>
          <w:vertAlign w:val="baseline"/>
        </w:rPr>
        <w:t>to</w:t>
      </w:r>
      <w:r>
        <w:rPr>
          <w:rFonts w:ascii="Lucida Sans Unicode"/>
          <w:spacing w:val="-15"/>
          <w:w w:val="110"/>
          <w:vertAlign w:val="baseline"/>
        </w:rPr>
        <w:t> </w:t>
      </w:r>
      <w:r>
        <w:rPr>
          <w:rFonts w:ascii="Lucida Sans Unicode"/>
          <w:spacing w:val="-2"/>
          <w:w w:val="110"/>
          <w:vertAlign w:val="baseline"/>
        </w:rPr>
        <w:t>find</w:t>
      </w:r>
      <w:r>
        <w:rPr>
          <w:rFonts w:ascii="Lucida Sans Unicode"/>
          <w:spacing w:val="-15"/>
          <w:w w:val="110"/>
          <w:vertAlign w:val="baseline"/>
        </w:rPr>
        <w:t> </w:t>
      </w:r>
      <w:r>
        <w:rPr>
          <w:rFonts w:ascii="Verdana"/>
          <w:i/>
          <w:spacing w:val="-2"/>
          <w:w w:val="110"/>
          <w:vertAlign w:val="baseline"/>
        </w:rPr>
        <w:t>all</w:t>
      </w:r>
      <w:r>
        <w:rPr>
          <w:rFonts w:ascii="Verdana"/>
          <w:i/>
          <w:spacing w:val="-22"/>
          <w:w w:val="110"/>
          <w:vertAlign w:val="baseline"/>
        </w:rPr>
        <w:t> </w:t>
      </w:r>
      <w:r>
        <w:rPr>
          <w:spacing w:val="-2"/>
          <w:w w:val="110"/>
          <w:vertAlign w:val="baseline"/>
        </w:rPr>
        <w:t>aspects </w:t>
      </w:r>
      <w:r>
        <w:rPr>
          <w:w w:val="110"/>
          <w:vertAlign w:val="baseline"/>
        </w:rPr>
        <w:t>of the general principles of EU law in </w:t>
      </w:r>
      <w:r>
        <w:rPr>
          <w:rFonts w:ascii="Lucida Sans Unicode"/>
          <w:vertAlign w:val="baseline"/>
        </w:rPr>
        <w:t>embodied in every Member State </w:t>
      </w:r>
      <w:r>
        <w:rPr>
          <w:rFonts w:ascii="Lucida Sans Unicode"/>
          <w:vertAlign w:val="baseline"/>
        </w:rPr>
        <w:t>legal </w:t>
      </w:r>
      <w:r>
        <w:rPr>
          <w:rFonts w:ascii="Lucida Sans Unicode"/>
          <w:spacing w:val="-2"/>
          <w:w w:val="110"/>
          <w:vertAlign w:val="baseline"/>
        </w:rPr>
        <w:t>order,</w:t>
      </w:r>
      <w:r>
        <w:rPr>
          <w:rFonts w:ascii="Lucida Sans Unicode"/>
          <w:spacing w:val="-19"/>
          <w:w w:val="110"/>
          <w:vertAlign w:val="baseline"/>
        </w:rPr>
        <w:t> </w:t>
      </w:r>
      <w:r>
        <w:rPr>
          <w:rFonts w:ascii="Lucida Sans Unicode"/>
          <w:spacing w:val="-2"/>
          <w:w w:val="110"/>
          <w:vertAlign w:val="baseline"/>
        </w:rPr>
        <w:t>they</w:t>
      </w:r>
      <w:r>
        <w:rPr>
          <w:rFonts w:ascii="Lucida Sans Unicode"/>
          <w:spacing w:val="-19"/>
          <w:w w:val="110"/>
          <w:vertAlign w:val="baseline"/>
        </w:rPr>
        <w:t> </w:t>
      </w:r>
      <w:r>
        <w:rPr>
          <w:rFonts w:ascii="Lucida Sans Unicode"/>
          <w:spacing w:val="-2"/>
          <w:w w:val="110"/>
          <w:vertAlign w:val="baseline"/>
        </w:rPr>
        <w:t>tend</w:t>
      </w:r>
      <w:r>
        <w:rPr>
          <w:rFonts w:ascii="Lucida Sans Unicode"/>
          <w:spacing w:val="-19"/>
          <w:w w:val="110"/>
          <w:vertAlign w:val="baseline"/>
        </w:rPr>
        <w:t> </w:t>
      </w:r>
      <w:r>
        <w:rPr>
          <w:rFonts w:ascii="Lucida Sans Unicode"/>
          <w:spacing w:val="-2"/>
          <w:w w:val="110"/>
          <w:vertAlign w:val="baseline"/>
        </w:rPr>
        <w:t>to</w:t>
      </w:r>
      <w:r>
        <w:rPr>
          <w:rFonts w:ascii="Lucida Sans Unicode"/>
          <w:spacing w:val="-19"/>
          <w:w w:val="110"/>
          <w:vertAlign w:val="baseline"/>
        </w:rPr>
        <w:t> </w:t>
      </w:r>
      <w:r>
        <w:rPr>
          <w:rFonts w:ascii="Lucida Sans Unicode"/>
          <w:spacing w:val="-2"/>
          <w:w w:val="110"/>
          <w:vertAlign w:val="baseline"/>
        </w:rPr>
        <w:t>broadly</w:t>
      </w:r>
      <w:r>
        <w:rPr>
          <w:rFonts w:ascii="Lucida Sans Unicode"/>
          <w:spacing w:val="-19"/>
          <w:w w:val="110"/>
          <w:vertAlign w:val="baseline"/>
        </w:rPr>
        <w:t> </w:t>
      </w:r>
      <w:r>
        <w:rPr>
          <w:rFonts w:ascii="Lucida Sans Unicode"/>
          <w:spacing w:val="-2"/>
          <w:w w:val="110"/>
          <w:vertAlign w:val="baseline"/>
        </w:rPr>
        <w:t>reflect</w:t>
      </w:r>
    </w:p>
    <w:p>
      <w:pPr>
        <w:pStyle w:val="BodyText"/>
        <w:spacing w:line="310" w:lineRule="exact"/>
        <w:ind w:right="234"/>
      </w:pPr>
      <w:r>
        <w:rPr>
          <w:w w:val="115"/>
        </w:rPr>
        <w:t>the key principles governing those legal orders. The most important </w:t>
      </w:r>
      <w:r>
        <w:rPr>
          <w:spacing w:val="-2"/>
          <w:w w:val="115"/>
        </w:rPr>
        <w:t>general</w:t>
      </w:r>
      <w:r>
        <w:rPr>
          <w:spacing w:val="-16"/>
          <w:w w:val="115"/>
        </w:rPr>
        <w:t> </w:t>
      </w:r>
      <w:r>
        <w:rPr>
          <w:spacing w:val="-2"/>
          <w:w w:val="115"/>
        </w:rPr>
        <w:t>principles</w:t>
      </w:r>
      <w:r>
        <w:rPr>
          <w:spacing w:val="-16"/>
          <w:w w:val="115"/>
        </w:rPr>
        <w:t> </w:t>
      </w:r>
      <w:r>
        <w:rPr>
          <w:spacing w:val="-2"/>
          <w:w w:val="115"/>
        </w:rPr>
        <w:t>developed</w:t>
      </w:r>
      <w:r>
        <w:rPr>
          <w:spacing w:val="-16"/>
          <w:w w:val="115"/>
        </w:rPr>
        <w:t> </w:t>
      </w:r>
      <w:r>
        <w:rPr>
          <w:spacing w:val="-2"/>
          <w:w w:val="115"/>
        </w:rPr>
        <w:t>by</w:t>
      </w:r>
      <w:r>
        <w:rPr>
          <w:spacing w:val="-16"/>
          <w:w w:val="115"/>
        </w:rPr>
        <w:t> </w:t>
      </w:r>
      <w:r>
        <w:rPr>
          <w:spacing w:val="-2"/>
          <w:w w:val="115"/>
        </w:rPr>
        <w:t>the CJEU</w:t>
      </w:r>
      <w:r>
        <w:rPr>
          <w:spacing w:val="-16"/>
          <w:w w:val="115"/>
        </w:rPr>
        <w:t> </w:t>
      </w:r>
      <w:r>
        <w:rPr>
          <w:spacing w:val="-2"/>
          <w:w w:val="115"/>
        </w:rPr>
        <w:t>over</w:t>
      </w:r>
      <w:r>
        <w:rPr>
          <w:spacing w:val="-16"/>
          <w:w w:val="115"/>
        </w:rPr>
        <w:t> </w:t>
      </w:r>
      <w:r>
        <w:rPr>
          <w:spacing w:val="-2"/>
          <w:w w:val="115"/>
        </w:rPr>
        <w:t>the</w:t>
      </w:r>
      <w:r>
        <w:rPr>
          <w:spacing w:val="-16"/>
          <w:w w:val="115"/>
        </w:rPr>
        <w:t> </w:t>
      </w:r>
      <w:r>
        <w:rPr>
          <w:spacing w:val="-2"/>
          <w:w w:val="115"/>
        </w:rPr>
        <w:t>decades</w:t>
      </w:r>
      <w:r>
        <w:rPr>
          <w:spacing w:val="-16"/>
          <w:w w:val="115"/>
        </w:rPr>
        <w:t> </w:t>
      </w:r>
      <w:r>
        <w:rPr>
          <w:spacing w:val="-2"/>
          <w:w w:val="115"/>
        </w:rPr>
        <w:t>include:</w:t>
      </w:r>
      <w:r>
        <w:rPr>
          <w:rFonts w:ascii="Lucida Sans Unicode"/>
          <w:spacing w:val="-2"/>
          <w:w w:val="115"/>
          <w:vertAlign w:val="superscript"/>
        </w:rPr>
        <w:t>12</w:t>
      </w:r>
      <w:r>
        <w:rPr>
          <w:rFonts w:ascii="Lucida Sans Unicode"/>
          <w:spacing w:val="-2"/>
          <w:w w:val="115"/>
          <w:vertAlign w:val="baseline"/>
        </w:rPr>
        <w:t> </w:t>
      </w:r>
      <w:r>
        <w:rPr>
          <w:w w:val="115"/>
          <w:vertAlign w:val="baseline"/>
        </w:rPr>
        <w:t>the principle of proportionality; the principle of equality; legal certainty and legitimate expectations; the right to judicial protection; rights</w:t>
      </w:r>
    </w:p>
    <w:p>
      <w:pPr>
        <w:pStyle w:val="BodyText"/>
        <w:spacing w:line="268" w:lineRule="auto" w:before="23"/>
        <w:ind w:right="573"/>
      </w:pPr>
      <w:r>
        <w:rPr>
          <w:w w:val="115"/>
        </w:rPr>
        <w:t>of defence; transparency; abuse of</w:t>
      </w:r>
      <w:r>
        <w:rPr>
          <w:spacing w:val="-6"/>
          <w:w w:val="115"/>
        </w:rPr>
        <w:t> </w:t>
      </w:r>
      <w:r>
        <w:rPr>
          <w:w w:val="115"/>
        </w:rPr>
        <w:t>rights;</w:t>
      </w:r>
      <w:r>
        <w:rPr>
          <w:spacing w:val="-6"/>
          <w:w w:val="115"/>
        </w:rPr>
        <w:t> </w:t>
      </w:r>
      <w:r>
        <w:rPr>
          <w:w w:val="115"/>
        </w:rPr>
        <w:t>the</w:t>
      </w:r>
      <w:r>
        <w:rPr>
          <w:spacing w:val="-6"/>
          <w:w w:val="115"/>
        </w:rPr>
        <w:t> </w:t>
      </w:r>
      <w:r>
        <w:rPr>
          <w:w w:val="115"/>
        </w:rPr>
        <w:t>principle</w:t>
      </w:r>
      <w:r>
        <w:rPr>
          <w:spacing w:val="-6"/>
          <w:w w:val="115"/>
        </w:rPr>
        <w:t> </w:t>
      </w:r>
      <w:r>
        <w:rPr>
          <w:w w:val="115"/>
        </w:rPr>
        <w:t>of</w:t>
      </w:r>
      <w:r>
        <w:rPr>
          <w:spacing w:val="-6"/>
          <w:w w:val="115"/>
        </w:rPr>
        <w:t> </w:t>
      </w:r>
      <w:r>
        <w:rPr>
          <w:w w:val="115"/>
        </w:rPr>
        <w:t>effective</w:t>
      </w:r>
    </w:p>
    <w:p>
      <w:pPr>
        <w:pStyle w:val="BodyText"/>
        <w:spacing w:line="268" w:lineRule="auto" w:before="2"/>
        <w:ind w:right="48"/>
      </w:pPr>
      <w:r>
        <w:rPr>
          <w:spacing w:val="-2"/>
          <w:w w:val="115"/>
        </w:rPr>
        <w:t>remedies</w:t>
      </w:r>
      <w:r>
        <w:rPr>
          <w:spacing w:val="-18"/>
          <w:w w:val="115"/>
        </w:rPr>
        <w:t> </w:t>
      </w:r>
      <w:r>
        <w:rPr>
          <w:spacing w:val="-2"/>
          <w:w w:val="115"/>
        </w:rPr>
        <w:t>in</w:t>
      </w:r>
      <w:r>
        <w:rPr>
          <w:spacing w:val="-17"/>
          <w:w w:val="115"/>
        </w:rPr>
        <w:t> </w:t>
      </w:r>
      <w:r>
        <w:rPr>
          <w:spacing w:val="-2"/>
          <w:w w:val="115"/>
        </w:rPr>
        <w:t>national</w:t>
      </w:r>
      <w:r>
        <w:rPr>
          <w:spacing w:val="-17"/>
          <w:w w:val="115"/>
        </w:rPr>
        <w:t> </w:t>
      </w:r>
      <w:r>
        <w:rPr>
          <w:spacing w:val="-2"/>
          <w:w w:val="115"/>
        </w:rPr>
        <w:t>courts,</w:t>
      </w:r>
      <w:r>
        <w:rPr>
          <w:spacing w:val="-17"/>
          <w:w w:val="115"/>
        </w:rPr>
        <w:t> </w:t>
      </w:r>
      <w:r>
        <w:rPr>
          <w:spacing w:val="-2"/>
          <w:w w:val="115"/>
        </w:rPr>
        <w:t>including </w:t>
      </w:r>
      <w:r>
        <w:rPr>
          <w:w w:val="115"/>
        </w:rPr>
        <w:t>state liability; and, most importantly, EU fundamental rights.</w:t>
      </w:r>
    </w:p>
    <w:p>
      <w:pPr>
        <w:pStyle w:val="BodyText"/>
        <w:spacing w:line="268" w:lineRule="auto" w:before="72"/>
        <w:ind w:right="224"/>
      </w:pPr>
      <w:r>
        <w:rPr/>
        <w:br w:type="column"/>
      </w:r>
      <w:r>
        <w:rPr>
          <w:w w:val="115"/>
        </w:rPr>
        <w:t>For the purposes of this research, which focuses on the protection of fundamental rights in the Northern Ireland</w:t>
      </w:r>
      <w:r>
        <w:rPr>
          <w:spacing w:val="-20"/>
          <w:w w:val="115"/>
        </w:rPr>
        <w:t> </w:t>
      </w:r>
      <w:r>
        <w:rPr>
          <w:w w:val="115"/>
        </w:rPr>
        <w:t>legal</w:t>
      </w:r>
      <w:r>
        <w:rPr>
          <w:spacing w:val="-19"/>
          <w:w w:val="115"/>
        </w:rPr>
        <w:t> </w:t>
      </w:r>
      <w:r>
        <w:rPr>
          <w:w w:val="115"/>
        </w:rPr>
        <w:t>order</w:t>
      </w:r>
      <w:r>
        <w:rPr>
          <w:spacing w:val="-19"/>
          <w:w w:val="115"/>
        </w:rPr>
        <w:t> </w:t>
      </w:r>
      <w:r>
        <w:rPr>
          <w:w w:val="115"/>
        </w:rPr>
        <w:t>under</w:t>
      </w:r>
      <w:r>
        <w:rPr>
          <w:spacing w:val="-19"/>
          <w:w w:val="115"/>
        </w:rPr>
        <w:t> </w:t>
      </w:r>
      <w:r>
        <w:rPr>
          <w:w w:val="115"/>
        </w:rPr>
        <w:t>the</w:t>
      </w:r>
      <w:r>
        <w:rPr>
          <w:spacing w:val="-19"/>
          <w:w w:val="115"/>
        </w:rPr>
        <w:t> </w:t>
      </w:r>
      <w:r>
        <w:rPr>
          <w:w w:val="115"/>
        </w:rPr>
        <w:t>Windsor Framework,</w:t>
      </w:r>
      <w:r>
        <w:rPr>
          <w:spacing w:val="-20"/>
          <w:w w:val="115"/>
        </w:rPr>
        <w:t> </w:t>
      </w:r>
      <w:r>
        <w:rPr>
          <w:w w:val="115"/>
        </w:rPr>
        <w:t>the</w:t>
      </w:r>
      <w:r>
        <w:rPr>
          <w:spacing w:val="-19"/>
          <w:w w:val="115"/>
        </w:rPr>
        <w:t> </w:t>
      </w:r>
      <w:r>
        <w:rPr>
          <w:w w:val="115"/>
        </w:rPr>
        <w:t>relationship</w:t>
      </w:r>
      <w:r>
        <w:rPr>
          <w:spacing w:val="-19"/>
          <w:w w:val="115"/>
        </w:rPr>
        <w:t> </w:t>
      </w:r>
      <w:r>
        <w:rPr>
          <w:w w:val="115"/>
        </w:rPr>
        <w:t>between the Charter and the fundamental rights</w:t>
      </w:r>
      <w:r>
        <w:rPr>
          <w:spacing w:val="-17"/>
          <w:w w:val="115"/>
        </w:rPr>
        <w:t> </w:t>
      </w:r>
      <w:r>
        <w:rPr>
          <w:w w:val="115"/>
        </w:rPr>
        <w:t>protected</w:t>
      </w:r>
      <w:r>
        <w:rPr>
          <w:spacing w:val="-17"/>
          <w:w w:val="115"/>
        </w:rPr>
        <w:t> </w:t>
      </w:r>
      <w:r>
        <w:rPr>
          <w:w w:val="115"/>
        </w:rPr>
        <w:t>as</w:t>
      </w:r>
      <w:r>
        <w:rPr>
          <w:spacing w:val="-17"/>
          <w:w w:val="115"/>
        </w:rPr>
        <w:t> </w:t>
      </w:r>
      <w:r>
        <w:rPr>
          <w:w w:val="115"/>
        </w:rPr>
        <w:t>general</w:t>
      </w:r>
      <w:r>
        <w:rPr>
          <w:spacing w:val="-17"/>
          <w:w w:val="115"/>
        </w:rPr>
        <w:t> </w:t>
      </w:r>
      <w:r>
        <w:rPr>
          <w:w w:val="115"/>
        </w:rPr>
        <w:t>principles </w:t>
      </w:r>
      <w:r>
        <w:rPr>
          <w:spacing w:val="-2"/>
          <w:w w:val="115"/>
        </w:rPr>
        <w:t>of</w:t>
      </w:r>
      <w:r>
        <w:rPr>
          <w:spacing w:val="-18"/>
          <w:w w:val="115"/>
        </w:rPr>
        <w:t> </w:t>
      </w:r>
      <w:r>
        <w:rPr>
          <w:spacing w:val="-2"/>
          <w:w w:val="115"/>
        </w:rPr>
        <w:t>EU</w:t>
      </w:r>
      <w:r>
        <w:rPr>
          <w:spacing w:val="-17"/>
          <w:w w:val="115"/>
        </w:rPr>
        <w:t> </w:t>
      </w:r>
      <w:r>
        <w:rPr>
          <w:spacing w:val="-2"/>
          <w:w w:val="115"/>
        </w:rPr>
        <w:t>law</w:t>
      </w:r>
      <w:r>
        <w:rPr>
          <w:spacing w:val="-17"/>
          <w:w w:val="115"/>
        </w:rPr>
        <w:t> </w:t>
      </w:r>
      <w:r>
        <w:rPr>
          <w:spacing w:val="-2"/>
          <w:w w:val="115"/>
        </w:rPr>
        <w:t>is</w:t>
      </w:r>
      <w:r>
        <w:rPr>
          <w:spacing w:val="-17"/>
          <w:w w:val="115"/>
        </w:rPr>
        <w:t> </w:t>
      </w:r>
      <w:r>
        <w:rPr>
          <w:spacing w:val="-2"/>
          <w:w w:val="115"/>
        </w:rPr>
        <w:t>of</w:t>
      </w:r>
      <w:r>
        <w:rPr>
          <w:spacing w:val="-17"/>
          <w:w w:val="115"/>
        </w:rPr>
        <w:t> </w:t>
      </w:r>
      <w:r>
        <w:rPr>
          <w:spacing w:val="-2"/>
          <w:w w:val="115"/>
        </w:rPr>
        <w:t>greatest</w:t>
      </w:r>
      <w:r>
        <w:rPr>
          <w:spacing w:val="-18"/>
          <w:w w:val="115"/>
        </w:rPr>
        <w:t> </w:t>
      </w:r>
      <w:r>
        <w:rPr>
          <w:spacing w:val="-2"/>
          <w:w w:val="115"/>
        </w:rPr>
        <w:t>relevance</w:t>
      </w:r>
      <w:r>
        <w:rPr>
          <w:spacing w:val="-17"/>
          <w:w w:val="115"/>
        </w:rPr>
        <w:t> </w:t>
      </w:r>
      <w:r>
        <w:rPr>
          <w:spacing w:val="-2"/>
          <w:w w:val="115"/>
        </w:rPr>
        <w:t>and </w:t>
      </w:r>
      <w:r>
        <w:rPr>
          <w:w w:val="115"/>
        </w:rPr>
        <w:t>will, therefore, be the focus of our </w:t>
      </w:r>
      <w:r>
        <w:rPr>
          <w:spacing w:val="-2"/>
          <w:w w:val="115"/>
        </w:rPr>
        <w:t>analysis.</w:t>
      </w:r>
    </w:p>
    <w:p>
      <w:pPr>
        <w:pStyle w:val="BodyText"/>
        <w:spacing w:before="33"/>
        <w:ind w:left="0"/>
      </w:pPr>
    </w:p>
    <w:p>
      <w:pPr>
        <w:pStyle w:val="BodyText"/>
        <w:spacing w:line="247" w:lineRule="auto"/>
        <w:ind w:right="116"/>
      </w:pPr>
      <w:r>
        <w:rPr>
          <w:w w:val="115"/>
        </w:rPr>
        <w:t>Before the entry into force of the </w:t>
      </w:r>
      <w:r>
        <w:rPr>
          <w:rFonts w:ascii="Lucida Sans Unicode"/>
          <w:spacing w:val="-2"/>
          <w:w w:val="110"/>
        </w:rPr>
        <w:t>Lisbon</w:t>
      </w:r>
      <w:r>
        <w:rPr>
          <w:rFonts w:ascii="Lucida Sans Unicode"/>
          <w:spacing w:val="-19"/>
          <w:w w:val="110"/>
        </w:rPr>
        <w:t> </w:t>
      </w:r>
      <w:r>
        <w:rPr>
          <w:rFonts w:ascii="Lucida Sans Unicode"/>
          <w:spacing w:val="-2"/>
          <w:w w:val="110"/>
        </w:rPr>
        <w:t>Treaty</w:t>
      </w:r>
      <w:r>
        <w:rPr>
          <w:rFonts w:ascii="Lucida Sans Unicode"/>
          <w:spacing w:val="-19"/>
          <w:w w:val="110"/>
        </w:rPr>
        <w:t> </w:t>
      </w:r>
      <w:r>
        <w:rPr>
          <w:rFonts w:ascii="Lucida Sans Unicode"/>
          <w:spacing w:val="-2"/>
          <w:w w:val="110"/>
        </w:rPr>
        <w:t>in</w:t>
      </w:r>
      <w:r>
        <w:rPr>
          <w:rFonts w:ascii="Lucida Sans Unicode"/>
          <w:spacing w:val="-19"/>
          <w:w w:val="110"/>
        </w:rPr>
        <w:t> </w:t>
      </w:r>
      <w:r>
        <w:rPr>
          <w:rFonts w:ascii="Lucida Sans Unicode"/>
          <w:spacing w:val="-2"/>
          <w:w w:val="110"/>
        </w:rPr>
        <w:t>December</w:t>
      </w:r>
      <w:r>
        <w:rPr>
          <w:rFonts w:ascii="Lucida Sans Unicode"/>
          <w:spacing w:val="-19"/>
          <w:w w:val="110"/>
        </w:rPr>
        <w:t> </w:t>
      </w:r>
      <w:r>
        <w:rPr>
          <w:rFonts w:ascii="Lucida Sans Unicode"/>
          <w:spacing w:val="-2"/>
          <w:w w:val="110"/>
        </w:rPr>
        <w:t>2009, </w:t>
      </w:r>
      <w:r>
        <w:rPr>
          <w:w w:val="115"/>
        </w:rPr>
        <w:t>which rendered the Charter binding </w:t>
      </w:r>
      <w:r>
        <w:rPr>
          <w:rFonts w:ascii="Lucida Sans Unicode"/>
        </w:rPr>
        <w:t>on both the EU and its Member States </w:t>
      </w:r>
      <w:r>
        <w:rPr>
          <w:w w:val="115"/>
        </w:rPr>
        <w:t>under</w:t>
      </w:r>
      <w:r>
        <w:rPr>
          <w:spacing w:val="-2"/>
          <w:w w:val="115"/>
        </w:rPr>
        <w:t> </w:t>
      </w:r>
      <w:r>
        <w:rPr>
          <w:w w:val="115"/>
        </w:rPr>
        <w:t>Article</w:t>
      </w:r>
      <w:r>
        <w:rPr>
          <w:spacing w:val="-2"/>
          <w:w w:val="115"/>
        </w:rPr>
        <w:t> </w:t>
      </w:r>
      <w:r>
        <w:rPr>
          <w:w w:val="115"/>
        </w:rPr>
        <w:t>6</w:t>
      </w:r>
      <w:r>
        <w:rPr>
          <w:spacing w:val="-2"/>
          <w:w w:val="115"/>
        </w:rPr>
        <w:t> </w:t>
      </w:r>
      <w:r>
        <w:rPr>
          <w:w w:val="115"/>
        </w:rPr>
        <w:t>(1)</w:t>
      </w:r>
      <w:r>
        <w:rPr>
          <w:spacing w:val="-2"/>
          <w:w w:val="115"/>
        </w:rPr>
        <w:t> </w:t>
      </w:r>
      <w:r>
        <w:rPr>
          <w:w w:val="115"/>
        </w:rPr>
        <w:t>TEU,</w:t>
      </w:r>
      <w:r>
        <w:rPr>
          <w:spacing w:val="-2"/>
          <w:w w:val="115"/>
        </w:rPr>
        <w:t> </w:t>
      </w:r>
      <w:r>
        <w:rPr>
          <w:w w:val="115"/>
        </w:rPr>
        <w:t>the</w:t>
      </w:r>
      <w:r>
        <w:rPr>
          <w:spacing w:val="-2"/>
          <w:w w:val="115"/>
        </w:rPr>
        <w:t> </w:t>
      </w:r>
      <w:r>
        <w:rPr>
          <w:w w:val="115"/>
        </w:rPr>
        <w:t>general principles were the only source of fundamental</w:t>
      </w:r>
      <w:r>
        <w:rPr>
          <w:spacing w:val="-20"/>
          <w:w w:val="115"/>
        </w:rPr>
        <w:t> </w:t>
      </w:r>
      <w:r>
        <w:rPr>
          <w:w w:val="115"/>
        </w:rPr>
        <w:t>rights</w:t>
      </w:r>
      <w:r>
        <w:rPr>
          <w:spacing w:val="-19"/>
          <w:w w:val="115"/>
        </w:rPr>
        <w:t> </w:t>
      </w:r>
      <w:r>
        <w:rPr>
          <w:w w:val="115"/>
        </w:rPr>
        <w:t>in</w:t>
      </w:r>
      <w:r>
        <w:rPr>
          <w:spacing w:val="-19"/>
          <w:w w:val="115"/>
        </w:rPr>
        <w:t> </w:t>
      </w:r>
      <w:r>
        <w:rPr>
          <w:w w:val="115"/>
        </w:rPr>
        <w:t>the</w:t>
      </w:r>
      <w:r>
        <w:rPr>
          <w:spacing w:val="-19"/>
          <w:w w:val="115"/>
        </w:rPr>
        <w:t> </w:t>
      </w:r>
      <w:r>
        <w:rPr>
          <w:w w:val="115"/>
        </w:rPr>
        <w:t>EU.</w:t>
      </w:r>
      <w:r>
        <w:rPr>
          <w:spacing w:val="-19"/>
          <w:w w:val="115"/>
        </w:rPr>
        <w:t> </w:t>
      </w:r>
      <w:r>
        <w:rPr>
          <w:w w:val="115"/>
        </w:rPr>
        <w:t>This</w:t>
      </w:r>
      <w:r>
        <w:rPr>
          <w:spacing w:val="-20"/>
          <w:w w:val="115"/>
        </w:rPr>
        <w:t> </w:t>
      </w:r>
      <w:r>
        <w:rPr>
          <w:w w:val="115"/>
        </w:rPr>
        <w:t>has now</w:t>
      </w:r>
      <w:r>
        <w:rPr>
          <w:spacing w:val="-20"/>
          <w:w w:val="115"/>
        </w:rPr>
        <w:t> </w:t>
      </w:r>
      <w:r>
        <w:rPr>
          <w:w w:val="115"/>
        </w:rPr>
        <w:t>changed;</w:t>
      </w:r>
      <w:r>
        <w:rPr>
          <w:spacing w:val="-19"/>
          <w:w w:val="115"/>
        </w:rPr>
        <w:t> </w:t>
      </w:r>
      <w:r>
        <w:rPr>
          <w:w w:val="115"/>
        </w:rPr>
        <w:t>but</w:t>
      </w:r>
      <w:r>
        <w:rPr>
          <w:spacing w:val="-19"/>
          <w:w w:val="115"/>
        </w:rPr>
        <w:t> </w:t>
      </w:r>
      <w:r>
        <w:rPr>
          <w:w w:val="115"/>
        </w:rPr>
        <w:t>instead</w:t>
      </w:r>
      <w:r>
        <w:rPr>
          <w:spacing w:val="-19"/>
          <w:w w:val="115"/>
        </w:rPr>
        <w:t> </w:t>
      </w:r>
      <w:r>
        <w:rPr>
          <w:w w:val="115"/>
        </w:rPr>
        <w:t>of</w:t>
      </w:r>
      <w:r>
        <w:rPr>
          <w:spacing w:val="-19"/>
          <w:w w:val="115"/>
        </w:rPr>
        <w:t> </w:t>
      </w:r>
      <w:r>
        <w:rPr>
          <w:w w:val="115"/>
        </w:rPr>
        <w:t>removing the</w:t>
      </w:r>
      <w:r>
        <w:rPr>
          <w:spacing w:val="-5"/>
          <w:w w:val="115"/>
        </w:rPr>
        <w:t> </w:t>
      </w:r>
      <w:r>
        <w:rPr>
          <w:w w:val="115"/>
        </w:rPr>
        <w:t>general</w:t>
      </w:r>
      <w:r>
        <w:rPr>
          <w:spacing w:val="-5"/>
          <w:w w:val="115"/>
        </w:rPr>
        <w:t> </w:t>
      </w:r>
      <w:r>
        <w:rPr>
          <w:w w:val="115"/>
        </w:rPr>
        <w:t>principles</w:t>
      </w:r>
      <w:r>
        <w:rPr>
          <w:spacing w:val="-5"/>
          <w:w w:val="115"/>
        </w:rPr>
        <w:t> </w:t>
      </w:r>
      <w:r>
        <w:rPr>
          <w:w w:val="115"/>
        </w:rPr>
        <w:t>as</w:t>
      </w:r>
      <w:r>
        <w:rPr>
          <w:spacing w:val="-5"/>
          <w:w w:val="115"/>
        </w:rPr>
        <w:t> </w:t>
      </w:r>
      <w:r>
        <w:rPr>
          <w:w w:val="115"/>
        </w:rPr>
        <w:t>a</w:t>
      </w:r>
      <w:r>
        <w:rPr>
          <w:spacing w:val="-5"/>
          <w:w w:val="115"/>
        </w:rPr>
        <w:t> </w:t>
      </w:r>
      <w:r>
        <w:rPr>
          <w:w w:val="115"/>
        </w:rPr>
        <w:t>source, </w:t>
      </w:r>
      <w:r>
        <w:rPr>
          <w:rFonts w:ascii="Lucida Sans Unicode"/>
          <w:w w:val="110"/>
        </w:rPr>
        <w:t>Article</w:t>
      </w:r>
      <w:r>
        <w:rPr>
          <w:rFonts w:ascii="Lucida Sans Unicode"/>
          <w:spacing w:val="-14"/>
          <w:w w:val="110"/>
        </w:rPr>
        <w:t> </w:t>
      </w:r>
      <w:r>
        <w:rPr>
          <w:rFonts w:ascii="Lucida Sans Unicode"/>
          <w:w w:val="110"/>
        </w:rPr>
        <w:t>6</w:t>
      </w:r>
      <w:r>
        <w:rPr>
          <w:rFonts w:ascii="Lucida Sans Unicode"/>
          <w:spacing w:val="-14"/>
          <w:w w:val="110"/>
        </w:rPr>
        <w:t> </w:t>
      </w:r>
      <w:r>
        <w:rPr>
          <w:rFonts w:ascii="Lucida Sans Unicode"/>
          <w:w w:val="110"/>
        </w:rPr>
        <w:t>(3)</w:t>
      </w:r>
      <w:r>
        <w:rPr>
          <w:rFonts w:ascii="Lucida Sans Unicode"/>
          <w:spacing w:val="-14"/>
          <w:w w:val="110"/>
        </w:rPr>
        <w:t> </w:t>
      </w:r>
      <w:r>
        <w:rPr>
          <w:rFonts w:ascii="Lucida Sans Unicode"/>
          <w:w w:val="110"/>
        </w:rPr>
        <w:t>TEU</w:t>
      </w:r>
      <w:r>
        <w:rPr>
          <w:rFonts w:ascii="Lucida Sans Unicode"/>
          <w:spacing w:val="-14"/>
          <w:w w:val="110"/>
        </w:rPr>
        <w:t> </w:t>
      </w:r>
      <w:r>
        <w:rPr>
          <w:rFonts w:ascii="Lucida Sans Unicode"/>
          <w:w w:val="110"/>
        </w:rPr>
        <w:t>makes</w:t>
      </w:r>
      <w:r>
        <w:rPr>
          <w:rFonts w:ascii="Lucida Sans Unicode"/>
          <w:spacing w:val="-14"/>
          <w:w w:val="110"/>
        </w:rPr>
        <w:t> </w:t>
      </w:r>
      <w:r>
        <w:rPr>
          <w:rFonts w:ascii="Lucida Sans Unicode"/>
          <w:w w:val="110"/>
        </w:rPr>
        <w:t>it</w:t>
      </w:r>
      <w:r>
        <w:rPr>
          <w:rFonts w:ascii="Lucida Sans Unicode"/>
          <w:spacing w:val="-14"/>
          <w:w w:val="110"/>
        </w:rPr>
        <w:t> </w:t>
      </w:r>
      <w:r>
        <w:rPr>
          <w:rFonts w:ascii="Lucida Sans Unicode"/>
          <w:w w:val="110"/>
        </w:rPr>
        <w:t>clear</w:t>
      </w:r>
      <w:r>
        <w:rPr>
          <w:rFonts w:ascii="Lucida Sans Unicode"/>
          <w:spacing w:val="-14"/>
          <w:w w:val="110"/>
        </w:rPr>
        <w:t> </w:t>
      </w:r>
      <w:r>
        <w:rPr>
          <w:rFonts w:ascii="Lucida Sans Unicode"/>
          <w:w w:val="110"/>
        </w:rPr>
        <w:t>that </w:t>
      </w:r>
      <w:r>
        <w:rPr>
          <w:w w:val="115"/>
        </w:rPr>
        <w:t>the general principles continue to be</w:t>
      </w:r>
    </w:p>
    <w:p>
      <w:pPr>
        <w:pStyle w:val="BodyText"/>
        <w:spacing w:line="268" w:lineRule="auto"/>
        <w:ind w:right="266"/>
      </w:pPr>
      <w:r>
        <w:rPr>
          <w:spacing w:val="-2"/>
          <w:w w:val="115"/>
        </w:rPr>
        <w:t>a</w:t>
      </w:r>
      <w:r>
        <w:rPr>
          <w:spacing w:val="-16"/>
          <w:w w:val="115"/>
        </w:rPr>
        <w:t> </w:t>
      </w:r>
      <w:r>
        <w:rPr>
          <w:spacing w:val="-2"/>
          <w:w w:val="115"/>
        </w:rPr>
        <w:t>source</w:t>
      </w:r>
      <w:r>
        <w:rPr>
          <w:spacing w:val="-16"/>
          <w:w w:val="115"/>
        </w:rPr>
        <w:t> </w:t>
      </w:r>
      <w:r>
        <w:rPr>
          <w:spacing w:val="-2"/>
          <w:w w:val="115"/>
        </w:rPr>
        <w:t>of</w:t>
      </w:r>
      <w:r>
        <w:rPr>
          <w:spacing w:val="-16"/>
          <w:w w:val="115"/>
        </w:rPr>
        <w:t> </w:t>
      </w:r>
      <w:r>
        <w:rPr>
          <w:spacing w:val="-2"/>
          <w:w w:val="115"/>
        </w:rPr>
        <w:t>fundamental</w:t>
      </w:r>
      <w:r>
        <w:rPr>
          <w:spacing w:val="-16"/>
          <w:w w:val="115"/>
        </w:rPr>
        <w:t> </w:t>
      </w:r>
      <w:r>
        <w:rPr>
          <w:spacing w:val="-2"/>
          <w:w w:val="115"/>
        </w:rPr>
        <w:t>rights</w:t>
      </w:r>
      <w:r>
        <w:rPr>
          <w:spacing w:val="-16"/>
          <w:w w:val="115"/>
        </w:rPr>
        <w:t> </w:t>
      </w:r>
      <w:r>
        <w:rPr>
          <w:spacing w:val="-2"/>
          <w:w w:val="115"/>
        </w:rPr>
        <w:t>in</w:t>
      </w:r>
      <w:r>
        <w:rPr>
          <w:spacing w:val="-16"/>
          <w:w w:val="115"/>
        </w:rPr>
        <w:t> </w:t>
      </w:r>
      <w:r>
        <w:rPr>
          <w:spacing w:val="-2"/>
          <w:w w:val="115"/>
        </w:rPr>
        <w:t>EU </w:t>
      </w:r>
      <w:r>
        <w:rPr>
          <w:w w:val="115"/>
        </w:rPr>
        <w:t>law. It states:</w:t>
      </w:r>
    </w:p>
    <w:p>
      <w:pPr>
        <w:pStyle w:val="BodyText"/>
        <w:spacing w:line="310" w:lineRule="exact" w:before="275"/>
        <w:ind w:left="680" w:right="158"/>
      </w:pPr>
      <w:r>
        <w:rPr>
          <w:color w:val="77328A"/>
          <w:w w:val="110"/>
        </w:rPr>
        <w:t>Fundamental rights, as guaranteed by the European Convention for the Protection of Human Rights and Fundamental Freedoms and as they result</w:t>
      </w:r>
      <w:r>
        <w:rPr>
          <w:color w:val="77328A"/>
          <w:spacing w:val="80"/>
          <w:w w:val="150"/>
        </w:rPr>
        <w:t> </w:t>
      </w:r>
      <w:r>
        <w:rPr>
          <w:color w:val="77328A"/>
          <w:w w:val="110"/>
        </w:rPr>
        <w:t>from the constitutional traditions </w:t>
      </w:r>
      <w:r>
        <w:rPr>
          <w:rFonts w:ascii="Lucida Sans Unicode" w:hAnsi="Lucida Sans Unicode"/>
          <w:color w:val="77328A"/>
          <w:w w:val="110"/>
        </w:rPr>
        <w:t>common</w:t>
      </w:r>
      <w:r>
        <w:rPr>
          <w:rFonts w:ascii="Lucida Sans Unicode" w:hAnsi="Lucida Sans Unicode"/>
          <w:color w:val="77328A"/>
          <w:spacing w:val="-21"/>
          <w:w w:val="110"/>
        </w:rPr>
        <w:t> </w:t>
      </w:r>
      <w:r>
        <w:rPr>
          <w:rFonts w:ascii="Lucida Sans Unicode" w:hAnsi="Lucida Sans Unicode"/>
          <w:color w:val="77328A"/>
          <w:w w:val="110"/>
        </w:rPr>
        <w:t>to</w:t>
      </w:r>
      <w:r>
        <w:rPr>
          <w:rFonts w:ascii="Lucida Sans Unicode" w:hAnsi="Lucida Sans Unicode"/>
          <w:color w:val="77328A"/>
          <w:spacing w:val="-21"/>
          <w:w w:val="110"/>
        </w:rPr>
        <w:t> </w:t>
      </w:r>
      <w:r>
        <w:rPr>
          <w:rFonts w:ascii="Lucida Sans Unicode" w:hAnsi="Lucida Sans Unicode"/>
          <w:color w:val="77328A"/>
          <w:w w:val="110"/>
        </w:rPr>
        <w:t>the</w:t>
      </w:r>
      <w:r>
        <w:rPr>
          <w:rFonts w:ascii="Lucida Sans Unicode" w:hAnsi="Lucida Sans Unicode"/>
          <w:color w:val="77328A"/>
          <w:spacing w:val="-21"/>
          <w:w w:val="110"/>
        </w:rPr>
        <w:t> </w:t>
      </w:r>
      <w:r>
        <w:rPr>
          <w:rFonts w:ascii="Lucida Sans Unicode" w:hAnsi="Lucida Sans Unicode"/>
          <w:color w:val="77328A"/>
          <w:w w:val="110"/>
        </w:rPr>
        <w:t>Member</w:t>
      </w:r>
      <w:r>
        <w:rPr>
          <w:rFonts w:ascii="Lucida Sans Unicode" w:hAnsi="Lucida Sans Unicode"/>
          <w:color w:val="77328A"/>
          <w:spacing w:val="-21"/>
          <w:w w:val="110"/>
        </w:rPr>
        <w:t> </w:t>
      </w:r>
      <w:r>
        <w:rPr>
          <w:rFonts w:ascii="Lucida Sans Unicode" w:hAnsi="Lucida Sans Unicode"/>
          <w:color w:val="77328A"/>
          <w:w w:val="110"/>
        </w:rPr>
        <w:t>States, </w:t>
      </w:r>
      <w:r>
        <w:rPr>
          <w:color w:val="77328A"/>
          <w:w w:val="110"/>
        </w:rPr>
        <w:t>shall constitute general </w:t>
      </w:r>
      <w:r>
        <w:rPr>
          <w:color w:val="77328A"/>
          <w:w w:val="110"/>
        </w:rPr>
        <w:t>principles of the Union’s law.</w:t>
      </w:r>
    </w:p>
    <w:p>
      <w:pPr>
        <w:spacing w:after="0" w:line="310" w:lineRule="exact"/>
        <w:sectPr>
          <w:type w:val="continuous"/>
          <w:pgSz w:w="11910" w:h="16840"/>
          <w:pgMar w:header="568" w:footer="580" w:top="0" w:bottom="280" w:left="1020" w:right="1020"/>
          <w:cols w:num="2" w:equalWidth="0">
            <w:col w:w="4746" w:space="299"/>
            <w:col w:w="4825"/>
          </w:cols>
        </w:sectPr>
      </w:pPr>
    </w:p>
    <w:p>
      <w:pPr>
        <w:pStyle w:val="BodyText"/>
        <w:ind w:left="0"/>
        <w:rPr>
          <w:sz w:val="20"/>
        </w:rPr>
      </w:pPr>
    </w:p>
    <w:p>
      <w:pPr>
        <w:pStyle w:val="BodyText"/>
        <w:spacing w:before="189"/>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55" name="Group 55"/>
                <wp:cNvGraphicFramePr>
                  <a:graphicFrameLocks/>
                </wp:cNvGraphicFramePr>
                <a:graphic>
                  <a:graphicData uri="http://schemas.microsoft.com/office/word/2010/wordprocessingGroup">
                    <wpg:wgp>
                      <wpg:cNvPr id="55" name="Group 55"/>
                      <wpg:cNvGrpSpPr/>
                      <wpg:grpSpPr>
                        <a:xfrm>
                          <a:off x="0" y="0"/>
                          <a:ext cx="6120130" cy="6350"/>
                          <a:chExt cx="6120130" cy="6350"/>
                        </a:xfrm>
                      </wpg:grpSpPr>
                      <wps:wsp>
                        <wps:cNvPr id="56" name="Graphic 56"/>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46"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7" w:val="left" w:leader="none"/>
        </w:tabs>
        <w:spacing w:line="211" w:lineRule="auto" w:before="104" w:after="0"/>
        <w:ind w:left="567" w:right="615" w:hanging="454"/>
        <w:jc w:val="both"/>
        <w:rPr>
          <w:rFonts w:ascii="Arial"/>
          <w:sz w:val="16"/>
        </w:rPr>
      </w:pPr>
      <w:r>
        <w:rPr>
          <w:rFonts w:ascii="Arial"/>
          <w:w w:val="105"/>
          <w:sz w:val="16"/>
        </w:rPr>
        <w:t>Notably, the principle of non-discrimination on grounds of age was not consistently protected in the common </w:t>
      </w:r>
      <w:r>
        <w:rPr>
          <w:w w:val="105"/>
          <w:sz w:val="16"/>
        </w:rPr>
        <w:t>constitutional</w:t>
      </w:r>
      <w:r>
        <w:rPr>
          <w:spacing w:val="-9"/>
          <w:w w:val="105"/>
          <w:sz w:val="16"/>
        </w:rPr>
        <w:t> </w:t>
      </w:r>
      <w:r>
        <w:rPr>
          <w:w w:val="105"/>
          <w:sz w:val="16"/>
        </w:rPr>
        <w:t>traditions</w:t>
      </w:r>
      <w:r>
        <w:rPr>
          <w:spacing w:val="-9"/>
          <w:w w:val="105"/>
          <w:sz w:val="16"/>
        </w:rPr>
        <w:t> </w:t>
      </w:r>
      <w:r>
        <w:rPr>
          <w:w w:val="105"/>
          <w:sz w:val="16"/>
        </w:rPr>
        <w:t>of</w:t>
      </w:r>
      <w:r>
        <w:rPr>
          <w:spacing w:val="-9"/>
          <w:w w:val="105"/>
          <w:sz w:val="16"/>
        </w:rPr>
        <w:t> </w:t>
      </w:r>
      <w:r>
        <w:rPr>
          <w:w w:val="105"/>
          <w:sz w:val="16"/>
        </w:rPr>
        <w:t>the</w:t>
      </w:r>
      <w:r>
        <w:rPr>
          <w:spacing w:val="-9"/>
          <w:w w:val="105"/>
          <w:sz w:val="16"/>
        </w:rPr>
        <w:t> </w:t>
      </w:r>
      <w:r>
        <w:rPr>
          <w:w w:val="105"/>
          <w:sz w:val="16"/>
        </w:rPr>
        <w:t>Member</w:t>
      </w:r>
      <w:r>
        <w:rPr>
          <w:spacing w:val="-9"/>
          <w:w w:val="105"/>
          <w:sz w:val="16"/>
        </w:rPr>
        <w:t> </w:t>
      </w:r>
      <w:r>
        <w:rPr>
          <w:w w:val="105"/>
          <w:sz w:val="16"/>
        </w:rPr>
        <w:t>States</w:t>
      </w:r>
      <w:r>
        <w:rPr>
          <w:spacing w:val="-9"/>
          <w:w w:val="105"/>
          <w:sz w:val="16"/>
        </w:rPr>
        <w:t> </w:t>
      </w:r>
      <w:r>
        <w:rPr>
          <w:w w:val="105"/>
          <w:sz w:val="16"/>
        </w:rPr>
        <w:t>at</w:t>
      </w:r>
      <w:r>
        <w:rPr>
          <w:spacing w:val="-9"/>
          <w:w w:val="105"/>
          <w:sz w:val="16"/>
        </w:rPr>
        <w:t> </w:t>
      </w:r>
      <w:r>
        <w:rPr>
          <w:w w:val="105"/>
          <w:sz w:val="16"/>
        </w:rPr>
        <w:t>the</w:t>
      </w:r>
      <w:r>
        <w:rPr>
          <w:spacing w:val="-9"/>
          <w:w w:val="105"/>
          <w:sz w:val="16"/>
        </w:rPr>
        <w:t> </w:t>
      </w:r>
      <w:r>
        <w:rPr>
          <w:w w:val="105"/>
          <w:sz w:val="16"/>
        </w:rPr>
        <w:t>time</w:t>
      </w:r>
      <w:r>
        <w:rPr>
          <w:spacing w:val="-9"/>
          <w:w w:val="105"/>
          <w:sz w:val="16"/>
        </w:rPr>
        <w:t> </w:t>
      </w:r>
      <w:r>
        <w:rPr>
          <w:w w:val="105"/>
          <w:sz w:val="16"/>
        </w:rPr>
        <w:t>of</w:t>
      </w:r>
      <w:r>
        <w:rPr>
          <w:spacing w:val="-9"/>
          <w:w w:val="105"/>
          <w:sz w:val="16"/>
        </w:rPr>
        <w:t> </w:t>
      </w:r>
      <w:r>
        <w:rPr>
          <w:w w:val="105"/>
          <w:sz w:val="16"/>
        </w:rPr>
        <w:t>its</w:t>
      </w:r>
      <w:r>
        <w:rPr>
          <w:spacing w:val="-9"/>
          <w:w w:val="105"/>
          <w:sz w:val="16"/>
        </w:rPr>
        <w:t> </w:t>
      </w:r>
      <w:r>
        <w:rPr>
          <w:w w:val="105"/>
          <w:sz w:val="16"/>
        </w:rPr>
        <w:t>proclamation</w:t>
      </w:r>
      <w:r>
        <w:rPr>
          <w:spacing w:val="-9"/>
          <w:w w:val="105"/>
          <w:sz w:val="16"/>
        </w:rPr>
        <w:t> </w:t>
      </w:r>
      <w:r>
        <w:rPr>
          <w:w w:val="105"/>
          <w:sz w:val="16"/>
        </w:rPr>
        <w:t>by</w:t>
      </w:r>
      <w:r>
        <w:rPr>
          <w:spacing w:val="-9"/>
          <w:w w:val="105"/>
          <w:sz w:val="16"/>
        </w:rPr>
        <w:t> </w:t>
      </w:r>
      <w:r>
        <w:rPr>
          <w:w w:val="105"/>
          <w:sz w:val="16"/>
        </w:rPr>
        <w:t>the</w:t>
      </w:r>
      <w:r>
        <w:rPr>
          <w:spacing w:val="-9"/>
          <w:w w:val="105"/>
          <w:sz w:val="16"/>
        </w:rPr>
        <w:t> </w:t>
      </w:r>
      <w:r>
        <w:rPr>
          <w:w w:val="105"/>
          <w:sz w:val="16"/>
        </w:rPr>
        <w:t>CJEU</w:t>
      </w:r>
      <w:r>
        <w:rPr>
          <w:spacing w:val="-9"/>
          <w:w w:val="105"/>
          <w:sz w:val="16"/>
        </w:rPr>
        <w:t> </w:t>
      </w:r>
      <w:r>
        <w:rPr>
          <w:w w:val="105"/>
          <w:sz w:val="16"/>
        </w:rPr>
        <w:t>in</w:t>
      </w:r>
      <w:r>
        <w:rPr>
          <w:spacing w:val="-9"/>
          <w:w w:val="105"/>
          <w:sz w:val="16"/>
        </w:rPr>
        <w:t> </w:t>
      </w:r>
      <w:r>
        <w:rPr>
          <w:w w:val="105"/>
          <w:sz w:val="16"/>
        </w:rPr>
        <w:t>its</w:t>
      </w:r>
      <w:r>
        <w:rPr>
          <w:spacing w:val="-9"/>
          <w:w w:val="105"/>
          <w:sz w:val="16"/>
        </w:rPr>
        <w:t> </w:t>
      </w:r>
      <w:r>
        <w:rPr>
          <w:rFonts w:ascii="Arial"/>
          <w:w w:val="105"/>
          <w:sz w:val="16"/>
        </w:rPr>
        <w:t>ruling</w:t>
      </w:r>
      <w:r>
        <w:rPr>
          <w:rFonts w:ascii="Arial"/>
          <w:spacing w:val="-3"/>
          <w:w w:val="105"/>
          <w:sz w:val="16"/>
        </w:rPr>
        <w:t> </w:t>
      </w:r>
      <w:r>
        <w:rPr>
          <w:rFonts w:ascii="Arial"/>
          <w:w w:val="105"/>
          <w:sz w:val="16"/>
        </w:rPr>
        <w:t>in</w:t>
      </w:r>
      <w:r>
        <w:rPr>
          <w:rFonts w:ascii="Arial"/>
          <w:spacing w:val="-3"/>
          <w:w w:val="105"/>
          <w:sz w:val="16"/>
        </w:rPr>
        <w:t> </w:t>
      </w:r>
      <w:r>
        <w:rPr>
          <w:rFonts w:ascii="Arial"/>
          <w:w w:val="105"/>
          <w:sz w:val="16"/>
        </w:rPr>
        <w:t>Case </w:t>
      </w:r>
      <w:r>
        <w:rPr>
          <w:sz w:val="16"/>
        </w:rPr>
        <w:t>C-144/04 </w:t>
      </w:r>
      <w:r>
        <w:rPr>
          <w:rFonts w:ascii="Verdana"/>
          <w:i/>
          <w:sz w:val="16"/>
        </w:rPr>
        <w:t>Mangold</w:t>
      </w:r>
      <w:r>
        <w:rPr>
          <w:rFonts w:ascii="Verdana"/>
          <w:i/>
          <w:spacing w:val="-5"/>
          <w:sz w:val="16"/>
        </w:rPr>
        <w:t> </w:t>
      </w:r>
      <w:r>
        <w:rPr>
          <w:rFonts w:ascii="Verdana"/>
          <w:i/>
          <w:sz w:val="16"/>
        </w:rPr>
        <w:t>v</w:t>
      </w:r>
      <w:r>
        <w:rPr>
          <w:rFonts w:ascii="Verdana"/>
          <w:i/>
          <w:spacing w:val="-5"/>
          <w:sz w:val="16"/>
        </w:rPr>
        <w:t> </w:t>
      </w:r>
      <w:r>
        <w:rPr>
          <w:rFonts w:ascii="Verdana"/>
          <w:i/>
          <w:sz w:val="16"/>
        </w:rPr>
        <w:t>Helm</w:t>
      </w:r>
      <w:r>
        <w:rPr>
          <w:sz w:val="16"/>
        </w:rPr>
        <w:t>, EU:C:2005:709. The Court took a broad view of these traditions in its reasoning in</w:t>
      </w:r>
    </w:p>
    <w:p>
      <w:pPr>
        <w:spacing w:line="198" w:lineRule="exact" w:before="0"/>
        <w:ind w:left="567" w:right="0" w:firstLine="0"/>
        <w:jc w:val="both"/>
        <w:rPr>
          <w:rFonts w:ascii="Lucida Sans Unicode"/>
          <w:sz w:val="16"/>
        </w:rPr>
      </w:pPr>
      <w:r>
        <w:rPr>
          <w:rFonts w:ascii="Lucida Sans Unicode"/>
          <w:sz w:val="16"/>
        </w:rPr>
        <w:t>this case, at</w:t>
      </w:r>
      <w:r>
        <w:rPr>
          <w:rFonts w:ascii="Lucida Sans Unicode"/>
          <w:spacing w:val="1"/>
          <w:sz w:val="16"/>
        </w:rPr>
        <w:t> </w:t>
      </w:r>
      <w:r>
        <w:rPr>
          <w:rFonts w:ascii="Lucida Sans Unicode"/>
          <w:sz w:val="16"/>
        </w:rPr>
        <w:t>para 74.</w:t>
      </w:r>
      <w:r>
        <w:rPr>
          <w:rFonts w:ascii="Lucida Sans Unicode"/>
          <w:spacing w:val="1"/>
          <w:sz w:val="16"/>
        </w:rPr>
        <w:t> </w:t>
      </w:r>
      <w:r>
        <w:rPr>
          <w:rFonts w:ascii="Lucida Sans Unicode"/>
          <w:sz w:val="16"/>
        </w:rPr>
        <w:t>This shows</w:t>
      </w:r>
      <w:r>
        <w:rPr>
          <w:rFonts w:ascii="Lucida Sans Unicode"/>
          <w:spacing w:val="1"/>
          <w:sz w:val="16"/>
        </w:rPr>
        <w:t> </w:t>
      </w:r>
      <w:r>
        <w:rPr>
          <w:rFonts w:ascii="Lucida Sans Unicode"/>
          <w:sz w:val="16"/>
        </w:rPr>
        <w:t>that the</w:t>
      </w:r>
      <w:r>
        <w:rPr>
          <w:rFonts w:ascii="Lucida Sans Unicode"/>
          <w:spacing w:val="1"/>
          <w:sz w:val="16"/>
        </w:rPr>
        <w:t> </w:t>
      </w:r>
      <w:r>
        <w:rPr>
          <w:rFonts w:ascii="Lucida Sans Unicode"/>
          <w:sz w:val="16"/>
        </w:rPr>
        <w:t>Court uses</w:t>
      </w:r>
      <w:r>
        <w:rPr>
          <w:rFonts w:ascii="Lucida Sans Unicode"/>
          <w:spacing w:val="1"/>
          <w:sz w:val="16"/>
        </w:rPr>
        <w:t> </w:t>
      </w:r>
      <w:r>
        <w:rPr>
          <w:rFonts w:ascii="Lucida Sans Unicode"/>
          <w:sz w:val="16"/>
        </w:rPr>
        <w:t>common constitutional</w:t>
      </w:r>
      <w:r>
        <w:rPr>
          <w:rFonts w:ascii="Lucida Sans Unicode"/>
          <w:spacing w:val="1"/>
          <w:sz w:val="16"/>
        </w:rPr>
        <w:t> </w:t>
      </w:r>
      <w:r>
        <w:rPr>
          <w:rFonts w:ascii="Lucida Sans Unicode"/>
          <w:sz w:val="16"/>
        </w:rPr>
        <w:t>traditions as</w:t>
      </w:r>
      <w:r>
        <w:rPr>
          <w:rFonts w:ascii="Lucida Sans Unicode"/>
          <w:spacing w:val="1"/>
          <w:sz w:val="16"/>
        </w:rPr>
        <w:t> </w:t>
      </w:r>
      <w:r>
        <w:rPr>
          <w:rFonts w:ascii="Lucida Sans Unicode"/>
          <w:sz w:val="16"/>
        </w:rPr>
        <w:t>well as international</w:t>
      </w:r>
      <w:r>
        <w:rPr>
          <w:rFonts w:ascii="Lucida Sans Unicode"/>
          <w:spacing w:val="1"/>
          <w:sz w:val="16"/>
        </w:rPr>
        <w:t> </w:t>
      </w:r>
      <w:r>
        <w:rPr>
          <w:rFonts w:ascii="Lucida Sans Unicode"/>
          <w:spacing w:val="-5"/>
          <w:sz w:val="16"/>
        </w:rPr>
        <w:t>law</w:t>
      </w:r>
    </w:p>
    <w:p>
      <w:pPr>
        <w:spacing w:line="174" w:lineRule="exact" w:before="0"/>
        <w:ind w:left="567" w:right="0" w:firstLine="0"/>
        <w:jc w:val="both"/>
        <w:rPr>
          <w:sz w:val="16"/>
        </w:rPr>
      </w:pPr>
      <w:r>
        <w:rPr>
          <w:w w:val="115"/>
          <w:sz w:val="16"/>
        </w:rPr>
        <w:t>protections</w:t>
      </w:r>
      <w:r>
        <w:rPr>
          <w:spacing w:val="-12"/>
          <w:w w:val="115"/>
          <w:sz w:val="16"/>
        </w:rPr>
        <w:t> </w:t>
      </w:r>
      <w:r>
        <w:rPr>
          <w:w w:val="115"/>
          <w:sz w:val="16"/>
        </w:rPr>
        <w:t>as</w:t>
      </w:r>
      <w:r>
        <w:rPr>
          <w:spacing w:val="-12"/>
          <w:w w:val="115"/>
          <w:sz w:val="16"/>
        </w:rPr>
        <w:t> </w:t>
      </w:r>
      <w:r>
        <w:rPr>
          <w:w w:val="115"/>
          <w:sz w:val="16"/>
        </w:rPr>
        <w:t>inspiration</w:t>
      </w:r>
      <w:r>
        <w:rPr>
          <w:spacing w:val="-12"/>
          <w:w w:val="115"/>
          <w:sz w:val="16"/>
        </w:rPr>
        <w:t> </w:t>
      </w:r>
      <w:r>
        <w:rPr>
          <w:w w:val="115"/>
          <w:sz w:val="16"/>
        </w:rPr>
        <w:t>for</w:t>
      </w:r>
      <w:r>
        <w:rPr>
          <w:spacing w:val="-12"/>
          <w:w w:val="115"/>
          <w:sz w:val="16"/>
        </w:rPr>
        <w:t> </w:t>
      </w:r>
      <w:r>
        <w:rPr>
          <w:w w:val="115"/>
          <w:sz w:val="16"/>
        </w:rPr>
        <w:t>the</w:t>
      </w:r>
      <w:r>
        <w:rPr>
          <w:spacing w:val="-12"/>
          <w:w w:val="115"/>
          <w:sz w:val="16"/>
        </w:rPr>
        <w:t> </w:t>
      </w:r>
      <w:r>
        <w:rPr>
          <w:w w:val="115"/>
          <w:sz w:val="16"/>
        </w:rPr>
        <w:t>general</w:t>
      </w:r>
      <w:r>
        <w:rPr>
          <w:spacing w:val="-12"/>
          <w:w w:val="115"/>
          <w:sz w:val="16"/>
        </w:rPr>
        <w:t> </w:t>
      </w:r>
      <w:r>
        <w:rPr>
          <w:w w:val="115"/>
          <w:sz w:val="16"/>
        </w:rPr>
        <w:t>principles,</w:t>
      </w:r>
      <w:r>
        <w:rPr>
          <w:spacing w:val="-11"/>
          <w:w w:val="115"/>
          <w:sz w:val="16"/>
        </w:rPr>
        <w:t> </w:t>
      </w:r>
      <w:r>
        <w:rPr>
          <w:w w:val="115"/>
          <w:sz w:val="16"/>
        </w:rPr>
        <w:t>rather</w:t>
      </w:r>
      <w:r>
        <w:rPr>
          <w:spacing w:val="-12"/>
          <w:w w:val="115"/>
          <w:sz w:val="16"/>
        </w:rPr>
        <w:t> </w:t>
      </w:r>
      <w:r>
        <w:rPr>
          <w:w w:val="115"/>
          <w:sz w:val="16"/>
        </w:rPr>
        <w:t>than</w:t>
      </w:r>
      <w:r>
        <w:rPr>
          <w:spacing w:val="-12"/>
          <w:w w:val="115"/>
          <w:sz w:val="16"/>
        </w:rPr>
        <w:t> </w:t>
      </w:r>
      <w:r>
        <w:rPr>
          <w:w w:val="115"/>
          <w:sz w:val="16"/>
        </w:rPr>
        <w:t>treating</w:t>
      </w:r>
      <w:r>
        <w:rPr>
          <w:spacing w:val="-12"/>
          <w:w w:val="115"/>
          <w:sz w:val="16"/>
        </w:rPr>
        <w:t> </w:t>
      </w:r>
      <w:r>
        <w:rPr>
          <w:w w:val="115"/>
          <w:sz w:val="16"/>
        </w:rPr>
        <w:t>them</w:t>
      </w:r>
      <w:r>
        <w:rPr>
          <w:spacing w:val="-12"/>
          <w:w w:val="115"/>
          <w:sz w:val="16"/>
        </w:rPr>
        <w:t> </w:t>
      </w:r>
      <w:r>
        <w:rPr>
          <w:w w:val="115"/>
          <w:sz w:val="16"/>
        </w:rPr>
        <w:t>as</w:t>
      </w:r>
      <w:r>
        <w:rPr>
          <w:spacing w:val="-12"/>
          <w:w w:val="115"/>
          <w:sz w:val="16"/>
        </w:rPr>
        <w:t> </w:t>
      </w:r>
      <w:r>
        <w:rPr>
          <w:w w:val="115"/>
          <w:sz w:val="16"/>
        </w:rPr>
        <w:t>the</w:t>
      </w:r>
      <w:r>
        <w:rPr>
          <w:spacing w:val="-12"/>
          <w:w w:val="115"/>
          <w:sz w:val="16"/>
        </w:rPr>
        <w:t> </w:t>
      </w:r>
      <w:r>
        <w:rPr>
          <w:w w:val="115"/>
          <w:sz w:val="16"/>
        </w:rPr>
        <w:t>lowest</w:t>
      </w:r>
      <w:r>
        <w:rPr>
          <w:spacing w:val="-11"/>
          <w:w w:val="115"/>
          <w:sz w:val="16"/>
        </w:rPr>
        <w:t> </w:t>
      </w:r>
      <w:r>
        <w:rPr>
          <w:w w:val="115"/>
          <w:sz w:val="16"/>
        </w:rPr>
        <w:t>common</w:t>
      </w:r>
      <w:r>
        <w:rPr>
          <w:spacing w:val="-12"/>
          <w:w w:val="115"/>
          <w:sz w:val="16"/>
        </w:rPr>
        <w:t> </w:t>
      </w:r>
      <w:r>
        <w:rPr>
          <w:spacing w:val="-2"/>
          <w:w w:val="115"/>
          <w:sz w:val="16"/>
        </w:rPr>
        <w:t>denominator:</w:t>
      </w:r>
    </w:p>
    <w:p>
      <w:pPr>
        <w:spacing w:line="201" w:lineRule="auto" w:before="40"/>
        <w:ind w:left="567" w:right="0" w:firstLine="0"/>
        <w:jc w:val="left"/>
        <w:rPr>
          <w:rFonts w:ascii="Lucida Sans Unicode" w:hAnsi="Lucida Sans Unicode"/>
          <w:sz w:val="16"/>
        </w:rPr>
      </w:pPr>
      <w:r>
        <w:rPr>
          <w:w w:val="105"/>
          <w:sz w:val="16"/>
        </w:rPr>
        <w:t>Koen</w:t>
      </w:r>
      <w:r>
        <w:rPr>
          <w:spacing w:val="39"/>
          <w:w w:val="105"/>
          <w:sz w:val="16"/>
        </w:rPr>
        <w:t> </w:t>
      </w:r>
      <w:r>
        <w:rPr>
          <w:w w:val="105"/>
          <w:sz w:val="16"/>
        </w:rPr>
        <w:t>Lenaerts</w:t>
      </w:r>
      <w:r>
        <w:rPr>
          <w:spacing w:val="39"/>
          <w:w w:val="105"/>
          <w:sz w:val="16"/>
        </w:rPr>
        <w:t> </w:t>
      </w:r>
      <w:r>
        <w:rPr>
          <w:w w:val="105"/>
          <w:sz w:val="16"/>
        </w:rPr>
        <w:t>and</w:t>
      </w:r>
      <w:r>
        <w:rPr>
          <w:spacing w:val="39"/>
          <w:w w:val="105"/>
          <w:sz w:val="16"/>
        </w:rPr>
        <w:t> </w:t>
      </w:r>
      <w:r>
        <w:rPr>
          <w:w w:val="105"/>
          <w:sz w:val="16"/>
        </w:rPr>
        <w:t>José</w:t>
      </w:r>
      <w:r>
        <w:rPr>
          <w:spacing w:val="39"/>
          <w:w w:val="105"/>
          <w:sz w:val="16"/>
        </w:rPr>
        <w:t> </w:t>
      </w:r>
      <w:r>
        <w:rPr>
          <w:w w:val="105"/>
          <w:sz w:val="16"/>
        </w:rPr>
        <w:t>A.</w:t>
      </w:r>
      <w:r>
        <w:rPr>
          <w:spacing w:val="39"/>
          <w:w w:val="105"/>
          <w:sz w:val="16"/>
        </w:rPr>
        <w:t> </w:t>
      </w:r>
      <w:r>
        <w:rPr>
          <w:w w:val="105"/>
          <w:sz w:val="16"/>
        </w:rPr>
        <w:t>Gutiérrez-Fons,</w:t>
      </w:r>
      <w:r>
        <w:rPr>
          <w:spacing w:val="39"/>
          <w:w w:val="105"/>
          <w:sz w:val="16"/>
        </w:rPr>
        <w:t> </w:t>
      </w:r>
      <w:r>
        <w:rPr>
          <w:w w:val="105"/>
          <w:sz w:val="16"/>
        </w:rPr>
        <w:t>‘The</w:t>
      </w:r>
      <w:r>
        <w:rPr>
          <w:spacing w:val="39"/>
          <w:w w:val="105"/>
          <w:sz w:val="16"/>
        </w:rPr>
        <w:t> </w:t>
      </w:r>
      <w:r>
        <w:rPr>
          <w:w w:val="105"/>
          <w:sz w:val="16"/>
        </w:rPr>
        <w:t>Constitutional</w:t>
      </w:r>
      <w:r>
        <w:rPr>
          <w:spacing w:val="39"/>
          <w:w w:val="105"/>
          <w:sz w:val="16"/>
        </w:rPr>
        <w:t> </w:t>
      </w:r>
      <w:r>
        <w:rPr>
          <w:w w:val="105"/>
          <w:sz w:val="16"/>
        </w:rPr>
        <w:t>Allocation</w:t>
      </w:r>
      <w:r>
        <w:rPr>
          <w:spacing w:val="39"/>
          <w:w w:val="105"/>
          <w:sz w:val="16"/>
        </w:rPr>
        <w:t> </w:t>
      </w:r>
      <w:r>
        <w:rPr>
          <w:w w:val="105"/>
          <w:sz w:val="16"/>
        </w:rPr>
        <w:t>of</w:t>
      </w:r>
      <w:r>
        <w:rPr>
          <w:spacing w:val="39"/>
          <w:w w:val="105"/>
          <w:sz w:val="16"/>
        </w:rPr>
        <w:t> </w:t>
      </w:r>
      <w:r>
        <w:rPr>
          <w:w w:val="105"/>
          <w:sz w:val="16"/>
        </w:rPr>
        <w:t>Powers</w:t>
      </w:r>
      <w:r>
        <w:rPr>
          <w:spacing w:val="39"/>
          <w:w w:val="105"/>
          <w:sz w:val="16"/>
        </w:rPr>
        <w:t> </w:t>
      </w:r>
      <w:r>
        <w:rPr>
          <w:w w:val="105"/>
          <w:sz w:val="16"/>
        </w:rPr>
        <w:t>and</w:t>
      </w:r>
      <w:r>
        <w:rPr>
          <w:spacing w:val="39"/>
          <w:w w:val="105"/>
          <w:sz w:val="16"/>
        </w:rPr>
        <w:t> </w:t>
      </w:r>
      <w:r>
        <w:rPr>
          <w:w w:val="105"/>
          <w:sz w:val="16"/>
        </w:rPr>
        <w:t>General</w:t>
      </w:r>
      <w:r>
        <w:rPr>
          <w:spacing w:val="39"/>
          <w:w w:val="105"/>
          <w:sz w:val="16"/>
        </w:rPr>
        <w:t> </w:t>
      </w:r>
      <w:r>
        <w:rPr>
          <w:w w:val="105"/>
          <w:sz w:val="16"/>
        </w:rPr>
        <w:t>Principles</w:t>
      </w:r>
      <w:r>
        <w:rPr>
          <w:spacing w:val="39"/>
          <w:w w:val="105"/>
          <w:sz w:val="16"/>
        </w:rPr>
        <w:t> </w:t>
      </w:r>
      <w:r>
        <w:rPr>
          <w:w w:val="105"/>
          <w:sz w:val="16"/>
        </w:rPr>
        <w:t>of</w:t>
      </w:r>
      <w:r>
        <w:rPr>
          <w:spacing w:val="39"/>
          <w:w w:val="105"/>
          <w:sz w:val="16"/>
        </w:rPr>
        <w:t> </w:t>
      </w:r>
      <w:r>
        <w:rPr>
          <w:w w:val="105"/>
          <w:sz w:val="16"/>
        </w:rPr>
        <w:t>EU </w:t>
      </w:r>
      <w:r>
        <w:rPr>
          <w:rFonts w:ascii="Lucida Sans Unicode" w:hAnsi="Lucida Sans Unicode"/>
          <w:sz w:val="16"/>
        </w:rPr>
        <w:t>Law’ (2010) 47 </w:t>
      </w:r>
      <w:r>
        <w:rPr>
          <w:rFonts w:ascii="Verdana" w:hAnsi="Verdana"/>
          <w:i/>
          <w:sz w:val="16"/>
        </w:rPr>
        <w:t>Common Market Law Review </w:t>
      </w:r>
      <w:r>
        <w:rPr>
          <w:rFonts w:ascii="Lucida Sans Unicode" w:hAnsi="Lucida Sans Unicode"/>
          <w:sz w:val="16"/>
        </w:rPr>
        <w:t>1629, 1654. For a broader discussion of the Court’s methodology </w:t>
      </w:r>
      <w:r>
        <w:rPr>
          <w:rFonts w:ascii="Lucida Sans Unicode" w:hAnsi="Lucida Sans Unicode"/>
          <w:w w:val="105"/>
          <w:sz w:val="16"/>
        </w:rPr>
        <w:t>concerning</w:t>
      </w:r>
      <w:r>
        <w:rPr>
          <w:rFonts w:ascii="Lucida Sans Unicode" w:hAnsi="Lucida Sans Unicode"/>
          <w:spacing w:val="-14"/>
          <w:w w:val="105"/>
          <w:sz w:val="16"/>
        </w:rPr>
        <w:t> </w:t>
      </w:r>
      <w:r>
        <w:rPr>
          <w:rFonts w:ascii="Lucida Sans Unicode" w:hAnsi="Lucida Sans Unicode"/>
          <w:w w:val="105"/>
          <w:sz w:val="16"/>
        </w:rPr>
        <w:t>the</w:t>
      </w:r>
      <w:r>
        <w:rPr>
          <w:rFonts w:ascii="Lucida Sans Unicode" w:hAnsi="Lucida Sans Unicode"/>
          <w:spacing w:val="-13"/>
          <w:w w:val="105"/>
          <w:sz w:val="16"/>
        </w:rPr>
        <w:t> </w:t>
      </w:r>
      <w:r>
        <w:rPr>
          <w:rFonts w:ascii="Lucida Sans Unicode" w:hAnsi="Lucida Sans Unicode"/>
          <w:w w:val="105"/>
          <w:sz w:val="16"/>
        </w:rPr>
        <w:t>identification</w:t>
      </w:r>
      <w:r>
        <w:rPr>
          <w:rFonts w:ascii="Lucida Sans Unicode" w:hAnsi="Lucida Sans Unicode"/>
          <w:spacing w:val="-13"/>
          <w:w w:val="105"/>
          <w:sz w:val="16"/>
        </w:rPr>
        <w:t> </w:t>
      </w:r>
      <w:r>
        <w:rPr>
          <w:rFonts w:ascii="Lucida Sans Unicode" w:hAnsi="Lucida Sans Unicode"/>
          <w:w w:val="105"/>
          <w:sz w:val="16"/>
        </w:rPr>
        <w:t>of</w:t>
      </w:r>
      <w:r>
        <w:rPr>
          <w:rFonts w:ascii="Lucida Sans Unicode" w:hAnsi="Lucida Sans Unicode"/>
          <w:spacing w:val="-14"/>
          <w:w w:val="105"/>
          <w:sz w:val="16"/>
        </w:rPr>
        <w:t> </w:t>
      </w:r>
      <w:r>
        <w:rPr>
          <w:rFonts w:ascii="Lucida Sans Unicode" w:hAnsi="Lucida Sans Unicode"/>
          <w:w w:val="105"/>
          <w:sz w:val="16"/>
        </w:rPr>
        <w:t>general</w:t>
      </w:r>
      <w:r>
        <w:rPr>
          <w:rFonts w:ascii="Lucida Sans Unicode" w:hAnsi="Lucida Sans Unicode"/>
          <w:spacing w:val="-13"/>
          <w:w w:val="105"/>
          <w:sz w:val="16"/>
        </w:rPr>
        <w:t> </w:t>
      </w:r>
      <w:r>
        <w:rPr>
          <w:rFonts w:ascii="Lucida Sans Unicode" w:hAnsi="Lucida Sans Unicode"/>
          <w:w w:val="105"/>
          <w:sz w:val="16"/>
        </w:rPr>
        <w:t>principles,</w:t>
      </w:r>
      <w:r>
        <w:rPr>
          <w:rFonts w:ascii="Lucida Sans Unicode" w:hAnsi="Lucida Sans Unicode"/>
          <w:spacing w:val="-13"/>
          <w:w w:val="105"/>
          <w:sz w:val="16"/>
        </w:rPr>
        <w:t> </w:t>
      </w:r>
      <w:r>
        <w:rPr>
          <w:rFonts w:ascii="Lucida Sans Unicode" w:hAnsi="Lucida Sans Unicode"/>
          <w:w w:val="105"/>
          <w:sz w:val="16"/>
        </w:rPr>
        <w:t>see</w:t>
      </w:r>
      <w:r>
        <w:rPr>
          <w:rFonts w:ascii="Lucida Sans Unicode" w:hAnsi="Lucida Sans Unicode"/>
          <w:spacing w:val="-13"/>
          <w:w w:val="105"/>
          <w:sz w:val="16"/>
        </w:rPr>
        <w:t> </w:t>
      </w:r>
      <w:r>
        <w:rPr>
          <w:rFonts w:ascii="Lucida Sans Unicode" w:hAnsi="Lucida Sans Unicode"/>
          <w:w w:val="105"/>
          <w:sz w:val="16"/>
        </w:rPr>
        <w:t>Stefan</w:t>
      </w:r>
      <w:r>
        <w:rPr>
          <w:rFonts w:ascii="Lucida Sans Unicode" w:hAnsi="Lucida Sans Unicode"/>
          <w:spacing w:val="-14"/>
          <w:w w:val="105"/>
          <w:sz w:val="16"/>
        </w:rPr>
        <w:t> </w:t>
      </w:r>
      <w:r>
        <w:rPr>
          <w:rFonts w:ascii="Lucida Sans Unicode" w:hAnsi="Lucida Sans Unicode"/>
          <w:w w:val="105"/>
          <w:sz w:val="16"/>
        </w:rPr>
        <w:t>Vogenauer</w:t>
      </w:r>
      <w:r>
        <w:rPr>
          <w:rFonts w:ascii="Lucida Sans Unicode" w:hAnsi="Lucida Sans Unicode"/>
          <w:spacing w:val="-13"/>
          <w:w w:val="105"/>
          <w:sz w:val="16"/>
        </w:rPr>
        <w:t> </w:t>
      </w:r>
      <w:r>
        <w:rPr>
          <w:rFonts w:ascii="Lucida Sans Unicode" w:hAnsi="Lucida Sans Unicode"/>
          <w:w w:val="105"/>
          <w:sz w:val="16"/>
        </w:rPr>
        <w:t>and</w:t>
      </w:r>
      <w:r>
        <w:rPr>
          <w:rFonts w:ascii="Lucida Sans Unicode" w:hAnsi="Lucida Sans Unicode"/>
          <w:spacing w:val="-13"/>
          <w:w w:val="105"/>
          <w:sz w:val="16"/>
        </w:rPr>
        <w:t> </w:t>
      </w:r>
      <w:r>
        <w:rPr>
          <w:rFonts w:ascii="Lucida Sans Unicode" w:hAnsi="Lucida Sans Unicode"/>
          <w:w w:val="105"/>
          <w:sz w:val="16"/>
        </w:rPr>
        <w:t>Stephen</w:t>
      </w:r>
      <w:r>
        <w:rPr>
          <w:rFonts w:ascii="Lucida Sans Unicode" w:hAnsi="Lucida Sans Unicode"/>
          <w:spacing w:val="-14"/>
          <w:w w:val="105"/>
          <w:sz w:val="16"/>
        </w:rPr>
        <w:t> </w:t>
      </w:r>
      <w:r>
        <w:rPr>
          <w:rFonts w:ascii="Lucida Sans Unicode" w:hAnsi="Lucida Sans Unicode"/>
          <w:w w:val="105"/>
          <w:sz w:val="16"/>
        </w:rPr>
        <w:t>Weatherill,</w:t>
      </w:r>
      <w:r>
        <w:rPr>
          <w:rFonts w:ascii="Lucida Sans Unicode" w:hAnsi="Lucida Sans Unicode"/>
          <w:spacing w:val="-13"/>
          <w:w w:val="105"/>
          <w:sz w:val="16"/>
        </w:rPr>
        <w:t> </w:t>
      </w:r>
      <w:r>
        <w:rPr>
          <w:rFonts w:ascii="Lucida Sans Unicode" w:hAnsi="Lucida Sans Unicode"/>
          <w:w w:val="105"/>
          <w:sz w:val="16"/>
        </w:rPr>
        <w:t>‘Introduction’</w:t>
      </w:r>
      <w:r>
        <w:rPr>
          <w:rFonts w:ascii="Lucida Sans Unicode" w:hAnsi="Lucida Sans Unicode"/>
          <w:spacing w:val="-13"/>
          <w:w w:val="105"/>
          <w:sz w:val="16"/>
        </w:rPr>
        <w:t> </w:t>
      </w:r>
      <w:r>
        <w:rPr>
          <w:rFonts w:ascii="Lucida Sans Unicode" w:hAnsi="Lucida Sans Unicode"/>
          <w:w w:val="105"/>
          <w:sz w:val="16"/>
        </w:rPr>
        <w:t>in </w:t>
      </w:r>
      <w:r>
        <w:rPr>
          <w:rFonts w:ascii="Lucida Sans Unicode" w:hAnsi="Lucida Sans Unicode"/>
          <w:sz w:val="16"/>
        </w:rPr>
        <w:t>Stefan Vogenauer and Stephen Weatherill (eds), </w:t>
      </w:r>
      <w:r>
        <w:rPr>
          <w:rFonts w:ascii="Verdana" w:hAnsi="Verdana"/>
          <w:i/>
          <w:sz w:val="16"/>
        </w:rPr>
        <w:t>General Principles of Law European and Comparative Perspectives</w:t>
      </w:r>
      <w:r>
        <w:rPr>
          <w:rFonts w:ascii="Verdana" w:hAnsi="Verdana"/>
          <w:i/>
          <w:sz w:val="16"/>
        </w:rPr>
        <w:t> </w:t>
      </w:r>
      <w:r>
        <w:rPr>
          <w:rFonts w:ascii="Lucida Sans Unicode" w:hAnsi="Lucida Sans Unicode"/>
          <w:w w:val="105"/>
          <w:sz w:val="16"/>
        </w:rPr>
        <w:t>(Hart 2017) </w:t>
      </w:r>
      <w:r>
        <w:rPr>
          <w:rFonts w:ascii="Lucida Sans Unicode" w:hAnsi="Lucida Sans Unicode"/>
          <w:sz w:val="16"/>
        </w:rPr>
        <w:t>1.</w:t>
      </w:r>
    </w:p>
    <w:p>
      <w:pPr>
        <w:pStyle w:val="ListParagraph"/>
        <w:numPr>
          <w:ilvl w:val="0"/>
          <w:numId w:val="6"/>
        </w:numPr>
        <w:tabs>
          <w:tab w:pos="567" w:val="left" w:leader="none"/>
        </w:tabs>
        <w:spacing w:line="216" w:lineRule="exact" w:before="0" w:after="0"/>
        <w:ind w:left="567" w:right="0" w:hanging="454"/>
        <w:jc w:val="left"/>
        <w:rPr>
          <w:sz w:val="16"/>
        </w:rPr>
      </w:pPr>
      <w:r>
        <w:rPr>
          <w:rFonts w:ascii="Arial"/>
          <w:w w:val="105"/>
          <w:sz w:val="16"/>
        </w:rPr>
        <w:t>For</w:t>
      </w:r>
      <w:r>
        <w:rPr>
          <w:rFonts w:ascii="Arial"/>
          <w:spacing w:val="-2"/>
          <w:w w:val="105"/>
          <w:sz w:val="16"/>
        </w:rPr>
        <w:t> </w:t>
      </w:r>
      <w:r>
        <w:rPr>
          <w:rFonts w:ascii="Arial"/>
          <w:w w:val="105"/>
          <w:sz w:val="16"/>
        </w:rPr>
        <w:t>a</w:t>
      </w:r>
      <w:r>
        <w:rPr>
          <w:rFonts w:ascii="Arial"/>
          <w:spacing w:val="-1"/>
          <w:w w:val="105"/>
          <w:sz w:val="16"/>
        </w:rPr>
        <w:t> </w:t>
      </w:r>
      <w:r>
        <w:rPr>
          <w:rFonts w:ascii="Arial"/>
          <w:w w:val="105"/>
          <w:sz w:val="16"/>
        </w:rPr>
        <w:t>detailed</w:t>
      </w:r>
      <w:r>
        <w:rPr>
          <w:rFonts w:ascii="Arial"/>
          <w:spacing w:val="-1"/>
          <w:w w:val="105"/>
          <w:sz w:val="16"/>
        </w:rPr>
        <w:t> </w:t>
      </w:r>
      <w:r>
        <w:rPr>
          <w:rFonts w:ascii="Arial"/>
          <w:w w:val="105"/>
          <w:sz w:val="16"/>
        </w:rPr>
        <w:t>discussion</w:t>
      </w:r>
      <w:r>
        <w:rPr>
          <w:rFonts w:ascii="Arial"/>
          <w:spacing w:val="-1"/>
          <w:w w:val="105"/>
          <w:sz w:val="16"/>
        </w:rPr>
        <w:t> </w:t>
      </w:r>
      <w:r>
        <w:rPr>
          <w:rFonts w:ascii="Arial"/>
          <w:w w:val="105"/>
          <w:sz w:val="16"/>
        </w:rPr>
        <w:t>see</w:t>
      </w:r>
      <w:r>
        <w:rPr>
          <w:rFonts w:ascii="Arial"/>
          <w:spacing w:val="-1"/>
          <w:w w:val="105"/>
          <w:sz w:val="16"/>
        </w:rPr>
        <w:t> </w:t>
      </w:r>
      <w:r>
        <w:rPr>
          <w:rFonts w:ascii="Arial"/>
          <w:w w:val="105"/>
          <w:sz w:val="16"/>
        </w:rPr>
        <w:t>Takis</w:t>
      </w:r>
      <w:r>
        <w:rPr>
          <w:rFonts w:ascii="Arial"/>
          <w:spacing w:val="-1"/>
          <w:w w:val="105"/>
          <w:sz w:val="16"/>
        </w:rPr>
        <w:t> </w:t>
      </w:r>
      <w:r>
        <w:rPr>
          <w:rFonts w:ascii="Arial"/>
          <w:w w:val="105"/>
          <w:sz w:val="16"/>
        </w:rPr>
        <w:t>Tridimas,</w:t>
      </w:r>
      <w:r>
        <w:rPr>
          <w:rFonts w:ascii="Arial"/>
          <w:spacing w:val="-1"/>
          <w:w w:val="105"/>
          <w:sz w:val="16"/>
        </w:rPr>
        <w:t> </w:t>
      </w:r>
      <w:r>
        <w:rPr>
          <w:rFonts w:ascii="Verdana"/>
          <w:i/>
          <w:w w:val="105"/>
          <w:sz w:val="16"/>
        </w:rPr>
        <w:t>The</w:t>
      </w:r>
      <w:r>
        <w:rPr>
          <w:rFonts w:ascii="Verdana"/>
          <w:i/>
          <w:spacing w:val="-13"/>
          <w:w w:val="105"/>
          <w:sz w:val="16"/>
        </w:rPr>
        <w:t> </w:t>
      </w:r>
      <w:r>
        <w:rPr>
          <w:rFonts w:ascii="Verdana"/>
          <w:i/>
          <w:w w:val="105"/>
          <w:sz w:val="16"/>
        </w:rPr>
        <w:t>General</w:t>
      </w:r>
      <w:r>
        <w:rPr>
          <w:rFonts w:ascii="Verdana"/>
          <w:i/>
          <w:spacing w:val="-14"/>
          <w:w w:val="105"/>
          <w:sz w:val="16"/>
        </w:rPr>
        <w:t> </w:t>
      </w:r>
      <w:r>
        <w:rPr>
          <w:rFonts w:ascii="Verdana"/>
          <w:i/>
          <w:w w:val="105"/>
          <w:sz w:val="16"/>
        </w:rPr>
        <w:t>Principles</w:t>
      </w:r>
      <w:r>
        <w:rPr>
          <w:rFonts w:ascii="Verdana"/>
          <w:i/>
          <w:spacing w:val="-13"/>
          <w:w w:val="105"/>
          <w:sz w:val="16"/>
        </w:rPr>
        <w:t> </w:t>
      </w:r>
      <w:r>
        <w:rPr>
          <w:rFonts w:ascii="Verdana"/>
          <w:i/>
          <w:w w:val="105"/>
          <w:sz w:val="16"/>
        </w:rPr>
        <w:t>of</w:t>
      </w:r>
      <w:r>
        <w:rPr>
          <w:rFonts w:ascii="Verdana"/>
          <w:i/>
          <w:spacing w:val="-14"/>
          <w:w w:val="105"/>
          <w:sz w:val="16"/>
        </w:rPr>
        <w:t> </w:t>
      </w:r>
      <w:r>
        <w:rPr>
          <w:rFonts w:ascii="Verdana"/>
          <w:i/>
          <w:w w:val="105"/>
          <w:sz w:val="16"/>
        </w:rPr>
        <w:t>EU</w:t>
      </w:r>
      <w:r>
        <w:rPr>
          <w:rFonts w:ascii="Verdana"/>
          <w:i/>
          <w:spacing w:val="-14"/>
          <w:w w:val="105"/>
          <w:sz w:val="16"/>
        </w:rPr>
        <w:t> </w:t>
      </w:r>
      <w:r>
        <w:rPr>
          <w:rFonts w:ascii="Verdana"/>
          <w:i/>
          <w:w w:val="105"/>
          <w:sz w:val="16"/>
        </w:rPr>
        <w:t>Law</w:t>
      </w:r>
      <w:r>
        <w:rPr>
          <w:rFonts w:ascii="Verdana"/>
          <w:i/>
          <w:spacing w:val="-13"/>
          <w:w w:val="105"/>
          <w:sz w:val="16"/>
        </w:rPr>
        <w:t> </w:t>
      </w:r>
      <w:r>
        <w:rPr>
          <w:w w:val="105"/>
          <w:sz w:val="16"/>
        </w:rPr>
        <w:t>(2nd</w:t>
      </w:r>
      <w:r>
        <w:rPr>
          <w:spacing w:val="-8"/>
          <w:w w:val="105"/>
          <w:sz w:val="16"/>
        </w:rPr>
        <w:t> </w:t>
      </w:r>
      <w:r>
        <w:rPr>
          <w:w w:val="105"/>
          <w:sz w:val="16"/>
        </w:rPr>
        <w:t>edn,</w:t>
      </w:r>
      <w:r>
        <w:rPr>
          <w:spacing w:val="-7"/>
          <w:w w:val="105"/>
          <w:sz w:val="16"/>
        </w:rPr>
        <w:t> </w:t>
      </w:r>
      <w:r>
        <w:rPr>
          <w:w w:val="105"/>
          <w:sz w:val="16"/>
        </w:rPr>
        <w:t>OUP</w:t>
      </w:r>
      <w:r>
        <w:rPr>
          <w:spacing w:val="-7"/>
          <w:w w:val="105"/>
          <w:sz w:val="16"/>
        </w:rPr>
        <w:t> </w:t>
      </w:r>
      <w:r>
        <w:rPr>
          <w:spacing w:val="-2"/>
          <w:w w:val="105"/>
          <w:sz w:val="16"/>
        </w:rPr>
        <w:t>2006).</w:t>
      </w:r>
    </w:p>
    <w:p>
      <w:pPr>
        <w:spacing w:after="0" w:line="216" w:lineRule="exact"/>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84"/>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276" w:lineRule="auto" w:before="111"/>
        <w:ind w:right="23"/>
      </w:pPr>
      <w:bookmarkStart w:name="3.  Rights and principles in the Charter" w:id="9"/>
      <w:bookmarkEnd w:id="9"/>
      <w:r>
        <w:rPr/>
      </w:r>
      <w:bookmarkStart w:name="_bookmark3" w:id="10"/>
      <w:bookmarkEnd w:id="10"/>
      <w:r>
        <w:rPr/>
      </w:r>
      <w:r>
        <w:rPr>
          <w:w w:val="110"/>
        </w:rPr>
        <w:t>The</w:t>
      </w:r>
      <w:r>
        <w:rPr>
          <w:spacing w:val="-19"/>
          <w:w w:val="110"/>
        </w:rPr>
        <w:t> </w:t>
      </w:r>
      <w:r>
        <w:rPr>
          <w:w w:val="110"/>
        </w:rPr>
        <w:t>Charter</w:t>
      </w:r>
      <w:r>
        <w:rPr>
          <w:spacing w:val="-18"/>
          <w:w w:val="110"/>
        </w:rPr>
        <w:t> </w:t>
      </w:r>
      <w:r>
        <w:rPr>
          <w:w w:val="110"/>
        </w:rPr>
        <w:t>has,</w:t>
      </w:r>
      <w:r>
        <w:rPr>
          <w:spacing w:val="-19"/>
          <w:w w:val="110"/>
        </w:rPr>
        <w:t> </w:t>
      </w:r>
      <w:r>
        <w:rPr>
          <w:w w:val="110"/>
        </w:rPr>
        <w:t>however,</w:t>
      </w:r>
      <w:r>
        <w:rPr>
          <w:spacing w:val="-18"/>
          <w:w w:val="110"/>
        </w:rPr>
        <w:t> </w:t>
      </w:r>
      <w:r>
        <w:rPr>
          <w:w w:val="110"/>
        </w:rPr>
        <w:t>established itself as the main source of fundamental rights in EU law. This</w:t>
      </w:r>
    </w:p>
    <w:p>
      <w:pPr>
        <w:pStyle w:val="BodyText"/>
        <w:spacing w:line="324" w:lineRule="exact"/>
        <w:rPr>
          <w:rFonts w:ascii="Lucida Sans Unicode"/>
        </w:rPr>
      </w:pPr>
      <w:r>
        <w:rPr>
          <w:rFonts w:ascii="Lucida Sans Unicode"/>
        </w:rPr>
        <w:t>is</w:t>
      </w:r>
      <w:r>
        <w:rPr>
          <w:rFonts w:ascii="Lucida Sans Unicode"/>
          <w:spacing w:val="8"/>
        </w:rPr>
        <w:t> </w:t>
      </w:r>
      <w:r>
        <w:rPr>
          <w:rFonts w:ascii="Lucida Sans Unicode"/>
        </w:rPr>
        <w:t>chiefly</w:t>
      </w:r>
      <w:r>
        <w:rPr>
          <w:rFonts w:ascii="Lucida Sans Unicode"/>
          <w:spacing w:val="9"/>
        </w:rPr>
        <w:t> </w:t>
      </w:r>
      <w:r>
        <w:rPr>
          <w:rFonts w:ascii="Lucida Sans Unicode"/>
        </w:rPr>
        <w:t>because</w:t>
      </w:r>
      <w:r>
        <w:rPr>
          <w:rFonts w:ascii="Lucida Sans Unicode"/>
          <w:spacing w:val="9"/>
        </w:rPr>
        <w:t> </w:t>
      </w:r>
      <w:r>
        <w:rPr>
          <w:rFonts w:ascii="Lucida Sans Unicode"/>
        </w:rPr>
        <w:t>it</w:t>
      </w:r>
      <w:r>
        <w:rPr>
          <w:rFonts w:ascii="Lucida Sans Unicode"/>
          <w:spacing w:val="8"/>
        </w:rPr>
        <w:t> </w:t>
      </w:r>
      <w:r>
        <w:rPr>
          <w:rFonts w:ascii="Lucida Sans Unicode"/>
          <w:spacing w:val="-2"/>
        </w:rPr>
        <w:t>incorporates</w:t>
      </w:r>
    </w:p>
    <w:p>
      <w:pPr>
        <w:pStyle w:val="BodyText"/>
        <w:spacing w:line="276" w:lineRule="auto"/>
        <w:ind w:right="336"/>
        <w:jc w:val="both"/>
      </w:pPr>
      <w:r>
        <w:rPr>
          <w:w w:val="110"/>
        </w:rPr>
        <w:t>all the rights previously recognised as general principles of EU law and because</w:t>
      </w:r>
      <w:r>
        <w:rPr>
          <w:spacing w:val="8"/>
          <w:w w:val="110"/>
        </w:rPr>
        <w:t> </w:t>
      </w:r>
      <w:r>
        <w:rPr>
          <w:w w:val="110"/>
        </w:rPr>
        <w:t>both</w:t>
      </w:r>
      <w:r>
        <w:rPr>
          <w:spacing w:val="9"/>
          <w:w w:val="110"/>
        </w:rPr>
        <w:t> </w:t>
      </w:r>
      <w:r>
        <w:rPr>
          <w:w w:val="110"/>
        </w:rPr>
        <w:t>the</w:t>
      </w:r>
      <w:r>
        <w:rPr>
          <w:spacing w:val="9"/>
          <w:w w:val="110"/>
        </w:rPr>
        <w:t> </w:t>
      </w:r>
      <w:r>
        <w:rPr>
          <w:w w:val="110"/>
        </w:rPr>
        <w:t>general</w:t>
      </w:r>
      <w:r>
        <w:rPr>
          <w:spacing w:val="9"/>
          <w:w w:val="110"/>
        </w:rPr>
        <w:t> </w:t>
      </w:r>
      <w:r>
        <w:rPr>
          <w:spacing w:val="-2"/>
          <w:w w:val="110"/>
        </w:rPr>
        <w:t>principles</w:t>
      </w:r>
    </w:p>
    <w:p>
      <w:pPr>
        <w:pStyle w:val="BodyText"/>
        <w:spacing w:line="237" w:lineRule="auto"/>
        <w:ind w:right="417"/>
        <w:rPr>
          <w:rFonts w:ascii="Lucida Sans Unicode"/>
        </w:rPr>
      </w:pPr>
      <w:r>
        <w:rPr>
          <w:w w:val="105"/>
        </w:rPr>
        <w:t>and</w:t>
      </w:r>
      <w:r>
        <w:rPr>
          <w:spacing w:val="40"/>
          <w:w w:val="105"/>
        </w:rPr>
        <w:t> </w:t>
      </w:r>
      <w:r>
        <w:rPr>
          <w:w w:val="105"/>
        </w:rPr>
        <w:t>the</w:t>
      </w:r>
      <w:r>
        <w:rPr>
          <w:spacing w:val="40"/>
          <w:w w:val="105"/>
        </w:rPr>
        <w:t> </w:t>
      </w:r>
      <w:r>
        <w:rPr>
          <w:w w:val="105"/>
        </w:rPr>
        <w:t>Charter</w:t>
      </w:r>
      <w:r>
        <w:rPr>
          <w:spacing w:val="40"/>
          <w:w w:val="105"/>
        </w:rPr>
        <w:t> </w:t>
      </w:r>
      <w:r>
        <w:rPr>
          <w:w w:val="105"/>
        </w:rPr>
        <w:t>are</w:t>
      </w:r>
      <w:r>
        <w:rPr>
          <w:spacing w:val="40"/>
          <w:w w:val="105"/>
        </w:rPr>
        <w:t> </w:t>
      </w:r>
      <w:r>
        <w:rPr>
          <w:w w:val="105"/>
        </w:rPr>
        <w:t>applicable</w:t>
      </w:r>
      <w:r>
        <w:rPr>
          <w:spacing w:val="40"/>
          <w:w w:val="105"/>
        </w:rPr>
        <w:t> </w:t>
      </w:r>
      <w:r>
        <w:rPr>
          <w:w w:val="105"/>
        </w:rPr>
        <w:t>in </w:t>
      </w:r>
      <w:r>
        <w:rPr>
          <w:rFonts w:ascii="Lucida Sans Unicode"/>
          <w:w w:val="105"/>
        </w:rPr>
        <w:t>the</w:t>
      </w:r>
      <w:r>
        <w:rPr>
          <w:rFonts w:ascii="Lucida Sans Unicode"/>
          <w:spacing w:val="-20"/>
          <w:w w:val="105"/>
        </w:rPr>
        <w:t> </w:t>
      </w:r>
      <w:r>
        <w:rPr>
          <w:rFonts w:ascii="Lucida Sans Unicode"/>
          <w:w w:val="105"/>
        </w:rPr>
        <w:t>Member</w:t>
      </w:r>
      <w:r>
        <w:rPr>
          <w:rFonts w:ascii="Lucida Sans Unicode"/>
          <w:spacing w:val="-20"/>
          <w:w w:val="105"/>
        </w:rPr>
        <w:t> </w:t>
      </w:r>
      <w:r>
        <w:rPr>
          <w:rFonts w:ascii="Lucida Sans Unicode"/>
          <w:w w:val="105"/>
        </w:rPr>
        <w:t>States</w:t>
      </w:r>
      <w:r>
        <w:rPr>
          <w:rFonts w:ascii="Lucida Sans Unicode"/>
          <w:spacing w:val="-20"/>
          <w:w w:val="105"/>
        </w:rPr>
        <w:t> </w:t>
      </w:r>
      <w:r>
        <w:rPr>
          <w:rFonts w:ascii="Lucida Sans Unicode"/>
          <w:w w:val="105"/>
        </w:rPr>
        <w:t>under</w:t>
      </w:r>
      <w:r>
        <w:rPr>
          <w:rFonts w:ascii="Lucida Sans Unicode"/>
          <w:spacing w:val="-20"/>
          <w:w w:val="105"/>
        </w:rPr>
        <w:t> </w:t>
      </w:r>
      <w:r>
        <w:rPr>
          <w:rFonts w:ascii="Lucida Sans Unicode"/>
          <w:w w:val="105"/>
        </w:rPr>
        <w:t>the</w:t>
      </w:r>
      <w:r>
        <w:rPr>
          <w:rFonts w:ascii="Lucida Sans Unicode"/>
          <w:spacing w:val="-20"/>
          <w:w w:val="105"/>
        </w:rPr>
        <w:t> </w:t>
      </w:r>
      <w:r>
        <w:rPr>
          <w:rFonts w:ascii="Lucida Sans Unicode"/>
          <w:w w:val="105"/>
        </w:rPr>
        <w:t>same </w:t>
      </w:r>
      <w:r>
        <w:rPr>
          <w:w w:val="105"/>
        </w:rPr>
        <w:t>conditions: whenever the Member</w:t>
      </w:r>
      <w:r>
        <w:rPr>
          <w:spacing w:val="40"/>
          <w:w w:val="105"/>
        </w:rPr>
        <w:t> </w:t>
      </w:r>
      <w:r>
        <w:rPr>
          <w:rFonts w:ascii="Lucida Sans Unicode"/>
          <w:w w:val="105"/>
        </w:rPr>
        <w:t>States are acting within the scope</w:t>
      </w:r>
    </w:p>
    <w:p>
      <w:pPr>
        <w:pStyle w:val="BodyText"/>
        <w:spacing w:line="315" w:lineRule="exact"/>
      </w:pPr>
      <w:r>
        <w:rPr/>
        <w:t>of</w:t>
      </w:r>
      <w:r>
        <w:rPr>
          <w:spacing w:val="27"/>
        </w:rPr>
        <w:t> </w:t>
      </w:r>
      <w:r>
        <w:rPr/>
        <w:t>EU</w:t>
      </w:r>
      <w:r>
        <w:rPr>
          <w:spacing w:val="28"/>
        </w:rPr>
        <w:t> </w:t>
      </w:r>
      <w:r>
        <w:rPr/>
        <w:t>law.</w:t>
      </w:r>
      <w:r>
        <w:rPr>
          <w:rFonts w:ascii="Lucida Sans Unicode"/>
          <w:vertAlign w:val="superscript"/>
        </w:rPr>
        <w:t>13</w:t>
      </w:r>
      <w:r>
        <w:rPr>
          <w:rFonts w:ascii="Lucida Sans Unicode"/>
          <w:spacing w:val="18"/>
          <w:vertAlign w:val="baseline"/>
        </w:rPr>
        <w:t> </w:t>
      </w:r>
      <w:r>
        <w:rPr>
          <w:vertAlign w:val="baseline"/>
        </w:rPr>
        <w:t>For</w:t>
      </w:r>
      <w:r>
        <w:rPr>
          <w:spacing w:val="28"/>
          <w:vertAlign w:val="baseline"/>
        </w:rPr>
        <w:t> </w:t>
      </w:r>
      <w:r>
        <w:rPr>
          <w:vertAlign w:val="baseline"/>
        </w:rPr>
        <w:t>these</w:t>
      </w:r>
      <w:r>
        <w:rPr>
          <w:spacing w:val="28"/>
          <w:vertAlign w:val="baseline"/>
        </w:rPr>
        <w:t> </w:t>
      </w:r>
      <w:r>
        <w:rPr>
          <w:vertAlign w:val="baseline"/>
        </w:rPr>
        <w:t>reasons,</w:t>
      </w:r>
      <w:r>
        <w:rPr>
          <w:spacing w:val="27"/>
          <w:vertAlign w:val="baseline"/>
        </w:rPr>
        <w:t> </w:t>
      </w:r>
      <w:r>
        <w:rPr>
          <w:spacing w:val="-5"/>
          <w:vertAlign w:val="baseline"/>
        </w:rPr>
        <w:t>the</w:t>
      </w:r>
    </w:p>
    <w:p>
      <w:pPr>
        <w:pStyle w:val="BodyText"/>
        <w:spacing w:line="276" w:lineRule="auto"/>
        <w:ind w:right="641"/>
      </w:pPr>
      <w:r>
        <w:rPr>
          <w:w w:val="115"/>
        </w:rPr>
        <w:t>CJEU</w:t>
      </w:r>
      <w:r>
        <w:rPr>
          <w:spacing w:val="-17"/>
          <w:w w:val="115"/>
        </w:rPr>
        <w:t> </w:t>
      </w:r>
      <w:r>
        <w:rPr>
          <w:w w:val="115"/>
        </w:rPr>
        <w:t>now</w:t>
      </w:r>
      <w:r>
        <w:rPr>
          <w:spacing w:val="-17"/>
          <w:w w:val="115"/>
        </w:rPr>
        <w:t> </w:t>
      </w:r>
      <w:r>
        <w:rPr>
          <w:w w:val="115"/>
        </w:rPr>
        <w:t>rarely,</w:t>
      </w:r>
      <w:r>
        <w:rPr>
          <w:spacing w:val="-17"/>
          <w:w w:val="115"/>
        </w:rPr>
        <w:t> </w:t>
      </w:r>
      <w:r>
        <w:rPr>
          <w:w w:val="115"/>
        </w:rPr>
        <w:t>if</w:t>
      </w:r>
      <w:r>
        <w:rPr>
          <w:spacing w:val="-17"/>
          <w:w w:val="115"/>
        </w:rPr>
        <w:t> </w:t>
      </w:r>
      <w:r>
        <w:rPr>
          <w:w w:val="115"/>
        </w:rPr>
        <w:t>ever,</w:t>
      </w:r>
      <w:r>
        <w:rPr>
          <w:spacing w:val="-17"/>
          <w:w w:val="115"/>
        </w:rPr>
        <w:t> </w:t>
      </w:r>
      <w:r>
        <w:rPr>
          <w:w w:val="115"/>
        </w:rPr>
        <w:t>refers </w:t>
      </w:r>
      <w:r>
        <w:rPr>
          <w:spacing w:val="-2"/>
          <w:w w:val="115"/>
        </w:rPr>
        <w:t>to</w:t>
      </w:r>
      <w:r>
        <w:rPr>
          <w:spacing w:val="-16"/>
          <w:w w:val="115"/>
        </w:rPr>
        <w:t> </w:t>
      </w:r>
      <w:r>
        <w:rPr>
          <w:spacing w:val="-2"/>
          <w:w w:val="115"/>
        </w:rPr>
        <w:t>fundamental</w:t>
      </w:r>
      <w:r>
        <w:rPr>
          <w:spacing w:val="-16"/>
          <w:w w:val="115"/>
        </w:rPr>
        <w:t> </w:t>
      </w:r>
      <w:r>
        <w:rPr>
          <w:spacing w:val="-2"/>
          <w:w w:val="115"/>
        </w:rPr>
        <w:t>rights</w:t>
      </w:r>
      <w:r>
        <w:rPr>
          <w:spacing w:val="-16"/>
          <w:w w:val="115"/>
        </w:rPr>
        <w:t> </w:t>
      </w:r>
      <w:r>
        <w:rPr>
          <w:spacing w:val="-2"/>
          <w:w w:val="115"/>
        </w:rPr>
        <w:t>as</w:t>
      </w:r>
      <w:r>
        <w:rPr>
          <w:spacing w:val="-16"/>
          <w:w w:val="115"/>
        </w:rPr>
        <w:t> </w:t>
      </w:r>
      <w:r>
        <w:rPr>
          <w:spacing w:val="-2"/>
          <w:w w:val="115"/>
        </w:rPr>
        <w:t>general </w:t>
      </w:r>
      <w:r>
        <w:rPr>
          <w:w w:val="110"/>
        </w:rPr>
        <w:t>principles.</w:t>
      </w:r>
      <w:r>
        <w:rPr>
          <w:spacing w:val="9"/>
          <w:w w:val="110"/>
        </w:rPr>
        <w:t> </w:t>
      </w:r>
      <w:r>
        <w:rPr>
          <w:w w:val="110"/>
        </w:rPr>
        <w:t>In</w:t>
      </w:r>
      <w:r>
        <w:rPr>
          <w:spacing w:val="10"/>
          <w:w w:val="110"/>
        </w:rPr>
        <w:t> </w:t>
      </w:r>
      <w:r>
        <w:rPr>
          <w:w w:val="110"/>
        </w:rPr>
        <w:t>practice,</w:t>
      </w:r>
      <w:r>
        <w:rPr>
          <w:spacing w:val="10"/>
          <w:w w:val="110"/>
        </w:rPr>
        <w:t> </w:t>
      </w:r>
      <w:r>
        <w:rPr>
          <w:spacing w:val="-2"/>
          <w:w w:val="110"/>
        </w:rPr>
        <w:t>therefore,</w:t>
      </w:r>
    </w:p>
    <w:p>
      <w:pPr>
        <w:pStyle w:val="BodyText"/>
        <w:spacing w:line="235" w:lineRule="auto"/>
        <w:ind w:right="23"/>
      </w:pPr>
      <w:r>
        <w:rPr>
          <w:w w:val="110"/>
        </w:rPr>
        <w:t>the fundamental rights as general </w:t>
      </w:r>
      <w:r>
        <w:rPr>
          <w:rFonts w:ascii="Lucida Sans Unicode"/>
        </w:rPr>
        <w:t>principles fulfil a residual or backup </w:t>
      </w:r>
      <w:r>
        <w:rPr>
          <w:w w:val="110"/>
        </w:rPr>
        <w:t>function</w:t>
      </w:r>
      <w:r>
        <w:rPr>
          <w:spacing w:val="38"/>
          <w:w w:val="110"/>
        </w:rPr>
        <w:t> </w:t>
      </w:r>
      <w:r>
        <w:rPr>
          <w:w w:val="110"/>
        </w:rPr>
        <w:t>in</w:t>
      </w:r>
      <w:r>
        <w:rPr>
          <w:spacing w:val="38"/>
          <w:w w:val="110"/>
        </w:rPr>
        <w:t> </w:t>
      </w:r>
      <w:r>
        <w:rPr>
          <w:w w:val="110"/>
        </w:rPr>
        <w:t>that</w:t>
      </w:r>
      <w:r>
        <w:rPr>
          <w:spacing w:val="38"/>
          <w:w w:val="110"/>
        </w:rPr>
        <w:t> </w:t>
      </w:r>
      <w:r>
        <w:rPr>
          <w:w w:val="110"/>
        </w:rPr>
        <w:t>they</w:t>
      </w:r>
      <w:r>
        <w:rPr>
          <w:spacing w:val="38"/>
          <w:w w:val="110"/>
        </w:rPr>
        <w:t> </w:t>
      </w:r>
      <w:r>
        <w:rPr>
          <w:w w:val="110"/>
        </w:rPr>
        <w:t>can</w:t>
      </w:r>
      <w:r>
        <w:rPr>
          <w:spacing w:val="38"/>
          <w:w w:val="110"/>
        </w:rPr>
        <w:t> </w:t>
      </w:r>
      <w:r>
        <w:rPr>
          <w:w w:val="110"/>
        </w:rPr>
        <w:t>(potentially)</w:t>
      </w:r>
    </w:p>
    <w:p>
      <w:pPr>
        <w:pStyle w:val="BodyText"/>
        <w:spacing w:line="218" w:lineRule="auto" w:before="60"/>
        <w:ind w:right="321"/>
        <w:rPr>
          <w:rFonts w:ascii="Lucida Sans Unicode"/>
        </w:rPr>
      </w:pPr>
      <w:r>
        <w:rPr>
          <w:w w:val="105"/>
        </w:rPr>
        <w:t>complement</w:t>
      </w:r>
      <w:r>
        <w:rPr>
          <w:spacing w:val="63"/>
          <w:w w:val="105"/>
        </w:rPr>
        <w:t> </w:t>
      </w:r>
      <w:r>
        <w:rPr>
          <w:w w:val="105"/>
        </w:rPr>
        <w:t>the</w:t>
      </w:r>
      <w:r>
        <w:rPr>
          <w:spacing w:val="63"/>
          <w:w w:val="105"/>
        </w:rPr>
        <w:t> </w:t>
      </w:r>
      <w:r>
        <w:rPr>
          <w:w w:val="105"/>
        </w:rPr>
        <w:t>written</w:t>
      </w:r>
      <w:r>
        <w:rPr>
          <w:spacing w:val="63"/>
          <w:w w:val="105"/>
        </w:rPr>
        <w:t> </w:t>
      </w:r>
      <w:r>
        <w:rPr>
          <w:w w:val="105"/>
        </w:rPr>
        <w:t>rights</w:t>
      </w:r>
      <w:r>
        <w:rPr>
          <w:spacing w:val="63"/>
          <w:w w:val="105"/>
        </w:rPr>
        <w:t> </w:t>
      </w:r>
      <w:r>
        <w:rPr>
          <w:w w:val="105"/>
        </w:rPr>
        <w:t>in</w:t>
      </w:r>
      <w:r>
        <w:rPr>
          <w:spacing w:val="80"/>
          <w:w w:val="105"/>
        </w:rPr>
        <w:t> </w:t>
      </w:r>
      <w:r>
        <w:rPr>
          <w:rFonts w:ascii="Lucida Sans Unicode"/>
        </w:rPr>
        <w:t>the</w:t>
      </w:r>
      <w:r>
        <w:rPr>
          <w:rFonts w:ascii="Lucida Sans Unicode"/>
          <w:spacing w:val="-18"/>
        </w:rPr>
        <w:t> </w:t>
      </w:r>
      <w:r>
        <w:rPr>
          <w:rFonts w:ascii="Lucida Sans Unicode"/>
        </w:rPr>
        <w:t>Charter</w:t>
      </w:r>
      <w:r>
        <w:rPr>
          <w:rFonts w:ascii="Lucida Sans Unicode"/>
          <w:spacing w:val="-18"/>
        </w:rPr>
        <w:t> </w:t>
      </w:r>
      <w:r>
        <w:rPr>
          <w:rFonts w:ascii="Lucida Sans Unicode"/>
        </w:rPr>
        <w:t>by</w:t>
      </w:r>
      <w:r>
        <w:rPr>
          <w:rFonts w:ascii="Lucida Sans Unicode"/>
          <w:spacing w:val="-18"/>
        </w:rPr>
        <w:t> </w:t>
      </w:r>
      <w:r>
        <w:rPr>
          <w:rFonts w:ascii="Lucida Sans Unicode"/>
        </w:rPr>
        <w:t>filling</w:t>
      </w:r>
      <w:r>
        <w:rPr>
          <w:rFonts w:ascii="Lucida Sans Unicode"/>
          <w:spacing w:val="-18"/>
        </w:rPr>
        <w:t> </w:t>
      </w:r>
      <w:r>
        <w:rPr>
          <w:rFonts w:ascii="Lucida Sans Unicode"/>
        </w:rPr>
        <w:t>existing</w:t>
      </w:r>
      <w:r>
        <w:rPr>
          <w:rFonts w:ascii="Lucida Sans Unicode"/>
          <w:spacing w:val="-18"/>
        </w:rPr>
        <w:t> </w:t>
      </w:r>
      <w:r>
        <w:rPr>
          <w:rFonts w:ascii="Lucida Sans Unicode"/>
        </w:rPr>
        <w:t>gaps.</w:t>
      </w:r>
      <w:r>
        <w:rPr>
          <w:rFonts w:ascii="Lucida Sans Unicode"/>
          <w:vertAlign w:val="superscript"/>
        </w:rPr>
        <w:t>14</w:t>
      </w:r>
      <w:r>
        <w:rPr>
          <w:rFonts w:ascii="Lucida Sans Unicode"/>
          <w:vertAlign w:val="baseline"/>
        </w:rPr>
        <w:t> </w:t>
      </w:r>
      <w:r>
        <w:rPr>
          <w:rFonts w:ascii="Lucida Sans Unicode"/>
          <w:w w:val="105"/>
          <w:vertAlign w:val="baseline"/>
        </w:rPr>
        <w:t>For</w:t>
      </w:r>
      <w:r>
        <w:rPr>
          <w:rFonts w:ascii="Lucida Sans Unicode"/>
          <w:spacing w:val="-18"/>
          <w:w w:val="105"/>
          <w:vertAlign w:val="baseline"/>
        </w:rPr>
        <w:t> </w:t>
      </w:r>
      <w:r>
        <w:rPr>
          <w:rFonts w:ascii="Lucida Sans Unicode"/>
          <w:w w:val="105"/>
          <w:vertAlign w:val="baseline"/>
        </w:rPr>
        <w:t>instance,</w:t>
      </w:r>
      <w:r>
        <w:rPr>
          <w:rFonts w:ascii="Lucida Sans Unicode"/>
          <w:spacing w:val="-18"/>
          <w:w w:val="105"/>
          <w:vertAlign w:val="baseline"/>
        </w:rPr>
        <w:t> </w:t>
      </w:r>
      <w:r>
        <w:rPr>
          <w:rFonts w:ascii="Lucida Sans Unicode"/>
          <w:w w:val="105"/>
          <w:vertAlign w:val="baseline"/>
        </w:rPr>
        <w:t>in</w:t>
      </w:r>
      <w:r>
        <w:rPr>
          <w:rFonts w:ascii="Lucida Sans Unicode"/>
          <w:spacing w:val="-18"/>
          <w:w w:val="105"/>
          <w:vertAlign w:val="baseline"/>
        </w:rPr>
        <w:t> </w:t>
      </w:r>
      <w:r>
        <w:rPr>
          <w:rFonts w:ascii="Lucida Sans Unicode"/>
          <w:w w:val="105"/>
          <w:vertAlign w:val="baseline"/>
        </w:rPr>
        <w:t>a</w:t>
      </w:r>
      <w:r>
        <w:rPr>
          <w:rFonts w:ascii="Lucida Sans Unicode"/>
          <w:spacing w:val="-18"/>
          <w:w w:val="105"/>
          <w:vertAlign w:val="baseline"/>
        </w:rPr>
        <w:t> </w:t>
      </w:r>
      <w:r>
        <w:rPr>
          <w:rFonts w:ascii="Lucida Sans Unicode"/>
          <w:w w:val="105"/>
          <w:vertAlign w:val="baseline"/>
        </w:rPr>
        <w:t>2021</w:t>
      </w:r>
      <w:r>
        <w:rPr>
          <w:rFonts w:ascii="Lucida Sans Unicode"/>
          <w:spacing w:val="-18"/>
          <w:w w:val="105"/>
          <w:vertAlign w:val="baseline"/>
        </w:rPr>
        <w:t> </w:t>
      </w:r>
      <w:r>
        <w:rPr>
          <w:rFonts w:ascii="Lucida Sans Unicode"/>
          <w:w w:val="105"/>
          <w:vertAlign w:val="baseline"/>
        </w:rPr>
        <w:t>judgment, the Court of Justice confirmed the</w:t>
      </w:r>
    </w:p>
    <w:p>
      <w:pPr>
        <w:pStyle w:val="BodyText"/>
        <w:spacing w:line="276" w:lineRule="auto"/>
        <w:ind w:right="23"/>
      </w:pPr>
      <w:r>
        <w:rPr>
          <w:w w:val="115"/>
        </w:rPr>
        <w:t>existence of a ‘right to the protection </w:t>
      </w:r>
      <w:r>
        <w:rPr>
          <w:spacing w:val="-2"/>
          <w:w w:val="115"/>
        </w:rPr>
        <w:t>of</w:t>
      </w:r>
      <w:r>
        <w:rPr>
          <w:spacing w:val="-18"/>
          <w:w w:val="115"/>
        </w:rPr>
        <w:t> </w:t>
      </w:r>
      <w:r>
        <w:rPr>
          <w:spacing w:val="-2"/>
          <w:w w:val="115"/>
        </w:rPr>
        <w:t>trade</w:t>
      </w:r>
      <w:r>
        <w:rPr>
          <w:spacing w:val="-17"/>
          <w:w w:val="115"/>
        </w:rPr>
        <w:t> </w:t>
      </w:r>
      <w:r>
        <w:rPr>
          <w:spacing w:val="-2"/>
          <w:w w:val="115"/>
        </w:rPr>
        <w:t>secrets’</w:t>
      </w:r>
      <w:r>
        <w:rPr>
          <w:spacing w:val="-17"/>
          <w:w w:val="115"/>
        </w:rPr>
        <w:t> </w:t>
      </w:r>
      <w:r>
        <w:rPr>
          <w:spacing w:val="-2"/>
          <w:w w:val="115"/>
        </w:rPr>
        <w:t>as</w:t>
      </w:r>
      <w:r>
        <w:rPr>
          <w:spacing w:val="-17"/>
          <w:w w:val="115"/>
        </w:rPr>
        <w:t> </w:t>
      </w:r>
      <w:r>
        <w:rPr>
          <w:spacing w:val="-2"/>
          <w:w w:val="115"/>
        </w:rPr>
        <w:t>a</w:t>
      </w:r>
      <w:r>
        <w:rPr>
          <w:spacing w:val="-17"/>
          <w:w w:val="115"/>
        </w:rPr>
        <w:t> </w:t>
      </w:r>
      <w:r>
        <w:rPr>
          <w:spacing w:val="-2"/>
          <w:w w:val="115"/>
        </w:rPr>
        <w:t>general</w:t>
      </w:r>
      <w:r>
        <w:rPr>
          <w:spacing w:val="-18"/>
          <w:w w:val="115"/>
        </w:rPr>
        <w:t> </w:t>
      </w:r>
      <w:r>
        <w:rPr>
          <w:spacing w:val="-2"/>
          <w:w w:val="115"/>
        </w:rPr>
        <w:t>principle </w:t>
      </w:r>
      <w:r>
        <w:rPr>
          <w:w w:val="115"/>
        </w:rPr>
        <w:t>which appears to have a broader scope</w:t>
      </w:r>
      <w:r>
        <w:rPr>
          <w:spacing w:val="-8"/>
          <w:w w:val="115"/>
        </w:rPr>
        <w:t> </w:t>
      </w:r>
      <w:r>
        <w:rPr>
          <w:w w:val="115"/>
        </w:rPr>
        <w:t>than</w:t>
      </w:r>
      <w:r>
        <w:rPr>
          <w:spacing w:val="-8"/>
          <w:w w:val="115"/>
        </w:rPr>
        <w:t> </w:t>
      </w:r>
      <w:r>
        <w:rPr>
          <w:w w:val="115"/>
        </w:rPr>
        <w:t>Article</w:t>
      </w:r>
      <w:r>
        <w:rPr>
          <w:spacing w:val="-8"/>
          <w:w w:val="115"/>
        </w:rPr>
        <w:t> </w:t>
      </w:r>
      <w:r>
        <w:rPr>
          <w:w w:val="115"/>
        </w:rPr>
        <w:t>7</w:t>
      </w:r>
      <w:r>
        <w:rPr>
          <w:spacing w:val="-8"/>
          <w:w w:val="115"/>
        </w:rPr>
        <w:t> </w:t>
      </w:r>
      <w:r>
        <w:rPr>
          <w:w w:val="115"/>
        </w:rPr>
        <w:t>CFR</w:t>
      </w:r>
      <w:r>
        <w:rPr>
          <w:spacing w:val="-8"/>
          <w:w w:val="115"/>
        </w:rPr>
        <w:t> </w:t>
      </w:r>
      <w:r>
        <w:rPr>
          <w:w w:val="115"/>
        </w:rPr>
        <w:t>(the</w:t>
      </w:r>
      <w:r>
        <w:rPr>
          <w:spacing w:val="-8"/>
          <w:w w:val="115"/>
        </w:rPr>
        <w:t> </w:t>
      </w:r>
      <w:r>
        <w:rPr>
          <w:w w:val="115"/>
        </w:rPr>
        <w:t>right</w:t>
      </w:r>
      <w:r>
        <w:rPr>
          <w:spacing w:val="-8"/>
          <w:w w:val="115"/>
        </w:rPr>
        <w:t> </w:t>
      </w:r>
      <w:r>
        <w:rPr>
          <w:w w:val="115"/>
        </w:rPr>
        <w:t>to private life) and can thus be usefully invoked</w:t>
      </w:r>
      <w:r>
        <w:rPr>
          <w:spacing w:val="-1"/>
          <w:w w:val="115"/>
        </w:rPr>
        <w:t> </w:t>
      </w:r>
      <w:r>
        <w:rPr>
          <w:w w:val="115"/>
        </w:rPr>
        <w:t>in</w:t>
      </w:r>
      <w:r>
        <w:rPr>
          <w:spacing w:val="-1"/>
          <w:w w:val="115"/>
        </w:rPr>
        <w:t> </w:t>
      </w:r>
      <w:r>
        <w:rPr>
          <w:w w:val="115"/>
        </w:rPr>
        <w:t>addition</w:t>
      </w:r>
      <w:r>
        <w:rPr>
          <w:spacing w:val="-1"/>
          <w:w w:val="115"/>
        </w:rPr>
        <w:t> </w:t>
      </w:r>
      <w:r>
        <w:rPr>
          <w:w w:val="115"/>
        </w:rPr>
        <w:t>to</w:t>
      </w:r>
      <w:r>
        <w:rPr>
          <w:spacing w:val="-1"/>
          <w:w w:val="115"/>
        </w:rPr>
        <w:t> </w:t>
      </w:r>
      <w:r>
        <w:rPr>
          <w:w w:val="115"/>
        </w:rPr>
        <w:t>the</w:t>
      </w:r>
      <w:r>
        <w:rPr>
          <w:spacing w:val="-1"/>
          <w:w w:val="115"/>
        </w:rPr>
        <w:t> </w:t>
      </w:r>
      <w:r>
        <w:rPr>
          <w:w w:val="115"/>
        </w:rPr>
        <w:t>Charter.</w:t>
      </w:r>
      <w:r>
        <w:rPr>
          <w:w w:val="115"/>
          <w:vertAlign w:val="superscript"/>
        </w:rPr>
        <w:t>15</w:t>
      </w:r>
    </w:p>
    <w:p>
      <w:pPr>
        <w:pStyle w:val="BodyText"/>
        <w:spacing w:line="318" w:lineRule="exact" w:before="262"/>
        <w:ind w:right="23"/>
        <w:rPr>
          <w:rFonts w:ascii="Lucida Sans Unicode"/>
        </w:rPr>
      </w:pPr>
      <w:r>
        <w:rPr>
          <w:w w:val="115"/>
        </w:rPr>
        <w:t>Apart from their limited role in occasionally complementing the </w:t>
      </w:r>
      <w:r>
        <w:rPr>
          <w:w w:val="110"/>
        </w:rPr>
        <w:t>Charter, though, the general </w:t>
      </w:r>
      <w:r>
        <w:rPr>
          <w:w w:val="110"/>
        </w:rPr>
        <w:t>principles </w:t>
      </w:r>
      <w:r>
        <w:rPr>
          <w:w w:val="115"/>
        </w:rPr>
        <w:t>have lost much of their practical </w:t>
      </w:r>
      <w:r>
        <w:rPr>
          <w:rFonts w:ascii="Lucida Sans Unicode"/>
        </w:rPr>
        <w:t>significance in the fundamental</w:t>
      </w:r>
    </w:p>
    <w:p>
      <w:pPr>
        <w:pStyle w:val="BodyText"/>
        <w:spacing w:line="276" w:lineRule="auto" w:before="27"/>
        <w:ind w:right="321"/>
      </w:pPr>
      <w:r>
        <w:rPr>
          <w:w w:val="115"/>
        </w:rPr>
        <w:t>rights context. They will therefore </w:t>
      </w:r>
      <w:r>
        <w:rPr>
          <w:w w:val="110"/>
        </w:rPr>
        <w:t>only be discussed separately where </w:t>
      </w:r>
      <w:r>
        <w:rPr>
          <w:w w:val="115"/>
        </w:rPr>
        <w:t>they</w:t>
      </w:r>
      <w:r>
        <w:rPr>
          <w:spacing w:val="-8"/>
          <w:w w:val="115"/>
        </w:rPr>
        <w:t> </w:t>
      </w:r>
      <w:r>
        <w:rPr>
          <w:w w:val="115"/>
        </w:rPr>
        <w:t>protect</w:t>
      </w:r>
      <w:r>
        <w:rPr>
          <w:spacing w:val="-8"/>
          <w:w w:val="115"/>
        </w:rPr>
        <w:t> </w:t>
      </w:r>
      <w:r>
        <w:rPr>
          <w:w w:val="115"/>
        </w:rPr>
        <w:t>rights</w:t>
      </w:r>
      <w:r>
        <w:rPr>
          <w:spacing w:val="-8"/>
          <w:w w:val="115"/>
        </w:rPr>
        <w:t> </w:t>
      </w:r>
      <w:r>
        <w:rPr>
          <w:w w:val="115"/>
        </w:rPr>
        <w:t>that</w:t>
      </w:r>
      <w:r>
        <w:rPr>
          <w:spacing w:val="-8"/>
          <w:w w:val="115"/>
        </w:rPr>
        <w:t> </w:t>
      </w:r>
      <w:r>
        <w:rPr>
          <w:w w:val="115"/>
        </w:rPr>
        <w:t>are</w:t>
      </w:r>
      <w:r>
        <w:rPr>
          <w:spacing w:val="-8"/>
          <w:w w:val="115"/>
        </w:rPr>
        <w:t> </w:t>
      </w:r>
      <w:r>
        <w:rPr>
          <w:w w:val="115"/>
        </w:rPr>
        <w:t>not</w:t>
      </w:r>
      <w:r>
        <w:rPr>
          <w:spacing w:val="-8"/>
          <w:w w:val="115"/>
        </w:rPr>
        <w:t> </w:t>
      </w:r>
      <w:r>
        <w:rPr>
          <w:w w:val="115"/>
        </w:rPr>
        <w:t>also contained in the Charter.</w:t>
      </w:r>
    </w:p>
    <w:p>
      <w:pPr>
        <w:pStyle w:val="Heading3"/>
        <w:numPr>
          <w:ilvl w:val="0"/>
          <w:numId w:val="7"/>
        </w:numPr>
        <w:tabs>
          <w:tab w:pos="680" w:val="left" w:leader="none"/>
        </w:tabs>
        <w:spacing w:line="256" w:lineRule="auto" w:before="80" w:after="0"/>
        <w:ind w:left="680" w:right="923" w:hanging="567"/>
        <w:jc w:val="left"/>
        <w:rPr>
          <w:color w:val="77328A"/>
        </w:rPr>
      </w:pPr>
      <w:r>
        <w:rPr>
          <w:b w:val="0"/>
        </w:rPr>
        <w:br w:type="column"/>
      </w:r>
      <w:r>
        <w:rPr>
          <w:color w:val="77328A"/>
        </w:rPr>
        <w:t>Rights and </w:t>
      </w:r>
      <w:r>
        <w:rPr>
          <w:color w:val="77328A"/>
        </w:rPr>
        <w:t>principles in the Charter</w:t>
      </w:r>
    </w:p>
    <w:p>
      <w:pPr>
        <w:pStyle w:val="BodyText"/>
        <w:spacing w:line="318" w:lineRule="exact" w:before="148"/>
        <w:ind w:right="420"/>
      </w:pPr>
      <w:r>
        <w:rPr>
          <w:rFonts w:ascii="Lucida Sans Unicode"/>
        </w:rPr>
        <w:t>Separate to the question of </w:t>
      </w:r>
      <w:r>
        <w:rPr>
          <w:rFonts w:ascii="Lucida Sans Unicode"/>
        </w:rPr>
        <w:t>whether </w:t>
      </w:r>
      <w:r>
        <w:rPr>
          <w:w w:val="110"/>
        </w:rPr>
        <w:t>the Charter encapsulates general principles of EU law is a textual distinction the Charter draws between rights and principles.</w:t>
      </w:r>
    </w:p>
    <w:p>
      <w:pPr>
        <w:pStyle w:val="BodyText"/>
        <w:spacing w:before="31"/>
        <w:ind w:right="266"/>
        <w:rPr>
          <w:rFonts w:ascii="Lucida Sans Unicode" w:hAnsi="Lucida Sans Unicode"/>
        </w:rPr>
      </w:pPr>
      <w:r>
        <w:rPr>
          <w:w w:val="105"/>
        </w:rPr>
        <w:t>According to Article 51 (1) CFR, </w:t>
      </w:r>
      <w:r>
        <w:rPr>
          <w:rFonts w:ascii="Lucida Sans Unicode" w:hAnsi="Lucida Sans Unicode"/>
          <w:w w:val="105"/>
        </w:rPr>
        <w:t>Member States must ‘respect the </w:t>
      </w:r>
      <w:r>
        <w:rPr>
          <w:w w:val="105"/>
        </w:rPr>
        <w:t>rights and observe the principles’</w:t>
      </w:r>
      <w:r>
        <w:rPr>
          <w:spacing w:val="80"/>
          <w:w w:val="105"/>
        </w:rPr>
        <w:t> </w:t>
      </w:r>
      <w:r>
        <w:rPr>
          <w:rFonts w:ascii="Lucida Sans Unicode" w:hAnsi="Lucida Sans Unicode"/>
        </w:rPr>
        <w:t>contained in the Charter. Article </w:t>
      </w:r>
      <w:r>
        <w:rPr>
          <w:rFonts w:ascii="Lucida Sans Unicode" w:hAnsi="Lucida Sans Unicode"/>
        </w:rPr>
        <w:t>52</w:t>
      </w:r>
    </w:p>
    <w:p>
      <w:pPr>
        <w:pStyle w:val="BodyText"/>
        <w:spacing w:line="260" w:lineRule="exact"/>
      </w:pPr>
      <w:r>
        <w:rPr>
          <w:w w:val="110"/>
        </w:rPr>
        <w:t>(5)</w:t>
      </w:r>
      <w:r>
        <w:rPr>
          <w:spacing w:val="2"/>
          <w:w w:val="110"/>
        </w:rPr>
        <w:t> </w:t>
      </w:r>
      <w:r>
        <w:rPr>
          <w:w w:val="110"/>
        </w:rPr>
        <w:t>CFR</w:t>
      </w:r>
      <w:r>
        <w:rPr>
          <w:spacing w:val="2"/>
          <w:w w:val="110"/>
        </w:rPr>
        <w:t> </w:t>
      </w:r>
      <w:r>
        <w:rPr>
          <w:w w:val="110"/>
        </w:rPr>
        <w:t>sheds</w:t>
      </w:r>
      <w:r>
        <w:rPr>
          <w:spacing w:val="3"/>
          <w:w w:val="110"/>
        </w:rPr>
        <w:t> </w:t>
      </w:r>
      <w:r>
        <w:rPr>
          <w:w w:val="110"/>
        </w:rPr>
        <w:t>some</w:t>
      </w:r>
      <w:r>
        <w:rPr>
          <w:spacing w:val="2"/>
          <w:w w:val="110"/>
        </w:rPr>
        <w:t> </w:t>
      </w:r>
      <w:r>
        <w:rPr>
          <w:w w:val="110"/>
        </w:rPr>
        <w:t>light</w:t>
      </w:r>
      <w:r>
        <w:rPr>
          <w:spacing w:val="3"/>
          <w:w w:val="110"/>
        </w:rPr>
        <w:t> </w:t>
      </w:r>
      <w:r>
        <w:rPr>
          <w:w w:val="110"/>
        </w:rPr>
        <w:t>on</w:t>
      </w:r>
      <w:r>
        <w:rPr>
          <w:spacing w:val="2"/>
          <w:w w:val="110"/>
        </w:rPr>
        <w:t> </w:t>
      </w:r>
      <w:r>
        <w:rPr>
          <w:spacing w:val="-5"/>
          <w:w w:val="110"/>
        </w:rPr>
        <w:t>the</w:t>
      </w:r>
    </w:p>
    <w:p>
      <w:pPr>
        <w:pStyle w:val="BodyText"/>
        <w:spacing w:line="318" w:lineRule="exact" w:before="13"/>
        <w:ind w:right="487"/>
        <w:rPr>
          <w:rFonts w:ascii="Lucida Sans Unicode" w:hAnsi="Lucida Sans Unicode"/>
        </w:rPr>
      </w:pPr>
      <w:r>
        <w:rPr>
          <w:rFonts w:ascii="Lucida Sans Unicode" w:hAnsi="Lucida Sans Unicode"/>
        </w:rPr>
        <w:t>significance of the distinction when </w:t>
      </w:r>
      <w:r>
        <w:rPr>
          <w:w w:val="110"/>
        </w:rPr>
        <w:t>it says that the ‘provisions of this Charter which contain principles may be implemented by legislative </w:t>
      </w:r>
      <w:r>
        <w:rPr>
          <w:rFonts w:ascii="Lucida Sans Unicode" w:hAnsi="Lucida Sans Unicode"/>
        </w:rPr>
        <w:t>and executive acts taken by the </w:t>
      </w:r>
      <w:r>
        <w:rPr>
          <w:rFonts w:ascii="Lucida Sans Unicode" w:hAnsi="Lucida Sans Unicode"/>
        </w:rPr>
        <w:t>[…] </w:t>
      </w:r>
      <w:r>
        <w:rPr>
          <w:w w:val="110"/>
        </w:rPr>
        <w:t>Union and by acts of the Member </w:t>
      </w:r>
      <w:r>
        <w:rPr>
          <w:rFonts w:ascii="Lucida Sans Unicode" w:hAnsi="Lucida Sans Unicode"/>
        </w:rPr>
        <w:t>States when they are implementing</w:t>
      </w:r>
    </w:p>
    <w:p>
      <w:pPr>
        <w:pStyle w:val="BodyText"/>
        <w:spacing w:line="318" w:lineRule="exact" w:before="3"/>
        <w:ind w:right="290"/>
      </w:pPr>
      <w:r>
        <w:rPr>
          <w:rFonts w:ascii="Lucida Sans Unicode" w:hAnsi="Lucida Sans Unicode"/>
        </w:rPr>
        <w:t>Union</w:t>
      </w:r>
      <w:r>
        <w:rPr>
          <w:rFonts w:ascii="Lucida Sans Unicode" w:hAnsi="Lucida Sans Unicode"/>
          <w:spacing w:val="-2"/>
        </w:rPr>
        <w:t> </w:t>
      </w:r>
      <w:r>
        <w:rPr>
          <w:rFonts w:ascii="Lucida Sans Unicode" w:hAnsi="Lucida Sans Unicode"/>
        </w:rPr>
        <w:t>law</w:t>
      </w:r>
      <w:r>
        <w:rPr>
          <w:rFonts w:ascii="Lucida Sans Unicode" w:hAnsi="Lucida Sans Unicode"/>
          <w:spacing w:val="-2"/>
        </w:rPr>
        <w:t> </w:t>
      </w:r>
      <w:r>
        <w:rPr>
          <w:rFonts w:ascii="Lucida Sans Unicode" w:hAnsi="Lucida Sans Unicode"/>
        </w:rPr>
        <w:t>[…].</w:t>
      </w:r>
      <w:r>
        <w:rPr>
          <w:rFonts w:ascii="Lucida Sans Unicode" w:hAnsi="Lucida Sans Unicode"/>
          <w:spacing w:val="-2"/>
        </w:rPr>
        <w:t> </w:t>
      </w:r>
      <w:r>
        <w:rPr>
          <w:rFonts w:ascii="Lucida Sans Unicode" w:hAnsi="Lucida Sans Unicode"/>
        </w:rPr>
        <w:t>They</w:t>
      </w:r>
      <w:r>
        <w:rPr>
          <w:rFonts w:ascii="Lucida Sans Unicode" w:hAnsi="Lucida Sans Unicode"/>
          <w:spacing w:val="-2"/>
        </w:rPr>
        <w:t> </w:t>
      </w:r>
      <w:r>
        <w:rPr>
          <w:rFonts w:ascii="Lucida Sans Unicode" w:hAnsi="Lucida Sans Unicode"/>
        </w:rPr>
        <w:t>shall</w:t>
      </w:r>
      <w:r>
        <w:rPr>
          <w:rFonts w:ascii="Lucida Sans Unicode" w:hAnsi="Lucida Sans Unicode"/>
          <w:spacing w:val="-2"/>
        </w:rPr>
        <w:t> </w:t>
      </w:r>
      <w:r>
        <w:rPr>
          <w:rFonts w:ascii="Lucida Sans Unicode" w:hAnsi="Lucida Sans Unicode"/>
        </w:rPr>
        <w:t>be</w:t>
      </w:r>
      <w:r>
        <w:rPr>
          <w:rFonts w:ascii="Lucida Sans Unicode" w:hAnsi="Lucida Sans Unicode"/>
          <w:spacing w:val="-2"/>
        </w:rPr>
        <w:t> </w:t>
      </w:r>
      <w:r>
        <w:rPr>
          <w:rFonts w:ascii="Lucida Sans Unicode" w:hAnsi="Lucida Sans Unicode"/>
        </w:rPr>
        <w:t>judicially </w:t>
      </w:r>
      <w:r>
        <w:rPr>
          <w:w w:val="110"/>
        </w:rPr>
        <w:t>cognisable only in the interpretation</w:t>
      </w:r>
      <w:r>
        <w:rPr>
          <w:spacing w:val="40"/>
          <w:w w:val="110"/>
        </w:rPr>
        <w:t> </w:t>
      </w:r>
      <w:r>
        <w:rPr>
          <w:w w:val="110"/>
        </w:rPr>
        <w:t>of such acts and in the ruling on </w:t>
      </w:r>
      <w:r>
        <w:rPr>
          <w:w w:val="110"/>
        </w:rPr>
        <w:t>their </w:t>
      </w:r>
      <w:r>
        <w:rPr>
          <w:spacing w:val="-2"/>
          <w:w w:val="110"/>
        </w:rPr>
        <w:t>legality’.</w:t>
      </w:r>
    </w:p>
    <w:p>
      <w:pPr>
        <w:pStyle w:val="BodyText"/>
        <w:spacing w:before="25"/>
        <w:ind w:left="0"/>
      </w:pPr>
    </w:p>
    <w:p>
      <w:pPr>
        <w:pStyle w:val="BodyText"/>
        <w:spacing w:line="318" w:lineRule="exact"/>
        <w:ind w:right="266"/>
      </w:pPr>
      <w:r>
        <w:rPr>
          <w:w w:val="110"/>
        </w:rPr>
        <w:t>The distinction introduces an element of uncertainty into the Charter, not least because the Charter itself does not determine which of its </w:t>
      </w:r>
      <w:r>
        <w:rPr>
          <w:w w:val="110"/>
        </w:rPr>
        <w:t>substantive provisions contain rights and which contain principles. The Charter’s </w:t>
      </w:r>
      <w:r>
        <w:rPr>
          <w:rFonts w:ascii="Lucida Sans Unicode" w:hAnsi="Lucida Sans Unicode"/>
        </w:rPr>
        <w:t>official Explanations cite Articles 25 (rights of the elderly), 26 (integration </w:t>
      </w:r>
      <w:r>
        <w:rPr>
          <w:w w:val="110"/>
        </w:rPr>
        <w:t>of persons with disabilities), and</w:t>
      </w:r>
    </w:p>
    <w:p>
      <w:pPr>
        <w:pStyle w:val="BodyText"/>
        <w:spacing w:line="318" w:lineRule="exact" w:before="4"/>
        <w:ind w:right="634"/>
      </w:pPr>
      <w:r>
        <w:rPr>
          <w:rFonts w:ascii="Lucida Sans Unicode" w:hAnsi="Lucida Sans Unicode"/>
        </w:rPr>
        <w:t>37 (environmental protection) </w:t>
      </w:r>
      <w:r>
        <w:rPr>
          <w:rFonts w:ascii="Lucida Sans Unicode" w:hAnsi="Lucida Sans Unicode"/>
        </w:rPr>
        <w:t>as</w:t>
      </w:r>
      <w:r>
        <w:rPr>
          <w:rFonts w:ascii="Lucida Sans Unicode" w:hAnsi="Lucida Sans Unicode"/>
        </w:rPr>
        <w:t> </w:t>
      </w:r>
      <w:r>
        <w:rPr>
          <w:w w:val="110"/>
        </w:rPr>
        <w:t>‘examples of principles’.</w:t>
      </w:r>
      <w:r>
        <w:rPr>
          <w:w w:val="110"/>
          <w:vertAlign w:val="superscript"/>
        </w:rPr>
        <w:t>16</w:t>
      </w:r>
      <w:r>
        <w:rPr>
          <w:w w:val="110"/>
          <w:vertAlign w:val="baseline"/>
        </w:rPr>
        <w:t> They also state that some provisions contain both elements of a right</w:t>
      </w:r>
    </w:p>
    <w:p>
      <w:pPr>
        <w:spacing w:after="0" w:line="318" w:lineRule="exact"/>
        <w:sectPr>
          <w:type w:val="continuous"/>
          <w:pgSz w:w="11910" w:h="16840"/>
          <w:pgMar w:header="568" w:footer="580" w:top="0" w:bottom="280" w:left="1020" w:right="1020"/>
          <w:cols w:num="2" w:equalWidth="0">
            <w:col w:w="4710" w:space="335"/>
            <w:col w:w="4825"/>
          </w:cols>
        </w:sectPr>
      </w:pPr>
    </w:p>
    <w:p>
      <w:pPr>
        <w:pStyle w:val="BodyText"/>
        <w:spacing w:before="2"/>
        <w:ind w:left="0"/>
        <w:rPr>
          <w:sz w:val="13"/>
        </w:rPr>
      </w:pPr>
    </w:p>
    <w:p>
      <w:pPr>
        <w:pStyle w:val="BodyText"/>
        <w:spacing w:line="20" w:lineRule="exact"/>
        <w:rPr>
          <w:sz w:val="2"/>
        </w:rPr>
      </w:pPr>
      <w:r>
        <w:rPr>
          <w:sz w:val="2"/>
        </w:rPr>
        <mc:AlternateContent>
          <mc:Choice Requires="wps">
            <w:drawing>
              <wp:inline distT="0" distB="0" distL="0" distR="0">
                <wp:extent cx="6120130" cy="6350"/>
                <wp:effectExtent l="9525" t="0" r="0" b="3175"/>
                <wp:docPr id="57" name="Group 57"/>
                <wp:cNvGraphicFramePr>
                  <a:graphicFrameLocks/>
                </wp:cNvGraphicFramePr>
                <a:graphic>
                  <a:graphicData uri="http://schemas.microsoft.com/office/word/2010/wordprocessingGroup">
                    <wpg:wgp>
                      <wpg:cNvPr id="57" name="Group 57"/>
                      <wpg:cNvGrpSpPr/>
                      <wpg:grpSpPr>
                        <a:xfrm>
                          <a:off x="0" y="0"/>
                          <a:ext cx="6120130" cy="6350"/>
                          <a:chExt cx="6120130" cy="6350"/>
                        </a:xfrm>
                      </wpg:grpSpPr>
                      <wps:wsp>
                        <wps:cNvPr id="58" name="Graphic 58"/>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47"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7" w:val="left" w:leader="none"/>
        </w:tabs>
        <w:spacing w:line="194" w:lineRule="auto" w:before="94" w:after="0"/>
        <w:ind w:left="567" w:right="462" w:hanging="454"/>
        <w:jc w:val="left"/>
        <w:rPr>
          <w:sz w:val="16"/>
        </w:rPr>
      </w:pPr>
      <w:r>
        <w:rPr>
          <w:sz w:val="16"/>
        </w:rPr>
        <w:t>For</w:t>
      </w:r>
      <w:r>
        <w:rPr>
          <w:spacing w:val="-3"/>
          <w:sz w:val="16"/>
        </w:rPr>
        <w:t> </w:t>
      </w:r>
      <w:r>
        <w:rPr>
          <w:sz w:val="16"/>
        </w:rPr>
        <w:t>the</w:t>
      </w:r>
      <w:r>
        <w:rPr>
          <w:spacing w:val="-3"/>
          <w:sz w:val="16"/>
        </w:rPr>
        <w:t> </w:t>
      </w:r>
      <w:r>
        <w:rPr>
          <w:sz w:val="16"/>
        </w:rPr>
        <w:t>general</w:t>
      </w:r>
      <w:r>
        <w:rPr>
          <w:spacing w:val="-3"/>
          <w:sz w:val="16"/>
        </w:rPr>
        <w:t> </w:t>
      </w:r>
      <w:r>
        <w:rPr>
          <w:sz w:val="16"/>
        </w:rPr>
        <w:t>principles</w:t>
      </w:r>
      <w:r>
        <w:rPr>
          <w:spacing w:val="-3"/>
          <w:sz w:val="16"/>
        </w:rPr>
        <w:t> </w:t>
      </w:r>
      <w:r>
        <w:rPr>
          <w:sz w:val="16"/>
        </w:rPr>
        <w:t>see</w:t>
      </w:r>
      <w:r>
        <w:rPr>
          <w:spacing w:val="-3"/>
          <w:sz w:val="16"/>
        </w:rPr>
        <w:t> </w:t>
      </w:r>
      <w:r>
        <w:rPr>
          <w:sz w:val="16"/>
        </w:rPr>
        <w:t>notably</w:t>
      </w:r>
      <w:r>
        <w:rPr>
          <w:spacing w:val="-3"/>
          <w:sz w:val="16"/>
        </w:rPr>
        <w:t> </w:t>
      </w:r>
      <w:r>
        <w:rPr>
          <w:sz w:val="16"/>
        </w:rPr>
        <w:t>Case</w:t>
      </w:r>
      <w:r>
        <w:rPr>
          <w:spacing w:val="-3"/>
          <w:sz w:val="16"/>
        </w:rPr>
        <w:t> </w:t>
      </w:r>
      <w:r>
        <w:rPr>
          <w:sz w:val="16"/>
        </w:rPr>
        <w:t>5/88</w:t>
      </w:r>
      <w:r>
        <w:rPr>
          <w:spacing w:val="-3"/>
          <w:sz w:val="16"/>
        </w:rPr>
        <w:t> </w:t>
      </w:r>
      <w:r>
        <w:rPr>
          <w:rFonts w:ascii="Verdana" w:hAnsi="Verdana"/>
          <w:i/>
          <w:sz w:val="16"/>
        </w:rPr>
        <w:t>Hubert</w:t>
      </w:r>
      <w:r>
        <w:rPr>
          <w:rFonts w:ascii="Verdana" w:hAnsi="Verdana"/>
          <w:i/>
          <w:spacing w:val="-9"/>
          <w:sz w:val="16"/>
        </w:rPr>
        <w:t> </w:t>
      </w:r>
      <w:r>
        <w:rPr>
          <w:rFonts w:ascii="Verdana" w:hAnsi="Verdana"/>
          <w:i/>
          <w:sz w:val="16"/>
        </w:rPr>
        <w:t>Wachauf</w:t>
      </w:r>
      <w:r>
        <w:rPr>
          <w:rFonts w:ascii="Verdana" w:hAnsi="Verdana"/>
          <w:i/>
          <w:spacing w:val="-9"/>
          <w:sz w:val="16"/>
        </w:rPr>
        <w:t> </w:t>
      </w:r>
      <w:r>
        <w:rPr>
          <w:rFonts w:ascii="Verdana" w:hAnsi="Verdana"/>
          <w:i/>
          <w:sz w:val="16"/>
        </w:rPr>
        <w:t>v</w:t>
      </w:r>
      <w:r>
        <w:rPr>
          <w:rFonts w:ascii="Verdana" w:hAnsi="Verdana"/>
          <w:i/>
          <w:spacing w:val="-9"/>
          <w:sz w:val="16"/>
        </w:rPr>
        <w:t> </w:t>
      </w:r>
      <w:r>
        <w:rPr>
          <w:rFonts w:ascii="Verdana" w:hAnsi="Verdana"/>
          <w:i/>
          <w:sz w:val="16"/>
        </w:rPr>
        <w:t>Federal</w:t>
      </w:r>
      <w:r>
        <w:rPr>
          <w:rFonts w:ascii="Verdana" w:hAnsi="Verdana"/>
          <w:i/>
          <w:spacing w:val="-9"/>
          <w:sz w:val="16"/>
        </w:rPr>
        <w:t> </w:t>
      </w:r>
      <w:r>
        <w:rPr>
          <w:rFonts w:ascii="Verdana" w:hAnsi="Verdana"/>
          <w:i/>
          <w:sz w:val="16"/>
        </w:rPr>
        <w:t>Republic</w:t>
      </w:r>
      <w:r>
        <w:rPr>
          <w:rFonts w:ascii="Verdana" w:hAnsi="Verdana"/>
          <w:i/>
          <w:spacing w:val="-9"/>
          <w:sz w:val="16"/>
        </w:rPr>
        <w:t> </w:t>
      </w:r>
      <w:r>
        <w:rPr>
          <w:rFonts w:ascii="Verdana" w:hAnsi="Verdana"/>
          <w:i/>
          <w:sz w:val="16"/>
        </w:rPr>
        <w:t>of</w:t>
      </w:r>
      <w:r>
        <w:rPr>
          <w:rFonts w:ascii="Verdana" w:hAnsi="Verdana"/>
          <w:i/>
          <w:spacing w:val="-9"/>
          <w:sz w:val="16"/>
        </w:rPr>
        <w:t> </w:t>
      </w:r>
      <w:r>
        <w:rPr>
          <w:rFonts w:ascii="Verdana" w:hAnsi="Verdana"/>
          <w:i/>
          <w:sz w:val="16"/>
        </w:rPr>
        <w:t>Germany</w:t>
      </w:r>
      <w:r>
        <w:rPr>
          <w:rFonts w:ascii="Verdana" w:hAnsi="Verdana"/>
          <w:i/>
          <w:spacing w:val="-9"/>
          <w:sz w:val="16"/>
        </w:rPr>
        <w:t> </w:t>
      </w:r>
      <w:r>
        <w:rPr>
          <w:sz w:val="16"/>
        </w:rPr>
        <w:t>EU:C:1989:321 and Case C-260/89 </w:t>
      </w:r>
      <w:r>
        <w:rPr>
          <w:rFonts w:ascii="Verdana" w:hAnsi="Verdana"/>
          <w:i/>
          <w:sz w:val="16"/>
        </w:rPr>
        <w:t>Elliniki Radiophonia Tiléorassi AE (ERT) </w:t>
      </w:r>
      <w:r>
        <w:rPr>
          <w:sz w:val="16"/>
        </w:rPr>
        <w:t>EU:C:1991:254, which are both referenced in the Explanations relating to the Charter of Fundamental Rights [2007] </w:t>
      </w:r>
      <w:r>
        <w:rPr>
          <w:w w:val="115"/>
          <w:sz w:val="16"/>
        </w:rPr>
        <w:t>OJ </w:t>
      </w:r>
      <w:r>
        <w:rPr>
          <w:sz w:val="16"/>
        </w:rPr>
        <w:t>C303/17; and for the Charter see Case</w:t>
      </w:r>
    </w:p>
    <w:p>
      <w:pPr>
        <w:spacing w:line="205" w:lineRule="exact" w:before="0"/>
        <w:ind w:left="567" w:right="0" w:firstLine="0"/>
        <w:jc w:val="left"/>
        <w:rPr>
          <w:rFonts w:ascii="Lucida Sans Unicode" w:hAnsi="Lucida Sans Unicode"/>
          <w:sz w:val="16"/>
        </w:rPr>
      </w:pPr>
      <w:r>
        <w:rPr>
          <w:rFonts w:ascii="Lucida Sans Unicode" w:hAnsi="Lucida Sans Unicode"/>
          <w:spacing w:val="-4"/>
          <w:sz w:val="16"/>
        </w:rPr>
        <w:t>C-617/10</w:t>
      </w:r>
      <w:r>
        <w:rPr>
          <w:rFonts w:ascii="Lucida Sans Unicode" w:hAnsi="Lucida Sans Unicode"/>
          <w:spacing w:val="3"/>
          <w:sz w:val="16"/>
        </w:rPr>
        <w:t> </w:t>
      </w:r>
      <w:r>
        <w:rPr>
          <w:rFonts w:ascii="Verdana" w:hAnsi="Verdana"/>
          <w:i/>
          <w:spacing w:val="-4"/>
          <w:sz w:val="16"/>
        </w:rPr>
        <w:t>Åklagaren</w:t>
      </w:r>
      <w:r>
        <w:rPr>
          <w:rFonts w:ascii="Verdana" w:hAnsi="Verdana"/>
          <w:i/>
          <w:spacing w:val="-2"/>
          <w:sz w:val="16"/>
        </w:rPr>
        <w:t> </w:t>
      </w:r>
      <w:r>
        <w:rPr>
          <w:rFonts w:ascii="Verdana" w:hAnsi="Verdana"/>
          <w:i/>
          <w:spacing w:val="-4"/>
          <w:sz w:val="16"/>
        </w:rPr>
        <w:t>v</w:t>
      </w:r>
      <w:r>
        <w:rPr>
          <w:rFonts w:ascii="Verdana" w:hAnsi="Verdana"/>
          <w:i/>
          <w:spacing w:val="-3"/>
          <w:sz w:val="16"/>
        </w:rPr>
        <w:t> </w:t>
      </w:r>
      <w:r>
        <w:rPr>
          <w:rFonts w:ascii="Verdana" w:hAnsi="Verdana"/>
          <w:i/>
          <w:spacing w:val="-4"/>
          <w:sz w:val="16"/>
        </w:rPr>
        <w:t>Hans</w:t>
      </w:r>
      <w:r>
        <w:rPr>
          <w:rFonts w:ascii="Verdana" w:hAnsi="Verdana"/>
          <w:i/>
          <w:spacing w:val="-2"/>
          <w:sz w:val="16"/>
        </w:rPr>
        <w:t> </w:t>
      </w:r>
      <w:r>
        <w:rPr>
          <w:rFonts w:ascii="Verdana" w:hAnsi="Verdana"/>
          <w:i/>
          <w:spacing w:val="-4"/>
          <w:sz w:val="16"/>
        </w:rPr>
        <w:t>Åkerberg</w:t>
      </w:r>
      <w:r>
        <w:rPr>
          <w:rFonts w:ascii="Verdana" w:hAnsi="Verdana"/>
          <w:i/>
          <w:spacing w:val="-3"/>
          <w:sz w:val="16"/>
        </w:rPr>
        <w:t> </w:t>
      </w:r>
      <w:r>
        <w:rPr>
          <w:rFonts w:ascii="Verdana" w:hAnsi="Verdana"/>
          <w:i/>
          <w:spacing w:val="-4"/>
          <w:sz w:val="16"/>
        </w:rPr>
        <w:t>Fransson</w:t>
      </w:r>
      <w:r>
        <w:rPr>
          <w:rFonts w:ascii="Verdana" w:hAnsi="Verdana"/>
          <w:i/>
          <w:spacing w:val="-2"/>
          <w:sz w:val="16"/>
        </w:rPr>
        <w:t> </w:t>
      </w:r>
      <w:r>
        <w:rPr>
          <w:rFonts w:ascii="Lucida Sans Unicode" w:hAnsi="Lucida Sans Unicode"/>
          <w:spacing w:val="-4"/>
          <w:sz w:val="16"/>
        </w:rPr>
        <w:t>EU:C:2013:105</w:t>
      </w:r>
      <w:r>
        <w:rPr>
          <w:rFonts w:ascii="Lucida Sans Unicode" w:hAnsi="Lucida Sans Unicode"/>
          <w:spacing w:val="3"/>
          <w:sz w:val="16"/>
        </w:rPr>
        <w:t> </w:t>
      </w:r>
      <w:r>
        <w:rPr>
          <w:rFonts w:ascii="Lucida Sans Unicode" w:hAnsi="Lucida Sans Unicode"/>
          <w:spacing w:val="-4"/>
          <w:sz w:val="16"/>
        </w:rPr>
        <w:t>and</w:t>
      </w:r>
      <w:r>
        <w:rPr>
          <w:rFonts w:ascii="Lucida Sans Unicode" w:hAnsi="Lucida Sans Unicode"/>
          <w:spacing w:val="4"/>
          <w:sz w:val="16"/>
        </w:rPr>
        <w:t> </w:t>
      </w:r>
      <w:r>
        <w:rPr>
          <w:rFonts w:ascii="Lucida Sans Unicode" w:hAnsi="Lucida Sans Unicode"/>
          <w:spacing w:val="-4"/>
          <w:sz w:val="16"/>
        </w:rPr>
        <w:t>Case</w:t>
      </w:r>
      <w:r>
        <w:rPr>
          <w:rFonts w:ascii="Lucida Sans Unicode" w:hAnsi="Lucida Sans Unicode"/>
          <w:spacing w:val="3"/>
          <w:sz w:val="16"/>
        </w:rPr>
        <w:t> </w:t>
      </w:r>
      <w:r>
        <w:rPr>
          <w:rFonts w:ascii="Lucida Sans Unicode" w:hAnsi="Lucida Sans Unicode"/>
          <w:spacing w:val="-4"/>
          <w:sz w:val="16"/>
        </w:rPr>
        <w:t>C-390/12</w:t>
      </w:r>
      <w:r>
        <w:rPr>
          <w:rFonts w:ascii="Lucida Sans Unicode" w:hAnsi="Lucida Sans Unicode"/>
          <w:spacing w:val="4"/>
          <w:sz w:val="16"/>
        </w:rPr>
        <w:t> </w:t>
      </w:r>
      <w:r>
        <w:rPr>
          <w:rFonts w:ascii="Trebuchet MS" w:hAnsi="Trebuchet MS"/>
          <w:i/>
          <w:spacing w:val="-4"/>
          <w:sz w:val="16"/>
        </w:rPr>
        <w:t>Pfleger</w:t>
      </w:r>
      <w:r>
        <w:rPr>
          <w:rFonts w:ascii="Trebuchet MS" w:hAnsi="Trebuchet MS"/>
          <w:i/>
          <w:spacing w:val="5"/>
          <w:sz w:val="16"/>
        </w:rPr>
        <w:t> </w:t>
      </w:r>
      <w:r>
        <w:rPr>
          <w:rFonts w:ascii="Lucida Sans Unicode" w:hAnsi="Lucida Sans Unicode"/>
          <w:spacing w:val="-4"/>
          <w:sz w:val="16"/>
        </w:rPr>
        <w:t>EU:C:2014:281</w:t>
      </w:r>
      <w:r>
        <w:rPr>
          <w:rFonts w:ascii="Lucida Sans Unicode" w:hAnsi="Lucida Sans Unicode"/>
          <w:spacing w:val="4"/>
          <w:sz w:val="16"/>
        </w:rPr>
        <w:t> </w:t>
      </w:r>
      <w:r>
        <w:rPr>
          <w:rFonts w:ascii="Lucida Sans Unicode" w:hAnsi="Lucida Sans Unicode"/>
          <w:spacing w:val="-4"/>
          <w:sz w:val="16"/>
        </w:rPr>
        <w:t>discussed</w:t>
      </w:r>
      <w:r>
        <w:rPr>
          <w:rFonts w:ascii="Lucida Sans Unicode" w:hAnsi="Lucida Sans Unicode"/>
          <w:spacing w:val="3"/>
          <w:sz w:val="16"/>
        </w:rPr>
        <w:t> </w:t>
      </w:r>
      <w:r>
        <w:rPr>
          <w:rFonts w:ascii="Lucida Sans Unicode" w:hAnsi="Lucida Sans Unicode"/>
          <w:spacing w:val="-5"/>
          <w:sz w:val="16"/>
        </w:rPr>
        <w:t>in</w:t>
      </w:r>
    </w:p>
    <w:p>
      <w:pPr>
        <w:spacing w:line="169" w:lineRule="exact" w:before="0"/>
        <w:ind w:left="567" w:right="0" w:firstLine="0"/>
        <w:jc w:val="left"/>
        <w:rPr>
          <w:sz w:val="16"/>
        </w:rPr>
      </w:pPr>
      <w:r>
        <w:rPr>
          <w:w w:val="115"/>
          <w:sz w:val="16"/>
        </w:rPr>
        <w:t>more</w:t>
      </w:r>
      <w:r>
        <w:rPr>
          <w:spacing w:val="-9"/>
          <w:w w:val="115"/>
          <w:sz w:val="16"/>
        </w:rPr>
        <w:t> </w:t>
      </w:r>
      <w:r>
        <w:rPr>
          <w:w w:val="115"/>
          <w:sz w:val="16"/>
        </w:rPr>
        <w:t>detail</w:t>
      </w:r>
      <w:r>
        <w:rPr>
          <w:spacing w:val="-8"/>
          <w:w w:val="115"/>
          <w:sz w:val="16"/>
        </w:rPr>
        <w:t> </w:t>
      </w:r>
      <w:r>
        <w:rPr>
          <w:spacing w:val="-2"/>
          <w:w w:val="115"/>
          <w:sz w:val="16"/>
        </w:rPr>
        <w:t>below.</w:t>
      </w:r>
    </w:p>
    <w:p>
      <w:pPr>
        <w:pStyle w:val="ListParagraph"/>
        <w:numPr>
          <w:ilvl w:val="0"/>
          <w:numId w:val="6"/>
        </w:numPr>
        <w:tabs>
          <w:tab w:pos="567" w:val="left" w:leader="none"/>
        </w:tabs>
        <w:spacing w:line="194" w:lineRule="auto" w:before="29" w:after="0"/>
        <w:ind w:left="567" w:right="265" w:hanging="454"/>
        <w:jc w:val="left"/>
        <w:rPr>
          <w:sz w:val="16"/>
        </w:rPr>
      </w:pPr>
      <w:r>
        <w:rPr>
          <w:rFonts w:ascii="Arial"/>
          <w:sz w:val="16"/>
        </w:rPr>
        <w:t>Tobias</w:t>
      </w:r>
      <w:r>
        <w:rPr>
          <w:rFonts w:ascii="Arial"/>
          <w:spacing w:val="33"/>
          <w:sz w:val="16"/>
        </w:rPr>
        <w:t> </w:t>
      </w:r>
      <w:r>
        <w:rPr>
          <w:rFonts w:ascii="Arial"/>
          <w:sz w:val="16"/>
        </w:rPr>
        <w:t>Lock,</w:t>
      </w:r>
      <w:r>
        <w:rPr>
          <w:rFonts w:ascii="Arial"/>
          <w:spacing w:val="32"/>
          <w:sz w:val="16"/>
        </w:rPr>
        <w:t> </w:t>
      </w:r>
      <w:r>
        <w:rPr>
          <w:rFonts w:ascii="Arial"/>
          <w:sz w:val="16"/>
        </w:rPr>
        <w:t>Article</w:t>
      </w:r>
      <w:r>
        <w:rPr>
          <w:rFonts w:ascii="Arial"/>
          <w:spacing w:val="33"/>
          <w:sz w:val="16"/>
        </w:rPr>
        <w:t> </w:t>
      </w:r>
      <w:r>
        <w:rPr>
          <w:rFonts w:ascii="Arial"/>
          <w:sz w:val="16"/>
        </w:rPr>
        <w:t>6</w:t>
      </w:r>
      <w:r>
        <w:rPr>
          <w:rFonts w:ascii="Arial"/>
          <w:spacing w:val="32"/>
          <w:sz w:val="16"/>
        </w:rPr>
        <w:t> </w:t>
      </w:r>
      <w:r>
        <w:rPr>
          <w:rFonts w:ascii="Arial"/>
          <w:sz w:val="16"/>
        </w:rPr>
        <w:t>TEU,</w:t>
      </w:r>
      <w:r>
        <w:rPr>
          <w:rFonts w:ascii="Arial"/>
          <w:spacing w:val="33"/>
          <w:sz w:val="16"/>
        </w:rPr>
        <w:t> </w:t>
      </w:r>
      <w:r>
        <w:rPr>
          <w:rFonts w:ascii="Arial"/>
          <w:sz w:val="16"/>
        </w:rPr>
        <w:t>in:</w:t>
      </w:r>
      <w:r>
        <w:rPr>
          <w:rFonts w:ascii="Arial"/>
          <w:spacing w:val="32"/>
          <w:sz w:val="16"/>
        </w:rPr>
        <w:t> </w:t>
      </w:r>
      <w:r>
        <w:rPr>
          <w:rFonts w:ascii="Arial"/>
          <w:sz w:val="16"/>
        </w:rPr>
        <w:t>Kellerbauer/Klamert/Tomkin</w:t>
      </w:r>
      <w:r>
        <w:rPr>
          <w:rFonts w:ascii="Arial"/>
          <w:spacing w:val="33"/>
          <w:sz w:val="16"/>
        </w:rPr>
        <w:t> </w:t>
      </w:r>
      <w:r>
        <w:rPr>
          <w:rFonts w:ascii="Arial"/>
          <w:sz w:val="16"/>
        </w:rPr>
        <w:t>(eds),</w:t>
      </w:r>
      <w:r>
        <w:rPr>
          <w:rFonts w:ascii="Arial"/>
          <w:spacing w:val="32"/>
          <w:sz w:val="16"/>
        </w:rPr>
        <w:t> </w:t>
      </w:r>
      <w:r>
        <w:rPr>
          <w:rFonts w:ascii="Verdana"/>
          <w:i/>
          <w:sz w:val="16"/>
        </w:rPr>
        <w:t>The</w:t>
      </w:r>
      <w:r>
        <w:rPr>
          <w:rFonts w:ascii="Verdana"/>
          <w:i/>
          <w:spacing w:val="20"/>
          <w:sz w:val="16"/>
        </w:rPr>
        <w:t> </w:t>
      </w:r>
      <w:r>
        <w:rPr>
          <w:rFonts w:ascii="Verdana"/>
          <w:i/>
          <w:sz w:val="16"/>
        </w:rPr>
        <w:t>EU</w:t>
      </w:r>
      <w:r>
        <w:rPr>
          <w:rFonts w:ascii="Verdana"/>
          <w:i/>
          <w:spacing w:val="20"/>
          <w:sz w:val="16"/>
        </w:rPr>
        <w:t> </w:t>
      </w:r>
      <w:r>
        <w:rPr>
          <w:rFonts w:ascii="Verdana"/>
          <w:i/>
          <w:sz w:val="16"/>
        </w:rPr>
        <w:t>Treaties</w:t>
      </w:r>
      <w:r>
        <w:rPr>
          <w:rFonts w:ascii="Verdana"/>
          <w:i/>
          <w:spacing w:val="20"/>
          <w:sz w:val="16"/>
        </w:rPr>
        <w:t> </w:t>
      </w:r>
      <w:r>
        <w:rPr>
          <w:rFonts w:ascii="Verdana"/>
          <w:i/>
          <w:sz w:val="16"/>
        </w:rPr>
        <w:t>and</w:t>
      </w:r>
      <w:r>
        <w:rPr>
          <w:rFonts w:ascii="Verdana"/>
          <w:i/>
          <w:spacing w:val="20"/>
          <w:sz w:val="16"/>
        </w:rPr>
        <w:t> </w:t>
      </w:r>
      <w:r>
        <w:rPr>
          <w:rFonts w:ascii="Verdana"/>
          <w:i/>
          <w:sz w:val="16"/>
        </w:rPr>
        <w:t>the</w:t>
      </w:r>
      <w:r>
        <w:rPr>
          <w:rFonts w:ascii="Verdana"/>
          <w:i/>
          <w:spacing w:val="20"/>
          <w:sz w:val="16"/>
        </w:rPr>
        <w:t> </w:t>
      </w:r>
      <w:r>
        <w:rPr>
          <w:rFonts w:ascii="Verdana"/>
          <w:i/>
          <w:sz w:val="16"/>
        </w:rPr>
        <w:t>Charter</w:t>
      </w:r>
      <w:r>
        <w:rPr>
          <w:rFonts w:ascii="Verdana"/>
          <w:i/>
          <w:spacing w:val="20"/>
          <w:sz w:val="16"/>
        </w:rPr>
        <w:t> </w:t>
      </w:r>
      <w:r>
        <w:rPr>
          <w:rFonts w:ascii="Verdana"/>
          <w:i/>
          <w:sz w:val="16"/>
        </w:rPr>
        <w:t>of</w:t>
      </w:r>
      <w:r>
        <w:rPr>
          <w:rFonts w:ascii="Verdana"/>
          <w:i/>
          <w:spacing w:val="20"/>
          <w:sz w:val="16"/>
        </w:rPr>
        <w:t> </w:t>
      </w:r>
      <w:r>
        <w:rPr>
          <w:rFonts w:ascii="Verdana"/>
          <w:i/>
          <w:sz w:val="16"/>
        </w:rPr>
        <w:t>Fundamental</w:t>
      </w:r>
      <w:r>
        <w:rPr>
          <w:rFonts w:ascii="Verdana"/>
          <w:i/>
          <w:sz w:val="16"/>
        </w:rPr>
        <w:t> </w:t>
      </w:r>
      <w:r>
        <w:rPr>
          <w:rFonts w:ascii="Verdana"/>
          <w:i/>
          <w:spacing w:val="-2"/>
          <w:w w:val="110"/>
          <w:sz w:val="16"/>
        </w:rPr>
        <w:t>Rights</w:t>
      </w:r>
      <w:r>
        <w:rPr>
          <w:spacing w:val="-2"/>
          <w:w w:val="110"/>
          <w:sz w:val="16"/>
        </w:rPr>
        <w:t>,</w:t>
      </w:r>
      <w:r>
        <w:rPr>
          <w:spacing w:val="-12"/>
          <w:w w:val="110"/>
          <w:sz w:val="16"/>
        </w:rPr>
        <w:t> </w:t>
      </w:r>
      <w:r>
        <w:rPr>
          <w:spacing w:val="-2"/>
          <w:w w:val="110"/>
          <w:sz w:val="16"/>
        </w:rPr>
        <w:t>OUP</w:t>
      </w:r>
      <w:r>
        <w:rPr>
          <w:spacing w:val="-12"/>
          <w:w w:val="110"/>
          <w:sz w:val="16"/>
        </w:rPr>
        <w:t> </w:t>
      </w:r>
      <w:r>
        <w:rPr>
          <w:spacing w:val="-2"/>
          <w:w w:val="110"/>
          <w:sz w:val="16"/>
        </w:rPr>
        <w:t>2019,</w:t>
      </w:r>
      <w:r>
        <w:rPr>
          <w:spacing w:val="-11"/>
          <w:w w:val="110"/>
          <w:sz w:val="16"/>
        </w:rPr>
        <w:t> </w:t>
      </w:r>
      <w:r>
        <w:rPr>
          <w:spacing w:val="-2"/>
          <w:w w:val="110"/>
          <w:sz w:val="16"/>
        </w:rPr>
        <w:t>para</w:t>
      </w:r>
      <w:r>
        <w:rPr>
          <w:spacing w:val="-12"/>
          <w:w w:val="110"/>
          <w:sz w:val="16"/>
        </w:rPr>
        <w:t> </w:t>
      </w:r>
      <w:r>
        <w:rPr>
          <w:spacing w:val="-2"/>
          <w:w w:val="110"/>
          <w:sz w:val="16"/>
        </w:rPr>
        <w:t>24.</w:t>
      </w:r>
    </w:p>
    <w:p>
      <w:pPr>
        <w:pStyle w:val="ListParagraph"/>
        <w:numPr>
          <w:ilvl w:val="0"/>
          <w:numId w:val="6"/>
        </w:numPr>
        <w:tabs>
          <w:tab w:pos="567" w:val="left" w:leader="none"/>
        </w:tabs>
        <w:spacing w:line="191" w:lineRule="exact" w:before="0" w:after="0"/>
        <w:ind w:left="567" w:right="0" w:hanging="454"/>
        <w:jc w:val="left"/>
        <w:rPr>
          <w:rFonts w:ascii="Arial"/>
          <w:sz w:val="16"/>
        </w:rPr>
      </w:pPr>
      <w:r>
        <w:rPr>
          <w:spacing w:val="-2"/>
          <w:sz w:val="16"/>
        </w:rPr>
        <w:t>Case</w:t>
      </w:r>
      <w:r>
        <w:rPr>
          <w:spacing w:val="-5"/>
          <w:sz w:val="16"/>
        </w:rPr>
        <w:t> </w:t>
      </w:r>
      <w:r>
        <w:rPr>
          <w:spacing w:val="-2"/>
          <w:sz w:val="16"/>
        </w:rPr>
        <w:t>C-927/19</w:t>
      </w:r>
      <w:r>
        <w:rPr>
          <w:spacing w:val="-5"/>
          <w:sz w:val="16"/>
        </w:rPr>
        <w:t> </w:t>
      </w:r>
      <w:r>
        <w:rPr>
          <w:rFonts w:ascii="Verdana"/>
          <w:i/>
          <w:spacing w:val="-2"/>
          <w:sz w:val="16"/>
        </w:rPr>
        <w:t>Klaipedos</w:t>
      </w:r>
      <w:r>
        <w:rPr>
          <w:rFonts w:ascii="Verdana"/>
          <w:i/>
          <w:spacing w:val="-10"/>
          <w:sz w:val="16"/>
        </w:rPr>
        <w:t> </w:t>
      </w:r>
      <w:r>
        <w:rPr>
          <w:rFonts w:ascii="Verdana"/>
          <w:i/>
          <w:spacing w:val="-2"/>
          <w:sz w:val="16"/>
        </w:rPr>
        <w:t>regiono</w:t>
      </w:r>
      <w:r>
        <w:rPr>
          <w:rFonts w:ascii="Verdana"/>
          <w:i/>
          <w:spacing w:val="-11"/>
          <w:sz w:val="16"/>
        </w:rPr>
        <w:t> </w:t>
      </w:r>
      <w:r>
        <w:rPr>
          <w:rFonts w:ascii="Verdana"/>
          <w:i/>
          <w:spacing w:val="-2"/>
          <w:sz w:val="16"/>
        </w:rPr>
        <w:t>atlieku</w:t>
      </w:r>
      <w:r>
        <w:rPr>
          <w:rFonts w:ascii="Verdana"/>
          <w:i/>
          <w:spacing w:val="-10"/>
          <w:sz w:val="16"/>
        </w:rPr>
        <w:t> </w:t>
      </w:r>
      <w:r>
        <w:rPr>
          <w:rFonts w:ascii="Verdana"/>
          <w:i/>
          <w:spacing w:val="-2"/>
          <w:sz w:val="16"/>
        </w:rPr>
        <w:t>tvarkymo</w:t>
      </w:r>
      <w:r>
        <w:rPr>
          <w:rFonts w:ascii="Verdana"/>
          <w:i/>
          <w:spacing w:val="-11"/>
          <w:sz w:val="16"/>
        </w:rPr>
        <w:t> </w:t>
      </w:r>
      <w:r>
        <w:rPr>
          <w:rFonts w:ascii="Verdana"/>
          <w:i/>
          <w:spacing w:val="-2"/>
          <w:sz w:val="16"/>
        </w:rPr>
        <w:t>centras</w:t>
      </w:r>
      <w:r>
        <w:rPr>
          <w:rFonts w:ascii="Verdana"/>
          <w:i/>
          <w:spacing w:val="-11"/>
          <w:sz w:val="16"/>
        </w:rPr>
        <w:t> </w:t>
      </w:r>
      <w:r>
        <w:rPr>
          <w:spacing w:val="-2"/>
          <w:sz w:val="16"/>
        </w:rPr>
        <w:t>EU:C:2021:700,</w:t>
      </w:r>
      <w:r>
        <w:rPr>
          <w:spacing w:val="-4"/>
          <w:sz w:val="16"/>
        </w:rPr>
        <w:t> </w:t>
      </w:r>
      <w:r>
        <w:rPr>
          <w:spacing w:val="-2"/>
          <w:sz w:val="16"/>
        </w:rPr>
        <w:t>para</w:t>
      </w:r>
      <w:r>
        <w:rPr>
          <w:spacing w:val="-5"/>
          <w:sz w:val="16"/>
        </w:rPr>
        <w:t> </w:t>
      </w:r>
      <w:r>
        <w:rPr>
          <w:spacing w:val="-4"/>
          <w:sz w:val="16"/>
        </w:rPr>
        <w:t>132.</w:t>
      </w:r>
    </w:p>
    <w:p>
      <w:pPr>
        <w:pStyle w:val="ListParagraph"/>
        <w:numPr>
          <w:ilvl w:val="0"/>
          <w:numId w:val="6"/>
        </w:numPr>
        <w:tabs>
          <w:tab w:pos="567" w:val="left" w:leader="none"/>
        </w:tabs>
        <w:spacing w:line="223" w:lineRule="exact" w:before="0" w:after="0"/>
        <w:ind w:left="567" w:right="0" w:hanging="454"/>
        <w:jc w:val="left"/>
        <w:rPr>
          <w:rFonts w:ascii="Arial"/>
          <w:sz w:val="16"/>
        </w:rPr>
      </w:pPr>
      <w:r>
        <w:rPr>
          <w:spacing w:val="-2"/>
          <w:w w:val="105"/>
          <w:sz w:val="16"/>
        </w:rPr>
        <w:t>Explanations</w:t>
      </w:r>
      <w:r>
        <w:rPr>
          <w:spacing w:val="-5"/>
          <w:w w:val="105"/>
          <w:sz w:val="16"/>
        </w:rPr>
        <w:t> </w:t>
      </w:r>
      <w:r>
        <w:rPr>
          <w:spacing w:val="-2"/>
          <w:w w:val="105"/>
          <w:sz w:val="16"/>
        </w:rPr>
        <w:t>relating</w:t>
      </w:r>
      <w:r>
        <w:rPr>
          <w:spacing w:val="-5"/>
          <w:w w:val="105"/>
          <w:sz w:val="16"/>
        </w:rPr>
        <w:t> </w:t>
      </w:r>
      <w:r>
        <w:rPr>
          <w:spacing w:val="-2"/>
          <w:w w:val="105"/>
          <w:sz w:val="16"/>
        </w:rPr>
        <w:t>to</w:t>
      </w:r>
      <w:r>
        <w:rPr>
          <w:spacing w:val="-4"/>
          <w:w w:val="105"/>
          <w:sz w:val="16"/>
        </w:rPr>
        <w:t> </w:t>
      </w:r>
      <w:r>
        <w:rPr>
          <w:spacing w:val="-2"/>
          <w:w w:val="105"/>
          <w:sz w:val="16"/>
        </w:rPr>
        <w:t>the</w:t>
      </w:r>
      <w:r>
        <w:rPr>
          <w:spacing w:val="-5"/>
          <w:w w:val="105"/>
          <w:sz w:val="16"/>
        </w:rPr>
        <w:t> </w:t>
      </w:r>
      <w:r>
        <w:rPr>
          <w:spacing w:val="-2"/>
          <w:w w:val="105"/>
          <w:sz w:val="16"/>
        </w:rPr>
        <w:t>Charter</w:t>
      </w:r>
      <w:r>
        <w:rPr>
          <w:spacing w:val="-4"/>
          <w:w w:val="105"/>
          <w:sz w:val="16"/>
        </w:rPr>
        <w:t> </w:t>
      </w:r>
      <w:r>
        <w:rPr>
          <w:spacing w:val="-2"/>
          <w:w w:val="105"/>
          <w:sz w:val="16"/>
        </w:rPr>
        <w:t>of</w:t>
      </w:r>
      <w:r>
        <w:rPr>
          <w:spacing w:val="-5"/>
          <w:w w:val="105"/>
          <w:sz w:val="16"/>
        </w:rPr>
        <w:t> </w:t>
      </w:r>
      <w:r>
        <w:rPr>
          <w:spacing w:val="-2"/>
          <w:w w:val="105"/>
          <w:sz w:val="16"/>
        </w:rPr>
        <w:t>Fundamental</w:t>
      </w:r>
      <w:r>
        <w:rPr>
          <w:spacing w:val="-4"/>
          <w:w w:val="105"/>
          <w:sz w:val="16"/>
        </w:rPr>
        <w:t> </w:t>
      </w:r>
      <w:r>
        <w:rPr>
          <w:spacing w:val="-2"/>
          <w:w w:val="105"/>
          <w:sz w:val="16"/>
        </w:rPr>
        <w:t>Rights</w:t>
      </w:r>
      <w:r>
        <w:rPr>
          <w:spacing w:val="-5"/>
          <w:w w:val="105"/>
          <w:sz w:val="16"/>
        </w:rPr>
        <w:t> </w:t>
      </w:r>
      <w:r>
        <w:rPr>
          <w:spacing w:val="-2"/>
          <w:w w:val="110"/>
          <w:sz w:val="16"/>
        </w:rPr>
        <w:t>(OJ</w:t>
      </w:r>
      <w:r>
        <w:rPr>
          <w:spacing w:val="-7"/>
          <w:w w:val="110"/>
          <w:sz w:val="16"/>
        </w:rPr>
        <w:t> </w:t>
      </w:r>
      <w:r>
        <w:rPr>
          <w:spacing w:val="-2"/>
          <w:w w:val="105"/>
          <w:sz w:val="16"/>
        </w:rPr>
        <w:t>2007/</w:t>
      </w:r>
      <w:r>
        <w:rPr>
          <w:spacing w:val="-4"/>
          <w:w w:val="105"/>
          <w:sz w:val="16"/>
        </w:rPr>
        <w:t> </w:t>
      </w:r>
      <w:r>
        <w:rPr>
          <w:spacing w:val="-2"/>
          <w:w w:val="105"/>
          <w:sz w:val="16"/>
        </w:rPr>
        <w:t>C</w:t>
      </w:r>
      <w:r>
        <w:rPr>
          <w:spacing w:val="-5"/>
          <w:w w:val="105"/>
          <w:sz w:val="16"/>
        </w:rPr>
        <w:t> </w:t>
      </w:r>
      <w:r>
        <w:rPr>
          <w:spacing w:val="-2"/>
          <w:w w:val="105"/>
          <w:sz w:val="16"/>
        </w:rPr>
        <w:t>303)</w:t>
      </w:r>
      <w:r>
        <w:rPr>
          <w:spacing w:val="-4"/>
          <w:w w:val="105"/>
          <w:sz w:val="16"/>
        </w:rPr>
        <w:t> </w:t>
      </w:r>
      <w:r>
        <w:rPr>
          <w:spacing w:val="-5"/>
          <w:w w:val="105"/>
          <w:sz w:val="16"/>
        </w:rPr>
        <w:t>35.</w:t>
      </w:r>
    </w:p>
    <w:p>
      <w:pPr>
        <w:spacing w:after="0" w:line="223" w:lineRule="exact"/>
        <w:jc w:val="left"/>
        <w:rPr>
          <w:rFonts w:ascii="Arial"/>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310" w:lineRule="exact" w:before="49"/>
        <w:ind w:right="313"/>
      </w:pPr>
      <w:r>
        <w:rPr>
          <w:w w:val="110"/>
        </w:rPr>
        <w:t>and a principle, citing the examples </w:t>
      </w:r>
      <w:r>
        <w:rPr>
          <w:rFonts w:ascii="Lucida Sans Unicode"/>
          <w:w w:val="110"/>
        </w:rPr>
        <w:t>of</w:t>
      </w:r>
      <w:r>
        <w:rPr>
          <w:rFonts w:ascii="Lucida Sans Unicode"/>
          <w:spacing w:val="-21"/>
          <w:w w:val="110"/>
        </w:rPr>
        <w:t> </w:t>
      </w:r>
      <w:r>
        <w:rPr>
          <w:rFonts w:ascii="Lucida Sans Unicode"/>
          <w:w w:val="110"/>
        </w:rPr>
        <w:t>Articles</w:t>
      </w:r>
      <w:r>
        <w:rPr>
          <w:rFonts w:ascii="Lucida Sans Unicode"/>
          <w:spacing w:val="-21"/>
          <w:w w:val="110"/>
        </w:rPr>
        <w:t> </w:t>
      </w:r>
      <w:r>
        <w:rPr>
          <w:rFonts w:ascii="Lucida Sans Unicode"/>
          <w:w w:val="110"/>
        </w:rPr>
        <w:t>23</w:t>
      </w:r>
      <w:r>
        <w:rPr>
          <w:rFonts w:ascii="Lucida Sans Unicode"/>
          <w:spacing w:val="-21"/>
          <w:w w:val="110"/>
        </w:rPr>
        <w:t> </w:t>
      </w:r>
      <w:r>
        <w:rPr>
          <w:rFonts w:ascii="Lucida Sans Unicode"/>
          <w:w w:val="110"/>
        </w:rPr>
        <w:t>(equality</w:t>
      </w:r>
      <w:r>
        <w:rPr>
          <w:rFonts w:ascii="Lucida Sans Unicode"/>
          <w:spacing w:val="-21"/>
          <w:w w:val="110"/>
        </w:rPr>
        <w:t> </w:t>
      </w:r>
      <w:r>
        <w:rPr>
          <w:rFonts w:ascii="Lucida Sans Unicode"/>
          <w:w w:val="110"/>
        </w:rPr>
        <w:t>between </w:t>
      </w:r>
      <w:r>
        <w:rPr>
          <w:rFonts w:ascii="Lucida Sans Unicode"/>
          <w:spacing w:val="-2"/>
          <w:w w:val="110"/>
        </w:rPr>
        <w:t>men</w:t>
      </w:r>
      <w:r>
        <w:rPr>
          <w:rFonts w:ascii="Lucida Sans Unicode"/>
          <w:spacing w:val="-18"/>
          <w:w w:val="110"/>
        </w:rPr>
        <w:t> </w:t>
      </w:r>
      <w:r>
        <w:rPr>
          <w:rFonts w:ascii="Lucida Sans Unicode"/>
          <w:spacing w:val="-2"/>
          <w:w w:val="110"/>
        </w:rPr>
        <w:t>and</w:t>
      </w:r>
      <w:r>
        <w:rPr>
          <w:rFonts w:ascii="Lucida Sans Unicode"/>
          <w:spacing w:val="-18"/>
          <w:w w:val="110"/>
        </w:rPr>
        <w:t> </w:t>
      </w:r>
      <w:r>
        <w:rPr>
          <w:rFonts w:ascii="Lucida Sans Unicode"/>
          <w:spacing w:val="-2"/>
          <w:w w:val="110"/>
        </w:rPr>
        <w:t>women),</w:t>
      </w:r>
      <w:r>
        <w:rPr>
          <w:rFonts w:ascii="Lucida Sans Unicode"/>
          <w:spacing w:val="-18"/>
          <w:w w:val="110"/>
        </w:rPr>
        <w:t> </w:t>
      </w:r>
      <w:r>
        <w:rPr>
          <w:rFonts w:ascii="Lucida Sans Unicode"/>
          <w:spacing w:val="-2"/>
          <w:w w:val="110"/>
        </w:rPr>
        <w:t>33</w:t>
      </w:r>
      <w:r>
        <w:rPr>
          <w:rFonts w:ascii="Lucida Sans Unicode"/>
          <w:spacing w:val="-18"/>
          <w:w w:val="110"/>
        </w:rPr>
        <w:t> </w:t>
      </w:r>
      <w:r>
        <w:rPr>
          <w:rFonts w:ascii="Lucida Sans Unicode"/>
          <w:spacing w:val="-2"/>
          <w:w w:val="110"/>
        </w:rPr>
        <w:t>(family</w:t>
      </w:r>
      <w:r>
        <w:rPr>
          <w:rFonts w:ascii="Lucida Sans Unicode"/>
          <w:spacing w:val="-18"/>
          <w:w w:val="110"/>
        </w:rPr>
        <w:t> </w:t>
      </w:r>
      <w:r>
        <w:rPr>
          <w:rFonts w:ascii="Lucida Sans Unicode"/>
          <w:spacing w:val="-2"/>
          <w:w w:val="110"/>
        </w:rPr>
        <w:t>and </w:t>
      </w:r>
      <w:r>
        <w:rPr>
          <w:rFonts w:ascii="Lucida Sans Unicode"/>
        </w:rPr>
        <w:t>professional life), and 34 (social </w:t>
      </w:r>
      <w:r>
        <w:rPr>
          <w:w w:val="110"/>
        </w:rPr>
        <w:t>security and social assistance), but without identifying which element </w:t>
      </w:r>
      <w:r>
        <w:rPr>
          <w:w w:val="110"/>
        </w:rPr>
        <w:t>of the provision contains the right and</w:t>
      </w:r>
    </w:p>
    <w:p>
      <w:pPr>
        <w:pStyle w:val="BodyText"/>
        <w:spacing w:line="310" w:lineRule="exact"/>
        <w:ind w:right="149"/>
      </w:pPr>
      <w:r>
        <w:rPr>
          <w:w w:val="110"/>
        </w:rPr>
        <w:t>which the principle. Furthermore, the </w:t>
      </w:r>
      <w:r>
        <w:rPr>
          <w:rFonts w:ascii="Lucida Sans Unicode"/>
        </w:rPr>
        <w:t>Explanations indicate that Articles </w:t>
      </w:r>
      <w:r>
        <w:rPr>
          <w:rFonts w:ascii="Lucida Sans Unicode"/>
        </w:rPr>
        <w:t>35 </w:t>
      </w:r>
      <w:r>
        <w:rPr>
          <w:rFonts w:ascii="Lucida Sans Unicode"/>
          <w:w w:val="110"/>
        </w:rPr>
        <w:t>(health</w:t>
      </w:r>
      <w:r>
        <w:rPr>
          <w:rFonts w:ascii="Lucida Sans Unicode"/>
          <w:spacing w:val="-21"/>
          <w:w w:val="110"/>
        </w:rPr>
        <w:t> </w:t>
      </w:r>
      <w:r>
        <w:rPr>
          <w:rFonts w:ascii="Lucida Sans Unicode"/>
          <w:w w:val="110"/>
        </w:rPr>
        <w:t>care),</w:t>
      </w:r>
      <w:r>
        <w:rPr>
          <w:rFonts w:ascii="Lucida Sans Unicode"/>
          <w:spacing w:val="-21"/>
          <w:w w:val="110"/>
        </w:rPr>
        <w:t> </w:t>
      </w:r>
      <w:r>
        <w:rPr>
          <w:rFonts w:ascii="Lucida Sans Unicode"/>
          <w:w w:val="110"/>
        </w:rPr>
        <w:t>36</w:t>
      </w:r>
      <w:r>
        <w:rPr>
          <w:rFonts w:ascii="Lucida Sans Unicode"/>
          <w:spacing w:val="-21"/>
          <w:w w:val="110"/>
        </w:rPr>
        <w:t> </w:t>
      </w:r>
      <w:r>
        <w:rPr>
          <w:rFonts w:ascii="Lucida Sans Unicode"/>
          <w:w w:val="110"/>
        </w:rPr>
        <w:t>(access</w:t>
      </w:r>
      <w:r>
        <w:rPr>
          <w:rFonts w:ascii="Lucida Sans Unicode"/>
          <w:spacing w:val="-21"/>
          <w:w w:val="110"/>
        </w:rPr>
        <w:t> </w:t>
      </w:r>
      <w:r>
        <w:rPr>
          <w:rFonts w:ascii="Lucida Sans Unicode"/>
          <w:w w:val="110"/>
        </w:rPr>
        <w:t>to</w:t>
      </w:r>
      <w:r>
        <w:rPr>
          <w:rFonts w:ascii="Lucida Sans Unicode"/>
          <w:spacing w:val="-21"/>
          <w:w w:val="110"/>
        </w:rPr>
        <w:t> </w:t>
      </w:r>
      <w:r>
        <w:rPr>
          <w:rFonts w:ascii="Lucida Sans Unicode"/>
          <w:w w:val="110"/>
        </w:rPr>
        <w:t>services </w:t>
      </w:r>
      <w:r>
        <w:rPr>
          <w:w w:val="110"/>
        </w:rPr>
        <w:t>of</w:t>
      </w:r>
      <w:r>
        <w:rPr>
          <w:spacing w:val="40"/>
          <w:w w:val="110"/>
        </w:rPr>
        <w:t> </w:t>
      </w:r>
      <w:r>
        <w:rPr>
          <w:w w:val="110"/>
        </w:rPr>
        <w:t>general</w:t>
      </w:r>
      <w:r>
        <w:rPr>
          <w:spacing w:val="40"/>
          <w:w w:val="110"/>
        </w:rPr>
        <w:t> </w:t>
      </w:r>
      <w:r>
        <w:rPr>
          <w:w w:val="110"/>
        </w:rPr>
        <w:t>economic</w:t>
      </w:r>
      <w:r>
        <w:rPr>
          <w:spacing w:val="40"/>
          <w:w w:val="110"/>
        </w:rPr>
        <w:t> </w:t>
      </w:r>
      <w:r>
        <w:rPr>
          <w:w w:val="110"/>
        </w:rPr>
        <w:t>interest),</w:t>
      </w:r>
      <w:r>
        <w:rPr>
          <w:spacing w:val="40"/>
          <w:w w:val="110"/>
        </w:rPr>
        <w:t> </w:t>
      </w:r>
      <w:r>
        <w:rPr>
          <w:w w:val="110"/>
        </w:rPr>
        <w:t>and </w:t>
      </w:r>
      <w:r>
        <w:rPr>
          <w:rFonts w:ascii="Lucida Sans Unicode"/>
          <w:spacing w:val="-2"/>
          <w:w w:val="110"/>
        </w:rPr>
        <w:t>38</w:t>
      </w:r>
      <w:r>
        <w:rPr>
          <w:rFonts w:ascii="Lucida Sans Unicode"/>
          <w:spacing w:val="-19"/>
          <w:w w:val="110"/>
        </w:rPr>
        <w:t> </w:t>
      </w:r>
      <w:r>
        <w:rPr>
          <w:rFonts w:ascii="Lucida Sans Unicode"/>
          <w:spacing w:val="-2"/>
          <w:w w:val="110"/>
        </w:rPr>
        <w:t>(consumer</w:t>
      </w:r>
      <w:r>
        <w:rPr>
          <w:rFonts w:ascii="Lucida Sans Unicode"/>
          <w:spacing w:val="-19"/>
          <w:w w:val="110"/>
        </w:rPr>
        <w:t> </w:t>
      </w:r>
      <w:r>
        <w:rPr>
          <w:rFonts w:ascii="Lucida Sans Unicode"/>
          <w:spacing w:val="-2"/>
          <w:w w:val="110"/>
        </w:rPr>
        <w:t>protection)</w:t>
      </w:r>
      <w:r>
        <w:rPr>
          <w:rFonts w:ascii="Lucida Sans Unicode"/>
          <w:spacing w:val="-19"/>
          <w:w w:val="110"/>
        </w:rPr>
        <w:t> </w:t>
      </w:r>
      <w:r>
        <w:rPr>
          <w:rFonts w:ascii="Lucida Sans Unicode"/>
          <w:spacing w:val="-2"/>
          <w:w w:val="110"/>
        </w:rPr>
        <w:t>contain </w:t>
      </w:r>
      <w:r>
        <w:rPr>
          <w:w w:val="110"/>
        </w:rPr>
        <w:t>principles, not rights.</w:t>
      </w:r>
    </w:p>
    <w:p>
      <w:pPr>
        <w:pStyle w:val="BodyText"/>
        <w:spacing w:before="24"/>
        <w:ind w:left="0"/>
      </w:pPr>
    </w:p>
    <w:p>
      <w:pPr>
        <w:pStyle w:val="BodyText"/>
        <w:spacing w:line="310" w:lineRule="exact"/>
        <w:ind w:right="313"/>
      </w:pPr>
      <w:r>
        <w:rPr>
          <w:w w:val="105"/>
        </w:rPr>
        <w:t>Case law on the distinction is scant.</w:t>
      </w:r>
      <w:r>
        <w:rPr>
          <w:spacing w:val="40"/>
          <w:w w:val="105"/>
        </w:rPr>
        <w:t> </w:t>
      </w:r>
      <w:r>
        <w:rPr>
          <w:w w:val="105"/>
        </w:rPr>
        <w:t>The</w:t>
      </w:r>
      <w:r>
        <w:rPr>
          <w:spacing w:val="40"/>
          <w:w w:val="105"/>
        </w:rPr>
        <w:t> </w:t>
      </w:r>
      <w:r>
        <w:rPr>
          <w:w w:val="105"/>
        </w:rPr>
        <w:t>only</w:t>
      </w:r>
      <w:r>
        <w:rPr>
          <w:spacing w:val="40"/>
          <w:w w:val="105"/>
        </w:rPr>
        <w:t> </w:t>
      </w:r>
      <w:r>
        <w:rPr>
          <w:w w:val="105"/>
        </w:rPr>
        <w:t>case</w:t>
      </w:r>
      <w:r>
        <w:rPr>
          <w:spacing w:val="40"/>
          <w:w w:val="105"/>
        </w:rPr>
        <w:t> </w:t>
      </w:r>
      <w:r>
        <w:rPr>
          <w:w w:val="105"/>
        </w:rPr>
        <w:t>expressly</w:t>
      </w:r>
      <w:r>
        <w:rPr>
          <w:spacing w:val="40"/>
          <w:w w:val="105"/>
        </w:rPr>
        <w:t> </w:t>
      </w:r>
      <w:r>
        <w:rPr>
          <w:w w:val="105"/>
        </w:rPr>
        <w:t>identifying</w:t>
      </w:r>
      <w:r>
        <w:rPr>
          <w:spacing w:val="80"/>
          <w:w w:val="105"/>
        </w:rPr>
        <w:t> </w:t>
      </w:r>
      <w:r>
        <w:rPr>
          <w:rFonts w:ascii="Lucida Sans Unicode" w:hAnsi="Lucida Sans Unicode"/>
          <w:w w:val="105"/>
        </w:rPr>
        <w:t>a</w:t>
      </w:r>
      <w:r>
        <w:rPr>
          <w:rFonts w:ascii="Lucida Sans Unicode" w:hAnsi="Lucida Sans Unicode"/>
          <w:spacing w:val="-14"/>
          <w:w w:val="105"/>
        </w:rPr>
        <w:t> </w:t>
      </w:r>
      <w:r>
        <w:rPr>
          <w:rFonts w:ascii="Lucida Sans Unicode" w:hAnsi="Lucida Sans Unicode"/>
          <w:w w:val="105"/>
        </w:rPr>
        <w:t>Charter</w:t>
      </w:r>
      <w:r>
        <w:rPr>
          <w:rFonts w:ascii="Lucida Sans Unicode" w:hAnsi="Lucida Sans Unicode"/>
          <w:spacing w:val="-14"/>
          <w:w w:val="105"/>
        </w:rPr>
        <w:t> </w:t>
      </w:r>
      <w:r>
        <w:rPr>
          <w:rFonts w:ascii="Lucida Sans Unicode" w:hAnsi="Lucida Sans Unicode"/>
          <w:w w:val="105"/>
        </w:rPr>
        <w:t>provision</w:t>
      </w:r>
      <w:r>
        <w:rPr>
          <w:rFonts w:ascii="Lucida Sans Unicode" w:hAnsi="Lucida Sans Unicode"/>
          <w:spacing w:val="-14"/>
          <w:w w:val="105"/>
        </w:rPr>
        <w:t> </w:t>
      </w:r>
      <w:r>
        <w:rPr>
          <w:rFonts w:ascii="Lucida Sans Unicode" w:hAnsi="Lucida Sans Unicode"/>
          <w:w w:val="105"/>
        </w:rPr>
        <w:t>(Article</w:t>
      </w:r>
      <w:r>
        <w:rPr>
          <w:rFonts w:ascii="Lucida Sans Unicode" w:hAnsi="Lucida Sans Unicode"/>
          <w:spacing w:val="-14"/>
          <w:w w:val="105"/>
        </w:rPr>
        <w:t> </w:t>
      </w:r>
      <w:r>
        <w:rPr>
          <w:rFonts w:ascii="Lucida Sans Unicode" w:hAnsi="Lucida Sans Unicode"/>
          <w:w w:val="105"/>
        </w:rPr>
        <w:t>26</w:t>
      </w:r>
      <w:r>
        <w:rPr>
          <w:rFonts w:ascii="Lucida Sans Unicode" w:hAnsi="Lucida Sans Unicode"/>
          <w:spacing w:val="-14"/>
          <w:w w:val="105"/>
        </w:rPr>
        <w:t> </w:t>
      </w:r>
      <w:r>
        <w:rPr>
          <w:rFonts w:ascii="Lucida Sans Unicode" w:hAnsi="Lucida Sans Unicode"/>
          <w:w w:val="105"/>
        </w:rPr>
        <w:t>CFR) as</w:t>
      </w:r>
      <w:r>
        <w:rPr>
          <w:rFonts w:ascii="Lucida Sans Unicode" w:hAnsi="Lucida Sans Unicode"/>
          <w:spacing w:val="-20"/>
          <w:w w:val="105"/>
        </w:rPr>
        <w:t> </w:t>
      </w:r>
      <w:r>
        <w:rPr>
          <w:rFonts w:ascii="Lucida Sans Unicode" w:hAnsi="Lucida Sans Unicode"/>
          <w:w w:val="105"/>
        </w:rPr>
        <w:t>a</w:t>
      </w:r>
      <w:r>
        <w:rPr>
          <w:rFonts w:ascii="Lucida Sans Unicode" w:hAnsi="Lucida Sans Unicode"/>
          <w:spacing w:val="-20"/>
          <w:w w:val="105"/>
        </w:rPr>
        <w:t> </w:t>
      </w:r>
      <w:r>
        <w:rPr>
          <w:rFonts w:ascii="Lucida Sans Unicode" w:hAnsi="Lucida Sans Unicode"/>
          <w:w w:val="105"/>
        </w:rPr>
        <w:t>principle</w:t>
      </w:r>
      <w:r>
        <w:rPr>
          <w:rFonts w:ascii="Lucida Sans Unicode" w:hAnsi="Lucida Sans Unicode"/>
          <w:spacing w:val="-20"/>
          <w:w w:val="105"/>
        </w:rPr>
        <w:t> </w:t>
      </w:r>
      <w:r>
        <w:rPr>
          <w:rFonts w:ascii="Lucida Sans Unicode" w:hAnsi="Lucida Sans Unicode"/>
          <w:w w:val="105"/>
        </w:rPr>
        <w:t>was</w:t>
      </w:r>
      <w:r>
        <w:rPr>
          <w:rFonts w:ascii="Lucida Sans Unicode" w:hAnsi="Lucida Sans Unicode"/>
          <w:spacing w:val="-20"/>
          <w:w w:val="105"/>
        </w:rPr>
        <w:t> </w:t>
      </w:r>
      <w:r>
        <w:rPr>
          <w:rFonts w:ascii="Lucida Sans Unicode" w:hAnsi="Lucida Sans Unicode"/>
          <w:w w:val="105"/>
        </w:rPr>
        <w:t>Case</w:t>
      </w:r>
      <w:r>
        <w:rPr>
          <w:rFonts w:ascii="Lucida Sans Unicode" w:hAnsi="Lucida Sans Unicode"/>
          <w:spacing w:val="-20"/>
          <w:w w:val="105"/>
        </w:rPr>
        <w:t> </w:t>
      </w:r>
      <w:r>
        <w:rPr>
          <w:rFonts w:ascii="Lucida Sans Unicode" w:hAnsi="Lucida Sans Unicode"/>
          <w:w w:val="105"/>
        </w:rPr>
        <w:t>C-356/12 </w:t>
      </w:r>
      <w:r>
        <w:rPr>
          <w:rFonts w:ascii="Verdana" w:hAnsi="Verdana"/>
          <w:i/>
          <w:spacing w:val="-4"/>
        </w:rPr>
        <w:t>Glatzel</w:t>
      </w:r>
      <w:r>
        <w:rPr>
          <w:spacing w:val="-4"/>
        </w:rPr>
        <w:t>.</w:t>
      </w:r>
      <w:r>
        <w:rPr>
          <w:spacing w:val="-4"/>
          <w:vertAlign w:val="superscript"/>
        </w:rPr>
        <w:t>17</w:t>
      </w:r>
      <w:r>
        <w:rPr>
          <w:spacing w:val="-13"/>
          <w:vertAlign w:val="baseline"/>
        </w:rPr>
        <w:t> </w:t>
      </w:r>
      <w:r>
        <w:rPr>
          <w:rFonts w:ascii="Lucida Sans Unicode" w:hAnsi="Lucida Sans Unicode"/>
          <w:spacing w:val="-4"/>
          <w:vertAlign w:val="baseline"/>
        </w:rPr>
        <w:t>And</w:t>
      </w:r>
      <w:r>
        <w:rPr>
          <w:rFonts w:ascii="Lucida Sans Unicode" w:hAnsi="Lucida Sans Unicode"/>
          <w:spacing w:val="-15"/>
          <w:vertAlign w:val="baseline"/>
        </w:rPr>
        <w:t> </w:t>
      </w:r>
      <w:r>
        <w:rPr>
          <w:rFonts w:ascii="Lucida Sans Unicode" w:hAnsi="Lucida Sans Unicode"/>
          <w:spacing w:val="-4"/>
          <w:vertAlign w:val="baseline"/>
        </w:rPr>
        <w:t>in</w:t>
      </w:r>
      <w:r>
        <w:rPr>
          <w:rFonts w:ascii="Lucida Sans Unicode" w:hAnsi="Lucida Sans Unicode"/>
          <w:spacing w:val="-15"/>
          <w:vertAlign w:val="baseline"/>
        </w:rPr>
        <w:t> </w:t>
      </w:r>
      <w:r>
        <w:rPr>
          <w:rFonts w:ascii="Lucida Sans Unicode" w:hAnsi="Lucida Sans Unicode"/>
          <w:spacing w:val="-4"/>
          <w:vertAlign w:val="baseline"/>
        </w:rPr>
        <w:t>Case</w:t>
      </w:r>
      <w:r>
        <w:rPr>
          <w:rFonts w:ascii="Lucida Sans Unicode" w:hAnsi="Lucida Sans Unicode"/>
          <w:spacing w:val="-15"/>
          <w:vertAlign w:val="baseline"/>
        </w:rPr>
        <w:t> </w:t>
      </w:r>
      <w:r>
        <w:rPr>
          <w:rFonts w:ascii="Lucida Sans Unicode" w:hAnsi="Lucida Sans Unicode"/>
          <w:spacing w:val="-4"/>
          <w:vertAlign w:val="baseline"/>
        </w:rPr>
        <w:t>C-176/12</w:t>
      </w:r>
      <w:r>
        <w:rPr>
          <w:rFonts w:ascii="Lucida Sans Unicode" w:hAnsi="Lucida Sans Unicode"/>
          <w:spacing w:val="-15"/>
          <w:vertAlign w:val="baseline"/>
        </w:rPr>
        <w:t> </w:t>
      </w:r>
      <w:r>
        <w:rPr>
          <w:rFonts w:ascii="Verdana" w:hAnsi="Verdana"/>
          <w:i/>
          <w:spacing w:val="-4"/>
          <w:vertAlign w:val="baseline"/>
        </w:rPr>
        <w:t>AMS</w:t>
      </w:r>
      <w:r>
        <w:rPr>
          <w:spacing w:val="-4"/>
          <w:vertAlign w:val="baseline"/>
        </w:rPr>
        <w:t>, </w:t>
      </w:r>
      <w:r>
        <w:rPr>
          <w:w w:val="105"/>
          <w:vertAlign w:val="baseline"/>
        </w:rPr>
        <w:t>the Court’s judgment </w:t>
      </w:r>
      <w:r>
        <w:rPr>
          <w:rFonts w:ascii="Verdana" w:hAnsi="Verdana"/>
          <w:i/>
          <w:w w:val="105"/>
          <w:vertAlign w:val="baseline"/>
        </w:rPr>
        <w:t>implied </w:t>
      </w:r>
      <w:r>
        <w:rPr>
          <w:w w:val="105"/>
          <w:vertAlign w:val="baseline"/>
        </w:rPr>
        <w:t>that </w:t>
      </w:r>
      <w:r>
        <w:rPr>
          <w:rFonts w:ascii="Lucida Sans Unicode" w:hAnsi="Lucida Sans Unicode"/>
          <w:w w:val="105"/>
          <w:vertAlign w:val="baseline"/>
        </w:rPr>
        <w:t>Article 27 CFR (workers’ right to </w:t>
      </w:r>
      <w:r>
        <w:rPr>
          <w:w w:val="105"/>
          <w:vertAlign w:val="baseline"/>
        </w:rPr>
        <w:t>information and consultation) also</w:t>
      </w:r>
      <w:r>
        <w:rPr>
          <w:spacing w:val="80"/>
          <w:w w:val="150"/>
          <w:vertAlign w:val="baseline"/>
        </w:rPr>
        <w:t> </w:t>
      </w:r>
      <w:r>
        <w:rPr>
          <w:w w:val="105"/>
          <w:vertAlign w:val="baseline"/>
        </w:rPr>
        <w:t>contained</w:t>
      </w:r>
      <w:r>
        <w:rPr>
          <w:spacing w:val="40"/>
          <w:w w:val="105"/>
          <w:vertAlign w:val="baseline"/>
        </w:rPr>
        <w:t> </w:t>
      </w:r>
      <w:r>
        <w:rPr>
          <w:w w:val="105"/>
          <w:vertAlign w:val="baseline"/>
        </w:rPr>
        <w:t>a</w:t>
      </w:r>
      <w:r>
        <w:rPr>
          <w:spacing w:val="40"/>
          <w:w w:val="105"/>
          <w:vertAlign w:val="baseline"/>
        </w:rPr>
        <w:t> </w:t>
      </w:r>
      <w:r>
        <w:rPr>
          <w:w w:val="105"/>
          <w:vertAlign w:val="baseline"/>
        </w:rPr>
        <w:t>principle</w:t>
      </w:r>
      <w:r>
        <w:rPr>
          <w:spacing w:val="40"/>
          <w:w w:val="105"/>
          <w:vertAlign w:val="baseline"/>
        </w:rPr>
        <w:t> </w:t>
      </w:r>
      <w:r>
        <w:rPr>
          <w:w w:val="105"/>
          <w:vertAlign w:val="baseline"/>
        </w:rPr>
        <w:t>given</w:t>
      </w:r>
      <w:r>
        <w:rPr>
          <w:spacing w:val="40"/>
          <w:w w:val="105"/>
          <w:vertAlign w:val="baseline"/>
        </w:rPr>
        <w:t> </w:t>
      </w:r>
      <w:r>
        <w:rPr>
          <w:w w:val="105"/>
          <w:vertAlign w:val="baseline"/>
        </w:rPr>
        <w:t>that</w:t>
      </w:r>
      <w:r>
        <w:rPr>
          <w:spacing w:val="40"/>
          <w:w w:val="105"/>
          <w:vertAlign w:val="baseline"/>
        </w:rPr>
        <w:t> </w:t>
      </w:r>
      <w:r>
        <w:rPr>
          <w:w w:val="105"/>
          <w:vertAlign w:val="baseline"/>
        </w:rPr>
        <w:t>‘for</w:t>
      </w:r>
    </w:p>
    <w:p>
      <w:pPr>
        <w:pStyle w:val="BodyText"/>
        <w:spacing w:line="237" w:lineRule="auto" w:before="25"/>
        <w:ind w:right="149"/>
        <w:rPr>
          <w:rFonts w:ascii="Lucida Sans Unicode"/>
        </w:rPr>
      </w:pPr>
      <w:r>
        <w:rPr>
          <w:w w:val="110"/>
        </w:rPr>
        <w:t>this article to be fully effective, it </w:t>
      </w:r>
      <w:r>
        <w:rPr>
          <w:w w:val="110"/>
        </w:rPr>
        <w:t>must </w:t>
      </w:r>
      <w:r>
        <w:rPr>
          <w:rFonts w:ascii="Lucida Sans Unicode"/>
        </w:rPr>
        <w:t>be given more specific expression</w:t>
      </w:r>
    </w:p>
    <w:p>
      <w:pPr>
        <w:pStyle w:val="BodyText"/>
        <w:spacing w:line="300" w:lineRule="exact"/>
        <w:rPr>
          <w:rFonts w:ascii="Lucida Sans Unicode" w:hAnsi="Lucida Sans Unicode"/>
        </w:rPr>
      </w:pPr>
      <w:r>
        <w:rPr>
          <w:w w:val="110"/>
        </w:rPr>
        <w:t>in</w:t>
      </w:r>
      <w:r>
        <w:rPr>
          <w:spacing w:val="4"/>
          <w:w w:val="110"/>
        </w:rPr>
        <w:t> </w:t>
      </w:r>
      <w:r>
        <w:rPr>
          <w:w w:val="110"/>
        </w:rPr>
        <w:t>European</w:t>
      </w:r>
      <w:r>
        <w:rPr>
          <w:spacing w:val="5"/>
          <w:w w:val="110"/>
        </w:rPr>
        <w:t> </w:t>
      </w:r>
      <w:r>
        <w:rPr>
          <w:w w:val="110"/>
        </w:rPr>
        <w:t>Union</w:t>
      </w:r>
      <w:r>
        <w:rPr>
          <w:spacing w:val="5"/>
          <w:w w:val="110"/>
        </w:rPr>
        <w:t> </w:t>
      </w:r>
      <w:r>
        <w:rPr>
          <w:w w:val="110"/>
        </w:rPr>
        <w:t>or</w:t>
      </w:r>
      <w:r>
        <w:rPr>
          <w:spacing w:val="5"/>
          <w:w w:val="110"/>
        </w:rPr>
        <w:t> </w:t>
      </w:r>
      <w:r>
        <w:rPr>
          <w:w w:val="110"/>
        </w:rPr>
        <w:t>national</w:t>
      </w:r>
      <w:r>
        <w:rPr>
          <w:spacing w:val="5"/>
          <w:w w:val="110"/>
        </w:rPr>
        <w:t> </w:t>
      </w:r>
      <w:r>
        <w:rPr>
          <w:spacing w:val="-2"/>
          <w:w w:val="110"/>
        </w:rPr>
        <w:t>law’.</w:t>
      </w:r>
      <w:r>
        <w:rPr>
          <w:rFonts w:ascii="Lucida Sans Unicode" w:hAnsi="Lucida Sans Unicode"/>
          <w:spacing w:val="-2"/>
          <w:w w:val="110"/>
          <w:vertAlign w:val="superscript"/>
        </w:rPr>
        <w:t>18</w:t>
      </w:r>
    </w:p>
    <w:p>
      <w:pPr>
        <w:pStyle w:val="BodyText"/>
        <w:spacing w:line="268" w:lineRule="auto"/>
      </w:pPr>
      <w:r>
        <w:rPr>
          <w:w w:val="115"/>
        </w:rPr>
        <w:t>Nevertheless,</w:t>
      </w:r>
      <w:r>
        <w:rPr>
          <w:spacing w:val="-7"/>
          <w:w w:val="115"/>
        </w:rPr>
        <w:t> </w:t>
      </w:r>
      <w:r>
        <w:rPr>
          <w:w w:val="115"/>
        </w:rPr>
        <w:t>it</w:t>
      </w:r>
      <w:r>
        <w:rPr>
          <w:spacing w:val="-7"/>
          <w:w w:val="115"/>
        </w:rPr>
        <w:t> </w:t>
      </w:r>
      <w:r>
        <w:rPr>
          <w:w w:val="115"/>
        </w:rPr>
        <w:t>is</w:t>
      </w:r>
      <w:r>
        <w:rPr>
          <w:spacing w:val="-7"/>
          <w:w w:val="115"/>
        </w:rPr>
        <w:t> </w:t>
      </w:r>
      <w:r>
        <w:rPr>
          <w:w w:val="115"/>
        </w:rPr>
        <w:t>also</w:t>
      </w:r>
      <w:r>
        <w:rPr>
          <w:spacing w:val="-7"/>
          <w:w w:val="115"/>
        </w:rPr>
        <w:t> </w:t>
      </w:r>
      <w:r>
        <w:rPr>
          <w:w w:val="115"/>
        </w:rPr>
        <w:t>essential</w:t>
      </w:r>
      <w:r>
        <w:rPr>
          <w:spacing w:val="-7"/>
          <w:w w:val="115"/>
        </w:rPr>
        <w:t> </w:t>
      </w:r>
      <w:r>
        <w:rPr>
          <w:w w:val="115"/>
        </w:rPr>
        <w:t>to emphasise that, contrary to earlier </w:t>
      </w:r>
      <w:r>
        <w:rPr>
          <w:w w:val="110"/>
        </w:rPr>
        <w:t>analysis in the literature,</w:t>
      </w:r>
      <w:r>
        <w:rPr>
          <w:w w:val="110"/>
          <w:vertAlign w:val="superscript"/>
        </w:rPr>
        <w:t>19</w:t>
      </w:r>
      <w:r>
        <w:rPr>
          <w:w w:val="110"/>
          <w:vertAlign w:val="baseline"/>
        </w:rPr>
        <w:t> CJEU case </w:t>
      </w:r>
      <w:r>
        <w:rPr>
          <w:w w:val="115"/>
          <w:vertAlign w:val="baseline"/>
        </w:rPr>
        <w:t>law shows that the rights/principles distinction</w:t>
      </w:r>
      <w:r>
        <w:rPr>
          <w:spacing w:val="-20"/>
          <w:w w:val="115"/>
          <w:vertAlign w:val="baseline"/>
        </w:rPr>
        <w:t> </w:t>
      </w:r>
      <w:r>
        <w:rPr>
          <w:w w:val="115"/>
          <w:vertAlign w:val="baseline"/>
        </w:rPr>
        <w:t>is</w:t>
      </w:r>
      <w:r>
        <w:rPr>
          <w:spacing w:val="-19"/>
          <w:w w:val="115"/>
          <w:vertAlign w:val="baseline"/>
        </w:rPr>
        <w:t> </w:t>
      </w:r>
      <w:r>
        <w:rPr>
          <w:w w:val="115"/>
          <w:vertAlign w:val="baseline"/>
        </w:rPr>
        <w:t>separate</w:t>
      </w:r>
      <w:r>
        <w:rPr>
          <w:spacing w:val="-19"/>
          <w:w w:val="115"/>
          <w:vertAlign w:val="baseline"/>
        </w:rPr>
        <w:t> </w:t>
      </w:r>
      <w:r>
        <w:rPr>
          <w:w w:val="115"/>
          <w:vertAlign w:val="baseline"/>
        </w:rPr>
        <w:t>to</w:t>
      </w:r>
      <w:r>
        <w:rPr>
          <w:spacing w:val="-19"/>
          <w:w w:val="115"/>
          <w:vertAlign w:val="baseline"/>
        </w:rPr>
        <w:t> </w:t>
      </w:r>
      <w:r>
        <w:rPr>
          <w:w w:val="115"/>
          <w:vertAlign w:val="baseline"/>
        </w:rPr>
        <w:t>the</w:t>
      </w:r>
      <w:r>
        <w:rPr>
          <w:spacing w:val="-19"/>
          <w:w w:val="115"/>
          <w:vertAlign w:val="baseline"/>
        </w:rPr>
        <w:t> </w:t>
      </w:r>
      <w:r>
        <w:rPr>
          <w:w w:val="115"/>
          <w:vertAlign w:val="baseline"/>
        </w:rPr>
        <w:t>question of justiciability for entire chapters</w:t>
      </w:r>
    </w:p>
    <w:p>
      <w:pPr>
        <w:pStyle w:val="BodyText"/>
        <w:spacing w:line="268" w:lineRule="auto"/>
        <w:ind w:right="313"/>
      </w:pPr>
      <w:r>
        <w:rPr>
          <w:w w:val="115"/>
        </w:rPr>
        <w:t>of</w:t>
      </w:r>
      <w:r>
        <w:rPr>
          <w:spacing w:val="-20"/>
          <w:w w:val="115"/>
        </w:rPr>
        <w:t> </w:t>
      </w:r>
      <w:r>
        <w:rPr>
          <w:w w:val="115"/>
        </w:rPr>
        <w:t>the</w:t>
      </w:r>
      <w:r>
        <w:rPr>
          <w:spacing w:val="-19"/>
          <w:w w:val="115"/>
        </w:rPr>
        <w:t> </w:t>
      </w:r>
      <w:r>
        <w:rPr>
          <w:w w:val="115"/>
        </w:rPr>
        <w:t>Charter</w:t>
      </w:r>
      <w:r>
        <w:rPr>
          <w:spacing w:val="-19"/>
          <w:w w:val="115"/>
        </w:rPr>
        <w:t> </w:t>
      </w:r>
      <w:r>
        <w:rPr>
          <w:w w:val="115"/>
        </w:rPr>
        <w:t>and</w:t>
      </w:r>
      <w:r>
        <w:rPr>
          <w:spacing w:val="-19"/>
          <w:w w:val="115"/>
        </w:rPr>
        <w:t> </w:t>
      </w:r>
      <w:r>
        <w:rPr>
          <w:w w:val="115"/>
        </w:rPr>
        <w:t>no</w:t>
      </w:r>
      <w:r>
        <w:rPr>
          <w:spacing w:val="-19"/>
          <w:w w:val="115"/>
        </w:rPr>
        <w:t> </w:t>
      </w:r>
      <w:r>
        <w:rPr>
          <w:w w:val="115"/>
        </w:rPr>
        <w:t>chapter</w:t>
      </w:r>
      <w:r>
        <w:rPr>
          <w:spacing w:val="-19"/>
          <w:w w:val="115"/>
        </w:rPr>
        <w:t> </w:t>
      </w:r>
      <w:r>
        <w:rPr>
          <w:w w:val="115"/>
        </w:rPr>
        <w:t>is entirely excluded from review.</w:t>
      </w:r>
    </w:p>
    <w:p>
      <w:pPr>
        <w:pStyle w:val="BodyText"/>
        <w:spacing w:line="268" w:lineRule="auto"/>
        <w:ind w:right="202"/>
      </w:pPr>
      <w:r>
        <w:rPr>
          <w:w w:val="110"/>
        </w:rPr>
        <w:t>Indeed,</w:t>
      </w:r>
      <w:r>
        <w:rPr>
          <w:spacing w:val="-4"/>
          <w:w w:val="110"/>
        </w:rPr>
        <w:t> </w:t>
      </w:r>
      <w:r>
        <w:rPr>
          <w:w w:val="110"/>
        </w:rPr>
        <w:t>pre-Brexit</w:t>
      </w:r>
      <w:r>
        <w:rPr>
          <w:spacing w:val="-4"/>
          <w:w w:val="110"/>
        </w:rPr>
        <w:t> </w:t>
      </w:r>
      <w:r>
        <w:rPr>
          <w:w w:val="110"/>
        </w:rPr>
        <w:t>case</w:t>
      </w:r>
      <w:r>
        <w:rPr>
          <w:spacing w:val="-4"/>
          <w:w w:val="110"/>
        </w:rPr>
        <w:t> </w:t>
      </w:r>
      <w:r>
        <w:rPr>
          <w:w w:val="110"/>
        </w:rPr>
        <w:t>law</w:t>
      </w:r>
      <w:r>
        <w:rPr>
          <w:spacing w:val="-4"/>
          <w:w w:val="110"/>
        </w:rPr>
        <w:t> </w:t>
      </w:r>
      <w:r>
        <w:rPr>
          <w:w w:val="110"/>
        </w:rPr>
        <w:t>displaces </w:t>
      </w:r>
      <w:r>
        <w:rPr>
          <w:w w:val="115"/>
        </w:rPr>
        <w:t>that approach, which appears to have</w:t>
      </w:r>
      <w:r>
        <w:rPr>
          <w:spacing w:val="-11"/>
          <w:w w:val="115"/>
        </w:rPr>
        <w:t> </w:t>
      </w:r>
      <w:r>
        <w:rPr>
          <w:w w:val="115"/>
        </w:rPr>
        <w:t>informed</w:t>
      </w:r>
      <w:r>
        <w:rPr>
          <w:spacing w:val="-11"/>
          <w:w w:val="115"/>
        </w:rPr>
        <w:t> </w:t>
      </w:r>
      <w:r>
        <w:rPr>
          <w:w w:val="115"/>
        </w:rPr>
        <w:t>the</w:t>
      </w:r>
      <w:r>
        <w:rPr>
          <w:spacing w:val="-11"/>
          <w:w w:val="115"/>
        </w:rPr>
        <w:t> </w:t>
      </w:r>
      <w:r>
        <w:rPr>
          <w:w w:val="115"/>
        </w:rPr>
        <w:t>UK</w:t>
      </w:r>
      <w:r>
        <w:rPr>
          <w:spacing w:val="-11"/>
          <w:w w:val="115"/>
        </w:rPr>
        <w:t> </w:t>
      </w:r>
      <w:r>
        <w:rPr>
          <w:w w:val="115"/>
        </w:rPr>
        <w:t>government’s right-by-right analysis of the</w:t>
      </w:r>
    </w:p>
    <w:p>
      <w:pPr>
        <w:pStyle w:val="BodyText"/>
        <w:spacing w:line="334" w:lineRule="exact"/>
        <w:rPr>
          <w:rFonts w:ascii="Lucida Sans Unicode"/>
        </w:rPr>
      </w:pPr>
      <w:r>
        <w:rPr>
          <w:rFonts w:ascii="Lucida Sans Unicode"/>
        </w:rPr>
        <w:t>Solidarity</w:t>
      </w:r>
      <w:r>
        <w:rPr>
          <w:rFonts w:ascii="Lucida Sans Unicode"/>
          <w:spacing w:val="39"/>
        </w:rPr>
        <w:t> </w:t>
      </w:r>
      <w:r>
        <w:rPr>
          <w:rFonts w:ascii="Lucida Sans Unicode"/>
          <w:spacing w:val="-2"/>
        </w:rPr>
        <w:t>chapter.</w:t>
      </w:r>
      <w:r>
        <w:rPr>
          <w:rFonts w:ascii="Lucida Sans Unicode"/>
          <w:spacing w:val="-2"/>
          <w:vertAlign w:val="superscript"/>
        </w:rPr>
        <w:t>20</w:t>
      </w:r>
    </w:p>
    <w:p>
      <w:pPr>
        <w:pStyle w:val="BodyText"/>
        <w:spacing w:line="310" w:lineRule="exact" w:before="49"/>
        <w:ind w:right="420"/>
        <w:rPr>
          <w:rFonts w:ascii="Lucida Sans Unicode" w:hAnsi="Lucida Sans Unicode"/>
        </w:rPr>
      </w:pPr>
      <w:r>
        <w:rPr/>
        <w:br w:type="column"/>
      </w:r>
      <w:r>
        <w:rPr>
          <w:w w:val="110"/>
        </w:rPr>
        <w:t>As shown in the </w:t>
      </w:r>
      <w:r>
        <w:rPr>
          <w:rFonts w:ascii="Verdana" w:hAnsi="Verdana"/>
          <w:i/>
          <w:w w:val="110"/>
        </w:rPr>
        <w:t>Bauer </w:t>
      </w:r>
      <w:r>
        <w:rPr>
          <w:w w:val="110"/>
        </w:rPr>
        <w:t>judgment, certain provisions found in the </w:t>
      </w:r>
      <w:r>
        <w:rPr>
          <w:rFonts w:ascii="Lucida Sans Unicode" w:hAnsi="Lucida Sans Unicode"/>
        </w:rPr>
        <w:t>Solidarity</w:t>
      </w:r>
      <w:r>
        <w:rPr>
          <w:rFonts w:ascii="Lucida Sans Unicode" w:hAnsi="Lucida Sans Unicode"/>
          <w:spacing w:val="-3"/>
        </w:rPr>
        <w:t> </w:t>
      </w:r>
      <w:r>
        <w:rPr>
          <w:rFonts w:ascii="Lucida Sans Unicode" w:hAnsi="Lucida Sans Unicode"/>
        </w:rPr>
        <w:t>chapter,</w:t>
      </w:r>
      <w:r>
        <w:rPr>
          <w:rFonts w:ascii="Lucida Sans Unicode" w:hAnsi="Lucida Sans Unicode"/>
          <w:spacing w:val="-3"/>
        </w:rPr>
        <w:t> </w:t>
      </w:r>
      <w:r>
        <w:rPr>
          <w:rFonts w:ascii="Lucida Sans Unicode" w:hAnsi="Lucida Sans Unicode"/>
        </w:rPr>
        <w:t>such</w:t>
      </w:r>
      <w:r>
        <w:rPr>
          <w:rFonts w:ascii="Lucida Sans Unicode" w:hAnsi="Lucida Sans Unicode"/>
          <w:spacing w:val="-3"/>
        </w:rPr>
        <w:t> </w:t>
      </w:r>
      <w:r>
        <w:rPr>
          <w:rFonts w:ascii="Lucida Sans Unicode" w:hAnsi="Lucida Sans Unicode"/>
        </w:rPr>
        <w:t>as</w:t>
      </w:r>
      <w:r>
        <w:rPr>
          <w:rFonts w:ascii="Lucida Sans Unicode" w:hAnsi="Lucida Sans Unicode"/>
          <w:spacing w:val="-3"/>
        </w:rPr>
        <w:t> </w:t>
      </w:r>
      <w:r>
        <w:rPr>
          <w:rFonts w:ascii="Lucida Sans Unicode" w:hAnsi="Lucida Sans Unicode"/>
        </w:rPr>
        <w:t>Article</w:t>
      </w:r>
      <w:r>
        <w:rPr>
          <w:rFonts w:ascii="Lucida Sans Unicode" w:hAnsi="Lucida Sans Unicode"/>
          <w:spacing w:val="-3"/>
        </w:rPr>
        <w:t> </w:t>
      </w:r>
      <w:r>
        <w:rPr>
          <w:rFonts w:ascii="Lucida Sans Unicode" w:hAnsi="Lucida Sans Unicode"/>
        </w:rPr>
        <w:t>31 </w:t>
      </w:r>
      <w:r>
        <w:rPr>
          <w:w w:val="110"/>
        </w:rPr>
        <w:t>on fair working conditions including paid</w:t>
      </w:r>
      <w:r>
        <w:rPr>
          <w:spacing w:val="-10"/>
          <w:w w:val="110"/>
        </w:rPr>
        <w:t> </w:t>
      </w:r>
      <w:r>
        <w:rPr>
          <w:w w:val="110"/>
        </w:rPr>
        <w:t>annual</w:t>
      </w:r>
      <w:r>
        <w:rPr>
          <w:spacing w:val="-10"/>
          <w:w w:val="110"/>
        </w:rPr>
        <w:t> </w:t>
      </w:r>
      <w:r>
        <w:rPr>
          <w:w w:val="110"/>
        </w:rPr>
        <w:t>leave,</w:t>
      </w:r>
      <w:r>
        <w:rPr>
          <w:spacing w:val="-10"/>
          <w:w w:val="110"/>
        </w:rPr>
        <w:t> </w:t>
      </w:r>
      <w:r>
        <w:rPr>
          <w:w w:val="110"/>
        </w:rPr>
        <w:t>squarely</w:t>
      </w:r>
      <w:r>
        <w:rPr>
          <w:spacing w:val="-10"/>
          <w:w w:val="110"/>
        </w:rPr>
        <w:t> </w:t>
      </w:r>
      <w:r>
        <w:rPr>
          <w:w w:val="110"/>
        </w:rPr>
        <w:t>have</w:t>
      </w:r>
      <w:r>
        <w:rPr>
          <w:spacing w:val="-10"/>
          <w:w w:val="110"/>
        </w:rPr>
        <w:t> </w:t>
      </w:r>
      <w:r>
        <w:rPr>
          <w:w w:val="110"/>
        </w:rPr>
        <w:t>the quality of ‘rights’ and can thus form the subject of full judicial scrutiny.</w:t>
      </w:r>
      <w:r>
        <w:rPr>
          <w:rFonts w:ascii="Lucida Sans Unicode" w:hAnsi="Lucida Sans Unicode"/>
          <w:w w:val="110"/>
          <w:vertAlign w:val="superscript"/>
        </w:rPr>
        <w:t>21</w:t>
      </w:r>
    </w:p>
    <w:p>
      <w:pPr>
        <w:pStyle w:val="BodyText"/>
        <w:spacing w:line="247" w:lineRule="auto" w:before="285"/>
        <w:ind w:right="266"/>
      </w:pPr>
      <w:r>
        <w:rPr>
          <w:rFonts w:ascii="Lucida Sans Unicode"/>
        </w:rPr>
        <w:t>Article 52 (5) CFR nevertheless </w:t>
      </w:r>
      <w:r>
        <w:rPr>
          <w:rFonts w:ascii="Lucida Sans Unicode"/>
        </w:rPr>
        <w:t>shows </w:t>
      </w:r>
      <w:r>
        <w:rPr>
          <w:w w:val="110"/>
        </w:rPr>
        <w:t>that</w:t>
      </w:r>
      <w:r>
        <w:rPr>
          <w:spacing w:val="40"/>
          <w:w w:val="110"/>
        </w:rPr>
        <w:t> </w:t>
      </w:r>
      <w:r>
        <w:rPr>
          <w:w w:val="110"/>
        </w:rPr>
        <w:t>the</w:t>
      </w:r>
      <w:r>
        <w:rPr>
          <w:spacing w:val="40"/>
          <w:w w:val="110"/>
        </w:rPr>
        <w:t> </w:t>
      </w:r>
      <w:r>
        <w:rPr>
          <w:w w:val="110"/>
        </w:rPr>
        <w:t>distinction</w:t>
      </w:r>
      <w:r>
        <w:rPr>
          <w:spacing w:val="40"/>
          <w:w w:val="110"/>
        </w:rPr>
        <w:t> </w:t>
      </w:r>
      <w:r>
        <w:rPr>
          <w:w w:val="110"/>
        </w:rPr>
        <w:t>between</w:t>
      </w:r>
      <w:r>
        <w:rPr>
          <w:spacing w:val="40"/>
          <w:w w:val="110"/>
        </w:rPr>
        <w:t> </w:t>
      </w:r>
      <w:r>
        <w:rPr>
          <w:w w:val="110"/>
        </w:rPr>
        <w:t>rights and principles remains relevant in</w:t>
      </w:r>
    </w:p>
    <w:p>
      <w:pPr>
        <w:pStyle w:val="BodyText"/>
        <w:spacing w:line="268" w:lineRule="auto" w:before="20"/>
        <w:ind w:right="266"/>
      </w:pPr>
      <w:r>
        <w:rPr>
          <w:spacing w:val="-2"/>
          <w:w w:val="115"/>
        </w:rPr>
        <w:t>two</w:t>
      </w:r>
      <w:r>
        <w:rPr>
          <w:spacing w:val="-17"/>
          <w:w w:val="115"/>
        </w:rPr>
        <w:t> </w:t>
      </w:r>
      <w:r>
        <w:rPr>
          <w:spacing w:val="-2"/>
          <w:w w:val="115"/>
        </w:rPr>
        <w:t>respects.</w:t>
      </w:r>
      <w:r>
        <w:rPr>
          <w:spacing w:val="-17"/>
          <w:w w:val="115"/>
        </w:rPr>
        <w:t> </w:t>
      </w:r>
      <w:r>
        <w:rPr>
          <w:spacing w:val="-2"/>
          <w:w w:val="115"/>
        </w:rPr>
        <w:t>First,</w:t>
      </w:r>
      <w:r>
        <w:rPr>
          <w:spacing w:val="-17"/>
          <w:w w:val="115"/>
        </w:rPr>
        <w:t> </w:t>
      </w:r>
      <w:r>
        <w:rPr>
          <w:spacing w:val="-2"/>
          <w:w w:val="115"/>
        </w:rPr>
        <w:t>principles</w:t>
      </w:r>
      <w:r>
        <w:rPr>
          <w:spacing w:val="-17"/>
          <w:w w:val="115"/>
        </w:rPr>
        <w:t> </w:t>
      </w:r>
      <w:r>
        <w:rPr>
          <w:spacing w:val="-2"/>
          <w:w w:val="115"/>
        </w:rPr>
        <w:t>require </w:t>
      </w:r>
      <w:r>
        <w:rPr>
          <w:w w:val="115"/>
        </w:rPr>
        <w:t>implementation (either by the EU</w:t>
      </w:r>
    </w:p>
    <w:p>
      <w:pPr>
        <w:pStyle w:val="BodyText"/>
        <w:spacing w:line="322" w:lineRule="exact"/>
        <w:rPr>
          <w:rFonts w:ascii="Lucida Sans Unicode"/>
        </w:rPr>
      </w:pPr>
      <w:r>
        <w:rPr>
          <w:rFonts w:ascii="Lucida Sans Unicode"/>
          <w:w w:val="105"/>
        </w:rPr>
        <w:t>or</w:t>
      </w:r>
      <w:r>
        <w:rPr>
          <w:rFonts w:ascii="Lucida Sans Unicode"/>
          <w:spacing w:val="-19"/>
          <w:w w:val="105"/>
        </w:rPr>
        <w:t> </w:t>
      </w:r>
      <w:r>
        <w:rPr>
          <w:rFonts w:ascii="Lucida Sans Unicode"/>
          <w:w w:val="105"/>
        </w:rPr>
        <w:t>a</w:t>
      </w:r>
      <w:r>
        <w:rPr>
          <w:rFonts w:ascii="Lucida Sans Unicode"/>
          <w:spacing w:val="-18"/>
          <w:w w:val="105"/>
        </w:rPr>
        <w:t> </w:t>
      </w:r>
      <w:r>
        <w:rPr>
          <w:rFonts w:ascii="Lucida Sans Unicode"/>
          <w:w w:val="105"/>
        </w:rPr>
        <w:t>Member</w:t>
      </w:r>
      <w:r>
        <w:rPr>
          <w:rFonts w:ascii="Lucida Sans Unicode"/>
          <w:spacing w:val="-19"/>
          <w:w w:val="105"/>
        </w:rPr>
        <w:t> </w:t>
      </w:r>
      <w:r>
        <w:rPr>
          <w:rFonts w:ascii="Lucida Sans Unicode"/>
          <w:w w:val="105"/>
        </w:rPr>
        <w:t>State);</w:t>
      </w:r>
      <w:r>
        <w:rPr>
          <w:rFonts w:ascii="Lucida Sans Unicode"/>
          <w:spacing w:val="-18"/>
          <w:w w:val="105"/>
        </w:rPr>
        <w:t> </w:t>
      </w:r>
      <w:r>
        <w:rPr>
          <w:rFonts w:ascii="Lucida Sans Unicode"/>
          <w:w w:val="105"/>
        </w:rPr>
        <w:t>second,</w:t>
      </w:r>
      <w:r>
        <w:rPr>
          <w:rFonts w:ascii="Lucida Sans Unicode"/>
          <w:spacing w:val="-18"/>
          <w:w w:val="105"/>
        </w:rPr>
        <w:t> </w:t>
      </w:r>
      <w:r>
        <w:rPr>
          <w:rFonts w:ascii="Lucida Sans Unicode"/>
          <w:spacing w:val="-4"/>
          <w:w w:val="105"/>
        </w:rPr>
        <w:t>once</w:t>
      </w:r>
    </w:p>
    <w:p>
      <w:pPr>
        <w:pStyle w:val="BodyText"/>
        <w:spacing w:line="266" w:lineRule="auto"/>
        <w:ind w:right="420"/>
      </w:pPr>
      <w:r>
        <w:rPr>
          <w:w w:val="110"/>
        </w:rPr>
        <w:t>they have been implemented, they can be invoked before a court, but only where the interpretation of implementing acts or the review of their validity is concerned. That is to say:</w:t>
      </w:r>
      <w:r>
        <w:rPr>
          <w:spacing w:val="40"/>
          <w:w w:val="110"/>
        </w:rPr>
        <w:t> </w:t>
      </w:r>
      <w:r>
        <w:rPr>
          <w:w w:val="110"/>
        </w:rPr>
        <w:t>principles</w:t>
      </w:r>
      <w:r>
        <w:rPr>
          <w:spacing w:val="40"/>
          <w:w w:val="110"/>
        </w:rPr>
        <w:t> </w:t>
      </w:r>
      <w:r>
        <w:rPr>
          <w:w w:val="110"/>
        </w:rPr>
        <w:t>may</w:t>
      </w:r>
      <w:r>
        <w:rPr>
          <w:spacing w:val="40"/>
          <w:w w:val="110"/>
        </w:rPr>
        <w:t> </w:t>
      </w:r>
      <w:r>
        <w:rPr>
          <w:w w:val="110"/>
        </w:rPr>
        <w:t>form</w:t>
      </w:r>
      <w:r>
        <w:rPr>
          <w:spacing w:val="40"/>
          <w:w w:val="110"/>
        </w:rPr>
        <w:t> </w:t>
      </w:r>
      <w:r>
        <w:rPr>
          <w:w w:val="110"/>
        </w:rPr>
        <w:t>the</w:t>
      </w:r>
      <w:r>
        <w:rPr>
          <w:spacing w:val="40"/>
          <w:w w:val="110"/>
        </w:rPr>
        <w:t> </w:t>
      </w:r>
      <w:r>
        <w:rPr>
          <w:w w:val="110"/>
        </w:rPr>
        <w:t>basis</w:t>
      </w:r>
      <w:r>
        <w:rPr>
          <w:w w:val="110"/>
        </w:rPr>
        <w:t> </w:t>
      </w:r>
      <w:r>
        <w:rPr/>
        <w:t>of </w:t>
      </w:r>
      <w:r>
        <w:rPr>
          <w:rFonts w:ascii="Verdana" w:hAnsi="Verdana"/>
          <w:i/>
        </w:rPr>
        <w:t>consistent interpretation </w:t>
      </w:r>
      <w:r>
        <w:rPr/>
        <w:t>– an EU </w:t>
      </w:r>
      <w:r>
        <w:rPr>
          <w:w w:val="110"/>
        </w:rPr>
        <w:t>interpretive</w:t>
      </w:r>
      <w:r>
        <w:rPr>
          <w:spacing w:val="35"/>
          <w:w w:val="110"/>
        </w:rPr>
        <w:t> </w:t>
      </w:r>
      <w:r>
        <w:rPr>
          <w:w w:val="110"/>
        </w:rPr>
        <w:t>principle</w:t>
      </w:r>
      <w:r>
        <w:rPr>
          <w:spacing w:val="35"/>
          <w:w w:val="110"/>
        </w:rPr>
        <w:t> </w:t>
      </w:r>
      <w:r>
        <w:rPr>
          <w:w w:val="110"/>
        </w:rPr>
        <w:t>that</w:t>
      </w:r>
      <w:r>
        <w:rPr>
          <w:spacing w:val="35"/>
          <w:w w:val="110"/>
        </w:rPr>
        <w:t> </w:t>
      </w:r>
      <w:r>
        <w:rPr>
          <w:w w:val="110"/>
        </w:rPr>
        <w:t>we</w:t>
      </w:r>
      <w:r>
        <w:rPr>
          <w:spacing w:val="35"/>
          <w:w w:val="110"/>
        </w:rPr>
        <w:t> </w:t>
      </w:r>
      <w:r>
        <w:rPr>
          <w:spacing w:val="-2"/>
          <w:w w:val="110"/>
        </w:rPr>
        <w:t>further</w:t>
      </w:r>
    </w:p>
    <w:p>
      <w:pPr>
        <w:pStyle w:val="BodyText"/>
        <w:spacing w:line="268" w:lineRule="auto" w:before="1"/>
        <w:ind w:right="120"/>
      </w:pPr>
      <w:r>
        <w:rPr>
          <w:w w:val="115"/>
        </w:rPr>
        <w:t>detail below – but would not normally give rise to direct effect (except where</w:t>
      </w:r>
      <w:r>
        <w:rPr>
          <w:spacing w:val="-3"/>
          <w:w w:val="115"/>
        </w:rPr>
        <w:t> </w:t>
      </w:r>
      <w:r>
        <w:rPr>
          <w:w w:val="115"/>
        </w:rPr>
        <w:t>the</w:t>
      </w:r>
      <w:r>
        <w:rPr>
          <w:spacing w:val="-3"/>
          <w:w w:val="115"/>
        </w:rPr>
        <w:t> </w:t>
      </w:r>
      <w:r>
        <w:rPr>
          <w:w w:val="115"/>
        </w:rPr>
        <w:t>review</w:t>
      </w:r>
      <w:r>
        <w:rPr>
          <w:spacing w:val="-3"/>
          <w:w w:val="115"/>
        </w:rPr>
        <w:t> </w:t>
      </w:r>
      <w:r>
        <w:rPr>
          <w:w w:val="115"/>
        </w:rPr>
        <w:t>of</w:t>
      </w:r>
      <w:r>
        <w:rPr>
          <w:spacing w:val="-3"/>
          <w:w w:val="115"/>
        </w:rPr>
        <w:t> </w:t>
      </w:r>
      <w:r>
        <w:rPr>
          <w:w w:val="115"/>
        </w:rPr>
        <w:t>the</w:t>
      </w:r>
      <w:r>
        <w:rPr>
          <w:spacing w:val="-3"/>
          <w:w w:val="115"/>
        </w:rPr>
        <w:t> </w:t>
      </w:r>
      <w:r>
        <w:rPr>
          <w:w w:val="115"/>
        </w:rPr>
        <w:t>implementing act itself is concerned) or form the basis of a claim for state liability in damages. Rights, by contrast, do not require</w:t>
      </w:r>
      <w:r>
        <w:rPr>
          <w:spacing w:val="-16"/>
          <w:w w:val="115"/>
        </w:rPr>
        <w:t> </w:t>
      </w:r>
      <w:r>
        <w:rPr>
          <w:w w:val="115"/>
        </w:rPr>
        <w:t>implementation</w:t>
      </w:r>
      <w:r>
        <w:rPr>
          <w:spacing w:val="-16"/>
          <w:w w:val="115"/>
        </w:rPr>
        <w:t> </w:t>
      </w:r>
      <w:r>
        <w:rPr>
          <w:w w:val="115"/>
        </w:rPr>
        <w:t>to</w:t>
      </w:r>
      <w:r>
        <w:rPr>
          <w:spacing w:val="-16"/>
          <w:w w:val="115"/>
        </w:rPr>
        <w:t> </w:t>
      </w:r>
      <w:r>
        <w:rPr>
          <w:w w:val="115"/>
        </w:rPr>
        <w:t>be</w:t>
      </w:r>
      <w:r>
        <w:rPr>
          <w:spacing w:val="-16"/>
          <w:w w:val="115"/>
        </w:rPr>
        <w:t> </w:t>
      </w:r>
      <w:r>
        <w:rPr>
          <w:w w:val="115"/>
        </w:rPr>
        <w:t>judicially cognisable; and they are not limited</w:t>
      </w:r>
    </w:p>
    <w:p>
      <w:pPr>
        <w:pStyle w:val="BodyText"/>
        <w:spacing w:line="268" w:lineRule="auto" w:before="7"/>
        <w:ind w:right="353"/>
      </w:pPr>
      <w:r>
        <w:rPr>
          <w:w w:val="115"/>
        </w:rPr>
        <w:t>in their effects to the interpretation of implementing acts or the review of their validity. Instead, the effect of rights goes further. They can be invoked</w:t>
      </w:r>
      <w:r>
        <w:rPr>
          <w:spacing w:val="-14"/>
          <w:w w:val="115"/>
        </w:rPr>
        <w:t> </w:t>
      </w:r>
      <w:r>
        <w:rPr>
          <w:w w:val="115"/>
        </w:rPr>
        <w:t>in</w:t>
      </w:r>
      <w:r>
        <w:rPr>
          <w:spacing w:val="-14"/>
          <w:w w:val="115"/>
        </w:rPr>
        <w:t> </w:t>
      </w:r>
      <w:r>
        <w:rPr>
          <w:w w:val="115"/>
        </w:rPr>
        <w:t>the</w:t>
      </w:r>
      <w:r>
        <w:rPr>
          <w:spacing w:val="-14"/>
          <w:w w:val="115"/>
        </w:rPr>
        <w:t> </w:t>
      </w:r>
      <w:r>
        <w:rPr>
          <w:w w:val="115"/>
        </w:rPr>
        <w:t>interpretation</w:t>
      </w:r>
      <w:r>
        <w:rPr>
          <w:spacing w:val="-14"/>
          <w:w w:val="115"/>
        </w:rPr>
        <w:t> </w:t>
      </w:r>
      <w:r>
        <w:rPr>
          <w:w w:val="115"/>
        </w:rPr>
        <w:t>and</w:t>
      </w:r>
      <w:r>
        <w:rPr>
          <w:spacing w:val="-14"/>
          <w:w w:val="115"/>
        </w:rPr>
        <w:t> </w:t>
      </w:r>
      <w:r>
        <w:rPr>
          <w:w w:val="115"/>
        </w:rPr>
        <w:t>the review of the validity of any piece</w:t>
      </w:r>
    </w:p>
    <w:p>
      <w:pPr>
        <w:pStyle w:val="BodyText"/>
        <w:spacing w:line="326" w:lineRule="exact"/>
        <w:rPr>
          <w:rFonts w:ascii="Lucida Sans Unicode"/>
        </w:rPr>
      </w:pPr>
      <w:r>
        <w:rPr>
          <w:rFonts w:ascii="Lucida Sans Unicode"/>
        </w:rPr>
        <w:t>of</w:t>
      </w:r>
      <w:r>
        <w:rPr>
          <w:rFonts w:ascii="Lucida Sans Unicode"/>
          <w:spacing w:val="13"/>
        </w:rPr>
        <w:t> </w:t>
      </w:r>
      <w:r>
        <w:rPr>
          <w:rFonts w:ascii="Lucida Sans Unicode"/>
        </w:rPr>
        <w:t>EU</w:t>
      </w:r>
      <w:r>
        <w:rPr>
          <w:rFonts w:ascii="Lucida Sans Unicode"/>
          <w:spacing w:val="13"/>
        </w:rPr>
        <w:t> </w:t>
      </w:r>
      <w:r>
        <w:rPr>
          <w:rFonts w:ascii="Lucida Sans Unicode"/>
        </w:rPr>
        <w:t>legislation</w:t>
      </w:r>
      <w:r>
        <w:rPr>
          <w:rFonts w:ascii="Lucida Sans Unicode"/>
          <w:spacing w:val="14"/>
        </w:rPr>
        <w:t> </w:t>
      </w:r>
      <w:r>
        <w:rPr>
          <w:rFonts w:ascii="Lucida Sans Unicode"/>
        </w:rPr>
        <w:t>or</w:t>
      </w:r>
      <w:r>
        <w:rPr>
          <w:rFonts w:ascii="Lucida Sans Unicode"/>
          <w:spacing w:val="13"/>
        </w:rPr>
        <w:t> </w:t>
      </w:r>
      <w:r>
        <w:rPr>
          <w:rFonts w:ascii="Lucida Sans Unicode"/>
        </w:rPr>
        <w:t>Member</w:t>
      </w:r>
      <w:r>
        <w:rPr>
          <w:rFonts w:ascii="Lucida Sans Unicode"/>
          <w:spacing w:val="14"/>
        </w:rPr>
        <w:t> </w:t>
      </w:r>
      <w:r>
        <w:rPr>
          <w:rFonts w:ascii="Lucida Sans Unicode"/>
          <w:spacing w:val="-4"/>
        </w:rPr>
        <w:t>State</w:t>
      </w:r>
    </w:p>
    <w:p>
      <w:pPr>
        <w:pStyle w:val="BodyText"/>
        <w:spacing w:line="268" w:lineRule="auto"/>
        <w:ind w:right="266"/>
      </w:pPr>
      <w:r>
        <w:rPr>
          <w:w w:val="110"/>
        </w:rPr>
        <w:t>legislation, so far as it is within </w:t>
      </w:r>
      <w:r>
        <w:rPr>
          <w:w w:val="110"/>
        </w:rPr>
        <w:t>the scope of EU law.</w:t>
      </w:r>
    </w:p>
    <w:p>
      <w:pPr>
        <w:spacing w:after="0" w:line="268" w:lineRule="auto"/>
        <w:sectPr>
          <w:type w:val="continuous"/>
          <w:pgSz w:w="11910" w:h="16840"/>
          <w:pgMar w:header="568" w:footer="580" w:top="0" w:bottom="280" w:left="1020" w:right="1020"/>
          <w:cols w:num="2" w:equalWidth="0">
            <w:col w:w="4715" w:space="330"/>
            <w:col w:w="4825"/>
          </w:cols>
        </w:sectPr>
      </w:pPr>
    </w:p>
    <w:p>
      <w:pPr>
        <w:pStyle w:val="BodyText"/>
        <w:ind w:left="0"/>
        <w:rPr>
          <w:sz w:val="20"/>
        </w:rPr>
      </w:pPr>
    </w:p>
    <w:p>
      <w:pPr>
        <w:pStyle w:val="BodyText"/>
        <w:spacing w:before="33"/>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59" name="Group 59"/>
                <wp:cNvGraphicFramePr>
                  <a:graphicFrameLocks/>
                </wp:cNvGraphicFramePr>
                <a:graphic>
                  <a:graphicData uri="http://schemas.microsoft.com/office/word/2010/wordprocessingGroup">
                    <wpg:wgp>
                      <wpg:cNvPr id="59" name="Group 59"/>
                      <wpg:cNvGrpSpPr/>
                      <wpg:grpSpPr>
                        <a:xfrm>
                          <a:off x="0" y="0"/>
                          <a:ext cx="6120130" cy="6350"/>
                          <a:chExt cx="6120130" cy="6350"/>
                        </a:xfrm>
                      </wpg:grpSpPr>
                      <wps:wsp>
                        <wps:cNvPr id="60" name="Graphic 60"/>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48"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7" w:val="left" w:leader="none"/>
        </w:tabs>
        <w:spacing w:line="223" w:lineRule="exact" w:before="61" w:after="0"/>
        <w:ind w:left="567" w:right="0" w:hanging="454"/>
        <w:jc w:val="left"/>
        <w:rPr>
          <w:rFonts w:ascii="Arial"/>
          <w:sz w:val="16"/>
        </w:rPr>
      </w:pPr>
      <w:r>
        <w:rPr>
          <w:spacing w:val="-2"/>
          <w:sz w:val="16"/>
        </w:rPr>
        <w:t>Case C-356/12 </w:t>
      </w:r>
      <w:r>
        <w:rPr>
          <w:rFonts w:ascii="Verdana"/>
          <w:i/>
          <w:spacing w:val="-2"/>
          <w:sz w:val="16"/>
        </w:rPr>
        <w:t>Wolfgang</w:t>
      </w:r>
      <w:r>
        <w:rPr>
          <w:rFonts w:ascii="Verdana"/>
          <w:i/>
          <w:spacing w:val="-8"/>
          <w:sz w:val="16"/>
        </w:rPr>
        <w:t> </w:t>
      </w:r>
      <w:r>
        <w:rPr>
          <w:rFonts w:ascii="Verdana"/>
          <w:i/>
          <w:spacing w:val="-2"/>
          <w:sz w:val="16"/>
        </w:rPr>
        <w:t>Glatzel</w:t>
      </w:r>
      <w:r>
        <w:rPr>
          <w:rFonts w:ascii="Verdana"/>
          <w:i/>
          <w:spacing w:val="-8"/>
          <w:sz w:val="16"/>
        </w:rPr>
        <w:t> </w:t>
      </w:r>
      <w:r>
        <w:rPr>
          <w:rFonts w:ascii="Verdana"/>
          <w:i/>
          <w:spacing w:val="-2"/>
          <w:sz w:val="16"/>
        </w:rPr>
        <w:t>v</w:t>
      </w:r>
      <w:r>
        <w:rPr>
          <w:rFonts w:ascii="Verdana"/>
          <w:i/>
          <w:spacing w:val="-8"/>
          <w:sz w:val="16"/>
        </w:rPr>
        <w:t> </w:t>
      </w:r>
      <w:r>
        <w:rPr>
          <w:rFonts w:ascii="Verdana"/>
          <w:i/>
          <w:spacing w:val="-2"/>
          <w:sz w:val="16"/>
        </w:rPr>
        <w:t>Freistaat</w:t>
      </w:r>
      <w:r>
        <w:rPr>
          <w:rFonts w:ascii="Verdana"/>
          <w:i/>
          <w:spacing w:val="-8"/>
          <w:sz w:val="16"/>
        </w:rPr>
        <w:t> </w:t>
      </w:r>
      <w:r>
        <w:rPr>
          <w:rFonts w:ascii="Verdana"/>
          <w:i/>
          <w:spacing w:val="-2"/>
          <w:sz w:val="16"/>
        </w:rPr>
        <w:t>Bayern</w:t>
      </w:r>
      <w:r>
        <w:rPr>
          <w:rFonts w:ascii="Verdana"/>
          <w:i/>
          <w:spacing w:val="-8"/>
          <w:sz w:val="16"/>
        </w:rPr>
        <w:t> </w:t>
      </w:r>
      <w:r>
        <w:rPr>
          <w:spacing w:val="-2"/>
          <w:sz w:val="16"/>
        </w:rPr>
        <w:t>EU:C:2014:350.</w:t>
      </w:r>
    </w:p>
    <w:p>
      <w:pPr>
        <w:pStyle w:val="ListParagraph"/>
        <w:numPr>
          <w:ilvl w:val="0"/>
          <w:numId w:val="6"/>
        </w:numPr>
        <w:tabs>
          <w:tab w:pos="567" w:val="left" w:leader="none"/>
        </w:tabs>
        <w:spacing w:line="200" w:lineRule="exact" w:before="0" w:after="0"/>
        <w:ind w:left="567" w:right="0" w:hanging="454"/>
        <w:jc w:val="left"/>
        <w:rPr>
          <w:sz w:val="16"/>
        </w:rPr>
      </w:pPr>
      <w:r>
        <w:rPr>
          <w:spacing w:val="-2"/>
          <w:sz w:val="16"/>
        </w:rPr>
        <w:t>Case</w:t>
      </w:r>
      <w:r>
        <w:rPr>
          <w:spacing w:val="-3"/>
          <w:sz w:val="16"/>
        </w:rPr>
        <w:t> </w:t>
      </w:r>
      <w:r>
        <w:rPr>
          <w:spacing w:val="-2"/>
          <w:sz w:val="16"/>
        </w:rPr>
        <w:t>C-176/12 </w:t>
      </w:r>
      <w:r>
        <w:rPr>
          <w:rFonts w:ascii="Verdana" w:hAnsi="Verdana"/>
          <w:i/>
          <w:spacing w:val="-2"/>
          <w:sz w:val="16"/>
        </w:rPr>
        <w:t>Association</w:t>
      </w:r>
      <w:r>
        <w:rPr>
          <w:rFonts w:ascii="Verdana" w:hAnsi="Verdana"/>
          <w:i/>
          <w:spacing w:val="-8"/>
          <w:sz w:val="16"/>
        </w:rPr>
        <w:t> </w:t>
      </w:r>
      <w:r>
        <w:rPr>
          <w:rFonts w:ascii="Verdana" w:hAnsi="Verdana"/>
          <w:i/>
          <w:spacing w:val="-2"/>
          <w:sz w:val="16"/>
        </w:rPr>
        <w:t>de</w:t>
      </w:r>
      <w:r>
        <w:rPr>
          <w:rFonts w:ascii="Verdana" w:hAnsi="Verdana"/>
          <w:i/>
          <w:spacing w:val="-8"/>
          <w:sz w:val="16"/>
        </w:rPr>
        <w:t> </w:t>
      </w:r>
      <w:r>
        <w:rPr>
          <w:rFonts w:ascii="Verdana" w:hAnsi="Verdana"/>
          <w:i/>
          <w:spacing w:val="-2"/>
          <w:sz w:val="16"/>
        </w:rPr>
        <w:t>médiation</w:t>
      </w:r>
      <w:r>
        <w:rPr>
          <w:rFonts w:ascii="Verdana" w:hAnsi="Verdana"/>
          <w:i/>
          <w:spacing w:val="-8"/>
          <w:sz w:val="16"/>
        </w:rPr>
        <w:t> </w:t>
      </w:r>
      <w:r>
        <w:rPr>
          <w:rFonts w:ascii="Verdana" w:hAnsi="Verdana"/>
          <w:i/>
          <w:spacing w:val="-2"/>
          <w:sz w:val="16"/>
        </w:rPr>
        <w:t>sociale</w:t>
      </w:r>
      <w:r>
        <w:rPr>
          <w:rFonts w:ascii="Verdana" w:hAnsi="Verdana"/>
          <w:i/>
          <w:spacing w:val="-8"/>
          <w:sz w:val="16"/>
        </w:rPr>
        <w:t> </w:t>
      </w:r>
      <w:r>
        <w:rPr>
          <w:rFonts w:ascii="Verdana" w:hAnsi="Verdana"/>
          <w:i/>
          <w:spacing w:val="-2"/>
          <w:sz w:val="16"/>
        </w:rPr>
        <w:t>v</w:t>
      </w:r>
      <w:r>
        <w:rPr>
          <w:rFonts w:ascii="Verdana" w:hAnsi="Verdana"/>
          <w:i/>
          <w:spacing w:val="-8"/>
          <w:sz w:val="16"/>
        </w:rPr>
        <w:t> </w:t>
      </w:r>
      <w:r>
        <w:rPr>
          <w:rFonts w:ascii="Verdana" w:hAnsi="Verdana"/>
          <w:i/>
          <w:spacing w:val="-2"/>
          <w:sz w:val="16"/>
        </w:rPr>
        <w:t>Union</w:t>
      </w:r>
      <w:r>
        <w:rPr>
          <w:rFonts w:ascii="Verdana" w:hAnsi="Verdana"/>
          <w:i/>
          <w:spacing w:val="-8"/>
          <w:sz w:val="16"/>
        </w:rPr>
        <w:t> </w:t>
      </w:r>
      <w:r>
        <w:rPr>
          <w:rFonts w:ascii="Verdana" w:hAnsi="Verdana"/>
          <w:i/>
          <w:spacing w:val="-2"/>
          <w:sz w:val="16"/>
        </w:rPr>
        <w:t>locale</w:t>
      </w:r>
      <w:r>
        <w:rPr>
          <w:rFonts w:ascii="Verdana" w:hAnsi="Verdana"/>
          <w:i/>
          <w:spacing w:val="-8"/>
          <w:sz w:val="16"/>
        </w:rPr>
        <w:t> </w:t>
      </w:r>
      <w:r>
        <w:rPr>
          <w:rFonts w:ascii="Verdana" w:hAnsi="Verdana"/>
          <w:i/>
          <w:spacing w:val="-2"/>
          <w:sz w:val="16"/>
        </w:rPr>
        <w:t>des</w:t>
      </w:r>
      <w:r>
        <w:rPr>
          <w:rFonts w:ascii="Verdana" w:hAnsi="Verdana"/>
          <w:i/>
          <w:spacing w:val="-8"/>
          <w:sz w:val="16"/>
        </w:rPr>
        <w:t> </w:t>
      </w:r>
      <w:r>
        <w:rPr>
          <w:rFonts w:ascii="Verdana" w:hAnsi="Verdana"/>
          <w:i/>
          <w:spacing w:val="-2"/>
          <w:sz w:val="16"/>
        </w:rPr>
        <w:t>syndicats</w:t>
      </w:r>
      <w:r>
        <w:rPr>
          <w:rFonts w:ascii="Verdana" w:hAnsi="Verdana"/>
          <w:i/>
          <w:spacing w:val="-8"/>
          <w:sz w:val="16"/>
        </w:rPr>
        <w:t> </w:t>
      </w:r>
      <w:r>
        <w:rPr>
          <w:rFonts w:ascii="Verdana" w:hAnsi="Verdana"/>
          <w:i/>
          <w:spacing w:val="-2"/>
          <w:sz w:val="16"/>
        </w:rPr>
        <w:t>CGT</w:t>
      </w:r>
      <w:r>
        <w:rPr>
          <w:rFonts w:ascii="Verdana" w:hAnsi="Verdana"/>
          <w:i/>
          <w:spacing w:val="-8"/>
          <w:sz w:val="16"/>
        </w:rPr>
        <w:t> </w:t>
      </w:r>
      <w:r>
        <w:rPr>
          <w:rFonts w:ascii="Verdana" w:hAnsi="Verdana"/>
          <w:i/>
          <w:spacing w:val="-2"/>
          <w:sz w:val="16"/>
        </w:rPr>
        <w:t>and</w:t>
      </w:r>
      <w:r>
        <w:rPr>
          <w:rFonts w:ascii="Verdana" w:hAnsi="Verdana"/>
          <w:i/>
          <w:spacing w:val="-8"/>
          <w:sz w:val="16"/>
        </w:rPr>
        <w:t> </w:t>
      </w:r>
      <w:r>
        <w:rPr>
          <w:rFonts w:ascii="Verdana" w:hAnsi="Verdana"/>
          <w:i/>
          <w:spacing w:val="-2"/>
          <w:sz w:val="16"/>
        </w:rPr>
        <w:t>Others</w:t>
      </w:r>
      <w:r>
        <w:rPr>
          <w:rFonts w:ascii="Verdana" w:hAnsi="Verdana"/>
          <w:i/>
          <w:spacing w:val="-8"/>
          <w:sz w:val="16"/>
        </w:rPr>
        <w:t> </w:t>
      </w:r>
      <w:r>
        <w:rPr>
          <w:spacing w:val="-2"/>
          <w:sz w:val="16"/>
        </w:rPr>
        <w:t>EU:C:2014:2, para </w:t>
      </w:r>
      <w:r>
        <w:rPr>
          <w:spacing w:val="-5"/>
          <w:sz w:val="16"/>
        </w:rPr>
        <w:t>46.</w:t>
      </w:r>
    </w:p>
    <w:p>
      <w:pPr>
        <w:pStyle w:val="ListParagraph"/>
        <w:numPr>
          <w:ilvl w:val="0"/>
          <w:numId w:val="6"/>
        </w:numPr>
        <w:tabs>
          <w:tab w:pos="567" w:val="left" w:leader="none"/>
        </w:tabs>
        <w:spacing w:line="200" w:lineRule="exact" w:before="0" w:after="0"/>
        <w:ind w:left="567" w:right="0" w:hanging="454"/>
        <w:jc w:val="left"/>
        <w:rPr>
          <w:rFonts w:ascii="Arial"/>
          <w:sz w:val="16"/>
        </w:rPr>
      </w:pPr>
      <w:r>
        <w:rPr>
          <w:sz w:val="16"/>
        </w:rPr>
        <w:t>Lord</w:t>
      </w:r>
      <w:r>
        <w:rPr>
          <w:spacing w:val="8"/>
          <w:sz w:val="16"/>
        </w:rPr>
        <w:t> </w:t>
      </w:r>
      <w:r>
        <w:rPr>
          <w:sz w:val="16"/>
        </w:rPr>
        <w:t>Goldsmith,</w:t>
      </w:r>
      <w:r>
        <w:rPr>
          <w:spacing w:val="8"/>
          <w:sz w:val="16"/>
        </w:rPr>
        <w:t> </w:t>
      </w:r>
      <w:r>
        <w:rPr>
          <w:sz w:val="16"/>
        </w:rPr>
        <w:t>A</w:t>
      </w:r>
      <w:r>
        <w:rPr>
          <w:spacing w:val="8"/>
          <w:sz w:val="16"/>
        </w:rPr>
        <w:t> </w:t>
      </w:r>
      <w:r>
        <w:rPr>
          <w:sz w:val="16"/>
        </w:rPr>
        <w:t>Charter</w:t>
      </w:r>
      <w:r>
        <w:rPr>
          <w:spacing w:val="8"/>
          <w:sz w:val="16"/>
        </w:rPr>
        <w:t> </w:t>
      </w:r>
      <w:r>
        <w:rPr>
          <w:sz w:val="16"/>
        </w:rPr>
        <w:t>of</w:t>
      </w:r>
      <w:r>
        <w:rPr>
          <w:spacing w:val="8"/>
          <w:sz w:val="16"/>
        </w:rPr>
        <w:t> </w:t>
      </w:r>
      <w:r>
        <w:rPr>
          <w:sz w:val="16"/>
        </w:rPr>
        <w:t>Rights,</w:t>
      </w:r>
      <w:r>
        <w:rPr>
          <w:spacing w:val="8"/>
          <w:sz w:val="16"/>
        </w:rPr>
        <w:t> </w:t>
      </w:r>
      <w:r>
        <w:rPr>
          <w:sz w:val="16"/>
        </w:rPr>
        <w:t>Freedoms</w:t>
      </w:r>
      <w:r>
        <w:rPr>
          <w:spacing w:val="8"/>
          <w:sz w:val="16"/>
        </w:rPr>
        <w:t> </w:t>
      </w:r>
      <w:r>
        <w:rPr>
          <w:sz w:val="16"/>
        </w:rPr>
        <w:t>and</w:t>
      </w:r>
      <w:r>
        <w:rPr>
          <w:spacing w:val="8"/>
          <w:sz w:val="16"/>
        </w:rPr>
        <w:t> </w:t>
      </w:r>
      <w:r>
        <w:rPr>
          <w:sz w:val="16"/>
        </w:rPr>
        <w:t>Principles,</w:t>
      </w:r>
      <w:r>
        <w:rPr>
          <w:spacing w:val="8"/>
          <w:sz w:val="16"/>
        </w:rPr>
        <w:t> </w:t>
      </w:r>
      <w:r>
        <w:rPr>
          <w:sz w:val="16"/>
        </w:rPr>
        <w:t>(2001)</w:t>
      </w:r>
      <w:r>
        <w:rPr>
          <w:spacing w:val="9"/>
          <w:sz w:val="16"/>
        </w:rPr>
        <w:t> </w:t>
      </w:r>
      <w:r>
        <w:rPr>
          <w:sz w:val="16"/>
        </w:rPr>
        <w:t>38</w:t>
      </w:r>
      <w:r>
        <w:rPr>
          <w:spacing w:val="8"/>
          <w:sz w:val="16"/>
        </w:rPr>
        <w:t> </w:t>
      </w:r>
      <w:r>
        <w:rPr>
          <w:sz w:val="16"/>
        </w:rPr>
        <w:t>Common</w:t>
      </w:r>
      <w:r>
        <w:rPr>
          <w:spacing w:val="8"/>
          <w:sz w:val="16"/>
        </w:rPr>
        <w:t> </w:t>
      </w:r>
      <w:r>
        <w:rPr>
          <w:sz w:val="16"/>
        </w:rPr>
        <w:t>Market</w:t>
      </w:r>
      <w:r>
        <w:rPr>
          <w:spacing w:val="8"/>
          <w:sz w:val="16"/>
        </w:rPr>
        <w:t> </w:t>
      </w:r>
      <w:r>
        <w:rPr>
          <w:sz w:val="16"/>
        </w:rPr>
        <w:t>Law</w:t>
      </w:r>
      <w:r>
        <w:rPr>
          <w:spacing w:val="8"/>
          <w:sz w:val="16"/>
        </w:rPr>
        <w:t> </w:t>
      </w:r>
      <w:r>
        <w:rPr>
          <w:sz w:val="16"/>
        </w:rPr>
        <w:t>Review,</w:t>
      </w:r>
      <w:r>
        <w:rPr>
          <w:spacing w:val="8"/>
          <w:sz w:val="16"/>
        </w:rPr>
        <w:t> </w:t>
      </w:r>
      <w:r>
        <w:rPr>
          <w:spacing w:val="-2"/>
          <w:sz w:val="16"/>
        </w:rPr>
        <w:t>1201.</w:t>
      </w:r>
    </w:p>
    <w:p>
      <w:pPr>
        <w:pStyle w:val="ListParagraph"/>
        <w:numPr>
          <w:ilvl w:val="0"/>
          <w:numId w:val="6"/>
        </w:numPr>
        <w:tabs>
          <w:tab w:pos="567" w:val="left" w:leader="none"/>
        </w:tabs>
        <w:spacing w:line="194" w:lineRule="auto" w:before="10" w:after="0"/>
        <w:ind w:left="567" w:right="460" w:hanging="454"/>
        <w:jc w:val="left"/>
        <w:rPr>
          <w:sz w:val="16"/>
        </w:rPr>
      </w:pPr>
      <w:r>
        <w:rPr>
          <w:rFonts w:ascii="Arial"/>
          <w:w w:val="110"/>
          <w:sz w:val="16"/>
        </w:rPr>
        <w:t>HM Government, Charter of Fundamental Rights of the EU Right by Right Analysis, available at: </w:t>
      </w:r>
      <w:hyperlink r:id="rId34">
        <w:r>
          <w:rPr>
            <w:rFonts w:ascii="Arial"/>
            <w:color w:val="77328A"/>
            <w:w w:val="110"/>
            <w:sz w:val="16"/>
            <w:u w:val="single" w:color="77328A"/>
          </w:rPr>
          <w:t>https://assets.</w:t>
        </w:r>
      </w:hyperlink>
      <w:r>
        <w:rPr>
          <w:rFonts w:ascii="Arial"/>
          <w:color w:val="77328A"/>
          <w:w w:val="110"/>
          <w:sz w:val="16"/>
          <w:u w:val="none"/>
        </w:rPr>
        <w:t> </w:t>
      </w:r>
      <w:hyperlink r:id="rId34">
        <w:r>
          <w:rPr>
            <w:color w:val="77328A"/>
            <w:spacing w:val="-2"/>
            <w:sz w:val="16"/>
            <w:u w:val="single" w:color="77328A"/>
          </w:rPr>
          <w:t>publishing.service.gov.uk/media/5a8219f6e5274a2e87dc1260/05122017_Charter_Analysis_FINAL_VERSION.pdf</w:t>
        </w:r>
      </w:hyperlink>
      <w:r>
        <w:rPr>
          <w:color w:val="77328A"/>
          <w:spacing w:val="40"/>
          <w:w w:val="110"/>
          <w:sz w:val="16"/>
          <w:u w:val="none"/>
        </w:rPr>
        <w:t> </w:t>
      </w:r>
      <w:r>
        <w:rPr>
          <w:w w:val="110"/>
          <w:sz w:val="16"/>
          <w:u w:val="none"/>
        </w:rPr>
        <w:t>(see p 53 especially).</w:t>
      </w:r>
    </w:p>
    <w:p>
      <w:pPr>
        <w:pStyle w:val="ListParagraph"/>
        <w:numPr>
          <w:ilvl w:val="0"/>
          <w:numId w:val="6"/>
        </w:numPr>
        <w:tabs>
          <w:tab w:pos="567" w:val="left" w:leader="none"/>
        </w:tabs>
        <w:spacing w:line="215" w:lineRule="exact" w:before="0" w:after="0"/>
        <w:ind w:left="567" w:right="0" w:hanging="454"/>
        <w:jc w:val="left"/>
        <w:rPr>
          <w:sz w:val="16"/>
        </w:rPr>
      </w:pPr>
      <w:r>
        <w:rPr>
          <w:spacing w:val="-2"/>
          <w:sz w:val="16"/>
        </w:rPr>
        <w:t>Joined</w:t>
      </w:r>
      <w:r>
        <w:rPr>
          <w:spacing w:val="-5"/>
          <w:sz w:val="16"/>
        </w:rPr>
        <w:t> </w:t>
      </w:r>
      <w:r>
        <w:rPr>
          <w:spacing w:val="-2"/>
          <w:sz w:val="16"/>
        </w:rPr>
        <w:t>Cases</w:t>
      </w:r>
      <w:r>
        <w:rPr>
          <w:spacing w:val="-4"/>
          <w:sz w:val="16"/>
        </w:rPr>
        <w:t> </w:t>
      </w:r>
      <w:r>
        <w:rPr>
          <w:spacing w:val="-2"/>
          <w:sz w:val="16"/>
        </w:rPr>
        <w:t>C-569/16</w:t>
      </w:r>
      <w:r>
        <w:rPr>
          <w:spacing w:val="-4"/>
          <w:sz w:val="16"/>
        </w:rPr>
        <w:t> </w:t>
      </w:r>
      <w:r>
        <w:rPr>
          <w:spacing w:val="-2"/>
          <w:sz w:val="16"/>
        </w:rPr>
        <w:t>and</w:t>
      </w:r>
      <w:r>
        <w:rPr>
          <w:spacing w:val="-5"/>
          <w:sz w:val="16"/>
        </w:rPr>
        <w:t> </w:t>
      </w:r>
      <w:r>
        <w:rPr>
          <w:spacing w:val="-2"/>
          <w:sz w:val="16"/>
        </w:rPr>
        <w:t>C-570/16</w:t>
      </w:r>
      <w:r>
        <w:rPr>
          <w:spacing w:val="-4"/>
          <w:sz w:val="16"/>
        </w:rPr>
        <w:t> </w:t>
      </w:r>
      <w:r>
        <w:rPr>
          <w:rFonts w:ascii="Verdana" w:hAnsi="Verdana"/>
          <w:i/>
          <w:spacing w:val="-2"/>
          <w:sz w:val="16"/>
        </w:rPr>
        <w:t>Bauer</w:t>
      </w:r>
      <w:r>
        <w:rPr>
          <w:rFonts w:ascii="Verdana" w:hAnsi="Verdana"/>
          <w:i/>
          <w:spacing w:val="-10"/>
          <w:sz w:val="16"/>
        </w:rPr>
        <w:t> </w:t>
      </w:r>
      <w:r>
        <w:rPr>
          <w:rFonts w:ascii="Verdana" w:hAnsi="Verdana"/>
          <w:i/>
          <w:spacing w:val="-2"/>
          <w:sz w:val="16"/>
        </w:rPr>
        <w:t>and</w:t>
      </w:r>
      <w:r>
        <w:rPr>
          <w:rFonts w:ascii="Verdana" w:hAnsi="Verdana"/>
          <w:i/>
          <w:spacing w:val="-10"/>
          <w:sz w:val="16"/>
        </w:rPr>
        <w:t> </w:t>
      </w:r>
      <w:r>
        <w:rPr>
          <w:rFonts w:ascii="Verdana" w:hAnsi="Verdana"/>
          <w:i/>
          <w:spacing w:val="-2"/>
          <w:sz w:val="16"/>
        </w:rPr>
        <w:t>Broßonn</w:t>
      </w:r>
      <w:r>
        <w:rPr>
          <w:rFonts w:ascii="Verdana" w:hAnsi="Verdana"/>
          <w:i/>
          <w:spacing w:val="-11"/>
          <w:sz w:val="16"/>
        </w:rPr>
        <w:t> </w:t>
      </w:r>
      <w:r>
        <w:rPr>
          <w:spacing w:val="-2"/>
          <w:sz w:val="16"/>
        </w:rPr>
        <w:t>ECLI:EU:C:2018:871.</w:t>
      </w:r>
    </w:p>
    <w:p>
      <w:pPr>
        <w:spacing w:after="0" w:line="215" w:lineRule="exact"/>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310" w:lineRule="exact" w:before="49"/>
        <w:ind w:right="75"/>
      </w:pPr>
      <w:r>
        <w:rPr>
          <w:w w:val="110"/>
        </w:rPr>
        <w:t>The case of </w:t>
      </w:r>
      <w:r>
        <w:rPr>
          <w:rFonts w:ascii="Verdana"/>
          <w:i/>
          <w:w w:val="110"/>
        </w:rPr>
        <w:t>Glatzel</w:t>
      </w:r>
      <w:r>
        <w:rPr>
          <w:rFonts w:ascii="Verdana"/>
          <w:i/>
          <w:spacing w:val="-20"/>
          <w:w w:val="110"/>
        </w:rPr>
        <w:t> </w:t>
      </w:r>
      <w:r>
        <w:rPr>
          <w:w w:val="110"/>
        </w:rPr>
        <w:t>mentioned above provides an instructive example. Mr Glatzel had lost his driving licence (allowing him to drive both cars and heavy goods vehicles, viz. HGVs) following a charge of driving under</w:t>
      </w:r>
      <w:r>
        <w:rPr>
          <w:spacing w:val="80"/>
          <w:w w:val="110"/>
        </w:rPr>
        <w:t> </w:t>
      </w:r>
      <w:r>
        <w:rPr>
          <w:rFonts w:ascii="Lucida Sans Unicode"/>
          <w:spacing w:val="-2"/>
          <w:w w:val="110"/>
        </w:rPr>
        <w:t>the</w:t>
      </w:r>
      <w:r>
        <w:rPr>
          <w:rFonts w:ascii="Lucida Sans Unicode"/>
          <w:spacing w:val="-19"/>
          <w:w w:val="110"/>
        </w:rPr>
        <w:t> </w:t>
      </w:r>
      <w:r>
        <w:rPr>
          <w:rFonts w:ascii="Lucida Sans Unicode"/>
          <w:spacing w:val="-2"/>
          <w:w w:val="110"/>
        </w:rPr>
        <w:t>influence</w:t>
      </w:r>
      <w:r>
        <w:rPr>
          <w:rFonts w:ascii="Lucida Sans Unicode"/>
          <w:spacing w:val="-19"/>
          <w:w w:val="110"/>
        </w:rPr>
        <w:t> </w:t>
      </w:r>
      <w:r>
        <w:rPr>
          <w:rFonts w:ascii="Lucida Sans Unicode"/>
          <w:spacing w:val="-2"/>
          <w:w w:val="110"/>
        </w:rPr>
        <w:t>of</w:t>
      </w:r>
      <w:r>
        <w:rPr>
          <w:rFonts w:ascii="Lucida Sans Unicode"/>
          <w:spacing w:val="-19"/>
          <w:w w:val="110"/>
        </w:rPr>
        <w:t> </w:t>
      </w:r>
      <w:r>
        <w:rPr>
          <w:rFonts w:ascii="Lucida Sans Unicode"/>
          <w:spacing w:val="-2"/>
          <w:w w:val="110"/>
        </w:rPr>
        <w:t>alcohol.</w:t>
      </w:r>
      <w:r>
        <w:rPr>
          <w:rFonts w:ascii="Lucida Sans Unicode"/>
          <w:spacing w:val="-19"/>
          <w:w w:val="110"/>
        </w:rPr>
        <w:t> </w:t>
      </w:r>
      <w:r>
        <w:rPr>
          <w:rFonts w:ascii="Lucida Sans Unicode"/>
          <w:spacing w:val="-2"/>
          <w:w w:val="110"/>
        </w:rPr>
        <w:t>After</w:t>
      </w:r>
      <w:r>
        <w:rPr>
          <w:rFonts w:ascii="Lucida Sans Unicode"/>
          <w:spacing w:val="-19"/>
          <w:w w:val="110"/>
        </w:rPr>
        <w:t> </w:t>
      </w:r>
      <w:r>
        <w:rPr>
          <w:rFonts w:ascii="Lucida Sans Unicode"/>
          <w:spacing w:val="-2"/>
          <w:w w:val="110"/>
        </w:rPr>
        <w:t>a </w:t>
      </w:r>
      <w:r>
        <w:rPr>
          <w:w w:val="110"/>
        </w:rPr>
        <w:t>certain period, he was able to apply</w:t>
      </w:r>
      <w:r>
        <w:rPr>
          <w:spacing w:val="40"/>
          <w:w w:val="110"/>
        </w:rPr>
        <w:t> </w:t>
      </w:r>
      <w:r>
        <w:rPr>
          <w:w w:val="110"/>
        </w:rPr>
        <w:t>for a new driving licence, which he was granted with the exception of a licence to drive HGVs. The refusal to grant him a HGV licence had its </w:t>
      </w:r>
      <w:r>
        <w:rPr>
          <w:w w:val="110"/>
        </w:rPr>
        <w:t>origin in the German legislation transposing </w:t>
      </w:r>
      <w:r>
        <w:rPr>
          <w:rFonts w:ascii="Lucida Sans Unicode"/>
        </w:rPr>
        <w:t>Directive 2006/126/EC which </w:t>
      </w:r>
      <w:r>
        <w:rPr>
          <w:w w:val="110"/>
        </w:rPr>
        <w:t>stipulates minimum levels of visual acuity. Mr Glatzel, who suffered from</w:t>
      </w:r>
      <w:r>
        <w:rPr>
          <w:spacing w:val="40"/>
          <w:w w:val="110"/>
        </w:rPr>
        <w:t> </w:t>
      </w:r>
      <w:r>
        <w:rPr>
          <w:w w:val="110"/>
        </w:rPr>
        <w:t>a functional loss of vision in one eye, did not meet the conditions set out</w:t>
      </w:r>
    </w:p>
    <w:p>
      <w:pPr>
        <w:pStyle w:val="BodyText"/>
        <w:spacing w:line="310" w:lineRule="exact"/>
        <w:ind w:right="158"/>
      </w:pPr>
      <w:r>
        <w:rPr>
          <w:w w:val="110"/>
        </w:rPr>
        <w:t>in the Directive. He complained that this was in violation, amongst </w:t>
      </w:r>
      <w:r>
        <w:rPr>
          <w:w w:val="110"/>
        </w:rPr>
        <w:t>others, </w:t>
      </w:r>
      <w:r>
        <w:rPr>
          <w:rFonts w:ascii="Lucida Sans Unicode" w:hAnsi="Lucida Sans Unicode"/>
          <w:w w:val="110"/>
        </w:rPr>
        <w:t>of</w:t>
      </w:r>
      <w:r>
        <w:rPr>
          <w:rFonts w:ascii="Lucida Sans Unicode" w:hAnsi="Lucida Sans Unicode"/>
          <w:spacing w:val="-21"/>
          <w:w w:val="110"/>
        </w:rPr>
        <w:t> </w:t>
      </w:r>
      <w:r>
        <w:rPr>
          <w:rFonts w:ascii="Lucida Sans Unicode" w:hAnsi="Lucida Sans Unicode"/>
          <w:w w:val="110"/>
        </w:rPr>
        <w:t>Article</w:t>
      </w:r>
      <w:r>
        <w:rPr>
          <w:rFonts w:ascii="Lucida Sans Unicode" w:hAnsi="Lucida Sans Unicode"/>
          <w:spacing w:val="-21"/>
          <w:w w:val="110"/>
        </w:rPr>
        <w:t> </w:t>
      </w:r>
      <w:r>
        <w:rPr>
          <w:rFonts w:ascii="Lucida Sans Unicode" w:hAnsi="Lucida Sans Unicode"/>
          <w:w w:val="110"/>
        </w:rPr>
        <w:t>26</w:t>
      </w:r>
      <w:r>
        <w:rPr>
          <w:rFonts w:ascii="Lucida Sans Unicode" w:hAnsi="Lucida Sans Unicode"/>
          <w:spacing w:val="-21"/>
          <w:w w:val="110"/>
        </w:rPr>
        <w:t> </w:t>
      </w:r>
      <w:r>
        <w:rPr>
          <w:rFonts w:ascii="Lucida Sans Unicode" w:hAnsi="Lucida Sans Unicode"/>
          <w:w w:val="110"/>
        </w:rPr>
        <w:t>CFR,</w:t>
      </w:r>
      <w:r>
        <w:rPr>
          <w:rFonts w:ascii="Lucida Sans Unicode" w:hAnsi="Lucida Sans Unicode"/>
          <w:spacing w:val="-21"/>
          <w:w w:val="110"/>
        </w:rPr>
        <w:t> </w:t>
      </w:r>
      <w:r>
        <w:rPr>
          <w:rFonts w:ascii="Lucida Sans Unicode" w:hAnsi="Lucida Sans Unicode"/>
          <w:w w:val="110"/>
        </w:rPr>
        <w:t>which</w:t>
      </w:r>
      <w:r>
        <w:rPr>
          <w:rFonts w:ascii="Lucida Sans Unicode" w:hAnsi="Lucida Sans Unicode"/>
          <w:spacing w:val="-21"/>
          <w:w w:val="110"/>
        </w:rPr>
        <w:t> </w:t>
      </w:r>
      <w:r>
        <w:rPr>
          <w:rFonts w:ascii="Lucida Sans Unicode" w:hAnsi="Lucida Sans Unicode"/>
          <w:w w:val="110"/>
        </w:rPr>
        <w:t>states</w:t>
      </w:r>
      <w:r>
        <w:rPr>
          <w:rFonts w:ascii="Lucida Sans Unicode" w:hAnsi="Lucida Sans Unicode"/>
          <w:spacing w:val="-21"/>
          <w:w w:val="110"/>
        </w:rPr>
        <w:t> </w:t>
      </w:r>
      <w:r>
        <w:rPr>
          <w:rFonts w:ascii="Lucida Sans Unicode" w:hAnsi="Lucida Sans Unicode"/>
          <w:w w:val="110"/>
        </w:rPr>
        <w:t>that </w:t>
      </w:r>
      <w:r>
        <w:rPr>
          <w:w w:val="110"/>
        </w:rPr>
        <w:t>the ‘Union recognises and respects the right of persons with disabilities</w:t>
      </w:r>
      <w:r>
        <w:rPr>
          <w:spacing w:val="80"/>
          <w:w w:val="110"/>
        </w:rPr>
        <w:t> </w:t>
      </w:r>
      <w:r>
        <w:rPr>
          <w:rFonts w:ascii="Lucida Sans Unicode" w:hAnsi="Lucida Sans Unicode"/>
        </w:rPr>
        <w:t>to benefit from measures designed</w:t>
      </w:r>
      <w:r>
        <w:rPr>
          <w:rFonts w:ascii="Lucida Sans Unicode" w:hAnsi="Lucida Sans Unicode"/>
          <w:spacing w:val="80"/>
          <w:w w:val="110"/>
        </w:rPr>
        <w:t> </w:t>
      </w:r>
      <w:r>
        <w:rPr>
          <w:w w:val="110"/>
        </w:rPr>
        <w:t>to ensure their independence,</w:t>
      </w:r>
    </w:p>
    <w:p>
      <w:pPr>
        <w:pStyle w:val="BodyText"/>
        <w:spacing w:line="310" w:lineRule="exact"/>
        <w:ind w:right="38"/>
      </w:pPr>
      <w:r>
        <w:rPr>
          <w:w w:val="115"/>
        </w:rPr>
        <w:t>social and occupational integration and participation in the life of the </w:t>
      </w:r>
      <w:r>
        <w:rPr>
          <w:w w:val="110"/>
        </w:rPr>
        <w:t>community.’</w:t>
      </w:r>
      <w:r>
        <w:rPr>
          <w:spacing w:val="-7"/>
          <w:w w:val="110"/>
        </w:rPr>
        <w:t> </w:t>
      </w:r>
      <w:r>
        <w:rPr>
          <w:w w:val="110"/>
        </w:rPr>
        <w:t>The</w:t>
      </w:r>
      <w:r>
        <w:rPr>
          <w:spacing w:val="-7"/>
          <w:w w:val="110"/>
        </w:rPr>
        <w:t> </w:t>
      </w:r>
      <w:r>
        <w:rPr>
          <w:w w:val="110"/>
        </w:rPr>
        <w:t>CJEU</w:t>
      </w:r>
      <w:r>
        <w:rPr>
          <w:spacing w:val="-7"/>
          <w:w w:val="110"/>
        </w:rPr>
        <w:t> </w:t>
      </w:r>
      <w:r>
        <w:rPr>
          <w:w w:val="110"/>
        </w:rPr>
        <w:t>considered</w:t>
      </w:r>
      <w:r>
        <w:rPr>
          <w:spacing w:val="-7"/>
          <w:w w:val="110"/>
        </w:rPr>
        <w:t> </w:t>
      </w:r>
      <w:r>
        <w:rPr>
          <w:w w:val="110"/>
        </w:rPr>
        <w:t>the </w:t>
      </w:r>
      <w:r>
        <w:rPr>
          <w:w w:val="115"/>
        </w:rPr>
        <w:t>Directive to be implementing Article </w:t>
      </w:r>
      <w:r>
        <w:rPr>
          <w:rFonts w:ascii="Lucida Sans Unicode" w:hAnsi="Lucida Sans Unicode"/>
          <w:spacing w:val="-2"/>
          <w:w w:val="110"/>
        </w:rPr>
        <w:t>26</w:t>
      </w:r>
      <w:r>
        <w:rPr>
          <w:rFonts w:ascii="Lucida Sans Unicode" w:hAnsi="Lucida Sans Unicode"/>
          <w:spacing w:val="-19"/>
          <w:w w:val="110"/>
        </w:rPr>
        <w:t> </w:t>
      </w:r>
      <w:r>
        <w:rPr>
          <w:rFonts w:ascii="Lucida Sans Unicode" w:hAnsi="Lucida Sans Unicode"/>
          <w:spacing w:val="-2"/>
          <w:w w:val="110"/>
        </w:rPr>
        <w:t>CFR</w:t>
      </w:r>
      <w:r>
        <w:rPr>
          <w:rFonts w:ascii="Lucida Sans Unicode" w:hAnsi="Lucida Sans Unicode"/>
          <w:spacing w:val="-19"/>
          <w:w w:val="110"/>
        </w:rPr>
        <w:t> </w:t>
      </w:r>
      <w:r>
        <w:rPr>
          <w:rFonts w:ascii="Lucida Sans Unicode" w:hAnsi="Lucida Sans Unicode"/>
          <w:spacing w:val="-2"/>
          <w:w w:val="110"/>
        </w:rPr>
        <w:t>as</w:t>
      </w:r>
      <w:r>
        <w:rPr>
          <w:rFonts w:ascii="Lucida Sans Unicode" w:hAnsi="Lucida Sans Unicode"/>
          <w:spacing w:val="-19"/>
          <w:w w:val="110"/>
        </w:rPr>
        <w:t> </w:t>
      </w:r>
      <w:r>
        <w:rPr>
          <w:rFonts w:ascii="Lucida Sans Unicode" w:hAnsi="Lucida Sans Unicode"/>
          <w:spacing w:val="-2"/>
          <w:w w:val="110"/>
        </w:rPr>
        <w:t>the</w:t>
      </w:r>
      <w:r>
        <w:rPr>
          <w:rFonts w:ascii="Lucida Sans Unicode" w:hAnsi="Lucida Sans Unicode"/>
          <w:spacing w:val="-19"/>
          <w:w w:val="110"/>
        </w:rPr>
        <w:t> </w:t>
      </w:r>
      <w:r>
        <w:rPr>
          <w:rFonts w:ascii="Lucida Sans Unicode" w:hAnsi="Lucida Sans Unicode"/>
          <w:spacing w:val="-2"/>
          <w:w w:val="110"/>
        </w:rPr>
        <w:t>Directive’s</w:t>
      </w:r>
      <w:r>
        <w:rPr>
          <w:rFonts w:ascii="Lucida Sans Unicode" w:hAnsi="Lucida Sans Unicode"/>
          <w:spacing w:val="-19"/>
          <w:w w:val="110"/>
        </w:rPr>
        <w:t> </w:t>
      </w:r>
      <w:r>
        <w:rPr>
          <w:rFonts w:ascii="Lucida Sans Unicode" w:hAnsi="Lucida Sans Unicode"/>
          <w:spacing w:val="-2"/>
          <w:w w:val="110"/>
        </w:rPr>
        <w:t>preamble expressly</w:t>
      </w:r>
      <w:r>
        <w:rPr>
          <w:rFonts w:ascii="Lucida Sans Unicode" w:hAnsi="Lucida Sans Unicode"/>
          <w:spacing w:val="-17"/>
          <w:w w:val="110"/>
        </w:rPr>
        <w:t> </w:t>
      </w:r>
      <w:r>
        <w:rPr>
          <w:rFonts w:ascii="Lucida Sans Unicode" w:hAnsi="Lucida Sans Unicode"/>
          <w:spacing w:val="-2"/>
          <w:w w:val="110"/>
        </w:rPr>
        <w:t>said</w:t>
      </w:r>
      <w:r>
        <w:rPr>
          <w:rFonts w:ascii="Lucida Sans Unicode" w:hAnsi="Lucida Sans Unicode"/>
          <w:spacing w:val="-17"/>
          <w:w w:val="110"/>
        </w:rPr>
        <w:t> </w:t>
      </w:r>
      <w:r>
        <w:rPr>
          <w:rFonts w:ascii="Lucida Sans Unicode" w:hAnsi="Lucida Sans Unicode"/>
          <w:spacing w:val="-2"/>
          <w:w w:val="110"/>
        </w:rPr>
        <w:t>that</w:t>
      </w:r>
      <w:r>
        <w:rPr>
          <w:rFonts w:ascii="Lucida Sans Unicode" w:hAnsi="Lucida Sans Unicode"/>
          <w:spacing w:val="-17"/>
          <w:w w:val="110"/>
        </w:rPr>
        <w:t> </w:t>
      </w:r>
      <w:r>
        <w:rPr>
          <w:rFonts w:ascii="Lucida Sans Unicode" w:hAnsi="Lucida Sans Unicode"/>
          <w:spacing w:val="-2"/>
          <w:w w:val="110"/>
        </w:rPr>
        <w:t>‘[s]pecific </w:t>
      </w:r>
      <w:r>
        <w:rPr>
          <w:w w:val="115"/>
        </w:rPr>
        <w:t>provisions should be adopted to make</w:t>
      </w:r>
      <w:r>
        <w:rPr>
          <w:spacing w:val="-4"/>
          <w:w w:val="115"/>
        </w:rPr>
        <w:t> </w:t>
      </w:r>
      <w:r>
        <w:rPr>
          <w:w w:val="115"/>
        </w:rPr>
        <w:t>it</w:t>
      </w:r>
      <w:r>
        <w:rPr>
          <w:spacing w:val="-4"/>
          <w:w w:val="115"/>
        </w:rPr>
        <w:t> </w:t>
      </w:r>
      <w:r>
        <w:rPr>
          <w:w w:val="115"/>
        </w:rPr>
        <w:t>easier</w:t>
      </w:r>
      <w:r>
        <w:rPr>
          <w:spacing w:val="-4"/>
          <w:w w:val="115"/>
        </w:rPr>
        <w:t> </w:t>
      </w:r>
      <w:r>
        <w:rPr>
          <w:w w:val="115"/>
        </w:rPr>
        <w:t>for</w:t>
      </w:r>
      <w:r>
        <w:rPr>
          <w:spacing w:val="-4"/>
          <w:w w:val="115"/>
        </w:rPr>
        <w:t> </w:t>
      </w:r>
      <w:r>
        <w:rPr>
          <w:w w:val="115"/>
        </w:rPr>
        <w:t>physically</w:t>
      </w:r>
      <w:r>
        <w:rPr>
          <w:spacing w:val="-4"/>
          <w:w w:val="115"/>
        </w:rPr>
        <w:t> </w:t>
      </w:r>
      <w:r>
        <w:rPr>
          <w:w w:val="115"/>
        </w:rPr>
        <w:t>disabled persons</w:t>
      </w:r>
      <w:r>
        <w:rPr>
          <w:spacing w:val="-20"/>
          <w:w w:val="115"/>
        </w:rPr>
        <w:t> </w:t>
      </w:r>
      <w:r>
        <w:rPr>
          <w:w w:val="115"/>
        </w:rPr>
        <w:t>to</w:t>
      </w:r>
      <w:r>
        <w:rPr>
          <w:spacing w:val="-19"/>
          <w:w w:val="115"/>
        </w:rPr>
        <w:t> </w:t>
      </w:r>
      <w:r>
        <w:rPr>
          <w:w w:val="115"/>
        </w:rPr>
        <w:t>drive</w:t>
      </w:r>
      <w:r>
        <w:rPr>
          <w:spacing w:val="-19"/>
          <w:w w:val="115"/>
        </w:rPr>
        <w:t> </w:t>
      </w:r>
      <w:r>
        <w:rPr>
          <w:w w:val="115"/>
        </w:rPr>
        <w:t>vehicles’.</w:t>
      </w:r>
      <w:r>
        <w:rPr>
          <w:rFonts w:ascii="Lucida Sans Unicode" w:hAnsi="Lucida Sans Unicode"/>
          <w:w w:val="115"/>
          <w:vertAlign w:val="superscript"/>
        </w:rPr>
        <w:t>22</w:t>
      </w:r>
      <w:r>
        <w:rPr>
          <w:rFonts w:ascii="Lucida Sans Unicode" w:hAnsi="Lucida Sans Unicode"/>
          <w:spacing w:val="-22"/>
          <w:w w:val="115"/>
          <w:vertAlign w:val="baseline"/>
        </w:rPr>
        <w:t> </w:t>
      </w:r>
      <w:r>
        <w:rPr>
          <w:w w:val="115"/>
          <w:vertAlign w:val="baseline"/>
        </w:rPr>
        <w:t>Hence</w:t>
      </w:r>
    </w:p>
    <w:p>
      <w:pPr>
        <w:pStyle w:val="BodyText"/>
        <w:spacing w:line="252" w:lineRule="auto" w:before="23"/>
        <w:ind w:right="435"/>
        <w:jc w:val="both"/>
        <w:rPr>
          <w:rFonts w:ascii="Lucida Sans Unicode"/>
        </w:rPr>
      </w:pPr>
      <w:r>
        <w:rPr>
          <w:w w:val="110"/>
        </w:rPr>
        <w:t>the Court was, at least in theory, </w:t>
      </w:r>
      <w:r>
        <w:rPr>
          <w:w w:val="110"/>
        </w:rPr>
        <w:t>in a position to rule on the legality of </w:t>
      </w:r>
      <w:r>
        <w:rPr>
          <w:rFonts w:ascii="Lucida Sans Unicode"/>
        </w:rPr>
        <w:t>the Directive in light of Article 26</w:t>
      </w:r>
    </w:p>
    <w:p>
      <w:pPr>
        <w:pStyle w:val="BodyText"/>
        <w:spacing w:line="237" w:lineRule="exact"/>
        <w:jc w:val="both"/>
      </w:pPr>
      <w:r>
        <w:rPr>
          <w:w w:val="110"/>
        </w:rPr>
        <w:t>CFR.</w:t>
      </w:r>
      <w:r>
        <w:rPr>
          <w:spacing w:val="-16"/>
          <w:w w:val="110"/>
        </w:rPr>
        <w:t> </w:t>
      </w:r>
      <w:r>
        <w:rPr>
          <w:w w:val="110"/>
        </w:rPr>
        <w:t>The</w:t>
      </w:r>
      <w:r>
        <w:rPr>
          <w:spacing w:val="-15"/>
          <w:w w:val="110"/>
        </w:rPr>
        <w:t> </w:t>
      </w:r>
      <w:r>
        <w:rPr>
          <w:w w:val="110"/>
        </w:rPr>
        <w:t>CJEU,</w:t>
      </w:r>
      <w:r>
        <w:rPr>
          <w:spacing w:val="-15"/>
          <w:w w:val="110"/>
        </w:rPr>
        <w:t> </w:t>
      </w:r>
      <w:r>
        <w:rPr>
          <w:w w:val="110"/>
        </w:rPr>
        <w:t>however,</w:t>
      </w:r>
      <w:r>
        <w:rPr>
          <w:spacing w:val="-15"/>
          <w:w w:val="110"/>
        </w:rPr>
        <w:t> </w:t>
      </w:r>
      <w:r>
        <w:rPr>
          <w:w w:val="110"/>
        </w:rPr>
        <w:t>opted</w:t>
      </w:r>
      <w:r>
        <w:rPr>
          <w:spacing w:val="-15"/>
          <w:w w:val="110"/>
        </w:rPr>
        <w:t> </w:t>
      </w:r>
      <w:r>
        <w:rPr>
          <w:w w:val="110"/>
        </w:rPr>
        <w:t>for</w:t>
      </w:r>
      <w:r>
        <w:rPr>
          <w:spacing w:val="-15"/>
          <w:w w:val="110"/>
        </w:rPr>
        <w:t> </w:t>
      </w:r>
      <w:r>
        <w:rPr>
          <w:spacing w:val="-10"/>
          <w:w w:val="110"/>
        </w:rPr>
        <w:t>a</w:t>
      </w:r>
    </w:p>
    <w:p>
      <w:pPr>
        <w:pStyle w:val="BodyText"/>
        <w:spacing w:line="230" w:lineRule="auto" w:before="9"/>
        <w:ind w:right="99"/>
        <w:rPr>
          <w:rFonts w:ascii="Lucida Sans Unicode"/>
        </w:rPr>
      </w:pPr>
      <w:r>
        <w:rPr>
          <w:rFonts w:ascii="Lucida Sans Unicode"/>
          <w:w w:val="105"/>
        </w:rPr>
        <w:t>narrow</w:t>
      </w:r>
      <w:r>
        <w:rPr>
          <w:rFonts w:ascii="Lucida Sans Unicode"/>
          <w:spacing w:val="-20"/>
          <w:w w:val="105"/>
        </w:rPr>
        <w:t> </w:t>
      </w:r>
      <w:r>
        <w:rPr>
          <w:rFonts w:ascii="Lucida Sans Unicode"/>
          <w:w w:val="105"/>
        </w:rPr>
        <w:t>reading</w:t>
      </w:r>
      <w:r>
        <w:rPr>
          <w:rFonts w:ascii="Lucida Sans Unicode"/>
          <w:spacing w:val="-20"/>
          <w:w w:val="105"/>
        </w:rPr>
        <w:t> </w:t>
      </w:r>
      <w:r>
        <w:rPr>
          <w:rFonts w:ascii="Lucida Sans Unicode"/>
          <w:w w:val="105"/>
        </w:rPr>
        <w:t>of</w:t>
      </w:r>
      <w:r>
        <w:rPr>
          <w:rFonts w:ascii="Lucida Sans Unicode"/>
          <w:spacing w:val="-20"/>
          <w:w w:val="105"/>
        </w:rPr>
        <w:t> </w:t>
      </w:r>
      <w:r>
        <w:rPr>
          <w:rFonts w:ascii="Lucida Sans Unicode"/>
          <w:w w:val="105"/>
        </w:rPr>
        <w:t>Article</w:t>
      </w:r>
      <w:r>
        <w:rPr>
          <w:rFonts w:ascii="Lucida Sans Unicode"/>
          <w:spacing w:val="-20"/>
          <w:w w:val="105"/>
        </w:rPr>
        <w:t> </w:t>
      </w:r>
      <w:r>
        <w:rPr>
          <w:rFonts w:ascii="Lucida Sans Unicode"/>
          <w:w w:val="105"/>
        </w:rPr>
        <w:t>26</w:t>
      </w:r>
      <w:r>
        <w:rPr>
          <w:rFonts w:ascii="Lucida Sans Unicode"/>
          <w:spacing w:val="-20"/>
          <w:w w:val="105"/>
        </w:rPr>
        <w:t> </w:t>
      </w:r>
      <w:r>
        <w:rPr>
          <w:rFonts w:ascii="Lucida Sans Unicode"/>
          <w:w w:val="105"/>
        </w:rPr>
        <w:t>CFR</w:t>
      </w:r>
      <w:r>
        <w:rPr>
          <w:rFonts w:ascii="Lucida Sans Unicode"/>
          <w:spacing w:val="-20"/>
          <w:w w:val="105"/>
        </w:rPr>
        <w:t> </w:t>
      </w:r>
      <w:r>
        <w:rPr>
          <w:rFonts w:ascii="Lucida Sans Unicode"/>
          <w:w w:val="105"/>
        </w:rPr>
        <w:t>and </w:t>
      </w:r>
      <w:r>
        <w:rPr>
          <w:w w:val="105"/>
        </w:rPr>
        <w:t>of the effects of Charter principles,</w:t>
      </w:r>
      <w:r>
        <w:rPr>
          <w:spacing w:val="80"/>
          <w:w w:val="105"/>
        </w:rPr>
        <w:t> </w:t>
      </w:r>
      <w:r>
        <w:rPr>
          <w:rFonts w:ascii="Lucida Sans Unicode"/>
          <w:w w:val="105"/>
        </w:rPr>
        <w:t>more generally: Article 26 CFR</w:t>
      </w:r>
    </w:p>
    <w:p>
      <w:pPr>
        <w:pStyle w:val="BodyText"/>
        <w:spacing w:line="237" w:lineRule="auto"/>
        <w:ind w:right="473"/>
        <w:rPr>
          <w:rFonts w:ascii="Lucida Sans Unicode"/>
        </w:rPr>
      </w:pPr>
      <w:r>
        <w:rPr>
          <w:w w:val="110"/>
        </w:rPr>
        <w:t>did not require the EU </w:t>
      </w:r>
      <w:r>
        <w:rPr>
          <w:w w:val="110"/>
        </w:rPr>
        <w:t>legislature </w:t>
      </w:r>
      <w:r>
        <w:rPr>
          <w:rFonts w:ascii="Lucida Sans Unicode"/>
          <w:spacing w:val="-2"/>
          <w:w w:val="110"/>
        </w:rPr>
        <w:t>to</w:t>
      </w:r>
      <w:r>
        <w:rPr>
          <w:rFonts w:ascii="Lucida Sans Unicode"/>
          <w:spacing w:val="-18"/>
          <w:w w:val="110"/>
        </w:rPr>
        <w:t> </w:t>
      </w:r>
      <w:r>
        <w:rPr>
          <w:rFonts w:ascii="Lucida Sans Unicode"/>
          <w:spacing w:val="-2"/>
          <w:w w:val="110"/>
        </w:rPr>
        <w:t>adopt</w:t>
      </w:r>
      <w:r>
        <w:rPr>
          <w:rFonts w:ascii="Lucida Sans Unicode"/>
          <w:spacing w:val="-18"/>
          <w:w w:val="110"/>
        </w:rPr>
        <w:t> </w:t>
      </w:r>
      <w:r>
        <w:rPr>
          <w:rFonts w:ascii="Lucida Sans Unicode"/>
          <w:spacing w:val="-2"/>
          <w:w w:val="110"/>
        </w:rPr>
        <w:t>any</w:t>
      </w:r>
      <w:r>
        <w:rPr>
          <w:rFonts w:ascii="Lucida Sans Unicode"/>
          <w:spacing w:val="-18"/>
          <w:w w:val="110"/>
        </w:rPr>
        <w:t> </w:t>
      </w:r>
      <w:r>
        <w:rPr>
          <w:rFonts w:ascii="Lucida Sans Unicode"/>
          <w:spacing w:val="-2"/>
          <w:w w:val="110"/>
        </w:rPr>
        <w:t>specific</w:t>
      </w:r>
      <w:r>
        <w:rPr>
          <w:rFonts w:ascii="Lucida Sans Unicode"/>
          <w:spacing w:val="-18"/>
          <w:w w:val="110"/>
        </w:rPr>
        <w:t> </w:t>
      </w:r>
      <w:r>
        <w:rPr>
          <w:rFonts w:ascii="Lucida Sans Unicode"/>
          <w:spacing w:val="-2"/>
          <w:w w:val="110"/>
        </w:rPr>
        <w:t>measure.</w:t>
      </w:r>
    </w:p>
    <w:p>
      <w:pPr>
        <w:pStyle w:val="BodyText"/>
        <w:spacing w:line="230" w:lineRule="auto" w:before="44"/>
        <w:ind w:right="1015"/>
        <w:rPr>
          <w:rFonts w:ascii="Lucida Sans Unicode"/>
        </w:rPr>
      </w:pPr>
      <w:r>
        <w:rPr/>
        <w:br w:type="column"/>
      </w:r>
      <w:r>
        <w:rPr>
          <w:rFonts w:ascii="Lucida Sans Unicode"/>
          <w:w w:val="105"/>
        </w:rPr>
        <w:t>For Article 26 to become the </w:t>
      </w:r>
      <w:r>
        <w:rPr>
          <w:w w:val="105"/>
        </w:rPr>
        <w:t>benchmark for a judicial </w:t>
      </w:r>
      <w:r>
        <w:rPr>
          <w:w w:val="105"/>
        </w:rPr>
        <w:t>review</w:t>
      </w:r>
      <w:r>
        <w:rPr>
          <w:spacing w:val="40"/>
          <w:w w:val="105"/>
        </w:rPr>
        <w:t> </w:t>
      </w:r>
      <w:r>
        <w:rPr>
          <w:rFonts w:ascii="Lucida Sans Unicode"/>
        </w:rPr>
        <w:t>of</w:t>
      </w:r>
      <w:r>
        <w:rPr>
          <w:rFonts w:ascii="Lucida Sans Unicode"/>
          <w:spacing w:val="13"/>
        </w:rPr>
        <w:t> </w:t>
      </w:r>
      <w:r>
        <w:rPr>
          <w:rFonts w:ascii="Lucida Sans Unicode"/>
        </w:rPr>
        <w:t>implementing</w:t>
      </w:r>
      <w:r>
        <w:rPr>
          <w:rFonts w:ascii="Lucida Sans Unicode"/>
          <w:spacing w:val="13"/>
        </w:rPr>
        <w:t> </w:t>
      </w:r>
      <w:r>
        <w:rPr>
          <w:rFonts w:ascii="Lucida Sans Unicode"/>
        </w:rPr>
        <w:t>Member</w:t>
      </w:r>
      <w:r>
        <w:rPr>
          <w:rFonts w:ascii="Lucida Sans Unicode"/>
          <w:spacing w:val="13"/>
        </w:rPr>
        <w:t> </w:t>
      </w:r>
      <w:r>
        <w:rPr>
          <w:rFonts w:ascii="Lucida Sans Unicode"/>
          <w:spacing w:val="-4"/>
        </w:rPr>
        <w:t>State</w:t>
      </w:r>
    </w:p>
    <w:p>
      <w:pPr>
        <w:pStyle w:val="BodyText"/>
        <w:spacing w:line="230" w:lineRule="auto"/>
        <w:ind w:right="317"/>
      </w:pPr>
      <w:r>
        <w:rPr>
          <w:w w:val="115"/>
        </w:rPr>
        <w:t>legislation, it had to be ‘given more </w:t>
      </w:r>
      <w:r>
        <w:rPr>
          <w:rFonts w:ascii="Lucida Sans Unicode" w:hAnsi="Lucida Sans Unicode"/>
        </w:rPr>
        <w:t>specific expression in European </w:t>
      </w:r>
      <w:r>
        <w:rPr>
          <w:spacing w:val="-2"/>
          <w:w w:val="115"/>
        </w:rPr>
        <w:t>Union</w:t>
      </w:r>
      <w:r>
        <w:rPr>
          <w:spacing w:val="-18"/>
          <w:w w:val="115"/>
        </w:rPr>
        <w:t> </w:t>
      </w:r>
      <w:r>
        <w:rPr>
          <w:spacing w:val="-2"/>
          <w:w w:val="115"/>
        </w:rPr>
        <w:t>or</w:t>
      </w:r>
      <w:r>
        <w:rPr>
          <w:spacing w:val="-17"/>
          <w:w w:val="115"/>
        </w:rPr>
        <w:t> </w:t>
      </w:r>
      <w:r>
        <w:rPr>
          <w:spacing w:val="-2"/>
          <w:w w:val="115"/>
        </w:rPr>
        <w:t>national</w:t>
      </w:r>
      <w:r>
        <w:rPr>
          <w:spacing w:val="-17"/>
          <w:w w:val="115"/>
        </w:rPr>
        <w:t> </w:t>
      </w:r>
      <w:r>
        <w:rPr>
          <w:spacing w:val="-2"/>
          <w:w w:val="115"/>
        </w:rPr>
        <w:t>law’.</w:t>
      </w:r>
      <w:r>
        <w:rPr>
          <w:spacing w:val="-17"/>
          <w:w w:val="115"/>
        </w:rPr>
        <w:t> </w:t>
      </w:r>
      <w:r>
        <w:rPr>
          <w:spacing w:val="-2"/>
          <w:w w:val="115"/>
        </w:rPr>
        <w:t>Unfortunately,</w:t>
      </w:r>
    </w:p>
    <w:p>
      <w:pPr>
        <w:pStyle w:val="BodyText"/>
        <w:spacing w:line="310" w:lineRule="exact" w:before="8"/>
        <w:ind w:right="242"/>
      </w:pPr>
      <w:r>
        <w:rPr>
          <w:w w:val="115"/>
        </w:rPr>
        <w:t>perhaps, the CJEU did not spell out by</w:t>
      </w:r>
      <w:r>
        <w:rPr>
          <w:spacing w:val="-6"/>
          <w:w w:val="115"/>
        </w:rPr>
        <w:t> </w:t>
      </w:r>
      <w:r>
        <w:rPr>
          <w:w w:val="115"/>
        </w:rPr>
        <w:t>which</w:t>
      </w:r>
      <w:r>
        <w:rPr>
          <w:spacing w:val="-6"/>
          <w:w w:val="115"/>
        </w:rPr>
        <w:t> </w:t>
      </w:r>
      <w:r>
        <w:rPr>
          <w:w w:val="115"/>
        </w:rPr>
        <w:t>standards</w:t>
      </w:r>
      <w:r>
        <w:rPr>
          <w:spacing w:val="-6"/>
          <w:w w:val="115"/>
        </w:rPr>
        <w:t> </w:t>
      </w:r>
      <w:r>
        <w:rPr>
          <w:w w:val="115"/>
        </w:rPr>
        <w:t>it</w:t>
      </w:r>
      <w:r>
        <w:rPr>
          <w:spacing w:val="-6"/>
          <w:w w:val="115"/>
        </w:rPr>
        <w:t> </w:t>
      </w:r>
      <w:r>
        <w:rPr>
          <w:w w:val="115"/>
        </w:rPr>
        <w:t>would</w:t>
      </w:r>
      <w:r>
        <w:rPr>
          <w:spacing w:val="-6"/>
          <w:w w:val="115"/>
        </w:rPr>
        <w:t> </w:t>
      </w:r>
      <w:r>
        <w:rPr>
          <w:w w:val="115"/>
        </w:rPr>
        <w:t>propose to conduct a legality review of an implementing</w:t>
      </w:r>
      <w:r>
        <w:rPr>
          <w:spacing w:val="-20"/>
          <w:w w:val="115"/>
        </w:rPr>
        <w:t> </w:t>
      </w:r>
      <w:r>
        <w:rPr>
          <w:w w:val="115"/>
        </w:rPr>
        <w:t>measure</w:t>
      </w:r>
      <w:r>
        <w:rPr>
          <w:spacing w:val="-19"/>
          <w:w w:val="115"/>
        </w:rPr>
        <w:t> </w:t>
      </w:r>
      <w:r>
        <w:rPr>
          <w:w w:val="115"/>
        </w:rPr>
        <w:t>given</w:t>
      </w:r>
      <w:r>
        <w:rPr>
          <w:spacing w:val="-19"/>
          <w:w w:val="115"/>
        </w:rPr>
        <w:t> </w:t>
      </w:r>
      <w:r>
        <w:rPr>
          <w:w w:val="115"/>
        </w:rPr>
        <w:t>that</w:t>
      </w:r>
      <w:r>
        <w:rPr>
          <w:spacing w:val="-19"/>
          <w:w w:val="115"/>
        </w:rPr>
        <w:t> </w:t>
      </w:r>
      <w:r>
        <w:rPr>
          <w:w w:val="115"/>
        </w:rPr>
        <w:t>the implementing measure itself would </w:t>
      </w:r>
      <w:r>
        <w:rPr>
          <w:rFonts w:ascii="Lucida Sans Unicode"/>
          <w:spacing w:val="-2"/>
          <w:w w:val="110"/>
        </w:rPr>
        <w:t>first</w:t>
      </w:r>
      <w:r>
        <w:rPr>
          <w:rFonts w:ascii="Lucida Sans Unicode"/>
          <w:spacing w:val="-18"/>
          <w:w w:val="110"/>
        </w:rPr>
        <w:t> </w:t>
      </w:r>
      <w:r>
        <w:rPr>
          <w:rFonts w:ascii="Lucida Sans Unicode"/>
          <w:spacing w:val="-2"/>
          <w:w w:val="110"/>
        </w:rPr>
        <w:t>need</w:t>
      </w:r>
      <w:r>
        <w:rPr>
          <w:rFonts w:ascii="Lucida Sans Unicode"/>
          <w:spacing w:val="-18"/>
          <w:w w:val="110"/>
        </w:rPr>
        <w:t> </w:t>
      </w:r>
      <w:r>
        <w:rPr>
          <w:rFonts w:ascii="Lucida Sans Unicode"/>
          <w:spacing w:val="-2"/>
          <w:w w:val="110"/>
        </w:rPr>
        <w:t>to</w:t>
      </w:r>
      <w:r>
        <w:rPr>
          <w:rFonts w:ascii="Lucida Sans Unicode"/>
          <w:spacing w:val="-18"/>
          <w:w w:val="110"/>
        </w:rPr>
        <w:t> </w:t>
      </w:r>
      <w:r>
        <w:rPr>
          <w:rFonts w:ascii="Lucida Sans Unicode"/>
          <w:spacing w:val="-2"/>
          <w:w w:val="110"/>
        </w:rPr>
        <w:t>specify</w:t>
      </w:r>
      <w:r>
        <w:rPr>
          <w:rFonts w:ascii="Lucida Sans Unicode"/>
          <w:spacing w:val="-18"/>
          <w:w w:val="110"/>
        </w:rPr>
        <w:t> </w:t>
      </w:r>
      <w:r>
        <w:rPr>
          <w:rFonts w:ascii="Lucida Sans Unicode"/>
          <w:spacing w:val="-2"/>
          <w:w w:val="110"/>
        </w:rPr>
        <w:t>the</w:t>
      </w:r>
      <w:r>
        <w:rPr>
          <w:rFonts w:ascii="Lucida Sans Unicode"/>
          <w:spacing w:val="-18"/>
          <w:w w:val="110"/>
        </w:rPr>
        <w:t> </w:t>
      </w:r>
      <w:r>
        <w:rPr>
          <w:rFonts w:ascii="Lucida Sans Unicode"/>
          <w:spacing w:val="-2"/>
          <w:w w:val="110"/>
        </w:rPr>
        <w:t>principle </w:t>
      </w:r>
      <w:r>
        <w:rPr>
          <w:w w:val="115"/>
        </w:rPr>
        <w:t>further, which suggests a somewhat circular reasoning.</w:t>
      </w:r>
    </w:p>
    <w:p>
      <w:pPr>
        <w:pStyle w:val="BodyText"/>
        <w:spacing w:before="24"/>
        <w:ind w:left="0"/>
      </w:pPr>
    </w:p>
    <w:p>
      <w:pPr>
        <w:pStyle w:val="BodyText"/>
        <w:spacing w:line="310" w:lineRule="exact"/>
        <w:ind w:right="161"/>
      </w:pPr>
      <w:r>
        <w:rPr>
          <w:w w:val="110"/>
        </w:rPr>
        <w:t>It will therefore be necessary to await further developments in the case law </w:t>
      </w:r>
      <w:r>
        <w:rPr>
          <w:rFonts w:ascii="Lucida Sans Unicode"/>
        </w:rPr>
        <w:t>on principles, notably on confirmation </w:t>
      </w:r>
      <w:r>
        <w:rPr>
          <w:w w:val="110"/>
        </w:rPr>
        <w:t>of which provisions contain principles and which contain rights; as well as </w:t>
      </w:r>
      <w:r>
        <w:rPr>
          <w:w w:val="110"/>
        </w:rPr>
        <w:t>on the role principles play in the judicial </w:t>
      </w:r>
      <w:r>
        <w:rPr>
          <w:rFonts w:ascii="Lucida Sans Unicode"/>
          <w:w w:val="110"/>
        </w:rPr>
        <w:t>review</w:t>
      </w:r>
      <w:r>
        <w:rPr>
          <w:rFonts w:ascii="Lucida Sans Unicode"/>
          <w:spacing w:val="-10"/>
          <w:w w:val="110"/>
        </w:rPr>
        <w:t> </w:t>
      </w:r>
      <w:r>
        <w:rPr>
          <w:rFonts w:ascii="Lucida Sans Unicode"/>
          <w:w w:val="110"/>
        </w:rPr>
        <w:t>of</w:t>
      </w:r>
      <w:r>
        <w:rPr>
          <w:rFonts w:ascii="Lucida Sans Unicode"/>
          <w:spacing w:val="-10"/>
          <w:w w:val="110"/>
        </w:rPr>
        <w:t> </w:t>
      </w:r>
      <w:r>
        <w:rPr>
          <w:rFonts w:ascii="Lucida Sans Unicode"/>
          <w:w w:val="110"/>
        </w:rPr>
        <w:t>EU</w:t>
      </w:r>
      <w:r>
        <w:rPr>
          <w:rFonts w:ascii="Lucida Sans Unicode"/>
          <w:spacing w:val="-10"/>
          <w:w w:val="110"/>
        </w:rPr>
        <w:t> </w:t>
      </w:r>
      <w:r>
        <w:rPr>
          <w:rFonts w:ascii="Lucida Sans Unicode"/>
          <w:w w:val="110"/>
        </w:rPr>
        <w:t>and</w:t>
      </w:r>
      <w:r>
        <w:rPr>
          <w:rFonts w:ascii="Lucida Sans Unicode"/>
          <w:spacing w:val="-10"/>
          <w:w w:val="110"/>
        </w:rPr>
        <w:t> </w:t>
      </w:r>
      <w:r>
        <w:rPr>
          <w:rFonts w:ascii="Lucida Sans Unicode"/>
          <w:w w:val="110"/>
        </w:rPr>
        <w:t>Member</w:t>
      </w:r>
      <w:r>
        <w:rPr>
          <w:rFonts w:ascii="Lucida Sans Unicode"/>
          <w:spacing w:val="-10"/>
          <w:w w:val="110"/>
        </w:rPr>
        <w:t> </w:t>
      </w:r>
      <w:r>
        <w:rPr>
          <w:rFonts w:ascii="Lucida Sans Unicode"/>
          <w:w w:val="110"/>
        </w:rPr>
        <w:t>State </w:t>
      </w:r>
      <w:r>
        <w:rPr>
          <w:w w:val="110"/>
        </w:rPr>
        <w:t>measures. For now, in the absence of an overarching test, the assessment</w:t>
      </w:r>
    </w:p>
    <w:p>
      <w:pPr>
        <w:pStyle w:val="BodyText"/>
        <w:spacing w:line="310" w:lineRule="exact"/>
        <w:ind w:right="279"/>
      </w:pPr>
      <w:r>
        <w:rPr>
          <w:w w:val="110"/>
        </w:rPr>
        <w:t>of which provisions contain rights </w:t>
      </w:r>
      <w:r>
        <w:rPr>
          <w:w w:val="110"/>
        </w:rPr>
        <w:t>and which contain principles can only be made on the basis of CJEU case law </w:t>
      </w:r>
      <w:r>
        <w:rPr>
          <w:rFonts w:ascii="Lucida Sans Unicode"/>
        </w:rPr>
        <w:t>that classifies provisions as falling </w:t>
      </w:r>
      <w:r>
        <w:rPr>
          <w:w w:val="110"/>
        </w:rPr>
        <w:t>within one or the other category,</w:t>
      </w:r>
      <w:r>
        <w:rPr>
          <w:spacing w:val="80"/>
          <w:w w:val="110"/>
        </w:rPr>
        <w:t> </w:t>
      </w:r>
      <w:r>
        <w:rPr>
          <w:w w:val="110"/>
        </w:rPr>
        <w:t>either explicitly (a very limited pool of </w:t>
      </w:r>
      <w:r>
        <w:rPr>
          <w:rFonts w:ascii="Lucida Sans Unicode"/>
        </w:rPr>
        <w:t>cases exemplified in </w:t>
      </w:r>
      <w:r>
        <w:rPr>
          <w:rFonts w:ascii="Verdana"/>
          <w:i/>
        </w:rPr>
        <w:t>Glatzel</w:t>
      </w:r>
      <w:r>
        <w:rPr/>
        <w:t>, as noted </w:t>
      </w:r>
      <w:r>
        <w:rPr>
          <w:w w:val="110"/>
        </w:rPr>
        <w:t>above) or by implication (i.e., insofar as the CJEU allows Charter rights to form the basis of full judicial scrutiny by using them as stipulations for EU </w:t>
      </w:r>
      <w:r>
        <w:rPr>
          <w:rFonts w:ascii="Lucida Sans Unicode"/>
        </w:rPr>
        <w:t>action or by affirming their direct effect, exemplified in </w:t>
      </w:r>
      <w:r>
        <w:rPr>
          <w:rFonts w:ascii="Verdana"/>
          <w:i/>
        </w:rPr>
        <w:t>Bauer</w:t>
      </w:r>
      <w:r>
        <w:rPr/>
        <w:t>).</w:t>
      </w:r>
    </w:p>
    <w:p>
      <w:pPr>
        <w:spacing w:after="0" w:line="310" w:lineRule="exact"/>
        <w:sectPr>
          <w:type w:val="continuous"/>
          <w:pgSz w:w="11910" w:h="16840"/>
          <w:pgMar w:header="568" w:footer="580" w:top="0" w:bottom="280" w:left="1020" w:right="1020"/>
          <w:cols w:num="2" w:equalWidth="0">
            <w:col w:w="4668" w:space="378"/>
            <w:col w:w="4824"/>
          </w:cols>
        </w:sectPr>
      </w:pPr>
    </w:p>
    <w:p>
      <w:pPr>
        <w:pStyle w:val="BodyText"/>
        <w:ind w:left="0"/>
        <w:rPr>
          <w:sz w:val="20"/>
        </w:rPr>
      </w:pPr>
    </w:p>
    <w:p>
      <w:pPr>
        <w:pStyle w:val="BodyText"/>
        <w:spacing w:before="122"/>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61" name="Group 61"/>
                <wp:cNvGraphicFramePr>
                  <a:graphicFrameLocks/>
                </wp:cNvGraphicFramePr>
                <a:graphic>
                  <a:graphicData uri="http://schemas.microsoft.com/office/word/2010/wordprocessingGroup">
                    <wpg:wgp>
                      <wpg:cNvPr id="61" name="Group 61"/>
                      <wpg:cNvGrpSpPr/>
                      <wpg:grpSpPr>
                        <a:xfrm>
                          <a:off x="0" y="0"/>
                          <a:ext cx="6120130" cy="6350"/>
                          <a:chExt cx="6120130" cy="6350"/>
                        </a:xfrm>
                      </wpg:grpSpPr>
                      <wps:wsp>
                        <wps:cNvPr id="62" name="Graphic 62"/>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49"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7" w:val="left" w:leader="none"/>
        </w:tabs>
        <w:spacing w:line="240" w:lineRule="auto" w:before="61" w:after="0"/>
        <w:ind w:left="567" w:right="0" w:hanging="454"/>
        <w:jc w:val="left"/>
        <w:rPr>
          <w:sz w:val="16"/>
        </w:rPr>
      </w:pPr>
      <w:r>
        <w:rPr>
          <w:rFonts w:ascii="Verdana"/>
          <w:i/>
          <w:spacing w:val="-2"/>
          <w:sz w:val="16"/>
        </w:rPr>
        <w:t>Wolfgang</w:t>
      </w:r>
      <w:r>
        <w:rPr>
          <w:rFonts w:ascii="Verdana"/>
          <w:i/>
          <w:spacing w:val="-7"/>
          <w:sz w:val="16"/>
        </w:rPr>
        <w:t> </w:t>
      </w:r>
      <w:r>
        <w:rPr>
          <w:rFonts w:ascii="Verdana"/>
          <w:i/>
          <w:spacing w:val="-2"/>
          <w:sz w:val="16"/>
        </w:rPr>
        <w:t>Glatzel</w:t>
      </w:r>
      <w:r>
        <w:rPr>
          <w:rFonts w:ascii="Verdana"/>
          <w:i/>
          <w:spacing w:val="-6"/>
          <w:sz w:val="16"/>
        </w:rPr>
        <w:t> </w:t>
      </w:r>
      <w:r>
        <w:rPr>
          <w:rFonts w:ascii="Verdana"/>
          <w:i/>
          <w:spacing w:val="-2"/>
          <w:sz w:val="16"/>
        </w:rPr>
        <w:t>v</w:t>
      </w:r>
      <w:r>
        <w:rPr>
          <w:rFonts w:ascii="Verdana"/>
          <w:i/>
          <w:spacing w:val="-6"/>
          <w:sz w:val="16"/>
        </w:rPr>
        <w:t> </w:t>
      </w:r>
      <w:r>
        <w:rPr>
          <w:rFonts w:ascii="Verdana"/>
          <w:i/>
          <w:spacing w:val="-2"/>
          <w:sz w:val="16"/>
        </w:rPr>
        <w:t>Freistaat</w:t>
      </w:r>
      <w:r>
        <w:rPr>
          <w:rFonts w:ascii="Verdana"/>
          <w:i/>
          <w:spacing w:val="-7"/>
          <w:sz w:val="16"/>
        </w:rPr>
        <w:t> </w:t>
      </w:r>
      <w:r>
        <w:rPr>
          <w:rFonts w:ascii="Verdana"/>
          <w:i/>
          <w:spacing w:val="-2"/>
          <w:sz w:val="16"/>
        </w:rPr>
        <w:t>Bayern</w:t>
      </w:r>
      <w:r>
        <w:rPr>
          <w:rFonts w:ascii="Verdana"/>
          <w:i/>
          <w:spacing w:val="-6"/>
          <w:sz w:val="16"/>
        </w:rPr>
        <w:t> </w:t>
      </w:r>
      <w:r>
        <w:rPr>
          <w:spacing w:val="-2"/>
          <w:sz w:val="16"/>
        </w:rPr>
        <w:t>(n</w:t>
      </w:r>
      <w:r>
        <w:rPr>
          <w:sz w:val="16"/>
        </w:rPr>
        <w:t> </w:t>
      </w:r>
      <w:r>
        <w:rPr>
          <w:spacing w:val="-2"/>
          <w:sz w:val="16"/>
        </w:rPr>
        <w:t>17)</w:t>
      </w:r>
      <w:r>
        <w:rPr>
          <w:spacing w:val="-1"/>
          <w:sz w:val="16"/>
        </w:rPr>
        <w:t> </w:t>
      </w:r>
      <w:r>
        <w:rPr>
          <w:spacing w:val="-2"/>
          <w:sz w:val="16"/>
        </w:rPr>
        <w:t>paras</w:t>
      </w:r>
      <w:r>
        <w:rPr>
          <w:sz w:val="16"/>
        </w:rPr>
        <w:t> </w:t>
      </w:r>
      <w:r>
        <w:rPr>
          <w:spacing w:val="-2"/>
          <w:sz w:val="16"/>
        </w:rPr>
        <w:t>74-</w:t>
      </w:r>
      <w:r>
        <w:rPr>
          <w:spacing w:val="-5"/>
          <w:sz w:val="16"/>
        </w:rPr>
        <w:t>79.</w:t>
      </w:r>
    </w:p>
    <w:p>
      <w:pPr>
        <w:spacing w:after="0" w:line="240" w:lineRule="auto"/>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84"/>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Heading3"/>
        <w:numPr>
          <w:ilvl w:val="0"/>
          <w:numId w:val="7"/>
        </w:numPr>
        <w:tabs>
          <w:tab w:pos="680" w:val="left" w:leader="none"/>
        </w:tabs>
        <w:spacing w:line="240" w:lineRule="auto" w:before="80" w:after="0"/>
        <w:ind w:left="680" w:right="0" w:hanging="567"/>
        <w:jc w:val="left"/>
        <w:rPr>
          <w:color w:val="77328A"/>
        </w:rPr>
      </w:pPr>
      <w:bookmarkStart w:name="4. The Charter and the ECHR" w:id="11"/>
      <w:bookmarkEnd w:id="11"/>
      <w:r>
        <w:rPr>
          <w:b w:val="0"/>
        </w:rPr>
      </w:r>
      <w:bookmarkStart w:name="_bookmark4" w:id="12"/>
      <w:bookmarkEnd w:id="12"/>
      <w:r>
        <w:rPr>
          <w:b w:val="0"/>
        </w:rPr>
      </w:r>
      <w:r>
        <w:rPr>
          <w:color w:val="77328A"/>
        </w:rPr>
        <w:t>The</w:t>
      </w:r>
      <w:r>
        <w:rPr>
          <w:color w:val="77328A"/>
          <w:spacing w:val="6"/>
        </w:rPr>
        <w:t> </w:t>
      </w:r>
      <w:r>
        <w:rPr>
          <w:color w:val="77328A"/>
        </w:rPr>
        <w:t>Charter</w:t>
      </w:r>
      <w:r>
        <w:rPr>
          <w:color w:val="77328A"/>
          <w:spacing w:val="7"/>
        </w:rPr>
        <w:t> </w:t>
      </w:r>
      <w:r>
        <w:rPr>
          <w:color w:val="77328A"/>
        </w:rPr>
        <w:t>and</w:t>
      </w:r>
      <w:r>
        <w:rPr>
          <w:color w:val="77328A"/>
          <w:spacing w:val="7"/>
        </w:rPr>
        <w:t> </w:t>
      </w:r>
      <w:r>
        <w:rPr>
          <w:color w:val="77328A"/>
        </w:rPr>
        <w:t>the</w:t>
      </w:r>
      <w:r>
        <w:rPr>
          <w:color w:val="77328A"/>
          <w:spacing w:val="7"/>
        </w:rPr>
        <w:t> </w:t>
      </w:r>
      <w:r>
        <w:rPr>
          <w:color w:val="77328A"/>
          <w:spacing w:val="-4"/>
        </w:rPr>
        <w:t>ECHR</w:t>
      </w:r>
    </w:p>
    <w:p>
      <w:pPr>
        <w:pStyle w:val="BodyText"/>
        <w:spacing w:line="271" w:lineRule="auto" w:before="195"/>
        <w:ind w:right="298"/>
      </w:pPr>
      <w:r>
        <w:rPr>
          <w:w w:val="115"/>
        </w:rPr>
        <w:t>The Charter guarantees the rights found in the European Convention on</w:t>
      </w:r>
      <w:r>
        <w:rPr>
          <w:spacing w:val="-16"/>
          <w:w w:val="115"/>
        </w:rPr>
        <w:t> </w:t>
      </w:r>
      <w:r>
        <w:rPr>
          <w:w w:val="115"/>
        </w:rPr>
        <w:t>Human</w:t>
      </w:r>
      <w:r>
        <w:rPr>
          <w:spacing w:val="-16"/>
          <w:w w:val="115"/>
        </w:rPr>
        <w:t> </w:t>
      </w:r>
      <w:r>
        <w:rPr>
          <w:w w:val="115"/>
        </w:rPr>
        <w:t>Rights</w:t>
      </w:r>
      <w:r>
        <w:rPr>
          <w:spacing w:val="-16"/>
          <w:w w:val="115"/>
        </w:rPr>
        <w:t> </w:t>
      </w:r>
      <w:r>
        <w:rPr>
          <w:w w:val="115"/>
        </w:rPr>
        <w:t>(ECHR),</w:t>
      </w:r>
      <w:r>
        <w:rPr>
          <w:spacing w:val="-16"/>
          <w:w w:val="115"/>
        </w:rPr>
        <w:t> </w:t>
      </w:r>
      <w:r>
        <w:rPr>
          <w:w w:val="115"/>
        </w:rPr>
        <w:t>but</w:t>
      </w:r>
      <w:r>
        <w:rPr>
          <w:spacing w:val="-16"/>
          <w:w w:val="115"/>
        </w:rPr>
        <w:t> </w:t>
      </w:r>
      <w:r>
        <w:rPr>
          <w:w w:val="115"/>
        </w:rPr>
        <w:t>also goes</w:t>
      </w:r>
      <w:r>
        <w:rPr>
          <w:spacing w:val="-7"/>
          <w:w w:val="115"/>
        </w:rPr>
        <w:t> </w:t>
      </w:r>
      <w:r>
        <w:rPr>
          <w:w w:val="115"/>
        </w:rPr>
        <w:t>beyond</w:t>
      </w:r>
      <w:r>
        <w:rPr>
          <w:spacing w:val="-7"/>
          <w:w w:val="115"/>
        </w:rPr>
        <w:t> </w:t>
      </w:r>
      <w:r>
        <w:rPr>
          <w:w w:val="115"/>
        </w:rPr>
        <w:t>them.</w:t>
      </w:r>
      <w:r>
        <w:rPr>
          <w:spacing w:val="-7"/>
          <w:w w:val="115"/>
        </w:rPr>
        <w:t> </w:t>
      </w:r>
      <w:r>
        <w:rPr>
          <w:w w:val="115"/>
        </w:rPr>
        <w:t>The</w:t>
      </w:r>
      <w:r>
        <w:rPr>
          <w:spacing w:val="-7"/>
          <w:w w:val="115"/>
        </w:rPr>
        <w:t> </w:t>
      </w:r>
      <w:r>
        <w:rPr>
          <w:w w:val="115"/>
        </w:rPr>
        <w:t>wording</w:t>
      </w:r>
      <w:r>
        <w:rPr>
          <w:spacing w:val="-7"/>
          <w:w w:val="115"/>
        </w:rPr>
        <w:t> </w:t>
      </w:r>
      <w:r>
        <w:rPr>
          <w:w w:val="115"/>
        </w:rPr>
        <w:t>of many</w:t>
      </w:r>
      <w:r>
        <w:rPr>
          <w:spacing w:val="-7"/>
          <w:w w:val="115"/>
        </w:rPr>
        <w:t> </w:t>
      </w:r>
      <w:r>
        <w:rPr>
          <w:w w:val="115"/>
        </w:rPr>
        <w:t>of</w:t>
      </w:r>
      <w:r>
        <w:rPr>
          <w:spacing w:val="-6"/>
          <w:w w:val="115"/>
        </w:rPr>
        <w:t> </w:t>
      </w:r>
      <w:r>
        <w:rPr>
          <w:w w:val="115"/>
        </w:rPr>
        <w:t>the</w:t>
      </w:r>
      <w:r>
        <w:rPr>
          <w:spacing w:val="-6"/>
          <w:w w:val="115"/>
        </w:rPr>
        <w:t> </w:t>
      </w:r>
      <w:r>
        <w:rPr>
          <w:w w:val="115"/>
        </w:rPr>
        <w:t>civil</w:t>
      </w:r>
      <w:r>
        <w:rPr>
          <w:spacing w:val="-7"/>
          <w:w w:val="115"/>
        </w:rPr>
        <w:t> </w:t>
      </w:r>
      <w:r>
        <w:rPr>
          <w:w w:val="115"/>
        </w:rPr>
        <w:t>and</w:t>
      </w:r>
      <w:r>
        <w:rPr>
          <w:spacing w:val="-6"/>
          <w:w w:val="115"/>
        </w:rPr>
        <w:t> </w:t>
      </w:r>
      <w:r>
        <w:rPr>
          <w:w w:val="115"/>
        </w:rPr>
        <w:t>political</w:t>
      </w:r>
      <w:r>
        <w:rPr>
          <w:spacing w:val="-6"/>
          <w:w w:val="115"/>
        </w:rPr>
        <w:t> </w:t>
      </w:r>
      <w:r>
        <w:rPr>
          <w:spacing w:val="-2"/>
          <w:w w:val="115"/>
        </w:rPr>
        <w:t>rights</w:t>
      </w:r>
    </w:p>
    <w:p>
      <w:pPr>
        <w:pStyle w:val="BodyText"/>
        <w:spacing w:line="254" w:lineRule="auto" w:before="4"/>
        <w:ind w:right="115"/>
        <w:jc w:val="both"/>
        <w:rPr>
          <w:rFonts w:ascii="Lucida Sans Unicode"/>
        </w:rPr>
      </w:pPr>
      <w:r>
        <w:rPr>
          <w:w w:val="110"/>
        </w:rPr>
        <w:t>guaranteed in the Charter is based on the</w:t>
      </w:r>
      <w:r>
        <w:rPr>
          <w:spacing w:val="-12"/>
          <w:w w:val="110"/>
        </w:rPr>
        <w:t> </w:t>
      </w:r>
      <w:r>
        <w:rPr>
          <w:w w:val="110"/>
        </w:rPr>
        <w:t>ECHR.</w:t>
      </w:r>
      <w:r>
        <w:rPr>
          <w:spacing w:val="-12"/>
          <w:w w:val="110"/>
        </w:rPr>
        <w:t> </w:t>
      </w:r>
      <w:r>
        <w:rPr>
          <w:w w:val="110"/>
        </w:rPr>
        <w:t>In</w:t>
      </w:r>
      <w:r>
        <w:rPr>
          <w:spacing w:val="-12"/>
          <w:w w:val="110"/>
        </w:rPr>
        <w:t> </w:t>
      </w:r>
      <w:r>
        <w:rPr>
          <w:w w:val="110"/>
        </w:rPr>
        <w:t>some</w:t>
      </w:r>
      <w:r>
        <w:rPr>
          <w:spacing w:val="-12"/>
          <w:w w:val="110"/>
        </w:rPr>
        <w:t> </w:t>
      </w:r>
      <w:r>
        <w:rPr>
          <w:w w:val="110"/>
        </w:rPr>
        <w:t>cases,</w:t>
      </w:r>
      <w:r>
        <w:rPr>
          <w:spacing w:val="-12"/>
          <w:w w:val="110"/>
        </w:rPr>
        <w:t> </w:t>
      </w:r>
      <w:r>
        <w:rPr>
          <w:w w:val="110"/>
        </w:rPr>
        <w:t>the</w:t>
      </w:r>
      <w:r>
        <w:rPr>
          <w:spacing w:val="-12"/>
          <w:w w:val="110"/>
        </w:rPr>
        <w:t> </w:t>
      </w:r>
      <w:r>
        <w:rPr>
          <w:w w:val="110"/>
        </w:rPr>
        <w:t>wording </w:t>
      </w:r>
      <w:r>
        <w:rPr>
          <w:rFonts w:ascii="Lucida Sans Unicode"/>
          <w:spacing w:val="-2"/>
          <w:w w:val="110"/>
        </w:rPr>
        <w:t>is</w:t>
      </w:r>
      <w:r>
        <w:rPr>
          <w:rFonts w:ascii="Lucida Sans Unicode"/>
          <w:spacing w:val="-19"/>
          <w:w w:val="110"/>
        </w:rPr>
        <w:t> </w:t>
      </w:r>
      <w:r>
        <w:rPr>
          <w:rFonts w:ascii="Lucida Sans Unicode"/>
          <w:spacing w:val="-2"/>
          <w:w w:val="110"/>
        </w:rPr>
        <w:t>identical,</w:t>
      </w:r>
      <w:r>
        <w:rPr>
          <w:rFonts w:ascii="Lucida Sans Unicode"/>
          <w:spacing w:val="-19"/>
          <w:w w:val="110"/>
        </w:rPr>
        <w:t> </w:t>
      </w:r>
      <w:r>
        <w:rPr>
          <w:rFonts w:ascii="Lucida Sans Unicode"/>
          <w:spacing w:val="-2"/>
          <w:w w:val="110"/>
        </w:rPr>
        <w:t>e.g.</w:t>
      </w:r>
      <w:r>
        <w:rPr>
          <w:rFonts w:ascii="Lucida Sans Unicode"/>
          <w:spacing w:val="-18"/>
          <w:w w:val="110"/>
        </w:rPr>
        <w:t> </w:t>
      </w:r>
      <w:r>
        <w:rPr>
          <w:rFonts w:ascii="Lucida Sans Unicode"/>
          <w:spacing w:val="-2"/>
          <w:w w:val="110"/>
        </w:rPr>
        <w:t>Article</w:t>
      </w:r>
      <w:r>
        <w:rPr>
          <w:rFonts w:ascii="Lucida Sans Unicode"/>
          <w:spacing w:val="-19"/>
          <w:w w:val="110"/>
        </w:rPr>
        <w:t> </w:t>
      </w:r>
      <w:r>
        <w:rPr>
          <w:rFonts w:ascii="Lucida Sans Unicode"/>
          <w:spacing w:val="-2"/>
          <w:w w:val="110"/>
        </w:rPr>
        <w:t>4</w:t>
      </w:r>
      <w:r>
        <w:rPr>
          <w:rFonts w:ascii="Lucida Sans Unicode"/>
          <w:spacing w:val="-19"/>
          <w:w w:val="110"/>
        </w:rPr>
        <w:t> </w:t>
      </w:r>
      <w:r>
        <w:rPr>
          <w:rFonts w:ascii="Lucida Sans Unicode"/>
          <w:spacing w:val="-2"/>
          <w:w w:val="110"/>
        </w:rPr>
        <w:t>CFR</w:t>
      </w:r>
      <w:r>
        <w:rPr>
          <w:rFonts w:ascii="Lucida Sans Unicode"/>
          <w:spacing w:val="-18"/>
          <w:w w:val="110"/>
        </w:rPr>
        <w:t> </w:t>
      </w:r>
      <w:r>
        <w:rPr>
          <w:rFonts w:ascii="Lucida Sans Unicode"/>
          <w:spacing w:val="-2"/>
          <w:w w:val="110"/>
        </w:rPr>
        <w:t>is</w:t>
      </w:r>
      <w:r>
        <w:rPr>
          <w:rFonts w:ascii="Lucida Sans Unicode"/>
          <w:spacing w:val="-19"/>
          <w:w w:val="110"/>
        </w:rPr>
        <w:t> </w:t>
      </w:r>
      <w:r>
        <w:rPr>
          <w:rFonts w:ascii="Lucida Sans Unicode"/>
          <w:spacing w:val="-2"/>
          <w:w w:val="110"/>
        </w:rPr>
        <w:t>an</w:t>
      </w:r>
    </w:p>
    <w:p>
      <w:pPr>
        <w:pStyle w:val="BodyText"/>
        <w:spacing w:line="283" w:lineRule="exact"/>
        <w:jc w:val="both"/>
        <w:rPr>
          <w:rFonts w:ascii="Lucida Sans Unicode"/>
        </w:rPr>
      </w:pPr>
      <w:r>
        <w:rPr>
          <w:rFonts w:ascii="Lucida Sans Unicode"/>
        </w:rPr>
        <w:t>exact</w:t>
      </w:r>
      <w:r>
        <w:rPr>
          <w:rFonts w:ascii="Lucida Sans Unicode"/>
          <w:spacing w:val="7"/>
        </w:rPr>
        <w:t> </w:t>
      </w:r>
      <w:r>
        <w:rPr>
          <w:rFonts w:ascii="Lucida Sans Unicode"/>
        </w:rPr>
        <w:t>mirror</w:t>
      </w:r>
      <w:r>
        <w:rPr>
          <w:rFonts w:ascii="Lucida Sans Unicode"/>
          <w:spacing w:val="7"/>
        </w:rPr>
        <w:t> </w:t>
      </w:r>
      <w:r>
        <w:rPr>
          <w:rFonts w:ascii="Lucida Sans Unicode"/>
        </w:rPr>
        <w:t>image</w:t>
      </w:r>
      <w:r>
        <w:rPr>
          <w:rFonts w:ascii="Lucida Sans Unicode"/>
          <w:spacing w:val="7"/>
        </w:rPr>
        <w:t> </w:t>
      </w:r>
      <w:r>
        <w:rPr>
          <w:rFonts w:ascii="Lucida Sans Unicode"/>
        </w:rPr>
        <w:t>of</w:t>
      </w:r>
      <w:r>
        <w:rPr>
          <w:rFonts w:ascii="Lucida Sans Unicode"/>
          <w:spacing w:val="7"/>
        </w:rPr>
        <w:t> </w:t>
      </w:r>
      <w:r>
        <w:rPr>
          <w:rFonts w:ascii="Lucida Sans Unicode"/>
        </w:rPr>
        <w:t>Article</w:t>
      </w:r>
      <w:r>
        <w:rPr>
          <w:rFonts w:ascii="Lucida Sans Unicode"/>
          <w:spacing w:val="7"/>
        </w:rPr>
        <w:t> </w:t>
      </w:r>
      <w:r>
        <w:rPr>
          <w:rFonts w:ascii="Lucida Sans Unicode"/>
        </w:rPr>
        <w:t>3</w:t>
      </w:r>
      <w:r>
        <w:rPr>
          <w:rFonts w:ascii="Lucida Sans Unicode"/>
          <w:spacing w:val="8"/>
        </w:rPr>
        <w:t> </w:t>
      </w:r>
      <w:r>
        <w:rPr>
          <w:rFonts w:ascii="Lucida Sans Unicode"/>
          <w:spacing w:val="-2"/>
        </w:rPr>
        <w:t>ECHR.</w:t>
      </w:r>
    </w:p>
    <w:p>
      <w:pPr>
        <w:pStyle w:val="BodyText"/>
        <w:spacing w:line="261" w:lineRule="auto"/>
        <w:ind w:right="76"/>
        <w:rPr>
          <w:rFonts w:ascii="Lucida Sans Unicode"/>
        </w:rPr>
      </w:pPr>
      <w:r>
        <w:rPr>
          <w:w w:val="110"/>
        </w:rPr>
        <w:t>In other cases, the CFR has updated the wording of the sister provision in the ECHR to make it more inclusive </w:t>
      </w:r>
      <w:r>
        <w:rPr>
          <w:rFonts w:ascii="Lucida Sans Unicode"/>
        </w:rPr>
        <w:t>and/or to reflect recent </w:t>
      </w:r>
      <w:r>
        <w:rPr>
          <w:rFonts w:ascii="Lucida Sans Unicode"/>
        </w:rPr>
        <w:t>developments.</w:t>
      </w:r>
    </w:p>
    <w:p>
      <w:pPr>
        <w:pStyle w:val="BodyText"/>
        <w:spacing w:line="222" w:lineRule="exact"/>
      </w:pPr>
      <w:r>
        <w:rPr>
          <w:w w:val="110"/>
        </w:rPr>
        <w:t>In</w:t>
      </w:r>
      <w:r>
        <w:rPr>
          <w:spacing w:val="-9"/>
          <w:w w:val="110"/>
        </w:rPr>
        <w:t> </w:t>
      </w:r>
      <w:r>
        <w:rPr>
          <w:w w:val="110"/>
        </w:rPr>
        <w:t>some</w:t>
      </w:r>
      <w:r>
        <w:rPr>
          <w:spacing w:val="-9"/>
          <w:w w:val="110"/>
        </w:rPr>
        <w:t> </w:t>
      </w:r>
      <w:r>
        <w:rPr>
          <w:w w:val="110"/>
        </w:rPr>
        <w:t>cases,</w:t>
      </w:r>
      <w:r>
        <w:rPr>
          <w:spacing w:val="-8"/>
          <w:w w:val="110"/>
        </w:rPr>
        <w:t> </w:t>
      </w:r>
      <w:r>
        <w:rPr>
          <w:w w:val="110"/>
        </w:rPr>
        <w:t>there</w:t>
      </w:r>
      <w:r>
        <w:rPr>
          <w:spacing w:val="-9"/>
          <w:w w:val="110"/>
        </w:rPr>
        <w:t> </w:t>
      </w:r>
      <w:r>
        <w:rPr>
          <w:w w:val="110"/>
        </w:rPr>
        <w:t>is</w:t>
      </w:r>
      <w:r>
        <w:rPr>
          <w:spacing w:val="-8"/>
          <w:w w:val="110"/>
        </w:rPr>
        <w:t> </w:t>
      </w:r>
      <w:r>
        <w:rPr>
          <w:w w:val="110"/>
        </w:rPr>
        <w:t>no</w:t>
      </w:r>
      <w:r>
        <w:rPr>
          <w:spacing w:val="-9"/>
          <w:w w:val="110"/>
        </w:rPr>
        <w:t> </w:t>
      </w:r>
      <w:r>
        <w:rPr>
          <w:spacing w:val="-2"/>
          <w:w w:val="110"/>
        </w:rPr>
        <w:t>material</w:t>
      </w:r>
    </w:p>
    <w:p>
      <w:pPr>
        <w:pStyle w:val="BodyText"/>
        <w:spacing w:line="220" w:lineRule="auto" w:before="45"/>
        <w:ind w:right="162"/>
        <w:jc w:val="both"/>
        <w:rPr>
          <w:rFonts w:ascii="Lucida Sans Unicode"/>
        </w:rPr>
      </w:pPr>
      <w:r>
        <w:rPr>
          <w:w w:val="105"/>
        </w:rPr>
        <w:t>difference in scope; e.g. Article 5 </w:t>
      </w:r>
      <w:r>
        <w:rPr>
          <w:w w:val="105"/>
        </w:rPr>
        <w:t>CFR </w:t>
      </w:r>
      <w:r>
        <w:rPr>
          <w:rFonts w:ascii="Lucida Sans Unicode"/>
        </w:rPr>
        <w:t>expressly</w:t>
      </w:r>
      <w:r>
        <w:rPr>
          <w:rFonts w:ascii="Lucida Sans Unicode"/>
          <w:spacing w:val="-9"/>
        </w:rPr>
        <w:t> </w:t>
      </w:r>
      <w:r>
        <w:rPr>
          <w:rFonts w:ascii="Lucida Sans Unicode"/>
        </w:rPr>
        <w:t>prohibits</w:t>
      </w:r>
      <w:r>
        <w:rPr>
          <w:rFonts w:ascii="Lucida Sans Unicode"/>
          <w:spacing w:val="-9"/>
        </w:rPr>
        <w:t> </w:t>
      </w:r>
      <w:r>
        <w:rPr>
          <w:rFonts w:ascii="Lucida Sans Unicode"/>
        </w:rPr>
        <w:t>human</w:t>
      </w:r>
      <w:r>
        <w:rPr>
          <w:rFonts w:ascii="Lucida Sans Unicode"/>
          <w:spacing w:val="-9"/>
        </w:rPr>
        <w:t> </w:t>
      </w:r>
      <w:r>
        <w:rPr>
          <w:rFonts w:ascii="Lucida Sans Unicode"/>
        </w:rPr>
        <w:t>trafficking, </w:t>
      </w:r>
      <w:r>
        <w:rPr>
          <w:rFonts w:ascii="Lucida Sans Unicode"/>
          <w:w w:val="105"/>
        </w:rPr>
        <w:t>whereas Article 4 ECHR only does</w:t>
      </w:r>
    </w:p>
    <w:p>
      <w:pPr>
        <w:pStyle w:val="BodyText"/>
        <w:spacing w:line="271" w:lineRule="auto"/>
        <w:ind w:right="234"/>
      </w:pPr>
      <w:r>
        <w:rPr>
          <w:w w:val="110"/>
        </w:rPr>
        <w:t>so</w:t>
      </w:r>
      <w:r>
        <w:rPr>
          <w:spacing w:val="26"/>
          <w:w w:val="110"/>
        </w:rPr>
        <w:t> </w:t>
      </w:r>
      <w:r>
        <w:rPr>
          <w:w w:val="110"/>
        </w:rPr>
        <w:t>on</w:t>
      </w:r>
      <w:r>
        <w:rPr>
          <w:spacing w:val="26"/>
          <w:w w:val="110"/>
        </w:rPr>
        <w:t> </w:t>
      </w:r>
      <w:r>
        <w:rPr>
          <w:w w:val="110"/>
        </w:rPr>
        <w:t>the</w:t>
      </w:r>
      <w:r>
        <w:rPr>
          <w:spacing w:val="26"/>
          <w:w w:val="110"/>
        </w:rPr>
        <w:t> </w:t>
      </w:r>
      <w:r>
        <w:rPr>
          <w:w w:val="110"/>
        </w:rPr>
        <w:t>basis</w:t>
      </w:r>
      <w:r>
        <w:rPr>
          <w:spacing w:val="26"/>
          <w:w w:val="110"/>
        </w:rPr>
        <w:t> </w:t>
      </w:r>
      <w:r>
        <w:rPr>
          <w:w w:val="110"/>
        </w:rPr>
        <w:t>of</w:t>
      </w:r>
      <w:r>
        <w:rPr>
          <w:spacing w:val="26"/>
          <w:w w:val="110"/>
        </w:rPr>
        <w:t> </w:t>
      </w:r>
      <w:r>
        <w:rPr>
          <w:w w:val="110"/>
        </w:rPr>
        <w:t>the</w:t>
      </w:r>
      <w:r>
        <w:rPr>
          <w:spacing w:val="26"/>
          <w:w w:val="110"/>
        </w:rPr>
        <w:t> </w:t>
      </w:r>
      <w:r>
        <w:rPr>
          <w:w w:val="110"/>
        </w:rPr>
        <w:t>case</w:t>
      </w:r>
      <w:r>
        <w:rPr>
          <w:spacing w:val="26"/>
          <w:w w:val="110"/>
        </w:rPr>
        <w:t> </w:t>
      </w:r>
      <w:r>
        <w:rPr>
          <w:w w:val="110"/>
        </w:rPr>
        <w:t>law</w:t>
      </w:r>
      <w:r>
        <w:rPr>
          <w:spacing w:val="26"/>
          <w:w w:val="110"/>
        </w:rPr>
        <w:t> </w:t>
      </w:r>
      <w:r>
        <w:rPr>
          <w:w w:val="110"/>
        </w:rPr>
        <w:t>of</w:t>
      </w:r>
      <w:r>
        <w:rPr>
          <w:w w:val="110"/>
        </w:rPr>
        <w:t> the European Court of Human Rights</w:t>
      </w:r>
    </w:p>
    <w:p>
      <w:pPr>
        <w:pStyle w:val="BodyText"/>
        <w:spacing w:line="323" w:lineRule="exact"/>
      </w:pPr>
      <w:r>
        <w:rPr>
          <w:w w:val="110"/>
        </w:rPr>
        <w:t>(ECtHR).</w:t>
      </w:r>
      <w:r>
        <w:rPr>
          <w:rFonts w:ascii="Lucida Sans Unicode"/>
          <w:w w:val="110"/>
          <w:vertAlign w:val="superscript"/>
        </w:rPr>
        <w:t>23</w:t>
      </w:r>
      <w:r>
        <w:rPr>
          <w:rFonts w:ascii="Lucida Sans Unicode"/>
          <w:spacing w:val="-21"/>
          <w:w w:val="110"/>
          <w:vertAlign w:val="baseline"/>
        </w:rPr>
        <w:t> </w:t>
      </w:r>
      <w:r>
        <w:rPr>
          <w:w w:val="110"/>
          <w:vertAlign w:val="baseline"/>
        </w:rPr>
        <w:t>In</w:t>
      </w:r>
      <w:r>
        <w:rPr>
          <w:spacing w:val="-19"/>
          <w:w w:val="110"/>
          <w:vertAlign w:val="baseline"/>
        </w:rPr>
        <w:t> </w:t>
      </w:r>
      <w:r>
        <w:rPr>
          <w:w w:val="110"/>
          <w:vertAlign w:val="baseline"/>
        </w:rPr>
        <w:t>other</w:t>
      </w:r>
      <w:r>
        <w:rPr>
          <w:spacing w:val="-15"/>
          <w:w w:val="110"/>
          <w:vertAlign w:val="baseline"/>
        </w:rPr>
        <w:t> </w:t>
      </w:r>
      <w:r>
        <w:rPr>
          <w:w w:val="110"/>
          <w:vertAlign w:val="baseline"/>
        </w:rPr>
        <w:t>cases,</w:t>
      </w:r>
      <w:r>
        <w:rPr>
          <w:spacing w:val="-15"/>
          <w:w w:val="110"/>
          <w:vertAlign w:val="baseline"/>
        </w:rPr>
        <w:t> </w:t>
      </w:r>
      <w:r>
        <w:rPr>
          <w:w w:val="110"/>
          <w:vertAlign w:val="baseline"/>
        </w:rPr>
        <w:t>the</w:t>
      </w:r>
      <w:r>
        <w:rPr>
          <w:spacing w:val="-15"/>
          <w:w w:val="110"/>
          <w:vertAlign w:val="baseline"/>
        </w:rPr>
        <w:t> </w:t>
      </w:r>
      <w:r>
        <w:rPr>
          <w:w w:val="110"/>
          <w:vertAlign w:val="baseline"/>
        </w:rPr>
        <w:t>scope</w:t>
      </w:r>
      <w:r>
        <w:rPr>
          <w:spacing w:val="-15"/>
          <w:w w:val="110"/>
          <w:vertAlign w:val="baseline"/>
        </w:rPr>
        <w:t> </w:t>
      </w:r>
      <w:r>
        <w:rPr>
          <w:spacing w:val="-5"/>
          <w:w w:val="110"/>
          <w:vertAlign w:val="baseline"/>
        </w:rPr>
        <w:t>of</w:t>
      </w:r>
    </w:p>
    <w:p>
      <w:pPr>
        <w:pStyle w:val="BodyText"/>
        <w:spacing w:line="232" w:lineRule="auto"/>
        <w:ind w:right="121"/>
      </w:pPr>
      <w:r>
        <w:rPr>
          <w:w w:val="110"/>
        </w:rPr>
        <w:t>the updated Charter version of a </w:t>
      </w:r>
      <w:r>
        <w:rPr>
          <w:w w:val="110"/>
        </w:rPr>
        <w:t>right </w:t>
      </w:r>
      <w:r>
        <w:rPr>
          <w:rFonts w:ascii="Lucida Sans Unicode"/>
        </w:rPr>
        <w:t>is broader, e.g. Article 47 CFR does </w:t>
      </w:r>
      <w:r>
        <w:rPr>
          <w:w w:val="110"/>
        </w:rPr>
        <w:t>not</w:t>
      </w:r>
      <w:r>
        <w:rPr>
          <w:spacing w:val="39"/>
          <w:w w:val="110"/>
        </w:rPr>
        <w:t> </w:t>
      </w:r>
      <w:r>
        <w:rPr>
          <w:w w:val="110"/>
        </w:rPr>
        <w:t>feature</w:t>
      </w:r>
      <w:r>
        <w:rPr>
          <w:spacing w:val="39"/>
          <w:w w:val="110"/>
        </w:rPr>
        <w:t> </w:t>
      </w:r>
      <w:r>
        <w:rPr>
          <w:w w:val="110"/>
        </w:rPr>
        <w:t>the</w:t>
      </w:r>
      <w:r>
        <w:rPr>
          <w:spacing w:val="39"/>
          <w:w w:val="110"/>
        </w:rPr>
        <w:t> </w:t>
      </w:r>
      <w:r>
        <w:rPr>
          <w:w w:val="110"/>
        </w:rPr>
        <w:t>restriction</w:t>
      </w:r>
      <w:r>
        <w:rPr>
          <w:spacing w:val="39"/>
          <w:w w:val="110"/>
        </w:rPr>
        <w:t> </w:t>
      </w:r>
      <w:r>
        <w:rPr>
          <w:w w:val="110"/>
        </w:rPr>
        <w:t>of</w:t>
      </w:r>
      <w:r>
        <w:rPr>
          <w:spacing w:val="39"/>
          <w:w w:val="110"/>
        </w:rPr>
        <w:t> </w:t>
      </w:r>
      <w:r>
        <w:rPr>
          <w:w w:val="110"/>
        </w:rPr>
        <w:t>the</w:t>
      </w:r>
      <w:r>
        <w:rPr>
          <w:spacing w:val="39"/>
          <w:w w:val="110"/>
        </w:rPr>
        <w:t> </w:t>
      </w:r>
      <w:r>
        <w:rPr>
          <w:w w:val="110"/>
        </w:rPr>
        <w:t>right</w:t>
      </w:r>
    </w:p>
    <w:p>
      <w:pPr>
        <w:pStyle w:val="BodyText"/>
        <w:spacing w:line="271" w:lineRule="auto" w:before="23"/>
        <w:ind w:right="403"/>
      </w:pPr>
      <w:r>
        <w:rPr>
          <w:w w:val="115"/>
        </w:rPr>
        <w:t>to a fair trial to ‘the determination of</w:t>
      </w:r>
      <w:r>
        <w:rPr>
          <w:spacing w:val="-11"/>
          <w:w w:val="115"/>
        </w:rPr>
        <w:t> </w:t>
      </w:r>
      <w:r>
        <w:rPr>
          <w:w w:val="115"/>
        </w:rPr>
        <w:t>his</w:t>
      </w:r>
      <w:r>
        <w:rPr>
          <w:spacing w:val="-11"/>
          <w:w w:val="115"/>
        </w:rPr>
        <w:t> </w:t>
      </w:r>
      <w:r>
        <w:rPr>
          <w:w w:val="115"/>
        </w:rPr>
        <w:t>civil</w:t>
      </w:r>
      <w:r>
        <w:rPr>
          <w:spacing w:val="-11"/>
          <w:w w:val="115"/>
        </w:rPr>
        <w:t> </w:t>
      </w:r>
      <w:r>
        <w:rPr>
          <w:w w:val="115"/>
        </w:rPr>
        <w:t>rights</w:t>
      </w:r>
      <w:r>
        <w:rPr>
          <w:spacing w:val="-11"/>
          <w:w w:val="115"/>
        </w:rPr>
        <w:t> </w:t>
      </w:r>
      <w:r>
        <w:rPr>
          <w:w w:val="115"/>
        </w:rPr>
        <w:t>and</w:t>
      </w:r>
      <w:r>
        <w:rPr>
          <w:spacing w:val="-11"/>
          <w:w w:val="115"/>
        </w:rPr>
        <w:t> </w:t>
      </w:r>
      <w:r>
        <w:rPr>
          <w:w w:val="115"/>
        </w:rPr>
        <w:t>obligations</w:t>
      </w:r>
      <w:r>
        <w:rPr>
          <w:spacing w:val="-11"/>
          <w:w w:val="115"/>
        </w:rPr>
        <w:t> </w:t>
      </w:r>
      <w:r>
        <w:rPr>
          <w:w w:val="115"/>
        </w:rPr>
        <w:t>or of</w:t>
      </w:r>
      <w:r>
        <w:rPr>
          <w:spacing w:val="-20"/>
          <w:w w:val="115"/>
        </w:rPr>
        <w:t> </w:t>
      </w:r>
      <w:r>
        <w:rPr>
          <w:w w:val="115"/>
        </w:rPr>
        <w:t>any</w:t>
      </w:r>
      <w:r>
        <w:rPr>
          <w:spacing w:val="-19"/>
          <w:w w:val="115"/>
        </w:rPr>
        <w:t> </w:t>
      </w:r>
      <w:r>
        <w:rPr>
          <w:w w:val="115"/>
        </w:rPr>
        <w:t>criminal</w:t>
      </w:r>
      <w:r>
        <w:rPr>
          <w:spacing w:val="-19"/>
          <w:w w:val="115"/>
        </w:rPr>
        <w:t> </w:t>
      </w:r>
      <w:r>
        <w:rPr>
          <w:w w:val="115"/>
        </w:rPr>
        <w:t>charge</w:t>
      </w:r>
      <w:r>
        <w:rPr>
          <w:spacing w:val="-19"/>
          <w:w w:val="115"/>
        </w:rPr>
        <w:t> </w:t>
      </w:r>
      <w:r>
        <w:rPr>
          <w:w w:val="115"/>
        </w:rPr>
        <w:t>against</w:t>
      </w:r>
      <w:r>
        <w:rPr>
          <w:spacing w:val="-19"/>
          <w:w w:val="115"/>
        </w:rPr>
        <w:t> </w:t>
      </w:r>
      <w:r>
        <w:rPr>
          <w:w w:val="115"/>
        </w:rPr>
        <w:t>him’ contained in Article 6 ECHR.</w:t>
      </w:r>
    </w:p>
    <w:p>
      <w:pPr>
        <w:pStyle w:val="BodyText"/>
        <w:spacing w:before="2"/>
        <w:ind w:left="0"/>
      </w:pPr>
    </w:p>
    <w:p>
      <w:pPr>
        <w:pStyle w:val="BodyText"/>
        <w:spacing w:line="312" w:lineRule="exact"/>
        <w:ind w:right="76"/>
      </w:pPr>
      <w:r>
        <w:rPr>
          <w:rFonts w:ascii="Lucida Sans Unicode" w:hAnsi="Lucida Sans Unicode"/>
          <w:w w:val="110"/>
        </w:rPr>
        <w:t>According</w:t>
      </w:r>
      <w:r>
        <w:rPr>
          <w:rFonts w:ascii="Lucida Sans Unicode" w:hAnsi="Lucida Sans Unicode"/>
          <w:spacing w:val="-11"/>
          <w:w w:val="110"/>
        </w:rPr>
        <w:t> </w:t>
      </w:r>
      <w:r>
        <w:rPr>
          <w:rFonts w:ascii="Lucida Sans Unicode" w:hAnsi="Lucida Sans Unicode"/>
          <w:w w:val="110"/>
        </w:rPr>
        <w:t>to</w:t>
      </w:r>
      <w:r>
        <w:rPr>
          <w:rFonts w:ascii="Lucida Sans Unicode" w:hAnsi="Lucida Sans Unicode"/>
          <w:spacing w:val="-11"/>
          <w:w w:val="110"/>
        </w:rPr>
        <w:t> </w:t>
      </w:r>
      <w:r>
        <w:rPr>
          <w:rFonts w:ascii="Lucida Sans Unicode" w:hAnsi="Lucida Sans Unicode"/>
          <w:w w:val="110"/>
        </w:rPr>
        <w:t>Article</w:t>
      </w:r>
      <w:r>
        <w:rPr>
          <w:rFonts w:ascii="Lucida Sans Unicode" w:hAnsi="Lucida Sans Unicode"/>
          <w:spacing w:val="-11"/>
          <w:w w:val="110"/>
        </w:rPr>
        <w:t> </w:t>
      </w:r>
      <w:r>
        <w:rPr>
          <w:rFonts w:ascii="Lucida Sans Unicode" w:hAnsi="Lucida Sans Unicode"/>
          <w:w w:val="110"/>
        </w:rPr>
        <w:t>52</w:t>
      </w:r>
      <w:r>
        <w:rPr>
          <w:rFonts w:ascii="Lucida Sans Unicode" w:hAnsi="Lucida Sans Unicode"/>
          <w:spacing w:val="-11"/>
          <w:w w:val="110"/>
        </w:rPr>
        <w:t> </w:t>
      </w:r>
      <w:r>
        <w:rPr>
          <w:rFonts w:ascii="Lucida Sans Unicode" w:hAnsi="Lucida Sans Unicode"/>
          <w:w w:val="110"/>
        </w:rPr>
        <w:t>(3)</w:t>
      </w:r>
      <w:r>
        <w:rPr>
          <w:rFonts w:ascii="Lucida Sans Unicode" w:hAnsi="Lucida Sans Unicode"/>
          <w:spacing w:val="-11"/>
          <w:w w:val="110"/>
        </w:rPr>
        <w:t> </w:t>
      </w:r>
      <w:r>
        <w:rPr>
          <w:rFonts w:ascii="Lucida Sans Unicode" w:hAnsi="Lucida Sans Unicode"/>
          <w:w w:val="110"/>
        </w:rPr>
        <w:t>CFR, </w:t>
      </w:r>
      <w:r>
        <w:rPr>
          <w:w w:val="110"/>
        </w:rPr>
        <w:t>Charter rights that correspond to</w:t>
      </w:r>
      <w:r>
        <w:rPr>
          <w:spacing w:val="80"/>
          <w:w w:val="110"/>
        </w:rPr>
        <w:t> </w:t>
      </w:r>
      <w:r>
        <w:rPr>
          <w:w w:val="110"/>
        </w:rPr>
        <w:t>rights guaranteed by the ECHR have the</w:t>
      </w:r>
      <w:r>
        <w:rPr>
          <w:spacing w:val="-1"/>
          <w:w w:val="110"/>
        </w:rPr>
        <w:t> </w:t>
      </w:r>
      <w:r>
        <w:rPr>
          <w:w w:val="110"/>
        </w:rPr>
        <w:t>same</w:t>
      </w:r>
      <w:r>
        <w:rPr>
          <w:spacing w:val="-1"/>
          <w:w w:val="110"/>
        </w:rPr>
        <w:t> </w:t>
      </w:r>
      <w:r>
        <w:rPr>
          <w:w w:val="110"/>
        </w:rPr>
        <w:t>‘meaning</w:t>
      </w:r>
      <w:r>
        <w:rPr>
          <w:spacing w:val="-1"/>
          <w:w w:val="110"/>
        </w:rPr>
        <w:t> </w:t>
      </w:r>
      <w:r>
        <w:rPr>
          <w:w w:val="110"/>
        </w:rPr>
        <w:t>and</w:t>
      </w:r>
      <w:r>
        <w:rPr>
          <w:spacing w:val="-1"/>
          <w:w w:val="110"/>
        </w:rPr>
        <w:t> </w:t>
      </w:r>
      <w:r>
        <w:rPr>
          <w:w w:val="110"/>
        </w:rPr>
        <w:t>scope’</w:t>
      </w:r>
      <w:r>
        <w:rPr>
          <w:spacing w:val="-1"/>
          <w:w w:val="110"/>
        </w:rPr>
        <w:t> </w:t>
      </w:r>
      <w:r>
        <w:rPr>
          <w:w w:val="110"/>
        </w:rPr>
        <w:t>as</w:t>
      </w:r>
      <w:r>
        <w:rPr>
          <w:spacing w:val="-1"/>
          <w:w w:val="110"/>
        </w:rPr>
        <w:t> </w:t>
      </w:r>
      <w:r>
        <w:rPr>
          <w:w w:val="110"/>
        </w:rPr>
        <w:t>their ECHR</w:t>
      </w:r>
      <w:r>
        <w:rPr>
          <w:spacing w:val="-6"/>
          <w:w w:val="110"/>
        </w:rPr>
        <w:t> </w:t>
      </w:r>
      <w:r>
        <w:rPr>
          <w:w w:val="110"/>
        </w:rPr>
        <w:t>equivalents.</w:t>
      </w:r>
      <w:r>
        <w:rPr>
          <w:spacing w:val="-6"/>
          <w:w w:val="110"/>
        </w:rPr>
        <w:t> </w:t>
      </w:r>
      <w:r>
        <w:rPr>
          <w:w w:val="110"/>
        </w:rPr>
        <w:t>Crucially,</w:t>
      </w:r>
      <w:r>
        <w:rPr>
          <w:spacing w:val="-6"/>
          <w:w w:val="110"/>
        </w:rPr>
        <w:t> </w:t>
      </w:r>
      <w:r>
        <w:rPr>
          <w:w w:val="110"/>
        </w:rPr>
        <w:t>however, the Charter rights can be interpreted</w:t>
      </w:r>
      <w:r>
        <w:rPr>
          <w:spacing w:val="80"/>
          <w:w w:val="110"/>
        </w:rPr>
        <w:t> </w:t>
      </w:r>
      <w:r>
        <w:rPr>
          <w:w w:val="110"/>
        </w:rPr>
        <w:t>to provide more extensive protection. </w:t>
      </w:r>
      <w:r>
        <w:rPr>
          <w:rFonts w:ascii="Lucida Sans Unicode" w:hAnsi="Lucida Sans Unicode"/>
        </w:rPr>
        <w:t>This</w:t>
      </w:r>
      <w:r>
        <w:rPr>
          <w:rFonts w:ascii="Lucida Sans Unicode" w:hAnsi="Lucida Sans Unicode"/>
          <w:spacing w:val="-3"/>
        </w:rPr>
        <w:t> </w:t>
      </w:r>
      <w:r>
        <w:rPr>
          <w:rFonts w:ascii="Lucida Sans Unicode" w:hAnsi="Lucida Sans Unicode"/>
        </w:rPr>
        <w:t>has</w:t>
      </w:r>
      <w:r>
        <w:rPr>
          <w:rFonts w:ascii="Lucida Sans Unicode" w:hAnsi="Lucida Sans Unicode"/>
          <w:spacing w:val="-3"/>
        </w:rPr>
        <w:t> </w:t>
      </w:r>
      <w:r>
        <w:rPr>
          <w:rFonts w:ascii="Lucida Sans Unicode" w:hAnsi="Lucida Sans Unicode"/>
        </w:rPr>
        <w:t>two</w:t>
      </w:r>
      <w:r>
        <w:rPr>
          <w:rFonts w:ascii="Lucida Sans Unicode" w:hAnsi="Lucida Sans Unicode"/>
          <w:spacing w:val="-3"/>
        </w:rPr>
        <w:t> </w:t>
      </w:r>
      <w:r>
        <w:rPr>
          <w:rFonts w:ascii="Lucida Sans Unicode" w:hAnsi="Lucida Sans Unicode"/>
        </w:rPr>
        <w:t>main</w:t>
      </w:r>
      <w:r>
        <w:rPr>
          <w:rFonts w:ascii="Lucida Sans Unicode" w:hAnsi="Lucida Sans Unicode"/>
          <w:spacing w:val="-3"/>
        </w:rPr>
        <w:t> </w:t>
      </w:r>
      <w:r>
        <w:rPr>
          <w:rFonts w:ascii="Lucida Sans Unicode" w:hAnsi="Lucida Sans Unicode"/>
        </w:rPr>
        <w:t>consequences:</w:t>
      </w:r>
      <w:r>
        <w:rPr>
          <w:rFonts w:ascii="Lucida Sans Unicode" w:hAnsi="Lucida Sans Unicode"/>
          <w:spacing w:val="-3"/>
        </w:rPr>
        <w:t> </w:t>
      </w:r>
      <w:r>
        <w:rPr>
          <w:rFonts w:ascii="Lucida Sans Unicode" w:hAnsi="Lucida Sans Unicode"/>
        </w:rPr>
        <w:t>first, </w:t>
      </w:r>
      <w:r>
        <w:rPr>
          <w:w w:val="110"/>
        </w:rPr>
        <w:t>corresponding Charter rights must</w:t>
      </w:r>
    </w:p>
    <w:p>
      <w:pPr>
        <w:pStyle w:val="BodyText"/>
        <w:spacing w:before="29"/>
      </w:pPr>
      <w:r>
        <w:rPr>
          <w:w w:val="115"/>
        </w:rPr>
        <w:t>be</w:t>
      </w:r>
      <w:r>
        <w:rPr>
          <w:spacing w:val="-1"/>
          <w:w w:val="115"/>
        </w:rPr>
        <w:t> </w:t>
      </w:r>
      <w:r>
        <w:rPr>
          <w:w w:val="115"/>
        </w:rPr>
        <w:t>interpreted</w:t>
      </w:r>
      <w:r>
        <w:rPr>
          <w:spacing w:val="-1"/>
          <w:w w:val="115"/>
        </w:rPr>
        <w:t> </w:t>
      </w:r>
      <w:r>
        <w:rPr>
          <w:w w:val="115"/>
        </w:rPr>
        <w:t>in</w:t>
      </w:r>
      <w:r>
        <w:rPr>
          <w:spacing w:val="-1"/>
          <w:w w:val="115"/>
        </w:rPr>
        <w:t> </w:t>
      </w:r>
      <w:r>
        <w:rPr>
          <w:w w:val="115"/>
        </w:rPr>
        <w:t>light of</w:t>
      </w:r>
      <w:r>
        <w:rPr>
          <w:spacing w:val="-1"/>
          <w:w w:val="115"/>
        </w:rPr>
        <w:t> </w:t>
      </w:r>
      <w:r>
        <w:rPr>
          <w:w w:val="115"/>
        </w:rPr>
        <w:t>the</w:t>
      </w:r>
      <w:r>
        <w:rPr>
          <w:spacing w:val="-1"/>
          <w:w w:val="115"/>
        </w:rPr>
        <w:t> </w:t>
      </w:r>
      <w:r>
        <w:rPr>
          <w:spacing w:val="-4"/>
          <w:w w:val="115"/>
        </w:rPr>
        <w:t>case</w:t>
      </w:r>
    </w:p>
    <w:p>
      <w:pPr>
        <w:pStyle w:val="BodyText"/>
        <w:spacing w:line="328" w:lineRule="exact" w:before="74"/>
        <w:ind w:right="318"/>
      </w:pPr>
      <w:r>
        <w:rPr/>
        <w:br w:type="column"/>
      </w:r>
      <w:r>
        <w:rPr>
          <w:w w:val="110"/>
        </w:rPr>
        <w:t>law of the ECtHR, which establishes the minimum standard of protection required.</w:t>
      </w:r>
      <w:r>
        <w:rPr>
          <w:rFonts w:ascii="Lucida Sans Unicode"/>
          <w:w w:val="110"/>
          <w:vertAlign w:val="superscript"/>
        </w:rPr>
        <w:t>24</w:t>
      </w:r>
      <w:r>
        <w:rPr>
          <w:rFonts w:ascii="Lucida Sans Unicode"/>
          <w:spacing w:val="-21"/>
          <w:w w:val="110"/>
          <w:vertAlign w:val="baseline"/>
        </w:rPr>
        <w:t> </w:t>
      </w:r>
      <w:r>
        <w:rPr>
          <w:rFonts w:ascii="Lucida Sans Unicode"/>
          <w:w w:val="110"/>
          <w:vertAlign w:val="baseline"/>
        </w:rPr>
        <w:t>Second,</w:t>
      </w:r>
      <w:r>
        <w:rPr>
          <w:rFonts w:ascii="Lucida Sans Unicode"/>
          <w:spacing w:val="-21"/>
          <w:w w:val="110"/>
          <w:vertAlign w:val="baseline"/>
        </w:rPr>
        <w:t> </w:t>
      </w:r>
      <w:r>
        <w:rPr>
          <w:rFonts w:ascii="Lucida Sans Unicode"/>
          <w:w w:val="110"/>
          <w:vertAlign w:val="baseline"/>
        </w:rPr>
        <w:t>Charter</w:t>
      </w:r>
      <w:r>
        <w:rPr>
          <w:rFonts w:ascii="Lucida Sans Unicode"/>
          <w:spacing w:val="-21"/>
          <w:w w:val="110"/>
          <w:vertAlign w:val="baseline"/>
        </w:rPr>
        <w:t> </w:t>
      </w:r>
      <w:r>
        <w:rPr>
          <w:rFonts w:ascii="Lucida Sans Unicode"/>
          <w:w w:val="110"/>
          <w:vertAlign w:val="baseline"/>
        </w:rPr>
        <w:t>rights </w:t>
      </w:r>
      <w:r>
        <w:rPr>
          <w:w w:val="110"/>
          <w:vertAlign w:val="baseline"/>
        </w:rPr>
        <w:t>corresponding to absolute rights in the ECHR (i.e. rights that cannot be </w:t>
      </w:r>
      <w:r>
        <w:rPr>
          <w:rFonts w:ascii="Lucida Sans Unicode"/>
          <w:vertAlign w:val="baseline"/>
        </w:rPr>
        <w:t>deviated from, such as Articles 3 </w:t>
      </w:r>
      <w:r>
        <w:rPr>
          <w:rFonts w:ascii="Lucida Sans Unicode"/>
          <w:vertAlign w:val="baseline"/>
        </w:rPr>
        <w:t>and 4 ECHR) are also absolute under the </w:t>
      </w:r>
      <w:r>
        <w:rPr>
          <w:rFonts w:ascii="Lucida Sans Unicode"/>
          <w:spacing w:val="-2"/>
          <w:w w:val="110"/>
          <w:vertAlign w:val="baseline"/>
        </w:rPr>
        <w:t>Charter,</w:t>
      </w:r>
      <w:r>
        <w:rPr>
          <w:rFonts w:ascii="Lucida Sans Unicode"/>
          <w:spacing w:val="-19"/>
          <w:w w:val="110"/>
          <w:vertAlign w:val="baseline"/>
        </w:rPr>
        <w:t> </w:t>
      </w:r>
      <w:r>
        <w:rPr>
          <w:rFonts w:ascii="Lucida Sans Unicode"/>
          <w:spacing w:val="-2"/>
          <w:w w:val="110"/>
          <w:vertAlign w:val="baseline"/>
        </w:rPr>
        <w:t>so</w:t>
      </w:r>
      <w:r>
        <w:rPr>
          <w:rFonts w:ascii="Lucida Sans Unicode"/>
          <w:spacing w:val="-19"/>
          <w:w w:val="110"/>
          <w:vertAlign w:val="baseline"/>
        </w:rPr>
        <w:t> </w:t>
      </w:r>
      <w:r>
        <w:rPr>
          <w:rFonts w:ascii="Lucida Sans Unicode"/>
          <w:spacing w:val="-2"/>
          <w:w w:val="110"/>
          <w:vertAlign w:val="baseline"/>
        </w:rPr>
        <w:t>that</w:t>
      </w:r>
      <w:r>
        <w:rPr>
          <w:rFonts w:ascii="Lucida Sans Unicode"/>
          <w:spacing w:val="-19"/>
          <w:w w:val="110"/>
          <w:vertAlign w:val="baseline"/>
        </w:rPr>
        <w:t> </w:t>
      </w:r>
      <w:r>
        <w:rPr>
          <w:rFonts w:ascii="Lucida Sans Unicode"/>
          <w:spacing w:val="-2"/>
          <w:w w:val="110"/>
          <w:vertAlign w:val="baseline"/>
        </w:rPr>
        <w:t>Article</w:t>
      </w:r>
      <w:r>
        <w:rPr>
          <w:rFonts w:ascii="Lucida Sans Unicode"/>
          <w:spacing w:val="-19"/>
          <w:w w:val="110"/>
          <w:vertAlign w:val="baseline"/>
        </w:rPr>
        <w:t> </w:t>
      </w:r>
      <w:r>
        <w:rPr>
          <w:rFonts w:ascii="Lucida Sans Unicode"/>
          <w:spacing w:val="-2"/>
          <w:w w:val="110"/>
          <w:vertAlign w:val="baseline"/>
        </w:rPr>
        <w:t>52</w:t>
      </w:r>
      <w:r>
        <w:rPr>
          <w:rFonts w:ascii="Lucida Sans Unicode"/>
          <w:spacing w:val="-19"/>
          <w:w w:val="110"/>
          <w:vertAlign w:val="baseline"/>
        </w:rPr>
        <w:t> </w:t>
      </w:r>
      <w:r>
        <w:rPr>
          <w:rFonts w:ascii="Lucida Sans Unicode"/>
          <w:spacing w:val="-2"/>
          <w:w w:val="110"/>
          <w:vertAlign w:val="baseline"/>
        </w:rPr>
        <w:t>(1)</w:t>
      </w:r>
      <w:r>
        <w:rPr>
          <w:rFonts w:ascii="Lucida Sans Unicode"/>
          <w:spacing w:val="-19"/>
          <w:w w:val="110"/>
          <w:vertAlign w:val="baseline"/>
        </w:rPr>
        <w:t> </w:t>
      </w:r>
      <w:r>
        <w:rPr>
          <w:rFonts w:ascii="Lucida Sans Unicode"/>
          <w:spacing w:val="-2"/>
          <w:w w:val="110"/>
          <w:vertAlign w:val="baseline"/>
        </w:rPr>
        <w:t>CFR </w:t>
      </w:r>
      <w:r>
        <w:rPr>
          <w:w w:val="110"/>
          <w:vertAlign w:val="baseline"/>
        </w:rPr>
        <w:t>does not apply to them.</w:t>
      </w:r>
    </w:p>
    <w:p>
      <w:pPr>
        <w:pStyle w:val="BodyText"/>
        <w:spacing w:before="23"/>
        <w:ind w:left="0"/>
      </w:pPr>
    </w:p>
    <w:p>
      <w:pPr>
        <w:pStyle w:val="BodyText"/>
        <w:spacing w:line="328" w:lineRule="exact"/>
        <w:ind w:right="285"/>
      </w:pPr>
      <w:r>
        <w:rPr>
          <w:w w:val="110"/>
        </w:rPr>
        <w:t>The Charter also goes beyond the ECHR in protecting </w:t>
      </w:r>
      <w:r>
        <w:rPr>
          <w:rFonts w:ascii="Verdana" w:hAnsi="Verdana"/>
          <w:i/>
          <w:w w:val="110"/>
        </w:rPr>
        <w:t>more</w:t>
      </w:r>
      <w:r>
        <w:rPr>
          <w:rFonts w:ascii="Verdana" w:hAnsi="Verdana"/>
          <w:i/>
          <w:spacing w:val="-20"/>
          <w:w w:val="110"/>
        </w:rPr>
        <w:t> </w:t>
      </w:r>
      <w:r>
        <w:rPr>
          <w:w w:val="110"/>
        </w:rPr>
        <w:t>rights. This mostly concerns Titles III, IV, and V</w:t>
      </w:r>
      <w:r>
        <w:rPr>
          <w:spacing w:val="40"/>
          <w:w w:val="110"/>
        </w:rPr>
        <w:t> </w:t>
      </w:r>
      <w:r>
        <w:rPr>
          <w:w w:val="110"/>
        </w:rPr>
        <w:t>of the Charter on equality, solidarity, and</w:t>
      </w:r>
      <w:r>
        <w:rPr>
          <w:spacing w:val="-16"/>
          <w:w w:val="110"/>
        </w:rPr>
        <w:t> </w:t>
      </w:r>
      <w:r>
        <w:rPr>
          <w:w w:val="110"/>
        </w:rPr>
        <w:t>EU</w:t>
      </w:r>
      <w:r>
        <w:rPr>
          <w:spacing w:val="-16"/>
          <w:w w:val="110"/>
        </w:rPr>
        <w:t> </w:t>
      </w:r>
      <w:r>
        <w:rPr>
          <w:w w:val="110"/>
        </w:rPr>
        <w:t>citizens’</w:t>
      </w:r>
      <w:r>
        <w:rPr>
          <w:spacing w:val="-16"/>
          <w:w w:val="110"/>
        </w:rPr>
        <w:t> </w:t>
      </w:r>
      <w:r>
        <w:rPr>
          <w:w w:val="110"/>
        </w:rPr>
        <w:t>rights,</w:t>
      </w:r>
      <w:r>
        <w:rPr>
          <w:spacing w:val="-16"/>
          <w:w w:val="110"/>
        </w:rPr>
        <w:t> </w:t>
      </w:r>
      <w:r>
        <w:rPr>
          <w:w w:val="110"/>
        </w:rPr>
        <w:t>respectively.</w:t>
      </w:r>
      <w:r>
        <w:rPr>
          <w:rFonts w:ascii="Lucida Sans Unicode" w:hAnsi="Lucida Sans Unicode"/>
          <w:w w:val="110"/>
          <w:vertAlign w:val="superscript"/>
        </w:rPr>
        <w:t>25</w:t>
      </w:r>
      <w:r>
        <w:rPr>
          <w:rFonts w:ascii="Lucida Sans Unicode" w:hAnsi="Lucida Sans Unicode"/>
          <w:w w:val="110"/>
          <w:vertAlign w:val="baseline"/>
        </w:rPr>
        <w:t> </w:t>
      </w:r>
      <w:r>
        <w:rPr>
          <w:w w:val="110"/>
          <w:vertAlign w:val="baseline"/>
        </w:rPr>
        <w:t>But even Titles I and II, for which</w:t>
      </w:r>
    </w:p>
    <w:p>
      <w:pPr>
        <w:pStyle w:val="BodyText"/>
        <w:spacing w:line="285" w:lineRule="auto" w:before="37"/>
        <w:ind w:right="420"/>
      </w:pPr>
      <w:r>
        <w:rPr>
          <w:w w:val="110"/>
        </w:rPr>
        <w:t>the ECHR was the major source of inspiration, contain additional rights, such as human dignity (Article </w:t>
      </w:r>
      <w:r>
        <w:rPr/>
        <w:t>1 </w:t>
      </w:r>
      <w:r>
        <w:rPr>
          <w:w w:val="110"/>
        </w:rPr>
        <w:t>CFR), integrity of the person </w:t>
      </w:r>
      <w:r>
        <w:rPr>
          <w:w w:val="110"/>
        </w:rPr>
        <w:t>(Article</w:t>
      </w:r>
    </w:p>
    <w:p>
      <w:pPr>
        <w:pStyle w:val="BodyText"/>
        <w:spacing w:line="213" w:lineRule="auto"/>
        <w:ind w:right="266"/>
        <w:rPr>
          <w:rFonts w:ascii="Lucida Sans Unicode"/>
        </w:rPr>
      </w:pPr>
      <w:r>
        <w:rPr>
          <w:rFonts w:ascii="Lucida Sans Unicode"/>
          <w:w w:val="105"/>
        </w:rPr>
        <w:t>3 CFR), the protection of personal data</w:t>
      </w:r>
      <w:r>
        <w:rPr>
          <w:rFonts w:ascii="Lucida Sans Unicode"/>
          <w:spacing w:val="-8"/>
          <w:w w:val="105"/>
        </w:rPr>
        <w:t> </w:t>
      </w:r>
      <w:r>
        <w:rPr>
          <w:rFonts w:ascii="Lucida Sans Unicode"/>
          <w:w w:val="105"/>
        </w:rPr>
        <w:t>(Article</w:t>
      </w:r>
      <w:r>
        <w:rPr>
          <w:rFonts w:ascii="Lucida Sans Unicode"/>
          <w:spacing w:val="-8"/>
          <w:w w:val="105"/>
        </w:rPr>
        <w:t> </w:t>
      </w:r>
      <w:r>
        <w:rPr>
          <w:rFonts w:ascii="Lucida Sans Unicode"/>
          <w:w w:val="105"/>
        </w:rPr>
        <w:t>8</w:t>
      </w:r>
      <w:r>
        <w:rPr>
          <w:rFonts w:ascii="Lucida Sans Unicode"/>
          <w:spacing w:val="-8"/>
          <w:w w:val="105"/>
        </w:rPr>
        <w:t> </w:t>
      </w:r>
      <w:r>
        <w:rPr>
          <w:rFonts w:ascii="Lucida Sans Unicode"/>
          <w:w w:val="105"/>
        </w:rPr>
        <w:t>CFR),</w:t>
      </w:r>
      <w:r>
        <w:rPr>
          <w:rFonts w:ascii="Lucida Sans Unicode"/>
          <w:spacing w:val="-8"/>
          <w:w w:val="105"/>
        </w:rPr>
        <w:t> </w:t>
      </w:r>
      <w:r>
        <w:rPr>
          <w:rFonts w:ascii="Lucida Sans Unicode"/>
          <w:w w:val="105"/>
        </w:rPr>
        <w:t>freedom</w:t>
      </w:r>
      <w:r>
        <w:rPr>
          <w:rFonts w:ascii="Lucida Sans Unicode"/>
          <w:spacing w:val="-8"/>
          <w:w w:val="105"/>
        </w:rPr>
        <w:t> </w:t>
      </w:r>
      <w:r>
        <w:rPr>
          <w:rFonts w:ascii="Lucida Sans Unicode"/>
          <w:w w:val="105"/>
        </w:rPr>
        <w:t>of</w:t>
      </w:r>
      <w:r>
        <w:rPr>
          <w:rFonts w:ascii="Lucida Sans Unicode"/>
          <w:spacing w:val="-8"/>
          <w:w w:val="105"/>
        </w:rPr>
        <w:t> </w:t>
      </w:r>
      <w:r>
        <w:rPr>
          <w:rFonts w:ascii="Lucida Sans Unicode"/>
          <w:w w:val="105"/>
        </w:rPr>
        <w:t>the</w:t>
      </w:r>
      <w:r>
        <w:rPr>
          <w:rFonts w:ascii="Lucida Sans Unicode"/>
          <w:w w:val="105"/>
        </w:rPr>
        <w:t> arts and sciences (Article 13 CFR),</w:t>
      </w:r>
    </w:p>
    <w:p>
      <w:pPr>
        <w:pStyle w:val="BodyText"/>
        <w:spacing w:line="285" w:lineRule="auto"/>
        <w:ind w:right="266"/>
      </w:pPr>
      <w:r>
        <w:rPr>
          <w:w w:val="115"/>
        </w:rPr>
        <w:t>freedom to choose and occupation and the right to engage in work (Article</w:t>
      </w:r>
      <w:r>
        <w:rPr>
          <w:spacing w:val="-18"/>
          <w:w w:val="115"/>
        </w:rPr>
        <w:t> </w:t>
      </w:r>
      <w:r>
        <w:rPr>
          <w:w w:val="115"/>
        </w:rPr>
        <w:t>15</w:t>
      </w:r>
      <w:r>
        <w:rPr>
          <w:spacing w:val="-18"/>
          <w:w w:val="115"/>
        </w:rPr>
        <w:t> </w:t>
      </w:r>
      <w:r>
        <w:rPr>
          <w:w w:val="115"/>
        </w:rPr>
        <w:t>CFR),</w:t>
      </w:r>
      <w:r>
        <w:rPr>
          <w:spacing w:val="-18"/>
          <w:w w:val="115"/>
        </w:rPr>
        <w:t> </w:t>
      </w:r>
      <w:r>
        <w:rPr>
          <w:w w:val="115"/>
        </w:rPr>
        <w:t>the</w:t>
      </w:r>
      <w:r>
        <w:rPr>
          <w:spacing w:val="-18"/>
          <w:w w:val="115"/>
        </w:rPr>
        <w:t> </w:t>
      </w:r>
      <w:r>
        <w:rPr>
          <w:w w:val="115"/>
        </w:rPr>
        <w:t>right</w:t>
      </w:r>
      <w:r>
        <w:rPr>
          <w:spacing w:val="-18"/>
          <w:w w:val="115"/>
        </w:rPr>
        <w:t> </w:t>
      </w:r>
      <w:r>
        <w:rPr>
          <w:w w:val="115"/>
        </w:rPr>
        <w:t>to</w:t>
      </w:r>
      <w:r>
        <w:rPr>
          <w:spacing w:val="-18"/>
          <w:w w:val="115"/>
        </w:rPr>
        <w:t> </w:t>
      </w:r>
      <w:r>
        <w:rPr>
          <w:w w:val="115"/>
        </w:rPr>
        <w:t>conduct a</w:t>
      </w:r>
      <w:r>
        <w:rPr>
          <w:spacing w:val="-13"/>
          <w:w w:val="115"/>
        </w:rPr>
        <w:t> </w:t>
      </w:r>
      <w:r>
        <w:rPr>
          <w:w w:val="115"/>
        </w:rPr>
        <w:t>business</w:t>
      </w:r>
      <w:r>
        <w:rPr>
          <w:spacing w:val="-13"/>
          <w:w w:val="115"/>
        </w:rPr>
        <w:t> </w:t>
      </w:r>
      <w:r>
        <w:rPr>
          <w:w w:val="115"/>
        </w:rPr>
        <w:t>(Article</w:t>
      </w:r>
      <w:r>
        <w:rPr>
          <w:spacing w:val="-13"/>
          <w:w w:val="115"/>
        </w:rPr>
        <w:t> </w:t>
      </w:r>
      <w:r>
        <w:rPr>
          <w:w w:val="115"/>
        </w:rPr>
        <w:t>16</w:t>
      </w:r>
      <w:r>
        <w:rPr>
          <w:spacing w:val="-13"/>
          <w:w w:val="115"/>
        </w:rPr>
        <w:t> </w:t>
      </w:r>
      <w:r>
        <w:rPr>
          <w:w w:val="115"/>
        </w:rPr>
        <w:t>CFR),</w:t>
      </w:r>
      <w:r>
        <w:rPr>
          <w:spacing w:val="-13"/>
          <w:w w:val="115"/>
        </w:rPr>
        <w:t> </w:t>
      </w:r>
      <w:r>
        <w:rPr>
          <w:w w:val="115"/>
        </w:rPr>
        <w:t>and</w:t>
      </w:r>
      <w:r>
        <w:rPr>
          <w:spacing w:val="-13"/>
          <w:w w:val="115"/>
        </w:rPr>
        <w:t> </w:t>
      </w:r>
      <w:r>
        <w:rPr>
          <w:w w:val="115"/>
        </w:rPr>
        <w:t>the</w:t>
      </w:r>
    </w:p>
    <w:p>
      <w:pPr>
        <w:pStyle w:val="BodyText"/>
        <w:spacing w:line="329" w:lineRule="exact"/>
        <w:rPr>
          <w:rFonts w:ascii="Lucida Sans Unicode"/>
        </w:rPr>
      </w:pPr>
      <w:r>
        <w:rPr>
          <w:rFonts w:ascii="Lucida Sans Unicode"/>
        </w:rPr>
        <w:t>right</w:t>
      </w:r>
      <w:r>
        <w:rPr>
          <w:rFonts w:ascii="Lucida Sans Unicode"/>
          <w:spacing w:val="1"/>
        </w:rPr>
        <w:t> </w:t>
      </w:r>
      <w:r>
        <w:rPr>
          <w:rFonts w:ascii="Lucida Sans Unicode"/>
        </w:rPr>
        <w:t>to</w:t>
      </w:r>
      <w:r>
        <w:rPr>
          <w:rFonts w:ascii="Lucida Sans Unicode"/>
          <w:spacing w:val="1"/>
        </w:rPr>
        <w:t> </w:t>
      </w:r>
      <w:r>
        <w:rPr>
          <w:rFonts w:ascii="Lucida Sans Unicode"/>
        </w:rPr>
        <w:t>asylum</w:t>
      </w:r>
      <w:r>
        <w:rPr>
          <w:rFonts w:ascii="Lucida Sans Unicode"/>
          <w:spacing w:val="1"/>
        </w:rPr>
        <w:t> </w:t>
      </w:r>
      <w:r>
        <w:rPr>
          <w:rFonts w:ascii="Lucida Sans Unicode"/>
        </w:rPr>
        <w:t>(Article</w:t>
      </w:r>
      <w:r>
        <w:rPr>
          <w:rFonts w:ascii="Lucida Sans Unicode"/>
          <w:spacing w:val="1"/>
        </w:rPr>
        <w:t> </w:t>
      </w:r>
      <w:r>
        <w:rPr>
          <w:rFonts w:ascii="Lucida Sans Unicode"/>
        </w:rPr>
        <w:t>18</w:t>
      </w:r>
      <w:r>
        <w:rPr>
          <w:rFonts w:ascii="Lucida Sans Unicode"/>
          <w:spacing w:val="1"/>
        </w:rPr>
        <w:t> </w:t>
      </w:r>
      <w:r>
        <w:rPr>
          <w:rFonts w:ascii="Lucida Sans Unicode"/>
          <w:spacing w:val="-2"/>
        </w:rPr>
        <w:t>CFR).</w:t>
      </w:r>
    </w:p>
    <w:p>
      <w:pPr>
        <w:pStyle w:val="BodyText"/>
        <w:spacing w:line="283" w:lineRule="auto" w:before="295"/>
        <w:ind w:right="502"/>
      </w:pPr>
      <w:r>
        <w:rPr>
          <w:w w:val="110"/>
        </w:rPr>
        <w:t>These differences between the protections</w:t>
      </w:r>
      <w:r>
        <w:rPr>
          <w:spacing w:val="40"/>
          <w:w w:val="110"/>
        </w:rPr>
        <w:t> </w:t>
      </w:r>
      <w:r>
        <w:rPr>
          <w:w w:val="110"/>
        </w:rPr>
        <w:t>listed</w:t>
      </w:r>
      <w:r>
        <w:rPr>
          <w:spacing w:val="40"/>
          <w:w w:val="110"/>
        </w:rPr>
        <w:t> </w:t>
      </w:r>
      <w:r>
        <w:rPr>
          <w:w w:val="110"/>
        </w:rPr>
        <w:t>in</w:t>
      </w:r>
      <w:r>
        <w:rPr>
          <w:spacing w:val="40"/>
          <w:w w:val="110"/>
        </w:rPr>
        <w:t> </w:t>
      </w:r>
      <w:r>
        <w:rPr>
          <w:w w:val="110"/>
        </w:rPr>
        <w:t>the</w:t>
      </w:r>
      <w:r>
        <w:rPr>
          <w:spacing w:val="40"/>
          <w:w w:val="110"/>
        </w:rPr>
        <w:t> </w:t>
      </w:r>
      <w:r>
        <w:rPr>
          <w:w w:val="110"/>
        </w:rPr>
        <w:t>Charter and the ECHR can be practically meaningful. For example, in its judgment in </w:t>
      </w:r>
      <w:r>
        <w:rPr>
          <w:rFonts w:ascii="Verdana"/>
          <w:i/>
          <w:w w:val="110"/>
        </w:rPr>
        <w:t>CG</w:t>
      </w:r>
      <w:r>
        <w:rPr>
          <w:w w:val="110"/>
        </w:rPr>
        <w:t>, the CJEU relied on the right to human dignity in </w:t>
      </w:r>
      <w:r>
        <w:rPr>
          <w:w w:val="110"/>
        </w:rPr>
        <w:t>Article</w:t>
      </w:r>
      <w:r>
        <w:rPr>
          <w:spacing w:val="80"/>
          <w:w w:val="110"/>
        </w:rPr>
        <w:t> </w:t>
      </w:r>
      <w:r>
        <w:rPr/>
        <w:t>1 </w:t>
      </w:r>
      <w:r>
        <w:rPr>
          <w:w w:val="110"/>
        </w:rPr>
        <w:t>CFR to anchor an obligation on</w:t>
      </w:r>
    </w:p>
    <w:p>
      <w:pPr>
        <w:pStyle w:val="BodyText"/>
        <w:spacing w:line="252" w:lineRule="auto"/>
        <w:rPr>
          <w:rFonts w:ascii="Lucida Sans Unicode"/>
        </w:rPr>
      </w:pPr>
      <w:r>
        <w:rPr>
          <w:w w:val="110"/>
        </w:rPr>
        <w:t>Northern Ireland to disburse </w:t>
      </w:r>
      <w:r>
        <w:rPr>
          <w:w w:val="110"/>
        </w:rPr>
        <w:t>minimum </w:t>
      </w:r>
      <w:r>
        <w:rPr>
          <w:rFonts w:ascii="Lucida Sans Unicode"/>
        </w:rPr>
        <w:t>subsistence</w:t>
      </w:r>
      <w:r>
        <w:rPr>
          <w:rFonts w:ascii="Lucida Sans Unicode"/>
          <w:spacing w:val="16"/>
        </w:rPr>
        <w:t> </w:t>
      </w:r>
      <w:r>
        <w:rPr>
          <w:rFonts w:ascii="Lucida Sans Unicode"/>
        </w:rPr>
        <w:t>benefits</w:t>
      </w:r>
      <w:r>
        <w:rPr>
          <w:rFonts w:ascii="Lucida Sans Unicode"/>
          <w:spacing w:val="17"/>
        </w:rPr>
        <w:t> </w:t>
      </w:r>
      <w:r>
        <w:rPr>
          <w:rFonts w:ascii="Lucida Sans Unicode"/>
        </w:rPr>
        <w:t>to</w:t>
      </w:r>
      <w:r>
        <w:rPr>
          <w:rFonts w:ascii="Lucida Sans Unicode"/>
          <w:spacing w:val="17"/>
        </w:rPr>
        <w:t> </w:t>
      </w:r>
      <w:r>
        <w:rPr>
          <w:rFonts w:ascii="Lucida Sans Unicode"/>
        </w:rPr>
        <w:t>EU</w:t>
      </w:r>
      <w:r>
        <w:rPr>
          <w:rFonts w:ascii="Lucida Sans Unicode"/>
          <w:spacing w:val="17"/>
        </w:rPr>
        <w:t> </w:t>
      </w:r>
      <w:r>
        <w:rPr>
          <w:rFonts w:ascii="Lucida Sans Unicode"/>
          <w:spacing w:val="-2"/>
        </w:rPr>
        <w:t>nationals.</w:t>
      </w:r>
      <w:r>
        <w:rPr>
          <w:rFonts w:ascii="Lucida Sans Unicode"/>
          <w:spacing w:val="-2"/>
          <w:vertAlign w:val="superscript"/>
        </w:rPr>
        <w:t>26</w:t>
      </w:r>
    </w:p>
    <w:p>
      <w:pPr>
        <w:spacing w:after="0" w:line="252" w:lineRule="auto"/>
        <w:rPr>
          <w:rFonts w:ascii="Lucida Sans Unicode"/>
        </w:rPr>
        <w:sectPr>
          <w:type w:val="continuous"/>
          <w:pgSz w:w="11910" w:h="16840"/>
          <w:pgMar w:header="568" w:footer="580" w:top="0" w:bottom="280" w:left="1020" w:right="1020"/>
          <w:cols w:num="2" w:equalWidth="0">
            <w:col w:w="4746" w:space="299"/>
            <w:col w:w="4825"/>
          </w:cols>
        </w:sectPr>
      </w:pPr>
    </w:p>
    <w:p>
      <w:pPr>
        <w:pStyle w:val="BodyText"/>
        <w:spacing w:before="8"/>
        <w:ind w:left="0"/>
        <w:rPr>
          <w:rFonts w:ascii="Lucida Sans Unicode"/>
          <w:sz w:val="7"/>
        </w:rPr>
      </w:pPr>
    </w:p>
    <w:p>
      <w:pPr>
        <w:pStyle w:val="BodyText"/>
        <w:spacing w:line="20" w:lineRule="exact"/>
        <w:rPr>
          <w:rFonts w:ascii="Lucida Sans Unicode"/>
          <w:sz w:val="2"/>
        </w:rPr>
      </w:pPr>
      <w:r>
        <w:rPr>
          <w:rFonts w:ascii="Lucida Sans Unicode"/>
          <w:sz w:val="2"/>
        </w:rPr>
        <mc:AlternateContent>
          <mc:Choice Requires="wps">
            <w:drawing>
              <wp:inline distT="0" distB="0" distL="0" distR="0">
                <wp:extent cx="6120130" cy="6350"/>
                <wp:effectExtent l="9525" t="0" r="0" b="3175"/>
                <wp:docPr id="63" name="Group 63"/>
                <wp:cNvGraphicFramePr>
                  <a:graphicFrameLocks/>
                </wp:cNvGraphicFramePr>
                <a:graphic>
                  <a:graphicData uri="http://schemas.microsoft.com/office/word/2010/wordprocessingGroup">
                    <wpg:wgp>
                      <wpg:cNvPr id="63" name="Group 63"/>
                      <wpg:cNvGrpSpPr/>
                      <wpg:grpSpPr>
                        <a:xfrm>
                          <a:off x="0" y="0"/>
                          <a:ext cx="6120130" cy="6350"/>
                          <a:chExt cx="6120130" cy="6350"/>
                        </a:xfrm>
                      </wpg:grpSpPr>
                      <wps:wsp>
                        <wps:cNvPr id="64" name="Graphic 64"/>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50" coordorigin="0,0" coordsize="9638,10">
                <v:line style="position:absolute" from="0,5" to="9638,5" stroked="true" strokeweight=".5pt" strokecolor="#77328a">
                  <v:stroke dashstyle="solid"/>
                </v:line>
              </v:group>
            </w:pict>
          </mc:Fallback>
        </mc:AlternateContent>
      </w:r>
      <w:r>
        <w:rPr>
          <w:rFonts w:ascii="Lucida Sans Unicode"/>
          <w:sz w:val="2"/>
        </w:rPr>
      </w:r>
    </w:p>
    <w:p>
      <w:pPr>
        <w:pStyle w:val="ListParagraph"/>
        <w:numPr>
          <w:ilvl w:val="0"/>
          <w:numId w:val="6"/>
        </w:numPr>
        <w:tabs>
          <w:tab w:pos="567" w:val="left" w:leader="none"/>
        </w:tabs>
        <w:spacing w:line="223" w:lineRule="exact" w:before="61" w:after="0"/>
        <w:ind w:left="567" w:right="0" w:hanging="454"/>
        <w:jc w:val="left"/>
        <w:rPr>
          <w:sz w:val="16"/>
        </w:rPr>
      </w:pPr>
      <w:r>
        <w:rPr>
          <w:sz w:val="16"/>
        </w:rPr>
        <w:t>Starting</w:t>
      </w:r>
      <w:r>
        <w:rPr>
          <w:spacing w:val="-1"/>
          <w:sz w:val="16"/>
        </w:rPr>
        <w:t> </w:t>
      </w:r>
      <w:r>
        <w:rPr>
          <w:sz w:val="16"/>
        </w:rPr>
        <w:t>with App No 25965/04, </w:t>
      </w:r>
      <w:r>
        <w:rPr>
          <w:rFonts w:ascii="Verdana"/>
          <w:i/>
          <w:sz w:val="16"/>
        </w:rPr>
        <w:t>Rantsev</w:t>
      </w:r>
      <w:r>
        <w:rPr>
          <w:rFonts w:ascii="Verdana"/>
          <w:i/>
          <w:spacing w:val="-6"/>
          <w:sz w:val="16"/>
        </w:rPr>
        <w:t> </w:t>
      </w:r>
      <w:r>
        <w:rPr>
          <w:rFonts w:ascii="Verdana"/>
          <w:i/>
          <w:sz w:val="16"/>
        </w:rPr>
        <w:t>v</w:t>
      </w:r>
      <w:r>
        <w:rPr>
          <w:rFonts w:ascii="Verdana"/>
          <w:i/>
          <w:spacing w:val="-6"/>
          <w:sz w:val="16"/>
        </w:rPr>
        <w:t> </w:t>
      </w:r>
      <w:r>
        <w:rPr>
          <w:rFonts w:ascii="Verdana"/>
          <w:i/>
          <w:sz w:val="16"/>
        </w:rPr>
        <w:t>Cyprus</w:t>
      </w:r>
      <w:r>
        <w:rPr>
          <w:rFonts w:ascii="Verdana"/>
          <w:i/>
          <w:spacing w:val="-6"/>
          <w:sz w:val="16"/>
        </w:rPr>
        <w:t> </w:t>
      </w:r>
      <w:r>
        <w:rPr>
          <w:rFonts w:ascii="Verdana"/>
          <w:i/>
          <w:sz w:val="16"/>
        </w:rPr>
        <w:t>and</w:t>
      </w:r>
      <w:r>
        <w:rPr>
          <w:rFonts w:ascii="Verdana"/>
          <w:i/>
          <w:spacing w:val="-6"/>
          <w:sz w:val="16"/>
        </w:rPr>
        <w:t> </w:t>
      </w:r>
      <w:r>
        <w:rPr>
          <w:rFonts w:ascii="Verdana"/>
          <w:i/>
          <w:sz w:val="16"/>
        </w:rPr>
        <w:t>Russia</w:t>
      </w:r>
      <w:r>
        <w:rPr>
          <w:rFonts w:ascii="Verdana"/>
          <w:i/>
          <w:spacing w:val="-6"/>
          <w:sz w:val="16"/>
        </w:rPr>
        <w:t> </w:t>
      </w:r>
      <w:r>
        <w:rPr>
          <w:sz w:val="16"/>
        </w:rPr>
        <w:t>(2010) </w:t>
      </w:r>
      <w:r>
        <w:rPr>
          <w:w w:val="95"/>
          <w:sz w:val="16"/>
        </w:rPr>
        <w:t>51</w:t>
      </w:r>
      <w:r>
        <w:rPr>
          <w:sz w:val="16"/>
        </w:rPr>
        <w:t> EHRR </w:t>
      </w:r>
      <w:r>
        <w:rPr>
          <w:spacing w:val="-5"/>
          <w:w w:val="95"/>
          <w:sz w:val="16"/>
        </w:rPr>
        <w:t>1.</w:t>
      </w:r>
    </w:p>
    <w:p>
      <w:pPr>
        <w:pStyle w:val="ListParagraph"/>
        <w:numPr>
          <w:ilvl w:val="0"/>
          <w:numId w:val="6"/>
        </w:numPr>
        <w:tabs>
          <w:tab w:pos="567" w:val="left" w:leader="none"/>
        </w:tabs>
        <w:spacing w:line="218" w:lineRule="auto" w:before="0" w:after="0"/>
        <w:ind w:left="567" w:right="249" w:hanging="454"/>
        <w:jc w:val="left"/>
        <w:rPr>
          <w:sz w:val="16"/>
        </w:rPr>
      </w:pPr>
      <w:r>
        <w:rPr>
          <w:sz w:val="16"/>
        </w:rPr>
        <w:t>See Charter Explanations, which state that: ‘The meaning and the scope of the guaranteed rights are determined</w:t>
      </w:r>
      <w:r>
        <w:rPr>
          <w:spacing w:val="80"/>
          <w:w w:val="110"/>
          <w:sz w:val="16"/>
        </w:rPr>
        <w:t> </w:t>
      </w:r>
      <w:r>
        <w:rPr>
          <w:rFonts w:ascii="Arial" w:hAnsi="Arial"/>
          <w:w w:val="110"/>
          <w:sz w:val="16"/>
        </w:rPr>
        <w:t>not</w:t>
      </w:r>
      <w:r>
        <w:rPr>
          <w:rFonts w:ascii="Arial" w:hAnsi="Arial"/>
          <w:spacing w:val="9"/>
          <w:w w:val="110"/>
          <w:sz w:val="16"/>
        </w:rPr>
        <w:t> </w:t>
      </w:r>
      <w:r>
        <w:rPr>
          <w:rFonts w:ascii="Arial" w:hAnsi="Arial"/>
          <w:w w:val="110"/>
          <w:sz w:val="16"/>
        </w:rPr>
        <w:t>only</w:t>
      </w:r>
      <w:r>
        <w:rPr>
          <w:rFonts w:ascii="Arial" w:hAnsi="Arial"/>
          <w:spacing w:val="9"/>
          <w:w w:val="110"/>
          <w:sz w:val="16"/>
        </w:rPr>
        <w:t> </w:t>
      </w:r>
      <w:r>
        <w:rPr>
          <w:rFonts w:ascii="Arial" w:hAnsi="Arial"/>
          <w:w w:val="110"/>
          <w:sz w:val="16"/>
        </w:rPr>
        <w:t>by</w:t>
      </w:r>
      <w:r>
        <w:rPr>
          <w:rFonts w:ascii="Arial" w:hAnsi="Arial"/>
          <w:spacing w:val="9"/>
          <w:w w:val="110"/>
          <w:sz w:val="16"/>
        </w:rPr>
        <w:t> </w:t>
      </w:r>
      <w:r>
        <w:rPr>
          <w:rFonts w:ascii="Arial" w:hAnsi="Arial"/>
          <w:w w:val="110"/>
          <w:sz w:val="16"/>
        </w:rPr>
        <w:t>the</w:t>
      </w:r>
      <w:r>
        <w:rPr>
          <w:rFonts w:ascii="Arial" w:hAnsi="Arial"/>
          <w:spacing w:val="9"/>
          <w:w w:val="110"/>
          <w:sz w:val="16"/>
        </w:rPr>
        <w:t> </w:t>
      </w:r>
      <w:r>
        <w:rPr>
          <w:rFonts w:ascii="Arial" w:hAnsi="Arial"/>
          <w:w w:val="110"/>
          <w:sz w:val="16"/>
        </w:rPr>
        <w:t>text</w:t>
      </w:r>
      <w:r>
        <w:rPr>
          <w:rFonts w:ascii="Arial" w:hAnsi="Arial"/>
          <w:spacing w:val="9"/>
          <w:w w:val="110"/>
          <w:sz w:val="16"/>
        </w:rPr>
        <w:t> </w:t>
      </w:r>
      <w:r>
        <w:rPr>
          <w:rFonts w:ascii="Arial" w:hAnsi="Arial"/>
          <w:w w:val="110"/>
          <w:sz w:val="16"/>
        </w:rPr>
        <w:t>of</w:t>
      </w:r>
      <w:r>
        <w:rPr>
          <w:rFonts w:ascii="Arial" w:hAnsi="Arial"/>
          <w:spacing w:val="9"/>
          <w:w w:val="110"/>
          <w:sz w:val="16"/>
        </w:rPr>
        <w:t> </w:t>
      </w:r>
      <w:r>
        <w:rPr>
          <w:rFonts w:ascii="Arial" w:hAnsi="Arial"/>
          <w:w w:val="110"/>
          <w:sz w:val="16"/>
        </w:rPr>
        <w:t>those</w:t>
      </w:r>
      <w:r>
        <w:rPr>
          <w:rFonts w:ascii="Arial" w:hAnsi="Arial"/>
          <w:spacing w:val="9"/>
          <w:w w:val="110"/>
          <w:sz w:val="16"/>
        </w:rPr>
        <w:t> </w:t>
      </w:r>
      <w:r>
        <w:rPr>
          <w:rFonts w:ascii="Arial" w:hAnsi="Arial"/>
          <w:w w:val="110"/>
          <w:sz w:val="16"/>
        </w:rPr>
        <w:t>instruments,</w:t>
      </w:r>
      <w:r>
        <w:rPr>
          <w:rFonts w:ascii="Arial" w:hAnsi="Arial"/>
          <w:spacing w:val="9"/>
          <w:w w:val="110"/>
          <w:sz w:val="16"/>
        </w:rPr>
        <w:t> </w:t>
      </w:r>
      <w:r>
        <w:rPr>
          <w:rFonts w:ascii="Arial" w:hAnsi="Arial"/>
          <w:w w:val="110"/>
          <w:sz w:val="16"/>
        </w:rPr>
        <w:t>but</w:t>
      </w:r>
      <w:r>
        <w:rPr>
          <w:rFonts w:ascii="Arial" w:hAnsi="Arial"/>
          <w:spacing w:val="9"/>
          <w:w w:val="110"/>
          <w:sz w:val="16"/>
        </w:rPr>
        <w:t> </w:t>
      </w:r>
      <w:r>
        <w:rPr>
          <w:rFonts w:ascii="Arial" w:hAnsi="Arial"/>
          <w:w w:val="110"/>
          <w:sz w:val="16"/>
        </w:rPr>
        <w:t>also</w:t>
      </w:r>
      <w:r>
        <w:rPr>
          <w:rFonts w:ascii="Arial" w:hAnsi="Arial"/>
          <w:spacing w:val="9"/>
          <w:w w:val="110"/>
          <w:sz w:val="16"/>
        </w:rPr>
        <w:t> </w:t>
      </w:r>
      <w:r>
        <w:rPr>
          <w:rFonts w:ascii="Arial" w:hAnsi="Arial"/>
          <w:w w:val="110"/>
          <w:sz w:val="16"/>
        </w:rPr>
        <w:t>by</w:t>
      </w:r>
      <w:r>
        <w:rPr>
          <w:rFonts w:ascii="Arial" w:hAnsi="Arial"/>
          <w:spacing w:val="9"/>
          <w:w w:val="110"/>
          <w:sz w:val="16"/>
        </w:rPr>
        <w:t> </w:t>
      </w:r>
      <w:r>
        <w:rPr>
          <w:rFonts w:ascii="Arial" w:hAnsi="Arial"/>
          <w:w w:val="110"/>
          <w:sz w:val="16"/>
        </w:rPr>
        <w:t>the</w:t>
      </w:r>
      <w:r>
        <w:rPr>
          <w:rFonts w:ascii="Arial" w:hAnsi="Arial"/>
          <w:spacing w:val="9"/>
          <w:w w:val="110"/>
          <w:sz w:val="16"/>
        </w:rPr>
        <w:t> </w:t>
      </w:r>
      <w:r>
        <w:rPr>
          <w:rFonts w:ascii="Arial" w:hAnsi="Arial"/>
          <w:w w:val="110"/>
          <w:sz w:val="16"/>
        </w:rPr>
        <w:t>case-law</w:t>
      </w:r>
      <w:r>
        <w:rPr>
          <w:rFonts w:ascii="Arial" w:hAnsi="Arial"/>
          <w:spacing w:val="9"/>
          <w:w w:val="110"/>
          <w:sz w:val="16"/>
        </w:rPr>
        <w:t> </w:t>
      </w:r>
      <w:r>
        <w:rPr>
          <w:rFonts w:ascii="Arial" w:hAnsi="Arial"/>
          <w:w w:val="110"/>
          <w:sz w:val="16"/>
        </w:rPr>
        <w:t>of</w:t>
      </w:r>
      <w:r>
        <w:rPr>
          <w:rFonts w:ascii="Arial" w:hAnsi="Arial"/>
          <w:spacing w:val="9"/>
          <w:w w:val="110"/>
          <w:sz w:val="16"/>
        </w:rPr>
        <w:t> </w:t>
      </w:r>
      <w:r>
        <w:rPr>
          <w:rFonts w:ascii="Arial" w:hAnsi="Arial"/>
          <w:w w:val="110"/>
          <w:sz w:val="16"/>
        </w:rPr>
        <w:t>the</w:t>
      </w:r>
      <w:r>
        <w:rPr>
          <w:rFonts w:ascii="Arial" w:hAnsi="Arial"/>
          <w:spacing w:val="9"/>
          <w:w w:val="110"/>
          <w:sz w:val="16"/>
        </w:rPr>
        <w:t> </w:t>
      </w:r>
      <w:r>
        <w:rPr>
          <w:rFonts w:ascii="Arial" w:hAnsi="Arial"/>
          <w:w w:val="110"/>
          <w:sz w:val="16"/>
        </w:rPr>
        <w:t>European</w:t>
      </w:r>
      <w:r>
        <w:rPr>
          <w:rFonts w:ascii="Arial" w:hAnsi="Arial"/>
          <w:spacing w:val="9"/>
          <w:w w:val="110"/>
          <w:sz w:val="16"/>
        </w:rPr>
        <w:t> </w:t>
      </w:r>
      <w:r>
        <w:rPr>
          <w:rFonts w:ascii="Arial" w:hAnsi="Arial"/>
          <w:w w:val="110"/>
          <w:sz w:val="16"/>
        </w:rPr>
        <w:t>Court</w:t>
      </w:r>
      <w:r>
        <w:rPr>
          <w:rFonts w:ascii="Arial" w:hAnsi="Arial"/>
          <w:spacing w:val="9"/>
          <w:w w:val="110"/>
          <w:sz w:val="16"/>
        </w:rPr>
        <w:t> </w:t>
      </w:r>
      <w:r>
        <w:rPr>
          <w:rFonts w:ascii="Arial" w:hAnsi="Arial"/>
          <w:w w:val="110"/>
          <w:sz w:val="16"/>
        </w:rPr>
        <w:t>of</w:t>
      </w:r>
      <w:r>
        <w:rPr>
          <w:rFonts w:ascii="Arial" w:hAnsi="Arial"/>
          <w:spacing w:val="9"/>
          <w:w w:val="110"/>
          <w:sz w:val="16"/>
        </w:rPr>
        <w:t> </w:t>
      </w:r>
      <w:r>
        <w:rPr>
          <w:rFonts w:ascii="Arial" w:hAnsi="Arial"/>
          <w:w w:val="110"/>
          <w:sz w:val="16"/>
        </w:rPr>
        <w:t>Human</w:t>
      </w:r>
      <w:r>
        <w:rPr>
          <w:rFonts w:ascii="Arial" w:hAnsi="Arial"/>
          <w:spacing w:val="9"/>
          <w:w w:val="110"/>
          <w:sz w:val="16"/>
        </w:rPr>
        <w:t> </w:t>
      </w:r>
      <w:r>
        <w:rPr>
          <w:rFonts w:ascii="Arial" w:hAnsi="Arial"/>
          <w:w w:val="110"/>
          <w:sz w:val="16"/>
        </w:rPr>
        <w:t>Rights</w:t>
      </w:r>
      <w:r>
        <w:rPr>
          <w:rFonts w:ascii="Arial" w:hAnsi="Arial"/>
          <w:spacing w:val="9"/>
          <w:w w:val="110"/>
          <w:sz w:val="16"/>
        </w:rPr>
        <w:t> </w:t>
      </w:r>
      <w:r>
        <w:rPr>
          <w:rFonts w:ascii="Arial" w:hAnsi="Arial"/>
          <w:w w:val="110"/>
          <w:sz w:val="16"/>
        </w:rPr>
        <w:t>and</w:t>
      </w:r>
      <w:r>
        <w:rPr>
          <w:rFonts w:ascii="Arial" w:hAnsi="Arial"/>
          <w:spacing w:val="9"/>
          <w:w w:val="110"/>
          <w:sz w:val="16"/>
        </w:rPr>
        <w:t> </w:t>
      </w:r>
      <w:r>
        <w:rPr>
          <w:rFonts w:ascii="Arial" w:hAnsi="Arial"/>
          <w:w w:val="110"/>
          <w:sz w:val="16"/>
        </w:rPr>
        <w:t>by</w:t>
      </w:r>
    </w:p>
    <w:p>
      <w:pPr>
        <w:spacing w:line="179" w:lineRule="exact" w:before="11"/>
        <w:ind w:left="567" w:right="0" w:firstLine="0"/>
        <w:jc w:val="left"/>
        <w:rPr>
          <w:sz w:val="16"/>
        </w:rPr>
      </w:pPr>
      <w:r>
        <w:rPr>
          <w:w w:val="110"/>
          <w:sz w:val="16"/>
        </w:rPr>
        <w:t>the</w:t>
      </w:r>
      <w:r>
        <w:rPr>
          <w:spacing w:val="8"/>
          <w:w w:val="110"/>
          <w:sz w:val="16"/>
        </w:rPr>
        <w:t> </w:t>
      </w:r>
      <w:r>
        <w:rPr>
          <w:w w:val="110"/>
          <w:sz w:val="16"/>
        </w:rPr>
        <w:t>Court</w:t>
      </w:r>
      <w:r>
        <w:rPr>
          <w:spacing w:val="8"/>
          <w:w w:val="110"/>
          <w:sz w:val="16"/>
        </w:rPr>
        <w:t> </w:t>
      </w:r>
      <w:r>
        <w:rPr>
          <w:w w:val="110"/>
          <w:sz w:val="16"/>
        </w:rPr>
        <w:t>of</w:t>
      </w:r>
      <w:r>
        <w:rPr>
          <w:spacing w:val="8"/>
          <w:w w:val="110"/>
          <w:sz w:val="16"/>
        </w:rPr>
        <w:t> </w:t>
      </w:r>
      <w:r>
        <w:rPr>
          <w:w w:val="110"/>
          <w:sz w:val="16"/>
        </w:rPr>
        <w:t>Justice</w:t>
      </w:r>
      <w:r>
        <w:rPr>
          <w:spacing w:val="9"/>
          <w:w w:val="110"/>
          <w:sz w:val="16"/>
        </w:rPr>
        <w:t> </w:t>
      </w:r>
      <w:r>
        <w:rPr>
          <w:w w:val="110"/>
          <w:sz w:val="16"/>
        </w:rPr>
        <w:t>of</w:t>
      </w:r>
      <w:r>
        <w:rPr>
          <w:spacing w:val="8"/>
          <w:w w:val="110"/>
          <w:sz w:val="16"/>
        </w:rPr>
        <w:t> </w:t>
      </w:r>
      <w:r>
        <w:rPr>
          <w:w w:val="110"/>
          <w:sz w:val="16"/>
        </w:rPr>
        <w:t>the</w:t>
      </w:r>
      <w:r>
        <w:rPr>
          <w:spacing w:val="8"/>
          <w:w w:val="110"/>
          <w:sz w:val="16"/>
        </w:rPr>
        <w:t> </w:t>
      </w:r>
      <w:r>
        <w:rPr>
          <w:w w:val="110"/>
          <w:sz w:val="16"/>
        </w:rPr>
        <w:t>European</w:t>
      </w:r>
      <w:r>
        <w:rPr>
          <w:spacing w:val="9"/>
          <w:w w:val="110"/>
          <w:sz w:val="16"/>
        </w:rPr>
        <w:t> </w:t>
      </w:r>
      <w:r>
        <w:rPr>
          <w:spacing w:val="-2"/>
          <w:w w:val="110"/>
          <w:sz w:val="16"/>
        </w:rPr>
        <w:t>Union’.</w:t>
      </w:r>
    </w:p>
    <w:p>
      <w:pPr>
        <w:pStyle w:val="ListParagraph"/>
        <w:numPr>
          <w:ilvl w:val="0"/>
          <w:numId w:val="6"/>
        </w:numPr>
        <w:tabs>
          <w:tab w:pos="567" w:val="left" w:leader="none"/>
        </w:tabs>
        <w:spacing w:line="218" w:lineRule="exact" w:before="0" w:after="0"/>
        <w:ind w:left="567" w:right="0" w:hanging="454"/>
        <w:jc w:val="left"/>
        <w:rPr>
          <w:sz w:val="16"/>
        </w:rPr>
      </w:pPr>
      <w:r>
        <w:rPr>
          <w:sz w:val="16"/>
        </w:rPr>
        <w:t>NB:</w:t>
      </w:r>
      <w:r>
        <w:rPr>
          <w:spacing w:val="3"/>
          <w:sz w:val="16"/>
        </w:rPr>
        <w:t> </w:t>
      </w:r>
      <w:r>
        <w:rPr>
          <w:sz w:val="16"/>
        </w:rPr>
        <w:t>some</w:t>
      </w:r>
      <w:r>
        <w:rPr>
          <w:spacing w:val="3"/>
          <w:sz w:val="16"/>
        </w:rPr>
        <w:t> </w:t>
      </w:r>
      <w:r>
        <w:rPr>
          <w:sz w:val="16"/>
        </w:rPr>
        <w:t>of</w:t>
      </w:r>
      <w:r>
        <w:rPr>
          <w:spacing w:val="4"/>
          <w:sz w:val="16"/>
        </w:rPr>
        <w:t> </w:t>
      </w:r>
      <w:r>
        <w:rPr>
          <w:sz w:val="16"/>
        </w:rPr>
        <w:t>these</w:t>
      </w:r>
      <w:r>
        <w:rPr>
          <w:spacing w:val="3"/>
          <w:sz w:val="16"/>
        </w:rPr>
        <w:t> </w:t>
      </w:r>
      <w:r>
        <w:rPr>
          <w:sz w:val="16"/>
        </w:rPr>
        <w:t>additional</w:t>
      </w:r>
      <w:r>
        <w:rPr>
          <w:spacing w:val="4"/>
          <w:sz w:val="16"/>
        </w:rPr>
        <w:t> </w:t>
      </w:r>
      <w:r>
        <w:rPr>
          <w:sz w:val="16"/>
        </w:rPr>
        <w:t>provisions</w:t>
      </w:r>
      <w:r>
        <w:rPr>
          <w:spacing w:val="3"/>
          <w:sz w:val="16"/>
        </w:rPr>
        <w:t> </w:t>
      </w:r>
      <w:r>
        <w:rPr>
          <w:sz w:val="16"/>
        </w:rPr>
        <w:t>may</w:t>
      </w:r>
      <w:r>
        <w:rPr>
          <w:spacing w:val="4"/>
          <w:sz w:val="16"/>
        </w:rPr>
        <w:t> </w:t>
      </w:r>
      <w:r>
        <w:rPr>
          <w:sz w:val="16"/>
        </w:rPr>
        <w:t>be</w:t>
      </w:r>
      <w:r>
        <w:rPr>
          <w:spacing w:val="3"/>
          <w:sz w:val="16"/>
        </w:rPr>
        <w:t> </w:t>
      </w:r>
      <w:r>
        <w:rPr>
          <w:sz w:val="16"/>
        </w:rPr>
        <w:t>classified</w:t>
      </w:r>
      <w:r>
        <w:rPr>
          <w:spacing w:val="4"/>
          <w:sz w:val="16"/>
        </w:rPr>
        <w:t> </w:t>
      </w:r>
      <w:r>
        <w:rPr>
          <w:sz w:val="16"/>
        </w:rPr>
        <w:t>as</w:t>
      </w:r>
      <w:r>
        <w:rPr>
          <w:spacing w:val="3"/>
          <w:sz w:val="16"/>
        </w:rPr>
        <w:t> </w:t>
      </w:r>
      <w:r>
        <w:rPr>
          <w:sz w:val="16"/>
        </w:rPr>
        <w:t>‘principles’,</w:t>
      </w:r>
      <w:r>
        <w:rPr>
          <w:spacing w:val="3"/>
          <w:sz w:val="16"/>
        </w:rPr>
        <w:t> </w:t>
      </w:r>
      <w:r>
        <w:rPr>
          <w:sz w:val="16"/>
        </w:rPr>
        <w:t>on</w:t>
      </w:r>
      <w:r>
        <w:rPr>
          <w:spacing w:val="4"/>
          <w:sz w:val="16"/>
        </w:rPr>
        <w:t> </w:t>
      </w:r>
      <w:r>
        <w:rPr>
          <w:sz w:val="16"/>
        </w:rPr>
        <w:t>which</w:t>
      </w:r>
      <w:r>
        <w:rPr>
          <w:spacing w:val="3"/>
          <w:sz w:val="16"/>
        </w:rPr>
        <w:t> </w:t>
      </w:r>
      <w:r>
        <w:rPr>
          <w:sz w:val="16"/>
        </w:rPr>
        <w:t>see</w:t>
      </w:r>
      <w:r>
        <w:rPr>
          <w:spacing w:val="4"/>
          <w:sz w:val="16"/>
        </w:rPr>
        <w:t> </w:t>
      </w:r>
      <w:r>
        <w:rPr>
          <w:sz w:val="16"/>
        </w:rPr>
        <w:t>section</w:t>
      </w:r>
      <w:r>
        <w:rPr>
          <w:spacing w:val="3"/>
          <w:sz w:val="16"/>
        </w:rPr>
        <w:t> </w:t>
      </w:r>
      <w:r>
        <w:rPr>
          <w:sz w:val="16"/>
        </w:rPr>
        <w:t>3</w:t>
      </w:r>
      <w:r>
        <w:rPr>
          <w:spacing w:val="4"/>
          <w:sz w:val="16"/>
        </w:rPr>
        <w:t> </w:t>
      </w:r>
      <w:r>
        <w:rPr>
          <w:spacing w:val="-2"/>
          <w:sz w:val="16"/>
        </w:rPr>
        <w:t>above.</w:t>
      </w:r>
    </w:p>
    <w:p>
      <w:pPr>
        <w:pStyle w:val="ListParagraph"/>
        <w:numPr>
          <w:ilvl w:val="0"/>
          <w:numId w:val="6"/>
        </w:numPr>
        <w:tabs>
          <w:tab w:pos="567" w:val="left" w:leader="none"/>
        </w:tabs>
        <w:spacing w:line="194" w:lineRule="auto" w:before="11" w:after="0"/>
        <w:ind w:left="567" w:right="125" w:hanging="454"/>
        <w:jc w:val="left"/>
        <w:rPr>
          <w:sz w:val="16"/>
        </w:rPr>
      </w:pPr>
      <w:r>
        <w:rPr>
          <w:sz w:val="16"/>
        </w:rPr>
        <w:t>Case</w:t>
      </w:r>
      <w:r>
        <w:rPr>
          <w:spacing w:val="-13"/>
          <w:sz w:val="16"/>
        </w:rPr>
        <w:t> </w:t>
      </w:r>
      <w:r>
        <w:rPr>
          <w:sz w:val="16"/>
        </w:rPr>
        <w:t>C-709/20,</w:t>
      </w:r>
      <w:r>
        <w:rPr>
          <w:spacing w:val="-13"/>
          <w:sz w:val="16"/>
        </w:rPr>
        <w:t> </w:t>
      </w:r>
      <w:r>
        <w:rPr>
          <w:rFonts w:ascii="Verdana"/>
          <w:i/>
          <w:sz w:val="16"/>
        </w:rPr>
        <w:t>CG</w:t>
      </w:r>
      <w:r>
        <w:rPr>
          <w:rFonts w:ascii="Verdana"/>
          <w:i/>
          <w:spacing w:val="-14"/>
          <w:sz w:val="16"/>
        </w:rPr>
        <w:t> </w:t>
      </w:r>
      <w:r>
        <w:rPr>
          <w:rFonts w:ascii="Verdana"/>
          <w:i/>
          <w:sz w:val="16"/>
        </w:rPr>
        <w:t>v</w:t>
      </w:r>
      <w:r>
        <w:rPr>
          <w:rFonts w:ascii="Verdana"/>
          <w:i/>
          <w:spacing w:val="-14"/>
          <w:sz w:val="16"/>
        </w:rPr>
        <w:t> </w:t>
      </w:r>
      <w:r>
        <w:rPr>
          <w:rFonts w:ascii="Verdana"/>
          <w:i/>
          <w:sz w:val="16"/>
        </w:rPr>
        <w:t>The</w:t>
      </w:r>
      <w:r>
        <w:rPr>
          <w:rFonts w:ascii="Verdana"/>
          <w:i/>
          <w:spacing w:val="-14"/>
          <w:sz w:val="16"/>
        </w:rPr>
        <w:t> </w:t>
      </w:r>
      <w:r>
        <w:rPr>
          <w:rFonts w:ascii="Verdana"/>
          <w:i/>
          <w:sz w:val="16"/>
        </w:rPr>
        <w:t>Department</w:t>
      </w:r>
      <w:r>
        <w:rPr>
          <w:rFonts w:ascii="Verdana"/>
          <w:i/>
          <w:spacing w:val="-14"/>
          <w:sz w:val="16"/>
        </w:rPr>
        <w:t> </w:t>
      </w:r>
      <w:r>
        <w:rPr>
          <w:rFonts w:ascii="Verdana"/>
          <w:i/>
          <w:sz w:val="16"/>
        </w:rPr>
        <w:t>for</w:t>
      </w:r>
      <w:r>
        <w:rPr>
          <w:rFonts w:ascii="Verdana"/>
          <w:i/>
          <w:spacing w:val="-14"/>
          <w:sz w:val="16"/>
        </w:rPr>
        <w:t> </w:t>
      </w:r>
      <w:r>
        <w:rPr>
          <w:rFonts w:ascii="Verdana"/>
          <w:i/>
          <w:sz w:val="16"/>
        </w:rPr>
        <w:t>Communities</w:t>
      </w:r>
      <w:r>
        <w:rPr>
          <w:rFonts w:ascii="Verdana"/>
          <w:i/>
          <w:spacing w:val="-14"/>
          <w:sz w:val="16"/>
        </w:rPr>
        <w:t> </w:t>
      </w:r>
      <w:r>
        <w:rPr>
          <w:rFonts w:ascii="Verdana"/>
          <w:i/>
          <w:sz w:val="16"/>
        </w:rPr>
        <w:t>in</w:t>
      </w:r>
      <w:r>
        <w:rPr>
          <w:rFonts w:ascii="Verdana"/>
          <w:i/>
          <w:spacing w:val="-14"/>
          <w:sz w:val="16"/>
        </w:rPr>
        <w:t> </w:t>
      </w:r>
      <w:r>
        <w:rPr>
          <w:rFonts w:ascii="Verdana"/>
          <w:i/>
          <w:sz w:val="16"/>
        </w:rPr>
        <w:t>Northern</w:t>
      </w:r>
      <w:r>
        <w:rPr>
          <w:rFonts w:ascii="Verdana"/>
          <w:i/>
          <w:spacing w:val="-14"/>
          <w:sz w:val="16"/>
        </w:rPr>
        <w:t> </w:t>
      </w:r>
      <w:r>
        <w:rPr>
          <w:rFonts w:ascii="Verdana"/>
          <w:i/>
          <w:sz w:val="16"/>
        </w:rPr>
        <w:t>Ireland</w:t>
      </w:r>
      <w:r>
        <w:rPr>
          <w:sz w:val="16"/>
        </w:rPr>
        <w:t>,</w:t>
      </w:r>
      <w:r>
        <w:rPr>
          <w:spacing w:val="-13"/>
          <w:sz w:val="16"/>
        </w:rPr>
        <w:t> </w:t>
      </w:r>
      <w:r>
        <w:rPr>
          <w:sz w:val="16"/>
        </w:rPr>
        <w:t>EU:C:2021:602,</w:t>
      </w:r>
      <w:r>
        <w:rPr>
          <w:spacing w:val="-13"/>
          <w:sz w:val="16"/>
        </w:rPr>
        <w:t> </w:t>
      </w:r>
      <w:r>
        <w:rPr>
          <w:sz w:val="16"/>
        </w:rPr>
        <w:t>para</w:t>
      </w:r>
      <w:r>
        <w:rPr>
          <w:spacing w:val="-12"/>
          <w:sz w:val="16"/>
        </w:rPr>
        <w:t> </w:t>
      </w:r>
      <w:r>
        <w:rPr>
          <w:sz w:val="16"/>
        </w:rPr>
        <w:t>89.</w:t>
      </w:r>
      <w:r>
        <w:rPr>
          <w:spacing w:val="-13"/>
          <w:sz w:val="16"/>
        </w:rPr>
        <w:t> </w:t>
      </w:r>
      <w:r>
        <w:rPr>
          <w:sz w:val="16"/>
        </w:rPr>
        <w:t>The</w:t>
      </w:r>
      <w:r>
        <w:rPr>
          <w:spacing w:val="-13"/>
          <w:sz w:val="16"/>
        </w:rPr>
        <w:t> </w:t>
      </w:r>
      <w:r>
        <w:rPr>
          <w:sz w:val="16"/>
        </w:rPr>
        <w:t>domestic </w:t>
      </w:r>
      <w:r>
        <w:rPr>
          <w:rFonts w:ascii="Arial"/>
          <w:sz w:val="16"/>
        </w:rPr>
        <w:t>applicability of the </w:t>
      </w:r>
      <w:r>
        <w:rPr>
          <w:rFonts w:ascii="Verdana"/>
          <w:i/>
          <w:sz w:val="16"/>
        </w:rPr>
        <w:t>CG</w:t>
      </w:r>
      <w:r>
        <w:rPr>
          <w:rFonts w:ascii="Verdana"/>
          <w:i/>
          <w:spacing w:val="-2"/>
          <w:sz w:val="16"/>
        </w:rPr>
        <w:t> </w:t>
      </w:r>
      <w:r>
        <w:rPr>
          <w:sz w:val="16"/>
        </w:rPr>
        <w:t>ruling has now been confirmed in </w:t>
      </w:r>
      <w:r>
        <w:rPr>
          <w:rFonts w:ascii="Verdana"/>
          <w:i/>
          <w:sz w:val="16"/>
        </w:rPr>
        <w:t>SSWP</w:t>
      </w:r>
      <w:r>
        <w:rPr>
          <w:rFonts w:ascii="Verdana"/>
          <w:i/>
          <w:spacing w:val="-2"/>
          <w:sz w:val="16"/>
        </w:rPr>
        <w:t> </w:t>
      </w:r>
      <w:r>
        <w:rPr>
          <w:rFonts w:ascii="Verdana"/>
          <w:i/>
          <w:sz w:val="16"/>
        </w:rPr>
        <w:t>v</w:t>
      </w:r>
      <w:r>
        <w:rPr>
          <w:rFonts w:ascii="Verdana"/>
          <w:i/>
          <w:spacing w:val="-2"/>
          <w:sz w:val="16"/>
        </w:rPr>
        <w:t> </w:t>
      </w:r>
      <w:r>
        <w:rPr>
          <w:rFonts w:ascii="Verdana"/>
          <w:i/>
          <w:sz w:val="16"/>
        </w:rPr>
        <w:t>AT</w:t>
      </w:r>
      <w:r>
        <w:rPr>
          <w:rFonts w:ascii="Verdana"/>
          <w:i/>
          <w:spacing w:val="-2"/>
          <w:sz w:val="16"/>
        </w:rPr>
        <w:t> </w:t>
      </w:r>
      <w:r>
        <w:rPr>
          <w:rFonts w:ascii="Verdana"/>
          <w:i/>
          <w:sz w:val="16"/>
        </w:rPr>
        <w:t>(AIRE</w:t>
      </w:r>
      <w:r>
        <w:rPr>
          <w:rFonts w:ascii="Verdana"/>
          <w:i/>
          <w:spacing w:val="-2"/>
          <w:sz w:val="16"/>
        </w:rPr>
        <w:t> </w:t>
      </w:r>
      <w:r>
        <w:rPr>
          <w:rFonts w:ascii="Verdana"/>
          <w:i/>
          <w:sz w:val="16"/>
        </w:rPr>
        <w:t>Centre</w:t>
      </w:r>
      <w:r>
        <w:rPr>
          <w:rFonts w:ascii="Verdana"/>
          <w:i/>
          <w:spacing w:val="-2"/>
          <w:sz w:val="16"/>
        </w:rPr>
        <w:t> </w:t>
      </w:r>
      <w:r>
        <w:rPr>
          <w:rFonts w:ascii="Verdana"/>
          <w:i/>
          <w:sz w:val="16"/>
        </w:rPr>
        <w:t>and</w:t>
      </w:r>
      <w:r>
        <w:rPr>
          <w:rFonts w:ascii="Verdana"/>
          <w:i/>
          <w:spacing w:val="-2"/>
          <w:sz w:val="16"/>
        </w:rPr>
        <w:t> </w:t>
      </w:r>
      <w:r>
        <w:rPr>
          <w:rFonts w:ascii="Verdana"/>
          <w:i/>
          <w:sz w:val="16"/>
        </w:rPr>
        <w:t>IMA</w:t>
      </w:r>
      <w:r>
        <w:rPr>
          <w:rFonts w:ascii="Verdana"/>
          <w:i/>
          <w:spacing w:val="-2"/>
          <w:sz w:val="16"/>
        </w:rPr>
        <w:t> </w:t>
      </w:r>
      <w:r>
        <w:rPr>
          <w:rFonts w:ascii="Verdana"/>
          <w:i/>
          <w:sz w:val="16"/>
        </w:rPr>
        <w:t>intervening)</w:t>
      </w:r>
      <w:r>
        <w:rPr>
          <w:rFonts w:ascii="Verdana"/>
          <w:i/>
          <w:spacing w:val="-2"/>
          <w:sz w:val="16"/>
        </w:rPr>
        <w:t> </w:t>
      </w:r>
      <w:r>
        <w:rPr>
          <w:sz w:val="16"/>
        </w:rPr>
        <w:t>[2023] EWCA Civ</w:t>
      </w:r>
      <w:r>
        <w:rPr>
          <w:spacing w:val="-6"/>
          <w:sz w:val="16"/>
        </w:rPr>
        <w:t> </w:t>
      </w:r>
      <w:r>
        <w:rPr>
          <w:sz w:val="16"/>
        </w:rPr>
        <w:t>1307.</w:t>
      </w:r>
      <w:r>
        <w:rPr>
          <w:spacing w:val="-6"/>
          <w:sz w:val="16"/>
        </w:rPr>
        <w:t> </w:t>
      </w:r>
      <w:r>
        <w:rPr>
          <w:sz w:val="16"/>
        </w:rPr>
        <w:t>The</w:t>
      </w:r>
      <w:r>
        <w:rPr>
          <w:spacing w:val="-6"/>
          <w:sz w:val="16"/>
        </w:rPr>
        <w:t> </w:t>
      </w:r>
      <w:r>
        <w:rPr>
          <w:sz w:val="16"/>
        </w:rPr>
        <w:t>domestic</w:t>
      </w:r>
      <w:r>
        <w:rPr>
          <w:spacing w:val="-6"/>
          <w:sz w:val="16"/>
        </w:rPr>
        <w:t> </w:t>
      </w:r>
      <w:r>
        <w:rPr>
          <w:sz w:val="16"/>
        </w:rPr>
        <w:t>ruling</w:t>
      </w:r>
      <w:r>
        <w:rPr>
          <w:spacing w:val="-6"/>
          <w:sz w:val="16"/>
        </w:rPr>
        <w:t> </w:t>
      </w:r>
      <w:r>
        <w:rPr>
          <w:sz w:val="16"/>
        </w:rPr>
        <w:t>confirms</w:t>
      </w:r>
      <w:r>
        <w:rPr>
          <w:spacing w:val="-6"/>
          <w:sz w:val="16"/>
        </w:rPr>
        <w:t> </w:t>
      </w:r>
      <w:r>
        <w:rPr>
          <w:sz w:val="16"/>
        </w:rPr>
        <w:t>that</w:t>
      </w:r>
      <w:r>
        <w:rPr>
          <w:spacing w:val="-6"/>
          <w:sz w:val="16"/>
        </w:rPr>
        <w:t> </w:t>
      </w:r>
      <w:r>
        <w:rPr>
          <w:sz w:val="16"/>
        </w:rPr>
        <w:t>Article</w:t>
      </w:r>
      <w:r>
        <w:rPr>
          <w:spacing w:val="-6"/>
          <w:sz w:val="16"/>
        </w:rPr>
        <w:t> </w:t>
      </w:r>
      <w:r>
        <w:rPr>
          <w:w w:val="95"/>
          <w:sz w:val="16"/>
        </w:rPr>
        <w:t>1</w:t>
      </w:r>
      <w:r>
        <w:rPr>
          <w:spacing w:val="-3"/>
          <w:w w:val="95"/>
          <w:sz w:val="16"/>
        </w:rPr>
        <w:t> </w:t>
      </w:r>
      <w:r>
        <w:rPr>
          <w:sz w:val="16"/>
        </w:rPr>
        <w:t>CFR</w:t>
      </w:r>
      <w:r>
        <w:rPr>
          <w:spacing w:val="-6"/>
          <w:sz w:val="16"/>
        </w:rPr>
        <w:t> </w:t>
      </w:r>
      <w:r>
        <w:rPr>
          <w:sz w:val="16"/>
        </w:rPr>
        <w:t>is</w:t>
      </w:r>
      <w:r>
        <w:rPr>
          <w:spacing w:val="-6"/>
          <w:sz w:val="16"/>
        </w:rPr>
        <w:t> </w:t>
      </w:r>
      <w:r>
        <w:rPr>
          <w:sz w:val="16"/>
        </w:rPr>
        <w:t>a</w:t>
      </w:r>
      <w:r>
        <w:rPr>
          <w:spacing w:val="-6"/>
          <w:sz w:val="16"/>
        </w:rPr>
        <w:t> </w:t>
      </w:r>
      <w:r>
        <w:rPr>
          <w:sz w:val="16"/>
        </w:rPr>
        <w:t>standalone</w:t>
      </w:r>
      <w:r>
        <w:rPr>
          <w:spacing w:val="-6"/>
          <w:sz w:val="16"/>
        </w:rPr>
        <w:t> </w:t>
      </w:r>
      <w:r>
        <w:rPr>
          <w:sz w:val="16"/>
        </w:rPr>
        <w:t>right</w:t>
      </w:r>
      <w:r>
        <w:rPr>
          <w:spacing w:val="-6"/>
          <w:sz w:val="16"/>
        </w:rPr>
        <w:t> </w:t>
      </w:r>
      <w:r>
        <w:rPr>
          <w:sz w:val="16"/>
        </w:rPr>
        <w:t>distinct</w:t>
      </w:r>
      <w:r>
        <w:rPr>
          <w:spacing w:val="-6"/>
          <w:sz w:val="16"/>
        </w:rPr>
        <w:t> </w:t>
      </w:r>
      <w:r>
        <w:rPr>
          <w:sz w:val="16"/>
        </w:rPr>
        <w:t>from</w:t>
      </w:r>
      <w:r>
        <w:rPr>
          <w:spacing w:val="-6"/>
          <w:sz w:val="16"/>
        </w:rPr>
        <w:t> </w:t>
      </w:r>
      <w:r>
        <w:rPr>
          <w:sz w:val="16"/>
        </w:rPr>
        <w:t>Article</w:t>
      </w:r>
      <w:r>
        <w:rPr>
          <w:spacing w:val="-6"/>
          <w:sz w:val="16"/>
        </w:rPr>
        <w:t> </w:t>
      </w:r>
      <w:r>
        <w:rPr>
          <w:sz w:val="16"/>
        </w:rPr>
        <w:t>3</w:t>
      </w:r>
      <w:r>
        <w:rPr>
          <w:spacing w:val="-6"/>
          <w:sz w:val="16"/>
        </w:rPr>
        <w:t> </w:t>
      </w:r>
      <w:r>
        <w:rPr>
          <w:sz w:val="16"/>
        </w:rPr>
        <w:t>ECHR</w:t>
      </w:r>
      <w:r>
        <w:rPr>
          <w:spacing w:val="-6"/>
          <w:sz w:val="16"/>
        </w:rPr>
        <w:t> </w:t>
      </w:r>
      <w:r>
        <w:rPr>
          <w:sz w:val="16"/>
        </w:rPr>
        <w:t>(para</w:t>
      </w:r>
      <w:r>
        <w:rPr>
          <w:spacing w:val="-6"/>
          <w:sz w:val="16"/>
        </w:rPr>
        <w:t> </w:t>
      </w:r>
      <w:r>
        <w:rPr>
          <w:sz w:val="16"/>
        </w:rPr>
        <w:t>171).</w:t>
      </w:r>
    </w:p>
    <w:p>
      <w:pPr>
        <w:spacing w:after="0" w:line="194" w:lineRule="auto"/>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273" w:lineRule="auto" w:before="72"/>
        <w:ind w:right="360"/>
      </w:pPr>
      <w:r>
        <w:rPr>
          <w:w w:val="115"/>
        </w:rPr>
        <w:t>The use by the CJEU of the right </w:t>
      </w:r>
      <w:r>
        <w:rPr>
          <w:spacing w:val="-2"/>
          <w:w w:val="115"/>
        </w:rPr>
        <w:t>to</w:t>
      </w:r>
      <w:r>
        <w:rPr>
          <w:spacing w:val="-12"/>
          <w:w w:val="115"/>
        </w:rPr>
        <w:t> </w:t>
      </w:r>
      <w:r>
        <w:rPr>
          <w:spacing w:val="-2"/>
          <w:w w:val="115"/>
        </w:rPr>
        <w:t>human</w:t>
      </w:r>
      <w:r>
        <w:rPr>
          <w:spacing w:val="-12"/>
          <w:w w:val="115"/>
        </w:rPr>
        <w:t> </w:t>
      </w:r>
      <w:r>
        <w:rPr>
          <w:spacing w:val="-2"/>
          <w:w w:val="115"/>
        </w:rPr>
        <w:t>dignity</w:t>
      </w:r>
      <w:r>
        <w:rPr>
          <w:spacing w:val="-12"/>
          <w:w w:val="115"/>
        </w:rPr>
        <w:t> </w:t>
      </w:r>
      <w:r>
        <w:rPr>
          <w:spacing w:val="-2"/>
          <w:w w:val="115"/>
        </w:rPr>
        <w:t>as</w:t>
      </w:r>
      <w:r>
        <w:rPr>
          <w:spacing w:val="-12"/>
          <w:w w:val="115"/>
        </w:rPr>
        <w:t> </w:t>
      </w:r>
      <w:r>
        <w:rPr>
          <w:spacing w:val="-2"/>
          <w:w w:val="115"/>
        </w:rPr>
        <w:t>a</w:t>
      </w:r>
      <w:r>
        <w:rPr>
          <w:spacing w:val="-12"/>
          <w:w w:val="115"/>
        </w:rPr>
        <w:t> </w:t>
      </w:r>
      <w:r>
        <w:rPr>
          <w:spacing w:val="-2"/>
          <w:w w:val="115"/>
        </w:rPr>
        <w:t>self-standing</w:t>
      </w:r>
    </w:p>
    <w:p>
      <w:pPr>
        <w:pStyle w:val="BodyText"/>
        <w:spacing w:line="320" w:lineRule="exact"/>
        <w:rPr>
          <w:rFonts w:ascii="Lucida Sans Unicode"/>
        </w:rPr>
      </w:pPr>
      <w:r>
        <w:rPr>
          <w:rFonts w:ascii="Lucida Sans Unicode"/>
        </w:rPr>
        <w:t>protection</w:t>
      </w:r>
      <w:r>
        <w:rPr>
          <w:rFonts w:ascii="Lucida Sans Unicode"/>
          <w:spacing w:val="14"/>
        </w:rPr>
        <w:t> </w:t>
      </w:r>
      <w:r>
        <w:rPr>
          <w:rFonts w:ascii="Lucida Sans Unicode"/>
        </w:rPr>
        <w:t>distinct</w:t>
      </w:r>
      <w:r>
        <w:rPr>
          <w:rFonts w:ascii="Lucida Sans Unicode"/>
          <w:spacing w:val="14"/>
        </w:rPr>
        <w:t> </w:t>
      </w:r>
      <w:r>
        <w:rPr>
          <w:rFonts w:ascii="Lucida Sans Unicode"/>
        </w:rPr>
        <w:t>from</w:t>
      </w:r>
      <w:r>
        <w:rPr>
          <w:rFonts w:ascii="Lucida Sans Unicode"/>
          <w:spacing w:val="14"/>
        </w:rPr>
        <w:t> </w:t>
      </w:r>
      <w:r>
        <w:rPr>
          <w:rFonts w:ascii="Lucida Sans Unicode"/>
        </w:rPr>
        <w:t>its</w:t>
      </w:r>
      <w:r>
        <w:rPr>
          <w:rFonts w:ascii="Lucida Sans Unicode"/>
          <w:spacing w:val="14"/>
        </w:rPr>
        <w:t> </w:t>
      </w:r>
      <w:r>
        <w:rPr>
          <w:rFonts w:ascii="Lucida Sans Unicode"/>
        </w:rPr>
        <w:t>Article</w:t>
      </w:r>
      <w:r>
        <w:rPr>
          <w:rFonts w:ascii="Lucida Sans Unicode"/>
          <w:spacing w:val="14"/>
        </w:rPr>
        <w:t> </w:t>
      </w:r>
      <w:r>
        <w:rPr>
          <w:rFonts w:ascii="Lucida Sans Unicode"/>
          <w:spacing w:val="-10"/>
        </w:rPr>
        <w:t>3</w:t>
      </w:r>
    </w:p>
    <w:p>
      <w:pPr>
        <w:pStyle w:val="BodyText"/>
        <w:spacing w:line="256" w:lineRule="auto"/>
        <w:ind w:right="132"/>
        <w:rPr>
          <w:rFonts w:ascii="Lucida Sans Unicode"/>
        </w:rPr>
      </w:pPr>
      <w:r>
        <w:rPr>
          <w:w w:val="115"/>
        </w:rPr>
        <w:t>ECHR equivalent on the protection against torture and inhuman or degrading</w:t>
      </w:r>
      <w:r>
        <w:rPr>
          <w:spacing w:val="-5"/>
          <w:w w:val="115"/>
        </w:rPr>
        <w:t> </w:t>
      </w:r>
      <w:r>
        <w:rPr>
          <w:w w:val="115"/>
        </w:rPr>
        <w:t>treatment</w:t>
      </w:r>
      <w:r>
        <w:rPr>
          <w:spacing w:val="-4"/>
          <w:w w:val="115"/>
        </w:rPr>
        <w:t> </w:t>
      </w:r>
      <w:r>
        <w:rPr>
          <w:w w:val="115"/>
        </w:rPr>
        <w:t>or</w:t>
      </w:r>
      <w:r>
        <w:rPr>
          <w:spacing w:val="-5"/>
          <w:w w:val="115"/>
        </w:rPr>
        <w:t> </w:t>
      </w:r>
      <w:r>
        <w:rPr>
          <w:spacing w:val="-2"/>
          <w:w w:val="110"/>
        </w:rPr>
        <w:t>punishment</w:t>
      </w:r>
      <w:r>
        <w:rPr>
          <w:rFonts w:ascii="Lucida Sans Unicode"/>
          <w:spacing w:val="-2"/>
          <w:w w:val="110"/>
          <w:vertAlign w:val="superscript"/>
        </w:rPr>
        <w:t>27</w:t>
      </w:r>
    </w:p>
    <w:p>
      <w:pPr>
        <w:pStyle w:val="BodyText"/>
        <w:spacing w:line="231" w:lineRule="exact"/>
      </w:pPr>
      <w:r>
        <w:rPr>
          <w:w w:val="110"/>
        </w:rPr>
        <w:t>shows</w:t>
      </w:r>
      <w:r>
        <w:rPr>
          <w:spacing w:val="5"/>
          <w:w w:val="110"/>
        </w:rPr>
        <w:t> </w:t>
      </w:r>
      <w:r>
        <w:rPr>
          <w:w w:val="110"/>
        </w:rPr>
        <w:t>that</w:t>
      </w:r>
      <w:r>
        <w:rPr>
          <w:spacing w:val="5"/>
          <w:w w:val="110"/>
        </w:rPr>
        <w:t> </w:t>
      </w:r>
      <w:r>
        <w:rPr>
          <w:w w:val="110"/>
        </w:rPr>
        <w:t>EU</w:t>
      </w:r>
      <w:r>
        <w:rPr>
          <w:spacing w:val="5"/>
          <w:w w:val="110"/>
        </w:rPr>
        <w:t> </w:t>
      </w:r>
      <w:r>
        <w:rPr>
          <w:w w:val="110"/>
        </w:rPr>
        <w:t>human</w:t>
      </w:r>
      <w:r>
        <w:rPr>
          <w:spacing w:val="6"/>
          <w:w w:val="110"/>
        </w:rPr>
        <w:t> </w:t>
      </w:r>
      <w:r>
        <w:rPr>
          <w:w w:val="110"/>
        </w:rPr>
        <w:t>rights</w:t>
      </w:r>
      <w:r>
        <w:rPr>
          <w:spacing w:val="5"/>
          <w:w w:val="110"/>
        </w:rPr>
        <w:t> </w:t>
      </w:r>
      <w:r>
        <w:rPr>
          <w:w w:val="110"/>
        </w:rPr>
        <w:t>law</w:t>
      </w:r>
      <w:r>
        <w:rPr>
          <w:spacing w:val="5"/>
          <w:w w:val="110"/>
        </w:rPr>
        <w:t> </w:t>
      </w:r>
      <w:r>
        <w:rPr>
          <w:spacing w:val="-5"/>
          <w:w w:val="110"/>
        </w:rPr>
        <w:t>can</w:t>
      </w:r>
    </w:p>
    <w:p>
      <w:pPr>
        <w:pStyle w:val="BodyText"/>
        <w:spacing w:line="314" w:lineRule="exact" w:before="3"/>
        <w:ind w:right="91"/>
        <w:rPr>
          <w:rFonts w:ascii="Lucida Sans Unicode" w:hAnsi="Lucida Sans Unicode"/>
        </w:rPr>
      </w:pPr>
      <w:r>
        <w:rPr>
          <w:w w:val="110"/>
        </w:rPr>
        <w:t>be broader in scope than the ECHR substantively, and can sometimes be more onerous for the state in terms of the allocation of its resources. Indeed, </w:t>
      </w:r>
      <w:r>
        <w:rPr>
          <w:rFonts w:ascii="Lucida Sans Unicode" w:hAnsi="Lucida Sans Unicode"/>
        </w:rPr>
        <w:t>the association of material benefits </w:t>
      </w:r>
      <w:r>
        <w:rPr>
          <w:w w:val="110"/>
        </w:rPr>
        <w:t>with human dignity can be contrasted with the approach taken under </w:t>
      </w:r>
      <w:r>
        <w:rPr>
          <w:w w:val="110"/>
        </w:rPr>
        <w:t>Article </w:t>
      </w:r>
      <w:r>
        <w:rPr>
          <w:rFonts w:ascii="Lucida Sans Unicode" w:hAnsi="Lucida Sans Unicode"/>
          <w:w w:val="110"/>
        </w:rPr>
        <w:t>3</w:t>
      </w:r>
      <w:r>
        <w:rPr>
          <w:rFonts w:ascii="Lucida Sans Unicode" w:hAnsi="Lucida Sans Unicode"/>
          <w:spacing w:val="-21"/>
          <w:w w:val="110"/>
        </w:rPr>
        <w:t> </w:t>
      </w:r>
      <w:r>
        <w:rPr>
          <w:rFonts w:ascii="Lucida Sans Unicode" w:hAnsi="Lucida Sans Unicode"/>
          <w:w w:val="110"/>
        </w:rPr>
        <w:t>ECHR,</w:t>
      </w:r>
      <w:r>
        <w:rPr>
          <w:rFonts w:ascii="Lucida Sans Unicode" w:hAnsi="Lucida Sans Unicode"/>
          <w:spacing w:val="-21"/>
          <w:w w:val="110"/>
        </w:rPr>
        <w:t> </w:t>
      </w:r>
      <w:r>
        <w:rPr>
          <w:rFonts w:ascii="Lucida Sans Unicode" w:hAnsi="Lucida Sans Unicode"/>
          <w:w w:val="110"/>
        </w:rPr>
        <w:t>which</w:t>
      </w:r>
      <w:r>
        <w:rPr>
          <w:rFonts w:ascii="Lucida Sans Unicode" w:hAnsi="Lucida Sans Unicode"/>
          <w:spacing w:val="-21"/>
          <w:w w:val="110"/>
        </w:rPr>
        <w:t> </w:t>
      </w:r>
      <w:r>
        <w:rPr>
          <w:rFonts w:ascii="Lucida Sans Unicode" w:hAnsi="Lucida Sans Unicode"/>
          <w:w w:val="110"/>
        </w:rPr>
        <w:t>has</w:t>
      </w:r>
      <w:r>
        <w:rPr>
          <w:rFonts w:ascii="Lucida Sans Unicode" w:hAnsi="Lucida Sans Unicode"/>
          <w:spacing w:val="-21"/>
          <w:w w:val="110"/>
        </w:rPr>
        <w:t> </w:t>
      </w:r>
      <w:r>
        <w:rPr>
          <w:rFonts w:ascii="Lucida Sans Unicode" w:hAnsi="Lucida Sans Unicode"/>
          <w:w w:val="110"/>
        </w:rPr>
        <w:t>generally</w:t>
      </w:r>
      <w:r>
        <w:rPr>
          <w:rFonts w:ascii="Lucida Sans Unicode" w:hAnsi="Lucida Sans Unicode"/>
          <w:spacing w:val="-21"/>
          <w:w w:val="110"/>
        </w:rPr>
        <w:t> </w:t>
      </w:r>
      <w:r>
        <w:rPr>
          <w:rFonts w:ascii="Lucida Sans Unicode" w:hAnsi="Lucida Sans Unicode"/>
          <w:w w:val="110"/>
        </w:rPr>
        <w:t>been </w:t>
      </w:r>
      <w:r>
        <w:rPr>
          <w:rFonts w:ascii="Lucida Sans Unicode" w:hAnsi="Lucida Sans Unicode"/>
        </w:rPr>
        <w:t>more reticent both in Strasbourg</w:t>
      </w:r>
      <w:r>
        <w:rPr>
          <w:rFonts w:ascii="Lucida Sans Unicode" w:hAnsi="Lucida Sans Unicode"/>
          <w:vertAlign w:val="superscript"/>
        </w:rPr>
        <w:t>28</w:t>
      </w:r>
      <w:r>
        <w:rPr>
          <w:rFonts w:ascii="Lucida Sans Unicode" w:hAnsi="Lucida Sans Unicode"/>
          <w:spacing w:val="40"/>
          <w:w w:val="110"/>
          <w:vertAlign w:val="baseline"/>
        </w:rPr>
        <w:t> </w:t>
      </w:r>
      <w:r>
        <w:rPr>
          <w:w w:val="110"/>
          <w:vertAlign w:val="baseline"/>
        </w:rPr>
        <w:t>and at the domestic level, under the </w:t>
      </w:r>
      <w:r>
        <w:rPr>
          <w:rFonts w:ascii="Lucida Sans Unicode" w:hAnsi="Lucida Sans Unicode"/>
          <w:vertAlign w:val="baseline"/>
        </w:rPr>
        <w:t>Human Rights Act 1998 (‘HRA’).</w:t>
      </w:r>
      <w:r>
        <w:rPr>
          <w:rFonts w:ascii="Lucida Sans Unicode" w:hAnsi="Lucida Sans Unicode"/>
          <w:vertAlign w:val="superscript"/>
        </w:rPr>
        <w:t>29</w:t>
      </w:r>
    </w:p>
    <w:p>
      <w:pPr>
        <w:pStyle w:val="BodyText"/>
        <w:spacing w:line="273" w:lineRule="auto" w:before="319"/>
      </w:pPr>
      <w:r>
        <w:rPr>
          <w:w w:val="110"/>
        </w:rPr>
        <w:t>There</w:t>
      </w:r>
      <w:r>
        <w:rPr>
          <w:spacing w:val="-15"/>
          <w:w w:val="110"/>
        </w:rPr>
        <w:t> </w:t>
      </w:r>
      <w:r>
        <w:rPr>
          <w:w w:val="110"/>
        </w:rPr>
        <w:t>is</w:t>
      </w:r>
      <w:r>
        <w:rPr>
          <w:spacing w:val="-15"/>
          <w:w w:val="110"/>
        </w:rPr>
        <w:t> </w:t>
      </w:r>
      <w:r>
        <w:rPr>
          <w:w w:val="110"/>
        </w:rPr>
        <w:t>one</w:t>
      </w:r>
      <w:r>
        <w:rPr>
          <w:spacing w:val="-15"/>
          <w:w w:val="110"/>
        </w:rPr>
        <w:t> </w:t>
      </w:r>
      <w:r>
        <w:rPr>
          <w:w w:val="110"/>
        </w:rPr>
        <w:t>sense</w:t>
      </w:r>
      <w:r>
        <w:rPr>
          <w:spacing w:val="-15"/>
          <w:w w:val="110"/>
        </w:rPr>
        <w:t> </w:t>
      </w:r>
      <w:r>
        <w:rPr>
          <w:w w:val="110"/>
        </w:rPr>
        <w:t>in</w:t>
      </w:r>
      <w:r>
        <w:rPr>
          <w:spacing w:val="-15"/>
          <w:w w:val="110"/>
        </w:rPr>
        <w:t> </w:t>
      </w:r>
      <w:r>
        <w:rPr>
          <w:w w:val="110"/>
        </w:rPr>
        <w:t>which</w:t>
      </w:r>
      <w:r>
        <w:rPr>
          <w:spacing w:val="-15"/>
          <w:w w:val="110"/>
        </w:rPr>
        <w:t> </w:t>
      </w:r>
      <w:r>
        <w:rPr>
          <w:w w:val="110"/>
        </w:rPr>
        <w:t>the</w:t>
      </w:r>
      <w:r>
        <w:rPr>
          <w:spacing w:val="-15"/>
          <w:w w:val="110"/>
        </w:rPr>
        <w:t> </w:t>
      </w:r>
      <w:r>
        <w:rPr>
          <w:w w:val="110"/>
        </w:rPr>
        <w:t>ECHR </w:t>
      </w:r>
      <w:r>
        <w:rPr>
          <w:w w:val="115"/>
        </w:rPr>
        <w:t>has a broader scope of application than</w:t>
      </w:r>
      <w:r>
        <w:rPr>
          <w:spacing w:val="-7"/>
          <w:w w:val="115"/>
        </w:rPr>
        <w:t> </w:t>
      </w:r>
      <w:r>
        <w:rPr>
          <w:w w:val="115"/>
        </w:rPr>
        <w:t>the</w:t>
      </w:r>
      <w:r>
        <w:rPr>
          <w:spacing w:val="-7"/>
          <w:w w:val="115"/>
        </w:rPr>
        <w:t> </w:t>
      </w:r>
      <w:r>
        <w:rPr>
          <w:w w:val="115"/>
        </w:rPr>
        <w:t>Charter,</w:t>
      </w:r>
      <w:r>
        <w:rPr>
          <w:spacing w:val="-7"/>
          <w:w w:val="115"/>
        </w:rPr>
        <w:t> </w:t>
      </w:r>
      <w:r>
        <w:rPr>
          <w:w w:val="115"/>
        </w:rPr>
        <w:t>as</w:t>
      </w:r>
      <w:r>
        <w:rPr>
          <w:spacing w:val="-7"/>
          <w:w w:val="115"/>
        </w:rPr>
        <w:t> </w:t>
      </w:r>
      <w:r>
        <w:rPr>
          <w:w w:val="115"/>
        </w:rPr>
        <w:t>we</w:t>
      </w:r>
      <w:r>
        <w:rPr>
          <w:spacing w:val="-7"/>
          <w:w w:val="115"/>
        </w:rPr>
        <w:t> </w:t>
      </w:r>
      <w:r>
        <w:rPr>
          <w:w w:val="115"/>
        </w:rPr>
        <w:t>discuss</w:t>
      </w:r>
    </w:p>
    <w:p>
      <w:pPr>
        <w:pStyle w:val="BodyText"/>
        <w:spacing w:line="261" w:lineRule="auto"/>
        <w:ind w:right="132"/>
        <w:rPr>
          <w:rFonts w:ascii="Lucida Sans Unicode" w:hAnsi="Lucida Sans Unicode"/>
        </w:rPr>
      </w:pPr>
      <w:r>
        <w:rPr>
          <w:w w:val="110"/>
        </w:rPr>
        <w:t>in more detail below: the ECHR covers entirely the legal orders of its contracting parties from the </w:t>
      </w:r>
      <w:r>
        <w:rPr>
          <w:w w:val="110"/>
        </w:rPr>
        <w:t>moment </w:t>
      </w:r>
      <w:r>
        <w:rPr>
          <w:rFonts w:ascii="Lucida Sans Unicode" w:hAnsi="Lucida Sans Unicode"/>
        </w:rPr>
        <w:t>of ratification, whereas the Charter’s</w:t>
      </w:r>
    </w:p>
    <w:p>
      <w:pPr>
        <w:pStyle w:val="BodyText"/>
        <w:spacing w:line="225" w:lineRule="exact"/>
      </w:pPr>
      <w:r>
        <w:rPr>
          <w:spacing w:val="-2"/>
          <w:w w:val="115"/>
        </w:rPr>
        <w:t>jurisdiction</w:t>
      </w:r>
      <w:r>
        <w:rPr>
          <w:spacing w:val="-10"/>
          <w:w w:val="115"/>
        </w:rPr>
        <w:t> </w:t>
      </w:r>
      <w:r>
        <w:rPr>
          <w:spacing w:val="-2"/>
          <w:w w:val="115"/>
        </w:rPr>
        <w:t>is</w:t>
      </w:r>
      <w:r>
        <w:rPr>
          <w:spacing w:val="-9"/>
          <w:w w:val="115"/>
        </w:rPr>
        <w:t> </w:t>
      </w:r>
      <w:r>
        <w:rPr>
          <w:spacing w:val="-2"/>
          <w:w w:val="115"/>
        </w:rPr>
        <w:t>more</w:t>
      </w:r>
      <w:r>
        <w:rPr>
          <w:spacing w:val="-9"/>
          <w:w w:val="115"/>
        </w:rPr>
        <w:t> </w:t>
      </w:r>
      <w:r>
        <w:rPr>
          <w:spacing w:val="-2"/>
          <w:w w:val="115"/>
        </w:rPr>
        <w:t>limited,</w:t>
      </w:r>
      <w:r>
        <w:rPr>
          <w:spacing w:val="-9"/>
          <w:w w:val="115"/>
        </w:rPr>
        <w:t> </w:t>
      </w:r>
      <w:r>
        <w:rPr>
          <w:spacing w:val="-2"/>
          <w:w w:val="115"/>
        </w:rPr>
        <w:t>as</w:t>
      </w:r>
      <w:r>
        <w:rPr>
          <w:spacing w:val="-9"/>
          <w:w w:val="115"/>
        </w:rPr>
        <w:t> </w:t>
      </w:r>
      <w:r>
        <w:rPr>
          <w:spacing w:val="-5"/>
          <w:w w:val="115"/>
        </w:rPr>
        <w:t>it</w:t>
      </w:r>
    </w:p>
    <w:p>
      <w:pPr>
        <w:pStyle w:val="BodyText"/>
        <w:spacing w:line="314" w:lineRule="exact" w:before="8"/>
        <w:ind w:right="262"/>
      </w:pPr>
      <w:r>
        <w:rPr>
          <w:rFonts w:ascii="Lucida Sans Unicode"/>
          <w:spacing w:val="-2"/>
          <w:w w:val="110"/>
        </w:rPr>
        <w:t>only</w:t>
      </w:r>
      <w:r>
        <w:rPr>
          <w:rFonts w:ascii="Lucida Sans Unicode"/>
          <w:spacing w:val="-17"/>
          <w:w w:val="110"/>
        </w:rPr>
        <w:t> </w:t>
      </w:r>
      <w:r>
        <w:rPr>
          <w:rFonts w:ascii="Lucida Sans Unicode"/>
          <w:spacing w:val="-2"/>
          <w:w w:val="110"/>
        </w:rPr>
        <w:t>applies</w:t>
      </w:r>
      <w:r>
        <w:rPr>
          <w:rFonts w:ascii="Lucida Sans Unicode"/>
          <w:spacing w:val="-17"/>
          <w:w w:val="110"/>
        </w:rPr>
        <w:t> </w:t>
      </w:r>
      <w:r>
        <w:rPr>
          <w:rFonts w:ascii="Lucida Sans Unicode"/>
          <w:spacing w:val="-2"/>
          <w:w w:val="110"/>
        </w:rPr>
        <w:t>to</w:t>
      </w:r>
      <w:r>
        <w:rPr>
          <w:rFonts w:ascii="Lucida Sans Unicode"/>
          <w:spacing w:val="-17"/>
          <w:w w:val="110"/>
        </w:rPr>
        <w:t> </w:t>
      </w:r>
      <w:r>
        <w:rPr>
          <w:rFonts w:ascii="Lucida Sans Unicode"/>
          <w:spacing w:val="-2"/>
          <w:w w:val="110"/>
        </w:rPr>
        <w:t>the</w:t>
      </w:r>
      <w:r>
        <w:rPr>
          <w:rFonts w:ascii="Lucida Sans Unicode"/>
          <w:spacing w:val="-17"/>
          <w:w w:val="110"/>
        </w:rPr>
        <w:t> </w:t>
      </w:r>
      <w:r>
        <w:rPr>
          <w:rFonts w:ascii="Lucida Sans Unicode"/>
          <w:spacing w:val="-2"/>
          <w:w w:val="110"/>
        </w:rPr>
        <w:t>Member</w:t>
      </w:r>
      <w:r>
        <w:rPr>
          <w:rFonts w:ascii="Lucida Sans Unicode"/>
          <w:spacing w:val="-17"/>
          <w:w w:val="110"/>
        </w:rPr>
        <w:t> </w:t>
      </w:r>
      <w:r>
        <w:rPr>
          <w:rFonts w:ascii="Lucida Sans Unicode"/>
          <w:spacing w:val="-2"/>
          <w:w w:val="110"/>
        </w:rPr>
        <w:t>States </w:t>
      </w:r>
      <w:r>
        <w:rPr>
          <w:w w:val="110"/>
        </w:rPr>
        <w:t>in cases of implementation of EU law, as stipulated by Article 51 (1) CFR.</w:t>
      </w:r>
      <w:r>
        <w:rPr>
          <w:spacing w:val="-12"/>
          <w:w w:val="110"/>
        </w:rPr>
        <w:t> </w:t>
      </w:r>
      <w:r>
        <w:rPr>
          <w:w w:val="110"/>
        </w:rPr>
        <w:t>However,</w:t>
      </w:r>
      <w:r>
        <w:rPr>
          <w:spacing w:val="-12"/>
          <w:w w:val="110"/>
        </w:rPr>
        <w:t> </w:t>
      </w:r>
      <w:r>
        <w:rPr>
          <w:w w:val="110"/>
        </w:rPr>
        <w:t>the</w:t>
      </w:r>
      <w:r>
        <w:rPr>
          <w:spacing w:val="-12"/>
          <w:w w:val="110"/>
        </w:rPr>
        <w:t> </w:t>
      </w:r>
      <w:r>
        <w:rPr>
          <w:w w:val="110"/>
        </w:rPr>
        <w:t>Charter</w:t>
      </w:r>
      <w:r>
        <w:rPr>
          <w:spacing w:val="-12"/>
          <w:w w:val="110"/>
        </w:rPr>
        <w:t> </w:t>
      </w:r>
      <w:r>
        <w:rPr>
          <w:w w:val="110"/>
        </w:rPr>
        <w:t>could</w:t>
      </w:r>
      <w:r>
        <w:rPr>
          <w:spacing w:val="-12"/>
          <w:w w:val="110"/>
        </w:rPr>
        <w:t> </w:t>
      </w:r>
      <w:r>
        <w:rPr>
          <w:w w:val="110"/>
        </w:rPr>
        <w:t>be conceived to be broader than the ECHR in several other respects: for</w:t>
      </w:r>
    </w:p>
    <w:p>
      <w:pPr>
        <w:pStyle w:val="BodyText"/>
        <w:spacing w:line="259" w:lineRule="auto" w:before="22"/>
      </w:pPr>
      <w:r>
        <w:rPr>
          <w:w w:val="110"/>
        </w:rPr>
        <w:t>example,</w:t>
      </w:r>
      <w:r>
        <w:rPr>
          <w:spacing w:val="-10"/>
          <w:w w:val="110"/>
        </w:rPr>
        <w:t> </w:t>
      </w:r>
      <w:r>
        <w:rPr>
          <w:w w:val="110"/>
        </w:rPr>
        <w:t>in</w:t>
      </w:r>
      <w:r>
        <w:rPr>
          <w:spacing w:val="-10"/>
          <w:w w:val="110"/>
        </w:rPr>
        <w:t> </w:t>
      </w:r>
      <w:r>
        <w:rPr>
          <w:w w:val="110"/>
        </w:rPr>
        <w:t>the</w:t>
      </w:r>
      <w:r>
        <w:rPr>
          <w:spacing w:val="-10"/>
          <w:w w:val="110"/>
        </w:rPr>
        <w:t> </w:t>
      </w:r>
      <w:r>
        <w:rPr>
          <w:w w:val="110"/>
        </w:rPr>
        <w:t>UK,</w:t>
      </w:r>
      <w:r>
        <w:rPr>
          <w:spacing w:val="-10"/>
          <w:w w:val="110"/>
        </w:rPr>
        <w:t> </w:t>
      </w:r>
      <w:r>
        <w:rPr>
          <w:w w:val="110"/>
        </w:rPr>
        <w:t>the</w:t>
      </w:r>
      <w:r>
        <w:rPr>
          <w:spacing w:val="-10"/>
          <w:w w:val="110"/>
        </w:rPr>
        <w:t> </w:t>
      </w:r>
      <w:r>
        <w:rPr>
          <w:w w:val="110"/>
        </w:rPr>
        <w:t>HRA</w:t>
      </w:r>
      <w:r>
        <w:rPr>
          <w:spacing w:val="-10"/>
          <w:w w:val="110"/>
        </w:rPr>
        <w:t> </w:t>
      </w:r>
      <w:r>
        <w:rPr>
          <w:w w:val="110"/>
        </w:rPr>
        <w:t>decrees that</w:t>
      </w:r>
      <w:r>
        <w:rPr>
          <w:spacing w:val="-19"/>
          <w:w w:val="110"/>
        </w:rPr>
        <w:t> </w:t>
      </w:r>
      <w:r>
        <w:rPr>
          <w:w w:val="110"/>
        </w:rPr>
        <w:t>the</w:t>
      </w:r>
      <w:r>
        <w:rPr>
          <w:spacing w:val="-12"/>
          <w:w w:val="110"/>
        </w:rPr>
        <w:t> </w:t>
      </w:r>
      <w:r>
        <w:rPr>
          <w:w w:val="110"/>
        </w:rPr>
        <w:t>ECHR</w:t>
      </w:r>
      <w:r>
        <w:rPr>
          <w:spacing w:val="-12"/>
          <w:w w:val="110"/>
        </w:rPr>
        <w:t> </w:t>
      </w:r>
      <w:r>
        <w:rPr>
          <w:w w:val="110"/>
        </w:rPr>
        <w:t>is</w:t>
      </w:r>
      <w:r>
        <w:rPr>
          <w:spacing w:val="-11"/>
          <w:w w:val="110"/>
        </w:rPr>
        <w:t> </w:t>
      </w:r>
      <w:r>
        <w:rPr>
          <w:w w:val="110"/>
        </w:rPr>
        <w:t>applicable</w:t>
      </w:r>
      <w:r>
        <w:rPr>
          <w:spacing w:val="-11"/>
          <w:w w:val="110"/>
        </w:rPr>
        <w:t> </w:t>
      </w:r>
      <w:r>
        <w:rPr>
          <w:rFonts w:ascii="Verdana"/>
          <w:i/>
          <w:w w:val="110"/>
        </w:rPr>
        <w:t>solely</w:t>
      </w:r>
      <w:r>
        <w:rPr>
          <w:rFonts w:ascii="Verdana"/>
          <w:i/>
          <w:spacing w:val="-24"/>
          <w:w w:val="110"/>
        </w:rPr>
        <w:t> </w:t>
      </w:r>
      <w:r>
        <w:rPr>
          <w:spacing w:val="-5"/>
          <w:w w:val="110"/>
        </w:rPr>
        <w:t>to</w:t>
      </w:r>
    </w:p>
    <w:p>
      <w:pPr>
        <w:pStyle w:val="BodyText"/>
        <w:spacing w:line="312" w:lineRule="exact" w:before="48"/>
        <w:ind w:right="144"/>
      </w:pPr>
      <w:r>
        <w:rPr/>
        <w:br w:type="column"/>
      </w:r>
      <w:r>
        <w:rPr>
          <w:w w:val="110"/>
        </w:rPr>
        <w:t>the acts of public authorities.</w:t>
      </w:r>
      <w:r>
        <w:rPr>
          <w:rFonts w:ascii="Lucida Sans Unicode" w:hAnsi="Lucida Sans Unicode"/>
          <w:w w:val="110"/>
          <w:vertAlign w:val="superscript"/>
        </w:rPr>
        <w:t>30</w:t>
      </w:r>
      <w:r>
        <w:rPr>
          <w:rFonts w:ascii="Lucida Sans Unicode" w:hAnsi="Lucida Sans Unicode"/>
          <w:w w:val="110"/>
          <w:vertAlign w:val="baseline"/>
        </w:rPr>
        <w:t> </w:t>
      </w:r>
      <w:r>
        <w:rPr>
          <w:w w:val="110"/>
          <w:vertAlign w:val="baseline"/>
        </w:rPr>
        <w:t>The Charter’s scope, by contrast, is not limited in this regard. Furthermore, where it applies, the Charter provides stronger protection of fundamental rights</w:t>
      </w:r>
      <w:r>
        <w:rPr>
          <w:spacing w:val="-15"/>
          <w:w w:val="110"/>
          <w:vertAlign w:val="baseline"/>
        </w:rPr>
        <w:t> </w:t>
      </w:r>
      <w:r>
        <w:rPr>
          <w:w w:val="110"/>
          <w:vertAlign w:val="baseline"/>
        </w:rPr>
        <w:t>than</w:t>
      </w:r>
      <w:r>
        <w:rPr>
          <w:spacing w:val="-15"/>
          <w:w w:val="110"/>
          <w:vertAlign w:val="baseline"/>
        </w:rPr>
        <w:t> </w:t>
      </w:r>
      <w:r>
        <w:rPr>
          <w:w w:val="110"/>
          <w:vertAlign w:val="baseline"/>
        </w:rPr>
        <w:t>the</w:t>
      </w:r>
      <w:r>
        <w:rPr>
          <w:spacing w:val="-15"/>
          <w:w w:val="110"/>
          <w:vertAlign w:val="baseline"/>
        </w:rPr>
        <w:t> </w:t>
      </w:r>
      <w:r>
        <w:rPr>
          <w:w w:val="110"/>
          <w:vertAlign w:val="baseline"/>
        </w:rPr>
        <w:t>ECHR.</w:t>
      </w:r>
      <w:r>
        <w:rPr>
          <w:spacing w:val="-15"/>
          <w:w w:val="110"/>
          <w:vertAlign w:val="baseline"/>
        </w:rPr>
        <w:t> </w:t>
      </w:r>
      <w:r>
        <w:rPr>
          <w:w w:val="110"/>
          <w:vertAlign w:val="baseline"/>
        </w:rPr>
        <w:t>This</w:t>
      </w:r>
      <w:r>
        <w:rPr>
          <w:spacing w:val="-15"/>
          <w:w w:val="110"/>
          <w:vertAlign w:val="baseline"/>
        </w:rPr>
        <w:t> </w:t>
      </w:r>
      <w:r>
        <w:rPr>
          <w:w w:val="110"/>
          <w:vertAlign w:val="baseline"/>
        </w:rPr>
        <w:t>assessment </w:t>
      </w:r>
      <w:r>
        <w:rPr>
          <w:rFonts w:ascii="Lucida Sans Unicode" w:hAnsi="Lucida Sans Unicode"/>
          <w:vertAlign w:val="baseline"/>
        </w:rPr>
        <w:t>is based on two considerations: first, </w:t>
      </w:r>
      <w:r>
        <w:rPr>
          <w:w w:val="110"/>
          <w:vertAlign w:val="baseline"/>
        </w:rPr>
        <w:t>as explained above, the Charter incorporates</w:t>
      </w:r>
      <w:r>
        <w:rPr>
          <w:spacing w:val="-1"/>
          <w:w w:val="110"/>
          <w:vertAlign w:val="baseline"/>
        </w:rPr>
        <w:t> </w:t>
      </w:r>
      <w:r>
        <w:rPr>
          <w:w w:val="110"/>
          <w:vertAlign w:val="baseline"/>
        </w:rPr>
        <w:t>the</w:t>
      </w:r>
      <w:r>
        <w:rPr>
          <w:spacing w:val="-1"/>
          <w:w w:val="110"/>
          <w:vertAlign w:val="baseline"/>
        </w:rPr>
        <w:t> </w:t>
      </w:r>
      <w:r>
        <w:rPr>
          <w:w w:val="110"/>
          <w:vertAlign w:val="baseline"/>
        </w:rPr>
        <w:t>ECHR</w:t>
      </w:r>
      <w:r>
        <w:rPr>
          <w:spacing w:val="-1"/>
          <w:w w:val="110"/>
          <w:vertAlign w:val="baseline"/>
        </w:rPr>
        <w:t> </w:t>
      </w:r>
      <w:r>
        <w:rPr>
          <w:w w:val="110"/>
          <w:vertAlign w:val="baseline"/>
        </w:rPr>
        <w:t>as</w:t>
      </w:r>
      <w:r>
        <w:rPr>
          <w:spacing w:val="-1"/>
          <w:w w:val="110"/>
          <w:vertAlign w:val="baseline"/>
        </w:rPr>
        <w:t> </w:t>
      </w:r>
      <w:r>
        <w:rPr>
          <w:w w:val="110"/>
          <w:vertAlign w:val="baseline"/>
        </w:rPr>
        <w:t>its</w:t>
      </w:r>
      <w:r>
        <w:rPr>
          <w:spacing w:val="-1"/>
          <w:w w:val="110"/>
          <w:vertAlign w:val="baseline"/>
        </w:rPr>
        <w:t> </w:t>
      </w:r>
      <w:r>
        <w:rPr>
          <w:w w:val="110"/>
          <w:vertAlign w:val="baseline"/>
        </w:rPr>
        <w:t>minimum standard, but in certain cases goes beyond</w:t>
      </w:r>
      <w:r>
        <w:rPr>
          <w:spacing w:val="40"/>
          <w:w w:val="110"/>
          <w:vertAlign w:val="baseline"/>
        </w:rPr>
        <w:t> </w:t>
      </w:r>
      <w:r>
        <w:rPr>
          <w:w w:val="110"/>
          <w:vertAlign w:val="baseline"/>
        </w:rPr>
        <w:t>it</w:t>
      </w:r>
      <w:r>
        <w:rPr>
          <w:spacing w:val="40"/>
          <w:w w:val="110"/>
          <w:vertAlign w:val="baseline"/>
        </w:rPr>
        <w:t> </w:t>
      </w:r>
      <w:r>
        <w:rPr>
          <w:w w:val="110"/>
          <w:vertAlign w:val="baseline"/>
        </w:rPr>
        <w:t>through</w:t>
      </w:r>
      <w:r>
        <w:rPr>
          <w:spacing w:val="40"/>
          <w:w w:val="110"/>
          <w:vertAlign w:val="baseline"/>
        </w:rPr>
        <w:t> </w:t>
      </w:r>
      <w:r>
        <w:rPr>
          <w:w w:val="110"/>
          <w:vertAlign w:val="baseline"/>
        </w:rPr>
        <w:t>the</w:t>
      </w:r>
      <w:r>
        <w:rPr>
          <w:spacing w:val="40"/>
          <w:w w:val="110"/>
          <w:vertAlign w:val="baseline"/>
        </w:rPr>
        <w:t> </w:t>
      </w:r>
      <w:r>
        <w:rPr>
          <w:w w:val="110"/>
          <w:vertAlign w:val="baseline"/>
        </w:rPr>
        <w:t>broader</w:t>
      </w:r>
      <w:r>
        <w:rPr>
          <w:spacing w:val="40"/>
          <w:w w:val="110"/>
          <w:vertAlign w:val="baseline"/>
        </w:rPr>
        <w:t> </w:t>
      </w:r>
      <w:r>
        <w:rPr>
          <w:w w:val="110"/>
          <w:vertAlign w:val="baseline"/>
        </w:rPr>
        <w:t>wording of its provisions and the </w:t>
      </w:r>
      <w:r>
        <w:rPr>
          <w:rFonts w:ascii="Lucida Sans Unicode" w:hAnsi="Lucida Sans Unicode"/>
          <w:vertAlign w:val="baseline"/>
        </w:rPr>
        <w:t>addition of more specific rights. It</w:t>
      </w:r>
      <w:r>
        <w:rPr>
          <w:rFonts w:ascii="Lucida Sans Unicode" w:hAnsi="Lucida Sans Unicode"/>
          <w:spacing w:val="40"/>
          <w:w w:val="110"/>
          <w:vertAlign w:val="baseline"/>
        </w:rPr>
        <w:t> </w:t>
      </w:r>
      <w:r>
        <w:rPr>
          <w:rFonts w:ascii="Verdana" w:hAnsi="Verdana"/>
          <w:i/>
          <w:w w:val="110"/>
          <w:vertAlign w:val="baseline"/>
        </w:rPr>
        <w:t>may </w:t>
      </w:r>
      <w:r>
        <w:rPr>
          <w:w w:val="110"/>
          <w:vertAlign w:val="baseline"/>
        </w:rPr>
        <w:t>additionally go beyond it through more expansive judicial interpretation </w:t>
      </w:r>
      <w:r>
        <w:rPr>
          <w:rFonts w:ascii="Lucida Sans Unicode" w:hAnsi="Lucida Sans Unicode"/>
          <w:w w:val="110"/>
          <w:vertAlign w:val="baseline"/>
        </w:rPr>
        <w:t>by</w:t>
      </w:r>
      <w:r>
        <w:rPr>
          <w:rFonts w:ascii="Lucida Sans Unicode" w:hAnsi="Lucida Sans Unicode"/>
          <w:spacing w:val="-14"/>
          <w:w w:val="110"/>
          <w:vertAlign w:val="baseline"/>
        </w:rPr>
        <w:t> </w:t>
      </w:r>
      <w:r>
        <w:rPr>
          <w:rFonts w:ascii="Lucida Sans Unicode" w:hAnsi="Lucida Sans Unicode"/>
          <w:w w:val="110"/>
          <w:vertAlign w:val="baseline"/>
        </w:rPr>
        <w:t>the</w:t>
      </w:r>
      <w:r>
        <w:rPr>
          <w:rFonts w:ascii="Lucida Sans Unicode" w:hAnsi="Lucida Sans Unicode"/>
          <w:spacing w:val="-14"/>
          <w:w w:val="110"/>
          <w:vertAlign w:val="baseline"/>
        </w:rPr>
        <w:t> </w:t>
      </w:r>
      <w:r>
        <w:rPr>
          <w:rFonts w:ascii="Lucida Sans Unicode" w:hAnsi="Lucida Sans Unicode"/>
          <w:w w:val="110"/>
          <w:vertAlign w:val="baseline"/>
        </w:rPr>
        <w:t>CJEU.</w:t>
      </w:r>
      <w:r>
        <w:rPr>
          <w:rFonts w:ascii="Lucida Sans Unicode" w:hAnsi="Lucida Sans Unicode"/>
          <w:spacing w:val="-14"/>
          <w:w w:val="110"/>
          <w:vertAlign w:val="baseline"/>
        </w:rPr>
        <w:t> </w:t>
      </w:r>
      <w:r>
        <w:rPr>
          <w:rFonts w:ascii="Lucida Sans Unicode" w:hAnsi="Lucida Sans Unicode"/>
          <w:w w:val="110"/>
          <w:vertAlign w:val="baseline"/>
        </w:rPr>
        <w:t>Second,</w:t>
      </w:r>
      <w:r>
        <w:rPr>
          <w:rFonts w:ascii="Lucida Sans Unicode" w:hAnsi="Lucida Sans Unicode"/>
          <w:spacing w:val="-14"/>
          <w:w w:val="110"/>
          <w:vertAlign w:val="baseline"/>
        </w:rPr>
        <w:t> </w:t>
      </w:r>
      <w:r>
        <w:rPr>
          <w:rFonts w:ascii="Lucida Sans Unicode" w:hAnsi="Lucida Sans Unicode"/>
          <w:w w:val="110"/>
          <w:vertAlign w:val="baseline"/>
        </w:rPr>
        <w:t>Charter</w:t>
      </w:r>
      <w:r>
        <w:rPr>
          <w:rFonts w:ascii="Lucida Sans Unicode" w:hAnsi="Lucida Sans Unicode"/>
          <w:spacing w:val="-14"/>
          <w:w w:val="110"/>
          <w:vertAlign w:val="baseline"/>
        </w:rPr>
        <w:t> </w:t>
      </w:r>
      <w:r>
        <w:rPr>
          <w:rFonts w:ascii="Lucida Sans Unicode" w:hAnsi="Lucida Sans Unicode"/>
          <w:w w:val="110"/>
          <w:vertAlign w:val="baseline"/>
        </w:rPr>
        <w:t>rights come</w:t>
      </w:r>
      <w:r>
        <w:rPr>
          <w:rFonts w:ascii="Lucida Sans Unicode" w:hAnsi="Lucida Sans Unicode"/>
          <w:spacing w:val="-21"/>
          <w:w w:val="110"/>
          <w:vertAlign w:val="baseline"/>
        </w:rPr>
        <w:t> </w:t>
      </w:r>
      <w:r>
        <w:rPr>
          <w:rFonts w:ascii="Lucida Sans Unicode" w:hAnsi="Lucida Sans Unicode"/>
          <w:w w:val="110"/>
          <w:vertAlign w:val="baseline"/>
        </w:rPr>
        <w:t>equipped</w:t>
      </w:r>
      <w:r>
        <w:rPr>
          <w:rFonts w:ascii="Lucida Sans Unicode" w:hAnsi="Lucida Sans Unicode"/>
          <w:spacing w:val="-21"/>
          <w:w w:val="110"/>
          <w:vertAlign w:val="baseline"/>
        </w:rPr>
        <w:t> </w:t>
      </w:r>
      <w:r>
        <w:rPr>
          <w:rFonts w:ascii="Lucida Sans Unicode" w:hAnsi="Lucida Sans Unicode"/>
          <w:w w:val="110"/>
          <w:vertAlign w:val="baseline"/>
        </w:rPr>
        <w:t>with</w:t>
      </w:r>
      <w:r>
        <w:rPr>
          <w:rFonts w:ascii="Lucida Sans Unicode" w:hAnsi="Lucida Sans Unicode"/>
          <w:spacing w:val="-21"/>
          <w:w w:val="110"/>
          <w:vertAlign w:val="baseline"/>
        </w:rPr>
        <w:t> </w:t>
      </w:r>
      <w:r>
        <w:rPr>
          <w:rFonts w:ascii="Lucida Sans Unicode" w:hAnsi="Lucida Sans Unicode"/>
          <w:w w:val="110"/>
          <w:vertAlign w:val="baseline"/>
        </w:rPr>
        <w:t>the</w:t>
      </w:r>
      <w:r>
        <w:rPr>
          <w:rFonts w:ascii="Lucida Sans Unicode" w:hAnsi="Lucida Sans Unicode"/>
          <w:spacing w:val="-21"/>
          <w:w w:val="110"/>
          <w:vertAlign w:val="baseline"/>
        </w:rPr>
        <w:t> </w:t>
      </w:r>
      <w:r>
        <w:rPr>
          <w:rFonts w:ascii="Lucida Sans Unicode" w:hAnsi="Lucida Sans Unicode"/>
          <w:w w:val="110"/>
          <w:vertAlign w:val="baseline"/>
        </w:rPr>
        <w:t>specific </w:t>
      </w:r>
      <w:r>
        <w:rPr>
          <w:w w:val="110"/>
          <w:vertAlign w:val="baseline"/>
        </w:rPr>
        <w:t>features of EU law (notably, direct effect and primacy), which typically give</w:t>
      </w:r>
      <w:r>
        <w:rPr>
          <w:spacing w:val="40"/>
          <w:w w:val="110"/>
          <w:vertAlign w:val="baseline"/>
        </w:rPr>
        <w:t> </w:t>
      </w:r>
      <w:r>
        <w:rPr>
          <w:w w:val="110"/>
          <w:vertAlign w:val="baseline"/>
        </w:rPr>
        <w:t>rise</w:t>
      </w:r>
      <w:r>
        <w:rPr>
          <w:spacing w:val="40"/>
          <w:w w:val="110"/>
          <w:vertAlign w:val="baseline"/>
        </w:rPr>
        <w:t> </w:t>
      </w:r>
      <w:r>
        <w:rPr>
          <w:w w:val="110"/>
          <w:vertAlign w:val="baseline"/>
        </w:rPr>
        <w:t>to</w:t>
      </w:r>
      <w:r>
        <w:rPr>
          <w:spacing w:val="40"/>
          <w:w w:val="110"/>
          <w:vertAlign w:val="baseline"/>
        </w:rPr>
        <w:t> </w:t>
      </w:r>
      <w:r>
        <w:rPr>
          <w:w w:val="110"/>
          <w:vertAlign w:val="baseline"/>
        </w:rPr>
        <w:t>stronger</w:t>
      </w:r>
      <w:r>
        <w:rPr>
          <w:spacing w:val="40"/>
          <w:w w:val="110"/>
          <w:vertAlign w:val="baseline"/>
        </w:rPr>
        <w:t> </w:t>
      </w:r>
      <w:r>
        <w:rPr>
          <w:w w:val="110"/>
          <w:vertAlign w:val="baseline"/>
        </w:rPr>
        <w:t>remedies</w:t>
      </w:r>
      <w:r>
        <w:rPr>
          <w:spacing w:val="40"/>
          <w:w w:val="110"/>
          <w:vertAlign w:val="baseline"/>
        </w:rPr>
        <w:t> </w:t>
      </w:r>
      <w:r>
        <w:rPr>
          <w:w w:val="110"/>
          <w:vertAlign w:val="baseline"/>
        </w:rPr>
        <w:t>than the ECHR and can even be invoked</w:t>
      </w:r>
    </w:p>
    <w:p>
      <w:pPr>
        <w:pStyle w:val="BodyText"/>
        <w:spacing w:line="312" w:lineRule="exact" w:before="20"/>
        <w:ind w:right="147"/>
      </w:pPr>
      <w:r>
        <w:rPr>
          <w:w w:val="110"/>
        </w:rPr>
        <w:t>to challenge the operation of Acts of the UK Parliament. This feature of the Charter as providing more extensive remedial protection of rights than the ECHR was already well-established in domestic law before Brexit, as shown in</w:t>
      </w:r>
      <w:r>
        <w:rPr>
          <w:spacing w:val="-19"/>
          <w:w w:val="110"/>
        </w:rPr>
        <w:t> </w:t>
      </w:r>
      <w:r>
        <w:rPr>
          <w:w w:val="110"/>
        </w:rPr>
        <w:t>the</w:t>
      </w:r>
      <w:r>
        <w:rPr>
          <w:spacing w:val="-18"/>
          <w:w w:val="110"/>
        </w:rPr>
        <w:t> </w:t>
      </w:r>
      <w:r>
        <w:rPr>
          <w:rFonts w:ascii="Verdana"/>
          <w:i/>
          <w:w w:val="110"/>
        </w:rPr>
        <w:t>Benkharbouche</w:t>
      </w:r>
      <w:r>
        <w:rPr>
          <w:rFonts w:ascii="Verdana"/>
          <w:i/>
          <w:spacing w:val="-23"/>
          <w:w w:val="110"/>
        </w:rPr>
        <w:t> </w:t>
      </w:r>
      <w:r>
        <w:rPr>
          <w:w w:val="110"/>
        </w:rPr>
        <w:t>judgment,</w:t>
      </w:r>
      <w:r>
        <w:rPr>
          <w:rFonts w:ascii="Lucida Sans Unicode"/>
          <w:w w:val="110"/>
          <w:vertAlign w:val="superscript"/>
        </w:rPr>
        <w:t>31</w:t>
      </w:r>
      <w:r>
        <w:rPr>
          <w:rFonts w:ascii="Lucida Sans Unicode"/>
          <w:w w:val="110"/>
          <w:vertAlign w:val="baseline"/>
        </w:rPr>
        <w:t> </w:t>
      </w:r>
      <w:r>
        <w:rPr>
          <w:rFonts w:ascii="Lucida Sans Unicode"/>
          <w:vertAlign w:val="baseline"/>
        </w:rPr>
        <w:t>which is further analysed in Chapter </w:t>
      </w:r>
      <w:r>
        <w:rPr>
          <w:rFonts w:ascii="Lucida Sans Unicode"/>
          <w:vertAlign w:val="baseline"/>
        </w:rPr>
        <w:t>4. </w:t>
      </w:r>
      <w:r>
        <w:rPr>
          <w:w w:val="110"/>
          <w:vertAlign w:val="baseline"/>
        </w:rPr>
        <w:t>Last but not least, provided the case falls within the scope of EU law,</w:t>
      </w:r>
    </w:p>
    <w:p>
      <w:pPr>
        <w:pStyle w:val="BodyText"/>
        <w:spacing w:line="271" w:lineRule="auto" w:before="34"/>
        <w:ind w:right="259"/>
      </w:pPr>
      <w:r>
        <w:rPr>
          <w:w w:val="115"/>
        </w:rPr>
        <w:t>there</w:t>
      </w:r>
      <w:r>
        <w:rPr>
          <w:spacing w:val="-13"/>
          <w:w w:val="115"/>
        </w:rPr>
        <w:t> </w:t>
      </w:r>
      <w:r>
        <w:rPr>
          <w:w w:val="115"/>
        </w:rPr>
        <w:t>are</w:t>
      </w:r>
      <w:r>
        <w:rPr>
          <w:spacing w:val="-13"/>
          <w:w w:val="115"/>
        </w:rPr>
        <w:t> </w:t>
      </w:r>
      <w:r>
        <w:rPr>
          <w:w w:val="115"/>
        </w:rPr>
        <w:t>no</w:t>
      </w:r>
      <w:r>
        <w:rPr>
          <w:spacing w:val="-13"/>
          <w:w w:val="115"/>
        </w:rPr>
        <w:t> </w:t>
      </w:r>
      <w:r>
        <w:rPr>
          <w:w w:val="115"/>
        </w:rPr>
        <w:t>restrictions</w:t>
      </w:r>
      <w:r>
        <w:rPr>
          <w:spacing w:val="-13"/>
          <w:w w:val="115"/>
        </w:rPr>
        <w:t> </w:t>
      </w:r>
      <w:r>
        <w:rPr>
          <w:w w:val="115"/>
        </w:rPr>
        <w:t>on</w:t>
      </w:r>
      <w:r>
        <w:rPr>
          <w:spacing w:val="-13"/>
          <w:w w:val="115"/>
        </w:rPr>
        <w:t> </w:t>
      </w:r>
      <w:r>
        <w:rPr>
          <w:w w:val="115"/>
        </w:rPr>
        <w:t>who</w:t>
      </w:r>
      <w:r>
        <w:rPr>
          <w:spacing w:val="-13"/>
          <w:w w:val="115"/>
        </w:rPr>
        <w:t> </w:t>
      </w:r>
      <w:r>
        <w:rPr>
          <w:w w:val="115"/>
        </w:rPr>
        <w:t>may invoke</w:t>
      </w:r>
      <w:r>
        <w:rPr>
          <w:spacing w:val="-20"/>
          <w:w w:val="115"/>
        </w:rPr>
        <w:t> </w:t>
      </w:r>
      <w:r>
        <w:rPr>
          <w:w w:val="115"/>
        </w:rPr>
        <w:t>the</w:t>
      </w:r>
      <w:r>
        <w:rPr>
          <w:spacing w:val="-19"/>
          <w:w w:val="115"/>
        </w:rPr>
        <w:t> </w:t>
      </w:r>
      <w:r>
        <w:rPr>
          <w:w w:val="115"/>
        </w:rPr>
        <w:t>Charter</w:t>
      </w:r>
      <w:r>
        <w:rPr>
          <w:spacing w:val="-19"/>
          <w:w w:val="115"/>
        </w:rPr>
        <w:t> </w:t>
      </w:r>
      <w:r>
        <w:rPr>
          <w:w w:val="115"/>
        </w:rPr>
        <w:t>or</w:t>
      </w:r>
      <w:r>
        <w:rPr>
          <w:spacing w:val="-19"/>
          <w:w w:val="115"/>
        </w:rPr>
        <w:t> </w:t>
      </w:r>
      <w:r>
        <w:rPr>
          <w:w w:val="115"/>
        </w:rPr>
        <w:t>in</w:t>
      </w:r>
      <w:r>
        <w:rPr>
          <w:spacing w:val="-19"/>
          <w:w w:val="115"/>
        </w:rPr>
        <w:t> </w:t>
      </w:r>
      <w:r>
        <w:rPr>
          <w:w w:val="115"/>
        </w:rPr>
        <w:t>which</w:t>
      </w:r>
      <w:r>
        <w:rPr>
          <w:spacing w:val="-20"/>
          <w:w w:val="115"/>
        </w:rPr>
        <w:t> </w:t>
      </w:r>
      <w:r>
        <w:rPr>
          <w:w w:val="115"/>
        </w:rPr>
        <w:t>forum: any natural or legal person may do so before any domestic court or</w:t>
      </w:r>
    </w:p>
    <w:p>
      <w:pPr>
        <w:spacing w:after="0" w:line="271" w:lineRule="auto"/>
        <w:sectPr>
          <w:type w:val="continuous"/>
          <w:pgSz w:w="11910" w:h="16840"/>
          <w:pgMar w:header="568" w:footer="580" w:top="0" w:bottom="280" w:left="1020" w:right="1020"/>
          <w:cols w:num="2" w:equalWidth="0">
            <w:col w:w="4684" w:space="362"/>
            <w:col w:w="4824"/>
          </w:cols>
        </w:sectPr>
      </w:pPr>
    </w:p>
    <w:p>
      <w:pPr>
        <w:pStyle w:val="BodyText"/>
        <w:spacing w:before="11"/>
        <w:ind w:left="0"/>
        <w:rPr>
          <w:sz w:val="13"/>
        </w:rPr>
      </w:pPr>
    </w:p>
    <w:p>
      <w:pPr>
        <w:pStyle w:val="BodyText"/>
        <w:spacing w:line="20" w:lineRule="exact"/>
        <w:rPr>
          <w:sz w:val="2"/>
        </w:rPr>
      </w:pPr>
      <w:r>
        <w:rPr>
          <w:sz w:val="2"/>
        </w:rPr>
        <mc:AlternateContent>
          <mc:Choice Requires="wps">
            <w:drawing>
              <wp:inline distT="0" distB="0" distL="0" distR="0">
                <wp:extent cx="6120130" cy="6350"/>
                <wp:effectExtent l="9525" t="0" r="0" b="3175"/>
                <wp:docPr id="65" name="Group 65"/>
                <wp:cNvGraphicFramePr>
                  <a:graphicFrameLocks/>
                </wp:cNvGraphicFramePr>
                <a:graphic>
                  <a:graphicData uri="http://schemas.microsoft.com/office/word/2010/wordprocessingGroup">
                    <wpg:wgp>
                      <wpg:cNvPr id="65" name="Group 65"/>
                      <wpg:cNvGrpSpPr/>
                      <wpg:grpSpPr>
                        <a:xfrm>
                          <a:off x="0" y="0"/>
                          <a:ext cx="6120130" cy="6350"/>
                          <a:chExt cx="6120130" cy="6350"/>
                        </a:xfrm>
                      </wpg:grpSpPr>
                      <wps:wsp>
                        <wps:cNvPr id="66" name="Graphic 66"/>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51"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7" w:val="left" w:leader="none"/>
        </w:tabs>
        <w:spacing w:line="194" w:lineRule="auto" w:before="94" w:after="0"/>
        <w:ind w:left="567" w:right="246" w:hanging="454"/>
        <w:jc w:val="left"/>
        <w:rPr>
          <w:sz w:val="16"/>
        </w:rPr>
      </w:pPr>
      <w:r>
        <w:rPr>
          <w:rFonts w:ascii="Arial"/>
          <w:w w:val="110"/>
          <w:sz w:val="16"/>
        </w:rPr>
        <w:t>NB: the prohibition of torture and inhuman and degrading treatment or punishment is also separately protected in</w:t>
      </w:r>
      <w:r>
        <w:rPr>
          <w:rFonts w:ascii="Arial"/>
          <w:spacing w:val="80"/>
          <w:w w:val="110"/>
          <w:sz w:val="16"/>
        </w:rPr>
        <w:t> </w:t>
      </w:r>
      <w:r>
        <w:rPr>
          <w:w w:val="110"/>
          <w:sz w:val="16"/>
        </w:rPr>
        <w:t>Article 4 CFR.</w:t>
      </w:r>
    </w:p>
    <w:p>
      <w:pPr>
        <w:pStyle w:val="ListParagraph"/>
        <w:numPr>
          <w:ilvl w:val="0"/>
          <w:numId w:val="6"/>
        </w:numPr>
        <w:tabs>
          <w:tab w:pos="567" w:val="left" w:leader="none"/>
        </w:tabs>
        <w:spacing w:line="194" w:lineRule="auto" w:before="2" w:after="0"/>
        <w:ind w:left="567" w:right="169" w:hanging="454"/>
        <w:jc w:val="left"/>
        <w:rPr>
          <w:sz w:val="16"/>
        </w:rPr>
      </w:pPr>
      <w:r>
        <w:rPr>
          <w:sz w:val="16"/>
        </w:rPr>
        <w:t>The Strasbourg Court has not excluded the </w:t>
      </w:r>
      <w:r>
        <w:rPr>
          <w:rFonts w:ascii="Verdana" w:hAnsi="Verdana"/>
          <w:i/>
          <w:sz w:val="16"/>
        </w:rPr>
        <w:t>possibility</w:t>
      </w:r>
      <w:r>
        <w:rPr>
          <w:rFonts w:ascii="Verdana" w:hAnsi="Verdana"/>
          <w:i/>
          <w:spacing w:val="-3"/>
          <w:sz w:val="16"/>
        </w:rPr>
        <w:t> </w:t>
      </w:r>
      <w:r>
        <w:rPr>
          <w:sz w:val="16"/>
        </w:rPr>
        <w:t>of Article 3 being used in welfare cases (see </w:t>
      </w:r>
      <w:r>
        <w:rPr>
          <w:rFonts w:ascii="Verdana" w:hAnsi="Verdana"/>
          <w:i/>
          <w:sz w:val="16"/>
        </w:rPr>
        <w:t>Budina</w:t>
      </w:r>
      <w:r>
        <w:rPr>
          <w:rFonts w:ascii="Verdana" w:hAnsi="Verdana"/>
          <w:i/>
          <w:spacing w:val="-3"/>
          <w:sz w:val="16"/>
        </w:rPr>
        <w:t> </w:t>
      </w:r>
      <w:r>
        <w:rPr>
          <w:rFonts w:ascii="Verdana" w:hAnsi="Verdana"/>
          <w:i/>
          <w:sz w:val="16"/>
        </w:rPr>
        <w:t>v</w:t>
      </w:r>
      <w:r>
        <w:rPr>
          <w:rFonts w:ascii="Verdana" w:hAnsi="Verdana"/>
          <w:i/>
          <w:spacing w:val="-3"/>
          <w:sz w:val="16"/>
        </w:rPr>
        <w:t> </w:t>
      </w:r>
      <w:r>
        <w:rPr>
          <w:rFonts w:ascii="Verdana" w:hAnsi="Verdana"/>
          <w:i/>
          <w:sz w:val="16"/>
        </w:rPr>
        <w:t>Russia</w:t>
      </w:r>
      <w:r>
        <w:rPr>
          <w:rFonts w:ascii="Arial" w:hAnsi="Arial"/>
          <w:sz w:val="16"/>
        </w:rPr>
        <w:t>, </w:t>
      </w:r>
      <w:r>
        <w:rPr>
          <w:sz w:val="16"/>
        </w:rPr>
        <w:t>App no. 45603/05</w:t>
      </w:r>
      <w:r>
        <w:rPr>
          <w:rFonts w:ascii="Verdana" w:hAnsi="Verdana"/>
          <w:i/>
          <w:sz w:val="16"/>
        </w:rPr>
        <w:t>, </w:t>
      </w:r>
      <w:r>
        <w:rPr>
          <w:sz w:val="16"/>
        </w:rPr>
        <w:t>ECtHR 18 June 2009) but has so far never found a violation of Article 3 for inadequate welfare provision. The Strasbourg Court has repeatedly noted that Article 3 can only be invoked in ‘very exceptional cases’</w:t>
      </w:r>
      <w:r>
        <w:rPr>
          <w:spacing w:val="80"/>
          <w:sz w:val="16"/>
        </w:rPr>
        <w:t> </w:t>
      </w:r>
      <w:r>
        <w:rPr>
          <w:sz w:val="16"/>
        </w:rPr>
        <w:t>in the field of social security and welfare: see </w:t>
      </w:r>
      <w:r>
        <w:rPr>
          <w:rFonts w:ascii="Verdana" w:hAnsi="Verdana"/>
          <w:i/>
          <w:sz w:val="16"/>
        </w:rPr>
        <w:t>Paposhvili v. Belgium </w:t>
      </w:r>
      <w:r>
        <w:rPr>
          <w:sz w:val="16"/>
        </w:rPr>
        <w:t>[GC], App no. 41738/10, ECtHR 13 December 2016,</w:t>
      </w:r>
      <w:r>
        <w:rPr>
          <w:spacing w:val="-8"/>
          <w:sz w:val="16"/>
        </w:rPr>
        <w:t> </w:t>
      </w:r>
      <w:r>
        <w:rPr>
          <w:sz w:val="16"/>
        </w:rPr>
        <w:t>paras</w:t>
      </w:r>
      <w:r>
        <w:rPr>
          <w:spacing w:val="-8"/>
          <w:sz w:val="16"/>
        </w:rPr>
        <w:t> </w:t>
      </w:r>
      <w:r>
        <w:rPr>
          <w:sz w:val="16"/>
        </w:rPr>
        <w:t>183-185;</w:t>
      </w:r>
      <w:r>
        <w:rPr>
          <w:spacing w:val="-8"/>
          <w:sz w:val="16"/>
        </w:rPr>
        <w:t> </w:t>
      </w:r>
      <w:r>
        <w:rPr>
          <w:sz w:val="16"/>
        </w:rPr>
        <w:t>see</w:t>
      </w:r>
      <w:r>
        <w:rPr>
          <w:spacing w:val="-8"/>
          <w:sz w:val="16"/>
        </w:rPr>
        <w:t> </w:t>
      </w:r>
      <w:r>
        <w:rPr>
          <w:sz w:val="16"/>
        </w:rPr>
        <w:t>also</w:t>
      </w:r>
      <w:r>
        <w:rPr>
          <w:spacing w:val="-8"/>
          <w:sz w:val="16"/>
        </w:rPr>
        <w:t> </w:t>
      </w:r>
      <w:r>
        <w:rPr>
          <w:rFonts w:ascii="Verdana" w:hAnsi="Verdana"/>
          <w:i/>
          <w:sz w:val="16"/>
        </w:rPr>
        <w:t>D.</w:t>
      </w:r>
      <w:r>
        <w:rPr>
          <w:rFonts w:ascii="Verdana" w:hAnsi="Verdana"/>
          <w:i/>
          <w:spacing w:val="-14"/>
          <w:sz w:val="16"/>
        </w:rPr>
        <w:t> </w:t>
      </w:r>
      <w:r>
        <w:rPr>
          <w:rFonts w:ascii="Verdana" w:hAnsi="Verdana"/>
          <w:i/>
          <w:sz w:val="16"/>
        </w:rPr>
        <w:t>v.</w:t>
      </w:r>
      <w:r>
        <w:rPr>
          <w:rFonts w:ascii="Verdana" w:hAnsi="Verdana"/>
          <w:i/>
          <w:spacing w:val="-14"/>
          <w:sz w:val="16"/>
        </w:rPr>
        <w:t> </w:t>
      </w:r>
      <w:r>
        <w:rPr>
          <w:rFonts w:ascii="Verdana" w:hAnsi="Verdana"/>
          <w:i/>
          <w:sz w:val="16"/>
        </w:rPr>
        <w:t>the</w:t>
      </w:r>
      <w:r>
        <w:rPr>
          <w:rFonts w:ascii="Verdana" w:hAnsi="Verdana"/>
          <w:i/>
          <w:spacing w:val="-14"/>
          <w:sz w:val="16"/>
        </w:rPr>
        <w:t> </w:t>
      </w:r>
      <w:r>
        <w:rPr>
          <w:rFonts w:ascii="Verdana" w:hAnsi="Verdana"/>
          <w:i/>
          <w:sz w:val="16"/>
        </w:rPr>
        <w:t>United</w:t>
      </w:r>
      <w:r>
        <w:rPr>
          <w:rFonts w:ascii="Verdana" w:hAnsi="Verdana"/>
          <w:i/>
          <w:spacing w:val="-14"/>
          <w:sz w:val="16"/>
        </w:rPr>
        <w:t> </w:t>
      </w:r>
      <w:r>
        <w:rPr>
          <w:rFonts w:ascii="Verdana" w:hAnsi="Verdana"/>
          <w:i/>
          <w:sz w:val="16"/>
        </w:rPr>
        <w:t>Kingdom</w:t>
      </w:r>
      <w:r>
        <w:rPr>
          <w:sz w:val="16"/>
        </w:rPr>
        <w:t>,</w:t>
      </w:r>
      <w:r>
        <w:rPr>
          <w:spacing w:val="-8"/>
          <w:sz w:val="16"/>
        </w:rPr>
        <w:t> </w:t>
      </w:r>
      <w:r>
        <w:rPr>
          <w:sz w:val="16"/>
        </w:rPr>
        <w:t>App.no.</w:t>
      </w:r>
      <w:r>
        <w:rPr>
          <w:spacing w:val="-8"/>
          <w:sz w:val="16"/>
        </w:rPr>
        <w:t> </w:t>
      </w:r>
      <w:r>
        <w:rPr>
          <w:sz w:val="16"/>
        </w:rPr>
        <w:t>30240/96,</w:t>
      </w:r>
      <w:r>
        <w:rPr>
          <w:spacing w:val="-8"/>
          <w:sz w:val="16"/>
        </w:rPr>
        <w:t> </w:t>
      </w:r>
      <w:r>
        <w:rPr>
          <w:sz w:val="16"/>
        </w:rPr>
        <w:t>ECtHR</w:t>
      </w:r>
      <w:r>
        <w:rPr>
          <w:spacing w:val="-8"/>
          <w:sz w:val="16"/>
        </w:rPr>
        <w:t> </w:t>
      </w:r>
      <w:r>
        <w:rPr>
          <w:sz w:val="16"/>
        </w:rPr>
        <w:t>2</w:t>
      </w:r>
      <w:r>
        <w:rPr>
          <w:spacing w:val="-8"/>
          <w:sz w:val="16"/>
        </w:rPr>
        <w:t> </w:t>
      </w:r>
      <w:r>
        <w:rPr>
          <w:sz w:val="16"/>
        </w:rPr>
        <w:t>May</w:t>
      </w:r>
      <w:r>
        <w:rPr>
          <w:spacing w:val="-8"/>
          <w:sz w:val="16"/>
        </w:rPr>
        <w:t> </w:t>
      </w:r>
      <w:r>
        <w:rPr>
          <w:sz w:val="16"/>
        </w:rPr>
        <w:t>1997,</w:t>
      </w:r>
      <w:r>
        <w:rPr>
          <w:spacing w:val="-8"/>
          <w:sz w:val="16"/>
        </w:rPr>
        <w:t> </w:t>
      </w:r>
      <w:r>
        <w:rPr>
          <w:sz w:val="16"/>
        </w:rPr>
        <w:t>para</w:t>
      </w:r>
      <w:r>
        <w:rPr>
          <w:spacing w:val="-8"/>
          <w:sz w:val="16"/>
        </w:rPr>
        <w:t> </w:t>
      </w:r>
      <w:r>
        <w:rPr>
          <w:sz w:val="16"/>
        </w:rPr>
        <w:t>54;</w:t>
      </w:r>
      <w:r>
        <w:rPr>
          <w:spacing w:val="-8"/>
          <w:sz w:val="16"/>
        </w:rPr>
        <w:t> </w:t>
      </w:r>
      <w:r>
        <w:rPr>
          <w:rFonts w:ascii="Verdana" w:hAnsi="Verdana"/>
          <w:i/>
          <w:sz w:val="16"/>
        </w:rPr>
        <w:t>N.</w:t>
      </w:r>
      <w:r>
        <w:rPr>
          <w:rFonts w:ascii="Verdana" w:hAnsi="Verdana"/>
          <w:i/>
          <w:spacing w:val="-14"/>
          <w:sz w:val="16"/>
        </w:rPr>
        <w:t> </w:t>
      </w:r>
      <w:r>
        <w:rPr>
          <w:rFonts w:ascii="Verdana" w:hAnsi="Verdana"/>
          <w:i/>
          <w:sz w:val="16"/>
        </w:rPr>
        <w:t>v.</w:t>
      </w:r>
      <w:r>
        <w:rPr>
          <w:rFonts w:ascii="Verdana" w:hAnsi="Verdana"/>
          <w:i/>
          <w:spacing w:val="-14"/>
          <w:sz w:val="16"/>
        </w:rPr>
        <w:t> </w:t>
      </w:r>
      <w:r>
        <w:rPr>
          <w:rFonts w:ascii="Verdana" w:hAnsi="Verdana"/>
          <w:i/>
          <w:sz w:val="16"/>
        </w:rPr>
        <w:t>the</w:t>
      </w:r>
      <w:r>
        <w:rPr>
          <w:rFonts w:ascii="Verdana" w:hAnsi="Verdana"/>
          <w:i/>
          <w:sz w:val="16"/>
        </w:rPr>
        <w:t> United Kingdom </w:t>
      </w:r>
      <w:r>
        <w:rPr>
          <w:sz w:val="16"/>
        </w:rPr>
        <w:t>[GC], App. no. 26565/05, ECtHR 27 May 2008, para 42.</w:t>
      </w:r>
    </w:p>
    <w:p>
      <w:pPr>
        <w:pStyle w:val="ListParagraph"/>
        <w:numPr>
          <w:ilvl w:val="0"/>
          <w:numId w:val="6"/>
        </w:numPr>
        <w:tabs>
          <w:tab w:pos="567" w:val="left" w:leader="none"/>
        </w:tabs>
        <w:spacing w:line="194" w:lineRule="auto" w:before="5" w:after="0"/>
        <w:ind w:left="567" w:right="325" w:hanging="454"/>
        <w:jc w:val="left"/>
        <w:rPr>
          <w:sz w:val="16"/>
        </w:rPr>
      </w:pPr>
      <w:r>
        <w:rPr>
          <w:sz w:val="16"/>
        </w:rPr>
        <w:t>See,</w:t>
      </w:r>
      <w:r>
        <w:rPr>
          <w:spacing w:val="-3"/>
          <w:sz w:val="16"/>
        </w:rPr>
        <w:t> </w:t>
      </w:r>
      <w:r>
        <w:rPr>
          <w:sz w:val="16"/>
        </w:rPr>
        <w:t>e.g.,</w:t>
      </w:r>
      <w:r>
        <w:rPr>
          <w:spacing w:val="-3"/>
          <w:sz w:val="16"/>
        </w:rPr>
        <w:t> </w:t>
      </w:r>
      <w:r>
        <w:rPr>
          <w:rFonts w:ascii="Verdana"/>
          <w:i/>
          <w:sz w:val="16"/>
        </w:rPr>
        <w:t>Re</w:t>
      </w:r>
      <w:r>
        <w:rPr>
          <w:rFonts w:ascii="Verdana"/>
          <w:i/>
          <w:spacing w:val="-9"/>
          <w:sz w:val="16"/>
        </w:rPr>
        <w:t> </w:t>
      </w:r>
      <w:r>
        <w:rPr>
          <w:rFonts w:ascii="Verdana"/>
          <w:i/>
          <w:sz w:val="16"/>
        </w:rPr>
        <w:t>S</w:t>
      </w:r>
      <w:r>
        <w:rPr>
          <w:rFonts w:ascii="Verdana"/>
          <w:i/>
          <w:spacing w:val="-9"/>
          <w:sz w:val="16"/>
        </w:rPr>
        <w:t> </w:t>
      </w:r>
      <w:r>
        <w:rPr>
          <w:rFonts w:ascii="Verdana"/>
          <w:i/>
          <w:sz w:val="16"/>
        </w:rPr>
        <w:t>and</w:t>
      </w:r>
      <w:r>
        <w:rPr>
          <w:rFonts w:ascii="Verdana"/>
          <w:i/>
          <w:spacing w:val="-9"/>
          <w:sz w:val="16"/>
        </w:rPr>
        <w:t> </w:t>
      </w:r>
      <w:r>
        <w:rPr>
          <w:rFonts w:ascii="Verdana"/>
          <w:i/>
          <w:sz w:val="16"/>
        </w:rPr>
        <w:t>Re</w:t>
      </w:r>
      <w:r>
        <w:rPr>
          <w:rFonts w:ascii="Verdana"/>
          <w:i/>
          <w:spacing w:val="-9"/>
          <w:sz w:val="16"/>
        </w:rPr>
        <w:t> </w:t>
      </w:r>
      <w:r>
        <w:rPr>
          <w:rFonts w:ascii="Verdana"/>
          <w:i/>
          <w:sz w:val="16"/>
        </w:rPr>
        <w:t>W</w:t>
      </w:r>
      <w:r>
        <w:rPr>
          <w:rFonts w:ascii="Verdana"/>
          <w:i/>
          <w:spacing w:val="-9"/>
          <w:sz w:val="16"/>
        </w:rPr>
        <w:t> </w:t>
      </w:r>
      <w:r>
        <w:rPr>
          <w:rFonts w:ascii="Verdana"/>
          <w:i/>
          <w:sz w:val="16"/>
        </w:rPr>
        <w:t>(Care</w:t>
      </w:r>
      <w:r>
        <w:rPr>
          <w:rFonts w:ascii="Verdana"/>
          <w:i/>
          <w:spacing w:val="-9"/>
          <w:sz w:val="16"/>
        </w:rPr>
        <w:t> </w:t>
      </w:r>
      <w:r>
        <w:rPr>
          <w:rFonts w:ascii="Verdana"/>
          <w:i/>
          <w:sz w:val="16"/>
        </w:rPr>
        <w:t>Orders)</w:t>
      </w:r>
      <w:r>
        <w:rPr>
          <w:rFonts w:ascii="Verdana"/>
          <w:i/>
          <w:spacing w:val="-9"/>
          <w:sz w:val="16"/>
        </w:rPr>
        <w:t> </w:t>
      </w:r>
      <w:r>
        <w:rPr>
          <w:sz w:val="16"/>
        </w:rPr>
        <w:t>[2002]</w:t>
      </w:r>
      <w:r>
        <w:rPr>
          <w:spacing w:val="-3"/>
          <w:sz w:val="16"/>
        </w:rPr>
        <w:t> </w:t>
      </w:r>
      <w:r>
        <w:rPr>
          <w:sz w:val="16"/>
        </w:rPr>
        <w:t>2</w:t>
      </w:r>
      <w:r>
        <w:rPr>
          <w:spacing w:val="-3"/>
          <w:sz w:val="16"/>
        </w:rPr>
        <w:t> </w:t>
      </w:r>
      <w:r>
        <w:rPr>
          <w:sz w:val="16"/>
        </w:rPr>
        <w:t>AC</w:t>
      </w:r>
      <w:r>
        <w:rPr>
          <w:spacing w:val="-3"/>
          <w:sz w:val="16"/>
        </w:rPr>
        <w:t> </w:t>
      </w:r>
      <w:r>
        <w:rPr>
          <w:sz w:val="16"/>
        </w:rPr>
        <w:t>291;</w:t>
      </w:r>
      <w:r>
        <w:rPr>
          <w:spacing w:val="-3"/>
          <w:sz w:val="16"/>
        </w:rPr>
        <w:t> </w:t>
      </w:r>
      <w:r>
        <w:rPr>
          <w:sz w:val="16"/>
        </w:rPr>
        <w:t>and</w:t>
      </w:r>
      <w:r>
        <w:rPr>
          <w:spacing w:val="-3"/>
          <w:sz w:val="16"/>
        </w:rPr>
        <w:t> </w:t>
      </w:r>
      <w:r>
        <w:rPr>
          <w:sz w:val="16"/>
        </w:rPr>
        <w:t>more</w:t>
      </w:r>
      <w:r>
        <w:rPr>
          <w:spacing w:val="-3"/>
          <w:sz w:val="16"/>
        </w:rPr>
        <w:t> </w:t>
      </w:r>
      <w:r>
        <w:rPr>
          <w:sz w:val="16"/>
        </w:rPr>
        <w:t>recently,</w:t>
      </w:r>
      <w:r>
        <w:rPr>
          <w:spacing w:val="-3"/>
          <w:sz w:val="16"/>
        </w:rPr>
        <w:t> </w:t>
      </w:r>
      <w:r>
        <w:rPr>
          <w:rFonts w:ascii="Verdana"/>
          <w:i/>
          <w:sz w:val="16"/>
        </w:rPr>
        <w:t>R</w:t>
      </w:r>
      <w:r>
        <w:rPr>
          <w:rFonts w:ascii="Verdana"/>
          <w:i/>
          <w:spacing w:val="-9"/>
          <w:sz w:val="16"/>
        </w:rPr>
        <w:t> </w:t>
      </w:r>
      <w:r>
        <w:rPr>
          <w:rFonts w:ascii="Verdana"/>
          <w:i/>
          <w:sz w:val="16"/>
        </w:rPr>
        <w:t>(on</w:t>
      </w:r>
      <w:r>
        <w:rPr>
          <w:rFonts w:ascii="Verdana"/>
          <w:i/>
          <w:spacing w:val="-9"/>
          <w:sz w:val="16"/>
        </w:rPr>
        <w:t> </w:t>
      </w:r>
      <w:r>
        <w:rPr>
          <w:rFonts w:ascii="Verdana"/>
          <w:i/>
          <w:sz w:val="16"/>
        </w:rPr>
        <w:t>the</w:t>
      </w:r>
      <w:r>
        <w:rPr>
          <w:rFonts w:ascii="Verdana"/>
          <w:i/>
          <w:spacing w:val="-9"/>
          <w:sz w:val="16"/>
        </w:rPr>
        <w:t> </w:t>
      </w:r>
      <w:r>
        <w:rPr>
          <w:rFonts w:ascii="Verdana"/>
          <w:i/>
          <w:sz w:val="16"/>
        </w:rPr>
        <w:t>application</w:t>
      </w:r>
      <w:r>
        <w:rPr>
          <w:rFonts w:ascii="Verdana"/>
          <w:i/>
          <w:spacing w:val="-9"/>
          <w:sz w:val="16"/>
        </w:rPr>
        <w:t> </w:t>
      </w:r>
      <w:r>
        <w:rPr>
          <w:rFonts w:ascii="Verdana"/>
          <w:i/>
          <w:sz w:val="16"/>
        </w:rPr>
        <w:t>of</w:t>
      </w:r>
      <w:r>
        <w:rPr>
          <w:rFonts w:ascii="Verdana"/>
          <w:i/>
          <w:spacing w:val="-9"/>
          <w:sz w:val="16"/>
        </w:rPr>
        <w:t> </w:t>
      </w:r>
      <w:r>
        <w:rPr>
          <w:rFonts w:ascii="Verdana"/>
          <w:i/>
          <w:sz w:val="16"/>
        </w:rPr>
        <w:t>SC,</w:t>
      </w:r>
      <w:r>
        <w:rPr>
          <w:rFonts w:ascii="Verdana"/>
          <w:i/>
          <w:spacing w:val="-9"/>
          <w:sz w:val="16"/>
        </w:rPr>
        <w:t> </w:t>
      </w:r>
      <w:r>
        <w:rPr>
          <w:rFonts w:ascii="Verdana"/>
          <w:i/>
          <w:sz w:val="16"/>
        </w:rPr>
        <w:t>CB</w:t>
      </w:r>
      <w:r>
        <w:rPr>
          <w:rFonts w:ascii="Verdana"/>
          <w:i/>
          <w:spacing w:val="-9"/>
          <w:sz w:val="16"/>
        </w:rPr>
        <w:t> </w:t>
      </w:r>
      <w:r>
        <w:rPr>
          <w:rFonts w:ascii="Verdana"/>
          <w:i/>
          <w:sz w:val="16"/>
        </w:rPr>
        <w:t>and</w:t>
      </w:r>
      <w:r>
        <w:rPr>
          <w:rFonts w:ascii="Verdana"/>
          <w:i/>
          <w:spacing w:val="-9"/>
          <w:sz w:val="16"/>
        </w:rPr>
        <w:t> </w:t>
      </w:r>
      <w:r>
        <w:rPr>
          <w:rFonts w:ascii="Verdana"/>
          <w:i/>
          <w:sz w:val="16"/>
        </w:rPr>
        <w:t>8</w:t>
      </w:r>
      <w:r>
        <w:rPr>
          <w:rFonts w:ascii="Verdana"/>
          <w:i/>
          <w:sz w:val="16"/>
        </w:rPr>
        <w:t> children) v Secretary of State for Work and Pensions and others </w:t>
      </w:r>
      <w:r>
        <w:rPr>
          <w:sz w:val="16"/>
        </w:rPr>
        <w:t>[2021] UKSC 26.</w:t>
      </w:r>
    </w:p>
    <w:p>
      <w:pPr>
        <w:pStyle w:val="ListParagraph"/>
        <w:numPr>
          <w:ilvl w:val="0"/>
          <w:numId w:val="6"/>
        </w:numPr>
        <w:tabs>
          <w:tab w:pos="567" w:val="left" w:leader="none"/>
        </w:tabs>
        <w:spacing w:line="204" w:lineRule="exact" w:before="0" w:after="0"/>
        <w:ind w:left="567" w:right="0" w:hanging="454"/>
        <w:jc w:val="left"/>
        <w:rPr>
          <w:sz w:val="16"/>
        </w:rPr>
      </w:pPr>
      <w:r>
        <w:rPr>
          <w:sz w:val="16"/>
        </w:rPr>
        <w:t>HRA,</w:t>
      </w:r>
      <w:r>
        <w:rPr>
          <w:spacing w:val="5"/>
          <w:sz w:val="16"/>
        </w:rPr>
        <w:t> </w:t>
      </w:r>
      <w:r>
        <w:rPr>
          <w:sz w:val="16"/>
        </w:rPr>
        <w:t>s</w:t>
      </w:r>
      <w:r>
        <w:rPr>
          <w:spacing w:val="6"/>
          <w:sz w:val="16"/>
        </w:rPr>
        <w:t> </w:t>
      </w:r>
      <w:r>
        <w:rPr>
          <w:sz w:val="16"/>
        </w:rPr>
        <w:t>6(1).</w:t>
      </w:r>
      <w:r>
        <w:rPr>
          <w:spacing w:val="5"/>
          <w:sz w:val="16"/>
        </w:rPr>
        <w:t> </w:t>
      </w:r>
      <w:r>
        <w:rPr>
          <w:sz w:val="16"/>
        </w:rPr>
        <w:t>Note,</w:t>
      </w:r>
      <w:r>
        <w:rPr>
          <w:spacing w:val="6"/>
          <w:sz w:val="16"/>
        </w:rPr>
        <w:t> </w:t>
      </w:r>
      <w:r>
        <w:rPr>
          <w:sz w:val="16"/>
        </w:rPr>
        <w:t>however,</w:t>
      </w:r>
      <w:r>
        <w:rPr>
          <w:spacing w:val="6"/>
          <w:sz w:val="16"/>
        </w:rPr>
        <w:t> </w:t>
      </w:r>
      <w:r>
        <w:rPr>
          <w:sz w:val="16"/>
        </w:rPr>
        <w:t>that</w:t>
      </w:r>
      <w:r>
        <w:rPr>
          <w:spacing w:val="5"/>
          <w:sz w:val="16"/>
        </w:rPr>
        <w:t> </w:t>
      </w:r>
      <w:r>
        <w:rPr>
          <w:sz w:val="16"/>
        </w:rPr>
        <w:t>‘public</w:t>
      </w:r>
      <w:r>
        <w:rPr>
          <w:spacing w:val="6"/>
          <w:sz w:val="16"/>
        </w:rPr>
        <w:t> </w:t>
      </w:r>
      <w:r>
        <w:rPr>
          <w:sz w:val="16"/>
        </w:rPr>
        <w:t>authority’</w:t>
      </w:r>
      <w:r>
        <w:rPr>
          <w:spacing w:val="5"/>
          <w:sz w:val="16"/>
        </w:rPr>
        <w:t> </w:t>
      </w:r>
      <w:r>
        <w:rPr>
          <w:sz w:val="16"/>
        </w:rPr>
        <w:t>also</w:t>
      </w:r>
      <w:r>
        <w:rPr>
          <w:spacing w:val="6"/>
          <w:sz w:val="16"/>
        </w:rPr>
        <w:t> </w:t>
      </w:r>
      <w:r>
        <w:rPr>
          <w:sz w:val="16"/>
        </w:rPr>
        <w:t>includes</w:t>
      </w:r>
      <w:r>
        <w:rPr>
          <w:spacing w:val="6"/>
          <w:sz w:val="16"/>
        </w:rPr>
        <w:t> </w:t>
      </w:r>
      <w:r>
        <w:rPr>
          <w:sz w:val="16"/>
        </w:rPr>
        <w:t>courts</w:t>
      </w:r>
      <w:r>
        <w:rPr>
          <w:spacing w:val="5"/>
          <w:sz w:val="16"/>
        </w:rPr>
        <w:t> </w:t>
      </w:r>
      <w:r>
        <w:rPr>
          <w:sz w:val="16"/>
        </w:rPr>
        <w:t>(s</w:t>
      </w:r>
      <w:r>
        <w:rPr>
          <w:spacing w:val="6"/>
          <w:sz w:val="16"/>
        </w:rPr>
        <w:t> </w:t>
      </w:r>
      <w:r>
        <w:rPr>
          <w:sz w:val="16"/>
        </w:rPr>
        <w:t>6(3)(a)),</w:t>
      </w:r>
      <w:r>
        <w:rPr>
          <w:spacing w:val="5"/>
          <w:sz w:val="16"/>
        </w:rPr>
        <w:t> </w:t>
      </w:r>
      <w:r>
        <w:rPr>
          <w:sz w:val="16"/>
        </w:rPr>
        <w:t>meaning</w:t>
      </w:r>
      <w:r>
        <w:rPr>
          <w:spacing w:val="6"/>
          <w:sz w:val="16"/>
        </w:rPr>
        <w:t> </w:t>
      </w:r>
      <w:r>
        <w:rPr>
          <w:sz w:val="16"/>
        </w:rPr>
        <w:t>that</w:t>
      </w:r>
      <w:r>
        <w:rPr>
          <w:spacing w:val="6"/>
          <w:sz w:val="16"/>
        </w:rPr>
        <w:t> </w:t>
      </w:r>
      <w:r>
        <w:rPr>
          <w:sz w:val="16"/>
        </w:rPr>
        <w:t>there</w:t>
      </w:r>
      <w:r>
        <w:rPr>
          <w:spacing w:val="5"/>
          <w:sz w:val="16"/>
        </w:rPr>
        <w:t> </w:t>
      </w:r>
      <w:r>
        <w:rPr>
          <w:sz w:val="16"/>
        </w:rPr>
        <w:t>is</w:t>
      </w:r>
      <w:r>
        <w:rPr>
          <w:spacing w:val="6"/>
          <w:sz w:val="16"/>
        </w:rPr>
        <w:t> </w:t>
      </w:r>
      <w:r>
        <w:rPr>
          <w:sz w:val="16"/>
        </w:rPr>
        <w:t>an</w:t>
      </w:r>
      <w:r>
        <w:rPr>
          <w:spacing w:val="5"/>
          <w:sz w:val="16"/>
        </w:rPr>
        <w:t> </w:t>
      </w:r>
      <w:r>
        <w:rPr>
          <w:spacing w:val="-2"/>
          <w:sz w:val="16"/>
        </w:rPr>
        <w:t>element</w:t>
      </w:r>
    </w:p>
    <w:p>
      <w:pPr>
        <w:spacing w:line="174" w:lineRule="exact" w:before="0"/>
        <w:ind w:left="567" w:right="0" w:firstLine="0"/>
        <w:jc w:val="left"/>
        <w:rPr>
          <w:sz w:val="16"/>
        </w:rPr>
      </w:pPr>
      <w:r>
        <w:rPr>
          <w:spacing w:val="-2"/>
          <w:w w:val="115"/>
          <w:sz w:val="16"/>
        </w:rPr>
        <w:t>of</w:t>
      </w:r>
      <w:r>
        <w:rPr>
          <w:spacing w:val="-3"/>
          <w:w w:val="115"/>
          <w:sz w:val="16"/>
        </w:rPr>
        <w:t> </w:t>
      </w:r>
      <w:r>
        <w:rPr>
          <w:spacing w:val="-2"/>
          <w:w w:val="115"/>
          <w:sz w:val="16"/>
        </w:rPr>
        <w:t>horizontal</w:t>
      </w:r>
      <w:r>
        <w:rPr>
          <w:spacing w:val="-3"/>
          <w:w w:val="115"/>
          <w:sz w:val="16"/>
        </w:rPr>
        <w:t> </w:t>
      </w:r>
      <w:r>
        <w:rPr>
          <w:spacing w:val="-2"/>
          <w:w w:val="115"/>
          <w:sz w:val="16"/>
        </w:rPr>
        <w:t>application</w:t>
      </w:r>
      <w:r>
        <w:rPr>
          <w:spacing w:val="-3"/>
          <w:w w:val="115"/>
          <w:sz w:val="16"/>
        </w:rPr>
        <w:t> </w:t>
      </w:r>
      <w:r>
        <w:rPr>
          <w:spacing w:val="-2"/>
          <w:w w:val="115"/>
          <w:sz w:val="16"/>
        </w:rPr>
        <w:t>of</w:t>
      </w:r>
      <w:r>
        <w:rPr>
          <w:spacing w:val="-3"/>
          <w:w w:val="115"/>
          <w:sz w:val="16"/>
        </w:rPr>
        <w:t> </w:t>
      </w:r>
      <w:r>
        <w:rPr>
          <w:spacing w:val="-2"/>
          <w:w w:val="115"/>
          <w:sz w:val="16"/>
        </w:rPr>
        <w:t>the</w:t>
      </w:r>
      <w:r>
        <w:rPr>
          <w:spacing w:val="-3"/>
          <w:w w:val="115"/>
          <w:sz w:val="16"/>
        </w:rPr>
        <w:t> </w:t>
      </w:r>
      <w:r>
        <w:rPr>
          <w:spacing w:val="-2"/>
          <w:w w:val="115"/>
          <w:sz w:val="16"/>
        </w:rPr>
        <w:t>ECHR</w:t>
      </w:r>
      <w:r>
        <w:rPr>
          <w:spacing w:val="-3"/>
          <w:w w:val="115"/>
          <w:sz w:val="16"/>
        </w:rPr>
        <w:t> </w:t>
      </w:r>
      <w:r>
        <w:rPr>
          <w:spacing w:val="-2"/>
          <w:w w:val="115"/>
          <w:sz w:val="16"/>
        </w:rPr>
        <w:t>in</w:t>
      </w:r>
      <w:r>
        <w:rPr>
          <w:spacing w:val="-3"/>
          <w:w w:val="115"/>
          <w:sz w:val="16"/>
        </w:rPr>
        <w:t> </w:t>
      </w:r>
      <w:r>
        <w:rPr>
          <w:spacing w:val="-2"/>
          <w:w w:val="115"/>
          <w:sz w:val="16"/>
        </w:rPr>
        <w:t>that,</w:t>
      </w:r>
      <w:r>
        <w:rPr>
          <w:spacing w:val="-3"/>
          <w:w w:val="115"/>
          <w:sz w:val="16"/>
        </w:rPr>
        <w:t> </w:t>
      </w:r>
      <w:r>
        <w:rPr>
          <w:spacing w:val="-2"/>
          <w:w w:val="115"/>
          <w:sz w:val="16"/>
        </w:rPr>
        <w:t>even</w:t>
      </w:r>
      <w:r>
        <w:rPr>
          <w:spacing w:val="-3"/>
          <w:w w:val="115"/>
          <w:sz w:val="16"/>
        </w:rPr>
        <w:t> </w:t>
      </w:r>
      <w:r>
        <w:rPr>
          <w:spacing w:val="-2"/>
          <w:w w:val="115"/>
          <w:sz w:val="16"/>
        </w:rPr>
        <w:t>in</w:t>
      </w:r>
      <w:r>
        <w:rPr>
          <w:spacing w:val="-3"/>
          <w:w w:val="115"/>
          <w:sz w:val="16"/>
        </w:rPr>
        <w:t> </w:t>
      </w:r>
      <w:r>
        <w:rPr>
          <w:spacing w:val="-2"/>
          <w:w w:val="115"/>
          <w:sz w:val="16"/>
        </w:rPr>
        <w:t>disputes</w:t>
      </w:r>
      <w:r>
        <w:rPr>
          <w:spacing w:val="-3"/>
          <w:w w:val="115"/>
          <w:sz w:val="16"/>
        </w:rPr>
        <w:t> </w:t>
      </w:r>
      <w:r>
        <w:rPr>
          <w:spacing w:val="-2"/>
          <w:w w:val="115"/>
          <w:sz w:val="16"/>
        </w:rPr>
        <w:t>of</w:t>
      </w:r>
      <w:r>
        <w:rPr>
          <w:spacing w:val="-3"/>
          <w:w w:val="115"/>
          <w:sz w:val="16"/>
        </w:rPr>
        <w:t> </w:t>
      </w:r>
      <w:r>
        <w:rPr>
          <w:spacing w:val="-2"/>
          <w:w w:val="115"/>
          <w:sz w:val="16"/>
        </w:rPr>
        <w:t>a</w:t>
      </w:r>
      <w:r>
        <w:rPr>
          <w:spacing w:val="-3"/>
          <w:w w:val="115"/>
          <w:sz w:val="16"/>
        </w:rPr>
        <w:t> </w:t>
      </w:r>
      <w:r>
        <w:rPr>
          <w:spacing w:val="-2"/>
          <w:w w:val="115"/>
          <w:sz w:val="16"/>
        </w:rPr>
        <w:t>purely</w:t>
      </w:r>
      <w:r>
        <w:rPr>
          <w:spacing w:val="-3"/>
          <w:w w:val="115"/>
          <w:sz w:val="16"/>
        </w:rPr>
        <w:t> </w:t>
      </w:r>
      <w:r>
        <w:rPr>
          <w:spacing w:val="-2"/>
          <w:w w:val="115"/>
          <w:sz w:val="16"/>
        </w:rPr>
        <w:t>private</w:t>
      </w:r>
      <w:r>
        <w:rPr>
          <w:spacing w:val="-3"/>
          <w:w w:val="115"/>
          <w:sz w:val="16"/>
        </w:rPr>
        <w:t> </w:t>
      </w:r>
      <w:r>
        <w:rPr>
          <w:spacing w:val="-2"/>
          <w:w w:val="115"/>
          <w:sz w:val="16"/>
        </w:rPr>
        <w:t>nature,</w:t>
      </w:r>
      <w:r>
        <w:rPr>
          <w:spacing w:val="-3"/>
          <w:w w:val="115"/>
          <w:sz w:val="16"/>
        </w:rPr>
        <w:t> </w:t>
      </w:r>
      <w:r>
        <w:rPr>
          <w:spacing w:val="-2"/>
          <w:w w:val="115"/>
          <w:sz w:val="16"/>
        </w:rPr>
        <w:t>courts</w:t>
      </w:r>
      <w:r>
        <w:rPr>
          <w:spacing w:val="-3"/>
          <w:w w:val="115"/>
          <w:sz w:val="16"/>
        </w:rPr>
        <w:t> </w:t>
      </w:r>
      <w:r>
        <w:rPr>
          <w:spacing w:val="-2"/>
          <w:w w:val="115"/>
          <w:sz w:val="16"/>
        </w:rPr>
        <w:t>are</w:t>
      </w:r>
      <w:r>
        <w:rPr>
          <w:spacing w:val="-3"/>
          <w:w w:val="115"/>
          <w:sz w:val="16"/>
        </w:rPr>
        <w:t> </w:t>
      </w:r>
      <w:r>
        <w:rPr>
          <w:spacing w:val="-2"/>
          <w:w w:val="115"/>
          <w:sz w:val="16"/>
        </w:rPr>
        <w:t>precluded</w:t>
      </w:r>
      <w:r>
        <w:rPr>
          <w:spacing w:val="-3"/>
          <w:w w:val="115"/>
          <w:sz w:val="16"/>
        </w:rPr>
        <w:t> </w:t>
      </w:r>
      <w:r>
        <w:rPr>
          <w:spacing w:val="-4"/>
          <w:w w:val="115"/>
          <w:sz w:val="16"/>
        </w:rPr>
        <w:t>from</w:t>
      </w:r>
    </w:p>
    <w:p>
      <w:pPr>
        <w:spacing w:line="179" w:lineRule="exact" w:before="16"/>
        <w:ind w:left="567" w:right="0" w:firstLine="0"/>
        <w:jc w:val="left"/>
        <w:rPr>
          <w:sz w:val="16"/>
        </w:rPr>
      </w:pPr>
      <w:r>
        <w:rPr>
          <w:w w:val="110"/>
          <w:sz w:val="16"/>
        </w:rPr>
        <w:t>acting</w:t>
      </w:r>
      <w:r>
        <w:rPr>
          <w:spacing w:val="4"/>
          <w:w w:val="110"/>
          <w:sz w:val="16"/>
        </w:rPr>
        <w:t> </w:t>
      </w:r>
      <w:r>
        <w:rPr>
          <w:w w:val="110"/>
          <w:sz w:val="16"/>
        </w:rPr>
        <w:t>in</w:t>
      </w:r>
      <w:r>
        <w:rPr>
          <w:spacing w:val="5"/>
          <w:w w:val="110"/>
          <w:sz w:val="16"/>
        </w:rPr>
        <w:t> </w:t>
      </w:r>
      <w:r>
        <w:rPr>
          <w:w w:val="110"/>
          <w:sz w:val="16"/>
        </w:rPr>
        <w:t>a</w:t>
      </w:r>
      <w:r>
        <w:rPr>
          <w:spacing w:val="5"/>
          <w:w w:val="110"/>
          <w:sz w:val="16"/>
        </w:rPr>
        <w:t> </w:t>
      </w:r>
      <w:r>
        <w:rPr>
          <w:w w:val="110"/>
          <w:sz w:val="16"/>
        </w:rPr>
        <w:t>way</w:t>
      </w:r>
      <w:r>
        <w:rPr>
          <w:spacing w:val="4"/>
          <w:w w:val="110"/>
          <w:sz w:val="16"/>
        </w:rPr>
        <w:t> </w:t>
      </w:r>
      <w:r>
        <w:rPr>
          <w:w w:val="110"/>
          <w:sz w:val="16"/>
        </w:rPr>
        <w:t>which</w:t>
      </w:r>
      <w:r>
        <w:rPr>
          <w:spacing w:val="5"/>
          <w:w w:val="110"/>
          <w:sz w:val="16"/>
        </w:rPr>
        <w:t> </w:t>
      </w:r>
      <w:r>
        <w:rPr>
          <w:w w:val="110"/>
          <w:sz w:val="16"/>
        </w:rPr>
        <w:t>breaches</w:t>
      </w:r>
      <w:r>
        <w:rPr>
          <w:spacing w:val="5"/>
          <w:w w:val="110"/>
          <w:sz w:val="16"/>
        </w:rPr>
        <w:t> </w:t>
      </w:r>
      <w:r>
        <w:rPr>
          <w:w w:val="110"/>
          <w:sz w:val="16"/>
        </w:rPr>
        <w:t>the</w:t>
      </w:r>
      <w:r>
        <w:rPr>
          <w:spacing w:val="5"/>
          <w:w w:val="110"/>
          <w:sz w:val="16"/>
        </w:rPr>
        <w:t> </w:t>
      </w:r>
      <w:r>
        <w:rPr>
          <w:spacing w:val="-4"/>
          <w:w w:val="110"/>
          <w:sz w:val="16"/>
        </w:rPr>
        <w:t>ECHR.</w:t>
      </w:r>
    </w:p>
    <w:p>
      <w:pPr>
        <w:pStyle w:val="ListParagraph"/>
        <w:numPr>
          <w:ilvl w:val="0"/>
          <w:numId w:val="6"/>
        </w:numPr>
        <w:tabs>
          <w:tab w:pos="567" w:val="left" w:leader="none"/>
        </w:tabs>
        <w:spacing w:line="194" w:lineRule="auto" w:before="29" w:after="0"/>
        <w:ind w:left="567" w:right="192" w:hanging="454"/>
        <w:jc w:val="left"/>
        <w:rPr>
          <w:sz w:val="16"/>
        </w:rPr>
      </w:pPr>
      <w:r>
        <w:rPr>
          <w:rFonts w:ascii="Verdana"/>
          <w:i/>
          <w:sz w:val="16"/>
        </w:rPr>
        <w:t>Benkharbouche</w:t>
      </w:r>
      <w:r>
        <w:rPr>
          <w:rFonts w:ascii="Verdana"/>
          <w:i/>
          <w:spacing w:val="-11"/>
          <w:sz w:val="16"/>
        </w:rPr>
        <w:t> </w:t>
      </w:r>
      <w:r>
        <w:rPr>
          <w:rFonts w:ascii="Verdana"/>
          <w:i/>
          <w:sz w:val="16"/>
        </w:rPr>
        <w:t>v</w:t>
      </w:r>
      <w:r>
        <w:rPr>
          <w:rFonts w:ascii="Verdana"/>
          <w:i/>
          <w:spacing w:val="-11"/>
          <w:sz w:val="16"/>
        </w:rPr>
        <w:t> </w:t>
      </w:r>
      <w:r>
        <w:rPr>
          <w:rFonts w:ascii="Verdana"/>
          <w:i/>
          <w:sz w:val="16"/>
        </w:rPr>
        <w:t>Secretary</w:t>
      </w:r>
      <w:r>
        <w:rPr>
          <w:rFonts w:ascii="Verdana"/>
          <w:i/>
          <w:spacing w:val="-11"/>
          <w:sz w:val="16"/>
        </w:rPr>
        <w:t> </w:t>
      </w:r>
      <w:r>
        <w:rPr>
          <w:rFonts w:ascii="Verdana"/>
          <w:i/>
          <w:sz w:val="16"/>
        </w:rPr>
        <w:t>of</w:t>
      </w:r>
      <w:r>
        <w:rPr>
          <w:rFonts w:ascii="Verdana"/>
          <w:i/>
          <w:spacing w:val="-11"/>
          <w:sz w:val="16"/>
        </w:rPr>
        <w:t> </w:t>
      </w:r>
      <w:r>
        <w:rPr>
          <w:rFonts w:ascii="Verdana"/>
          <w:i/>
          <w:sz w:val="16"/>
        </w:rPr>
        <w:t>State</w:t>
      </w:r>
      <w:r>
        <w:rPr>
          <w:rFonts w:ascii="Verdana"/>
          <w:i/>
          <w:spacing w:val="-11"/>
          <w:sz w:val="16"/>
        </w:rPr>
        <w:t> </w:t>
      </w:r>
      <w:r>
        <w:rPr>
          <w:rFonts w:ascii="Verdana"/>
          <w:i/>
          <w:sz w:val="16"/>
        </w:rPr>
        <w:t>for</w:t>
      </w:r>
      <w:r>
        <w:rPr>
          <w:rFonts w:ascii="Verdana"/>
          <w:i/>
          <w:spacing w:val="-11"/>
          <w:sz w:val="16"/>
        </w:rPr>
        <w:t> </w:t>
      </w:r>
      <w:r>
        <w:rPr>
          <w:rFonts w:ascii="Verdana"/>
          <w:i/>
          <w:sz w:val="16"/>
        </w:rPr>
        <w:t>Foreign</w:t>
      </w:r>
      <w:r>
        <w:rPr>
          <w:rFonts w:ascii="Verdana"/>
          <w:i/>
          <w:spacing w:val="-11"/>
          <w:sz w:val="16"/>
        </w:rPr>
        <w:t> </w:t>
      </w:r>
      <w:r>
        <w:rPr>
          <w:rFonts w:ascii="Verdana"/>
          <w:i/>
          <w:sz w:val="16"/>
        </w:rPr>
        <w:t>and</w:t>
      </w:r>
      <w:r>
        <w:rPr>
          <w:rFonts w:ascii="Verdana"/>
          <w:i/>
          <w:spacing w:val="-11"/>
          <w:sz w:val="16"/>
        </w:rPr>
        <w:t> </w:t>
      </w:r>
      <w:r>
        <w:rPr>
          <w:rFonts w:ascii="Verdana"/>
          <w:i/>
          <w:sz w:val="16"/>
        </w:rPr>
        <w:t>Commonwealth</w:t>
      </w:r>
      <w:r>
        <w:rPr>
          <w:rFonts w:ascii="Verdana"/>
          <w:i/>
          <w:spacing w:val="-11"/>
          <w:sz w:val="16"/>
        </w:rPr>
        <w:t> </w:t>
      </w:r>
      <w:r>
        <w:rPr>
          <w:rFonts w:ascii="Verdana"/>
          <w:i/>
          <w:sz w:val="16"/>
        </w:rPr>
        <w:t>Affairs</w:t>
      </w:r>
      <w:r>
        <w:rPr>
          <w:rFonts w:ascii="Verdana"/>
          <w:i/>
          <w:spacing w:val="-11"/>
          <w:sz w:val="16"/>
        </w:rPr>
        <w:t> </w:t>
      </w:r>
      <w:r>
        <w:rPr>
          <w:rFonts w:ascii="Verdana"/>
          <w:i/>
          <w:sz w:val="16"/>
        </w:rPr>
        <w:t>and</w:t>
      </w:r>
      <w:r>
        <w:rPr>
          <w:rFonts w:ascii="Verdana"/>
          <w:i/>
          <w:spacing w:val="-11"/>
          <w:sz w:val="16"/>
        </w:rPr>
        <w:t> </w:t>
      </w:r>
      <w:r>
        <w:rPr>
          <w:rFonts w:ascii="Verdana"/>
          <w:i/>
          <w:sz w:val="16"/>
        </w:rPr>
        <w:t>Secretary</w:t>
      </w:r>
      <w:r>
        <w:rPr>
          <w:rFonts w:ascii="Verdana"/>
          <w:i/>
          <w:spacing w:val="-11"/>
          <w:sz w:val="16"/>
        </w:rPr>
        <w:t> </w:t>
      </w:r>
      <w:r>
        <w:rPr>
          <w:rFonts w:ascii="Verdana"/>
          <w:i/>
          <w:sz w:val="16"/>
        </w:rPr>
        <w:t>of</w:t>
      </w:r>
      <w:r>
        <w:rPr>
          <w:rFonts w:ascii="Verdana"/>
          <w:i/>
          <w:spacing w:val="-11"/>
          <w:sz w:val="16"/>
        </w:rPr>
        <w:t> </w:t>
      </w:r>
      <w:r>
        <w:rPr>
          <w:rFonts w:ascii="Verdana"/>
          <w:i/>
          <w:sz w:val="16"/>
        </w:rPr>
        <w:t>State</w:t>
      </w:r>
      <w:r>
        <w:rPr>
          <w:rFonts w:ascii="Verdana"/>
          <w:i/>
          <w:spacing w:val="-11"/>
          <w:sz w:val="16"/>
        </w:rPr>
        <w:t> </w:t>
      </w:r>
      <w:r>
        <w:rPr>
          <w:rFonts w:ascii="Verdana"/>
          <w:i/>
          <w:sz w:val="16"/>
        </w:rPr>
        <w:t>for</w:t>
      </w:r>
      <w:r>
        <w:rPr>
          <w:rFonts w:ascii="Verdana"/>
          <w:i/>
          <w:spacing w:val="-11"/>
          <w:sz w:val="16"/>
        </w:rPr>
        <w:t> </w:t>
      </w:r>
      <w:r>
        <w:rPr>
          <w:rFonts w:ascii="Verdana"/>
          <w:i/>
          <w:sz w:val="16"/>
        </w:rPr>
        <w:t>Foreign</w:t>
      </w:r>
      <w:r>
        <w:rPr>
          <w:rFonts w:ascii="Verdana"/>
          <w:i/>
          <w:spacing w:val="-11"/>
          <w:sz w:val="16"/>
        </w:rPr>
        <w:t> </w:t>
      </w:r>
      <w:r>
        <w:rPr>
          <w:rFonts w:ascii="Verdana"/>
          <w:i/>
          <w:sz w:val="16"/>
        </w:rPr>
        <w:t>and</w:t>
      </w:r>
      <w:r>
        <w:rPr>
          <w:rFonts w:ascii="Verdana"/>
          <w:i/>
          <w:sz w:val="16"/>
        </w:rPr>
        <w:t> Commonwealth Affairs and Libya v Janah </w:t>
      </w:r>
      <w:r>
        <w:rPr>
          <w:sz w:val="16"/>
        </w:rPr>
        <w:t>[2017] UKSC 62, [2019] AC 777.</w:t>
      </w:r>
    </w:p>
    <w:p>
      <w:pPr>
        <w:spacing w:after="0" w:line="194" w:lineRule="auto"/>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84"/>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310" w:lineRule="exact" w:before="88"/>
        <w:ind w:right="48"/>
      </w:pPr>
      <w:bookmarkStart w:name="5.  Applicability of the Charter to the " w:id="13"/>
      <w:bookmarkEnd w:id="13"/>
      <w:r>
        <w:rPr/>
      </w:r>
      <w:bookmarkStart w:name="_bookmark5" w:id="14"/>
      <w:bookmarkEnd w:id="14"/>
      <w:r>
        <w:rPr/>
      </w:r>
      <w:r>
        <w:rPr>
          <w:w w:val="110"/>
        </w:rPr>
        <w:t>tribunal.</w:t>
      </w:r>
      <w:r>
        <w:rPr>
          <w:rFonts w:ascii="Lucida Sans Unicode"/>
          <w:w w:val="110"/>
          <w:vertAlign w:val="superscript"/>
        </w:rPr>
        <w:t>32</w:t>
      </w:r>
      <w:r>
        <w:rPr>
          <w:rFonts w:ascii="Lucida Sans Unicode"/>
          <w:w w:val="110"/>
          <w:vertAlign w:val="baseline"/>
        </w:rPr>
        <w:t> </w:t>
      </w:r>
      <w:r>
        <w:rPr>
          <w:w w:val="110"/>
          <w:vertAlign w:val="baseline"/>
        </w:rPr>
        <w:t>This further distinguishes the Charter and general principles</w:t>
      </w:r>
      <w:r>
        <w:rPr>
          <w:spacing w:val="80"/>
          <w:w w:val="110"/>
          <w:vertAlign w:val="baseline"/>
        </w:rPr>
        <w:t> </w:t>
      </w:r>
      <w:r>
        <w:rPr>
          <w:w w:val="110"/>
          <w:vertAlign w:val="baseline"/>
        </w:rPr>
        <w:t>of</w:t>
      </w:r>
      <w:r>
        <w:rPr>
          <w:spacing w:val="-2"/>
          <w:w w:val="110"/>
          <w:vertAlign w:val="baseline"/>
        </w:rPr>
        <w:t> </w:t>
      </w:r>
      <w:r>
        <w:rPr>
          <w:w w:val="110"/>
          <w:vertAlign w:val="baseline"/>
        </w:rPr>
        <w:t>EU</w:t>
      </w:r>
      <w:r>
        <w:rPr>
          <w:spacing w:val="-2"/>
          <w:w w:val="110"/>
          <w:vertAlign w:val="baseline"/>
        </w:rPr>
        <w:t> </w:t>
      </w:r>
      <w:r>
        <w:rPr>
          <w:w w:val="110"/>
          <w:vertAlign w:val="baseline"/>
        </w:rPr>
        <w:t>law</w:t>
      </w:r>
      <w:r>
        <w:rPr>
          <w:spacing w:val="-2"/>
          <w:w w:val="110"/>
          <w:vertAlign w:val="baseline"/>
        </w:rPr>
        <w:t> </w:t>
      </w:r>
      <w:r>
        <w:rPr>
          <w:w w:val="110"/>
          <w:vertAlign w:val="baseline"/>
        </w:rPr>
        <w:t>from</w:t>
      </w:r>
      <w:r>
        <w:rPr>
          <w:spacing w:val="-2"/>
          <w:w w:val="110"/>
          <w:vertAlign w:val="baseline"/>
        </w:rPr>
        <w:t> </w:t>
      </w:r>
      <w:r>
        <w:rPr>
          <w:w w:val="110"/>
          <w:vertAlign w:val="baseline"/>
        </w:rPr>
        <w:t>the</w:t>
      </w:r>
      <w:r>
        <w:rPr>
          <w:spacing w:val="-2"/>
          <w:w w:val="110"/>
          <w:vertAlign w:val="baseline"/>
        </w:rPr>
        <w:t> </w:t>
      </w:r>
      <w:r>
        <w:rPr>
          <w:w w:val="110"/>
          <w:vertAlign w:val="baseline"/>
        </w:rPr>
        <w:t>ECHR:</w:t>
      </w:r>
      <w:r>
        <w:rPr>
          <w:spacing w:val="-2"/>
          <w:w w:val="110"/>
          <w:vertAlign w:val="baseline"/>
        </w:rPr>
        <w:t> </w:t>
      </w:r>
      <w:r>
        <w:rPr>
          <w:w w:val="110"/>
          <w:vertAlign w:val="baseline"/>
        </w:rPr>
        <w:t>under</w:t>
      </w:r>
      <w:r>
        <w:rPr>
          <w:spacing w:val="-2"/>
          <w:w w:val="110"/>
          <w:vertAlign w:val="baseline"/>
        </w:rPr>
        <w:t> </w:t>
      </w:r>
      <w:r>
        <w:rPr>
          <w:w w:val="110"/>
          <w:vertAlign w:val="baseline"/>
        </w:rPr>
        <w:t>the Charter, there is no requirement to prove victim status and there is</w:t>
      </w:r>
    </w:p>
    <w:p>
      <w:pPr>
        <w:pStyle w:val="BodyText"/>
        <w:spacing w:line="268" w:lineRule="auto" w:before="23"/>
        <w:ind w:right="379"/>
        <w:jc w:val="both"/>
      </w:pPr>
      <w:r>
        <w:rPr>
          <w:spacing w:val="-2"/>
          <w:w w:val="115"/>
        </w:rPr>
        <w:t>no</w:t>
      </w:r>
      <w:r>
        <w:rPr>
          <w:spacing w:val="-17"/>
          <w:w w:val="115"/>
        </w:rPr>
        <w:t> </w:t>
      </w:r>
      <w:r>
        <w:rPr>
          <w:spacing w:val="-2"/>
          <w:w w:val="115"/>
        </w:rPr>
        <w:t>need</w:t>
      </w:r>
      <w:r>
        <w:rPr>
          <w:spacing w:val="-17"/>
          <w:w w:val="115"/>
        </w:rPr>
        <w:t> </w:t>
      </w:r>
      <w:r>
        <w:rPr>
          <w:spacing w:val="-2"/>
          <w:w w:val="115"/>
        </w:rPr>
        <w:t>to</w:t>
      </w:r>
      <w:r>
        <w:rPr>
          <w:spacing w:val="-17"/>
          <w:w w:val="115"/>
        </w:rPr>
        <w:t> </w:t>
      </w:r>
      <w:r>
        <w:rPr>
          <w:spacing w:val="-2"/>
          <w:w w:val="115"/>
        </w:rPr>
        <w:t>exhaust</w:t>
      </w:r>
      <w:r>
        <w:rPr>
          <w:spacing w:val="-17"/>
          <w:w w:val="115"/>
        </w:rPr>
        <w:t> </w:t>
      </w:r>
      <w:r>
        <w:rPr>
          <w:spacing w:val="-2"/>
          <w:w w:val="115"/>
        </w:rPr>
        <w:t>any</w:t>
      </w:r>
      <w:r>
        <w:rPr>
          <w:spacing w:val="-17"/>
          <w:w w:val="115"/>
        </w:rPr>
        <w:t> </w:t>
      </w:r>
      <w:r>
        <w:rPr>
          <w:spacing w:val="-2"/>
          <w:w w:val="115"/>
        </w:rPr>
        <w:t>domestic </w:t>
      </w:r>
      <w:r>
        <w:rPr>
          <w:w w:val="110"/>
        </w:rPr>
        <w:t>means of redress before invoking </w:t>
      </w:r>
      <w:r>
        <w:rPr>
          <w:w w:val="115"/>
        </w:rPr>
        <w:t>its protection.</w:t>
      </w:r>
    </w:p>
    <w:p>
      <w:pPr>
        <w:pStyle w:val="BodyText"/>
        <w:spacing w:before="27"/>
        <w:ind w:left="0"/>
      </w:pPr>
    </w:p>
    <w:p>
      <w:pPr>
        <w:pStyle w:val="BodyText"/>
        <w:spacing w:line="268" w:lineRule="auto"/>
        <w:ind w:right="48"/>
      </w:pPr>
      <w:r>
        <w:rPr>
          <w:w w:val="115"/>
        </w:rPr>
        <w:t>It follows that, in light of the </w:t>
      </w:r>
      <w:r>
        <w:rPr>
          <w:w w:val="110"/>
        </w:rPr>
        <w:t>remedially </w:t>
      </w:r>
      <w:r>
        <w:rPr>
          <w:rFonts w:ascii="Verdana"/>
          <w:i/>
          <w:w w:val="110"/>
        </w:rPr>
        <w:t>stronger</w:t>
      </w:r>
      <w:r>
        <w:rPr>
          <w:rFonts w:ascii="Verdana"/>
          <w:i/>
          <w:spacing w:val="-16"/>
          <w:w w:val="110"/>
        </w:rPr>
        <w:t> </w:t>
      </w:r>
      <w:r>
        <w:rPr>
          <w:w w:val="110"/>
        </w:rPr>
        <w:t>protection that </w:t>
      </w:r>
      <w:r>
        <w:rPr>
          <w:w w:val="115"/>
        </w:rPr>
        <w:t>Charter</w:t>
      </w:r>
      <w:r>
        <w:rPr>
          <w:spacing w:val="-14"/>
          <w:w w:val="115"/>
        </w:rPr>
        <w:t> </w:t>
      </w:r>
      <w:r>
        <w:rPr>
          <w:w w:val="115"/>
        </w:rPr>
        <w:t>rights</w:t>
      </w:r>
      <w:r>
        <w:rPr>
          <w:spacing w:val="-14"/>
          <w:w w:val="115"/>
        </w:rPr>
        <w:t> </w:t>
      </w:r>
      <w:r>
        <w:rPr>
          <w:w w:val="115"/>
        </w:rPr>
        <w:t>enjoy</w:t>
      </w:r>
      <w:r>
        <w:rPr>
          <w:spacing w:val="-14"/>
          <w:w w:val="115"/>
        </w:rPr>
        <w:t> </w:t>
      </w:r>
      <w:r>
        <w:rPr>
          <w:w w:val="115"/>
        </w:rPr>
        <w:t>under</w:t>
      </w:r>
      <w:r>
        <w:rPr>
          <w:spacing w:val="-14"/>
          <w:w w:val="115"/>
        </w:rPr>
        <w:t> </w:t>
      </w:r>
      <w:r>
        <w:rPr>
          <w:w w:val="115"/>
        </w:rPr>
        <w:t>EU</w:t>
      </w:r>
      <w:r>
        <w:rPr>
          <w:spacing w:val="-14"/>
          <w:w w:val="115"/>
        </w:rPr>
        <w:t> </w:t>
      </w:r>
      <w:r>
        <w:rPr>
          <w:w w:val="115"/>
        </w:rPr>
        <w:t>law, the wider category of potential victims (including companies) that may invoke the Charter, and the added detail that Charter rights display, it would be erroneous to assume that there is no need to consider the Charter in cases of </w:t>
      </w:r>
      <w:r>
        <w:rPr>
          <w:w w:val="110"/>
        </w:rPr>
        <w:t>substantive</w:t>
      </w:r>
      <w:r>
        <w:rPr>
          <w:spacing w:val="-1"/>
          <w:w w:val="110"/>
        </w:rPr>
        <w:t> </w:t>
      </w:r>
      <w:r>
        <w:rPr>
          <w:w w:val="110"/>
        </w:rPr>
        <w:t>overlap</w:t>
      </w:r>
      <w:r>
        <w:rPr>
          <w:spacing w:val="-1"/>
          <w:w w:val="110"/>
        </w:rPr>
        <w:t> </w:t>
      </w:r>
      <w:r>
        <w:rPr>
          <w:w w:val="110"/>
        </w:rPr>
        <w:t>with</w:t>
      </w:r>
      <w:r>
        <w:rPr>
          <w:spacing w:val="-1"/>
          <w:w w:val="110"/>
        </w:rPr>
        <w:t> </w:t>
      </w:r>
      <w:r>
        <w:rPr>
          <w:w w:val="110"/>
        </w:rPr>
        <w:t>the</w:t>
      </w:r>
      <w:r>
        <w:rPr>
          <w:spacing w:val="-1"/>
          <w:w w:val="110"/>
        </w:rPr>
        <w:t> </w:t>
      </w:r>
      <w:r>
        <w:rPr>
          <w:w w:val="110"/>
        </w:rPr>
        <w:t>ECHR. </w:t>
      </w:r>
      <w:r>
        <w:rPr>
          <w:w w:val="115"/>
        </w:rPr>
        <w:t>Rather,</w:t>
      </w:r>
      <w:r>
        <w:rPr>
          <w:spacing w:val="-17"/>
          <w:w w:val="115"/>
        </w:rPr>
        <w:t> </w:t>
      </w:r>
      <w:r>
        <w:rPr>
          <w:w w:val="115"/>
        </w:rPr>
        <w:t>what</w:t>
      </w:r>
      <w:r>
        <w:rPr>
          <w:spacing w:val="-17"/>
          <w:w w:val="115"/>
        </w:rPr>
        <w:t> </w:t>
      </w:r>
      <w:r>
        <w:rPr>
          <w:w w:val="115"/>
        </w:rPr>
        <w:t>the</w:t>
      </w:r>
      <w:r>
        <w:rPr>
          <w:spacing w:val="-17"/>
          <w:w w:val="115"/>
        </w:rPr>
        <w:t> </w:t>
      </w:r>
      <w:r>
        <w:rPr>
          <w:w w:val="115"/>
        </w:rPr>
        <w:t>above</w:t>
      </w:r>
      <w:r>
        <w:rPr>
          <w:spacing w:val="-17"/>
          <w:w w:val="115"/>
        </w:rPr>
        <w:t> </w:t>
      </w:r>
      <w:r>
        <w:rPr>
          <w:w w:val="115"/>
        </w:rPr>
        <w:t>discussion demonstrates is that the stronger protections guaranteed under the Charter will almost always trump those guaranteed via the HRA,</w:t>
      </w:r>
    </w:p>
    <w:p>
      <w:pPr>
        <w:pStyle w:val="BodyText"/>
        <w:spacing w:line="272" w:lineRule="exact"/>
      </w:pPr>
      <w:r>
        <w:rPr>
          <w:spacing w:val="-2"/>
          <w:w w:val="115"/>
        </w:rPr>
        <w:t>at</w:t>
      </w:r>
      <w:r>
        <w:rPr>
          <w:spacing w:val="-12"/>
          <w:w w:val="115"/>
        </w:rPr>
        <w:t> </w:t>
      </w:r>
      <w:r>
        <w:rPr>
          <w:spacing w:val="-2"/>
          <w:w w:val="115"/>
        </w:rPr>
        <w:t>least</w:t>
      </w:r>
      <w:r>
        <w:rPr>
          <w:spacing w:val="-11"/>
          <w:w w:val="115"/>
        </w:rPr>
        <w:t> </w:t>
      </w:r>
      <w:r>
        <w:rPr>
          <w:spacing w:val="-2"/>
          <w:w w:val="115"/>
        </w:rPr>
        <w:t>in</w:t>
      </w:r>
      <w:r>
        <w:rPr>
          <w:spacing w:val="-11"/>
          <w:w w:val="115"/>
        </w:rPr>
        <w:t> </w:t>
      </w:r>
      <w:r>
        <w:rPr>
          <w:spacing w:val="-2"/>
          <w:w w:val="115"/>
        </w:rPr>
        <w:t>remedial</w:t>
      </w:r>
      <w:r>
        <w:rPr>
          <w:spacing w:val="-11"/>
          <w:w w:val="115"/>
        </w:rPr>
        <w:t> </w:t>
      </w:r>
      <w:r>
        <w:rPr>
          <w:spacing w:val="-2"/>
          <w:w w:val="115"/>
        </w:rPr>
        <w:t>terms</w:t>
      </w:r>
      <w:r>
        <w:rPr>
          <w:spacing w:val="-11"/>
          <w:w w:val="115"/>
        </w:rPr>
        <w:t> </w:t>
      </w:r>
      <w:r>
        <w:rPr>
          <w:spacing w:val="-4"/>
          <w:w w:val="115"/>
        </w:rPr>
        <w:t>and,</w:t>
      </w:r>
    </w:p>
    <w:p>
      <w:pPr>
        <w:pStyle w:val="BodyText"/>
        <w:spacing w:line="310" w:lineRule="exact" w:before="11"/>
        <w:ind w:right="38"/>
        <w:rPr>
          <w:rFonts w:ascii="Lucida Sans Unicode"/>
        </w:rPr>
      </w:pPr>
      <w:r>
        <w:rPr>
          <w:w w:val="110"/>
        </w:rPr>
        <w:t>in</w:t>
      </w:r>
      <w:r>
        <w:rPr>
          <w:spacing w:val="-1"/>
          <w:w w:val="110"/>
        </w:rPr>
        <w:t> </w:t>
      </w:r>
      <w:r>
        <w:rPr>
          <w:w w:val="110"/>
        </w:rPr>
        <w:t>some</w:t>
      </w:r>
      <w:r>
        <w:rPr>
          <w:spacing w:val="-1"/>
          <w:w w:val="110"/>
        </w:rPr>
        <w:t> </w:t>
      </w:r>
      <w:r>
        <w:rPr>
          <w:w w:val="110"/>
        </w:rPr>
        <w:t>cases,</w:t>
      </w:r>
      <w:r>
        <w:rPr>
          <w:spacing w:val="-1"/>
          <w:w w:val="110"/>
        </w:rPr>
        <w:t> </w:t>
      </w:r>
      <w:r>
        <w:rPr>
          <w:w w:val="110"/>
        </w:rPr>
        <w:t>in</w:t>
      </w:r>
      <w:r>
        <w:rPr>
          <w:spacing w:val="-1"/>
          <w:w w:val="110"/>
        </w:rPr>
        <w:t> </w:t>
      </w:r>
      <w:r>
        <w:rPr>
          <w:w w:val="110"/>
        </w:rPr>
        <w:t>substantive</w:t>
      </w:r>
      <w:r>
        <w:rPr>
          <w:spacing w:val="-1"/>
          <w:w w:val="110"/>
        </w:rPr>
        <w:t> </w:t>
      </w:r>
      <w:r>
        <w:rPr>
          <w:w w:val="110"/>
        </w:rPr>
        <w:t>terms, too. Thus, protections offered </w:t>
      </w:r>
      <w:r>
        <w:rPr>
          <w:w w:val="110"/>
        </w:rPr>
        <w:t>under the ECHR are likely to satisfy the non-diminution guarantee under </w:t>
      </w:r>
      <w:r>
        <w:rPr>
          <w:rFonts w:ascii="Lucida Sans Unicode"/>
          <w:w w:val="110"/>
        </w:rPr>
        <w:t>Article</w:t>
      </w:r>
      <w:r>
        <w:rPr>
          <w:rFonts w:ascii="Lucida Sans Unicode"/>
          <w:spacing w:val="-6"/>
          <w:w w:val="110"/>
        </w:rPr>
        <w:t> </w:t>
      </w:r>
      <w:r>
        <w:rPr>
          <w:rFonts w:ascii="Lucida Sans Unicode"/>
          <w:w w:val="110"/>
        </w:rPr>
        <w:t>2</w:t>
      </w:r>
      <w:r>
        <w:rPr>
          <w:rFonts w:ascii="Lucida Sans Unicode"/>
          <w:spacing w:val="-6"/>
          <w:w w:val="110"/>
        </w:rPr>
        <w:t> </w:t>
      </w:r>
      <w:r>
        <w:rPr>
          <w:rFonts w:ascii="Lucida Sans Unicode"/>
          <w:w w:val="110"/>
        </w:rPr>
        <w:t>of</w:t>
      </w:r>
      <w:r>
        <w:rPr>
          <w:rFonts w:ascii="Lucida Sans Unicode"/>
          <w:spacing w:val="-6"/>
          <w:w w:val="110"/>
        </w:rPr>
        <w:t> </w:t>
      </w:r>
      <w:r>
        <w:rPr>
          <w:rFonts w:ascii="Lucida Sans Unicode"/>
          <w:w w:val="110"/>
        </w:rPr>
        <w:t>the</w:t>
      </w:r>
      <w:r>
        <w:rPr>
          <w:rFonts w:ascii="Lucida Sans Unicode"/>
          <w:spacing w:val="-6"/>
          <w:w w:val="110"/>
        </w:rPr>
        <w:t> </w:t>
      </w:r>
      <w:r>
        <w:rPr>
          <w:rFonts w:ascii="Lucida Sans Unicode"/>
          <w:w w:val="110"/>
        </w:rPr>
        <w:t>WF</w:t>
      </w:r>
      <w:r>
        <w:rPr>
          <w:rFonts w:ascii="Lucida Sans Unicode"/>
          <w:spacing w:val="-6"/>
          <w:w w:val="110"/>
        </w:rPr>
        <w:t> </w:t>
      </w:r>
      <w:r>
        <w:rPr>
          <w:rFonts w:ascii="Lucida Sans Unicode"/>
          <w:w w:val="110"/>
        </w:rPr>
        <w:t>only</w:t>
      </w:r>
      <w:r>
        <w:rPr>
          <w:rFonts w:ascii="Lucida Sans Unicode"/>
          <w:spacing w:val="-6"/>
          <w:w w:val="110"/>
        </w:rPr>
        <w:t> </w:t>
      </w:r>
      <w:r>
        <w:rPr>
          <w:rFonts w:ascii="Lucida Sans Unicode"/>
          <w:w w:val="110"/>
        </w:rPr>
        <w:t>in</w:t>
      </w:r>
      <w:r>
        <w:rPr>
          <w:rFonts w:ascii="Lucida Sans Unicode"/>
          <w:spacing w:val="-6"/>
          <w:w w:val="110"/>
        </w:rPr>
        <w:t> </w:t>
      </w:r>
      <w:r>
        <w:rPr>
          <w:rFonts w:ascii="Lucida Sans Unicode"/>
          <w:w w:val="110"/>
        </w:rPr>
        <w:t>very </w:t>
      </w:r>
      <w:r>
        <w:rPr>
          <w:w w:val="110"/>
        </w:rPr>
        <w:t>limited cases.</w:t>
      </w:r>
      <w:r>
        <w:rPr>
          <w:rFonts w:ascii="Lucida Sans Unicode"/>
          <w:w w:val="110"/>
          <w:vertAlign w:val="superscript"/>
        </w:rPr>
        <w:t>33</w:t>
      </w:r>
    </w:p>
    <w:p>
      <w:pPr>
        <w:pStyle w:val="Heading3"/>
        <w:numPr>
          <w:ilvl w:val="0"/>
          <w:numId w:val="7"/>
        </w:numPr>
        <w:tabs>
          <w:tab w:pos="680" w:val="left" w:leader="none"/>
        </w:tabs>
        <w:spacing w:line="252" w:lineRule="auto" w:before="80" w:after="0"/>
        <w:ind w:left="680" w:right="670" w:hanging="567"/>
        <w:jc w:val="left"/>
        <w:rPr>
          <w:color w:val="77328A"/>
        </w:rPr>
      </w:pPr>
      <w:r>
        <w:rPr>
          <w:b w:val="0"/>
        </w:rPr>
        <w:br w:type="column"/>
      </w:r>
      <w:r>
        <w:rPr>
          <w:color w:val="77328A"/>
        </w:rPr>
        <w:t>Applicability of the Charter to the </w:t>
      </w:r>
      <w:r>
        <w:rPr>
          <w:color w:val="77328A"/>
        </w:rPr>
        <w:t>Member States: implementing Union Law</w:t>
      </w:r>
    </w:p>
    <w:p>
      <w:pPr>
        <w:pStyle w:val="BodyText"/>
        <w:spacing w:line="310" w:lineRule="exact" w:before="151"/>
        <w:ind w:right="147"/>
      </w:pPr>
      <w:r>
        <w:rPr>
          <w:w w:val="110"/>
        </w:rPr>
        <w:t>The Charter of Fundamental Rights applies primarily to the institutions, </w:t>
      </w:r>
      <w:r>
        <w:rPr>
          <w:rFonts w:ascii="Lucida Sans Unicode"/>
        </w:rPr>
        <w:t>offices, bodies and agencies of the </w:t>
      </w:r>
      <w:r>
        <w:rPr>
          <w:w w:val="110"/>
        </w:rPr>
        <w:t>European</w:t>
      </w:r>
      <w:r>
        <w:rPr>
          <w:spacing w:val="-11"/>
          <w:w w:val="110"/>
        </w:rPr>
        <w:t> </w:t>
      </w:r>
      <w:r>
        <w:rPr>
          <w:w w:val="110"/>
        </w:rPr>
        <w:t>Union.</w:t>
      </w:r>
      <w:r>
        <w:rPr>
          <w:spacing w:val="-11"/>
          <w:w w:val="110"/>
        </w:rPr>
        <w:t> </w:t>
      </w:r>
      <w:r>
        <w:rPr>
          <w:w w:val="110"/>
        </w:rPr>
        <w:t>Hence</w:t>
      </w:r>
      <w:r>
        <w:rPr>
          <w:spacing w:val="-11"/>
          <w:w w:val="110"/>
        </w:rPr>
        <w:t> </w:t>
      </w:r>
      <w:r>
        <w:rPr>
          <w:w w:val="110"/>
        </w:rPr>
        <w:t>the</w:t>
      </w:r>
      <w:r>
        <w:rPr>
          <w:spacing w:val="-11"/>
          <w:w w:val="110"/>
        </w:rPr>
        <w:t> </w:t>
      </w:r>
      <w:r>
        <w:rPr>
          <w:w w:val="110"/>
        </w:rPr>
        <w:t>European Union is bound to comply with the Charter in everything it does. By contrast, according to Article 51</w:t>
      </w:r>
    </w:p>
    <w:p>
      <w:pPr>
        <w:pStyle w:val="BodyText"/>
        <w:spacing w:line="310" w:lineRule="exact"/>
        <w:ind w:right="440"/>
      </w:pPr>
      <w:r>
        <w:rPr>
          <w:w w:val="110"/>
        </w:rPr>
        <w:t>(1)</w:t>
      </w:r>
      <w:r>
        <w:rPr>
          <w:spacing w:val="-5"/>
          <w:w w:val="110"/>
        </w:rPr>
        <w:t> </w:t>
      </w:r>
      <w:r>
        <w:rPr>
          <w:w w:val="110"/>
        </w:rPr>
        <w:t>CFR,</w:t>
      </w:r>
      <w:r>
        <w:rPr>
          <w:spacing w:val="-5"/>
          <w:w w:val="110"/>
        </w:rPr>
        <w:t> </w:t>
      </w:r>
      <w:r>
        <w:rPr>
          <w:w w:val="110"/>
        </w:rPr>
        <w:t>the</w:t>
      </w:r>
      <w:r>
        <w:rPr>
          <w:spacing w:val="-5"/>
          <w:w w:val="110"/>
        </w:rPr>
        <w:t> </w:t>
      </w:r>
      <w:r>
        <w:rPr>
          <w:w w:val="110"/>
        </w:rPr>
        <w:t>Charter</w:t>
      </w:r>
      <w:r>
        <w:rPr>
          <w:spacing w:val="-5"/>
          <w:w w:val="110"/>
        </w:rPr>
        <w:t> </w:t>
      </w:r>
      <w:r>
        <w:rPr>
          <w:w w:val="110"/>
        </w:rPr>
        <w:t>applies</w:t>
      </w:r>
      <w:r>
        <w:rPr>
          <w:spacing w:val="-5"/>
          <w:w w:val="110"/>
        </w:rPr>
        <w:t> </w:t>
      </w:r>
      <w:r>
        <w:rPr>
          <w:w w:val="110"/>
        </w:rPr>
        <w:t>to</w:t>
      </w:r>
      <w:r>
        <w:rPr>
          <w:spacing w:val="-5"/>
          <w:w w:val="110"/>
        </w:rPr>
        <w:t> </w:t>
      </w:r>
      <w:r>
        <w:rPr>
          <w:w w:val="110"/>
        </w:rPr>
        <w:t>the</w:t>
      </w:r>
      <w:r>
        <w:rPr>
          <w:w w:val="110"/>
        </w:rPr>
        <w:t> </w:t>
      </w:r>
      <w:r>
        <w:rPr>
          <w:rFonts w:ascii="Lucida Sans Unicode" w:hAnsi="Lucida Sans Unicode"/>
          <w:w w:val="110"/>
        </w:rPr>
        <w:t>Member</w:t>
      </w:r>
      <w:r>
        <w:rPr>
          <w:rFonts w:ascii="Lucida Sans Unicode" w:hAnsi="Lucida Sans Unicode"/>
          <w:spacing w:val="-21"/>
          <w:w w:val="110"/>
        </w:rPr>
        <w:t> </w:t>
      </w:r>
      <w:r>
        <w:rPr>
          <w:rFonts w:ascii="Lucida Sans Unicode" w:hAnsi="Lucida Sans Unicode"/>
          <w:w w:val="110"/>
        </w:rPr>
        <w:t>States</w:t>
      </w:r>
      <w:r>
        <w:rPr>
          <w:rFonts w:ascii="Lucida Sans Unicode" w:hAnsi="Lucida Sans Unicode"/>
          <w:spacing w:val="-21"/>
          <w:w w:val="110"/>
        </w:rPr>
        <w:t> </w:t>
      </w:r>
      <w:r>
        <w:rPr>
          <w:rFonts w:ascii="Lucida Sans Unicode" w:hAnsi="Lucida Sans Unicode"/>
          <w:w w:val="110"/>
        </w:rPr>
        <w:t>‘only</w:t>
      </w:r>
      <w:r>
        <w:rPr>
          <w:rFonts w:ascii="Lucida Sans Unicode" w:hAnsi="Lucida Sans Unicode"/>
          <w:spacing w:val="-21"/>
          <w:w w:val="110"/>
        </w:rPr>
        <w:t> </w:t>
      </w:r>
      <w:r>
        <w:rPr>
          <w:rFonts w:ascii="Lucida Sans Unicode" w:hAnsi="Lucida Sans Unicode"/>
          <w:w w:val="110"/>
        </w:rPr>
        <w:t>when</w:t>
      </w:r>
      <w:r>
        <w:rPr>
          <w:rFonts w:ascii="Lucida Sans Unicode" w:hAnsi="Lucida Sans Unicode"/>
          <w:spacing w:val="-21"/>
          <w:w w:val="110"/>
        </w:rPr>
        <w:t> </w:t>
      </w:r>
      <w:r>
        <w:rPr>
          <w:rFonts w:ascii="Lucida Sans Unicode" w:hAnsi="Lucida Sans Unicode"/>
          <w:w w:val="110"/>
        </w:rPr>
        <w:t>they </w:t>
      </w:r>
      <w:r>
        <w:rPr>
          <w:w w:val="110"/>
        </w:rPr>
        <w:t>are implementing Union law.’ The same applies under the Windsor Framework: the UK and Northern</w:t>
      </w:r>
    </w:p>
    <w:p>
      <w:pPr>
        <w:pStyle w:val="BodyText"/>
        <w:spacing w:line="268" w:lineRule="auto" w:before="23"/>
        <w:ind w:right="147"/>
      </w:pPr>
      <w:r>
        <w:rPr>
          <w:w w:val="115"/>
        </w:rPr>
        <w:t>Ireland</w:t>
      </w:r>
      <w:r>
        <w:rPr>
          <w:spacing w:val="-20"/>
          <w:w w:val="115"/>
        </w:rPr>
        <w:t> </w:t>
      </w:r>
      <w:r>
        <w:rPr>
          <w:w w:val="115"/>
        </w:rPr>
        <w:t>institutions</w:t>
      </w:r>
      <w:r>
        <w:rPr>
          <w:spacing w:val="-19"/>
          <w:w w:val="115"/>
        </w:rPr>
        <w:t> </w:t>
      </w:r>
      <w:r>
        <w:rPr>
          <w:w w:val="115"/>
        </w:rPr>
        <w:t>can</w:t>
      </w:r>
      <w:r>
        <w:rPr>
          <w:spacing w:val="-19"/>
          <w:w w:val="115"/>
        </w:rPr>
        <w:t> </w:t>
      </w:r>
      <w:r>
        <w:rPr>
          <w:w w:val="115"/>
        </w:rPr>
        <w:t>only</w:t>
      </w:r>
      <w:r>
        <w:rPr>
          <w:spacing w:val="-19"/>
          <w:w w:val="115"/>
        </w:rPr>
        <w:t> </w:t>
      </w:r>
      <w:r>
        <w:rPr>
          <w:w w:val="115"/>
        </w:rPr>
        <w:t>be</w:t>
      </w:r>
      <w:r>
        <w:rPr>
          <w:spacing w:val="-19"/>
          <w:w w:val="115"/>
        </w:rPr>
        <w:t> </w:t>
      </w:r>
      <w:r>
        <w:rPr>
          <w:w w:val="115"/>
        </w:rPr>
        <w:t>bound by the Charter when the threshold criterion of ‘implementing Union law’ </w:t>
      </w:r>
      <w:r>
        <w:rPr>
          <w:spacing w:val="-2"/>
          <w:w w:val="115"/>
        </w:rPr>
        <w:t>is</w:t>
      </w:r>
      <w:r>
        <w:rPr>
          <w:spacing w:val="-16"/>
          <w:w w:val="115"/>
        </w:rPr>
        <w:t> </w:t>
      </w:r>
      <w:r>
        <w:rPr>
          <w:spacing w:val="-2"/>
          <w:w w:val="115"/>
        </w:rPr>
        <w:t>met,</w:t>
      </w:r>
      <w:r>
        <w:rPr>
          <w:spacing w:val="-16"/>
          <w:w w:val="115"/>
        </w:rPr>
        <w:t> </w:t>
      </w:r>
      <w:r>
        <w:rPr>
          <w:spacing w:val="-2"/>
          <w:w w:val="115"/>
        </w:rPr>
        <w:t>i.e.</w:t>
      </w:r>
      <w:r>
        <w:rPr>
          <w:spacing w:val="-16"/>
          <w:w w:val="115"/>
        </w:rPr>
        <w:t> </w:t>
      </w:r>
      <w:r>
        <w:rPr>
          <w:spacing w:val="-2"/>
          <w:w w:val="115"/>
        </w:rPr>
        <w:t>where</w:t>
      </w:r>
      <w:r>
        <w:rPr>
          <w:spacing w:val="-16"/>
          <w:w w:val="115"/>
        </w:rPr>
        <w:t> </w:t>
      </w:r>
      <w:r>
        <w:rPr>
          <w:spacing w:val="-2"/>
          <w:w w:val="115"/>
        </w:rPr>
        <w:t>the</w:t>
      </w:r>
      <w:r>
        <w:rPr>
          <w:spacing w:val="-16"/>
          <w:w w:val="115"/>
        </w:rPr>
        <w:t> </w:t>
      </w:r>
      <w:r>
        <w:rPr>
          <w:spacing w:val="-2"/>
          <w:w w:val="115"/>
        </w:rPr>
        <w:t>Northern</w:t>
      </w:r>
      <w:r>
        <w:rPr>
          <w:spacing w:val="-16"/>
          <w:w w:val="115"/>
        </w:rPr>
        <w:t> </w:t>
      </w:r>
      <w:r>
        <w:rPr>
          <w:spacing w:val="-2"/>
          <w:w w:val="115"/>
        </w:rPr>
        <w:t>Ireland </w:t>
      </w:r>
      <w:r>
        <w:rPr>
          <w:w w:val="115"/>
        </w:rPr>
        <w:t>institution would be deemed to be acting within the scope of EU law.</w:t>
      </w:r>
    </w:p>
    <w:p>
      <w:pPr>
        <w:pStyle w:val="BodyText"/>
        <w:spacing w:before="13"/>
        <w:ind w:left="0"/>
      </w:pPr>
    </w:p>
    <w:p>
      <w:pPr>
        <w:pStyle w:val="BodyText"/>
        <w:spacing w:line="266" w:lineRule="auto"/>
        <w:ind w:right="118"/>
      </w:pPr>
      <w:r>
        <w:rPr>
          <w:w w:val="110"/>
        </w:rPr>
        <w:t>In</w:t>
      </w:r>
      <w:r>
        <w:rPr>
          <w:spacing w:val="-2"/>
          <w:w w:val="110"/>
        </w:rPr>
        <w:t> </w:t>
      </w:r>
      <w:r>
        <w:rPr>
          <w:w w:val="110"/>
        </w:rPr>
        <w:t>the</w:t>
      </w:r>
      <w:r>
        <w:rPr>
          <w:spacing w:val="-2"/>
          <w:w w:val="110"/>
        </w:rPr>
        <w:t> </w:t>
      </w:r>
      <w:r>
        <w:rPr>
          <w:w w:val="110"/>
        </w:rPr>
        <w:t>landmark</w:t>
      </w:r>
      <w:r>
        <w:rPr>
          <w:spacing w:val="-2"/>
          <w:w w:val="110"/>
        </w:rPr>
        <w:t> </w:t>
      </w:r>
      <w:r>
        <w:rPr>
          <w:w w:val="110"/>
        </w:rPr>
        <w:t>judgment</w:t>
      </w:r>
      <w:r>
        <w:rPr>
          <w:spacing w:val="-2"/>
          <w:w w:val="110"/>
        </w:rPr>
        <w:t> </w:t>
      </w:r>
      <w:r>
        <w:rPr>
          <w:w w:val="110"/>
        </w:rPr>
        <w:t>of</w:t>
      </w:r>
      <w:r>
        <w:rPr>
          <w:spacing w:val="-2"/>
          <w:w w:val="110"/>
        </w:rPr>
        <w:t> </w:t>
      </w:r>
      <w:r>
        <w:rPr>
          <w:rFonts w:ascii="Verdana" w:hAnsi="Verdana"/>
          <w:i/>
          <w:w w:val="110"/>
        </w:rPr>
        <w:t>Åkerberg</w:t>
      </w:r>
      <w:r>
        <w:rPr>
          <w:rFonts w:ascii="Verdana" w:hAnsi="Verdana"/>
          <w:i/>
          <w:w w:val="110"/>
        </w:rPr>
        <w:t> </w:t>
      </w:r>
      <w:r>
        <w:rPr>
          <w:rFonts w:ascii="Verdana" w:hAnsi="Verdana"/>
          <w:i/>
          <w:w w:val="115"/>
        </w:rPr>
        <w:t>Fransson</w:t>
      </w:r>
      <w:r>
        <w:rPr>
          <w:w w:val="115"/>
        </w:rPr>
        <w:t>,</w:t>
      </w:r>
      <w:r>
        <w:rPr>
          <w:spacing w:val="-20"/>
          <w:w w:val="115"/>
        </w:rPr>
        <w:t> </w:t>
      </w:r>
      <w:r>
        <w:rPr>
          <w:w w:val="115"/>
        </w:rPr>
        <w:t>the</w:t>
      </w:r>
      <w:r>
        <w:rPr>
          <w:spacing w:val="-19"/>
          <w:w w:val="115"/>
        </w:rPr>
        <w:t> </w:t>
      </w:r>
      <w:r>
        <w:rPr>
          <w:w w:val="115"/>
        </w:rPr>
        <w:t>CJEU</w:t>
      </w:r>
      <w:r>
        <w:rPr>
          <w:spacing w:val="-19"/>
          <w:w w:val="115"/>
        </w:rPr>
        <w:t> </w:t>
      </w:r>
      <w:r>
        <w:rPr>
          <w:w w:val="115"/>
        </w:rPr>
        <w:t>adopted</w:t>
      </w:r>
      <w:r>
        <w:rPr>
          <w:spacing w:val="-19"/>
          <w:w w:val="115"/>
        </w:rPr>
        <w:t> </w:t>
      </w:r>
      <w:r>
        <w:rPr>
          <w:w w:val="115"/>
        </w:rPr>
        <w:t>a</w:t>
      </w:r>
      <w:r>
        <w:rPr>
          <w:spacing w:val="-19"/>
          <w:w w:val="115"/>
        </w:rPr>
        <w:t> </w:t>
      </w:r>
      <w:r>
        <w:rPr>
          <w:w w:val="115"/>
        </w:rPr>
        <w:t>broad understanding of the threshold criterion and equated ‘implementing Union law’ with acting ‘in the scope</w:t>
      </w:r>
    </w:p>
    <w:p>
      <w:pPr>
        <w:pStyle w:val="BodyText"/>
        <w:spacing w:line="319" w:lineRule="exact"/>
      </w:pPr>
      <w:r>
        <w:rPr>
          <w:w w:val="110"/>
        </w:rPr>
        <w:t>of</w:t>
      </w:r>
      <w:r>
        <w:rPr>
          <w:spacing w:val="-9"/>
          <w:w w:val="110"/>
        </w:rPr>
        <w:t> </w:t>
      </w:r>
      <w:r>
        <w:rPr>
          <w:w w:val="110"/>
        </w:rPr>
        <w:t>Union</w:t>
      </w:r>
      <w:r>
        <w:rPr>
          <w:spacing w:val="-9"/>
          <w:w w:val="110"/>
        </w:rPr>
        <w:t> </w:t>
      </w:r>
      <w:r>
        <w:rPr>
          <w:w w:val="110"/>
        </w:rPr>
        <w:t>law’.</w:t>
      </w:r>
      <w:r>
        <w:rPr>
          <w:rFonts w:ascii="Lucida Sans Unicode" w:hAnsi="Lucida Sans Unicode"/>
          <w:w w:val="110"/>
          <w:vertAlign w:val="superscript"/>
        </w:rPr>
        <w:t>34</w:t>
      </w:r>
      <w:r>
        <w:rPr>
          <w:rFonts w:ascii="Lucida Sans Unicode" w:hAnsi="Lucida Sans Unicode"/>
          <w:spacing w:val="-19"/>
          <w:w w:val="110"/>
          <w:vertAlign w:val="baseline"/>
        </w:rPr>
        <w:t> </w:t>
      </w:r>
      <w:r>
        <w:rPr>
          <w:w w:val="110"/>
          <w:vertAlign w:val="baseline"/>
        </w:rPr>
        <w:t>This</w:t>
      </w:r>
      <w:r>
        <w:rPr>
          <w:spacing w:val="-9"/>
          <w:w w:val="110"/>
          <w:vertAlign w:val="baseline"/>
        </w:rPr>
        <w:t> </w:t>
      </w:r>
      <w:r>
        <w:rPr>
          <w:w w:val="110"/>
          <w:vertAlign w:val="baseline"/>
        </w:rPr>
        <w:t>should</w:t>
      </w:r>
      <w:r>
        <w:rPr>
          <w:spacing w:val="-9"/>
          <w:w w:val="110"/>
          <w:vertAlign w:val="baseline"/>
        </w:rPr>
        <w:t> </w:t>
      </w:r>
      <w:r>
        <w:rPr>
          <w:spacing w:val="-5"/>
          <w:w w:val="110"/>
          <w:vertAlign w:val="baseline"/>
        </w:rPr>
        <w:t>be</w:t>
      </w:r>
    </w:p>
    <w:p>
      <w:pPr>
        <w:pStyle w:val="BodyText"/>
        <w:spacing w:line="268" w:lineRule="auto"/>
        <w:ind w:right="396"/>
      </w:pPr>
      <w:r>
        <w:rPr>
          <w:w w:val="115"/>
        </w:rPr>
        <w:t>understood as a broad conception of the ‘implementing Union law’ </w:t>
      </w:r>
      <w:r>
        <w:rPr>
          <w:spacing w:val="-2"/>
          <w:w w:val="115"/>
        </w:rPr>
        <w:t>criterion.</w:t>
      </w:r>
      <w:r>
        <w:rPr>
          <w:spacing w:val="-15"/>
          <w:w w:val="115"/>
        </w:rPr>
        <w:t> </w:t>
      </w:r>
      <w:r>
        <w:rPr>
          <w:spacing w:val="-2"/>
          <w:w w:val="115"/>
        </w:rPr>
        <w:t>It</w:t>
      </w:r>
      <w:r>
        <w:rPr>
          <w:spacing w:val="-15"/>
          <w:w w:val="115"/>
        </w:rPr>
        <w:t> </w:t>
      </w:r>
      <w:r>
        <w:rPr>
          <w:spacing w:val="-2"/>
          <w:w w:val="115"/>
        </w:rPr>
        <w:t>encompasses</w:t>
      </w:r>
      <w:r>
        <w:rPr>
          <w:spacing w:val="-15"/>
          <w:w w:val="115"/>
        </w:rPr>
        <w:t> </w:t>
      </w:r>
      <w:r>
        <w:rPr>
          <w:spacing w:val="-2"/>
          <w:w w:val="115"/>
        </w:rPr>
        <w:t>two</w:t>
      </w:r>
      <w:r>
        <w:rPr>
          <w:spacing w:val="-15"/>
          <w:w w:val="115"/>
        </w:rPr>
        <w:t> </w:t>
      </w:r>
      <w:r>
        <w:rPr>
          <w:spacing w:val="-2"/>
          <w:w w:val="115"/>
        </w:rPr>
        <w:t>broad</w:t>
      </w:r>
    </w:p>
    <w:p>
      <w:pPr>
        <w:pStyle w:val="BodyText"/>
        <w:spacing w:line="323" w:lineRule="exact"/>
        <w:rPr>
          <w:rFonts w:ascii="Lucida Sans Unicode"/>
        </w:rPr>
      </w:pPr>
      <w:r>
        <w:rPr>
          <w:rFonts w:ascii="Lucida Sans Unicode"/>
        </w:rPr>
        <w:t>situations:</w:t>
      </w:r>
      <w:r>
        <w:rPr>
          <w:rFonts w:ascii="Lucida Sans Unicode"/>
          <w:spacing w:val="-1"/>
        </w:rPr>
        <w:t> </w:t>
      </w:r>
      <w:r>
        <w:rPr>
          <w:rFonts w:ascii="Lucida Sans Unicode"/>
        </w:rPr>
        <w:t>first,</w:t>
      </w:r>
      <w:r>
        <w:rPr>
          <w:rFonts w:ascii="Lucida Sans Unicode"/>
          <w:spacing w:val="-1"/>
        </w:rPr>
        <w:t> </w:t>
      </w:r>
      <w:r>
        <w:rPr>
          <w:rFonts w:ascii="Lucida Sans Unicode"/>
        </w:rPr>
        <w:t>where a</w:t>
      </w:r>
      <w:r>
        <w:rPr>
          <w:rFonts w:ascii="Lucida Sans Unicode"/>
          <w:spacing w:val="-1"/>
        </w:rPr>
        <w:t> </w:t>
      </w:r>
      <w:r>
        <w:rPr>
          <w:rFonts w:ascii="Lucida Sans Unicode"/>
        </w:rPr>
        <w:t>Member </w:t>
      </w:r>
      <w:r>
        <w:rPr>
          <w:rFonts w:ascii="Lucida Sans Unicode"/>
          <w:spacing w:val="-4"/>
        </w:rPr>
        <w:t>State</w:t>
      </w:r>
    </w:p>
    <w:p>
      <w:pPr>
        <w:pStyle w:val="BodyText"/>
        <w:spacing w:line="268" w:lineRule="auto"/>
        <w:ind w:right="147"/>
      </w:pPr>
      <w:r>
        <w:rPr>
          <w:w w:val="115"/>
        </w:rPr>
        <w:t>is relying on a derogation from EU </w:t>
      </w:r>
      <w:r>
        <w:rPr>
          <w:spacing w:val="-2"/>
          <w:w w:val="115"/>
        </w:rPr>
        <w:t>free</w:t>
      </w:r>
      <w:r>
        <w:rPr>
          <w:spacing w:val="-18"/>
          <w:w w:val="115"/>
        </w:rPr>
        <w:t> </w:t>
      </w:r>
      <w:r>
        <w:rPr>
          <w:spacing w:val="-2"/>
          <w:w w:val="115"/>
        </w:rPr>
        <w:t>movement</w:t>
      </w:r>
      <w:r>
        <w:rPr>
          <w:spacing w:val="-17"/>
          <w:w w:val="115"/>
        </w:rPr>
        <w:t> </w:t>
      </w:r>
      <w:r>
        <w:rPr>
          <w:spacing w:val="-2"/>
          <w:w w:val="115"/>
        </w:rPr>
        <w:t>law</w:t>
      </w:r>
      <w:r>
        <w:rPr>
          <w:spacing w:val="-17"/>
          <w:w w:val="115"/>
        </w:rPr>
        <w:t> </w:t>
      </w:r>
      <w:r>
        <w:rPr>
          <w:spacing w:val="-2"/>
          <w:w w:val="115"/>
        </w:rPr>
        <w:t>(e.g.</w:t>
      </w:r>
      <w:r>
        <w:rPr>
          <w:spacing w:val="-17"/>
          <w:w w:val="115"/>
        </w:rPr>
        <w:t> </w:t>
      </w:r>
      <w:r>
        <w:rPr>
          <w:spacing w:val="-2"/>
          <w:w w:val="115"/>
        </w:rPr>
        <w:t>removal</w:t>
      </w:r>
      <w:r>
        <w:rPr>
          <w:spacing w:val="-17"/>
          <w:w w:val="115"/>
        </w:rPr>
        <w:t> </w:t>
      </w:r>
      <w:r>
        <w:rPr>
          <w:spacing w:val="-2"/>
          <w:w w:val="115"/>
        </w:rPr>
        <w:t>of</w:t>
      </w:r>
      <w:r>
        <w:rPr>
          <w:spacing w:val="-18"/>
          <w:w w:val="115"/>
        </w:rPr>
        <w:t> </w:t>
      </w:r>
      <w:r>
        <w:rPr>
          <w:spacing w:val="-2"/>
          <w:w w:val="115"/>
        </w:rPr>
        <w:t>an </w:t>
      </w:r>
      <w:r>
        <w:rPr>
          <w:w w:val="115"/>
        </w:rPr>
        <w:t>EU citizen from its territory for public security</w:t>
      </w:r>
      <w:r>
        <w:rPr>
          <w:spacing w:val="-9"/>
          <w:w w:val="115"/>
        </w:rPr>
        <w:t> </w:t>
      </w:r>
      <w:r>
        <w:rPr>
          <w:w w:val="115"/>
        </w:rPr>
        <w:t>reasons);</w:t>
      </w:r>
      <w:r>
        <w:rPr>
          <w:spacing w:val="-9"/>
          <w:w w:val="115"/>
        </w:rPr>
        <w:t> </w:t>
      </w:r>
      <w:r>
        <w:rPr>
          <w:w w:val="115"/>
        </w:rPr>
        <w:t>secondly,</w:t>
      </w:r>
      <w:r>
        <w:rPr>
          <w:spacing w:val="-9"/>
          <w:w w:val="115"/>
        </w:rPr>
        <w:t> </w:t>
      </w:r>
      <w:r>
        <w:rPr>
          <w:w w:val="115"/>
        </w:rPr>
        <w:t>where</w:t>
      </w:r>
    </w:p>
    <w:p>
      <w:pPr>
        <w:pStyle w:val="BodyText"/>
        <w:spacing w:line="334" w:lineRule="exact"/>
        <w:rPr>
          <w:rFonts w:ascii="Lucida Sans Unicode" w:hAnsi="Lucida Sans Unicode"/>
        </w:rPr>
      </w:pPr>
      <w:r>
        <w:rPr>
          <w:rFonts w:ascii="Lucida Sans Unicode" w:hAnsi="Lucida Sans Unicode"/>
        </w:rPr>
        <w:t>the</w:t>
      </w:r>
      <w:r>
        <w:rPr>
          <w:rFonts w:ascii="Lucida Sans Unicode" w:hAnsi="Lucida Sans Unicode"/>
          <w:spacing w:val="14"/>
        </w:rPr>
        <w:t> </w:t>
      </w:r>
      <w:r>
        <w:rPr>
          <w:rFonts w:ascii="Lucida Sans Unicode" w:hAnsi="Lucida Sans Unicode"/>
        </w:rPr>
        <w:t>Member</w:t>
      </w:r>
      <w:r>
        <w:rPr>
          <w:rFonts w:ascii="Lucida Sans Unicode" w:hAnsi="Lucida Sans Unicode"/>
          <w:spacing w:val="14"/>
        </w:rPr>
        <w:t> </w:t>
      </w:r>
      <w:r>
        <w:rPr>
          <w:rFonts w:ascii="Lucida Sans Unicode" w:hAnsi="Lucida Sans Unicode"/>
        </w:rPr>
        <w:t>State</w:t>
      </w:r>
      <w:r>
        <w:rPr>
          <w:rFonts w:ascii="Lucida Sans Unicode" w:hAnsi="Lucida Sans Unicode"/>
          <w:spacing w:val="15"/>
        </w:rPr>
        <w:t> </w:t>
      </w:r>
      <w:r>
        <w:rPr>
          <w:rFonts w:ascii="Lucida Sans Unicode" w:hAnsi="Lucida Sans Unicode"/>
        </w:rPr>
        <w:t>is</w:t>
      </w:r>
      <w:r>
        <w:rPr>
          <w:rFonts w:ascii="Lucida Sans Unicode" w:hAnsi="Lucida Sans Unicode"/>
          <w:spacing w:val="14"/>
        </w:rPr>
        <w:t> </w:t>
      </w:r>
      <w:r>
        <w:rPr>
          <w:rFonts w:ascii="Lucida Sans Unicode" w:hAnsi="Lucida Sans Unicode"/>
          <w:spacing w:val="-2"/>
        </w:rPr>
        <w:t>‘implementing</w:t>
      </w:r>
    </w:p>
    <w:p>
      <w:pPr>
        <w:spacing w:after="0" w:line="334" w:lineRule="exact"/>
        <w:rPr>
          <w:rFonts w:ascii="Lucida Sans Unicode" w:hAnsi="Lucida Sans Unicode"/>
        </w:rPr>
        <w:sectPr>
          <w:type w:val="continuous"/>
          <w:pgSz w:w="11910" w:h="16840"/>
          <w:pgMar w:header="568" w:footer="580" w:top="0" w:bottom="280" w:left="1020" w:right="1020"/>
          <w:cols w:num="2" w:equalWidth="0">
            <w:col w:w="4446" w:space="600"/>
            <w:col w:w="4824"/>
          </w:cols>
        </w:sectPr>
      </w:pPr>
    </w:p>
    <w:p>
      <w:pPr>
        <w:pStyle w:val="BodyText"/>
        <w:spacing w:before="13" w:after="1"/>
        <w:ind w:left="0"/>
        <w:rPr>
          <w:rFonts w:ascii="Lucida Sans Unicode"/>
          <w:sz w:val="17"/>
        </w:rPr>
      </w:pPr>
    </w:p>
    <w:p>
      <w:pPr>
        <w:pStyle w:val="BodyText"/>
        <w:spacing w:line="20" w:lineRule="exact"/>
        <w:rPr>
          <w:rFonts w:ascii="Lucida Sans Unicode"/>
          <w:sz w:val="2"/>
        </w:rPr>
      </w:pPr>
      <w:r>
        <w:rPr>
          <w:rFonts w:ascii="Lucida Sans Unicode"/>
          <w:sz w:val="2"/>
        </w:rPr>
        <mc:AlternateContent>
          <mc:Choice Requires="wps">
            <w:drawing>
              <wp:inline distT="0" distB="0" distL="0" distR="0">
                <wp:extent cx="6120130" cy="6350"/>
                <wp:effectExtent l="9525" t="0" r="0" b="3175"/>
                <wp:docPr id="67" name="Group 67"/>
                <wp:cNvGraphicFramePr>
                  <a:graphicFrameLocks/>
                </wp:cNvGraphicFramePr>
                <a:graphic>
                  <a:graphicData uri="http://schemas.microsoft.com/office/word/2010/wordprocessingGroup">
                    <wpg:wgp>
                      <wpg:cNvPr id="67" name="Group 67"/>
                      <wpg:cNvGrpSpPr/>
                      <wpg:grpSpPr>
                        <a:xfrm>
                          <a:off x="0" y="0"/>
                          <a:ext cx="6120130" cy="6350"/>
                          <a:chExt cx="6120130" cy="6350"/>
                        </a:xfrm>
                      </wpg:grpSpPr>
                      <wps:wsp>
                        <wps:cNvPr id="68" name="Graphic 68"/>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52" coordorigin="0,0" coordsize="9638,10">
                <v:line style="position:absolute" from="0,5" to="9638,5" stroked="true" strokeweight=".5pt" strokecolor="#77328a">
                  <v:stroke dashstyle="solid"/>
                </v:line>
              </v:group>
            </w:pict>
          </mc:Fallback>
        </mc:AlternateContent>
      </w:r>
      <w:r>
        <w:rPr>
          <w:rFonts w:ascii="Lucida Sans Unicode"/>
          <w:sz w:val="2"/>
        </w:rPr>
      </w:r>
    </w:p>
    <w:p>
      <w:pPr>
        <w:pStyle w:val="ListParagraph"/>
        <w:numPr>
          <w:ilvl w:val="0"/>
          <w:numId w:val="6"/>
        </w:numPr>
        <w:tabs>
          <w:tab w:pos="567" w:val="left" w:leader="none"/>
        </w:tabs>
        <w:spacing w:line="218" w:lineRule="auto" w:before="77" w:after="0"/>
        <w:ind w:left="567" w:right="182" w:hanging="454"/>
        <w:jc w:val="left"/>
        <w:rPr>
          <w:sz w:val="16"/>
        </w:rPr>
      </w:pPr>
      <w:r>
        <w:rPr>
          <w:sz w:val="16"/>
        </w:rPr>
        <w:t>A possible restriction to this effect is the rule against abuse of rights protected in Article 54 CFR, but this provision</w:t>
      </w:r>
      <w:r>
        <w:rPr>
          <w:spacing w:val="40"/>
          <w:w w:val="110"/>
          <w:sz w:val="16"/>
        </w:rPr>
        <w:t> </w:t>
      </w:r>
      <w:r>
        <w:rPr>
          <w:rFonts w:ascii="Arial"/>
          <w:w w:val="110"/>
          <w:sz w:val="16"/>
        </w:rPr>
        <w:t>is unrelated to primacy and concerns an assessment of the merits of the claim. The application of this provision</w:t>
      </w:r>
    </w:p>
    <w:p>
      <w:pPr>
        <w:spacing w:line="230" w:lineRule="auto" w:before="24"/>
        <w:ind w:left="567" w:right="43" w:firstLine="0"/>
        <w:jc w:val="left"/>
        <w:rPr>
          <w:rFonts w:ascii="Lucida Sans Unicode"/>
          <w:sz w:val="16"/>
        </w:rPr>
      </w:pPr>
      <w:r>
        <w:rPr>
          <w:w w:val="110"/>
          <w:sz w:val="16"/>
        </w:rPr>
        <w:t>is, in any event, very limited (unlike its equivalent in Article 17 ECHR). The website of the EU Fundamental Rights </w:t>
      </w:r>
      <w:r>
        <w:rPr>
          <w:rFonts w:ascii="Lucida Sans Unicode"/>
          <w:spacing w:val="-2"/>
          <w:w w:val="110"/>
          <w:sz w:val="16"/>
        </w:rPr>
        <w:t>Agency</w:t>
      </w:r>
      <w:r>
        <w:rPr>
          <w:rFonts w:ascii="Lucida Sans Unicode"/>
          <w:spacing w:val="-10"/>
          <w:w w:val="110"/>
          <w:sz w:val="16"/>
        </w:rPr>
        <w:t> </w:t>
      </w:r>
      <w:r>
        <w:rPr>
          <w:rFonts w:ascii="Lucida Sans Unicode"/>
          <w:spacing w:val="-2"/>
          <w:w w:val="110"/>
          <w:sz w:val="16"/>
        </w:rPr>
        <w:t>lists</w:t>
      </w:r>
      <w:r>
        <w:rPr>
          <w:rFonts w:ascii="Lucida Sans Unicode"/>
          <w:spacing w:val="-10"/>
          <w:w w:val="110"/>
          <w:sz w:val="16"/>
        </w:rPr>
        <w:t> </w:t>
      </w:r>
      <w:r>
        <w:rPr>
          <w:rFonts w:ascii="Lucida Sans Unicode"/>
          <w:spacing w:val="-2"/>
          <w:w w:val="110"/>
          <w:sz w:val="16"/>
        </w:rPr>
        <w:t>no</w:t>
      </w:r>
      <w:r>
        <w:rPr>
          <w:rFonts w:ascii="Lucida Sans Unicode"/>
          <w:spacing w:val="-10"/>
          <w:w w:val="110"/>
          <w:sz w:val="16"/>
        </w:rPr>
        <w:t> </w:t>
      </w:r>
      <w:r>
        <w:rPr>
          <w:rFonts w:ascii="Lucida Sans Unicode"/>
          <w:spacing w:val="-2"/>
          <w:w w:val="110"/>
          <w:sz w:val="16"/>
        </w:rPr>
        <w:t>notable</w:t>
      </w:r>
      <w:r>
        <w:rPr>
          <w:rFonts w:ascii="Lucida Sans Unicode"/>
          <w:spacing w:val="-10"/>
          <w:w w:val="110"/>
          <w:sz w:val="16"/>
        </w:rPr>
        <w:t> </w:t>
      </w:r>
      <w:r>
        <w:rPr>
          <w:rFonts w:ascii="Lucida Sans Unicode"/>
          <w:spacing w:val="-2"/>
          <w:w w:val="110"/>
          <w:sz w:val="16"/>
        </w:rPr>
        <w:t>case</w:t>
      </w:r>
      <w:r>
        <w:rPr>
          <w:rFonts w:ascii="Lucida Sans Unicode"/>
          <w:spacing w:val="-10"/>
          <w:w w:val="110"/>
          <w:sz w:val="16"/>
        </w:rPr>
        <w:t> </w:t>
      </w:r>
      <w:r>
        <w:rPr>
          <w:rFonts w:ascii="Lucida Sans Unicode"/>
          <w:spacing w:val="-2"/>
          <w:w w:val="110"/>
          <w:sz w:val="16"/>
        </w:rPr>
        <w:t>law</w:t>
      </w:r>
      <w:r>
        <w:rPr>
          <w:rFonts w:ascii="Lucida Sans Unicode"/>
          <w:spacing w:val="-10"/>
          <w:w w:val="110"/>
          <w:sz w:val="16"/>
        </w:rPr>
        <w:t> </w:t>
      </w:r>
      <w:r>
        <w:rPr>
          <w:rFonts w:ascii="Lucida Sans Unicode"/>
          <w:spacing w:val="-2"/>
          <w:w w:val="110"/>
          <w:sz w:val="16"/>
        </w:rPr>
        <w:t>references</w:t>
      </w:r>
      <w:r>
        <w:rPr>
          <w:rFonts w:ascii="Lucida Sans Unicode"/>
          <w:spacing w:val="-10"/>
          <w:w w:val="110"/>
          <w:sz w:val="16"/>
        </w:rPr>
        <w:t> </w:t>
      </w:r>
      <w:r>
        <w:rPr>
          <w:rFonts w:ascii="Lucida Sans Unicode"/>
          <w:spacing w:val="-2"/>
          <w:w w:val="110"/>
          <w:sz w:val="16"/>
        </w:rPr>
        <w:t>to</w:t>
      </w:r>
      <w:r>
        <w:rPr>
          <w:rFonts w:ascii="Lucida Sans Unicode"/>
          <w:spacing w:val="-10"/>
          <w:w w:val="110"/>
          <w:sz w:val="16"/>
        </w:rPr>
        <w:t> </w:t>
      </w:r>
      <w:r>
        <w:rPr>
          <w:rFonts w:ascii="Lucida Sans Unicode"/>
          <w:spacing w:val="-2"/>
          <w:w w:val="110"/>
          <w:sz w:val="16"/>
        </w:rPr>
        <w:t>Article</w:t>
      </w:r>
      <w:r>
        <w:rPr>
          <w:rFonts w:ascii="Lucida Sans Unicode"/>
          <w:spacing w:val="-10"/>
          <w:w w:val="110"/>
          <w:sz w:val="16"/>
        </w:rPr>
        <w:t> </w:t>
      </w:r>
      <w:r>
        <w:rPr>
          <w:rFonts w:ascii="Lucida Sans Unicode"/>
          <w:spacing w:val="-2"/>
          <w:w w:val="110"/>
          <w:sz w:val="16"/>
        </w:rPr>
        <w:t>54</w:t>
      </w:r>
      <w:r>
        <w:rPr>
          <w:rFonts w:ascii="Lucida Sans Unicode"/>
          <w:spacing w:val="-10"/>
          <w:w w:val="110"/>
          <w:sz w:val="16"/>
        </w:rPr>
        <w:t> </w:t>
      </w:r>
      <w:r>
        <w:rPr>
          <w:rFonts w:ascii="Lucida Sans Unicode"/>
          <w:spacing w:val="-2"/>
          <w:w w:val="110"/>
          <w:sz w:val="16"/>
        </w:rPr>
        <w:t>CFR</w:t>
      </w:r>
      <w:r>
        <w:rPr>
          <w:rFonts w:ascii="Lucida Sans Unicode"/>
          <w:spacing w:val="-10"/>
          <w:w w:val="110"/>
          <w:sz w:val="16"/>
        </w:rPr>
        <w:t> </w:t>
      </w:r>
      <w:r>
        <w:rPr>
          <w:rFonts w:ascii="Lucida Sans Unicode"/>
          <w:spacing w:val="-2"/>
          <w:w w:val="110"/>
          <w:sz w:val="16"/>
        </w:rPr>
        <w:t>to</w:t>
      </w:r>
      <w:r>
        <w:rPr>
          <w:rFonts w:ascii="Lucida Sans Unicode"/>
          <w:spacing w:val="-10"/>
          <w:w w:val="110"/>
          <w:sz w:val="16"/>
        </w:rPr>
        <w:t> </w:t>
      </w:r>
      <w:r>
        <w:rPr>
          <w:rFonts w:ascii="Lucida Sans Unicode"/>
          <w:spacing w:val="-2"/>
          <w:w w:val="110"/>
          <w:sz w:val="16"/>
        </w:rPr>
        <w:t>date.</w:t>
      </w:r>
    </w:p>
    <w:p>
      <w:pPr>
        <w:pStyle w:val="ListParagraph"/>
        <w:numPr>
          <w:ilvl w:val="0"/>
          <w:numId w:val="6"/>
        </w:numPr>
        <w:tabs>
          <w:tab w:pos="567" w:val="left" w:leader="none"/>
        </w:tabs>
        <w:spacing w:line="179" w:lineRule="exact" w:before="0" w:after="0"/>
        <w:ind w:left="567" w:right="0" w:hanging="454"/>
        <w:jc w:val="left"/>
        <w:rPr>
          <w:sz w:val="16"/>
        </w:rPr>
      </w:pPr>
      <w:r>
        <w:rPr>
          <w:sz w:val="16"/>
        </w:rPr>
        <w:t>For</w:t>
      </w:r>
      <w:r>
        <w:rPr>
          <w:spacing w:val="5"/>
          <w:sz w:val="16"/>
        </w:rPr>
        <w:t> </w:t>
      </w:r>
      <w:r>
        <w:rPr>
          <w:sz w:val="16"/>
        </w:rPr>
        <w:t>this</w:t>
      </w:r>
      <w:r>
        <w:rPr>
          <w:spacing w:val="5"/>
          <w:sz w:val="16"/>
        </w:rPr>
        <w:t> </w:t>
      </w:r>
      <w:r>
        <w:rPr>
          <w:sz w:val="16"/>
        </w:rPr>
        <w:t>reason,</w:t>
      </w:r>
      <w:r>
        <w:rPr>
          <w:spacing w:val="5"/>
          <w:sz w:val="16"/>
        </w:rPr>
        <w:t> </w:t>
      </w:r>
      <w:r>
        <w:rPr>
          <w:sz w:val="16"/>
        </w:rPr>
        <w:t>and</w:t>
      </w:r>
      <w:r>
        <w:rPr>
          <w:spacing w:val="5"/>
          <w:sz w:val="16"/>
        </w:rPr>
        <w:t> </w:t>
      </w:r>
      <w:r>
        <w:rPr>
          <w:sz w:val="16"/>
        </w:rPr>
        <w:t>as</w:t>
      </w:r>
      <w:r>
        <w:rPr>
          <w:spacing w:val="5"/>
          <w:sz w:val="16"/>
        </w:rPr>
        <w:t> </w:t>
      </w:r>
      <w:r>
        <w:rPr>
          <w:sz w:val="16"/>
        </w:rPr>
        <w:t>we</w:t>
      </w:r>
      <w:r>
        <w:rPr>
          <w:spacing w:val="6"/>
          <w:sz w:val="16"/>
        </w:rPr>
        <w:t> </w:t>
      </w:r>
      <w:r>
        <w:rPr>
          <w:sz w:val="16"/>
        </w:rPr>
        <w:t>explain</w:t>
      </w:r>
      <w:r>
        <w:rPr>
          <w:spacing w:val="5"/>
          <w:sz w:val="16"/>
        </w:rPr>
        <w:t> </w:t>
      </w:r>
      <w:r>
        <w:rPr>
          <w:sz w:val="16"/>
        </w:rPr>
        <w:t>in</w:t>
      </w:r>
      <w:r>
        <w:rPr>
          <w:spacing w:val="5"/>
          <w:sz w:val="16"/>
        </w:rPr>
        <w:t> </w:t>
      </w:r>
      <w:r>
        <w:rPr>
          <w:sz w:val="16"/>
        </w:rPr>
        <w:t>greater</w:t>
      </w:r>
      <w:r>
        <w:rPr>
          <w:spacing w:val="5"/>
          <w:sz w:val="16"/>
        </w:rPr>
        <w:t> </w:t>
      </w:r>
      <w:r>
        <w:rPr>
          <w:sz w:val="16"/>
        </w:rPr>
        <w:t>detail</w:t>
      </w:r>
      <w:r>
        <w:rPr>
          <w:spacing w:val="5"/>
          <w:sz w:val="16"/>
        </w:rPr>
        <w:t> </w:t>
      </w:r>
      <w:r>
        <w:rPr>
          <w:sz w:val="16"/>
        </w:rPr>
        <w:t>in</w:t>
      </w:r>
      <w:r>
        <w:rPr>
          <w:spacing w:val="5"/>
          <w:sz w:val="16"/>
        </w:rPr>
        <w:t> </w:t>
      </w:r>
      <w:r>
        <w:rPr>
          <w:sz w:val="16"/>
        </w:rPr>
        <w:t>Chapter</w:t>
      </w:r>
      <w:r>
        <w:rPr>
          <w:spacing w:val="6"/>
          <w:sz w:val="16"/>
        </w:rPr>
        <w:t> </w:t>
      </w:r>
      <w:r>
        <w:rPr>
          <w:sz w:val="16"/>
        </w:rPr>
        <w:t>3,</w:t>
      </w:r>
      <w:r>
        <w:rPr>
          <w:spacing w:val="5"/>
          <w:sz w:val="16"/>
        </w:rPr>
        <w:t> </w:t>
      </w:r>
      <w:r>
        <w:rPr>
          <w:sz w:val="16"/>
        </w:rPr>
        <w:t>we</w:t>
      </w:r>
      <w:r>
        <w:rPr>
          <w:spacing w:val="5"/>
          <w:sz w:val="16"/>
        </w:rPr>
        <w:t> </w:t>
      </w:r>
      <w:r>
        <w:rPr>
          <w:sz w:val="16"/>
        </w:rPr>
        <w:t>would</w:t>
      </w:r>
      <w:r>
        <w:rPr>
          <w:spacing w:val="5"/>
          <w:sz w:val="16"/>
        </w:rPr>
        <w:t> </w:t>
      </w:r>
      <w:r>
        <w:rPr>
          <w:sz w:val="16"/>
        </w:rPr>
        <w:t>respectfully</w:t>
      </w:r>
      <w:r>
        <w:rPr>
          <w:spacing w:val="5"/>
          <w:sz w:val="16"/>
        </w:rPr>
        <w:t> </w:t>
      </w:r>
      <w:r>
        <w:rPr>
          <w:sz w:val="16"/>
        </w:rPr>
        <w:t>disagree</w:t>
      </w:r>
      <w:r>
        <w:rPr>
          <w:spacing w:val="5"/>
          <w:sz w:val="16"/>
        </w:rPr>
        <w:t> </w:t>
      </w:r>
      <w:r>
        <w:rPr>
          <w:sz w:val="16"/>
        </w:rPr>
        <w:t>with</w:t>
      </w:r>
      <w:r>
        <w:rPr>
          <w:spacing w:val="6"/>
          <w:sz w:val="16"/>
        </w:rPr>
        <w:t> </w:t>
      </w:r>
      <w:r>
        <w:rPr>
          <w:sz w:val="16"/>
        </w:rPr>
        <w:t>Colton</w:t>
      </w:r>
      <w:r>
        <w:rPr>
          <w:spacing w:val="5"/>
          <w:sz w:val="16"/>
        </w:rPr>
        <w:t> </w:t>
      </w:r>
      <w:r>
        <w:rPr>
          <w:sz w:val="16"/>
        </w:rPr>
        <w:t>J</w:t>
      </w:r>
      <w:r>
        <w:rPr>
          <w:spacing w:val="5"/>
          <w:sz w:val="16"/>
        </w:rPr>
        <w:t> </w:t>
      </w:r>
      <w:r>
        <w:rPr>
          <w:spacing w:val="-5"/>
          <w:sz w:val="16"/>
        </w:rPr>
        <w:t>in</w:t>
      </w:r>
    </w:p>
    <w:p>
      <w:pPr>
        <w:spacing w:line="194" w:lineRule="auto" w:before="11"/>
        <w:ind w:left="567" w:right="471" w:firstLine="0"/>
        <w:jc w:val="left"/>
        <w:rPr>
          <w:rFonts w:ascii="Lucida Sans Unicode" w:hAnsi="Lucida Sans Unicode"/>
          <w:sz w:val="16"/>
        </w:rPr>
      </w:pPr>
      <w:r>
        <w:rPr>
          <w:rFonts w:ascii="Verdana" w:hAnsi="Verdana"/>
          <w:i/>
          <w:sz w:val="16"/>
        </w:rPr>
        <w:t>Angesom </w:t>
      </w:r>
      <w:r>
        <w:rPr>
          <w:rFonts w:ascii="Lucida Sans Unicode" w:hAnsi="Lucida Sans Unicode"/>
          <w:sz w:val="16"/>
        </w:rPr>
        <w:t>[2023] NIKB 102, para 103, to the effect that ECHR-compliant domestic rights protections via the HRA are sufficient to satisfy the non-diminution guarantee on account of the ECHR’s broader jurisdictional scope.</w:t>
      </w:r>
    </w:p>
    <w:p>
      <w:pPr>
        <w:pStyle w:val="ListParagraph"/>
        <w:numPr>
          <w:ilvl w:val="0"/>
          <w:numId w:val="6"/>
        </w:numPr>
        <w:tabs>
          <w:tab w:pos="567" w:val="left" w:leader="none"/>
        </w:tabs>
        <w:spacing w:line="214" w:lineRule="exact" w:before="0" w:after="0"/>
        <w:ind w:left="567" w:right="0" w:hanging="454"/>
        <w:jc w:val="left"/>
        <w:rPr>
          <w:sz w:val="16"/>
        </w:rPr>
      </w:pPr>
      <w:r>
        <w:rPr>
          <w:rFonts w:ascii="Verdana" w:hAnsi="Verdana"/>
          <w:i/>
          <w:sz w:val="16"/>
        </w:rPr>
        <w:t>Åklagaren</w:t>
      </w:r>
      <w:r>
        <w:rPr>
          <w:rFonts w:ascii="Verdana" w:hAnsi="Verdana"/>
          <w:i/>
          <w:spacing w:val="-9"/>
          <w:sz w:val="16"/>
        </w:rPr>
        <w:t> </w:t>
      </w:r>
      <w:r>
        <w:rPr>
          <w:rFonts w:ascii="Verdana" w:hAnsi="Verdana"/>
          <w:i/>
          <w:sz w:val="16"/>
        </w:rPr>
        <w:t>v</w:t>
      </w:r>
      <w:r>
        <w:rPr>
          <w:rFonts w:ascii="Verdana" w:hAnsi="Verdana"/>
          <w:i/>
          <w:spacing w:val="-10"/>
          <w:sz w:val="16"/>
        </w:rPr>
        <w:t> </w:t>
      </w:r>
      <w:r>
        <w:rPr>
          <w:rFonts w:ascii="Verdana" w:hAnsi="Verdana"/>
          <w:i/>
          <w:sz w:val="16"/>
        </w:rPr>
        <w:t>Hans</w:t>
      </w:r>
      <w:r>
        <w:rPr>
          <w:rFonts w:ascii="Verdana" w:hAnsi="Verdana"/>
          <w:i/>
          <w:spacing w:val="-9"/>
          <w:sz w:val="16"/>
        </w:rPr>
        <w:t> </w:t>
      </w:r>
      <w:r>
        <w:rPr>
          <w:rFonts w:ascii="Verdana" w:hAnsi="Verdana"/>
          <w:i/>
          <w:sz w:val="16"/>
        </w:rPr>
        <w:t>Åkerberg</w:t>
      </w:r>
      <w:r>
        <w:rPr>
          <w:rFonts w:ascii="Verdana" w:hAnsi="Verdana"/>
          <w:i/>
          <w:spacing w:val="-9"/>
          <w:sz w:val="16"/>
        </w:rPr>
        <w:t> </w:t>
      </w:r>
      <w:r>
        <w:rPr>
          <w:rFonts w:ascii="Verdana" w:hAnsi="Verdana"/>
          <w:i/>
          <w:sz w:val="16"/>
        </w:rPr>
        <w:t>Fransson</w:t>
      </w:r>
      <w:r>
        <w:rPr>
          <w:rFonts w:ascii="Verdana" w:hAnsi="Verdana"/>
          <w:i/>
          <w:spacing w:val="-9"/>
          <w:sz w:val="16"/>
        </w:rPr>
        <w:t> </w:t>
      </w:r>
      <w:r>
        <w:rPr>
          <w:sz w:val="16"/>
        </w:rPr>
        <w:t>(n</w:t>
      </w:r>
      <w:r>
        <w:rPr>
          <w:spacing w:val="-3"/>
          <w:sz w:val="16"/>
        </w:rPr>
        <w:t> </w:t>
      </w:r>
      <w:r>
        <w:rPr>
          <w:spacing w:val="-4"/>
          <w:sz w:val="16"/>
        </w:rPr>
        <w:t>13).</w:t>
      </w:r>
    </w:p>
    <w:p>
      <w:pPr>
        <w:spacing w:after="0" w:line="214" w:lineRule="exact"/>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310" w:lineRule="exact" w:before="49"/>
        <w:ind w:right="98"/>
      </w:pPr>
      <w:r>
        <w:rPr>
          <w:w w:val="110"/>
        </w:rPr>
        <w:t>Union law’ in the strict sense, i.e. the </w:t>
      </w:r>
      <w:r>
        <w:rPr>
          <w:rFonts w:ascii="Lucida Sans Unicode" w:hAnsi="Lucida Sans Unicode"/>
          <w:w w:val="110"/>
        </w:rPr>
        <w:t>Member</w:t>
      </w:r>
      <w:r>
        <w:rPr>
          <w:rFonts w:ascii="Lucida Sans Unicode" w:hAnsi="Lucida Sans Unicode"/>
          <w:spacing w:val="-21"/>
          <w:w w:val="110"/>
        </w:rPr>
        <w:t> </w:t>
      </w:r>
      <w:r>
        <w:rPr>
          <w:rFonts w:ascii="Lucida Sans Unicode" w:hAnsi="Lucida Sans Unicode"/>
          <w:w w:val="110"/>
        </w:rPr>
        <w:t>State</w:t>
      </w:r>
      <w:r>
        <w:rPr>
          <w:rFonts w:ascii="Lucida Sans Unicode" w:hAnsi="Lucida Sans Unicode"/>
          <w:spacing w:val="-21"/>
          <w:w w:val="110"/>
        </w:rPr>
        <w:t> </w:t>
      </w:r>
      <w:r>
        <w:rPr>
          <w:rFonts w:ascii="Lucida Sans Unicode" w:hAnsi="Lucida Sans Unicode"/>
          <w:w w:val="110"/>
        </w:rPr>
        <w:t>is</w:t>
      </w:r>
      <w:r>
        <w:rPr>
          <w:rFonts w:ascii="Lucida Sans Unicode" w:hAnsi="Lucida Sans Unicode"/>
          <w:spacing w:val="-21"/>
          <w:w w:val="110"/>
        </w:rPr>
        <w:t> </w:t>
      </w:r>
      <w:r>
        <w:rPr>
          <w:rFonts w:ascii="Lucida Sans Unicode" w:hAnsi="Lucida Sans Unicode"/>
          <w:w w:val="110"/>
        </w:rPr>
        <w:t>acting</w:t>
      </w:r>
      <w:r>
        <w:rPr>
          <w:rFonts w:ascii="Lucida Sans Unicode" w:hAnsi="Lucida Sans Unicode"/>
          <w:spacing w:val="-21"/>
          <w:w w:val="110"/>
        </w:rPr>
        <w:t> </w:t>
      </w:r>
      <w:r>
        <w:rPr>
          <w:rFonts w:ascii="Lucida Sans Unicode" w:hAnsi="Lucida Sans Unicode"/>
          <w:w w:val="110"/>
        </w:rPr>
        <w:t>in</w:t>
      </w:r>
      <w:r>
        <w:rPr>
          <w:rFonts w:ascii="Lucida Sans Unicode" w:hAnsi="Lucida Sans Unicode"/>
          <w:spacing w:val="-21"/>
          <w:w w:val="110"/>
        </w:rPr>
        <w:t> </w:t>
      </w:r>
      <w:r>
        <w:rPr>
          <w:rFonts w:ascii="Lucida Sans Unicode" w:hAnsi="Lucida Sans Unicode"/>
          <w:w w:val="110"/>
        </w:rPr>
        <w:t>order</w:t>
      </w:r>
      <w:r>
        <w:rPr>
          <w:rFonts w:ascii="Lucida Sans Unicode" w:hAnsi="Lucida Sans Unicode"/>
          <w:spacing w:val="-21"/>
          <w:w w:val="110"/>
        </w:rPr>
        <w:t> </w:t>
      </w:r>
      <w:r>
        <w:rPr>
          <w:rFonts w:ascii="Lucida Sans Unicode" w:hAnsi="Lucida Sans Unicode"/>
          <w:w w:val="110"/>
        </w:rPr>
        <w:t>to </w:t>
      </w:r>
      <w:r>
        <w:rPr>
          <w:w w:val="110"/>
        </w:rPr>
        <w:t>comply with an EU law obligation </w:t>
      </w:r>
      <w:r>
        <w:rPr>
          <w:w w:val="110"/>
        </w:rPr>
        <w:t>(e.g. an obligation under an EU directive; application of an EU Regulation).</w:t>
      </w:r>
    </w:p>
    <w:p>
      <w:pPr>
        <w:pStyle w:val="BodyText"/>
        <w:spacing w:before="24"/>
        <w:ind w:left="0"/>
      </w:pPr>
    </w:p>
    <w:p>
      <w:pPr>
        <w:pStyle w:val="BodyText"/>
        <w:spacing w:line="310" w:lineRule="exact"/>
        <w:ind w:right="520"/>
      </w:pPr>
      <w:r>
        <w:rPr>
          <w:rFonts w:ascii="Lucida Sans Unicode"/>
          <w:spacing w:val="-2"/>
          <w:w w:val="110"/>
        </w:rPr>
        <w:t>As</w:t>
      </w:r>
      <w:r>
        <w:rPr>
          <w:rFonts w:ascii="Lucida Sans Unicode"/>
          <w:spacing w:val="-19"/>
          <w:w w:val="110"/>
        </w:rPr>
        <w:t> </w:t>
      </w:r>
      <w:r>
        <w:rPr>
          <w:rFonts w:ascii="Lucida Sans Unicode"/>
          <w:spacing w:val="-2"/>
          <w:w w:val="110"/>
        </w:rPr>
        <w:t>far</w:t>
      </w:r>
      <w:r>
        <w:rPr>
          <w:rFonts w:ascii="Lucida Sans Unicode"/>
          <w:spacing w:val="-19"/>
          <w:w w:val="110"/>
        </w:rPr>
        <w:t> </w:t>
      </w:r>
      <w:r>
        <w:rPr>
          <w:rFonts w:ascii="Lucida Sans Unicode"/>
          <w:spacing w:val="-2"/>
          <w:w w:val="110"/>
        </w:rPr>
        <w:t>as</w:t>
      </w:r>
      <w:r>
        <w:rPr>
          <w:rFonts w:ascii="Lucida Sans Unicode"/>
          <w:spacing w:val="-19"/>
          <w:w w:val="110"/>
        </w:rPr>
        <w:t> </w:t>
      </w:r>
      <w:r>
        <w:rPr>
          <w:rFonts w:ascii="Lucida Sans Unicode"/>
          <w:spacing w:val="-2"/>
          <w:w w:val="110"/>
        </w:rPr>
        <w:t>the</w:t>
      </w:r>
      <w:r>
        <w:rPr>
          <w:rFonts w:ascii="Lucida Sans Unicode"/>
          <w:spacing w:val="-19"/>
          <w:w w:val="110"/>
        </w:rPr>
        <w:t> </w:t>
      </w:r>
      <w:r>
        <w:rPr>
          <w:rFonts w:ascii="Lucida Sans Unicode"/>
          <w:spacing w:val="-2"/>
          <w:w w:val="110"/>
        </w:rPr>
        <w:t>first</w:t>
      </w:r>
      <w:r>
        <w:rPr>
          <w:rFonts w:ascii="Lucida Sans Unicode"/>
          <w:spacing w:val="-19"/>
          <w:w w:val="110"/>
        </w:rPr>
        <w:t> </w:t>
      </w:r>
      <w:r>
        <w:rPr>
          <w:rFonts w:ascii="Lucida Sans Unicode"/>
          <w:spacing w:val="-2"/>
          <w:w w:val="110"/>
        </w:rPr>
        <w:t>situation</w:t>
      </w:r>
      <w:r>
        <w:rPr>
          <w:rFonts w:ascii="Lucida Sans Unicode"/>
          <w:spacing w:val="-19"/>
          <w:w w:val="110"/>
        </w:rPr>
        <w:t> </w:t>
      </w:r>
      <w:r>
        <w:rPr>
          <w:rFonts w:ascii="Lucida Sans Unicode"/>
          <w:spacing w:val="-2"/>
          <w:w w:val="110"/>
        </w:rPr>
        <w:t>is </w:t>
      </w:r>
      <w:r>
        <w:rPr>
          <w:rFonts w:ascii="Lucida Sans Unicode"/>
          <w:w w:val="110"/>
        </w:rPr>
        <w:t>concerned,</w:t>
      </w:r>
      <w:r>
        <w:rPr>
          <w:rFonts w:ascii="Lucida Sans Unicode"/>
          <w:spacing w:val="-7"/>
          <w:w w:val="110"/>
        </w:rPr>
        <w:t> </w:t>
      </w:r>
      <w:r>
        <w:rPr>
          <w:rFonts w:ascii="Lucida Sans Unicode"/>
          <w:w w:val="110"/>
        </w:rPr>
        <w:t>the</w:t>
      </w:r>
      <w:r>
        <w:rPr>
          <w:rFonts w:ascii="Lucida Sans Unicode"/>
          <w:spacing w:val="-7"/>
          <w:w w:val="110"/>
        </w:rPr>
        <w:t> </w:t>
      </w:r>
      <w:r>
        <w:rPr>
          <w:rFonts w:ascii="Lucida Sans Unicode"/>
          <w:w w:val="110"/>
        </w:rPr>
        <w:t>CJEU</w:t>
      </w:r>
      <w:r>
        <w:rPr>
          <w:rFonts w:ascii="Lucida Sans Unicode"/>
          <w:spacing w:val="-7"/>
          <w:w w:val="110"/>
        </w:rPr>
        <w:t> </w:t>
      </w:r>
      <w:r>
        <w:rPr>
          <w:rFonts w:ascii="Lucida Sans Unicode"/>
          <w:w w:val="110"/>
        </w:rPr>
        <w:t>confirmed </w:t>
      </w:r>
      <w:r>
        <w:rPr>
          <w:w w:val="110"/>
        </w:rPr>
        <w:t>its pre-Charter case law on the applicability of fundamental </w:t>
      </w:r>
      <w:r>
        <w:rPr>
          <w:w w:val="110"/>
        </w:rPr>
        <w:t>rights (general principles) so that the</w:t>
      </w:r>
    </w:p>
    <w:p>
      <w:pPr>
        <w:pStyle w:val="BodyText"/>
        <w:spacing w:line="310" w:lineRule="exact"/>
        <w:ind w:right="98"/>
      </w:pPr>
      <w:r>
        <w:rPr>
          <w:rFonts w:ascii="Lucida Sans Unicode"/>
        </w:rPr>
        <w:t>Charter applies where a Member </w:t>
      </w:r>
      <w:r>
        <w:rPr>
          <w:rFonts w:ascii="Lucida Sans Unicode"/>
        </w:rPr>
        <w:t>State </w:t>
      </w:r>
      <w:r>
        <w:rPr>
          <w:w w:val="110"/>
        </w:rPr>
        <w:t>derogates from EU free movement </w:t>
      </w:r>
      <w:r>
        <w:rPr>
          <w:spacing w:val="-2"/>
          <w:w w:val="110"/>
        </w:rPr>
        <w:t>law.</w:t>
      </w:r>
      <w:r>
        <w:rPr>
          <w:rFonts w:ascii="Lucida Sans Unicode"/>
          <w:spacing w:val="-2"/>
          <w:w w:val="110"/>
          <w:vertAlign w:val="superscript"/>
        </w:rPr>
        <w:t>35</w:t>
      </w:r>
      <w:r>
        <w:rPr>
          <w:rFonts w:ascii="Lucida Sans Unicode"/>
          <w:spacing w:val="-19"/>
          <w:w w:val="110"/>
          <w:vertAlign w:val="baseline"/>
        </w:rPr>
        <w:t> </w:t>
      </w:r>
      <w:r>
        <w:rPr>
          <w:rFonts w:ascii="Lucida Sans Unicode"/>
          <w:spacing w:val="-2"/>
          <w:w w:val="110"/>
          <w:vertAlign w:val="baseline"/>
        </w:rPr>
        <w:t>For</w:t>
      </w:r>
      <w:r>
        <w:rPr>
          <w:rFonts w:ascii="Lucida Sans Unicode"/>
          <w:spacing w:val="-19"/>
          <w:w w:val="110"/>
          <w:vertAlign w:val="baseline"/>
        </w:rPr>
        <w:t> </w:t>
      </w:r>
      <w:r>
        <w:rPr>
          <w:rFonts w:ascii="Lucida Sans Unicode"/>
          <w:spacing w:val="-2"/>
          <w:w w:val="110"/>
          <w:vertAlign w:val="baseline"/>
        </w:rPr>
        <w:t>instance,</w:t>
      </w:r>
      <w:r>
        <w:rPr>
          <w:rFonts w:ascii="Lucida Sans Unicode"/>
          <w:spacing w:val="-19"/>
          <w:w w:val="110"/>
          <w:vertAlign w:val="baseline"/>
        </w:rPr>
        <w:t> </w:t>
      </w:r>
      <w:r>
        <w:rPr>
          <w:rFonts w:ascii="Lucida Sans Unicode"/>
          <w:spacing w:val="-2"/>
          <w:w w:val="110"/>
          <w:vertAlign w:val="baseline"/>
        </w:rPr>
        <w:t>a</w:t>
      </w:r>
      <w:r>
        <w:rPr>
          <w:rFonts w:ascii="Lucida Sans Unicode"/>
          <w:spacing w:val="-19"/>
          <w:w w:val="110"/>
          <w:vertAlign w:val="baseline"/>
        </w:rPr>
        <w:t> </w:t>
      </w:r>
      <w:r>
        <w:rPr>
          <w:rFonts w:ascii="Lucida Sans Unicode"/>
          <w:spacing w:val="-2"/>
          <w:w w:val="110"/>
          <w:vertAlign w:val="baseline"/>
        </w:rPr>
        <w:t>Member</w:t>
      </w:r>
      <w:r>
        <w:rPr>
          <w:rFonts w:ascii="Lucida Sans Unicode"/>
          <w:spacing w:val="-19"/>
          <w:w w:val="110"/>
          <w:vertAlign w:val="baseline"/>
        </w:rPr>
        <w:t> </w:t>
      </w:r>
      <w:r>
        <w:rPr>
          <w:rFonts w:ascii="Lucida Sans Unicode"/>
          <w:spacing w:val="-2"/>
          <w:w w:val="110"/>
          <w:vertAlign w:val="baseline"/>
        </w:rPr>
        <w:t>State </w:t>
      </w:r>
      <w:r>
        <w:rPr>
          <w:w w:val="110"/>
          <w:vertAlign w:val="baseline"/>
        </w:rPr>
        <w:t>may remove an EU citizen working in </w:t>
      </w:r>
      <w:r>
        <w:rPr>
          <w:rFonts w:ascii="Lucida Sans Unicode"/>
          <w:spacing w:val="-2"/>
          <w:w w:val="110"/>
          <w:vertAlign w:val="baseline"/>
        </w:rPr>
        <w:t>that</w:t>
      </w:r>
      <w:r>
        <w:rPr>
          <w:rFonts w:ascii="Lucida Sans Unicode"/>
          <w:spacing w:val="-18"/>
          <w:w w:val="110"/>
          <w:vertAlign w:val="baseline"/>
        </w:rPr>
        <w:t> </w:t>
      </w:r>
      <w:r>
        <w:rPr>
          <w:rFonts w:ascii="Lucida Sans Unicode"/>
          <w:spacing w:val="-2"/>
          <w:w w:val="110"/>
          <w:vertAlign w:val="baseline"/>
        </w:rPr>
        <w:t>Member</w:t>
      </w:r>
      <w:r>
        <w:rPr>
          <w:rFonts w:ascii="Lucida Sans Unicode"/>
          <w:spacing w:val="-18"/>
          <w:w w:val="110"/>
          <w:vertAlign w:val="baseline"/>
        </w:rPr>
        <w:t> </w:t>
      </w:r>
      <w:r>
        <w:rPr>
          <w:rFonts w:ascii="Lucida Sans Unicode"/>
          <w:spacing w:val="-2"/>
          <w:w w:val="110"/>
          <w:vertAlign w:val="baseline"/>
        </w:rPr>
        <w:t>State</w:t>
      </w:r>
      <w:r>
        <w:rPr>
          <w:rFonts w:ascii="Lucida Sans Unicode"/>
          <w:spacing w:val="-18"/>
          <w:w w:val="110"/>
          <w:vertAlign w:val="baseline"/>
        </w:rPr>
        <w:t> </w:t>
      </w:r>
      <w:r>
        <w:rPr>
          <w:rFonts w:ascii="Lucida Sans Unicode"/>
          <w:spacing w:val="-2"/>
          <w:w w:val="110"/>
          <w:vertAlign w:val="baseline"/>
        </w:rPr>
        <w:t>from</w:t>
      </w:r>
      <w:r>
        <w:rPr>
          <w:rFonts w:ascii="Lucida Sans Unicode"/>
          <w:spacing w:val="-18"/>
          <w:w w:val="110"/>
          <w:vertAlign w:val="baseline"/>
        </w:rPr>
        <w:t> </w:t>
      </w:r>
      <w:r>
        <w:rPr>
          <w:rFonts w:ascii="Lucida Sans Unicode"/>
          <w:spacing w:val="-2"/>
          <w:w w:val="110"/>
          <w:vertAlign w:val="baseline"/>
        </w:rPr>
        <w:t>its</w:t>
      </w:r>
      <w:r>
        <w:rPr>
          <w:rFonts w:ascii="Lucida Sans Unicode"/>
          <w:spacing w:val="-18"/>
          <w:w w:val="110"/>
          <w:vertAlign w:val="baseline"/>
        </w:rPr>
        <w:t> </w:t>
      </w:r>
      <w:r>
        <w:rPr>
          <w:rFonts w:ascii="Lucida Sans Unicode"/>
          <w:spacing w:val="-2"/>
          <w:w w:val="110"/>
          <w:vertAlign w:val="baseline"/>
        </w:rPr>
        <w:t>territory </w:t>
      </w:r>
      <w:r>
        <w:rPr>
          <w:w w:val="110"/>
          <w:vertAlign w:val="baseline"/>
        </w:rPr>
        <w:t>on grounds of public policy, public security and public health.</w:t>
      </w:r>
      <w:r>
        <w:rPr>
          <w:rFonts w:ascii="Lucida Sans Unicode"/>
          <w:w w:val="110"/>
          <w:vertAlign w:val="superscript"/>
        </w:rPr>
        <w:t>36</w:t>
      </w:r>
      <w:r>
        <w:rPr>
          <w:rFonts w:ascii="Lucida Sans Unicode"/>
          <w:w w:val="110"/>
          <w:vertAlign w:val="baseline"/>
        </w:rPr>
        <w:t> </w:t>
      </w:r>
      <w:r>
        <w:rPr>
          <w:w w:val="110"/>
          <w:vertAlign w:val="baseline"/>
        </w:rPr>
        <w:t>When doing so, the relevant Charter rights apply,</w:t>
      </w:r>
      <w:r>
        <w:rPr>
          <w:spacing w:val="40"/>
          <w:w w:val="110"/>
          <w:vertAlign w:val="baseline"/>
        </w:rPr>
        <w:t> </w:t>
      </w:r>
      <w:r>
        <w:rPr>
          <w:w w:val="110"/>
          <w:vertAlign w:val="baseline"/>
        </w:rPr>
        <w:t>notably</w:t>
      </w:r>
      <w:r>
        <w:rPr>
          <w:spacing w:val="40"/>
          <w:w w:val="110"/>
          <w:vertAlign w:val="baseline"/>
        </w:rPr>
        <w:t> </w:t>
      </w:r>
      <w:r>
        <w:rPr>
          <w:w w:val="110"/>
          <w:vertAlign w:val="baseline"/>
        </w:rPr>
        <w:t>Article</w:t>
      </w:r>
      <w:r>
        <w:rPr>
          <w:spacing w:val="40"/>
          <w:w w:val="110"/>
          <w:vertAlign w:val="baseline"/>
        </w:rPr>
        <w:t> </w:t>
      </w:r>
      <w:r>
        <w:rPr>
          <w:w w:val="110"/>
          <w:vertAlign w:val="baseline"/>
        </w:rPr>
        <w:t>7</w:t>
      </w:r>
      <w:r>
        <w:rPr>
          <w:spacing w:val="40"/>
          <w:w w:val="110"/>
          <w:vertAlign w:val="baseline"/>
        </w:rPr>
        <w:t> </w:t>
      </w:r>
      <w:r>
        <w:rPr>
          <w:w w:val="110"/>
          <w:vertAlign w:val="baseline"/>
        </w:rPr>
        <w:t>TFEU,</w:t>
      </w:r>
      <w:r>
        <w:rPr>
          <w:spacing w:val="40"/>
          <w:w w:val="110"/>
          <w:vertAlign w:val="baseline"/>
        </w:rPr>
        <w:t> </w:t>
      </w:r>
      <w:r>
        <w:rPr>
          <w:w w:val="110"/>
          <w:vertAlign w:val="baseline"/>
        </w:rPr>
        <w:t>the right to private and family life.</w:t>
      </w:r>
    </w:p>
    <w:p>
      <w:pPr>
        <w:pStyle w:val="BodyText"/>
        <w:spacing w:before="47"/>
        <w:ind w:left="0"/>
      </w:pPr>
    </w:p>
    <w:p>
      <w:pPr>
        <w:pStyle w:val="BodyText"/>
        <w:spacing w:line="259" w:lineRule="auto"/>
        <w:ind w:right="98"/>
        <w:rPr>
          <w:rFonts w:ascii="Lucida Sans Unicode" w:hAnsi="Lucida Sans Unicode"/>
        </w:rPr>
      </w:pPr>
      <w:r>
        <w:rPr>
          <w:w w:val="115"/>
        </w:rPr>
        <w:t>To illustrate the more complex</w:t>
      </w:r>
      <w:r>
        <w:rPr>
          <w:w w:val="115"/>
        </w:rPr>
        <w:t> second</w:t>
      </w:r>
      <w:r>
        <w:rPr>
          <w:spacing w:val="-20"/>
          <w:w w:val="115"/>
        </w:rPr>
        <w:t> </w:t>
      </w:r>
      <w:r>
        <w:rPr>
          <w:w w:val="115"/>
        </w:rPr>
        <w:t>situation</w:t>
      </w:r>
      <w:r>
        <w:rPr>
          <w:spacing w:val="-19"/>
          <w:w w:val="115"/>
        </w:rPr>
        <w:t> </w:t>
      </w:r>
      <w:r>
        <w:rPr>
          <w:w w:val="115"/>
        </w:rPr>
        <w:t>(implementing</w:t>
      </w:r>
      <w:r>
        <w:rPr>
          <w:spacing w:val="-19"/>
          <w:w w:val="115"/>
        </w:rPr>
        <w:t> </w:t>
      </w:r>
      <w:r>
        <w:rPr>
          <w:w w:val="115"/>
        </w:rPr>
        <w:t>in</w:t>
      </w:r>
      <w:r>
        <w:rPr>
          <w:spacing w:val="-19"/>
          <w:w w:val="115"/>
        </w:rPr>
        <w:t> </w:t>
      </w:r>
      <w:r>
        <w:rPr>
          <w:w w:val="115"/>
        </w:rPr>
        <w:t>the strict sense), it is useful to recount </w:t>
      </w:r>
      <w:r>
        <w:rPr>
          <w:w w:val="110"/>
        </w:rPr>
        <w:t>the facts of the </w:t>
      </w:r>
      <w:r>
        <w:rPr>
          <w:rFonts w:ascii="Verdana" w:hAnsi="Verdana"/>
          <w:i/>
          <w:w w:val="110"/>
        </w:rPr>
        <w:t>Åkerberg</w:t>
      </w:r>
      <w:r>
        <w:rPr>
          <w:rFonts w:ascii="Verdana" w:hAnsi="Verdana"/>
          <w:i/>
          <w:spacing w:val="-14"/>
          <w:w w:val="110"/>
        </w:rPr>
        <w:t> </w:t>
      </w:r>
      <w:r>
        <w:rPr>
          <w:rFonts w:ascii="Verdana" w:hAnsi="Verdana"/>
          <w:i/>
          <w:w w:val="110"/>
        </w:rPr>
        <w:t>Fransson</w:t>
      </w:r>
      <w:r>
        <w:rPr>
          <w:rFonts w:ascii="Verdana" w:hAnsi="Verdana"/>
          <w:i/>
          <w:w w:val="110"/>
        </w:rPr>
        <w:t> </w:t>
      </w:r>
      <w:r>
        <w:rPr>
          <w:w w:val="115"/>
        </w:rPr>
        <w:t>case.</w:t>
      </w:r>
      <w:r>
        <w:rPr>
          <w:spacing w:val="-16"/>
          <w:w w:val="115"/>
        </w:rPr>
        <w:t> </w:t>
      </w:r>
      <w:r>
        <w:rPr>
          <w:w w:val="115"/>
        </w:rPr>
        <w:t>Mr</w:t>
      </w:r>
      <w:r>
        <w:rPr>
          <w:spacing w:val="-16"/>
          <w:w w:val="115"/>
        </w:rPr>
        <w:t> </w:t>
      </w:r>
      <w:r>
        <w:rPr>
          <w:w w:val="115"/>
        </w:rPr>
        <w:t>Åkerberg</w:t>
      </w:r>
      <w:r>
        <w:rPr>
          <w:spacing w:val="-16"/>
          <w:w w:val="115"/>
        </w:rPr>
        <w:t> </w:t>
      </w:r>
      <w:r>
        <w:rPr>
          <w:w w:val="115"/>
        </w:rPr>
        <w:t>Fransson</w:t>
      </w:r>
      <w:r>
        <w:rPr>
          <w:spacing w:val="-16"/>
          <w:w w:val="115"/>
        </w:rPr>
        <w:t> </w:t>
      </w:r>
      <w:r>
        <w:rPr>
          <w:w w:val="115"/>
        </w:rPr>
        <w:t>–</w:t>
      </w:r>
      <w:r>
        <w:rPr>
          <w:spacing w:val="-16"/>
          <w:w w:val="115"/>
        </w:rPr>
        <w:t> </w:t>
      </w:r>
      <w:r>
        <w:rPr>
          <w:w w:val="115"/>
        </w:rPr>
        <w:t>a</w:t>
      </w:r>
      <w:r>
        <w:rPr>
          <w:spacing w:val="-16"/>
          <w:w w:val="115"/>
        </w:rPr>
        <w:t> </w:t>
      </w:r>
      <w:r>
        <w:rPr>
          <w:w w:val="115"/>
        </w:rPr>
        <w:t>self- </w:t>
      </w:r>
      <w:r>
        <w:rPr>
          <w:rFonts w:ascii="Lucida Sans Unicode" w:hAnsi="Lucida Sans Unicode"/>
        </w:rPr>
        <w:t>employed fisherman – was charged</w:t>
      </w:r>
    </w:p>
    <w:p>
      <w:pPr>
        <w:pStyle w:val="BodyText"/>
        <w:spacing w:line="230" w:lineRule="exact"/>
      </w:pPr>
      <w:r>
        <w:rPr>
          <w:w w:val="115"/>
        </w:rPr>
        <w:t>with</w:t>
      </w:r>
      <w:r>
        <w:rPr>
          <w:spacing w:val="-13"/>
          <w:w w:val="115"/>
        </w:rPr>
        <w:t> </w:t>
      </w:r>
      <w:r>
        <w:rPr>
          <w:w w:val="115"/>
        </w:rPr>
        <w:t>serious</w:t>
      </w:r>
      <w:r>
        <w:rPr>
          <w:spacing w:val="-13"/>
          <w:w w:val="115"/>
        </w:rPr>
        <w:t> </w:t>
      </w:r>
      <w:r>
        <w:rPr>
          <w:w w:val="115"/>
        </w:rPr>
        <w:t>tax</w:t>
      </w:r>
      <w:r>
        <w:rPr>
          <w:spacing w:val="-13"/>
          <w:w w:val="115"/>
        </w:rPr>
        <w:t> </w:t>
      </w:r>
      <w:r>
        <w:rPr>
          <w:w w:val="115"/>
        </w:rPr>
        <w:t>offences</w:t>
      </w:r>
      <w:r>
        <w:rPr>
          <w:spacing w:val="-13"/>
          <w:w w:val="115"/>
        </w:rPr>
        <w:t> </w:t>
      </w:r>
      <w:r>
        <w:rPr>
          <w:w w:val="115"/>
        </w:rPr>
        <w:t>for</w:t>
      </w:r>
      <w:r>
        <w:rPr>
          <w:spacing w:val="-13"/>
          <w:w w:val="115"/>
        </w:rPr>
        <w:t> </w:t>
      </w:r>
      <w:r>
        <w:rPr>
          <w:spacing w:val="-2"/>
          <w:w w:val="115"/>
        </w:rPr>
        <w:t>providing</w:t>
      </w:r>
    </w:p>
    <w:p>
      <w:pPr>
        <w:pStyle w:val="BodyText"/>
        <w:spacing w:line="268" w:lineRule="auto" w:before="34"/>
        <w:ind w:right="124"/>
      </w:pPr>
      <w:r>
        <w:rPr>
          <w:w w:val="115"/>
        </w:rPr>
        <w:t>false information in his tax returns concerning income tax and value added tax. He was further charged for failing to declare employers’ </w:t>
      </w:r>
      <w:r>
        <w:rPr>
          <w:spacing w:val="-2"/>
          <w:w w:val="115"/>
        </w:rPr>
        <w:t>social</w:t>
      </w:r>
      <w:r>
        <w:rPr>
          <w:spacing w:val="-13"/>
          <w:w w:val="115"/>
        </w:rPr>
        <w:t> </w:t>
      </w:r>
      <w:r>
        <w:rPr>
          <w:spacing w:val="-2"/>
          <w:w w:val="115"/>
        </w:rPr>
        <w:t>security</w:t>
      </w:r>
      <w:r>
        <w:rPr>
          <w:spacing w:val="-13"/>
          <w:w w:val="115"/>
        </w:rPr>
        <w:t> </w:t>
      </w:r>
      <w:r>
        <w:rPr>
          <w:spacing w:val="-2"/>
          <w:w w:val="115"/>
        </w:rPr>
        <w:t>contributions.</w:t>
      </w:r>
      <w:r>
        <w:rPr>
          <w:spacing w:val="-13"/>
          <w:w w:val="115"/>
        </w:rPr>
        <w:t> </w:t>
      </w:r>
      <w:r>
        <w:rPr>
          <w:spacing w:val="-2"/>
          <w:w w:val="115"/>
        </w:rPr>
        <w:t>The</w:t>
      </w:r>
      <w:r>
        <w:rPr>
          <w:spacing w:val="-13"/>
          <w:w w:val="115"/>
        </w:rPr>
        <w:t> </w:t>
      </w:r>
      <w:r>
        <w:rPr>
          <w:spacing w:val="-2"/>
          <w:w w:val="115"/>
        </w:rPr>
        <w:t>tax </w:t>
      </w:r>
      <w:r>
        <w:rPr>
          <w:w w:val="115"/>
        </w:rPr>
        <w:t>authorities ordered him to pay tax surcharges</w:t>
      </w:r>
      <w:r>
        <w:rPr>
          <w:spacing w:val="-20"/>
          <w:w w:val="115"/>
        </w:rPr>
        <w:t> </w:t>
      </w:r>
      <w:r>
        <w:rPr>
          <w:w w:val="115"/>
        </w:rPr>
        <w:t>in</w:t>
      </w:r>
      <w:r>
        <w:rPr>
          <w:spacing w:val="-19"/>
          <w:w w:val="115"/>
        </w:rPr>
        <w:t> </w:t>
      </w:r>
      <w:r>
        <w:rPr>
          <w:w w:val="115"/>
        </w:rPr>
        <w:t>relation</w:t>
      </w:r>
      <w:r>
        <w:rPr>
          <w:spacing w:val="-19"/>
          <w:w w:val="115"/>
        </w:rPr>
        <w:t> </w:t>
      </w:r>
      <w:r>
        <w:rPr>
          <w:w w:val="115"/>
        </w:rPr>
        <w:t>to</w:t>
      </w:r>
      <w:r>
        <w:rPr>
          <w:spacing w:val="-19"/>
          <w:w w:val="115"/>
        </w:rPr>
        <w:t> </w:t>
      </w:r>
      <w:r>
        <w:rPr>
          <w:w w:val="115"/>
        </w:rPr>
        <w:t>the</w:t>
      </w:r>
      <w:r>
        <w:rPr>
          <w:spacing w:val="-19"/>
          <w:w w:val="115"/>
        </w:rPr>
        <w:t> </w:t>
      </w:r>
      <w:r>
        <w:rPr>
          <w:w w:val="115"/>
        </w:rPr>
        <w:t>wrongly declared tax and social security contributions, which Mr Åkerberg Fransson did not challenge.</w:t>
      </w:r>
    </w:p>
    <w:p>
      <w:pPr>
        <w:pStyle w:val="BodyText"/>
        <w:spacing w:line="220" w:lineRule="auto" w:before="90"/>
        <w:ind w:right="538"/>
      </w:pPr>
      <w:r>
        <w:rPr/>
        <w:br w:type="column"/>
      </w:r>
      <w:r>
        <w:rPr>
          <w:w w:val="110"/>
        </w:rPr>
        <w:t>He subsequently relied on </w:t>
      </w:r>
      <w:r>
        <w:rPr>
          <w:w w:val="110"/>
        </w:rPr>
        <w:t>Article </w:t>
      </w:r>
      <w:r>
        <w:rPr>
          <w:rFonts w:ascii="Lucida Sans Unicode" w:hAnsi="Lucida Sans Unicode"/>
          <w:w w:val="110"/>
        </w:rPr>
        <w:t>50</w:t>
      </w:r>
      <w:r>
        <w:rPr>
          <w:rFonts w:ascii="Lucida Sans Unicode" w:hAnsi="Lucida Sans Unicode"/>
          <w:spacing w:val="-12"/>
          <w:w w:val="110"/>
        </w:rPr>
        <w:t> </w:t>
      </w:r>
      <w:r>
        <w:rPr>
          <w:rFonts w:ascii="Lucida Sans Unicode" w:hAnsi="Lucida Sans Unicode"/>
          <w:w w:val="110"/>
        </w:rPr>
        <w:t>CFR</w:t>
      </w:r>
      <w:r>
        <w:rPr>
          <w:rFonts w:ascii="Lucida Sans Unicode" w:hAnsi="Lucida Sans Unicode"/>
          <w:spacing w:val="-12"/>
          <w:w w:val="110"/>
        </w:rPr>
        <w:t> </w:t>
      </w:r>
      <w:r>
        <w:rPr>
          <w:rFonts w:ascii="Lucida Sans Unicode" w:hAnsi="Lucida Sans Unicode"/>
          <w:w w:val="110"/>
        </w:rPr>
        <w:t>–</w:t>
      </w:r>
      <w:r>
        <w:rPr>
          <w:rFonts w:ascii="Lucida Sans Unicode" w:hAnsi="Lucida Sans Unicode"/>
          <w:spacing w:val="-12"/>
          <w:w w:val="110"/>
        </w:rPr>
        <w:t> </w:t>
      </w:r>
      <w:r>
        <w:rPr>
          <w:rFonts w:ascii="Lucida Sans Unicode" w:hAnsi="Lucida Sans Unicode"/>
          <w:w w:val="110"/>
        </w:rPr>
        <w:t>the</w:t>
      </w:r>
      <w:r>
        <w:rPr>
          <w:rFonts w:ascii="Lucida Sans Unicode" w:hAnsi="Lucida Sans Unicode"/>
          <w:spacing w:val="-12"/>
          <w:w w:val="110"/>
        </w:rPr>
        <w:t> </w:t>
      </w:r>
      <w:r>
        <w:rPr>
          <w:rFonts w:ascii="Lucida Sans Unicode" w:hAnsi="Lucida Sans Unicode"/>
          <w:w w:val="110"/>
        </w:rPr>
        <w:t>prohibition</w:t>
      </w:r>
      <w:r>
        <w:rPr>
          <w:rFonts w:ascii="Lucida Sans Unicode" w:hAnsi="Lucida Sans Unicode"/>
          <w:spacing w:val="-12"/>
          <w:w w:val="110"/>
        </w:rPr>
        <w:t> </w:t>
      </w:r>
      <w:r>
        <w:rPr>
          <w:rFonts w:ascii="Lucida Sans Unicode" w:hAnsi="Lucida Sans Unicode"/>
          <w:w w:val="110"/>
        </w:rPr>
        <w:t>of </w:t>
      </w:r>
      <w:r>
        <w:rPr>
          <w:w w:val="110"/>
        </w:rPr>
        <w:t>double jeopardy</w:t>
      </w:r>
      <w:r>
        <w:rPr>
          <w:rFonts w:ascii="Lucida Sans Unicode" w:hAnsi="Lucida Sans Unicode"/>
          <w:w w:val="110"/>
          <w:vertAlign w:val="superscript"/>
        </w:rPr>
        <w:t>37</w:t>
      </w:r>
      <w:r>
        <w:rPr>
          <w:rFonts w:ascii="Lucida Sans Unicode" w:hAnsi="Lucida Sans Unicode"/>
          <w:w w:val="110"/>
          <w:vertAlign w:val="baseline"/>
        </w:rPr>
        <w:t> </w:t>
      </w:r>
      <w:r>
        <w:rPr>
          <w:w w:val="110"/>
          <w:vertAlign w:val="baseline"/>
        </w:rPr>
        <w:t>– to challenge the compatibility of his criminal</w:t>
      </w:r>
    </w:p>
    <w:p>
      <w:pPr>
        <w:pStyle w:val="BodyText"/>
        <w:spacing w:line="310" w:lineRule="exact" w:before="13"/>
        <w:ind w:right="210"/>
        <w:rPr>
          <w:rFonts w:ascii="Lucida Sans Unicode" w:hAnsi="Lucida Sans Unicode"/>
        </w:rPr>
      </w:pPr>
      <w:r>
        <w:rPr>
          <w:w w:val="110"/>
        </w:rPr>
        <w:t>prosecution with the Charter. In the case, neither the national legislation</w:t>
      </w:r>
      <w:r>
        <w:rPr>
          <w:spacing w:val="40"/>
          <w:w w:val="110"/>
        </w:rPr>
        <w:t> </w:t>
      </w:r>
      <w:r>
        <w:rPr>
          <w:w w:val="110"/>
        </w:rPr>
        <w:t>on whose basis the tax penalties </w:t>
      </w:r>
      <w:r>
        <w:rPr>
          <w:w w:val="110"/>
        </w:rPr>
        <w:t>were ordered to be paid nor the national legislation on which the criminal proceedings were founded had been </w:t>
      </w:r>
      <w:r>
        <w:rPr>
          <w:rFonts w:ascii="Lucida Sans Unicode" w:hAnsi="Lucida Sans Unicode"/>
        </w:rPr>
        <w:t>adopted by Sweden to implement an </w:t>
      </w:r>
      <w:r>
        <w:rPr>
          <w:w w:val="110"/>
        </w:rPr>
        <w:t>EU obligation. In fact, they pre-dated </w:t>
      </w:r>
      <w:r>
        <w:rPr>
          <w:rFonts w:ascii="Lucida Sans Unicode" w:hAnsi="Lucida Sans Unicode"/>
          <w:w w:val="110"/>
        </w:rPr>
        <w:t>Sweden’s</w:t>
      </w:r>
      <w:r>
        <w:rPr>
          <w:rFonts w:ascii="Lucida Sans Unicode" w:hAnsi="Lucida Sans Unicode"/>
          <w:spacing w:val="-21"/>
          <w:w w:val="110"/>
        </w:rPr>
        <w:t> </w:t>
      </w:r>
      <w:r>
        <w:rPr>
          <w:rFonts w:ascii="Lucida Sans Unicode" w:hAnsi="Lucida Sans Unicode"/>
          <w:w w:val="110"/>
        </w:rPr>
        <w:t>EU</w:t>
      </w:r>
      <w:r>
        <w:rPr>
          <w:rFonts w:ascii="Lucida Sans Unicode" w:hAnsi="Lucida Sans Unicode"/>
          <w:spacing w:val="-21"/>
          <w:w w:val="110"/>
        </w:rPr>
        <w:t> </w:t>
      </w:r>
      <w:r>
        <w:rPr>
          <w:rFonts w:ascii="Lucida Sans Unicode" w:hAnsi="Lucida Sans Unicode"/>
          <w:w w:val="110"/>
        </w:rPr>
        <w:t>membership.</w:t>
      </w:r>
    </w:p>
    <w:p>
      <w:pPr>
        <w:pStyle w:val="BodyText"/>
        <w:spacing w:line="310" w:lineRule="exact" w:before="300"/>
        <w:ind w:right="127"/>
      </w:pPr>
      <w:r>
        <w:rPr>
          <w:w w:val="110"/>
        </w:rPr>
        <w:t>Nonetheless, the CJEU found there to be an ‘implementation of Union law’ insofar as VAT was concerned, given that the relevant VAT Directive</w:t>
      </w:r>
      <w:r>
        <w:rPr>
          <w:rFonts w:ascii="Lucida Sans Unicode" w:hAnsi="Lucida Sans Unicode"/>
          <w:w w:val="110"/>
          <w:vertAlign w:val="superscript"/>
        </w:rPr>
        <w:t>38</w:t>
      </w:r>
      <w:r>
        <w:rPr>
          <w:rFonts w:ascii="Lucida Sans Unicode" w:hAnsi="Lucida Sans Unicode"/>
          <w:w w:val="110"/>
          <w:vertAlign w:val="baseline"/>
        </w:rPr>
        <w:t> </w:t>
      </w:r>
      <w:r>
        <w:rPr>
          <w:w w:val="110"/>
          <w:vertAlign w:val="baseline"/>
        </w:rPr>
        <w:t>in </w:t>
      </w:r>
      <w:r>
        <w:rPr>
          <w:rFonts w:ascii="Lucida Sans Unicode" w:hAnsi="Lucida Sans Unicode"/>
          <w:spacing w:val="-2"/>
          <w:w w:val="110"/>
          <w:vertAlign w:val="baseline"/>
        </w:rPr>
        <w:t>combination</w:t>
      </w:r>
      <w:r>
        <w:rPr>
          <w:rFonts w:ascii="Lucida Sans Unicode" w:hAnsi="Lucida Sans Unicode"/>
          <w:spacing w:val="-17"/>
          <w:w w:val="110"/>
          <w:vertAlign w:val="baseline"/>
        </w:rPr>
        <w:t> </w:t>
      </w:r>
      <w:r>
        <w:rPr>
          <w:rFonts w:ascii="Lucida Sans Unicode" w:hAnsi="Lucida Sans Unicode"/>
          <w:spacing w:val="-2"/>
          <w:w w:val="110"/>
          <w:vertAlign w:val="baseline"/>
        </w:rPr>
        <w:t>with</w:t>
      </w:r>
      <w:r>
        <w:rPr>
          <w:rFonts w:ascii="Lucida Sans Unicode" w:hAnsi="Lucida Sans Unicode"/>
          <w:spacing w:val="-17"/>
          <w:w w:val="110"/>
          <w:vertAlign w:val="baseline"/>
        </w:rPr>
        <w:t> </w:t>
      </w:r>
      <w:r>
        <w:rPr>
          <w:rFonts w:ascii="Lucida Sans Unicode" w:hAnsi="Lucida Sans Unicode"/>
          <w:spacing w:val="-2"/>
          <w:w w:val="110"/>
          <w:vertAlign w:val="baseline"/>
        </w:rPr>
        <w:t>Article</w:t>
      </w:r>
      <w:r>
        <w:rPr>
          <w:rFonts w:ascii="Lucida Sans Unicode" w:hAnsi="Lucida Sans Unicode"/>
          <w:spacing w:val="-17"/>
          <w:w w:val="110"/>
          <w:vertAlign w:val="baseline"/>
        </w:rPr>
        <w:t> </w:t>
      </w:r>
      <w:r>
        <w:rPr>
          <w:rFonts w:ascii="Lucida Sans Unicode" w:hAnsi="Lucida Sans Unicode"/>
          <w:spacing w:val="-2"/>
          <w:w w:val="110"/>
          <w:vertAlign w:val="baseline"/>
        </w:rPr>
        <w:t>4</w:t>
      </w:r>
      <w:r>
        <w:rPr>
          <w:rFonts w:ascii="Lucida Sans Unicode" w:hAnsi="Lucida Sans Unicode"/>
          <w:spacing w:val="-17"/>
          <w:w w:val="110"/>
          <w:vertAlign w:val="baseline"/>
        </w:rPr>
        <w:t> </w:t>
      </w:r>
      <w:r>
        <w:rPr>
          <w:rFonts w:ascii="Lucida Sans Unicode" w:hAnsi="Lucida Sans Unicode"/>
          <w:spacing w:val="-2"/>
          <w:w w:val="110"/>
          <w:vertAlign w:val="baseline"/>
        </w:rPr>
        <w:t>(3)</w:t>
      </w:r>
      <w:r>
        <w:rPr>
          <w:rFonts w:ascii="Lucida Sans Unicode" w:hAnsi="Lucida Sans Unicode"/>
          <w:spacing w:val="-17"/>
          <w:w w:val="110"/>
          <w:vertAlign w:val="baseline"/>
        </w:rPr>
        <w:t> </w:t>
      </w:r>
      <w:r>
        <w:rPr>
          <w:rFonts w:ascii="Lucida Sans Unicode" w:hAnsi="Lucida Sans Unicode"/>
          <w:spacing w:val="-2"/>
          <w:w w:val="110"/>
          <w:vertAlign w:val="baseline"/>
        </w:rPr>
        <w:t>TEU </w:t>
      </w:r>
      <w:r>
        <w:rPr>
          <w:rFonts w:ascii="Lucida Sans Unicode" w:hAnsi="Lucida Sans Unicode"/>
          <w:vertAlign w:val="baseline"/>
        </w:rPr>
        <w:t>prescribed that every Member Sate</w:t>
      </w:r>
      <w:r>
        <w:rPr>
          <w:rFonts w:ascii="Lucida Sans Unicode" w:hAnsi="Lucida Sans Unicode"/>
          <w:spacing w:val="40"/>
          <w:w w:val="110"/>
          <w:vertAlign w:val="baseline"/>
        </w:rPr>
        <w:t> </w:t>
      </w:r>
      <w:r>
        <w:rPr>
          <w:w w:val="110"/>
          <w:vertAlign w:val="baseline"/>
        </w:rPr>
        <w:t>was under an obligation to take all legislative</w:t>
      </w:r>
      <w:r>
        <w:rPr>
          <w:spacing w:val="-19"/>
          <w:w w:val="110"/>
          <w:vertAlign w:val="baseline"/>
        </w:rPr>
        <w:t> </w:t>
      </w:r>
      <w:r>
        <w:rPr>
          <w:w w:val="110"/>
          <w:vertAlign w:val="baseline"/>
        </w:rPr>
        <w:t>and</w:t>
      </w:r>
      <w:r>
        <w:rPr>
          <w:spacing w:val="-18"/>
          <w:w w:val="110"/>
          <w:vertAlign w:val="baseline"/>
        </w:rPr>
        <w:t> </w:t>
      </w:r>
      <w:r>
        <w:rPr>
          <w:w w:val="110"/>
          <w:vertAlign w:val="baseline"/>
        </w:rPr>
        <w:t>administrative</w:t>
      </w:r>
      <w:r>
        <w:rPr>
          <w:spacing w:val="-19"/>
          <w:w w:val="110"/>
          <w:vertAlign w:val="baseline"/>
        </w:rPr>
        <w:t> </w:t>
      </w:r>
      <w:r>
        <w:rPr>
          <w:w w:val="110"/>
          <w:vertAlign w:val="baseline"/>
        </w:rPr>
        <w:t>measures appropriate for ensuring collection of</w:t>
      </w:r>
      <w:r>
        <w:rPr>
          <w:spacing w:val="40"/>
          <w:w w:val="110"/>
          <w:vertAlign w:val="baseline"/>
        </w:rPr>
        <w:t> </w:t>
      </w:r>
      <w:r>
        <w:rPr>
          <w:w w:val="110"/>
          <w:vertAlign w:val="baseline"/>
        </w:rPr>
        <w:t>all the VAT due on its territory and for </w:t>
      </w:r>
      <w:r>
        <w:rPr>
          <w:rFonts w:ascii="Lucida Sans Unicode" w:hAnsi="Lucida Sans Unicode"/>
          <w:vertAlign w:val="baseline"/>
        </w:rPr>
        <w:t>preventing evasion. This finding was buttressed by Article 325 TFEU, which obliges the Member States to counter illegal activities affecting the financial </w:t>
      </w:r>
      <w:r>
        <w:rPr>
          <w:w w:val="110"/>
          <w:vertAlign w:val="baseline"/>
        </w:rPr>
        <w:t>interests of the European Union through</w:t>
      </w:r>
      <w:r>
        <w:rPr>
          <w:spacing w:val="-19"/>
          <w:w w:val="110"/>
          <w:vertAlign w:val="baseline"/>
        </w:rPr>
        <w:t> </w:t>
      </w:r>
      <w:r>
        <w:rPr>
          <w:w w:val="110"/>
          <w:vertAlign w:val="baseline"/>
        </w:rPr>
        <w:t>effective</w:t>
      </w:r>
      <w:r>
        <w:rPr>
          <w:spacing w:val="-18"/>
          <w:w w:val="110"/>
          <w:vertAlign w:val="baseline"/>
        </w:rPr>
        <w:t> </w:t>
      </w:r>
      <w:r>
        <w:rPr>
          <w:w w:val="110"/>
          <w:vertAlign w:val="baseline"/>
        </w:rPr>
        <w:t>deterrent</w:t>
      </w:r>
      <w:r>
        <w:rPr>
          <w:spacing w:val="-19"/>
          <w:w w:val="110"/>
          <w:vertAlign w:val="baseline"/>
        </w:rPr>
        <w:t> </w:t>
      </w:r>
      <w:r>
        <w:rPr>
          <w:w w:val="110"/>
          <w:vertAlign w:val="baseline"/>
        </w:rPr>
        <w:t>measures.</w:t>
      </w:r>
      <w:r>
        <w:rPr>
          <w:rFonts w:ascii="Lucida Sans Unicode" w:hAnsi="Lucida Sans Unicode"/>
          <w:w w:val="110"/>
          <w:vertAlign w:val="superscript"/>
        </w:rPr>
        <w:t>39</w:t>
      </w:r>
      <w:r>
        <w:rPr>
          <w:rFonts w:ascii="Lucida Sans Unicode" w:hAnsi="Lucida Sans Unicode"/>
          <w:w w:val="110"/>
          <w:vertAlign w:val="baseline"/>
        </w:rPr>
        <w:t> </w:t>
      </w:r>
      <w:r>
        <w:rPr>
          <w:w w:val="110"/>
          <w:vertAlign w:val="baseline"/>
        </w:rPr>
        <w:t>Hence the tax penalties and criminal proceedings in relation to VAT constituted an implementation of the </w:t>
      </w:r>
      <w:r>
        <w:rPr>
          <w:rFonts w:ascii="Lucida Sans Unicode" w:hAnsi="Lucida Sans Unicode"/>
          <w:vertAlign w:val="baseline"/>
        </w:rPr>
        <w:t>obligations flowing from the Directive and from Article 325 TFEU and thus of </w:t>
      </w:r>
      <w:r>
        <w:rPr>
          <w:w w:val="110"/>
          <w:vertAlign w:val="baseline"/>
        </w:rPr>
        <w:t>EU</w:t>
      </w:r>
      <w:r>
        <w:rPr>
          <w:spacing w:val="-1"/>
          <w:w w:val="110"/>
          <w:vertAlign w:val="baseline"/>
        </w:rPr>
        <w:t> </w:t>
      </w:r>
      <w:r>
        <w:rPr>
          <w:w w:val="110"/>
          <w:vertAlign w:val="baseline"/>
        </w:rPr>
        <w:t>law.</w:t>
      </w:r>
      <w:r>
        <w:rPr>
          <w:spacing w:val="-1"/>
          <w:w w:val="110"/>
          <w:vertAlign w:val="baseline"/>
        </w:rPr>
        <w:t> </w:t>
      </w:r>
      <w:r>
        <w:rPr>
          <w:w w:val="110"/>
          <w:vertAlign w:val="baseline"/>
        </w:rPr>
        <w:t>The</w:t>
      </w:r>
      <w:r>
        <w:rPr>
          <w:spacing w:val="-1"/>
          <w:w w:val="110"/>
          <w:vertAlign w:val="baseline"/>
        </w:rPr>
        <w:t> </w:t>
      </w:r>
      <w:r>
        <w:rPr>
          <w:w w:val="110"/>
          <w:vertAlign w:val="baseline"/>
        </w:rPr>
        <w:t>Court</w:t>
      </w:r>
      <w:r>
        <w:rPr>
          <w:spacing w:val="-1"/>
          <w:w w:val="110"/>
          <w:vertAlign w:val="baseline"/>
        </w:rPr>
        <w:t> </w:t>
      </w:r>
      <w:r>
        <w:rPr>
          <w:w w:val="110"/>
          <w:vertAlign w:val="baseline"/>
        </w:rPr>
        <w:t>deemed</w:t>
      </w:r>
      <w:r>
        <w:rPr>
          <w:spacing w:val="-1"/>
          <w:w w:val="110"/>
          <w:vertAlign w:val="baseline"/>
        </w:rPr>
        <w:t> </w:t>
      </w:r>
      <w:r>
        <w:rPr>
          <w:w w:val="110"/>
          <w:vertAlign w:val="baseline"/>
        </w:rPr>
        <w:t>it</w:t>
      </w:r>
      <w:r>
        <w:rPr>
          <w:spacing w:val="-1"/>
          <w:w w:val="110"/>
          <w:vertAlign w:val="baseline"/>
        </w:rPr>
        <w:t> </w:t>
      </w:r>
      <w:r>
        <w:rPr>
          <w:w w:val="110"/>
          <w:vertAlign w:val="baseline"/>
        </w:rPr>
        <w:t>irrelevant that the national legislation had not been adopted in order to transpose</w:t>
      </w:r>
      <w:r>
        <w:rPr>
          <w:spacing w:val="80"/>
          <w:w w:val="110"/>
          <w:vertAlign w:val="baseline"/>
        </w:rPr>
        <w:t> </w:t>
      </w:r>
      <w:r>
        <w:rPr>
          <w:w w:val="110"/>
          <w:vertAlign w:val="baseline"/>
        </w:rPr>
        <w:t>the Directive.</w:t>
      </w:r>
    </w:p>
    <w:p>
      <w:pPr>
        <w:spacing w:after="0" w:line="310" w:lineRule="exact"/>
        <w:sectPr>
          <w:type w:val="continuous"/>
          <w:pgSz w:w="11910" w:h="16840"/>
          <w:pgMar w:header="568" w:footer="580" w:top="0" w:bottom="280" w:left="1020" w:right="1020"/>
          <w:cols w:num="2" w:equalWidth="0">
            <w:col w:w="4731" w:space="314"/>
            <w:col w:w="4825"/>
          </w:cols>
        </w:sectPr>
      </w:pPr>
    </w:p>
    <w:p>
      <w:pPr>
        <w:pStyle w:val="BodyText"/>
        <w:ind w:left="0"/>
        <w:rPr>
          <w:sz w:val="20"/>
        </w:rPr>
      </w:pPr>
    </w:p>
    <w:p>
      <w:pPr>
        <w:pStyle w:val="BodyText"/>
        <w:spacing w:before="75" w:after="1"/>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69" name="Group 69"/>
                <wp:cNvGraphicFramePr>
                  <a:graphicFrameLocks/>
                </wp:cNvGraphicFramePr>
                <a:graphic>
                  <a:graphicData uri="http://schemas.microsoft.com/office/word/2010/wordprocessingGroup">
                    <wpg:wgp>
                      <wpg:cNvPr id="69" name="Group 69"/>
                      <wpg:cNvGrpSpPr/>
                      <wpg:grpSpPr>
                        <a:xfrm>
                          <a:off x="0" y="0"/>
                          <a:ext cx="6120130" cy="6350"/>
                          <a:chExt cx="6120130" cy="6350"/>
                        </a:xfrm>
                      </wpg:grpSpPr>
                      <wps:wsp>
                        <wps:cNvPr id="70" name="Graphic 70"/>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53"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7" w:val="left" w:leader="none"/>
        </w:tabs>
        <w:spacing w:line="223" w:lineRule="exact" w:before="61" w:after="0"/>
        <w:ind w:left="567" w:right="0" w:hanging="454"/>
        <w:jc w:val="left"/>
        <w:rPr>
          <w:sz w:val="16"/>
        </w:rPr>
      </w:pPr>
      <w:r>
        <w:rPr>
          <w:rFonts w:ascii="Arial"/>
          <w:sz w:val="16"/>
        </w:rPr>
        <w:t>Case</w:t>
      </w:r>
      <w:r>
        <w:rPr>
          <w:rFonts w:ascii="Arial"/>
          <w:spacing w:val="26"/>
          <w:sz w:val="16"/>
        </w:rPr>
        <w:t> </w:t>
      </w:r>
      <w:r>
        <w:rPr>
          <w:rFonts w:ascii="Trebuchet MS"/>
          <w:i/>
          <w:sz w:val="16"/>
        </w:rPr>
        <w:t>Pfleger</w:t>
      </w:r>
      <w:r>
        <w:rPr>
          <w:rFonts w:ascii="Trebuchet MS"/>
          <w:i/>
          <w:spacing w:val="22"/>
          <w:sz w:val="16"/>
        </w:rPr>
        <w:t> </w:t>
      </w:r>
      <w:r>
        <w:rPr>
          <w:sz w:val="16"/>
        </w:rPr>
        <w:t>(n</w:t>
      </w:r>
      <w:r>
        <w:rPr>
          <w:spacing w:val="20"/>
          <w:sz w:val="16"/>
        </w:rPr>
        <w:t> </w:t>
      </w:r>
      <w:r>
        <w:rPr>
          <w:spacing w:val="-4"/>
          <w:sz w:val="16"/>
        </w:rPr>
        <w:t>13).</w:t>
      </w:r>
    </w:p>
    <w:p>
      <w:pPr>
        <w:pStyle w:val="ListParagraph"/>
        <w:numPr>
          <w:ilvl w:val="0"/>
          <w:numId w:val="6"/>
        </w:numPr>
        <w:tabs>
          <w:tab w:pos="567" w:val="left" w:leader="none"/>
        </w:tabs>
        <w:spacing w:line="194" w:lineRule="auto" w:before="10" w:after="0"/>
        <w:ind w:left="567" w:right="114" w:hanging="454"/>
        <w:jc w:val="left"/>
        <w:rPr>
          <w:sz w:val="16"/>
        </w:rPr>
      </w:pPr>
      <w:r>
        <w:rPr>
          <w:w w:val="105"/>
          <w:sz w:val="16"/>
        </w:rPr>
        <w:t>Article</w:t>
      </w:r>
      <w:r>
        <w:rPr>
          <w:spacing w:val="-14"/>
          <w:w w:val="105"/>
          <w:sz w:val="16"/>
        </w:rPr>
        <w:t> </w:t>
      </w:r>
      <w:r>
        <w:rPr>
          <w:w w:val="105"/>
          <w:sz w:val="16"/>
        </w:rPr>
        <w:t>45</w:t>
      </w:r>
      <w:r>
        <w:rPr>
          <w:spacing w:val="-13"/>
          <w:w w:val="105"/>
          <w:sz w:val="16"/>
        </w:rPr>
        <w:t> </w:t>
      </w:r>
      <w:r>
        <w:rPr>
          <w:w w:val="105"/>
          <w:sz w:val="16"/>
        </w:rPr>
        <w:t>(3)</w:t>
      </w:r>
      <w:r>
        <w:rPr>
          <w:spacing w:val="-13"/>
          <w:w w:val="105"/>
          <w:sz w:val="16"/>
        </w:rPr>
        <w:t> </w:t>
      </w:r>
      <w:r>
        <w:rPr>
          <w:w w:val="105"/>
          <w:sz w:val="16"/>
        </w:rPr>
        <w:t>TFEU;</w:t>
      </w:r>
      <w:r>
        <w:rPr>
          <w:spacing w:val="-14"/>
          <w:w w:val="105"/>
          <w:sz w:val="16"/>
        </w:rPr>
        <w:t> </w:t>
      </w:r>
      <w:r>
        <w:rPr>
          <w:w w:val="105"/>
          <w:sz w:val="16"/>
        </w:rPr>
        <w:t>Articles</w:t>
      </w:r>
      <w:r>
        <w:rPr>
          <w:spacing w:val="-13"/>
          <w:w w:val="105"/>
          <w:sz w:val="16"/>
        </w:rPr>
        <w:t> </w:t>
      </w:r>
      <w:r>
        <w:rPr>
          <w:w w:val="105"/>
          <w:sz w:val="16"/>
        </w:rPr>
        <w:t>27</w:t>
      </w:r>
      <w:r>
        <w:rPr>
          <w:spacing w:val="-13"/>
          <w:w w:val="105"/>
          <w:sz w:val="16"/>
        </w:rPr>
        <w:t> </w:t>
      </w:r>
      <w:r>
        <w:rPr>
          <w:w w:val="105"/>
          <w:sz w:val="16"/>
        </w:rPr>
        <w:t>and</w:t>
      </w:r>
      <w:r>
        <w:rPr>
          <w:spacing w:val="-14"/>
          <w:w w:val="105"/>
          <w:sz w:val="16"/>
        </w:rPr>
        <w:t> </w:t>
      </w:r>
      <w:r>
        <w:rPr>
          <w:w w:val="105"/>
          <w:sz w:val="16"/>
        </w:rPr>
        <w:t>28</w:t>
      </w:r>
      <w:r>
        <w:rPr>
          <w:spacing w:val="-13"/>
          <w:w w:val="105"/>
          <w:sz w:val="16"/>
        </w:rPr>
        <w:t> </w:t>
      </w:r>
      <w:r>
        <w:rPr>
          <w:w w:val="105"/>
          <w:sz w:val="16"/>
        </w:rPr>
        <w:t>Directive</w:t>
      </w:r>
      <w:r>
        <w:rPr>
          <w:spacing w:val="-13"/>
          <w:w w:val="105"/>
          <w:sz w:val="16"/>
        </w:rPr>
        <w:t> </w:t>
      </w:r>
      <w:r>
        <w:rPr>
          <w:w w:val="105"/>
          <w:sz w:val="16"/>
        </w:rPr>
        <w:t>2004/38/EC</w:t>
      </w:r>
      <w:r>
        <w:rPr>
          <w:spacing w:val="-13"/>
          <w:w w:val="105"/>
          <w:sz w:val="16"/>
        </w:rPr>
        <w:t> </w:t>
      </w:r>
      <w:r>
        <w:rPr>
          <w:w w:val="105"/>
          <w:sz w:val="16"/>
        </w:rPr>
        <w:t>narrow</w:t>
      </w:r>
      <w:r>
        <w:rPr>
          <w:spacing w:val="-14"/>
          <w:w w:val="105"/>
          <w:sz w:val="16"/>
        </w:rPr>
        <w:t> </w:t>
      </w:r>
      <w:r>
        <w:rPr>
          <w:w w:val="105"/>
          <w:sz w:val="16"/>
        </w:rPr>
        <w:t>this</w:t>
      </w:r>
      <w:r>
        <w:rPr>
          <w:spacing w:val="-13"/>
          <w:w w:val="105"/>
          <w:sz w:val="16"/>
        </w:rPr>
        <w:t> </w:t>
      </w:r>
      <w:r>
        <w:rPr>
          <w:w w:val="105"/>
          <w:sz w:val="16"/>
        </w:rPr>
        <w:t>option</w:t>
      </w:r>
      <w:r>
        <w:rPr>
          <w:spacing w:val="-13"/>
          <w:w w:val="105"/>
          <w:sz w:val="16"/>
        </w:rPr>
        <w:t> </w:t>
      </w:r>
      <w:r>
        <w:rPr>
          <w:w w:val="105"/>
          <w:sz w:val="16"/>
        </w:rPr>
        <w:t>down</w:t>
      </w:r>
      <w:r>
        <w:rPr>
          <w:spacing w:val="-14"/>
          <w:w w:val="105"/>
          <w:sz w:val="16"/>
        </w:rPr>
        <w:t> </w:t>
      </w:r>
      <w:r>
        <w:rPr>
          <w:w w:val="105"/>
          <w:sz w:val="16"/>
        </w:rPr>
        <w:t>for</w:t>
      </w:r>
      <w:r>
        <w:rPr>
          <w:spacing w:val="-13"/>
          <w:w w:val="105"/>
          <w:sz w:val="16"/>
        </w:rPr>
        <w:t> </w:t>
      </w:r>
      <w:r>
        <w:rPr>
          <w:w w:val="105"/>
          <w:sz w:val="16"/>
        </w:rPr>
        <w:t>permanent</w:t>
      </w:r>
      <w:r>
        <w:rPr>
          <w:spacing w:val="-13"/>
          <w:w w:val="105"/>
          <w:sz w:val="16"/>
        </w:rPr>
        <w:t> </w:t>
      </w:r>
      <w:r>
        <w:rPr>
          <w:w w:val="105"/>
          <w:sz w:val="16"/>
        </w:rPr>
        <w:t>residents</w:t>
      </w:r>
      <w:r>
        <w:rPr>
          <w:spacing w:val="-13"/>
          <w:w w:val="105"/>
          <w:sz w:val="16"/>
        </w:rPr>
        <w:t> </w:t>
      </w:r>
      <w:r>
        <w:rPr>
          <w:w w:val="105"/>
          <w:sz w:val="16"/>
        </w:rPr>
        <w:t>and those residing for at least 10 years.</w:t>
      </w:r>
    </w:p>
    <w:p>
      <w:pPr>
        <w:pStyle w:val="ListParagraph"/>
        <w:numPr>
          <w:ilvl w:val="0"/>
          <w:numId w:val="6"/>
        </w:numPr>
        <w:tabs>
          <w:tab w:pos="567" w:val="left" w:leader="none"/>
        </w:tabs>
        <w:spacing w:line="194" w:lineRule="auto" w:before="2" w:after="0"/>
        <w:ind w:left="567" w:right="183" w:hanging="454"/>
        <w:jc w:val="left"/>
        <w:rPr>
          <w:sz w:val="16"/>
        </w:rPr>
      </w:pPr>
      <w:r>
        <w:rPr>
          <w:spacing w:val="-2"/>
          <w:w w:val="105"/>
          <w:sz w:val="16"/>
        </w:rPr>
        <w:t>Article</w:t>
      </w:r>
      <w:r>
        <w:rPr>
          <w:spacing w:val="-7"/>
          <w:w w:val="105"/>
          <w:sz w:val="16"/>
        </w:rPr>
        <w:t> </w:t>
      </w:r>
      <w:r>
        <w:rPr>
          <w:spacing w:val="-2"/>
          <w:w w:val="105"/>
          <w:sz w:val="16"/>
        </w:rPr>
        <w:t>50</w:t>
      </w:r>
      <w:r>
        <w:rPr>
          <w:spacing w:val="-7"/>
          <w:w w:val="105"/>
          <w:sz w:val="16"/>
        </w:rPr>
        <w:t> </w:t>
      </w:r>
      <w:r>
        <w:rPr>
          <w:spacing w:val="-2"/>
          <w:w w:val="105"/>
          <w:sz w:val="16"/>
        </w:rPr>
        <w:t>CFR</w:t>
      </w:r>
      <w:r>
        <w:rPr>
          <w:spacing w:val="-7"/>
          <w:w w:val="105"/>
          <w:sz w:val="16"/>
        </w:rPr>
        <w:t> </w:t>
      </w:r>
      <w:r>
        <w:rPr>
          <w:spacing w:val="-2"/>
          <w:w w:val="105"/>
          <w:sz w:val="16"/>
        </w:rPr>
        <w:t>reads:</w:t>
      </w:r>
      <w:r>
        <w:rPr>
          <w:spacing w:val="-7"/>
          <w:w w:val="105"/>
          <w:sz w:val="16"/>
        </w:rPr>
        <w:t> </w:t>
      </w:r>
      <w:r>
        <w:rPr>
          <w:spacing w:val="-2"/>
          <w:w w:val="105"/>
          <w:sz w:val="16"/>
        </w:rPr>
        <w:t>No</w:t>
      </w:r>
      <w:r>
        <w:rPr>
          <w:spacing w:val="-7"/>
          <w:w w:val="105"/>
          <w:sz w:val="16"/>
        </w:rPr>
        <w:t> </w:t>
      </w:r>
      <w:r>
        <w:rPr>
          <w:spacing w:val="-2"/>
          <w:w w:val="105"/>
          <w:sz w:val="16"/>
        </w:rPr>
        <w:t>one</w:t>
      </w:r>
      <w:r>
        <w:rPr>
          <w:spacing w:val="-7"/>
          <w:w w:val="105"/>
          <w:sz w:val="16"/>
        </w:rPr>
        <w:t> </w:t>
      </w:r>
      <w:r>
        <w:rPr>
          <w:spacing w:val="-2"/>
          <w:w w:val="105"/>
          <w:sz w:val="16"/>
        </w:rPr>
        <w:t>shall</w:t>
      </w:r>
      <w:r>
        <w:rPr>
          <w:spacing w:val="-7"/>
          <w:w w:val="105"/>
          <w:sz w:val="16"/>
        </w:rPr>
        <w:t> </w:t>
      </w:r>
      <w:r>
        <w:rPr>
          <w:spacing w:val="-2"/>
          <w:w w:val="105"/>
          <w:sz w:val="16"/>
        </w:rPr>
        <w:t>be</w:t>
      </w:r>
      <w:r>
        <w:rPr>
          <w:spacing w:val="-7"/>
          <w:w w:val="105"/>
          <w:sz w:val="16"/>
        </w:rPr>
        <w:t> </w:t>
      </w:r>
      <w:r>
        <w:rPr>
          <w:spacing w:val="-2"/>
          <w:w w:val="105"/>
          <w:sz w:val="16"/>
        </w:rPr>
        <w:t>liable</w:t>
      </w:r>
      <w:r>
        <w:rPr>
          <w:spacing w:val="-7"/>
          <w:w w:val="105"/>
          <w:sz w:val="16"/>
        </w:rPr>
        <w:t> </w:t>
      </w:r>
      <w:r>
        <w:rPr>
          <w:spacing w:val="-2"/>
          <w:w w:val="105"/>
          <w:sz w:val="16"/>
        </w:rPr>
        <w:t>to</w:t>
      </w:r>
      <w:r>
        <w:rPr>
          <w:spacing w:val="-7"/>
          <w:w w:val="105"/>
          <w:sz w:val="16"/>
        </w:rPr>
        <w:t> </w:t>
      </w:r>
      <w:r>
        <w:rPr>
          <w:spacing w:val="-2"/>
          <w:w w:val="105"/>
          <w:sz w:val="16"/>
        </w:rPr>
        <w:t>be</w:t>
      </w:r>
      <w:r>
        <w:rPr>
          <w:spacing w:val="-7"/>
          <w:w w:val="105"/>
          <w:sz w:val="16"/>
        </w:rPr>
        <w:t> </w:t>
      </w:r>
      <w:r>
        <w:rPr>
          <w:spacing w:val="-2"/>
          <w:w w:val="105"/>
          <w:sz w:val="16"/>
        </w:rPr>
        <w:t>tried</w:t>
      </w:r>
      <w:r>
        <w:rPr>
          <w:spacing w:val="-7"/>
          <w:w w:val="105"/>
          <w:sz w:val="16"/>
        </w:rPr>
        <w:t> </w:t>
      </w:r>
      <w:r>
        <w:rPr>
          <w:spacing w:val="-2"/>
          <w:w w:val="105"/>
          <w:sz w:val="16"/>
        </w:rPr>
        <w:t>or</w:t>
      </w:r>
      <w:r>
        <w:rPr>
          <w:spacing w:val="-7"/>
          <w:w w:val="105"/>
          <w:sz w:val="16"/>
        </w:rPr>
        <w:t> </w:t>
      </w:r>
      <w:r>
        <w:rPr>
          <w:spacing w:val="-2"/>
          <w:w w:val="105"/>
          <w:sz w:val="16"/>
        </w:rPr>
        <w:t>punished</w:t>
      </w:r>
      <w:r>
        <w:rPr>
          <w:spacing w:val="-7"/>
          <w:w w:val="105"/>
          <w:sz w:val="16"/>
        </w:rPr>
        <w:t> </w:t>
      </w:r>
      <w:r>
        <w:rPr>
          <w:spacing w:val="-2"/>
          <w:w w:val="105"/>
          <w:sz w:val="16"/>
        </w:rPr>
        <w:t>again</w:t>
      </w:r>
      <w:r>
        <w:rPr>
          <w:spacing w:val="-7"/>
          <w:w w:val="105"/>
          <w:sz w:val="16"/>
        </w:rPr>
        <w:t> </w:t>
      </w:r>
      <w:r>
        <w:rPr>
          <w:spacing w:val="-2"/>
          <w:w w:val="105"/>
          <w:sz w:val="16"/>
        </w:rPr>
        <w:t>in</w:t>
      </w:r>
      <w:r>
        <w:rPr>
          <w:spacing w:val="-7"/>
          <w:w w:val="105"/>
          <w:sz w:val="16"/>
        </w:rPr>
        <w:t> </w:t>
      </w:r>
      <w:r>
        <w:rPr>
          <w:spacing w:val="-2"/>
          <w:w w:val="105"/>
          <w:sz w:val="16"/>
        </w:rPr>
        <w:t>criminal</w:t>
      </w:r>
      <w:r>
        <w:rPr>
          <w:spacing w:val="-7"/>
          <w:w w:val="105"/>
          <w:sz w:val="16"/>
        </w:rPr>
        <w:t> </w:t>
      </w:r>
      <w:r>
        <w:rPr>
          <w:spacing w:val="-2"/>
          <w:w w:val="105"/>
          <w:sz w:val="16"/>
        </w:rPr>
        <w:t>proceedings</w:t>
      </w:r>
      <w:r>
        <w:rPr>
          <w:spacing w:val="-7"/>
          <w:w w:val="105"/>
          <w:sz w:val="16"/>
        </w:rPr>
        <w:t> </w:t>
      </w:r>
      <w:r>
        <w:rPr>
          <w:spacing w:val="-2"/>
          <w:w w:val="105"/>
          <w:sz w:val="16"/>
        </w:rPr>
        <w:t>for</w:t>
      </w:r>
      <w:r>
        <w:rPr>
          <w:spacing w:val="-7"/>
          <w:w w:val="105"/>
          <w:sz w:val="16"/>
        </w:rPr>
        <w:t> </w:t>
      </w:r>
      <w:r>
        <w:rPr>
          <w:spacing w:val="-2"/>
          <w:w w:val="105"/>
          <w:sz w:val="16"/>
        </w:rPr>
        <w:t>an</w:t>
      </w:r>
      <w:r>
        <w:rPr>
          <w:spacing w:val="-7"/>
          <w:w w:val="105"/>
          <w:sz w:val="16"/>
        </w:rPr>
        <w:t> </w:t>
      </w:r>
      <w:r>
        <w:rPr>
          <w:spacing w:val="-2"/>
          <w:w w:val="105"/>
          <w:sz w:val="16"/>
        </w:rPr>
        <w:t>offence</w:t>
      </w:r>
      <w:r>
        <w:rPr>
          <w:spacing w:val="-7"/>
          <w:w w:val="105"/>
          <w:sz w:val="16"/>
        </w:rPr>
        <w:t> </w:t>
      </w:r>
      <w:r>
        <w:rPr>
          <w:spacing w:val="-2"/>
          <w:w w:val="105"/>
          <w:sz w:val="16"/>
        </w:rPr>
        <w:t>for </w:t>
      </w:r>
      <w:r>
        <w:rPr>
          <w:w w:val="105"/>
          <w:sz w:val="16"/>
        </w:rPr>
        <w:t>which</w:t>
      </w:r>
      <w:r>
        <w:rPr>
          <w:spacing w:val="-6"/>
          <w:w w:val="105"/>
          <w:sz w:val="16"/>
        </w:rPr>
        <w:t> </w:t>
      </w:r>
      <w:r>
        <w:rPr>
          <w:w w:val="105"/>
          <w:sz w:val="16"/>
        </w:rPr>
        <w:t>he</w:t>
      </w:r>
      <w:r>
        <w:rPr>
          <w:spacing w:val="-6"/>
          <w:w w:val="105"/>
          <w:sz w:val="16"/>
        </w:rPr>
        <w:t> </w:t>
      </w:r>
      <w:r>
        <w:rPr>
          <w:w w:val="105"/>
          <w:sz w:val="16"/>
        </w:rPr>
        <w:t>or</w:t>
      </w:r>
      <w:r>
        <w:rPr>
          <w:spacing w:val="-6"/>
          <w:w w:val="105"/>
          <w:sz w:val="16"/>
        </w:rPr>
        <w:t> </w:t>
      </w:r>
      <w:r>
        <w:rPr>
          <w:w w:val="105"/>
          <w:sz w:val="16"/>
        </w:rPr>
        <w:t>she</w:t>
      </w:r>
      <w:r>
        <w:rPr>
          <w:spacing w:val="-6"/>
          <w:w w:val="105"/>
          <w:sz w:val="16"/>
        </w:rPr>
        <w:t> </w:t>
      </w:r>
      <w:r>
        <w:rPr>
          <w:w w:val="105"/>
          <w:sz w:val="16"/>
        </w:rPr>
        <w:t>has</w:t>
      </w:r>
      <w:r>
        <w:rPr>
          <w:spacing w:val="-6"/>
          <w:w w:val="105"/>
          <w:sz w:val="16"/>
        </w:rPr>
        <w:t> </w:t>
      </w:r>
      <w:r>
        <w:rPr>
          <w:w w:val="105"/>
          <w:sz w:val="16"/>
        </w:rPr>
        <w:t>already</w:t>
      </w:r>
      <w:r>
        <w:rPr>
          <w:spacing w:val="-6"/>
          <w:w w:val="105"/>
          <w:sz w:val="16"/>
        </w:rPr>
        <w:t> </w:t>
      </w:r>
      <w:r>
        <w:rPr>
          <w:w w:val="105"/>
          <w:sz w:val="16"/>
        </w:rPr>
        <w:t>been</w:t>
      </w:r>
      <w:r>
        <w:rPr>
          <w:spacing w:val="-6"/>
          <w:w w:val="105"/>
          <w:sz w:val="16"/>
        </w:rPr>
        <w:t> </w:t>
      </w:r>
      <w:r>
        <w:rPr>
          <w:w w:val="105"/>
          <w:sz w:val="16"/>
        </w:rPr>
        <w:t>finally</w:t>
      </w:r>
      <w:r>
        <w:rPr>
          <w:spacing w:val="-6"/>
          <w:w w:val="105"/>
          <w:sz w:val="16"/>
        </w:rPr>
        <w:t> </w:t>
      </w:r>
      <w:r>
        <w:rPr>
          <w:w w:val="105"/>
          <w:sz w:val="16"/>
        </w:rPr>
        <w:t>acquitted</w:t>
      </w:r>
      <w:r>
        <w:rPr>
          <w:spacing w:val="-6"/>
          <w:w w:val="105"/>
          <w:sz w:val="16"/>
        </w:rPr>
        <w:t> </w:t>
      </w:r>
      <w:r>
        <w:rPr>
          <w:w w:val="105"/>
          <w:sz w:val="16"/>
        </w:rPr>
        <w:t>or</w:t>
      </w:r>
      <w:r>
        <w:rPr>
          <w:spacing w:val="-6"/>
          <w:w w:val="105"/>
          <w:sz w:val="16"/>
        </w:rPr>
        <w:t> </w:t>
      </w:r>
      <w:r>
        <w:rPr>
          <w:w w:val="105"/>
          <w:sz w:val="16"/>
        </w:rPr>
        <w:t>convicted</w:t>
      </w:r>
      <w:r>
        <w:rPr>
          <w:spacing w:val="-6"/>
          <w:w w:val="105"/>
          <w:sz w:val="16"/>
        </w:rPr>
        <w:t> </w:t>
      </w:r>
      <w:r>
        <w:rPr>
          <w:w w:val="105"/>
          <w:sz w:val="16"/>
        </w:rPr>
        <w:t>within</w:t>
      </w:r>
      <w:r>
        <w:rPr>
          <w:spacing w:val="-6"/>
          <w:w w:val="105"/>
          <w:sz w:val="16"/>
        </w:rPr>
        <w:t> </w:t>
      </w:r>
      <w:r>
        <w:rPr>
          <w:w w:val="105"/>
          <w:sz w:val="16"/>
        </w:rPr>
        <w:t>the</w:t>
      </w:r>
      <w:r>
        <w:rPr>
          <w:spacing w:val="-6"/>
          <w:w w:val="105"/>
          <w:sz w:val="16"/>
        </w:rPr>
        <w:t> </w:t>
      </w:r>
      <w:r>
        <w:rPr>
          <w:w w:val="105"/>
          <w:sz w:val="16"/>
        </w:rPr>
        <w:t>Union</w:t>
      </w:r>
      <w:r>
        <w:rPr>
          <w:spacing w:val="-6"/>
          <w:w w:val="105"/>
          <w:sz w:val="16"/>
        </w:rPr>
        <w:t> </w:t>
      </w:r>
      <w:r>
        <w:rPr>
          <w:w w:val="105"/>
          <w:sz w:val="16"/>
        </w:rPr>
        <w:t>in</w:t>
      </w:r>
      <w:r>
        <w:rPr>
          <w:spacing w:val="-6"/>
          <w:w w:val="105"/>
          <w:sz w:val="16"/>
        </w:rPr>
        <w:t> </w:t>
      </w:r>
      <w:r>
        <w:rPr>
          <w:w w:val="105"/>
          <w:sz w:val="16"/>
        </w:rPr>
        <w:t>accordance</w:t>
      </w:r>
      <w:r>
        <w:rPr>
          <w:spacing w:val="-6"/>
          <w:w w:val="105"/>
          <w:sz w:val="16"/>
        </w:rPr>
        <w:t> </w:t>
      </w:r>
      <w:r>
        <w:rPr>
          <w:w w:val="105"/>
          <w:sz w:val="16"/>
        </w:rPr>
        <w:t>with</w:t>
      </w:r>
      <w:r>
        <w:rPr>
          <w:spacing w:val="-6"/>
          <w:w w:val="105"/>
          <w:sz w:val="16"/>
        </w:rPr>
        <w:t> </w:t>
      </w:r>
      <w:r>
        <w:rPr>
          <w:w w:val="105"/>
          <w:sz w:val="16"/>
        </w:rPr>
        <w:t>the</w:t>
      </w:r>
      <w:r>
        <w:rPr>
          <w:spacing w:val="-6"/>
          <w:w w:val="105"/>
          <w:sz w:val="16"/>
        </w:rPr>
        <w:t> </w:t>
      </w:r>
      <w:r>
        <w:rPr>
          <w:w w:val="105"/>
          <w:sz w:val="16"/>
        </w:rPr>
        <w:t>law.</w:t>
      </w:r>
    </w:p>
    <w:p>
      <w:pPr>
        <w:pStyle w:val="ListParagraph"/>
        <w:numPr>
          <w:ilvl w:val="0"/>
          <w:numId w:val="6"/>
        </w:numPr>
        <w:tabs>
          <w:tab w:pos="567" w:val="left" w:leader="none"/>
        </w:tabs>
        <w:spacing w:line="191" w:lineRule="exact" w:before="0" w:after="0"/>
        <w:ind w:left="567" w:right="0" w:hanging="454"/>
        <w:jc w:val="left"/>
        <w:rPr>
          <w:sz w:val="16"/>
        </w:rPr>
      </w:pPr>
      <w:r>
        <w:rPr>
          <w:sz w:val="16"/>
        </w:rPr>
        <w:t>Articles</w:t>
      </w:r>
      <w:r>
        <w:rPr>
          <w:spacing w:val="-2"/>
          <w:sz w:val="16"/>
        </w:rPr>
        <w:t> </w:t>
      </w:r>
      <w:r>
        <w:rPr>
          <w:sz w:val="16"/>
        </w:rPr>
        <w:t>2,</w:t>
      </w:r>
      <w:r>
        <w:rPr>
          <w:spacing w:val="-2"/>
          <w:sz w:val="16"/>
        </w:rPr>
        <w:t> </w:t>
      </w:r>
      <w:r>
        <w:rPr>
          <w:sz w:val="16"/>
        </w:rPr>
        <w:t>250</w:t>
      </w:r>
      <w:r>
        <w:rPr>
          <w:spacing w:val="-2"/>
          <w:sz w:val="16"/>
        </w:rPr>
        <w:t> </w:t>
      </w:r>
      <w:r>
        <w:rPr>
          <w:sz w:val="16"/>
        </w:rPr>
        <w:t>(1)</w:t>
      </w:r>
      <w:r>
        <w:rPr>
          <w:spacing w:val="-1"/>
          <w:sz w:val="16"/>
        </w:rPr>
        <w:t> </w:t>
      </w:r>
      <w:r>
        <w:rPr>
          <w:sz w:val="16"/>
        </w:rPr>
        <w:t>and</w:t>
      </w:r>
      <w:r>
        <w:rPr>
          <w:spacing w:val="-2"/>
          <w:sz w:val="16"/>
        </w:rPr>
        <w:t> </w:t>
      </w:r>
      <w:r>
        <w:rPr>
          <w:sz w:val="16"/>
        </w:rPr>
        <w:t>273</w:t>
      </w:r>
      <w:r>
        <w:rPr>
          <w:spacing w:val="-2"/>
          <w:sz w:val="16"/>
        </w:rPr>
        <w:t> </w:t>
      </w:r>
      <w:r>
        <w:rPr>
          <w:sz w:val="16"/>
        </w:rPr>
        <w:t>of</w:t>
      </w:r>
      <w:r>
        <w:rPr>
          <w:spacing w:val="-1"/>
          <w:sz w:val="16"/>
        </w:rPr>
        <w:t> </w:t>
      </w:r>
      <w:r>
        <w:rPr>
          <w:sz w:val="16"/>
        </w:rPr>
        <w:t>Directive</w:t>
      </w:r>
      <w:r>
        <w:rPr>
          <w:spacing w:val="-2"/>
          <w:sz w:val="16"/>
        </w:rPr>
        <w:t> 2006/112/EC.</w:t>
      </w:r>
    </w:p>
    <w:p>
      <w:pPr>
        <w:pStyle w:val="ListParagraph"/>
        <w:numPr>
          <w:ilvl w:val="0"/>
          <w:numId w:val="6"/>
        </w:numPr>
        <w:tabs>
          <w:tab w:pos="567" w:val="left" w:leader="none"/>
        </w:tabs>
        <w:spacing w:line="223" w:lineRule="exact" w:before="0" w:after="0"/>
        <w:ind w:left="567" w:right="0" w:hanging="454"/>
        <w:jc w:val="left"/>
        <w:rPr>
          <w:sz w:val="16"/>
        </w:rPr>
      </w:pPr>
      <w:r>
        <w:rPr>
          <w:rFonts w:ascii="Verdana" w:hAnsi="Verdana"/>
          <w:i/>
          <w:spacing w:val="-2"/>
          <w:sz w:val="16"/>
        </w:rPr>
        <w:t>Åklagaren</w:t>
      </w:r>
      <w:r>
        <w:rPr>
          <w:rFonts w:ascii="Verdana" w:hAnsi="Verdana"/>
          <w:i/>
          <w:spacing w:val="-7"/>
          <w:sz w:val="16"/>
        </w:rPr>
        <w:t> </w:t>
      </w:r>
      <w:r>
        <w:rPr>
          <w:rFonts w:ascii="Verdana" w:hAnsi="Verdana"/>
          <w:i/>
          <w:spacing w:val="-2"/>
          <w:sz w:val="16"/>
        </w:rPr>
        <w:t>v</w:t>
      </w:r>
      <w:r>
        <w:rPr>
          <w:rFonts w:ascii="Verdana" w:hAnsi="Verdana"/>
          <w:i/>
          <w:spacing w:val="-6"/>
          <w:sz w:val="16"/>
        </w:rPr>
        <w:t> </w:t>
      </w:r>
      <w:r>
        <w:rPr>
          <w:rFonts w:ascii="Verdana" w:hAnsi="Verdana"/>
          <w:i/>
          <w:spacing w:val="-2"/>
          <w:sz w:val="16"/>
        </w:rPr>
        <w:t>Hans</w:t>
      </w:r>
      <w:r>
        <w:rPr>
          <w:rFonts w:ascii="Verdana" w:hAnsi="Verdana"/>
          <w:i/>
          <w:spacing w:val="-7"/>
          <w:sz w:val="16"/>
        </w:rPr>
        <w:t> </w:t>
      </w:r>
      <w:r>
        <w:rPr>
          <w:rFonts w:ascii="Verdana" w:hAnsi="Verdana"/>
          <w:i/>
          <w:spacing w:val="-2"/>
          <w:sz w:val="16"/>
        </w:rPr>
        <w:t>Åkerberg</w:t>
      </w:r>
      <w:r>
        <w:rPr>
          <w:rFonts w:ascii="Verdana" w:hAnsi="Verdana"/>
          <w:i/>
          <w:spacing w:val="-6"/>
          <w:sz w:val="16"/>
        </w:rPr>
        <w:t> </w:t>
      </w:r>
      <w:r>
        <w:rPr>
          <w:rFonts w:ascii="Verdana" w:hAnsi="Verdana"/>
          <w:i/>
          <w:spacing w:val="-2"/>
          <w:sz w:val="16"/>
        </w:rPr>
        <w:t>Fransson</w:t>
      </w:r>
      <w:r>
        <w:rPr>
          <w:rFonts w:ascii="Verdana" w:hAnsi="Verdana"/>
          <w:i/>
          <w:spacing w:val="-7"/>
          <w:sz w:val="16"/>
        </w:rPr>
        <w:t> </w:t>
      </w:r>
      <w:r>
        <w:rPr>
          <w:spacing w:val="-2"/>
          <w:sz w:val="16"/>
        </w:rPr>
        <w:t>(n</w:t>
      </w:r>
      <w:r>
        <w:rPr>
          <w:sz w:val="16"/>
        </w:rPr>
        <w:t> </w:t>
      </w:r>
      <w:r>
        <w:rPr>
          <w:spacing w:val="-2"/>
          <w:sz w:val="16"/>
        </w:rPr>
        <w:t>13),</w:t>
      </w:r>
      <w:r>
        <w:rPr>
          <w:spacing w:val="-1"/>
          <w:sz w:val="16"/>
        </w:rPr>
        <w:t> </w:t>
      </w:r>
      <w:r>
        <w:rPr>
          <w:spacing w:val="-2"/>
          <w:sz w:val="16"/>
        </w:rPr>
        <w:t>paras</w:t>
      </w:r>
      <w:r>
        <w:rPr>
          <w:sz w:val="16"/>
        </w:rPr>
        <w:t> </w:t>
      </w:r>
      <w:r>
        <w:rPr>
          <w:spacing w:val="-2"/>
          <w:sz w:val="16"/>
        </w:rPr>
        <w:t>25-</w:t>
      </w:r>
      <w:r>
        <w:rPr>
          <w:spacing w:val="-5"/>
          <w:sz w:val="16"/>
        </w:rPr>
        <w:t>26.</w:t>
      </w:r>
    </w:p>
    <w:p>
      <w:pPr>
        <w:spacing w:after="0" w:line="223" w:lineRule="exact"/>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310" w:lineRule="exact" w:before="49"/>
        <w:ind w:right="40"/>
      </w:pPr>
      <w:r>
        <w:rPr>
          <w:w w:val="110"/>
        </w:rPr>
        <w:t>The</w:t>
      </w:r>
      <w:r>
        <w:rPr>
          <w:spacing w:val="-4"/>
          <w:w w:val="110"/>
        </w:rPr>
        <w:t> </w:t>
      </w:r>
      <w:r>
        <w:rPr>
          <w:rFonts w:ascii="Verdana" w:hAnsi="Verdana"/>
          <w:i/>
          <w:w w:val="110"/>
        </w:rPr>
        <w:t>Åkerberg</w:t>
      </w:r>
      <w:r>
        <w:rPr>
          <w:rFonts w:ascii="Verdana" w:hAnsi="Verdana"/>
          <w:i/>
          <w:spacing w:val="-24"/>
          <w:w w:val="110"/>
        </w:rPr>
        <w:t> </w:t>
      </w:r>
      <w:r>
        <w:rPr>
          <w:rFonts w:ascii="Verdana" w:hAnsi="Verdana"/>
          <w:i/>
          <w:w w:val="110"/>
        </w:rPr>
        <w:t>Fransson</w:t>
      </w:r>
      <w:r>
        <w:rPr>
          <w:rFonts w:ascii="Verdana" w:hAnsi="Verdana"/>
          <w:i/>
          <w:spacing w:val="-23"/>
          <w:w w:val="110"/>
        </w:rPr>
        <w:t> </w:t>
      </w:r>
      <w:r>
        <w:rPr>
          <w:w w:val="110"/>
        </w:rPr>
        <w:t>judgment</w:t>
      </w:r>
      <w:r>
        <w:rPr>
          <w:spacing w:val="-3"/>
          <w:w w:val="110"/>
        </w:rPr>
        <w:t> </w:t>
      </w:r>
      <w:r>
        <w:rPr>
          <w:w w:val="110"/>
        </w:rPr>
        <w:t>is instructive in at least two respects: </w:t>
      </w:r>
      <w:r>
        <w:rPr>
          <w:rFonts w:ascii="Lucida Sans Unicode" w:hAnsi="Lucida Sans Unicode"/>
        </w:rPr>
        <w:t>first, it adopts a functional approach </w:t>
      </w:r>
      <w:r>
        <w:rPr>
          <w:w w:val="110"/>
        </w:rPr>
        <w:t>to the term ‘implementing Union </w:t>
      </w:r>
      <w:r>
        <w:rPr>
          <w:w w:val="110"/>
        </w:rPr>
        <w:t>law’. This means that as far as a national law provision has the function of effecting compliance with an EU</w:t>
      </w:r>
    </w:p>
    <w:p>
      <w:pPr>
        <w:pStyle w:val="BodyText"/>
        <w:spacing w:line="310" w:lineRule="exact"/>
        <w:ind w:right="40"/>
        <w:rPr>
          <w:rFonts w:ascii="Verdana" w:hAnsi="Verdana"/>
          <w:i/>
        </w:rPr>
      </w:pPr>
      <w:r>
        <w:rPr>
          <w:w w:val="115"/>
        </w:rPr>
        <w:t>law obligation, it constitutes an implementation even if historically it was adopted independently of such </w:t>
      </w:r>
      <w:r>
        <w:rPr>
          <w:rFonts w:ascii="Lucida Sans Unicode" w:hAnsi="Lucida Sans Unicode"/>
        </w:rPr>
        <w:t>an obligation. Second, one and the </w:t>
      </w:r>
      <w:r>
        <w:rPr>
          <w:w w:val="115"/>
        </w:rPr>
        <w:t>same national law provision may be considered an implementation of Union</w:t>
      </w:r>
      <w:r>
        <w:rPr>
          <w:spacing w:val="-8"/>
          <w:w w:val="115"/>
        </w:rPr>
        <w:t> </w:t>
      </w:r>
      <w:r>
        <w:rPr>
          <w:w w:val="115"/>
        </w:rPr>
        <w:t>law</w:t>
      </w:r>
      <w:r>
        <w:rPr>
          <w:spacing w:val="-8"/>
          <w:w w:val="115"/>
        </w:rPr>
        <w:t> </w:t>
      </w:r>
      <w:r>
        <w:rPr>
          <w:w w:val="115"/>
        </w:rPr>
        <w:t>under</w:t>
      </w:r>
      <w:r>
        <w:rPr>
          <w:spacing w:val="-8"/>
          <w:w w:val="115"/>
        </w:rPr>
        <w:t> </w:t>
      </w:r>
      <w:r>
        <w:rPr>
          <w:w w:val="115"/>
        </w:rPr>
        <w:t>one</w:t>
      </w:r>
      <w:r>
        <w:rPr>
          <w:spacing w:val="-8"/>
          <w:w w:val="115"/>
        </w:rPr>
        <w:t> </w:t>
      </w:r>
      <w:r>
        <w:rPr>
          <w:w w:val="115"/>
        </w:rPr>
        <w:t>set</w:t>
      </w:r>
      <w:r>
        <w:rPr>
          <w:spacing w:val="-8"/>
          <w:w w:val="115"/>
        </w:rPr>
        <w:t> </w:t>
      </w:r>
      <w:r>
        <w:rPr>
          <w:w w:val="115"/>
        </w:rPr>
        <w:t>of</w:t>
      </w:r>
      <w:r>
        <w:rPr>
          <w:spacing w:val="-8"/>
          <w:w w:val="115"/>
        </w:rPr>
        <w:t> </w:t>
      </w:r>
      <w:r>
        <w:rPr>
          <w:w w:val="115"/>
        </w:rPr>
        <w:t>facts</w:t>
      </w:r>
      <w:r>
        <w:rPr>
          <w:spacing w:val="-8"/>
          <w:w w:val="115"/>
        </w:rPr>
        <w:t> </w:t>
      </w:r>
      <w:r>
        <w:rPr>
          <w:w w:val="115"/>
        </w:rPr>
        <w:t>and not</w:t>
      </w:r>
      <w:r>
        <w:rPr>
          <w:spacing w:val="-20"/>
          <w:w w:val="115"/>
        </w:rPr>
        <w:t> </w:t>
      </w:r>
      <w:r>
        <w:rPr>
          <w:w w:val="115"/>
        </w:rPr>
        <w:t>an</w:t>
      </w:r>
      <w:r>
        <w:rPr>
          <w:spacing w:val="-19"/>
          <w:w w:val="115"/>
        </w:rPr>
        <w:t> </w:t>
      </w:r>
      <w:r>
        <w:rPr>
          <w:w w:val="115"/>
        </w:rPr>
        <w:t>implementation</w:t>
      </w:r>
      <w:r>
        <w:rPr>
          <w:spacing w:val="-19"/>
          <w:w w:val="115"/>
        </w:rPr>
        <w:t> </w:t>
      </w:r>
      <w:r>
        <w:rPr>
          <w:w w:val="115"/>
        </w:rPr>
        <w:t>under</w:t>
      </w:r>
      <w:r>
        <w:rPr>
          <w:spacing w:val="-19"/>
          <w:w w:val="115"/>
        </w:rPr>
        <w:t> </w:t>
      </w:r>
      <w:r>
        <w:rPr>
          <w:w w:val="115"/>
        </w:rPr>
        <w:t>another </w:t>
      </w:r>
      <w:r>
        <w:rPr>
          <w:w w:val="110"/>
        </w:rPr>
        <w:t>set</w:t>
      </w:r>
      <w:r>
        <w:rPr>
          <w:spacing w:val="-5"/>
          <w:w w:val="110"/>
        </w:rPr>
        <w:t> </w:t>
      </w:r>
      <w:r>
        <w:rPr>
          <w:w w:val="110"/>
        </w:rPr>
        <w:t>of</w:t>
      </w:r>
      <w:r>
        <w:rPr>
          <w:spacing w:val="-5"/>
          <w:w w:val="110"/>
        </w:rPr>
        <w:t> </w:t>
      </w:r>
      <w:r>
        <w:rPr>
          <w:w w:val="110"/>
        </w:rPr>
        <w:t>facts.</w:t>
      </w:r>
      <w:r>
        <w:rPr>
          <w:spacing w:val="-5"/>
          <w:w w:val="110"/>
        </w:rPr>
        <w:t> </w:t>
      </w:r>
      <w:r>
        <w:rPr>
          <w:w w:val="110"/>
        </w:rPr>
        <w:t>In</w:t>
      </w:r>
      <w:r>
        <w:rPr>
          <w:spacing w:val="-5"/>
          <w:w w:val="110"/>
        </w:rPr>
        <w:t> </w:t>
      </w:r>
      <w:r>
        <w:rPr>
          <w:rFonts w:ascii="Verdana" w:hAnsi="Verdana"/>
          <w:i/>
          <w:w w:val="110"/>
        </w:rPr>
        <w:t>Åkerberg</w:t>
      </w:r>
      <w:r>
        <w:rPr>
          <w:rFonts w:ascii="Verdana" w:hAnsi="Verdana"/>
          <w:i/>
          <w:spacing w:val="-24"/>
          <w:w w:val="110"/>
        </w:rPr>
        <w:t> </w:t>
      </w:r>
      <w:r>
        <w:rPr>
          <w:rFonts w:ascii="Verdana" w:hAnsi="Verdana"/>
          <w:i/>
          <w:w w:val="110"/>
        </w:rPr>
        <w:t>Fransson</w:t>
      </w:r>
    </w:p>
    <w:p>
      <w:pPr>
        <w:pStyle w:val="BodyText"/>
        <w:spacing w:line="268" w:lineRule="auto" w:before="23"/>
        <w:ind w:right="122"/>
      </w:pPr>
      <w:r>
        <w:rPr>
          <w:w w:val="115"/>
        </w:rPr>
        <w:t>the relevant provisions of the tax code and of domestic criminal law were only implementations of EU </w:t>
      </w:r>
      <w:r>
        <w:rPr>
          <w:spacing w:val="-4"/>
          <w:w w:val="115"/>
        </w:rPr>
        <w:t>law</w:t>
      </w:r>
      <w:r>
        <w:rPr>
          <w:spacing w:val="-16"/>
          <w:w w:val="115"/>
        </w:rPr>
        <w:t> </w:t>
      </w:r>
      <w:r>
        <w:rPr>
          <w:spacing w:val="-4"/>
          <w:w w:val="115"/>
        </w:rPr>
        <w:t>so</w:t>
      </w:r>
      <w:r>
        <w:rPr>
          <w:spacing w:val="-15"/>
          <w:w w:val="115"/>
        </w:rPr>
        <w:t> </w:t>
      </w:r>
      <w:r>
        <w:rPr>
          <w:spacing w:val="-4"/>
          <w:w w:val="115"/>
        </w:rPr>
        <w:t>far</w:t>
      </w:r>
      <w:r>
        <w:rPr>
          <w:spacing w:val="-15"/>
          <w:w w:val="115"/>
        </w:rPr>
        <w:t> </w:t>
      </w:r>
      <w:r>
        <w:rPr>
          <w:spacing w:val="-4"/>
          <w:w w:val="115"/>
        </w:rPr>
        <w:t>as</w:t>
      </w:r>
      <w:r>
        <w:rPr>
          <w:spacing w:val="-15"/>
          <w:w w:val="115"/>
        </w:rPr>
        <w:t> </w:t>
      </w:r>
      <w:r>
        <w:rPr>
          <w:spacing w:val="-4"/>
          <w:w w:val="115"/>
        </w:rPr>
        <w:t>VAT</w:t>
      </w:r>
      <w:r>
        <w:rPr>
          <w:spacing w:val="-15"/>
          <w:w w:val="115"/>
        </w:rPr>
        <w:t> </w:t>
      </w:r>
      <w:r>
        <w:rPr>
          <w:spacing w:val="-4"/>
          <w:w w:val="115"/>
        </w:rPr>
        <w:t>was</w:t>
      </w:r>
      <w:r>
        <w:rPr>
          <w:spacing w:val="-16"/>
          <w:w w:val="115"/>
        </w:rPr>
        <w:t> </w:t>
      </w:r>
      <w:r>
        <w:rPr>
          <w:spacing w:val="-4"/>
          <w:w w:val="115"/>
        </w:rPr>
        <w:t>concerned.</w:t>
      </w:r>
      <w:r>
        <w:rPr>
          <w:spacing w:val="-15"/>
          <w:w w:val="115"/>
        </w:rPr>
        <w:t> </w:t>
      </w:r>
      <w:r>
        <w:rPr>
          <w:spacing w:val="-4"/>
          <w:w w:val="115"/>
        </w:rPr>
        <w:t>As </w:t>
      </w:r>
      <w:r>
        <w:rPr>
          <w:w w:val="115"/>
        </w:rPr>
        <w:t>far</w:t>
      </w:r>
      <w:r>
        <w:rPr>
          <w:spacing w:val="-17"/>
          <w:w w:val="115"/>
        </w:rPr>
        <w:t> </w:t>
      </w:r>
      <w:r>
        <w:rPr>
          <w:w w:val="115"/>
        </w:rPr>
        <w:t>as</w:t>
      </w:r>
      <w:r>
        <w:rPr>
          <w:spacing w:val="-17"/>
          <w:w w:val="115"/>
        </w:rPr>
        <w:t> </w:t>
      </w:r>
      <w:r>
        <w:rPr>
          <w:w w:val="115"/>
        </w:rPr>
        <w:t>income</w:t>
      </w:r>
      <w:r>
        <w:rPr>
          <w:spacing w:val="-17"/>
          <w:w w:val="115"/>
        </w:rPr>
        <w:t> </w:t>
      </w:r>
      <w:r>
        <w:rPr>
          <w:w w:val="115"/>
        </w:rPr>
        <w:t>tax</w:t>
      </w:r>
      <w:r>
        <w:rPr>
          <w:spacing w:val="-17"/>
          <w:w w:val="115"/>
        </w:rPr>
        <w:t> </w:t>
      </w:r>
      <w:r>
        <w:rPr>
          <w:w w:val="115"/>
        </w:rPr>
        <w:t>and</w:t>
      </w:r>
      <w:r>
        <w:rPr>
          <w:spacing w:val="-17"/>
          <w:w w:val="115"/>
        </w:rPr>
        <w:t> </w:t>
      </w:r>
      <w:r>
        <w:rPr>
          <w:w w:val="115"/>
        </w:rPr>
        <w:t>social</w:t>
      </w:r>
      <w:r>
        <w:rPr>
          <w:spacing w:val="-17"/>
          <w:w w:val="115"/>
        </w:rPr>
        <w:t> </w:t>
      </w:r>
      <w:r>
        <w:rPr>
          <w:w w:val="115"/>
        </w:rPr>
        <w:t>security </w:t>
      </w:r>
      <w:r>
        <w:rPr>
          <w:spacing w:val="-2"/>
          <w:w w:val="115"/>
        </w:rPr>
        <w:t>contributions</w:t>
      </w:r>
      <w:r>
        <w:rPr>
          <w:spacing w:val="-13"/>
          <w:w w:val="115"/>
        </w:rPr>
        <w:t> </w:t>
      </w:r>
      <w:r>
        <w:rPr>
          <w:spacing w:val="-2"/>
          <w:w w:val="115"/>
        </w:rPr>
        <w:t>were</w:t>
      </w:r>
      <w:r>
        <w:rPr>
          <w:spacing w:val="-13"/>
          <w:w w:val="115"/>
        </w:rPr>
        <w:t> </w:t>
      </w:r>
      <w:r>
        <w:rPr>
          <w:spacing w:val="-2"/>
          <w:w w:val="115"/>
        </w:rPr>
        <w:t>concerned,</w:t>
      </w:r>
      <w:r>
        <w:rPr>
          <w:spacing w:val="-13"/>
          <w:w w:val="115"/>
        </w:rPr>
        <w:t> </w:t>
      </w:r>
      <w:r>
        <w:rPr>
          <w:spacing w:val="-2"/>
          <w:w w:val="115"/>
        </w:rPr>
        <w:t>it</w:t>
      </w:r>
      <w:r>
        <w:rPr>
          <w:spacing w:val="-13"/>
          <w:w w:val="115"/>
        </w:rPr>
        <w:t> </w:t>
      </w:r>
      <w:r>
        <w:rPr>
          <w:spacing w:val="-2"/>
          <w:w w:val="115"/>
        </w:rPr>
        <w:t>was </w:t>
      </w:r>
      <w:r>
        <w:rPr>
          <w:w w:val="115"/>
        </w:rPr>
        <w:t>not. This resulted in the case being split up into a purely domestic part (concerning income tax and social security contributions), to which the Charter</w:t>
      </w:r>
      <w:r>
        <w:rPr>
          <w:spacing w:val="-20"/>
          <w:w w:val="115"/>
        </w:rPr>
        <w:t> </w:t>
      </w:r>
      <w:r>
        <w:rPr>
          <w:w w:val="115"/>
        </w:rPr>
        <w:t>did</w:t>
      </w:r>
      <w:r>
        <w:rPr>
          <w:spacing w:val="-19"/>
          <w:w w:val="115"/>
        </w:rPr>
        <w:t> </w:t>
      </w:r>
      <w:r>
        <w:rPr>
          <w:w w:val="115"/>
        </w:rPr>
        <w:t>not</w:t>
      </w:r>
      <w:r>
        <w:rPr>
          <w:spacing w:val="-19"/>
          <w:w w:val="115"/>
        </w:rPr>
        <w:t> </w:t>
      </w:r>
      <w:r>
        <w:rPr>
          <w:w w:val="115"/>
        </w:rPr>
        <w:t>apply,</w:t>
      </w:r>
      <w:r>
        <w:rPr>
          <w:spacing w:val="-19"/>
          <w:w w:val="115"/>
        </w:rPr>
        <w:t> </w:t>
      </w:r>
      <w:r>
        <w:rPr>
          <w:w w:val="115"/>
        </w:rPr>
        <w:t>and</w:t>
      </w:r>
      <w:r>
        <w:rPr>
          <w:spacing w:val="-19"/>
          <w:w w:val="115"/>
        </w:rPr>
        <w:t> </w:t>
      </w:r>
      <w:r>
        <w:rPr>
          <w:w w:val="115"/>
        </w:rPr>
        <w:t>an</w:t>
      </w:r>
      <w:r>
        <w:rPr>
          <w:spacing w:val="-20"/>
          <w:w w:val="115"/>
        </w:rPr>
        <w:t> </w:t>
      </w:r>
      <w:r>
        <w:rPr>
          <w:w w:val="115"/>
        </w:rPr>
        <w:t>EU</w:t>
      </w:r>
      <w:r>
        <w:rPr>
          <w:spacing w:val="-19"/>
          <w:w w:val="115"/>
        </w:rPr>
        <w:t> </w:t>
      </w:r>
      <w:r>
        <w:rPr>
          <w:w w:val="115"/>
        </w:rPr>
        <w:t>law part (concerning VAT), to which the Charter applied.</w:t>
      </w:r>
    </w:p>
    <w:p>
      <w:pPr>
        <w:pStyle w:val="BodyText"/>
        <w:spacing w:before="36"/>
        <w:ind w:left="0"/>
      </w:pPr>
    </w:p>
    <w:p>
      <w:pPr>
        <w:pStyle w:val="BodyText"/>
        <w:spacing w:line="259" w:lineRule="auto"/>
        <w:ind w:right="250"/>
        <w:rPr>
          <w:rFonts w:ascii="Lucida Sans Unicode"/>
        </w:rPr>
      </w:pPr>
      <w:r>
        <w:rPr>
          <w:w w:val="110"/>
        </w:rPr>
        <w:t>The precise decision whether a national law provision constitutes</w:t>
      </w:r>
      <w:r>
        <w:rPr>
          <w:spacing w:val="80"/>
          <w:w w:val="150"/>
        </w:rPr>
        <w:t> </w:t>
      </w:r>
      <w:r>
        <w:rPr>
          <w:w w:val="110"/>
        </w:rPr>
        <w:t>an implementation of Union law or </w:t>
      </w:r>
      <w:r>
        <w:rPr>
          <w:rFonts w:ascii="Lucida Sans Unicode"/>
        </w:rPr>
        <w:t>not</w:t>
      </w:r>
      <w:r>
        <w:rPr>
          <w:rFonts w:ascii="Lucida Sans Unicode"/>
          <w:spacing w:val="-1"/>
        </w:rPr>
        <w:t> </w:t>
      </w:r>
      <w:r>
        <w:rPr>
          <w:rFonts w:ascii="Lucida Sans Unicode"/>
        </w:rPr>
        <w:t>is</w:t>
      </w:r>
      <w:r>
        <w:rPr>
          <w:rFonts w:ascii="Lucida Sans Unicode"/>
          <w:spacing w:val="-1"/>
        </w:rPr>
        <w:t> </w:t>
      </w:r>
      <w:r>
        <w:rPr>
          <w:rFonts w:ascii="Lucida Sans Unicode"/>
        </w:rPr>
        <w:t>at times</w:t>
      </w:r>
      <w:r>
        <w:rPr>
          <w:rFonts w:ascii="Lucida Sans Unicode"/>
          <w:spacing w:val="-1"/>
        </w:rPr>
        <w:t> </w:t>
      </w:r>
      <w:r>
        <w:rPr>
          <w:rFonts w:ascii="Lucida Sans Unicode"/>
        </w:rPr>
        <w:t>difficult to</w:t>
      </w:r>
      <w:r>
        <w:rPr>
          <w:rFonts w:ascii="Lucida Sans Unicode"/>
          <w:spacing w:val="-1"/>
        </w:rPr>
        <w:t> </w:t>
      </w:r>
      <w:r>
        <w:rPr>
          <w:rFonts w:ascii="Lucida Sans Unicode"/>
        </w:rPr>
        <w:t>make.</w:t>
      </w:r>
      <w:r>
        <w:rPr>
          <w:rFonts w:ascii="Lucida Sans Unicode"/>
          <w:spacing w:val="-1"/>
        </w:rPr>
        <w:t> </w:t>
      </w:r>
      <w:r>
        <w:rPr>
          <w:rFonts w:ascii="Lucida Sans Unicode"/>
          <w:spacing w:val="-5"/>
        </w:rPr>
        <w:t>The</w:t>
      </w:r>
    </w:p>
    <w:p>
      <w:pPr>
        <w:pStyle w:val="BodyText"/>
        <w:spacing w:line="224" w:lineRule="exact"/>
      </w:pPr>
      <w:r>
        <w:rPr>
          <w:w w:val="110"/>
        </w:rPr>
        <w:t>CJEU</w:t>
      </w:r>
      <w:r>
        <w:rPr>
          <w:spacing w:val="2"/>
          <w:w w:val="110"/>
        </w:rPr>
        <w:t> </w:t>
      </w:r>
      <w:r>
        <w:rPr>
          <w:w w:val="110"/>
        </w:rPr>
        <w:t>reiterates</w:t>
      </w:r>
      <w:r>
        <w:rPr>
          <w:spacing w:val="2"/>
          <w:w w:val="110"/>
        </w:rPr>
        <w:t> </w:t>
      </w:r>
      <w:r>
        <w:rPr>
          <w:w w:val="110"/>
        </w:rPr>
        <w:t>that</w:t>
      </w:r>
      <w:r>
        <w:rPr>
          <w:spacing w:val="2"/>
          <w:w w:val="110"/>
        </w:rPr>
        <w:t> </w:t>
      </w:r>
      <w:r>
        <w:rPr>
          <w:spacing w:val="-2"/>
          <w:w w:val="110"/>
        </w:rPr>
        <w:t>implementation</w:t>
      </w:r>
    </w:p>
    <w:p>
      <w:pPr>
        <w:pStyle w:val="BodyText"/>
        <w:spacing w:line="310" w:lineRule="exact" w:before="11"/>
        <w:ind w:right="40"/>
        <w:rPr>
          <w:rFonts w:ascii="Lucida Sans Unicode" w:hAnsi="Lucida Sans Unicode"/>
        </w:rPr>
      </w:pPr>
      <w:r>
        <w:rPr>
          <w:w w:val="115"/>
        </w:rPr>
        <w:t>‘requires a certain degree of connection above and beyond the </w:t>
      </w:r>
      <w:r>
        <w:rPr>
          <w:spacing w:val="-2"/>
          <w:w w:val="115"/>
        </w:rPr>
        <w:t>matters</w:t>
      </w:r>
      <w:r>
        <w:rPr>
          <w:spacing w:val="-17"/>
          <w:w w:val="115"/>
        </w:rPr>
        <w:t> </w:t>
      </w:r>
      <w:r>
        <w:rPr>
          <w:spacing w:val="-2"/>
          <w:w w:val="115"/>
        </w:rPr>
        <w:t>covered</w:t>
      </w:r>
      <w:r>
        <w:rPr>
          <w:spacing w:val="-17"/>
          <w:w w:val="115"/>
        </w:rPr>
        <w:t> </w:t>
      </w:r>
      <w:r>
        <w:rPr>
          <w:spacing w:val="-2"/>
          <w:w w:val="115"/>
        </w:rPr>
        <w:t>being</w:t>
      </w:r>
      <w:r>
        <w:rPr>
          <w:spacing w:val="-17"/>
          <w:w w:val="115"/>
        </w:rPr>
        <w:t> </w:t>
      </w:r>
      <w:r>
        <w:rPr>
          <w:spacing w:val="-2"/>
          <w:w w:val="115"/>
        </w:rPr>
        <w:t>closely</w:t>
      </w:r>
      <w:r>
        <w:rPr>
          <w:spacing w:val="-17"/>
          <w:w w:val="115"/>
        </w:rPr>
        <w:t> </w:t>
      </w:r>
      <w:r>
        <w:rPr>
          <w:spacing w:val="-2"/>
          <w:w w:val="115"/>
        </w:rPr>
        <w:t>related </w:t>
      </w:r>
      <w:r>
        <w:rPr>
          <w:w w:val="115"/>
        </w:rPr>
        <w:t>or one of those matters having an indirect impact on the other’.</w:t>
      </w:r>
      <w:r>
        <w:rPr>
          <w:rFonts w:ascii="Lucida Sans Unicode" w:hAnsi="Lucida Sans Unicode"/>
          <w:w w:val="115"/>
          <w:vertAlign w:val="superscript"/>
        </w:rPr>
        <w:t>40</w:t>
      </w:r>
    </w:p>
    <w:p>
      <w:pPr>
        <w:pStyle w:val="BodyText"/>
        <w:spacing w:line="268" w:lineRule="auto" w:before="72"/>
        <w:ind w:right="161"/>
      </w:pPr>
      <w:r>
        <w:rPr/>
        <w:br w:type="column"/>
      </w:r>
      <w:r>
        <w:rPr>
          <w:w w:val="115"/>
        </w:rPr>
        <w:t>The</w:t>
      </w:r>
      <w:r>
        <w:rPr>
          <w:spacing w:val="-20"/>
          <w:w w:val="115"/>
        </w:rPr>
        <w:t> </w:t>
      </w:r>
      <w:r>
        <w:rPr>
          <w:w w:val="115"/>
        </w:rPr>
        <w:t>Court</w:t>
      </w:r>
      <w:r>
        <w:rPr>
          <w:spacing w:val="-19"/>
          <w:w w:val="115"/>
        </w:rPr>
        <w:t> </w:t>
      </w:r>
      <w:r>
        <w:rPr>
          <w:w w:val="115"/>
        </w:rPr>
        <w:t>of</w:t>
      </w:r>
      <w:r>
        <w:rPr>
          <w:spacing w:val="-19"/>
          <w:w w:val="115"/>
        </w:rPr>
        <w:t> </w:t>
      </w:r>
      <w:r>
        <w:rPr>
          <w:w w:val="115"/>
        </w:rPr>
        <w:t>Justice</w:t>
      </w:r>
      <w:r>
        <w:rPr>
          <w:spacing w:val="-19"/>
          <w:w w:val="115"/>
        </w:rPr>
        <w:t> </w:t>
      </w:r>
      <w:r>
        <w:rPr>
          <w:w w:val="115"/>
        </w:rPr>
        <w:t>spelled</w:t>
      </w:r>
      <w:r>
        <w:rPr>
          <w:spacing w:val="-19"/>
          <w:w w:val="115"/>
        </w:rPr>
        <w:t> </w:t>
      </w:r>
      <w:r>
        <w:rPr>
          <w:w w:val="115"/>
        </w:rPr>
        <w:t>out</w:t>
      </w:r>
      <w:r>
        <w:rPr>
          <w:spacing w:val="-20"/>
          <w:w w:val="115"/>
        </w:rPr>
        <w:t> </w:t>
      </w:r>
      <w:r>
        <w:rPr>
          <w:w w:val="115"/>
        </w:rPr>
        <w:t>a</w:t>
      </w:r>
      <w:r>
        <w:rPr>
          <w:spacing w:val="-19"/>
          <w:w w:val="115"/>
        </w:rPr>
        <w:t> </w:t>
      </w:r>
      <w:r>
        <w:rPr>
          <w:w w:val="115"/>
        </w:rPr>
        <w:t>set of criteria, which may inform such a </w:t>
      </w:r>
      <w:r>
        <w:rPr>
          <w:spacing w:val="-2"/>
          <w:w w:val="115"/>
        </w:rPr>
        <w:t>decision:</w:t>
      </w:r>
    </w:p>
    <w:p>
      <w:pPr>
        <w:pStyle w:val="BodyText"/>
        <w:spacing w:before="27"/>
        <w:ind w:left="0"/>
      </w:pPr>
    </w:p>
    <w:p>
      <w:pPr>
        <w:pStyle w:val="BodyText"/>
        <w:spacing w:line="268" w:lineRule="auto"/>
        <w:ind w:left="680" w:right="414"/>
      </w:pPr>
      <w:r>
        <w:rPr>
          <w:color w:val="77328A"/>
          <w:w w:val="115"/>
        </w:rPr>
        <w:t>In order to determine whether </w:t>
      </w:r>
      <w:r>
        <w:rPr>
          <w:color w:val="77328A"/>
          <w:spacing w:val="-2"/>
          <w:w w:val="115"/>
        </w:rPr>
        <w:t>national</w:t>
      </w:r>
      <w:r>
        <w:rPr>
          <w:color w:val="77328A"/>
          <w:spacing w:val="-18"/>
          <w:w w:val="115"/>
        </w:rPr>
        <w:t> </w:t>
      </w:r>
      <w:r>
        <w:rPr>
          <w:color w:val="77328A"/>
          <w:spacing w:val="-2"/>
          <w:w w:val="115"/>
        </w:rPr>
        <w:t>legislation</w:t>
      </w:r>
      <w:r>
        <w:rPr>
          <w:color w:val="77328A"/>
          <w:spacing w:val="-17"/>
          <w:w w:val="115"/>
        </w:rPr>
        <w:t> </w:t>
      </w:r>
      <w:r>
        <w:rPr>
          <w:color w:val="77328A"/>
          <w:spacing w:val="-2"/>
          <w:w w:val="115"/>
        </w:rPr>
        <w:t>involves</w:t>
      </w:r>
      <w:r>
        <w:rPr>
          <w:color w:val="77328A"/>
          <w:spacing w:val="-17"/>
          <w:w w:val="115"/>
        </w:rPr>
        <w:t> </w:t>
      </w:r>
      <w:r>
        <w:rPr>
          <w:color w:val="77328A"/>
          <w:spacing w:val="-2"/>
          <w:w w:val="115"/>
        </w:rPr>
        <w:t>the </w:t>
      </w:r>
      <w:r>
        <w:rPr>
          <w:color w:val="77328A"/>
          <w:w w:val="115"/>
        </w:rPr>
        <w:t>implementation of EU law for the purposes of Article 51 of the</w:t>
      </w:r>
      <w:r>
        <w:rPr>
          <w:color w:val="77328A"/>
          <w:spacing w:val="-20"/>
          <w:w w:val="115"/>
        </w:rPr>
        <w:t> </w:t>
      </w:r>
      <w:r>
        <w:rPr>
          <w:color w:val="77328A"/>
          <w:w w:val="115"/>
        </w:rPr>
        <w:t>Charter,</w:t>
      </w:r>
      <w:r>
        <w:rPr>
          <w:color w:val="77328A"/>
          <w:spacing w:val="-19"/>
          <w:w w:val="115"/>
        </w:rPr>
        <w:t> </w:t>
      </w:r>
      <w:r>
        <w:rPr>
          <w:color w:val="77328A"/>
          <w:w w:val="115"/>
        </w:rPr>
        <w:t>some</w:t>
      </w:r>
      <w:r>
        <w:rPr>
          <w:color w:val="77328A"/>
          <w:spacing w:val="-19"/>
          <w:w w:val="115"/>
        </w:rPr>
        <w:t> </w:t>
      </w:r>
      <w:r>
        <w:rPr>
          <w:color w:val="77328A"/>
          <w:w w:val="115"/>
        </w:rPr>
        <w:t>of</w:t>
      </w:r>
      <w:r>
        <w:rPr>
          <w:color w:val="77328A"/>
          <w:spacing w:val="-19"/>
          <w:w w:val="115"/>
        </w:rPr>
        <w:t> </w:t>
      </w:r>
      <w:r>
        <w:rPr>
          <w:color w:val="77328A"/>
          <w:w w:val="115"/>
        </w:rPr>
        <w:t>the</w:t>
      </w:r>
      <w:r>
        <w:rPr>
          <w:color w:val="77328A"/>
          <w:spacing w:val="-19"/>
          <w:w w:val="115"/>
        </w:rPr>
        <w:t> </w:t>
      </w:r>
      <w:r>
        <w:rPr>
          <w:color w:val="77328A"/>
          <w:w w:val="115"/>
        </w:rPr>
        <w:t>points to be determined are whether that legislation is intended to</w:t>
      </w:r>
    </w:p>
    <w:p>
      <w:pPr>
        <w:pStyle w:val="BodyText"/>
        <w:spacing w:line="268" w:lineRule="auto" w:before="6"/>
        <w:ind w:left="680" w:right="161"/>
      </w:pPr>
      <w:r>
        <w:rPr>
          <w:color w:val="77328A"/>
          <w:spacing w:val="-2"/>
          <w:w w:val="115"/>
        </w:rPr>
        <w:t>implement</w:t>
      </w:r>
      <w:r>
        <w:rPr>
          <w:color w:val="77328A"/>
          <w:spacing w:val="-18"/>
          <w:w w:val="115"/>
        </w:rPr>
        <w:t> </w:t>
      </w:r>
      <w:r>
        <w:rPr>
          <w:color w:val="77328A"/>
          <w:spacing w:val="-2"/>
          <w:w w:val="115"/>
        </w:rPr>
        <w:t>a</w:t>
      </w:r>
      <w:r>
        <w:rPr>
          <w:color w:val="77328A"/>
          <w:spacing w:val="-17"/>
          <w:w w:val="115"/>
        </w:rPr>
        <w:t> </w:t>
      </w:r>
      <w:r>
        <w:rPr>
          <w:color w:val="77328A"/>
          <w:spacing w:val="-2"/>
          <w:w w:val="115"/>
        </w:rPr>
        <w:t>provision</w:t>
      </w:r>
      <w:r>
        <w:rPr>
          <w:color w:val="77328A"/>
          <w:spacing w:val="-17"/>
          <w:w w:val="115"/>
        </w:rPr>
        <w:t> </w:t>
      </w:r>
      <w:r>
        <w:rPr>
          <w:color w:val="77328A"/>
          <w:spacing w:val="-2"/>
          <w:w w:val="115"/>
        </w:rPr>
        <w:t>of</w:t>
      </w:r>
      <w:r>
        <w:rPr>
          <w:color w:val="77328A"/>
          <w:spacing w:val="-17"/>
          <w:w w:val="115"/>
        </w:rPr>
        <w:t> </w:t>
      </w:r>
      <w:r>
        <w:rPr>
          <w:color w:val="77328A"/>
          <w:spacing w:val="-2"/>
          <w:w w:val="115"/>
        </w:rPr>
        <w:t>EU</w:t>
      </w:r>
      <w:r>
        <w:rPr>
          <w:color w:val="77328A"/>
          <w:spacing w:val="-17"/>
          <w:w w:val="115"/>
        </w:rPr>
        <w:t> </w:t>
      </w:r>
      <w:r>
        <w:rPr>
          <w:color w:val="77328A"/>
          <w:spacing w:val="-2"/>
          <w:w w:val="115"/>
        </w:rPr>
        <w:t>law; </w:t>
      </w:r>
      <w:r>
        <w:rPr>
          <w:color w:val="77328A"/>
          <w:w w:val="115"/>
        </w:rPr>
        <w:t>the</w:t>
      </w:r>
      <w:r>
        <w:rPr>
          <w:color w:val="77328A"/>
          <w:spacing w:val="-11"/>
          <w:w w:val="115"/>
        </w:rPr>
        <w:t> </w:t>
      </w:r>
      <w:r>
        <w:rPr>
          <w:color w:val="77328A"/>
          <w:w w:val="115"/>
        </w:rPr>
        <w:t>nature</w:t>
      </w:r>
      <w:r>
        <w:rPr>
          <w:color w:val="77328A"/>
          <w:spacing w:val="-11"/>
          <w:w w:val="115"/>
        </w:rPr>
        <w:t> </w:t>
      </w:r>
      <w:r>
        <w:rPr>
          <w:color w:val="77328A"/>
          <w:w w:val="115"/>
        </w:rPr>
        <w:t>of</w:t>
      </w:r>
      <w:r>
        <w:rPr>
          <w:color w:val="77328A"/>
          <w:spacing w:val="-11"/>
          <w:w w:val="115"/>
        </w:rPr>
        <w:t> </w:t>
      </w:r>
      <w:r>
        <w:rPr>
          <w:color w:val="77328A"/>
          <w:w w:val="115"/>
        </w:rPr>
        <w:t>that</w:t>
      </w:r>
      <w:r>
        <w:rPr>
          <w:color w:val="77328A"/>
          <w:spacing w:val="-11"/>
          <w:w w:val="115"/>
        </w:rPr>
        <w:t> </w:t>
      </w:r>
      <w:r>
        <w:rPr>
          <w:color w:val="77328A"/>
          <w:w w:val="115"/>
        </w:rPr>
        <w:t>legislation</w:t>
      </w:r>
      <w:r>
        <w:rPr>
          <w:color w:val="77328A"/>
          <w:spacing w:val="-11"/>
          <w:w w:val="115"/>
        </w:rPr>
        <w:t> </w:t>
      </w:r>
      <w:r>
        <w:rPr>
          <w:color w:val="77328A"/>
          <w:w w:val="115"/>
        </w:rPr>
        <w:t>and whether it pursues objectives other than those covered by</w:t>
      </w:r>
    </w:p>
    <w:p>
      <w:pPr>
        <w:pStyle w:val="BodyText"/>
        <w:spacing w:line="252" w:lineRule="auto" w:before="4"/>
        <w:ind w:left="680" w:right="161"/>
        <w:rPr>
          <w:rFonts w:ascii="Lucida Sans Unicode"/>
        </w:rPr>
      </w:pPr>
      <w:r>
        <w:rPr>
          <w:color w:val="77328A"/>
          <w:w w:val="110"/>
        </w:rPr>
        <w:t>EU law, even if it is capable of indirectly affecting EU law; </w:t>
      </w:r>
      <w:r>
        <w:rPr>
          <w:color w:val="77328A"/>
          <w:w w:val="110"/>
        </w:rPr>
        <w:t>and </w:t>
      </w:r>
      <w:r>
        <w:rPr>
          <w:rFonts w:ascii="Lucida Sans Unicode"/>
          <w:color w:val="77328A"/>
        </w:rPr>
        <w:t>also whether there are specific</w:t>
      </w:r>
    </w:p>
    <w:p>
      <w:pPr>
        <w:pStyle w:val="BodyText"/>
        <w:spacing w:line="237" w:lineRule="exact"/>
        <w:ind w:left="680"/>
      </w:pPr>
      <w:r>
        <w:rPr>
          <w:color w:val="77328A"/>
          <w:w w:val="115"/>
        </w:rPr>
        <w:t>rules</w:t>
      </w:r>
      <w:r>
        <w:rPr>
          <w:color w:val="77328A"/>
          <w:spacing w:val="-15"/>
          <w:w w:val="115"/>
        </w:rPr>
        <w:t> </w:t>
      </w:r>
      <w:r>
        <w:rPr>
          <w:color w:val="77328A"/>
          <w:w w:val="115"/>
        </w:rPr>
        <w:t>of</w:t>
      </w:r>
      <w:r>
        <w:rPr>
          <w:color w:val="77328A"/>
          <w:spacing w:val="-15"/>
          <w:w w:val="115"/>
        </w:rPr>
        <w:t> </w:t>
      </w:r>
      <w:r>
        <w:rPr>
          <w:color w:val="77328A"/>
          <w:w w:val="115"/>
        </w:rPr>
        <w:t>EU</w:t>
      </w:r>
      <w:r>
        <w:rPr>
          <w:color w:val="77328A"/>
          <w:spacing w:val="-15"/>
          <w:w w:val="115"/>
        </w:rPr>
        <w:t> </w:t>
      </w:r>
      <w:r>
        <w:rPr>
          <w:color w:val="77328A"/>
          <w:w w:val="115"/>
        </w:rPr>
        <w:t>law</w:t>
      </w:r>
      <w:r>
        <w:rPr>
          <w:color w:val="77328A"/>
          <w:spacing w:val="-14"/>
          <w:w w:val="115"/>
        </w:rPr>
        <w:t> </w:t>
      </w:r>
      <w:r>
        <w:rPr>
          <w:color w:val="77328A"/>
          <w:w w:val="115"/>
        </w:rPr>
        <w:t>on</w:t>
      </w:r>
      <w:r>
        <w:rPr>
          <w:color w:val="77328A"/>
          <w:spacing w:val="-15"/>
          <w:w w:val="115"/>
        </w:rPr>
        <w:t> </w:t>
      </w:r>
      <w:r>
        <w:rPr>
          <w:color w:val="77328A"/>
          <w:w w:val="115"/>
        </w:rPr>
        <w:t>the</w:t>
      </w:r>
      <w:r>
        <w:rPr>
          <w:color w:val="77328A"/>
          <w:spacing w:val="-15"/>
          <w:w w:val="115"/>
        </w:rPr>
        <w:t> </w:t>
      </w:r>
      <w:r>
        <w:rPr>
          <w:color w:val="77328A"/>
          <w:w w:val="115"/>
        </w:rPr>
        <w:t>matter</w:t>
      </w:r>
      <w:r>
        <w:rPr>
          <w:color w:val="77328A"/>
          <w:spacing w:val="-15"/>
          <w:w w:val="115"/>
        </w:rPr>
        <w:t> </w:t>
      </w:r>
      <w:r>
        <w:rPr>
          <w:color w:val="77328A"/>
          <w:spacing w:val="-5"/>
          <w:w w:val="115"/>
        </w:rPr>
        <w:t>or</w:t>
      </w:r>
    </w:p>
    <w:p>
      <w:pPr>
        <w:pStyle w:val="BodyText"/>
        <w:spacing w:line="367" w:lineRule="exact"/>
        <w:ind w:left="680"/>
        <w:rPr>
          <w:rFonts w:ascii="Lucida Sans Unicode" w:hAnsi="Lucida Sans Unicode"/>
        </w:rPr>
      </w:pPr>
      <w:r>
        <w:rPr>
          <w:rFonts w:ascii="Lucida Sans Unicode" w:hAnsi="Lucida Sans Unicode"/>
          <w:color w:val="77328A"/>
        </w:rPr>
        <w:t>capable</w:t>
      </w:r>
      <w:r>
        <w:rPr>
          <w:rFonts w:ascii="Lucida Sans Unicode" w:hAnsi="Lucida Sans Unicode"/>
          <w:color w:val="77328A"/>
          <w:spacing w:val="16"/>
        </w:rPr>
        <w:t> </w:t>
      </w:r>
      <w:r>
        <w:rPr>
          <w:rFonts w:ascii="Lucida Sans Unicode" w:hAnsi="Lucida Sans Unicode"/>
          <w:color w:val="77328A"/>
        </w:rPr>
        <w:t>of</w:t>
      </w:r>
      <w:r>
        <w:rPr>
          <w:rFonts w:ascii="Lucida Sans Unicode" w:hAnsi="Lucida Sans Unicode"/>
          <w:color w:val="77328A"/>
          <w:spacing w:val="16"/>
        </w:rPr>
        <w:t> </w:t>
      </w:r>
      <w:r>
        <w:rPr>
          <w:rFonts w:ascii="Lucida Sans Unicode" w:hAnsi="Lucida Sans Unicode"/>
          <w:color w:val="77328A"/>
        </w:rPr>
        <w:t>affecting</w:t>
      </w:r>
      <w:r>
        <w:rPr>
          <w:rFonts w:ascii="Lucida Sans Unicode" w:hAnsi="Lucida Sans Unicode"/>
          <w:color w:val="77328A"/>
          <w:spacing w:val="16"/>
        </w:rPr>
        <w:t> </w:t>
      </w:r>
      <w:r>
        <w:rPr>
          <w:rFonts w:ascii="Lucida Sans Unicode" w:hAnsi="Lucida Sans Unicode"/>
          <w:color w:val="77328A"/>
        </w:rPr>
        <w:t>it</w:t>
      </w:r>
      <w:r>
        <w:rPr>
          <w:rFonts w:ascii="Lucida Sans Unicode" w:hAnsi="Lucida Sans Unicode"/>
          <w:color w:val="77328A"/>
          <w:spacing w:val="16"/>
        </w:rPr>
        <w:t> </w:t>
      </w:r>
      <w:r>
        <w:rPr>
          <w:rFonts w:ascii="Lucida Sans Unicode" w:hAnsi="Lucida Sans Unicode"/>
          <w:color w:val="77328A"/>
          <w:spacing w:val="-2"/>
        </w:rPr>
        <w:t>[…].</w:t>
      </w:r>
      <w:r>
        <w:rPr>
          <w:rFonts w:ascii="Lucida Sans Unicode" w:hAnsi="Lucida Sans Unicode"/>
          <w:color w:val="77328A"/>
          <w:spacing w:val="-2"/>
          <w:vertAlign w:val="superscript"/>
        </w:rPr>
        <w:t>41</w:t>
      </w:r>
    </w:p>
    <w:p>
      <w:pPr>
        <w:pStyle w:val="BodyText"/>
        <w:spacing w:line="310" w:lineRule="exact" w:before="256"/>
        <w:ind w:right="118"/>
      </w:pPr>
      <w:r>
        <w:rPr>
          <w:w w:val="110"/>
        </w:rPr>
        <w:t>The CJEU’s broad interpretation of the threshold criterion contained in </w:t>
      </w:r>
      <w:r>
        <w:rPr>
          <w:w w:val="110"/>
        </w:rPr>
        <w:t>Article 51</w:t>
      </w:r>
      <w:r>
        <w:rPr>
          <w:spacing w:val="-5"/>
          <w:w w:val="110"/>
        </w:rPr>
        <w:t> </w:t>
      </w:r>
      <w:r>
        <w:rPr>
          <w:w w:val="110"/>
        </w:rPr>
        <w:t>(1)</w:t>
      </w:r>
      <w:r>
        <w:rPr>
          <w:spacing w:val="-5"/>
          <w:w w:val="110"/>
        </w:rPr>
        <w:t> </w:t>
      </w:r>
      <w:r>
        <w:rPr>
          <w:w w:val="110"/>
        </w:rPr>
        <w:t>CFR</w:t>
      </w:r>
      <w:r>
        <w:rPr>
          <w:spacing w:val="-5"/>
          <w:w w:val="110"/>
        </w:rPr>
        <w:t> </w:t>
      </w:r>
      <w:r>
        <w:rPr>
          <w:w w:val="110"/>
        </w:rPr>
        <w:t>means</w:t>
      </w:r>
      <w:r>
        <w:rPr>
          <w:spacing w:val="-5"/>
          <w:w w:val="110"/>
        </w:rPr>
        <w:t> </w:t>
      </w:r>
      <w:r>
        <w:rPr>
          <w:w w:val="110"/>
        </w:rPr>
        <w:t>that</w:t>
      </w:r>
      <w:r>
        <w:rPr>
          <w:spacing w:val="-5"/>
          <w:w w:val="110"/>
        </w:rPr>
        <w:t> </w:t>
      </w:r>
      <w:r>
        <w:rPr>
          <w:w w:val="110"/>
        </w:rPr>
        <w:t>there</w:t>
      </w:r>
      <w:r>
        <w:rPr>
          <w:spacing w:val="-5"/>
          <w:w w:val="110"/>
        </w:rPr>
        <w:t> </w:t>
      </w:r>
      <w:r>
        <w:rPr>
          <w:w w:val="110"/>
        </w:rPr>
        <w:t>is</w:t>
      </w:r>
      <w:r>
        <w:rPr>
          <w:spacing w:val="-5"/>
          <w:w w:val="110"/>
        </w:rPr>
        <w:t> </w:t>
      </w:r>
      <w:r>
        <w:rPr>
          <w:w w:val="110"/>
        </w:rPr>
        <w:t>no</w:t>
      </w:r>
      <w:r>
        <w:rPr>
          <w:spacing w:val="-5"/>
          <w:w w:val="110"/>
        </w:rPr>
        <w:t> </w:t>
      </w:r>
      <w:r>
        <w:rPr>
          <w:w w:val="110"/>
        </w:rPr>
        <w:t>area of EU law to which the Charter does not apply. And more importantly, perhaps, there is no area of domestic law that is as such immune from Charter review.</w:t>
      </w:r>
      <w:r>
        <w:rPr>
          <w:rFonts w:ascii="Lucida Sans Unicode" w:hAnsi="Lucida Sans Unicode"/>
          <w:w w:val="110"/>
          <w:vertAlign w:val="superscript"/>
        </w:rPr>
        <w:t>42</w:t>
      </w:r>
      <w:r>
        <w:rPr>
          <w:rFonts w:ascii="Lucida Sans Unicode" w:hAnsi="Lucida Sans Unicode"/>
          <w:w w:val="110"/>
          <w:vertAlign w:val="baseline"/>
        </w:rPr>
        <w:t> </w:t>
      </w:r>
      <w:r>
        <w:rPr>
          <w:w w:val="110"/>
          <w:vertAlign w:val="baseline"/>
        </w:rPr>
        <w:t>As the judgment in </w:t>
      </w:r>
      <w:r>
        <w:rPr>
          <w:rFonts w:ascii="Verdana" w:hAnsi="Verdana"/>
          <w:i/>
          <w:w w:val="110"/>
          <w:vertAlign w:val="baseline"/>
        </w:rPr>
        <w:t>Åkerberg</w:t>
      </w:r>
      <w:r>
        <w:rPr>
          <w:rFonts w:ascii="Verdana" w:hAnsi="Verdana"/>
          <w:i/>
          <w:spacing w:val="-24"/>
          <w:w w:val="110"/>
          <w:vertAlign w:val="baseline"/>
        </w:rPr>
        <w:t> </w:t>
      </w:r>
      <w:r>
        <w:rPr>
          <w:rFonts w:ascii="Verdana" w:hAnsi="Verdana"/>
          <w:i/>
          <w:w w:val="110"/>
          <w:vertAlign w:val="baseline"/>
        </w:rPr>
        <w:t>Fransson</w:t>
      </w:r>
      <w:r>
        <w:rPr>
          <w:rFonts w:ascii="Verdana" w:hAnsi="Verdana"/>
          <w:i/>
          <w:spacing w:val="-23"/>
          <w:w w:val="110"/>
          <w:vertAlign w:val="baseline"/>
        </w:rPr>
        <w:t> </w:t>
      </w:r>
      <w:r>
        <w:rPr>
          <w:w w:val="110"/>
          <w:vertAlign w:val="baseline"/>
        </w:rPr>
        <w:t>demonstrates, </w:t>
      </w:r>
      <w:r>
        <w:rPr>
          <w:rFonts w:ascii="Lucida Sans Unicode" w:hAnsi="Lucida Sans Unicode"/>
          <w:vertAlign w:val="baseline"/>
        </w:rPr>
        <w:t>even in fields like substantive criminal </w:t>
      </w:r>
      <w:r>
        <w:rPr>
          <w:w w:val="110"/>
          <w:vertAlign w:val="baseline"/>
        </w:rPr>
        <w:t>law, for which the EU does not have</w:t>
      </w:r>
    </w:p>
    <w:p>
      <w:pPr>
        <w:pStyle w:val="BodyText"/>
        <w:spacing w:line="310" w:lineRule="exact"/>
        <w:ind w:right="740"/>
      </w:pPr>
      <w:r>
        <w:rPr>
          <w:w w:val="110"/>
        </w:rPr>
        <w:t>a general competence, Member </w:t>
      </w:r>
      <w:r>
        <w:rPr>
          <w:rFonts w:ascii="Lucida Sans Unicode" w:hAnsi="Lucida Sans Unicode"/>
        </w:rPr>
        <w:t>State legislation can constitute </w:t>
      </w:r>
      <w:r>
        <w:rPr>
          <w:rFonts w:ascii="Lucida Sans Unicode" w:hAnsi="Lucida Sans Unicode"/>
        </w:rPr>
        <w:t>an </w:t>
      </w:r>
      <w:r>
        <w:rPr>
          <w:w w:val="110"/>
        </w:rPr>
        <w:t>‘implementation of Union law’ if the legislation has the function of</w:t>
      </w:r>
    </w:p>
    <w:p>
      <w:pPr>
        <w:pStyle w:val="BodyText"/>
        <w:spacing w:line="268" w:lineRule="auto" w:before="23"/>
        <w:ind w:right="242"/>
      </w:pPr>
      <w:r>
        <w:rPr>
          <w:w w:val="110"/>
        </w:rPr>
        <w:t>ensuring compliance with a broader obligation under EU law to ensure </w:t>
      </w:r>
      <w:r>
        <w:rPr>
          <w:w w:val="110"/>
        </w:rPr>
        <w:t>the correct collection of VAT.</w:t>
      </w:r>
    </w:p>
    <w:p>
      <w:pPr>
        <w:spacing w:after="0" w:line="268" w:lineRule="auto"/>
        <w:sectPr>
          <w:type w:val="continuous"/>
          <w:pgSz w:w="11910" w:h="16840"/>
          <w:pgMar w:header="568" w:footer="580" w:top="0" w:bottom="280" w:left="1020" w:right="1020"/>
          <w:cols w:num="2" w:equalWidth="0">
            <w:col w:w="4631" w:space="415"/>
            <w:col w:w="4824"/>
          </w:cols>
        </w:sectPr>
      </w:pPr>
    </w:p>
    <w:p>
      <w:pPr>
        <w:pStyle w:val="BodyText"/>
        <w:ind w:left="0"/>
        <w:rPr>
          <w:sz w:val="20"/>
        </w:rPr>
      </w:pPr>
    </w:p>
    <w:p>
      <w:pPr>
        <w:pStyle w:val="BodyText"/>
        <w:spacing w:before="169"/>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71" name="Group 71"/>
                <wp:cNvGraphicFramePr>
                  <a:graphicFrameLocks/>
                </wp:cNvGraphicFramePr>
                <a:graphic>
                  <a:graphicData uri="http://schemas.microsoft.com/office/word/2010/wordprocessingGroup">
                    <wpg:wgp>
                      <wpg:cNvPr id="71" name="Group 71"/>
                      <wpg:cNvGrpSpPr/>
                      <wpg:grpSpPr>
                        <a:xfrm>
                          <a:off x="0" y="0"/>
                          <a:ext cx="6120130" cy="6350"/>
                          <a:chExt cx="6120130" cy="6350"/>
                        </a:xfrm>
                      </wpg:grpSpPr>
                      <wps:wsp>
                        <wps:cNvPr id="72" name="Graphic 72"/>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54"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7" w:val="left" w:leader="none"/>
        </w:tabs>
        <w:spacing w:line="223" w:lineRule="exact" w:before="61" w:after="0"/>
        <w:ind w:left="567" w:right="0" w:hanging="454"/>
        <w:jc w:val="left"/>
        <w:rPr>
          <w:sz w:val="16"/>
        </w:rPr>
      </w:pPr>
      <w:r>
        <w:rPr>
          <w:spacing w:val="-2"/>
          <w:sz w:val="16"/>
        </w:rPr>
        <w:t>Case</w:t>
      </w:r>
      <w:r>
        <w:rPr>
          <w:spacing w:val="-1"/>
          <w:sz w:val="16"/>
        </w:rPr>
        <w:t> </w:t>
      </w:r>
      <w:r>
        <w:rPr>
          <w:spacing w:val="-2"/>
          <w:sz w:val="16"/>
        </w:rPr>
        <w:t>C-206/13</w:t>
      </w:r>
      <w:r>
        <w:rPr>
          <w:sz w:val="16"/>
        </w:rPr>
        <w:t> </w:t>
      </w:r>
      <w:r>
        <w:rPr>
          <w:rFonts w:ascii="Verdana"/>
          <w:i/>
          <w:spacing w:val="-2"/>
          <w:sz w:val="16"/>
        </w:rPr>
        <w:t>Cruciano</w:t>
      </w:r>
      <w:r>
        <w:rPr>
          <w:rFonts w:ascii="Verdana"/>
          <w:i/>
          <w:spacing w:val="-6"/>
          <w:sz w:val="16"/>
        </w:rPr>
        <w:t> </w:t>
      </w:r>
      <w:r>
        <w:rPr>
          <w:rFonts w:ascii="Verdana"/>
          <w:i/>
          <w:spacing w:val="-2"/>
          <w:sz w:val="16"/>
        </w:rPr>
        <w:t>Siragusa</w:t>
      </w:r>
      <w:r>
        <w:rPr>
          <w:rFonts w:ascii="Verdana"/>
          <w:i/>
          <w:spacing w:val="-6"/>
          <w:sz w:val="16"/>
        </w:rPr>
        <w:t> </w:t>
      </w:r>
      <w:r>
        <w:rPr>
          <w:rFonts w:ascii="Verdana"/>
          <w:i/>
          <w:spacing w:val="-2"/>
          <w:sz w:val="16"/>
        </w:rPr>
        <w:t>v</w:t>
      </w:r>
      <w:r>
        <w:rPr>
          <w:rFonts w:ascii="Verdana"/>
          <w:i/>
          <w:spacing w:val="-7"/>
          <w:sz w:val="16"/>
        </w:rPr>
        <w:t> </w:t>
      </w:r>
      <w:r>
        <w:rPr>
          <w:rFonts w:ascii="Verdana"/>
          <w:i/>
          <w:spacing w:val="-2"/>
          <w:sz w:val="16"/>
        </w:rPr>
        <w:t>Regione</w:t>
      </w:r>
      <w:r>
        <w:rPr>
          <w:rFonts w:ascii="Verdana"/>
          <w:i/>
          <w:spacing w:val="-6"/>
          <w:sz w:val="16"/>
        </w:rPr>
        <w:t> </w:t>
      </w:r>
      <w:r>
        <w:rPr>
          <w:rFonts w:ascii="Verdana"/>
          <w:i/>
          <w:spacing w:val="-2"/>
          <w:sz w:val="16"/>
        </w:rPr>
        <w:t>Sicilia</w:t>
      </w:r>
      <w:r>
        <w:rPr>
          <w:rFonts w:ascii="Verdana"/>
          <w:i/>
          <w:spacing w:val="-6"/>
          <w:sz w:val="16"/>
        </w:rPr>
        <w:t> </w:t>
      </w:r>
      <w:r>
        <w:rPr>
          <w:rFonts w:ascii="Verdana"/>
          <w:i/>
          <w:spacing w:val="-2"/>
          <w:sz w:val="16"/>
        </w:rPr>
        <w:t>-</w:t>
      </w:r>
      <w:r>
        <w:rPr>
          <w:rFonts w:ascii="Verdana"/>
          <w:i/>
          <w:spacing w:val="-6"/>
          <w:sz w:val="16"/>
        </w:rPr>
        <w:t> </w:t>
      </w:r>
      <w:r>
        <w:rPr>
          <w:rFonts w:ascii="Verdana"/>
          <w:i/>
          <w:spacing w:val="-2"/>
          <w:sz w:val="16"/>
        </w:rPr>
        <w:t>Soprintendenza</w:t>
      </w:r>
      <w:r>
        <w:rPr>
          <w:rFonts w:ascii="Verdana"/>
          <w:i/>
          <w:spacing w:val="-7"/>
          <w:sz w:val="16"/>
        </w:rPr>
        <w:t> </w:t>
      </w:r>
      <w:r>
        <w:rPr>
          <w:rFonts w:ascii="Verdana"/>
          <w:i/>
          <w:spacing w:val="-2"/>
          <w:sz w:val="16"/>
        </w:rPr>
        <w:t>Beni</w:t>
      </w:r>
      <w:r>
        <w:rPr>
          <w:rFonts w:ascii="Verdana"/>
          <w:i/>
          <w:spacing w:val="-6"/>
          <w:sz w:val="16"/>
        </w:rPr>
        <w:t> </w:t>
      </w:r>
      <w:r>
        <w:rPr>
          <w:rFonts w:ascii="Verdana"/>
          <w:i/>
          <w:spacing w:val="-2"/>
          <w:sz w:val="16"/>
        </w:rPr>
        <w:t>Culturali</w:t>
      </w:r>
      <w:r>
        <w:rPr>
          <w:rFonts w:ascii="Verdana"/>
          <w:i/>
          <w:spacing w:val="-6"/>
          <w:sz w:val="16"/>
        </w:rPr>
        <w:t> </w:t>
      </w:r>
      <w:r>
        <w:rPr>
          <w:rFonts w:ascii="Verdana"/>
          <w:i/>
          <w:spacing w:val="-2"/>
          <w:sz w:val="16"/>
        </w:rPr>
        <w:t>e</w:t>
      </w:r>
      <w:r>
        <w:rPr>
          <w:rFonts w:ascii="Verdana"/>
          <w:i/>
          <w:spacing w:val="-6"/>
          <w:sz w:val="16"/>
        </w:rPr>
        <w:t> </w:t>
      </w:r>
      <w:r>
        <w:rPr>
          <w:rFonts w:ascii="Verdana"/>
          <w:i/>
          <w:spacing w:val="-2"/>
          <w:sz w:val="16"/>
        </w:rPr>
        <w:t>Ambientali</w:t>
      </w:r>
      <w:r>
        <w:rPr>
          <w:rFonts w:ascii="Verdana"/>
          <w:i/>
          <w:spacing w:val="-7"/>
          <w:sz w:val="16"/>
        </w:rPr>
        <w:t> </w:t>
      </w:r>
      <w:r>
        <w:rPr>
          <w:rFonts w:ascii="Verdana"/>
          <w:i/>
          <w:spacing w:val="-2"/>
          <w:sz w:val="16"/>
        </w:rPr>
        <w:t>di</w:t>
      </w:r>
      <w:r>
        <w:rPr>
          <w:rFonts w:ascii="Verdana"/>
          <w:i/>
          <w:spacing w:val="-6"/>
          <w:sz w:val="16"/>
        </w:rPr>
        <w:t> </w:t>
      </w:r>
      <w:r>
        <w:rPr>
          <w:rFonts w:ascii="Verdana"/>
          <w:i/>
          <w:spacing w:val="-2"/>
          <w:sz w:val="16"/>
        </w:rPr>
        <w:t>Palermo</w:t>
      </w:r>
    </w:p>
    <w:p>
      <w:pPr>
        <w:spacing w:line="200" w:lineRule="exact" w:before="0"/>
        <w:ind w:left="567" w:right="0" w:firstLine="0"/>
        <w:jc w:val="left"/>
        <w:rPr>
          <w:rFonts w:ascii="Lucida Sans Unicode"/>
          <w:sz w:val="16"/>
        </w:rPr>
      </w:pPr>
      <w:r>
        <w:rPr>
          <w:rFonts w:ascii="Lucida Sans Unicode"/>
          <w:spacing w:val="-4"/>
          <w:sz w:val="16"/>
        </w:rPr>
        <w:t>EU:C:2014:126,</w:t>
      </w:r>
      <w:r>
        <w:rPr>
          <w:rFonts w:ascii="Lucida Sans Unicode"/>
          <w:spacing w:val="-7"/>
          <w:sz w:val="16"/>
        </w:rPr>
        <w:t> </w:t>
      </w:r>
      <w:r>
        <w:rPr>
          <w:rFonts w:ascii="Lucida Sans Unicode"/>
          <w:spacing w:val="-4"/>
          <w:sz w:val="16"/>
        </w:rPr>
        <w:t>para</w:t>
      </w:r>
      <w:r>
        <w:rPr>
          <w:rFonts w:ascii="Lucida Sans Unicode"/>
          <w:spacing w:val="-7"/>
          <w:sz w:val="16"/>
        </w:rPr>
        <w:t> </w:t>
      </w:r>
      <w:r>
        <w:rPr>
          <w:rFonts w:ascii="Lucida Sans Unicode"/>
          <w:spacing w:val="-5"/>
          <w:sz w:val="16"/>
        </w:rPr>
        <w:t>24.</w:t>
      </w:r>
    </w:p>
    <w:p>
      <w:pPr>
        <w:pStyle w:val="ListParagraph"/>
        <w:numPr>
          <w:ilvl w:val="0"/>
          <w:numId w:val="6"/>
        </w:numPr>
        <w:tabs>
          <w:tab w:pos="567" w:val="left" w:leader="none"/>
        </w:tabs>
        <w:spacing w:line="200" w:lineRule="exact" w:before="0" w:after="0"/>
        <w:ind w:left="567" w:right="0" w:hanging="454"/>
        <w:jc w:val="left"/>
        <w:rPr>
          <w:sz w:val="16"/>
        </w:rPr>
      </w:pPr>
      <w:r>
        <w:rPr>
          <w:rFonts w:ascii="Verdana"/>
          <w:i/>
          <w:sz w:val="16"/>
        </w:rPr>
        <w:t>Ibid</w:t>
      </w:r>
      <w:r>
        <w:rPr>
          <w:sz w:val="16"/>
        </w:rPr>
        <w:t>,</w:t>
      </w:r>
      <w:r>
        <w:rPr>
          <w:spacing w:val="-12"/>
          <w:sz w:val="16"/>
        </w:rPr>
        <w:t> </w:t>
      </w:r>
      <w:r>
        <w:rPr>
          <w:sz w:val="16"/>
        </w:rPr>
        <w:t>para</w:t>
      </w:r>
      <w:r>
        <w:rPr>
          <w:spacing w:val="-11"/>
          <w:sz w:val="16"/>
        </w:rPr>
        <w:t> </w:t>
      </w:r>
      <w:r>
        <w:rPr>
          <w:spacing w:val="-5"/>
          <w:sz w:val="16"/>
        </w:rPr>
        <w:t>25.</w:t>
      </w:r>
    </w:p>
    <w:p>
      <w:pPr>
        <w:pStyle w:val="ListParagraph"/>
        <w:numPr>
          <w:ilvl w:val="0"/>
          <w:numId w:val="6"/>
        </w:numPr>
        <w:tabs>
          <w:tab w:pos="567" w:val="left" w:leader="none"/>
        </w:tabs>
        <w:spacing w:line="194" w:lineRule="auto" w:before="10" w:after="0"/>
        <w:ind w:left="567" w:right="364" w:hanging="454"/>
        <w:jc w:val="left"/>
        <w:rPr>
          <w:sz w:val="16"/>
        </w:rPr>
      </w:pPr>
      <w:r>
        <w:rPr>
          <w:w w:val="105"/>
          <w:sz w:val="16"/>
        </w:rPr>
        <w:t>Daniel</w:t>
      </w:r>
      <w:r>
        <w:rPr>
          <w:spacing w:val="-14"/>
          <w:w w:val="105"/>
          <w:sz w:val="16"/>
        </w:rPr>
        <w:t> </w:t>
      </w:r>
      <w:r>
        <w:rPr>
          <w:w w:val="105"/>
          <w:sz w:val="16"/>
        </w:rPr>
        <w:t>Sarmiento,</w:t>
      </w:r>
      <w:r>
        <w:rPr>
          <w:spacing w:val="-13"/>
          <w:w w:val="105"/>
          <w:sz w:val="16"/>
        </w:rPr>
        <w:t> </w:t>
      </w:r>
      <w:r>
        <w:rPr>
          <w:w w:val="105"/>
          <w:sz w:val="16"/>
        </w:rPr>
        <w:t>‘Who’s</w:t>
      </w:r>
      <w:r>
        <w:rPr>
          <w:spacing w:val="-13"/>
          <w:w w:val="105"/>
          <w:sz w:val="16"/>
        </w:rPr>
        <w:t> </w:t>
      </w:r>
      <w:r>
        <w:rPr>
          <w:w w:val="105"/>
          <w:sz w:val="16"/>
        </w:rPr>
        <w:t>Afraid</w:t>
      </w:r>
      <w:r>
        <w:rPr>
          <w:spacing w:val="-14"/>
          <w:w w:val="105"/>
          <w:sz w:val="16"/>
        </w:rPr>
        <w:t> </w:t>
      </w:r>
      <w:r>
        <w:rPr>
          <w:w w:val="105"/>
          <w:sz w:val="16"/>
        </w:rPr>
        <w:t>of</w:t>
      </w:r>
      <w:r>
        <w:rPr>
          <w:spacing w:val="-13"/>
          <w:w w:val="105"/>
          <w:sz w:val="16"/>
        </w:rPr>
        <w:t> </w:t>
      </w:r>
      <w:r>
        <w:rPr>
          <w:w w:val="105"/>
          <w:sz w:val="16"/>
        </w:rPr>
        <w:t>the</w:t>
      </w:r>
      <w:r>
        <w:rPr>
          <w:spacing w:val="-13"/>
          <w:w w:val="105"/>
          <w:sz w:val="16"/>
        </w:rPr>
        <w:t> </w:t>
      </w:r>
      <w:r>
        <w:rPr>
          <w:w w:val="105"/>
          <w:sz w:val="16"/>
        </w:rPr>
        <w:t>Charter?</w:t>
      </w:r>
      <w:r>
        <w:rPr>
          <w:spacing w:val="-14"/>
          <w:w w:val="105"/>
          <w:sz w:val="16"/>
        </w:rPr>
        <w:t> </w:t>
      </w:r>
      <w:r>
        <w:rPr>
          <w:w w:val="105"/>
          <w:sz w:val="16"/>
        </w:rPr>
        <w:t>The</w:t>
      </w:r>
      <w:r>
        <w:rPr>
          <w:spacing w:val="-13"/>
          <w:w w:val="105"/>
          <w:sz w:val="16"/>
        </w:rPr>
        <w:t> </w:t>
      </w:r>
      <w:r>
        <w:rPr>
          <w:w w:val="105"/>
          <w:sz w:val="16"/>
        </w:rPr>
        <w:t>Court</w:t>
      </w:r>
      <w:r>
        <w:rPr>
          <w:spacing w:val="-13"/>
          <w:w w:val="105"/>
          <w:sz w:val="16"/>
        </w:rPr>
        <w:t> </w:t>
      </w:r>
      <w:r>
        <w:rPr>
          <w:w w:val="105"/>
          <w:sz w:val="16"/>
        </w:rPr>
        <w:t>of</w:t>
      </w:r>
      <w:r>
        <w:rPr>
          <w:spacing w:val="-13"/>
          <w:w w:val="105"/>
          <w:sz w:val="16"/>
        </w:rPr>
        <w:t> </w:t>
      </w:r>
      <w:r>
        <w:rPr>
          <w:w w:val="105"/>
          <w:sz w:val="16"/>
        </w:rPr>
        <w:t>Justice,</w:t>
      </w:r>
      <w:r>
        <w:rPr>
          <w:spacing w:val="-14"/>
          <w:w w:val="105"/>
          <w:sz w:val="16"/>
        </w:rPr>
        <w:t> </w:t>
      </w:r>
      <w:r>
        <w:rPr>
          <w:w w:val="105"/>
          <w:sz w:val="16"/>
        </w:rPr>
        <w:t>National</w:t>
      </w:r>
      <w:r>
        <w:rPr>
          <w:spacing w:val="-13"/>
          <w:w w:val="105"/>
          <w:sz w:val="16"/>
        </w:rPr>
        <w:t> </w:t>
      </w:r>
      <w:r>
        <w:rPr>
          <w:w w:val="105"/>
          <w:sz w:val="16"/>
        </w:rPr>
        <w:t>Courts</w:t>
      </w:r>
      <w:r>
        <w:rPr>
          <w:spacing w:val="-13"/>
          <w:w w:val="105"/>
          <w:sz w:val="16"/>
        </w:rPr>
        <w:t> </w:t>
      </w:r>
      <w:r>
        <w:rPr>
          <w:w w:val="105"/>
          <w:sz w:val="16"/>
        </w:rPr>
        <w:t>and</w:t>
      </w:r>
      <w:r>
        <w:rPr>
          <w:spacing w:val="-14"/>
          <w:w w:val="105"/>
          <w:sz w:val="16"/>
        </w:rPr>
        <w:t> </w:t>
      </w:r>
      <w:r>
        <w:rPr>
          <w:w w:val="105"/>
          <w:sz w:val="16"/>
        </w:rPr>
        <w:t>the</w:t>
      </w:r>
      <w:r>
        <w:rPr>
          <w:spacing w:val="-13"/>
          <w:w w:val="105"/>
          <w:sz w:val="16"/>
        </w:rPr>
        <w:t> </w:t>
      </w:r>
      <w:r>
        <w:rPr>
          <w:w w:val="105"/>
          <w:sz w:val="16"/>
        </w:rPr>
        <w:t>New</w:t>
      </w:r>
      <w:r>
        <w:rPr>
          <w:spacing w:val="-13"/>
          <w:w w:val="105"/>
          <w:sz w:val="16"/>
        </w:rPr>
        <w:t> </w:t>
      </w:r>
      <w:r>
        <w:rPr>
          <w:w w:val="105"/>
          <w:sz w:val="16"/>
        </w:rPr>
        <w:t>Framework</w:t>
      </w:r>
      <w:r>
        <w:rPr>
          <w:spacing w:val="-13"/>
          <w:w w:val="105"/>
          <w:sz w:val="16"/>
        </w:rPr>
        <w:t> </w:t>
      </w:r>
      <w:r>
        <w:rPr>
          <w:w w:val="105"/>
          <w:sz w:val="16"/>
        </w:rPr>
        <w:t>of Fundamental</w:t>
      </w:r>
      <w:r>
        <w:rPr>
          <w:spacing w:val="-14"/>
          <w:w w:val="105"/>
          <w:sz w:val="16"/>
        </w:rPr>
        <w:t> </w:t>
      </w:r>
      <w:r>
        <w:rPr>
          <w:w w:val="105"/>
          <w:sz w:val="16"/>
        </w:rPr>
        <w:t>Rights</w:t>
      </w:r>
      <w:r>
        <w:rPr>
          <w:spacing w:val="-13"/>
          <w:w w:val="105"/>
          <w:sz w:val="16"/>
        </w:rPr>
        <w:t> </w:t>
      </w:r>
      <w:r>
        <w:rPr>
          <w:w w:val="105"/>
          <w:sz w:val="16"/>
        </w:rPr>
        <w:t>Protection</w:t>
      </w:r>
      <w:r>
        <w:rPr>
          <w:spacing w:val="-13"/>
          <w:w w:val="105"/>
          <w:sz w:val="16"/>
        </w:rPr>
        <w:t> </w:t>
      </w:r>
      <w:r>
        <w:rPr>
          <w:w w:val="105"/>
          <w:sz w:val="16"/>
        </w:rPr>
        <w:t>in</w:t>
      </w:r>
      <w:r>
        <w:rPr>
          <w:spacing w:val="-14"/>
          <w:w w:val="105"/>
          <w:sz w:val="16"/>
        </w:rPr>
        <w:t> </w:t>
      </w:r>
      <w:r>
        <w:rPr>
          <w:w w:val="105"/>
          <w:sz w:val="16"/>
        </w:rPr>
        <w:t>Europe’</w:t>
      </w:r>
      <w:r>
        <w:rPr>
          <w:spacing w:val="-13"/>
          <w:w w:val="105"/>
          <w:sz w:val="16"/>
        </w:rPr>
        <w:t> </w:t>
      </w:r>
      <w:r>
        <w:rPr>
          <w:w w:val="105"/>
          <w:sz w:val="16"/>
        </w:rPr>
        <w:t>(2013)</w:t>
      </w:r>
      <w:r>
        <w:rPr>
          <w:spacing w:val="-13"/>
          <w:w w:val="105"/>
          <w:sz w:val="16"/>
        </w:rPr>
        <w:t> </w:t>
      </w:r>
      <w:r>
        <w:rPr>
          <w:w w:val="105"/>
          <w:sz w:val="16"/>
        </w:rPr>
        <w:t>50</w:t>
      </w:r>
      <w:r>
        <w:rPr>
          <w:spacing w:val="-14"/>
          <w:w w:val="105"/>
          <w:sz w:val="16"/>
        </w:rPr>
        <w:t> </w:t>
      </w:r>
      <w:r>
        <w:rPr>
          <w:w w:val="105"/>
          <w:sz w:val="16"/>
        </w:rPr>
        <w:t>Common</w:t>
      </w:r>
      <w:r>
        <w:rPr>
          <w:spacing w:val="-13"/>
          <w:w w:val="105"/>
          <w:sz w:val="16"/>
        </w:rPr>
        <w:t> </w:t>
      </w:r>
      <w:r>
        <w:rPr>
          <w:w w:val="105"/>
          <w:sz w:val="16"/>
        </w:rPr>
        <w:t>Market</w:t>
      </w:r>
      <w:r>
        <w:rPr>
          <w:spacing w:val="-13"/>
          <w:w w:val="105"/>
          <w:sz w:val="16"/>
        </w:rPr>
        <w:t> </w:t>
      </w:r>
      <w:r>
        <w:rPr>
          <w:w w:val="105"/>
          <w:sz w:val="16"/>
        </w:rPr>
        <w:t>Law</w:t>
      </w:r>
      <w:r>
        <w:rPr>
          <w:spacing w:val="-13"/>
          <w:w w:val="105"/>
          <w:sz w:val="16"/>
        </w:rPr>
        <w:t> </w:t>
      </w:r>
      <w:r>
        <w:rPr>
          <w:w w:val="105"/>
          <w:sz w:val="16"/>
        </w:rPr>
        <w:t>Review</w:t>
      </w:r>
      <w:r>
        <w:rPr>
          <w:spacing w:val="-14"/>
          <w:w w:val="105"/>
          <w:sz w:val="16"/>
        </w:rPr>
        <w:t> </w:t>
      </w:r>
      <w:r>
        <w:rPr>
          <w:w w:val="105"/>
          <w:sz w:val="16"/>
        </w:rPr>
        <w:t>1267,</w:t>
      </w:r>
      <w:r>
        <w:rPr>
          <w:spacing w:val="-13"/>
          <w:w w:val="105"/>
          <w:sz w:val="16"/>
        </w:rPr>
        <w:t> </w:t>
      </w:r>
      <w:r>
        <w:rPr>
          <w:w w:val="105"/>
          <w:sz w:val="16"/>
        </w:rPr>
        <w:t>1278.</w:t>
      </w:r>
    </w:p>
    <w:p>
      <w:pPr>
        <w:spacing w:after="0" w:line="194" w:lineRule="auto"/>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264" w:lineRule="auto" w:before="72"/>
        <w:ind w:right="253"/>
      </w:pPr>
      <w:r>
        <w:rPr>
          <w:w w:val="115"/>
        </w:rPr>
        <w:t>In turn, it is important that the judgment by the Northern Ireland High Court in </w:t>
      </w:r>
      <w:r>
        <w:rPr>
          <w:rFonts w:ascii="Verdana" w:hAnsi="Verdana"/>
          <w:i/>
          <w:w w:val="115"/>
        </w:rPr>
        <w:t>SPUC</w:t>
      </w:r>
      <w:r>
        <w:rPr>
          <w:rFonts w:ascii="Verdana" w:hAnsi="Verdana"/>
          <w:i/>
          <w:spacing w:val="-19"/>
          <w:w w:val="115"/>
        </w:rPr>
        <w:t> </w:t>
      </w:r>
      <w:r>
        <w:rPr>
          <w:w w:val="115"/>
        </w:rPr>
        <w:t>is understood in light of the CJEU’s approach to the</w:t>
      </w:r>
      <w:r>
        <w:rPr>
          <w:spacing w:val="-12"/>
          <w:w w:val="115"/>
        </w:rPr>
        <w:t> </w:t>
      </w:r>
      <w:r>
        <w:rPr>
          <w:w w:val="115"/>
        </w:rPr>
        <w:t>scope</w:t>
      </w:r>
      <w:r>
        <w:rPr>
          <w:spacing w:val="-12"/>
          <w:w w:val="115"/>
        </w:rPr>
        <w:t> </w:t>
      </w:r>
      <w:r>
        <w:rPr>
          <w:w w:val="115"/>
        </w:rPr>
        <w:t>of</w:t>
      </w:r>
      <w:r>
        <w:rPr>
          <w:spacing w:val="-12"/>
          <w:w w:val="115"/>
        </w:rPr>
        <w:t> </w:t>
      </w:r>
      <w:r>
        <w:rPr>
          <w:w w:val="115"/>
        </w:rPr>
        <w:t>EU</w:t>
      </w:r>
      <w:r>
        <w:rPr>
          <w:spacing w:val="-12"/>
          <w:w w:val="115"/>
        </w:rPr>
        <w:t> </w:t>
      </w:r>
      <w:r>
        <w:rPr>
          <w:w w:val="115"/>
        </w:rPr>
        <w:t>law.</w:t>
      </w:r>
      <w:r>
        <w:rPr>
          <w:spacing w:val="-12"/>
          <w:w w:val="115"/>
        </w:rPr>
        <w:t> </w:t>
      </w:r>
      <w:r>
        <w:rPr>
          <w:w w:val="115"/>
        </w:rPr>
        <w:t>In</w:t>
      </w:r>
      <w:r>
        <w:rPr>
          <w:spacing w:val="-12"/>
          <w:w w:val="115"/>
        </w:rPr>
        <w:t> </w:t>
      </w:r>
      <w:r>
        <w:rPr>
          <w:rFonts w:ascii="Verdana" w:hAnsi="Verdana"/>
          <w:i/>
          <w:w w:val="115"/>
        </w:rPr>
        <w:t>SPUC</w:t>
      </w:r>
      <w:r>
        <w:rPr>
          <w:w w:val="115"/>
        </w:rPr>
        <w:t>,</w:t>
      </w:r>
      <w:r>
        <w:rPr>
          <w:spacing w:val="-12"/>
          <w:w w:val="115"/>
        </w:rPr>
        <w:t> </w:t>
      </w:r>
      <w:r>
        <w:rPr>
          <w:w w:val="115"/>
        </w:rPr>
        <w:t>the question</w:t>
      </w:r>
      <w:r>
        <w:rPr>
          <w:spacing w:val="-20"/>
          <w:w w:val="115"/>
        </w:rPr>
        <w:t> </w:t>
      </w:r>
      <w:r>
        <w:rPr>
          <w:w w:val="115"/>
        </w:rPr>
        <w:t>arose</w:t>
      </w:r>
      <w:r>
        <w:rPr>
          <w:spacing w:val="-19"/>
          <w:w w:val="115"/>
        </w:rPr>
        <w:t> </w:t>
      </w:r>
      <w:r>
        <w:rPr>
          <w:w w:val="115"/>
        </w:rPr>
        <w:t>whether</w:t>
      </w:r>
      <w:r>
        <w:rPr>
          <w:spacing w:val="-19"/>
          <w:w w:val="115"/>
        </w:rPr>
        <w:t> </w:t>
      </w:r>
      <w:r>
        <w:rPr>
          <w:w w:val="115"/>
        </w:rPr>
        <w:t>the</w:t>
      </w:r>
      <w:r>
        <w:rPr>
          <w:spacing w:val="-19"/>
          <w:w w:val="115"/>
        </w:rPr>
        <w:t> </w:t>
      </w:r>
      <w:r>
        <w:rPr>
          <w:w w:val="115"/>
        </w:rPr>
        <w:t>Charter </w:t>
      </w:r>
      <w:r>
        <w:rPr>
          <w:w w:val="110"/>
        </w:rPr>
        <w:t>applied</w:t>
      </w:r>
      <w:r>
        <w:rPr>
          <w:spacing w:val="-5"/>
          <w:w w:val="110"/>
        </w:rPr>
        <w:t> </w:t>
      </w:r>
      <w:r>
        <w:rPr>
          <w:w w:val="110"/>
        </w:rPr>
        <w:t>because</w:t>
      </w:r>
      <w:r>
        <w:rPr>
          <w:spacing w:val="-5"/>
          <w:w w:val="110"/>
        </w:rPr>
        <w:t> </w:t>
      </w:r>
      <w:r>
        <w:rPr>
          <w:w w:val="110"/>
        </w:rPr>
        <w:t>the</w:t>
      </w:r>
      <w:r>
        <w:rPr>
          <w:spacing w:val="-4"/>
          <w:w w:val="110"/>
        </w:rPr>
        <w:t> </w:t>
      </w:r>
      <w:r>
        <w:rPr>
          <w:w w:val="110"/>
        </w:rPr>
        <w:t>EU</w:t>
      </w:r>
      <w:r>
        <w:rPr>
          <w:spacing w:val="-5"/>
          <w:w w:val="110"/>
        </w:rPr>
        <w:t> </w:t>
      </w:r>
      <w:r>
        <w:rPr>
          <w:w w:val="110"/>
        </w:rPr>
        <w:t>was</w:t>
      </w:r>
      <w:r>
        <w:rPr>
          <w:spacing w:val="-4"/>
          <w:w w:val="110"/>
        </w:rPr>
        <w:t> </w:t>
      </w:r>
      <w:r>
        <w:rPr>
          <w:w w:val="110"/>
        </w:rPr>
        <w:t>a</w:t>
      </w:r>
      <w:r>
        <w:rPr>
          <w:spacing w:val="-5"/>
          <w:w w:val="110"/>
        </w:rPr>
        <w:t> </w:t>
      </w:r>
      <w:r>
        <w:rPr>
          <w:spacing w:val="-2"/>
          <w:w w:val="110"/>
        </w:rPr>
        <w:t>party</w:t>
      </w:r>
    </w:p>
    <w:p>
      <w:pPr>
        <w:pStyle w:val="BodyText"/>
        <w:spacing w:line="268" w:lineRule="auto" w:before="10"/>
        <w:ind w:right="32"/>
      </w:pPr>
      <w:r>
        <w:rPr>
          <w:w w:val="110"/>
        </w:rPr>
        <w:t>to the United Nations Convention on the Rights of Persons with </w:t>
      </w:r>
      <w:r>
        <w:rPr>
          <w:w w:val="110"/>
        </w:rPr>
        <w:t>Disabilities (UNCRPD). The UNCRPD was</w:t>
      </w:r>
    </w:p>
    <w:p>
      <w:pPr>
        <w:pStyle w:val="BodyText"/>
        <w:spacing w:line="220" w:lineRule="auto" w:before="20"/>
        <w:ind w:right="32"/>
      </w:pPr>
      <w:r>
        <w:rPr>
          <w:w w:val="110"/>
        </w:rPr>
        <w:t>concluded by both the EU and the </w:t>
      </w:r>
      <w:r>
        <w:rPr>
          <w:rFonts w:ascii="Lucida Sans Unicode"/>
        </w:rPr>
        <w:t>Member States as a so-called </w:t>
      </w:r>
      <w:r>
        <w:rPr>
          <w:rFonts w:ascii="Lucida Sans Unicode"/>
        </w:rPr>
        <w:t>mixed </w:t>
      </w:r>
      <w:r>
        <w:rPr>
          <w:rFonts w:ascii="Lucida Sans Unicode"/>
          <w:w w:val="110"/>
        </w:rPr>
        <w:t>agreement</w:t>
      </w:r>
      <w:r>
        <w:rPr>
          <w:rFonts w:ascii="Lucida Sans Unicode"/>
          <w:spacing w:val="-19"/>
          <w:w w:val="110"/>
        </w:rPr>
        <w:t> </w:t>
      </w:r>
      <w:r>
        <w:rPr>
          <w:rFonts w:ascii="Lucida Sans Unicode"/>
          <w:w w:val="110"/>
        </w:rPr>
        <w:t>chiefly</w:t>
      </w:r>
      <w:r>
        <w:rPr>
          <w:rFonts w:ascii="Lucida Sans Unicode"/>
          <w:spacing w:val="-19"/>
          <w:w w:val="110"/>
        </w:rPr>
        <w:t> </w:t>
      </w:r>
      <w:r>
        <w:rPr>
          <w:rFonts w:ascii="Lucida Sans Unicode"/>
          <w:w w:val="110"/>
        </w:rPr>
        <w:t>because</w:t>
      </w:r>
      <w:r>
        <w:rPr>
          <w:rFonts w:ascii="Lucida Sans Unicode"/>
          <w:spacing w:val="-19"/>
          <w:w w:val="110"/>
        </w:rPr>
        <w:t> </w:t>
      </w:r>
      <w:r>
        <w:rPr>
          <w:rFonts w:ascii="Lucida Sans Unicode"/>
          <w:w w:val="110"/>
        </w:rPr>
        <w:t>the</w:t>
      </w:r>
      <w:r>
        <w:rPr>
          <w:rFonts w:ascii="Lucida Sans Unicode"/>
          <w:spacing w:val="-19"/>
          <w:w w:val="110"/>
        </w:rPr>
        <w:t> </w:t>
      </w:r>
      <w:r>
        <w:rPr>
          <w:rFonts w:ascii="Lucida Sans Unicode"/>
          <w:w w:val="110"/>
        </w:rPr>
        <w:t>EU </w:t>
      </w:r>
      <w:r>
        <w:rPr>
          <w:w w:val="110"/>
        </w:rPr>
        <w:t>does not possess competence to</w:t>
      </w:r>
    </w:p>
    <w:p>
      <w:pPr>
        <w:pStyle w:val="BodyText"/>
        <w:spacing w:line="268" w:lineRule="auto" w:before="36"/>
      </w:pPr>
      <w:r>
        <w:rPr>
          <w:w w:val="110"/>
        </w:rPr>
        <w:t>conclude the agreement alone. </w:t>
      </w:r>
      <w:r>
        <w:rPr>
          <w:w w:val="110"/>
        </w:rPr>
        <w:t>Hence the UNCRPD is only ‘Union law’ in so far as the EU had the competence</w:t>
      </w:r>
    </w:p>
    <w:p>
      <w:pPr>
        <w:pStyle w:val="BodyText"/>
        <w:spacing w:line="252" w:lineRule="auto" w:before="3"/>
        <w:ind w:right="253"/>
        <w:rPr>
          <w:rFonts w:ascii="Lucida Sans Unicode"/>
        </w:rPr>
      </w:pPr>
      <w:r>
        <w:rPr>
          <w:w w:val="110"/>
        </w:rPr>
        <w:t>to conclude it. For the purposes of Article 51 (1) CFR, this means that </w:t>
      </w:r>
      <w:r>
        <w:rPr>
          <w:rFonts w:ascii="Lucida Sans Unicode"/>
        </w:rPr>
        <w:t>any Member State implementation </w:t>
      </w:r>
      <w:r>
        <w:rPr>
          <w:rFonts w:ascii="Lucida Sans Unicode"/>
        </w:rPr>
        <w:t>of</w:t>
      </w:r>
    </w:p>
    <w:p>
      <w:pPr>
        <w:pStyle w:val="BodyText"/>
        <w:spacing w:line="237" w:lineRule="exact"/>
      </w:pPr>
      <w:r>
        <w:rPr>
          <w:w w:val="115"/>
        </w:rPr>
        <w:t>Union</w:t>
      </w:r>
      <w:r>
        <w:rPr>
          <w:spacing w:val="-10"/>
          <w:w w:val="115"/>
        </w:rPr>
        <w:t> </w:t>
      </w:r>
      <w:r>
        <w:rPr>
          <w:w w:val="115"/>
        </w:rPr>
        <w:t>law</w:t>
      </w:r>
      <w:r>
        <w:rPr>
          <w:spacing w:val="-9"/>
          <w:w w:val="115"/>
        </w:rPr>
        <w:t> </w:t>
      </w:r>
      <w:r>
        <w:rPr>
          <w:w w:val="115"/>
        </w:rPr>
        <w:t>with</w:t>
      </w:r>
      <w:r>
        <w:rPr>
          <w:spacing w:val="-9"/>
          <w:w w:val="115"/>
        </w:rPr>
        <w:t> </w:t>
      </w:r>
      <w:r>
        <w:rPr>
          <w:w w:val="115"/>
        </w:rPr>
        <w:t>regard</w:t>
      </w:r>
      <w:r>
        <w:rPr>
          <w:spacing w:val="-9"/>
          <w:w w:val="115"/>
        </w:rPr>
        <w:t> </w:t>
      </w:r>
      <w:r>
        <w:rPr>
          <w:w w:val="115"/>
        </w:rPr>
        <w:t>to</w:t>
      </w:r>
      <w:r>
        <w:rPr>
          <w:spacing w:val="-9"/>
          <w:w w:val="115"/>
        </w:rPr>
        <w:t> </w:t>
      </w:r>
      <w:r>
        <w:rPr>
          <w:w w:val="115"/>
        </w:rPr>
        <w:t>the</w:t>
      </w:r>
      <w:r>
        <w:rPr>
          <w:spacing w:val="-9"/>
          <w:w w:val="115"/>
        </w:rPr>
        <w:t> </w:t>
      </w:r>
      <w:r>
        <w:rPr>
          <w:spacing w:val="-2"/>
          <w:w w:val="110"/>
        </w:rPr>
        <w:t>UNCRPD</w:t>
      </w:r>
    </w:p>
    <w:p>
      <w:pPr>
        <w:pStyle w:val="BodyText"/>
        <w:spacing w:line="310" w:lineRule="exact" w:before="13"/>
        <w:ind w:right="25"/>
      </w:pPr>
      <w:r>
        <w:rPr>
          <w:rFonts w:ascii="Lucida Sans Unicode" w:hAnsi="Lucida Sans Unicode"/>
          <w:spacing w:val="-2"/>
          <w:w w:val="110"/>
        </w:rPr>
        <w:t>presupposes</w:t>
      </w:r>
      <w:r>
        <w:rPr>
          <w:rFonts w:ascii="Lucida Sans Unicode" w:hAnsi="Lucida Sans Unicode"/>
          <w:spacing w:val="-19"/>
          <w:w w:val="110"/>
        </w:rPr>
        <w:t> </w:t>
      </w:r>
      <w:r>
        <w:rPr>
          <w:rFonts w:ascii="Lucida Sans Unicode" w:hAnsi="Lucida Sans Unicode"/>
          <w:spacing w:val="-2"/>
          <w:w w:val="110"/>
        </w:rPr>
        <w:t>that</w:t>
      </w:r>
      <w:r>
        <w:rPr>
          <w:rFonts w:ascii="Lucida Sans Unicode" w:hAnsi="Lucida Sans Unicode"/>
          <w:spacing w:val="-18"/>
          <w:w w:val="110"/>
        </w:rPr>
        <w:t> </w:t>
      </w:r>
      <w:r>
        <w:rPr>
          <w:rFonts w:ascii="Lucida Sans Unicode" w:hAnsi="Lucida Sans Unicode"/>
          <w:spacing w:val="-2"/>
          <w:w w:val="110"/>
        </w:rPr>
        <w:t>the</w:t>
      </w:r>
      <w:r>
        <w:rPr>
          <w:rFonts w:ascii="Lucida Sans Unicode" w:hAnsi="Lucida Sans Unicode"/>
          <w:spacing w:val="-19"/>
          <w:w w:val="110"/>
        </w:rPr>
        <w:t> </w:t>
      </w:r>
      <w:r>
        <w:rPr>
          <w:rFonts w:ascii="Lucida Sans Unicode" w:hAnsi="Lucida Sans Unicode"/>
          <w:spacing w:val="-2"/>
          <w:w w:val="110"/>
        </w:rPr>
        <w:t>Member</w:t>
      </w:r>
      <w:r>
        <w:rPr>
          <w:rFonts w:ascii="Lucida Sans Unicode" w:hAnsi="Lucida Sans Unicode"/>
          <w:spacing w:val="-18"/>
          <w:w w:val="110"/>
        </w:rPr>
        <w:t> </w:t>
      </w:r>
      <w:r>
        <w:rPr>
          <w:rFonts w:ascii="Lucida Sans Unicode" w:hAnsi="Lucida Sans Unicode"/>
          <w:spacing w:val="-2"/>
          <w:w w:val="110"/>
        </w:rPr>
        <w:t>State </w:t>
      </w:r>
      <w:r>
        <w:rPr>
          <w:w w:val="110"/>
        </w:rPr>
        <w:t>was implementing an obligation </w:t>
      </w:r>
      <w:r>
        <w:rPr>
          <w:w w:val="110"/>
        </w:rPr>
        <w:t>under the UNCRPD for which the EU had competence. Otherwise, the Member </w:t>
      </w:r>
      <w:r>
        <w:rPr>
          <w:rFonts w:ascii="Lucida Sans Unicode" w:hAnsi="Lucida Sans Unicode"/>
        </w:rPr>
        <w:t>State would not be ‘implementing </w:t>
      </w:r>
      <w:r>
        <w:rPr>
          <w:w w:val="110"/>
        </w:rPr>
        <w:t>Union law’. Hence, Colton J’s conclusion that ‘the applicant cannot rely upon the UNCRPD, or the Charter or EU General Principles because</w:t>
      </w:r>
    </w:p>
    <w:p>
      <w:pPr>
        <w:pStyle w:val="BodyText"/>
        <w:spacing w:line="310" w:lineRule="exact"/>
        <w:ind w:right="25"/>
      </w:pPr>
      <w:r>
        <w:rPr>
          <w:w w:val="110"/>
        </w:rPr>
        <w:t>the issue of abortion is not an EU competence’</w:t>
      </w:r>
      <w:r>
        <w:rPr>
          <w:rFonts w:ascii="Lucida Sans Unicode" w:hAnsi="Lucida Sans Unicode"/>
          <w:w w:val="110"/>
          <w:vertAlign w:val="superscript"/>
        </w:rPr>
        <w:t>43</w:t>
      </w:r>
      <w:r>
        <w:rPr>
          <w:rFonts w:ascii="Lucida Sans Unicode" w:hAnsi="Lucida Sans Unicode"/>
          <w:w w:val="110"/>
          <w:vertAlign w:val="baseline"/>
        </w:rPr>
        <w:t> </w:t>
      </w:r>
      <w:r>
        <w:rPr>
          <w:w w:val="110"/>
          <w:vertAlign w:val="baseline"/>
        </w:rPr>
        <w:t>must be understood </w:t>
      </w:r>
      <w:r>
        <w:rPr>
          <w:rFonts w:ascii="Lucida Sans Unicode" w:hAnsi="Lucida Sans Unicode"/>
          <w:w w:val="110"/>
          <w:vertAlign w:val="baseline"/>
        </w:rPr>
        <w:t>within</w:t>
      </w:r>
      <w:r>
        <w:rPr>
          <w:rFonts w:ascii="Lucida Sans Unicode" w:hAnsi="Lucida Sans Unicode"/>
          <w:spacing w:val="-21"/>
          <w:w w:val="110"/>
          <w:vertAlign w:val="baseline"/>
        </w:rPr>
        <w:t> </w:t>
      </w:r>
      <w:r>
        <w:rPr>
          <w:rFonts w:ascii="Lucida Sans Unicode" w:hAnsi="Lucida Sans Unicode"/>
          <w:w w:val="110"/>
          <w:vertAlign w:val="baseline"/>
        </w:rPr>
        <w:t>this</w:t>
      </w:r>
      <w:r>
        <w:rPr>
          <w:rFonts w:ascii="Lucida Sans Unicode" w:hAnsi="Lucida Sans Unicode"/>
          <w:spacing w:val="-21"/>
          <w:w w:val="110"/>
          <w:vertAlign w:val="baseline"/>
        </w:rPr>
        <w:t> </w:t>
      </w:r>
      <w:r>
        <w:rPr>
          <w:rFonts w:ascii="Lucida Sans Unicode" w:hAnsi="Lucida Sans Unicode"/>
          <w:w w:val="110"/>
          <w:vertAlign w:val="baseline"/>
        </w:rPr>
        <w:t>specific</w:t>
      </w:r>
      <w:r>
        <w:rPr>
          <w:rFonts w:ascii="Lucida Sans Unicode" w:hAnsi="Lucida Sans Unicode"/>
          <w:spacing w:val="-21"/>
          <w:w w:val="110"/>
          <w:vertAlign w:val="baseline"/>
        </w:rPr>
        <w:t> </w:t>
      </w:r>
      <w:r>
        <w:rPr>
          <w:rFonts w:ascii="Lucida Sans Unicode" w:hAnsi="Lucida Sans Unicode"/>
          <w:w w:val="110"/>
          <w:vertAlign w:val="baseline"/>
        </w:rPr>
        <w:t>(and</w:t>
      </w:r>
      <w:r>
        <w:rPr>
          <w:rFonts w:ascii="Lucida Sans Unicode" w:hAnsi="Lucida Sans Unicode"/>
          <w:spacing w:val="-21"/>
          <w:w w:val="110"/>
          <w:vertAlign w:val="baseline"/>
        </w:rPr>
        <w:t> </w:t>
      </w:r>
      <w:r>
        <w:rPr>
          <w:rFonts w:ascii="Lucida Sans Unicode" w:hAnsi="Lucida Sans Unicode"/>
          <w:w w:val="110"/>
          <w:vertAlign w:val="baseline"/>
        </w:rPr>
        <w:t>atypical) </w:t>
      </w:r>
      <w:r>
        <w:rPr>
          <w:w w:val="110"/>
          <w:vertAlign w:val="baseline"/>
        </w:rPr>
        <w:t>context. It should not be read to mean that for the Charter to apply in the </w:t>
      </w:r>
      <w:r>
        <w:rPr>
          <w:rFonts w:ascii="Lucida Sans Unicode" w:hAnsi="Lucida Sans Unicode"/>
          <w:w w:val="110"/>
          <w:vertAlign w:val="baseline"/>
        </w:rPr>
        <w:t>Member</w:t>
      </w:r>
      <w:r>
        <w:rPr>
          <w:rFonts w:ascii="Lucida Sans Unicode" w:hAnsi="Lucida Sans Unicode"/>
          <w:spacing w:val="-21"/>
          <w:w w:val="110"/>
          <w:vertAlign w:val="baseline"/>
        </w:rPr>
        <w:t> </w:t>
      </w:r>
      <w:r>
        <w:rPr>
          <w:rFonts w:ascii="Lucida Sans Unicode" w:hAnsi="Lucida Sans Unicode"/>
          <w:w w:val="110"/>
          <w:vertAlign w:val="baseline"/>
        </w:rPr>
        <w:t>States,</w:t>
      </w:r>
      <w:r>
        <w:rPr>
          <w:rFonts w:ascii="Lucida Sans Unicode" w:hAnsi="Lucida Sans Unicode"/>
          <w:spacing w:val="-21"/>
          <w:w w:val="110"/>
          <w:vertAlign w:val="baseline"/>
        </w:rPr>
        <w:t> </w:t>
      </w:r>
      <w:r>
        <w:rPr>
          <w:rFonts w:ascii="Lucida Sans Unicode" w:hAnsi="Lucida Sans Unicode"/>
          <w:w w:val="110"/>
          <w:vertAlign w:val="baseline"/>
        </w:rPr>
        <w:t>the</w:t>
      </w:r>
      <w:r>
        <w:rPr>
          <w:rFonts w:ascii="Lucida Sans Unicode" w:hAnsi="Lucida Sans Unicode"/>
          <w:spacing w:val="-21"/>
          <w:w w:val="110"/>
          <w:vertAlign w:val="baseline"/>
        </w:rPr>
        <w:t> </w:t>
      </w:r>
      <w:r>
        <w:rPr>
          <w:rFonts w:ascii="Lucida Sans Unicode" w:hAnsi="Lucida Sans Unicode"/>
          <w:w w:val="110"/>
          <w:vertAlign w:val="baseline"/>
        </w:rPr>
        <w:t>Member</w:t>
      </w:r>
      <w:r>
        <w:rPr>
          <w:rFonts w:ascii="Lucida Sans Unicode" w:hAnsi="Lucida Sans Unicode"/>
          <w:spacing w:val="-21"/>
          <w:w w:val="110"/>
          <w:vertAlign w:val="baseline"/>
        </w:rPr>
        <w:t> </w:t>
      </w:r>
      <w:r>
        <w:rPr>
          <w:rFonts w:ascii="Lucida Sans Unicode" w:hAnsi="Lucida Sans Unicode"/>
          <w:w w:val="110"/>
          <w:vertAlign w:val="baseline"/>
        </w:rPr>
        <w:t>State </w:t>
      </w:r>
      <w:r>
        <w:rPr>
          <w:w w:val="110"/>
          <w:vertAlign w:val="baseline"/>
        </w:rPr>
        <w:t>must have acted in an area of EU competence; or that the EU must </w:t>
      </w:r>
      <w:r>
        <w:rPr>
          <w:w w:val="110"/>
          <w:vertAlign w:val="baseline"/>
        </w:rPr>
        <w:t>have had legislative competence to adopt </w:t>
      </w:r>
      <w:r>
        <w:rPr>
          <w:rFonts w:ascii="Lucida Sans Unicode" w:hAnsi="Lucida Sans Unicode"/>
          <w:spacing w:val="-2"/>
          <w:w w:val="110"/>
          <w:vertAlign w:val="baseline"/>
        </w:rPr>
        <w:t>the</w:t>
      </w:r>
      <w:r>
        <w:rPr>
          <w:rFonts w:ascii="Lucida Sans Unicode" w:hAnsi="Lucida Sans Unicode"/>
          <w:spacing w:val="-16"/>
          <w:w w:val="110"/>
          <w:vertAlign w:val="baseline"/>
        </w:rPr>
        <w:t> </w:t>
      </w:r>
      <w:r>
        <w:rPr>
          <w:rFonts w:ascii="Lucida Sans Unicode" w:hAnsi="Lucida Sans Unicode"/>
          <w:spacing w:val="-2"/>
          <w:w w:val="110"/>
          <w:vertAlign w:val="baseline"/>
        </w:rPr>
        <w:t>provision</w:t>
      </w:r>
      <w:r>
        <w:rPr>
          <w:rFonts w:ascii="Lucida Sans Unicode" w:hAnsi="Lucida Sans Unicode"/>
          <w:spacing w:val="-16"/>
          <w:w w:val="110"/>
          <w:vertAlign w:val="baseline"/>
        </w:rPr>
        <w:t> </w:t>
      </w:r>
      <w:r>
        <w:rPr>
          <w:rFonts w:ascii="Lucida Sans Unicode" w:hAnsi="Lucida Sans Unicode"/>
          <w:spacing w:val="-2"/>
          <w:w w:val="110"/>
          <w:vertAlign w:val="baseline"/>
        </w:rPr>
        <w:t>of</w:t>
      </w:r>
      <w:r>
        <w:rPr>
          <w:rFonts w:ascii="Lucida Sans Unicode" w:hAnsi="Lucida Sans Unicode"/>
          <w:spacing w:val="-16"/>
          <w:w w:val="110"/>
          <w:vertAlign w:val="baseline"/>
        </w:rPr>
        <w:t> </w:t>
      </w:r>
      <w:r>
        <w:rPr>
          <w:rFonts w:ascii="Lucida Sans Unicode" w:hAnsi="Lucida Sans Unicode"/>
          <w:spacing w:val="-2"/>
          <w:w w:val="110"/>
          <w:vertAlign w:val="baseline"/>
        </w:rPr>
        <w:t>Member</w:t>
      </w:r>
      <w:r>
        <w:rPr>
          <w:rFonts w:ascii="Lucida Sans Unicode" w:hAnsi="Lucida Sans Unicode"/>
          <w:spacing w:val="-16"/>
          <w:w w:val="110"/>
          <w:vertAlign w:val="baseline"/>
        </w:rPr>
        <w:t> </w:t>
      </w:r>
      <w:r>
        <w:rPr>
          <w:rFonts w:ascii="Lucida Sans Unicode" w:hAnsi="Lucida Sans Unicode"/>
          <w:spacing w:val="-2"/>
          <w:w w:val="110"/>
          <w:vertAlign w:val="baseline"/>
        </w:rPr>
        <w:t>State</w:t>
      </w:r>
      <w:r>
        <w:rPr>
          <w:rFonts w:ascii="Lucida Sans Unicode" w:hAnsi="Lucida Sans Unicode"/>
          <w:spacing w:val="-16"/>
          <w:w w:val="110"/>
          <w:vertAlign w:val="baseline"/>
        </w:rPr>
        <w:t> </w:t>
      </w:r>
      <w:r>
        <w:rPr>
          <w:rFonts w:ascii="Lucida Sans Unicode" w:hAnsi="Lucida Sans Unicode"/>
          <w:spacing w:val="-2"/>
          <w:w w:val="110"/>
          <w:vertAlign w:val="baseline"/>
        </w:rPr>
        <w:t>law </w:t>
      </w:r>
      <w:r>
        <w:rPr>
          <w:w w:val="110"/>
          <w:vertAlign w:val="baseline"/>
        </w:rPr>
        <w:t>being applied.</w:t>
      </w:r>
    </w:p>
    <w:p>
      <w:pPr>
        <w:pStyle w:val="BodyText"/>
        <w:spacing w:line="310" w:lineRule="exact" w:before="49"/>
        <w:ind w:right="157"/>
        <w:rPr>
          <w:rFonts w:ascii="Lucida Sans Unicode" w:hAnsi="Lucida Sans Unicode"/>
        </w:rPr>
      </w:pPr>
      <w:r>
        <w:rPr/>
        <w:br w:type="column"/>
      </w:r>
      <w:r>
        <w:rPr>
          <w:w w:val="110"/>
        </w:rPr>
        <w:t>Furthermore, according to the CJEU,</w:t>
      </w:r>
      <w:r>
        <w:rPr>
          <w:spacing w:val="80"/>
          <w:w w:val="110"/>
        </w:rPr>
        <w:t> </w:t>
      </w:r>
      <w:r>
        <w:rPr>
          <w:rFonts w:ascii="Lucida Sans Unicode" w:hAnsi="Lucida Sans Unicode"/>
        </w:rPr>
        <w:t>a Member State is also implementing </w:t>
      </w:r>
      <w:r>
        <w:rPr>
          <w:rFonts w:ascii="Lucida Sans Unicode" w:hAnsi="Lucida Sans Unicode"/>
          <w:w w:val="110"/>
        </w:rPr>
        <w:t>EU</w:t>
      </w:r>
      <w:r>
        <w:rPr>
          <w:rFonts w:ascii="Lucida Sans Unicode" w:hAnsi="Lucida Sans Unicode"/>
          <w:spacing w:val="-16"/>
          <w:w w:val="110"/>
        </w:rPr>
        <w:t> </w:t>
      </w:r>
      <w:r>
        <w:rPr>
          <w:rFonts w:ascii="Lucida Sans Unicode" w:hAnsi="Lucida Sans Unicode"/>
          <w:w w:val="110"/>
        </w:rPr>
        <w:t>law</w:t>
      </w:r>
      <w:r>
        <w:rPr>
          <w:rFonts w:ascii="Lucida Sans Unicode" w:hAnsi="Lucida Sans Unicode"/>
          <w:spacing w:val="-16"/>
          <w:w w:val="110"/>
        </w:rPr>
        <w:t> </w:t>
      </w:r>
      <w:r>
        <w:rPr>
          <w:rFonts w:ascii="Lucida Sans Unicode" w:hAnsi="Lucida Sans Unicode"/>
          <w:w w:val="110"/>
        </w:rPr>
        <w:t>where</w:t>
      </w:r>
      <w:r>
        <w:rPr>
          <w:rFonts w:ascii="Lucida Sans Unicode" w:hAnsi="Lucida Sans Unicode"/>
          <w:spacing w:val="-16"/>
          <w:w w:val="110"/>
        </w:rPr>
        <w:t> </w:t>
      </w:r>
      <w:r>
        <w:rPr>
          <w:rFonts w:ascii="Lucida Sans Unicode" w:hAnsi="Lucida Sans Unicode"/>
          <w:w w:val="110"/>
        </w:rPr>
        <w:t>the</w:t>
      </w:r>
      <w:r>
        <w:rPr>
          <w:rFonts w:ascii="Lucida Sans Unicode" w:hAnsi="Lucida Sans Unicode"/>
          <w:spacing w:val="-16"/>
          <w:w w:val="110"/>
        </w:rPr>
        <w:t> </w:t>
      </w:r>
      <w:r>
        <w:rPr>
          <w:rFonts w:ascii="Lucida Sans Unicode" w:hAnsi="Lucida Sans Unicode"/>
          <w:w w:val="110"/>
        </w:rPr>
        <w:t>Member</w:t>
      </w:r>
      <w:r>
        <w:rPr>
          <w:rFonts w:ascii="Lucida Sans Unicode" w:hAnsi="Lucida Sans Unicode"/>
          <w:spacing w:val="-16"/>
          <w:w w:val="110"/>
        </w:rPr>
        <w:t> </w:t>
      </w:r>
      <w:r>
        <w:rPr>
          <w:rFonts w:ascii="Lucida Sans Unicode" w:hAnsi="Lucida Sans Unicode"/>
          <w:w w:val="110"/>
        </w:rPr>
        <w:t>State</w:t>
      </w:r>
      <w:r>
        <w:rPr>
          <w:rFonts w:ascii="Lucida Sans Unicode" w:hAnsi="Lucida Sans Unicode"/>
          <w:spacing w:val="-16"/>
          <w:w w:val="110"/>
        </w:rPr>
        <w:t> </w:t>
      </w:r>
      <w:r>
        <w:rPr>
          <w:rFonts w:ascii="Lucida Sans Unicode" w:hAnsi="Lucida Sans Unicode"/>
          <w:w w:val="110"/>
        </w:rPr>
        <w:t>has </w:t>
      </w:r>
      <w:r>
        <w:rPr>
          <w:w w:val="110"/>
        </w:rPr>
        <w:t>discretion</w:t>
      </w:r>
      <w:r>
        <w:rPr>
          <w:spacing w:val="40"/>
          <w:w w:val="110"/>
        </w:rPr>
        <w:t> </w:t>
      </w:r>
      <w:r>
        <w:rPr>
          <w:w w:val="110"/>
        </w:rPr>
        <w:t>as</w:t>
      </w:r>
      <w:r>
        <w:rPr>
          <w:spacing w:val="40"/>
          <w:w w:val="110"/>
        </w:rPr>
        <w:t> </w:t>
      </w:r>
      <w:r>
        <w:rPr>
          <w:w w:val="110"/>
        </w:rPr>
        <w:t>to</w:t>
      </w:r>
      <w:r>
        <w:rPr>
          <w:spacing w:val="40"/>
          <w:w w:val="110"/>
        </w:rPr>
        <w:t> </w:t>
      </w:r>
      <w:r>
        <w:rPr>
          <w:rFonts w:ascii="Verdana" w:hAnsi="Verdana"/>
          <w:i/>
          <w:w w:val="110"/>
        </w:rPr>
        <w:t>how </w:t>
      </w:r>
      <w:r>
        <w:rPr>
          <w:w w:val="110"/>
        </w:rPr>
        <w:t>to</w:t>
      </w:r>
      <w:r>
        <w:rPr>
          <w:spacing w:val="40"/>
          <w:w w:val="110"/>
        </w:rPr>
        <w:t> </w:t>
      </w:r>
      <w:r>
        <w:rPr>
          <w:w w:val="110"/>
        </w:rPr>
        <w:t>comply</w:t>
      </w:r>
      <w:r>
        <w:rPr>
          <w:spacing w:val="40"/>
          <w:w w:val="110"/>
        </w:rPr>
        <w:t> </w:t>
      </w:r>
      <w:r>
        <w:rPr>
          <w:w w:val="110"/>
        </w:rPr>
        <w:t>with its EU law obligations;</w:t>
      </w:r>
      <w:r>
        <w:rPr>
          <w:rFonts w:ascii="Lucida Sans Unicode" w:hAnsi="Lucida Sans Unicode"/>
          <w:w w:val="110"/>
          <w:vertAlign w:val="superscript"/>
        </w:rPr>
        <w:t>44</w:t>
      </w:r>
      <w:r>
        <w:rPr>
          <w:rFonts w:ascii="Lucida Sans Unicode" w:hAnsi="Lucida Sans Unicode"/>
          <w:w w:val="110"/>
          <w:vertAlign w:val="baseline"/>
        </w:rPr>
        <w:t> </w:t>
      </w:r>
      <w:r>
        <w:rPr>
          <w:w w:val="110"/>
          <w:vertAlign w:val="baseline"/>
        </w:rPr>
        <w:t>and even </w:t>
      </w:r>
      <w:r>
        <w:rPr>
          <w:rFonts w:ascii="Lucida Sans Unicode" w:hAnsi="Lucida Sans Unicode"/>
          <w:vertAlign w:val="baseline"/>
        </w:rPr>
        <w:t>where a Member State has discretion </w:t>
      </w:r>
      <w:r>
        <w:rPr>
          <w:rFonts w:ascii="Verdana" w:hAnsi="Verdana"/>
          <w:i/>
          <w:w w:val="110"/>
          <w:vertAlign w:val="baseline"/>
        </w:rPr>
        <w:t>whether </w:t>
      </w:r>
      <w:r>
        <w:rPr>
          <w:w w:val="110"/>
          <w:vertAlign w:val="baseline"/>
        </w:rPr>
        <w:t>to act at all, provided it chooses to act.</w:t>
      </w:r>
      <w:r>
        <w:rPr>
          <w:rFonts w:ascii="Lucida Sans Unicode" w:hAnsi="Lucida Sans Unicode"/>
          <w:w w:val="110"/>
          <w:vertAlign w:val="superscript"/>
        </w:rPr>
        <w:t>45</w:t>
      </w:r>
      <w:r>
        <w:rPr>
          <w:rFonts w:ascii="Lucida Sans Unicode" w:hAnsi="Lucida Sans Unicode"/>
          <w:w w:val="110"/>
          <w:vertAlign w:val="baseline"/>
        </w:rPr>
        <w:t> </w:t>
      </w:r>
      <w:r>
        <w:rPr>
          <w:w w:val="110"/>
          <w:vertAlign w:val="baseline"/>
        </w:rPr>
        <w:t>By contrast, where EU law only stipulates minimum harmonisation requirements, the </w:t>
      </w:r>
      <w:r>
        <w:rPr>
          <w:rFonts w:ascii="Lucida Sans Unicode" w:hAnsi="Lucida Sans Unicode"/>
          <w:vertAlign w:val="baseline"/>
        </w:rPr>
        <w:t>Member States are not deemed to be </w:t>
      </w:r>
      <w:r>
        <w:rPr>
          <w:w w:val="110"/>
          <w:vertAlign w:val="baseline"/>
        </w:rPr>
        <w:t>‘implementing Union law’ insofar as their national implementation </w:t>
      </w:r>
      <w:r>
        <w:rPr>
          <w:w w:val="110"/>
          <w:vertAlign w:val="baseline"/>
        </w:rPr>
        <w:t>exceeds the minimum required by EU law, but only in respect of the EU-stipulated minimum standard.</w:t>
      </w:r>
      <w:r>
        <w:rPr>
          <w:rFonts w:ascii="Lucida Sans Unicode" w:hAnsi="Lucida Sans Unicode"/>
          <w:w w:val="110"/>
          <w:vertAlign w:val="superscript"/>
        </w:rPr>
        <w:t>46</w:t>
      </w:r>
    </w:p>
    <w:p>
      <w:pPr>
        <w:pStyle w:val="BodyText"/>
        <w:spacing w:line="268" w:lineRule="auto" w:before="323"/>
        <w:ind w:right="317"/>
      </w:pPr>
      <w:r>
        <w:rPr>
          <w:w w:val="115"/>
        </w:rPr>
        <w:t>It</w:t>
      </w:r>
      <w:r>
        <w:rPr>
          <w:spacing w:val="-20"/>
          <w:w w:val="115"/>
        </w:rPr>
        <w:t> </w:t>
      </w:r>
      <w:r>
        <w:rPr>
          <w:w w:val="115"/>
        </w:rPr>
        <w:t>should</w:t>
      </w:r>
      <w:r>
        <w:rPr>
          <w:spacing w:val="-19"/>
          <w:w w:val="115"/>
        </w:rPr>
        <w:t> </w:t>
      </w:r>
      <w:r>
        <w:rPr>
          <w:w w:val="115"/>
        </w:rPr>
        <w:t>be</w:t>
      </w:r>
      <w:r>
        <w:rPr>
          <w:spacing w:val="-19"/>
          <w:w w:val="115"/>
        </w:rPr>
        <w:t> </w:t>
      </w:r>
      <w:r>
        <w:rPr>
          <w:w w:val="115"/>
        </w:rPr>
        <w:t>reiterated</w:t>
      </w:r>
      <w:r>
        <w:rPr>
          <w:spacing w:val="-19"/>
          <w:w w:val="115"/>
        </w:rPr>
        <w:t> </w:t>
      </w:r>
      <w:r>
        <w:rPr>
          <w:w w:val="115"/>
        </w:rPr>
        <w:t>that</w:t>
      </w:r>
      <w:r>
        <w:rPr>
          <w:spacing w:val="-19"/>
          <w:w w:val="115"/>
        </w:rPr>
        <w:t> </w:t>
      </w:r>
      <w:r>
        <w:rPr>
          <w:w w:val="115"/>
        </w:rPr>
        <w:t>the</w:t>
      </w:r>
      <w:r>
        <w:rPr>
          <w:spacing w:val="-20"/>
          <w:w w:val="115"/>
        </w:rPr>
        <w:t> </w:t>
      </w:r>
      <w:r>
        <w:rPr>
          <w:w w:val="115"/>
        </w:rPr>
        <w:t>CJEU uses the same threshold criterion</w:t>
      </w:r>
    </w:p>
    <w:p>
      <w:pPr>
        <w:pStyle w:val="BodyText"/>
        <w:spacing w:line="252" w:lineRule="auto" w:before="2"/>
        <w:ind w:right="317"/>
        <w:rPr>
          <w:rFonts w:ascii="Verdana"/>
          <w:i/>
        </w:rPr>
      </w:pPr>
      <w:r>
        <w:rPr>
          <w:w w:val="110"/>
        </w:rPr>
        <w:t>for the applicability of the general principles in the legal orders of the </w:t>
      </w:r>
      <w:r>
        <w:rPr>
          <w:rFonts w:ascii="Lucida Sans Unicode"/>
        </w:rPr>
        <w:t>Member</w:t>
      </w:r>
      <w:r>
        <w:rPr>
          <w:rFonts w:ascii="Lucida Sans Unicode"/>
          <w:spacing w:val="4"/>
        </w:rPr>
        <w:t> </w:t>
      </w:r>
      <w:r>
        <w:rPr>
          <w:rFonts w:ascii="Lucida Sans Unicode"/>
        </w:rPr>
        <w:t>States.</w:t>
      </w:r>
      <w:r>
        <w:rPr>
          <w:rFonts w:ascii="Lucida Sans Unicode"/>
          <w:spacing w:val="5"/>
        </w:rPr>
        <w:t> </w:t>
      </w:r>
      <w:r>
        <w:rPr>
          <w:rFonts w:ascii="Lucida Sans Unicode"/>
        </w:rPr>
        <w:t>In</w:t>
      </w:r>
      <w:r>
        <w:rPr>
          <w:rFonts w:ascii="Lucida Sans Unicode"/>
          <w:spacing w:val="5"/>
        </w:rPr>
        <w:t> </w:t>
      </w:r>
      <w:r>
        <w:rPr>
          <w:rFonts w:ascii="Lucida Sans Unicode"/>
        </w:rPr>
        <w:t>fact,</w:t>
      </w:r>
      <w:r>
        <w:rPr>
          <w:rFonts w:ascii="Lucida Sans Unicode"/>
          <w:spacing w:val="4"/>
        </w:rPr>
        <w:t> </w:t>
      </w:r>
      <w:r>
        <w:rPr>
          <w:rFonts w:ascii="Lucida Sans Unicode"/>
        </w:rPr>
        <w:t>in</w:t>
      </w:r>
      <w:r>
        <w:rPr>
          <w:rFonts w:ascii="Lucida Sans Unicode"/>
          <w:spacing w:val="5"/>
        </w:rPr>
        <w:t> </w:t>
      </w:r>
      <w:r>
        <w:rPr>
          <w:rFonts w:ascii="Verdana"/>
          <w:i/>
          <w:spacing w:val="-2"/>
        </w:rPr>
        <w:t>Fransson</w:t>
      </w:r>
    </w:p>
    <w:p>
      <w:pPr>
        <w:pStyle w:val="BodyText"/>
        <w:spacing w:line="239" w:lineRule="exact"/>
      </w:pPr>
      <w:r>
        <w:rPr>
          <w:w w:val="110"/>
        </w:rPr>
        <w:t>the</w:t>
      </w:r>
      <w:r>
        <w:rPr>
          <w:spacing w:val="-11"/>
          <w:w w:val="110"/>
        </w:rPr>
        <w:t> </w:t>
      </w:r>
      <w:r>
        <w:rPr>
          <w:w w:val="110"/>
        </w:rPr>
        <w:t>CJEU</w:t>
      </w:r>
      <w:r>
        <w:rPr>
          <w:spacing w:val="-11"/>
          <w:w w:val="110"/>
        </w:rPr>
        <w:t> </w:t>
      </w:r>
      <w:r>
        <w:rPr>
          <w:w w:val="110"/>
        </w:rPr>
        <w:t>made</w:t>
      </w:r>
      <w:r>
        <w:rPr>
          <w:spacing w:val="-10"/>
          <w:w w:val="110"/>
        </w:rPr>
        <w:t> </w:t>
      </w:r>
      <w:r>
        <w:rPr>
          <w:w w:val="110"/>
        </w:rPr>
        <w:t>express</w:t>
      </w:r>
      <w:r>
        <w:rPr>
          <w:spacing w:val="-11"/>
          <w:w w:val="110"/>
        </w:rPr>
        <w:t> </w:t>
      </w:r>
      <w:r>
        <w:rPr>
          <w:w w:val="110"/>
        </w:rPr>
        <w:t>reference</w:t>
      </w:r>
      <w:r>
        <w:rPr>
          <w:spacing w:val="-11"/>
          <w:w w:val="110"/>
        </w:rPr>
        <w:t> </w:t>
      </w:r>
      <w:r>
        <w:rPr>
          <w:spacing w:val="-5"/>
          <w:w w:val="110"/>
        </w:rPr>
        <w:t>to</w:t>
      </w:r>
    </w:p>
    <w:p>
      <w:pPr>
        <w:pStyle w:val="BodyText"/>
        <w:spacing w:line="268" w:lineRule="auto" w:before="34"/>
        <w:ind w:right="317"/>
      </w:pPr>
      <w:r>
        <w:rPr>
          <w:spacing w:val="-2"/>
          <w:w w:val="115"/>
        </w:rPr>
        <w:t>the</w:t>
      </w:r>
      <w:r>
        <w:rPr>
          <w:spacing w:val="-18"/>
          <w:w w:val="115"/>
        </w:rPr>
        <w:t> </w:t>
      </w:r>
      <w:r>
        <w:rPr>
          <w:spacing w:val="-2"/>
          <w:w w:val="115"/>
        </w:rPr>
        <w:t>relevant</w:t>
      </w:r>
      <w:r>
        <w:rPr>
          <w:spacing w:val="-17"/>
          <w:w w:val="115"/>
        </w:rPr>
        <w:t> </w:t>
      </w:r>
      <w:r>
        <w:rPr>
          <w:spacing w:val="-2"/>
          <w:w w:val="115"/>
        </w:rPr>
        <w:t>case</w:t>
      </w:r>
      <w:r>
        <w:rPr>
          <w:spacing w:val="-17"/>
          <w:w w:val="115"/>
        </w:rPr>
        <w:t> </w:t>
      </w:r>
      <w:r>
        <w:rPr>
          <w:spacing w:val="-2"/>
          <w:w w:val="115"/>
        </w:rPr>
        <w:t>law</w:t>
      </w:r>
      <w:r>
        <w:rPr>
          <w:spacing w:val="-17"/>
          <w:w w:val="115"/>
        </w:rPr>
        <w:t> </w:t>
      </w:r>
      <w:r>
        <w:rPr>
          <w:spacing w:val="-2"/>
          <w:w w:val="115"/>
        </w:rPr>
        <w:t>on</w:t>
      </w:r>
      <w:r>
        <w:rPr>
          <w:spacing w:val="-17"/>
          <w:w w:val="115"/>
        </w:rPr>
        <w:t> </w:t>
      </w:r>
      <w:r>
        <w:rPr>
          <w:spacing w:val="-2"/>
          <w:w w:val="115"/>
        </w:rPr>
        <w:t>the</w:t>
      </w:r>
      <w:r>
        <w:rPr>
          <w:spacing w:val="-18"/>
          <w:w w:val="115"/>
        </w:rPr>
        <w:t> </w:t>
      </w:r>
      <w:r>
        <w:rPr>
          <w:spacing w:val="-2"/>
          <w:w w:val="115"/>
        </w:rPr>
        <w:t>general </w:t>
      </w:r>
      <w:r>
        <w:rPr>
          <w:w w:val="115"/>
        </w:rPr>
        <w:t>principles when interpreting Article </w:t>
      </w:r>
      <w:r>
        <w:rPr>
          <w:spacing w:val="-2"/>
          <w:w w:val="115"/>
        </w:rPr>
        <w:t>51</w:t>
      </w:r>
      <w:r>
        <w:rPr>
          <w:spacing w:val="-16"/>
          <w:w w:val="115"/>
        </w:rPr>
        <w:t> </w:t>
      </w:r>
      <w:r>
        <w:rPr>
          <w:spacing w:val="-2"/>
          <w:w w:val="115"/>
        </w:rPr>
        <w:t>(1)</w:t>
      </w:r>
      <w:r>
        <w:rPr>
          <w:spacing w:val="-16"/>
          <w:w w:val="115"/>
        </w:rPr>
        <w:t> </w:t>
      </w:r>
      <w:r>
        <w:rPr>
          <w:spacing w:val="-2"/>
          <w:w w:val="115"/>
        </w:rPr>
        <w:t>CFR,</w:t>
      </w:r>
      <w:r>
        <w:rPr>
          <w:spacing w:val="-16"/>
          <w:w w:val="115"/>
        </w:rPr>
        <w:t> </w:t>
      </w:r>
      <w:r>
        <w:rPr>
          <w:spacing w:val="-2"/>
          <w:w w:val="115"/>
        </w:rPr>
        <w:t>which</w:t>
      </w:r>
      <w:r>
        <w:rPr>
          <w:spacing w:val="-16"/>
          <w:w w:val="115"/>
        </w:rPr>
        <w:t> </w:t>
      </w:r>
      <w:r>
        <w:rPr>
          <w:spacing w:val="-2"/>
          <w:w w:val="115"/>
        </w:rPr>
        <w:t>suggests</w:t>
      </w:r>
      <w:r>
        <w:rPr>
          <w:spacing w:val="-16"/>
          <w:w w:val="115"/>
        </w:rPr>
        <w:t> </w:t>
      </w:r>
      <w:r>
        <w:rPr>
          <w:spacing w:val="-2"/>
          <w:w w:val="115"/>
        </w:rPr>
        <w:t>that</w:t>
      </w:r>
      <w:r>
        <w:rPr>
          <w:spacing w:val="-16"/>
          <w:w w:val="115"/>
        </w:rPr>
        <w:t> </w:t>
      </w:r>
      <w:r>
        <w:rPr>
          <w:spacing w:val="-2"/>
          <w:w w:val="115"/>
        </w:rPr>
        <w:t>the </w:t>
      </w:r>
      <w:r>
        <w:rPr>
          <w:w w:val="115"/>
        </w:rPr>
        <w:t>scope of application of the Charter and</w:t>
      </w:r>
      <w:r>
        <w:rPr>
          <w:spacing w:val="-5"/>
          <w:w w:val="115"/>
        </w:rPr>
        <w:t> </w:t>
      </w:r>
      <w:r>
        <w:rPr>
          <w:w w:val="115"/>
        </w:rPr>
        <w:t>that</w:t>
      </w:r>
      <w:r>
        <w:rPr>
          <w:spacing w:val="-5"/>
          <w:w w:val="115"/>
        </w:rPr>
        <w:t> </w:t>
      </w:r>
      <w:r>
        <w:rPr>
          <w:w w:val="115"/>
        </w:rPr>
        <w:t>of</w:t>
      </w:r>
      <w:r>
        <w:rPr>
          <w:spacing w:val="-5"/>
          <w:w w:val="115"/>
        </w:rPr>
        <w:t> </w:t>
      </w:r>
      <w:r>
        <w:rPr>
          <w:w w:val="115"/>
        </w:rPr>
        <w:t>the</w:t>
      </w:r>
      <w:r>
        <w:rPr>
          <w:spacing w:val="-5"/>
          <w:w w:val="115"/>
        </w:rPr>
        <w:t> </w:t>
      </w:r>
      <w:r>
        <w:rPr>
          <w:w w:val="115"/>
        </w:rPr>
        <w:t>general</w:t>
      </w:r>
      <w:r>
        <w:rPr>
          <w:spacing w:val="-5"/>
          <w:w w:val="115"/>
        </w:rPr>
        <w:t> </w:t>
      </w:r>
      <w:r>
        <w:rPr>
          <w:w w:val="115"/>
        </w:rPr>
        <w:t>principles</w:t>
      </w:r>
      <w:r>
        <w:rPr>
          <w:spacing w:val="-5"/>
          <w:w w:val="115"/>
        </w:rPr>
        <w:t> </w:t>
      </w:r>
      <w:r>
        <w:rPr>
          <w:w w:val="115"/>
        </w:rPr>
        <w:t>is </w:t>
      </w:r>
      <w:r>
        <w:rPr>
          <w:spacing w:val="-2"/>
          <w:w w:val="115"/>
        </w:rPr>
        <w:t>identical.</w:t>
      </w:r>
    </w:p>
    <w:p>
      <w:pPr>
        <w:spacing w:after="0" w:line="268" w:lineRule="auto"/>
        <w:sectPr>
          <w:type w:val="continuous"/>
          <w:pgSz w:w="11910" w:h="16840"/>
          <w:pgMar w:header="568" w:footer="580" w:top="0" w:bottom="280" w:left="1020" w:right="1020"/>
          <w:cols w:num="2" w:equalWidth="0">
            <w:col w:w="4734" w:space="312"/>
            <w:col w:w="4824"/>
          </w:cols>
        </w:sectPr>
      </w:pPr>
    </w:p>
    <w:p>
      <w:pPr>
        <w:pStyle w:val="BodyText"/>
        <w:spacing w:before="79"/>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73" name="Group 73"/>
                <wp:cNvGraphicFramePr>
                  <a:graphicFrameLocks/>
                </wp:cNvGraphicFramePr>
                <a:graphic>
                  <a:graphicData uri="http://schemas.microsoft.com/office/word/2010/wordprocessingGroup">
                    <wpg:wgp>
                      <wpg:cNvPr id="73" name="Group 73"/>
                      <wpg:cNvGrpSpPr/>
                      <wpg:grpSpPr>
                        <a:xfrm>
                          <a:off x="0" y="0"/>
                          <a:ext cx="6120130" cy="6350"/>
                          <a:chExt cx="6120130" cy="6350"/>
                        </a:xfrm>
                      </wpg:grpSpPr>
                      <wps:wsp>
                        <wps:cNvPr id="74" name="Graphic 74"/>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55"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7" w:val="left" w:leader="none"/>
        </w:tabs>
        <w:spacing w:line="223" w:lineRule="exact" w:before="61" w:after="0"/>
        <w:ind w:left="567" w:right="0" w:hanging="454"/>
        <w:jc w:val="left"/>
        <w:rPr>
          <w:sz w:val="16"/>
        </w:rPr>
      </w:pPr>
      <w:r>
        <w:rPr>
          <w:rFonts w:ascii="Verdana" w:hAnsi="Verdana"/>
          <w:i/>
          <w:sz w:val="16"/>
        </w:rPr>
        <w:t>SPUC’s</w:t>
      </w:r>
      <w:r>
        <w:rPr>
          <w:rFonts w:ascii="Verdana" w:hAnsi="Verdana"/>
          <w:i/>
          <w:spacing w:val="2"/>
          <w:sz w:val="16"/>
        </w:rPr>
        <w:t> </w:t>
      </w:r>
      <w:r>
        <w:rPr>
          <w:rFonts w:ascii="Verdana" w:hAnsi="Verdana"/>
          <w:i/>
          <w:sz w:val="16"/>
        </w:rPr>
        <w:t>Application</w:t>
      </w:r>
      <w:r>
        <w:rPr>
          <w:rFonts w:ascii="Verdana" w:hAnsi="Verdana"/>
          <w:i/>
          <w:spacing w:val="3"/>
          <w:sz w:val="16"/>
        </w:rPr>
        <w:t> </w:t>
      </w:r>
      <w:r>
        <w:rPr>
          <w:rFonts w:ascii="Verdana" w:hAnsi="Verdana"/>
          <w:i/>
          <w:sz w:val="16"/>
        </w:rPr>
        <w:t>for</w:t>
      </w:r>
      <w:r>
        <w:rPr>
          <w:rFonts w:ascii="Verdana" w:hAnsi="Verdana"/>
          <w:i/>
          <w:spacing w:val="2"/>
          <w:sz w:val="16"/>
        </w:rPr>
        <w:t> </w:t>
      </w:r>
      <w:r>
        <w:rPr>
          <w:rFonts w:ascii="Verdana" w:hAnsi="Verdana"/>
          <w:i/>
          <w:sz w:val="16"/>
        </w:rPr>
        <w:t>Judicial</w:t>
      </w:r>
      <w:r>
        <w:rPr>
          <w:rFonts w:ascii="Verdana" w:hAnsi="Verdana"/>
          <w:i/>
          <w:spacing w:val="3"/>
          <w:sz w:val="16"/>
        </w:rPr>
        <w:t> </w:t>
      </w:r>
      <w:r>
        <w:rPr>
          <w:rFonts w:ascii="Verdana" w:hAnsi="Verdana"/>
          <w:i/>
          <w:sz w:val="16"/>
        </w:rPr>
        <w:t>Review</w:t>
      </w:r>
      <w:r>
        <w:rPr>
          <w:rFonts w:ascii="Verdana" w:hAnsi="Verdana"/>
          <w:i/>
          <w:spacing w:val="3"/>
          <w:sz w:val="16"/>
        </w:rPr>
        <w:t> </w:t>
      </w:r>
      <w:r>
        <w:rPr>
          <w:sz w:val="16"/>
        </w:rPr>
        <w:t>[2022]</w:t>
      </w:r>
      <w:r>
        <w:rPr>
          <w:spacing w:val="9"/>
          <w:sz w:val="16"/>
        </w:rPr>
        <w:t> </w:t>
      </w:r>
      <w:r>
        <w:rPr>
          <w:sz w:val="16"/>
        </w:rPr>
        <w:t>NIQB</w:t>
      </w:r>
      <w:r>
        <w:rPr>
          <w:spacing w:val="8"/>
          <w:sz w:val="16"/>
        </w:rPr>
        <w:t> </w:t>
      </w:r>
      <w:r>
        <w:rPr>
          <w:sz w:val="16"/>
        </w:rPr>
        <w:t>9,</w:t>
      </w:r>
      <w:r>
        <w:rPr>
          <w:spacing w:val="9"/>
          <w:sz w:val="16"/>
        </w:rPr>
        <w:t> </w:t>
      </w:r>
      <w:r>
        <w:rPr>
          <w:sz w:val="16"/>
        </w:rPr>
        <w:t>para</w:t>
      </w:r>
      <w:r>
        <w:rPr>
          <w:spacing w:val="9"/>
          <w:sz w:val="16"/>
        </w:rPr>
        <w:t> </w:t>
      </w:r>
      <w:r>
        <w:rPr>
          <w:spacing w:val="-4"/>
          <w:sz w:val="16"/>
        </w:rPr>
        <w:t>131.</w:t>
      </w:r>
    </w:p>
    <w:p>
      <w:pPr>
        <w:pStyle w:val="ListParagraph"/>
        <w:numPr>
          <w:ilvl w:val="0"/>
          <w:numId w:val="6"/>
        </w:numPr>
        <w:tabs>
          <w:tab w:pos="567" w:val="left" w:leader="none"/>
        </w:tabs>
        <w:spacing w:line="194" w:lineRule="auto" w:before="10" w:after="0"/>
        <w:ind w:left="567" w:right="654" w:hanging="454"/>
        <w:jc w:val="left"/>
        <w:rPr>
          <w:sz w:val="16"/>
        </w:rPr>
      </w:pPr>
      <w:r>
        <w:rPr>
          <w:spacing w:val="-2"/>
          <w:sz w:val="16"/>
        </w:rPr>
        <w:t>Case</w:t>
      </w:r>
      <w:r>
        <w:rPr>
          <w:spacing w:val="-4"/>
          <w:sz w:val="16"/>
        </w:rPr>
        <w:t> </w:t>
      </w:r>
      <w:r>
        <w:rPr>
          <w:spacing w:val="-2"/>
          <w:sz w:val="16"/>
        </w:rPr>
        <w:t>C-571/10</w:t>
      </w:r>
      <w:r>
        <w:rPr>
          <w:spacing w:val="-4"/>
          <w:sz w:val="16"/>
        </w:rPr>
        <w:t> </w:t>
      </w:r>
      <w:r>
        <w:rPr>
          <w:rFonts w:ascii="Verdana" w:hAnsi="Verdana"/>
          <w:i/>
          <w:spacing w:val="-2"/>
          <w:sz w:val="16"/>
        </w:rPr>
        <w:t>Servet</w:t>
      </w:r>
      <w:r>
        <w:rPr>
          <w:rFonts w:ascii="Verdana" w:hAnsi="Verdana"/>
          <w:i/>
          <w:spacing w:val="-10"/>
          <w:sz w:val="16"/>
        </w:rPr>
        <w:t> </w:t>
      </w:r>
      <w:r>
        <w:rPr>
          <w:rFonts w:ascii="Verdana" w:hAnsi="Verdana"/>
          <w:i/>
          <w:spacing w:val="-2"/>
          <w:sz w:val="16"/>
        </w:rPr>
        <w:t>Kamberaj</w:t>
      </w:r>
      <w:r>
        <w:rPr>
          <w:rFonts w:ascii="Verdana" w:hAnsi="Verdana"/>
          <w:i/>
          <w:spacing w:val="-10"/>
          <w:sz w:val="16"/>
        </w:rPr>
        <w:t> </w:t>
      </w:r>
      <w:r>
        <w:rPr>
          <w:rFonts w:ascii="Verdana" w:hAnsi="Verdana"/>
          <w:i/>
          <w:spacing w:val="-2"/>
          <w:sz w:val="16"/>
        </w:rPr>
        <w:t>v</w:t>
      </w:r>
      <w:r>
        <w:rPr>
          <w:rFonts w:ascii="Verdana" w:hAnsi="Verdana"/>
          <w:i/>
          <w:spacing w:val="-10"/>
          <w:sz w:val="16"/>
        </w:rPr>
        <w:t> </w:t>
      </w:r>
      <w:r>
        <w:rPr>
          <w:rFonts w:ascii="Verdana" w:hAnsi="Verdana"/>
          <w:i/>
          <w:spacing w:val="-2"/>
          <w:sz w:val="16"/>
        </w:rPr>
        <w:t>Istituto</w:t>
      </w:r>
      <w:r>
        <w:rPr>
          <w:rFonts w:ascii="Verdana" w:hAnsi="Verdana"/>
          <w:i/>
          <w:spacing w:val="-10"/>
          <w:sz w:val="16"/>
        </w:rPr>
        <w:t> </w:t>
      </w:r>
      <w:r>
        <w:rPr>
          <w:rFonts w:ascii="Verdana" w:hAnsi="Verdana"/>
          <w:i/>
          <w:spacing w:val="-2"/>
          <w:sz w:val="16"/>
        </w:rPr>
        <w:t>per</w:t>
      </w:r>
      <w:r>
        <w:rPr>
          <w:rFonts w:ascii="Verdana" w:hAnsi="Verdana"/>
          <w:i/>
          <w:spacing w:val="-10"/>
          <w:sz w:val="16"/>
        </w:rPr>
        <w:t> </w:t>
      </w:r>
      <w:r>
        <w:rPr>
          <w:rFonts w:ascii="Verdana" w:hAnsi="Verdana"/>
          <w:i/>
          <w:spacing w:val="-2"/>
          <w:sz w:val="16"/>
        </w:rPr>
        <w:t>l’Edilizia</w:t>
      </w:r>
      <w:r>
        <w:rPr>
          <w:rFonts w:ascii="Verdana" w:hAnsi="Verdana"/>
          <w:i/>
          <w:spacing w:val="-10"/>
          <w:sz w:val="16"/>
        </w:rPr>
        <w:t> </w:t>
      </w:r>
      <w:r>
        <w:rPr>
          <w:rFonts w:ascii="Verdana" w:hAnsi="Verdana"/>
          <w:i/>
          <w:spacing w:val="-2"/>
          <w:sz w:val="16"/>
        </w:rPr>
        <w:t>sociale</w:t>
      </w:r>
      <w:r>
        <w:rPr>
          <w:rFonts w:ascii="Verdana" w:hAnsi="Verdana"/>
          <w:i/>
          <w:spacing w:val="-10"/>
          <w:sz w:val="16"/>
        </w:rPr>
        <w:t> </w:t>
      </w:r>
      <w:r>
        <w:rPr>
          <w:rFonts w:ascii="Verdana" w:hAnsi="Verdana"/>
          <w:i/>
          <w:spacing w:val="-2"/>
          <w:sz w:val="16"/>
        </w:rPr>
        <w:t>della</w:t>
      </w:r>
      <w:r>
        <w:rPr>
          <w:rFonts w:ascii="Verdana" w:hAnsi="Verdana"/>
          <w:i/>
          <w:spacing w:val="-10"/>
          <w:sz w:val="16"/>
        </w:rPr>
        <w:t> </w:t>
      </w:r>
      <w:r>
        <w:rPr>
          <w:rFonts w:ascii="Verdana" w:hAnsi="Verdana"/>
          <w:i/>
          <w:spacing w:val="-2"/>
          <w:sz w:val="16"/>
        </w:rPr>
        <w:t>Provincia</w:t>
      </w:r>
      <w:r>
        <w:rPr>
          <w:rFonts w:ascii="Verdana" w:hAnsi="Verdana"/>
          <w:i/>
          <w:spacing w:val="-10"/>
          <w:sz w:val="16"/>
        </w:rPr>
        <w:t> </w:t>
      </w:r>
      <w:r>
        <w:rPr>
          <w:rFonts w:ascii="Verdana" w:hAnsi="Verdana"/>
          <w:i/>
          <w:spacing w:val="-2"/>
          <w:sz w:val="16"/>
        </w:rPr>
        <w:t>autonoma</w:t>
      </w:r>
      <w:r>
        <w:rPr>
          <w:rFonts w:ascii="Verdana" w:hAnsi="Verdana"/>
          <w:i/>
          <w:spacing w:val="-10"/>
          <w:sz w:val="16"/>
        </w:rPr>
        <w:t> </w:t>
      </w:r>
      <w:r>
        <w:rPr>
          <w:rFonts w:ascii="Verdana" w:hAnsi="Verdana"/>
          <w:i/>
          <w:spacing w:val="-2"/>
          <w:sz w:val="16"/>
        </w:rPr>
        <w:t>di</w:t>
      </w:r>
      <w:r>
        <w:rPr>
          <w:rFonts w:ascii="Verdana" w:hAnsi="Verdana"/>
          <w:i/>
          <w:spacing w:val="-10"/>
          <w:sz w:val="16"/>
        </w:rPr>
        <w:t> </w:t>
      </w:r>
      <w:r>
        <w:rPr>
          <w:rFonts w:ascii="Verdana" w:hAnsi="Verdana"/>
          <w:i/>
          <w:spacing w:val="-2"/>
          <w:sz w:val="16"/>
        </w:rPr>
        <w:t>Bolzano</w:t>
      </w:r>
      <w:r>
        <w:rPr>
          <w:rFonts w:ascii="Verdana" w:hAnsi="Verdana"/>
          <w:i/>
          <w:spacing w:val="-10"/>
          <w:sz w:val="16"/>
        </w:rPr>
        <w:t> </w:t>
      </w:r>
      <w:r>
        <w:rPr>
          <w:rFonts w:ascii="Verdana" w:hAnsi="Verdana"/>
          <w:i/>
          <w:spacing w:val="-2"/>
          <w:sz w:val="16"/>
        </w:rPr>
        <w:t>(IPES)</w:t>
      </w:r>
      <w:r>
        <w:rPr>
          <w:rFonts w:ascii="Verdana" w:hAnsi="Verdana"/>
          <w:i/>
          <w:spacing w:val="-10"/>
          <w:sz w:val="16"/>
        </w:rPr>
        <w:t> </w:t>
      </w:r>
      <w:r>
        <w:rPr>
          <w:rFonts w:ascii="Verdana" w:hAnsi="Verdana"/>
          <w:i/>
          <w:spacing w:val="-2"/>
          <w:sz w:val="16"/>
        </w:rPr>
        <w:t>and</w:t>
      </w:r>
      <w:r>
        <w:rPr>
          <w:rFonts w:ascii="Verdana" w:hAnsi="Verdana"/>
          <w:i/>
          <w:spacing w:val="-2"/>
          <w:sz w:val="16"/>
        </w:rPr>
        <w:t> </w:t>
      </w:r>
      <w:r>
        <w:rPr>
          <w:rFonts w:ascii="Verdana" w:hAnsi="Verdana"/>
          <w:i/>
          <w:sz w:val="16"/>
        </w:rPr>
        <w:t>Others </w:t>
      </w:r>
      <w:r>
        <w:rPr>
          <w:sz w:val="16"/>
        </w:rPr>
        <w:t>EU:C:2012:233, para 80.</w:t>
      </w:r>
    </w:p>
    <w:p>
      <w:pPr>
        <w:pStyle w:val="ListParagraph"/>
        <w:numPr>
          <w:ilvl w:val="0"/>
          <w:numId w:val="6"/>
        </w:numPr>
        <w:tabs>
          <w:tab w:pos="567" w:val="left" w:leader="none"/>
        </w:tabs>
        <w:spacing w:line="191" w:lineRule="exact" w:before="0" w:after="0"/>
        <w:ind w:left="567" w:right="0" w:hanging="454"/>
        <w:jc w:val="left"/>
        <w:rPr>
          <w:sz w:val="16"/>
        </w:rPr>
      </w:pPr>
      <w:r>
        <w:rPr>
          <w:spacing w:val="-4"/>
          <w:sz w:val="16"/>
        </w:rPr>
        <w:t>Joined</w:t>
      </w:r>
      <w:r>
        <w:rPr>
          <w:sz w:val="16"/>
        </w:rPr>
        <w:t> </w:t>
      </w:r>
      <w:r>
        <w:rPr>
          <w:spacing w:val="-4"/>
          <w:sz w:val="16"/>
        </w:rPr>
        <w:t>Cases</w:t>
      </w:r>
      <w:r>
        <w:rPr>
          <w:sz w:val="16"/>
        </w:rPr>
        <w:t> </w:t>
      </w:r>
      <w:r>
        <w:rPr>
          <w:spacing w:val="-4"/>
          <w:sz w:val="16"/>
        </w:rPr>
        <w:t>C-411/10</w:t>
      </w:r>
      <w:r>
        <w:rPr>
          <w:sz w:val="16"/>
        </w:rPr>
        <w:t> </w:t>
      </w:r>
      <w:r>
        <w:rPr>
          <w:spacing w:val="-4"/>
          <w:sz w:val="16"/>
        </w:rPr>
        <w:t>and</w:t>
      </w:r>
      <w:r>
        <w:rPr>
          <w:spacing w:val="1"/>
          <w:sz w:val="16"/>
        </w:rPr>
        <w:t> </w:t>
      </w:r>
      <w:r>
        <w:rPr>
          <w:spacing w:val="-4"/>
          <w:sz w:val="16"/>
        </w:rPr>
        <w:t>C-493/10</w:t>
      </w:r>
      <w:r>
        <w:rPr>
          <w:sz w:val="16"/>
        </w:rPr>
        <w:t> </w:t>
      </w:r>
      <w:r>
        <w:rPr>
          <w:rFonts w:ascii="Verdana"/>
          <w:i/>
          <w:spacing w:val="-4"/>
          <w:sz w:val="16"/>
        </w:rPr>
        <w:t>N.S.</w:t>
      </w:r>
      <w:r>
        <w:rPr>
          <w:rFonts w:ascii="Verdana"/>
          <w:i/>
          <w:spacing w:val="-6"/>
          <w:sz w:val="16"/>
        </w:rPr>
        <w:t> </w:t>
      </w:r>
      <w:r>
        <w:rPr>
          <w:rFonts w:ascii="Verdana"/>
          <w:i/>
          <w:spacing w:val="-4"/>
          <w:sz w:val="16"/>
        </w:rPr>
        <w:t>v</w:t>
      </w:r>
      <w:r>
        <w:rPr>
          <w:rFonts w:ascii="Verdana"/>
          <w:i/>
          <w:spacing w:val="-6"/>
          <w:sz w:val="16"/>
        </w:rPr>
        <w:t> </w:t>
      </w:r>
      <w:r>
        <w:rPr>
          <w:rFonts w:ascii="Verdana"/>
          <w:i/>
          <w:spacing w:val="-4"/>
          <w:sz w:val="16"/>
        </w:rPr>
        <w:t>Secretary</w:t>
      </w:r>
      <w:r>
        <w:rPr>
          <w:rFonts w:ascii="Verdana"/>
          <w:i/>
          <w:spacing w:val="-6"/>
          <w:sz w:val="16"/>
        </w:rPr>
        <w:t> </w:t>
      </w:r>
      <w:r>
        <w:rPr>
          <w:rFonts w:ascii="Verdana"/>
          <w:i/>
          <w:spacing w:val="-4"/>
          <w:sz w:val="16"/>
        </w:rPr>
        <w:t>of</w:t>
      </w:r>
      <w:r>
        <w:rPr>
          <w:rFonts w:ascii="Verdana"/>
          <w:i/>
          <w:spacing w:val="-5"/>
          <w:sz w:val="16"/>
        </w:rPr>
        <w:t> </w:t>
      </w:r>
      <w:r>
        <w:rPr>
          <w:rFonts w:ascii="Verdana"/>
          <w:i/>
          <w:spacing w:val="-4"/>
          <w:sz w:val="16"/>
        </w:rPr>
        <w:t>State</w:t>
      </w:r>
      <w:r>
        <w:rPr>
          <w:rFonts w:ascii="Verdana"/>
          <w:i/>
          <w:spacing w:val="-6"/>
          <w:sz w:val="16"/>
        </w:rPr>
        <w:t> </w:t>
      </w:r>
      <w:r>
        <w:rPr>
          <w:rFonts w:ascii="Verdana"/>
          <w:i/>
          <w:spacing w:val="-4"/>
          <w:sz w:val="16"/>
        </w:rPr>
        <w:t>for</w:t>
      </w:r>
      <w:r>
        <w:rPr>
          <w:rFonts w:ascii="Verdana"/>
          <w:i/>
          <w:spacing w:val="-6"/>
          <w:sz w:val="16"/>
        </w:rPr>
        <w:t> </w:t>
      </w:r>
      <w:r>
        <w:rPr>
          <w:rFonts w:ascii="Verdana"/>
          <w:i/>
          <w:spacing w:val="-4"/>
          <w:sz w:val="16"/>
        </w:rPr>
        <w:t>the</w:t>
      </w:r>
      <w:r>
        <w:rPr>
          <w:rFonts w:ascii="Verdana"/>
          <w:i/>
          <w:spacing w:val="-6"/>
          <w:sz w:val="16"/>
        </w:rPr>
        <w:t> </w:t>
      </w:r>
      <w:r>
        <w:rPr>
          <w:rFonts w:ascii="Verdana"/>
          <w:i/>
          <w:spacing w:val="-4"/>
          <w:sz w:val="16"/>
        </w:rPr>
        <w:t>Home</w:t>
      </w:r>
      <w:r>
        <w:rPr>
          <w:rFonts w:ascii="Verdana"/>
          <w:i/>
          <w:spacing w:val="-5"/>
          <w:sz w:val="16"/>
        </w:rPr>
        <w:t> </w:t>
      </w:r>
      <w:r>
        <w:rPr>
          <w:rFonts w:ascii="Verdana"/>
          <w:i/>
          <w:spacing w:val="-4"/>
          <w:sz w:val="16"/>
        </w:rPr>
        <w:t>Department</w:t>
      </w:r>
      <w:r>
        <w:rPr>
          <w:rFonts w:ascii="Verdana"/>
          <w:i/>
          <w:spacing w:val="-6"/>
          <w:sz w:val="16"/>
        </w:rPr>
        <w:t> </w:t>
      </w:r>
      <w:r>
        <w:rPr>
          <w:spacing w:val="-4"/>
          <w:sz w:val="16"/>
        </w:rPr>
        <w:t>EU:C:2011:865,</w:t>
      </w:r>
      <w:r>
        <w:rPr>
          <w:sz w:val="16"/>
        </w:rPr>
        <w:t> </w:t>
      </w:r>
      <w:r>
        <w:rPr>
          <w:spacing w:val="-4"/>
          <w:sz w:val="16"/>
        </w:rPr>
        <w:t>para</w:t>
      </w:r>
      <w:r>
        <w:rPr>
          <w:sz w:val="16"/>
        </w:rPr>
        <w:t> </w:t>
      </w:r>
      <w:r>
        <w:rPr>
          <w:spacing w:val="-5"/>
          <w:sz w:val="16"/>
        </w:rPr>
        <w:t>68.</w:t>
      </w:r>
    </w:p>
    <w:p>
      <w:pPr>
        <w:pStyle w:val="ListParagraph"/>
        <w:numPr>
          <w:ilvl w:val="0"/>
          <w:numId w:val="6"/>
        </w:numPr>
        <w:tabs>
          <w:tab w:pos="567" w:val="left" w:leader="none"/>
        </w:tabs>
        <w:spacing w:line="223" w:lineRule="exact" w:before="0" w:after="0"/>
        <w:ind w:left="567" w:right="0" w:hanging="454"/>
        <w:jc w:val="left"/>
        <w:rPr>
          <w:sz w:val="16"/>
        </w:rPr>
      </w:pPr>
      <w:r>
        <w:rPr>
          <w:spacing w:val="-4"/>
          <w:sz w:val="16"/>
        </w:rPr>
        <w:t>Joined</w:t>
      </w:r>
      <w:r>
        <w:rPr>
          <w:sz w:val="16"/>
        </w:rPr>
        <w:t> </w:t>
      </w:r>
      <w:r>
        <w:rPr>
          <w:spacing w:val="-4"/>
          <w:sz w:val="16"/>
        </w:rPr>
        <w:t>Cases</w:t>
      </w:r>
      <w:r>
        <w:rPr>
          <w:spacing w:val="1"/>
          <w:sz w:val="16"/>
        </w:rPr>
        <w:t> </w:t>
      </w:r>
      <w:r>
        <w:rPr>
          <w:spacing w:val="-4"/>
          <w:sz w:val="16"/>
        </w:rPr>
        <w:t>C-609/17</w:t>
      </w:r>
      <w:r>
        <w:rPr>
          <w:spacing w:val="1"/>
          <w:sz w:val="16"/>
        </w:rPr>
        <w:t> </w:t>
      </w:r>
      <w:r>
        <w:rPr>
          <w:spacing w:val="-4"/>
          <w:sz w:val="16"/>
        </w:rPr>
        <w:t>and</w:t>
      </w:r>
      <w:r>
        <w:rPr>
          <w:sz w:val="16"/>
        </w:rPr>
        <w:t> </w:t>
      </w:r>
      <w:r>
        <w:rPr>
          <w:spacing w:val="-4"/>
          <w:sz w:val="16"/>
        </w:rPr>
        <w:t>610/17</w:t>
      </w:r>
      <w:r>
        <w:rPr>
          <w:spacing w:val="1"/>
          <w:sz w:val="16"/>
        </w:rPr>
        <w:t> </w:t>
      </w:r>
      <w:r>
        <w:rPr>
          <w:rFonts w:ascii="Verdana"/>
          <w:i/>
          <w:spacing w:val="-4"/>
          <w:sz w:val="16"/>
        </w:rPr>
        <w:t>TSN</w:t>
      </w:r>
      <w:r>
        <w:rPr>
          <w:rFonts w:ascii="Verdana"/>
          <w:i/>
          <w:spacing w:val="-5"/>
          <w:sz w:val="16"/>
        </w:rPr>
        <w:t> </w:t>
      </w:r>
      <w:r>
        <w:rPr>
          <w:rFonts w:ascii="Verdana"/>
          <w:i/>
          <w:spacing w:val="-4"/>
          <w:sz w:val="16"/>
        </w:rPr>
        <w:t>and</w:t>
      </w:r>
      <w:r>
        <w:rPr>
          <w:rFonts w:ascii="Verdana"/>
          <w:i/>
          <w:spacing w:val="-6"/>
          <w:sz w:val="16"/>
        </w:rPr>
        <w:t> </w:t>
      </w:r>
      <w:r>
        <w:rPr>
          <w:rFonts w:ascii="Verdana"/>
          <w:i/>
          <w:spacing w:val="-4"/>
          <w:sz w:val="16"/>
        </w:rPr>
        <w:t>AKT</w:t>
      </w:r>
      <w:r>
        <w:rPr>
          <w:rFonts w:ascii="Verdana"/>
          <w:i/>
          <w:spacing w:val="-5"/>
          <w:sz w:val="16"/>
        </w:rPr>
        <w:t> </w:t>
      </w:r>
      <w:r>
        <w:rPr>
          <w:spacing w:val="-4"/>
          <w:sz w:val="16"/>
        </w:rPr>
        <w:t>EU:C:2019:981,</w:t>
      </w:r>
      <w:r>
        <w:rPr>
          <w:spacing w:val="1"/>
          <w:sz w:val="16"/>
        </w:rPr>
        <w:t> </w:t>
      </w:r>
      <w:r>
        <w:rPr>
          <w:spacing w:val="-4"/>
          <w:sz w:val="16"/>
        </w:rPr>
        <w:t>paras</w:t>
      </w:r>
      <w:r>
        <w:rPr>
          <w:spacing w:val="1"/>
          <w:sz w:val="16"/>
        </w:rPr>
        <w:t> </w:t>
      </w:r>
      <w:r>
        <w:rPr>
          <w:spacing w:val="-4"/>
          <w:sz w:val="16"/>
        </w:rPr>
        <w:t>41-</w:t>
      </w:r>
      <w:r>
        <w:rPr>
          <w:spacing w:val="-5"/>
          <w:sz w:val="16"/>
        </w:rPr>
        <w:t>55.</w:t>
      </w:r>
    </w:p>
    <w:p>
      <w:pPr>
        <w:spacing w:after="0" w:line="223" w:lineRule="exact"/>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84"/>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Heading3"/>
        <w:numPr>
          <w:ilvl w:val="0"/>
          <w:numId w:val="7"/>
        </w:numPr>
        <w:tabs>
          <w:tab w:pos="680" w:val="left" w:leader="none"/>
        </w:tabs>
        <w:spacing w:line="240" w:lineRule="auto" w:before="80" w:after="0"/>
        <w:ind w:left="680" w:right="0" w:hanging="567"/>
        <w:jc w:val="left"/>
        <w:rPr>
          <w:color w:val="77328A"/>
        </w:rPr>
      </w:pPr>
      <w:bookmarkStart w:name="6. Effects of Charter rights " w:id="15"/>
      <w:bookmarkEnd w:id="15"/>
      <w:r>
        <w:rPr>
          <w:b w:val="0"/>
        </w:rPr>
      </w:r>
      <w:bookmarkStart w:name="a. The source of EU remedies: primacy" w:id="16"/>
      <w:bookmarkEnd w:id="16"/>
      <w:r>
        <w:rPr>
          <w:b w:val="0"/>
        </w:rPr>
      </w:r>
      <w:bookmarkStart w:name="_bookmark6" w:id="17"/>
      <w:bookmarkEnd w:id="17"/>
      <w:r>
        <w:rPr>
          <w:b w:val="0"/>
        </w:rPr>
      </w:r>
      <w:r>
        <w:rPr>
          <w:color w:val="77328A"/>
        </w:rPr>
        <w:t>Effects</w:t>
      </w:r>
      <w:r>
        <w:rPr>
          <w:color w:val="77328A"/>
          <w:spacing w:val="14"/>
        </w:rPr>
        <w:t> </w:t>
      </w:r>
      <w:r>
        <w:rPr>
          <w:color w:val="77328A"/>
        </w:rPr>
        <w:t>of</w:t>
      </w:r>
      <w:r>
        <w:rPr>
          <w:color w:val="77328A"/>
          <w:spacing w:val="14"/>
        </w:rPr>
        <w:t> </w:t>
      </w:r>
      <w:r>
        <w:rPr>
          <w:color w:val="77328A"/>
        </w:rPr>
        <w:t>Charter</w:t>
      </w:r>
      <w:r>
        <w:rPr>
          <w:color w:val="77328A"/>
          <w:spacing w:val="14"/>
        </w:rPr>
        <w:t> </w:t>
      </w:r>
      <w:r>
        <w:rPr>
          <w:color w:val="77328A"/>
          <w:spacing w:val="-2"/>
        </w:rPr>
        <w:t>rights</w:t>
      </w:r>
    </w:p>
    <w:p>
      <w:pPr>
        <w:pStyle w:val="BodyText"/>
        <w:spacing w:line="310" w:lineRule="exact" w:before="170"/>
        <w:ind w:right="44"/>
      </w:pPr>
      <w:r>
        <w:rPr>
          <w:w w:val="110"/>
        </w:rPr>
        <w:t>The principles of primacy, consistent interpretation, direct effect, and state liability, which have applied to EU </w:t>
      </w:r>
      <w:r>
        <w:rPr>
          <w:w w:val="110"/>
        </w:rPr>
        <w:t>law since the CJEU’s rulings in </w:t>
      </w:r>
      <w:r>
        <w:rPr>
          <w:rFonts w:ascii="Verdana" w:hAnsi="Verdana"/>
          <w:i/>
          <w:w w:val="110"/>
        </w:rPr>
        <w:t>Costa</w:t>
      </w:r>
      <w:r>
        <w:rPr>
          <w:rFonts w:ascii="Verdana" w:hAnsi="Verdana"/>
          <w:i/>
          <w:w w:val="110"/>
          <w:vertAlign w:val="superscript"/>
        </w:rPr>
        <w:t>47</w:t>
      </w:r>
      <w:r>
        <w:rPr>
          <w:w w:val="110"/>
          <w:vertAlign w:val="baseline"/>
        </w:rPr>
        <w:t>, </w:t>
      </w:r>
      <w:r>
        <w:rPr>
          <w:rFonts w:ascii="Verdana" w:hAnsi="Verdana"/>
          <w:i/>
          <w:vertAlign w:val="baseline"/>
        </w:rPr>
        <w:t>Van</w:t>
      </w:r>
      <w:r>
        <w:rPr>
          <w:rFonts w:ascii="Verdana" w:hAnsi="Verdana"/>
          <w:i/>
          <w:spacing w:val="-11"/>
          <w:vertAlign w:val="baseline"/>
        </w:rPr>
        <w:t> </w:t>
      </w:r>
      <w:r>
        <w:rPr>
          <w:rFonts w:ascii="Verdana" w:hAnsi="Verdana"/>
          <w:i/>
          <w:vertAlign w:val="baseline"/>
        </w:rPr>
        <w:t>Duyn,</w:t>
      </w:r>
      <w:r>
        <w:rPr>
          <w:rFonts w:ascii="Verdana" w:hAnsi="Verdana"/>
          <w:i/>
          <w:vertAlign w:val="superscript"/>
        </w:rPr>
        <w:t>48</w:t>
      </w:r>
      <w:r>
        <w:rPr>
          <w:rFonts w:ascii="Verdana" w:hAnsi="Verdana"/>
          <w:i/>
          <w:spacing w:val="-11"/>
          <w:vertAlign w:val="baseline"/>
        </w:rPr>
        <w:t> </w:t>
      </w:r>
      <w:r>
        <w:rPr>
          <w:rFonts w:ascii="Verdana" w:hAnsi="Verdana"/>
          <w:i/>
          <w:vertAlign w:val="baseline"/>
        </w:rPr>
        <w:t>Van</w:t>
      </w:r>
      <w:r>
        <w:rPr>
          <w:rFonts w:ascii="Verdana" w:hAnsi="Verdana"/>
          <w:i/>
          <w:spacing w:val="-11"/>
          <w:vertAlign w:val="baseline"/>
        </w:rPr>
        <w:t> </w:t>
      </w:r>
      <w:r>
        <w:rPr>
          <w:rFonts w:ascii="Verdana" w:hAnsi="Verdana"/>
          <w:i/>
          <w:vertAlign w:val="baseline"/>
        </w:rPr>
        <w:t>Gend</w:t>
      </w:r>
      <w:r>
        <w:rPr>
          <w:rFonts w:ascii="Verdana" w:hAnsi="Verdana"/>
          <w:i/>
          <w:spacing w:val="-11"/>
          <w:vertAlign w:val="baseline"/>
        </w:rPr>
        <w:t> </w:t>
      </w:r>
      <w:r>
        <w:rPr>
          <w:rFonts w:ascii="Verdana" w:hAnsi="Verdana"/>
          <w:i/>
          <w:vertAlign w:val="baseline"/>
        </w:rPr>
        <w:t>en</w:t>
      </w:r>
      <w:r>
        <w:rPr>
          <w:rFonts w:ascii="Verdana" w:hAnsi="Verdana"/>
          <w:i/>
          <w:spacing w:val="-11"/>
          <w:vertAlign w:val="baseline"/>
        </w:rPr>
        <w:t> </w:t>
      </w:r>
      <w:r>
        <w:rPr>
          <w:rFonts w:ascii="Verdana" w:hAnsi="Verdana"/>
          <w:i/>
          <w:vertAlign w:val="baseline"/>
        </w:rPr>
        <w:t>Loos</w:t>
      </w:r>
      <w:r>
        <w:rPr>
          <w:vertAlign w:val="baseline"/>
        </w:rPr>
        <w:t>,</w:t>
      </w:r>
      <w:r>
        <w:rPr>
          <w:rFonts w:ascii="Lucida Sans Unicode" w:hAnsi="Lucida Sans Unicode"/>
          <w:vertAlign w:val="superscript"/>
        </w:rPr>
        <w:t>49</w:t>
      </w:r>
      <w:r>
        <w:rPr>
          <w:rFonts w:ascii="Lucida Sans Unicode" w:hAnsi="Lucida Sans Unicode"/>
          <w:spacing w:val="-2"/>
          <w:vertAlign w:val="baseline"/>
        </w:rPr>
        <w:t> </w:t>
      </w:r>
      <w:r>
        <w:rPr>
          <w:vertAlign w:val="baseline"/>
        </w:rPr>
        <w:t>and </w:t>
      </w:r>
      <w:r>
        <w:rPr>
          <w:rFonts w:ascii="Verdana" w:hAnsi="Verdana"/>
          <w:i/>
          <w:w w:val="110"/>
          <w:vertAlign w:val="baseline"/>
        </w:rPr>
        <w:t>Francovich,</w:t>
      </w:r>
      <w:r>
        <w:rPr>
          <w:rFonts w:ascii="Verdana" w:hAnsi="Verdana"/>
          <w:i/>
          <w:w w:val="110"/>
          <w:vertAlign w:val="superscript"/>
        </w:rPr>
        <w:t>50</w:t>
      </w:r>
      <w:r>
        <w:rPr>
          <w:rFonts w:ascii="Verdana" w:hAnsi="Verdana"/>
          <w:i/>
          <w:spacing w:val="-24"/>
          <w:w w:val="110"/>
          <w:vertAlign w:val="baseline"/>
        </w:rPr>
        <w:t> </w:t>
      </w:r>
      <w:r>
        <w:rPr>
          <w:w w:val="110"/>
          <w:vertAlign w:val="baseline"/>
        </w:rPr>
        <w:t>respectively,</w:t>
      </w:r>
      <w:r>
        <w:rPr>
          <w:spacing w:val="-18"/>
          <w:w w:val="110"/>
          <w:vertAlign w:val="baseline"/>
        </w:rPr>
        <w:t> </w:t>
      </w:r>
      <w:r>
        <w:rPr>
          <w:w w:val="110"/>
          <w:vertAlign w:val="baseline"/>
        </w:rPr>
        <w:t>all</w:t>
      </w:r>
      <w:r>
        <w:rPr>
          <w:spacing w:val="-18"/>
          <w:w w:val="110"/>
          <w:vertAlign w:val="baseline"/>
        </w:rPr>
        <w:t> </w:t>
      </w:r>
      <w:r>
        <w:rPr>
          <w:w w:val="110"/>
          <w:vertAlign w:val="baseline"/>
        </w:rPr>
        <w:t>extend to the Charter.</w:t>
      </w:r>
    </w:p>
    <w:p>
      <w:pPr>
        <w:pStyle w:val="BodyText"/>
        <w:spacing w:before="32"/>
        <w:ind w:left="0"/>
      </w:pPr>
    </w:p>
    <w:p>
      <w:pPr>
        <w:pStyle w:val="Heading4"/>
        <w:numPr>
          <w:ilvl w:val="1"/>
          <w:numId w:val="7"/>
        </w:numPr>
        <w:tabs>
          <w:tab w:pos="395" w:val="left" w:leader="none"/>
        </w:tabs>
        <w:spacing w:line="256" w:lineRule="auto" w:before="0" w:after="0"/>
        <w:ind w:left="113" w:right="919" w:firstLine="0"/>
        <w:jc w:val="left"/>
      </w:pPr>
      <w:r>
        <w:rPr>
          <w:color w:val="77328A"/>
        </w:rPr>
        <w:t>The source of EU </w:t>
      </w:r>
      <w:r>
        <w:rPr>
          <w:color w:val="77328A"/>
        </w:rPr>
        <w:t>remedies: </w:t>
      </w:r>
      <w:r>
        <w:rPr>
          <w:color w:val="77328A"/>
          <w:spacing w:val="-2"/>
        </w:rPr>
        <w:t>primacy</w:t>
      </w:r>
    </w:p>
    <w:p>
      <w:pPr>
        <w:pStyle w:val="BodyText"/>
        <w:spacing w:line="268" w:lineRule="auto" w:before="15"/>
        <w:ind w:right="44"/>
      </w:pPr>
      <w:r>
        <w:rPr>
          <w:w w:val="115"/>
        </w:rPr>
        <w:t>The principle of primacy (or </w:t>
      </w:r>
      <w:r>
        <w:rPr>
          <w:spacing w:val="-2"/>
          <w:w w:val="115"/>
        </w:rPr>
        <w:t>supremacy)</w:t>
      </w:r>
      <w:r>
        <w:rPr>
          <w:spacing w:val="-15"/>
          <w:w w:val="115"/>
        </w:rPr>
        <w:t> </w:t>
      </w:r>
      <w:r>
        <w:rPr>
          <w:spacing w:val="-2"/>
          <w:w w:val="115"/>
        </w:rPr>
        <w:t>is</w:t>
      </w:r>
      <w:r>
        <w:rPr>
          <w:spacing w:val="-15"/>
          <w:w w:val="115"/>
        </w:rPr>
        <w:t> </w:t>
      </w:r>
      <w:r>
        <w:rPr>
          <w:spacing w:val="-2"/>
          <w:w w:val="115"/>
        </w:rPr>
        <w:t>a</w:t>
      </w:r>
      <w:r>
        <w:rPr>
          <w:spacing w:val="-15"/>
          <w:w w:val="115"/>
        </w:rPr>
        <w:t> </w:t>
      </w:r>
      <w:r>
        <w:rPr>
          <w:spacing w:val="-2"/>
          <w:w w:val="115"/>
        </w:rPr>
        <w:t>core</w:t>
      </w:r>
      <w:r>
        <w:rPr>
          <w:spacing w:val="-15"/>
          <w:w w:val="115"/>
        </w:rPr>
        <w:t> </w:t>
      </w:r>
      <w:r>
        <w:rPr>
          <w:spacing w:val="-2"/>
          <w:w w:val="115"/>
        </w:rPr>
        <w:t>constitutional </w:t>
      </w:r>
      <w:r>
        <w:rPr>
          <w:w w:val="115"/>
        </w:rPr>
        <w:t>principle of EU law. While it is not</w:t>
      </w:r>
    </w:p>
    <w:p>
      <w:pPr>
        <w:pStyle w:val="BodyText"/>
        <w:spacing w:line="230" w:lineRule="auto" w:before="12"/>
        <w:ind w:right="44"/>
      </w:pPr>
      <w:r>
        <w:rPr>
          <w:w w:val="110"/>
        </w:rPr>
        <w:t>expressly found in the EU Treaties, </w:t>
      </w:r>
      <w:r>
        <w:rPr>
          <w:rFonts w:ascii="Lucida Sans Unicode"/>
          <w:spacing w:val="-2"/>
          <w:w w:val="110"/>
        </w:rPr>
        <w:t>the</w:t>
      </w:r>
      <w:r>
        <w:rPr>
          <w:rFonts w:ascii="Lucida Sans Unicode"/>
          <w:spacing w:val="-18"/>
          <w:w w:val="110"/>
        </w:rPr>
        <w:t> </w:t>
      </w:r>
      <w:r>
        <w:rPr>
          <w:rFonts w:ascii="Lucida Sans Unicode"/>
          <w:spacing w:val="-2"/>
          <w:w w:val="110"/>
        </w:rPr>
        <w:t>Member</w:t>
      </w:r>
      <w:r>
        <w:rPr>
          <w:rFonts w:ascii="Lucida Sans Unicode"/>
          <w:spacing w:val="-18"/>
          <w:w w:val="110"/>
        </w:rPr>
        <w:t> </w:t>
      </w:r>
      <w:r>
        <w:rPr>
          <w:rFonts w:ascii="Lucida Sans Unicode"/>
          <w:spacing w:val="-2"/>
          <w:w w:val="110"/>
        </w:rPr>
        <w:t>States</w:t>
      </w:r>
      <w:r>
        <w:rPr>
          <w:rFonts w:ascii="Lucida Sans Unicode"/>
          <w:spacing w:val="-18"/>
          <w:w w:val="110"/>
        </w:rPr>
        <w:t> </w:t>
      </w:r>
      <w:r>
        <w:rPr>
          <w:rFonts w:ascii="Lucida Sans Unicode"/>
          <w:spacing w:val="-2"/>
          <w:w w:val="110"/>
        </w:rPr>
        <w:t>have</w:t>
      </w:r>
      <w:r>
        <w:rPr>
          <w:rFonts w:ascii="Lucida Sans Unicode"/>
          <w:spacing w:val="-18"/>
          <w:w w:val="110"/>
        </w:rPr>
        <w:t> </w:t>
      </w:r>
      <w:r>
        <w:rPr>
          <w:rFonts w:ascii="Lucida Sans Unicode"/>
          <w:spacing w:val="-2"/>
          <w:w w:val="110"/>
        </w:rPr>
        <w:t>confirmed </w:t>
      </w:r>
      <w:r>
        <w:rPr>
          <w:w w:val="110"/>
        </w:rPr>
        <w:t>its existence within the parameters </w:t>
      </w:r>
      <w:r>
        <w:rPr>
          <w:w w:val="110"/>
        </w:rPr>
        <w:t>of</w:t>
      </w:r>
    </w:p>
    <w:p>
      <w:pPr>
        <w:pStyle w:val="BodyText"/>
        <w:spacing w:line="261" w:lineRule="auto" w:before="37"/>
        <w:ind w:right="238"/>
        <w:jc w:val="both"/>
        <w:rPr>
          <w:rFonts w:ascii="Verdana" w:hAnsi="Verdana"/>
          <w:i/>
        </w:rPr>
      </w:pPr>
      <w:r>
        <w:rPr>
          <w:w w:val="110"/>
        </w:rPr>
        <w:t>the</w:t>
      </w:r>
      <w:r>
        <w:rPr>
          <w:spacing w:val="-12"/>
          <w:w w:val="110"/>
        </w:rPr>
        <w:t> </w:t>
      </w:r>
      <w:r>
        <w:rPr>
          <w:w w:val="110"/>
        </w:rPr>
        <w:t>CJEU’s</w:t>
      </w:r>
      <w:r>
        <w:rPr>
          <w:spacing w:val="-12"/>
          <w:w w:val="110"/>
        </w:rPr>
        <w:t> </w:t>
      </w:r>
      <w:r>
        <w:rPr>
          <w:w w:val="110"/>
        </w:rPr>
        <w:t>case</w:t>
      </w:r>
      <w:r>
        <w:rPr>
          <w:spacing w:val="-12"/>
          <w:w w:val="110"/>
        </w:rPr>
        <w:t> </w:t>
      </w:r>
      <w:r>
        <w:rPr>
          <w:w w:val="110"/>
        </w:rPr>
        <w:t>law</w:t>
      </w:r>
      <w:r>
        <w:rPr>
          <w:spacing w:val="-12"/>
          <w:w w:val="110"/>
        </w:rPr>
        <w:t> </w:t>
      </w:r>
      <w:r>
        <w:rPr>
          <w:w w:val="110"/>
        </w:rPr>
        <w:t>in</w:t>
      </w:r>
      <w:r>
        <w:rPr>
          <w:spacing w:val="-12"/>
          <w:w w:val="110"/>
        </w:rPr>
        <w:t> </w:t>
      </w:r>
      <w:r>
        <w:rPr>
          <w:w w:val="110"/>
        </w:rPr>
        <w:t>a</w:t>
      </w:r>
      <w:r>
        <w:rPr>
          <w:spacing w:val="-12"/>
          <w:w w:val="110"/>
        </w:rPr>
        <w:t> </w:t>
      </w:r>
      <w:r>
        <w:rPr>
          <w:w w:val="110"/>
        </w:rPr>
        <w:t>Declaration annexed</w:t>
      </w:r>
      <w:r>
        <w:rPr>
          <w:spacing w:val="-4"/>
          <w:w w:val="110"/>
        </w:rPr>
        <w:t> </w:t>
      </w:r>
      <w:r>
        <w:rPr>
          <w:w w:val="110"/>
        </w:rPr>
        <w:t>to</w:t>
      </w:r>
      <w:r>
        <w:rPr>
          <w:spacing w:val="-4"/>
          <w:w w:val="110"/>
        </w:rPr>
        <w:t> </w:t>
      </w:r>
      <w:r>
        <w:rPr>
          <w:w w:val="110"/>
        </w:rPr>
        <w:t>the</w:t>
      </w:r>
      <w:r>
        <w:rPr>
          <w:spacing w:val="-4"/>
          <w:w w:val="110"/>
        </w:rPr>
        <w:t> </w:t>
      </w:r>
      <w:r>
        <w:rPr>
          <w:w w:val="110"/>
        </w:rPr>
        <w:t>Lisbon</w:t>
      </w:r>
      <w:r>
        <w:rPr>
          <w:spacing w:val="-4"/>
          <w:w w:val="110"/>
        </w:rPr>
        <w:t> </w:t>
      </w:r>
      <w:r>
        <w:rPr>
          <w:w w:val="110"/>
        </w:rPr>
        <w:t>Treaty.</w:t>
      </w:r>
      <w:r>
        <w:rPr>
          <w:w w:val="110"/>
          <w:vertAlign w:val="superscript"/>
        </w:rPr>
        <w:t>51</w:t>
      </w:r>
      <w:r>
        <w:rPr>
          <w:spacing w:val="-4"/>
          <w:w w:val="110"/>
          <w:vertAlign w:val="baseline"/>
        </w:rPr>
        <w:t> </w:t>
      </w:r>
      <w:r>
        <w:rPr>
          <w:w w:val="110"/>
          <w:vertAlign w:val="baseline"/>
        </w:rPr>
        <w:t>First </w:t>
      </w:r>
      <w:r>
        <w:rPr>
          <w:w w:val="115"/>
          <w:vertAlign w:val="baseline"/>
        </w:rPr>
        <w:t>spelled</w:t>
      </w:r>
      <w:r>
        <w:rPr>
          <w:spacing w:val="-7"/>
          <w:w w:val="115"/>
          <w:vertAlign w:val="baseline"/>
        </w:rPr>
        <w:t> </w:t>
      </w:r>
      <w:r>
        <w:rPr>
          <w:w w:val="115"/>
          <w:vertAlign w:val="baseline"/>
        </w:rPr>
        <w:t>out</w:t>
      </w:r>
      <w:r>
        <w:rPr>
          <w:spacing w:val="-7"/>
          <w:w w:val="115"/>
          <w:vertAlign w:val="baseline"/>
        </w:rPr>
        <w:t> </w:t>
      </w:r>
      <w:r>
        <w:rPr>
          <w:w w:val="115"/>
          <w:vertAlign w:val="baseline"/>
        </w:rPr>
        <w:t>by</w:t>
      </w:r>
      <w:r>
        <w:rPr>
          <w:spacing w:val="-7"/>
          <w:w w:val="115"/>
          <w:vertAlign w:val="baseline"/>
        </w:rPr>
        <w:t> </w:t>
      </w:r>
      <w:r>
        <w:rPr>
          <w:w w:val="115"/>
          <w:vertAlign w:val="baseline"/>
        </w:rPr>
        <w:t>the</w:t>
      </w:r>
      <w:r>
        <w:rPr>
          <w:spacing w:val="-7"/>
          <w:w w:val="115"/>
          <w:vertAlign w:val="baseline"/>
        </w:rPr>
        <w:t> </w:t>
      </w:r>
      <w:r>
        <w:rPr>
          <w:w w:val="115"/>
          <w:vertAlign w:val="baseline"/>
        </w:rPr>
        <w:t>CJEU</w:t>
      </w:r>
      <w:r>
        <w:rPr>
          <w:spacing w:val="-7"/>
          <w:w w:val="115"/>
          <w:vertAlign w:val="baseline"/>
        </w:rPr>
        <w:t> </w:t>
      </w:r>
      <w:r>
        <w:rPr>
          <w:w w:val="115"/>
          <w:vertAlign w:val="baseline"/>
        </w:rPr>
        <w:t>in</w:t>
      </w:r>
      <w:r>
        <w:rPr>
          <w:spacing w:val="-7"/>
          <w:w w:val="115"/>
          <w:vertAlign w:val="baseline"/>
        </w:rPr>
        <w:t> </w:t>
      </w:r>
      <w:r>
        <w:rPr>
          <w:rFonts w:ascii="Verdana" w:hAnsi="Verdana"/>
          <w:i/>
          <w:w w:val="115"/>
          <w:vertAlign w:val="baseline"/>
        </w:rPr>
        <w:t>Costa</w:t>
      </w:r>
    </w:p>
    <w:p>
      <w:pPr>
        <w:pStyle w:val="BodyText"/>
        <w:spacing w:line="230" w:lineRule="auto" w:before="3"/>
        <w:ind w:right="44"/>
      </w:pPr>
      <w:r>
        <w:rPr>
          <w:rFonts w:ascii="Verdana"/>
          <w:i/>
          <w:w w:val="110"/>
        </w:rPr>
        <w:t>v</w:t>
      </w:r>
      <w:r>
        <w:rPr>
          <w:rFonts w:ascii="Verdana"/>
          <w:i/>
          <w:spacing w:val="-5"/>
          <w:w w:val="110"/>
        </w:rPr>
        <w:t> </w:t>
      </w:r>
      <w:r>
        <w:rPr>
          <w:rFonts w:ascii="Verdana"/>
          <w:i/>
          <w:w w:val="110"/>
        </w:rPr>
        <w:t>ENEL</w:t>
      </w:r>
      <w:r>
        <w:rPr>
          <w:rFonts w:ascii="Verdana"/>
          <w:i/>
          <w:w w:val="110"/>
          <w:vertAlign w:val="superscript"/>
        </w:rPr>
        <w:t>52</w:t>
      </w:r>
      <w:r>
        <w:rPr>
          <w:rFonts w:ascii="Verdana"/>
          <w:i/>
          <w:w w:val="110"/>
          <w:vertAlign w:val="baseline"/>
        </w:rPr>
        <w:t>,</w:t>
      </w:r>
      <w:r>
        <w:rPr>
          <w:rFonts w:ascii="Verdana"/>
          <w:i/>
          <w:spacing w:val="-5"/>
          <w:w w:val="110"/>
          <w:vertAlign w:val="baseline"/>
        </w:rPr>
        <w:t> </w:t>
      </w:r>
      <w:r>
        <w:rPr>
          <w:w w:val="110"/>
          <w:vertAlign w:val="baseline"/>
        </w:rPr>
        <w:t>the principle of primacy </w:t>
      </w:r>
      <w:r>
        <w:rPr>
          <w:rFonts w:ascii="Lucida Sans Unicode"/>
          <w:w w:val="110"/>
          <w:vertAlign w:val="baseline"/>
        </w:rPr>
        <w:t>means</w:t>
      </w:r>
      <w:r>
        <w:rPr>
          <w:rFonts w:ascii="Lucida Sans Unicode"/>
          <w:spacing w:val="-21"/>
          <w:w w:val="110"/>
          <w:vertAlign w:val="baseline"/>
        </w:rPr>
        <w:t> </w:t>
      </w:r>
      <w:r>
        <w:rPr>
          <w:rFonts w:ascii="Lucida Sans Unicode"/>
          <w:w w:val="110"/>
          <w:vertAlign w:val="baseline"/>
        </w:rPr>
        <w:t>that</w:t>
      </w:r>
      <w:r>
        <w:rPr>
          <w:rFonts w:ascii="Lucida Sans Unicode"/>
          <w:spacing w:val="-21"/>
          <w:w w:val="110"/>
          <w:vertAlign w:val="baseline"/>
        </w:rPr>
        <w:t> </w:t>
      </w:r>
      <w:r>
        <w:rPr>
          <w:rFonts w:ascii="Lucida Sans Unicode"/>
          <w:w w:val="110"/>
          <w:vertAlign w:val="baseline"/>
        </w:rPr>
        <w:t>in</w:t>
      </w:r>
      <w:r>
        <w:rPr>
          <w:rFonts w:ascii="Lucida Sans Unicode"/>
          <w:spacing w:val="-21"/>
          <w:w w:val="110"/>
          <w:vertAlign w:val="baseline"/>
        </w:rPr>
        <w:t> </w:t>
      </w:r>
      <w:r>
        <w:rPr>
          <w:rFonts w:ascii="Lucida Sans Unicode"/>
          <w:w w:val="110"/>
          <w:vertAlign w:val="baseline"/>
        </w:rPr>
        <w:t>case</w:t>
      </w:r>
      <w:r>
        <w:rPr>
          <w:rFonts w:ascii="Lucida Sans Unicode"/>
          <w:spacing w:val="-21"/>
          <w:w w:val="110"/>
          <w:vertAlign w:val="baseline"/>
        </w:rPr>
        <w:t> </w:t>
      </w:r>
      <w:r>
        <w:rPr>
          <w:rFonts w:ascii="Lucida Sans Unicode"/>
          <w:w w:val="110"/>
          <w:vertAlign w:val="baseline"/>
        </w:rPr>
        <w:t>of</w:t>
      </w:r>
      <w:r>
        <w:rPr>
          <w:rFonts w:ascii="Lucida Sans Unicode"/>
          <w:spacing w:val="-21"/>
          <w:w w:val="110"/>
          <w:vertAlign w:val="baseline"/>
        </w:rPr>
        <w:t> </w:t>
      </w:r>
      <w:r>
        <w:rPr>
          <w:rFonts w:ascii="Lucida Sans Unicode"/>
          <w:w w:val="110"/>
          <w:vertAlign w:val="baseline"/>
        </w:rPr>
        <w:t>a</w:t>
      </w:r>
      <w:r>
        <w:rPr>
          <w:rFonts w:ascii="Lucida Sans Unicode"/>
          <w:spacing w:val="-21"/>
          <w:w w:val="110"/>
          <w:vertAlign w:val="baseline"/>
        </w:rPr>
        <w:t> </w:t>
      </w:r>
      <w:r>
        <w:rPr>
          <w:rFonts w:ascii="Lucida Sans Unicode"/>
          <w:w w:val="110"/>
          <w:vertAlign w:val="baseline"/>
        </w:rPr>
        <w:t>conflict </w:t>
      </w:r>
      <w:r>
        <w:rPr>
          <w:w w:val="110"/>
          <w:vertAlign w:val="baseline"/>
        </w:rPr>
        <w:t>between</w:t>
      </w:r>
      <w:r>
        <w:rPr>
          <w:spacing w:val="-1"/>
          <w:w w:val="110"/>
          <w:vertAlign w:val="baseline"/>
        </w:rPr>
        <w:t> </w:t>
      </w:r>
      <w:r>
        <w:rPr>
          <w:w w:val="110"/>
          <w:vertAlign w:val="baseline"/>
        </w:rPr>
        <w:t>EU</w:t>
      </w:r>
      <w:r>
        <w:rPr>
          <w:spacing w:val="-1"/>
          <w:w w:val="110"/>
          <w:vertAlign w:val="baseline"/>
        </w:rPr>
        <w:t> </w:t>
      </w:r>
      <w:r>
        <w:rPr>
          <w:w w:val="110"/>
          <w:vertAlign w:val="baseline"/>
        </w:rPr>
        <w:t>law</w:t>
      </w:r>
      <w:r>
        <w:rPr>
          <w:spacing w:val="-1"/>
          <w:w w:val="110"/>
          <w:vertAlign w:val="baseline"/>
        </w:rPr>
        <w:t> </w:t>
      </w:r>
      <w:r>
        <w:rPr>
          <w:w w:val="110"/>
          <w:vertAlign w:val="baseline"/>
        </w:rPr>
        <w:t>and</w:t>
      </w:r>
      <w:r>
        <w:rPr>
          <w:spacing w:val="-1"/>
          <w:w w:val="110"/>
          <w:vertAlign w:val="baseline"/>
        </w:rPr>
        <w:t> </w:t>
      </w:r>
      <w:r>
        <w:rPr>
          <w:w w:val="110"/>
          <w:vertAlign w:val="baseline"/>
        </w:rPr>
        <w:t>domestic</w:t>
      </w:r>
      <w:r>
        <w:rPr>
          <w:spacing w:val="-1"/>
          <w:w w:val="110"/>
          <w:vertAlign w:val="baseline"/>
        </w:rPr>
        <w:t> </w:t>
      </w:r>
      <w:r>
        <w:rPr>
          <w:w w:val="110"/>
          <w:vertAlign w:val="baseline"/>
        </w:rPr>
        <w:t>law</w:t>
      </w:r>
      <w:r>
        <w:rPr>
          <w:w w:val="110"/>
          <w:vertAlign w:val="baseline"/>
        </w:rPr>
        <w:t>,</w:t>
      </w:r>
    </w:p>
    <w:p>
      <w:pPr>
        <w:pStyle w:val="BodyText"/>
        <w:spacing w:line="310" w:lineRule="exact" w:before="14"/>
        <w:ind w:right="424"/>
        <w:rPr>
          <w:rFonts w:ascii="Lucida Sans Unicode"/>
        </w:rPr>
      </w:pPr>
      <w:r>
        <w:rPr>
          <w:w w:val="110"/>
        </w:rPr>
        <w:t>the national court must not apply domestic law. It must apply EU</w:t>
      </w:r>
      <w:r>
        <w:rPr>
          <w:spacing w:val="80"/>
          <w:w w:val="110"/>
        </w:rPr>
        <w:t> </w:t>
      </w:r>
      <w:r>
        <w:rPr>
          <w:w w:val="110"/>
        </w:rPr>
        <w:t>law instead. Primacy applies to all provisions of EU law, including the Charter and the general </w:t>
      </w:r>
      <w:r>
        <w:rPr>
          <w:w w:val="110"/>
        </w:rPr>
        <w:t>principles, </w:t>
      </w:r>
      <w:r>
        <w:rPr>
          <w:rFonts w:ascii="Lucida Sans Unicode"/>
        </w:rPr>
        <w:t>and defines their interaction with</w:t>
      </w:r>
    </w:p>
    <w:p>
      <w:pPr>
        <w:pStyle w:val="BodyText"/>
        <w:spacing w:line="218" w:lineRule="auto" w:before="29"/>
        <w:ind w:right="44"/>
        <w:rPr>
          <w:rFonts w:ascii="Lucida Sans Unicode"/>
        </w:rPr>
      </w:pPr>
      <w:r>
        <w:rPr>
          <w:w w:val="110"/>
        </w:rPr>
        <w:t>domestic law. In its ruling in </w:t>
      </w:r>
      <w:r>
        <w:rPr>
          <w:rFonts w:ascii="Verdana"/>
          <w:i/>
          <w:w w:val="110"/>
        </w:rPr>
        <w:t>Melloni</w:t>
      </w:r>
      <w:r>
        <w:rPr>
          <w:w w:val="110"/>
        </w:rPr>
        <w:t>, </w:t>
      </w:r>
      <w:r>
        <w:rPr>
          <w:rFonts w:ascii="Lucida Sans Unicode"/>
          <w:w w:val="110"/>
        </w:rPr>
        <w:t>the CJEU confirmed that the </w:t>
      </w:r>
      <w:r>
        <w:rPr>
          <w:w w:val="110"/>
        </w:rPr>
        <w:t>provisions of the Charter (in that </w:t>
      </w:r>
      <w:r>
        <w:rPr>
          <w:w w:val="110"/>
        </w:rPr>
        <w:t>case </w:t>
      </w:r>
      <w:r>
        <w:rPr>
          <w:rFonts w:ascii="Lucida Sans Unicode"/>
          <w:w w:val="110"/>
        </w:rPr>
        <w:t>Article</w:t>
      </w:r>
      <w:r>
        <w:rPr>
          <w:rFonts w:ascii="Lucida Sans Unicode"/>
          <w:spacing w:val="-15"/>
          <w:w w:val="110"/>
        </w:rPr>
        <w:t> </w:t>
      </w:r>
      <w:r>
        <w:rPr>
          <w:rFonts w:ascii="Lucida Sans Unicode"/>
          <w:w w:val="110"/>
        </w:rPr>
        <w:t>47</w:t>
      </w:r>
      <w:r>
        <w:rPr>
          <w:rFonts w:ascii="Lucida Sans Unicode"/>
          <w:spacing w:val="-15"/>
          <w:w w:val="110"/>
        </w:rPr>
        <w:t> </w:t>
      </w:r>
      <w:r>
        <w:rPr>
          <w:rFonts w:ascii="Lucida Sans Unicode"/>
          <w:w w:val="110"/>
        </w:rPr>
        <w:t>CFR)</w:t>
      </w:r>
      <w:r>
        <w:rPr>
          <w:rFonts w:ascii="Lucida Sans Unicode"/>
          <w:spacing w:val="-15"/>
          <w:w w:val="110"/>
        </w:rPr>
        <w:t> </w:t>
      </w:r>
      <w:r>
        <w:rPr>
          <w:rFonts w:ascii="Lucida Sans Unicode"/>
          <w:w w:val="110"/>
        </w:rPr>
        <w:t>enjoy</w:t>
      </w:r>
      <w:r>
        <w:rPr>
          <w:rFonts w:ascii="Lucida Sans Unicode"/>
          <w:spacing w:val="-15"/>
          <w:w w:val="110"/>
        </w:rPr>
        <w:t> </w:t>
      </w:r>
      <w:r>
        <w:rPr>
          <w:rFonts w:ascii="Lucida Sans Unicode"/>
          <w:w w:val="110"/>
        </w:rPr>
        <w:t>primacy</w:t>
      </w:r>
      <w:r>
        <w:rPr>
          <w:rFonts w:ascii="Lucida Sans Unicode"/>
          <w:spacing w:val="-15"/>
          <w:w w:val="110"/>
        </w:rPr>
        <w:t> </w:t>
      </w:r>
      <w:r>
        <w:rPr>
          <w:rFonts w:ascii="Lucida Sans Unicode"/>
          <w:w w:val="110"/>
        </w:rPr>
        <w:t>over </w:t>
      </w:r>
      <w:r>
        <w:rPr>
          <w:rFonts w:ascii="Lucida Sans Unicode"/>
        </w:rPr>
        <w:t>conflicting national laws, including </w:t>
      </w:r>
      <w:r>
        <w:rPr>
          <w:w w:val="110"/>
        </w:rPr>
        <w:t>laws of a constitutional nature.</w:t>
      </w:r>
      <w:r>
        <w:rPr>
          <w:rFonts w:ascii="Lucida Sans Unicode"/>
          <w:w w:val="110"/>
          <w:vertAlign w:val="superscript"/>
        </w:rPr>
        <w:t>53</w:t>
      </w:r>
    </w:p>
    <w:p>
      <w:pPr>
        <w:pStyle w:val="BodyText"/>
        <w:spacing w:line="264" w:lineRule="auto" w:before="111"/>
        <w:ind w:right="538"/>
      </w:pPr>
      <w:r>
        <w:rPr/>
        <w:br w:type="column"/>
      </w:r>
      <w:r>
        <w:rPr>
          <w:w w:val="115"/>
        </w:rPr>
        <w:t>In</w:t>
      </w:r>
      <w:r>
        <w:rPr>
          <w:spacing w:val="-20"/>
          <w:w w:val="115"/>
        </w:rPr>
        <w:t> </w:t>
      </w:r>
      <w:r>
        <w:rPr>
          <w:w w:val="115"/>
        </w:rPr>
        <w:t>practice,</w:t>
      </w:r>
      <w:r>
        <w:rPr>
          <w:spacing w:val="-19"/>
          <w:w w:val="115"/>
        </w:rPr>
        <w:t> </w:t>
      </w:r>
      <w:r>
        <w:rPr>
          <w:w w:val="115"/>
        </w:rPr>
        <w:t>primacy</w:t>
      </w:r>
      <w:r>
        <w:rPr>
          <w:spacing w:val="-19"/>
          <w:w w:val="115"/>
        </w:rPr>
        <w:t> </w:t>
      </w:r>
      <w:r>
        <w:rPr>
          <w:w w:val="115"/>
        </w:rPr>
        <w:t>means</w:t>
      </w:r>
      <w:r>
        <w:rPr>
          <w:spacing w:val="-19"/>
          <w:w w:val="115"/>
        </w:rPr>
        <w:t> </w:t>
      </w:r>
      <w:r>
        <w:rPr>
          <w:w w:val="115"/>
        </w:rPr>
        <w:t>that</w:t>
      </w:r>
      <w:r>
        <w:rPr>
          <w:spacing w:val="-19"/>
          <w:w w:val="115"/>
        </w:rPr>
        <w:t> </w:t>
      </w:r>
      <w:r>
        <w:rPr>
          <w:w w:val="115"/>
        </w:rPr>
        <w:t>a national</w:t>
      </w:r>
      <w:r>
        <w:rPr>
          <w:spacing w:val="-20"/>
          <w:w w:val="115"/>
        </w:rPr>
        <w:t> </w:t>
      </w:r>
      <w:r>
        <w:rPr>
          <w:w w:val="115"/>
        </w:rPr>
        <w:t>court</w:t>
      </w:r>
      <w:r>
        <w:rPr>
          <w:spacing w:val="-19"/>
          <w:w w:val="115"/>
        </w:rPr>
        <w:t> </w:t>
      </w:r>
      <w:r>
        <w:rPr>
          <w:rFonts w:ascii="Verdana"/>
          <w:i/>
          <w:w w:val="115"/>
        </w:rPr>
        <w:t>must</w:t>
      </w:r>
      <w:r>
        <w:rPr>
          <w:rFonts w:ascii="Verdana"/>
          <w:i/>
          <w:spacing w:val="-25"/>
          <w:w w:val="115"/>
        </w:rPr>
        <w:t> </w:t>
      </w:r>
      <w:r>
        <w:rPr>
          <w:w w:val="115"/>
        </w:rPr>
        <w:t>consider</w:t>
      </w:r>
      <w:r>
        <w:rPr>
          <w:spacing w:val="-16"/>
          <w:w w:val="115"/>
        </w:rPr>
        <w:t> </w:t>
      </w:r>
      <w:r>
        <w:rPr>
          <w:w w:val="115"/>
        </w:rPr>
        <w:t>EU law even where it has not been incorporated</w:t>
      </w:r>
      <w:r>
        <w:rPr>
          <w:spacing w:val="-20"/>
          <w:w w:val="115"/>
        </w:rPr>
        <w:t> </w:t>
      </w:r>
      <w:r>
        <w:rPr>
          <w:w w:val="115"/>
        </w:rPr>
        <w:t>in</w:t>
      </w:r>
      <w:r>
        <w:rPr>
          <w:spacing w:val="-19"/>
          <w:w w:val="115"/>
        </w:rPr>
        <w:t> </w:t>
      </w:r>
      <w:r>
        <w:rPr>
          <w:w w:val="115"/>
        </w:rPr>
        <w:t>domestic</w:t>
      </w:r>
      <w:r>
        <w:rPr>
          <w:spacing w:val="-19"/>
          <w:w w:val="115"/>
        </w:rPr>
        <w:t> </w:t>
      </w:r>
      <w:r>
        <w:rPr>
          <w:w w:val="115"/>
        </w:rPr>
        <w:t>law</w:t>
      </w:r>
      <w:r>
        <w:rPr>
          <w:spacing w:val="-19"/>
          <w:w w:val="115"/>
        </w:rPr>
        <w:t> </w:t>
      </w:r>
      <w:r>
        <w:rPr>
          <w:w w:val="115"/>
        </w:rPr>
        <w:t>and</w:t>
      </w:r>
    </w:p>
    <w:p>
      <w:pPr>
        <w:pStyle w:val="BodyText"/>
        <w:spacing w:line="268" w:lineRule="auto"/>
        <w:ind w:right="266"/>
      </w:pPr>
      <w:r>
        <w:rPr>
          <w:rFonts w:ascii="Verdana"/>
          <w:i/>
          <w:w w:val="115"/>
        </w:rPr>
        <w:t>must</w:t>
      </w:r>
      <w:r>
        <w:rPr>
          <w:rFonts w:ascii="Verdana"/>
          <w:i/>
          <w:spacing w:val="-26"/>
          <w:w w:val="115"/>
        </w:rPr>
        <w:t> </w:t>
      </w:r>
      <w:r>
        <w:rPr>
          <w:w w:val="115"/>
        </w:rPr>
        <w:t>attempt</w:t>
      </w:r>
      <w:r>
        <w:rPr>
          <w:spacing w:val="-19"/>
          <w:w w:val="115"/>
        </w:rPr>
        <w:t> </w:t>
      </w:r>
      <w:r>
        <w:rPr>
          <w:w w:val="115"/>
        </w:rPr>
        <w:t>to</w:t>
      </w:r>
      <w:r>
        <w:rPr>
          <w:spacing w:val="-19"/>
          <w:w w:val="115"/>
        </w:rPr>
        <w:t> </w:t>
      </w:r>
      <w:r>
        <w:rPr>
          <w:w w:val="115"/>
        </w:rPr>
        <w:t>give</w:t>
      </w:r>
      <w:r>
        <w:rPr>
          <w:spacing w:val="-20"/>
          <w:w w:val="115"/>
        </w:rPr>
        <w:t> </w:t>
      </w:r>
      <w:r>
        <w:rPr>
          <w:w w:val="115"/>
        </w:rPr>
        <w:t>effect</w:t>
      </w:r>
      <w:r>
        <w:rPr>
          <w:spacing w:val="-19"/>
          <w:w w:val="115"/>
        </w:rPr>
        <w:t> </w:t>
      </w:r>
      <w:r>
        <w:rPr>
          <w:w w:val="115"/>
        </w:rPr>
        <w:t>to</w:t>
      </w:r>
      <w:r>
        <w:rPr>
          <w:spacing w:val="-19"/>
          <w:w w:val="115"/>
        </w:rPr>
        <w:t> </w:t>
      </w:r>
      <w:r>
        <w:rPr>
          <w:w w:val="115"/>
        </w:rPr>
        <w:t>it.</w:t>
      </w:r>
      <w:r>
        <w:rPr>
          <w:spacing w:val="-19"/>
          <w:w w:val="115"/>
        </w:rPr>
        <w:t> </w:t>
      </w:r>
      <w:r>
        <w:rPr>
          <w:w w:val="115"/>
        </w:rPr>
        <w:t>This can include disapplying domestic law</w:t>
      </w:r>
      <w:r>
        <w:rPr>
          <w:spacing w:val="-18"/>
          <w:w w:val="115"/>
        </w:rPr>
        <w:t> </w:t>
      </w:r>
      <w:r>
        <w:rPr>
          <w:w w:val="115"/>
        </w:rPr>
        <w:t>where</w:t>
      </w:r>
      <w:r>
        <w:rPr>
          <w:spacing w:val="-18"/>
          <w:w w:val="115"/>
        </w:rPr>
        <w:t> </w:t>
      </w:r>
      <w:r>
        <w:rPr>
          <w:w w:val="115"/>
        </w:rPr>
        <w:t>it</w:t>
      </w:r>
      <w:r>
        <w:rPr>
          <w:spacing w:val="-18"/>
          <w:w w:val="115"/>
        </w:rPr>
        <w:t> </w:t>
      </w:r>
      <w:r>
        <w:rPr>
          <w:w w:val="115"/>
        </w:rPr>
        <w:t>clashes</w:t>
      </w:r>
      <w:r>
        <w:rPr>
          <w:spacing w:val="-18"/>
          <w:w w:val="115"/>
        </w:rPr>
        <w:t> </w:t>
      </w:r>
      <w:r>
        <w:rPr>
          <w:w w:val="115"/>
        </w:rPr>
        <w:t>with</w:t>
      </w:r>
      <w:r>
        <w:rPr>
          <w:spacing w:val="-18"/>
          <w:w w:val="115"/>
        </w:rPr>
        <w:t> </w:t>
      </w:r>
      <w:r>
        <w:rPr>
          <w:w w:val="115"/>
        </w:rPr>
        <w:t>EU</w:t>
      </w:r>
      <w:r>
        <w:rPr>
          <w:spacing w:val="-18"/>
          <w:w w:val="115"/>
        </w:rPr>
        <w:t> </w:t>
      </w:r>
      <w:r>
        <w:rPr>
          <w:w w:val="115"/>
        </w:rPr>
        <w:t>law</w:t>
      </w:r>
      <w:r>
        <w:rPr>
          <w:spacing w:val="-18"/>
          <w:w w:val="115"/>
        </w:rPr>
        <w:t> </w:t>
      </w:r>
      <w:r>
        <w:rPr>
          <w:w w:val="115"/>
        </w:rPr>
        <w:t>that meets</w:t>
      </w:r>
      <w:r>
        <w:rPr>
          <w:spacing w:val="-5"/>
          <w:w w:val="115"/>
        </w:rPr>
        <w:t> </w:t>
      </w:r>
      <w:r>
        <w:rPr>
          <w:w w:val="115"/>
        </w:rPr>
        <w:t>certain</w:t>
      </w:r>
      <w:r>
        <w:rPr>
          <w:spacing w:val="-5"/>
          <w:w w:val="115"/>
        </w:rPr>
        <w:t> </w:t>
      </w:r>
      <w:r>
        <w:rPr>
          <w:w w:val="115"/>
        </w:rPr>
        <w:t>conditions,</w:t>
      </w:r>
      <w:r>
        <w:rPr>
          <w:spacing w:val="-5"/>
          <w:w w:val="115"/>
        </w:rPr>
        <w:t> </w:t>
      </w:r>
      <w:r>
        <w:rPr>
          <w:w w:val="115"/>
        </w:rPr>
        <w:t>regardless of the status of domestic law, thus including national constitutional</w:t>
      </w:r>
    </w:p>
    <w:p>
      <w:pPr>
        <w:pStyle w:val="BodyText"/>
        <w:spacing w:line="324" w:lineRule="exact"/>
      </w:pPr>
      <w:r>
        <w:rPr>
          <w:w w:val="110"/>
        </w:rPr>
        <w:t>law.</w:t>
      </w:r>
      <w:r>
        <w:rPr>
          <w:rFonts w:ascii="Lucida Sans Unicode"/>
          <w:w w:val="110"/>
          <w:vertAlign w:val="superscript"/>
        </w:rPr>
        <w:t>54</w:t>
      </w:r>
      <w:r>
        <w:rPr>
          <w:rFonts w:ascii="Lucida Sans Unicode"/>
          <w:spacing w:val="-21"/>
          <w:w w:val="110"/>
          <w:vertAlign w:val="baseline"/>
        </w:rPr>
        <w:t> </w:t>
      </w:r>
      <w:r>
        <w:rPr>
          <w:w w:val="110"/>
          <w:vertAlign w:val="baseline"/>
        </w:rPr>
        <w:t>Moreover,</w:t>
      </w:r>
      <w:r>
        <w:rPr>
          <w:spacing w:val="-19"/>
          <w:w w:val="110"/>
          <w:vertAlign w:val="baseline"/>
        </w:rPr>
        <w:t> </w:t>
      </w:r>
      <w:r>
        <w:rPr>
          <w:w w:val="110"/>
          <w:vertAlign w:val="baseline"/>
        </w:rPr>
        <w:t>primacy</w:t>
      </w:r>
      <w:r>
        <w:rPr>
          <w:spacing w:val="-18"/>
          <w:w w:val="110"/>
          <w:vertAlign w:val="baseline"/>
        </w:rPr>
        <w:t> </w:t>
      </w:r>
      <w:r>
        <w:rPr>
          <w:w w:val="110"/>
          <w:vertAlign w:val="baseline"/>
        </w:rPr>
        <w:t>must</w:t>
      </w:r>
      <w:r>
        <w:rPr>
          <w:spacing w:val="-17"/>
          <w:w w:val="110"/>
          <w:vertAlign w:val="baseline"/>
        </w:rPr>
        <w:t> </w:t>
      </w:r>
      <w:r>
        <w:rPr>
          <w:spacing w:val="-5"/>
          <w:w w:val="110"/>
          <w:vertAlign w:val="baseline"/>
        </w:rPr>
        <w:t>be</w:t>
      </w:r>
    </w:p>
    <w:p>
      <w:pPr>
        <w:pStyle w:val="BodyText"/>
        <w:spacing w:line="268" w:lineRule="auto"/>
        <w:ind w:right="420"/>
      </w:pPr>
      <w:r>
        <w:rPr>
          <w:w w:val="115"/>
        </w:rPr>
        <w:t>observed by every national court, no</w:t>
      </w:r>
      <w:r>
        <w:rPr>
          <w:spacing w:val="-16"/>
          <w:w w:val="115"/>
        </w:rPr>
        <w:t> </w:t>
      </w:r>
      <w:r>
        <w:rPr>
          <w:w w:val="115"/>
        </w:rPr>
        <w:t>matter</w:t>
      </w:r>
      <w:r>
        <w:rPr>
          <w:spacing w:val="-16"/>
          <w:w w:val="115"/>
        </w:rPr>
        <w:t> </w:t>
      </w:r>
      <w:r>
        <w:rPr>
          <w:w w:val="115"/>
        </w:rPr>
        <w:t>where</w:t>
      </w:r>
      <w:r>
        <w:rPr>
          <w:spacing w:val="-16"/>
          <w:w w:val="115"/>
        </w:rPr>
        <w:t> </w:t>
      </w:r>
      <w:r>
        <w:rPr>
          <w:w w:val="115"/>
        </w:rPr>
        <w:t>in</w:t>
      </w:r>
      <w:r>
        <w:rPr>
          <w:spacing w:val="-16"/>
          <w:w w:val="115"/>
        </w:rPr>
        <w:t> </w:t>
      </w:r>
      <w:r>
        <w:rPr>
          <w:w w:val="115"/>
        </w:rPr>
        <w:t>the</w:t>
      </w:r>
      <w:r>
        <w:rPr>
          <w:spacing w:val="-16"/>
          <w:w w:val="115"/>
        </w:rPr>
        <w:t> </w:t>
      </w:r>
      <w:r>
        <w:rPr>
          <w:w w:val="115"/>
        </w:rPr>
        <w:t>hierarchy</w:t>
      </w:r>
      <w:r>
        <w:rPr>
          <w:spacing w:val="-16"/>
          <w:w w:val="115"/>
        </w:rPr>
        <w:t> </w:t>
      </w:r>
      <w:r>
        <w:rPr>
          <w:w w:val="115"/>
        </w:rPr>
        <w:t>of</w:t>
      </w:r>
    </w:p>
    <w:p>
      <w:pPr>
        <w:pStyle w:val="BodyText"/>
        <w:spacing w:line="268" w:lineRule="auto"/>
        <w:ind w:right="131"/>
      </w:pPr>
      <w:r>
        <w:rPr>
          <w:w w:val="115"/>
        </w:rPr>
        <w:t>courts</w:t>
      </w:r>
      <w:r>
        <w:rPr>
          <w:spacing w:val="-16"/>
          <w:w w:val="115"/>
        </w:rPr>
        <w:t> </w:t>
      </w:r>
      <w:r>
        <w:rPr>
          <w:w w:val="115"/>
        </w:rPr>
        <w:t>it</w:t>
      </w:r>
      <w:r>
        <w:rPr>
          <w:spacing w:val="-16"/>
          <w:w w:val="115"/>
        </w:rPr>
        <w:t> </w:t>
      </w:r>
      <w:r>
        <w:rPr>
          <w:w w:val="115"/>
        </w:rPr>
        <w:t>is</w:t>
      </w:r>
      <w:r>
        <w:rPr>
          <w:spacing w:val="-16"/>
          <w:w w:val="115"/>
        </w:rPr>
        <w:t> </w:t>
      </w:r>
      <w:r>
        <w:rPr>
          <w:w w:val="115"/>
        </w:rPr>
        <w:t>situated</w:t>
      </w:r>
      <w:r>
        <w:rPr>
          <w:spacing w:val="-16"/>
          <w:w w:val="115"/>
        </w:rPr>
        <w:t> </w:t>
      </w:r>
      <w:r>
        <w:rPr>
          <w:w w:val="115"/>
        </w:rPr>
        <w:t>and</w:t>
      </w:r>
      <w:r>
        <w:rPr>
          <w:spacing w:val="-16"/>
          <w:w w:val="115"/>
        </w:rPr>
        <w:t> </w:t>
      </w:r>
      <w:r>
        <w:rPr>
          <w:w w:val="115"/>
        </w:rPr>
        <w:t>independently of whether that court would have powers to strike down legislation in </w:t>
      </w:r>
      <w:r>
        <w:rPr>
          <w:spacing w:val="-2"/>
          <w:w w:val="115"/>
        </w:rPr>
        <w:t>the</w:t>
      </w:r>
      <w:r>
        <w:rPr>
          <w:spacing w:val="-18"/>
          <w:w w:val="115"/>
        </w:rPr>
        <w:t> </w:t>
      </w:r>
      <w:r>
        <w:rPr>
          <w:spacing w:val="-2"/>
          <w:w w:val="115"/>
        </w:rPr>
        <w:t>national</w:t>
      </w:r>
      <w:r>
        <w:rPr>
          <w:spacing w:val="-17"/>
          <w:w w:val="115"/>
        </w:rPr>
        <w:t> </w:t>
      </w:r>
      <w:r>
        <w:rPr>
          <w:spacing w:val="-2"/>
          <w:w w:val="115"/>
        </w:rPr>
        <w:t>legal</w:t>
      </w:r>
      <w:r>
        <w:rPr>
          <w:spacing w:val="-17"/>
          <w:w w:val="115"/>
        </w:rPr>
        <w:t> </w:t>
      </w:r>
      <w:r>
        <w:rPr>
          <w:spacing w:val="-2"/>
          <w:w w:val="115"/>
        </w:rPr>
        <w:t>system.</w:t>
      </w:r>
      <w:r>
        <w:rPr>
          <w:spacing w:val="-2"/>
          <w:w w:val="115"/>
          <w:vertAlign w:val="superscript"/>
        </w:rPr>
        <w:t>55</w:t>
      </w:r>
      <w:r>
        <w:rPr>
          <w:spacing w:val="-17"/>
          <w:w w:val="115"/>
          <w:vertAlign w:val="baseline"/>
        </w:rPr>
        <w:t> </w:t>
      </w:r>
      <w:r>
        <w:rPr>
          <w:spacing w:val="-2"/>
          <w:w w:val="115"/>
          <w:vertAlign w:val="baseline"/>
        </w:rPr>
        <w:t>Translated </w:t>
      </w:r>
      <w:r>
        <w:rPr>
          <w:w w:val="115"/>
          <w:vertAlign w:val="baseline"/>
        </w:rPr>
        <w:t>into the Northern Ireland context,</w:t>
      </w:r>
    </w:p>
    <w:p>
      <w:pPr>
        <w:pStyle w:val="BodyText"/>
        <w:spacing w:line="268" w:lineRule="auto"/>
        <w:ind w:right="221"/>
        <w:jc w:val="both"/>
      </w:pPr>
      <w:r>
        <w:rPr>
          <w:w w:val="115"/>
        </w:rPr>
        <w:t>this</w:t>
      </w:r>
      <w:r>
        <w:rPr>
          <w:spacing w:val="-20"/>
          <w:w w:val="115"/>
        </w:rPr>
        <w:t> </w:t>
      </w:r>
      <w:r>
        <w:rPr>
          <w:w w:val="115"/>
        </w:rPr>
        <w:t>means</w:t>
      </w:r>
      <w:r>
        <w:rPr>
          <w:spacing w:val="-19"/>
          <w:w w:val="115"/>
        </w:rPr>
        <w:t> </w:t>
      </w:r>
      <w:r>
        <w:rPr>
          <w:w w:val="115"/>
        </w:rPr>
        <w:t>that</w:t>
      </w:r>
      <w:r>
        <w:rPr>
          <w:spacing w:val="-19"/>
          <w:w w:val="115"/>
        </w:rPr>
        <w:t> </w:t>
      </w:r>
      <w:r>
        <w:rPr>
          <w:w w:val="115"/>
        </w:rPr>
        <w:t>EU</w:t>
      </w:r>
      <w:r>
        <w:rPr>
          <w:spacing w:val="-19"/>
          <w:w w:val="115"/>
        </w:rPr>
        <w:t> </w:t>
      </w:r>
      <w:r>
        <w:rPr>
          <w:w w:val="115"/>
        </w:rPr>
        <w:t>law</w:t>
      </w:r>
      <w:r>
        <w:rPr>
          <w:spacing w:val="-19"/>
          <w:w w:val="115"/>
        </w:rPr>
        <w:t> </w:t>
      </w:r>
      <w:r>
        <w:rPr>
          <w:w w:val="115"/>
        </w:rPr>
        <w:t>may</w:t>
      </w:r>
      <w:r>
        <w:rPr>
          <w:spacing w:val="-20"/>
          <w:w w:val="115"/>
        </w:rPr>
        <w:t> </w:t>
      </w:r>
      <w:r>
        <w:rPr>
          <w:w w:val="115"/>
        </w:rPr>
        <w:t>require</w:t>
      </w:r>
      <w:r>
        <w:rPr>
          <w:spacing w:val="-19"/>
          <w:w w:val="115"/>
        </w:rPr>
        <w:t> </w:t>
      </w:r>
      <w:r>
        <w:rPr>
          <w:w w:val="115"/>
        </w:rPr>
        <w:t>a Northern</w:t>
      </w:r>
      <w:r>
        <w:rPr>
          <w:spacing w:val="-6"/>
          <w:w w:val="115"/>
        </w:rPr>
        <w:t> </w:t>
      </w:r>
      <w:r>
        <w:rPr>
          <w:w w:val="115"/>
        </w:rPr>
        <w:t>Ireland</w:t>
      </w:r>
      <w:r>
        <w:rPr>
          <w:spacing w:val="-6"/>
          <w:w w:val="115"/>
        </w:rPr>
        <w:t> </w:t>
      </w:r>
      <w:r>
        <w:rPr>
          <w:w w:val="115"/>
        </w:rPr>
        <w:t>court</w:t>
      </w:r>
      <w:r>
        <w:rPr>
          <w:spacing w:val="-6"/>
          <w:w w:val="115"/>
        </w:rPr>
        <w:t> </w:t>
      </w:r>
      <w:r>
        <w:rPr>
          <w:w w:val="115"/>
        </w:rPr>
        <w:t>to</w:t>
      </w:r>
      <w:r>
        <w:rPr>
          <w:spacing w:val="-6"/>
          <w:w w:val="115"/>
        </w:rPr>
        <w:t> </w:t>
      </w:r>
      <w:r>
        <w:rPr>
          <w:w w:val="115"/>
        </w:rPr>
        <w:t>depart</w:t>
      </w:r>
      <w:r>
        <w:rPr>
          <w:spacing w:val="-6"/>
          <w:w w:val="115"/>
        </w:rPr>
        <w:t> </w:t>
      </w:r>
      <w:r>
        <w:rPr>
          <w:w w:val="115"/>
        </w:rPr>
        <w:t>from ordinary</w:t>
      </w:r>
      <w:r>
        <w:rPr>
          <w:spacing w:val="-12"/>
          <w:w w:val="115"/>
        </w:rPr>
        <w:t> </w:t>
      </w:r>
      <w:r>
        <w:rPr>
          <w:w w:val="115"/>
        </w:rPr>
        <w:t>canons</w:t>
      </w:r>
      <w:r>
        <w:rPr>
          <w:spacing w:val="-12"/>
          <w:w w:val="115"/>
        </w:rPr>
        <w:t> </w:t>
      </w:r>
      <w:r>
        <w:rPr>
          <w:w w:val="115"/>
        </w:rPr>
        <w:t>of</w:t>
      </w:r>
      <w:r>
        <w:rPr>
          <w:spacing w:val="-12"/>
          <w:w w:val="115"/>
        </w:rPr>
        <w:t> </w:t>
      </w:r>
      <w:r>
        <w:rPr>
          <w:w w:val="115"/>
        </w:rPr>
        <w:t>interpretation</w:t>
      </w:r>
      <w:r>
        <w:rPr>
          <w:spacing w:val="-12"/>
          <w:w w:val="115"/>
        </w:rPr>
        <w:t> </w:t>
      </w:r>
      <w:r>
        <w:rPr>
          <w:w w:val="115"/>
        </w:rPr>
        <w:t>and even to disapply domestic primary</w:t>
      </w:r>
    </w:p>
    <w:p>
      <w:pPr>
        <w:pStyle w:val="BodyText"/>
        <w:spacing w:line="268" w:lineRule="auto"/>
        <w:ind w:right="611"/>
        <w:jc w:val="both"/>
      </w:pPr>
      <w:r>
        <w:rPr>
          <w:w w:val="115"/>
        </w:rPr>
        <w:t>or</w:t>
      </w:r>
      <w:r>
        <w:rPr>
          <w:spacing w:val="-20"/>
          <w:w w:val="115"/>
        </w:rPr>
        <w:t> </w:t>
      </w:r>
      <w:r>
        <w:rPr>
          <w:w w:val="115"/>
        </w:rPr>
        <w:t>secondary</w:t>
      </w:r>
      <w:r>
        <w:rPr>
          <w:spacing w:val="-19"/>
          <w:w w:val="115"/>
        </w:rPr>
        <w:t> </w:t>
      </w:r>
      <w:r>
        <w:rPr>
          <w:w w:val="115"/>
        </w:rPr>
        <w:t>legislation</w:t>
      </w:r>
      <w:r>
        <w:rPr>
          <w:spacing w:val="-19"/>
          <w:w w:val="115"/>
        </w:rPr>
        <w:t> </w:t>
      </w:r>
      <w:r>
        <w:rPr>
          <w:w w:val="115"/>
        </w:rPr>
        <w:t>(Northern Ireland or UK).</w:t>
      </w:r>
    </w:p>
    <w:p>
      <w:pPr>
        <w:pStyle w:val="BodyText"/>
        <w:spacing w:before="17"/>
        <w:ind w:left="0"/>
      </w:pPr>
    </w:p>
    <w:p>
      <w:pPr>
        <w:pStyle w:val="BodyText"/>
        <w:spacing w:line="268" w:lineRule="auto"/>
        <w:ind w:right="266"/>
      </w:pPr>
      <w:r>
        <w:rPr>
          <w:w w:val="115"/>
        </w:rPr>
        <w:t>The primacy of EU law (a) is the source of the following three principles, which must be made available to individuals who invoke their EU rights before domestic courts: consistent interpretation (b), direct</w:t>
      </w:r>
      <w:r>
        <w:rPr>
          <w:spacing w:val="-17"/>
          <w:w w:val="115"/>
        </w:rPr>
        <w:t> </w:t>
      </w:r>
      <w:r>
        <w:rPr>
          <w:w w:val="115"/>
        </w:rPr>
        <w:t>effect</w:t>
      </w:r>
      <w:r>
        <w:rPr>
          <w:spacing w:val="-17"/>
          <w:w w:val="115"/>
        </w:rPr>
        <w:t> </w:t>
      </w:r>
      <w:r>
        <w:rPr>
          <w:w w:val="115"/>
        </w:rPr>
        <w:t>(c),</w:t>
      </w:r>
      <w:r>
        <w:rPr>
          <w:spacing w:val="-17"/>
          <w:w w:val="115"/>
        </w:rPr>
        <w:t> </w:t>
      </w:r>
      <w:r>
        <w:rPr>
          <w:w w:val="115"/>
        </w:rPr>
        <w:t>and</w:t>
      </w:r>
      <w:r>
        <w:rPr>
          <w:spacing w:val="-17"/>
          <w:w w:val="115"/>
        </w:rPr>
        <w:t> </w:t>
      </w:r>
      <w:r>
        <w:rPr>
          <w:w w:val="115"/>
        </w:rPr>
        <w:t>effectiveness</w:t>
      </w:r>
      <w:r>
        <w:rPr>
          <w:spacing w:val="-17"/>
          <w:w w:val="115"/>
        </w:rPr>
        <w:t> </w:t>
      </w:r>
      <w:r>
        <w:rPr>
          <w:w w:val="115"/>
        </w:rPr>
        <w:t>of remedial action (d).</w:t>
      </w:r>
      <w:r>
        <w:rPr>
          <w:w w:val="115"/>
          <w:vertAlign w:val="superscript"/>
        </w:rPr>
        <w:t>56</w:t>
      </w:r>
    </w:p>
    <w:p>
      <w:pPr>
        <w:spacing w:after="0" w:line="268" w:lineRule="auto"/>
        <w:sectPr>
          <w:type w:val="continuous"/>
          <w:pgSz w:w="11910" w:h="16840"/>
          <w:pgMar w:header="568" w:footer="580" w:top="0" w:bottom="280" w:left="1020" w:right="1020"/>
          <w:cols w:num="2" w:equalWidth="0">
            <w:col w:w="4650" w:space="395"/>
            <w:col w:w="4825"/>
          </w:cols>
        </w:sectPr>
      </w:pPr>
    </w:p>
    <w:p>
      <w:pPr>
        <w:pStyle w:val="BodyText"/>
        <w:ind w:left="0"/>
        <w:rPr>
          <w:sz w:val="20"/>
        </w:rPr>
      </w:pPr>
    </w:p>
    <w:p>
      <w:pPr>
        <w:pStyle w:val="BodyText"/>
        <w:ind w:left="0"/>
        <w:rPr>
          <w:sz w:val="20"/>
        </w:rPr>
      </w:pPr>
    </w:p>
    <w:p>
      <w:pPr>
        <w:pStyle w:val="BodyText"/>
        <w:spacing w:before="47"/>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75" name="Group 75"/>
                <wp:cNvGraphicFramePr>
                  <a:graphicFrameLocks/>
                </wp:cNvGraphicFramePr>
                <a:graphic>
                  <a:graphicData uri="http://schemas.microsoft.com/office/word/2010/wordprocessingGroup">
                    <wpg:wgp>
                      <wpg:cNvPr id="75" name="Group 75"/>
                      <wpg:cNvGrpSpPr/>
                      <wpg:grpSpPr>
                        <a:xfrm>
                          <a:off x="0" y="0"/>
                          <a:ext cx="6120130" cy="6350"/>
                          <a:chExt cx="6120130" cy="6350"/>
                        </a:xfrm>
                      </wpg:grpSpPr>
                      <wps:wsp>
                        <wps:cNvPr id="76" name="Graphic 76"/>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56"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7" w:val="left" w:leader="none"/>
        </w:tabs>
        <w:spacing w:line="223" w:lineRule="exact" w:before="61" w:after="0"/>
        <w:ind w:left="567" w:right="0" w:hanging="454"/>
        <w:jc w:val="left"/>
        <w:rPr>
          <w:sz w:val="16"/>
        </w:rPr>
      </w:pPr>
      <w:r>
        <w:rPr>
          <w:sz w:val="16"/>
        </w:rPr>
        <w:t>Case</w:t>
      </w:r>
      <w:r>
        <w:rPr>
          <w:spacing w:val="-4"/>
          <w:sz w:val="16"/>
        </w:rPr>
        <w:t> </w:t>
      </w:r>
      <w:r>
        <w:rPr>
          <w:sz w:val="16"/>
        </w:rPr>
        <w:t>6/64,</w:t>
      </w:r>
      <w:r>
        <w:rPr>
          <w:spacing w:val="-3"/>
          <w:sz w:val="16"/>
        </w:rPr>
        <w:t> </w:t>
      </w:r>
      <w:r>
        <w:rPr>
          <w:sz w:val="16"/>
        </w:rPr>
        <w:t>C</w:t>
      </w:r>
      <w:r>
        <w:rPr>
          <w:rFonts w:ascii="Verdana"/>
          <w:i/>
          <w:sz w:val="16"/>
        </w:rPr>
        <w:t>osta</w:t>
      </w:r>
      <w:r>
        <w:rPr>
          <w:rFonts w:ascii="Verdana"/>
          <w:i/>
          <w:spacing w:val="-10"/>
          <w:sz w:val="16"/>
        </w:rPr>
        <w:t> </w:t>
      </w:r>
      <w:r>
        <w:rPr>
          <w:rFonts w:ascii="Verdana"/>
          <w:i/>
          <w:sz w:val="16"/>
        </w:rPr>
        <w:t>v</w:t>
      </w:r>
      <w:r>
        <w:rPr>
          <w:rFonts w:ascii="Verdana"/>
          <w:i/>
          <w:spacing w:val="-9"/>
          <w:sz w:val="16"/>
        </w:rPr>
        <w:t> </w:t>
      </w:r>
      <w:r>
        <w:rPr>
          <w:rFonts w:ascii="Verdana"/>
          <w:i/>
          <w:sz w:val="16"/>
        </w:rPr>
        <w:t>ENEL,</w:t>
      </w:r>
      <w:r>
        <w:rPr>
          <w:rFonts w:ascii="Verdana"/>
          <w:i/>
          <w:spacing w:val="-10"/>
          <w:sz w:val="16"/>
        </w:rPr>
        <w:t> </w:t>
      </w:r>
      <w:hyperlink r:id="rId35">
        <w:r>
          <w:rPr>
            <w:color w:val="77328A"/>
            <w:spacing w:val="-2"/>
            <w:sz w:val="16"/>
            <w:u w:val="single" w:color="77328A"/>
          </w:rPr>
          <w:t>EU:C:1964:66</w:t>
        </w:r>
      </w:hyperlink>
      <w:r>
        <w:rPr>
          <w:rFonts w:ascii="Arial"/>
          <w:spacing w:val="-2"/>
          <w:sz w:val="16"/>
          <w:u w:val="none"/>
        </w:rPr>
        <w:t>.</w:t>
      </w:r>
    </w:p>
    <w:p>
      <w:pPr>
        <w:pStyle w:val="ListParagraph"/>
        <w:numPr>
          <w:ilvl w:val="0"/>
          <w:numId w:val="6"/>
        </w:numPr>
        <w:tabs>
          <w:tab w:pos="567" w:val="left" w:leader="none"/>
        </w:tabs>
        <w:spacing w:line="200" w:lineRule="exact" w:before="0" w:after="0"/>
        <w:ind w:left="567" w:right="0" w:hanging="454"/>
        <w:jc w:val="left"/>
        <w:rPr>
          <w:sz w:val="16"/>
        </w:rPr>
      </w:pPr>
      <w:r>
        <w:rPr>
          <w:w w:val="105"/>
          <w:sz w:val="16"/>
        </w:rPr>
        <w:t>Case</w:t>
      </w:r>
      <w:r>
        <w:rPr>
          <w:spacing w:val="-4"/>
          <w:w w:val="105"/>
          <w:sz w:val="16"/>
        </w:rPr>
        <w:t> </w:t>
      </w:r>
      <w:r>
        <w:rPr>
          <w:w w:val="105"/>
          <w:sz w:val="16"/>
        </w:rPr>
        <w:t>41/74,</w:t>
      </w:r>
      <w:r>
        <w:rPr>
          <w:spacing w:val="-3"/>
          <w:w w:val="105"/>
          <w:sz w:val="16"/>
        </w:rPr>
        <w:t> </w:t>
      </w:r>
      <w:r>
        <w:rPr>
          <w:rFonts w:ascii="Trebuchet MS"/>
          <w:i/>
          <w:w w:val="105"/>
          <w:sz w:val="16"/>
        </w:rPr>
        <w:t>Van</w:t>
      </w:r>
      <w:r>
        <w:rPr>
          <w:rFonts w:ascii="Trebuchet MS"/>
          <w:i/>
          <w:spacing w:val="-1"/>
          <w:w w:val="105"/>
          <w:sz w:val="16"/>
        </w:rPr>
        <w:t> </w:t>
      </w:r>
      <w:r>
        <w:rPr>
          <w:rFonts w:ascii="Trebuchet MS"/>
          <w:i/>
          <w:w w:val="105"/>
          <w:sz w:val="16"/>
        </w:rPr>
        <w:t>Duyn</w:t>
      </w:r>
      <w:r>
        <w:rPr>
          <w:rFonts w:ascii="Trebuchet MS"/>
          <w:i/>
          <w:spacing w:val="-1"/>
          <w:w w:val="105"/>
          <w:sz w:val="16"/>
        </w:rPr>
        <w:t> </w:t>
      </w:r>
      <w:r>
        <w:rPr>
          <w:rFonts w:ascii="Trebuchet MS"/>
          <w:i/>
          <w:w w:val="105"/>
          <w:sz w:val="16"/>
        </w:rPr>
        <w:t>v</w:t>
      </w:r>
      <w:r>
        <w:rPr>
          <w:rFonts w:ascii="Trebuchet MS"/>
          <w:i/>
          <w:spacing w:val="-1"/>
          <w:w w:val="105"/>
          <w:sz w:val="16"/>
        </w:rPr>
        <w:t> </w:t>
      </w:r>
      <w:r>
        <w:rPr>
          <w:rFonts w:ascii="Trebuchet MS"/>
          <w:i/>
          <w:w w:val="105"/>
          <w:sz w:val="16"/>
        </w:rPr>
        <w:t>Home</w:t>
      </w:r>
      <w:r>
        <w:rPr>
          <w:rFonts w:ascii="Trebuchet MS"/>
          <w:i/>
          <w:spacing w:val="-2"/>
          <w:w w:val="105"/>
          <w:sz w:val="16"/>
        </w:rPr>
        <w:t> </w:t>
      </w:r>
      <w:r>
        <w:rPr>
          <w:rFonts w:ascii="Trebuchet MS"/>
          <w:i/>
          <w:w w:val="105"/>
          <w:sz w:val="16"/>
        </w:rPr>
        <w:t>Office</w:t>
      </w:r>
      <w:r>
        <w:rPr>
          <w:rFonts w:ascii="Trebuchet MS"/>
          <w:i/>
          <w:spacing w:val="-1"/>
          <w:w w:val="105"/>
          <w:sz w:val="16"/>
        </w:rPr>
        <w:t> </w:t>
      </w:r>
      <w:r>
        <w:rPr>
          <w:spacing w:val="-2"/>
          <w:w w:val="105"/>
          <w:sz w:val="16"/>
        </w:rPr>
        <w:t>EU:C:1974:133.</w:t>
      </w:r>
    </w:p>
    <w:p>
      <w:pPr>
        <w:pStyle w:val="ListParagraph"/>
        <w:numPr>
          <w:ilvl w:val="0"/>
          <w:numId w:val="6"/>
        </w:numPr>
        <w:tabs>
          <w:tab w:pos="567" w:val="left" w:leader="none"/>
        </w:tabs>
        <w:spacing w:line="200" w:lineRule="exact" w:before="0" w:after="0"/>
        <w:ind w:left="567" w:right="0" w:hanging="454"/>
        <w:jc w:val="left"/>
        <w:rPr>
          <w:sz w:val="16"/>
        </w:rPr>
      </w:pPr>
      <w:r>
        <w:rPr>
          <w:sz w:val="16"/>
        </w:rPr>
        <w:t>Case</w:t>
      </w:r>
      <w:r>
        <w:rPr>
          <w:spacing w:val="-13"/>
          <w:sz w:val="16"/>
        </w:rPr>
        <w:t> </w:t>
      </w:r>
      <w:r>
        <w:rPr>
          <w:sz w:val="16"/>
        </w:rPr>
        <w:t>26/62,</w:t>
      </w:r>
      <w:r>
        <w:rPr>
          <w:spacing w:val="-8"/>
          <w:sz w:val="16"/>
        </w:rPr>
        <w:t> </w:t>
      </w:r>
      <w:r>
        <w:rPr>
          <w:rFonts w:ascii="Verdana"/>
          <w:i/>
          <w:sz w:val="16"/>
        </w:rPr>
        <w:t>Van</w:t>
      </w:r>
      <w:r>
        <w:rPr>
          <w:rFonts w:ascii="Verdana"/>
          <w:i/>
          <w:spacing w:val="-15"/>
          <w:sz w:val="16"/>
        </w:rPr>
        <w:t> </w:t>
      </w:r>
      <w:r>
        <w:rPr>
          <w:rFonts w:ascii="Verdana"/>
          <w:i/>
          <w:sz w:val="16"/>
        </w:rPr>
        <w:t>Gend</w:t>
      </w:r>
      <w:r>
        <w:rPr>
          <w:rFonts w:ascii="Verdana"/>
          <w:i/>
          <w:spacing w:val="-14"/>
          <w:sz w:val="16"/>
        </w:rPr>
        <w:t> </w:t>
      </w:r>
      <w:r>
        <w:rPr>
          <w:rFonts w:ascii="Verdana"/>
          <w:i/>
          <w:sz w:val="16"/>
        </w:rPr>
        <w:t>en</w:t>
      </w:r>
      <w:r>
        <w:rPr>
          <w:rFonts w:ascii="Verdana"/>
          <w:i/>
          <w:spacing w:val="-14"/>
          <w:sz w:val="16"/>
        </w:rPr>
        <w:t> </w:t>
      </w:r>
      <w:r>
        <w:rPr>
          <w:rFonts w:ascii="Verdana"/>
          <w:i/>
          <w:sz w:val="16"/>
        </w:rPr>
        <w:t>Loos</w:t>
      </w:r>
      <w:r>
        <w:rPr>
          <w:rFonts w:ascii="Verdana"/>
          <w:i/>
          <w:spacing w:val="-14"/>
          <w:sz w:val="16"/>
        </w:rPr>
        <w:t> </w:t>
      </w:r>
      <w:r>
        <w:rPr>
          <w:rFonts w:ascii="Verdana"/>
          <w:i/>
          <w:sz w:val="16"/>
        </w:rPr>
        <w:t>v</w:t>
      </w:r>
      <w:r>
        <w:rPr>
          <w:rFonts w:ascii="Verdana"/>
          <w:i/>
          <w:spacing w:val="-14"/>
          <w:sz w:val="16"/>
        </w:rPr>
        <w:t> </w:t>
      </w:r>
      <w:r>
        <w:rPr>
          <w:rFonts w:ascii="Verdana"/>
          <w:i/>
          <w:sz w:val="16"/>
        </w:rPr>
        <w:t>Nederlandse</w:t>
      </w:r>
      <w:r>
        <w:rPr>
          <w:rFonts w:ascii="Verdana"/>
          <w:i/>
          <w:spacing w:val="-14"/>
          <w:sz w:val="16"/>
        </w:rPr>
        <w:t> </w:t>
      </w:r>
      <w:r>
        <w:rPr>
          <w:rFonts w:ascii="Verdana"/>
          <w:i/>
          <w:sz w:val="16"/>
        </w:rPr>
        <w:t>Administratie</w:t>
      </w:r>
      <w:r>
        <w:rPr>
          <w:rFonts w:ascii="Verdana"/>
          <w:i/>
          <w:spacing w:val="-14"/>
          <w:sz w:val="16"/>
        </w:rPr>
        <w:t> </w:t>
      </w:r>
      <w:r>
        <w:rPr>
          <w:rFonts w:ascii="Verdana"/>
          <w:i/>
          <w:sz w:val="16"/>
        </w:rPr>
        <w:t>der</w:t>
      </w:r>
      <w:r>
        <w:rPr>
          <w:rFonts w:ascii="Verdana"/>
          <w:i/>
          <w:spacing w:val="-14"/>
          <w:sz w:val="16"/>
        </w:rPr>
        <w:t> </w:t>
      </w:r>
      <w:r>
        <w:rPr>
          <w:rFonts w:ascii="Verdana"/>
          <w:i/>
          <w:sz w:val="16"/>
        </w:rPr>
        <w:t>Belastingen</w:t>
      </w:r>
      <w:r>
        <w:rPr>
          <w:sz w:val="16"/>
        </w:rPr>
        <w:t>,</w:t>
      </w:r>
      <w:r>
        <w:rPr>
          <w:spacing w:val="-9"/>
          <w:sz w:val="16"/>
        </w:rPr>
        <w:t> </w:t>
      </w:r>
      <w:r>
        <w:rPr>
          <w:spacing w:val="-2"/>
          <w:sz w:val="16"/>
        </w:rPr>
        <w:t>EU:C:1963:1</w:t>
      </w:r>
    </w:p>
    <w:p>
      <w:pPr>
        <w:pStyle w:val="ListParagraph"/>
        <w:numPr>
          <w:ilvl w:val="0"/>
          <w:numId w:val="6"/>
        </w:numPr>
        <w:tabs>
          <w:tab w:pos="567" w:val="left" w:leader="none"/>
        </w:tabs>
        <w:spacing w:line="200" w:lineRule="exact" w:before="0" w:after="0"/>
        <w:ind w:left="567" w:right="0" w:hanging="454"/>
        <w:jc w:val="left"/>
        <w:rPr>
          <w:sz w:val="16"/>
        </w:rPr>
      </w:pPr>
      <w:r>
        <w:rPr>
          <w:spacing w:val="-2"/>
          <w:sz w:val="16"/>
        </w:rPr>
        <w:t>Case</w:t>
      </w:r>
      <w:r>
        <w:rPr>
          <w:spacing w:val="-5"/>
          <w:sz w:val="16"/>
        </w:rPr>
        <w:t> </w:t>
      </w:r>
      <w:r>
        <w:rPr>
          <w:spacing w:val="-2"/>
          <w:sz w:val="16"/>
        </w:rPr>
        <w:t>C-6/90</w:t>
      </w:r>
      <w:r>
        <w:rPr>
          <w:spacing w:val="-4"/>
          <w:sz w:val="16"/>
        </w:rPr>
        <w:t> </w:t>
      </w:r>
      <w:r>
        <w:rPr>
          <w:rFonts w:ascii="Verdana"/>
          <w:i/>
          <w:spacing w:val="-2"/>
          <w:sz w:val="16"/>
        </w:rPr>
        <w:t>Francovich</w:t>
      </w:r>
      <w:r>
        <w:rPr>
          <w:rFonts w:ascii="Verdana"/>
          <w:i/>
          <w:spacing w:val="-11"/>
          <w:sz w:val="16"/>
        </w:rPr>
        <w:t> </w:t>
      </w:r>
      <w:r>
        <w:rPr>
          <w:rFonts w:ascii="Verdana"/>
          <w:i/>
          <w:spacing w:val="-2"/>
          <w:sz w:val="16"/>
        </w:rPr>
        <w:t>and</w:t>
      </w:r>
      <w:r>
        <w:rPr>
          <w:rFonts w:ascii="Verdana"/>
          <w:i/>
          <w:spacing w:val="-10"/>
          <w:sz w:val="16"/>
        </w:rPr>
        <w:t> </w:t>
      </w:r>
      <w:r>
        <w:rPr>
          <w:rFonts w:ascii="Verdana"/>
          <w:i/>
          <w:spacing w:val="-2"/>
          <w:sz w:val="16"/>
        </w:rPr>
        <w:t>Bonifaci</w:t>
      </w:r>
      <w:r>
        <w:rPr>
          <w:rFonts w:ascii="Verdana"/>
          <w:i/>
          <w:spacing w:val="-10"/>
          <w:sz w:val="16"/>
        </w:rPr>
        <w:t> </w:t>
      </w:r>
      <w:r>
        <w:rPr>
          <w:rFonts w:ascii="Verdana"/>
          <w:i/>
          <w:spacing w:val="-2"/>
          <w:sz w:val="16"/>
        </w:rPr>
        <w:t>v</w:t>
      </w:r>
      <w:r>
        <w:rPr>
          <w:rFonts w:ascii="Verdana"/>
          <w:i/>
          <w:spacing w:val="-11"/>
          <w:sz w:val="16"/>
        </w:rPr>
        <w:t> </w:t>
      </w:r>
      <w:r>
        <w:rPr>
          <w:rFonts w:ascii="Verdana"/>
          <w:i/>
          <w:spacing w:val="-2"/>
          <w:sz w:val="16"/>
        </w:rPr>
        <w:t>Italy</w:t>
      </w:r>
      <w:r>
        <w:rPr>
          <w:spacing w:val="-2"/>
          <w:sz w:val="16"/>
        </w:rPr>
        <w:t>,</w:t>
      </w:r>
      <w:r>
        <w:rPr>
          <w:spacing w:val="-4"/>
          <w:sz w:val="16"/>
        </w:rPr>
        <w:t> </w:t>
      </w:r>
      <w:r>
        <w:rPr>
          <w:spacing w:val="-2"/>
          <w:sz w:val="16"/>
        </w:rPr>
        <w:t>EU:C:1991:428,</w:t>
      </w:r>
      <w:r>
        <w:rPr>
          <w:spacing w:val="-5"/>
          <w:sz w:val="16"/>
        </w:rPr>
        <w:t> </w:t>
      </w:r>
      <w:r>
        <w:rPr>
          <w:spacing w:val="-2"/>
          <w:sz w:val="16"/>
        </w:rPr>
        <w:t>para.</w:t>
      </w:r>
      <w:r>
        <w:rPr>
          <w:spacing w:val="-4"/>
          <w:sz w:val="16"/>
        </w:rPr>
        <w:t> </w:t>
      </w:r>
      <w:r>
        <w:rPr>
          <w:spacing w:val="-5"/>
          <w:sz w:val="16"/>
        </w:rPr>
        <w:t>33.</w:t>
      </w:r>
    </w:p>
    <w:p>
      <w:pPr>
        <w:pStyle w:val="ListParagraph"/>
        <w:numPr>
          <w:ilvl w:val="0"/>
          <w:numId w:val="6"/>
        </w:numPr>
        <w:tabs>
          <w:tab w:pos="567" w:val="left" w:leader="none"/>
        </w:tabs>
        <w:spacing w:line="200" w:lineRule="exact" w:before="0" w:after="0"/>
        <w:ind w:left="567" w:right="0" w:hanging="454"/>
        <w:jc w:val="left"/>
        <w:rPr>
          <w:rFonts w:ascii="Arial"/>
          <w:sz w:val="16"/>
        </w:rPr>
      </w:pPr>
      <w:r>
        <w:rPr>
          <w:spacing w:val="-2"/>
          <w:w w:val="105"/>
          <w:sz w:val="16"/>
        </w:rPr>
        <w:t>Declaration</w:t>
      </w:r>
      <w:r>
        <w:rPr>
          <w:spacing w:val="-3"/>
          <w:w w:val="105"/>
          <w:sz w:val="16"/>
        </w:rPr>
        <w:t> </w:t>
      </w:r>
      <w:r>
        <w:rPr>
          <w:spacing w:val="-2"/>
          <w:w w:val="105"/>
          <w:sz w:val="16"/>
        </w:rPr>
        <w:t>no</w:t>
      </w:r>
      <w:r>
        <w:rPr>
          <w:spacing w:val="-3"/>
          <w:w w:val="105"/>
          <w:sz w:val="16"/>
        </w:rPr>
        <w:t> </w:t>
      </w:r>
      <w:r>
        <w:rPr>
          <w:spacing w:val="-2"/>
          <w:w w:val="105"/>
          <w:sz w:val="16"/>
        </w:rPr>
        <w:t>17</w:t>
      </w:r>
      <w:r>
        <w:rPr>
          <w:spacing w:val="-3"/>
          <w:w w:val="105"/>
          <w:sz w:val="16"/>
        </w:rPr>
        <w:t> </w:t>
      </w:r>
      <w:r>
        <w:rPr>
          <w:spacing w:val="-2"/>
          <w:w w:val="105"/>
          <w:sz w:val="16"/>
        </w:rPr>
        <w:t>(Declaration concerning</w:t>
      </w:r>
      <w:r>
        <w:rPr>
          <w:spacing w:val="-3"/>
          <w:w w:val="105"/>
          <w:sz w:val="16"/>
        </w:rPr>
        <w:t> </w:t>
      </w:r>
      <w:r>
        <w:rPr>
          <w:spacing w:val="-2"/>
          <w:w w:val="105"/>
          <w:sz w:val="16"/>
        </w:rPr>
        <w:t>primacy)</w:t>
      </w:r>
      <w:r>
        <w:rPr>
          <w:spacing w:val="-3"/>
          <w:w w:val="105"/>
          <w:sz w:val="16"/>
        </w:rPr>
        <w:t> </w:t>
      </w:r>
      <w:r>
        <w:rPr>
          <w:spacing w:val="-2"/>
          <w:w w:val="105"/>
          <w:sz w:val="16"/>
        </w:rPr>
        <w:t>to the</w:t>
      </w:r>
      <w:r>
        <w:rPr>
          <w:spacing w:val="-3"/>
          <w:w w:val="105"/>
          <w:sz w:val="16"/>
        </w:rPr>
        <w:t> </w:t>
      </w:r>
      <w:r>
        <w:rPr>
          <w:spacing w:val="-2"/>
          <w:w w:val="105"/>
          <w:sz w:val="16"/>
        </w:rPr>
        <w:t>Lisbon</w:t>
      </w:r>
      <w:r>
        <w:rPr>
          <w:spacing w:val="-3"/>
          <w:w w:val="105"/>
          <w:sz w:val="16"/>
        </w:rPr>
        <w:t> </w:t>
      </w:r>
      <w:r>
        <w:rPr>
          <w:spacing w:val="-2"/>
          <w:w w:val="105"/>
          <w:sz w:val="16"/>
        </w:rPr>
        <w:t>Treaty [2008]</w:t>
      </w:r>
      <w:r>
        <w:rPr>
          <w:spacing w:val="-3"/>
          <w:w w:val="105"/>
          <w:sz w:val="16"/>
        </w:rPr>
        <w:t> </w:t>
      </w:r>
      <w:r>
        <w:rPr>
          <w:spacing w:val="-2"/>
          <w:w w:val="115"/>
          <w:sz w:val="16"/>
        </w:rPr>
        <w:t>OJ</w:t>
      </w:r>
      <w:r>
        <w:rPr>
          <w:spacing w:val="-8"/>
          <w:w w:val="115"/>
          <w:sz w:val="16"/>
        </w:rPr>
        <w:t> </w:t>
      </w:r>
      <w:r>
        <w:rPr>
          <w:spacing w:val="-2"/>
          <w:w w:val="105"/>
          <w:sz w:val="16"/>
        </w:rPr>
        <w:t>C</w:t>
      </w:r>
      <w:r>
        <w:rPr>
          <w:spacing w:val="-3"/>
          <w:w w:val="105"/>
          <w:sz w:val="16"/>
        </w:rPr>
        <w:t> </w:t>
      </w:r>
      <w:r>
        <w:rPr>
          <w:spacing w:val="-2"/>
          <w:w w:val="105"/>
          <w:sz w:val="16"/>
        </w:rPr>
        <w:t>115/344.</w:t>
      </w:r>
    </w:p>
    <w:p>
      <w:pPr>
        <w:pStyle w:val="ListParagraph"/>
        <w:numPr>
          <w:ilvl w:val="0"/>
          <w:numId w:val="6"/>
        </w:numPr>
        <w:tabs>
          <w:tab w:pos="567" w:val="left" w:leader="none"/>
        </w:tabs>
        <w:spacing w:line="200" w:lineRule="exact" w:before="0" w:after="0"/>
        <w:ind w:left="567" w:right="0" w:hanging="454"/>
        <w:jc w:val="left"/>
        <w:rPr>
          <w:sz w:val="16"/>
        </w:rPr>
      </w:pPr>
      <w:r>
        <w:rPr>
          <w:rFonts w:ascii="Verdana"/>
          <w:i/>
          <w:sz w:val="16"/>
        </w:rPr>
        <w:t>Costa</w:t>
      </w:r>
      <w:r>
        <w:rPr>
          <w:rFonts w:ascii="Verdana"/>
          <w:i/>
          <w:spacing w:val="-1"/>
          <w:sz w:val="16"/>
        </w:rPr>
        <w:t> </w:t>
      </w:r>
      <w:r>
        <w:rPr>
          <w:rFonts w:ascii="Verdana"/>
          <w:i/>
          <w:sz w:val="16"/>
        </w:rPr>
        <w:t>v</w:t>
      </w:r>
      <w:r>
        <w:rPr>
          <w:rFonts w:ascii="Verdana"/>
          <w:i/>
          <w:spacing w:val="-1"/>
          <w:sz w:val="16"/>
        </w:rPr>
        <w:t> </w:t>
      </w:r>
      <w:r>
        <w:rPr>
          <w:rFonts w:ascii="Verdana"/>
          <w:i/>
          <w:sz w:val="16"/>
        </w:rPr>
        <w:t>ENEL</w:t>
      </w:r>
      <w:r>
        <w:rPr>
          <w:rFonts w:ascii="Verdana"/>
          <w:i/>
          <w:spacing w:val="-1"/>
          <w:sz w:val="16"/>
        </w:rPr>
        <w:t> </w:t>
      </w:r>
      <w:r>
        <w:rPr>
          <w:sz w:val="16"/>
        </w:rPr>
        <w:t>(n</w:t>
      </w:r>
      <w:r>
        <w:rPr>
          <w:spacing w:val="5"/>
          <w:sz w:val="16"/>
        </w:rPr>
        <w:t> </w:t>
      </w:r>
      <w:r>
        <w:rPr>
          <w:spacing w:val="-4"/>
          <w:sz w:val="16"/>
        </w:rPr>
        <w:t>47).</w:t>
      </w:r>
    </w:p>
    <w:p>
      <w:pPr>
        <w:pStyle w:val="ListParagraph"/>
        <w:numPr>
          <w:ilvl w:val="0"/>
          <w:numId w:val="6"/>
        </w:numPr>
        <w:tabs>
          <w:tab w:pos="567" w:val="left" w:leader="none"/>
        </w:tabs>
        <w:spacing w:line="200" w:lineRule="exact" w:before="0" w:after="0"/>
        <w:ind w:left="567" w:right="0" w:hanging="454"/>
        <w:jc w:val="left"/>
        <w:rPr>
          <w:sz w:val="16"/>
        </w:rPr>
      </w:pPr>
      <w:r>
        <w:rPr>
          <w:spacing w:val="-4"/>
          <w:sz w:val="16"/>
        </w:rPr>
        <w:t>Case C-399/11, </w:t>
      </w:r>
      <w:r>
        <w:rPr>
          <w:rFonts w:ascii="Verdana"/>
          <w:i/>
          <w:spacing w:val="-4"/>
          <w:sz w:val="16"/>
        </w:rPr>
        <w:t>Stefano</w:t>
      </w:r>
      <w:r>
        <w:rPr>
          <w:rFonts w:ascii="Verdana"/>
          <w:i/>
          <w:spacing w:val="-9"/>
          <w:sz w:val="16"/>
        </w:rPr>
        <w:t> </w:t>
      </w:r>
      <w:r>
        <w:rPr>
          <w:rFonts w:ascii="Verdana"/>
          <w:i/>
          <w:spacing w:val="-4"/>
          <w:sz w:val="16"/>
        </w:rPr>
        <w:t>Melloni</w:t>
      </w:r>
      <w:r>
        <w:rPr>
          <w:rFonts w:ascii="Verdana"/>
          <w:i/>
          <w:spacing w:val="-10"/>
          <w:sz w:val="16"/>
        </w:rPr>
        <w:t> </w:t>
      </w:r>
      <w:r>
        <w:rPr>
          <w:rFonts w:ascii="Verdana"/>
          <w:i/>
          <w:spacing w:val="-4"/>
          <w:sz w:val="16"/>
        </w:rPr>
        <w:t>v</w:t>
      </w:r>
      <w:r>
        <w:rPr>
          <w:rFonts w:ascii="Verdana"/>
          <w:i/>
          <w:spacing w:val="-9"/>
          <w:sz w:val="16"/>
        </w:rPr>
        <w:t> </w:t>
      </w:r>
      <w:r>
        <w:rPr>
          <w:rFonts w:ascii="Verdana"/>
          <w:i/>
          <w:spacing w:val="-4"/>
          <w:sz w:val="16"/>
        </w:rPr>
        <w:t>Ministerio</w:t>
      </w:r>
      <w:r>
        <w:rPr>
          <w:rFonts w:ascii="Verdana"/>
          <w:i/>
          <w:spacing w:val="-10"/>
          <w:sz w:val="16"/>
        </w:rPr>
        <w:t> </w:t>
      </w:r>
      <w:r>
        <w:rPr>
          <w:rFonts w:ascii="Verdana"/>
          <w:i/>
          <w:spacing w:val="-4"/>
          <w:sz w:val="16"/>
        </w:rPr>
        <w:t>Fiscal,</w:t>
      </w:r>
      <w:r>
        <w:rPr>
          <w:rFonts w:ascii="Verdana"/>
          <w:i/>
          <w:spacing w:val="-9"/>
          <w:sz w:val="16"/>
        </w:rPr>
        <w:t> </w:t>
      </w:r>
      <w:r>
        <w:rPr>
          <w:spacing w:val="-4"/>
          <w:sz w:val="16"/>
        </w:rPr>
        <w:t>EU:C:2013:107, paras</w:t>
      </w:r>
      <w:r>
        <w:rPr>
          <w:spacing w:val="-3"/>
          <w:sz w:val="16"/>
        </w:rPr>
        <w:t> </w:t>
      </w:r>
      <w:r>
        <w:rPr>
          <w:spacing w:val="-4"/>
          <w:sz w:val="16"/>
        </w:rPr>
        <w:t>59-</w:t>
      </w:r>
      <w:r>
        <w:rPr>
          <w:spacing w:val="-5"/>
          <w:sz w:val="16"/>
        </w:rPr>
        <w:t>64.</w:t>
      </w:r>
    </w:p>
    <w:p>
      <w:pPr>
        <w:pStyle w:val="ListParagraph"/>
        <w:numPr>
          <w:ilvl w:val="0"/>
          <w:numId w:val="6"/>
        </w:numPr>
        <w:tabs>
          <w:tab w:pos="567" w:val="left" w:leader="none"/>
        </w:tabs>
        <w:spacing w:line="200" w:lineRule="exact" w:before="0" w:after="0"/>
        <w:ind w:left="567" w:right="0" w:hanging="454"/>
        <w:jc w:val="left"/>
        <w:rPr>
          <w:sz w:val="16"/>
        </w:rPr>
      </w:pPr>
      <w:r>
        <w:rPr>
          <w:spacing w:val="-4"/>
          <w:sz w:val="16"/>
        </w:rPr>
        <w:t>Case</w:t>
      </w:r>
      <w:r>
        <w:rPr>
          <w:spacing w:val="-2"/>
          <w:sz w:val="16"/>
        </w:rPr>
        <w:t> </w:t>
      </w:r>
      <w:r>
        <w:rPr>
          <w:spacing w:val="-4"/>
          <w:sz w:val="16"/>
        </w:rPr>
        <w:t>11/70,</w:t>
      </w:r>
      <w:r>
        <w:rPr>
          <w:spacing w:val="-1"/>
          <w:sz w:val="16"/>
        </w:rPr>
        <w:t> </w:t>
      </w:r>
      <w:r>
        <w:rPr>
          <w:rFonts w:ascii="Verdana"/>
          <w:i/>
          <w:spacing w:val="-4"/>
          <w:sz w:val="16"/>
        </w:rPr>
        <w:t>Internationale</w:t>
      </w:r>
      <w:r>
        <w:rPr>
          <w:rFonts w:ascii="Verdana"/>
          <w:i/>
          <w:spacing w:val="-8"/>
          <w:sz w:val="16"/>
        </w:rPr>
        <w:t> </w:t>
      </w:r>
      <w:r>
        <w:rPr>
          <w:rFonts w:ascii="Verdana"/>
          <w:i/>
          <w:spacing w:val="-4"/>
          <w:sz w:val="16"/>
        </w:rPr>
        <w:t>Handelsgesellschaft,</w:t>
      </w:r>
      <w:r>
        <w:rPr>
          <w:rFonts w:ascii="Verdana"/>
          <w:i/>
          <w:spacing w:val="-7"/>
          <w:sz w:val="16"/>
        </w:rPr>
        <w:t> </w:t>
      </w:r>
      <w:r>
        <w:rPr>
          <w:spacing w:val="-4"/>
          <w:sz w:val="16"/>
        </w:rPr>
        <w:t>EU:C:1970:114.</w:t>
      </w:r>
    </w:p>
    <w:p>
      <w:pPr>
        <w:pStyle w:val="ListParagraph"/>
        <w:numPr>
          <w:ilvl w:val="0"/>
          <w:numId w:val="6"/>
        </w:numPr>
        <w:tabs>
          <w:tab w:pos="567" w:val="left" w:leader="none"/>
        </w:tabs>
        <w:spacing w:line="213" w:lineRule="exact" w:before="0" w:after="0"/>
        <w:ind w:left="567" w:right="0" w:hanging="454"/>
        <w:jc w:val="left"/>
        <w:rPr>
          <w:rFonts w:ascii="Arial"/>
          <w:sz w:val="16"/>
        </w:rPr>
      </w:pPr>
      <w:r>
        <w:rPr>
          <w:spacing w:val="-4"/>
          <w:sz w:val="16"/>
        </w:rPr>
        <w:t>Case</w:t>
      </w:r>
      <w:r>
        <w:rPr>
          <w:spacing w:val="-9"/>
          <w:sz w:val="16"/>
        </w:rPr>
        <w:t> </w:t>
      </w:r>
      <w:r>
        <w:rPr>
          <w:spacing w:val="-4"/>
          <w:sz w:val="16"/>
        </w:rPr>
        <w:t>106/77,</w:t>
      </w:r>
      <w:r>
        <w:rPr>
          <w:spacing w:val="-8"/>
          <w:sz w:val="16"/>
        </w:rPr>
        <w:t> </w:t>
      </w:r>
      <w:r>
        <w:rPr>
          <w:rFonts w:ascii="Verdana"/>
          <w:i/>
          <w:spacing w:val="-4"/>
          <w:sz w:val="16"/>
        </w:rPr>
        <w:t>Simmenthal</w:t>
      </w:r>
      <w:r>
        <w:rPr>
          <w:spacing w:val="-4"/>
          <w:sz w:val="16"/>
        </w:rPr>
        <w:t>,</w:t>
      </w:r>
      <w:r>
        <w:rPr>
          <w:spacing w:val="-9"/>
          <w:sz w:val="16"/>
        </w:rPr>
        <w:t> </w:t>
      </w:r>
      <w:r>
        <w:rPr>
          <w:spacing w:val="-4"/>
          <w:sz w:val="16"/>
        </w:rPr>
        <w:t>EU:C:1978:49.</w:t>
      </w:r>
    </w:p>
    <w:p>
      <w:pPr>
        <w:pStyle w:val="ListParagraph"/>
        <w:numPr>
          <w:ilvl w:val="0"/>
          <w:numId w:val="6"/>
        </w:numPr>
        <w:tabs>
          <w:tab w:pos="567" w:val="left" w:leader="none"/>
        </w:tabs>
        <w:spacing w:line="174" w:lineRule="exact" w:before="0" w:after="0"/>
        <w:ind w:left="567" w:right="0" w:hanging="454"/>
        <w:jc w:val="left"/>
        <w:rPr>
          <w:rFonts w:ascii="Arial"/>
          <w:sz w:val="16"/>
        </w:rPr>
      </w:pPr>
      <w:r>
        <w:rPr>
          <w:rFonts w:ascii="Arial"/>
          <w:spacing w:val="-2"/>
          <w:w w:val="115"/>
          <w:sz w:val="16"/>
        </w:rPr>
        <w:t>For</w:t>
      </w:r>
      <w:r>
        <w:rPr>
          <w:rFonts w:ascii="Arial"/>
          <w:spacing w:val="-6"/>
          <w:w w:val="115"/>
          <w:sz w:val="16"/>
        </w:rPr>
        <w:t> </w:t>
      </w:r>
      <w:r>
        <w:rPr>
          <w:rFonts w:ascii="Arial"/>
          <w:spacing w:val="-2"/>
          <w:w w:val="115"/>
          <w:sz w:val="16"/>
        </w:rPr>
        <w:t>the</w:t>
      </w:r>
      <w:r>
        <w:rPr>
          <w:rFonts w:ascii="Arial"/>
          <w:spacing w:val="-6"/>
          <w:w w:val="115"/>
          <w:sz w:val="16"/>
        </w:rPr>
        <w:t> </w:t>
      </w:r>
      <w:r>
        <w:rPr>
          <w:rFonts w:ascii="Arial"/>
          <w:spacing w:val="-2"/>
          <w:w w:val="115"/>
          <w:sz w:val="16"/>
        </w:rPr>
        <w:t>avoidance</w:t>
      </w:r>
      <w:r>
        <w:rPr>
          <w:rFonts w:ascii="Arial"/>
          <w:spacing w:val="-5"/>
          <w:w w:val="115"/>
          <w:sz w:val="16"/>
        </w:rPr>
        <w:t> </w:t>
      </w:r>
      <w:r>
        <w:rPr>
          <w:rFonts w:ascii="Arial"/>
          <w:spacing w:val="-2"/>
          <w:w w:val="115"/>
          <w:sz w:val="16"/>
        </w:rPr>
        <w:t>of</w:t>
      </w:r>
      <w:r>
        <w:rPr>
          <w:rFonts w:ascii="Arial"/>
          <w:spacing w:val="-6"/>
          <w:w w:val="115"/>
          <w:sz w:val="16"/>
        </w:rPr>
        <w:t> </w:t>
      </w:r>
      <w:r>
        <w:rPr>
          <w:rFonts w:ascii="Arial"/>
          <w:spacing w:val="-2"/>
          <w:w w:val="115"/>
          <w:sz w:val="16"/>
        </w:rPr>
        <w:t>doubt,</w:t>
      </w:r>
      <w:r>
        <w:rPr>
          <w:rFonts w:ascii="Arial"/>
          <w:spacing w:val="-5"/>
          <w:w w:val="115"/>
          <w:sz w:val="16"/>
        </w:rPr>
        <w:t> </w:t>
      </w:r>
      <w:r>
        <w:rPr>
          <w:rFonts w:ascii="Arial"/>
          <w:spacing w:val="-2"/>
          <w:w w:val="115"/>
          <w:sz w:val="16"/>
        </w:rPr>
        <w:t>these</w:t>
      </w:r>
      <w:r>
        <w:rPr>
          <w:rFonts w:ascii="Arial"/>
          <w:spacing w:val="-6"/>
          <w:w w:val="115"/>
          <w:sz w:val="16"/>
        </w:rPr>
        <w:t> </w:t>
      </w:r>
      <w:r>
        <w:rPr>
          <w:rFonts w:ascii="Arial"/>
          <w:spacing w:val="-2"/>
          <w:w w:val="115"/>
          <w:sz w:val="16"/>
        </w:rPr>
        <w:t>principles</w:t>
      </w:r>
      <w:r>
        <w:rPr>
          <w:rFonts w:ascii="Arial"/>
          <w:spacing w:val="-5"/>
          <w:w w:val="115"/>
          <w:sz w:val="16"/>
        </w:rPr>
        <w:t> </w:t>
      </w:r>
      <w:r>
        <w:rPr>
          <w:rFonts w:ascii="Arial"/>
          <w:spacing w:val="-2"/>
          <w:w w:val="115"/>
          <w:sz w:val="16"/>
        </w:rPr>
        <w:t>apply,</w:t>
      </w:r>
      <w:r>
        <w:rPr>
          <w:rFonts w:ascii="Arial"/>
          <w:spacing w:val="-6"/>
          <w:w w:val="115"/>
          <w:sz w:val="16"/>
        </w:rPr>
        <w:t> </w:t>
      </w:r>
      <w:r>
        <w:rPr>
          <w:rFonts w:ascii="Arial"/>
          <w:spacing w:val="-2"/>
          <w:w w:val="115"/>
          <w:sz w:val="16"/>
        </w:rPr>
        <w:t>in</w:t>
      </w:r>
      <w:r>
        <w:rPr>
          <w:rFonts w:ascii="Arial"/>
          <w:spacing w:val="-5"/>
          <w:w w:val="115"/>
          <w:sz w:val="16"/>
        </w:rPr>
        <w:t> </w:t>
      </w:r>
      <w:r>
        <w:rPr>
          <w:rFonts w:ascii="Arial"/>
          <w:spacing w:val="-2"/>
          <w:w w:val="115"/>
          <w:sz w:val="16"/>
        </w:rPr>
        <w:t>the</w:t>
      </w:r>
      <w:r>
        <w:rPr>
          <w:rFonts w:ascii="Arial"/>
          <w:spacing w:val="-6"/>
          <w:w w:val="115"/>
          <w:sz w:val="16"/>
        </w:rPr>
        <w:t> </w:t>
      </w:r>
      <w:r>
        <w:rPr>
          <w:rFonts w:ascii="Arial"/>
          <w:spacing w:val="-2"/>
          <w:w w:val="115"/>
          <w:sz w:val="16"/>
        </w:rPr>
        <w:t>same</w:t>
      </w:r>
      <w:r>
        <w:rPr>
          <w:rFonts w:ascii="Arial"/>
          <w:spacing w:val="-5"/>
          <w:w w:val="115"/>
          <w:sz w:val="16"/>
        </w:rPr>
        <w:t> </w:t>
      </w:r>
      <w:r>
        <w:rPr>
          <w:rFonts w:ascii="Arial"/>
          <w:spacing w:val="-2"/>
          <w:w w:val="115"/>
          <w:sz w:val="16"/>
        </w:rPr>
        <w:t>way</w:t>
      </w:r>
      <w:r>
        <w:rPr>
          <w:rFonts w:ascii="Arial"/>
          <w:spacing w:val="-6"/>
          <w:w w:val="115"/>
          <w:sz w:val="16"/>
        </w:rPr>
        <w:t> </w:t>
      </w:r>
      <w:r>
        <w:rPr>
          <w:rFonts w:ascii="Arial"/>
          <w:spacing w:val="-2"/>
          <w:w w:val="115"/>
          <w:sz w:val="16"/>
        </w:rPr>
        <w:t>as</w:t>
      </w:r>
      <w:r>
        <w:rPr>
          <w:rFonts w:ascii="Arial"/>
          <w:spacing w:val="-5"/>
          <w:w w:val="115"/>
          <w:sz w:val="16"/>
        </w:rPr>
        <w:t> </w:t>
      </w:r>
      <w:r>
        <w:rPr>
          <w:rFonts w:ascii="Arial"/>
          <w:spacing w:val="-2"/>
          <w:w w:val="115"/>
          <w:sz w:val="16"/>
        </w:rPr>
        <w:t>for</w:t>
      </w:r>
      <w:r>
        <w:rPr>
          <w:rFonts w:ascii="Arial"/>
          <w:spacing w:val="-6"/>
          <w:w w:val="115"/>
          <w:sz w:val="16"/>
        </w:rPr>
        <w:t> </w:t>
      </w:r>
      <w:r>
        <w:rPr>
          <w:rFonts w:ascii="Arial"/>
          <w:spacing w:val="-2"/>
          <w:w w:val="115"/>
          <w:sz w:val="16"/>
        </w:rPr>
        <w:t>the</w:t>
      </w:r>
      <w:r>
        <w:rPr>
          <w:rFonts w:ascii="Arial"/>
          <w:spacing w:val="-5"/>
          <w:w w:val="115"/>
          <w:sz w:val="16"/>
        </w:rPr>
        <w:t> </w:t>
      </w:r>
      <w:r>
        <w:rPr>
          <w:rFonts w:ascii="Arial"/>
          <w:spacing w:val="-2"/>
          <w:w w:val="115"/>
          <w:sz w:val="16"/>
        </w:rPr>
        <w:t>Charter,</w:t>
      </w:r>
      <w:r>
        <w:rPr>
          <w:rFonts w:ascii="Arial"/>
          <w:spacing w:val="-6"/>
          <w:w w:val="115"/>
          <w:sz w:val="16"/>
        </w:rPr>
        <w:t> </w:t>
      </w:r>
      <w:r>
        <w:rPr>
          <w:rFonts w:ascii="Arial"/>
          <w:spacing w:val="-2"/>
          <w:w w:val="115"/>
          <w:sz w:val="16"/>
        </w:rPr>
        <w:t>to</w:t>
      </w:r>
      <w:r>
        <w:rPr>
          <w:rFonts w:ascii="Arial"/>
          <w:spacing w:val="-5"/>
          <w:w w:val="115"/>
          <w:sz w:val="16"/>
        </w:rPr>
        <w:t> </w:t>
      </w:r>
      <w:r>
        <w:rPr>
          <w:rFonts w:ascii="Arial"/>
          <w:spacing w:val="-2"/>
          <w:w w:val="115"/>
          <w:sz w:val="16"/>
        </w:rPr>
        <w:t>the</w:t>
      </w:r>
      <w:r>
        <w:rPr>
          <w:rFonts w:ascii="Arial"/>
          <w:spacing w:val="-6"/>
          <w:w w:val="115"/>
          <w:sz w:val="16"/>
        </w:rPr>
        <w:t> </w:t>
      </w:r>
      <w:r>
        <w:rPr>
          <w:rFonts w:ascii="Arial"/>
          <w:spacing w:val="-2"/>
          <w:w w:val="115"/>
          <w:sz w:val="16"/>
        </w:rPr>
        <w:t>general</w:t>
      </w:r>
      <w:r>
        <w:rPr>
          <w:rFonts w:ascii="Arial"/>
          <w:spacing w:val="-5"/>
          <w:w w:val="115"/>
          <w:sz w:val="16"/>
        </w:rPr>
        <w:t> </w:t>
      </w:r>
      <w:r>
        <w:rPr>
          <w:rFonts w:ascii="Arial"/>
          <w:spacing w:val="-2"/>
          <w:w w:val="115"/>
          <w:sz w:val="16"/>
        </w:rPr>
        <w:t>principles</w:t>
      </w:r>
      <w:r>
        <w:rPr>
          <w:rFonts w:ascii="Arial"/>
          <w:spacing w:val="-6"/>
          <w:w w:val="115"/>
          <w:sz w:val="16"/>
        </w:rPr>
        <w:t> </w:t>
      </w:r>
      <w:r>
        <w:rPr>
          <w:rFonts w:ascii="Arial"/>
          <w:spacing w:val="-5"/>
          <w:w w:val="115"/>
          <w:sz w:val="16"/>
        </w:rPr>
        <w:t>of</w:t>
      </w:r>
    </w:p>
    <w:p>
      <w:pPr>
        <w:spacing w:before="16"/>
        <w:ind w:left="567" w:right="0" w:firstLine="0"/>
        <w:jc w:val="left"/>
        <w:rPr>
          <w:sz w:val="16"/>
        </w:rPr>
      </w:pPr>
      <w:r>
        <w:rPr>
          <w:w w:val="105"/>
          <w:sz w:val="16"/>
        </w:rPr>
        <w:t>EU</w:t>
      </w:r>
      <w:r>
        <w:rPr>
          <w:spacing w:val="-6"/>
          <w:w w:val="105"/>
          <w:sz w:val="16"/>
        </w:rPr>
        <w:t> </w:t>
      </w:r>
      <w:r>
        <w:rPr>
          <w:spacing w:val="-4"/>
          <w:w w:val="105"/>
          <w:sz w:val="16"/>
        </w:rPr>
        <w:t>law.</w:t>
      </w:r>
    </w:p>
    <w:p>
      <w:pPr>
        <w:spacing w:after="0"/>
        <w:jc w:val="left"/>
        <w:rPr>
          <w:sz w:val="16"/>
        </w:rPr>
        <w:sectPr>
          <w:type w:val="continuous"/>
          <w:pgSz w:w="11910" w:h="16840"/>
          <w:pgMar w:header="568" w:footer="580" w:top="0" w:bottom="280" w:left="1020" w:right="1020"/>
        </w:sectPr>
      </w:pPr>
    </w:p>
    <w:p>
      <w:pPr>
        <w:pStyle w:val="BodyText"/>
        <w:ind w:left="0"/>
        <w:rPr>
          <w:sz w:val="20"/>
        </w:rPr>
      </w:pPr>
    </w:p>
    <w:p>
      <w:pPr>
        <w:pStyle w:val="BodyText"/>
        <w:ind w:left="0"/>
        <w:rPr>
          <w:sz w:val="20"/>
        </w:rPr>
      </w:pPr>
    </w:p>
    <w:p>
      <w:pPr>
        <w:pStyle w:val="BodyText"/>
        <w:spacing w:before="21"/>
        <w:ind w:left="0"/>
        <w:rPr>
          <w:sz w:val="20"/>
        </w:rPr>
      </w:pPr>
    </w:p>
    <w:p>
      <w:pPr>
        <w:spacing w:after="0"/>
        <w:rPr>
          <w:sz w:val="20"/>
        </w:rPr>
        <w:sectPr>
          <w:pgSz w:w="11910" w:h="16840"/>
          <w:pgMar w:header="568" w:footer="580" w:top="840" w:bottom="780" w:left="1020" w:right="1020"/>
        </w:sectPr>
      </w:pPr>
    </w:p>
    <w:p>
      <w:pPr>
        <w:pStyle w:val="Heading4"/>
        <w:numPr>
          <w:ilvl w:val="1"/>
          <w:numId w:val="7"/>
        </w:numPr>
        <w:tabs>
          <w:tab w:pos="411" w:val="left" w:leader="none"/>
        </w:tabs>
        <w:spacing w:line="240" w:lineRule="auto" w:before="84" w:after="0"/>
        <w:ind w:left="411" w:right="0" w:hanging="298"/>
        <w:jc w:val="left"/>
      </w:pPr>
      <w:bookmarkStart w:name="b. Consistent interpretation " w:id="18"/>
      <w:bookmarkEnd w:id="18"/>
      <w:r>
        <w:rPr>
          <w:b w:val="0"/>
        </w:rPr>
      </w:r>
      <w:bookmarkStart w:name="_bookmark7" w:id="19"/>
      <w:bookmarkEnd w:id="19"/>
      <w:r>
        <w:rPr>
          <w:b w:val="0"/>
        </w:rPr>
      </w:r>
      <w:r>
        <w:rPr>
          <w:color w:val="77328A"/>
        </w:rPr>
        <w:t>Consistent</w:t>
      </w:r>
      <w:r>
        <w:rPr>
          <w:color w:val="77328A"/>
          <w:spacing w:val="6"/>
        </w:rPr>
        <w:t> </w:t>
      </w:r>
      <w:r>
        <w:rPr>
          <w:color w:val="77328A"/>
          <w:spacing w:val="-2"/>
        </w:rPr>
        <w:t>interpretation</w:t>
      </w:r>
    </w:p>
    <w:p>
      <w:pPr>
        <w:pStyle w:val="BodyText"/>
        <w:spacing w:line="268" w:lineRule="auto" w:before="35"/>
        <w:ind w:right="38"/>
      </w:pPr>
      <w:r>
        <w:rPr>
          <w:w w:val="115"/>
        </w:rPr>
        <w:t>Before considering the possibility of disapplying incompatible domestic legislation, it should be noted that the Charter gives rise to a strong interpretive duty for domestic courts, requiring them to interpret national law</w:t>
      </w:r>
      <w:r>
        <w:rPr>
          <w:spacing w:val="-1"/>
          <w:w w:val="115"/>
        </w:rPr>
        <w:t> </w:t>
      </w:r>
      <w:r>
        <w:rPr>
          <w:w w:val="115"/>
        </w:rPr>
        <w:t>–</w:t>
      </w:r>
      <w:r>
        <w:rPr>
          <w:spacing w:val="-1"/>
          <w:w w:val="115"/>
        </w:rPr>
        <w:t> </w:t>
      </w:r>
      <w:r>
        <w:rPr>
          <w:w w:val="115"/>
        </w:rPr>
        <w:t>if</w:t>
      </w:r>
      <w:r>
        <w:rPr>
          <w:spacing w:val="-1"/>
          <w:w w:val="115"/>
        </w:rPr>
        <w:t> </w:t>
      </w:r>
      <w:r>
        <w:rPr>
          <w:w w:val="115"/>
        </w:rPr>
        <w:t>at</w:t>
      </w:r>
      <w:r>
        <w:rPr>
          <w:spacing w:val="-1"/>
          <w:w w:val="115"/>
        </w:rPr>
        <w:t> </w:t>
      </w:r>
      <w:r>
        <w:rPr>
          <w:w w:val="115"/>
        </w:rPr>
        <w:t>all</w:t>
      </w:r>
      <w:r>
        <w:rPr>
          <w:spacing w:val="-1"/>
          <w:w w:val="115"/>
        </w:rPr>
        <w:t> </w:t>
      </w:r>
      <w:r>
        <w:rPr>
          <w:w w:val="115"/>
        </w:rPr>
        <w:t>possible</w:t>
      </w:r>
      <w:r>
        <w:rPr>
          <w:spacing w:val="-1"/>
          <w:w w:val="115"/>
        </w:rPr>
        <w:t> </w:t>
      </w:r>
      <w:r>
        <w:rPr>
          <w:w w:val="115"/>
        </w:rPr>
        <w:t>–</w:t>
      </w:r>
      <w:r>
        <w:rPr>
          <w:spacing w:val="-1"/>
          <w:w w:val="115"/>
        </w:rPr>
        <w:t> </w:t>
      </w:r>
      <w:r>
        <w:rPr>
          <w:w w:val="115"/>
        </w:rPr>
        <w:t>in</w:t>
      </w:r>
      <w:r>
        <w:rPr>
          <w:spacing w:val="-1"/>
          <w:w w:val="115"/>
        </w:rPr>
        <w:t> </w:t>
      </w:r>
      <w:r>
        <w:rPr>
          <w:w w:val="115"/>
        </w:rPr>
        <w:t>a</w:t>
      </w:r>
      <w:r>
        <w:rPr>
          <w:spacing w:val="-1"/>
          <w:w w:val="115"/>
        </w:rPr>
        <w:t> </w:t>
      </w:r>
      <w:r>
        <w:rPr>
          <w:w w:val="115"/>
        </w:rPr>
        <w:t>way</w:t>
      </w:r>
      <w:r>
        <w:rPr>
          <w:spacing w:val="-1"/>
          <w:w w:val="115"/>
        </w:rPr>
        <w:t> </w:t>
      </w:r>
      <w:r>
        <w:rPr>
          <w:w w:val="115"/>
        </w:rPr>
        <w:t>that removes any incompatibilities with the Charter. This duty follows from the</w:t>
      </w:r>
      <w:r>
        <w:rPr>
          <w:spacing w:val="-6"/>
          <w:w w:val="115"/>
        </w:rPr>
        <w:t> </w:t>
      </w:r>
      <w:r>
        <w:rPr>
          <w:w w:val="115"/>
        </w:rPr>
        <w:t>primacy</w:t>
      </w:r>
      <w:r>
        <w:rPr>
          <w:spacing w:val="-6"/>
          <w:w w:val="115"/>
        </w:rPr>
        <w:t> </w:t>
      </w:r>
      <w:r>
        <w:rPr>
          <w:w w:val="115"/>
        </w:rPr>
        <w:t>of</w:t>
      </w:r>
      <w:r>
        <w:rPr>
          <w:spacing w:val="-6"/>
          <w:w w:val="115"/>
        </w:rPr>
        <w:t> </w:t>
      </w:r>
      <w:r>
        <w:rPr>
          <w:w w:val="115"/>
        </w:rPr>
        <w:t>EU</w:t>
      </w:r>
      <w:r>
        <w:rPr>
          <w:spacing w:val="-6"/>
          <w:w w:val="115"/>
        </w:rPr>
        <w:t> </w:t>
      </w:r>
      <w:r>
        <w:rPr>
          <w:w w:val="115"/>
        </w:rPr>
        <w:t>law,</w:t>
      </w:r>
      <w:r>
        <w:rPr>
          <w:spacing w:val="-6"/>
          <w:w w:val="115"/>
        </w:rPr>
        <w:t> </w:t>
      </w:r>
      <w:r>
        <w:rPr>
          <w:w w:val="115"/>
        </w:rPr>
        <w:t>which</w:t>
      </w:r>
      <w:r>
        <w:rPr>
          <w:spacing w:val="-6"/>
          <w:w w:val="115"/>
        </w:rPr>
        <w:t> </w:t>
      </w:r>
      <w:r>
        <w:rPr>
          <w:w w:val="115"/>
        </w:rPr>
        <w:t>applies to</w:t>
      </w:r>
      <w:r>
        <w:rPr>
          <w:spacing w:val="-16"/>
          <w:w w:val="115"/>
        </w:rPr>
        <w:t> </w:t>
      </w:r>
      <w:r>
        <w:rPr>
          <w:w w:val="115"/>
        </w:rPr>
        <w:t>all</w:t>
      </w:r>
      <w:r>
        <w:rPr>
          <w:spacing w:val="-16"/>
          <w:w w:val="115"/>
        </w:rPr>
        <w:t> </w:t>
      </w:r>
      <w:r>
        <w:rPr>
          <w:w w:val="115"/>
        </w:rPr>
        <w:t>Charter</w:t>
      </w:r>
      <w:r>
        <w:rPr>
          <w:spacing w:val="-16"/>
          <w:w w:val="115"/>
        </w:rPr>
        <w:t> </w:t>
      </w:r>
      <w:r>
        <w:rPr>
          <w:w w:val="115"/>
        </w:rPr>
        <w:t>provisions</w:t>
      </w:r>
      <w:r>
        <w:rPr>
          <w:spacing w:val="-16"/>
          <w:w w:val="115"/>
        </w:rPr>
        <w:t> </w:t>
      </w:r>
      <w:r>
        <w:rPr>
          <w:w w:val="115"/>
        </w:rPr>
        <w:t>(unlike</w:t>
      </w:r>
      <w:r>
        <w:rPr>
          <w:spacing w:val="-16"/>
          <w:w w:val="115"/>
        </w:rPr>
        <w:t> </w:t>
      </w:r>
      <w:r>
        <w:rPr>
          <w:w w:val="115"/>
        </w:rPr>
        <w:t>direct effect, which is subject to further </w:t>
      </w:r>
      <w:r>
        <w:rPr>
          <w:spacing w:val="-2"/>
          <w:w w:val="115"/>
        </w:rPr>
        <w:t>conditions,</w:t>
      </w:r>
      <w:r>
        <w:rPr>
          <w:spacing w:val="-15"/>
          <w:w w:val="115"/>
        </w:rPr>
        <w:t> </w:t>
      </w:r>
      <w:r>
        <w:rPr>
          <w:spacing w:val="-2"/>
          <w:w w:val="115"/>
        </w:rPr>
        <w:t>as</w:t>
      </w:r>
      <w:r>
        <w:rPr>
          <w:spacing w:val="-15"/>
          <w:w w:val="115"/>
        </w:rPr>
        <w:t> </w:t>
      </w:r>
      <w:r>
        <w:rPr>
          <w:spacing w:val="-2"/>
          <w:w w:val="115"/>
        </w:rPr>
        <w:t>we</w:t>
      </w:r>
      <w:r>
        <w:rPr>
          <w:spacing w:val="-15"/>
          <w:w w:val="115"/>
        </w:rPr>
        <w:t> </w:t>
      </w:r>
      <w:r>
        <w:rPr>
          <w:spacing w:val="-2"/>
          <w:w w:val="115"/>
        </w:rPr>
        <w:t>explain</w:t>
      </w:r>
      <w:r>
        <w:rPr>
          <w:spacing w:val="-15"/>
          <w:w w:val="115"/>
        </w:rPr>
        <w:t> </w:t>
      </w:r>
      <w:r>
        <w:rPr>
          <w:spacing w:val="-2"/>
          <w:w w:val="115"/>
        </w:rPr>
        <w:t>in</w:t>
      </w:r>
      <w:r>
        <w:rPr>
          <w:spacing w:val="-15"/>
          <w:w w:val="115"/>
        </w:rPr>
        <w:t> </w:t>
      </w:r>
      <w:r>
        <w:rPr>
          <w:spacing w:val="-2"/>
          <w:w w:val="115"/>
        </w:rPr>
        <w:t>c,</w:t>
      </w:r>
      <w:r>
        <w:rPr>
          <w:spacing w:val="-15"/>
          <w:w w:val="115"/>
        </w:rPr>
        <w:t> </w:t>
      </w:r>
      <w:r>
        <w:rPr>
          <w:spacing w:val="-2"/>
          <w:w w:val="115"/>
        </w:rPr>
        <w:t>below). </w:t>
      </w:r>
      <w:r>
        <w:rPr>
          <w:w w:val="115"/>
        </w:rPr>
        <w:t>The</w:t>
      </w:r>
      <w:r>
        <w:rPr>
          <w:spacing w:val="-20"/>
          <w:w w:val="115"/>
        </w:rPr>
        <w:t> </w:t>
      </w:r>
      <w:r>
        <w:rPr>
          <w:w w:val="115"/>
        </w:rPr>
        <w:t>duty,</w:t>
      </w:r>
      <w:r>
        <w:rPr>
          <w:spacing w:val="-19"/>
          <w:w w:val="115"/>
        </w:rPr>
        <w:t> </w:t>
      </w:r>
      <w:r>
        <w:rPr>
          <w:w w:val="115"/>
        </w:rPr>
        <w:t>variously</w:t>
      </w:r>
      <w:r>
        <w:rPr>
          <w:spacing w:val="-19"/>
          <w:w w:val="115"/>
        </w:rPr>
        <w:t> </w:t>
      </w:r>
      <w:r>
        <w:rPr>
          <w:w w:val="115"/>
        </w:rPr>
        <w:t>known</w:t>
      </w:r>
      <w:r>
        <w:rPr>
          <w:spacing w:val="-19"/>
          <w:w w:val="115"/>
        </w:rPr>
        <w:t> </w:t>
      </w:r>
      <w:r>
        <w:rPr>
          <w:w w:val="115"/>
        </w:rPr>
        <w:t>as</w:t>
      </w:r>
      <w:r>
        <w:rPr>
          <w:spacing w:val="-19"/>
          <w:w w:val="115"/>
        </w:rPr>
        <w:t> </w:t>
      </w:r>
      <w:r>
        <w:rPr>
          <w:w w:val="115"/>
        </w:rPr>
        <w:t>‘indirect effect’, ‘consistent interpretation’ or the ‘Marleasing principle’, following the case that initially gave rise to it, </w:t>
      </w:r>
      <w:r>
        <w:rPr>
          <w:w w:val="110"/>
        </w:rPr>
        <w:t>has a wide-ranging operation.</w:t>
      </w:r>
      <w:r>
        <w:rPr>
          <w:w w:val="110"/>
          <w:vertAlign w:val="superscript"/>
        </w:rPr>
        <w:t>57</w:t>
      </w:r>
      <w:r>
        <w:rPr>
          <w:w w:val="110"/>
          <w:vertAlign w:val="baseline"/>
        </w:rPr>
        <w:t> In </w:t>
      </w:r>
      <w:r>
        <w:rPr>
          <w:w w:val="110"/>
          <w:vertAlign w:val="baseline"/>
        </w:rPr>
        <w:t>this </w:t>
      </w:r>
      <w:r>
        <w:rPr>
          <w:w w:val="115"/>
          <w:vertAlign w:val="baseline"/>
        </w:rPr>
        <w:t>report, we use the term ‘consistent interpretation’ to refer to it.</w:t>
      </w:r>
    </w:p>
    <w:p>
      <w:pPr>
        <w:pStyle w:val="BodyText"/>
        <w:spacing w:before="19"/>
        <w:ind w:left="0"/>
      </w:pPr>
    </w:p>
    <w:p>
      <w:pPr>
        <w:pStyle w:val="BodyText"/>
        <w:spacing w:line="310" w:lineRule="exact"/>
        <w:ind w:right="249"/>
      </w:pPr>
      <w:r>
        <w:rPr>
          <w:rFonts w:ascii="Lucida Sans Unicode"/>
        </w:rPr>
        <w:t>The Court explicitly confirmed the </w:t>
      </w:r>
      <w:r>
        <w:rPr>
          <w:w w:val="110"/>
        </w:rPr>
        <w:t>application of the duty of </w:t>
      </w:r>
      <w:r>
        <w:rPr>
          <w:w w:val="110"/>
        </w:rPr>
        <w:t>consistent interpretation to the Charter in its </w:t>
      </w:r>
      <w:r>
        <w:rPr/>
        <w:t>ruling in </w:t>
      </w:r>
      <w:r>
        <w:rPr>
          <w:rFonts w:ascii="Verdana"/>
          <w:i/>
        </w:rPr>
        <w:t>Dansk Industri</w:t>
      </w:r>
      <w:r>
        <w:rPr/>
        <w:t>.</w:t>
      </w:r>
      <w:r>
        <w:rPr>
          <w:rFonts w:ascii="Lucida Sans Unicode"/>
          <w:vertAlign w:val="superscript"/>
        </w:rPr>
        <w:t>58</w:t>
      </w:r>
      <w:r>
        <w:rPr>
          <w:rFonts w:ascii="Lucida Sans Unicode"/>
          <w:vertAlign w:val="baseline"/>
        </w:rPr>
        <w:t> </w:t>
      </w:r>
      <w:r>
        <w:rPr>
          <w:vertAlign w:val="baseline"/>
        </w:rPr>
        <w:t>Following </w:t>
      </w:r>
      <w:r>
        <w:rPr>
          <w:w w:val="110"/>
          <w:vertAlign w:val="baseline"/>
        </w:rPr>
        <w:t>this principle, </w:t>
      </w:r>
      <w:r>
        <w:rPr>
          <w:rFonts w:ascii="Verdana"/>
          <w:i/>
          <w:w w:val="110"/>
          <w:vertAlign w:val="baseline"/>
        </w:rPr>
        <w:t>all </w:t>
      </w:r>
      <w:r>
        <w:rPr>
          <w:w w:val="110"/>
          <w:vertAlign w:val="baseline"/>
        </w:rPr>
        <w:t>provisions of the Charter engage an obligation for domestic courts to read national legislation compatibly with the Charter insofar as it is possible</w:t>
      </w:r>
    </w:p>
    <w:p>
      <w:pPr>
        <w:pStyle w:val="BodyText"/>
        <w:spacing w:line="268" w:lineRule="auto" w:before="23"/>
        <w:ind w:right="38"/>
      </w:pPr>
      <w:r>
        <w:rPr>
          <w:w w:val="115"/>
        </w:rPr>
        <w:t>to do so. The duty of consistent </w:t>
      </w:r>
      <w:r>
        <w:rPr>
          <w:spacing w:val="-2"/>
          <w:w w:val="115"/>
        </w:rPr>
        <w:t>interpretation</w:t>
      </w:r>
      <w:r>
        <w:rPr>
          <w:spacing w:val="-18"/>
          <w:w w:val="115"/>
        </w:rPr>
        <w:t> </w:t>
      </w:r>
      <w:r>
        <w:rPr>
          <w:spacing w:val="-2"/>
          <w:w w:val="115"/>
        </w:rPr>
        <w:t>also</w:t>
      </w:r>
      <w:r>
        <w:rPr>
          <w:spacing w:val="-17"/>
          <w:w w:val="115"/>
        </w:rPr>
        <w:t> </w:t>
      </w:r>
      <w:r>
        <w:rPr>
          <w:spacing w:val="-2"/>
          <w:w w:val="115"/>
        </w:rPr>
        <w:t>applies</w:t>
      </w:r>
      <w:r>
        <w:rPr>
          <w:spacing w:val="-17"/>
          <w:w w:val="115"/>
        </w:rPr>
        <w:t> </w:t>
      </w:r>
      <w:r>
        <w:rPr>
          <w:spacing w:val="-2"/>
          <w:w w:val="115"/>
        </w:rPr>
        <w:t>universally </w:t>
      </w:r>
      <w:r>
        <w:rPr>
          <w:w w:val="115"/>
        </w:rPr>
        <w:t>in litigation before domestic courts.</w:t>
      </w:r>
    </w:p>
    <w:p>
      <w:pPr>
        <w:pStyle w:val="BodyText"/>
        <w:spacing w:line="268" w:lineRule="auto" w:before="3"/>
        <w:ind w:right="249"/>
      </w:pPr>
      <w:r>
        <w:rPr>
          <w:w w:val="115"/>
        </w:rPr>
        <w:t>It</w:t>
      </w:r>
      <w:r>
        <w:rPr>
          <w:spacing w:val="-1"/>
          <w:w w:val="115"/>
        </w:rPr>
        <w:t> </w:t>
      </w:r>
      <w:r>
        <w:rPr>
          <w:w w:val="115"/>
        </w:rPr>
        <w:t>may,</w:t>
      </w:r>
      <w:r>
        <w:rPr>
          <w:spacing w:val="-1"/>
          <w:w w:val="115"/>
        </w:rPr>
        <w:t> </w:t>
      </w:r>
      <w:r>
        <w:rPr>
          <w:w w:val="115"/>
        </w:rPr>
        <w:t>therefore,</w:t>
      </w:r>
      <w:r>
        <w:rPr>
          <w:spacing w:val="-1"/>
          <w:w w:val="115"/>
        </w:rPr>
        <w:t> </w:t>
      </w:r>
      <w:r>
        <w:rPr>
          <w:w w:val="115"/>
        </w:rPr>
        <w:t>be</w:t>
      </w:r>
      <w:r>
        <w:rPr>
          <w:spacing w:val="-1"/>
          <w:w w:val="115"/>
        </w:rPr>
        <w:t> </w:t>
      </w:r>
      <w:r>
        <w:rPr>
          <w:w w:val="115"/>
        </w:rPr>
        <w:t>used</w:t>
      </w:r>
      <w:r>
        <w:rPr>
          <w:spacing w:val="-1"/>
          <w:w w:val="115"/>
        </w:rPr>
        <w:t> </w:t>
      </w:r>
      <w:r>
        <w:rPr>
          <w:w w:val="115"/>
        </w:rPr>
        <w:t>in</w:t>
      </w:r>
      <w:r>
        <w:rPr>
          <w:spacing w:val="-1"/>
          <w:w w:val="115"/>
        </w:rPr>
        <w:t> </w:t>
      </w:r>
      <w:r>
        <w:rPr>
          <w:w w:val="115"/>
        </w:rPr>
        <w:t>any vertical litigation against the state or</w:t>
      </w:r>
      <w:r>
        <w:rPr>
          <w:spacing w:val="-20"/>
          <w:w w:val="115"/>
        </w:rPr>
        <w:t> </w:t>
      </w:r>
      <w:r>
        <w:rPr>
          <w:w w:val="115"/>
        </w:rPr>
        <w:t>horizontally</w:t>
      </w:r>
      <w:r>
        <w:rPr>
          <w:spacing w:val="-19"/>
          <w:w w:val="115"/>
        </w:rPr>
        <w:t> </w:t>
      </w:r>
      <w:r>
        <w:rPr>
          <w:w w:val="115"/>
        </w:rPr>
        <w:t>in</w:t>
      </w:r>
      <w:r>
        <w:rPr>
          <w:spacing w:val="-19"/>
          <w:w w:val="115"/>
        </w:rPr>
        <w:t> </w:t>
      </w:r>
      <w:r>
        <w:rPr>
          <w:w w:val="115"/>
        </w:rPr>
        <w:t>disputes</w:t>
      </w:r>
      <w:r>
        <w:rPr>
          <w:spacing w:val="-19"/>
          <w:w w:val="115"/>
        </w:rPr>
        <w:t> </w:t>
      </w:r>
      <w:r>
        <w:rPr>
          <w:w w:val="115"/>
        </w:rPr>
        <w:t>between private actors.</w:t>
      </w:r>
    </w:p>
    <w:p>
      <w:pPr>
        <w:pStyle w:val="BodyText"/>
        <w:spacing w:line="310" w:lineRule="exact" w:before="76"/>
        <w:ind w:right="317"/>
        <w:rPr>
          <w:rFonts w:ascii="Lucida Sans Unicode"/>
        </w:rPr>
      </w:pPr>
      <w:r>
        <w:rPr/>
        <w:br w:type="column"/>
      </w:r>
      <w:r>
        <w:rPr>
          <w:w w:val="110"/>
        </w:rPr>
        <w:t>Notably, the duty of consistent interpretation under EU law can be more extensive than both ordinary canons of interpretation under domestic law and </w:t>
      </w:r>
      <w:r>
        <w:rPr>
          <w:w w:val="110"/>
        </w:rPr>
        <w:t>ECHR-compatible </w:t>
      </w:r>
      <w:r>
        <w:rPr>
          <w:rFonts w:ascii="Lucida Sans Unicode"/>
        </w:rPr>
        <w:t>interpretation under section 3</w:t>
      </w:r>
    </w:p>
    <w:p>
      <w:pPr>
        <w:pStyle w:val="BodyText"/>
        <w:spacing w:line="247" w:lineRule="auto" w:before="23"/>
        <w:ind w:right="414"/>
        <w:rPr>
          <w:rFonts w:ascii="Lucida Sans Unicode" w:hAnsi="Lucida Sans Unicode"/>
        </w:rPr>
      </w:pPr>
      <w:r>
        <w:rPr>
          <w:w w:val="110"/>
        </w:rPr>
        <w:t>HRA, which requires the courts to </w:t>
      </w:r>
      <w:r>
        <w:rPr>
          <w:rFonts w:ascii="Lucida Sans Unicode" w:hAnsi="Lucida Sans Unicode"/>
        </w:rPr>
        <w:t>attempt to find a rights-compliant </w:t>
      </w:r>
      <w:r>
        <w:rPr>
          <w:w w:val="110"/>
        </w:rPr>
        <w:t>interpretation of primary </w:t>
      </w:r>
      <w:r>
        <w:rPr>
          <w:w w:val="110"/>
        </w:rPr>
        <w:t>legislation,</w:t>
      </w:r>
      <w:r>
        <w:rPr>
          <w:spacing w:val="40"/>
          <w:w w:val="110"/>
        </w:rPr>
        <w:t> </w:t>
      </w:r>
      <w:r>
        <w:rPr>
          <w:w w:val="110"/>
        </w:rPr>
        <w:t>if it is possible to do so. As Lord Nicholls described it in </w:t>
      </w:r>
      <w:r>
        <w:rPr>
          <w:rFonts w:ascii="Verdana" w:hAnsi="Verdana"/>
          <w:i/>
          <w:w w:val="110"/>
        </w:rPr>
        <w:t>Ghaidan v</w:t>
      </w:r>
      <w:r>
        <w:rPr>
          <w:rFonts w:ascii="Verdana" w:hAnsi="Verdana"/>
          <w:i/>
          <w:w w:val="110"/>
        </w:rPr>
        <w:t> Godin-Mendoza,</w:t>
      </w:r>
      <w:r>
        <w:rPr>
          <w:rFonts w:ascii="Verdana" w:hAnsi="Verdana"/>
          <w:i/>
          <w:spacing w:val="-18"/>
          <w:w w:val="110"/>
        </w:rPr>
        <w:t> </w:t>
      </w:r>
      <w:r>
        <w:rPr>
          <w:w w:val="110"/>
        </w:rPr>
        <w:t>‘the interpretative </w:t>
      </w:r>
      <w:r>
        <w:rPr>
          <w:rFonts w:ascii="Lucida Sans Unicode" w:hAnsi="Lucida Sans Unicode"/>
          <w:w w:val="110"/>
        </w:rPr>
        <w:t>obligation</w:t>
      </w:r>
      <w:r>
        <w:rPr>
          <w:rFonts w:ascii="Lucida Sans Unicode" w:hAnsi="Lucida Sans Unicode"/>
          <w:spacing w:val="-21"/>
          <w:w w:val="110"/>
        </w:rPr>
        <w:t> </w:t>
      </w:r>
      <w:r>
        <w:rPr>
          <w:rFonts w:ascii="Lucida Sans Unicode" w:hAnsi="Lucida Sans Unicode"/>
          <w:w w:val="110"/>
        </w:rPr>
        <w:t>decreed</w:t>
      </w:r>
      <w:r>
        <w:rPr>
          <w:rFonts w:ascii="Lucida Sans Unicode" w:hAnsi="Lucida Sans Unicode"/>
          <w:spacing w:val="-21"/>
          <w:w w:val="110"/>
        </w:rPr>
        <w:t> </w:t>
      </w:r>
      <w:r>
        <w:rPr>
          <w:rFonts w:ascii="Lucida Sans Unicode" w:hAnsi="Lucida Sans Unicode"/>
          <w:w w:val="110"/>
        </w:rPr>
        <w:t>by</w:t>
      </w:r>
      <w:r>
        <w:rPr>
          <w:rFonts w:ascii="Lucida Sans Unicode" w:hAnsi="Lucida Sans Unicode"/>
          <w:spacing w:val="-21"/>
          <w:w w:val="110"/>
        </w:rPr>
        <w:t> </w:t>
      </w:r>
      <w:r>
        <w:rPr>
          <w:rFonts w:ascii="Lucida Sans Unicode" w:hAnsi="Lucida Sans Unicode"/>
          <w:w w:val="110"/>
        </w:rPr>
        <w:t>section</w:t>
      </w:r>
      <w:r>
        <w:rPr>
          <w:rFonts w:ascii="Lucida Sans Unicode" w:hAnsi="Lucida Sans Unicode"/>
          <w:spacing w:val="-21"/>
          <w:w w:val="110"/>
        </w:rPr>
        <w:t> </w:t>
      </w:r>
      <w:r>
        <w:rPr>
          <w:rFonts w:ascii="Lucida Sans Unicode" w:hAnsi="Lucida Sans Unicode"/>
          <w:w w:val="110"/>
        </w:rPr>
        <w:t>3</w:t>
      </w:r>
    </w:p>
    <w:p>
      <w:pPr>
        <w:pStyle w:val="BodyText"/>
        <w:spacing w:line="232" w:lineRule="exact"/>
      </w:pPr>
      <w:r>
        <w:rPr>
          <w:w w:val="110"/>
        </w:rPr>
        <w:t>is</w:t>
      </w:r>
      <w:r>
        <w:rPr>
          <w:spacing w:val="1"/>
          <w:w w:val="110"/>
        </w:rPr>
        <w:t> </w:t>
      </w:r>
      <w:r>
        <w:rPr>
          <w:w w:val="110"/>
        </w:rPr>
        <w:t>of</w:t>
      </w:r>
      <w:r>
        <w:rPr>
          <w:spacing w:val="2"/>
          <w:w w:val="110"/>
        </w:rPr>
        <w:t> </w:t>
      </w:r>
      <w:r>
        <w:rPr>
          <w:w w:val="110"/>
        </w:rPr>
        <w:t>an</w:t>
      </w:r>
      <w:r>
        <w:rPr>
          <w:spacing w:val="2"/>
          <w:w w:val="110"/>
        </w:rPr>
        <w:t> </w:t>
      </w:r>
      <w:r>
        <w:rPr>
          <w:w w:val="110"/>
        </w:rPr>
        <w:t>unusual</w:t>
      </w:r>
      <w:r>
        <w:rPr>
          <w:spacing w:val="2"/>
          <w:w w:val="110"/>
        </w:rPr>
        <w:t> </w:t>
      </w:r>
      <w:r>
        <w:rPr>
          <w:w w:val="110"/>
        </w:rPr>
        <w:t>and</w:t>
      </w:r>
      <w:r>
        <w:rPr>
          <w:spacing w:val="2"/>
          <w:w w:val="110"/>
        </w:rPr>
        <w:t> </w:t>
      </w:r>
      <w:r>
        <w:rPr>
          <w:w w:val="110"/>
        </w:rPr>
        <w:t>far-</w:t>
      </w:r>
      <w:r>
        <w:rPr>
          <w:spacing w:val="-2"/>
          <w:w w:val="110"/>
        </w:rPr>
        <w:t>reaching</w:t>
      </w:r>
    </w:p>
    <w:p>
      <w:pPr>
        <w:pStyle w:val="BodyText"/>
        <w:spacing w:line="268" w:lineRule="auto" w:before="34"/>
        <w:ind w:right="242"/>
      </w:pPr>
      <w:r>
        <w:rPr>
          <w:w w:val="110"/>
        </w:rPr>
        <w:t>character,’</w:t>
      </w:r>
      <w:r>
        <w:rPr>
          <w:w w:val="110"/>
          <w:vertAlign w:val="superscript"/>
        </w:rPr>
        <w:t>59</w:t>
      </w:r>
      <w:r>
        <w:rPr>
          <w:spacing w:val="-7"/>
          <w:w w:val="110"/>
          <w:vertAlign w:val="baseline"/>
        </w:rPr>
        <w:t> </w:t>
      </w:r>
      <w:r>
        <w:rPr>
          <w:w w:val="110"/>
          <w:vertAlign w:val="baseline"/>
        </w:rPr>
        <w:t>which</w:t>
      </w:r>
      <w:r>
        <w:rPr>
          <w:spacing w:val="-7"/>
          <w:w w:val="110"/>
          <w:vertAlign w:val="baseline"/>
        </w:rPr>
        <w:t> </w:t>
      </w:r>
      <w:r>
        <w:rPr>
          <w:w w:val="110"/>
          <w:vertAlign w:val="baseline"/>
        </w:rPr>
        <w:t>means</w:t>
      </w:r>
      <w:r>
        <w:rPr>
          <w:spacing w:val="-7"/>
          <w:w w:val="110"/>
          <w:vertAlign w:val="baseline"/>
        </w:rPr>
        <w:t> </w:t>
      </w:r>
      <w:r>
        <w:rPr>
          <w:w w:val="110"/>
          <w:vertAlign w:val="baseline"/>
        </w:rPr>
        <w:t>that</w:t>
      </w:r>
      <w:r>
        <w:rPr>
          <w:spacing w:val="-7"/>
          <w:w w:val="110"/>
          <w:vertAlign w:val="baseline"/>
        </w:rPr>
        <w:t> </w:t>
      </w:r>
      <w:r>
        <w:rPr>
          <w:w w:val="110"/>
          <w:vertAlign w:val="baseline"/>
        </w:rPr>
        <w:t>human rights protected under the ECHR already enjoy enhanced protection</w:t>
      </w:r>
    </w:p>
    <w:p>
      <w:pPr>
        <w:pStyle w:val="BodyText"/>
        <w:spacing w:line="259" w:lineRule="auto" w:before="2"/>
        <w:ind w:right="440"/>
        <w:rPr>
          <w:rFonts w:ascii="Lucida Sans Unicode"/>
        </w:rPr>
      </w:pPr>
      <w:r>
        <w:rPr>
          <w:w w:val="110"/>
        </w:rPr>
        <w:t>in domestic judicial interpretation. Indeed, the interpretive duty under the</w:t>
      </w:r>
      <w:r>
        <w:rPr>
          <w:spacing w:val="-1"/>
          <w:w w:val="110"/>
        </w:rPr>
        <w:t> </w:t>
      </w:r>
      <w:r>
        <w:rPr>
          <w:w w:val="110"/>
        </w:rPr>
        <w:t>HRA</w:t>
      </w:r>
      <w:r>
        <w:rPr>
          <w:spacing w:val="-1"/>
          <w:w w:val="110"/>
        </w:rPr>
        <w:t> </w:t>
      </w:r>
      <w:r>
        <w:rPr>
          <w:w w:val="110"/>
        </w:rPr>
        <w:t>was</w:t>
      </w:r>
      <w:r>
        <w:rPr>
          <w:spacing w:val="-1"/>
          <w:w w:val="110"/>
        </w:rPr>
        <w:t> </w:t>
      </w:r>
      <w:r>
        <w:rPr>
          <w:w w:val="110"/>
        </w:rPr>
        <w:t>largely</w:t>
      </w:r>
      <w:r>
        <w:rPr>
          <w:spacing w:val="-1"/>
          <w:w w:val="110"/>
        </w:rPr>
        <w:t> </w:t>
      </w:r>
      <w:r>
        <w:rPr>
          <w:w w:val="110"/>
        </w:rPr>
        <w:t>inspired</w:t>
      </w:r>
      <w:r>
        <w:rPr>
          <w:spacing w:val="-1"/>
          <w:w w:val="110"/>
        </w:rPr>
        <w:t> </w:t>
      </w:r>
      <w:r>
        <w:rPr>
          <w:w w:val="110"/>
        </w:rPr>
        <w:t>by</w:t>
      </w:r>
      <w:r>
        <w:rPr>
          <w:spacing w:val="-1"/>
          <w:w w:val="110"/>
        </w:rPr>
        <w:t> </w:t>
      </w:r>
      <w:r>
        <w:rPr>
          <w:w w:val="110"/>
        </w:rPr>
        <w:t>EU </w:t>
      </w:r>
      <w:r>
        <w:rPr>
          <w:rFonts w:ascii="Lucida Sans Unicode"/>
        </w:rPr>
        <w:t>law,</w:t>
      </w:r>
      <w:r>
        <w:rPr>
          <w:rFonts w:ascii="Lucida Sans Unicode"/>
          <w:spacing w:val="8"/>
        </w:rPr>
        <w:t> </w:t>
      </w:r>
      <w:r>
        <w:rPr>
          <w:rFonts w:ascii="Lucida Sans Unicode"/>
        </w:rPr>
        <w:t>as</w:t>
      </w:r>
      <w:r>
        <w:rPr>
          <w:rFonts w:ascii="Lucida Sans Unicode"/>
          <w:spacing w:val="9"/>
        </w:rPr>
        <w:t> </w:t>
      </w:r>
      <w:r>
        <w:rPr>
          <w:rFonts w:ascii="Lucida Sans Unicode"/>
        </w:rPr>
        <w:t>highlighted</w:t>
      </w:r>
      <w:r>
        <w:rPr>
          <w:rFonts w:ascii="Lucida Sans Unicode"/>
          <w:spacing w:val="8"/>
        </w:rPr>
        <w:t> </w:t>
      </w:r>
      <w:r>
        <w:rPr>
          <w:rFonts w:ascii="Lucida Sans Unicode"/>
        </w:rPr>
        <w:t>by</w:t>
      </w:r>
      <w:r>
        <w:rPr>
          <w:rFonts w:ascii="Lucida Sans Unicode"/>
          <w:spacing w:val="9"/>
        </w:rPr>
        <w:t> </w:t>
      </w:r>
      <w:r>
        <w:rPr>
          <w:rFonts w:ascii="Lucida Sans Unicode"/>
        </w:rPr>
        <w:t>Lord</w:t>
      </w:r>
      <w:r>
        <w:rPr>
          <w:rFonts w:ascii="Lucida Sans Unicode"/>
          <w:spacing w:val="9"/>
        </w:rPr>
        <w:t> </w:t>
      </w:r>
      <w:r>
        <w:rPr>
          <w:rFonts w:ascii="Lucida Sans Unicode"/>
        </w:rPr>
        <w:t>Steyn</w:t>
      </w:r>
      <w:r>
        <w:rPr>
          <w:rFonts w:ascii="Lucida Sans Unicode"/>
          <w:spacing w:val="8"/>
        </w:rPr>
        <w:t> </w:t>
      </w:r>
      <w:r>
        <w:rPr>
          <w:rFonts w:ascii="Lucida Sans Unicode"/>
          <w:spacing w:val="-5"/>
        </w:rPr>
        <w:t>in</w:t>
      </w:r>
    </w:p>
    <w:p>
      <w:pPr>
        <w:pStyle w:val="BodyText"/>
        <w:spacing w:line="268" w:lineRule="exact"/>
      </w:pPr>
      <w:r>
        <w:rPr/>
        <w:t>his</w:t>
      </w:r>
      <w:r>
        <w:rPr>
          <w:spacing w:val="38"/>
        </w:rPr>
        <w:t> </w:t>
      </w:r>
      <w:r>
        <w:rPr/>
        <w:t>reasoning</w:t>
      </w:r>
      <w:r>
        <w:rPr>
          <w:spacing w:val="39"/>
        </w:rPr>
        <w:t> </w:t>
      </w:r>
      <w:r>
        <w:rPr/>
        <w:t>in</w:t>
      </w:r>
      <w:r>
        <w:rPr>
          <w:spacing w:val="39"/>
        </w:rPr>
        <w:t> </w:t>
      </w:r>
      <w:r>
        <w:rPr>
          <w:rFonts w:ascii="Verdana"/>
          <w:i/>
        </w:rPr>
        <w:t>Ghaidan</w:t>
      </w:r>
      <w:r>
        <w:rPr/>
        <w:t>.</w:t>
      </w:r>
      <w:r>
        <w:rPr>
          <w:rFonts w:ascii="Lucida Sans Unicode"/>
          <w:vertAlign w:val="superscript"/>
        </w:rPr>
        <w:t>60</w:t>
      </w:r>
      <w:r>
        <w:rPr>
          <w:rFonts w:ascii="Lucida Sans Unicode"/>
          <w:spacing w:val="30"/>
          <w:vertAlign w:val="baseline"/>
        </w:rPr>
        <w:t> </w:t>
      </w:r>
      <w:r>
        <w:rPr>
          <w:vertAlign w:val="baseline"/>
        </w:rPr>
        <w:t>But</w:t>
      </w:r>
      <w:r>
        <w:rPr>
          <w:spacing w:val="38"/>
          <w:vertAlign w:val="baseline"/>
        </w:rPr>
        <w:t> </w:t>
      </w:r>
      <w:r>
        <w:rPr>
          <w:spacing w:val="-5"/>
          <w:vertAlign w:val="baseline"/>
        </w:rPr>
        <w:t>the</w:t>
      </w:r>
    </w:p>
    <w:p>
      <w:pPr>
        <w:pStyle w:val="BodyText"/>
        <w:spacing w:line="266" w:lineRule="auto"/>
        <w:ind w:right="115"/>
      </w:pPr>
      <w:r>
        <w:rPr>
          <w:w w:val="110"/>
        </w:rPr>
        <w:t>duty</w:t>
      </w:r>
      <w:r>
        <w:rPr>
          <w:spacing w:val="56"/>
          <w:w w:val="110"/>
        </w:rPr>
        <w:t> </w:t>
      </w:r>
      <w:r>
        <w:rPr>
          <w:w w:val="110"/>
        </w:rPr>
        <w:t>of</w:t>
      </w:r>
      <w:r>
        <w:rPr>
          <w:spacing w:val="56"/>
          <w:w w:val="110"/>
        </w:rPr>
        <w:t> </w:t>
      </w:r>
      <w:r>
        <w:rPr>
          <w:w w:val="110"/>
        </w:rPr>
        <w:t>consistent</w:t>
      </w:r>
      <w:r>
        <w:rPr>
          <w:spacing w:val="56"/>
          <w:w w:val="110"/>
        </w:rPr>
        <w:t> </w:t>
      </w:r>
      <w:r>
        <w:rPr>
          <w:w w:val="110"/>
        </w:rPr>
        <w:t>interpretation</w:t>
      </w:r>
      <w:r>
        <w:rPr>
          <w:spacing w:val="80"/>
          <w:w w:val="110"/>
        </w:rPr>
        <w:t> </w:t>
      </w:r>
      <w:r>
        <w:rPr>
          <w:w w:val="110"/>
        </w:rPr>
        <w:t>under</w:t>
      </w:r>
      <w:r>
        <w:rPr>
          <w:spacing w:val="-9"/>
          <w:w w:val="110"/>
        </w:rPr>
        <w:t> </w:t>
      </w:r>
      <w:r>
        <w:rPr>
          <w:w w:val="110"/>
        </w:rPr>
        <w:t>EU</w:t>
      </w:r>
      <w:r>
        <w:rPr>
          <w:spacing w:val="-9"/>
          <w:w w:val="110"/>
        </w:rPr>
        <w:t> </w:t>
      </w:r>
      <w:r>
        <w:rPr>
          <w:w w:val="110"/>
        </w:rPr>
        <w:t>law</w:t>
      </w:r>
      <w:r>
        <w:rPr>
          <w:spacing w:val="-9"/>
          <w:w w:val="110"/>
        </w:rPr>
        <w:t> </w:t>
      </w:r>
      <w:r>
        <w:rPr>
          <w:w w:val="110"/>
        </w:rPr>
        <w:t>has,</w:t>
      </w:r>
      <w:r>
        <w:rPr>
          <w:spacing w:val="-9"/>
          <w:w w:val="110"/>
        </w:rPr>
        <w:t> </w:t>
      </w:r>
      <w:r>
        <w:rPr>
          <w:w w:val="110"/>
        </w:rPr>
        <w:t>over</w:t>
      </w:r>
      <w:r>
        <w:rPr>
          <w:spacing w:val="-9"/>
          <w:w w:val="110"/>
        </w:rPr>
        <w:t> </w:t>
      </w:r>
      <w:r>
        <w:rPr>
          <w:w w:val="110"/>
        </w:rPr>
        <w:t>time,</w:t>
      </w:r>
      <w:r>
        <w:rPr>
          <w:spacing w:val="-9"/>
          <w:w w:val="110"/>
        </w:rPr>
        <w:t> </w:t>
      </w:r>
      <w:r>
        <w:rPr>
          <w:w w:val="110"/>
        </w:rPr>
        <w:t>exceeded what is envisaged by domestic case law concerning the HRA.</w:t>
      </w:r>
      <w:r>
        <w:rPr>
          <w:w w:val="110"/>
          <w:vertAlign w:val="superscript"/>
        </w:rPr>
        <w:t>61</w:t>
      </w:r>
      <w:r>
        <w:rPr>
          <w:w w:val="110"/>
          <w:vertAlign w:val="baseline"/>
        </w:rPr>
        <w:t> In </w:t>
      </w:r>
      <w:r>
        <w:rPr>
          <w:rFonts w:ascii="Verdana"/>
          <w:i/>
          <w:w w:val="110"/>
          <w:vertAlign w:val="baseline"/>
        </w:rPr>
        <w:t>Pfeiffer,</w:t>
      </w:r>
      <w:r>
        <w:rPr>
          <w:rFonts w:ascii="Verdana"/>
          <w:i/>
          <w:w w:val="110"/>
          <w:vertAlign w:val="baseline"/>
        </w:rPr>
        <w:t> </w:t>
      </w:r>
      <w:r>
        <w:rPr>
          <w:w w:val="110"/>
          <w:vertAlign w:val="baseline"/>
        </w:rPr>
        <w:t>for example, the CJEU found that consistent interpretation under EU</w:t>
      </w:r>
    </w:p>
    <w:p>
      <w:pPr>
        <w:pStyle w:val="BodyText"/>
        <w:spacing w:line="252" w:lineRule="auto"/>
        <w:ind w:right="317"/>
        <w:rPr>
          <w:rFonts w:ascii="Lucida Sans Unicode" w:hAnsi="Lucida Sans Unicode"/>
        </w:rPr>
      </w:pPr>
      <w:r>
        <w:rPr>
          <w:w w:val="110"/>
        </w:rPr>
        <w:t>law required a national court to do ‘whatever</w:t>
      </w:r>
      <w:r>
        <w:rPr>
          <w:spacing w:val="40"/>
          <w:w w:val="110"/>
        </w:rPr>
        <w:t> </w:t>
      </w:r>
      <w:r>
        <w:rPr>
          <w:w w:val="110"/>
        </w:rPr>
        <w:t>lies</w:t>
      </w:r>
      <w:r>
        <w:rPr>
          <w:spacing w:val="40"/>
          <w:w w:val="110"/>
        </w:rPr>
        <w:t> </w:t>
      </w:r>
      <w:r>
        <w:rPr>
          <w:w w:val="110"/>
        </w:rPr>
        <w:t>within</w:t>
      </w:r>
      <w:r>
        <w:rPr>
          <w:spacing w:val="40"/>
          <w:w w:val="110"/>
        </w:rPr>
        <w:t> </w:t>
      </w:r>
      <w:r>
        <w:rPr>
          <w:w w:val="110"/>
        </w:rPr>
        <w:t>its</w:t>
      </w:r>
      <w:r>
        <w:rPr>
          <w:spacing w:val="40"/>
          <w:w w:val="110"/>
        </w:rPr>
        <w:t> </w:t>
      </w:r>
      <w:r>
        <w:rPr>
          <w:w w:val="110"/>
        </w:rPr>
        <w:t>jurisdiction’ </w:t>
      </w:r>
      <w:r>
        <w:rPr>
          <w:rFonts w:ascii="Lucida Sans Unicode" w:hAnsi="Lucida Sans Unicode"/>
        </w:rPr>
        <w:t>to find a compatible reading, </w:t>
      </w:r>
      <w:r>
        <w:rPr>
          <w:rFonts w:ascii="Lucida Sans Unicode" w:hAnsi="Lucida Sans Unicode"/>
        </w:rPr>
        <w:t>thereby</w:t>
      </w:r>
    </w:p>
    <w:p>
      <w:pPr>
        <w:pStyle w:val="BodyText"/>
        <w:spacing w:line="239" w:lineRule="exact"/>
      </w:pPr>
      <w:r>
        <w:rPr>
          <w:w w:val="115"/>
        </w:rPr>
        <w:t>treating</w:t>
      </w:r>
      <w:r>
        <w:rPr>
          <w:spacing w:val="-7"/>
          <w:w w:val="115"/>
        </w:rPr>
        <w:t> </w:t>
      </w:r>
      <w:r>
        <w:rPr>
          <w:w w:val="115"/>
        </w:rPr>
        <w:t>the</w:t>
      </w:r>
      <w:r>
        <w:rPr>
          <w:spacing w:val="-6"/>
          <w:w w:val="115"/>
        </w:rPr>
        <w:t> </w:t>
      </w:r>
      <w:r>
        <w:rPr>
          <w:w w:val="115"/>
        </w:rPr>
        <w:t>‘whole</w:t>
      </w:r>
      <w:r>
        <w:rPr>
          <w:spacing w:val="-6"/>
          <w:w w:val="115"/>
        </w:rPr>
        <w:t> </w:t>
      </w:r>
      <w:r>
        <w:rPr>
          <w:w w:val="115"/>
        </w:rPr>
        <w:t>body</w:t>
      </w:r>
      <w:r>
        <w:rPr>
          <w:spacing w:val="-7"/>
          <w:w w:val="115"/>
        </w:rPr>
        <w:t> </w:t>
      </w:r>
      <w:r>
        <w:rPr>
          <w:w w:val="115"/>
        </w:rPr>
        <w:t>of</w:t>
      </w:r>
      <w:r>
        <w:rPr>
          <w:spacing w:val="-6"/>
          <w:w w:val="115"/>
        </w:rPr>
        <w:t> </w:t>
      </w:r>
      <w:r>
        <w:rPr>
          <w:w w:val="115"/>
        </w:rPr>
        <w:t>rules</w:t>
      </w:r>
      <w:r>
        <w:rPr>
          <w:spacing w:val="-6"/>
          <w:w w:val="115"/>
        </w:rPr>
        <w:t> </w:t>
      </w:r>
      <w:r>
        <w:rPr>
          <w:spacing w:val="-5"/>
          <w:w w:val="115"/>
        </w:rPr>
        <w:t>of</w:t>
      </w:r>
    </w:p>
    <w:p>
      <w:pPr>
        <w:pStyle w:val="BodyText"/>
        <w:spacing w:line="259" w:lineRule="auto" w:before="28"/>
        <w:ind w:right="533"/>
      </w:pPr>
      <w:r>
        <w:rPr>
          <w:w w:val="110"/>
        </w:rPr>
        <w:t>national law’ as a potential source of such a reading, rather than sectionally reviewing a single </w:t>
      </w:r>
      <w:r>
        <w:rPr>
          <w:w w:val="110"/>
        </w:rPr>
        <w:t>piece of domestic legislation.</w:t>
      </w:r>
      <w:r>
        <w:rPr>
          <w:rFonts w:ascii="Lucida Sans Unicode" w:hAnsi="Lucida Sans Unicode"/>
          <w:w w:val="110"/>
          <w:vertAlign w:val="superscript"/>
        </w:rPr>
        <w:t>62</w:t>
      </w:r>
      <w:r>
        <w:rPr>
          <w:rFonts w:ascii="Lucida Sans Unicode" w:hAnsi="Lucida Sans Unicode"/>
          <w:w w:val="110"/>
          <w:vertAlign w:val="baseline"/>
        </w:rPr>
        <w:t> </w:t>
      </w:r>
      <w:r>
        <w:rPr>
          <w:w w:val="110"/>
          <w:vertAlign w:val="baseline"/>
        </w:rPr>
        <w:t>The only</w:t>
      </w:r>
    </w:p>
    <w:p>
      <w:pPr>
        <w:pStyle w:val="BodyText"/>
        <w:spacing w:line="224" w:lineRule="exact"/>
      </w:pPr>
      <w:r>
        <w:rPr>
          <w:w w:val="120"/>
        </w:rPr>
        <w:t>limit</w:t>
      </w:r>
      <w:r>
        <w:rPr>
          <w:spacing w:val="-19"/>
          <w:w w:val="120"/>
        </w:rPr>
        <w:t> </w:t>
      </w:r>
      <w:r>
        <w:rPr>
          <w:w w:val="120"/>
        </w:rPr>
        <w:t>to</w:t>
      </w:r>
      <w:r>
        <w:rPr>
          <w:spacing w:val="-19"/>
          <w:w w:val="120"/>
        </w:rPr>
        <w:t> </w:t>
      </w:r>
      <w:r>
        <w:rPr>
          <w:w w:val="120"/>
        </w:rPr>
        <w:t>the</w:t>
      </w:r>
      <w:r>
        <w:rPr>
          <w:spacing w:val="-19"/>
          <w:w w:val="120"/>
        </w:rPr>
        <w:t> </w:t>
      </w:r>
      <w:r>
        <w:rPr>
          <w:w w:val="120"/>
        </w:rPr>
        <w:t>duty</w:t>
      </w:r>
      <w:r>
        <w:rPr>
          <w:spacing w:val="-19"/>
          <w:w w:val="120"/>
        </w:rPr>
        <w:t> </w:t>
      </w:r>
      <w:r>
        <w:rPr>
          <w:w w:val="120"/>
        </w:rPr>
        <w:t>is</w:t>
      </w:r>
      <w:r>
        <w:rPr>
          <w:spacing w:val="-19"/>
          <w:w w:val="120"/>
        </w:rPr>
        <w:t> </w:t>
      </w:r>
      <w:r>
        <w:rPr>
          <w:w w:val="120"/>
        </w:rPr>
        <w:t>that</w:t>
      </w:r>
      <w:r>
        <w:rPr>
          <w:spacing w:val="-19"/>
          <w:w w:val="120"/>
        </w:rPr>
        <w:t> </w:t>
      </w:r>
      <w:r>
        <w:rPr>
          <w:w w:val="120"/>
        </w:rPr>
        <w:t>it</w:t>
      </w:r>
      <w:r>
        <w:rPr>
          <w:spacing w:val="-19"/>
          <w:w w:val="120"/>
        </w:rPr>
        <w:t> </w:t>
      </w:r>
      <w:r>
        <w:rPr>
          <w:w w:val="120"/>
        </w:rPr>
        <w:t>falls</w:t>
      </w:r>
      <w:r>
        <w:rPr>
          <w:spacing w:val="-18"/>
          <w:w w:val="120"/>
        </w:rPr>
        <w:t> </w:t>
      </w:r>
      <w:r>
        <w:rPr>
          <w:w w:val="120"/>
        </w:rPr>
        <w:t>short</w:t>
      </w:r>
      <w:r>
        <w:rPr>
          <w:spacing w:val="-19"/>
          <w:w w:val="120"/>
        </w:rPr>
        <w:t> </w:t>
      </w:r>
      <w:r>
        <w:rPr>
          <w:spacing w:val="-5"/>
          <w:w w:val="120"/>
        </w:rPr>
        <w:t>of</w:t>
      </w:r>
    </w:p>
    <w:p>
      <w:pPr>
        <w:pStyle w:val="BodyText"/>
        <w:spacing w:line="268" w:lineRule="auto" w:before="34"/>
        <w:ind w:right="161"/>
      </w:pPr>
      <w:r>
        <w:rPr>
          <w:w w:val="115"/>
        </w:rPr>
        <w:t>requiring</w:t>
      </w:r>
      <w:r>
        <w:rPr>
          <w:spacing w:val="-9"/>
          <w:w w:val="115"/>
        </w:rPr>
        <w:t> </w:t>
      </w:r>
      <w:r>
        <w:rPr>
          <w:w w:val="115"/>
        </w:rPr>
        <w:t>domestic</w:t>
      </w:r>
      <w:r>
        <w:rPr>
          <w:spacing w:val="-9"/>
          <w:w w:val="115"/>
        </w:rPr>
        <w:t> </w:t>
      </w:r>
      <w:r>
        <w:rPr>
          <w:w w:val="115"/>
        </w:rPr>
        <w:t>courts</w:t>
      </w:r>
      <w:r>
        <w:rPr>
          <w:spacing w:val="-9"/>
          <w:w w:val="115"/>
        </w:rPr>
        <w:t> </w:t>
      </w:r>
      <w:r>
        <w:rPr>
          <w:w w:val="115"/>
        </w:rPr>
        <w:t>to</w:t>
      </w:r>
      <w:r>
        <w:rPr>
          <w:spacing w:val="-9"/>
          <w:w w:val="115"/>
        </w:rPr>
        <w:t> </w:t>
      </w:r>
      <w:r>
        <w:rPr>
          <w:w w:val="115"/>
        </w:rPr>
        <w:t>adopt</w:t>
      </w:r>
      <w:r>
        <w:rPr>
          <w:spacing w:val="-9"/>
          <w:w w:val="115"/>
        </w:rPr>
        <w:t> </w:t>
      </w:r>
      <w:r>
        <w:rPr>
          <w:w w:val="115"/>
        </w:rPr>
        <w:t>an interpretation</w:t>
      </w:r>
      <w:r>
        <w:rPr>
          <w:spacing w:val="6"/>
          <w:w w:val="115"/>
        </w:rPr>
        <w:t> </w:t>
      </w:r>
      <w:r>
        <w:rPr>
          <w:w w:val="115"/>
        </w:rPr>
        <w:t>that</w:t>
      </w:r>
      <w:r>
        <w:rPr>
          <w:spacing w:val="6"/>
          <w:w w:val="115"/>
        </w:rPr>
        <w:t> </w:t>
      </w:r>
      <w:r>
        <w:rPr>
          <w:w w:val="115"/>
        </w:rPr>
        <w:t>literally</w:t>
      </w:r>
      <w:r>
        <w:rPr>
          <w:spacing w:val="6"/>
          <w:w w:val="115"/>
        </w:rPr>
        <w:t> </w:t>
      </w:r>
      <w:r>
        <w:rPr>
          <w:spacing w:val="-2"/>
          <w:w w:val="115"/>
        </w:rPr>
        <w:t>contradicts</w:t>
      </w:r>
    </w:p>
    <w:p>
      <w:pPr>
        <w:spacing w:after="0" w:line="268" w:lineRule="auto"/>
        <w:sectPr>
          <w:type w:val="continuous"/>
          <w:pgSz w:w="11910" w:h="16840"/>
          <w:pgMar w:header="568" w:footer="580" w:top="0" w:bottom="280" w:left="1020" w:right="1020"/>
          <w:cols w:num="2" w:equalWidth="0">
            <w:col w:w="4654" w:space="392"/>
            <w:col w:w="4824"/>
          </w:cols>
        </w:sectPr>
      </w:pPr>
    </w:p>
    <w:p>
      <w:pPr>
        <w:pStyle w:val="BodyText"/>
        <w:ind w:left="0"/>
        <w:rPr>
          <w:sz w:val="20"/>
        </w:rPr>
      </w:pPr>
    </w:p>
    <w:p>
      <w:pPr>
        <w:pStyle w:val="BodyText"/>
        <w:spacing w:before="48" w:after="1"/>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77" name="Group 77"/>
                <wp:cNvGraphicFramePr>
                  <a:graphicFrameLocks/>
                </wp:cNvGraphicFramePr>
                <a:graphic>
                  <a:graphicData uri="http://schemas.microsoft.com/office/word/2010/wordprocessingGroup">
                    <wpg:wgp>
                      <wpg:cNvPr id="77" name="Group 77"/>
                      <wpg:cNvGrpSpPr/>
                      <wpg:grpSpPr>
                        <a:xfrm>
                          <a:off x="0" y="0"/>
                          <a:ext cx="6120130" cy="6350"/>
                          <a:chExt cx="6120130" cy="6350"/>
                        </a:xfrm>
                      </wpg:grpSpPr>
                      <wps:wsp>
                        <wps:cNvPr id="78" name="Graphic 78"/>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57"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7" w:val="left" w:leader="none"/>
        </w:tabs>
        <w:spacing w:line="194" w:lineRule="auto" w:before="94" w:after="0"/>
        <w:ind w:left="567" w:right="820" w:hanging="454"/>
        <w:jc w:val="left"/>
        <w:rPr>
          <w:rFonts w:ascii="Arial"/>
          <w:sz w:val="16"/>
        </w:rPr>
      </w:pPr>
      <w:r>
        <w:rPr>
          <w:sz w:val="16"/>
        </w:rPr>
        <w:t>Case</w:t>
      </w:r>
      <w:r>
        <w:rPr>
          <w:spacing w:val="-13"/>
          <w:sz w:val="16"/>
        </w:rPr>
        <w:t> </w:t>
      </w:r>
      <w:r>
        <w:rPr>
          <w:sz w:val="16"/>
        </w:rPr>
        <w:t>C-106/89,</w:t>
      </w:r>
      <w:r>
        <w:rPr>
          <w:spacing w:val="-13"/>
          <w:sz w:val="16"/>
        </w:rPr>
        <w:t> </w:t>
      </w:r>
      <w:r>
        <w:rPr>
          <w:rFonts w:ascii="Verdana"/>
          <w:i/>
          <w:sz w:val="16"/>
        </w:rPr>
        <w:t>Marleasing</w:t>
      </w:r>
      <w:r>
        <w:rPr>
          <w:rFonts w:ascii="Verdana"/>
          <w:i/>
          <w:spacing w:val="-14"/>
          <w:sz w:val="16"/>
        </w:rPr>
        <w:t> </w:t>
      </w:r>
      <w:r>
        <w:rPr>
          <w:rFonts w:ascii="Verdana"/>
          <w:i/>
          <w:sz w:val="16"/>
        </w:rPr>
        <w:t>SA</w:t>
      </w:r>
      <w:r>
        <w:rPr>
          <w:rFonts w:ascii="Verdana"/>
          <w:i/>
          <w:spacing w:val="-14"/>
          <w:sz w:val="16"/>
        </w:rPr>
        <w:t> </w:t>
      </w:r>
      <w:r>
        <w:rPr>
          <w:rFonts w:ascii="Verdana"/>
          <w:i/>
          <w:sz w:val="16"/>
        </w:rPr>
        <w:t>v</w:t>
      </w:r>
      <w:r>
        <w:rPr>
          <w:rFonts w:ascii="Verdana"/>
          <w:i/>
          <w:spacing w:val="-14"/>
          <w:sz w:val="16"/>
        </w:rPr>
        <w:t> </w:t>
      </w:r>
      <w:r>
        <w:rPr>
          <w:rFonts w:ascii="Verdana"/>
          <w:i/>
          <w:sz w:val="16"/>
        </w:rPr>
        <w:t>La</w:t>
      </w:r>
      <w:r>
        <w:rPr>
          <w:rFonts w:ascii="Verdana"/>
          <w:i/>
          <w:spacing w:val="-14"/>
          <w:sz w:val="16"/>
        </w:rPr>
        <w:t> </w:t>
      </w:r>
      <w:r>
        <w:rPr>
          <w:rFonts w:ascii="Verdana"/>
          <w:i/>
          <w:sz w:val="16"/>
        </w:rPr>
        <w:t>Comercial</w:t>
      </w:r>
      <w:r>
        <w:rPr>
          <w:rFonts w:ascii="Verdana"/>
          <w:i/>
          <w:spacing w:val="-14"/>
          <w:sz w:val="16"/>
        </w:rPr>
        <w:t> </w:t>
      </w:r>
      <w:r>
        <w:rPr>
          <w:rFonts w:ascii="Verdana"/>
          <w:i/>
          <w:sz w:val="16"/>
        </w:rPr>
        <w:t>Internacional</w:t>
      </w:r>
      <w:r>
        <w:rPr>
          <w:rFonts w:ascii="Verdana"/>
          <w:i/>
          <w:spacing w:val="-14"/>
          <w:sz w:val="16"/>
        </w:rPr>
        <w:t> </w:t>
      </w:r>
      <w:r>
        <w:rPr>
          <w:rFonts w:ascii="Verdana"/>
          <w:i/>
          <w:sz w:val="16"/>
        </w:rPr>
        <w:t>de</w:t>
      </w:r>
      <w:r>
        <w:rPr>
          <w:rFonts w:ascii="Verdana"/>
          <w:i/>
          <w:spacing w:val="-14"/>
          <w:sz w:val="16"/>
        </w:rPr>
        <w:t> </w:t>
      </w:r>
      <w:r>
        <w:rPr>
          <w:rFonts w:ascii="Verdana"/>
          <w:i/>
          <w:sz w:val="16"/>
        </w:rPr>
        <w:t>Alimentacion</w:t>
      </w:r>
      <w:r>
        <w:rPr>
          <w:rFonts w:ascii="Verdana"/>
          <w:i/>
          <w:spacing w:val="-14"/>
          <w:sz w:val="16"/>
        </w:rPr>
        <w:t> </w:t>
      </w:r>
      <w:r>
        <w:rPr>
          <w:rFonts w:ascii="Verdana"/>
          <w:i/>
          <w:sz w:val="16"/>
        </w:rPr>
        <w:t>SA,</w:t>
      </w:r>
      <w:r>
        <w:rPr>
          <w:rFonts w:ascii="Verdana"/>
          <w:i/>
          <w:spacing w:val="-14"/>
          <w:sz w:val="16"/>
        </w:rPr>
        <w:t> </w:t>
      </w:r>
      <w:r>
        <w:rPr>
          <w:sz w:val="16"/>
        </w:rPr>
        <w:t>EU:C:1990:395;</w:t>
      </w:r>
      <w:r>
        <w:rPr>
          <w:spacing w:val="-13"/>
          <w:sz w:val="16"/>
        </w:rPr>
        <w:t> </w:t>
      </w:r>
      <w:r>
        <w:rPr>
          <w:sz w:val="16"/>
        </w:rPr>
        <w:t>the</w:t>
      </w:r>
      <w:r>
        <w:rPr>
          <w:spacing w:val="-13"/>
          <w:sz w:val="16"/>
        </w:rPr>
        <w:t> </w:t>
      </w:r>
      <w:r>
        <w:rPr>
          <w:sz w:val="16"/>
        </w:rPr>
        <w:t>duty</w:t>
      </w:r>
      <w:r>
        <w:rPr>
          <w:spacing w:val="-12"/>
          <w:sz w:val="16"/>
        </w:rPr>
        <w:t> </w:t>
      </w:r>
      <w:r>
        <w:rPr>
          <w:sz w:val="16"/>
        </w:rPr>
        <w:t>of consistent interpretation was first introduced in Case 14/83, </w:t>
      </w:r>
      <w:r>
        <w:rPr>
          <w:rFonts w:ascii="Verdana"/>
          <w:i/>
          <w:sz w:val="16"/>
        </w:rPr>
        <w:t>von</w:t>
      </w:r>
      <w:r>
        <w:rPr>
          <w:rFonts w:ascii="Verdana"/>
          <w:i/>
          <w:spacing w:val="-4"/>
          <w:sz w:val="16"/>
        </w:rPr>
        <w:t> </w:t>
      </w:r>
      <w:r>
        <w:rPr>
          <w:rFonts w:ascii="Verdana"/>
          <w:i/>
          <w:sz w:val="16"/>
        </w:rPr>
        <w:t>Colson</w:t>
      </w:r>
      <w:r>
        <w:rPr>
          <w:rFonts w:ascii="Verdana"/>
          <w:i/>
          <w:spacing w:val="-4"/>
          <w:sz w:val="16"/>
        </w:rPr>
        <w:t> </w:t>
      </w:r>
      <w:r>
        <w:rPr>
          <w:rFonts w:ascii="Verdana"/>
          <w:i/>
          <w:sz w:val="16"/>
        </w:rPr>
        <w:t>and</w:t>
      </w:r>
      <w:r>
        <w:rPr>
          <w:rFonts w:ascii="Verdana"/>
          <w:i/>
          <w:spacing w:val="-4"/>
          <w:sz w:val="16"/>
        </w:rPr>
        <w:t> </w:t>
      </w:r>
      <w:r>
        <w:rPr>
          <w:rFonts w:ascii="Verdana"/>
          <w:i/>
          <w:sz w:val="16"/>
        </w:rPr>
        <w:t>Kamann</w:t>
      </w:r>
      <w:r>
        <w:rPr>
          <w:sz w:val="16"/>
        </w:rPr>
        <w:t>, EU:C:1984:153.</w:t>
      </w:r>
    </w:p>
    <w:p>
      <w:pPr>
        <w:pStyle w:val="ListParagraph"/>
        <w:numPr>
          <w:ilvl w:val="0"/>
          <w:numId w:val="6"/>
        </w:numPr>
        <w:tabs>
          <w:tab w:pos="567" w:val="left" w:leader="none"/>
        </w:tabs>
        <w:spacing w:line="191" w:lineRule="exact" w:before="0" w:after="0"/>
        <w:ind w:left="567" w:right="0" w:hanging="454"/>
        <w:jc w:val="left"/>
        <w:rPr>
          <w:sz w:val="16"/>
        </w:rPr>
      </w:pPr>
      <w:r>
        <w:rPr>
          <w:spacing w:val="-2"/>
          <w:sz w:val="16"/>
        </w:rPr>
        <w:t>Case C-441/14,</w:t>
      </w:r>
      <w:r>
        <w:rPr>
          <w:spacing w:val="-1"/>
          <w:sz w:val="16"/>
        </w:rPr>
        <w:t> </w:t>
      </w:r>
      <w:r>
        <w:rPr>
          <w:rFonts w:ascii="Verdana"/>
          <w:i/>
          <w:spacing w:val="-2"/>
          <w:sz w:val="16"/>
        </w:rPr>
        <w:t>Dansk</w:t>
      </w:r>
      <w:r>
        <w:rPr>
          <w:rFonts w:ascii="Verdana"/>
          <w:i/>
          <w:spacing w:val="-7"/>
          <w:sz w:val="16"/>
        </w:rPr>
        <w:t> </w:t>
      </w:r>
      <w:r>
        <w:rPr>
          <w:rFonts w:ascii="Verdana"/>
          <w:i/>
          <w:spacing w:val="-2"/>
          <w:sz w:val="16"/>
        </w:rPr>
        <w:t>Industri</w:t>
      </w:r>
      <w:r>
        <w:rPr>
          <w:rFonts w:ascii="Verdana"/>
          <w:i/>
          <w:spacing w:val="-8"/>
          <w:sz w:val="16"/>
        </w:rPr>
        <w:t> </w:t>
      </w:r>
      <w:r>
        <w:rPr>
          <w:rFonts w:ascii="Arial"/>
          <w:spacing w:val="-2"/>
          <w:sz w:val="16"/>
        </w:rPr>
        <w:t>(DI),</w:t>
      </w:r>
      <w:r>
        <w:rPr>
          <w:rFonts w:ascii="Arial"/>
          <w:spacing w:val="5"/>
          <w:sz w:val="16"/>
        </w:rPr>
        <w:t> </w:t>
      </w:r>
      <w:r>
        <w:rPr>
          <w:rFonts w:ascii="Verdana"/>
          <w:i/>
          <w:spacing w:val="-2"/>
          <w:sz w:val="16"/>
        </w:rPr>
        <w:t>acting</w:t>
      </w:r>
      <w:r>
        <w:rPr>
          <w:rFonts w:ascii="Verdana"/>
          <w:i/>
          <w:spacing w:val="-7"/>
          <w:sz w:val="16"/>
        </w:rPr>
        <w:t> </w:t>
      </w:r>
      <w:r>
        <w:rPr>
          <w:rFonts w:ascii="Verdana"/>
          <w:i/>
          <w:spacing w:val="-2"/>
          <w:sz w:val="16"/>
        </w:rPr>
        <w:t>on</w:t>
      </w:r>
      <w:r>
        <w:rPr>
          <w:rFonts w:ascii="Verdana"/>
          <w:i/>
          <w:spacing w:val="-7"/>
          <w:sz w:val="16"/>
        </w:rPr>
        <w:t> </w:t>
      </w:r>
      <w:r>
        <w:rPr>
          <w:rFonts w:ascii="Verdana"/>
          <w:i/>
          <w:spacing w:val="-2"/>
          <w:sz w:val="16"/>
        </w:rPr>
        <w:t>behalf</w:t>
      </w:r>
      <w:r>
        <w:rPr>
          <w:rFonts w:ascii="Verdana"/>
          <w:i/>
          <w:spacing w:val="-8"/>
          <w:sz w:val="16"/>
        </w:rPr>
        <w:t> </w:t>
      </w:r>
      <w:r>
        <w:rPr>
          <w:rFonts w:ascii="Verdana"/>
          <w:i/>
          <w:spacing w:val="-2"/>
          <w:sz w:val="16"/>
        </w:rPr>
        <w:t>of</w:t>
      </w:r>
      <w:r>
        <w:rPr>
          <w:rFonts w:ascii="Verdana"/>
          <w:i/>
          <w:spacing w:val="-7"/>
          <w:sz w:val="16"/>
        </w:rPr>
        <w:t> </w:t>
      </w:r>
      <w:r>
        <w:rPr>
          <w:rFonts w:ascii="Verdana"/>
          <w:i/>
          <w:spacing w:val="-2"/>
          <w:sz w:val="16"/>
        </w:rPr>
        <w:t>Ajos</w:t>
      </w:r>
      <w:r>
        <w:rPr>
          <w:rFonts w:ascii="Verdana"/>
          <w:i/>
          <w:spacing w:val="-7"/>
          <w:sz w:val="16"/>
        </w:rPr>
        <w:t> </w:t>
      </w:r>
      <w:r>
        <w:rPr>
          <w:rFonts w:ascii="Verdana"/>
          <w:i/>
          <w:spacing w:val="-2"/>
          <w:sz w:val="16"/>
        </w:rPr>
        <w:t>A/S</w:t>
      </w:r>
      <w:r>
        <w:rPr>
          <w:rFonts w:ascii="Verdana"/>
          <w:i/>
          <w:spacing w:val="-8"/>
          <w:sz w:val="16"/>
        </w:rPr>
        <w:t> </w:t>
      </w:r>
      <w:r>
        <w:rPr>
          <w:rFonts w:ascii="Verdana"/>
          <w:i/>
          <w:spacing w:val="-2"/>
          <w:sz w:val="16"/>
        </w:rPr>
        <w:t>v</w:t>
      </w:r>
      <w:r>
        <w:rPr>
          <w:rFonts w:ascii="Verdana"/>
          <w:i/>
          <w:spacing w:val="-7"/>
          <w:sz w:val="16"/>
        </w:rPr>
        <w:t> </w:t>
      </w:r>
      <w:r>
        <w:rPr>
          <w:rFonts w:ascii="Verdana"/>
          <w:i/>
          <w:spacing w:val="-2"/>
          <w:sz w:val="16"/>
        </w:rPr>
        <w:t>Estate</w:t>
      </w:r>
      <w:r>
        <w:rPr>
          <w:rFonts w:ascii="Verdana"/>
          <w:i/>
          <w:spacing w:val="-7"/>
          <w:sz w:val="16"/>
        </w:rPr>
        <w:t> </w:t>
      </w:r>
      <w:r>
        <w:rPr>
          <w:rFonts w:ascii="Verdana"/>
          <w:i/>
          <w:spacing w:val="-2"/>
          <w:sz w:val="16"/>
        </w:rPr>
        <w:t>of</w:t>
      </w:r>
      <w:r>
        <w:rPr>
          <w:rFonts w:ascii="Verdana"/>
          <w:i/>
          <w:spacing w:val="-7"/>
          <w:sz w:val="16"/>
        </w:rPr>
        <w:t> </w:t>
      </w:r>
      <w:r>
        <w:rPr>
          <w:rFonts w:ascii="Verdana"/>
          <w:i/>
          <w:spacing w:val="-2"/>
          <w:sz w:val="16"/>
        </w:rPr>
        <w:t>Karsten</w:t>
      </w:r>
      <w:r>
        <w:rPr>
          <w:rFonts w:ascii="Verdana"/>
          <w:i/>
          <w:spacing w:val="-8"/>
          <w:sz w:val="16"/>
        </w:rPr>
        <w:t> </w:t>
      </w:r>
      <w:r>
        <w:rPr>
          <w:rFonts w:ascii="Verdana"/>
          <w:i/>
          <w:spacing w:val="-2"/>
          <w:sz w:val="16"/>
        </w:rPr>
        <w:t>Eigil</w:t>
      </w:r>
      <w:r>
        <w:rPr>
          <w:rFonts w:ascii="Verdana"/>
          <w:i/>
          <w:spacing w:val="-7"/>
          <w:sz w:val="16"/>
        </w:rPr>
        <w:t> </w:t>
      </w:r>
      <w:r>
        <w:rPr>
          <w:rFonts w:ascii="Verdana"/>
          <w:i/>
          <w:spacing w:val="-2"/>
          <w:sz w:val="16"/>
        </w:rPr>
        <w:t>Rasmussen</w:t>
      </w:r>
      <w:r>
        <w:rPr>
          <w:spacing w:val="-2"/>
          <w:sz w:val="16"/>
        </w:rPr>
        <w:t>,</w:t>
      </w:r>
      <w:r>
        <w:rPr>
          <w:spacing w:val="-1"/>
          <w:sz w:val="16"/>
        </w:rPr>
        <w:t> </w:t>
      </w:r>
      <w:r>
        <w:rPr>
          <w:spacing w:val="-2"/>
          <w:sz w:val="16"/>
        </w:rPr>
        <w:t>EU:C:2016:278.</w:t>
      </w:r>
    </w:p>
    <w:p>
      <w:pPr>
        <w:pStyle w:val="ListParagraph"/>
        <w:numPr>
          <w:ilvl w:val="0"/>
          <w:numId w:val="6"/>
        </w:numPr>
        <w:tabs>
          <w:tab w:pos="567" w:val="left" w:leader="none"/>
        </w:tabs>
        <w:spacing w:line="200" w:lineRule="exact" w:before="0" w:after="0"/>
        <w:ind w:left="567" w:right="0" w:hanging="454"/>
        <w:jc w:val="left"/>
        <w:rPr>
          <w:rFonts w:ascii="Arial"/>
          <w:sz w:val="16"/>
        </w:rPr>
      </w:pPr>
      <w:r>
        <w:rPr>
          <w:rFonts w:ascii="Verdana"/>
          <w:i/>
          <w:sz w:val="16"/>
        </w:rPr>
        <w:t>Ghaidan v</w:t>
      </w:r>
      <w:r>
        <w:rPr>
          <w:rFonts w:ascii="Verdana"/>
          <w:i/>
          <w:spacing w:val="1"/>
          <w:sz w:val="16"/>
        </w:rPr>
        <w:t> </w:t>
      </w:r>
      <w:r>
        <w:rPr>
          <w:rFonts w:ascii="Verdana"/>
          <w:i/>
          <w:sz w:val="16"/>
        </w:rPr>
        <w:t>Godin-Mendoza</w:t>
      </w:r>
      <w:r>
        <w:rPr>
          <w:rFonts w:ascii="Verdana"/>
          <w:i/>
          <w:spacing w:val="1"/>
          <w:sz w:val="16"/>
        </w:rPr>
        <w:t> </w:t>
      </w:r>
      <w:r>
        <w:rPr>
          <w:sz w:val="16"/>
        </w:rPr>
        <w:t>[2004]</w:t>
      </w:r>
      <w:r>
        <w:rPr>
          <w:spacing w:val="7"/>
          <w:sz w:val="16"/>
        </w:rPr>
        <w:t> </w:t>
      </w:r>
      <w:r>
        <w:rPr>
          <w:sz w:val="16"/>
        </w:rPr>
        <w:t>UKHL</w:t>
      </w:r>
      <w:r>
        <w:rPr>
          <w:spacing w:val="8"/>
          <w:sz w:val="16"/>
        </w:rPr>
        <w:t> </w:t>
      </w:r>
      <w:r>
        <w:rPr>
          <w:sz w:val="16"/>
        </w:rPr>
        <w:t>30,</w:t>
      </w:r>
      <w:r>
        <w:rPr>
          <w:spacing w:val="7"/>
          <w:sz w:val="16"/>
        </w:rPr>
        <w:t> </w:t>
      </w:r>
      <w:r>
        <w:rPr>
          <w:sz w:val="16"/>
        </w:rPr>
        <w:t>at</w:t>
      </w:r>
      <w:r>
        <w:rPr>
          <w:spacing w:val="7"/>
          <w:sz w:val="16"/>
        </w:rPr>
        <w:t> </w:t>
      </w:r>
      <w:r>
        <w:rPr>
          <w:sz w:val="16"/>
        </w:rPr>
        <w:t>para</w:t>
      </w:r>
      <w:r>
        <w:rPr>
          <w:spacing w:val="7"/>
          <w:sz w:val="16"/>
        </w:rPr>
        <w:t> </w:t>
      </w:r>
      <w:r>
        <w:rPr>
          <w:sz w:val="16"/>
        </w:rPr>
        <w:t>30,</w:t>
      </w:r>
      <w:r>
        <w:rPr>
          <w:spacing w:val="7"/>
          <w:sz w:val="16"/>
        </w:rPr>
        <w:t> </w:t>
      </w:r>
      <w:r>
        <w:rPr>
          <w:sz w:val="16"/>
        </w:rPr>
        <w:t>per</w:t>
      </w:r>
      <w:r>
        <w:rPr>
          <w:spacing w:val="7"/>
          <w:sz w:val="16"/>
        </w:rPr>
        <w:t> </w:t>
      </w:r>
      <w:r>
        <w:rPr>
          <w:sz w:val="16"/>
        </w:rPr>
        <w:t>Lord</w:t>
      </w:r>
      <w:r>
        <w:rPr>
          <w:spacing w:val="7"/>
          <w:sz w:val="16"/>
        </w:rPr>
        <w:t> </w:t>
      </w:r>
      <w:r>
        <w:rPr>
          <w:spacing w:val="-2"/>
          <w:sz w:val="16"/>
        </w:rPr>
        <w:t>Nicholls.</w:t>
      </w:r>
    </w:p>
    <w:p>
      <w:pPr>
        <w:pStyle w:val="ListParagraph"/>
        <w:numPr>
          <w:ilvl w:val="0"/>
          <w:numId w:val="6"/>
        </w:numPr>
        <w:tabs>
          <w:tab w:pos="567" w:val="left" w:leader="none"/>
        </w:tabs>
        <w:spacing w:line="200" w:lineRule="exact" w:before="0" w:after="0"/>
        <w:ind w:left="567" w:right="0" w:hanging="454"/>
        <w:jc w:val="left"/>
        <w:rPr>
          <w:sz w:val="16"/>
        </w:rPr>
      </w:pPr>
      <w:r>
        <w:rPr>
          <w:sz w:val="16"/>
        </w:rPr>
        <w:t>Ibid,</w:t>
      </w:r>
      <w:r>
        <w:rPr>
          <w:spacing w:val="-1"/>
          <w:sz w:val="16"/>
        </w:rPr>
        <w:t> </w:t>
      </w:r>
      <w:r>
        <w:rPr>
          <w:sz w:val="16"/>
        </w:rPr>
        <w:t>at para</w:t>
      </w:r>
      <w:r>
        <w:rPr>
          <w:spacing w:val="-1"/>
          <w:sz w:val="16"/>
        </w:rPr>
        <w:t> </w:t>
      </w:r>
      <w:r>
        <w:rPr>
          <w:spacing w:val="-5"/>
          <w:sz w:val="16"/>
        </w:rPr>
        <w:t>45.</w:t>
      </w:r>
    </w:p>
    <w:p>
      <w:pPr>
        <w:pStyle w:val="ListParagraph"/>
        <w:numPr>
          <w:ilvl w:val="0"/>
          <w:numId w:val="6"/>
        </w:numPr>
        <w:tabs>
          <w:tab w:pos="567" w:val="left" w:leader="none"/>
        </w:tabs>
        <w:spacing w:line="200" w:lineRule="exact" w:before="0" w:after="0"/>
        <w:ind w:left="567" w:right="0" w:hanging="454"/>
        <w:jc w:val="left"/>
        <w:rPr>
          <w:rFonts w:ascii="Arial"/>
          <w:sz w:val="16"/>
        </w:rPr>
      </w:pPr>
      <w:r>
        <w:rPr>
          <w:rFonts w:ascii="Verdana"/>
          <w:i/>
          <w:sz w:val="16"/>
        </w:rPr>
        <w:t>HMRC</w:t>
      </w:r>
      <w:r>
        <w:rPr>
          <w:rFonts w:ascii="Verdana"/>
          <w:i/>
          <w:spacing w:val="-5"/>
          <w:sz w:val="16"/>
        </w:rPr>
        <w:t> </w:t>
      </w:r>
      <w:r>
        <w:rPr>
          <w:rFonts w:ascii="Verdana"/>
          <w:i/>
          <w:sz w:val="16"/>
        </w:rPr>
        <w:t>v</w:t>
      </w:r>
      <w:r>
        <w:rPr>
          <w:rFonts w:ascii="Verdana"/>
          <w:i/>
          <w:spacing w:val="-4"/>
          <w:sz w:val="16"/>
        </w:rPr>
        <w:t> </w:t>
      </w:r>
      <w:r>
        <w:rPr>
          <w:rFonts w:ascii="Verdana"/>
          <w:i/>
          <w:sz w:val="16"/>
        </w:rPr>
        <w:t>IDT</w:t>
      </w:r>
      <w:r>
        <w:rPr>
          <w:rFonts w:ascii="Verdana"/>
          <w:i/>
          <w:spacing w:val="-5"/>
          <w:sz w:val="16"/>
        </w:rPr>
        <w:t> </w:t>
      </w:r>
      <w:r>
        <w:rPr>
          <w:rFonts w:ascii="Verdana"/>
          <w:i/>
          <w:sz w:val="16"/>
        </w:rPr>
        <w:t>Card</w:t>
      </w:r>
      <w:r>
        <w:rPr>
          <w:rFonts w:ascii="Verdana"/>
          <w:i/>
          <w:spacing w:val="-5"/>
          <w:sz w:val="16"/>
        </w:rPr>
        <w:t> </w:t>
      </w:r>
      <w:r>
        <w:rPr>
          <w:rFonts w:ascii="Verdana"/>
          <w:i/>
          <w:sz w:val="16"/>
        </w:rPr>
        <w:t>Services</w:t>
      </w:r>
      <w:r>
        <w:rPr>
          <w:rFonts w:ascii="Verdana"/>
          <w:i/>
          <w:spacing w:val="-4"/>
          <w:sz w:val="16"/>
        </w:rPr>
        <w:t> </w:t>
      </w:r>
      <w:r>
        <w:rPr>
          <w:rFonts w:ascii="Verdana"/>
          <w:i/>
          <w:sz w:val="16"/>
        </w:rPr>
        <w:t>Ireland</w:t>
      </w:r>
      <w:r>
        <w:rPr>
          <w:rFonts w:ascii="Verdana"/>
          <w:i/>
          <w:spacing w:val="-5"/>
          <w:sz w:val="16"/>
        </w:rPr>
        <w:t> </w:t>
      </w:r>
      <w:r>
        <w:rPr>
          <w:rFonts w:ascii="Verdana"/>
          <w:i/>
          <w:sz w:val="16"/>
        </w:rPr>
        <w:t>Ltd</w:t>
      </w:r>
      <w:r>
        <w:rPr>
          <w:rFonts w:ascii="Verdana"/>
          <w:i/>
          <w:spacing w:val="-4"/>
          <w:sz w:val="16"/>
        </w:rPr>
        <w:t> </w:t>
      </w:r>
      <w:r>
        <w:rPr>
          <w:sz w:val="16"/>
        </w:rPr>
        <w:t>[2006]</w:t>
      </w:r>
      <w:r>
        <w:rPr>
          <w:spacing w:val="2"/>
          <w:sz w:val="16"/>
        </w:rPr>
        <w:t> </w:t>
      </w:r>
      <w:r>
        <w:rPr>
          <w:sz w:val="16"/>
        </w:rPr>
        <w:t>EWCA</w:t>
      </w:r>
      <w:r>
        <w:rPr>
          <w:spacing w:val="1"/>
          <w:sz w:val="16"/>
        </w:rPr>
        <w:t> </w:t>
      </w:r>
      <w:r>
        <w:rPr>
          <w:sz w:val="16"/>
        </w:rPr>
        <w:t>Civ</w:t>
      </w:r>
      <w:r>
        <w:rPr>
          <w:spacing w:val="2"/>
          <w:sz w:val="16"/>
        </w:rPr>
        <w:t> </w:t>
      </w:r>
      <w:r>
        <w:rPr>
          <w:sz w:val="16"/>
        </w:rPr>
        <w:t>29,</w:t>
      </w:r>
      <w:r>
        <w:rPr>
          <w:spacing w:val="1"/>
          <w:sz w:val="16"/>
        </w:rPr>
        <w:t> </w:t>
      </w:r>
      <w:r>
        <w:rPr>
          <w:sz w:val="16"/>
        </w:rPr>
        <w:t>at</w:t>
      </w:r>
      <w:r>
        <w:rPr>
          <w:spacing w:val="2"/>
          <w:sz w:val="16"/>
        </w:rPr>
        <w:t> </w:t>
      </w:r>
      <w:r>
        <w:rPr>
          <w:sz w:val="16"/>
        </w:rPr>
        <w:t>para</w:t>
      </w:r>
      <w:r>
        <w:rPr>
          <w:spacing w:val="1"/>
          <w:sz w:val="16"/>
        </w:rPr>
        <w:t> </w:t>
      </w:r>
      <w:r>
        <w:rPr>
          <w:sz w:val="16"/>
        </w:rPr>
        <w:t>91,</w:t>
      </w:r>
      <w:r>
        <w:rPr>
          <w:spacing w:val="2"/>
          <w:sz w:val="16"/>
        </w:rPr>
        <w:t> </w:t>
      </w:r>
      <w:r>
        <w:rPr>
          <w:sz w:val="16"/>
        </w:rPr>
        <w:t>per</w:t>
      </w:r>
      <w:r>
        <w:rPr>
          <w:spacing w:val="1"/>
          <w:sz w:val="16"/>
        </w:rPr>
        <w:t> </w:t>
      </w:r>
      <w:r>
        <w:rPr>
          <w:sz w:val="16"/>
        </w:rPr>
        <w:t>Lady</w:t>
      </w:r>
      <w:r>
        <w:rPr>
          <w:spacing w:val="2"/>
          <w:sz w:val="16"/>
        </w:rPr>
        <w:t> </w:t>
      </w:r>
      <w:r>
        <w:rPr>
          <w:spacing w:val="-2"/>
          <w:sz w:val="16"/>
        </w:rPr>
        <w:t>Arden.</w:t>
      </w:r>
    </w:p>
    <w:p>
      <w:pPr>
        <w:pStyle w:val="ListParagraph"/>
        <w:numPr>
          <w:ilvl w:val="0"/>
          <w:numId w:val="6"/>
        </w:numPr>
        <w:tabs>
          <w:tab w:pos="567" w:val="left" w:leader="none"/>
        </w:tabs>
        <w:spacing w:line="223" w:lineRule="exact" w:before="0" w:after="0"/>
        <w:ind w:left="567" w:right="0" w:hanging="454"/>
        <w:jc w:val="left"/>
        <w:rPr>
          <w:sz w:val="16"/>
        </w:rPr>
      </w:pPr>
      <w:r>
        <w:rPr>
          <w:spacing w:val="-2"/>
          <w:sz w:val="16"/>
        </w:rPr>
        <w:t>Joined</w:t>
      </w:r>
      <w:r>
        <w:rPr>
          <w:spacing w:val="2"/>
          <w:sz w:val="16"/>
        </w:rPr>
        <w:t> </w:t>
      </w:r>
      <w:r>
        <w:rPr>
          <w:spacing w:val="-2"/>
          <w:sz w:val="16"/>
        </w:rPr>
        <w:t>Cases</w:t>
      </w:r>
      <w:r>
        <w:rPr>
          <w:spacing w:val="3"/>
          <w:sz w:val="16"/>
        </w:rPr>
        <w:t> </w:t>
      </w:r>
      <w:r>
        <w:rPr>
          <w:spacing w:val="-2"/>
          <w:sz w:val="16"/>
        </w:rPr>
        <w:t>397/01-403/01,</w:t>
      </w:r>
      <w:r>
        <w:rPr>
          <w:spacing w:val="2"/>
          <w:sz w:val="16"/>
        </w:rPr>
        <w:t> </w:t>
      </w:r>
      <w:r>
        <w:rPr>
          <w:rFonts w:ascii="Verdana"/>
          <w:i/>
          <w:spacing w:val="-2"/>
          <w:sz w:val="16"/>
        </w:rPr>
        <w:t>Pfeiffer</w:t>
      </w:r>
      <w:r>
        <w:rPr>
          <w:rFonts w:ascii="Verdana"/>
          <w:i/>
          <w:spacing w:val="-4"/>
          <w:sz w:val="16"/>
        </w:rPr>
        <w:t> </w:t>
      </w:r>
      <w:r>
        <w:rPr>
          <w:rFonts w:ascii="Verdana"/>
          <w:i/>
          <w:spacing w:val="-2"/>
          <w:sz w:val="16"/>
        </w:rPr>
        <w:t>v</w:t>
      </w:r>
      <w:r>
        <w:rPr>
          <w:rFonts w:ascii="Verdana"/>
          <w:i/>
          <w:spacing w:val="-3"/>
          <w:sz w:val="16"/>
        </w:rPr>
        <w:t> </w:t>
      </w:r>
      <w:r>
        <w:rPr>
          <w:rFonts w:ascii="Verdana"/>
          <w:i/>
          <w:spacing w:val="-2"/>
          <w:sz w:val="16"/>
        </w:rPr>
        <w:t>Deutsches</w:t>
      </w:r>
      <w:r>
        <w:rPr>
          <w:rFonts w:ascii="Verdana"/>
          <w:i/>
          <w:spacing w:val="-4"/>
          <w:sz w:val="16"/>
        </w:rPr>
        <w:t> </w:t>
      </w:r>
      <w:r>
        <w:rPr>
          <w:rFonts w:ascii="Verdana"/>
          <w:i/>
          <w:spacing w:val="-2"/>
          <w:sz w:val="16"/>
        </w:rPr>
        <w:t>Rotes</w:t>
      </w:r>
      <w:r>
        <w:rPr>
          <w:rFonts w:ascii="Verdana"/>
          <w:i/>
          <w:spacing w:val="-3"/>
          <w:sz w:val="16"/>
        </w:rPr>
        <w:t> </w:t>
      </w:r>
      <w:r>
        <w:rPr>
          <w:rFonts w:ascii="Verdana"/>
          <w:i/>
          <w:spacing w:val="-2"/>
          <w:sz w:val="16"/>
        </w:rPr>
        <w:t>Kreuz,</w:t>
      </w:r>
      <w:r>
        <w:rPr>
          <w:rFonts w:ascii="Verdana"/>
          <w:i/>
          <w:spacing w:val="-4"/>
          <w:sz w:val="16"/>
        </w:rPr>
        <w:t> </w:t>
      </w:r>
      <w:r>
        <w:rPr>
          <w:rFonts w:ascii="Verdana"/>
          <w:i/>
          <w:spacing w:val="-2"/>
          <w:sz w:val="16"/>
        </w:rPr>
        <w:t>Kreisverband</w:t>
      </w:r>
      <w:r>
        <w:rPr>
          <w:rFonts w:ascii="Verdana"/>
          <w:i/>
          <w:spacing w:val="-3"/>
          <w:sz w:val="16"/>
        </w:rPr>
        <w:t> </w:t>
      </w:r>
      <w:r>
        <w:rPr>
          <w:rFonts w:ascii="Verdana"/>
          <w:i/>
          <w:spacing w:val="-2"/>
          <w:sz w:val="16"/>
        </w:rPr>
        <w:t>Waldshut</w:t>
      </w:r>
      <w:r>
        <w:rPr>
          <w:rFonts w:ascii="Verdana"/>
          <w:i/>
          <w:spacing w:val="-4"/>
          <w:sz w:val="16"/>
        </w:rPr>
        <w:t> </w:t>
      </w:r>
      <w:r>
        <w:rPr>
          <w:rFonts w:ascii="Verdana"/>
          <w:i/>
          <w:spacing w:val="-2"/>
          <w:sz w:val="16"/>
        </w:rPr>
        <w:t>eV,</w:t>
      </w:r>
      <w:r>
        <w:rPr>
          <w:rFonts w:ascii="Verdana"/>
          <w:i/>
          <w:spacing w:val="-3"/>
          <w:sz w:val="16"/>
        </w:rPr>
        <w:t> </w:t>
      </w:r>
      <w:r>
        <w:rPr>
          <w:spacing w:val="-2"/>
          <w:sz w:val="16"/>
        </w:rPr>
        <w:t>EU:C:2004:584,</w:t>
      </w:r>
      <w:r>
        <w:rPr>
          <w:spacing w:val="2"/>
          <w:sz w:val="16"/>
        </w:rPr>
        <w:t> </w:t>
      </w:r>
      <w:r>
        <w:rPr>
          <w:spacing w:val="-2"/>
          <w:sz w:val="16"/>
        </w:rPr>
        <w:t>para</w:t>
      </w:r>
      <w:r>
        <w:rPr>
          <w:spacing w:val="3"/>
          <w:sz w:val="16"/>
        </w:rPr>
        <w:t> </w:t>
      </w:r>
      <w:r>
        <w:rPr>
          <w:spacing w:val="-4"/>
          <w:sz w:val="16"/>
        </w:rPr>
        <w:t>118.</w:t>
      </w:r>
    </w:p>
    <w:p>
      <w:pPr>
        <w:spacing w:after="0" w:line="223" w:lineRule="exact"/>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310" w:lineRule="exact" w:before="49"/>
        <w:ind w:right="17"/>
        <w:rPr>
          <w:rFonts w:ascii="Lucida Sans Unicode"/>
        </w:rPr>
      </w:pPr>
      <w:bookmarkStart w:name="c. Direct effect " w:id="20"/>
      <w:bookmarkEnd w:id="20"/>
      <w:r>
        <w:rPr/>
      </w:r>
      <w:bookmarkStart w:name="_bookmark8" w:id="21"/>
      <w:bookmarkEnd w:id="21"/>
      <w:r>
        <w:rPr/>
      </w:r>
      <w:r>
        <w:rPr>
          <w:w w:val="115"/>
        </w:rPr>
        <w:t>the wording of the legislation.</w:t>
      </w:r>
      <w:r>
        <w:rPr>
          <w:rFonts w:ascii="Lucida Sans Unicode"/>
          <w:w w:val="115"/>
          <w:vertAlign w:val="superscript"/>
        </w:rPr>
        <w:t>63</w:t>
      </w:r>
      <w:r>
        <w:rPr>
          <w:rFonts w:ascii="Lucida Sans Unicode"/>
          <w:w w:val="115"/>
          <w:vertAlign w:val="baseline"/>
        </w:rPr>
        <w:t> </w:t>
      </w:r>
      <w:r>
        <w:rPr>
          <w:w w:val="115"/>
          <w:vertAlign w:val="baseline"/>
        </w:rPr>
        <w:t>Overall, this means that when </w:t>
      </w:r>
      <w:r>
        <w:rPr>
          <w:spacing w:val="-2"/>
          <w:w w:val="115"/>
          <w:vertAlign w:val="baseline"/>
        </w:rPr>
        <w:t>considering</w:t>
      </w:r>
      <w:r>
        <w:rPr>
          <w:spacing w:val="-10"/>
          <w:w w:val="115"/>
          <w:vertAlign w:val="baseline"/>
        </w:rPr>
        <w:t> </w:t>
      </w:r>
      <w:r>
        <w:rPr>
          <w:spacing w:val="-2"/>
          <w:w w:val="115"/>
          <w:vertAlign w:val="baseline"/>
        </w:rPr>
        <w:t>interpretations</w:t>
      </w:r>
      <w:r>
        <w:rPr>
          <w:spacing w:val="-10"/>
          <w:w w:val="115"/>
          <w:vertAlign w:val="baseline"/>
        </w:rPr>
        <w:t> </w:t>
      </w:r>
      <w:r>
        <w:rPr>
          <w:spacing w:val="-2"/>
          <w:w w:val="115"/>
          <w:vertAlign w:val="baseline"/>
        </w:rPr>
        <w:t>consistent </w:t>
      </w:r>
      <w:r>
        <w:rPr>
          <w:w w:val="115"/>
          <w:vertAlign w:val="baseline"/>
        </w:rPr>
        <w:t>with fundamental rights under the Charter,</w:t>
      </w:r>
      <w:r>
        <w:rPr>
          <w:spacing w:val="-2"/>
          <w:w w:val="115"/>
          <w:vertAlign w:val="baseline"/>
        </w:rPr>
        <w:t> </w:t>
      </w:r>
      <w:r>
        <w:rPr>
          <w:w w:val="115"/>
          <w:vertAlign w:val="baseline"/>
        </w:rPr>
        <w:t>domestic</w:t>
      </w:r>
      <w:r>
        <w:rPr>
          <w:spacing w:val="-2"/>
          <w:w w:val="115"/>
          <w:vertAlign w:val="baseline"/>
        </w:rPr>
        <w:t> </w:t>
      </w:r>
      <w:r>
        <w:rPr>
          <w:w w:val="115"/>
          <w:vertAlign w:val="baseline"/>
        </w:rPr>
        <w:t>courts</w:t>
      </w:r>
      <w:r>
        <w:rPr>
          <w:spacing w:val="-2"/>
          <w:w w:val="115"/>
          <w:vertAlign w:val="baseline"/>
        </w:rPr>
        <w:t> </w:t>
      </w:r>
      <w:r>
        <w:rPr>
          <w:w w:val="115"/>
          <w:vertAlign w:val="baseline"/>
        </w:rPr>
        <w:t>may</w:t>
      </w:r>
      <w:r>
        <w:rPr>
          <w:spacing w:val="-2"/>
          <w:w w:val="115"/>
          <w:vertAlign w:val="baseline"/>
        </w:rPr>
        <w:t> </w:t>
      </w:r>
      <w:r>
        <w:rPr>
          <w:w w:val="115"/>
          <w:vertAlign w:val="baseline"/>
        </w:rPr>
        <w:t>use</w:t>
      </w:r>
      <w:r>
        <w:rPr>
          <w:spacing w:val="-2"/>
          <w:w w:val="115"/>
          <w:vertAlign w:val="baseline"/>
        </w:rPr>
        <w:t> </w:t>
      </w:r>
      <w:r>
        <w:rPr>
          <w:w w:val="115"/>
          <w:vertAlign w:val="baseline"/>
        </w:rPr>
        <w:t>a more expansive approach than that which they have so far applied to </w:t>
      </w:r>
      <w:r>
        <w:rPr>
          <w:rFonts w:ascii="Lucida Sans Unicode"/>
          <w:spacing w:val="-2"/>
          <w:w w:val="110"/>
          <w:vertAlign w:val="baseline"/>
        </w:rPr>
        <w:t>ECHR</w:t>
      </w:r>
      <w:r>
        <w:rPr>
          <w:rFonts w:ascii="Lucida Sans Unicode"/>
          <w:spacing w:val="-18"/>
          <w:w w:val="110"/>
          <w:vertAlign w:val="baseline"/>
        </w:rPr>
        <w:t> </w:t>
      </w:r>
      <w:r>
        <w:rPr>
          <w:rFonts w:ascii="Lucida Sans Unicode"/>
          <w:spacing w:val="-2"/>
          <w:w w:val="110"/>
          <w:vertAlign w:val="baseline"/>
        </w:rPr>
        <w:t>provisions</w:t>
      </w:r>
      <w:r>
        <w:rPr>
          <w:rFonts w:ascii="Lucida Sans Unicode"/>
          <w:spacing w:val="-18"/>
          <w:w w:val="110"/>
          <w:vertAlign w:val="baseline"/>
        </w:rPr>
        <w:t> </w:t>
      </w:r>
      <w:r>
        <w:rPr>
          <w:rFonts w:ascii="Lucida Sans Unicode"/>
          <w:spacing w:val="-2"/>
          <w:w w:val="110"/>
          <w:vertAlign w:val="baseline"/>
        </w:rPr>
        <w:t>under</w:t>
      </w:r>
      <w:r>
        <w:rPr>
          <w:rFonts w:ascii="Lucida Sans Unicode"/>
          <w:spacing w:val="-18"/>
          <w:w w:val="110"/>
          <w:vertAlign w:val="baseline"/>
        </w:rPr>
        <w:t> </w:t>
      </w:r>
      <w:r>
        <w:rPr>
          <w:rFonts w:ascii="Lucida Sans Unicode"/>
          <w:spacing w:val="-2"/>
          <w:w w:val="110"/>
          <w:vertAlign w:val="baseline"/>
        </w:rPr>
        <w:t>s.</w:t>
      </w:r>
      <w:r>
        <w:rPr>
          <w:rFonts w:ascii="Lucida Sans Unicode"/>
          <w:spacing w:val="-18"/>
          <w:w w:val="110"/>
          <w:vertAlign w:val="baseline"/>
        </w:rPr>
        <w:t> </w:t>
      </w:r>
      <w:r>
        <w:rPr>
          <w:rFonts w:ascii="Lucida Sans Unicode"/>
          <w:spacing w:val="-2"/>
          <w:w w:val="110"/>
          <w:vertAlign w:val="baseline"/>
        </w:rPr>
        <w:t>3</w:t>
      </w:r>
      <w:r>
        <w:rPr>
          <w:rFonts w:ascii="Lucida Sans Unicode"/>
          <w:spacing w:val="-18"/>
          <w:w w:val="110"/>
          <w:vertAlign w:val="baseline"/>
        </w:rPr>
        <w:t> </w:t>
      </w:r>
      <w:r>
        <w:rPr>
          <w:rFonts w:ascii="Lucida Sans Unicode"/>
          <w:spacing w:val="-2"/>
          <w:w w:val="110"/>
          <w:vertAlign w:val="baseline"/>
        </w:rPr>
        <w:t>HRA.</w:t>
      </w:r>
    </w:p>
    <w:p>
      <w:pPr>
        <w:pStyle w:val="BodyText"/>
        <w:spacing w:line="310" w:lineRule="exact" w:before="300"/>
        <w:ind w:right="17"/>
      </w:pPr>
      <w:r>
        <w:rPr>
          <w:w w:val="115"/>
        </w:rPr>
        <w:t>Finally, it is noteworthy that the principle of consistent interpretation extends not only to national courts, but also to interpretations of EU law by</w:t>
      </w:r>
      <w:r>
        <w:rPr>
          <w:spacing w:val="-20"/>
          <w:w w:val="115"/>
        </w:rPr>
        <w:t> </w:t>
      </w:r>
      <w:r>
        <w:rPr>
          <w:w w:val="115"/>
        </w:rPr>
        <w:t>the</w:t>
      </w:r>
      <w:r>
        <w:rPr>
          <w:spacing w:val="-19"/>
          <w:w w:val="115"/>
        </w:rPr>
        <w:t> </w:t>
      </w:r>
      <w:r>
        <w:rPr>
          <w:w w:val="115"/>
        </w:rPr>
        <w:t>CJEU.</w:t>
      </w:r>
      <w:r>
        <w:rPr>
          <w:spacing w:val="-19"/>
          <w:w w:val="115"/>
        </w:rPr>
        <w:t> </w:t>
      </w:r>
      <w:r>
        <w:rPr>
          <w:w w:val="115"/>
        </w:rPr>
        <w:t>As</w:t>
      </w:r>
      <w:r>
        <w:rPr>
          <w:spacing w:val="-19"/>
          <w:w w:val="115"/>
        </w:rPr>
        <w:t> </w:t>
      </w:r>
      <w:r>
        <w:rPr>
          <w:w w:val="115"/>
        </w:rPr>
        <w:t>the</w:t>
      </w:r>
      <w:r>
        <w:rPr>
          <w:spacing w:val="-19"/>
          <w:w w:val="115"/>
        </w:rPr>
        <w:t> </w:t>
      </w:r>
      <w:r>
        <w:rPr>
          <w:w w:val="115"/>
        </w:rPr>
        <w:t>Court</w:t>
      </w:r>
      <w:r>
        <w:rPr>
          <w:spacing w:val="-20"/>
          <w:w w:val="115"/>
        </w:rPr>
        <w:t> </w:t>
      </w:r>
      <w:r>
        <w:rPr>
          <w:w w:val="115"/>
        </w:rPr>
        <w:t>highlighted </w:t>
      </w:r>
      <w:r>
        <w:rPr/>
        <w:t>in </w:t>
      </w:r>
      <w:r>
        <w:rPr>
          <w:rFonts w:ascii="Verdana"/>
          <w:i/>
        </w:rPr>
        <w:t>Kamberaj </w:t>
      </w:r>
      <w:r>
        <w:rPr/>
        <w:t>and </w:t>
      </w:r>
      <w:r>
        <w:rPr>
          <w:rFonts w:ascii="Verdana"/>
          <w:i/>
        </w:rPr>
        <w:t>Commission v</w:t>
      </w:r>
      <w:r>
        <w:rPr>
          <w:rFonts w:ascii="Verdana"/>
          <w:i/>
        </w:rPr>
        <w:t> </w:t>
      </w:r>
      <w:r>
        <w:rPr>
          <w:rFonts w:ascii="Verdana"/>
          <w:i/>
          <w:w w:val="115"/>
        </w:rPr>
        <w:t>Poland</w:t>
      </w:r>
      <w:r>
        <w:rPr>
          <w:w w:val="115"/>
        </w:rPr>
        <w:t>, the interpretation of all </w:t>
      </w:r>
      <w:r>
        <w:rPr>
          <w:w w:val="110"/>
        </w:rPr>
        <w:t>provisions</w:t>
      </w:r>
      <w:r>
        <w:rPr>
          <w:spacing w:val="-3"/>
          <w:w w:val="110"/>
        </w:rPr>
        <w:t> </w:t>
      </w:r>
      <w:r>
        <w:rPr>
          <w:w w:val="110"/>
        </w:rPr>
        <w:t>of</w:t>
      </w:r>
      <w:r>
        <w:rPr>
          <w:spacing w:val="-3"/>
          <w:w w:val="110"/>
        </w:rPr>
        <w:t> </w:t>
      </w:r>
      <w:r>
        <w:rPr>
          <w:w w:val="110"/>
        </w:rPr>
        <w:t>the</w:t>
      </w:r>
      <w:r>
        <w:rPr>
          <w:spacing w:val="-3"/>
          <w:w w:val="110"/>
        </w:rPr>
        <w:t> </w:t>
      </w:r>
      <w:r>
        <w:rPr>
          <w:w w:val="110"/>
        </w:rPr>
        <w:t>Treaties,</w:t>
      </w:r>
      <w:r>
        <w:rPr>
          <w:spacing w:val="-3"/>
          <w:w w:val="110"/>
        </w:rPr>
        <w:t> </w:t>
      </w:r>
      <w:r>
        <w:rPr>
          <w:w w:val="110"/>
        </w:rPr>
        <w:t>as</w:t>
      </w:r>
      <w:r>
        <w:rPr>
          <w:spacing w:val="-3"/>
          <w:w w:val="110"/>
        </w:rPr>
        <w:t> </w:t>
      </w:r>
      <w:r>
        <w:rPr>
          <w:w w:val="110"/>
        </w:rPr>
        <w:t>well</w:t>
      </w:r>
      <w:r>
        <w:rPr>
          <w:spacing w:val="-3"/>
          <w:w w:val="110"/>
        </w:rPr>
        <w:t> </w:t>
      </w:r>
      <w:r>
        <w:rPr>
          <w:w w:val="110"/>
        </w:rPr>
        <w:t>as</w:t>
      </w:r>
      <w:r>
        <w:rPr>
          <w:spacing w:val="-3"/>
          <w:w w:val="110"/>
        </w:rPr>
        <w:t> </w:t>
      </w:r>
      <w:r>
        <w:rPr>
          <w:w w:val="110"/>
        </w:rPr>
        <w:t>of </w:t>
      </w:r>
      <w:r>
        <w:rPr>
          <w:w w:val="115"/>
        </w:rPr>
        <w:t>secondary legislation, must conform to</w:t>
      </w:r>
      <w:r>
        <w:rPr>
          <w:spacing w:val="-10"/>
          <w:w w:val="115"/>
        </w:rPr>
        <w:t> </w:t>
      </w:r>
      <w:r>
        <w:rPr>
          <w:w w:val="115"/>
        </w:rPr>
        <w:t>the</w:t>
      </w:r>
      <w:r>
        <w:rPr>
          <w:spacing w:val="-10"/>
          <w:w w:val="115"/>
        </w:rPr>
        <w:t> </w:t>
      </w:r>
      <w:r>
        <w:rPr>
          <w:w w:val="115"/>
        </w:rPr>
        <w:t>Charter.</w:t>
      </w:r>
      <w:r>
        <w:rPr>
          <w:rFonts w:ascii="Lucida Sans Unicode"/>
          <w:w w:val="115"/>
          <w:vertAlign w:val="superscript"/>
        </w:rPr>
        <w:t>64</w:t>
      </w:r>
      <w:r>
        <w:rPr>
          <w:rFonts w:ascii="Lucida Sans Unicode"/>
          <w:spacing w:val="-20"/>
          <w:w w:val="115"/>
          <w:vertAlign w:val="baseline"/>
        </w:rPr>
        <w:t> </w:t>
      </w:r>
      <w:r>
        <w:rPr>
          <w:w w:val="115"/>
          <w:vertAlign w:val="baseline"/>
        </w:rPr>
        <w:t>The</w:t>
      </w:r>
      <w:r>
        <w:rPr>
          <w:spacing w:val="-10"/>
          <w:w w:val="115"/>
          <w:vertAlign w:val="baseline"/>
        </w:rPr>
        <w:t> </w:t>
      </w:r>
      <w:r>
        <w:rPr>
          <w:w w:val="115"/>
          <w:vertAlign w:val="baseline"/>
        </w:rPr>
        <w:t>Charter</w:t>
      </w:r>
      <w:r>
        <w:rPr>
          <w:spacing w:val="-10"/>
          <w:w w:val="115"/>
          <w:vertAlign w:val="baseline"/>
        </w:rPr>
        <w:t> </w:t>
      </w:r>
      <w:r>
        <w:rPr>
          <w:w w:val="115"/>
          <w:vertAlign w:val="baseline"/>
        </w:rPr>
        <w:t>must, therefore, be taken into account not only</w:t>
      </w:r>
      <w:r>
        <w:rPr>
          <w:spacing w:val="-9"/>
          <w:w w:val="115"/>
          <w:vertAlign w:val="baseline"/>
        </w:rPr>
        <w:t> </w:t>
      </w:r>
      <w:r>
        <w:rPr>
          <w:w w:val="115"/>
          <w:vertAlign w:val="baseline"/>
        </w:rPr>
        <w:t>in</w:t>
      </w:r>
      <w:r>
        <w:rPr>
          <w:spacing w:val="-9"/>
          <w:w w:val="115"/>
          <w:vertAlign w:val="baseline"/>
        </w:rPr>
        <w:t> </w:t>
      </w:r>
      <w:r>
        <w:rPr>
          <w:w w:val="115"/>
          <w:vertAlign w:val="baseline"/>
        </w:rPr>
        <w:t>respect</w:t>
      </w:r>
      <w:r>
        <w:rPr>
          <w:spacing w:val="-9"/>
          <w:w w:val="115"/>
          <w:vertAlign w:val="baseline"/>
        </w:rPr>
        <w:t> </w:t>
      </w:r>
      <w:r>
        <w:rPr>
          <w:w w:val="115"/>
          <w:vertAlign w:val="baseline"/>
        </w:rPr>
        <w:t>of</w:t>
      </w:r>
      <w:r>
        <w:rPr>
          <w:spacing w:val="-9"/>
          <w:w w:val="115"/>
          <w:vertAlign w:val="baseline"/>
        </w:rPr>
        <w:t> </w:t>
      </w:r>
      <w:r>
        <w:rPr>
          <w:w w:val="115"/>
          <w:vertAlign w:val="baseline"/>
        </w:rPr>
        <w:t>domestic</w:t>
      </w:r>
      <w:r>
        <w:rPr>
          <w:spacing w:val="-9"/>
          <w:w w:val="115"/>
          <w:vertAlign w:val="baseline"/>
        </w:rPr>
        <w:t> </w:t>
      </w:r>
      <w:r>
        <w:rPr>
          <w:w w:val="115"/>
          <w:vertAlign w:val="baseline"/>
        </w:rPr>
        <w:t>legislation or</w:t>
      </w:r>
      <w:r>
        <w:rPr>
          <w:spacing w:val="-19"/>
          <w:w w:val="115"/>
          <w:vertAlign w:val="baseline"/>
        </w:rPr>
        <w:t> </w:t>
      </w:r>
      <w:r>
        <w:rPr>
          <w:w w:val="115"/>
          <w:vertAlign w:val="baseline"/>
        </w:rPr>
        <w:t>enactments,</w:t>
      </w:r>
      <w:r>
        <w:rPr>
          <w:spacing w:val="-19"/>
          <w:w w:val="115"/>
          <w:vertAlign w:val="baseline"/>
        </w:rPr>
        <w:t> </w:t>
      </w:r>
      <w:r>
        <w:rPr>
          <w:w w:val="115"/>
          <w:vertAlign w:val="baseline"/>
        </w:rPr>
        <w:t>but</w:t>
      </w:r>
      <w:r>
        <w:rPr>
          <w:spacing w:val="-19"/>
          <w:w w:val="115"/>
          <w:vertAlign w:val="baseline"/>
        </w:rPr>
        <w:t> </w:t>
      </w:r>
      <w:r>
        <w:rPr>
          <w:w w:val="115"/>
          <w:vertAlign w:val="baseline"/>
        </w:rPr>
        <w:t>also</w:t>
      </w:r>
      <w:r>
        <w:rPr>
          <w:spacing w:val="-19"/>
          <w:w w:val="115"/>
          <w:vertAlign w:val="baseline"/>
        </w:rPr>
        <w:t> </w:t>
      </w:r>
      <w:r>
        <w:rPr>
          <w:w w:val="115"/>
          <w:vertAlign w:val="baseline"/>
        </w:rPr>
        <w:t>in</w:t>
      </w:r>
      <w:r>
        <w:rPr>
          <w:spacing w:val="-19"/>
          <w:w w:val="115"/>
          <w:vertAlign w:val="baseline"/>
        </w:rPr>
        <w:t> </w:t>
      </w:r>
      <w:r>
        <w:rPr>
          <w:w w:val="115"/>
          <w:vertAlign w:val="baseline"/>
        </w:rPr>
        <w:t>interpreting any provisions of EU law itself.</w:t>
      </w:r>
    </w:p>
    <w:p>
      <w:pPr>
        <w:pStyle w:val="BodyText"/>
        <w:spacing w:before="47"/>
        <w:ind w:left="0"/>
      </w:pPr>
    </w:p>
    <w:p>
      <w:pPr>
        <w:pStyle w:val="BodyText"/>
        <w:spacing w:line="268" w:lineRule="auto"/>
        <w:ind w:right="16"/>
      </w:pPr>
      <w:r>
        <w:rPr>
          <w:w w:val="115"/>
        </w:rPr>
        <w:t>Understanding the functions and breadth of the duty of consistent interpretation under EU law is essential in Northern Ireland post- Brexit because Northern Ireland </w:t>
      </w:r>
      <w:r>
        <w:rPr>
          <w:spacing w:val="-2"/>
          <w:w w:val="115"/>
        </w:rPr>
        <w:t>courts</w:t>
      </w:r>
      <w:r>
        <w:rPr>
          <w:spacing w:val="-18"/>
          <w:w w:val="115"/>
        </w:rPr>
        <w:t> </w:t>
      </w:r>
      <w:r>
        <w:rPr>
          <w:spacing w:val="-2"/>
          <w:w w:val="115"/>
        </w:rPr>
        <w:t>must</w:t>
      </w:r>
      <w:r>
        <w:rPr>
          <w:spacing w:val="-17"/>
          <w:w w:val="115"/>
        </w:rPr>
        <w:t> </w:t>
      </w:r>
      <w:r>
        <w:rPr>
          <w:spacing w:val="-2"/>
          <w:w w:val="115"/>
        </w:rPr>
        <w:t>interpret</w:t>
      </w:r>
      <w:r>
        <w:rPr>
          <w:spacing w:val="-17"/>
          <w:w w:val="115"/>
        </w:rPr>
        <w:t> </w:t>
      </w:r>
      <w:r>
        <w:rPr>
          <w:spacing w:val="-2"/>
          <w:w w:val="115"/>
        </w:rPr>
        <w:t>EU</w:t>
      </w:r>
      <w:r>
        <w:rPr>
          <w:spacing w:val="-17"/>
          <w:w w:val="115"/>
        </w:rPr>
        <w:t> </w:t>
      </w:r>
      <w:r>
        <w:rPr>
          <w:spacing w:val="-2"/>
          <w:w w:val="115"/>
        </w:rPr>
        <w:t>law</w:t>
      </w:r>
      <w:r>
        <w:rPr>
          <w:spacing w:val="-17"/>
          <w:w w:val="115"/>
        </w:rPr>
        <w:t> </w:t>
      </w:r>
      <w:r>
        <w:rPr>
          <w:spacing w:val="-2"/>
          <w:w w:val="115"/>
        </w:rPr>
        <w:t>expressly </w:t>
      </w:r>
      <w:r>
        <w:rPr>
          <w:w w:val="115"/>
        </w:rPr>
        <w:t>made applicable and/or referred</w:t>
      </w:r>
    </w:p>
    <w:p>
      <w:pPr>
        <w:pStyle w:val="BodyText"/>
        <w:spacing w:line="268" w:lineRule="auto" w:before="6"/>
        <w:ind w:right="198"/>
      </w:pPr>
      <w:r>
        <w:rPr>
          <w:w w:val="115"/>
        </w:rPr>
        <w:t>to by the Windsor Framework in accordance with the Charter, under the</w:t>
      </w:r>
      <w:r>
        <w:rPr>
          <w:spacing w:val="-13"/>
          <w:w w:val="115"/>
        </w:rPr>
        <w:t> </w:t>
      </w:r>
      <w:r>
        <w:rPr>
          <w:w w:val="115"/>
        </w:rPr>
        <w:t>principles</w:t>
      </w:r>
      <w:r>
        <w:rPr>
          <w:spacing w:val="-13"/>
          <w:w w:val="115"/>
        </w:rPr>
        <w:t> </w:t>
      </w:r>
      <w:r>
        <w:rPr>
          <w:w w:val="115"/>
        </w:rPr>
        <w:t>of</w:t>
      </w:r>
      <w:r>
        <w:rPr>
          <w:spacing w:val="-13"/>
          <w:w w:val="115"/>
        </w:rPr>
        <w:t> </w:t>
      </w:r>
      <w:r>
        <w:rPr>
          <w:w w:val="115"/>
        </w:rPr>
        <w:t>interpretation</w:t>
      </w:r>
      <w:r>
        <w:rPr>
          <w:spacing w:val="-13"/>
          <w:w w:val="115"/>
        </w:rPr>
        <w:t> </w:t>
      </w:r>
      <w:r>
        <w:rPr>
          <w:w w:val="115"/>
        </w:rPr>
        <w:t>of</w:t>
      </w:r>
      <w:r>
        <w:rPr>
          <w:spacing w:val="-13"/>
          <w:w w:val="115"/>
        </w:rPr>
        <w:t> </w:t>
      </w:r>
      <w:r>
        <w:rPr>
          <w:w w:val="115"/>
        </w:rPr>
        <w:t>EU law, yet often without the possibility of recourse to the CJEU (given that</w:t>
      </w:r>
    </w:p>
    <w:p>
      <w:pPr>
        <w:pStyle w:val="BodyText"/>
        <w:spacing w:line="310" w:lineRule="exact" w:before="49"/>
        <w:ind w:right="317"/>
      </w:pPr>
      <w:r>
        <w:rPr/>
        <w:br w:type="column"/>
      </w:r>
      <w:r>
        <w:rPr>
          <w:w w:val="110"/>
        </w:rPr>
        <w:t>the CJEU has jurisdiction only over the interpretation of matters </w:t>
      </w:r>
      <w:r>
        <w:rPr>
          <w:w w:val="110"/>
        </w:rPr>
        <w:t>directly governed by EU law or where this is </w:t>
      </w:r>
      <w:r>
        <w:rPr>
          <w:rFonts w:ascii="Lucida Sans Unicode"/>
        </w:rPr>
        <w:t>specifically provided for under the </w:t>
      </w:r>
      <w:r>
        <w:rPr>
          <w:w w:val="110"/>
        </w:rPr>
        <w:t>Windsor Framework).</w:t>
      </w:r>
      <w:r>
        <w:rPr>
          <w:w w:val="110"/>
          <w:vertAlign w:val="superscript"/>
        </w:rPr>
        <w:t>65</w:t>
      </w:r>
    </w:p>
    <w:p>
      <w:pPr>
        <w:pStyle w:val="BodyText"/>
        <w:spacing w:before="32"/>
        <w:ind w:left="0"/>
      </w:pPr>
    </w:p>
    <w:p>
      <w:pPr>
        <w:pStyle w:val="Heading4"/>
        <w:numPr>
          <w:ilvl w:val="1"/>
          <w:numId w:val="7"/>
        </w:numPr>
        <w:tabs>
          <w:tab w:pos="390" w:val="left" w:leader="none"/>
        </w:tabs>
        <w:spacing w:line="240" w:lineRule="auto" w:before="0" w:after="0"/>
        <w:ind w:left="390" w:right="0" w:hanging="277"/>
        <w:jc w:val="left"/>
      </w:pPr>
      <w:r>
        <w:rPr>
          <w:color w:val="77328A"/>
        </w:rPr>
        <w:t>Direct</w:t>
      </w:r>
      <w:r>
        <w:rPr>
          <w:color w:val="77328A"/>
          <w:spacing w:val="11"/>
        </w:rPr>
        <w:t> </w:t>
      </w:r>
      <w:r>
        <w:rPr>
          <w:color w:val="77328A"/>
          <w:spacing w:val="-2"/>
        </w:rPr>
        <w:t>effect</w:t>
      </w:r>
    </w:p>
    <w:p>
      <w:pPr>
        <w:pStyle w:val="BodyText"/>
        <w:spacing w:line="310" w:lineRule="exact" w:before="12"/>
        <w:ind w:right="147"/>
      </w:pPr>
      <w:r>
        <w:rPr>
          <w:w w:val="115"/>
        </w:rPr>
        <w:t>What happens when, despite its extensive character, the duty of consistent interpretation does not permit an interpretation of domestic law or policy that is compatible with </w:t>
      </w:r>
      <w:r>
        <w:rPr>
          <w:rFonts w:ascii="Lucida Sans Unicode"/>
        </w:rPr>
        <w:t>the Charter? In this case, domestic </w:t>
      </w:r>
      <w:r>
        <w:rPr>
          <w:w w:val="115"/>
        </w:rPr>
        <w:t>courts must consider whether the </w:t>
      </w:r>
      <w:r>
        <w:rPr>
          <w:spacing w:val="-2"/>
          <w:w w:val="115"/>
        </w:rPr>
        <w:t>Charter</w:t>
      </w:r>
      <w:r>
        <w:rPr>
          <w:spacing w:val="-13"/>
          <w:w w:val="115"/>
        </w:rPr>
        <w:t> </w:t>
      </w:r>
      <w:r>
        <w:rPr>
          <w:spacing w:val="-2"/>
          <w:w w:val="115"/>
        </w:rPr>
        <w:t>provision</w:t>
      </w:r>
      <w:r>
        <w:rPr>
          <w:spacing w:val="-13"/>
          <w:w w:val="115"/>
        </w:rPr>
        <w:t> </w:t>
      </w:r>
      <w:r>
        <w:rPr>
          <w:spacing w:val="-2"/>
          <w:w w:val="115"/>
        </w:rPr>
        <w:t>enjoys</w:t>
      </w:r>
      <w:r>
        <w:rPr>
          <w:spacing w:val="-13"/>
          <w:w w:val="115"/>
        </w:rPr>
        <w:t> </w:t>
      </w:r>
      <w:r>
        <w:rPr>
          <w:spacing w:val="-2"/>
          <w:w w:val="115"/>
        </w:rPr>
        <w:t>direct</w:t>
      </w:r>
      <w:r>
        <w:rPr>
          <w:spacing w:val="-13"/>
          <w:w w:val="115"/>
        </w:rPr>
        <w:t> </w:t>
      </w:r>
      <w:r>
        <w:rPr>
          <w:spacing w:val="-2"/>
          <w:w w:val="115"/>
        </w:rPr>
        <w:t>effect. </w:t>
      </w:r>
      <w:r>
        <w:rPr>
          <w:w w:val="115"/>
        </w:rPr>
        <w:t>Direct effect is not a principle with universal or automatic application to all</w:t>
      </w:r>
      <w:r>
        <w:rPr>
          <w:spacing w:val="-8"/>
          <w:w w:val="115"/>
        </w:rPr>
        <w:t> </w:t>
      </w:r>
      <w:r>
        <w:rPr>
          <w:w w:val="115"/>
        </w:rPr>
        <w:t>provisions</w:t>
      </w:r>
      <w:r>
        <w:rPr>
          <w:spacing w:val="-8"/>
          <w:w w:val="115"/>
        </w:rPr>
        <w:t> </w:t>
      </w:r>
      <w:r>
        <w:rPr>
          <w:w w:val="115"/>
        </w:rPr>
        <w:t>of</w:t>
      </w:r>
      <w:r>
        <w:rPr>
          <w:spacing w:val="-8"/>
          <w:w w:val="115"/>
        </w:rPr>
        <w:t> </w:t>
      </w:r>
      <w:r>
        <w:rPr>
          <w:w w:val="115"/>
        </w:rPr>
        <w:t>the</w:t>
      </w:r>
      <w:r>
        <w:rPr>
          <w:spacing w:val="-8"/>
          <w:w w:val="115"/>
        </w:rPr>
        <w:t> </w:t>
      </w:r>
      <w:r>
        <w:rPr>
          <w:w w:val="115"/>
        </w:rPr>
        <w:t>Charter.</w:t>
      </w:r>
      <w:r>
        <w:rPr>
          <w:spacing w:val="-8"/>
          <w:w w:val="115"/>
        </w:rPr>
        <w:t> </w:t>
      </w:r>
      <w:r>
        <w:rPr>
          <w:w w:val="115"/>
        </w:rPr>
        <w:t>Rather,</w:t>
      </w:r>
    </w:p>
    <w:p>
      <w:pPr>
        <w:pStyle w:val="BodyText"/>
        <w:spacing w:line="268" w:lineRule="auto" w:before="23"/>
        <w:ind w:right="339"/>
      </w:pPr>
      <w:r>
        <w:rPr>
          <w:w w:val="115"/>
        </w:rPr>
        <w:t>it</w:t>
      </w:r>
      <w:r>
        <w:rPr>
          <w:spacing w:val="-9"/>
          <w:w w:val="115"/>
        </w:rPr>
        <w:t> </w:t>
      </w:r>
      <w:r>
        <w:rPr>
          <w:w w:val="115"/>
        </w:rPr>
        <w:t>applies</w:t>
      </w:r>
      <w:r>
        <w:rPr>
          <w:spacing w:val="-9"/>
          <w:w w:val="115"/>
        </w:rPr>
        <w:t> </w:t>
      </w:r>
      <w:r>
        <w:rPr>
          <w:w w:val="115"/>
        </w:rPr>
        <w:t>to</w:t>
      </w:r>
      <w:r>
        <w:rPr>
          <w:spacing w:val="-9"/>
          <w:w w:val="115"/>
        </w:rPr>
        <w:t> </w:t>
      </w:r>
      <w:r>
        <w:rPr>
          <w:w w:val="115"/>
        </w:rPr>
        <w:t>the</w:t>
      </w:r>
      <w:r>
        <w:rPr>
          <w:spacing w:val="-9"/>
          <w:w w:val="115"/>
        </w:rPr>
        <w:t> </w:t>
      </w:r>
      <w:r>
        <w:rPr>
          <w:w w:val="115"/>
        </w:rPr>
        <w:t>Charter’s</w:t>
      </w:r>
      <w:r>
        <w:rPr>
          <w:spacing w:val="-9"/>
          <w:w w:val="115"/>
        </w:rPr>
        <w:t> </w:t>
      </w:r>
      <w:r>
        <w:rPr>
          <w:w w:val="115"/>
        </w:rPr>
        <w:t>provisions </w:t>
      </w:r>
      <w:r>
        <w:rPr>
          <w:spacing w:val="-2"/>
          <w:w w:val="115"/>
        </w:rPr>
        <w:t>in</w:t>
      </w:r>
      <w:r>
        <w:rPr>
          <w:spacing w:val="-18"/>
          <w:w w:val="115"/>
        </w:rPr>
        <w:t> </w:t>
      </w:r>
      <w:r>
        <w:rPr>
          <w:spacing w:val="-2"/>
          <w:w w:val="115"/>
        </w:rPr>
        <w:t>the</w:t>
      </w:r>
      <w:r>
        <w:rPr>
          <w:spacing w:val="-17"/>
          <w:w w:val="115"/>
        </w:rPr>
        <w:t> </w:t>
      </w:r>
      <w:r>
        <w:rPr>
          <w:spacing w:val="-2"/>
          <w:w w:val="115"/>
        </w:rPr>
        <w:t>same</w:t>
      </w:r>
      <w:r>
        <w:rPr>
          <w:spacing w:val="-17"/>
          <w:w w:val="115"/>
        </w:rPr>
        <w:t> </w:t>
      </w:r>
      <w:r>
        <w:rPr>
          <w:spacing w:val="-2"/>
          <w:w w:val="115"/>
        </w:rPr>
        <w:t>way</w:t>
      </w:r>
      <w:r>
        <w:rPr>
          <w:spacing w:val="-17"/>
          <w:w w:val="115"/>
        </w:rPr>
        <w:t> </w:t>
      </w:r>
      <w:r>
        <w:rPr>
          <w:spacing w:val="-2"/>
          <w:w w:val="115"/>
        </w:rPr>
        <w:t>and</w:t>
      </w:r>
      <w:r>
        <w:rPr>
          <w:spacing w:val="-17"/>
          <w:w w:val="115"/>
        </w:rPr>
        <w:t> </w:t>
      </w:r>
      <w:r>
        <w:rPr>
          <w:spacing w:val="-2"/>
          <w:w w:val="115"/>
        </w:rPr>
        <w:t>under</w:t>
      </w:r>
      <w:r>
        <w:rPr>
          <w:spacing w:val="-18"/>
          <w:w w:val="115"/>
        </w:rPr>
        <w:t> </w:t>
      </w:r>
      <w:r>
        <w:rPr>
          <w:spacing w:val="-2"/>
          <w:w w:val="115"/>
        </w:rPr>
        <w:t>the</w:t>
      </w:r>
      <w:r>
        <w:rPr>
          <w:spacing w:val="-17"/>
          <w:w w:val="115"/>
        </w:rPr>
        <w:t> </w:t>
      </w:r>
      <w:r>
        <w:rPr>
          <w:spacing w:val="-2"/>
          <w:w w:val="115"/>
        </w:rPr>
        <w:t>same </w:t>
      </w:r>
      <w:r>
        <w:rPr>
          <w:w w:val="115"/>
        </w:rPr>
        <w:t>conditions as it does to provisions of the Treaties, i.e. provided that</w:t>
      </w:r>
    </w:p>
    <w:p>
      <w:pPr>
        <w:pStyle w:val="BodyText"/>
        <w:spacing w:line="268" w:lineRule="auto" w:before="4"/>
        <w:ind w:right="317"/>
      </w:pPr>
      <w:r>
        <w:rPr>
          <w:w w:val="115"/>
        </w:rPr>
        <w:t>the</w:t>
      </w:r>
      <w:r>
        <w:rPr>
          <w:spacing w:val="-6"/>
          <w:w w:val="115"/>
        </w:rPr>
        <w:t> </w:t>
      </w:r>
      <w:r>
        <w:rPr>
          <w:w w:val="115"/>
        </w:rPr>
        <w:t>provision</w:t>
      </w:r>
      <w:r>
        <w:rPr>
          <w:spacing w:val="-6"/>
          <w:w w:val="115"/>
        </w:rPr>
        <w:t> </w:t>
      </w:r>
      <w:r>
        <w:rPr>
          <w:w w:val="115"/>
        </w:rPr>
        <w:t>is</w:t>
      </w:r>
      <w:r>
        <w:rPr>
          <w:spacing w:val="-6"/>
          <w:w w:val="115"/>
        </w:rPr>
        <w:t> </w:t>
      </w:r>
      <w:r>
        <w:rPr>
          <w:w w:val="115"/>
        </w:rPr>
        <w:t>clear,</w:t>
      </w:r>
      <w:r>
        <w:rPr>
          <w:spacing w:val="-6"/>
          <w:w w:val="115"/>
        </w:rPr>
        <w:t> </w:t>
      </w:r>
      <w:r>
        <w:rPr>
          <w:w w:val="115"/>
        </w:rPr>
        <w:t>precise,</w:t>
      </w:r>
      <w:r>
        <w:rPr>
          <w:spacing w:val="-6"/>
          <w:w w:val="115"/>
        </w:rPr>
        <w:t> </w:t>
      </w:r>
      <w:r>
        <w:rPr>
          <w:w w:val="115"/>
        </w:rPr>
        <w:t>and unconditional</w:t>
      </w:r>
      <w:r>
        <w:rPr>
          <w:spacing w:val="-20"/>
          <w:w w:val="115"/>
        </w:rPr>
        <w:t> </w:t>
      </w:r>
      <w:r>
        <w:rPr>
          <w:w w:val="115"/>
        </w:rPr>
        <w:t>(in</w:t>
      </w:r>
      <w:r>
        <w:rPr>
          <w:spacing w:val="-19"/>
          <w:w w:val="115"/>
        </w:rPr>
        <w:t> </w:t>
      </w:r>
      <w:r>
        <w:rPr>
          <w:w w:val="115"/>
        </w:rPr>
        <w:t>the</w:t>
      </w:r>
      <w:r>
        <w:rPr>
          <w:spacing w:val="-19"/>
          <w:w w:val="115"/>
        </w:rPr>
        <w:t> </w:t>
      </w:r>
      <w:r>
        <w:rPr>
          <w:w w:val="115"/>
        </w:rPr>
        <w:t>sense</w:t>
      </w:r>
      <w:r>
        <w:rPr>
          <w:spacing w:val="-19"/>
          <w:w w:val="115"/>
        </w:rPr>
        <w:t> </w:t>
      </w:r>
      <w:r>
        <w:rPr>
          <w:w w:val="115"/>
        </w:rPr>
        <w:t>of</w:t>
      </w:r>
      <w:r>
        <w:rPr>
          <w:spacing w:val="-19"/>
          <w:w w:val="115"/>
        </w:rPr>
        <w:t> </w:t>
      </w:r>
      <w:r>
        <w:rPr>
          <w:w w:val="115"/>
        </w:rPr>
        <w:t>being capable of invocation ‘as such’,</w:t>
      </w:r>
    </w:p>
    <w:p>
      <w:pPr>
        <w:pStyle w:val="BodyText"/>
        <w:spacing w:line="230" w:lineRule="auto" w:before="12"/>
        <w:ind w:right="259"/>
      </w:pPr>
      <w:r>
        <w:rPr>
          <w:w w:val="110"/>
        </w:rPr>
        <w:t>i.e. without the need for further </w:t>
      </w:r>
      <w:r>
        <w:rPr>
          <w:rFonts w:ascii="Lucida Sans Unicode"/>
        </w:rPr>
        <w:t>legislation to define the core content</w:t>
      </w:r>
      <w:r>
        <w:rPr>
          <w:rFonts w:ascii="Lucida Sans Unicode"/>
          <w:spacing w:val="40"/>
          <w:w w:val="110"/>
        </w:rPr>
        <w:t> </w:t>
      </w:r>
      <w:r>
        <w:rPr>
          <w:w w:val="110"/>
        </w:rPr>
        <w:t>of the obligation set out in the </w:t>
      </w:r>
      <w:r>
        <w:rPr>
          <w:w w:val="110"/>
        </w:rPr>
        <w:t>Charter</w:t>
      </w:r>
    </w:p>
    <w:p>
      <w:pPr>
        <w:pStyle w:val="BodyText"/>
        <w:spacing w:before="37"/>
      </w:pPr>
      <w:r>
        <w:rPr>
          <w:spacing w:val="-2"/>
          <w:w w:val="110"/>
        </w:rPr>
        <w:t>provision).</w:t>
      </w:r>
      <w:r>
        <w:rPr>
          <w:spacing w:val="-2"/>
          <w:w w:val="110"/>
          <w:vertAlign w:val="superscript"/>
        </w:rPr>
        <w:t>66</w:t>
      </w:r>
    </w:p>
    <w:p>
      <w:pPr>
        <w:pStyle w:val="BodyText"/>
        <w:spacing w:before="35"/>
        <w:ind w:left="0"/>
      </w:pPr>
    </w:p>
    <w:p>
      <w:pPr>
        <w:pStyle w:val="BodyText"/>
        <w:spacing w:line="310" w:lineRule="exact"/>
        <w:ind w:right="147"/>
      </w:pPr>
      <w:r>
        <w:rPr>
          <w:w w:val="105"/>
        </w:rPr>
        <w:t>Charter</w:t>
      </w:r>
      <w:r>
        <w:rPr>
          <w:spacing w:val="40"/>
          <w:w w:val="105"/>
        </w:rPr>
        <w:t> </w:t>
      </w:r>
      <w:r>
        <w:rPr>
          <w:w w:val="105"/>
        </w:rPr>
        <w:t>rights</w:t>
      </w:r>
      <w:r>
        <w:rPr>
          <w:spacing w:val="40"/>
          <w:w w:val="105"/>
        </w:rPr>
        <w:t> </w:t>
      </w:r>
      <w:r>
        <w:rPr>
          <w:w w:val="105"/>
        </w:rPr>
        <w:t>such</w:t>
      </w:r>
      <w:r>
        <w:rPr>
          <w:spacing w:val="40"/>
          <w:w w:val="105"/>
        </w:rPr>
        <w:t> </w:t>
      </w:r>
      <w:r>
        <w:rPr>
          <w:w w:val="105"/>
        </w:rPr>
        <w:t>as</w:t>
      </w:r>
      <w:r>
        <w:rPr>
          <w:spacing w:val="40"/>
          <w:w w:val="105"/>
        </w:rPr>
        <w:t> </w:t>
      </w:r>
      <w:r>
        <w:rPr>
          <w:w w:val="105"/>
        </w:rPr>
        <w:t>Articles</w:t>
      </w:r>
      <w:r>
        <w:rPr>
          <w:spacing w:val="40"/>
          <w:w w:val="105"/>
        </w:rPr>
        <w:t> </w:t>
      </w:r>
      <w:r>
        <w:rPr/>
        <w:t>1 </w:t>
      </w:r>
      <w:r>
        <w:rPr>
          <w:w w:val="105"/>
        </w:rPr>
        <w:t>(human dignity),</w:t>
      </w:r>
      <w:r>
        <w:rPr>
          <w:w w:val="105"/>
          <w:vertAlign w:val="superscript"/>
        </w:rPr>
        <w:t>67</w:t>
      </w:r>
      <w:r>
        <w:rPr>
          <w:w w:val="105"/>
          <w:vertAlign w:val="baseline"/>
        </w:rPr>
        <w:t> </w:t>
      </w:r>
      <w:r>
        <w:rPr>
          <w:rFonts w:ascii="Lucida Sans Unicode"/>
          <w:w w:val="105"/>
          <w:vertAlign w:val="baseline"/>
        </w:rPr>
        <w:t>7 and 8 (private </w:t>
      </w:r>
      <w:r>
        <w:rPr>
          <w:rFonts w:ascii="Lucida Sans Unicode"/>
          <w:w w:val="105"/>
          <w:vertAlign w:val="baseline"/>
        </w:rPr>
        <w:t>life </w:t>
      </w:r>
      <w:r>
        <w:rPr>
          <w:w w:val="105"/>
          <w:vertAlign w:val="baseline"/>
        </w:rPr>
        <w:t>and private data),</w:t>
      </w:r>
      <w:r>
        <w:rPr>
          <w:rFonts w:ascii="Lucida Sans Unicode"/>
          <w:w w:val="105"/>
          <w:vertAlign w:val="superscript"/>
        </w:rPr>
        <w:t>68</w:t>
      </w:r>
      <w:r>
        <w:rPr>
          <w:rFonts w:ascii="Lucida Sans Unicode"/>
          <w:w w:val="105"/>
          <w:vertAlign w:val="baseline"/>
        </w:rPr>
        <w:t> </w:t>
      </w:r>
      <w:r>
        <w:rPr>
          <w:rFonts w:ascii="Lucida Sans Unicode"/>
          <w:vertAlign w:val="baseline"/>
        </w:rPr>
        <w:t>21 </w:t>
      </w:r>
      <w:r>
        <w:rPr>
          <w:rFonts w:ascii="Lucida Sans Unicode"/>
          <w:w w:val="105"/>
          <w:vertAlign w:val="baseline"/>
        </w:rPr>
        <w:t>and 23 (non- </w:t>
      </w:r>
      <w:r>
        <w:rPr>
          <w:w w:val="105"/>
          <w:vertAlign w:val="baseline"/>
        </w:rPr>
        <w:t>discrimination</w:t>
      </w:r>
      <w:r>
        <w:rPr>
          <w:spacing w:val="40"/>
          <w:w w:val="105"/>
          <w:vertAlign w:val="baseline"/>
        </w:rPr>
        <w:t> </w:t>
      </w:r>
      <w:r>
        <w:rPr>
          <w:w w:val="105"/>
          <w:vertAlign w:val="baseline"/>
        </w:rPr>
        <w:t>and</w:t>
      </w:r>
      <w:r>
        <w:rPr>
          <w:spacing w:val="40"/>
          <w:w w:val="105"/>
          <w:vertAlign w:val="baseline"/>
        </w:rPr>
        <w:t> </w:t>
      </w:r>
      <w:r>
        <w:rPr>
          <w:w w:val="105"/>
          <w:vertAlign w:val="baseline"/>
        </w:rPr>
        <w:t>equality</w:t>
      </w:r>
      <w:r>
        <w:rPr>
          <w:spacing w:val="40"/>
          <w:w w:val="105"/>
          <w:vertAlign w:val="baseline"/>
        </w:rPr>
        <w:t> </w:t>
      </w:r>
      <w:r>
        <w:rPr>
          <w:w w:val="105"/>
          <w:vertAlign w:val="baseline"/>
        </w:rPr>
        <w:t>between women</w:t>
      </w:r>
      <w:r>
        <w:rPr>
          <w:spacing w:val="40"/>
          <w:w w:val="105"/>
          <w:vertAlign w:val="baseline"/>
        </w:rPr>
        <w:t> </w:t>
      </w:r>
      <w:r>
        <w:rPr>
          <w:w w:val="105"/>
          <w:vertAlign w:val="baseline"/>
        </w:rPr>
        <w:t>and</w:t>
      </w:r>
      <w:r>
        <w:rPr>
          <w:spacing w:val="40"/>
          <w:w w:val="105"/>
          <w:vertAlign w:val="baseline"/>
        </w:rPr>
        <w:t> </w:t>
      </w:r>
      <w:r>
        <w:rPr>
          <w:w w:val="105"/>
          <w:vertAlign w:val="baseline"/>
        </w:rPr>
        <w:t>men,</w:t>
      </w:r>
      <w:r>
        <w:rPr>
          <w:spacing w:val="40"/>
          <w:w w:val="105"/>
          <w:vertAlign w:val="baseline"/>
        </w:rPr>
        <w:t> </w:t>
      </w:r>
      <w:r>
        <w:rPr>
          <w:w w:val="105"/>
          <w:vertAlign w:val="baseline"/>
        </w:rPr>
        <w:t>including</w:t>
      </w:r>
      <w:r>
        <w:rPr>
          <w:spacing w:val="40"/>
          <w:w w:val="105"/>
          <w:vertAlign w:val="baseline"/>
        </w:rPr>
        <w:t> </w:t>
      </w:r>
      <w:r>
        <w:rPr>
          <w:w w:val="105"/>
          <w:vertAlign w:val="baseline"/>
        </w:rPr>
        <w:t>equal</w:t>
      </w:r>
    </w:p>
    <w:p>
      <w:pPr>
        <w:pStyle w:val="BodyText"/>
        <w:spacing w:line="354" w:lineRule="exact"/>
        <w:rPr>
          <w:rFonts w:ascii="Lucida Sans Unicode"/>
        </w:rPr>
      </w:pPr>
      <w:r>
        <w:rPr/>
        <w:t>pay)</w:t>
      </w:r>
      <w:r>
        <w:rPr>
          <w:spacing w:val="7"/>
        </w:rPr>
        <w:t> </w:t>
      </w:r>
      <w:r>
        <w:rPr>
          <w:vertAlign w:val="superscript"/>
        </w:rPr>
        <w:t>69</w:t>
      </w:r>
      <w:r>
        <w:rPr>
          <w:rFonts w:ascii="Lucida Sans Unicode"/>
          <w:vertAlign w:val="baseline"/>
        </w:rPr>
        <w:t>,</w:t>
      </w:r>
      <w:r>
        <w:rPr>
          <w:rFonts w:ascii="Lucida Sans Unicode"/>
          <w:spacing w:val="-2"/>
          <w:vertAlign w:val="baseline"/>
        </w:rPr>
        <w:t> </w:t>
      </w:r>
      <w:r>
        <w:rPr>
          <w:rFonts w:ascii="Lucida Sans Unicode"/>
          <w:vertAlign w:val="baseline"/>
        </w:rPr>
        <w:t>31</w:t>
      </w:r>
      <w:r>
        <w:rPr>
          <w:rFonts w:ascii="Lucida Sans Unicode"/>
          <w:spacing w:val="-2"/>
          <w:vertAlign w:val="baseline"/>
        </w:rPr>
        <w:t> </w:t>
      </w:r>
      <w:r>
        <w:rPr>
          <w:rFonts w:ascii="Lucida Sans Unicode"/>
          <w:vertAlign w:val="baseline"/>
        </w:rPr>
        <w:t>(fair</w:t>
      </w:r>
      <w:r>
        <w:rPr>
          <w:rFonts w:ascii="Lucida Sans Unicode"/>
          <w:spacing w:val="-2"/>
          <w:vertAlign w:val="baseline"/>
        </w:rPr>
        <w:t> </w:t>
      </w:r>
      <w:r>
        <w:rPr>
          <w:rFonts w:ascii="Lucida Sans Unicode"/>
          <w:vertAlign w:val="baseline"/>
        </w:rPr>
        <w:t>working</w:t>
      </w:r>
      <w:r>
        <w:rPr>
          <w:rFonts w:ascii="Lucida Sans Unicode"/>
          <w:spacing w:val="-2"/>
          <w:vertAlign w:val="baseline"/>
        </w:rPr>
        <w:t> conditions</w:t>
      </w:r>
    </w:p>
    <w:p>
      <w:pPr>
        <w:spacing w:after="0" w:line="354" w:lineRule="exact"/>
        <w:rPr>
          <w:rFonts w:ascii="Lucida Sans Unicode"/>
        </w:rPr>
        <w:sectPr>
          <w:type w:val="continuous"/>
          <w:pgSz w:w="11910" w:h="16840"/>
          <w:pgMar w:header="568" w:footer="580" w:top="0" w:bottom="280" w:left="1020" w:right="1020"/>
          <w:cols w:num="2" w:equalWidth="0">
            <w:col w:w="4743" w:space="303"/>
            <w:col w:w="4824"/>
          </w:cols>
        </w:sectPr>
      </w:pPr>
    </w:p>
    <w:p>
      <w:pPr>
        <w:pStyle w:val="BodyText"/>
        <w:ind w:left="0"/>
        <w:rPr>
          <w:rFonts w:ascii="Lucida Sans Unicode"/>
          <w:sz w:val="20"/>
        </w:rPr>
      </w:pPr>
    </w:p>
    <w:p>
      <w:pPr>
        <w:pStyle w:val="BodyText"/>
        <w:ind w:left="0"/>
        <w:rPr>
          <w:rFonts w:ascii="Lucida Sans Unicode"/>
          <w:sz w:val="20"/>
        </w:rPr>
      </w:pPr>
    </w:p>
    <w:p>
      <w:pPr>
        <w:pStyle w:val="BodyText"/>
        <w:spacing w:before="113" w:after="1"/>
        <w:ind w:left="0"/>
        <w:rPr>
          <w:rFonts w:ascii="Lucida Sans Unicode"/>
          <w:sz w:val="20"/>
        </w:rPr>
      </w:pPr>
    </w:p>
    <w:p>
      <w:pPr>
        <w:pStyle w:val="BodyText"/>
        <w:spacing w:line="20" w:lineRule="exact"/>
        <w:rPr>
          <w:rFonts w:ascii="Lucida Sans Unicode"/>
          <w:sz w:val="2"/>
        </w:rPr>
      </w:pPr>
      <w:r>
        <w:rPr>
          <w:rFonts w:ascii="Lucida Sans Unicode"/>
          <w:sz w:val="2"/>
        </w:rPr>
        <mc:AlternateContent>
          <mc:Choice Requires="wps">
            <w:drawing>
              <wp:inline distT="0" distB="0" distL="0" distR="0">
                <wp:extent cx="6120130" cy="6350"/>
                <wp:effectExtent l="9525" t="0" r="0" b="3175"/>
                <wp:docPr id="79" name="Group 79"/>
                <wp:cNvGraphicFramePr>
                  <a:graphicFrameLocks/>
                </wp:cNvGraphicFramePr>
                <a:graphic>
                  <a:graphicData uri="http://schemas.microsoft.com/office/word/2010/wordprocessingGroup">
                    <wpg:wgp>
                      <wpg:cNvPr id="79" name="Group 79"/>
                      <wpg:cNvGrpSpPr/>
                      <wpg:grpSpPr>
                        <a:xfrm>
                          <a:off x="0" y="0"/>
                          <a:ext cx="6120130" cy="6350"/>
                          <a:chExt cx="6120130" cy="6350"/>
                        </a:xfrm>
                      </wpg:grpSpPr>
                      <wps:wsp>
                        <wps:cNvPr id="80" name="Graphic 80"/>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58" coordorigin="0,0" coordsize="9638,10">
                <v:line style="position:absolute" from="0,5" to="9638,5" stroked="true" strokeweight=".5pt" strokecolor="#77328a">
                  <v:stroke dashstyle="solid"/>
                </v:line>
              </v:group>
            </w:pict>
          </mc:Fallback>
        </mc:AlternateContent>
      </w:r>
      <w:r>
        <w:rPr>
          <w:rFonts w:ascii="Lucida Sans Unicode"/>
          <w:sz w:val="2"/>
        </w:rPr>
      </w:r>
    </w:p>
    <w:p>
      <w:pPr>
        <w:pStyle w:val="ListParagraph"/>
        <w:numPr>
          <w:ilvl w:val="0"/>
          <w:numId w:val="6"/>
        </w:numPr>
        <w:tabs>
          <w:tab w:pos="567" w:val="left" w:leader="none"/>
        </w:tabs>
        <w:spacing w:line="236" w:lineRule="exact" w:before="61" w:after="0"/>
        <w:ind w:left="567" w:right="0" w:hanging="454"/>
        <w:jc w:val="left"/>
        <w:rPr>
          <w:sz w:val="16"/>
        </w:rPr>
      </w:pPr>
      <w:r>
        <w:rPr>
          <w:spacing w:val="-2"/>
          <w:sz w:val="16"/>
        </w:rPr>
        <w:t>Case</w:t>
      </w:r>
      <w:r>
        <w:rPr>
          <w:spacing w:val="-5"/>
          <w:sz w:val="16"/>
        </w:rPr>
        <w:t> </w:t>
      </w:r>
      <w:r>
        <w:rPr>
          <w:spacing w:val="-2"/>
          <w:sz w:val="16"/>
        </w:rPr>
        <w:t>C-334/92</w:t>
      </w:r>
      <w:r>
        <w:rPr>
          <w:spacing w:val="-4"/>
          <w:sz w:val="16"/>
        </w:rPr>
        <w:t> </w:t>
      </w:r>
      <w:r>
        <w:rPr>
          <w:rFonts w:ascii="Verdana"/>
          <w:i/>
          <w:spacing w:val="-2"/>
          <w:sz w:val="16"/>
        </w:rPr>
        <w:t>Wagner</w:t>
      </w:r>
      <w:r>
        <w:rPr>
          <w:rFonts w:ascii="Verdana"/>
          <w:i/>
          <w:spacing w:val="-10"/>
          <w:sz w:val="16"/>
        </w:rPr>
        <w:t> </w:t>
      </w:r>
      <w:r>
        <w:rPr>
          <w:rFonts w:ascii="Verdana"/>
          <w:i/>
          <w:spacing w:val="-2"/>
          <w:sz w:val="16"/>
        </w:rPr>
        <w:t>Miret,</w:t>
      </w:r>
      <w:r>
        <w:rPr>
          <w:rFonts w:ascii="Verdana"/>
          <w:i/>
          <w:spacing w:val="-11"/>
          <w:sz w:val="16"/>
        </w:rPr>
        <w:t> </w:t>
      </w:r>
      <w:r>
        <w:rPr>
          <w:spacing w:val="-2"/>
          <w:sz w:val="16"/>
        </w:rPr>
        <w:t>EU:C:1993:945,</w:t>
      </w:r>
      <w:r>
        <w:rPr>
          <w:spacing w:val="-4"/>
          <w:sz w:val="16"/>
        </w:rPr>
        <w:t> </w:t>
      </w:r>
      <w:r>
        <w:rPr>
          <w:spacing w:val="-2"/>
          <w:sz w:val="16"/>
        </w:rPr>
        <w:t>para</w:t>
      </w:r>
      <w:r>
        <w:rPr>
          <w:spacing w:val="-4"/>
          <w:sz w:val="16"/>
        </w:rPr>
        <w:t> </w:t>
      </w:r>
      <w:r>
        <w:rPr>
          <w:spacing w:val="-2"/>
          <w:sz w:val="16"/>
        </w:rPr>
        <w:t>20;</w:t>
      </w:r>
      <w:r>
        <w:rPr>
          <w:spacing w:val="-5"/>
          <w:sz w:val="16"/>
        </w:rPr>
        <w:t> </w:t>
      </w:r>
      <w:r>
        <w:rPr>
          <w:rFonts w:ascii="Verdana"/>
          <w:i/>
          <w:spacing w:val="-2"/>
          <w:sz w:val="16"/>
        </w:rPr>
        <w:t>Pfeiffer,</w:t>
      </w:r>
      <w:r>
        <w:rPr>
          <w:rFonts w:ascii="Verdana"/>
          <w:i/>
          <w:spacing w:val="-10"/>
          <w:sz w:val="16"/>
        </w:rPr>
        <w:t> </w:t>
      </w:r>
      <w:r>
        <w:rPr>
          <w:rFonts w:ascii="Verdana"/>
          <w:i/>
          <w:spacing w:val="-2"/>
          <w:sz w:val="16"/>
        </w:rPr>
        <w:t>ibid,</w:t>
      </w:r>
      <w:r>
        <w:rPr>
          <w:rFonts w:ascii="Verdana"/>
          <w:i/>
          <w:spacing w:val="-10"/>
          <w:sz w:val="16"/>
        </w:rPr>
        <w:t> </w:t>
      </w:r>
      <w:r>
        <w:rPr>
          <w:spacing w:val="-2"/>
          <w:sz w:val="16"/>
        </w:rPr>
        <w:t>para</w:t>
      </w:r>
      <w:r>
        <w:rPr>
          <w:spacing w:val="-4"/>
          <w:sz w:val="16"/>
        </w:rPr>
        <w:t> </w:t>
      </w:r>
      <w:r>
        <w:rPr>
          <w:spacing w:val="-2"/>
          <w:sz w:val="16"/>
        </w:rPr>
        <w:t>112;</w:t>
      </w:r>
      <w:r>
        <w:rPr>
          <w:spacing w:val="-5"/>
          <w:sz w:val="16"/>
        </w:rPr>
        <w:t> </w:t>
      </w:r>
      <w:r>
        <w:rPr>
          <w:spacing w:val="-2"/>
          <w:sz w:val="16"/>
        </w:rPr>
        <w:t>this</w:t>
      </w:r>
      <w:r>
        <w:rPr>
          <w:spacing w:val="-4"/>
          <w:sz w:val="16"/>
        </w:rPr>
        <w:t> </w:t>
      </w:r>
      <w:r>
        <w:rPr>
          <w:spacing w:val="-2"/>
          <w:sz w:val="16"/>
        </w:rPr>
        <w:t>is</w:t>
      </w:r>
      <w:r>
        <w:rPr>
          <w:spacing w:val="-4"/>
          <w:sz w:val="16"/>
        </w:rPr>
        <w:t> </w:t>
      </w:r>
      <w:r>
        <w:rPr>
          <w:spacing w:val="-2"/>
          <w:sz w:val="16"/>
        </w:rPr>
        <w:t>known</w:t>
      </w:r>
      <w:r>
        <w:rPr>
          <w:spacing w:val="-5"/>
          <w:sz w:val="16"/>
        </w:rPr>
        <w:t> </w:t>
      </w:r>
      <w:r>
        <w:rPr>
          <w:spacing w:val="-2"/>
          <w:sz w:val="16"/>
        </w:rPr>
        <w:t>as</w:t>
      </w:r>
      <w:r>
        <w:rPr>
          <w:spacing w:val="-4"/>
          <w:sz w:val="16"/>
        </w:rPr>
        <w:t> </w:t>
      </w:r>
      <w:r>
        <w:rPr>
          <w:spacing w:val="-2"/>
          <w:sz w:val="16"/>
        </w:rPr>
        <w:t>a</w:t>
      </w:r>
      <w:r>
        <w:rPr>
          <w:spacing w:val="-4"/>
          <w:sz w:val="16"/>
        </w:rPr>
        <w:t> </w:t>
      </w:r>
      <w:r>
        <w:rPr>
          <w:rFonts w:ascii="Verdana"/>
          <w:i/>
          <w:spacing w:val="-2"/>
          <w:sz w:val="16"/>
        </w:rPr>
        <w:t>contra</w:t>
      </w:r>
      <w:r>
        <w:rPr>
          <w:rFonts w:ascii="Verdana"/>
          <w:i/>
          <w:spacing w:val="-11"/>
          <w:sz w:val="16"/>
        </w:rPr>
        <w:t> </w:t>
      </w:r>
      <w:r>
        <w:rPr>
          <w:rFonts w:ascii="Verdana"/>
          <w:i/>
          <w:spacing w:val="-2"/>
          <w:sz w:val="16"/>
        </w:rPr>
        <w:t>legem</w:t>
      </w:r>
    </w:p>
    <w:p>
      <w:pPr>
        <w:spacing w:line="169" w:lineRule="exact" w:before="0"/>
        <w:ind w:left="567" w:right="0" w:firstLine="0"/>
        <w:jc w:val="left"/>
        <w:rPr>
          <w:sz w:val="16"/>
        </w:rPr>
      </w:pPr>
      <w:r>
        <w:rPr>
          <w:w w:val="115"/>
          <w:sz w:val="16"/>
        </w:rPr>
        <w:t>interpretation</w:t>
      </w:r>
      <w:r>
        <w:rPr>
          <w:spacing w:val="-5"/>
          <w:w w:val="115"/>
          <w:sz w:val="16"/>
        </w:rPr>
        <w:t> </w:t>
      </w:r>
      <w:r>
        <w:rPr>
          <w:w w:val="115"/>
          <w:sz w:val="16"/>
        </w:rPr>
        <w:t>(lit.</w:t>
      </w:r>
      <w:r>
        <w:rPr>
          <w:spacing w:val="-5"/>
          <w:w w:val="115"/>
          <w:sz w:val="16"/>
        </w:rPr>
        <w:t> </w:t>
      </w:r>
      <w:r>
        <w:rPr>
          <w:w w:val="115"/>
          <w:sz w:val="16"/>
        </w:rPr>
        <w:t>‘against</w:t>
      </w:r>
      <w:r>
        <w:rPr>
          <w:spacing w:val="-4"/>
          <w:w w:val="115"/>
          <w:sz w:val="16"/>
        </w:rPr>
        <w:t> </w:t>
      </w:r>
      <w:r>
        <w:rPr>
          <w:w w:val="115"/>
          <w:sz w:val="16"/>
        </w:rPr>
        <w:t>the</w:t>
      </w:r>
      <w:r>
        <w:rPr>
          <w:spacing w:val="-5"/>
          <w:w w:val="115"/>
          <w:sz w:val="16"/>
        </w:rPr>
        <w:t> </w:t>
      </w:r>
      <w:r>
        <w:rPr>
          <w:spacing w:val="-2"/>
          <w:w w:val="115"/>
          <w:sz w:val="16"/>
        </w:rPr>
        <w:t>law’).</w:t>
      </w:r>
    </w:p>
    <w:p>
      <w:pPr>
        <w:pStyle w:val="ListParagraph"/>
        <w:numPr>
          <w:ilvl w:val="0"/>
          <w:numId w:val="6"/>
        </w:numPr>
        <w:tabs>
          <w:tab w:pos="567" w:val="left" w:leader="none"/>
        </w:tabs>
        <w:spacing w:line="218" w:lineRule="exact" w:before="0" w:after="0"/>
        <w:ind w:left="567" w:right="0" w:hanging="454"/>
        <w:jc w:val="left"/>
        <w:rPr>
          <w:sz w:val="16"/>
        </w:rPr>
      </w:pPr>
      <w:r>
        <w:rPr>
          <w:rFonts w:ascii="Verdana"/>
          <w:i/>
          <w:spacing w:val="-4"/>
          <w:sz w:val="16"/>
        </w:rPr>
        <w:t>Kamberaj</w:t>
      </w:r>
      <w:r>
        <w:rPr>
          <w:rFonts w:ascii="Verdana"/>
          <w:i/>
          <w:spacing w:val="-7"/>
          <w:sz w:val="16"/>
        </w:rPr>
        <w:t> </w:t>
      </w:r>
      <w:r>
        <w:rPr>
          <w:spacing w:val="-4"/>
          <w:sz w:val="16"/>
        </w:rPr>
        <w:t>(n</w:t>
      </w:r>
      <w:r>
        <w:rPr>
          <w:spacing w:val="2"/>
          <w:sz w:val="16"/>
        </w:rPr>
        <w:t> </w:t>
      </w:r>
      <w:r>
        <w:rPr>
          <w:spacing w:val="-4"/>
          <w:sz w:val="16"/>
        </w:rPr>
        <w:t>45);</w:t>
      </w:r>
      <w:r>
        <w:rPr>
          <w:spacing w:val="2"/>
          <w:sz w:val="16"/>
        </w:rPr>
        <w:t> </w:t>
      </w:r>
      <w:r>
        <w:rPr>
          <w:spacing w:val="-4"/>
          <w:sz w:val="16"/>
        </w:rPr>
        <w:t>Case</w:t>
      </w:r>
      <w:r>
        <w:rPr>
          <w:spacing w:val="2"/>
          <w:sz w:val="16"/>
        </w:rPr>
        <w:t> </w:t>
      </w:r>
      <w:r>
        <w:rPr>
          <w:spacing w:val="-4"/>
          <w:sz w:val="16"/>
        </w:rPr>
        <w:t>C-791/19,</w:t>
      </w:r>
      <w:r>
        <w:rPr>
          <w:spacing w:val="2"/>
          <w:sz w:val="16"/>
        </w:rPr>
        <w:t> </w:t>
      </w:r>
      <w:r>
        <w:rPr>
          <w:rFonts w:ascii="Verdana"/>
          <w:i/>
          <w:spacing w:val="-4"/>
          <w:sz w:val="16"/>
        </w:rPr>
        <w:t>Commission v Poland, </w:t>
      </w:r>
      <w:r>
        <w:rPr>
          <w:spacing w:val="-4"/>
          <w:sz w:val="16"/>
        </w:rPr>
        <w:t>EU:C:2021:596,</w:t>
      </w:r>
      <w:r>
        <w:rPr>
          <w:spacing w:val="2"/>
          <w:sz w:val="16"/>
        </w:rPr>
        <w:t> </w:t>
      </w:r>
      <w:r>
        <w:rPr>
          <w:spacing w:val="-4"/>
          <w:sz w:val="16"/>
        </w:rPr>
        <w:t>paras</w:t>
      </w:r>
      <w:r>
        <w:rPr>
          <w:spacing w:val="2"/>
          <w:sz w:val="16"/>
        </w:rPr>
        <w:t> </w:t>
      </w:r>
      <w:r>
        <w:rPr>
          <w:spacing w:val="-4"/>
          <w:sz w:val="16"/>
        </w:rPr>
        <w:t>52-</w:t>
      </w:r>
      <w:r>
        <w:rPr>
          <w:spacing w:val="-5"/>
          <w:sz w:val="16"/>
        </w:rPr>
        <w:t>57.</w:t>
      </w:r>
    </w:p>
    <w:p>
      <w:pPr>
        <w:pStyle w:val="ListParagraph"/>
        <w:numPr>
          <w:ilvl w:val="0"/>
          <w:numId w:val="6"/>
        </w:numPr>
        <w:tabs>
          <w:tab w:pos="567" w:val="left" w:leader="none"/>
        </w:tabs>
        <w:spacing w:line="200" w:lineRule="exact" w:before="0" w:after="0"/>
        <w:ind w:left="567" w:right="0" w:hanging="454"/>
        <w:jc w:val="left"/>
        <w:rPr>
          <w:rFonts w:ascii="Arial"/>
          <w:sz w:val="16"/>
        </w:rPr>
      </w:pPr>
      <w:r>
        <w:rPr>
          <w:spacing w:val="-2"/>
          <w:w w:val="105"/>
          <w:sz w:val="16"/>
        </w:rPr>
        <w:t>Article</w:t>
      </w:r>
      <w:r>
        <w:rPr>
          <w:spacing w:val="-5"/>
          <w:w w:val="105"/>
          <w:sz w:val="16"/>
        </w:rPr>
        <w:t> </w:t>
      </w:r>
      <w:r>
        <w:rPr>
          <w:spacing w:val="-2"/>
          <w:w w:val="105"/>
          <w:sz w:val="16"/>
        </w:rPr>
        <w:t>12(4)</w:t>
      </w:r>
      <w:r>
        <w:rPr>
          <w:spacing w:val="-4"/>
          <w:w w:val="105"/>
          <w:sz w:val="16"/>
        </w:rPr>
        <w:t> </w:t>
      </w:r>
      <w:r>
        <w:rPr>
          <w:spacing w:val="-2"/>
          <w:w w:val="105"/>
          <w:sz w:val="16"/>
        </w:rPr>
        <w:t>WF</w:t>
      </w:r>
      <w:r>
        <w:rPr>
          <w:spacing w:val="-5"/>
          <w:w w:val="105"/>
          <w:sz w:val="16"/>
        </w:rPr>
        <w:t> </w:t>
      </w:r>
      <w:r>
        <w:rPr>
          <w:spacing w:val="-2"/>
          <w:w w:val="105"/>
          <w:sz w:val="16"/>
        </w:rPr>
        <w:t>provides</w:t>
      </w:r>
      <w:r>
        <w:rPr>
          <w:spacing w:val="-4"/>
          <w:w w:val="105"/>
          <w:sz w:val="16"/>
        </w:rPr>
        <w:t> </w:t>
      </w:r>
      <w:r>
        <w:rPr>
          <w:spacing w:val="-2"/>
          <w:w w:val="105"/>
          <w:sz w:val="16"/>
        </w:rPr>
        <w:t>for</w:t>
      </w:r>
      <w:r>
        <w:rPr>
          <w:spacing w:val="-4"/>
          <w:w w:val="105"/>
          <w:sz w:val="16"/>
        </w:rPr>
        <w:t> </w:t>
      </w:r>
      <w:r>
        <w:rPr>
          <w:spacing w:val="-2"/>
          <w:w w:val="105"/>
          <w:sz w:val="16"/>
        </w:rPr>
        <w:t>CJEU</w:t>
      </w:r>
      <w:r>
        <w:rPr>
          <w:spacing w:val="-5"/>
          <w:w w:val="105"/>
          <w:sz w:val="16"/>
        </w:rPr>
        <w:t> </w:t>
      </w:r>
      <w:r>
        <w:rPr>
          <w:spacing w:val="-2"/>
          <w:w w:val="105"/>
          <w:sz w:val="16"/>
        </w:rPr>
        <w:t>jurisdiction</w:t>
      </w:r>
      <w:r>
        <w:rPr>
          <w:spacing w:val="-4"/>
          <w:w w:val="105"/>
          <w:sz w:val="16"/>
        </w:rPr>
        <w:t> </w:t>
      </w:r>
      <w:r>
        <w:rPr>
          <w:spacing w:val="-2"/>
          <w:w w:val="105"/>
          <w:sz w:val="16"/>
        </w:rPr>
        <w:t>in</w:t>
      </w:r>
      <w:r>
        <w:rPr>
          <w:spacing w:val="-4"/>
          <w:w w:val="105"/>
          <w:sz w:val="16"/>
        </w:rPr>
        <w:t> </w:t>
      </w:r>
      <w:r>
        <w:rPr>
          <w:spacing w:val="-2"/>
          <w:w w:val="105"/>
          <w:sz w:val="16"/>
        </w:rPr>
        <w:t>respect</w:t>
      </w:r>
      <w:r>
        <w:rPr>
          <w:spacing w:val="-5"/>
          <w:w w:val="105"/>
          <w:sz w:val="16"/>
        </w:rPr>
        <w:t> </w:t>
      </w:r>
      <w:r>
        <w:rPr>
          <w:spacing w:val="-2"/>
          <w:w w:val="105"/>
          <w:sz w:val="16"/>
        </w:rPr>
        <w:t>of</w:t>
      </w:r>
      <w:r>
        <w:rPr>
          <w:spacing w:val="-4"/>
          <w:w w:val="105"/>
          <w:sz w:val="16"/>
        </w:rPr>
        <w:t> </w:t>
      </w:r>
      <w:r>
        <w:rPr>
          <w:spacing w:val="-2"/>
          <w:w w:val="105"/>
          <w:sz w:val="16"/>
        </w:rPr>
        <w:t>Article</w:t>
      </w:r>
      <w:r>
        <w:rPr>
          <w:spacing w:val="-5"/>
          <w:w w:val="105"/>
          <w:sz w:val="16"/>
        </w:rPr>
        <w:t> </w:t>
      </w:r>
      <w:r>
        <w:rPr>
          <w:spacing w:val="-2"/>
          <w:w w:val="105"/>
          <w:sz w:val="16"/>
        </w:rPr>
        <w:t>12(2),</w:t>
      </w:r>
      <w:r>
        <w:rPr>
          <w:spacing w:val="-4"/>
          <w:w w:val="105"/>
          <w:sz w:val="16"/>
        </w:rPr>
        <w:t> </w:t>
      </w:r>
      <w:r>
        <w:rPr>
          <w:spacing w:val="-2"/>
          <w:w w:val="105"/>
          <w:sz w:val="16"/>
        </w:rPr>
        <w:t>Article</w:t>
      </w:r>
      <w:r>
        <w:rPr>
          <w:spacing w:val="-4"/>
          <w:w w:val="105"/>
          <w:sz w:val="16"/>
        </w:rPr>
        <w:t> </w:t>
      </w:r>
      <w:r>
        <w:rPr>
          <w:spacing w:val="-2"/>
          <w:w w:val="105"/>
          <w:sz w:val="16"/>
        </w:rPr>
        <w:t>5</w:t>
      </w:r>
      <w:r>
        <w:rPr>
          <w:spacing w:val="-5"/>
          <w:w w:val="105"/>
          <w:sz w:val="16"/>
        </w:rPr>
        <w:t> </w:t>
      </w:r>
      <w:r>
        <w:rPr>
          <w:spacing w:val="-2"/>
          <w:w w:val="105"/>
          <w:sz w:val="16"/>
        </w:rPr>
        <w:t>and</w:t>
      </w:r>
      <w:r>
        <w:rPr>
          <w:spacing w:val="-4"/>
          <w:w w:val="105"/>
          <w:sz w:val="16"/>
        </w:rPr>
        <w:t> </w:t>
      </w:r>
      <w:r>
        <w:rPr>
          <w:spacing w:val="-2"/>
          <w:w w:val="105"/>
          <w:sz w:val="16"/>
        </w:rPr>
        <w:t>Articles</w:t>
      </w:r>
      <w:r>
        <w:rPr>
          <w:spacing w:val="-4"/>
          <w:w w:val="105"/>
          <w:sz w:val="16"/>
        </w:rPr>
        <w:t> </w:t>
      </w:r>
      <w:r>
        <w:rPr>
          <w:spacing w:val="-2"/>
          <w:w w:val="105"/>
          <w:sz w:val="16"/>
        </w:rPr>
        <w:t>7</w:t>
      </w:r>
      <w:r>
        <w:rPr>
          <w:spacing w:val="-5"/>
          <w:w w:val="105"/>
          <w:sz w:val="16"/>
        </w:rPr>
        <w:t> </w:t>
      </w:r>
      <w:r>
        <w:rPr>
          <w:spacing w:val="-2"/>
          <w:w w:val="105"/>
          <w:sz w:val="16"/>
        </w:rPr>
        <w:t>to</w:t>
      </w:r>
      <w:r>
        <w:rPr>
          <w:spacing w:val="-4"/>
          <w:w w:val="105"/>
          <w:sz w:val="16"/>
        </w:rPr>
        <w:t> </w:t>
      </w:r>
      <w:r>
        <w:rPr>
          <w:spacing w:val="-2"/>
          <w:w w:val="105"/>
          <w:sz w:val="16"/>
        </w:rPr>
        <w:t>10</w:t>
      </w:r>
      <w:r>
        <w:rPr>
          <w:spacing w:val="-5"/>
          <w:w w:val="105"/>
          <w:sz w:val="16"/>
        </w:rPr>
        <w:t> WF.</w:t>
      </w:r>
    </w:p>
    <w:p>
      <w:pPr>
        <w:pStyle w:val="ListParagraph"/>
        <w:numPr>
          <w:ilvl w:val="0"/>
          <w:numId w:val="6"/>
        </w:numPr>
        <w:tabs>
          <w:tab w:pos="567" w:val="left" w:leader="none"/>
        </w:tabs>
        <w:spacing w:line="200" w:lineRule="exact" w:before="0" w:after="0"/>
        <w:ind w:left="567" w:right="0" w:hanging="454"/>
        <w:jc w:val="left"/>
        <w:rPr>
          <w:rFonts w:ascii="Arial"/>
          <w:sz w:val="16"/>
        </w:rPr>
      </w:pPr>
      <w:r>
        <w:rPr>
          <w:spacing w:val="-2"/>
          <w:sz w:val="16"/>
        </w:rPr>
        <w:t>Case</w:t>
      </w:r>
      <w:r>
        <w:rPr>
          <w:spacing w:val="-11"/>
          <w:sz w:val="16"/>
        </w:rPr>
        <w:t> </w:t>
      </w:r>
      <w:r>
        <w:rPr>
          <w:spacing w:val="-2"/>
          <w:sz w:val="16"/>
        </w:rPr>
        <w:t>C-414/16</w:t>
      </w:r>
      <w:r>
        <w:rPr>
          <w:spacing w:val="-11"/>
          <w:sz w:val="16"/>
        </w:rPr>
        <w:t> </w:t>
      </w:r>
      <w:r>
        <w:rPr>
          <w:rFonts w:ascii="Verdana"/>
          <w:i/>
          <w:spacing w:val="-2"/>
          <w:sz w:val="16"/>
        </w:rPr>
        <w:t>Vera</w:t>
      </w:r>
      <w:r>
        <w:rPr>
          <w:rFonts w:ascii="Verdana"/>
          <w:i/>
          <w:spacing w:val="-12"/>
          <w:sz w:val="16"/>
        </w:rPr>
        <w:t> </w:t>
      </w:r>
      <w:r>
        <w:rPr>
          <w:rFonts w:ascii="Verdana"/>
          <w:i/>
          <w:spacing w:val="-2"/>
          <w:sz w:val="16"/>
        </w:rPr>
        <w:t>Egenberger</w:t>
      </w:r>
      <w:r>
        <w:rPr>
          <w:rFonts w:ascii="Arial"/>
          <w:spacing w:val="-2"/>
          <w:sz w:val="16"/>
        </w:rPr>
        <w:t>,</w:t>
      </w:r>
      <w:r>
        <w:rPr>
          <w:rFonts w:ascii="Arial"/>
          <w:spacing w:val="-9"/>
          <w:sz w:val="16"/>
        </w:rPr>
        <w:t> </w:t>
      </w:r>
      <w:hyperlink r:id="rId36">
        <w:r>
          <w:rPr>
            <w:color w:val="77328A"/>
            <w:spacing w:val="-2"/>
            <w:sz w:val="16"/>
            <w:u w:val="single" w:color="77328A"/>
          </w:rPr>
          <w:t>EU:C:2018:257</w:t>
        </w:r>
      </w:hyperlink>
      <w:r>
        <w:rPr>
          <w:rFonts w:ascii="Arial"/>
          <w:spacing w:val="-2"/>
          <w:sz w:val="16"/>
          <w:u w:val="none"/>
        </w:rPr>
        <w:t>,</w:t>
      </w:r>
      <w:r>
        <w:rPr>
          <w:rFonts w:ascii="Arial"/>
          <w:spacing w:val="-9"/>
          <w:sz w:val="16"/>
          <w:u w:val="none"/>
        </w:rPr>
        <w:t> </w:t>
      </w:r>
      <w:r>
        <w:rPr>
          <w:rFonts w:ascii="Arial"/>
          <w:spacing w:val="-2"/>
          <w:sz w:val="16"/>
          <w:u w:val="none"/>
        </w:rPr>
        <w:t>para</w:t>
      </w:r>
      <w:r>
        <w:rPr>
          <w:rFonts w:ascii="Arial"/>
          <w:spacing w:val="-8"/>
          <w:sz w:val="16"/>
          <w:u w:val="none"/>
        </w:rPr>
        <w:t> </w:t>
      </w:r>
      <w:r>
        <w:rPr>
          <w:rFonts w:ascii="Arial"/>
          <w:spacing w:val="-5"/>
          <w:sz w:val="16"/>
          <w:u w:val="none"/>
        </w:rPr>
        <w:t>76.</w:t>
      </w:r>
    </w:p>
    <w:p>
      <w:pPr>
        <w:pStyle w:val="ListParagraph"/>
        <w:numPr>
          <w:ilvl w:val="0"/>
          <w:numId w:val="6"/>
        </w:numPr>
        <w:tabs>
          <w:tab w:pos="567" w:val="left" w:leader="none"/>
        </w:tabs>
        <w:spacing w:line="200" w:lineRule="exact" w:before="0" w:after="0"/>
        <w:ind w:left="567" w:right="0" w:hanging="454"/>
        <w:jc w:val="left"/>
        <w:rPr>
          <w:rFonts w:ascii="Arial"/>
          <w:sz w:val="16"/>
        </w:rPr>
      </w:pPr>
      <w:r>
        <w:rPr>
          <w:rFonts w:ascii="Arial"/>
          <w:sz w:val="16"/>
        </w:rPr>
        <w:t>E.g.</w:t>
      </w:r>
      <w:r>
        <w:rPr>
          <w:rFonts w:ascii="Arial"/>
          <w:spacing w:val="11"/>
          <w:sz w:val="16"/>
        </w:rPr>
        <w:t> </w:t>
      </w:r>
      <w:r>
        <w:rPr>
          <w:rFonts w:ascii="Verdana"/>
          <w:i/>
          <w:sz w:val="16"/>
        </w:rPr>
        <w:t>CG </w:t>
      </w:r>
      <w:r>
        <w:rPr>
          <w:sz w:val="16"/>
        </w:rPr>
        <w:t>(n</w:t>
      </w:r>
      <w:r>
        <w:rPr>
          <w:spacing w:val="6"/>
          <w:sz w:val="16"/>
        </w:rPr>
        <w:t> </w:t>
      </w:r>
      <w:r>
        <w:rPr>
          <w:spacing w:val="-4"/>
          <w:sz w:val="16"/>
        </w:rPr>
        <w:t>26).</w:t>
      </w:r>
    </w:p>
    <w:p>
      <w:pPr>
        <w:pStyle w:val="ListParagraph"/>
        <w:numPr>
          <w:ilvl w:val="0"/>
          <w:numId w:val="6"/>
        </w:numPr>
        <w:tabs>
          <w:tab w:pos="567" w:val="left" w:leader="none"/>
        </w:tabs>
        <w:spacing w:line="200" w:lineRule="exact" w:before="0" w:after="0"/>
        <w:ind w:left="567" w:right="0" w:hanging="454"/>
        <w:jc w:val="left"/>
        <w:rPr>
          <w:sz w:val="16"/>
        </w:rPr>
      </w:pPr>
      <w:r>
        <w:rPr>
          <w:spacing w:val="-2"/>
          <w:sz w:val="16"/>
        </w:rPr>
        <w:t>E.g.</w:t>
      </w:r>
      <w:r>
        <w:rPr>
          <w:spacing w:val="-8"/>
          <w:sz w:val="16"/>
        </w:rPr>
        <w:t> </w:t>
      </w:r>
      <w:r>
        <w:rPr>
          <w:spacing w:val="-2"/>
          <w:sz w:val="16"/>
        </w:rPr>
        <w:t>Case</w:t>
      </w:r>
      <w:r>
        <w:rPr>
          <w:spacing w:val="-6"/>
          <w:sz w:val="16"/>
        </w:rPr>
        <w:t> </w:t>
      </w:r>
      <w:r>
        <w:rPr>
          <w:spacing w:val="-2"/>
          <w:sz w:val="16"/>
        </w:rPr>
        <w:t>C-362/14,</w:t>
      </w:r>
      <w:r>
        <w:rPr>
          <w:spacing w:val="-6"/>
          <w:sz w:val="16"/>
        </w:rPr>
        <w:t> </w:t>
      </w:r>
      <w:r>
        <w:rPr>
          <w:rFonts w:ascii="Verdana"/>
          <w:i/>
          <w:spacing w:val="-2"/>
          <w:sz w:val="16"/>
        </w:rPr>
        <w:t>Schrems</w:t>
      </w:r>
      <w:r>
        <w:rPr>
          <w:rFonts w:ascii="Verdana"/>
          <w:i/>
          <w:spacing w:val="-12"/>
          <w:sz w:val="16"/>
        </w:rPr>
        <w:t> </w:t>
      </w:r>
      <w:r>
        <w:rPr>
          <w:rFonts w:ascii="Verdana"/>
          <w:i/>
          <w:spacing w:val="-2"/>
          <w:sz w:val="16"/>
        </w:rPr>
        <w:t>v.</w:t>
      </w:r>
      <w:r>
        <w:rPr>
          <w:rFonts w:ascii="Verdana"/>
          <w:i/>
          <w:spacing w:val="-12"/>
          <w:sz w:val="16"/>
        </w:rPr>
        <w:t> </w:t>
      </w:r>
      <w:r>
        <w:rPr>
          <w:rFonts w:ascii="Verdana"/>
          <w:i/>
          <w:spacing w:val="-2"/>
          <w:sz w:val="16"/>
        </w:rPr>
        <w:t>Data</w:t>
      </w:r>
      <w:r>
        <w:rPr>
          <w:rFonts w:ascii="Verdana"/>
          <w:i/>
          <w:spacing w:val="-12"/>
          <w:sz w:val="16"/>
        </w:rPr>
        <w:t> </w:t>
      </w:r>
      <w:r>
        <w:rPr>
          <w:rFonts w:ascii="Verdana"/>
          <w:i/>
          <w:spacing w:val="-2"/>
          <w:sz w:val="16"/>
        </w:rPr>
        <w:t>Protection</w:t>
      </w:r>
      <w:r>
        <w:rPr>
          <w:rFonts w:ascii="Verdana"/>
          <w:i/>
          <w:spacing w:val="-12"/>
          <w:sz w:val="16"/>
        </w:rPr>
        <w:t> </w:t>
      </w:r>
      <w:r>
        <w:rPr>
          <w:rFonts w:ascii="Verdana"/>
          <w:i/>
          <w:spacing w:val="-2"/>
          <w:sz w:val="16"/>
        </w:rPr>
        <w:t>Commissioner</w:t>
      </w:r>
      <w:r>
        <w:rPr>
          <w:spacing w:val="-2"/>
          <w:sz w:val="16"/>
        </w:rPr>
        <w:t>,</w:t>
      </w:r>
      <w:r>
        <w:rPr>
          <w:spacing w:val="-5"/>
          <w:sz w:val="16"/>
        </w:rPr>
        <w:t> </w:t>
      </w:r>
      <w:r>
        <w:rPr>
          <w:spacing w:val="-2"/>
          <w:sz w:val="16"/>
        </w:rPr>
        <w:t>EU:C:2015:650.</w:t>
      </w:r>
    </w:p>
    <w:p>
      <w:pPr>
        <w:pStyle w:val="ListParagraph"/>
        <w:numPr>
          <w:ilvl w:val="0"/>
          <w:numId w:val="6"/>
        </w:numPr>
        <w:tabs>
          <w:tab w:pos="567" w:val="left" w:leader="none"/>
        </w:tabs>
        <w:spacing w:line="194" w:lineRule="auto" w:before="10" w:after="0"/>
        <w:ind w:left="567" w:right="837" w:hanging="454"/>
        <w:jc w:val="left"/>
        <w:rPr>
          <w:rFonts w:ascii="Arial" w:hAnsi="Arial"/>
          <w:sz w:val="16"/>
        </w:rPr>
      </w:pPr>
      <w:r>
        <w:rPr>
          <w:spacing w:val="-2"/>
          <w:sz w:val="16"/>
        </w:rPr>
        <w:t>E.g.</w:t>
      </w:r>
      <w:r>
        <w:rPr>
          <w:spacing w:val="-4"/>
          <w:sz w:val="16"/>
        </w:rPr>
        <w:t> </w:t>
      </w:r>
      <w:r>
        <w:rPr>
          <w:spacing w:val="-2"/>
          <w:sz w:val="16"/>
        </w:rPr>
        <w:t>Case</w:t>
      </w:r>
      <w:r>
        <w:rPr>
          <w:spacing w:val="-4"/>
          <w:sz w:val="16"/>
        </w:rPr>
        <w:t> </w:t>
      </w:r>
      <w:r>
        <w:rPr>
          <w:spacing w:val="-2"/>
          <w:sz w:val="16"/>
        </w:rPr>
        <w:t>C-555/07,</w:t>
      </w:r>
      <w:r>
        <w:rPr>
          <w:spacing w:val="-4"/>
          <w:sz w:val="16"/>
        </w:rPr>
        <w:t> </w:t>
      </w:r>
      <w:r>
        <w:rPr>
          <w:rFonts w:ascii="Verdana" w:hAnsi="Verdana"/>
          <w:i/>
          <w:spacing w:val="-2"/>
          <w:sz w:val="16"/>
        </w:rPr>
        <w:t>Kücükdeveci</w:t>
      </w:r>
      <w:r>
        <w:rPr>
          <w:rFonts w:ascii="Verdana" w:hAnsi="Verdana"/>
          <w:i/>
          <w:spacing w:val="-10"/>
          <w:sz w:val="16"/>
        </w:rPr>
        <w:t> </w:t>
      </w:r>
      <w:r>
        <w:rPr>
          <w:rFonts w:ascii="Verdana" w:hAnsi="Verdana"/>
          <w:i/>
          <w:spacing w:val="-2"/>
          <w:sz w:val="16"/>
        </w:rPr>
        <w:t>v</w:t>
      </w:r>
      <w:r>
        <w:rPr>
          <w:rFonts w:ascii="Verdana" w:hAnsi="Verdana"/>
          <w:i/>
          <w:spacing w:val="-10"/>
          <w:sz w:val="16"/>
        </w:rPr>
        <w:t> </w:t>
      </w:r>
      <w:r>
        <w:rPr>
          <w:rFonts w:ascii="Verdana" w:hAnsi="Verdana"/>
          <w:i/>
          <w:spacing w:val="-2"/>
          <w:sz w:val="16"/>
        </w:rPr>
        <w:t>Swedex</w:t>
      </w:r>
      <w:r>
        <w:rPr>
          <w:rFonts w:ascii="Verdana" w:hAnsi="Verdana"/>
          <w:i/>
          <w:spacing w:val="-10"/>
          <w:sz w:val="16"/>
        </w:rPr>
        <w:t> </w:t>
      </w:r>
      <w:r>
        <w:rPr>
          <w:rFonts w:ascii="Verdana" w:hAnsi="Verdana"/>
          <w:i/>
          <w:spacing w:val="-2"/>
          <w:sz w:val="16"/>
        </w:rPr>
        <w:t>GmbH</w:t>
      </w:r>
      <w:r>
        <w:rPr>
          <w:spacing w:val="-2"/>
          <w:sz w:val="16"/>
        </w:rPr>
        <w:t>,</w:t>
      </w:r>
      <w:r>
        <w:rPr>
          <w:spacing w:val="-4"/>
          <w:sz w:val="16"/>
        </w:rPr>
        <w:t> </w:t>
      </w:r>
      <w:r>
        <w:rPr>
          <w:spacing w:val="-2"/>
          <w:sz w:val="16"/>
        </w:rPr>
        <w:t>EU:C:2010:21;</w:t>
      </w:r>
      <w:r>
        <w:rPr>
          <w:spacing w:val="-4"/>
          <w:sz w:val="16"/>
        </w:rPr>
        <w:t> </w:t>
      </w:r>
      <w:r>
        <w:rPr>
          <w:spacing w:val="-2"/>
          <w:sz w:val="16"/>
        </w:rPr>
        <w:t>and</w:t>
      </w:r>
      <w:r>
        <w:rPr>
          <w:spacing w:val="-4"/>
          <w:sz w:val="16"/>
        </w:rPr>
        <w:t> </w:t>
      </w:r>
      <w:r>
        <w:rPr>
          <w:spacing w:val="-2"/>
          <w:sz w:val="16"/>
        </w:rPr>
        <w:t>Case</w:t>
      </w:r>
      <w:r>
        <w:rPr>
          <w:spacing w:val="-4"/>
          <w:sz w:val="16"/>
        </w:rPr>
        <w:t> </w:t>
      </w:r>
      <w:r>
        <w:rPr>
          <w:spacing w:val="-2"/>
          <w:sz w:val="16"/>
        </w:rPr>
        <w:t>C843/19</w:t>
      </w:r>
      <w:r>
        <w:rPr>
          <w:spacing w:val="-4"/>
          <w:sz w:val="16"/>
        </w:rPr>
        <w:t> </w:t>
      </w:r>
      <w:r>
        <w:rPr>
          <w:rFonts w:ascii="Verdana" w:hAnsi="Verdana"/>
          <w:i/>
          <w:spacing w:val="-2"/>
          <w:sz w:val="16"/>
        </w:rPr>
        <w:t>Instituto</w:t>
      </w:r>
      <w:r>
        <w:rPr>
          <w:rFonts w:ascii="Verdana" w:hAnsi="Verdana"/>
          <w:i/>
          <w:spacing w:val="-10"/>
          <w:sz w:val="16"/>
        </w:rPr>
        <w:t> </w:t>
      </w:r>
      <w:r>
        <w:rPr>
          <w:rFonts w:ascii="Verdana" w:hAnsi="Verdana"/>
          <w:i/>
          <w:spacing w:val="-2"/>
          <w:sz w:val="16"/>
        </w:rPr>
        <w:t>Nacional</w:t>
      </w:r>
      <w:r>
        <w:rPr>
          <w:rFonts w:ascii="Verdana" w:hAnsi="Verdana"/>
          <w:i/>
          <w:spacing w:val="-10"/>
          <w:sz w:val="16"/>
        </w:rPr>
        <w:t> </w:t>
      </w:r>
      <w:r>
        <w:rPr>
          <w:rFonts w:ascii="Verdana" w:hAnsi="Verdana"/>
          <w:i/>
          <w:spacing w:val="-2"/>
          <w:sz w:val="16"/>
        </w:rPr>
        <w:t>de</w:t>
      </w:r>
      <w:r>
        <w:rPr>
          <w:rFonts w:ascii="Verdana" w:hAnsi="Verdana"/>
          <w:i/>
          <w:spacing w:val="-10"/>
          <w:sz w:val="16"/>
        </w:rPr>
        <w:t> </w:t>
      </w:r>
      <w:r>
        <w:rPr>
          <w:rFonts w:ascii="Verdana" w:hAnsi="Verdana"/>
          <w:i/>
          <w:spacing w:val="-2"/>
          <w:sz w:val="16"/>
        </w:rPr>
        <w:t>la</w:t>
      </w:r>
      <w:r>
        <w:rPr>
          <w:rFonts w:ascii="Verdana" w:hAnsi="Verdana"/>
          <w:i/>
          <w:spacing w:val="-2"/>
          <w:sz w:val="16"/>
        </w:rPr>
        <w:t> </w:t>
      </w:r>
      <w:r>
        <w:rPr>
          <w:rFonts w:ascii="Verdana" w:hAnsi="Verdana"/>
          <w:i/>
          <w:sz w:val="16"/>
        </w:rPr>
        <w:t>Seguridad Social (INSS) v BT</w:t>
      </w:r>
      <w:r>
        <w:rPr>
          <w:sz w:val="16"/>
        </w:rPr>
        <w:t>, EU:C:2021:55.</w:t>
      </w:r>
    </w:p>
    <w:p>
      <w:pPr>
        <w:spacing w:after="0" w:line="194" w:lineRule="auto"/>
        <w:jc w:val="left"/>
        <w:rPr>
          <w:rFonts w:ascii="Arial" w:hAnsi="Arial"/>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310" w:lineRule="exact" w:before="49"/>
        <w:ind w:right="55"/>
      </w:pPr>
      <w:r>
        <w:rPr>
          <w:w w:val="110"/>
        </w:rPr>
        <w:t>including annual leave),</w:t>
      </w:r>
      <w:r>
        <w:rPr>
          <w:rFonts w:ascii="Lucida Sans Unicode" w:hAnsi="Lucida Sans Unicode"/>
          <w:w w:val="110"/>
          <w:vertAlign w:val="superscript"/>
        </w:rPr>
        <w:t>70</w:t>
      </w:r>
      <w:r>
        <w:rPr>
          <w:rFonts w:ascii="Lucida Sans Unicode" w:hAnsi="Lucida Sans Unicode"/>
          <w:w w:val="110"/>
          <w:vertAlign w:val="baseline"/>
        </w:rPr>
        <w:t> 47 (the </w:t>
      </w:r>
      <w:r>
        <w:rPr>
          <w:w w:val="110"/>
          <w:vertAlign w:val="baseline"/>
        </w:rPr>
        <w:t>right to a fair trial and to an effective </w:t>
      </w:r>
      <w:r>
        <w:rPr>
          <w:vertAlign w:val="baseline"/>
        </w:rPr>
        <w:t>remedy), and 51 (</w:t>
      </w:r>
      <w:r>
        <w:rPr>
          <w:rFonts w:ascii="Verdana" w:hAnsi="Verdana"/>
          <w:i/>
          <w:vertAlign w:val="baseline"/>
        </w:rPr>
        <w:t>ne bis in idem</w:t>
      </w:r>
      <w:r>
        <w:rPr>
          <w:vertAlign w:val="baseline"/>
        </w:rPr>
        <w:t>) have </w:t>
      </w:r>
      <w:r>
        <w:rPr>
          <w:w w:val="110"/>
          <w:vertAlign w:val="baseline"/>
        </w:rPr>
        <w:t>all been found to enjoy direct effect. This, of course, is a non-exhaustive list, which continues to grow as the Court’s case law on the Charter develops. The direct effect criteria </w:t>
      </w:r>
      <w:r>
        <w:rPr>
          <w:w w:val="110"/>
          <w:vertAlign w:val="baseline"/>
        </w:rPr>
        <w:t>are assessed separately for each Charter provision. However, Charter principles tend to lack direct effect.</w:t>
      </w:r>
      <w:r>
        <w:rPr>
          <w:w w:val="110"/>
          <w:vertAlign w:val="superscript"/>
        </w:rPr>
        <w:t>71</w:t>
      </w:r>
      <w:r>
        <w:rPr>
          <w:w w:val="110"/>
          <w:vertAlign w:val="baseline"/>
        </w:rPr>
        <w:t> Thus in </w:t>
      </w:r>
      <w:r>
        <w:rPr>
          <w:rFonts w:ascii="Verdana" w:hAnsi="Verdana"/>
          <w:i/>
          <w:vertAlign w:val="baseline"/>
        </w:rPr>
        <w:t>AMS</w:t>
      </w:r>
      <w:r>
        <w:rPr>
          <w:rFonts w:ascii="Lucida Sans Unicode" w:hAnsi="Lucida Sans Unicode"/>
          <w:vertAlign w:val="baseline"/>
        </w:rPr>
        <w:t>, the Court found that Article 27 </w:t>
      </w:r>
      <w:r>
        <w:rPr>
          <w:rFonts w:ascii="Lucida Sans Unicode" w:hAnsi="Lucida Sans Unicode"/>
          <w:w w:val="110"/>
          <w:vertAlign w:val="baseline"/>
        </w:rPr>
        <w:t>CFR</w:t>
      </w:r>
      <w:r>
        <w:rPr>
          <w:rFonts w:ascii="Lucida Sans Unicode" w:hAnsi="Lucida Sans Unicode"/>
          <w:spacing w:val="-21"/>
          <w:w w:val="110"/>
          <w:vertAlign w:val="baseline"/>
        </w:rPr>
        <w:t> </w:t>
      </w:r>
      <w:r>
        <w:rPr>
          <w:rFonts w:ascii="Lucida Sans Unicode" w:hAnsi="Lucida Sans Unicode"/>
          <w:w w:val="110"/>
          <w:vertAlign w:val="baseline"/>
        </w:rPr>
        <w:t>was</w:t>
      </w:r>
      <w:r>
        <w:rPr>
          <w:rFonts w:ascii="Lucida Sans Unicode" w:hAnsi="Lucida Sans Unicode"/>
          <w:spacing w:val="-21"/>
          <w:w w:val="110"/>
          <w:vertAlign w:val="baseline"/>
        </w:rPr>
        <w:t> </w:t>
      </w:r>
      <w:r>
        <w:rPr>
          <w:rFonts w:ascii="Lucida Sans Unicode" w:hAnsi="Lucida Sans Unicode"/>
          <w:w w:val="110"/>
          <w:vertAlign w:val="baseline"/>
        </w:rPr>
        <w:t>not</w:t>
      </w:r>
      <w:r>
        <w:rPr>
          <w:rFonts w:ascii="Lucida Sans Unicode" w:hAnsi="Lucida Sans Unicode"/>
          <w:spacing w:val="-21"/>
          <w:w w:val="110"/>
          <w:vertAlign w:val="baseline"/>
        </w:rPr>
        <w:t> </w:t>
      </w:r>
      <w:r>
        <w:rPr>
          <w:rFonts w:ascii="Lucida Sans Unicode" w:hAnsi="Lucida Sans Unicode"/>
          <w:w w:val="110"/>
          <w:vertAlign w:val="baseline"/>
        </w:rPr>
        <w:t>sufficiently</w:t>
      </w:r>
      <w:r>
        <w:rPr>
          <w:rFonts w:ascii="Lucida Sans Unicode" w:hAnsi="Lucida Sans Unicode"/>
          <w:spacing w:val="-21"/>
          <w:w w:val="110"/>
          <w:vertAlign w:val="baseline"/>
        </w:rPr>
        <w:t> </w:t>
      </w:r>
      <w:r>
        <w:rPr>
          <w:rFonts w:ascii="Lucida Sans Unicode" w:hAnsi="Lucida Sans Unicode"/>
          <w:w w:val="110"/>
          <w:vertAlign w:val="baseline"/>
        </w:rPr>
        <w:t>precise</w:t>
      </w:r>
      <w:r>
        <w:rPr>
          <w:rFonts w:ascii="Lucida Sans Unicode" w:hAnsi="Lucida Sans Unicode"/>
          <w:spacing w:val="-21"/>
          <w:w w:val="110"/>
          <w:vertAlign w:val="baseline"/>
        </w:rPr>
        <w:t> </w:t>
      </w:r>
      <w:r>
        <w:rPr>
          <w:rFonts w:ascii="Lucida Sans Unicode" w:hAnsi="Lucida Sans Unicode"/>
          <w:w w:val="110"/>
          <w:vertAlign w:val="baseline"/>
        </w:rPr>
        <w:t>and </w:t>
      </w:r>
      <w:r>
        <w:rPr>
          <w:w w:val="110"/>
          <w:vertAlign w:val="baseline"/>
        </w:rPr>
        <w:t>unconditional so as to be capable of invocation as such.</w:t>
      </w:r>
      <w:r>
        <w:rPr>
          <w:rFonts w:ascii="Lucida Sans Unicode" w:hAnsi="Lucida Sans Unicode"/>
          <w:w w:val="110"/>
          <w:vertAlign w:val="superscript"/>
        </w:rPr>
        <w:t>72</w:t>
      </w:r>
      <w:r>
        <w:rPr>
          <w:rFonts w:ascii="Lucida Sans Unicode" w:hAnsi="Lucida Sans Unicode"/>
          <w:spacing w:val="-7"/>
          <w:w w:val="110"/>
          <w:vertAlign w:val="baseline"/>
        </w:rPr>
        <w:t> </w:t>
      </w:r>
      <w:r>
        <w:rPr>
          <w:w w:val="110"/>
          <w:vertAlign w:val="baseline"/>
        </w:rPr>
        <w:t>As noted earlier, therefore, it is not possible to rely on Charter principles to have legislation </w:t>
      </w:r>
      <w:r>
        <w:rPr>
          <w:spacing w:val="-2"/>
          <w:w w:val="110"/>
          <w:vertAlign w:val="baseline"/>
        </w:rPr>
        <w:t>disapplied.</w:t>
      </w:r>
    </w:p>
    <w:p>
      <w:pPr>
        <w:pStyle w:val="BodyText"/>
        <w:spacing w:before="24"/>
        <w:ind w:left="0"/>
      </w:pPr>
    </w:p>
    <w:p>
      <w:pPr>
        <w:pStyle w:val="BodyText"/>
        <w:spacing w:line="310" w:lineRule="exact"/>
      </w:pPr>
      <w:r>
        <w:rPr>
          <w:w w:val="115"/>
        </w:rPr>
        <w:t>Crucially,</w:t>
      </w:r>
      <w:r>
        <w:rPr>
          <w:spacing w:val="-9"/>
          <w:w w:val="115"/>
        </w:rPr>
        <w:t> </w:t>
      </w:r>
      <w:r>
        <w:rPr>
          <w:w w:val="115"/>
        </w:rPr>
        <w:t>like</w:t>
      </w:r>
      <w:r>
        <w:rPr>
          <w:spacing w:val="-9"/>
          <w:w w:val="115"/>
        </w:rPr>
        <w:t> </w:t>
      </w:r>
      <w:r>
        <w:rPr>
          <w:w w:val="115"/>
        </w:rPr>
        <w:t>Treaty</w:t>
      </w:r>
      <w:r>
        <w:rPr>
          <w:spacing w:val="-9"/>
          <w:w w:val="115"/>
        </w:rPr>
        <w:t> </w:t>
      </w:r>
      <w:r>
        <w:rPr>
          <w:w w:val="115"/>
        </w:rPr>
        <w:t>provisions,</w:t>
      </w:r>
      <w:r>
        <w:rPr>
          <w:spacing w:val="-9"/>
          <w:w w:val="115"/>
        </w:rPr>
        <w:t> </w:t>
      </w:r>
      <w:r>
        <w:rPr>
          <w:w w:val="115"/>
        </w:rPr>
        <w:t>the Charter</w:t>
      </w:r>
      <w:r>
        <w:rPr>
          <w:spacing w:val="-5"/>
          <w:w w:val="115"/>
        </w:rPr>
        <w:t> </w:t>
      </w:r>
      <w:r>
        <w:rPr>
          <w:w w:val="115"/>
        </w:rPr>
        <w:t>can</w:t>
      </w:r>
      <w:r>
        <w:rPr>
          <w:spacing w:val="-5"/>
          <w:w w:val="115"/>
        </w:rPr>
        <w:t> </w:t>
      </w:r>
      <w:r>
        <w:rPr>
          <w:w w:val="115"/>
        </w:rPr>
        <w:t>have</w:t>
      </w:r>
      <w:r>
        <w:rPr>
          <w:spacing w:val="-5"/>
          <w:w w:val="115"/>
        </w:rPr>
        <w:t> </w:t>
      </w:r>
      <w:r>
        <w:rPr>
          <w:w w:val="115"/>
        </w:rPr>
        <w:t>direct</w:t>
      </w:r>
      <w:r>
        <w:rPr>
          <w:spacing w:val="-5"/>
          <w:w w:val="115"/>
        </w:rPr>
        <w:t> </w:t>
      </w:r>
      <w:r>
        <w:rPr>
          <w:w w:val="115"/>
        </w:rPr>
        <w:t>effect</w:t>
      </w:r>
      <w:r>
        <w:rPr>
          <w:spacing w:val="-5"/>
          <w:w w:val="115"/>
        </w:rPr>
        <w:t> </w:t>
      </w:r>
      <w:r>
        <w:rPr>
          <w:w w:val="115"/>
        </w:rPr>
        <w:t>in</w:t>
      </w:r>
      <w:r>
        <w:rPr>
          <w:spacing w:val="-5"/>
          <w:w w:val="115"/>
        </w:rPr>
        <w:t> </w:t>
      </w:r>
      <w:r>
        <w:rPr>
          <w:w w:val="115"/>
        </w:rPr>
        <w:t>both vertical disputes between individuals </w:t>
      </w:r>
      <w:r>
        <w:rPr>
          <w:w w:val="110"/>
        </w:rPr>
        <w:t>and</w:t>
      </w:r>
      <w:r>
        <w:rPr>
          <w:spacing w:val="-8"/>
          <w:w w:val="110"/>
        </w:rPr>
        <w:t> </w:t>
      </w:r>
      <w:r>
        <w:rPr>
          <w:w w:val="110"/>
        </w:rPr>
        <w:t>the</w:t>
      </w:r>
      <w:r>
        <w:rPr>
          <w:spacing w:val="-8"/>
          <w:w w:val="110"/>
        </w:rPr>
        <w:t> </w:t>
      </w:r>
      <w:r>
        <w:rPr>
          <w:w w:val="110"/>
        </w:rPr>
        <w:t>state,</w:t>
      </w:r>
      <w:r>
        <w:rPr>
          <w:rFonts w:ascii="Lucida Sans Unicode"/>
          <w:w w:val="110"/>
          <w:vertAlign w:val="superscript"/>
        </w:rPr>
        <w:t>73</w:t>
      </w:r>
      <w:r>
        <w:rPr>
          <w:rFonts w:ascii="Lucida Sans Unicode"/>
          <w:spacing w:val="-18"/>
          <w:w w:val="110"/>
          <w:vertAlign w:val="baseline"/>
        </w:rPr>
        <w:t> </w:t>
      </w:r>
      <w:r>
        <w:rPr>
          <w:w w:val="110"/>
          <w:vertAlign w:val="baseline"/>
        </w:rPr>
        <w:t>as</w:t>
      </w:r>
      <w:r>
        <w:rPr>
          <w:spacing w:val="-8"/>
          <w:w w:val="110"/>
          <w:vertAlign w:val="baseline"/>
        </w:rPr>
        <w:t> </w:t>
      </w:r>
      <w:r>
        <w:rPr>
          <w:w w:val="110"/>
          <w:vertAlign w:val="baseline"/>
        </w:rPr>
        <w:t>well</w:t>
      </w:r>
      <w:r>
        <w:rPr>
          <w:spacing w:val="-8"/>
          <w:w w:val="110"/>
          <w:vertAlign w:val="baseline"/>
        </w:rPr>
        <w:t> </w:t>
      </w:r>
      <w:r>
        <w:rPr>
          <w:w w:val="110"/>
          <w:vertAlign w:val="baseline"/>
        </w:rPr>
        <w:t>as</w:t>
      </w:r>
      <w:r>
        <w:rPr>
          <w:spacing w:val="-8"/>
          <w:w w:val="110"/>
          <w:vertAlign w:val="baseline"/>
        </w:rPr>
        <w:t> </w:t>
      </w:r>
      <w:r>
        <w:rPr>
          <w:w w:val="110"/>
          <w:vertAlign w:val="baseline"/>
        </w:rPr>
        <w:t>in</w:t>
      </w:r>
      <w:r>
        <w:rPr>
          <w:spacing w:val="-8"/>
          <w:w w:val="110"/>
          <w:vertAlign w:val="baseline"/>
        </w:rPr>
        <w:t> </w:t>
      </w:r>
      <w:r>
        <w:rPr>
          <w:w w:val="110"/>
          <w:vertAlign w:val="baseline"/>
        </w:rPr>
        <w:t>horizontal </w:t>
      </w:r>
      <w:r>
        <w:rPr>
          <w:w w:val="115"/>
          <w:vertAlign w:val="baseline"/>
        </w:rPr>
        <w:t>disputes</w:t>
      </w:r>
      <w:r>
        <w:rPr>
          <w:spacing w:val="-13"/>
          <w:w w:val="115"/>
          <w:vertAlign w:val="baseline"/>
        </w:rPr>
        <w:t> </w:t>
      </w:r>
      <w:r>
        <w:rPr>
          <w:w w:val="115"/>
          <w:vertAlign w:val="baseline"/>
        </w:rPr>
        <w:t>between</w:t>
      </w:r>
      <w:r>
        <w:rPr>
          <w:spacing w:val="-13"/>
          <w:w w:val="115"/>
          <w:vertAlign w:val="baseline"/>
        </w:rPr>
        <w:t> </w:t>
      </w:r>
      <w:r>
        <w:rPr>
          <w:w w:val="115"/>
          <w:vertAlign w:val="baseline"/>
        </w:rPr>
        <w:t>private</w:t>
      </w:r>
      <w:r>
        <w:rPr>
          <w:spacing w:val="-13"/>
          <w:w w:val="115"/>
          <w:vertAlign w:val="baseline"/>
        </w:rPr>
        <w:t> </w:t>
      </w:r>
      <w:r>
        <w:rPr>
          <w:w w:val="115"/>
          <w:vertAlign w:val="baseline"/>
        </w:rPr>
        <w:t>persons.</w:t>
      </w:r>
      <w:r>
        <w:rPr>
          <w:rFonts w:ascii="Lucida Sans Unicode"/>
          <w:w w:val="115"/>
          <w:vertAlign w:val="superscript"/>
        </w:rPr>
        <w:t>74</w:t>
      </w:r>
      <w:r>
        <w:rPr>
          <w:rFonts w:ascii="Lucida Sans Unicode"/>
          <w:w w:val="115"/>
          <w:vertAlign w:val="baseline"/>
        </w:rPr>
        <w:t> </w:t>
      </w:r>
      <w:r>
        <w:rPr>
          <w:rFonts w:ascii="Lucida Sans Unicode"/>
          <w:vertAlign w:val="baseline"/>
        </w:rPr>
        <w:t>This is significant because it means </w:t>
      </w:r>
      <w:r>
        <w:rPr>
          <w:w w:val="115"/>
          <w:vertAlign w:val="baseline"/>
        </w:rPr>
        <w:t>that, unlike most other national and regional/international bills of rights, such</w:t>
      </w:r>
      <w:r>
        <w:rPr>
          <w:spacing w:val="-20"/>
          <w:w w:val="115"/>
          <w:vertAlign w:val="baseline"/>
        </w:rPr>
        <w:t> </w:t>
      </w:r>
      <w:r>
        <w:rPr>
          <w:w w:val="115"/>
          <w:vertAlign w:val="baseline"/>
        </w:rPr>
        <w:t>as</w:t>
      </w:r>
      <w:r>
        <w:rPr>
          <w:spacing w:val="-19"/>
          <w:w w:val="115"/>
          <w:vertAlign w:val="baseline"/>
        </w:rPr>
        <w:t> </w:t>
      </w:r>
      <w:r>
        <w:rPr>
          <w:w w:val="115"/>
          <w:vertAlign w:val="baseline"/>
        </w:rPr>
        <w:t>the</w:t>
      </w:r>
      <w:r>
        <w:rPr>
          <w:spacing w:val="-19"/>
          <w:w w:val="115"/>
          <w:vertAlign w:val="baseline"/>
        </w:rPr>
        <w:t> </w:t>
      </w:r>
      <w:r>
        <w:rPr>
          <w:w w:val="115"/>
          <w:vertAlign w:val="baseline"/>
        </w:rPr>
        <w:t>ECHR,</w:t>
      </w:r>
      <w:r>
        <w:rPr>
          <w:spacing w:val="-19"/>
          <w:w w:val="115"/>
          <w:vertAlign w:val="baseline"/>
        </w:rPr>
        <w:t> </w:t>
      </w:r>
      <w:r>
        <w:rPr>
          <w:w w:val="115"/>
          <w:vertAlign w:val="baseline"/>
        </w:rPr>
        <w:t>the</w:t>
      </w:r>
      <w:r>
        <w:rPr>
          <w:spacing w:val="-19"/>
          <w:w w:val="115"/>
          <w:vertAlign w:val="baseline"/>
        </w:rPr>
        <w:t> </w:t>
      </w:r>
      <w:r>
        <w:rPr>
          <w:w w:val="115"/>
          <w:vertAlign w:val="baseline"/>
        </w:rPr>
        <w:t>addressees</w:t>
      </w:r>
    </w:p>
    <w:p>
      <w:pPr>
        <w:pStyle w:val="BodyText"/>
        <w:spacing w:line="268" w:lineRule="auto" w:before="23"/>
      </w:pPr>
      <w:r>
        <w:rPr>
          <w:w w:val="115"/>
        </w:rPr>
        <w:t>of the Charter are not only state authorities, but also private parties, such</w:t>
      </w:r>
      <w:r>
        <w:rPr>
          <w:spacing w:val="-7"/>
          <w:w w:val="115"/>
        </w:rPr>
        <w:t> </w:t>
      </w:r>
      <w:r>
        <w:rPr>
          <w:w w:val="115"/>
        </w:rPr>
        <w:t>as</w:t>
      </w:r>
      <w:r>
        <w:rPr>
          <w:spacing w:val="-7"/>
          <w:w w:val="115"/>
        </w:rPr>
        <w:t> </w:t>
      </w:r>
      <w:r>
        <w:rPr>
          <w:w w:val="115"/>
        </w:rPr>
        <w:t>employers</w:t>
      </w:r>
      <w:r>
        <w:rPr>
          <w:spacing w:val="-7"/>
          <w:w w:val="115"/>
        </w:rPr>
        <w:t> </w:t>
      </w:r>
      <w:r>
        <w:rPr>
          <w:w w:val="115"/>
        </w:rPr>
        <w:t>and</w:t>
      </w:r>
      <w:r>
        <w:rPr>
          <w:spacing w:val="-7"/>
          <w:w w:val="115"/>
        </w:rPr>
        <w:t> </w:t>
      </w:r>
      <w:r>
        <w:rPr>
          <w:w w:val="115"/>
        </w:rPr>
        <w:t>services</w:t>
      </w:r>
      <w:r>
        <w:rPr>
          <w:spacing w:val="-7"/>
          <w:w w:val="115"/>
        </w:rPr>
        <w:t> </w:t>
      </w:r>
      <w:r>
        <w:rPr>
          <w:w w:val="115"/>
        </w:rPr>
        <w:t>or </w:t>
      </w:r>
      <w:r>
        <w:rPr>
          <w:spacing w:val="-2"/>
          <w:w w:val="115"/>
        </w:rPr>
        <w:t>goods</w:t>
      </w:r>
      <w:r>
        <w:rPr>
          <w:spacing w:val="-15"/>
          <w:w w:val="115"/>
        </w:rPr>
        <w:t> </w:t>
      </w:r>
      <w:r>
        <w:rPr>
          <w:spacing w:val="-2"/>
          <w:w w:val="115"/>
        </w:rPr>
        <w:t>providers.</w:t>
      </w:r>
      <w:r>
        <w:rPr>
          <w:spacing w:val="-15"/>
          <w:w w:val="115"/>
        </w:rPr>
        <w:t> </w:t>
      </w:r>
      <w:r>
        <w:rPr>
          <w:spacing w:val="-2"/>
          <w:w w:val="115"/>
        </w:rPr>
        <w:t>This</w:t>
      </w:r>
      <w:r>
        <w:rPr>
          <w:spacing w:val="-15"/>
          <w:w w:val="115"/>
        </w:rPr>
        <w:t> </w:t>
      </w:r>
      <w:r>
        <w:rPr>
          <w:spacing w:val="-2"/>
          <w:w w:val="115"/>
        </w:rPr>
        <w:t>is</w:t>
      </w:r>
      <w:r>
        <w:rPr>
          <w:spacing w:val="-15"/>
          <w:w w:val="115"/>
        </w:rPr>
        <w:t> </w:t>
      </w:r>
      <w:r>
        <w:rPr>
          <w:spacing w:val="-2"/>
          <w:w w:val="115"/>
        </w:rPr>
        <w:t>an</w:t>
      </w:r>
      <w:r>
        <w:rPr>
          <w:spacing w:val="-15"/>
          <w:w w:val="115"/>
        </w:rPr>
        <w:t> </w:t>
      </w:r>
      <w:r>
        <w:rPr>
          <w:spacing w:val="-2"/>
          <w:w w:val="115"/>
        </w:rPr>
        <w:t>important </w:t>
      </w:r>
      <w:r>
        <w:rPr>
          <w:w w:val="115"/>
        </w:rPr>
        <w:t>point</w:t>
      </w:r>
      <w:r>
        <w:rPr>
          <w:spacing w:val="-1"/>
          <w:w w:val="115"/>
        </w:rPr>
        <w:t> </w:t>
      </w:r>
      <w:r>
        <w:rPr>
          <w:w w:val="115"/>
        </w:rPr>
        <w:t>to</w:t>
      </w:r>
      <w:r>
        <w:rPr>
          <w:spacing w:val="-1"/>
          <w:w w:val="115"/>
        </w:rPr>
        <w:t> </w:t>
      </w:r>
      <w:r>
        <w:rPr>
          <w:w w:val="115"/>
        </w:rPr>
        <w:t>emphasise:</w:t>
      </w:r>
      <w:r>
        <w:rPr>
          <w:spacing w:val="-1"/>
          <w:w w:val="115"/>
        </w:rPr>
        <w:t> </w:t>
      </w:r>
      <w:r>
        <w:rPr>
          <w:w w:val="115"/>
        </w:rPr>
        <w:t>unlike</w:t>
      </w:r>
      <w:r>
        <w:rPr>
          <w:spacing w:val="-1"/>
          <w:w w:val="115"/>
        </w:rPr>
        <w:t> </w:t>
      </w:r>
      <w:r>
        <w:rPr>
          <w:w w:val="115"/>
        </w:rPr>
        <w:t>the</w:t>
      </w:r>
      <w:r>
        <w:rPr>
          <w:spacing w:val="-1"/>
          <w:w w:val="115"/>
        </w:rPr>
        <w:t> </w:t>
      </w:r>
      <w:r>
        <w:rPr>
          <w:w w:val="115"/>
        </w:rPr>
        <w:t>HRA,</w:t>
      </w:r>
    </w:p>
    <w:p>
      <w:pPr>
        <w:pStyle w:val="BodyText"/>
        <w:spacing w:line="268" w:lineRule="auto" w:before="72"/>
        <w:ind w:right="266"/>
      </w:pPr>
      <w:r>
        <w:rPr/>
        <w:br w:type="column"/>
      </w:r>
      <w:r>
        <w:rPr>
          <w:w w:val="115"/>
        </w:rPr>
        <w:t>which</w:t>
      </w:r>
      <w:r>
        <w:rPr>
          <w:spacing w:val="-19"/>
          <w:w w:val="115"/>
        </w:rPr>
        <w:t> </w:t>
      </w:r>
      <w:r>
        <w:rPr>
          <w:w w:val="115"/>
        </w:rPr>
        <w:t>limits</w:t>
      </w:r>
      <w:r>
        <w:rPr>
          <w:spacing w:val="-19"/>
          <w:w w:val="115"/>
        </w:rPr>
        <w:t> </w:t>
      </w:r>
      <w:r>
        <w:rPr>
          <w:w w:val="115"/>
        </w:rPr>
        <w:t>the</w:t>
      </w:r>
      <w:r>
        <w:rPr>
          <w:spacing w:val="-19"/>
          <w:w w:val="115"/>
        </w:rPr>
        <w:t> </w:t>
      </w:r>
      <w:r>
        <w:rPr>
          <w:w w:val="115"/>
        </w:rPr>
        <w:t>application</w:t>
      </w:r>
      <w:r>
        <w:rPr>
          <w:spacing w:val="-19"/>
          <w:w w:val="115"/>
        </w:rPr>
        <w:t> </w:t>
      </w:r>
      <w:r>
        <w:rPr>
          <w:w w:val="115"/>
        </w:rPr>
        <w:t>of</w:t>
      </w:r>
      <w:r>
        <w:rPr>
          <w:spacing w:val="-19"/>
          <w:w w:val="115"/>
        </w:rPr>
        <w:t> </w:t>
      </w:r>
      <w:r>
        <w:rPr>
          <w:w w:val="115"/>
        </w:rPr>
        <w:t>ECHR rights</w:t>
      </w:r>
      <w:r>
        <w:rPr>
          <w:spacing w:val="-4"/>
          <w:w w:val="115"/>
        </w:rPr>
        <w:t> </w:t>
      </w:r>
      <w:r>
        <w:rPr>
          <w:w w:val="115"/>
        </w:rPr>
        <w:t>to</w:t>
      </w:r>
      <w:r>
        <w:rPr>
          <w:spacing w:val="-4"/>
          <w:w w:val="115"/>
        </w:rPr>
        <w:t> </w:t>
      </w:r>
      <w:r>
        <w:rPr>
          <w:w w:val="115"/>
        </w:rPr>
        <w:t>public</w:t>
      </w:r>
      <w:r>
        <w:rPr>
          <w:spacing w:val="-4"/>
          <w:w w:val="115"/>
        </w:rPr>
        <w:t> </w:t>
      </w:r>
      <w:r>
        <w:rPr>
          <w:w w:val="115"/>
        </w:rPr>
        <w:t>authorities</w:t>
      </w:r>
      <w:r>
        <w:rPr>
          <w:spacing w:val="-4"/>
          <w:w w:val="115"/>
        </w:rPr>
        <w:t> </w:t>
      </w:r>
      <w:r>
        <w:rPr>
          <w:w w:val="115"/>
        </w:rPr>
        <w:t>or</w:t>
      </w:r>
      <w:r>
        <w:rPr>
          <w:spacing w:val="-4"/>
          <w:w w:val="115"/>
        </w:rPr>
        <w:t> </w:t>
      </w:r>
      <w:r>
        <w:rPr>
          <w:w w:val="115"/>
        </w:rPr>
        <w:t>private actors performing functions of a public nature,</w:t>
      </w:r>
      <w:r>
        <w:rPr>
          <w:w w:val="115"/>
          <w:vertAlign w:val="superscript"/>
        </w:rPr>
        <w:t>75</w:t>
      </w:r>
      <w:r>
        <w:rPr>
          <w:w w:val="115"/>
          <w:vertAlign w:val="baseline"/>
        </w:rPr>
        <w:t> the Charter permits private</w:t>
      </w:r>
      <w:r>
        <w:rPr>
          <w:spacing w:val="-3"/>
          <w:w w:val="115"/>
          <w:vertAlign w:val="baseline"/>
        </w:rPr>
        <w:t> </w:t>
      </w:r>
      <w:r>
        <w:rPr>
          <w:w w:val="115"/>
          <w:vertAlign w:val="baseline"/>
        </w:rPr>
        <w:t>parties</w:t>
      </w:r>
      <w:r>
        <w:rPr>
          <w:spacing w:val="-3"/>
          <w:w w:val="115"/>
          <w:vertAlign w:val="baseline"/>
        </w:rPr>
        <w:t> </w:t>
      </w:r>
      <w:r>
        <w:rPr>
          <w:w w:val="115"/>
          <w:vertAlign w:val="baseline"/>
        </w:rPr>
        <w:t>to</w:t>
      </w:r>
      <w:r>
        <w:rPr>
          <w:spacing w:val="-3"/>
          <w:w w:val="115"/>
          <w:vertAlign w:val="baseline"/>
        </w:rPr>
        <w:t> </w:t>
      </w:r>
      <w:r>
        <w:rPr>
          <w:w w:val="115"/>
          <w:vertAlign w:val="baseline"/>
        </w:rPr>
        <w:t>rely</w:t>
      </w:r>
      <w:r>
        <w:rPr>
          <w:spacing w:val="-3"/>
          <w:w w:val="115"/>
          <w:vertAlign w:val="baseline"/>
        </w:rPr>
        <w:t> </w:t>
      </w:r>
      <w:r>
        <w:rPr>
          <w:w w:val="115"/>
          <w:vertAlign w:val="baseline"/>
        </w:rPr>
        <w:t>directly</w:t>
      </w:r>
      <w:r>
        <w:rPr>
          <w:spacing w:val="-3"/>
          <w:w w:val="115"/>
          <w:vertAlign w:val="baseline"/>
        </w:rPr>
        <w:t> </w:t>
      </w:r>
      <w:r>
        <w:rPr>
          <w:w w:val="115"/>
          <w:vertAlign w:val="baseline"/>
        </w:rPr>
        <w:t>on</w:t>
      </w:r>
      <w:r>
        <w:rPr>
          <w:spacing w:val="-3"/>
          <w:w w:val="115"/>
          <w:vertAlign w:val="baseline"/>
        </w:rPr>
        <w:t> </w:t>
      </w:r>
      <w:r>
        <w:rPr>
          <w:w w:val="115"/>
          <w:vertAlign w:val="baseline"/>
        </w:rPr>
        <w:t>the Charter for violations of their rights by</w:t>
      </w:r>
      <w:r>
        <w:rPr>
          <w:spacing w:val="-10"/>
          <w:w w:val="115"/>
          <w:vertAlign w:val="baseline"/>
        </w:rPr>
        <w:t> </w:t>
      </w:r>
      <w:r>
        <w:rPr>
          <w:w w:val="115"/>
          <w:vertAlign w:val="baseline"/>
        </w:rPr>
        <w:t>other</w:t>
      </w:r>
      <w:r>
        <w:rPr>
          <w:spacing w:val="-10"/>
          <w:w w:val="115"/>
          <w:vertAlign w:val="baseline"/>
        </w:rPr>
        <w:t> </w:t>
      </w:r>
      <w:r>
        <w:rPr>
          <w:w w:val="115"/>
          <w:vertAlign w:val="baseline"/>
        </w:rPr>
        <w:t>private</w:t>
      </w:r>
      <w:r>
        <w:rPr>
          <w:spacing w:val="-10"/>
          <w:w w:val="115"/>
          <w:vertAlign w:val="baseline"/>
        </w:rPr>
        <w:t> </w:t>
      </w:r>
      <w:r>
        <w:rPr>
          <w:w w:val="115"/>
          <w:vertAlign w:val="baseline"/>
        </w:rPr>
        <w:t>parties.</w:t>
      </w:r>
      <w:r>
        <w:rPr>
          <w:spacing w:val="-10"/>
          <w:w w:val="115"/>
          <w:vertAlign w:val="baseline"/>
        </w:rPr>
        <w:t> </w:t>
      </w:r>
      <w:r>
        <w:rPr>
          <w:w w:val="115"/>
          <w:vertAlign w:val="baseline"/>
        </w:rPr>
        <w:t>This</w:t>
      </w:r>
      <w:r>
        <w:rPr>
          <w:spacing w:val="-10"/>
          <w:w w:val="115"/>
          <w:vertAlign w:val="baseline"/>
        </w:rPr>
        <w:t> </w:t>
      </w:r>
      <w:r>
        <w:rPr>
          <w:w w:val="115"/>
          <w:vertAlign w:val="baseline"/>
        </w:rPr>
        <w:t>means that if a provision of the Charter is directly effective, it can be applied against a private or public body, even where there is valid domestic legislation contradicting the right,</w:t>
      </w:r>
    </w:p>
    <w:p>
      <w:pPr>
        <w:pStyle w:val="BodyText"/>
        <w:spacing w:line="268" w:lineRule="auto" w:before="11"/>
        <w:ind w:right="374"/>
      </w:pPr>
      <w:r>
        <w:rPr>
          <w:w w:val="115"/>
        </w:rPr>
        <w:t>or where no domestic legislation has</w:t>
      </w:r>
      <w:r>
        <w:rPr>
          <w:spacing w:val="-12"/>
          <w:w w:val="115"/>
        </w:rPr>
        <w:t> </w:t>
      </w:r>
      <w:r>
        <w:rPr>
          <w:w w:val="115"/>
        </w:rPr>
        <w:t>been</w:t>
      </w:r>
      <w:r>
        <w:rPr>
          <w:spacing w:val="-12"/>
          <w:w w:val="115"/>
        </w:rPr>
        <w:t> </w:t>
      </w:r>
      <w:r>
        <w:rPr>
          <w:w w:val="115"/>
        </w:rPr>
        <w:t>put</w:t>
      </w:r>
      <w:r>
        <w:rPr>
          <w:spacing w:val="-12"/>
          <w:w w:val="115"/>
        </w:rPr>
        <w:t> </w:t>
      </w:r>
      <w:r>
        <w:rPr>
          <w:w w:val="115"/>
        </w:rPr>
        <w:t>in</w:t>
      </w:r>
      <w:r>
        <w:rPr>
          <w:spacing w:val="-12"/>
          <w:w w:val="115"/>
        </w:rPr>
        <w:t> </w:t>
      </w:r>
      <w:r>
        <w:rPr>
          <w:w w:val="115"/>
        </w:rPr>
        <w:t>place.</w:t>
      </w:r>
      <w:r>
        <w:rPr>
          <w:w w:val="115"/>
          <w:vertAlign w:val="superscript"/>
        </w:rPr>
        <w:t>76</w:t>
      </w:r>
      <w:r>
        <w:rPr>
          <w:spacing w:val="-12"/>
          <w:w w:val="115"/>
          <w:vertAlign w:val="baseline"/>
        </w:rPr>
        <w:t> </w:t>
      </w:r>
      <w:r>
        <w:rPr>
          <w:w w:val="115"/>
          <w:vertAlign w:val="baseline"/>
        </w:rPr>
        <w:t>This</w:t>
      </w:r>
      <w:r>
        <w:rPr>
          <w:spacing w:val="-12"/>
          <w:w w:val="115"/>
          <w:vertAlign w:val="baseline"/>
        </w:rPr>
        <w:t> </w:t>
      </w:r>
      <w:r>
        <w:rPr>
          <w:w w:val="115"/>
          <w:vertAlign w:val="baseline"/>
        </w:rPr>
        <w:t>is</w:t>
      </w:r>
      <w:r>
        <w:rPr>
          <w:spacing w:val="-12"/>
          <w:w w:val="115"/>
          <w:vertAlign w:val="baseline"/>
        </w:rPr>
        <w:t> </w:t>
      </w:r>
      <w:r>
        <w:rPr>
          <w:w w:val="115"/>
          <w:vertAlign w:val="baseline"/>
        </w:rPr>
        <w:t>an important characteristic of the </w:t>
      </w:r>
      <w:r>
        <w:rPr>
          <w:w w:val="110"/>
          <w:vertAlign w:val="baseline"/>
        </w:rPr>
        <w:t>Charter</w:t>
      </w:r>
      <w:r>
        <w:rPr>
          <w:spacing w:val="-2"/>
          <w:w w:val="110"/>
          <w:vertAlign w:val="baseline"/>
        </w:rPr>
        <w:t> </w:t>
      </w:r>
      <w:r>
        <w:rPr>
          <w:w w:val="110"/>
          <w:vertAlign w:val="baseline"/>
        </w:rPr>
        <w:t>compared</w:t>
      </w:r>
      <w:r>
        <w:rPr>
          <w:spacing w:val="-2"/>
          <w:w w:val="110"/>
          <w:vertAlign w:val="baseline"/>
        </w:rPr>
        <w:t> </w:t>
      </w:r>
      <w:r>
        <w:rPr>
          <w:w w:val="110"/>
          <w:vertAlign w:val="baseline"/>
        </w:rPr>
        <w:t>to</w:t>
      </w:r>
      <w:r>
        <w:rPr>
          <w:spacing w:val="-2"/>
          <w:w w:val="110"/>
          <w:vertAlign w:val="baseline"/>
        </w:rPr>
        <w:t> </w:t>
      </w:r>
      <w:r>
        <w:rPr>
          <w:w w:val="110"/>
          <w:vertAlign w:val="baseline"/>
        </w:rPr>
        <w:t>the</w:t>
      </w:r>
      <w:r>
        <w:rPr>
          <w:spacing w:val="-2"/>
          <w:w w:val="110"/>
          <w:vertAlign w:val="baseline"/>
        </w:rPr>
        <w:t> </w:t>
      </w:r>
      <w:r>
        <w:rPr>
          <w:w w:val="110"/>
          <w:vertAlign w:val="baseline"/>
        </w:rPr>
        <w:t>ECHR,</w:t>
      </w:r>
      <w:r>
        <w:rPr>
          <w:spacing w:val="-2"/>
          <w:w w:val="110"/>
          <w:vertAlign w:val="baseline"/>
        </w:rPr>
        <w:t> </w:t>
      </w:r>
      <w:r>
        <w:rPr>
          <w:w w:val="110"/>
          <w:vertAlign w:val="baseline"/>
        </w:rPr>
        <w:t>and </w:t>
      </w:r>
      <w:r>
        <w:rPr>
          <w:w w:val="115"/>
          <w:vertAlign w:val="baseline"/>
        </w:rPr>
        <w:t>has</w:t>
      </w:r>
      <w:r>
        <w:rPr>
          <w:spacing w:val="-11"/>
          <w:w w:val="115"/>
          <w:vertAlign w:val="baseline"/>
        </w:rPr>
        <w:t> </w:t>
      </w:r>
      <w:r>
        <w:rPr>
          <w:w w:val="115"/>
          <w:vertAlign w:val="baseline"/>
        </w:rPr>
        <w:t>resulted</w:t>
      </w:r>
      <w:r>
        <w:rPr>
          <w:spacing w:val="-11"/>
          <w:w w:val="115"/>
          <w:vertAlign w:val="baseline"/>
        </w:rPr>
        <w:t> </w:t>
      </w:r>
      <w:r>
        <w:rPr>
          <w:w w:val="115"/>
          <w:vertAlign w:val="baseline"/>
        </w:rPr>
        <w:t>in</w:t>
      </w:r>
      <w:r>
        <w:rPr>
          <w:spacing w:val="-11"/>
          <w:w w:val="115"/>
          <w:vertAlign w:val="baseline"/>
        </w:rPr>
        <w:t> </w:t>
      </w:r>
      <w:r>
        <w:rPr>
          <w:w w:val="115"/>
          <w:vertAlign w:val="baseline"/>
        </w:rPr>
        <w:t>expansive</w:t>
      </w:r>
      <w:r>
        <w:rPr>
          <w:spacing w:val="-11"/>
          <w:w w:val="115"/>
          <w:vertAlign w:val="baseline"/>
        </w:rPr>
        <w:t> </w:t>
      </w:r>
      <w:r>
        <w:rPr>
          <w:w w:val="115"/>
          <w:vertAlign w:val="baseline"/>
        </w:rPr>
        <w:t>case</w:t>
      </w:r>
      <w:r>
        <w:rPr>
          <w:spacing w:val="-11"/>
          <w:w w:val="115"/>
          <w:vertAlign w:val="baseline"/>
        </w:rPr>
        <w:t> </w:t>
      </w:r>
      <w:r>
        <w:rPr>
          <w:w w:val="115"/>
          <w:vertAlign w:val="baseline"/>
        </w:rPr>
        <w:t>law</w:t>
      </w:r>
    </w:p>
    <w:p>
      <w:pPr>
        <w:pStyle w:val="BodyText"/>
        <w:spacing w:line="317" w:lineRule="exact"/>
      </w:pPr>
      <w:r>
        <w:rPr>
          <w:rFonts w:ascii="Lucida Sans Unicode"/>
        </w:rPr>
        <w:t>in</w:t>
      </w:r>
      <w:r>
        <w:rPr>
          <w:rFonts w:ascii="Lucida Sans Unicode"/>
          <w:spacing w:val="-2"/>
        </w:rPr>
        <w:t> </w:t>
      </w:r>
      <w:r>
        <w:rPr>
          <w:rFonts w:ascii="Lucida Sans Unicode"/>
        </w:rPr>
        <w:t>the</w:t>
      </w:r>
      <w:r>
        <w:rPr>
          <w:rFonts w:ascii="Lucida Sans Unicode"/>
          <w:spacing w:val="-1"/>
        </w:rPr>
        <w:t> </w:t>
      </w:r>
      <w:r>
        <w:rPr>
          <w:rFonts w:ascii="Lucida Sans Unicode"/>
        </w:rPr>
        <w:t>field</w:t>
      </w:r>
      <w:r>
        <w:rPr>
          <w:rFonts w:ascii="Lucida Sans Unicode"/>
          <w:spacing w:val="-2"/>
        </w:rPr>
        <w:t> </w:t>
      </w:r>
      <w:r>
        <w:rPr>
          <w:rFonts w:ascii="Lucida Sans Unicode"/>
        </w:rPr>
        <w:t>of</w:t>
      </w:r>
      <w:r>
        <w:rPr>
          <w:rFonts w:ascii="Lucida Sans Unicode"/>
          <w:spacing w:val="-1"/>
        </w:rPr>
        <w:t> </w:t>
      </w:r>
      <w:r>
        <w:rPr>
          <w:rFonts w:ascii="Lucida Sans Unicode"/>
        </w:rPr>
        <w:t>employment</w:t>
      </w:r>
      <w:r>
        <w:rPr>
          <w:rFonts w:ascii="Lucida Sans Unicode"/>
          <w:spacing w:val="-2"/>
        </w:rPr>
        <w:t> </w:t>
      </w:r>
      <w:r>
        <w:rPr>
          <w:rFonts w:ascii="Lucida Sans Unicode"/>
        </w:rPr>
        <w:t>law.</w:t>
      </w:r>
      <w:r>
        <w:rPr>
          <w:vertAlign w:val="superscript"/>
        </w:rPr>
        <w:t>77</w:t>
      </w:r>
      <w:r>
        <w:rPr>
          <w:spacing w:val="8"/>
          <w:vertAlign w:val="baseline"/>
        </w:rPr>
        <w:t> </w:t>
      </w:r>
      <w:r>
        <w:rPr>
          <w:spacing w:val="-5"/>
          <w:vertAlign w:val="baseline"/>
        </w:rPr>
        <w:t>In</w:t>
      </w:r>
    </w:p>
    <w:p>
      <w:pPr>
        <w:pStyle w:val="BodyText"/>
        <w:spacing w:line="274" w:lineRule="exact"/>
      </w:pPr>
      <w:r>
        <w:rPr>
          <w:rFonts w:ascii="Verdana"/>
          <w:i/>
        </w:rPr>
        <w:t>Bauer</w:t>
      </w:r>
      <w:r>
        <w:rPr/>
        <w:t>,</w:t>
      </w:r>
      <w:r>
        <w:rPr>
          <w:spacing w:val="41"/>
        </w:rPr>
        <w:t> </w:t>
      </w:r>
      <w:r>
        <w:rPr/>
        <w:t>for</w:t>
      </w:r>
      <w:r>
        <w:rPr>
          <w:spacing w:val="42"/>
        </w:rPr>
        <w:t> </w:t>
      </w:r>
      <w:r>
        <w:rPr/>
        <w:t>instance,</w:t>
      </w:r>
      <w:r>
        <w:rPr>
          <w:spacing w:val="42"/>
        </w:rPr>
        <w:t> </w:t>
      </w:r>
      <w:r>
        <w:rPr/>
        <w:t>the</w:t>
      </w:r>
      <w:r>
        <w:rPr>
          <w:spacing w:val="41"/>
        </w:rPr>
        <w:t> </w:t>
      </w:r>
      <w:r>
        <w:rPr/>
        <w:t>CJEU</w:t>
      </w:r>
      <w:r>
        <w:rPr>
          <w:spacing w:val="42"/>
        </w:rPr>
        <w:t> </w:t>
      </w:r>
      <w:r>
        <w:rPr>
          <w:spacing w:val="-2"/>
        </w:rPr>
        <w:t>found</w:t>
      </w:r>
    </w:p>
    <w:p>
      <w:pPr>
        <w:pStyle w:val="BodyText"/>
        <w:spacing w:line="247" w:lineRule="auto" w:before="34"/>
        <w:ind w:right="156"/>
      </w:pPr>
      <w:r>
        <w:rPr>
          <w:w w:val="105"/>
        </w:rPr>
        <w:t>a</w:t>
      </w:r>
      <w:r>
        <w:rPr>
          <w:spacing w:val="40"/>
          <w:w w:val="105"/>
        </w:rPr>
        <w:t> </w:t>
      </w:r>
      <w:r>
        <w:rPr>
          <w:w w:val="105"/>
        </w:rPr>
        <w:t>private</w:t>
      </w:r>
      <w:r>
        <w:rPr>
          <w:spacing w:val="40"/>
          <w:w w:val="105"/>
        </w:rPr>
        <w:t> </w:t>
      </w:r>
      <w:r>
        <w:rPr>
          <w:w w:val="105"/>
        </w:rPr>
        <w:t>employer</w:t>
      </w:r>
      <w:r>
        <w:rPr>
          <w:spacing w:val="40"/>
          <w:w w:val="105"/>
        </w:rPr>
        <w:t> </w:t>
      </w:r>
      <w:r>
        <w:rPr>
          <w:w w:val="105"/>
        </w:rPr>
        <w:t>liable</w:t>
      </w:r>
      <w:r>
        <w:rPr>
          <w:spacing w:val="40"/>
          <w:w w:val="105"/>
        </w:rPr>
        <w:t> </w:t>
      </w:r>
      <w:r>
        <w:rPr>
          <w:w w:val="105"/>
        </w:rPr>
        <w:t>for</w:t>
      </w:r>
      <w:r>
        <w:rPr>
          <w:spacing w:val="40"/>
          <w:w w:val="105"/>
        </w:rPr>
        <w:t> </w:t>
      </w:r>
      <w:r>
        <w:rPr>
          <w:w w:val="105"/>
        </w:rPr>
        <w:t>violating </w:t>
      </w:r>
      <w:r>
        <w:rPr>
          <w:rFonts w:ascii="Lucida Sans Unicode"/>
          <w:w w:val="105"/>
        </w:rPr>
        <w:t>Article 31 CFR (paid annual leave) on </w:t>
      </w:r>
      <w:r>
        <w:rPr>
          <w:w w:val="105"/>
        </w:rPr>
        <w:t>exactly the same terms as a public</w:t>
      </w:r>
      <w:r>
        <w:rPr>
          <w:spacing w:val="40"/>
          <w:w w:val="105"/>
        </w:rPr>
        <w:t> </w:t>
      </w:r>
      <w:r>
        <w:rPr>
          <w:w w:val="105"/>
        </w:rPr>
        <w:t>authority,</w:t>
      </w:r>
      <w:r>
        <w:rPr>
          <w:spacing w:val="40"/>
          <w:w w:val="105"/>
        </w:rPr>
        <w:t> </w:t>
      </w:r>
      <w:r>
        <w:rPr>
          <w:w w:val="105"/>
        </w:rPr>
        <w:t>even</w:t>
      </w:r>
      <w:r>
        <w:rPr>
          <w:spacing w:val="40"/>
          <w:w w:val="105"/>
        </w:rPr>
        <w:t> </w:t>
      </w:r>
      <w:r>
        <w:rPr>
          <w:w w:val="105"/>
        </w:rPr>
        <w:t>though</w:t>
      </w:r>
      <w:r>
        <w:rPr>
          <w:spacing w:val="40"/>
          <w:w w:val="105"/>
        </w:rPr>
        <w:t> </w:t>
      </w:r>
      <w:r>
        <w:rPr>
          <w:w w:val="105"/>
        </w:rPr>
        <w:t>the</w:t>
      </w:r>
      <w:r>
        <w:rPr>
          <w:spacing w:val="40"/>
          <w:w w:val="105"/>
        </w:rPr>
        <w:t> </w:t>
      </w:r>
      <w:r>
        <w:rPr>
          <w:w w:val="105"/>
        </w:rPr>
        <w:t>violation stemmed</w:t>
      </w:r>
      <w:r>
        <w:rPr>
          <w:spacing w:val="40"/>
          <w:w w:val="105"/>
        </w:rPr>
        <w:t> </w:t>
      </w:r>
      <w:r>
        <w:rPr>
          <w:w w:val="105"/>
        </w:rPr>
        <w:t>from</w:t>
      </w:r>
      <w:r>
        <w:rPr>
          <w:spacing w:val="40"/>
          <w:w w:val="105"/>
        </w:rPr>
        <w:t> </w:t>
      </w:r>
      <w:r>
        <w:rPr>
          <w:w w:val="105"/>
        </w:rPr>
        <w:t>legislation</w:t>
      </w:r>
      <w:r>
        <w:rPr>
          <w:spacing w:val="40"/>
          <w:w w:val="105"/>
        </w:rPr>
        <w:t> </w:t>
      </w:r>
      <w:r>
        <w:rPr>
          <w:w w:val="105"/>
        </w:rPr>
        <w:t>incorrectly implementing the Working Time</w:t>
      </w:r>
      <w:r>
        <w:rPr>
          <w:spacing w:val="80"/>
          <w:w w:val="105"/>
        </w:rPr>
        <w:t> </w:t>
      </w:r>
      <w:r>
        <w:rPr>
          <w:rFonts w:ascii="Lucida Sans Unicode"/>
          <w:w w:val="105"/>
        </w:rPr>
        <w:t>Directive (2003/88/EC).</w:t>
      </w:r>
      <w:r>
        <w:rPr>
          <w:rFonts w:ascii="Lucida Sans Unicode"/>
          <w:w w:val="105"/>
          <w:vertAlign w:val="superscript"/>
        </w:rPr>
        <w:t>78</w:t>
      </w:r>
      <w:r>
        <w:rPr>
          <w:rFonts w:ascii="Lucida Sans Unicode"/>
          <w:w w:val="105"/>
          <w:vertAlign w:val="baseline"/>
        </w:rPr>
        <w:t> </w:t>
      </w:r>
      <w:r>
        <w:rPr>
          <w:w w:val="105"/>
          <w:vertAlign w:val="baseline"/>
        </w:rPr>
        <w:t>Indeed, in this regard, the Charter has rendered</w:t>
      </w:r>
      <w:r>
        <w:rPr>
          <w:spacing w:val="40"/>
          <w:w w:val="105"/>
          <w:vertAlign w:val="baseline"/>
        </w:rPr>
        <w:t> </w:t>
      </w:r>
      <w:r>
        <w:rPr>
          <w:rFonts w:ascii="Lucida Sans Unicode"/>
          <w:w w:val="105"/>
          <w:vertAlign w:val="baseline"/>
        </w:rPr>
        <w:t>partly</w:t>
      </w:r>
      <w:r>
        <w:rPr>
          <w:rFonts w:ascii="Lucida Sans Unicode"/>
          <w:spacing w:val="-20"/>
          <w:w w:val="105"/>
          <w:vertAlign w:val="baseline"/>
        </w:rPr>
        <w:t> </w:t>
      </w:r>
      <w:r>
        <w:rPr>
          <w:rFonts w:ascii="Lucida Sans Unicode"/>
          <w:w w:val="105"/>
          <w:vertAlign w:val="baseline"/>
        </w:rPr>
        <w:t>obsolete</w:t>
      </w:r>
      <w:r>
        <w:rPr>
          <w:rFonts w:ascii="Lucida Sans Unicode"/>
          <w:spacing w:val="-20"/>
          <w:w w:val="105"/>
          <w:vertAlign w:val="baseline"/>
        </w:rPr>
        <w:t> </w:t>
      </w:r>
      <w:r>
        <w:rPr>
          <w:rFonts w:ascii="Lucida Sans Unicode"/>
          <w:w w:val="105"/>
          <w:vertAlign w:val="baseline"/>
        </w:rPr>
        <w:t>(albeit</w:t>
      </w:r>
      <w:r>
        <w:rPr>
          <w:rFonts w:ascii="Lucida Sans Unicode"/>
          <w:spacing w:val="-20"/>
          <w:w w:val="105"/>
          <w:vertAlign w:val="baseline"/>
        </w:rPr>
        <w:t> </w:t>
      </w:r>
      <w:r>
        <w:rPr>
          <w:rFonts w:ascii="Lucida Sans Unicode"/>
          <w:w w:val="105"/>
          <w:vertAlign w:val="baseline"/>
        </w:rPr>
        <w:t>only</w:t>
      </w:r>
      <w:r>
        <w:rPr>
          <w:rFonts w:ascii="Lucida Sans Unicode"/>
          <w:spacing w:val="-20"/>
          <w:w w:val="105"/>
          <w:vertAlign w:val="baseline"/>
        </w:rPr>
        <w:t> </w:t>
      </w:r>
      <w:r>
        <w:rPr>
          <w:rFonts w:ascii="Lucida Sans Unicode"/>
          <w:w w:val="105"/>
          <w:vertAlign w:val="baseline"/>
        </w:rPr>
        <w:t>in</w:t>
      </w:r>
      <w:r>
        <w:rPr>
          <w:rFonts w:ascii="Lucida Sans Unicode"/>
          <w:spacing w:val="-20"/>
          <w:w w:val="105"/>
          <w:vertAlign w:val="baseline"/>
        </w:rPr>
        <w:t> </w:t>
      </w:r>
      <w:r>
        <w:rPr>
          <w:rFonts w:ascii="Lucida Sans Unicode"/>
          <w:w w:val="105"/>
          <w:vertAlign w:val="baseline"/>
        </w:rPr>
        <w:t>the</w:t>
      </w:r>
      <w:r>
        <w:rPr>
          <w:rFonts w:ascii="Lucida Sans Unicode"/>
          <w:spacing w:val="-20"/>
          <w:w w:val="105"/>
          <w:vertAlign w:val="baseline"/>
        </w:rPr>
        <w:t> </w:t>
      </w:r>
      <w:r>
        <w:rPr>
          <w:rFonts w:ascii="Lucida Sans Unicode"/>
          <w:w w:val="105"/>
          <w:vertAlign w:val="baseline"/>
        </w:rPr>
        <w:t>field </w:t>
      </w:r>
      <w:r>
        <w:rPr>
          <w:w w:val="105"/>
          <w:vertAlign w:val="baseline"/>
        </w:rPr>
        <w:t>of</w:t>
      </w:r>
      <w:r>
        <w:rPr>
          <w:spacing w:val="40"/>
          <w:w w:val="105"/>
          <w:vertAlign w:val="baseline"/>
        </w:rPr>
        <w:t> </w:t>
      </w:r>
      <w:r>
        <w:rPr>
          <w:w w:val="105"/>
          <w:vertAlign w:val="baseline"/>
        </w:rPr>
        <w:t>fundamental</w:t>
      </w:r>
      <w:r>
        <w:rPr>
          <w:spacing w:val="40"/>
          <w:w w:val="105"/>
          <w:vertAlign w:val="baseline"/>
        </w:rPr>
        <w:t> </w:t>
      </w:r>
      <w:r>
        <w:rPr>
          <w:w w:val="105"/>
          <w:vertAlign w:val="baseline"/>
        </w:rPr>
        <w:t>rights)</w:t>
      </w:r>
      <w:r>
        <w:rPr>
          <w:w w:val="105"/>
          <w:vertAlign w:val="superscript"/>
        </w:rPr>
        <w:t>79</w:t>
      </w:r>
      <w:r>
        <w:rPr>
          <w:spacing w:val="40"/>
          <w:w w:val="105"/>
          <w:vertAlign w:val="baseline"/>
        </w:rPr>
        <w:t> </w:t>
      </w:r>
      <w:r>
        <w:rPr>
          <w:w w:val="105"/>
          <w:vertAlign w:val="baseline"/>
        </w:rPr>
        <w:t>the</w:t>
      </w:r>
      <w:r>
        <w:rPr>
          <w:spacing w:val="40"/>
          <w:w w:val="105"/>
          <w:vertAlign w:val="baseline"/>
        </w:rPr>
        <w:t> </w:t>
      </w:r>
      <w:r>
        <w:rPr>
          <w:w w:val="105"/>
          <w:vertAlign w:val="baseline"/>
        </w:rPr>
        <w:t>operation of an earlier rule of EU constitutional</w:t>
      </w:r>
      <w:r>
        <w:rPr>
          <w:spacing w:val="80"/>
          <w:w w:val="150"/>
          <w:vertAlign w:val="baseline"/>
        </w:rPr>
        <w:t> </w:t>
      </w:r>
      <w:r>
        <w:rPr>
          <w:w w:val="105"/>
          <w:vertAlign w:val="baseline"/>
        </w:rPr>
        <w:t>law</w:t>
      </w:r>
      <w:r>
        <w:rPr>
          <w:spacing w:val="40"/>
          <w:w w:val="105"/>
          <w:vertAlign w:val="baseline"/>
        </w:rPr>
        <w:t> </w:t>
      </w:r>
      <w:r>
        <w:rPr>
          <w:w w:val="105"/>
          <w:vertAlign w:val="baseline"/>
        </w:rPr>
        <w:t>prohibiting</w:t>
      </w:r>
      <w:r>
        <w:rPr>
          <w:spacing w:val="40"/>
          <w:w w:val="105"/>
          <w:vertAlign w:val="baseline"/>
        </w:rPr>
        <w:t> </w:t>
      </w:r>
      <w:r>
        <w:rPr>
          <w:w w:val="105"/>
          <w:vertAlign w:val="baseline"/>
        </w:rPr>
        <w:t>the</w:t>
      </w:r>
      <w:r>
        <w:rPr>
          <w:spacing w:val="40"/>
          <w:w w:val="105"/>
          <w:vertAlign w:val="baseline"/>
        </w:rPr>
        <w:t> </w:t>
      </w:r>
      <w:r>
        <w:rPr>
          <w:w w:val="105"/>
          <w:vertAlign w:val="baseline"/>
        </w:rPr>
        <w:t>horizontal</w:t>
      </w:r>
      <w:r>
        <w:rPr>
          <w:spacing w:val="40"/>
          <w:w w:val="105"/>
          <w:vertAlign w:val="baseline"/>
        </w:rPr>
        <w:t> </w:t>
      </w:r>
      <w:r>
        <w:rPr>
          <w:w w:val="105"/>
          <w:vertAlign w:val="baseline"/>
        </w:rPr>
        <w:t>direct effect of directives.</w:t>
      </w:r>
      <w:r>
        <w:rPr>
          <w:rFonts w:ascii="Lucida Sans Unicode"/>
          <w:w w:val="105"/>
          <w:vertAlign w:val="superscript"/>
        </w:rPr>
        <w:t>80</w:t>
      </w:r>
      <w:r>
        <w:rPr>
          <w:rFonts w:ascii="Lucida Sans Unicode"/>
          <w:w w:val="105"/>
          <w:vertAlign w:val="baseline"/>
        </w:rPr>
        <w:t> Since the entry </w:t>
      </w:r>
      <w:r>
        <w:rPr>
          <w:w w:val="105"/>
          <w:vertAlign w:val="baseline"/>
        </w:rPr>
        <w:t>into</w:t>
      </w:r>
      <w:r>
        <w:rPr>
          <w:spacing w:val="40"/>
          <w:w w:val="105"/>
          <w:vertAlign w:val="baseline"/>
        </w:rPr>
        <w:t> </w:t>
      </w:r>
      <w:r>
        <w:rPr>
          <w:w w:val="105"/>
          <w:vertAlign w:val="baseline"/>
        </w:rPr>
        <w:t>force</w:t>
      </w:r>
      <w:r>
        <w:rPr>
          <w:spacing w:val="40"/>
          <w:w w:val="105"/>
          <w:vertAlign w:val="baseline"/>
        </w:rPr>
        <w:t> </w:t>
      </w:r>
      <w:r>
        <w:rPr>
          <w:w w:val="105"/>
          <w:vertAlign w:val="baseline"/>
        </w:rPr>
        <w:t>of</w:t>
      </w:r>
      <w:r>
        <w:rPr>
          <w:spacing w:val="40"/>
          <w:w w:val="105"/>
          <w:vertAlign w:val="baseline"/>
        </w:rPr>
        <w:t> </w:t>
      </w:r>
      <w:r>
        <w:rPr>
          <w:w w:val="105"/>
          <w:vertAlign w:val="baseline"/>
        </w:rPr>
        <w:t>the</w:t>
      </w:r>
      <w:r>
        <w:rPr>
          <w:spacing w:val="40"/>
          <w:w w:val="105"/>
          <w:vertAlign w:val="baseline"/>
        </w:rPr>
        <w:t> </w:t>
      </w:r>
      <w:r>
        <w:rPr>
          <w:w w:val="105"/>
          <w:vertAlign w:val="baseline"/>
        </w:rPr>
        <w:t>Charter,</w:t>
      </w:r>
      <w:r>
        <w:rPr>
          <w:spacing w:val="40"/>
          <w:w w:val="105"/>
          <w:vertAlign w:val="baseline"/>
        </w:rPr>
        <w:t> </w:t>
      </w:r>
      <w:r>
        <w:rPr>
          <w:w w:val="105"/>
          <w:vertAlign w:val="baseline"/>
        </w:rPr>
        <w:t>the</w:t>
      </w:r>
      <w:r>
        <w:rPr>
          <w:spacing w:val="40"/>
          <w:w w:val="105"/>
          <w:vertAlign w:val="baseline"/>
        </w:rPr>
        <w:t> </w:t>
      </w:r>
      <w:r>
        <w:rPr>
          <w:w w:val="105"/>
          <w:vertAlign w:val="baseline"/>
        </w:rPr>
        <w:t>Court</w:t>
      </w:r>
    </w:p>
    <w:p>
      <w:pPr>
        <w:spacing w:after="0" w:line="247" w:lineRule="auto"/>
        <w:sectPr>
          <w:type w:val="continuous"/>
          <w:pgSz w:w="11910" w:h="16840"/>
          <w:pgMar w:header="568" w:footer="580" w:top="0" w:bottom="280" w:left="1020" w:right="1020"/>
          <w:cols w:num="2" w:equalWidth="0">
            <w:col w:w="4688" w:space="357"/>
            <w:col w:w="4825"/>
          </w:cols>
        </w:sectPr>
      </w:pPr>
    </w:p>
    <w:p>
      <w:pPr>
        <w:pStyle w:val="BodyText"/>
        <w:spacing w:before="114"/>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81" name="Group 81"/>
                <wp:cNvGraphicFramePr>
                  <a:graphicFrameLocks/>
                </wp:cNvGraphicFramePr>
                <a:graphic>
                  <a:graphicData uri="http://schemas.microsoft.com/office/word/2010/wordprocessingGroup">
                    <wpg:wgp>
                      <wpg:cNvPr id="81" name="Group 81"/>
                      <wpg:cNvGrpSpPr/>
                      <wpg:grpSpPr>
                        <a:xfrm>
                          <a:off x="0" y="0"/>
                          <a:ext cx="6120130" cy="6350"/>
                          <a:chExt cx="6120130" cy="6350"/>
                        </a:xfrm>
                      </wpg:grpSpPr>
                      <wps:wsp>
                        <wps:cNvPr id="82" name="Graphic 82"/>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59"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7" w:val="left" w:leader="none"/>
        </w:tabs>
        <w:spacing w:line="194" w:lineRule="auto" w:before="94" w:after="0"/>
        <w:ind w:left="567" w:right="479" w:hanging="454"/>
        <w:jc w:val="left"/>
        <w:rPr>
          <w:sz w:val="16"/>
        </w:rPr>
      </w:pPr>
      <w:r>
        <w:rPr>
          <w:spacing w:val="-2"/>
          <w:sz w:val="16"/>
        </w:rPr>
        <w:t>E.g., Case C-55/18, EU:C:2019:402, </w:t>
      </w:r>
      <w:r>
        <w:rPr>
          <w:rFonts w:ascii="Verdana" w:hAnsi="Verdana"/>
          <w:i/>
          <w:spacing w:val="-2"/>
          <w:sz w:val="16"/>
        </w:rPr>
        <w:t>CCOO</w:t>
      </w:r>
      <w:r>
        <w:rPr>
          <w:spacing w:val="-2"/>
          <w:sz w:val="16"/>
        </w:rPr>
        <w:t>, EU:C:2019:87; and Joined Cases 569 &amp; 570/16, </w:t>
      </w:r>
      <w:r>
        <w:rPr>
          <w:rFonts w:ascii="Verdana" w:hAnsi="Verdana"/>
          <w:i/>
          <w:spacing w:val="-2"/>
          <w:sz w:val="16"/>
        </w:rPr>
        <w:t>Bauer</w:t>
      </w:r>
      <w:r>
        <w:rPr>
          <w:rFonts w:ascii="Verdana" w:hAnsi="Verdana"/>
          <w:i/>
          <w:spacing w:val="-8"/>
          <w:sz w:val="16"/>
        </w:rPr>
        <w:t> </w:t>
      </w:r>
      <w:r>
        <w:rPr>
          <w:rFonts w:ascii="Verdana" w:hAnsi="Verdana"/>
          <w:i/>
          <w:spacing w:val="-2"/>
          <w:sz w:val="16"/>
        </w:rPr>
        <w:t>and</w:t>
      </w:r>
      <w:r>
        <w:rPr>
          <w:rFonts w:ascii="Verdana" w:hAnsi="Verdana"/>
          <w:i/>
          <w:spacing w:val="-8"/>
          <w:sz w:val="16"/>
        </w:rPr>
        <w:t> </w:t>
      </w:r>
      <w:r>
        <w:rPr>
          <w:rFonts w:ascii="Verdana" w:hAnsi="Verdana"/>
          <w:i/>
          <w:spacing w:val="-2"/>
          <w:sz w:val="16"/>
        </w:rPr>
        <w:t>Willmeroth,</w:t>
      </w:r>
      <w:r>
        <w:rPr>
          <w:rFonts w:ascii="Verdana" w:hAnsi="Verdana"/>
          <w:i/>
          <w:spacing w:val="-2"/>
          <w:sz w:val="16"/>
        </w:rPr>
        <w:t> </w:t>
      </w:r>
      <w:r>
        <w:rPr>
          <w:sz w:val="16"/>
        </w:rPr>
        <w:t>EU:C:2018:871;</w:t>
      </w:r>
      <w:r>
        <w:rPr>
          <w:spacing w:val="-13"/>
          <w:sz w:val="16"/>
        </w:rPr>
        <w:t> </w:t>
      </w:r>
      <w:r>
        <w:rPr>
          <w:sz w:val="16"/>
        </w:rPr>
        <w:t>Case</w:t>
      </w:r>
      <w:r>
        <w:rPr>
          <w:spacing w:val="-11"/>
          <w:sz w:val="16"/>
        </w:rPr>
        <w:t> </w:t>
      </w:r>
      <w:r>
        <w:rPr>
          <w:sz w:val="16"/>
        </w:rPr>
        <w:t>C-684/16,</w:t>
      </w:r>
      <w:r>
        <w:rPr>
          <w:spacing w:val="-9"/>
          <w:sz w:val="16"/>
        </w:rPr>
        <w:t> </w:t>
      </w:r>
      <w:r>
        <w:rPr>
          <w:rFonts w:ascii="Verdana" w:hAnsi="Verdana"/>
          <w:i/>
          <w:sz w:val="16"/>
        </w:rPr>
        <w:t>Max-Planck-Gesellschaft</w:t>
      </w:r>
      <w:r>
        <w:rPr>
          <w:rFonts w:ascii="Verdana" w:hAnsi="Verdana"/>
          <w:i/>
          <w:spacing w:val="-15"/>
          <w:sz w:val="16"/>
        </w:rPr>
        <w:t> </w:t>
      </w:r>
      <w:r>
        <w:rPr>
          <w:rFonts w:ascii="Verdana" w:hAnsi="Verdana"/>
          <w:i/>
          <w:sz w:val="16"/>
        </w:rPr>
        <w:t>zur</w:t>
      </w:r>
      <w:r>
        <w:rPr>
          <w:rFonts w:ascii="Verdana" w:hAnsi="Verdana"/>
          <w:i/>
          <w:spacing w:val="-14"/>
          <w:sz w:val="16"/>
        </w:rPr>
        <w:t> </w:t>
      </w:r>
      <w:r>
        <w:rPr>
          <w:rFonts w:ascii="Verdana" w:hAnsi="Verdana"/>
          <w:i/>
          <w:sz w:val="16"/>
        </w:rPr>
        <w:t>Förderung</w:t>
      </w:r>
      <w:r>
        <w:rPr>
          <w:rFonts w:ascii="Verdana" w:hAnsi="Verdana"/>
          <w:i/>
          <w:spacing w:val="-14"/>
          <w:sz w:val="16"/>
        </w:rPr>
        <w:t> </w:t>
      </w:r>
      <w:r>
        <w:rPr>
          <w:rFonts w:ascii="Verdana" w:hAnsi="Verdana"/>
          <w:i/>
          <w:sz w:val="16"/>
        </w:rPr>
        <w:t>der</w:t>
      </w:r>
      <w:r>
        <w:rPr>
          <w:rFonts w:ascii="Verdana" w:hAnsi="Verdana"/>
          <w:i/>
          <w:spacing w:val="-14"/>
          <w:sz w:val="16"/>
        </w:rPr>
        <w:t> </w:t>
      </w:r>
      <w:r>
        <w:rPr>
          <w:rFonts w:ascii="Verdana" w:hAnsi="Verdana"/>
          <w:i/>
          <w:sz w:val="16"/>
        </w:rPr>
        <w:t>Wissenschaften</w:t>
      </w:r>
      <w:r>
        <w:rPr>
          <w:rFonts w:ascii="Verdana" w:hAnsi="Verdana"/>
          <w:i/>
          <w:spacing w:val="-14"/>
          <w:sz w:val="16"/>
        </w:rPr>
        <w:t> </w:t>
      </w:r>
      <w:r>
        <w:rPr>
          <w:rFonts w:ascii="Verdana" w:hAnsi="Verdana"/>
          <w:i/>
          <w:sz w:val="16"/>
        </w:rPr>
        <w:t>v.</w:t>
      </w:r>
      <w:r>
        <w:rPr>
          <w:rFonts w:ascii="Verdana" w:hAnsi="Verdana"/>
          <w:i/>
          <w:spacing w:val="-14"/>
          <w:sz w:val="16"/>
        </w:rPr>
        <w:t> </w:t>
      </w:r>
      <w:r>
        <w:rPr>
          <w:rFonts w:ascii="Verdana" w:hAnsi="Verdana"/>
          <w:i/>
          <w:sz w:val="16"/>
        </w:rPr>
        <w:t>Shimizu,</w:t>
      </w:r>
      <w:r>
        <w:rPr>
          <w:rFonts w:ascii="Verdana" w:hAnsi="Verdana"/>
          <w:i/>
          <w:sz w:val="16"/>
        </w:rPr>
        <w:t> </w:t>
      </w:r>
      <w:r>
        <w:rPr>
          <w:spacing w:val="-2"/>
          <w:sz w:val="16"/>
        </w:rPr>
        <w:t>EU:C:2018:874.</w:t>
      </w:r>
    </w:p>
    <w:p>
      <w:pPr>
        <w:pStyle w:val="ListParagraph"/>
        <w:numPr>
          <w:ilvl w:val="0"/>
          <w:numId w:val="6"/>
        </w:numPr>
        <w:tabs>
          <w:tab w:pos="567" w:val="left" w:leader="none"/>
        </w:tabs>
        <w:spacing w:line="194" w:lineRule="auto" w:before="3" w:after="0"/>
        <w:ind w:left="567" w:right="463" w:hanging="454"/>
        <w:jc w:val="left"/>
        <w:rPr>
          <w:rFonts w:ascii="Arial"/>
          <w:sz w:val="16"/>
        </w:rPr>
      </w:pPr>
      <w:r>
        <w:rPr>
          <w:sz w:val="16"/>
        </w:rPr>
        <w:t>Note, however, that provisions only containing elements of principles, such as Article 23 CFR, are not precluded from altogether enjoying direct effect in respect of those aspects which are sufficiently precise (eg, equal pay).</w:t>
      </w:r>
    </w:p>
    <w:p>
      <w:pPr>
        <w:pStyle w:val="ListParagraph"/>
        <w:numPr>
          <w:ilvl w:val="0"/>
          <w:numId w:val="6"/>
        </w:numPr>
        <w:tabs>
          <w:tab w:pos="567" w:val="left" w:leader="none"/>
        </w:tabs>
        <w:spacing w:line="191" w:lineRule="exact" w:before="0" w:after="0"/>
        <w:ind w:left="567" w:right="0" w:hanging="454"/>
        <w:jc w:val="left"/>
        <w:rPr>
          <w:sz w:val="16"/>
        </w:rPr>
      </w:pPr>
      <w:r>
        <w:rPr>
          <w:rFonts w:ascii="Verdana"/>
          <w:i/>
          <w:sz w:val="16"/>
        </w:rPr>
        <w:t>Association</w:t>
      </w:r>
      <w:r>
        <w:rPr>
          <w:rFonts w:ascii="Verdana"/>
          <w:i/>
          <w:spacing w:val="-11"/>
          <w:sz w:val="16"/>
        </w:rPr>
        <w:t> </w:t>
      </w:r>
      <w:r>
        <w:rPr>
          <w:rFonts w:ascii="Verdana"/>
          <w:i/>
          <w:sz w:val="16"/>
        </w:rPr>
        <w:t>de</w:t>
      </w:r>
      <w:r>
        <w:rPr>
          <w:rFonts w:ascii="Verdana"/>
          <w:i/>
          <w:spacing w:val="-10"/>
          <w:sz w:val="16"/>
        </w:rPr>
        <w:t> </w:t>
      </w:r>
      <w:r>
        <w:rPr>
          <w:rFonts w:ascii="Verdana"/>
          <w:i/>
          <w:sz w:val="16"/>
        </w:rPr>
        <w:t>Mediation</w:t>
      </w:r>
      <w:r>
        <w:rPr>
          <w:rFonts w:ascii="Verdana"/>
          <w:i/>
          <w:spacing w:val="-10"/>
          <w:sz w:val="16"/>
        </w:rPr>
        <w:t> </w:t>
      </w:r>
      <w:r>
        <w:rPr>
          <w:rFonts w:ascii="Verdana"/>
          <w:i/>
          <w:sz w:val="16"/>
        </w:rPr>
        <w:t>Sociale</w:t>
      </w:r>
      <w:r>
        <w:rPr>
          <w:rFonts w:ascii="Verdana"/>
          <w:i/>
          <w:spacing w:val="-10"/>
          <w:sz w:val="16"/>
        </w:rPr>
        <w:t> </w:t>
      </w:r>
      <w:r>
        <w:rPr>
          <w:sz w:val="16"/>
        </w:rPr>
        <w:t>(n</w:t>
      </w:r>
      <w:r>
        <w:rPr>
          <w:spacing w:val="-4"/>
          <w:sz w:val="16"/>
        </w:rPr>
        <w:t> </w:t>
      </w:r>
      <w:r>
        <w:rPr>
          <w:sz w:val="16"/>
        </w:rPr>
        <w:t>18);</w:t>
      </w:r>
      <w:r>
        <w:rPr>
          <w:spacing w:val="-4"/>
          <w:sz w:val="16"/>
        </w:rPr>
        <w:t> </w:t>
      </w:r>
      <w:r>
        <w:rPr>
          <w:sz w:val="16"/>
        </w:rPr>
        <w:t>see</w:t>
      </w:r>
      <w:r>
        <w:rPr>
          <w:spacing w:val="-4"/>
          <w:sz w:val="16"/>
        </w:rPr>
        <w:t> </w:t>
      </w:r>
      <w:r>
        <w:rPr>
          <w:spacing w:val="-2"/>
          <w:sz w:val="16"/>
        </w:rPr>
        <w:t>above.</w:t>
      </w:r>
    </w:p>
    <w:p>
      <w:pPr>
        <w:pStyle w:val="ListParagraph"/>
        <w:numPr>
          <w:ilvl w:val="0"/>
          <w:numId w:val="6"/>
        </w:numPr>
        <w:tabs>
          <w:tab w:pos="567" w:val="left" w:leader="none"/>
        </w:tabs>
        <w:spacing w:line="200" w:lineRule="exact" w:before="0" w:after="0"/>
        <w:ind w:left="567" w:right="0" w:hanging="454"/>
        <w:jc w:val="left"/>
        <w:rPr>
          <w:sz w:val="16"/>
        </w:rPr>
      </w:pPr>
      <w:r>
        <w:rPr>
          <w:sz w:val="16"/>
        </w:rPr>
        <w:t>Case</w:t>
      </w:r>
      <w:r>
        <w:rPr>
          <w:spacing w:val="-12"/>
          <w:sz w:val="16"/>
        </w:rPr>
        <w:t> </w:t>
      </w:r>
      <w:r>
        <w:rPr>
          <w:sz w:val="16"/>
        </w:rPr>
        <w:t>C-279/09</w:t>
      </w:r>
      <w:r>
        <w:rPr>
          <w:spacing w:val="-12"/>
          <w:sz w:val="16"/>
        </w:rPr>
        <w:t> </w:t>
      </w:r>
      <w:r>
        <w:rPr>
          <w:rFonts w:ascii="Verdana"/>
          <w:i/>
          <w:sz w:val="16"/>
        </w:rPr>
        <w:t>DEB</w:t>
      </w:r>
      <w:r>
        <w:rPr>
          <w:sz w:val="16"/>
        </w:rPr>
        <w:t>,</w:t>
      </w:r>
      <w:r>
        <w:rPr>
          <w:spacing w:val="-12"/>
          <w:sz w:val="16"/>
        </w:rPr>
        <w:t> </w:t>
      </w:r>
      <w:r>
        <w:rPr>
          <w:spacing w:val="-2"/>
          <w:sz w:val="16"/>
        </w:rPr>
        <w:t>EU:C:2010:811.</w:t>
      </w:r>
    </w:p>
    <w:p>
      <w:pPr>
        <w:pStyle w:val="ListParagraph"/>
        <w:numPr>
          <w:ilvl w:val="0"/>
          <w:numId w:val="6"/>
        </w:numPr>
        <w:tabs>
          <w:tab w:pos="567" w:val="left" w:leader="none"/>
        </w:tabs>
        <w:spacing w:line="200" w:lineRule="exact" w:before="0" w:after="0"/>
        <w:ind w:left="567" w:right="0" w:hanging="454"/>
        <w:jc w:val="left"/>
        <w:rPr>
          <w:sz w:val="16"/>
        </w:rPr>
      </w:pPr>
      <w:r>
        <w:rPr>
          <w:rFonts w:ascii="Verdana" w:hAnsi="Verdana"/>
          <w:i/>
          <w:sz w:val="16"/>
        </w:rPr>
        <w:t>Kücükdeveci</w:t>
      </w:r>
      <w:r>
        <w:rPr>
          <w:rFonts w:ascii="Verdana" w:hAnsi="Verdana"/>
          <w:i/>
          <w:spacing w:val="-4"/>
          <w:sz w:val="16"/>
        </w:rPr>
        <w:t> </w:t>
      </w:r>
      <w:r>
        <w:rPr>
          <w:sz w:val="16"/>
        </w:rPr>
        <w:t>(n</w:t>
      </w:r>
      <w:r>
        <w:rPr>
          <w:spacing w:val="5"/>
          <w:sz w:val="16"/>
        </w:rPr>
        <w:t> </w:t>
      </w:r>
      <w:r>
        <w:rPr>
          <w:sz w:val="16"/>
        </w:rPr>
        <w:t>69),</w:t>
      </w:r>
      <w:r>
        <w:rPr>
          <w:spacing w:val="5"/>
          <w:sz w:val="16"/>
        </w:rPr>
        <w:t> </w:t>
      </w:r>
      <w:r>
        <w:rPr>
          <w:sz w:val="16"/>
        </w:rPr>
        <w:t>para</w:t>
      </w:r>
      <w:r>
        <w:rPr>
          <w:spacing w:val="5"/>
          <w:sz w:val="16"/>
        </w:rPr>
        <w:t> </w:t>
      </w:r>
      <w:r>
        <w:rPr>
          <w:spacing w:val="-5"/>
          <w:sz w:val="16"/>
        </w:rPr>
        <w:t>21.</w:t>
      </w:r>
    </w:p>
    <w:p>
      <w:pPr>
        <w:pStyle w:val="ListParagraph"/>
        <w:numPr>
          <w:ilvl w:val="0"/>
          <w:numId w:val="6"/>
        </w:numPr>
        <w:tabs>
          <w:tab w:pos="567" w:val="left" w:leader="none"/>
        </w:tabs>
        <w:spacing w:line="194" w:lineRule="auto" w:before="10" w:after="0"/>
        <w:ind w:left="567" w:right="623" w:hanging="454"/>
        <w:jc w:val="left"/>
        <w:rPr>
          <w:rFonts w:ascii="Arial" w:hAnsi="Arial"/>
          <w:sz w:val="16"/>
        </w:rPr>
      </w:pPr>
      <w:r>
        <w:rPr>
          <w:w w:val="105"/>
          <w:sz w:val="16"/>
        </w:rPr>
        <w:t>NB</w:t>
      </w:r>
      <w:r>
        <w:rPr>
          <w:spacing w:val="-11"/>
          <w:w w:val="105"/>
          <w:sz w:val="16"/>
        </w:rPr>
        <w:t> </w:t>
      </w:r>
      <w:r>
        <w:rPr>
          <w:w w:val="105"/>
          <w:sz w:val="16"/>
        </w:rPr>
        <w:t>that</w:t>
      </w:r>
      <w:r>
        <w:rPr>
          <w:spacing w:val="-11"/>
          <w:w w:val="105"/>
          <w:sz w:val="16"/>
        </w:rPr>
        <w:t> </w:t>
      </w:r>
      <w:r>
        <w:rPr>
          <w:w w:val="105"/>
          <w:sz w:val="16"/>
        </w:rPr>
        <w:t>‘functions</w:t>
      </w:r>
      <w:r>
        <w:rPr>
          <w:spacing w:val="-11"/>
          <w:w w:val="105"/>
          <w:sz w:val="16"/>
        </w:rPr>
        <w:t> </w:t>
      </w:r>
      <w:r>
        <w:rPr>
          <w:w w:val="105"/>
          <w:sz w:val="16"/>
        </w:rPr>
        <w:t>of</w:t>
      </w:r>
      <w:r>
        <w:rPr>
          <w:spacing w:val="-11"/>
          <w:w w:val="105"/>
          <w:sz w:val="16"/>
        </w:rPr>
        <w:t> </w:t>
      </w:r>
      <w:r>
        <w:rPr>
          <w:w w:val="105"/>
          <w:sz w:val="16"/>
        </w:rPr>
        <w:t>a</w:t>
      </w:r>
      <w:r>
        <w:rPr>
          <w:spacing w:val="-11"/>
          <w:w w:val="105"/>
          <w:sz w:val="16"/>
        </w:rPr>
        <w:t> </w:t>
      </w:r>
      <w:r>
        <w:rPr>
          <w:w w:val="105"/>
          <w:sz w:val="16"/>
        </w:rPr>
        <w:t>public</w:t>
      </w:r>
      <w:r>
        <w:rPr>
          <w:spacing w:val="-11"/>
          <w:w w:val="105"/>
          <w:sz w:val="16"/>
        </w:rPr>
        <w:t> </w:t>
      </w:r>
      <w:r>
        <w:rPr>
          <w:w w:val="105"/>
          <w:sz w:val="16"/>
        </w:rPr>
        <w:t>nature’</w:t>
      </w:r>
      <w:r>
        <w:rPr>
          <w:spacing w:val="-11"/>
          <w:w w:val="105"/>
          <w:sz w:val="16"/>
        </w:rPr>
        <w:t> </w:t>
      </w:r>
      <w:r>
        <w:rPr>
          <w:w w:val="105"/>
          <w:sz w:val="16"/>
        </w:rPr>
        <w:t>in</w:t>
      </w:r>
      <w:r>
        <w:rPr>
          <w:spacing w:val="-11"/>
          <w:w w:val="105"/>
          <w:sz w:val="16"/>
        </w:rPr>
        <w:t> </w:t>
      </w:r>
      <w:r>
        <w:rPr>
          <w:w w:val="105"/>
          <w:sz w:val="16"/>
        </w:rPr>
        <w:t>section</w:t>
      </w:r>
      <w:r>
        <w:rPr>
          <w:spacing w:val="-11"/>
          <w:w w:val="105"/>
          <w:sz w:val="16"/>
        </w:rPr>
        <w:t> </w:t>
      </w:r>
      <w:r>
        <w:rPr>
          <w:w w:val="105"/>
          <w:sz w:val="16"/>
        </w:rPr>
        <w:t>6(3)(b)</w:t>
      </w:r>
      <w:r>
        <w:rPr>
          <w:spacing w:val="-11"/>
          <w:w w:val="105"/>
          <w:sz w:val="16"/>
        </w:rPr>
        <w:t> </w:t>
      </w:r>
      <w:r>
        <w:rPr>
          <w:w w:val="105"/>
          <w:sz w:val="16"/>
        </w:rPr>
        <w:t>have</w:t>
      </w:r>
      <w:r>
        <w:rPr>
          <w:spacing w:val="-11"/>
          <w:w w:val="105"/>
          <w:sz w:val="16"/>
        </w:rPr>
        <w:t> </w:t>
      </w:r>
      <w:r>
        <w:rPr>
          <w:w w:val="105"/>
          <w:sz w:val="16"/>
        </w:rPr>
        <w:t>typically</w:t>
      </w:r>
      <w:r>
        <w:rPr>
          <w:spacing w:val="-11"/>
          <w:w w:val="105"/>
          <w:sz w:val="16"/>
        </w:rPr>
        <w:t> </w:t>
      </w:r>
      <w:r>
        <w:rPr>
          <w:w w:val="105"/>
          <w:sz w:val="16"/>
        </w:rPr>
        <w:t>been</w:t>
      </w:r>
      <w:r>
        <w:rPr>
          <w:spacing w:val="-11"/>
          <w:w w:val="105"/>
          <w:sz w:val="16"/>
        </w:rPr>
        <w:t> </w:t>
      </w:r>
      <w:r>
        <w:rPr>
          <w:w w:val="105"/>
          <w:sz w:val="16"/>
        </w:rPr>
        <w:t>construed</w:t>
      </w:r>
      <w:r>
        <w:rPr>
          <w:spacing w:val="-11"/>
          <w:w w:val="105"/>
          <w:sz w:val="16"/>
        </w:rPr>
        <w:t> </w:t>
      </w:r>
      <w:r>
        <w:rPr>
          <w:w w:val="105"/>
          <w:sz w:val="16"/>
        </w:rPr>
        <w:t>very</w:t>
      </w:r>
      <w:r>
        <w:rPr>
          <w:spacing w:val="-11"/>
          <w:w w:val="105"/>
          <w:sz w:val="16"/>
        </w:rPr>
        <w:t> </w:t>
      </w:r>
      <w:r>
        <w:rPr>
          <w:w w:val="105"/>
          <w:sz w:val="16"/>
        </w:rPr>
        <w:t>narrowly:</w:t>
      </w:r>
      <w:r>
        <w:rPr>
          <w:spacing w:val="-11"/>
          <w:w w:val="105"/>
          <w:sz w:val="16"/>
        </w:rPr>
        <w:t> </w:t>
      </w:r>
      <w:r>
        <w:rPr>
          <w:w w:val="105"/>
          <w:sz w:val="16"/>
        </w:rPr>
        <w:t>see</w:t>
      </w:r>
      <w:r>
        <w:rPr>
          <w:spacing w:val="-11"/>
          <w:w w:val="105"/>
          <w:sz w:val="16"/>
        </w:rPr>
        <w:t> </w:t>
      </w:r>
      <w:r>
        <w:rPr>
          <w:w w:val="105"/>
          <w:sz w:val="16"/>
        </w:rPr>
        <w:t>YL</w:t>
      </w:r>
      <w:r>
        <w:rPr>
          <w:spacing w:val="-11"/>
          <w:w w:val="105"/>
          <w:sz w:val="16"/>
        </w:rPr>
        <w:t> </w:t>
      </w:r>
      <w:r>
        <w:rPr>
          <w:w w:val="105"/>
          <w:sz w:val="16"/>
        </w:rPr>
        <w:t>v Birmingham County Council [2007] UKHL 27.</w:t>
      </w:r>
    </w:p>
    <w:p>
      <w:pPr>
        <w:pStyle w:val="ListParagraph"/>
        <w:numPr>
          <w:ilvl w:val="0"/>
          <w:numId w:val="6"/>
        </w:numPr>
        <w:tabs>
          <w:tab w:pos="567" w:val="left" w:leader="none"/>
        </w:tabs>
        <w:spacing w:line="204" w:lineRule="exact" w:before="0" w:after="0"/>
        <w:ind w:left="567" w:right="0" w:hanging="454"/>
        <w:jc w:val="left"/>
        <w:rPr>
          <w:rFonts w:ascii="Arial"/>
          <w:sz w:val="16"/>
        </w:rPr>
      </w:pPr>
      <w:r>
        <w:rPr>
          <w:sz w:val="16"/>
        </w:rPr>
        <w:t>Case</w:t>
      </w:r>
      <w:r>
        <w:rPr>
          <w:spacing w:val="-8"/>
          <w:sz w:val="16"/>
        </w:rPr>
        <w:t> </w:t>
      </w:r>
      <w:r>
        <w:rPr>
          <w:sz w:val="16"/>
        </w:rPr>
        <w:t>C-144/04</w:t>
      </w:r>
      <w:r>
        <w:rPr>
          <w:spacing w:val="-8"/>
          <w:sz w:val="16"/>
        </w:rPr>
        <w:t> </w:t>
      </w:r>
      <w:r>
        <w:rPr>
          <w:rFonts w:ascii="Verdana"/>
          <w:i/>
          <w:sz w:val="16"/>
        </w:rPr>
        <w:t>Mangold</w:t>
      </w:r>
      <w:r>
        <w:rPr>
          <w:rFonts w:ascii="Verdana"/>
          <w:i/>
          <w:spacing w:val="-14"/>
          <w:sz w:val="16"/>
        </w:rPr>
        <w:t> </w:t>
      </w:r>
      <w:r>
        <w:rPr>
          <w:rFonts w:ascii="Verdana"/>
          <w:i/>
          <w:sz w:val="16"/>
        </w:rPr>
        <w:t>v</w:t>
      </w:r>
      <w:r>
        <w:rPr>
          <w:rFonts w:ascii="Verdana"/>
          <w:i/>
          <w:spacing w:val="-14"/>
          <w:sz w:val="16"/>
        </w:rPr>
        <w:t> </w:t>
      </w:r>
      <w:r>
        <w:rPr>
          <w:rFonts w:ascii="Verdana"/>
          <w:i/>
          <w:sz w:val="16"/>
        </w:rPr>
        <w:t>Helm,</w:t>
      </w:r>
      <w:r>
        <w:rPr>
          <w:rFonts w:ascii="Verdana"/>
          <w:i/>
          <w:spacing w:val="-14"/>
          <w:sz w:val="16"/>
        </w:rPr>
        <w:t> </w:t>
      </w:r>
      <w:r>
        <w:rPr>
          <w:sz w:val="16"/>
        </w:rPr>
        <w:t>EU:C:2005:709</w:t>
      </w:r>
      <w:r>
        <w:rPr>
          <w:spacing w:val="-7"/>
          <w:sz w:val="16"/>
        </w:rPr>
        <w:t> </w:t>
      </w:r>
      <w:r>
        <w:rPr>
          <w:sz w:val="16"/>
        </w:rPr>
        <w:t>and</w:t>
      </w:r>
      <w:r>
        <w:rPr>
          <w:spacing w:val="-8"/>
          <w:sz w:val="16"/>
        </w:rPr>
        <w:t> </w:t>
      </w:r>
      <w:r>
        <w:rPr>
          <w:sz w:val="16"/>
        </w:rPr>
        <w:t>Case</w:t>
      </w:r>
      <w:r>
        <w:rPr>
          <w:spacing w:val="-8"/>
          <w:sz w:val="16"/>
        </w:rPr>
        <w:t> </w:t>
      </w:r>
      <w:r>
        <w:rPr>
          <w:sz w:val="16"/>
        </w:rPr>
        <w:t>C684/16,</w:t>
      </w:r>
      <w:r>
        <w:rPr>
          <w:spacing w:val="-8"/>
          <w:sz w:val="16"/>
        </w:rPr>
        <w:t> </w:t>
      </w:r>
      <w:r>
        <w:rPr>
          <w:rFonts w:ascii="Verdana"/>
          <w:i/>
          <w:sz w:val="16"/>
        </w:rPr>
        <w:t>Cresco</w:t>
      </w:r>
      <w:r>
        <w:rPr>
          <w:rFonts w:ascii="Verdana"/>
          <w:i/>
          <w:spacing w:val="-14"/>
          <w:sz w:val="16"/>
        </w:rPr>
        <w:t> </w:t>
      </w:r>
      <w:r>
        <w:rPr>
          <w:rFonts w:ascii="Verdana"/>
          <w:i/>
          <w:sz w:val="16"/>
        </w:rPr>
        <w:t>v</w:t>
      </w:r>
      <w:r>
        <w:rPr>
          <w:rFonts w:ascii="Verdana"/>
          <w:i/>
          <w:spacing w:val="-14"/>
          <w:sz w:val="16"/>
        </w:rPr>
        <w:t> </w:t>
      </w:r>
      <w:r>
        <w:rPr>
          <w:rFonts w:ascii="Verdana"/>
          <w:i/>
          <w:sz w:val="16"/>
        </w:rPr>
        <w:t>Achatzi</w:t>
      </w:r>
      <w:r>
        <w:rPr>
          <w:sz w:val="16"/>
        </w:rPr>
        <w:t>,</w:t>
      </w:r>
      <w:r>
        <w:rPr>
          <w:spacing w:val="-8"/>
          <w:sz w:val="16"/>
        </w:rPr>
        <w:t> </w:t>
      </w:r>
      <w:r>
        <w:rPr>
          <w:spacing w:val="-2"/>
          <w:sz w:val="16"/>
        </w:rPr>
        <w:t>EU:C:2019:43.</w:t>
      </w:r>
    </w:p>
    <w:p>
      <w:pPr>
        <w:pStyle w:val="ListParagraph"/>
        <w:numPr>
          <w:ilvl w:val="0"/>
          <w:numId w:val="6"/>
        </w:numPr>
        <w:tabs>
          <w:tab w:pos="567" w:val="left" w:leader="none"/>
        </w:tabs>
        <w:spacing w:line="211" w:lineRule="auto" w:before="8" w:after="0"/>
        <w:ind w:left="567" w:right="130" w:hanging="454"/>
        <w:jc w:val="left"/>
        <w:rPr>
          <w:rFonts w:ascii="Arial"/>
          <w:sz w:val="16"/>
        </w:rPr>
      </w:pPr>
      <w:r>
        <w:rPr>
          <w:rFonts w:ascii="Arial"/>
          <w:w w:val="110"/>
          <w:sz w:val="16"/>
        </w:rPr>
        <w:t>For a longer analysis of the differences between the Charter and the HRA in cases between private actors, see Eleni </w:t>
      </w:r>
      <w:r>
        <w:rPr>
          <w:sz w:val="16"/>
        </w:rPr>
        <w:t>Frantziou, The Horizontal Effect of Human Rights after Brexit: A Matter of Renewed Constitutional Significance</w:t>
      </w:r>
      <w:r>
        <w:rPr>
          <w:spacing w:val="80"/>
          <w:w w:val="110"/>
          <w:sz w:val="16"/>
        </w:rPr>
        <w:t> </w:t>
      </w:r>
      <w:r>
        <w:rPr>
          <w:spacing w:val="-2"/>
          <w:w w:val="110"/>
          <w:sz w:val="16"/>
        </w:rPr>
        <w:t>[2021]</w:t>
      </w:r>
      <w:r>
        <w:rPr>
          <w:spacing w:val="-9"/>
          <w:w w:val="110"/>
          <w:sz w:val="16"/>
        </w:rPr>
        <w:t> </w:t>
      </w:r>
      <w:r>
        <w:rPr>
          <w:spacing w:val="-2"/>
          <w:w w:val="110"/>
          <w:sz w:val="16"/>
        </w:rPr>
        <w:t>European</w:t>
      </w:r>
      <w:r>
        <w:rPr>
          <w:spacing w:val="-9"/>
          <w:w w:val="110"/>
          <w:sz w:val="16"/>
        </w:rPr>
        <w:t> </w:t>
      </w:r>
      <w:r>
        <w:rPr>
          <w:spacing w:val="-2"/>
          <w:w w:val="110"/>
          <w:sz w:val="16"/>
        </w:rPr>
        <w:t>Human</w:t>
      </w:r>
      <w:r>
        <w:rPr>
          <w:spacing w:val="-9"/>
          <w:w w:val="110"/>
          <w:sz w:val="16"/>
        </w:rPr>
        <w:t> </w:t>
      </w:r>
      <w:r>
        <w:rPr>
          <w:spacing w:val="-2"/>
          <w:w w:val="110"/>
          <w:sz w:val="16"/>
        </w:rPr>
        <w:t>Rights</w:t>
      </w:r>
      <w:r>
        <w:rPr>
          <w:spacing w:val="-9"/>
          <w:w w:val="110"/>
          <w:sz w:val="16"/>
        </w:rPr>
        <w:t> </w:t>
      </w:r>
      <w:r>
        <w:rPr>
          <w:spacing w:val="-2"/>
          <w:w w:val="110"/>
          <w:sz w:val="16"/>
        </w:rPr>
        <w:t>Law</w:t>
      </w:r>
      <w:r>
        <w:rPr>
          <w:spacing w:val="-9"/>
          <w:w w:val="110"/>
          <w:sz w:val="16"/>
        </w:rPr>
        <w:t> </w:t>
      </w:r>
      <w:r>
        <w:rPr>
          <w:spacing w:val="-2"/>
          <w:w w:val="110"/>
          <w:sz w:val="16"/>
        </w:rPr>
        <w:t>Review</w:t>
      </w:r>
      <w:r>
        <w:rPr>
          <w:spacing w:val="-9"/>
          <w:w w:val="110"/>
          <w:sz w:val="16"/>
        </w:rPr>
        <w:t> </w:t>
      </w:r>
      <w:r>
        <w:rPr>
          <w:spacing w:val="-2"/>
          <w:w w:val="110"/>
          <w:sz w:val="16"/>
        </w:rPr>
        <w:t>365.</w:t>
      </w:r>
    </w:p>
    <w:p>
      <w:pPr>
        <w:pStyle w:val="ListParagraph"/>
        <w:numPr>
          <w:ilvl w:val="0"/>
          <w:numId w:val="6"/>
        </w:numPr>
        <w:tabs>
          <w:tab w:pos="567" w:val="left" w:leader="none"/>
        </w:tabs>
        <w:spacing w:line="185" w:lineRule="exact" w:before="0" w:after="0"/>
        <w:ind w:left="567" w:right="0" w:hanging="454"/>
        <w:jc w:val="left"/>
        <w:rPr>
          <w:sz w:val="16"/>
        </w:rPr>
      </w:pPr>
      <w:r>
        <w:rPr>
          <w:rFonts w:ascii="Verdana" w:hAnsi="Verdana"/>
          <w:i/>
          <w:sz w:val="16"/>
        </w:rPr>
        <w:t>Bauer</w:t>
      </w:r>
      <w:r>
        <w:rPr>
          <w:rFonts w:ascii="Verdana" w:hAnsi="Verdana"/>
          <w:i/>
          <w:spacing w:val="-8"/>
          <w:sz w:val="16"/>
        </w:rPr>
        <w:t> </w:t>
      </w:r>
      <w:r>
        <w:rPr>
          <w:rFonts w:ascii="Verdana" w:hAnsi="Verdana"/>
          <w:i/>
          <w:sz w:val="16"/>
        </w:rPr>
        <w:t>and</w:t>
      </w:r>
      <w:r>
        <w:rPr>
          <w:rFonts w:ascii="Verdana" w:hAnsi="Verdana"/>
          <w:i/>
          <w:spacing w:val="-8"/>
          <w:sz w:val="16"/>
        </w:rPr>
        <w:t> </w:t>
      </w:r>
      <w:r>
        <w:rPr>
          <w:rFonts w:ascii="Verdana" w:hAnsi="Verdana"/>
          <w:i/>
          <w:sz w:val="16"/>
        </w:rPr>
        <w:t>Broßonn</w:t>
      </w:r>
      <w:r>
        <w:rPr>
          <w:rFonts w:ascii="Verdana" w:hAnsi="Verdana"/>
          <w:i/>
          <w:spacing w:val="-8"/>
          <w:sz w:val="16"/>
        </w:rPr>
        <w:t> </w:t>
      </w:r>
      <w:r>
        <w:rPr>
          <w:sz w:val="16"/>
        </w:rPr>
        <w:t>(n</w:t>
      </w:r>
      <w:r>
        <w:rPr>
          <w:spacing w:val="-2"/>
          <w:sz w:val="16"/>
        </w:rPr>
        <w:t> </w:t>
      </w:r>
      <w:r>
        <w:rPr>
          <w:spacing w:val="-4"/>
          <w:sz w:val="16"/>
        </w:rPr>
        <w:t>21).</w:t>
      </w:r>
    </w:p>
    <w:p>
      <w:pPr>
        <w:pStyle w:val="ListParagraph"/>
        <w:numPr>
          <w:ilvl w:val="0"/>
          <w:numId w:val="6"/>
        </w:numPr>
        <w:tabs>
          <w:tab w:pos="567" w:val="left" w:leader="none"/>
        </w:tabs>
        <w:spacing w:line="200" w:lineRule="exact" w:before="0" w:after="0"/>
        <w:ind w:left="567" w:right="0" w:hanging="454"/>
        <w:jc w:val="left"/>
        <w:rPr>
          <w:rFonts w:ascii="Arial"/>
          <w:sz w:val="16"/>
        </w:rPr>
      </w:pPr>
      <w:r>
        <w:rPr>
          <w:spacing w:val="-4"/>
          <w:sz w:val="16"/>
        </w:rPr>
        <w:t>Case</w:t>
      </w:r>
      <w:r>
        <w:rPr>
          <w:spacing w:val="-3"/>
          <w:sz w:val="16"/>
        </w:rPr>
        <w:t> </w:t>
      </w:r>
      <w:r>
        <w:rPr>
          <w:spacing w:val="-4"/>
          <w:sz w:val="16"/>
        </w:rPr>
        <w:t>C-261/20</w:t>
      </w:r>
      <w:r>
        <w:rPr>
          <w:spacing w:val="-2"/>
          <w:sz w:val="16"/>
        </w:rPr>
        <w:t> </w:t>
      </w:r>
      <w:r>
        <w:rPr>
          <w:rFonts w:ascii="Verdana"/>
          <w:i/>
          <w:spacing w:val="-4"/>
          <w:sz w:val="16"/>
        </w:rPr>
        <w:t>Thelen</w:t>
      </w:r>
      <w:r>
        <w:rPr>
          <w:rFonts w:ascii="Verdana"/>
          <w:i/>
          <w:spacing w:val="-8"/>
          <w:sz w:val="16"/>
        </w:rPr>
        <w:t> </w:t>
      </w:r>
      <w:r>
        <w:rPr>
          <w:rFonts w:ascii="Verdana"/>
          <w:i/>
          <w:spacing w:val="-4"/>
          <w:sz w:val="16"/>
        </w:rPr>
        <w:t>Technopark</w:t>
      </w:r>
      <w:r>
        <w:rPr>
          <w:rFonts w:ascii="Verdana"/>
          <w:i/>
          <w:spacing w:val="-8"/>
          <w:sz w:val="16"/>
        </w:rPr>
        <w:t> </w:t>
      </w:r>
      <w:r>
        <w:rPr>
          <w:rFonts w:ascii="Verdana"/>
          <w:i/>
          <w:spacing w:val="-4"/>
          <w:sz w:val="16"/>
        </w:rPr>
        <w:t>Berlin</w:t>
      </w:r>
      <w:r>
        <w:rPr>
          <w:rFonts w:ascii="Verdana"/>
          <w:i/>
          <w:spacing w:val="-8"/>
          <w:sz w:val="16"/>
        </w:rPr>
        <w:t> </w:t>
      </w:r>
      <w:r>
        <w:rPr>
          <w:rFonts w:ascii="Verdana"/>
          <w:i/>
          <w:spacing w:val="-4"/>
          <w:sz w:val="16"/>
        </w:rPr>
        <w:t>GmbH</w:t>
      </w:r>
      <w:r>
        <w:rPr>
          <w:rFonts w:ascii="Verdana"/>
          <w:i/>
          <w:spacing w:val="-9"/>
          <w:sz w:val="16"/>
        </w:rPr>
        <w:t> </w:t>
      </w:r>
      <w:r>
        <w:rPr>
          <w:rFonts w:ascii="Verdana"/>
          <w:i/>
          <w:spacing w:val="-4"/>
          <w:sz w:val="16"/>
        </w:rPr>
        <w:t>v</w:t>
      </w:r>
      <w:r>
        <w:rPr>
          <w:rFonts w:ascii="Verdana"/>
          <w:i/>
          <w:spacing w:val="-8"/>
          <w:sz w:val="16"/>
        </w:rPr>
        <w:t> </w:t>
      </w:r>
      <w:r>
        <w:rPr>
          <w:rFonts w:ascii="Verdana"/>
          <w:i/>
          <w:spacing w:val="-4"/>
          <w:sz w:val="16"/>
        </w:rPr>
        <w:t>MN,</w:t>
      </w:r>
      <w:r>
        <w:rPr>
          <w:rFonts w:ascii="Verdana"/>
          <w:i/>
          <w:spacing w:val="-8"/>
          <w:sz w:val="16"/>
        </w:rPr>
        <w:t> </w:t>
      </w:r>
      <w:r>
        <w:rPr>
          <w:spacing w:val="-4"/>
          <w:sz w:val="16"/>
        </w:rPr>
        <w:t>EU:C:2022:33;</w:t>
      </w:r>
      <w:r>
        <w:rPr>
          <w:spacing w:val="-2"/>
          <w:sz w:val="16"/>
        </w:rPr>
        <w:t> </w:t>
      </w:r>
      <w:r>
        <w:rPr>
          <w:spacing w:val="-4"/>
          <w:sz w:val="16"/>
        </w:rPr>
        <w:t>Case</w:t>
      </w:r>
      <w:r>
        <w:rPr>
          <w:spacing w:val="-2"/>
          <w:sz w:val="16"/>
        </w:rPr>
        <w:t> </w:t>
      </w:r>
      <w:r>
        <w:rPr>
          <w:spacing w:val="-4"/>
          <w:sz w:val="16"/>
        </w:rPr>
        <w:t>C-122/17,</w:t>
      </w:r>
      <w:r>
        <w:rPr>
          <w:spacing w:val="-2"/>
          <w:sz w:val="16"/>
        </w:rPr>
        <w:t> </w:t>
      </w:r>
      <w:r>
        <w:rPr>
          <w:rFonts w:ascii="Verdana"/>
          <w:i/>
          <w:spacing w:val="-4"/>
          <w:sz w:val="16"/>
        </w:rPr>
        <w:t>Smith</w:t>
      </w:r>
      <w:r>
        <w:rPr>
          <w:rFonts w:ascii="Verdana"/>
          <w:i/>
          <w:spacing w:val="-9"/>
          <w:sz w:val="16"/>
        </w:rPr>
        <w:t> </w:t>
      </w:r>
      <w:r>
        <w:rPr>
          <w:rFonts w:ascii="Verdana"/>
          <w:i/>
          <w:spacing w:val="-4"/>
          <w:sz w:val="16"/>
        </w:rPr>
        <w:t>v</w:t>
      </w:r>
      <w:r>
        <w:rPr>
          <w:rFonts w:ascii="Verdana"/>
          <w:i/>
          <w:spacing w:val="-8"/>
          <w:sz w:val="16"/>
        </w:rPr>
        <w:t> </w:t>
      </w:r>
      <w:r>
        <w:rPr>
          <w:rFonts w:ascii="Verdana"/>
          <w:i/>
          <w:spacing w:val="-4"/>
          <w:sz w:val="16"/>
        </w:rPr>
        <w:t>Meade</w:t>
      </w:r>
      <w:r>
        <w:rPr>
          <w:spacing w:val="-4"/>
          <w:sz w:val="16"/>
        </w:rPr>
        <w:t>,</w:t>
      </w:r>
      <w:r>
        <w:rPr>
          <w:spacing w:val="-2"/>
          <w:sz w:val="16"/>
        </w:rPr>
        <w:t> </w:t>
      </w:r>
      <w:r>
        <w:rPr>
          <w:spacing w:val="-4"/>
          <w:sz w:val="16"/>
        </w:rPr>
        <w:t>EU:C:2018:631.</w:t>
      </w:r>
    </w:p>
    <w:p>
      <w:pPr>
        <w:pStyle w:val="ListParagraph"/>
        <w:numPr>
          <w:ilvl w:val="0"/>
          <w:numId w:val="6"/>
        </w:numPr>
        <w:tabs>
          <w:tab w:pos="567" w:val="left" w:leader="none"/>
        </w:tabs>
        <w:spacing w:line="223" w:lineRule="exact" w:before="0" w:after="0"/>
        <w:ind w:left="567" w:right="0" w:hanging="454"/>
        <w:jc w:val="left"/>
        <w:rPr>
          <w:sz w:val="16"/>
        </w:rPr>
      </w:pPr>
      <w:r>
        <w:rPr>
          <w:spacing w:val="-2"/>
          <w:sz w:val="16"/>
        </w:rPr>
        <w:t>Case 152/84</w:t>
      </w:r>
      <w:r>
        <w:rPr>
          <w:spacing w:val="-1"/>
          <w:sz w:val="16"/>
        </w:rPr>
        <w:t> </w:t>
      </w:r>
      <w:r>
        <w:rPr>
          <w:rFonts w:ascii="Verdana"/>
          <w:i/>
          <w:spacing w:val="-2"/>
          <w:sz w:val="16"/>
        </w:rPr>
        <w:t>Marshall</w:t>
      </w:r>
      <w:r>
        <w:rPr>
          <w:rFonts w:ascii="Verdana"/>
          <w:i/>
          <w:spacing w:val="-7"/>
          <w:sz w:val="16"/>
        </w:rPr>
        <w:t> </w:t>
      </w:r>
      <w:r>
        <w:rPr>
          <w:rFonts w:ascii="Verdana"/>
          <w:i/>
          <w:spacing w:val="-2"/>
          <w:sz w:val="16"/>
        </w:rPr>
        <w:t>v</w:t>
      </w:r>
      <w:r>
        <w:rPr>
          <w:rFonts w:ascii="Verdana"/>
          <w:i/>
          <w:spacing w:val="-7"/>
          <w:sz w:val="16"/>
        </w:rPr>
        <w:t> </w:t>
      </w:r>
      <w:r>
        <w:rPr>
          <w:rFonts w:ascii="Verdana"/>
          <w:i/>
          <w:spacing w:val="-2"/>
          <w:sz w:val="16"/>
        </w:rPr>
        <w:t>Southampton</w:t>
      </w:r>
      <w:r>
        <w:rPr>
          <w:rFonts w:ascii="Verdana"/>
          <w:i/>
          <w:spacing w:val="-7"/>
          <w:sz w:val="16"/>
        </w:rPr>
        <w:t> </w:t>
      </w:r>
      <w:r>
        <w:rPr>
          <w:rFonts w:ascii="Verdana"/>
          <w:i/>
          <w:spacing w:val="-2"/>
          <w:sz w:val="16"/>
        </w:rPr>
        <w:t>and</w:t>
      </w:r>
      <w:r>
        <w:rPr>
          <w:rFonts w:ascii="Verdana"/>
          <w:i/>
          <w:spacing w:val="-7"/>
          <w:sz w:val="16"/>
        </w:rPr>
        <w:t> </w:t>
      </w:r>
      <w:r>
        <w:rPr>
          <w:rFonts w:ascii="Verdana"/>
          <w:i/>
          <w:spacing w:val="-2"/>
          <w:sz w:val="16"/>
        </w:rPr>
        <w:t>South-West</w:t>
      </w:r>
      <w:r>
        <w:rPr>
          <w:rFonts w:ascii="Verdana"/>
          <w:i/>
          <w:spacing w:val="-7"/>
          <w:sz w:val="16"/>
        </w:rPr>
        <w:t> </w:t>
      </w:r>
      <w:r>
        <w:rPr>
          <w:rFonts w:ascii="Verdana"/>
          <w:i/>
          <w:spacing w:val="-2"/>
          <w:sz w:val="16"/>
        </w:rPr>
        <w:t>Hampshire</w:t>
      </w:r>
      <w:r>
        <w:rPr>
          <w:rFonts w:ascii="Verdana"/>
          <w:i/>
          <w:spacing w:val="-7"/>
          <w:sz w:val="16"/>
        </w:rPr>
        <w:t> </w:t>
      </w:r>
      <w:r>
        <w:rPr>
          <w:rFonts w:ascii="Verdana"/>
          <w:i/>
          <w:spacing w:val="-2"/>
          <w:sz w:val="16"/>
        </w:rPr>
        <w:t>Area</w:t>
      </w:r>
      <w:r>
        <w:rPr>
          <w:rFonts w:ascii="Verdana"/>
          <w:i/>
          <w:spacing w:val="-7"/>
          <w:sz w:val="16"/>
        </w:rPr>
        <w:t> </w:t>
      </w:r>
      <w:r>
        <w:rPr>
          <w:rFonts w:ascii="Verdana"/>
          <w:i/>
          <w:spacing w:val="-2"/>
          <w:sz w:val="16"/>
        </w:rPr>
        <w:t>Health</w:t>
      </w:r>
      <w:r>
        <w:rPr>
          <w:rFonts w:ascii="Verdana"/>
          <w:i/>
          <w:spacing w:val="-7"/>
          <w:sz w:val="16"/>
        </w:rPr>
        <w:t> </w:t>
      </w:r>
      <w:r>
        <w:rPr>
          <w:rFonts w:ascii="Verdana"/>
          <w:i/>
          <w:spacing w:val="-2"/>
          <w:sz w:val="16"/>
        </w:rPr>
        <w:t>Authority</w:t>
      </w:r>
      <w:r>
        <w:rPr>
          <w:rFonts w:ascii="Verdana"/>
          <w:i/>
          <w:spacing w:val="-7"/>
          <w:sz w:val="16"/>
        </w:rPr>
        <w:t> </w:t>
      </w:r>
      <w:r>
        <w:rPr>
          <w:rFonts w:ascii="Verdana"/>
          <w:i/>
          <w:spacing w:val="-2"/>
          <w:sz w:val="16"/>
        </w:rPr>
        <w:t>(Teaching)</w:t>
      </w:r>
      <w:r>
        <w:rPr>
          <w:spacing w:val="-2"/>
          <w:sz w:val="16"/>
        </w:rPr>
        <w:t>,</w:t>
      </w:r>
      <w:r>
        <w:rPr>
          <w:spacing w:val="-1"/>
          <w:sz w:val="16"/>
        </w:rPr>
        <w:t> </w:t>
      </w:r>
      <w:r>
        <w:rPr>
          <w:spacing w:val="-2"/>
          <w:sz w:val="16"/>
        </w:rPr>
        <w:t>EU:C:1986:84.</w:t>
      </w:r>
    </w:p>
    <w:p>
      <w:pPr>
        <w:spacing w:after="0" w:line="223" w:lineRule="exact"/>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268" w:lineRule="auto" w:before="72"/>
        <w:ind w:right="154"/>
      </w:pPr>
      <w:bookmarkStart w:name="d. Effective remedial action under the C" w:id="22"/>
      <w:bookmarkEnd w:id="22"/>
      <w:r>
        <w:rPr/>
      </w:r>
      <w:bookmarkStart w:name="_bookmark9" w:id="23"/>
      <w:bookmarkEnd w:id="23"/>
      <w:r>
        <w:rPr/>
      </w:r>
      <w:r>
        <w:rPr>
          <w:w w:val="115"/>
        </w:rPr>
        <w:t>of</w:t>
      </w:r>
      <w:r>
        <w:rPr>
          <w:spacing w:val="-20"/>
          <w:w w:val="115"/>
        </w:rPr>
        <w:t> </w:t>
      </w:r>
      <w:r>
        <w:rPr>
          <w:w w:val="115"/>
        </w:rPr>
        <w:t>Justice</w:t>
      </w:r>
      <w:r>
        <w:rPr>
          <w:spacing w:val="-19"/>
          <w:w w:val="115"/>
        </w:rPr>
        <w:t> </w:t>
      </w:r>
      <w:r>
        <w:rPr>
          <w:w w:val="115"/>
        </w:rPr>
        <w:t>has</w:t>
      </w:r>
      <w:r>
        <w:rPr>
          <w:spacing w:val="-19"/>
          <w:w w:val="115"/>
        </w:rPr>
        <w:t> </w:t>
      </w:r>
      <w:r>
        <w:rPr>
          <w:w w:val="115"/>
        </w:rPr>
        <w:t>made</w:t>
      </w:r>
      <w:r>
        <w:rPr>
          <w:spacing w:val="-19"/>
          <w:w w:val="115"/>
        </w:rPr>
        <w:t> </w:t>
      </w:r>
      <w:r>
        <w:rPr>
          <w:w w:val="115"/>
        </w:rPr>
        <w:t>amply</w:t>
      </w:r>
      <w:r>
        <w:rPr>
          <w:spacing w:val="-19"/>
          <w:w w:val="115"/>
        </w:rPr>
        <w:t> </w:t>
      </w:r>
      <w:r>
        <w:rPr>
          <w:w w:val="115"/>
        </w:rPr>
        <w:t>clear</w:t>
      </w:r>
      <w:r>
        <w:rPr>
          <w:spacing w:val="-20"/>
          <w:w w:val="115"/>
        </w:rPr>
        <w:t> </w:t>
      </w:r>
      <w:r>
        <w:rPr>
          <w:w w:val="115"/>
        </w:rPr>
        <w:t>that the stipulations of a directive can</w:t>
      </w:r>
    </w:p>
    <w:p>
      <w:pPr>
        <w:pStyle w:val="BodyText"/>
        <w:spacing w:line="230" w:lineRule="auto" w:before="11"/>
      </w:pPr>
      <w:r>
        <w:rPr>
          <w:w w:val="115"/>
        </w:rPr>
        <w:t>be applied to private actors where </w:t>
      </w:r>
      <w:r>
        <w:rPr>
          <w:rFonts w:ascii="Lucida Sans Unicode"/>
          <w:spacing w:val="-2"/>
          <w:w w:val="110"/>
        </w:rPr>
        <w:t>they</w:t>
      </w:r>
      <w:r>
        <w:rPr>
          <w:rFonts w:ascii="Lucida Sans Unicode"/>
          <w:spacing w:val="-19"/>
          <w:w w:val="110"/>
        </w:rPr>
        <w:t> </w:t>
      </w:r>
      <w:r>
        <w:rPr>
          <w:rFonts w:ascii="Lucida Sans Unicode"/>
          <w:spacing w:val="-2"/>
          <w:w w:val="110"/>
        </w:rPr>
        <w:t>simply</w:t>
      </w:r>
      <w:r>
        <w:rPr>
          <w:rFonts w:ascii="Lucida Sans Unicode"/>
          <w:spacing w:val="-19"/>
          <w:w w:val="110"/>
        </w:rPr>
        <w:t> </w:t>
      </w:r>
      <w:r>
        <w:rPr>
          <w:rFonts w:ascii="Lucida Sans Unicode"/>
          <w:spacing w:val="-2"/>
          <w:w w:val="110"/>
        </w:rPr>
        <w:t>provide</w:t>
      </w:r>
      <w:r>
        <w:rPr>
          <w:rFonts w:ascii="Lucida Sans Unicode"/>
          <w:spacing w:val="-19"/>
          <w:w w:val="110"/>
        </w:rPr>
        <w:t> </w:t>
      </w:r>
      <w:r>
        <w:rPr>
          <w:rFonts w:ascii="Lucida Sans Unicode"/>
          <w:spacing w:val="-2"/>
          <w:w w:val="110"/>
        </w:rPr>
        <w:t>more</w:t>
      </w:r>
      <w:r>
        <w:rPr>
          <w:rFonts w:ascii="Lucida Sans Unicode"/>
          <w:spacing w:val="-19"/>
          <w:w w:val="110"/>
        </w:rPr>
        <w:t> </w:t>
      </w:r>
      <w:r>
        <w:rPr>
          <w:rFonts w:ascii="Lucida Sans Unicode"/>
          <w:spacing w:val="-2"/>
          <w:w w:val="110"/>
        </w:rPr>
        <w:t>specific </w:t>
      </w:r>
      <w:r>
        <w:rPr>
          <w:spacing w:val="-2"/>
          <w:w w:val="115"/>
        </w:rPr>
        <w:t>expression</w:t>
      </w:r>
      <w:r>
        <w:rPr>
          <w:spacing w:val="-13"/>
          <w:w w:val="115"/>
        </w:rPr>
        <w:t> </w:t>
      </w:r>
      <w:r>
        <w:rPr>
          <w:spacing w:val="-2"/>
          <w:w w:val="115"/>
        </w:rPr>
        <w:t>to</w:t>
      </w:r>
      <w:r>
        <w:rPr>
          <w:spacing w:val="-13"/>
          <w:w w:val="115"/>
        </w:rPr>
        <w:t> </w:t>
      </w:r>
      <w:r>
        <w:rPr>
          <w:spacing w:val="-2"/>
          <w:w w:val="115"/>
        </w:rPr>
        <w:t>a</w:t>
      </w:r>
      <w:r>
        <w:rPr>
          <w:spacing w:val="-13"/>
          <w:w w:val="115"/>
        </w:rPr>
        <w:t> </w:t>
      </w:r>
      <w:r>
        <w:rPr>
          <w:spacing w:val="-2"/>
          <w:w w:val="115"/>
        </w:rPr>
        <w:t>Charter</w:t>
      </w:r>
      <w:r>
        <w:rPr>
          <w:spacing w:val="-13"/>
          <w:w w:val="115"/>
        </w:rPr>
        <w:t> </w:t>
      </w:r>
      <w:r>
        <w:rPr>
          <w:spacing w:val="-2"/>
          <w:w w:val="115"/>
        </w:rPr>
        <w:t>provision</w:t>
      </w:r>
      <w:r>
        <w:rPr>
          <w:spacing w:val="-13"/>
          <w:w w:val="115"/>
        </w:rPr>
        <w:t> </w:t>
      </w:r>
      <w:r>
        <w:rPr>
          <w:spacing w:val="-2"/>
          <w:w w:val="115"/>
        </w:rPr>
        <w:t>that </w:t>
      </w:r>
      <w:r>
        <w:rPr>
          <w:w w:val="115"/>
        </w:rPr>
        <w:t>enjoys</w:t>
      </w:r>
      <w:r>
        <w:rPr>
          <w:spacing w:val="-6"/>
          <w:w w:val="115"/>
        </w:rPr>
        <w:t> </w:t>
      </w:r>
      <w:r>
        <w:rPr>
          <w:w w:val="115"/>
        </w:rPr>
        <w:t>direct</w:t>
      </w:r>
      <w:r>
        <w:rPr>
          <w:spacing w:val="-6"/>
          <w:w w:val="115"/>
        </w:rPr>
        <w:t> </w:t>
      </w:r>
      <w:r>
        <w:rPr>
          <w:w w:val="115"/>
        </w:rPr>
        <w:t>effect.</w:t>
      </w:r>
      <w:r>
        <w:rPr>
          <w:rFonts w:ascii="Lucida Sans Unicode"/>
          <w:w w:val="115"/>
          <w:vertAlign w:val="superscript"/>
        </w:rPr>
        <w:t>81</w:t>
      </w:r>
      <w:r>
        <w:rPr>
          <w:rFonts w:ascii="Lucida Sans Unicode"/>
          <w:spacing w:val="-16"/>
          <w:w w:val="115"/>
          <w:vertAlign w:val="baseline"/>
        </w:rPr>
        <w:t> </w:t>
      </w:r>
      <w:r>
        <w:rPr>
          <w:w w:val="115"/>
          <w:vertAlign w:val="baseline"/>
        </w:rPr>
        <w:t>Even</w:t>
      </w:r>
      <w:r>
        <w:rPr>
          <w:spacing w:val="-6"/>
          <w:w w:val="115"/>
          <w:vertAlign w:val="baseline"/>
        </w:rPr>
        <w:t> </w:t>
      </w:r>
      <w:r>
        <w:rPr>
          <w:w w:val="115"/>
          <w:vertAlign w:val="baseline"/>
        </w:rPr>
        <w:t>though the</w:t>
      </w:r>
      <w:r>
        <w:rPr>
          <w:spacing w:val="-20"/>
          <w:w w:val="115"/>
          <w:vertAlign w:val="baseline"/>
        </w:rPr>
        <w:t> </w:t>
      </w:r>
      <w:r>
        <w:rPr>
          <w:w w:val="115"/>
          <w:vertAlign w:val="baseline"/>
        </w:rPr>
        <w:t>provisions</w:t>
      </w:r>
      <w:r>
        <w:rPr>
          <w:spacing w:val="-19"/>
          <w:w w:val="115"/>
          <w:vertAlign w:val="baseline"/>
        </w:rPr>
        <w:t> </w:t>
      </w:r>
      <w:r>
        <w:rPr>
          <w:w w:val="115"/>
          <w:vertAlign w:val="baseline"/>
        </w:rPr>
        <w:t>of</w:t>
      </w:r>
      <w:r>
        <w:rPr>
          <w:spacing w:val="-19"/>
          <w:w w:val="115"/>
          <w:vertAlign w:val="baseline"/>
        </w:rPr>
        <w:t> </w:t>
      </w:r>
      <w:r>
        <w:rPr>
          <w:w w:val="115"/>
          <w:vertAlign w:val="baseline"/>
        </w:rPr>
        <w:t>the</w:t>
      </w:r>
      <w:r>
        <w:rPr>
          <w:spacing w:val="-19"/>
          <w:w w:val="115"/>
          <w:vertAlign w:val="baseline"/>
        </w:rPr>
        <w:t> </w:t>
      </w:r>
      <w:r>
        <w:rPr>
          <w:w w:val="115"/>
          <w:vertAlign w:val="baseline"/>
        </w:rPr>
        <w:t>directive</w:t>
      </w:r>
      <w:r>
        <w:rPr>
          <w:spacing w:val="-19"/>
          <w:w w:val="115"/>
          <w:vertAlign w:val="baseline"/>
        </w:rPr>
        <w:t> </w:t>
      </w:r>
      <w:r>
        <w:rPr>
          <w:w w:val="115"/>
          <w:vertAlign w:val="baseline"/>
        </w:rPr>
        <w:t>cannot,</w:t>
      </w:r>
    </w:p>
    <w:p>
      <w:pPr>
        <w:pStyle w:val="BodyText"/>
        <w:spacing w:line="310" w:lineRule="exact" w:before="15"/>
        <w:ind w:right="437"/>
      </w:pPr>
      <w:r>
        <w:rPr>
          <w:w w:val="110"/>
        </w:rPr>
        <w:t>in themselves, be invoked against a private person (such as a </w:t>
      </w:r>
      <w:r>
        <w:rPr>
          <w:w w:val="110"/>
        </w:rPr>
        <w:t>private employer),</w:t>
      </w:r>
      <w:r>
        <w:rPr>
          <w:rFonts w:ascii="Lucida Sans Unicode"/>
          <w:w w:val="110"/>
          <w:vertAlign w:val="superscript"/>
        </w:rPr>
        <w:t>82</w:t>
      </w:r>
      <w:r>
        <w:rPr>
          <w:rFonts w:ascii="Lucida Sans Unicode"/>
          <w:spacing w:val="-5"/>
          <w:w w:val="110"/>
          <w:vertAlign w:val="baseline"/>
        </w:rPr>
        <w:t> </w:t>
      </w:r>
      <w:r>
        <w:rPr>
          <w:w w:val="110"/>
          <w:vertAlign w:val="baseline"/>
        </w:rPr>
        <w:t>they can be rendered applicable by the presence of a</w:t>
      </w:r>
    </w:p>
    <w:p>
      <w:pPr>
        <w:pStyle w:val="BodyText"/>
        <w:spacing w:line="310" w:lineRule="exact"/>
      </w:pPr>
      <w:r>
        <w:rPr>
          <w:w w:val="110"/>
        </w:rPr>
        <w:t>corresponding general principles or </w:t>
      </w:r>
      <w:r>
        <w:rPr>
          <w:rFonts w:ascii="Lucida Sans Unicode"/>
        </w:rPr>
        <w:t>Charter right. Over the last five </w:t>
      </w:r>
      <w:r>
        <w:rPr>
          <w:rFonts w:ascii="Lucida Sans Unicode"/>
        </w:rPr>
        <w:t>years, </w:t>
      </w:r>
      <w:r>
        <w:rPr>
          <w:w w:val="110"/>
        </w:rPr>
        <w:t>this approach has been extended beyond earlier case law on this</w:t>
      </w:r>
    </w:p>
    <w:p>
      <w:pPr>
        <w:pStyle w:val="BodyText"/>
        <w:spacing w:line="310" w:lineRule="exact"/>
        <w:ind w:right="113"/>
        <w:rPr>
          <w:rFonts w:ascii="Lucida Sans Unicode"/>
        </w:rPr>
      </w:pPr>
      <w:r>
        <w:rPr>
          <w:w w:val="110"/>
        </w:rPr>
        <w:t>issue (which had until recently only covered age discrimination)</w:t>
      </w:r>
      <w:r>
        <w:rPr>
          <w:rFonts w:ascii="Lucida Sans Unicode"/>
          <w:w w:val="110"/>
          <w:vertAlign w:val="superscript"/>
        </w:rPr>
        <w:t>83</w:t>
      </w:r>
      <w:r>
        <w:rPr>
          <w:w w:val="110"/>
          <w:vertAlign w:val="baseline"/>
        </w:rPr>
        <w:t>, and has</w:t>
      </w:r>
      <w:r>
        <w:rPr>
          <w:spacing w:val="40"/>
          <w:w w:val="110"/>
          <w:vertAlign w:val="baseline"/>
        </w:rPr>
        <w:t> </w:t>
      </w:r>
      <w:r>
        <w:rPr>
          <w:w w:val="110"/>
          <w:vertAlign w:val="baseline"/>
        </w:rPr>
        <w:t>been</w:t>
      </w:r>
      <w:r>
        <w:rPr>
          <w:spacing w:val="40"/>
          <w:w w:val="110"/>
          <w:vertAlign w:val="baseline"/>
        </w:rPr>
        <w:t> </w:t>
      </w:r>
      <w:r>
        <w:rPr>
          <w:w w:val="110"/>
          <w:vertAlign w:val="baseline"/>
        </w:rPr>
        <w:t>applied</w:t>
      </w:r>
      <w:r>
        <w:rPr>
          <w:spacing w:val="40"/>
          <w:w w:val="110"/>
          <w:vertAlign w:val="baseline"/>
        </w:rPr>
        <w:t> </w:t>
      </w:r>
      <w:r>
        <w:rPr>
          <w:w w:val="110"/>
          <w:vertAlign w:val="baseline"/>
        </w:rPr>
        <w:t>to</w:t>
      </w:r>
      <w:r>
        <w:rPr>
          <w:spacing w:val="40"/>
          <w:w w:val="110"/>
          <w:vertAlign w:val="baseline"/>
        </w:rPr>
        <w:t> </w:t>
      </w:r>
      <w:r>
        <w:rPr>
          <w:w w:val="110"/>
          <w:vertAlign w:val="baseline"/>
        </w:rPr>
        <w:t>other</w:t>
      </w:r>
      <w:r>
        <w:rPr>
          <w:spacing w:val="40"/>
          <w:w w:val="110"/>
          <w:vertAlign w:val="baseline"/>
        </w:rPr>
        <w:t> </w:t>
      </w:r>
      <w:r>
        <w:rPr>
          <w:w w:val="110"/>
          <w:vertAlign w:val="baseline"/>
        </w:rPr>
        <w:t>grounds</w:t>
      </w:r>
      <w:r>
        <w:rPr>
          <w:w w:val="110"/>
          <w:vertAlign w:val="baseline"/>
        </w:rPr>
        <w:t> of discrimination, such as religious belief,</w:t>
      </w:r>
      <w:r>
        <w:rPr>
          <w:rFonts w:ascii="Lucida Sans Unicode"/>
          <w:w w:val="110"/>
          <w:vertAlign w:val="superscript"/>
        </w:rPr>
        <w:t>84</w:t>
      </w:r>
      <w:r>
        <w:rPr>
          <w:rFonts w:ascii="Lucida Sans Unicode"/>
          <w:spacing w:val="-13"/>
          <w:w w:val="110"/>
          <w:vertAlign w:val="baseline"/>
        </w:rPr>
        <w:t> </w:t>
      </w:r>
      <w:r>
        <w:rPr>
          <w:w w:val="110"/>
          <w:vertAlign w:val="baseline"/>
        </w:rPr>
        <w:t>as</w:t>
      </w:r>
      <w:r>
        <w:rPr>
          <w:spacing w:val="-3"/>
          <w:w w:val="110"/>
          <w:vertAlign w:val="baseline"/>
        </w:rPr>
        <w:t> </w:t>
      </w:r>
      <w:r>
        <w:rPr>
          <w:w w:val="110"/>
          <w:vertAlign w:val="baseline"/>
        </w:rPr>
        <w:t>well</w:t>
      </w:r>
      <w:r>
        <w:rPr>
          <w:spacing w:val="-3"/>
          <w:w w:val="110"/>
          <w:vertAlign w:val="baseline"/>
        </w:rPr>
        <w:t> </w:t>
      </w:r>
      <w:r>
        <w:rPr>
          <w:w w:val="110"/>
          <w:vertAlign w:val="baseline"/>
        </w:rPr>
        <w:t>as</w:t>
      </w:r>
      <w:r>
        <w:rPr>
          <w:spacing w:val="-3"/>
          <w:w w:val="110"/>
          <w:vertAlign w:val="baseline"/>
        </w:rPr>
        <w:t> </w:t>
      </w:r>
      <w:r>
        <w:rPr>
          <w:w w:val="110"/>
          <w:vertAlign w:val="baseline"/>
        </w:rPr>
        <w:t>to</w:t>
      </w:r>
      <w:r>
        <w:rPr>
          <w:spacing w:val="-3"/>
          <w:w w:val="110"/>
          <w:vertAlign w:val="baseline"/>
        </w:rPr>
        <w:t> </w:t>
      </w:r>
      <w:r>
        <w:rPr>
          <w:w w:val="110"/>
          <w:vertAlign w:val="baseline"/>
        </w:rPr>
        <w:t>other</w:t>
      </w:r>
      <w:r>
        <w:rPr>
          <w:spacing w:val="-3"/>
          <w:w w:val="110"/>
          <w:vertAlign w:val="baseline"/>
        </w:rPr>
        <w:t> </w:t>
      </w:r>
      <w:r>
        <w:rPr>
          <w:w w:val="110"/>
          <w:vertAlign w:val="baseline"/>
        </w:rPr>
        <w:t>aspects</w:t>
      </w:r>
      <w:r>
        <w:rPr>
          <w:spacing w:val="-3"/>
          <w:w w:val="110"/>
          <w:vertAlign w:val="baseline"/>
        </w:rPr>
        <w:t> </w:t>
      </w:r>
      <w:r>
        <w:rPr>
          <w:w w:val="110"/>
          <w:vertAlign w:val="baseline"/>
        </w:rPr>
        <w:t>of the</w:t>
      </w:r>
      <w:r>
        <w:rPr>
          <w:spacing w:val="29"/>
          <w:w w:val="110"/>
          <w:vertAlign w:val="baseline"/>
        </w:rPr>
        <w:t> </w:t>
      </w:r>
      <w:r>
        <w:rPr>
          <w:w w:val="110"/>
          <w:vertAlign w:val="baseline"/>
        </w:rPr>
        <w:t>right</w:t>
      </w:r>
      <w:r>
        <w:rPr>
          <w:spacing w:val="29"/>
          <w:w w:val="110"/>
          <w:vertAlign w:val="baseline"/>
        </w:rPr>
        <w:t> </w:t>
      </w:r>
      <w:r>
        <w:rPr>
          <w:w w:val="110"/>
          <w:vertAlign w:val="baseline"/>
        </w:rPr>
        <w:t>to</w:t>
      </w:r>
      <w:r>
        <w:rPr>
          <w:spacing w:val="30"/>
          <w:w w:val="110"/>
          <w:vertAlign w:val="baseline"/>
        </w:rPr>
        <w:t> </w:t>
      </w:r>
      <w:r>
        <w:rPr>
          <w:w w:val="110"/>
          <w:vertAlign w:val="baseline"/>
        </w:rPr>
        <w:t>fair</w:t>
      </w:r>
      <w:r>
        <w:rPr>
          <w:spacing w:val="29"/>
          <w:w w:val="110"/>
          <w:vertAlign w:val="baseline"/>
        </w:rPr>
        <w:t> </w:t>
      </w:r>
      <w:r>
        <w:rPr>
          <w:w w:val="110"/>
          <w:vertAlign w:val="baseline"/>
        </w:rPr>
        <w:t>working</w:t>
      </w:r>
      <w:r>
        <w:rPr>
          <w:spacing w:val="30"/>
          <w:w w:val="110"/>
          <w:vertAlign w:val="baseline"/>
        </w:rPr>
        <w:t> </w:t>
      </w:r>
      <w:r>
        <w:rPr>
          <w:spacing w:val="-2"/>
          <w:w w:val="110"/>
          <w:vertAlign w:val="baseline"/>
        </w:rPr>
        <w:t>conditions.</w:t>
      </w:r>
      <w:r>
        <w:rPr>
          <w:rFonts w:ascii="Lucida Sans Unicode"/>
          <w:spacing w:val="-2"/>
          <w:w w:val="110"/>
          <w:vertAlign w:val="superscript"/>
        </w:rPr>
        <w:t>85</w:t>
      </w:r>
    </w:p>
    <w:p>
      <w:pPr>
        <w:pStyle w:val="Heading4"/>
        <w:numPr>
          <w:ilvl w:val="1"/>
          <w:numId w:val="7"/>
        </w:numPr>
        <w:tabs>
          <w:tab w:pos="414" w:val="left" w:leader="none"/>
        </w:tabs>
        <w:spacing w:line="256" w:lineRule="auto" w:before="308" w:after="0"/>
        <w:ind w:left="113" w:right="397" w:firstLine="0"/>
        <w:jc w:val="left"/>
      </w:pPr>
      <w:r>
        <w:rPr>
          <w:color w:val="77328A"/>
        </w:rPr>
        <w:t>Effective remedial action </w:t>
      </w:r>
      <w:r>
        <w:rPr>
          <w:color w:val="77328A"/>
        </w:rPr>
        <w:t>under the Charter</w:t>
      </w:r>
    </w:p>
    <w:p>
      <w:pPr>
        <w:pStyle w:val="BodyText"/>
        <w:spacing w:line="230" w:lineRule="auto" w:before="24"/>
        <w:ind w:right="110"/>
      </w:pPr>
      <w:r>
        <w:rPr>
          <w:w w:val="110"/>
        </w:rPr>
        <w:t>The effectiveness of remedial action</w:t>
      </w:r>
      <w:r>
        <w:rPr>
          <w:spacing w:val="40"/>
          <w:w w:val="110"/>
        </w:rPr>
        <w:t> </w:t>
      </w:r>
      <w:r>
        <w:rPr>
          <w:rFonts w:ascii="Lucida Sans Unicode"/>
        </w:rPr>
        <w:t>is the final EU law principle </w:t>
      </w:r>
      <w:r>
        <w:rPr>
          <w:rFonts w:ascii="Lucida Sans Unicode"/>
        </w:rPr>
        <w:t>stemming </w:t>
      </w:r>
      <w:r>
        <w:rPr>
          <w:w w:val="110"/>
        </w:rPr>
        <w:t>from primacy that we consider key</w:t>
      </w:r>
    </w:p>
    <w:p>
      <w:pPr>
        <w:pStyle w:val="BodyText"/>
        <w:spacing w:line="310" w:lineRule="exact" w:before="14"/>
        <w:ind w:right="300"/>
      </w:pPr>
      <w:r>
        <w:rPr>
          <w:w w:val="115"/>
        </w:rPr>
        <w:t>to the continued operation of EU fundamental rights in Northern Ireland.</w:t>
      </w:r>
      <w:r>
        <w:rPr>
          <w:rFonts w:ascii="Lucida Sans Unicode"/>
          <w:w w:val="115"/>
          <w:vertAlign w:val="superscript"/>
        </w:rPr>
        <w:t>86</w:t>
      </w:r>
      <w:r>
        <w:rPr>
          <w:rFonts w:ascii="Lucida Sans Unicode"/>
          <w:spacing w:val="-22"/>
          <w:w w:val="115"/>
          <w:vertAlign w:val="baseline"/>
        </w:rPr>
        <w:t> </w:t>
      </w:r>
      <w:r>
        <w:rPr>
          <w:w w:val="115"/>
          <w:vertAlign w:val="baseline"/>
        </w:rPr>
        <w:t>This</w:t>
      </w:r>
      <w:r>
        <w:rPr>
          <w:spacing w:val="-19"/>
          <w:w w:val="115"/>
          <w:vertAlign w:val="baseline"/>
        </w:rPr>
        <w:t> </w:t>
      </w:r>
      <w:r>
        <w:rPr>
          <w:w w:val="115"/>
          <w:vertAlign w:val="baseline"/>
        </w:rPr>
        <w:t>is</w:t>
      </w:r>
      <w:r>
        <w:rPr>
          <w:spacing w:val="-20"/>
          <w:w w:val="115"/>
          <w:vertAlign w:val="baseline"/>
        </w:rPr>
        <w:t> </w:t>
      </w:r>
      <w:r>
        <w:rPr>
          <w:w w:val="115"/>
          <w:vertAlign w:val="baseline"/>
        </w:rPr>
        <w:t>because</w:t>
      </w:r>
      <w:r>
        <w:rPr>
          <w:spacing w:val="-19"/>
          <w:w w:val="115"/>
          <w:vertAlign w:val="baseline"/>
        </w:rPr>
        <w:t> </w:t>
      </w:r>
      <w:r>
        <w:rPr>
          <w:w w:val="115"/>
          <w:vertAlign w:val="baseline"/>
        </w:rPr>
        <w:t>the</w:t>
      </w:r>
      <w:r>
        <w:rPr>
          <w:spacing w:val="-19"/>
          <w:w w:val="115"/>
          <w:vertAlign w:val="baseline"/>
        </w:rPr>
        <w:t> </w:t>
      </w:r>
      <w:r>
        <w:rPr>
          <w:w w:val="115"/>
          <w:vertAlign w:val="baseline"/>
        </w:rPr>
        <w:t>key consequence of direct effect and consistent interpretation is that </w:t>
      </w:r>
      <w:r>
        <w:rPr>
          <w:spacing w:val="-2"/>
          <w:w w:val="115"/>
          <w:vertAlign w:val="baseline"/>
        </w:rPr>
        <w:t>they</w:t>
      </w:r>
      <w:r>
        <w:rPr>
          <w:spacing w:val="-16"/>
          <w:w w:val="115"/>
          <w:vertAlign w:val="baseline"/>
        </w:rPr>
        <w:t> </w:t>
      </w:r>
      <w:r>
        <w:rPr>
          <w:spacing w:val="-2"/>
          <w:w w:val="115"/>
          <w:vertAlign w:val="baseline"/>
        </w:rPr>
        <w:t>render</w:t>
      </w:r>
      <w:r>
        <w:rPr>
          <w:spacing w:val="-16"/>
          <w:w w:val="115"/>
          <w:vertAlign w:val="baseline"/>
        </w:rPr>
        <w:t> </w:t>
      </w:r>
      <w:r>
        <w:rPr>
          <w:spacing w:val="-2"/>
          <w:w w:val="115"/>
          <w:vertAlign w:val="baseline"/>
        </w:rPr>
        <w:t>EU</w:t>
      </w:r>
      <w:r>
        <w:rPr>
          <w:spacing w:val="-16"/>
          <w:w w:val="115"/>
          <w:vertAlign w:val="baseline"/>
        </w:rPr>
        <w:t> </w:t>
      </w:r>
      <w:r>
        <w:rPr>
          <w:spacing w:val="-2"/>
          <w:w w:val="115"/>
          <w:vertAlign w:val="baseline"/>
        </w:rPr>
        <w:t>law</w:t>
      </w:r>
      <w:r>
        <w:rPr>
          <w:spacing w:val="-16"/>
          <w:w w:val="115"/>
          <w:vertAlign w:val="baseline"/>
        </w:rPr>
        <w:t> </w:t>
      </w:r>
      <w:r>
        <w:rPr>
          <w:spacing w:val="-2"/>
          <w:w w:val="115"/>
          <w:vertAlign w:val="baseline"/>
        </w:rPr>
        <w:t>more</w:t>
      </w:r>
      <w:r>
        <w:rPr>
          <w:spacing w:val="-16"/>
          <w:w w:val="115"/>
          <w:vertAlign w:val="baseline"/>
        </w:rPr>
        <w:t> </w:t>
      </w:r>
      <w:r>
        <w:rPr>
          <w:spacing w:val="-2"/>
          <w:w w:val="115"/>
          <w:vertAlign w:val="baseline"/>
        </w:rPr>
        <w:t>effective </w:t>
      </w:r>
      <w:r>
        <w:rPr>
          <w:w w:val="115"/>
          <w:vertAlign w:val="baseline"/>
        </w:rPr>
        <w:t>by strengthening the remedial</w:t>
      </w:r>
    </w:p>
    <w:p>
      <w:pPr>
        <w:pStyle w:val="BodyText"/>
        <w:spacing w:line="268" w:lineRule="auto" w:before="23"/>
        <w:ind w:right="113"/>
      </w:pPr>
      <w:r>
        <w:rPr>
          <w:w w:val="115"/>
        </w:rPr>
        <w:t>position</w:t>
      </w:r>
      <w:r>
        <w:rPr>
          <w:spacing w:val="-6"/>
          <w:w w:val="115"/>
        </w:rPr>
        <w:t> </w:t>
      </w:r>
      <w:r>
        <w:rPr>
          <w:w w:val="115"/>
        </w:rPr>
        <w:t>of</w:t>
      </w:r>
      <w:r>
        <w:rPr>
          <w:spacing w:val="-6"/>
          <w:w w:val="115"/>
        </w:rPr>
        <w:t> </w:t>
      </w:r>
      <w:r>
        <w:rPr>
          <w:w w:val="115"/>
        </w:rPr>
        <w:t>the</w:t>
      </w:r>
      <w:r>
        <w:rPr>
          <w:spacing w:val="-6"/>
          <w:w w:val="115"/>
        </w:rPr>
        <w:t> </w:t>
      </w:r>
      <w:r>
        <w:rPr>
          <w:w w:val="115"/>
        </w:rPr>
        <w:t>person</w:t>
      </w:r>
      <w:r>
        <w:rPr>
          <w:spacing w:val="-6"/>
          <w:w w:val="115"/>
        </w:rPr>
        <w:t> </w:t>
      </w:r>
      <w:r>
        <w:rPr>
          <w:w w:val="115"/>
        </w:rPr>
        <w:t>relying</w:t>
      </w:r>
      <w:r>
        <w:rPr>
          <w:spacing w:val="-6"/>
          <w:w w:val="115"/>
        </w:rPr>
        <w:t> </w:t>
      </w:r>
      <w:r>
        <w:rPr>
          <w:w w:val="115"/>
        </w:rPr>
        <w:t>on</w:t>
      </w:r>
      <w:r>
        <w:rPr>
          <w:spacing w:val="-6"/>
          <w:w w:val="115"/>
        </w:rPr>
        <w:t> </w:t>
      </w:r>
      <w:r>
        <w:rPr>
          <w:w w:val="115"/>
        </w:rPr>
        <w:t>the Charter in domestic law. Consistent interpretation only provides access </w:t>
      </w:r>
      <w:r>
        <w:rPr>
          <w:w w:val="110"/>
        </w:rPr>
        <w:t>to the remedies already envisaged </w:t>
      </w:r>
      <w:r>
        <w:rPr>
          <w:w w:val="110"/>
        </w:rPr>
        <w:t>in</w:t>
      </w:r>
    </w:p>
    <w:p>
      <w:pPr>
        <w:pStyle w:val="BodyText"/>
        <w:spacing w:line="268" w:lineRule="auto" w:before="72"/>
        <w:ind w:right="249"/>
        <w:jc w:val="both"/>
      </w:pPr>
      <w:r>
        <w:rPr/>
        <w:br w:type="column"/>
      </w:r>
      <w:r>
        <w:rPr>
          <w:spacing w:val="-2"/>
          <w:w w:val="115"/>
        </w:rPr>
        <w:t>domestic</w:t>
      </w:r>
      <w:r>
        <w:rPr>
          <w:spacing w:val="-14"/>
          <w:w w:val="115"/>
        </w:rPr>
        <w:t> </w:t>
      </w:r>
      <w:r>
        <w:rPr>
          <w:spacing w:val="-2"/>
          <w:w w:val="115"/>
        </w:rPr>
        <w:t>legislation,</w:t>
      </w:r>
      <w:r>
        <w:rPr>
          <w:spacing w:val="-14"/>
          <w:w w:val="115"/>
        </w:rPr>
        <w:t> </w:t>
      </w:r>
      <w:r>
        <w:rPr>
          <w:spacing w:val="-2"/>
          <w:w w:val="115"/>
        </w:rPr>
        <w:t>shaped</w:t>
      </w:r>
      <w:r>
        <w:rPr>
          <w:spacing w:val="-14"/>
          <w:w w:val="115"/>
        </w:rPr>
        <w:t> </w:t>
      </w:r>
      <w:r>
        <w:rPr>
          <w:spacing w:val="-2"/>
          <w:w w:val="115"/>
        </w:rPr>
        <w:t>in</w:t>
      </w:r>
      <w:r>
        <w:rPr>
          <w:spacing w:val="-14"/>
          <w:w w:val="115"/>
        </w:rPr>
        <w:t> </w:t>
      </w:r>
      <w:r>
        <w:rPr>
          <w:spacing w:val="-2"/>
          <w:w w:val="115"/>
        </w:rPr>
        <w:t>a</w:t>
      </w:r>
      <w:r>
        <w:rPr>
          <w:spacing w:val="-14"/>
          <w:w w:val="115"/>
        </w:rPr>
        <w:t> </w:t>
      </w:r>
      <w:r>
        <w:rPr>
          <w:spacing w:val="-2"/>
          <w:w w:val="115"/>
        </w:rPr>
        <w:t>way </w:t>
      </w:r>
      <w:r>
        <w:rPr>
          <w:w w:val="115"/>
        </w:rPr>
        <w:t>that</w:t>
      </w:r>
      <w:r>
        <w:rPr>
          <w:spacing w:val="-20"/>
          <w:w w:val="115"/>
        </w:rPr>
        <w:t> </w:t>
      </w:r>
      <w:r>
        <w:rPr>
          <w:w w:val="115"/>
        </w:rPr>
        <w:t>complies</w:t>
      </w:r>
      <w:r>
        <w:rPr>
          <w:spacing w:val="-19"/>
          <w:w w:val="115"/>
        </w:rPr>
        <w:t> </w:t>
      </w:r>
      <w:r>
        <w:rPr>
          <w:w w:val="115"/>
        </w:rPr>
        <w:t>with</w:t>
      </w:r>
      <w:r>
        <w:rPr>
          <w:spacing w:val="-19"/>
          <w:w w:val="115"/>
        </w:rPr>
        <w:t> </w:t>
      </w:r>
      <w:r>
        <w:rPr>
          <w:w w:val="115"/>
        </w:rPr>
        <w:t>the</w:t>
      </w:r>
      <w:r>
        <w:rPr>
          <w:spacing w:val="-19"/>
          <w:w w:val="115"/>
        </w:rPr>
        <w:t> </w:t>
      </w:r>
      <w:r>
        <w:rPr>
          <w:w w:val="115"/>
        </w:rPr>
        <w:t>Charter.</w:t>
      </w:r>
      <w:r>
        <w:rPr>
          <w:spacing w:val="-19"/>
          <w:w w:val="115"/>
        </w:rPr>
        <w:t> </w:t>
      </w:r>
      <w:r>
        <w:rPr>
          <w:w w:val="115"/>
        </w:rPr>
        <w:t>Direct effect, too, in theory gives access</w:t>
      </w:r>
    </w:p>
    <w:p>
      <w:pPr>
        <w:pStyle w:val="BodyText"/>
        <w:spacing w:line="268" w:lineRule="auto" w:before="3"/>
        <w:ind w:right="170"/>
      </w:pPr>
      <w:r>
        <w:rPr>
          <w:w w:val="115"/>
        </w:rPr>
        <w:t>to remedies recognised in domestic law. It can give rise to a variety of remedies depending on the right and circumstances of the case, provided that it offers effective reparation for the damage suffered including, if </w:t>
      </w:r>
      <w:r>
        <w:rPr>
          <w:w w:val="110"/>
        </w:rPr>
        <w:t>necessary, following the </w:t>
      </w:r>
      <w:r>
        <w:rPr>
          <w:w w:val="110"/>
        </w:rPr>
        <w:t>disapplication </w:t>
      </w:r>
      <w:r>
        <w:rPr>
          <w:w w:val="115"/>
        </w:rPr>
        <w:t>of any incompatible statute.</w:t>
      </w:r>
    </w:p>
    <w:p>
      <w:pPr>
        <w:pStyle w:val="BodyText"/>
        <w:spacing w:before="31"/>
        <w:ind w:left="0"/>
      </w:pPr>
    </w:p>
    <w:p>
      <w:pPr>
        <w:pStyle w:val="BodyText"/>
        <w:spacing w:line="268" w:lineRule="auto"/>
        <w:ind w:right="634"/>
      </w:pPr>
      <w:r>
        <w:rPr>
          <w:w w:val="115"/>
        </w:rPr>
        <w:t>In this sense, direct effect and consistent</w:t>
      </w:r>
      <w:r>
        <w:rPr>
          <w:spacing w:val="-20"/>
          <w:w w:val="115"/>
        </w:rPr>
        <w:t> </w:t>
      </w:r>
      <w:r>
        <w:rPr>
          <w:w w:val="115"/>
        </w:rPr>
        <w:t>interpretation</w:t>
      </w:r>
      <w:r>
        <w:rPr>
          <w:spacing w:val="-19"/>
          <w:w w:val="115"/>
        </w:rPr>
        <w:t> </w:t>
      </w:r>
      <w:r>
        <w:rPr>
          <w:w w:val="115"/>
        </w:rPr>
        <w:t>are</w:t>
      </w:r>
      <w:r>
        <w:rPr>
          <w:spacing w:val="-19"/>
          <w:w w:val="115"/>
        </w:rPr>
        <w:t> </w:t>
      </w:r>
      <w:r>
        <w:rPr>
          <w:w w:val="115"/>
        </w:rPr>
        <w:t>not strictly speaking ‘remedies’ in their</w:t>
      </w:r>
      <w:r>
        <w:rPr>
          <w:spacing w:val="-3"/>
          <w:w w:val="115"/>
        </w:rPr>
        <w:t> </w:t>
      </w:r>
      <w:r>
        <w:rPr>
          <w:w w:val="115"/>
        </w:rPr>
        <w:t>own</w:t>
      </w:r>
      <w:r>
        <w:rPr>
          <w:spacing w:val="-3"/>
          <w:w w:val="115"/>
        </w:rPr>
        <w:t> </w:t>
      </w:r>
      <w:r>
        <w:rPr>
          <w:w w:val="115"/>
        </w:rPr>
        <w:t>right,</w:t>
      </w:r>
      <w:r>
        <w:rPr>
          <w:spacing w:val="-3"/>
          <w:w w:val="115"/>
        </w:rPr>
        <w:t> </w:t>
      </w:r>
      <w:r>
        <w:rPr>
          <w:w w:val="115"/>
        </w:rPr>
        <w:t>but</w:t>
      </w:r>
      <w:r>
        <w:rPr>
          <w:spacing w:val="-3"/>
          <w:w w:val="115"/>
        </w:rPr>
        <w:t> </w:t>
      </w:r>
      <w:r>
        <w:rPr>
          <w:w w:val="115"/>
        </w:rPr>
        <w:t>principles</w:t>
      </w:r>
      <w:r>
        <w:rPr>
          <w:spacing w:val="-3"/>
          <w:w w:val="115"/>
        </w:rPr>
        <w:t> </w:t>
      </w:r>
      <w:r>
        <w:rPr>
          <w:w w:val="115"/>
        </w:rPr>
        <w:t>of</w:t>
      </w:r>
    </w:p>
    <w:p>
      <w:pPr>
        <w:pStyle w:val="BodyText"/>
        <w:spacing w:line="268" w:lineRule="auto" w:before="4"/>
        <w:ind w:right="266"/>
      </w:pPr>
      <w:r>
        <w:rPr>
          <w:w w:val="115"/>
        </w:rPr>
        <w:t>interpretation</w:t>
      </w:r>
      <w:r>
        <w:rPr>
          <w:spacing w:val="-2"/>
          <w:w w:val="115"/>
        </w:rPr>
        <w:t> </w:t>
      </w:r>
      <w:r>
        <w:rPr>
          <w:w w:val="115"/>
        </w:rPr>
        <w:t>that</w:t>
      </w:r>
      <w:r>
        <w:rPr>
          <w:spacing w:val="-2"/>
          <w:w w:val="115"/>
        </w:rPr>
        <w:t> </w:t>
      </w:r>
      <w:r>
        <w:rPr>
          <w:w w:val="115"/>
        </w:rPr>
        <w:t>permit</w:t>
      </w:r>
      <w:r>
        <w:rPr>
          <w:spacing w:val="-2"/>
          <w:w w:val="115"/>
        </w:rPr>
        <w:t> </w:t>
      </w:r>
      <w:r>
        <w:rPr>
          <w:w w:val="115"/>
        </w:rPr>
        <w:t>individuals to access effective remediation at the domestic level. For example, depending on the facts of the case, domestic courts might consider a suitable remedy in an employment</w:t>
      </w:r>
    </w:p>
    <w:p>
      <w:pPr>
        <w:pStyle w:val="BodyText"/>
        <w:spacing w:line="326" w:lineRule="exact"/>
        <w:rPr>
          <w:rFonts w:ascii="Lucida Sans Unicode"/>
        </w:rPr>
      </w:pPr>
      <w:r>
        <w:rPr>
          <w:rFonts w:ascii="Lucida Sans Unicode"/>
        </w:rPr>
        <w:t>dispute</w:t>
      </w:r>
      <w:r>
        <w:rPr>
          <w:rFonts w:ascii="Lucida Sans Unicode"/>
          <w:spacing w:val="5"/>
        </w:rPr>
        <w:t> </w:t>
      </w:r>
      <w:r>
        <w:rPr>
          <w:rFonts w:ascii="Lucida Sans Unicode"/>
        </w:rPr>
        <w:t>to</w:t>
      </w:r>
      <w:r>
        <w:rPr>
          <w:rFonts w:ascii="Lucida Sans Unicode"/>
          <w:spacing w:val="5"/>
        </w:rPr>
        <w:t> </w:t>
      </w:r>
      <w:r>
        <w:rPr>
          <w:rFonts w:ascii="Lucida Sans Unicode"/>
        </w:rPr>
        <w:t>be</w:t>
      </w:r>
      <w:r>
        <w:rPr>
          <w:rFonts w:ascii="Lucida Sans Unicode"/>
          <w:spacing w:val="5"/>
        </w:rPr>
        <w:t> </w:t>
      </w:r>
      <w:r>
        <w:rPr>
          <w:rFonts w:ascii="Lucida Sans Unicode"/>
        </w:rPr>
        <w:t>financial</w:t>
      </w:r>
      <w:r>
        <w:rPr>
          <w:rFonts w:ascii="Lucida Sans Unicode"/>
          <w:spacing w:val="5"/>
        </w:rPr>
        <w:t> </w:t>
      </w:r>
      <w:r>
        <w:rPr>
          <w:rFonts w:ascii="Lucida Sans Unicode"/>
          <w:spacing w:val="-2"/>
        </w:rPr>
        <w:t>compensation,</w:t>
      </w:r>
    </w:p>
    <w:p>
      <w:pPr>
        <w:pStyle w:val="BodyText"/>
        <w:spacing w:line="266" w:lineRule="auto"/>
        <w:ind w:right="677"/>
      </w:pPr>
      <w:r>
        <w:rPr>
          <w:w w:val="115"/>
        </w:rPr>
        <w:t>reinstatement or recalculation of pension entitlements, de-listing of</w:t>
      </w:r>
      <w:r>
        <w:rPr>
          <w:spacing w:val="-11"/>
          <w:w w:val="115"/>
        </w:rPr>
        <w:t> </w:t>
      </w:r>
      <w:r>
        <w:rPr>
          <w:w w:val="115"/>
        </w:rPr>
        <w:t>private</w:t>
      </w:r>
      <w:r>
        <w:rPr>
          <w:spacing w:val="-11"/>
          <w:w w:val="115"/>
        </w:rPr>
        <w:t> </w:t>
      </w:r>
      <w:r>
        <w:rPr>
          <w:w w:val="115"/>
        </w:rPr>
        <w:t>information</w:t>
      </w:r>
      <w:r>
        <w:rPr>
          <w:spacing w:val="-11"/>
          <w:w w:val="115"/>
        </w:rPr>
        <w:t> </w:t>
      </w:r>
      <w:r>
        <w:rPr>
          <w:w w:val="115"/>
        </w:rPr>
        <w:t>in</w:t>
      </w:r>
      <w:r>
        <w:rPr>
          <w:spacing w:val="-11"/>
          <w:w w:val="115"/>
        </w:rPr>
        <w:t> </w:t>
      </w:r>
      <w:r>
        <w:rPr>
          <w:w w:val="115"/>
        </w:rPr>
        <w:t>a</w:t>
      </w:r>
      <w:r>
        <w:rPr>
          <w:spacing w:val="-11"/>
          <w:w w:val="115"/>
        </w:rPr>
        <w:t> </w:t>
      </w:r>
      <w:r>
        <w:rPr>
          <w:w w:val="115"/>
        </w:rPr>
        <w:t>privacy dispute,</w:t>
      </w:r>
      <w:r>
        <w:rPr>
          <w:spacing w:val="-3"/>
          <w:w w:val="115"/>
        </w:rPr>
        <w:t> </w:t>
      </w:r>
      <w:r>
        <w:rPr>
          <w:w w:val="115"/>
        </w:rPr>
        <w:t>etc.</w:t>
      </w:r>
      <w:r>
        <w:rPr>
          <w:spacing w:val="-3"/>
          <w:w w:val="115"/>
        </w:rPr>
        <w:t> </w:t>
      </w:r>
      <w:r>
        <w:rPr>
          <w:w w:val="115"/>
        </w:rPr>
        <w:t>The</w:t>
      </w:r>
      <w:r>
        <w:rPr>
          <w:spacing w:val="-3"/>
          <w:w w:val="115"/>
        </w:rPr>
        <w:t> </w:t>
      </w:r>
      <w:r>
        <w:rPr>
          <w:w w:val="115"/>
        </w:rPr>
        <w:t>CJEU</w:t>
      </w:r>
      <w:r>
        <w:rPr>
          <w:spacing w:val="-3"/>
          <w:w w:val="115"/>
        </w:rPr>
        <w:t> </w:t>
      </w:r>
      <w:r>
        <w:rPr>
          <w:w w:val="115"/>
        </w:rPr>
        <w:t>does</w:t>
      </w:r>
      <w:r>
        <w:rPr>
          <w:spacing w:val="-3"/>
          <w:w w:val="115"/>
        </w:rPr>
        <w:t> </w:t>
      </w:r>
      <w:r>
        <w:rPr>
          <w:w w:val="115"/>
        </w:rPr>
        <w:t>not typically stipulate </w:t>
      </w:r>
      <w:r>
        <w:rPr>
          <w:rFonts w:ascii="Verdana"/>
          <w:i/>
          <w:w w:val="115"/>
        </w:rPr>
        <w:t>which</w:t>
      </w:r>
      <w:r>
        <w:rPr>
          <w:rFonts w:ascii="Verdana"/>
          <w:i/>
          <w:spacing w:val="-7"/>
          <w:w w:val="115"/>
        </w:rPr>
        <w:t> </w:t>
      </w:r>
      <w:r>
        <w:rPr>
          <w:w w:val="115"/>
        </w:rPr>
        <w:t>remedy should be offered to the person</w:t>
      </w:r>
    </w:p>
    <w:p>
      <w:pPr>
        <w:pStyle w:val="BodyText"/>
        <w:spacing w:line="268" w:lineRule="auto"/>
        <w:ind w:right="420"/>
      </w:pPr>
      <w:r>
        <w:rPr>
          <w:w w:val="110"/>
        </w:rPr>
        <w:t>who has suffered a violation of </w:t>
      </w:r>
      <w:r>
        <w:rPr>
          <w:w w:val="110"/>
        </w:rPr>
        <w:t>their rights. It thus allows a degree of procedural autonomy to domestic courts. However, the CJEU does in all circumstances require that the</w:t>
      </w:r>
    </w:p>
    <w:p>
      <w:pPr>
        <w:pStyle w:val="BodyText"/>
        <w:spacing w:line="252" w:lineRule="auto"/>
        <w:rPr>
          <w:rFonts w:ascii="Lucida Sans Unicode"/>
        </w:rPr>
      </w:pPr>
      <w:r>
        <w:rPr>
          <w:w w:val="110"/>
        </w:rPr>
        <w:t>remedies offered be fully effective. To this end, the CJEU has started </w:t>
      </w:r>
      <w:r>
        <w:rPr>
          <w:w w:val="110"/>
        </w:rPr>
        <w:t>actively </w:t>
      </w:r>
      <w:r>
        <w:rPr>
          <w:rFonts w:ascii="Lucida Sans Unicode"/>
        </w:rPr>
        <w:t>to</w:t>
      </w:r>
      <w:r>
        <w:rPr>
          <w:rFonts w:ascii="Lucida Sans Unicode"/>
          <w:spacing w:val="15"/>
        </w:rPr>
        <w:t> </w:t>
      </w:r>
      <w:r>
        <w:rPr>
          <w:rFonts w:ascii="Lucida Sans Unicode"/>
        </w:rPr>
        <w:t>refer</w:t>
      </w:r>
      <w:r>
        <w:rPr>
          <w:rFonts w:ascii="Lucida Sans Unicode"/>
          <w:spacing w:val="16"/>
        </w:rPr>
        <w:t> </w:t>
      </w:r>
      <w:r>
        <w:rPr>
          <w:rFonts w:ascii="Lucida Sans Unicode"/>
        </w:rPr>
        <w:t>to</w:t>
      </w:r>
      <w:r>
        <w:rPr>
          <w:rFonts w:ascii="Lucida Sans Unicode"/>
          <w:spacing w:val="15"/>
        </w:rPr>
        <w:t> </w:t>
      </w:r>
      <w:r>
        <w:rPr>
          <w:rFonts w:ascii="Lucida Sans Unicode"/>
        </w:rPr>
        <w:t>Article</w:t>
      </w:r>
      <w:r>
        <w:rPr>
          <w:rFonts w:ascii="Lucida Sans Unicode"/>
          <w:spacing w:val="16"/>
        </w:rPr>
        <w:t> </w:t>
      </w:r>
      <w:r>
        <w:rPr>
          <w:rFonts w:ascii="Lucida Sans Unicode"/>
        </w:rPr>
        <w:t>47</w:t>
      </w:r>
      <w:r>
        <w:rPr>
          <w:rFonts w:ascii="Lucida Sans Unicode"/>
          <w:spacing w:val="15"/>
        </w:rPr>
        <w:t> </w:t>
      </w:r>
      <w:r>
        <w:rPr>
          <w:rFonts w:ascii="Lucida Sans Unicode"/>
        </w:rPr>
        <w:t>CFR</w:t>
      </w:r>
      <w:r>
        <w:rPr>
          <w:rFonts w:ascii="Lucida Sans Unicode"/>
          <w:spacing w:val="16"/>
        </w:rPr>
        <w:t> </w:t>
      </w:r>
      <w:r>
        <w:rPr>
          <w:rFonts w:ascii="Lucida Sans Unicode"/>
        </w:rPr>
        <w:t>(the</w:t>
      </w:r>
      <w:r>
        <w:rPr>
          <w:rFonts w:ascii="Lucida Sans Unicode"/>
          <w:spacing w:val="15"/>
        </w:rPr>
        <w:t> </w:t>
      </w:r>
      <w:r>
        <w:rPr>
          <w:rFonts w:ascii="Lucida Sans Unicode"/>
        </w:rPr>
        <w:t>right</w:t>
      </w:r>
      <w:r>
        <w:rPr>
          <w:rFonts w:ascii="Lucida Sans Unicode"/>
          <w:spacing w:val="16"/>
        </w:rPr>
        <w:t> </w:t>
      </w:r>
      <w:r>
        <w:rPr>
          <w:rFonts w:ascii="Lucida Sans Unicode"/>
          <w:spacing w:val="-5"/>
        </w:rPr>
        <w:t>to</w:t>
      </w:r>
    </w:p>
    <w:p>
      <w:pPr>
        <w:pStyle w:val="BodyText"/>
        <w:spacing w:line="239" w:lineRule="exact"/>
      </w:pPr>
      <w:r>
        <w:rPr>
          <w:w w:val="115"/>
        </w:rPr>
        <w:t>effective</w:t>
      </w:r>
      <w:r>
        <w:rPr>
          <w:spacing w:val="-4"/>
          <w:w w:val="115"/>
        </w:rPr>
        <w:t> </w:t>
      </w:r>
      <w:r>
        <w:rPr>
          <w:w w:val="115"/>
        </w:rPr>
        <w:t>judicial</w:t>
      </w:r>
      <w:r>
        <w:rPr>
          <w:spacing w:val="-4"/>
          <w:w w:val="115"/>
        </w:rPr>
        <w:t> </w:t>
      </w:r>
      <w:r>
        <w:rPr>
          <w:w w:val="115"/>
        </w:rPr>
        <w:t>protection</w:t>
      </w:r>
      <w:r>
        <w:rPr>
          <w:spacing w:val="-4"/>
          <w:w w:val="115"/>
        </w:rPr>
        <w:t> </w:t>
      </w:r>
      <w:r>
        <w:rPr>
          <w:spacing w:val="-2"/>
          <w:w w:val="115"/>
        </w:rPr>
        <w:t>including</w:t>
      </w:r>
    </w:p>
    <w:p>
      <w:pPr>
        <w:spacing w:after="0" w:line="239" w:lineRule="exact"/>
        <w:sectPr>
          <w:type w:val="continuous"/>
          <w:pgSz w:w="11910" w:h="16840"/>
          <w:pgMar w:header="568" w:footer="580" w:top="0" w:bottom="280" w:left="1020" w:right="1020"/>
          <w:cols w:num="2" w:equalWidth="0">
            <w:col w:w="4651" w:space="394"/>
            <w:col w:w="4825"/>
          </w:cols>
        </w:sectPr>
      </w:pPr>
    </w:p>
    <w:p>
      <w:pPr>
        <w:pStyle w:val="BodyText"/>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83" name="Group 83"/>
                <wp:cNvGraphicFramePr>
                  <a:graphicFrameLocks/>
                </wp:cNvGraphicFramePr>
                <a:graphic>
                  <a:graphicData uri="http://schemas.microsoft.com/office/word/2010/wordprocessingGroup">
                    <wpg:wgp>
                      <wpg:cNvPr id="83" name="Group 83"/>
                      <wpg:cNvGrpSpPr/>
                      <wpg:grpSpPr>
                        <a:xfrm>
                          <a:off x="0" y="0"/>
                          <a:ext cx="6120130" cy="6350"/>
                          <a:chExt cx="6120130" cy="6350"/>
                        </a:xfrm>
                      </wpg:grpSpPr>
                      <wps:wsp>
                        <wps:cNvPr id="84" name="Graphic 84"/>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60"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7" w:val="left" w:leader="none"/>
        </w:tabs>
        <w:spacing w:line="194" w:lineRule="auto" w:before="94" w:after="0"/>
        <w:ind w:left="567" w:right="127" w:hanging="454"/>
        <w:jc w:val="left"/>
        <w:rPr>
          <w:sz w:val="16"/>
        </w:rPr>
      </w:pPr>
      <w:r>
        <w:rPr>
          <w:rFonts w:ascii="Verdana" w:hAnsi="Verdana"/>
          <w:i/>
          <w:sz w:val="16"/>
        </w:rPr>
        <w:t>Kücükdeveci </w:t>
      </w:r>
      <w:r>
        <w:rPr>
          <w:sz w:val="16"/>
        </w:rPr>
        <w:t>(n</w:t>
      </w:r>
      <w:r>
        <w:rPr>
          <w:spacing w:val="19"/>
          <w:sz w:val="16"/>
        </w:rPr>
        <w:t> </w:t>
      </w:r>
      <w:r>
        <w:rPr>
          <w:sz w:val="16"/>
        </w:rPr>
        <w:t>69)</w:t>
      </w:r>
      <w:r>
        <w:rPr>
          <w:spacing w:val="19"/>
          <w:sz w:val="16"/>
        </w:rPr>
        <w:t> </w:t>
      </w:r>
      <w:r>
        <w:rPr>
          <w:sz w:val="16"/>
        </w:rPr>
        <w:t>para</w:t>
      </w:r>
      <w:r>
        <w:rPr>
          <w:spacing w:val="19"/>
          <w:sz w:val="16"/>
        </w:rPr>
        <w:t> </w:t>
      </w:r>
      <w:r>
        <w:rPr>
          <w:sz w:val="16"/>
        </w:rPr>
        <w:t>21;</w:t>
      </w:r>
      <w:r>
        <w:rPr>
          <w:spacing w:val="19"/>
          <w:sz w:val="16"/>
        </w:rPr>
        <w:t> </w:t>
      </w:r>
      <w:r>
        <w:rPr>
          <w:sz w:val="16"/>
        </w:rPr>
        <w:t>see</w:t>
      </w:r>
      <w:r>
        <w:rPr>
          <w:spacing w:val="19"/>
          <w:sz w:val="16"/>
        </w:rPr>
        <w:t> </w:t>
      </w:r>
      <w:r>
        <w:rPr>
          <w:sz w:val="16"/>
        </w:rPr>
        <w:t>also</w:t>
      </w:r>
      <w:r>
        <w:rPr>
          <w:spacing w:val="19"/>
          <w:sz w:val="16"/>
        </w:rPr>
        <w:t> </w:t>
      </w:r>
      <w:r>
        <w:rPr>
          <w:rFonts w:ascii="Verdana" w:hAnsi="Verdana"/>
          <w:i/>
          <w:sz w:val="16"/>
        </w:rPr>
        <w:t>Mangold </w:t>
      </w:r>
      <w:r>
        <w:rPr>
          <w:rFonts w:ascii="Arial" w:hAnsi="Arial"/>
          <w:sz w:val="16"/>
        </w:rPr>
        <w:t>(n</w:t>
      </w:r>
      <w:r>
        <w:rPr>
          <w:rFonts w:ascii="Arial" w:hAnsi="Arial"/>
          <w:spacing w:val="25"/>
          <w:sz w:val="16"/>
        </w:rPr>
        <w:t> </w:t>
      </w:r>
      <w:r>
        <w:rPr>
          <w:rFonts w:ascii="Arial" w:hAnsi="Arial"/>
          <w:sz w:val="16"/>
        </w:rPr>
        <w:t>76);</w:t>
      </w:r>
      <w:r>
        <w:rPr>
          <w:rFonts w:ascii="Arial" w:hAnsi="Arial"/>
          <w:spacing w:val="21"/>
          <w:w w:val="110"/>
          <w:sz w:val="16"/>
        </w:rPr>
        <w:t> </w:t>
      </w:r>
      <w:r>
        <w:rPr>
          <w:rFonts w:ascii="Arial" w:hAnsi="Arial"/>
          <w:w w:val="110"/>
          <w:sz w:val="16"/>
        </w:rPr>
        <w:t>for</w:t>
      </w:r>
      <w:r>
        <w:rPr>
          <w:rFonts w:ascii="Arial" w:hAnsi="Arial"/>
          <w:spacing w:val="21"/>
          <w:w w:val="110"/>
          <w:sz w:val="16"/>
        </w:rPr>
        <w:t> </w:t>
      </w:r>
      <w:r>
        <w:rPr>
          <w:rFonts w:ascii="Arial" w:hAnsi="Arial"/>
          <w:sz w:val="16"/>
        </w:rPr>
        <w:t>a</w:t>
      </w:r>
      <w:r>
        <w:rPr>
          <w:rFonts w:ascii="Arial" w:hAnsi="Arial"/>
          <w:spacing w:val="25"/>
          <w:sz w:val="16"/>
        </w:rPr>
        <w:t> </w:t>
      </w:r>
      <w:r>
        <w:rPr>
          <w:rFonts w:ascii="Arial" w:hAnsi="Arial"/>
          <w:sz w:val="16"/>
        </w:rPr>
        <w:t>detailed</w:t>
      </w:r>
      <w:r>
        <w:rPr>
          <w:rFonts w:ascii="Arial" w:hAnsi="Arial"/>
          <w:spacing w:val="25"/>
          <w:sz w:val="16"/>
        </w:rPr>
        <w:t> </w:t>
      </w:r>
      <w:r>
        <w:rPr>
          <w:rFonts w:ascii="Arial" w:hAnsi="Arial"/>
          <w:sz w:val="16"/>
        </w:rPr>
        <w:t>account</w:t>
      </w:r>
      <w:r>
        <w:rPr>
          <w:rFonts w:ascii="Arial" w:hAnsi="Arial"/>
          <w:spacing w:val="21"/>
          <w:w w:val="110"/>
          <w:sz w:val="16"/>
        </w:rPr>
        <w:t> </w:t>
      </w:r>
      <w:r>
        <w:rPr>
          <w:rFonts w:ascii="Arial" w:hAnsi="Arial"/>
          <w:w w:val="110"/>
          <w:sz w:val="16"/>
        </w:rPr>
        <w:t>of</w:t>
      </w:r>
      <w:r>
        <w:rPr>
          <w:rFonts w:ascii="Arial" w:hAnsi="Arial"/>
          <w:spacing w:val="21"/>
          <w:w w:val="110"/>
          <w:sz w:val="16"/>
        </w:rPr>
        <w:t> </w:t>
      </w:r>
      <w:r>
        <w:rPr>
          <w:rFonts w:ascii="Arial" w:hAnsi="Arial"/>
          <w:sz w:val="16"/>
        </w:rPr>
        <w:t>the</w:t>
      </w:r>
      <w:r>
        <w:rPr>
          <w:rFonts w:ascii="Arial" w:hAnsi="Arial"/>
          <w:spacing w:val="25"/>
          <w:sz w:val="16"/>
        </w:rPr>
        <w:t> </w:t>
      </w:r>
      <w:r>
        <w:rPr>
          <w:rFonts w:ascii="Arial" w:hAnsi="Arial"/>
          <w:sz w:val="16"/>
        </w:rPr>
        <w:t>case</w:t>
      </w:r>
      <w:r>
        <w:rPr>
          <w:rFonts w:ascii="Arial" w:hAnsi="Arial"/>
          <w:spacing w:val="25"/>
          <w:sz w:val="16"/>
        </w:rPr>
        <w:t> </w:t>
      </w:r>
      <w:r>
        <w:rPr>
          <w:rFonts w:ascii="Arial" w:hAnsi="Arial"/>
          <w:sz w:val="16"/>
        </w:rPr>
        <w:t>law</w:t>
      </w:r>
      <w:r>
        <w:rPr>
          <w:rFonts w:ascii="Arial" w:hAnsi="Arial"/>
          <w:spacing w:val="25"/>
          <w:sz w:val="16"/>
        </w:rPr>
        <w:t> </w:t>
      </w:r>
      <w:r>
        <w:rPr>
          <w:rFonts w:ascii="Arial" w:hAnsi="Arial"/>
          <w:sz w:val="16"/>
        </w:rPr>
        <w:t>see</w:t>
      </w:r>
      <w:r>
        <w:rPr>
          <w:rFonts w:ascii="Arial" w:hAnsi="Arial"/>
          <w:spacing w:val="25"/>
          <w:sz w:val="16"/>
        </w:rPr>
        <w:t> </w:t>
      </w:r>
      <w:r>
        <w:rPr>
          <w:rFonts w:ascii="Arial" w:hAnsi="Arial"/>
          <w:sz w:val="16"/>
        </w:rPr>
        <w:t>also</w:t>
      </w:r>
      <w:r>
        <w:rPr>
          <w:rFonts w:ascii="Arial" w:hAnsi="Arial"/>
          <w:spacing w:val="25"/>
          <w:sz w:val="16"/>
        </w:rPr>
        <w:t> </w:t>
      </w:r>
      <w:r>
        <w:rPr>
          <w:rFonts w:ascii="Arial" w:hAnsi="Arial"/>
          <w:sz w:val="16"/>
        </w:rPr>
        <w:t>Elise</w:t>
      </w:r>
      <w:r>
        <w:rPr>
          <w:rFonts w:ascii="Arial" w:hAnsi="Arial"/>
          <w:spacing w:val="25"/>
          <w:sz w:val="16"/>
        </w:rPr>
        <w:t> </w:t>
      </w:r>
      <w:r>
        <w:rPr>
          <w:rFonts w:ascii="Arial" w:hAnsi="Arial"/>
          <w:sz w:val="16"/>
        </w:rPr>
        <w:t>Muir,</w:t>
      </w:r>
      <w:r>
        <w:rPr>
          <w:rFonts w:ascii="Arial" w:hAnsi="Arial"/>
          <w:spacing w:val="25"/>
          <w:sz w:val="16"/>
        </w:rPr>
        <w:t> </w:t>
      </w:r>
      <w:r>
        <w:rPr>
          <w:rFonts w:ascii="Arial" w:hAnsi="Arial"/>
          <w:sz w:val="16"/>
        </w:rPr>
        <w:t>‘The Horizontal</w:t>
      </w:r>
      <w:r>
        <w:rPr>
          <w:rFonts w:ascii="Arial" w:hAnsi="Arial"/>
          <w:spacing w:val="32"/>
          <w:sz w:val="16"/>
        </w:rPr>
        <w:t> </w:t>
      </w:r>
      <w:r>
        <w:rPr>
          <w:rFonts w:ascii="Arial" w:hAnsi="Arial"/>
          <w:sz w:val="16"/>
        </w:rPr>
        <w:t>Effects</w:t>
      </w:r>
      <w:r>
        <w:rPr>
          <w:rFonts w:ascii="Arial" w:hAnsi="Arial"/>
          <w:spacing w:val="28"/>
          <w:w w:val="110"/>
          <w:sz w:val="16"/>
        </w:rPr>
        <w:t> </w:t>
      </w:r>
      <w:r>
        <w:rPr>
          <w:rFonts w:ascii="Arial" w:hAnsi="Arial"/>
          <w:w w:val="110"/>
          <w:sz w:val="16"/>
        </w:rPr>
        <w:t>of</w:t>
      </w:r>
      <w:r>
        <w:rPr>
          <w:rFonts w:ascii="Arial" w:hAnsi="Arial"/>
          <w:spacing w:val="28"/>
          <w:w w:val="110"/>
          <w:sz w:val="16"/>
        </w:rPr>
        <w:t> </w:t>
      </w:r>
      <w:r>
        <w:rPr>
          <w:rFonts w:ascii="Arial" w:hAnsi="Arial"/>
          <w:sz w:val="16"/>
        </w:rPr>
        <w:t>Charter</w:t>
      </w:r>
      <w:r>
        <w:rPr>
          <w:rFonts w:ascii="Arial" w:hAnsi="Arial"/>
          <w:spacing w:val="32"/>
          <w:sz w:val="16"/>
        </w:rPr>
        <w:t> </w:t>
      </w:r>
      <w:r>
        <w:rPr>
          <w:rFonts w:ascii="Arial" w:hAnsi="Arial"/>
          <w:sz w:val="16"/>
        </w:rPr>
        <w:t>Rights</w:t>
      </w:r>
      <w:r>
        <w:rPr>
          <w:rFonts w:ascii="Arial" w:hAnsi="Arial"/>
          <w:spacing w:val="32"/>
          <w:sz w:val="16"/>
        </w:rPr>
        <w:t> </w:t>
      </w:r>
      <w:r>
        <w:rPr>
          <w:rFonts w:ascii="Arial" w:hAnsi="Arial"/>
          <w:sz w:val="16"/>
        </w:rPr>
        <w:t>Given</w:t>
      </w:r>
      <w:r>
        <w:rPr>
          <w:rFonts w:ascii="Arial" w:hAnsi="Arial"/>
          <w:spacing w:val="32"/>
          <w:sz w:val="16"/>
        </w:rPr>
        <w:t> </w:t>
      </w:r>
      <w:r>
        <w:rPr>
          <w:rFonts w:ascii="Arial" w:hAnsi="Arial"/>
          <w:sz w:val="16"/>
        </w:rPr>
        <w:t>Expression</w:t>
      </w:r>
      <w:r>
        <w:rPr>
          <w:rFonts w:ascii="Arial" w:hAnsi="Arial"/>
          <w:spacing w:val="28"/>
          <w:w w:val="110"/>
          <w:sz w:val="16"/>
        </w:rPr>
        <w:t> </w:t>
      </w:r>
      <w:r>
        <w:rPr>
          <w:rFonts w:ascii="Arial" w:hAnsi="Arial"/>
          <w:w w:val="110"/>
          <w:sz w:val="16"/>
        </w:rPr>
        <w:t>to</w:t>
      </w:r>
      <w:r>
        <w:rPr>
          <w:rFonts w:ascii="Arial" w:hAnsi="Arial"/>
          <w:spacing w:val="28"/>
          <w:w w:val="110"/>
          <w:sz w:val="16"/>
        </w:rPr>
        <w:t> </w:t>
      </w:r>
      <w:r>
        <w:rPr>
          <w:rFonts w:ascii="Arial" w:hAnsi="Arial"/>
          <w:sz w:val="16"/>
        </w:rPr>
        <w:t>in</w:t>
      </w:r>
      <w:r>
        <w:rPr>
          <w:rFonts w:ascii="Arial" w:hAnsi="Arial"/>
          <w:spacing w:val="32"/>
          <w:sz w:val="16"/>
        </w:rPr>
        <w:t> </w:t>
      </w:r>
      <w:r>
        <w:rPr>
          <w:rFonts w:ascii="Arial" w:hAnsi="Arial"/>
          <w:sz w:val="16"/>
        </w:rPr>
        <w:t>EU</w:t>
      </w:r>
      <w:r>
        <w:rPr>
          <w:rFonts w:ascii="Arial" w:hAnsi="Arial"/>
          <w:spacing w:val="32"/>
          <w:sz w:val="16"/>
        </w:rPr>
        <w:t> </w:t>
      </w:r>
      <w:r>
        <w:rPr>
          <w:rFonts w:ascii="Arial" w:hAnsi="Arial"/>
          <w:sz w:val="16"/>
        </w:rPr>
        <w:t>Legislation,</w:t>
      </w:r>
      <w:r>
        <w:rPr>
          <w:rFonts w:ascii="Arial" w:hAnsi="Arial"/>
          <w:spacing w:val="28"/>
          <w:w w:val="110"/>
          <w:sz w:val="16"/>
        </w:rPr>
        <w:t> </w:t>
      </w:r>
      <w:r>
        <w:rPr>
          <w:rFonts w:ascii="Arial" w:hAnsi="Arial"/>
          <w:w w:val="110"/>
          <w:sz w:val="16"/>
        </w:rPr>
        <w:t>from</w:t>
      </w:r>
      <w:r>
        <w:rPr>
          <w:rFonts w:ascii="Arial" w:hAnsi="Arial"/>
          <w:spacing w:val="28"/>
          <w:w w:val="110"/>
          <w:sz w:val="16"/>
        </w:rPr>
        <w:t> </w:t>
      </w:r>
      <w:r>
        <w:rPr>
          <w:rFonts w:ascii="Verdana" w:hAnsi="Verdana"/>
          <w:i/>
          <w:sz w:val="16"/>
        </w:rPr>
        <w:t>Mangold</w:t>
      </w:r>
      <w:r>
        <w:rPr>
          <w:rFonts w:ascii="Verdana" w:hAnsi="Verdana"/>
          <w:i/>
          <w:w w:val="110"/>
          <w:sz w:val="16"/>
        </w:rPr>
        <w:t> </w:t>
      </w:r>
      <w:r>
        <w:rPr>
          <w:rFonts w:ascii="Arial" w:hAnsi="Arial"/>
          <w:w w:val="110"/>
          <w:sz w:val="16"/>
        </w:rPr>
        <w:t>to</w:t>
      </w:r>
      <w:r>
        <w:rPr>
          <w:rFonts w:ascii="Arial" w:hAnsi="Arial"/>
          <w:spacing w:val="28"/>
          <w:w w:val="110"/>
          <w:sz w:val="16"/>
        </w:rPr>
        <w:t> </w:t>
      </w:r>
      <w:r>
        <w:rPr>
          <w:rFonts w:ascii="Verdana" w:hAnsi="Verdana"/>
          <w:i/>
          <w:sz w:val="16"/>
        </w:rPr>
        <w:t>Bauer</w:t>
      </w:r>
      <w:r>
        <w:rPr>
          <w:sz w:val="16"/>
        </w:rPr>
        <w:t>’</w:t>
      </w:r>
      <w:r>
        <w:rPr>
          <w:spacing w:val="26"/>
          <w:sz w:val="16"/>
        </w:rPr>
        <w:t> </w:t>
      </w:r>
      <w:r>
        <w:rPr>
          <w:sz w:val="16"/>
        </w:rPr>
        <w:t>(2019)</w:t>
      </w:r>
      <w:r>
        <w:rPr>
          <w:spacing w:val="26"/>
          <w:sz w:val="16"/>
        </w:rPr>
        <w:t> </w:t>
      </w:r>
      <w:r>
        <w:rPr>
          <w:sz w:val="16"/>
        </w:rPr>
        <w:t>12:2</w:t>
      </w:r>
      <w:r>
        <w:rPr>
          <w:spacing w:val="26"/>
          <w:sz w:val="16"/>
        </w:rPr>
        <w:t> </w:t>
      </w:r>
      <w:r>
        <w:rPr>
          <w:rFonts w:ascii="Verdana" w:hAnsi="Verdana"/>
          <w:i/>
          <w:sz w:val="16"/>
        </w:rPr>
        <w:t>REAL</w:t>
      </w:r>
      <w:r>
        <w:rPr>
          <w:rFonts w:ascii="Verdana" w:hAnsi="Verdana"/>
          <w:i/>
          <w:sz w:val="16"/>
        </w:rPr>
        <w:t> </w:t>
      </w:r>
      <w:r>
        <w:rPr>
          <w:spacing w:val="-4"/>
          <w:sz w:val="16"/>
        </w:rPr>
        <w:t>185.</w:t>
      </w:r>
    </w:p>
    <w:p>
      <w:pPr>
        <w:pStyle w:val="ListParagraph"/>
        <w:numPr>
          <w:ilvl w:val="0"/>
          <w:numId w:val="6"/>
        </w:numPr>
        <w:tabs>
          <w:tab w:pos="567" w:val="left" w:leader="none"/>
        </w:tabs>
        <w:spacing w:line="192" w:lineRule="exact" w:before="0" w:after="0"/>
        <w:ind w:left="567" w:right="0" w:hanging="454"/>
        <w:jc w:val="left"/>
        <w:rPr>
          <w:sz w:val="16"/>
        </w:rPr>
      </w:pPr>
      <w:r>
        <w:rPr>
          <w:rFonts w:ascii="Verdana"/>
          <w:i/>
          <w:sz w:val="16"/>
        </w:rPr>
        <w:t>Marshall</w:t>
      </w:r>
      <w:r>
        <w:rPr>
          <w:rFonts w:ascii="Verdana"/>
          <w:i/>
          <w:spacing w:val="-11"/>
          <w:sz w:val="16"/>
        </w:rPr>
        <w:t> </w:t>
      </w:r>
      <w:r>
        <w:rPr>
          <w:sz w:val="16"/>
        </w:rPr>
        <w:t>(n</w:t>
      </w:r>
      <w:r>
        <w:rPr>
          <w:spacing w:val="-5"/>
          <w:sz w:val="16"/>
        </w:rPr>
        <w:t> </w:t>
      </w:r>
      <w:r>
        <w:rPr>
          <w:spacing w:val="-4"/>
          <w:sz w:val="16"/>
        </w:rPr>
        <w:t>80).</w:t>
      </w:r>
    </w:p>
    <w:p>
      <w:pPr>
        <w:pStyle w:val="ListParagraph"/>
        <w:numPr>
          <w:ilvl w:val="0"/>
          <w:numId w:val="6"/>
        </w:numPr>
        <w:tabs>
          <w:tab w:pos="567" w:val="left" w:leader="none"/>
        </w:tabs>
        <w:spacing w:line="200" w:lineRule="exact" w:before="0" w:after="0"/>
        <w:ind w:left="567" w:right="0" w:hanging="454"/>
        <w:jc w:val="left"/>
        <w:rPr>
          <w:sz w:val="16"/>
        </w:rPr>
      </w:pPr>
      <w:r>
        <w:rPr>
          <w:rFonts w:ascii="Verdana"/>
          <w:i/>
          <w:spacing w:val="-2"/>
          <w:sz w:val="16"/>
        </w:rPr>
        <w:t>Ibid</w:t>
      </w:r>
      <w:r>
        <w:rPr>
          <w:rFonts w:ascii="Arial"/>
          <w:spacing w:val="-2"/>
          <w:sz w:val="16"/>
        </w:rPr>
        <w:t>.</w:t>
      </w:r>
    </w:p>
    <w:p>
      <w:pPr>
        <w:pStyle w:val="ListParagraph"/>
        <w:numPr>
          <w:ilvl w:val="0"/>
          <w:numId w:val="6"/>
        </w:numPr>
        <w:tabs>
          <w:tab w:pos="567" w:val="left" w:leader="none"/>
        </w:tabs>
        <w:spacing w:line="200" w:lineRule="exact" w:before="0" w:after="0"/>
        <w:ind w:left="567" w:right="0" w:hanging="454"/>
        <w:jc w:val="left"/>
        <w:rPr>
          <w:sz w:val="16"/>
        </w:rPr>
      </w:pPr>
      <w:r>
        <w:rPr>
          <w:rFonts w:ascii="Verdana"/>
          <w:i/>
          <w:sz w:val="16"/>
        </w:rPr>
        <w:t>Egenberger</w:t>
      </w:r>
      <w:r>
        <w:rPr>
          <w:rFonts w:ascii="Verdana"/>
          <w:i/>
          <w:spacing w:val="-6"/>
          <w:sz w:val="16"/>
        </w:rPr>
        <w:t> </w:t>
      </w:r>
      <w:r>
        <w:rPr>
          <w:sz w:val="16"/>
        </w:rPr>
        <w:t>(n</w:t>
      </w:r>
      <w:r>
        <w:rPr>
          <w:spacing w:val="1"/>
          <w:sz w:val="16"/>
        </w:rPr>
        <w:t> </w:t>
      </w:r>
      <w:r>
        <w:rPr>
          <w:sz w:val="16"/>
        </w:rPr>
        <w:t>66);</w:t>
      </w:r>
      <w:r>
        <w:rPr>
          <w:spacing w:val="1"/>
          <w:sz w:val="16"/>
        </w:rPr>
        <w:t> </w:t>
      </w:r>
      <w:r>
        <w:rPr>
          <w:sz w:val="16"/>
        </w:rPr>
        <w:t>Case</w:t>
      </w:r>
      <w:r>
        <w:rPr>
          <w:spacing w:val="1"/>
          <w:sz w:val="16"/>
        </w:rPr>
        <w:t> </w:t>
      </w:r>
      <w:r>
        <w:rPr>
          <w:sz w:val="16"/>
        </w:rPr>
        <w:t>C684/16,</w:t>
      </w:r>
      <w:r>
        <w:rPr>
          <w:spacing w:val="1"/>
          <w:sz w:val="16"/>
        </w:rPr>
        <w:t> </w:t>
      </w:r>
      <w:r>
        <w:rPr>
          <w:rFonts w:ascii="Verdana"/>
          <w:i/>
          <w:sz w:val="16"/>
        </w:rPr>
        <w:t>Cresco</w:t>
      </w:r>
      <w:r>
        <w:rPr>
          <w:rFonts w:ascii="Verdana"/>
          <w:i/>
          <w:spacing w:val="-5"/>
          <w:sz w:val="16"/>
        </w:rPr>
        <w:t> </w:t>
      </w:r>
      <w:r>
        <w:rPr>
          <w:rFonts w:ascii="Arial"/>
          <w:sz w:val="16"/>
        </w:rPr>
        <w:t>(n</w:t>
      </w:r>
      <w:r>
        <w:rPr>
          <w:rFonts w:ascii="Arial"/>
          <w:spacing w:val="7"/>
          <w:sz w:val="16"/>
        </w:rPr>
        <w:t> </w:t>
      </w:r>
      <w:r>
        <w:rPr>
          <w:rFonts w:ascii="Arial"/>
          <w:spacing w:val="-4"/>
          <w:sz w:val="16"/>
        </w:rPr>
        <w:t>76).</w:t>
      </w:r>
    </w:p>
    <w:p>
      <w:pPr>
        <w:pStyle w:val="ListParagraph"/>
        <w:numPr>
          <w:ilvl w:val="0"/>
          <w:numId w:val="6"/>
        </w:numPr>
        <w:tabs>
          <w:tab w:pos="567" w:val="left" w:leader="none"/>
        </w:tabs>
        <w:spacing w:line="200" w:lineRule="exact" w:before="0" w:after="0"/>
        <w:ind w:left="567" w:right="0" w:hanging="454"/>
        <w:jc w:val="left"/>
        <w:rPr>
          <w:sz w:val="16"/>
        </w:rPr>
      </w:pPr>
      <w:r>
        <w:rPr>
          <w:rFonts w:ascii="Verdana" w:hAnsi="Verdana"/>
          <w:i/>
          <w:sz w:val="16"/>
        </w:rPr>
        <w:t>Bauer</w:t>
      </w:r>
      <w:r>
        <w:rPr>
          <w:rFonts w:ascii="Verdana" w:hAnsi="Verdana"/>
          <w:i/>
          <w:spacing w:val="-9"/>
          <w:sz w:val="16"/>
        </w:rPr>
        <w:t> </w:t>
      </w:r>
      <w:r>
        <w:rPr>
          <w:rFonts w:ascii="Verdana" w:hAnsi="Verdana"/>
          <w:i/>
          <w:sz w:val="16"/>
        </w:rPr>
        <w:t>and</w:t>
      </w:r>
      <w:r>
        <w:rPr>
          <w:rFonts w:ascii="Verdana" w:hAnsi="Verdana"/>
          <w:i/>
          <w:spacing w:val="-8"/>
          <w:sz w:val="16"/>
        </w:rPr>
        <w:t> </w:t>
      </w:r>
      <w:r>
        <w:rPr>
          <w:rFonts w:ascii="Verdana" w:hAnsi="Verdana"/>
          <w:i/>
          <w:sz w:val="16"/>
        </w:rPr>
        <w:t>Broßonn</w:t>
      </w:r>
      <w:r>
        <w:rPr>
          <w:rFonts w:ascii="Verdana" w:hAnsi="Verdana"/>
          <w:i/>
          <w:spacing w:val="-8"/>
          <w:sz w:val="16"/>
        </w:rPr>
        <w:t> </w:t>
      </w:r>
      <w:r>
        <w:rPr>
          <w:sz w:val="16"/>
        </w:rPr>
        <w:t>(n</w:t>
      </w:r>
      <w:r>
        <w:rPr>
          <w:spacing w:val="-2"/>
          <w:sz w:val="16"/>
        </w:rPr>
        <w:t> </w:t>
      </w:r>
      <w:r>
        <w:rPr>
          <w:sz w:val="16"/>
        </w:rPr>
        <w:t>21);</w:t>
      </w:r>
      <w:r>
        <w:rPr>
          <w:spacing w:val="-2"/>
          <w:sz w:val="16"/>
        </w:rPr>
        <w:t> </w:t>
      </w:r>
      <w:r>
        <w:rPr>
          <w:rFonts w:ascii="Verdana" w:hAnsi="Verdana"/>
          <w:i/>
          <w:sz w:val="16"/>
        </w:rPr>
        <w:t>CCOO</w:t>
      </w:r>
      <w:r>
        <w:rPr>
          <w:rFonts w:ascii="Verdana" w:hAnsi="Verdana"/>
          <w:i/>
          <w:spacing w:val="-8"/>
          <w:sz w:val="16"/>
        </w:rPr>
        <w:t> </w:t>
      </w:r>
      <w:r>
        <w:rPr>
          <w:sz w:val="16"/>
        </w:rPr>
        <w:t>(n</w:t>
      </w:r>
      <w:r>
        <w:rPr>
          <w:spacing w:val="-2"/>
          <w:sz w:val="16"/>
        </w:rPr>
        <w:t> </w:t>
      </w:r>
      <w:r>
        <w:rPr>
          <w:spacing w:val="-4"/>
          <w:sz w:val="16"/>
        </w:rPr>
        <w:t>70).</w:t>
      </w:r>
    </w:p>
    <w:p>
      <w:pPr>
        <w:pStyle w:val="ListParagraph"/>
        <w:numPr>
          <w:ilvl w:val="0"/>
          <w:numId w:val="6"/>
        </w:numPr>
        <w:tabs>
          <w:tab w:pos="567" w:val="left" w:leader="none"/>
        </w:tabs>
        <w:spacing w:line="218" w:lineRule="auto" w:before="0" w:after="0"/>
        <w:ind w:left="567" w:right="266" w:hanging="454"/>
        <w:jc w:val="left"/>
        <w:rPr>
          <w:sz w:val="16"/>
        </w:rPr>
      </w:pPr>
      <w:r>
        <w:rPr>
          <w:rFonts w:ascii="Arial"/>
          <w:w w:val="115"/>
          <w:sz w:val="16"/>
        </w:rPr>
        <w:t>NB</w:t>
      </w:r>
      <w:r>
        <w:rPr>
          <w:rFonts w:ascii="Arial"/>
          <w:spacing w:val="-3"/>
          <w:w w:val="115"/>
          <w:sz w:val="16"/>
        </w:rPr>
        <w:t> </w:t>
      </w:r>
      <w:r>
        <w:rPr>
          <w:rFonts w:ascii="Arial"/>
          <w:w w:val="115"/>
          <w:sz w:val="16"/>
        </w:rPr>
        <w:t>that</w:t>
      </w:r>
      <w:r>
        <w:rPr>
          <w:rFonts w:ascii="Arial"/>
          <w:spacing w:val="-3"/>
          <w:w w:val="115"/>
          <w:sz w:val="16"/>
        </w:rPr>
        <w:t> </w:t>
      </w:r>
      <w:r>
        <w:rPr>
          <w:rFonts w:ascii="Arial"/>
          <w:w w:val="115"/>
          <w:sz w:val="16"/>
        </w:rPr>
        <w:t>the</w:t>
      </w:r>
      <w:r>
        <w:rPr>
          <w:rFonts w:ascii="Arial"/>
          <w:spacing w:val="-3"/>
          <w:w w:val="115"/>
          <w:sz w:val="16"/>
        </w:rPr>
        <w:t> </w:t>
      </w:r>
      <w:r>
        <w:rPr>
          <w:rFonts w:ascii="Arial"/>
          <w:w w:val="115"/>
          <w:sz w:val="16"/>
        </w:rPr>
        <w:t>principle</w:t>
      </w:r>
      <w:r>
        <w:rPr>
          <w:rFonts w:ascii="Arial"/>
          <w:spacing w:val="-3"/>
          <w:w w:val="115"/>
          <w:sz w:val="16"/>
        </w:rPr>
        <w:t> </w:t>
      </w:r>
      <w:r>
        <w:rPr>
          <w:rFonts w:ascii="Arial"/>
          <w:w w:val="115"/>
          <w:sz w:val="16"/>
        </w:rPr>
        <w:t>of</w:t>
      </w:r>
      <w:r>
        <w:rPr>
          <w:rFonts w:ascii="Arial"/>
          <w:spacing w:val="-3"/>
          <w:w w:val="115"/>
          <w:sz w:val="16"/>
        </w:rPr>
        <w:t> </w:t>
      </w:r>
      <w:r>
        <w:rPr>
          <w:rFonts w:ascii="Arial"/>
          <w:w w:val="115"/>
          <w:sz w:val="16"/>
        </w:rPr>
        <w:t>effectiveness</w:t>
      </w:r>
      <w:r>
        <w:rPr>
          <w:rFonts w:ascii="Arial"/>
          <w:spacing w:val="-3"/>
          <w:w w:val="115"/>
          <w:sz w:val="16"/>
        </w:rPr>
        <w:t> </w:t>
      </w:r>
      <w:r>
        <w:rPr>
          <w:rFonts w:ascii="Arial"/>
          <w:w w:val="115"/>
          <w:sz w:val="16"/>
        </w:rPr>
        <w:t>is</w:t>
      </w:r>
      <w:r>
        <w:rPr>
          <w:rFonts w:ascii="Arial"/>
          <w:spacing w:val="-3"/>
          <w:w w:val="115"/>
          <w:sz w:val="16"/>
        </w:rPr>
        <w:t> </w:t>
      </w:r>
      <w:r>
        <w:rPr>
          <w:rFonts w:ascii="Arial"/>
          <w:w w:val="115"/>
          <w:sz w:val="16"/>
        </w:rPr>
        <w:t>a</w:t>
      </w:r>
      <w:r>
        <w:rPr>
          <w:rFonts w:ascii="Arial"/>
          <w:spacing w:val="-3"/>
          <w:w w:val="115"/>
          <w:sz w:val="16"/>
        </w:rPr>
        <w:t> </w:t>
      </w:r>
      <w:r>
        <w:rPr>
          <w:rFonts w:ascii="Arial"/>
          <w:w w:val="115"/>
          <w:sz w:val="16"/>
        </w:rPr>
        <w:t>broader</w:t>
      </w:r>
      <w:r>
        <w:rPr>
          <w:rFonts w:ascii="Arial"/>
          <w:spacing w:val="-3"/>
          <w:w w:val="115"/>
          <w:sz w:val="16"/>
        </w:rPr>
        <w:t> </w:t>
      </w:r>
      <w:r>
        <w:rPr>
          <w:rFonts w:ascii="Arial"/>
          <w:w w:val="115"/>
          <w:sz w:val="16"/>
        </w:rPr>
        <w:t>EU</w:t>
      </w:r>
      <w:r>
        <w:rPr>
          <w:rFonts w:ascii="Arial"/>
          <w:spacing w:val="-3"/>
          <w:w w:val="115"/>
          <w:sz w:val="16"/>
        </w:rPr>
        <w:t> </w:t>
      </w:r>
      <w:r>
        <w:rPr>
          <w:rFonts w:ascii="Arial"/>
          <w:w w:val="115"/>
          <w:sz w:val="16"/>
        </w:rPr>
        <w:t>law</w:t>
      </w:r>
      <w:r>
        <w:rPr>
          <w:rFonts w:ascii="Arial"/>
          <w:spacing w:val="-3"/>
          <w:w w:val="115"/>
          <w:sz w:val="16"/>
        </w:rPr>
        <w:t> </w:t>
      </w:r>
      <w:r>
        <w:rPr>
          <w:rFonts w:ascii="Arial"/>
          <w:w w:val="115"/>
          <w:sz w:val="16"/>
        </w:rPr>
        <w:t>principle</w:t>
      </w:r>
      <w:r>
        <w:rPr>
          <w:rFonts w:ascii="Arial"/>
          <w:spacing w:val="-3"/>
          <w:w w:val="115"/>
          <w:sz w:val="16"/>
        </w:rPr>
        <w:t> </w:t>
      </w:r>
      <w:r>
        <w:rPr>
          <w:rFonts w:ascii="Arial"/>
          <w:w w:val="115"/>
          <w:sz w:val="16"/>
        </w:rPr>
        <w:t>stemming</w:t>
      </w:r>
      <w:r>
        <w:rPr>
          <w:rFonts w:ascii="Arial"/>
          <w:spacing w:val="-3"/>
          <w:w w:val="115"/>
          <w:sz w:val="16"/>
        </w:rPr>
        <w:t> </w:t>
      </w:r>
      <w:r>
        <w:rPr>
          <w:rFonts w:ascii="Arial"/>
          <w:w w:val="115"/>
          <w:sz w:val="16"/>
        </w:rPr>
        <w:t>from</w:t>
      </w:r>
      <w:r>
        <w:rPr>
          <w:rFonts w:ascii="Arial"/>
          <w:spacing w:val="-3"/>
          <w:w w:val="115"/>
          <w:sz w:val="16"/>
        </w:rPr>
        <w:t> </w:t>
      </w:r>
      <w:r>
        <w:rPr>
          <w:rFonts w:ascii="Arial"/>
          <w:w w:val="115"/>
          <w:sz w:val="16"/>
        </w:rPr>
        <w:t>primacy,</w:t>
      </w:r>
      <w:r>
        <w:rPr>
          <w:rFonts w:ascii="Arial"/>
          <w:spacing w:val="-3"/>
          <w:w w:val="115"/>
          <w:sz w:val="16"/>
        </w:rPr>
        <w:t> </w:t>
      </w:r>
      <w:r>
        <w:rPr>
          <w:rFonts w:ascii="Arial"/>
          <w:w w:val="115"/>
          <w:sz w:val="16"/>
        </w:rPr>
        <w:t>which</w:t>
      </w:r>
      <w:r>
        <w:rPr>
          <w:rFonts w:ascii="Arial"/>
          <w:spacing w:val="-3"/>
          <w:w w:val="115"/>
          <w:sz w:val="16"/>
        </w:rPr>
        <w:t> </w:t>
      </w:r>
      <w:r>
        <w:rPr>
          <w:rFonts w:ascii="Arial"/>
          <w:w w:val="115"/>
          <w:sz w:val="16"/>
        </w:rPr>
        <w:t>applies</w:t>
      </w:r>
      <w:r>
        <w:rPr>
          <w:rFonts w:ascii="Arial"/>
          <w:spacing w:val="-3"/>
          <w:w w:val="115"/>
          <w:sz w:val="16"/>
        </w:rPr>
        <w:t> </w:t>
      </w:r>
      <w:r>
        <w:rPr>
          <w:rFonts w:ascii="Arial"/>
          <w:w w:val="115"/>
          <w:sz w:val="16"/>
        </w:rPr>
        <w:t>to implementation</w:t>
      </w:r>
      <w:r>
        <w:rPr>
          <w:rFonts w:ascii="Arial"/>
          <w:spacing w:val="-13"/>
          <w:w w:val="115"/>
          <w:sz w:val="16"/>
        </w:rPr>
        <w:t> </w:t>
      </w:r>
      <w:r>
        <w:rPr>
          <w:rFonts w:ascii="Arial"/>
          <w:w w:val="115"/>
          <w:sz w:val="16"/>
        </w:rPr>
        <w:t>of</w:t>
      </w:r>
      <w:r>
        <w:rPr>
          <w:rFonts w:ascii="Arial"/>
          <w:spacing w:val="-13"/>
          <w:w w:val="115"/>
          <w:sz w:val="16"/>
        </w:rPr>
        <w:t> </w:t>
      </w:r>
      <w:r>
        <w:rPr>
          <w:rFonts w:ascii="Arial"/>
          <w:w w:val="115"/>
          <w:sz w:val="16"/>
        </w:rPr>
        <w:t>EU</w:t>
      </w:r>
      <w:r>
        <w:rPr>
          <w:rFonts w:ascii="Arial"/>
          <w:spacing w:val="-13"/>
          <w:w w:val="115"/>
          <w:sz w:val="16"/>
        </w:rPr>
        <w:t> </w:t>
      </w:r>
      <w:r>
        <w:rPr>
          <w:rFonts w:ascii="Arial"/>
          <w:w w:val="115"/>
          <w:sz w:val="16"/>
        </w:rPr>
        <w:t>measures</w:t>
      </w:r>
      <w:r>
        <w:rPr>
          <w:rFonts w:ascii="Arial"/>
          <w:spacing w:val="-12"/>
          <w:w w:val="115"/>
          <w:sz w:val="16"/>
        </w:rPr>
        <w:t> </w:t>
      </w:r>
      <w:r>
        <w:rPr>
          <w:rFonts w:ascii="Arial"/>
          <w:w w:val="115"/>
          <w:sz w:val="16"/>
        </w:rPr>
        <w:t>and</w:t>
      </w:r>
      <w:r>
        <w:rPr>
          <w:rFonts w:ascii="Arial"/>
          <w:spacing w:val="-13"/>
          <w:w w:val="115"/>
          <w:sz w:val="16"/>
        </w:rPr>
        <w:t> </w:t>
      </w:r>
      <w:r>
        <w:rPr>
          <w:rFonts w:ascii="Arial"/>
          <w:w w:val="115"/>
          <w:sz w:val="16"/>
        </w:rPr>
        <w:t>not</w:t>
      </w:r>
      <w:r>
        <w:rPr>
          <w:rFonts w:ascii="Arial"/>
          <w:spacing w:val="-13"/>
          <w:w w:val="115"/>
          <w:sz w:val="16"/>
        </w:rPr>
        <w:t> </w:t>
      </w:r>
      <w:r>
        <w:rPr>
          <w:rFonts w:ascii="Arial"/>
          <w:w w:val="115"/>
          <w:sz w:val="16"/>
        </w:rPr>
        <w:t>only</w:t>
      </w:r>
      <w:r>
        <w:rPr>
          <w:rFonts w:ascii="Arial"/>
          <w:spacing w:val="-13"/>
          <w:w w:val="115"/>
          <w:sz w:val="16"/>
        </w:rPr>
        <w:t> </w:t>
      </w:r>
      <w:r>
        <w:rPr>
          <w:rFonts w:ascii="Arial"/>
          <w:w w:val="115"/>
          <w:sz w:val="16"/>
        </w:rPr>
        <w:t>to</w:t>
      </w:r>
      <w:r>
        <w:rPr>
          <w:rFonts w:ascii="Arial"/>
          <w:spacing w:val="-12"/>
          <w:w w:val="115"/>
          <w:sz w:val="16"/>
        </w:rPr>
        <w:t> </w:t>
      </w:r>
      <w:r>
        <w:rPr>
          <w:rFonts w:ascii="Arial"/>
          <w:w w:val="115"/>
          <w:sz w:val="16"/>
        </w:rPr>
        <w:t>remedial</w:t>
      </w:r>
      <w:r>
        <w:rPr>
          <w:rFonts w:ascii="Arial"/>
          <w:spacing w:val="-13"/>
          <w:w w:val="115"/>
          <w:sz w:val="16"/>
        </w:rPr>
        <w:t> </w:t>
      </w:r>
      <w:r>
        <w:rPr>
          <w:rFonts w:ascii="Arial"/>
          <w:w w:val="115"/>
          <w:sz w:val="16"/>
        </w:rPr>
        <w:t>action.</w:t>
      </w:r>
      <w:r>
        <w:rPr>
          <w:rFonts w:ascii="Arial"/>
          <w:spacing w:val="-13"/>
          <w:w w:val="115"/>
          <w:sz w:val="16"/>
        </w:rPr>
        <w:t> </w:t>
      </w:r>
      <w:r>
        <w:rPr>
          <w:rFonts w:ascii="Arial"/>
          <w:w w:val="115"/>
          <w:sz w:val="16"/>
        </w:rPr>
        <w:t>We</w:t>
      </w:r>
      <w:r>
        <w:rPr>
          <w:rFonts w:ascii="Arial"/>
          <w:spacing w:val="-13"/>
          <w:w w:val="115"/>
          <w:sz w:val="16"/>
        </w:rPr>
        <w:t> </w:t>
      </w:r>
      <w:r>
        <w:rPr>
          <w:rFonts w:ascii="Arial"/>
          <w:w w:val="115"/>
          <w:sz w:val="16"/>
        </w:rPr>
        <w:t>consider</w:t>
      </w:r>
      <w:r>
        <w:rPr>
          <w:rFonts w:ascii="Arial"/>
          <w:spacing w:val="-12"/>
          <w:w w:val="115"/>
          <w:sz w:val="16"/>
        </w:rPr>
        <w:t> </w:t>
      </w:r>
      <w:r>
        <w:rPr>
          <w:rFonts w:ascii="Arial"/>
          <w:w w:val="115"/>
          <w:sz w:val="16"/>
        </w:rPr>
        <w:t>remedial</w:t>
      </w:r>
      <w:r>
        <w:rPr>
          <w:rFonts w:ascii="Arial"/>
          <w:spacing w:val="-13"/>
          <w:w w:val="115"/>
          <w:sz w:val="16"/>
        </w:rPr>
        <w:t> </w:t>
      </w:r>
      <w:r>
        <w:rPr>
          <w:rFonts w:ascii="Arial"/>
          <w:w w:val="115"/>
          <w:sz w:val="16"/>
        </w:rPr>
        <w:t>action</w:t>
      </w:r>
      <w:r>
        <w:rPr>
          <w:rFonts w:ascii="Arial"/>
          <w:spacing w:val="-13"/>
          <w:w w:val="115"/>
          <w:sz w:val="16"/>
        </w:rPr>
        <w:t> </w:t>
      </w:r>
      <w:r>
        <w:rPr>
          <w:rFonts w:ascii="Arial"/>
          <w:w w:val="115"/>
          <w:sz w:val="16"/>
        </w:rPr>
        <w:t>in</w:t>
      </w:r>
      <w:r>
        <w:rPr>
          <w:rFonts w:ascii="Arial"/>
          <w:spacing w:val="-13"/>
          <w:w w:val="115"/>
          <w:sz w:val="16"/>
        </w:rPr>
        <w:t> </w:t>
      </w:r>
      <w:r>
        <w:rPr>
          <w:rFonts w:ascii="Arial"/>
          <w:w w:val="115"/>
          <w:sz w:val="16"/>
        </w:rPr>
        <w:t>this</w:t>
      </w:r>
      <w:r>
        <w:rPr>
          <w:rFonts w:ascii="Arial"/>
          <w:spacing w:val="-12"/>
          <w:w w:val="115"/>
          <w:sz w:val="16"/>
        </w:rPr>
        <w:t> </w:t>
      </w:r>
      <w:r>
        <w:rPr>
          <w:rFonts w:ascii="Arial"/>
          <w:w w:val="115"/>
          <w:sz w:val="16"/>
        </w:rPr>
        <w:t>report</w:t>
      </w:r>
      <w:r>
        <w:rPr>
          <w:rFonts w:ascii="Arial"/>
          <w:spacing w:val="-13"/>
          <w:w w:val="115"/>
          <w:sz w:val="16"/>
        </w:rPr>
        <w:t> </w:t>
      </w:r>
      <w:r>
        <w:rPr>
          <w:rFonts w:ascii="Arial"/>
          <w:w w:val="115"/>
          <w:sz w:val="16"/>
        </w:rPr>
        <w:t>as</w:t>
      </w:r>
      <w:r>
        <w:rPr>
          <w:rFonts w:ascii="Arial"/>
          <w:spacing w:val="-13"/>
          <w:w w:val="115"/>
          <w:sz w:val="16"/>
        </w:rPr>
        <w:t> </w:t>
      </w:r>
      <w:r>
        <w:rPr>
          <w:rFonts w:ascii="Arial"/>
          <w:w w:val="115"/>
          <w:sz w:val="16"/>
        </w:rPr>
        <w:t>it</w:t>
      </w:r>
      <w:r>
        <w:rPr>
          <w:rFonts w:ascii="Arial"/>
          <w:spacing w:val="-13"/>
          <w:w w:val="115"/>
          <w:sz w:val="16"/>
        </w:rPr>
        <w:t> </w:t>
      </w:r>
      <w:r>
        <w:rPr>
          <w:rFonts w:ascii="Arial"/>
          <w:w w:val="115"/>
          <w:sz w:val="16"/>
        </w:rPr>
        <w:t>is</w:t>
      </w:r>
    </w:p>
    <w:p>
      <w:pPr>
        <w:spacing w:before="12"/>
        <w:ind w:left="567" w:right="0" w:firstLine="0"/>
        <w:jc w:val="left"/>
        <w:rPr>
          <w:sz w:val="16"/>
        </w:rPr>
      </w:pPr>
      <w:r>
        <w:rPr>
          <w:w w:val="115"/>
          <w:sz w:val="16"/>
        </w:rPr>
        <w:t>more</w:t>
      </w:r>
      <w:r>
        <w:rPr>
          <w:spacing w:val="-9"/>
          <w:w w:val="115"/>
          <w:sz w:val="16"/>
        </w:rPr>
        <w:t> </w:t>
      </w:r>
      <w:r>
        <w:rPr>
          <w:w w:val="115"/>
          <w:sz w:val="16"/>
        </w:rPr>
        <w:t>relevant</w:t>
      </w:r>
      <w:r>
        <w:rPr>
          <w:spacing w:val="-8"/>
          <w:w w:val="115"/>
          <w:sz w:val="16"/>
        </w:rPr>
        <w:t> </w:t>
      </w:r>
      <w:r>
        <w:rPr>
          <w:w w:val="115"/>
          <w:sz w:val="16"/>
        </w:rPr>
        <w:t>to</w:t>
      </w:r>
      <w:r>
        <w:rPr>
          <w:spacing w:val="-8"/>
          <w:w w:val="115"/>
          <w:sz w:val="16"/>
        </w:rPr>
        <w:t> </w:t>
      </w:r>
      <w:r>
        <w:rPr>
          <w:w w:val="115"/>
          <w:sz w:val="16"/>
        </w:rPr>
        <w:t>the</w:t>
      </w:r>
      <w:r>
        <w:rPr>
          <w:spacing w:val="-8"/>
          <w:w w:val="115"/>
          <w:sz w:val="16"/>
        </w:rPr>
        <w:t> </w:t>
      </w:r>
      <w:r>
        <w:rPr>
          <w:w w:val="115"/>
          <w:sz w:val="16"/>
        </w:rPr>
        <w:t>application</w:t>
      </w:r>
      <w:r>
        <w:rPr>
          <w:spacing w:val="-8"/>
          <w:w w:val="115"/>
          <w:sz w:val="16"/>
        </w:rPr>
        <w:t> </w:t>
      </w:r>
      <w:r>
        <w:rPr>
          <w:w w:val="115"/>
          <w:sz w:val="16"/>
        </w:rPr>
        <w:t>of</w:t>
      </w:r>
      <w:r>
        <w:rPr>
          <w:spacing w:val="-8"/>
          <w:w w:val="115"/>
          <w:sz w:val="16"/>
        </w:rPr>
        <w:t> </w:t>
      </w:r>
      <w:r>
        <w:rPr>
          <w:w w:val="115"/>
          <w:sz w:val="16"/>
        </w:rPr>
        <w:t>the</w:t>
      </w:r>
      <w:r>
        <w:rPr>
          <w:spacing w:val="-8"/>
          <w:w w:val="115"/>
          <w:sz w:val="16"/>
        </w:rPr>
        <w:t> </w:t>
      </w:r>
      <w:r>
        <w:rPr>
          <w:w w:val="115"/>
          <w:sz w:val="16"/>
        </w:rPr>
        <w:t>Charter</w:t>
      </w:r>
      <w:r>
        <w:rPr>
          <w:spacing w:val="-8"/>
          <w:w w:val="115"/>
          <w:sz w:val="16"/>
        </w:rPr>
        <w:t> </w:t>
      </w:r>
      <w:r>
        <w:rPr>
          <w:w w:val="115"/>
          <w:sz w:val="16"/>
        </w:rPr>
        <w:t>under</w:t>
      </w:r>
      <w:r>
        <w:rPr>
          <w:spacing w:val="-8"/>
          <w:w w:val="115"/>
          <w:sz w:val="16"/>
        </w:rPr>
        <w:t> </w:t>
      </w:r>
      <w:r>
        <w:rPr>
          <w:w w:val="115"/>
          <w:sz w:val="16"/>
        </w:rPr>
        <w:t>the</w:t>
      </w:r>
      <w:r>
        <w:rPr>
          <w:spacing w:val="-9"/>
          <w:w w:val="115"/>
          <w:sz w:val="16"/>
        </w:rPr>
        <w:t> </w:t>
      </w:r>
      <w:r>
        <w:rPr>
          <w:w w:val="115"/>
          <w:sz w:val="16"/>
        </w:rPr>
        <w:t>Windsor</w:t>
      </w:r>
      <w:r>
        <w:rPr>
          <w:spacing w:val="-8"/>
          <w:w w:val="115"/>
          <w:sz w:val="16"/>
        </w:rPr>
        <w:t> </w:t>
      </w:r>
      <w:r>
        <w:rPr>
          <w:spacing w:val="-2"/>
          <w:w w:val="115"/>
          <w:sz w:val="16"/>
        </w:rPr>
        <w:t>Framework.</w:t>
      </w:r>
    </w:p>
    <w:p>
      <w:pPr>
        <w:spacing w:after="0"/>
        <w:jc w:val="left"/>
        <w:rPr>
          <w:sz w:val="16"/>
        </w:rPr>
        <w:sectPr>
          <w:type w:val="continuous"/>
          <w:pgSz w:w="11910" w:h="16840"/>
          <w:pgMar w:header="568" w:footer="580" w:top="0" w:bottom="280" w:left="1020" w:right="1020"/>
        </w:sectPr>
      </w:pPr>
    </w:p>
    <w:p>
      <w:pPr>
        <w:pStyle w:val="BodyText"/>
        <w:ind w:left="0"/>
        <w:rPr>
          <w:sz w:val="20"/>
        </w:rPr>
      </w:pPr>
    </w:p>
    <w:p>
      <w:pPr>
        <w:pStyle w:val="BodyText"/>
        <w:ind w:left="0"/>
        <w:rPr>
          <w:sz w:val="20"/>
        </w:rPr>
      </w:pPr>
    </w:p>
    <w:p>
      <w:pPr>
        <w:pStyle w:val="BodyText"/>
        <w:spacing w:before="48"/>
        <w:ind w:left="0"/>
        <w:rPr>
          <w:sz w:val="20"/>
        </w:rPr>
      </w:pPr>
    </w:p>
    <w:p>
      <w:pPr>
        <w:spacing w:after="0"/>
        <w:rPr>
          <w:sz w:val="20"/>
        </w:rPr>
        <w:sectPr>
          <w:pgSz w:w="11910" w:h="16840"/>
          <w:pgMar w:header="568" w:footer="580" w:top="840" w:bottom="780" w:left="1020" w:right="1020"/>
        </w:sectPr>
      </w:pPr>
    </w:p>
    <w:p>
      <w:pPr>
        <w:pStyle w:val="BodyText"/>
        <w:spacing w:line="310" w:lineRule="exact" w:before="49"/>
        <w:ind w:right="166"/>
      </w:pPr>
      <w:r>
        <w:rPr>
          <w:w w:val="110"/>
        </w:rPr>
        <w:t>an effective remedy), thereby anchoring the need for </w:t>
      </w:r>
      <w:r>
        <w:rPr>
          <w:w w:val="110"/>
        </w:rPr>
        <w:t>‘effectiveness’ of domestic remedies in the Charter. </w:t>
      </w:r>
      <w:r>
        <w:rPr>
          <w:rFonts w:ascii="Lucida Sans Unicode" w:hAnsi="Lucida Sans Unicode"/>
          <w:spacing w:val="-2"/>
          <w:w w:val="110"/>
        </w:rPr>
        <w:t>Finally,</w:t>
      </w:r>
      <w:r>
        <w:rPr>
          <w:rFonts w:ascii="Lucida Sans Unicode" w:hAnsi="Lucida Sans Unicode"/>
          <w:spacing w:val="-16"/>
          <w:w w:val="110"/>
        </w:rPr>
        <w:t> </w:t>
      </w:r>
      <w:r>
        <w:rPr>
          <w:rFonts w:ascii="Lucida Sans Unicode" w:hAnsi="Lucida Sans Unicode"/>
          <w:spacing w:val="-2"/>
          <w:w w:val="110"/>
        </w:rPr>
        <w:t>in</w:t>
      </w:r>
      <w:r>
        <w:rPr>
          <w:rFonts w:ascii="Lucida Sans Unicode" w:hAnsi="Lucida Sans Unicode"/>
          <w:spacing w:val="-16"/>
          <w:w w:val="110"/>
        </w:rPr>
        <w:t> </w:t>
      </w:r>
      <w:r>
        <w:rPr>
          <w:rFonts w:ascii="Lucida Sans Unicode" w:hAnsi="Lucida Sans Unicode"/>
          <w:spacing w:val="-2"/>
          <w:w w:val="110"/>
        </w:rPr>
        <w:t>this</w:t>
      </w:r>
      <w:r>
        <w:rPr>
          <w:rFonts w:ascii="Lucida Sans Unicode" w:hAnsi="Lucida Sans Unicode"/>
          <w:spacing w:val="-16"/>
          <w:w w:val="110"/>
        </w:rPr>
        <w:t> </w:t>
      </w:r>
      <w:r>
        <w:rPr>
          <w:rFonts w:ascii="Lucida Sans Unicode" w:hAnsi="Lucida Sans Unicode"/>
          <w:spacing w:val="-2"/>
          <w:w w:val="110"/>
        </w:rPr>
        <w:t>field,</w:t>
      </w:r>
      <w:r>
        <w:rPr>
          <w:rFonts w:ascii="Lucida Sans Unicode" w:hAnsi="Lucida Sans Unicode"/>
          <w:spacing w:val="-16"/>
          <w:w w:val="110"/>
        </w:rPr>
        <w:t> </w:t>
      </w:r>
      <w:r>
        <w:rPr>
          <w:rFonts w:ascii="Lucida Sans Unicode" w:hAnsi="Lucida Sans Unicode"/>
          <w:spacing w:val="-2"/>
          <w:w w:val="110"/>
        </w:rPr>
        <w:t>the</w:t>
      </w:r>
      <w:r>
        <w:rPr>
          <w:rFonts w:ascii="Lucida Sans Unicode" w:hAnsi="Lucida Sans Unicode"/>
          <w:spacing w:val="-16"/>
          <w:w w:val="110"/>
        </w:rPr>
        <w:t> </w:t>
      </w:r>
      <w:r>
        <w:rPr>
          <w:rFonts w:ascii="Lucida Sans Unicode" w:hAnsi="Lucida Sans Unicode"/>
          <w:spacing w:val="-2"/>
          <w:w w:val="110"/>
        </w:rPr>
        <w:t>CJEU</w:t>
      </w:r>
      <w:r>
        <w:rPr>
          <w:rFonts w:ascii="Lucida Sans Unicode" w:hAnsi="Lucida Sans Unicode"/>
          <w:spacing w:val="-16"/>
          <w:w w:val="110"/>
        </w:rPr>
        <w:t> </w:t>
      </w:r>
      <w:r>
        <w:rPr>
          <w:rFonts w:ascii="Lucida Sans Unicode" w:hAnsi="Lucida Sans Unicode"/>
          <w:spacing w:val="-2"/>
          <w:w w:val="110"/>
        </w:rPr>
        <w:t>uses </w:t>
      </w:r>
      <w:r>
        <w:rPr>
          <w:w w:val="110"/>
        </w:rPr>
        <w:t>the principle of state liability in damages as a further incentive for </w:t>
      </w:r>
      <w:r>
        <w:rPr>
          <w:rFonts w:ascii="Lucida Sans Unicode" w:hAnsi="Lucida Sans Unicode"/>
        </w:rPr>
        <w:t>Member States to implement EU law </w:t>
      </w:r>
      <w:r>
        <w:rPr>
          <w:w w:val="110"/>
        </w:rPr>
        <w:t>correctly. The operation of these two mechanisms will be considered in </w:t>
      </w:r>
      <w:r>
        <w:rPr>
          <w:spacing w:val="-2"/>
          <w:w w:val="110"/>
        </w:rPr>
        <w:t>turn.</w:t>
      </w:r>
    </w:p>
    <w:p>
      <w:pPr>
        <w:pStyle w:val="BodyText"/>
        <w:spacing w:before="30"/>
        <w:ind w:left="0"/>
      </w:pPr>
    </w:p>
    <w:p>
      <w:pPr>
        <w:pStyle w:val="ListParagraph"/>
        <w:numPr>
          <w:ilvl w:val="0"/>
          <w:numId w:val="8"/>
        </w:numPr>
        <w:tabs>
          <w:tab w:pos="308" w:val="left" w:leader="none"/>
        </w:tabs>
        <w:spacing w:line="290" w:lineRule="exact" w:before="1" w:after="0"/>
        <w:ind w:left="308" w:right="0" w:hanging="195"/>
        <w:jc w:val="left"/>
        <w:rPr>
          <w:rFonts w:ascii="Verdana"/>
          <w:i/>
          <w:sz w:val="24"/>
        </w:rPr>
      </w:pPr>
      <w:r>
        <w:rPr>
          <w:rFonts w:ascii="Verdana"/>
          <w:i/>
          <w:color w:val="77328A"/>
          <w:sz w:val="24"/>
        </w:rPr>
        <w:t>Article</w:t>
      </w:r>
      <w:r>
        <w:rPr>
          <w:rFonts w:ascii="Verdana"/>
          <w:i/>
          <w:color w:val="77328A"/>
          <w:spacing w:val="-10"/>
          <w:sz w:val="24"/>
        </w:rPr>
        <w:t> </w:t>
      </w:r>
      <w:r>
        <w:rPr>
          <w:rFonts w:ascii="Verdana"/>
          <w:i/>
          <w:color w:val="77328A"/>
          <w:sz w:val="24"/>
        </w:rPr>
        <w:t>47</w:t>
      </w:r>
      <w:r>
        <w:rPr>
          <w:rFonts w:ascii="Verdana"/>
          <w:i/>
          <w:color w:val="77328A"/>
          <w:spacing w:val="-10"/>
          <w:sz w:val="24"/>
        </w:rPr>
        <w:t> </w:t>
      </w:r>
      <w:r>
        <w:rPr>
          <w:rFonts w:ascii="Verdana"/>
          <w:i/>
          <w:color w:val="77328A"/>
          <w:spacing w:val="-5"/>
          <w:sz w:val="24"/>
        </w:rPr>
        <w:t>CFR</w:t>
      </w:r>
    </w:p>
    <w:p>
      <w:pPr>
        <w:pStyle w:val="BodyText"/>
        <w:spacing w:line="310" w:lineRule="exact" w:before="13"/>
        <w:ind w:right="272"/>
        <w:rPr>
          <w:rFonts w:ascii="Lucida Sans Unicode"/>
        </w:rPr>
      </w:pPr>
      <w:r>
        <w:rPr>
          <w:rFonts w:ascii="Lucida Sans Unicode"/>
          <w:w w:val="110"/>
        </w:rPr>
        <w:t>Since</w:t>
      </w:r>
      <w:r>
        <w:rPr>
          <w:rFonts w:ascii="Lucida Sans Unicode"/>
          <w:spacing w:val="-19"/>
          <w:w w:val="110"/>
        </w:rPr>
        <w:t> </w:t>
      </w:r>
      <w:r>
        <w:rPr>
          <w:rFonts w:ascii="Lucida Sans Unicode"/>
          <w:w w:val="110"/>
        </w:rPr>
        <w:t>the</w:t>
      </w:r>
      <w:r>
        <w:rPr>
          <w:rFonts w:ascii="Lucida Sans Unicode"/>
          <w:spacing w:val="-19"/>
          <w:w w:val="110"/>
        </w:rPr>
        <w:t> </w:t>
      </w:r>
      <w:r>
        <w:rPr>
          <w:rFonts w:ascii="Lucida Sans Unicode"/>
          <w:w w:val="110"/>
        </w:rPr>
        <w:t>entry</w:t>
      </w:r>
      <w:r>
        <w:rPr>
          <w:rFonts w:ascii="Lucida Sans Unicode"/>
          <w:spacing w:val="-19"/>
          <w:w w:val="110"/>
        </w:rPr>
        <w:t> </w:t>
      </w:r>
      <w:r>
        <w:rPr>
          <w:rFonts w:ascii="Lucida Sans Unicode"/>
          <w:w w:val="110"/>
        </w:rPr>
        <w:t>into</w:t>
      </w:r>
      <w:r>
        <w:rPr>
          <w:rFonts w:ascii="Lucida Sans Unicode"/>
          <w:spacing w:val="-19"/>
          <w:w w:val="110"/>
        </w:rPr>
        <w:t> </w:t>
      </w:r>
      <w:r>
        <w:rPr>
          <w:rFonts w:ascii="Lucida Sans Unicode"/>
          <w:w w:val="110"/>
        </w:rPr>
        <w:t>force</w:t>
      </w:r>
      <w:r>
        <w:rPr>
          <w:rFonts w:ascii="Lucida Sans Unicode"/>
          <w:spacing w:val="-19"/>
          <w:w w:val="110"/>
        </w:rPr>
        <w:t> </w:t>
      </w:r>
      <w:r>
        <w:rPr>
          <w:rFonts w:ascii="Lucida Sans Unicode"/>
          <w:w w:val="110"/>
        </w:rPr>
        <w:t>of</w:t>
      </w:r>
      <w:r>
        <w:rPr>
          <w:rFonts w:ascii="Lucida Sans Unicode"/>
          <w:spacing w:val="-19"/>
          <w:w w:val="110"/>
        </w:rPr>
        <w:t> </w:t>
      </w:r>
      <w:r>
        <w:rPr>
          <w:rFonts w:ascii="Lucida Sans Unicode"/>
          <w:w w:val="110"/>
        </w:rPr>
        <w:t>the </w:t>
      </w:r>
      <w:r>
        <w:rPr>
          <w:w w:val="110"/>
        </w:rPr>
        <w:t>Charter,</w:t>
      </w:r>
      <w:r>
        <w:rPr>
          <w:spacing w:val="-4"/>
          <w:w w:val="110"/>
        </w:rPr>
        <w:t> </w:t>
      </w:r>
      <w:r>
        <w:rPr>
          <w:w w:val="110"/>
        </w:rPr>
        <w:t>the</w:t>
      </w:r>
      <w:r>
        <w:rPr>
          <w:spacing w:val="-4"/>
          <w:w w:val="110"/>
        </w:rPr>
        <w:t> </w:t>
      </w:r>
      <w:r>
        <w:rPr>
          <w:w w:val="110"/>
        </w:rPr>
        <w:t>CJEU</w:t>
      </w:r>
      <w:r>
        <w:rPr>
          <w:spacing w:val="-4"/>
          <w:w w:val="110"/>
        </w:rPr>
        <w:t> </w:t>
      </w:r>
      <w:r>
        <w:rPr>
          <w:w w:val="110"/>
        </w:rPr>
        <w:t>has</w:t>
      </w:r>
      <w:r>
        <w:rPr>
          <w:spacing w:val="-4"/>
          <w:w w:val="110"/>
        </w:rPr>
        <w:t> </w:t>
      </w:r>
      <w:r>
        <w:rPr>
          <w:w w:val="110"/>
        </w:rPr>
        <w:t>started</w:t>
      </w:r>
      <w:r>
        <w:rPr>
          <w:spacing w:val="-4"/>
          <w:w w:val="110"/>
        </w:rPr>
        <w:t> </w:t>
      </w:r>
      <w:r>
        <w:rPr>
          <w:w w:val="110"/>
        </w:rPr>
        <w:t>to</w:t>
      </w:r>
      <w:r>
        <w:rPr>
          <w:spacing w:val="-4"/>
          <w:w w:val="110"/>
        </w:rPr>
        <w:t> </w:t>
      </w:r>
      <w:r>
        <w:rPr>
          <w:w w:val="110"/>
        </w:rPr>
        <w:t>rely very extensively on the right to an effective remedy, which is enshrined </w:t>
      </w:r>
      <w:r>
        <w:rPr>
          <w:rFonts w:ascii="Lucida Sans Unicode"/>
        </w:rPr>
        <w:t>in this provision. Article 47 has been </w:t>
      </w:r>
      <w:r>
        <w:rPr>
          <w:w w:val="110"/>
        </w:rPr>
        <w:t>found to have direct effect, and has been used on its own</w:t>
      </w:r>
      <w:r>
        <w:rPr>
          <w:rFonts w:ascii="Lucida Sans Unicode"/>
          <w:w w:val="110"/>
          <w:vertAlign w:val="superscript"/>
        </w:rPr>
        <w:t>87</w:t>
      </w:r>
      <w:r>
        <w:rPr>
          <w:rFonts w:ascii="Lucida Sans Unicode"/>
          <w:w w:val="110"/>
          <w:vertAlign w:val="baseline"/>
        </w:rPr>
        <w:t> </w:t>
      </w:r>
      <w:r>
        <w:rPr>
          <w:w w:val="110"/>
          <w:vertAlign w:val="baseline"/>
        </w:rPr>
        <w:t>or alongside substantive rights, such as non- discrimination, even where these rights</w:t>
      </w:r>
      <w:r>
        <w:rPr>
          <w:spacing w:val="40"/>
          <w:w w:val="110"/>
          <w:vertAlign w:val="baseline"/>
        </w:rPr>
        <w:t> </w:t>
      </w:r>
      <w:r>
        <w:rPr>
          <w:w w:val="110"/>
          <w:vertAlign w:val="baseline"/>
        </w:rPr>
        <w:t>enjoy</w:t>
      </w:r>
      <w:r>
        <w:rPr>
          <w:spacing w:val="40"/>
          <w:w w:val="110"/>
          <w:vertAlign w:val="baseline"/>
        </w:rPr>
        <w:t> </w:t>
      </w:r>
      <w:r>
        <w:rPr>
          <w:w w:val="110"/>
          <w:vertAlign w:val="baseline"/>
        </w:rPr>
        <w:t>direct</w:t>
      </w:r>
      <w:r>
        <w:rPr>
          <w:spacing w:val="40"/>
          <w:w w:val="110"/>
          <w:vertAlign w:val="baseline"/>
        </w:rPr>
        <w:t> </w:t>
      </w:r>
      <w:r>
        <w:rPr>
          <w:w w:val="110"/>
          <w:vertAlign w:val="baseline"/>
        </w:rPr>
        <w:t>effect</w:t>
      </w:r>
      <w:r>
        <w:rPr>
          <w:spacing w:val="40"/>
          <w:w w:val="110"/>
          <w:vertAlign w:val="baseline"/>
        </w:rPr>
        <w:t> </w:t>
      </w:r>
      <w:r>
        <w:rPr>
          <w:w w:val="110"/>
          <w:vertAlign w:val="baseline"/>
        </w:rPr>
        <w:t>in</w:t>
      </w:r>
      <w:r>
        <w:rPr>
          <w:spacing w:val="40"/>
          <w:w w:val="110"/>
          <w:vertAlign w:val="baseline"/>
        </w:rPr>
        <w:t> </w:t>
      </w:r>
      <w:r>
        <w:rPr>
          <w:w w:val="110"/>
          <w:vertAlign w:val="baseline"/>
        </w:rPr>
        <w:t>their own right.</w:t>
      </w:r>
      <w:r>
        <w:rPr>
          <w:rFonts w:ascii="Lucida Sans Unicode"/>
          <w:w w:val="110"/>
          <w:vertAlign w:val="superscript"/>
        </w:rPr>
        <w:t>88</w:t>
      </w:r>
      <w:r>
        <w:rPr>
          <w:rFonts w:ascii="Lucida Sans Unicode"/>
          <w:w w:val="110"/>
          <w:vertAlign w:val="baseline"/>
        </w:rPr>
        <w:t> </w:t>
      </w:r>
      <w:r>
        <w:rPr>
          <w:w w:val="110"/>
          <w:vertAlign w:val="baseline"/>
        </w:rPr>
        <w:t>Indeed, earlier research </w:t>
      </w:r>
      <w:r>
        <w:rPr>
          <w:rFonts w:ascii="Lucida Sans Unicode"/>
          <w:w w:val="110"/>
          <w:vertAlign w:val="baseline"/>
        </w:rPr>
        <w:t>has</w:t>
      </w:r>
      <w:r>
        <w:rPr>
          <w:rFonts w:ascii="Lucida Sans Unicode"/>
          <w:spacing w:val="-21"/>
          <w:w w:val="110"/>
          <w:vertAlign w:val="baseline"/>
        </w:rPr>
        <w:t> </w:t>
      </w:r>
      <w:r>
        <w:rPr>
          <w:rFonts w:ascii="Lucida Sans Unicode"/>
          <w:w w:val="110"/>
          <w:vertAlign w:val="baseline"/>
        </w:rPr>
        <w:t>shown</w:t>
      </w:r>
      <w:r>
        <w:rPr>
          <w:rFonts w:ascii="Lucida Sans Unicode"/>
          <w:spacing w:val="-21"/>
          <w:w w:val="110"/>
          <w:vertAlign w:val="baseline"/>
        </w:rPr>
        <w:t> </w:t>
      </w:r>
      <w:r>
        <w:rPr>
          <w:rFonts w:ascii="Lucida Sans Unicode"/>
          <w:w w:val="110"/>
          <w:vertAlign w:val="baseline"/>
        </w:rPr>
        <w:t>that</w:t>
      </w:r>
      <w:r>
        <w:rPr>
          <w:rFonts w:ascii="Lucida Sans Unicode"/>
          <w:spacing w:val="-21"/>
          <w:w w:val="110"/>
          <w:vertAlign w:val="baseline"/>
        </w:rPr>
        <w:t> </w:t>
      </w:r>
      <w:r>
        <w:rPr>
          <w:rFonts w:ascii="Lucida Sans Unicode"/>
          <w:w w:val="110"/>
          <w:vertAlign w:val="baseline"/>
        </w:rPr>
        <w:t>Article</w:t>
      </w:r>
      <w:r>
        <w:rPr>
          <w:rFonts w:ascii="Lucida Sans Unicode"/>
          <w:spacing w:val="-21"/>
          <w:w w:val="110"/>
          <w:vertAlign w:val="baseline"/>
        </w:rPr>
        <w:t> </w:t>
      </w:r>
      <w:r>
        <w:rPr>
          <w:rFonts w:ascii="Lucida Sans Unicode"/>
          <w:w w:val="110"/>
          <w:vertAlign w:val="baseline"/>
        </w:rPr>
        <w:t>47</w:t>
      </w:r>
      <w:r>
        <w:rPr>
          <w:rFonts w:ascii="Lucida Sans Unicode"/>
          <w:spacing w:val="-21"/>
          <w:w w:val="110"/>
          <w:vertAlign w:val="baseline"/>
        </w:rPr>
        <w:t> </w:t>
      </w:r>
      <w:r>
        <w:rPr>
          <w:rFonts w:ascii="Lucida Sans Unicode"/>
          <w:w w:val="110"/>
          <w:vertAlign w:val="baseline"/>
        </w:rPr>
        <w:t>CFR</w:t>
      </w:r>
      <w:r>
        <w:rPr>
          <w:rFonts w:ascii="Lucida Sans Unicode"/>
          <w:spacing w:val="-21"/>
          <w:w w:val="110"/>
          <w:vertAlign w:val="baseline"/>
        </w:rPr>
        <w:t> </w:t>
      </w:r>
      <w:r>
        <w:rPr>
          <w:rFonts w:ascii="Lucida Sans Unicode"/>
          <w:w w:val="110"/>
          <w:vertAlign w:val="baseline"/>
        </w:rPr>
        <w:t>is,</w:t>
      </w:r>
    </w:p>
    <w:p>
      <w:pPr>
        <w:pStyle w:val="BodyText"/>
        <w:spacing w:line="310" w:lineRule="exact"/>
        <w:ind w:right="205"/>
      </w:pPr>
      <w:r>
        <w:rPr>
          <w:w w:val="110"/>
        </w:rPr>
        <w:t>by a large margin, the most often invoked provision of the Charter, being used in a range of disputes spanning across different areas of</w:t>
      </w:r>
      <w:r>
        <w:rPr>
          <w:spacing w:val="80"/>
          <w:w w:val="110"/>
        </w:rPr>
        <w:t> </w:t>
      </w:r>
      <w:r>
        <w:rPr/>
        <w:t>EU law.</w:t>
      </w:r>
      <w:r>
        <w:rPr>
          <w:rFonts w:ascii="Lucida Sans Unicode" w:hAnsi="Lucida Sans Unicode"/>
          <w:vertAlign w:val="superscript"/>
        </w:rPr>
        <w:t>89</w:t>
      </w:r>
      <w:r>
        <w:rPr>
          <w:rFonts w:ascii="Lucida Sans Unicode" w:hAnsi="Lucida Sans Unicode"/>
          <w:vertAlign w:val="baseline"/>
        </w:rPr>
        <w:t> The possible benefits of </w:t>
      </w:r>
      <w:r>
        <w:rPr>
          <w:rFonts w:ascii="Lucida Sans Unicode" w:hAnsi="Lucida Sans Unicode"/>
          <w:vertAlign w:val="baseline"/>
        </w:rPr>
        <w:t>the </w:t>
      </w:r>
      <w:r>
        <w:rPr>
          <w:w w:val="110"/>
          <w:vertAlign w:val="baseline"/>
        </w:rPr>
        <w:t>CJEU’s keen use of this provision for individuals or legal persons invoking EU fundamental rights are twofold.</w:t>
      </w:r>
    </w:p>
    <w:p>
      <w:pPr>
        <w:pStyle w:val="BodyText"/>
        <w:spacing w:before="24"/>
        <w:ind w:left="0"/>
      </w:pPr>
    </w:p>
    <w:p>
      <w:pPr>
        <w:pStyle w:val="BodyText"/>
        <w:spacing w:line="310" w:lineRule="exact"/>
        <w:ind w:right="38"/>
      </w:pPr>
      <w:r>
        <w:rPr>
          <w:rFonts w:ascii="Lucida Sans Unicode"/>
        </w:rPr>
        <w:t>First, Article 47 captures process- </w:t>
      </w:r>
      <w:r>
        <w:rPr>
          <w:w w:val="110"/>
        </w:rPr>
        <w:t>based violations of fundamental </w:t>
      </w:r>
      <w:r>
        <w:rPr>
          <w:w w:val="110"/>
        </w:rPr>
        <w:t>rights that may not be fully detailed in the substantive provisions. For example,</w:t>
      </w:r>
      <w:r>
        <w:rPr>
          <w:spacing w:val="80"/>
          <w:w w:val="110"/>
        </w:rPr>
        <w:t> </w:t>
      </w:r>
      <w:r>
        <w:rPr>
          <w:w w:val="110"/>
        </w:rPr>
        <w:t>in</w:t>
      </w:r>
      <w:r>
        <w:rPr>
          <w:spacing w:val="-19"/>
          <w:w w:val="110"/>
        </w:rPr>
        <w:t> </w:t>
      </w:r>
      <w:r>
        <w:rPr>
          <w:w w:val="110"/>
        </w:rPr>
        <w:t>its</w:t>
      </w:r>
      <w:r>
        <w:rPr>
          <w:spacing w:val="-18"/>
          <w:w w:val="110"/>
        </w:rPr>
        <w:t> </w:t>
      </w:r>
      <w:r>
        <w:rPr>
          <w:w w:val="110"/>
        </w:rPr>
        <w:t>judgment</w:t>
      </w:r>
      <w:r>
        <w:rPr>
          <w:spacing w:val="-14"/>
          <w:w w:val="110"/>
        </w:rPr>
        <w:t> </w:t>
      </w:r>
      <w:r>
        <w:rPr>
          <w:w w:val="110"/>
        </w:rPr>
        <w:t>in</w:t>
      </w:r>
      <w:r>
        <w:rPr>
          <w:spacing w:val="-14"/>
          <w:w w:val="110"/>
        </w:rPr>
        <w:t> </w:t>
      </w:r>
      <w:r>
        <w:rPr>
          <w:rFonts w:ascii="Verdana"/>
          <w:i/>
          <w:w w:val="110"/>
        </w:rPr>
        <w:t>Braathens</w:t>
      </w:r>
      <w:r>
        <w:rPr>
          <w:rFonts w:ascii="Verdana"/>
          <w:i/>
          <w:spacing w:val="-24"/>
          <w:w w:val="110"/>
        </w:rPr>
        <w:t> </w:t>
      </w:r>
      <w:r>
        <w:rPr>
          <w:rFonts w:ascii="Verdana"/>
          <w:i/>
          <w:w w:val="110"/>
        </w:rPr>
        <w:t>Regional</w:t>
      </w:r>
      <w:r>
        <w:rPr>
          <w:rFonts w:ascii="Verdana"/>
          <w:i/>
          <w:w w:val="110"/>
        </w:rPr>
        <w:t> Aviation</w:t>
      </w:r>
      <w:r>
        <w:rPr>
          <w:w w:val="110"/>
        </w:rPr>
        <w:t>, the CJEU considered the compatibility with the Race Equality</w:t>
      </w:r>
    </w:p>
    <w:p>
      <w:pPr>
        <w:pStyle w:val="BodyText"/>
        <w:spacing w:line="268" w:lineRule="auto" w:before="72"/>
        <w:ind w:right="266"/>
      </w:pPr>
      <w:r>
        <w:rPr/>
        <w:br w:type="column"/>
      </w:r>
      <w:r>
        <w:rPr>
          <w:w w:val="115"/>
        </w:rPr>
        <w:t>Directive of a private settlement </w:t>
      </w:r>
      <w:r>
        <w:rPr>
          <w:w w:val="110"/>
        </w:rPr>
        <w:t>between</w:t>
      </w:r>
      <w:r>
        <w:rPr>
          <w:spacing w:val="-3"/>
          <w:w w:val="110"/>
        </w:rPr>
        <w:t> </w:t>
      </w:r>
      <w:r>
        <w:rPr>
          <w:w w:val="110"/>
        </w:rPr>
        <w:t>an</w:t>
      </w:r>
      <w:r>
        <w:rPr>
          <w:spacing w:val="-3"/>
          <w:w w:val="110"/>
        </w:rPr>
        <w:t> </w:t>
      </w:r>
      <w:r>
        <w:rPr>
          <w:w w:val="110"/>
        </w:rPr>
        <w:t>airline</w:t>
      </w:r>
      <w:r>
        <w:rPr>
          <w:spacing w:val="-3"/>
          <w:w w:val="110"/>
        </w:rPr>
        <w:t> </w:t>
      </w:r>
      <w:r>
        <w:rPr>
          <w:w w:val="110"/>
        </w:rPr>
        <w:t>and</w:t>
      </w:r>
      <w:r>
        <w:rPr>
          <w:spacing w:val="-3"/>
          <w:w w:val="110"/>
        </w:rPr>
        <w:t> </w:t>
      </w:r>
      <w:r>
        <w:rPr>
          <w:w w:val="110"/>
        </w:rPr>
        <w:t>a</w:t>
      </w:r>
      <w:r>
        <w:rPr>
          <w:spacing w:val="-3"/>
          <w:w w:val="110"/>
        </w:rPr>
        <w:t> </w:t>
      </w:r>
      <w:r>
        <w:rPr>
          <w:w w:val="110"/>
        </w:rPr>
        <w:t>passenger </w:t>
      </w:r>
      <w:r>
        <w:rPr>
          <w:w w:val="115"/>
        </w:rPr>
        <w:t>who had been subjected to race discrimination. The settlement</w:t>
      </w:r>
    </w:p>
    <w:p>
      <w:pPr>
        <w:pStyle w:val="BodyText"/>
        <w:spacing w:line="230" w:lineRule="auto" w:before="12"/>
        <w:ind w:right="538"/>
      </w:pPr>
      <w:r>
        <w:rPr>
          <w:w w:val="110"/>
        </w:rPr>
        <w:t>was reached in accordance with </w:t>
      </w:r>
      <w:r>
        <w:rPr>
          <w:rFonts w:ascii="Lucida Sans Unicode"/>
        </w:rPr>
        <w:t>Swedish implementing </w:t>
      </w:r>
      <w:r>
        <w:rPr>
          <w:rFonts w:ascii="Lucida Sans Unicode"/>
        </w:rPr>
        <w:t>legislation, </w:t>
      </w:r>
      <w:r>
        <w:rPr>
          <w:w w:val="110"/>
        </w:rPr>
        <w:t>but the passenger challenged</w:t>
      </w:r>
    </w:p>
    <w:p>
      <w:pPr>
        <w:pStyle w:val="BodyText"/>
        <w:spacing w:line="268" w:lineRule="auto" w:before="37"/>
        <w:ind w:right="266"/>
      </w:pPr>
      <w:r>
        <w:rPr>
          <w:w w:val="115"/>
        </w:rPr>
        <w:t>it, because it did not entail any formal acknowledgement that discrimination</w:t>
      </w:r>
      <w:r>
        <w:rPr>
          <w:spacing w:val="-19"/>
          <w:w w:val="115"/>
        </w:rPr>
        <w:t> </w:t>
      </w:r>
      <w:r>
        <w:rPr>
          <w:w w:val="115"/>
        </w:rPr>
        <w:t>had</w:t>
      </w:r>
      <w:r>
        <w:rPr>
          <w:spacing w:val="-19"/>
          <w:w w:val="115"/>
        </w:rPr>
        <w:t> </w:t>
      </w:r>
      <w:r>
        <w:rPr>
          <w:w w:val="115"/>
        </w:rPr>
        <w:t>occurred.</w:t>
      </w:r>
      <w:r>
        <w:rPr>
          <w:spacing w:val="-19"/>
          <w:w w:val="115"/>
        </w:rPr>
        <w:t> </w:t>
      </w:r>
      <w:r>
        <w:rPr>
          <w:w w:val="115"/>
        </w:rPr>
        <w:t>The </w:t>
      </w:r>
      <w:r>
        <w:rPr>
          <w:w w:val="110"/>
        </w:rPr>
        <w:t>CJEU</w:t>
      </w:r>
      <w:r>
        <w:rPr>
          <w:spacing w:val="6"/>
          <w:w w:val="110"/>
        </w:rPr>
        <w:t> </w:t>
      </w:r>
      <w:r>
        <w:rPr>
          <w:w w:val="110"/>
        </w:rPr>
        <w:t>found</w:t>
      </w:r>
      <w:r>
        <w:rPr>
          <w:spacing w:val="6"/>
          <w:w w:val="110"/>
        </w:rPr>
        <w:t> </w:t>
      </w:r>
      <w:r>
        <w:rPr>
          <w:w w:val="110"/>
        </w:rPr>
        <w:t>that</w:t>
      </w:r>
      <w:r>
        <w:rPr>
          <w:spacing w:val="6"/>
          <w:w w:val="110"/>
        </w:rPr>
        <w:t> </w:t>
      </w:r>
      <w:r>
        <w:rPr>
          <w:w w:val="110"/>
        </w:rPr>
        <w:t>Articles</w:t>
      </w:r>
      <w:r>
        <w:rPr>
          <w:spacing w:val="6"/>
          <w:w w:val="110"/>
        </w:rPr>
        <w:t> </w:t>
      </w:r>
      <w:r>
        <w:rPr>
          <w:w w:val="110"/>
        </w:rPr>
        <w:t>7(1)</w:t>
      </w:r>
      <w:r>
        <w:rPr>
          <w:spacing w:val="6"/>
          <w:w w:val="110"/>
        </w:rPr>
        <w:t> </w:t>
      </w:r>
      <w:r>
        <w:rPr>
          <w:spacing w:val="-5"/>
          <w:w w:val="110"/>
        </w:rPr>
        <w:t>and</w:t>
      </w:r>
    </w:p>
    <w:p>
      <w:pPr>
        <w:pStyle w:val="BodyText"/>
        <w:spacing w:line="206" w:lineRule="auto" w:before="3"/>
        <w:ind w:right="357"/>
      </w:pPr>
      <w:r>
        <w:rPr>
          <w:rFonts w:ascii="Lucida Sans Unicode"/>
          <w:w w:val="105"/>
        </w:rPr>
        <w:t>(2) of the Race Equality Directive are specific expressions of Article </w:t>
      </w:r>
      <w:r>
        <w:rPr>
          <w:rFonts w:ascii="Lucida Sans Unicode"/>
          <w:spacing w:val="-2"/>
          <w:w w:val="105"/>
        </w:rPr>
        <w:t>47</w:t>
      </w:r>
      <w:r>
        <w:rPr>
          <w:rFonts w:ascii="Lucida Sans Unicode"/>
          <w:spacing w:val="-18"/>
          <w:w w:val="105"/>
        </w:rPr>
        <w:t> </w:t>
      </w:r>
      <w:r>
        <w:rPr>
          <w:rFonts w:ascii="Lucida Sans Unicode"/>
          <w:spacing w:val="-2"/>
          <w:w w:val="105"/>
        </w:rPr>
        <w:t>of</w:t>
      </w:r>
      <w:r>
        <w:rPr>
          <w:rFonts w:ascii="Lucida Sans Unicode"/>
          <w:spacing w:val="-18"/>
          <w:w w:val="105"/>
        </w:rPr>
        <w:t> </w:t>
      </w:r>
      <w:r>
        <w:rPr>
          <w:rFonts w:ascii="Lucida Sans Unicode"/>
          <w:spacing w:val="-2"/>
          <w:w w:val="105"/>
        </w:rPr>
        <w:t>the</w:t>
      </w:r>
      <w:r>
        <w:rPr>
          <w:rFonts w:ascii="Lucida Sans Unicode"/>
          <w:spacing w:val="-18"/>
          <w:w w:val="105"/>
        </w:rPr>
        <w:t> </w:t>
      </w:r>
      <w:r>
        <w:rPr>
          <w:rFonts w:ascii="Lucida Sans Unicode"/>
          <w:spacing w:val="-2"/>
          <w:w w:val="105"/>
        </w:rPr>
        <w:t>Charter.</w:t>
      </w:r>
      <w:r>
        <w:rPr>
          <w:rFonts w:ascii="Lucida Sans Unicode"/>
          <w:spacing w:val="-2"/>
          <w:w w:val="105"/>
          <w:vertAlign w:val="superscript"/>
        </w:rPr>
        <w:t>90</w:t>
      </w:r>
      <w:r>
        <w:rPr>
          <w:rFonts w:ascii="Lucida Sans Unicode"/>
          <w:spacing w:val="-18"/>
          <w:w w:val="105"/>
          <w:vertAlign w:val="baseline"/>
        </w:rPr>
        <w:t> </w:t>
      </w:r>
      <w:r>
        <w:rPr>
          <w:rFonts w:ascii="Lucida Sans Unicode"/>
          <w:spacing w:val="-2"/>
          <w:w w:val="105"/>
          <w:vertAlign w:val="baseline"/>
        </w:rPr>
        <w:t>While</w:t>
      </w:r>
      <w:r>
        <w:rPr>
          <w:rFonts w:ascii="Lucida Sans Unicode"/>
          <w:spacing w:val="-18"/>
          <w:w w:val="105"/>
          <w:vertAlign w:val="baseline"/>
        </w:rPr>
        <w:t> </w:t>
      </w:r>
      <w:r>
        <w:rPr>
          <w:rFonts w:ascii="Lucida Sans Unicode"/>
          <w:spacing w:val="-2"/>
          <w:w w:val="105"/>
          <w:vertAlign w:val="baseline"/>
        </w:rPr>
        <w:t>it</w:t>
      </w:r>
      <w:r>
        <w:rPr>
          <w:rFonts w:ascii="Lucida Sans Unicode"/>
          <w:spacing w:val="-18"/>
          <w:w w:val="105"/>
          <w:vertAlign w:val="baseline"/>
        </w:rPr>
        <w:t> </w:t>
      </w:r>
      <w:r>
        <w:rPr>
          <w:rFonts w:ascii="Lucida Sans Unicode"/>
          <w:spacing w:val="-2"/>
          <w:w w:val="105"/>
          <w:vertAlign w:val="baseline"/>
        </w:rPr>
        <w:t>affirmed </w:t>
      </w:r>
      <w:r>
        <w:rPr>
          <w:rFonts w:ascii="Lucida Sans Unicode"/>
          <w:w w:val="105"/>
          <w:vertAlign w:val="baseline"/>
        </w:rPr>
        <w:t>that Member States are in principle </w:t>
      </w:r>
      <w:r>
        <w:rPr>
          <w:w w:val="105"/>
          <w:vertAlign w:val="baseline"/>
        </w:rPr>
        <w:t>free</w:t>
      </w:r>
      <w:r>
        <w:rPr>
          <w:spacing w:val="40"/>
          <w:w w:val="105"/>
          <w:vertAlign w:val="baseline"/>
        </w:rPr>
        <w:t> </w:t>
      </w:r>
      <w:r>
        <w:rPr>
          <w:w w:val="105"/>
          <w:vertAlign w:val="baseline"/>
        </w:rPr>
        <w:t>to</w:t>
      </w:r>
      <w:r>
        <w:rPr>
          <w:spacing w:val="40"/>
          <w:w w:val="105"/>
          <w:vertAlign w:val="baseline"/>
        </w:rPr>
        <w:t> </w:t>
      </w:r>
      <w:r>
        <w:rPr>
          <w:w w:val="105"/>
          <w:vertAlign w:val="baseline"/>
        </w:rPr>
        <w:t>choose</w:t>
      </w:r>
      <w:r>
        <w:rPr>
          <w:spacing w:val="40"/>
          <w:w w:val="105"/>
          <w:vertAlign w:val="baseline"/>
        </w:rPr>
        <w:t> </w:t>
      </w:r>
      <w:r>
        <w:rPr>
          <w:w w:val="105"/>
          <w:vertAlign w:val="baseline"/>
        </w:rPr>
        <w:t>the</w:t>
      </w:r>
      <w:r>
        <w:rPr>
          <w:spacing w:val="40"/>
          <w:w w:val="105"/>
          <w:vertAlign w:val="baseline"/>
        </w:rPr>
        <w:t> </w:t>
      </w:r>
      <w:r>
        <w:rPr>
          <w:w w:val="105"/>
          <w:vertAlign w:val="baseline"/>
        </w:rPr>
        <w:t>nature</w:t>
      </w:r>
      <w:r>
        <w:rPr>
          <w:spacing w:val="40"/>
          <w:w w:val="105"/>
          <w:vertAlign w:val="baseline"/>
        </w:rPr>
        <w:t> </w:t>
      </w:r>
      <w:r>
        <w:rPr>
          <w:w w:val="105"/>
          <w:vertAlign w:val="baseline"/>
        </w:rPr>
        <w:t>of</w:t>
      </w:r>
      <w:r>
        <w:rPr>
          <w:spacing w:val="40"/>
          <w:w w:val="105"/>
          <w:vertAlign w:val="baseline"/>
        </w:rPr>
        <w:t> </w:t>
      </w:r>
      <w:r>
        <w:rPr>
          <w:w w:val="105"/>
          <w:vertAlign w:val="baseline"/>
        </w:rPr>
        <w:t>national</w:t>
      </w:r>
    </w:p>
    <w:p>
      <w:pPr>
        <w:pStyle w:val="BodyText"/>
        <w:spacing w:line="310" w:lineRule="exact" w:before="22"/>
        <w:ind w:right="113"/>
      </w:pPr>
      <w:r>
        <w:rPr>
          <w:w w:val="115"/>
        </w:rPr>
        <w:t>procedures and the corresponding </w:t>
      </w:r>
      <w:r>
        <w:rPr>
          <w:spacing w:val="-2"/>
          <w:w w:val="115"/>
        </w:rPr>
        <w:t>remedies,</w:t>
      </w:r>
      <w:r>
        <w:rPr>
          <w:spacing w:val="-15"/>
          <w:w w:val="115"/>
        </w:rPr>
        <w:t> </w:t>
      </w:r>
      <w:r>
        <w:rPr>
          <w:spacing w:val="-2"/>
          <w:w w:val="115"/>
        </w:rPr>
        <w:t>they</w:t>
      </w:r>
      <w:r>
        <w:rPr>
          <w:spacing w:val="-15"/>
          <w:w w:val="115"/>
        </w:rPr>
        <w:t> </w:t>
      </w:r>
      <w:r>
        <w:rPr>
          <w:spacing w:val="-2"/>
          <w:w w:val="115"/>
        </w:rPr>
        <w:t>must</w:t>
      </w:r>
      <w:r>
        <w:rPr>
          <w:spacing w:val="-15"/>
          <w:w w:val="115"/>
        </w:rPr>
        <w:t> </w:t>
      </w:r>
      <w:r>
        <w:rPr>
          <w:spacing w:val="-2"/>
          <w:w w:val="115"/>
        </w:rPr>
        <w:t>ensure</w:t>
      </w:r>
      <w:r>
        <w:rPr>
          <w:spacing w:val="-15"/>
          <w:w w:val="115"/>
        </w:rPr>
        <w:t> </w:t>
      </w:r>
      <w:r>
        <w:rPr>
          <w:spacing w:val="-2"/>
          <w:w w:val="115"/>
        </w:rPr>
        <w:t>that</w:t>
      </w:r>
      <w:r>
        <w:rPr>
          <w:spacing w:val="-15"/>
          <w:w w:val="115"/>
        </w:rPr>
        <w:t> </w:t>
      </w:r>
      <w:r>
        <w:rPr>
          <w:spacing w:val="-2"/>
          <w:w w:val="115"/>
        </w:rPr>
        <w:t>these </w:t>
      </w:r>
      <w:r>
        <w:rPr>
          <w:w w:val="115"/>
        </w:rPr>
        <w:t>remedies result in ‘real and effective judicial protection of the rights that </w:t>
      </w:r>
      <w:r>
        <w:rPr>
          <w:rFonts w:ascii="Lucida Sans Unicode" w:hAnsi="Lucida Sans Unicode"/>
          <w:w w:val="110"/>
        </w:rPr>
        <w:t>are</w:t>
      </w:r>
      <w:r>
        <w:rPr>
          <w:rFonts w:ascii="Lucida Sans Unicode" w:hAnsi="Lucida Sans Unicode"/>
          <w:spacing w:val="-21"/>
          <w:w w:val="110"/>
        </w:rPr>
        <w:t> </w:t>
      </w:r>
      <w:r>
        <w:rPr>
          <w:rFonts w:ascii="Lucida Sans Unicode" w:hAnsi="Lucida Sans Unicode"/>
          <w:w w:val="110"/>
        </w:rPr>
        <w:t>derived</w:t>
      </w:r>
      <w:r>
        <w:rPr>
          <w:rFonts w:ascii="Lucida Sans Unicode" w:hAnsi="Lucida Sans Unicode"/>
          <w:spacing w:val="-20"/>
          <w:w w:val="110"/>
        </w:rPr>
        <w:t> </w:t>
      </w:r>
      <w:r>
        <w:rPr>
          <w:rFonts w:ascii="Lucida Sans Unicode" w:hAnsi="Lucida Sans Unicode"/>
          <w:w w:val="110"/>
        </w:rPr>
        <w:t>from</w:t>
      </w:r>
      <w:r>
        <w:rPr>
          <w:rFonts w:ascii="Lucida Sans Unicode" w:hAnsi="Lucida Sans Unicode"/>
          <w:spacing w:val="-21"/>
          <w:w w:val="110"/>
        </w:rPr>
        <w:t> </w:t>
      </w:r>
      <w:r>
        <w:rPr>
          <w:rFonts w:ascii="Lucida Sans Unicode" w:hAnsi="Lucida Sans Unicode"/>
          <w:w w:val="110"/>
        </w:rPr>
        <w:t>[the</w:t>
      </w:r>
      <w:r>
        <w:rPr>
          <w:rFonts w:ascii="Lucida Sans Unicode" w:hAnsi="Lucida Sans Unicode"/>
          <w:spacing w:val="-20"/>
          <w:w w:val="110"/>
        </w:rPr>
        <w:t> </w:t>
      </w:r>
      <w:r>
        <w:rPr>
          <w:rFonts w:ascii="Lucida Sans Unicode" w:hAnsi="Lucida Sans Unicode"/>
          <w:w w:val="110"/>
        </w:rPr>
        <w:t>Racial</w:t>
      </w:r>
      <w:r>
        <w:rPr>
          <w:rFonts w:ascii="Lucida Sans Unicode" w:hAnsi="Lucida Sans Unicode"/>
          <w:spacing w:val="-21"/>
          <w:w w:val="110"/>
        </w:rPr>
        <w:t> </w:t>
      </w:r>
      <w:r>
        <w:rPr>
          <w:rFonts w:ascii="Lucida Sans Unicode" w:hAnsi="Lucida Sans Unicode"/>
          <w:w w:val="110"/>
        </w:rPr>
        <w:t>Equality </w:t>
      </w:r>
      <w:r>
        <w:rPr>
          <w:rFonts w:ascii="Lucida Sans Unicode" w:hAnsi="Lucida Sans Unicode"/>
          <w:spacing w:val="-2"/>
          <w:w w:val="110"/>
        </w:rPr>
        <w:t>Directive]’.</w:t>
      </w:r>
      <w:r>
        <w:rPr>
          <w:spacing w:val="-2"/>
          <w:w w:val="110"/>
          <w:vertAlign w:val="superscript"/>
        </w:rPr>
        <w:t>91</w:t>
      </w:r>
      <w:r>
        <w:rPr>
          <w:spacing w:val="-15"/>
          <w:w w:val="110"/>
          <w:vertAlign w:val="baseline"/>
        </w:rPr>
        <w:t> </w:t>
      </w:r>
      <w:r>
        <w:rPr>
          <w:spacing w:val="-2"/>
          <w:w w:val="110"/>
          <w:vertAlign w:val="baseline"/>
        </w:rPr>
        <w:t>The</w:t>
      </w:r>
      <w:r>
        <w:rPr>
          <w:spacing w:val="-15"/>
          <w:w w:val="110"/>
          <w:vertAlign w:val="baseline"/>
        </w:rPr>
        <w:t> </w:t>
      </w:r>
      <w:r>
        <w:rPr>
          <w:spacing w:val="-2"/>
          <w:w w:val="110"/>
          <w:vertAlign w:val="baseline"/>
        </w:rPr>
        <w:t>CJEU</w:t>
      </w:r>
      <w:r>
        <w:rPr>
          <w:spacing w:val="-15"/>
          <w:w w:val="110"/>
          <w:vertAlign w:val="baseline"/>
        </w:rPr>
        <w:t> </w:t>
      </w:r>
      <w:r>
        <w:rPr>
          <w:spacing w:val="-2"/>
          <w:w w:val="110"/>
          <w:vertAlign w:val="baseline"/>
        </w:rPr>
        <w:t>then</w:t>
      </w:r>
      <w:r>
        <w:rPr>
          <w:spacing w:val="-15"/>
          <w:w w:val="110"/>
          <w:vertAlign w:val="baseline"/>
        </w:rPr>
        <w:t> </w:t>
      </w:r>
      <w:r>
        <w:rPr>
          <w:spacing w:val="-2"/>
          <w:w w:val="110"/>
          <w:vertAlign w:val="baseline"/>
        </w:rPr>
        <w:t>found</w:t>
      </w:r>
      <w:r>
        <w:rPr>
          <w:spacing w:val="-15"/>
          <w:w w:val="110"/>
          <w:vertAlign w:val="baseline"/>
        </w:rPr>
        <w:t> </w:t>
      </w:r>
      <w:r>
        <w:rPr>
          <w:spacing w:val="-2"/>
          <w:w w:val="110"/>
          <w:vertAlign w:val="baseline"/>
        </w:rPr>
        <w:t>that </w:t>
      </w:r>
      <w:r>
        <w:rPr>
          <w:w w:val="115"/>
          <w:vertAlign w:val="baseline"/>
        </w:rPr>
        <w:t>the</w:t>
      </w:r>
      <w:r>
        <w:rPr>
          <w:spacing w:val="-20"/>
          <w:w w:val="115"/>
          <w:vertAlign w:val="baseline"/>
        </w:rPr>
        <w:t> </w:t>
      </w:r>
      <w:r>
        <w:rPr>
          <w:w w:val="115"/>
          <w:vertAlign w:val="baseline"/>
        </w:rPr>
        <w:t>remedies</w:t>
      </w:r>
      <w:r>
        <w:rPr>
          <w:spacing w:val="-19"/>
          <w:w w:val="115"/>
          <w:vertAlign w:val="baseline"/>
        </w:rPr>
        <w:t> </w:t>
      </w:r>
      <w:r>
        <w:rPr>
          <w:w w:val="115"/>
          <w:vertAlign w:val="baseline"/>
        </w:rPr>
        <w:t>chosen</w:t>
      </w:r>
      <w:r>
        <w:rPr>
          <w:spacing w:val="-19"/>
          <w:w w:val="115"/>
          <w:vertAlign w:val="baseline"/>
        </w:rPr>
        <w:t> </w:t>
      </w:r>
      <w:r>
        <w:rPr>
          <w:w w:val="115"/>
          <w:vertAlign w:val="baseline"/>
        </w:rPr>
        <w:t>to</w:t>
      </w:r>
      <w:r>
        <w:rPr>
          <w:spacing w:val="-19"/>
          <w:w w:val="115"/>
          <w:vertAlign w:val="baseline"/>
        </w:rPr>
        <w:t> </w:t>
      </w:r>
      <w:r>
        <w:rPr>
          <w:w w:val="115"/>
          <w:vertAlign w:val="baseline"/>
        </w:rPr>
        <w:t>implement</w:t>
      </w:r>
      <w:r>
        <w:rPr>
          <w:spacing w:val="-19"/>
          <w:w w:val="115"/>
          <w:vertAlign w:val="baseline"/>
        </w:rPr>
        <w:t> </w:t>
      </w:r>
      <w:r>
        <w:rPr>
          <w:w w:val="115"/>
          <w:vertAlign w:val="baseline"/>
        </w:rPr>
        <w:t>the Race Equality Directive could not be </w:t>
      </w:r>
      <w:r>
        <w:rPr>
          <w:spacing w:val="-2"/>
          <w:w w:val="115"/>
          <w:vertAlign w:val="baseline"/>
        </w:rPr>
        <w:t>considered</w:t>
      </w:r>
      <w:r>
        <w:rPr>
          <w:spacing w:val="-18"/>
          <w:w w:val="115"/>
          <w:vertAlign w:val="baseline"/>
        </w:rPr>
        <w:t> </w:t>
      </w:r>
      <w:r>
        <w:rPr>
          <w:spacing w:val="-2"/>
          <w:w w:val="115"/>
          <w:vertAlign w:val="baseline"/>
        </w:rPr>
        <w:t>effective,</w:t>
      </w:r>
      <w:r>
        <w:rPr>
          <w:spacing w:val="-17"/>
          <w:w w:val="115"/>
          <w:vertAlign w:val="baseline"/>
        </w:rPr>
        <w:t> </w:t>
      </w:r>
      <w:r>
        <w:rPr>
          <w:spacing w:val="-2"/>
          <w:w w:val="115"/>
          <w:vertAlign w:val="baseline"/>
        </w:rPr>
        <w:t>because</w:t>
      </w:r>
      <w:r>
        <w:rPr>
          <w:spacing w:val="-17"/>
          <w:w w:val="115"/>
          <w:vertAlign w:val="baseline"/>
        </w:rPr>
        <w:t> </w:t>
      </w:r>
      <w:r>
        <w:rPr>
          <w:spacing w:val="-2"/>
          <w:w w:val="115"/>
          <w:vertAlign w:val="baseline"/>
        </w:rPr>
        <w:t>they</w:t>
      </w:r>
      <w:r>
        <w:rPr>
          <w:spacing w:val="-17"/>
          <w:w w:val="115"/>
          <w:vertAlign w:val="baseline"/>
        </w:rPr>
        <w:t> </w:t>
      </w:r>
      <w:r>
        <w:rPr>
          <w:spacing w:val="-2"/>
          <w:w w:val="115"/>
          <w:vertAlign w:val="baseline"/>
        </w:rPr>
        <w:t>did </w:t>
      </w:r>
      <w:r>
        <w:rPr>
          <w:w w:val="115"/>
          <w:vertAlign w:val="baseline"/>
        </w:rPr>
        <w:t>not</w:t>
      </w:r>
      <w:r>
        <w:rPr>
          <w:spacing w:val="-17"/>
          <w:w w:val="115"/>
          <w:vertAlign w:val="baseline"/>
        </w:rPr>
        <w:t> </w:t>
      </w:r>
      <w:r>
        <w:rPr>
          <w:w w:val="115"/>
          <w:vertAlign w:val="baseline"/>
        </w:rPr>
        <w:t>explicitly</w:t>
      </w:r>
      <w:r>
        <w:rPr>
          <w:spacing w:val="-16"/>
          <w:w w:val="115"/>
          <w:vertAlign w:val="baseline"/>
        </w:rPr>
        <w:t> </w:t>
      </w:r>
      <w:r>
        <w:rPr>
          <w:w w:val="115"/>
          <w:vertAlign w:val="baseline"/>
        </w:rPr>
        <w:t>require</w:t>
      </w:r>
      <w:r>
        <w:rPr>
          <w:spacing w:val="-16"/>
          <w:w w:val="115"/>
          <w:vertAlign w:val="baseline"/>
        </w:rPr>
        <w:t> </w:t>
      </w:r>
      <w:r>
        <w:rPr>
          <w:w w:val="115"/>
          <w:vertAlign w:val="baseline"/>
        </w:rPr>
        <w:t>a</w:t>
      </w:r>
      <w:r>
        <w:rPr>
          <w:spacing w:val="-16"/>
          <w:w w:val="115"/>
          <w:vertAlign w:val="baseline"/>
        </w:rPr>
        <w:t> </w:t>
      </w:r>
      <w:r>
        <w:rPr>
          <w:rFonts w:ascii="Trebuchet MS" w:hAnsi="Trebuchet MS"/>
          <w:i/>
          <w:w w:val="115"/>
          <w:vertAlign w:val="baseline"/>
        </w:rPr>
        <w:t>judicial</w:t>
      </w:r>
      <w:r>
        <w:rPr>
          <w:rFonts w:ascii="Trebuchet MS" w:hAnsi="Trebuchet MS"/>
          <w:i/>
          <w:spacing w:val="-21"/>
          <w:w w:val="115"/>
          <w:vertAlign w:val="baseline"/>
        </w:rPr>
        <w:t> </w:t>
      </w:r>
      <w:r>
        <w:rPr>
          <w:rFonts w:ascii="Trebuchet MS" w:hAnsi="Trebuchet MS"/>
          <w:i/>
          <w:w w:val="115"/>
          <w:vertAlign w:val="baseline"/>
        </w:rPr>
        <w:t>finding</w:t>
      </w:r>
      <w:r>
        <w:rPr>
          <w:rFonts w:ascii="Trebuchet MS" w:hAnsi="Trebuchet MS"/>
          <w:i/>
          <w:w w:val="115"/>
          <w:vertAlign w:val="baseline"/>
        </w:rPr>
        <w:t> </w:t>
      </w:r>
      <w:r>
        <w:rPr>
          <w:w w:val="115"/>
          <w:vertAlign w:val="baseline"/>
        </w:rPr>
        <w:t>that discrimination had occurred.</w:t>
      </w:r>
    </w:p>
    <w:p>
      <w:pPr>
        <w:pStyle w:val="BodyText"/>
        <w:spacing w:line="220" w:lineRule="auto" w:before="41"/>
        <w:ind w:right="403"/>
      </w:pPr>
      <w:r>
        <w:rPr>
          <w:w w:val="105"/>
        </w:rPr>
        <w:t>While</w:t>
      </w:r>
      <w:r>
        <w:rPr>
          <w:spacing w:val="40"/>
          <w:w w:val="105"/>
        </w:rPr>
        <w:t> </w:t>
      </w:r>
      <w:r>
        <w:rPr>
          <w:w w:val="105"/>
        </w:rPr>
        <w:t>neither</w:t>
      </w:r>
      <w:r>
        <w:rPr>
          <w:spacing w:val="40"/>
          <w:w w:val="105"/>
        </w:rPr>
        <w:t> </w:t>
      </w:r>
      <w:r>
        <w:rPr>
          <w:w w:val="105"/>
        </w:rPr>
        <w:t>the</w:t>
      </w:r>
      <w:r>
        <w:rPr>
          <w:spacing w:val="40"/>
          <w:w w:val="105"/>
        </w:rPr>
        <w:t> </w:t>
      </w:r>
      <w:r>
        <w:rPr>
          <w:w w:val="105"/>
        </w:rPr>
        <w:t>Directive</w:t>
      </w:r>
      <w:r>
        <w:rPr>
          <w:spacing w:val="40"/>
          <w:w w:val="105"/>
        </w:rPr>
        <w:t> </w:t>
      </w:r>
      <w:r>
        <w:rPr>
          <w:w w:val="105"/>
        </w:rPr>
        <w:t>nor </w:t>
      </w:r>
      <w:r>
        <w:rPr>
          <w:rFonts w:ascii="Lucida Sans Unicode"/>
          <w:w w:val="105"/>
        </w:rPr>
        <w:t>Article</w:t>
      </w:r>
      <w:r>
        <w:rPr>
          <w:rFonts w:ascii="Lucida Sans Unicode"/>
          <w:spacing w:val="-20"/>
          <w:w w:val="105"/>
        </w:rPr>
        <w:t> </w:t>
      </w:r>
      <w:r>
        <w:rPr>
          <w:rFonts w:ascii="Lucida Sans Unicode"/>
          <w:w w:val="105"/>
        </w:rPr>
        <w:t>21</w:t>
      </w:r>
      <w:r>
        <w:rPr>
          <w:rFonts w:ascii="Lucida Sans Unicode"/>
          <w:spacing w:val="-20"/>
          <w:w w:val="105"/>
        </w:rPr>
        <w:t> </w:t>
      </w:r>
      <w:r>
        <w:rPr>
          <w:rFonts w:ascii="Lucida Sans Unicode"/>
          <w:w w:val="105"/>
        </w:rPr>
        <w:t>CFR</w:t>
      </w:r>
      <w:r>
        <w:rPr>
          <w:rFonts w:ascii="Lucida Sans Unicode"/>
          <w:spacing w:val="-20"/>
          <w:w w:val="105"/>
        </w:rPr>
        <w:t> </w:t>
      </w:r>
      <w:r>
        <w:rPr>
          <w:rFonts w:ascii="Lucida Sans Unicode"/>
          <w:w w:val="105"/>
        </w:rPr>
        <w:t>(non-discrimination) </w:t>
      </w:r>
      <w:r>
        <w:rPr>
          <w:rFonts w:ascii="Lucida Sans Unicode"/>
          <w:spacing w:val="-2"/>
          <w:w w:val="105"/>
        </w:rPr>
        <w:t>specifically</w:t>
      </w:r>
      <w:r>
        <w:rPr>
          <w:rFonts w:ascii="Lucida Sans Unicode"/>
          <w:spacing w:val="-18"/>
          <w:w w:val="105"/>
        </w:rPr>
        <w:t> </w:t>
      </w:r>
      <w:r>
        <w:rPr>
          <w:rFonts w:ascii="Lucida Sans Unicode"/>
          <w:spacing w:val="-2"/>
          <w:w w:val="105"/>
        </w:rPr>
        <w:t>provided</w:t>
      </w:r>
      <w:r>
        <w:rPr>
          <w:rFonts w:ascii="Lucida Sans Unicode"/>
          <w:spacing w:val="-18"/>
          <w:w w:val="105"/>
        </w:rPr>
        <w:t> </w:t>
      </w:r>
      <w:r>
        <w:rPr>
          <w:rFonts w:ascii="Lucida Sans Unicode"/>
          <w:spacing w:val="-2"/>
          <w:w w:val="105"/>
        </w:rPr>
        <w:t>that</w:t>
      </w:r>
      <w:r>
        <w:rPr>
          <w:rFonts w:ascii="Lucida Sans Unicode"/>
          <w:spacing w:val="-18"/>
          <w:w w:val="105"/>
        </w:rPr>
        <w:t> </w:t>
      </w:r>
      <w:r>
        <w:rPr>
          <w:rFonts w:ascii="Lucida Sans Unicode"/>
          <w:spacing w:val="-2"/>
          <w:w w:val="105"/>
        </w:rPr>
        <w:t>reparation </w:t>
      </w:r>
      <w:r>
        <w:rPr>
          <w:w w:val="105"/>
        </w:rPr>
        <w:t>should</w:t>
      </w:r>
      <w:r>
        <w:rPr>
          <w:spacing w:val="40"/>
          <w:w w:val="105"/>
        </w:rPr>
        <w:t> </w:t>
      </w:r>
      <w:r>
        <w:rPr>
          <w:w w:val="105"/>
        </w:rPr>
        <w:t>have</w:t>
      </w:r>
      <w:r>
        <w:rPr>
          <w:spacing w:val="40"/>
          <w:w w:val="105"/>
        </w:rPr>
        <w:t> </w:t>
      </w:r>
      <w:r>
        <w:rPr>
          <w:w w:val="105"/>
        </w:rPr>
        <w:t>a</w:t>
      </w:r>
      <w:r>
        <w:rPr>
          <w:spacing w:val="40"/>
          <w:w w:val="105"/>
        </w:rPr>
        <w:t> </w:t>
      </w:r>
      <w:r>
        <w:rPr>
          <w:w w:val="105"/>
        </w:rPr>
        <w:t>symbolic</w:t>
      </w:r>
      <w:r>
        <w:rPr>
          <w:spacing w:val="40"/>
          <w:w w:val="105"/>
        </w:rPr>
        <w:t> </w:t>
      </w:r>
      <w:r>
        <w:rPr>
          <w:w w:val="105"/>
        </w:rPr>
        <w:t>dimension,</w:t>
      </w:r>
    </w:p>
    <w:p>
      <w:pPr>
        <w:pStyle w:val="BodyText"/>
        <w:spacing w:line="310" w:lineRule="exact" w:before="13"/>
        <w:ind w:right="178"/>
        <w:rPr>
          <w:rFonts w:ascii="Lucida Sans Unicode"/>
        </w:rPr>
      </w:pPr>
      <w:r>
        <w:rPr>
          <w:rFonts w:ascii="Lucida Sans Unicode"/>
        </w:rPr>
        <w:t>rather than being merely financial, </w:t>
      </w:r>
      <w:r>
        <w:rPr>
          <w:rFonts w:ascii="Lucida Sans Unicode"/>
        </w:rPr>
        <w:t>the </w:t>
      </w:r>
      <w:r>
        <w:rPr>
          <w:w w:val="110"/>
        </w:rPr>
        <w:t>CJEU read this requirement into the legislation, because of the need to </w:t>
      </w:r>
      <w:r>
        <w:rPr>
          <w:rFonts w:ascii="Lucida Sans Unicode"/>
          <w:w w:val="110"/>
        </w:rPr>
        <w:t>comply</w:t>
      </w:r>
      <w:r>
        <w:rPr>
          <w:rFonts w:ascii="Lucida Sans Unicode"/>
          <w:spacing w:val="-10"/>
          <w:w w:val="110"/>
        </w:rPr>
        <w:t> </w:t>
      </w:r>
      <w:r>
        <w:rPr>
          <w:rFonts w:ascii="Lucida Sans Unicode"/>
          <w:w w:val="110"/>
        </w:rPr>
        <w:t>with</w:t>
      </w:r>
      <w:r>
        <w:rPr>
          <w:rFonts w:ascii="Lucida Sans Unicode"/>
          <w:spacing w:val="-10"/>
          <w:w w:val="110"/>
        </w:rPr>
        <w:t> </w:t>
      </w:r>
      <w:r>
        <w:rPr>
          <w:rFonts w:ascii="Lucida Sans Unicode"/>
          <w:w w:val="110"/>
        </w:rPr>
        <w:t>Article</w:t>
      </w:r>
      <w:r>
        <w:rPr>
          <w:rFonts w:ascii="Lucida Sans Unicode"/>
          <w:spacing w:val="-10"/>
          <w:w w:val="110"/>
        </w:rPr>
        <w:t> </w:t>
      </w:r>
      <w:r>
        <w:rPr>
          <w:rFonts w:ascii="Lucida Sans Unicode"/>
          <w:w w:val="110"/>
        </w:rPr>
        <w:t>47</w:t>
      </w:r>
      <w:r>
        <w:rPr>
          <w:rFonts w:ascii="Lucida Sans Unicode"/>
          <w:spacing w:val="-10"/>
          <w:w w:val="110"/>
        </w:rPr>
        <w:t> </w:t>
      </w:r>
      <w:r>
        <w:rPr>
          <w:rFonts w:ascii="Lucida Sans Unicode"/>
          <w:w w:val="110"/>
        </w:rPr>
        <w:t>CFR.</w:t>
      </w:r>
    </w:p>
    <w:p>
      <w:pPr>
        <w:pStyle w:val="BodyText"/>
        <w:spacing w:line="310" w:lineRule="exact" w:before="300"/>
        <w:ind w:right="361"/>
      </w:pPr>
      <w:r>
        <w:rPr>
          <w:rFonts w:ascii="Lucida Sans Unicode" w:hAnsi="Lucida Sans Unicode"/>
          <w:spacing w:val="-2"/>
          <w:w w:val="110"/>
        </w:rPr>
        <w:t>Another</w:t>
      </w:r>
      <w:r>
        <w:rPr>
          <w:rFonts w:ascii="Lucida Sans Unicode" w:hAnsi="Lucida Sans Unicode"/>
          <w:spacing w:val="-19"/>
          <w:w w:val="110"/>
        </w:rPr>
        <w:t> </w:t>
      </w:r>
      <w:r>
        <w:rPr>
          <w:rFonts w:ascii="Lucida Sans Unicode" w:hAnsi="Lucida Sans Unicode"/>
          <w:spacing w:val="-2"/>
          <w:w w:val="110"/>
        </w:rPr>
        <w:t>example</w:t>
      </w:r>
      <w:r>
        <w:rPr>
          <w:rFonts w:ascii="Lucida Sans Unicode" w:hAnsi="Lucida Sans Unicode"/>
          <w:spacing w:val="-19"/>
          <w:w w:val="110"/>
        </w:rPr>
        <w:t> </w:t>
      </w:r>
      <w:r>
        <w:rPr>
          <w:rFonts w:ascii="Lucida Sans Unicode" w:hAnsi="Lucida Sans Unicode"/>
          <w:spacing w:val="-2"/>
          <w:w w:val="110"/>
        </w:rPr>
        <w:t>where</w:t>
      </w:r>
      <w:r>
        <w:rPr>
          <w:rFonts w:ascii="Lucida Sans Unicode" w:hAnsi="Lucida Sans Unicode"/>
          <w:spacing w:val="-19"/>
          <w:w w:val="110"/>
        </w:rPr>
        <w:t> </w:t>
      </w:r>
      <w:r>
        <w:rPr>
          <w:rFonts w:ascii="Lucida Sans Unicode" w:hAnsi="Lucida Sans Unicode"/>
          <w:spacing w:val="-2"/>
          <w:w w:val="110"/>
        </w:rPr>
        <w:t>Article</w:t>
      </w:r>
      <w:r>
        <w:rPr>
          <w:rFonts w:ascii="Lucida Sans Unicode" w:hAnsi="Lucida Sans Unicode"/>
          <w:spacing w:val="-19"/>
          <w:w w:val="110"/>
        </w:rPr>
        <w:t> </w:t>
      </w:r>
      <w:r>
        <w:rPr>
          <w:rFonts w:ascii="Lucida Sans Unicode" w:hAnsi="Lucida Sans Unicode"/>
          <w:spacing w:val="-2"/>
          <w:w w:val="110"/>
        </w:rPr>
        <w:t>47 </w:t>
      </w:r>
      <w:r>
        <w:rPr>
          <w:w w:val="110"/>
        </w:rPr>
        <w:t>was used in a situation </w:t>
      </w:r>
      <w:r>
        <w:rPr>
          <w:w w:val="110"/>
        </w:rPr>
        <w:t>substantively occupied</w:t>
      </w:r>
      <w:r>
        <w:rPr>
          <w:spacing w:val="40"/>
          <w:w w:val="110"/>
        </w:rPr>
        <w:t> </w:t>
      </w:r>
      <w:r>
        <w:rPr>
          <w:w w:val="110"/>
        </w:rPr>
        <w:t>by</w:t>
      </w:r>
      <w:r>
        <w:rPr>
          <w:spacing w:val="40"/>
          <w:w w:val="110"/>
        </w:rPr>
        <w:t> </w:t>
      </w:r>
      <w:r>
        <w:rPr>
          <w:w w:val="110"/>
        </w:rPr>
        <w:t>another</w:t>
      </w:r>
      <w:r>
        <w:rPr>
          <w:spacing w:val="40"/>
          <w:w w:val="110"/>
        </w:rPr>
        <w:t> </w:t>
      </w:r>
      <w:r>
        <w:rPr>
          <w:w w:val="110"/>
        </w:rPr>
        <w:t>provision</w:t>
      </w:r>
      <w:r>
        <w:rPr>
          <w:spacing w:val="40"/>
          <w:w w:val="110"/>
        </w:rPr>
        <w:t> </w:t>
      </w:r>
      <w:r>
        <w:rPr>
          <w:w w:val="110"/>
        </w:rPr>
        <w:t>of </w:t>
      </w:r>
      <w:r>
        <w:rPr>
          <w:rFonts w:ascii="Lucida Sans Unicode" w:hAnsi="Lucida Sans Unicode"/>
          <w:w w:val="110"/>
        </w:rPr>
        <w:t>the</w:t>
      </w:r>
      <w:r>
        <w:rPr>
          <w:rFonts w:ascii="Lucida Sans Unicode" w:hAnsi="Lucida Sans Unicode"/>
          <w:spacing w:val="-21"/>
          <w:w w:val="110"/>
        </w:rPr>
        <w:t> </w:t>
      </w:r>
      <w:r>
        <w:rPr>
          <w:rFonts w:ascii="Lucida Sans Unicode" w:hAnsi="Lucida Sans Unicode"/>
          <w:w w:val="110"/>
        </w:rPr>
        <w:t>Charter</w:t>
      </w:r>
      <w:r>
        <w:rPr>
          <w:rFonts w:ascii="Lucida Sans Unicode" w:hAnsi="Lucida Sans Unicode"/>
          <w:spacing w:val="-21"/>
          <w:w w:val="110"/>
        </w:rPr>
        <w:t> </w:t>
      </w:r>
      <w:r>
        <w:rPr>
          <w:rFonts w:ascii="Lucida Sans Unicode" w:hAnsi="Lucida Sans Unicode"/>
          <w:w w:val="110"/>
        </w:rPr>
        <w:t>(Article</w:t>
      </w:r>
      <w:r>
        <w:rPr>
          <w:rFonts w:ascii="Lucida Sans Unicode" w:hAnsi="Lucida Sans Unicode"/>
          <w:spacing w:val="-21"/>
          <w:w w:val="110"/>
        </w:rPr>
        <w:t> </w:t>
      </w:r>
      <w:r>
        <w:rPr>
          <w:rFonts w:ascii="Lucida Sans Unicode" w:hAnsi="Lucida Sans Unicode"/>
          <w:w w:val="105"/>
        </w:rPr>
        <w:t>31</w:t>
      </w:r>
      <w:r>
        <w:rPr>
          <w:rFonts w:ascii="Lucida Sans Unicode" w:hAnsi="Lucida Sans Unicode"/>
          <w:spacing w:val="-20"/>
          <w:w w:val="105"/>
        </w:rPr>
        <w:t> </w:t>
      </w:r>
      <w:r>
        <w:rPr>
          <w:rFonts w:ascii="Lucida Sans Unicode" w:hAnsi="Lucida Sans Unicode"/>
          <w:w w:val="110"/>
        </w:rPr>
        <w:t>CFR)</w:t>
      </w:r>
      <w:r>
        <w:rPr>
          <w:rFonts w:ascii="Lucida Sans Unicode" w:hAnsi="Lucida Sans Unicode"/>
          <w:spacing w:val="-21"/>
          <w:w w:val="110"/>
        </w:rPr>
        <w:t> </w:t>
      </w:r>
      <w:r>
        <w:rPr>
          <w:rFonts w:ascii="Lucida Sans Unicode" w:hAnsi="Lucida Sans Unicode"/>
          <w:w w:val="110"/>
        </w:rPr>
        <w:t>is</w:t>
      </w:r>
      <w:r>
        <w:rPr>
          <w:rFonts w:ascii="Lucida Sans Unicode" w:hAnsi="Lucida Sans Unicode"/>
          <w:spacing w:val="-21"/>
          <w:w w:val="110"/>
        </w:rPr>
        <w:t> </w:t>
      </w:r>
      <w:r>
        <w:rPr>
          <w:rFonts w:ascii="Verdana" w:hAnsi="Verdana"/>
          <w:i/>
          <w:w w:val="110"/>
        </w:rPr>
        <w:t>Fuß</w:t>
      </w:r>
      <w:r>
        <w:rPr>
          <w:w w:val="110"/>
        </w:rPr>
        <w:t>.</w:t>
      </w:r>
    </w:p>
    <w:p>
      <w:pPr>
        <w:spacing w:after="0" w:line="310" w:lineRule="exact"/>
        <w:sectPr>
          <w:type w:val="continuous"/>
          <w:pgSz w:w="11910" w:h="16840"/>
          <w:pgMar w:header="568" w:footer="580" w:top="0" w:bottom="280" w:left="1020" w:right="1020"/>
          <w:cols w:num="2" w:equalWidth="0">
            <w:col w:w="4730" w:space="315"/>
            <w:col w:w="4825"/>
          </w:cols>
        </w:sectPr>
      </w:pPr>
    </w:p>
    <w:p>
      <w:pPr>
        <w:pStyle w:val="BodyText"/>
        <w:spacing w:before="199"/>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85" name="Group 85"/>
                <wp:cNvGraphicFramePr>
                  <a:graphicFrameLocks/>
                </wp:cNvGraphicFramePr>
                <a:graphic>
                  <a:graphicData uri="http://schemas.microsoft.com/office/word/2010/wordprocessingGroup">
                    <wpg:wgp>
                      <wpg:cNvPr id="85" name="Group 85"/>
                      <wpg:cNvGrpSpPr/>
                      <wpg:grpSpPr>
                        <a:xfrm>
                          <a:off x="0" y="0"/>
                          <a:ext cx="6120130" cy="6350"/>
                          <a:chExt cx="6120130" cy="6350"/>
                        </a:xfrm>
                      </wpg:grpSpPr>
                      <wps:wsp>
                        <wps:cNvPr id="86" name="Graphic 86"/>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61"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7" w:val="left" w:leader="none"/>
        </w:tabs>
        <w:spacing w:line="223" w:lineRule="exact" w:before="61" w:after="0"/>
        <w:ind w:left="567" w:right="0" w:hanging="454"/>
        <w:jc w:val="left"/>
        <w:rPr>
          <w:sz w:val="16"/>
        </w:rPr>
      </w:pPr>
      <w:r>
        <w:rPr>
          <w:sz w:val="16"/>
        </w:rPr>
        <w:t>Case</w:t>
      </w:r>
      <w:r>
        <w:rPr>
          <w:spacing w:val="-11"/>
          <w:sz w:val="16"/>
        </w:rPr>
        <w:t> </w:t>
      </w:r>
      <w:r>
        <w:rPr>
          <w:sz w:val="16"/>
        </w:rPr>
        <w:t>C-243/09,</w:t>
      </w:r>
      <w:r>
        <w:rPr>
          <w:spacing w:val="-9"/>
          <w:sz w:val="16"/>
        </w:rPr>
        <w:t> </w:t>
      </w:r>
      <w:r>
        <w:rPr>
          <w:rFonts w:ascii="Verdana" w:hAnsi="Verdana"/>
          <w:i/>
          <w:sz w:val="16"/>
        </w:rPr>
        <w:t>Fuß</w:t>
      </w:r>
      <w:r>
        <w:rPr>
          <w:rFonts w:ascii="Verdana" w:hAnsi="Verdana"/>
          <w:i/>
          <w:spacing w:val="-14"/>
          <w:sz w:val="16"/>
        </w:rPr>
        <w:t> </w:t>
      </w:r>
      <w:r>
        <w:rPr>
          <w:spacing w:val="-2"/>
          <w:sz w:val="16"/>
        </w:rPr>
        <w:t>EU:C:2010:717.</w:t>
      </w:r>
    </w:p>
    <w:p>
      <w:pPr>
        <w:pStyle w:val="ListParagraph"/>
        <w:numPr>
          <w:ilvl w:val="0"/>
          <w:numId w:val="6"/>
        </w:numPr>
        <w:tabs>
          <w:tab w:pos="567" w:val="left" w:leader="none"/>
        </w:tabs>
        <w:spacing w:line="200" w:lineRule="exact" w:before="0" w:after="0"/>
        <w:ind w:left="567" w:right="0" w:hanging="454"/>
        <w:jc w:val="left"/>
        <w:rPr>
          <w:sz w:val="16"/>
        </w:rPr>
      </w:pPr>
      <w:r>
        <w:rPr>
          <w:rFonts w:ascii="Verdana"/>
          <w:i/>
          <w:sz w:val="16"/>
        </w:rPr>
        <w:t>Egenberger</w:t>
      </w:r>
      <w:r>
        <w:rPr>
          <w:rFonts w:ascii="Verdana"/>
          <w:i/>
          <w:spacing w:val="3"/>
          <w:sz w:val="16"/>
        </w:rPr>
        <w:t> </w:t>
      </w:r>
      <w:r>
        <w:rPr>
          <w:rFonts w:ascii="Arial"/>
          <w:sz w:val="16"/>
        </w:rPr>
        <w:t>(n</w:t>
      </w:r>
      <w:r>
        <w:rPr>
          <w:rFonts w:ascii="Arial"/>
          <w:spacing w:val="16"/>
          <w:sz w:val="16"/>
        </w:rPr>
        <w:t> </w:t>
      </w:r>
      <w:r>
        <w:rPr>
          <w:rFonts w:ascii="Arial"/>
          <w:spacing w:val="-4"/>
          <w:sz w:val="16"/>
        </w:rPr>
        <w:t>66).</w:t>
      </w:r>
    </w:p>
    <w:p>
      <w:pPr>
        <w:pStyle w:val="ListParagraph"/>
        <w:numPr>
          <w:ilvl w:val="0"/>
          <w:numId w:val="6"/>
        </w:numPr>
        <w:tabs>
          <w:tab w:pos="567" w:val="left" w:leader="none"/>
        </w:tabs>
        <w:spacing w:line="194" w:lineRule="auto" w:before="10" w:after="0"/>
        <w:ind w:left="567" w:right="312" w:hanging="454"/>
        <w:jc w:val="left"/>
        <w:rPr>
          <w:sz w:val="16"/>
        </w:rPr>
      </w:pPr>
      <w:r>
        <w:rPr>
          <w:sz w:val="16"/>
        </w:rPr>
        <w:t>Eleni Frantziou, ‘The Binding Charter Ten Years on: More than a ‘Mere Entreaty’?’ (2019) 38 </w:t>
      </w:r>
      <w:r>
        <w:rPr>
          <w:rFonts w:ascii="Verdana" w:hAnsi="Verdana"/>
          <w:i/>
          <w:sz w:val="16"/>
        </w:rPr>
        <w:t>Yearbook</w:t>
      </w:r>
      <w:r>
        <w:rPr>
          <w:rFonts w:ascii="Verdana" w:hAnsi="Verdana"/>
          <w:i/>
          <w:spacing w:val="-4"/>
          <w:sz w:val="16"/>
        </w:rPr>
        <w:t> </w:t>
      </w:r>
      <w:r>
        <w:rPr>
          <w:rFonts w:ascii="Verdana" w:hAnsi="Verdana"/>
          <w:i/>
          <w:sz w:val="16"/>
        </w:rPr>
        <w:t>of</w:t>
      </w:r>
      <w:r>
        <w:rPr>
          <w:rFonts w:ascii="Verdana" w:hAnsi="Verdana"/>
          <w:i/>
          <w:spacing w:val="-4"/>
          <w:sz w:val="16"/>
        </w:rPr>
        <w:t> </w:t>
      </w:r>
      <w:r>
        <w:rPr>
          <w:rFonts w:ascii="Verdana" w:hAnsi="Verdana"/>
          <w:i/>
          <w:sz w:val="16"/>
        </w:rPr>
        <w:t>European</w:t>
      </w:r>
      <w:r>
        <w:rPr>
          <w:rFonts w:ascii="Verdana" w:hAnsi="Verdana"/>
          <w:i/>
          <w:sz w:val="16"/>
        </w:rPr>
        <w:t> Law </w:t>
      </w:r>
      <w:r>
        <w:rPr>
          <w:sz w:val="16"/>
        </w:rPr>
        <w:t>73, 79-84.</w:t>
      </w:r>
    </w:p>
    <w:p>
      <w:pPr>
        <w:pStyle w:val="ListParagraph"/>
        <w:numPr>
          <w:ilvl w:val="0"/>
          <w:numId w:val="6"/>
        </w:numPr>
        <w:tabs>
          <w:tab w:pos="567" w:val="left" w:leader="none"/>
        </w:tabs>
        <w:spacing w:line="191" w:lineRule="exact" w:before="0" w:after="0"/>
        <w:ind w:left="567" w:right="0" w:hanging="454"/>
        <w:jc w:val="left"/>
        <w:rPr>
          <w:sz w:val="16"/>
        </w:rPr>
      </w:pPr>
      <w:r>
        <w:rPr>
          <w:spacing w:val="-2"/>
          <w:sz w:val="16"/>
        </w:rPr>
        <w:t>Case</w:t>
      </w:r>
      <w:r>
        <w:rPr>
          <w:spacing w:val="-11"/>
          <w:sz w:val="16"/>
        </w:rPr>
        <w:t> </w:t>
      </w:r>
      <w:r>
        <w:rPr>
          <w:spacing w:val="-2"/>
          <w:sz w:val="16"/>
        </w:rPr>
        <w:t>C-30/19</w:t>
      </w:r>
      <w:r>
        <w:rPr>
          <w:spacing w:val="-11"/>
          <w:sz w:val="16"/>
        </w:rPr>
        <w:t> </w:t>
      </w:r>
      <w:r>
        <w:rPr>
          <w:rFonts w:ascii="Verdana"/>
          <w:i/>
          <w:spacing w:val="-2"/>
          <w:sz w:val="16"/>
        </w:rPr>
        <w:t>Diskrimineringsombudsmannen</w:t>
      </w:r>
      <w:r>
        <w:rPr>
          <w:rFonts w:ascii="Verdana"/>
          <w:i/>
          <w:spacing w:val="-12"/>
          <w:sz w:val="16"/>
        </w:rPr>
        <w:t> </w:t>
      </w:r>
      <w:r>
        <w:rPr>
          <w:rFonts w:ascii="Verdana"/>
          <w:i/>
          <w:spacing w:val="-2"/>
          <w:sz w:val="16"/>
        </w:rPr>
        <w:t>v</w:t>
      </w:r>
      <w:r>
        <w:rPr>
          <w:rFonts w:ascii="Verdana"/>
          <w:i/>
          <w:spacing w:val="-12"/>
          <w:sz w:val="16"/>
        </w:rPr>
        <w:t> </w:t>
      </w:r>
      <w:r>
        <w:rPr>
          <w:rFonts w:ascii="Verdana"/>
          <w:i/>
          <w:spacing w:val="-2"/>
          <w:sz w:val="16"/>
        </w:rPr>
        <w:t>Braathens</w:t>
      </w:r>
      <w:r>
        <w:rPr>
          <w:rFonts w:ascii="Verdana"/>
          <w:i/>
          <w:spacing w:val="-12"/>
          <w:sz w:val="16"/>
        </w:rPr>
        <w:t> </w:t>
      </w:r>
      <w:r>
        <w:rPr>
          <w:rFonts w:ascii="Verdana"/>
          <w:i/>
          <w:spacing w:val="-2"/>
          <w:sz w:val="16"/>
        </w:rPr>
        <w:t>Regional</w:t>
      </w:r>
      <w:r>
        <w:rPr>
          <w:rFonts w:ascii="Verdana"/>
          <w:i/>
          <w:spacing w:val="-12"/>
          <w:sz w:val="16"/>
        </w:rPr>
        <w:t> </w:t>
      </w:r>
      <w:r>
        <w:rPr>
          <w:rFonts w:ascii="Verdana"/>
          <w:i/>
          <w:spacing w:val="-2"/>
          <w:sz w:val="16"/>
        </w:rPr>
        <w:t>Aviation</w:t>
      </w:r>
      <w:r>
        <w:rPr>
          <w:rFonts w:ascii="Verdana"/>
          <w:i/>
          <w:spacing w:val="-12"/>
          <w:sz w:val="16"/>
        </w:rPr>
        <w:t> </w:t>
      </w:r>
      <w:r>
        <w:rPr>
          <w:rFonts w:ascii="Verdana"/>
          <w:i/>
          <w:spacing w:val="-2"/>
          <w:sz w:val="16"/>
        </w:rPr>
        <w:t>AB</w:t>
      </w:r>
      <w:r>
        <w:rPr>
          <w:spacing w:val="-2"/>
          <w:sz w:val="16"/>
        </w:rPr>
        <w:t>,</w:t>
      </w:r>
      <w:r>
        <w:rPr>
          <w:spacing w:val="-9"/>
          <w:sz w:val="16"/>
        </w:rPr>
        <w:t> </w:t>
      </w:r>
      <w:r>
        <w:rPr>
          <w:spacing w:val="-2"/>
          <w:sz w:val="16"/>
        </w:rPr>
        <w:t>EU:C:2021:269,</w:t>
      </w:r>
      <w:r>
        <w:rPr>
          <w:spacing w:val="-7"/>
          <w:sz w:val="16"/>
        </w:rPr>
        <w:t> </w:t>
      </w:r>
      <w:r>
        <w:rPr>
          <w:spacing w:val="-2"/>
          <w:sz w:val="16"/>
        </w:rPr>
        <w:t>para.</w:t>
      </w:r>
      <w:r>
        <w:rPr>
          <w:spacing w:val="-8"/>
          <w:sz w:val="16"/>
        </w:rPr>
        <w:t> </w:t>
      </w:r>
      <w:r>
        <w:rPr>
          <w:spacing w:val="-2"/>
          <w:sz w:val="16"/>
        </w:rPr>
        <w:t>33-</w:t>
      </w:r>
      <w:r>
        <w:rPr>
          <w:spacing w:val="-5"/>
          <w:sz w:val="16"/>
        </w:rPr>
        <w:t>34.</w:t>
      </w:r>
    </w:p>
    <w:p>
      <w:pPr>
        <w:pStyle w:val="ListParagraph"/>
        <w:numPr>
          <w:ilvl w:val="0"/>
          <w:numId w:val="6"/>
        </w:numPr>
        <w:tabs>
          <w:tab w:pos="567" w:val="left" w:leader="none"/>
        </w:tabs>
        <w:spacing w:line="223" w:lineRule="exact" w:before="0" w:after="0"/>
        <w:ind w:left="567" w:right="0" w:hanging="454"/>
        <w:jc w:val="left"/>
        <w:rPr>
          <w:rFonts w:ascii="Arial"/>
          <w:sz w:val="16"/>
        </w:rPr>
      </w:pPr>
      <w:r>
        <w:rPr>
          <w:rFonts w:ascii="Verdana"/>
          <w:i/>
          <w:spacing w:val="-4"/>
          <w:sz w:val="16"/>
        </w:rPr>
        <w:t>Ibid</w:t>
      </w:r>
      <w:r>
        <w:rPr>
          <w:spacing w:val="-4"/>
          <w:sz w:val="16"/>
        </w:rPr>
        <w:t>.,</w:t>
      </w:r>
      <w:r>
        <w:rPr>
          <w:spacing w:val="-2"/>
          <w:sz w:val="16"/>
        </w:rPr>
        <w:t> </w:t>
      </w:r>
      <w:r>
        <w:rPr>
          <w:spacing w:val="-4"/>
          <w:sz w:val="16"/>
        </w:rPr>
        <w:t>para.</w:t>
      </w:r>
      <w:r>
        <w:rPr>
          <w:spacing w:val="-1"/>
          <w:sz w:val="16"/>
        </w:rPr>
        <w:t> </w:t>
      </w:r>
      <w:r>
        <w:rPr>
          <w:spacing w:val="-5"/>
          <w:sz w:val="16"/>
        </w:rPr>
        <w:t>38.</w:t>
      </w:r>
    </w:p>
    <w:p>
      <w:pPr>
        <w:spacing w:after="0" w:line="223" w:lineRule="exact"/>
        <w:jc w:val="left"/>
        <w:rPr>
          <w:rFonts w:ascii="Arial"/>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310" w:lineRule="exact" w:before="49"/>
        <w:ind w:right="234"/>
      </w:pPr>
      <w:r>
        <w:rPr>
          <w:rFonts w:ascii="Lucida Sans Unicode"/>
        </w:rPr>
        <w:t>In this case, a firefighter was </w:t>
      </w:r>
      <w:r>
        <w:rPr>
          <w:rFonts w:ascii="Lucida Sans Unicode"/>
        </w:rPr>
        <w:t>forcibly </w:t>
      </w:r>
      <w:r>
        <w:rPr>
          <w:w w:val="115"/>
        </w:rPr>
        <w:t>transferred to an operational role when</w:t>
      </w:r>
      <w:r>
        <w:rPr>
          <w:spacing w:val="-7"/>
          <w:w w:val="115"/>
        </w:rPr>
        <w:t> </w:t>
      </w:r>
      <w:r>
        <w:rPr>
          <w:w w:val="115"/>
        </w:rPr>
        <w:t>he</w:t>
      </w:r>
      <w:r>
        <w:rPr>
          <w:spacing w:val="-7"/>
          <w:w w:val="115"/>
        </w:rPr>
        <w:t> </w:t>
      </w:r>
      <w:r>
        <w:rPr>
          <w:w w:val="115"/>
        </w:rPr>
        <w:t>requested</w:t>
      </w:r>
      <w:r>
        <w:rPr>
          <w:spacing w:val="-7"/>
          <w:w w:val="115"/>
        </w:rPr>
        <w:t> </w:t>
      </w:r>
      <w:r>
        <w:rPr>
          <w:w w:val="115"/>
        </w:rPr>
        <w:t>that</w:t>
      </w:r>
      <w:r>
        <w:rPr>
          <w:spacing w:val="-7"/>
          <w:w w:val="115"/>
        </w:rPr>
        <w:t> </w:t>
      </w:r>
      <w:r>
        <w:rPr>
          <w:w w:val="115"/>
        </w:rPr>
        <w:t>his</w:t>
      </w:r>
      <w:r>
        <w:rPr>
          <w:spacing w:val="-7"/>
          <w:w w:val="115"/>
        </w:rPr>
        <w:t> </w:t>
      </w:r>
      <w:r>
        <w:rPr>
          <w:w w:val="115"/>
        </w:rPr>
        <w:t>working hours</w:t>
      </w:r>
      <w:r>
        <w:rPr>
          <w:spacing w:val="-13"/>
          <w:w w:val="115"/>
        </w:rPr>
        <w:t> </w:t>
      </w:r>
      <w:r>
        <w:rPr>
          <w:w w:val="115"/>
        </w:rPr>
        <w:t>comply</w:t>
      </w:r>
      <w:r>
        <w:rPr>
          <w:spacing w:val="-13"/>
          <w:w w:val="115"/>
        </w:rPr>
        <w:t> </w:t>
      </w:r>
      <w:r>
        <w:rPr>
          <w:w w:val="115"/>
        </w:rPr>
        <w:t>with</w:t>
      </w:r>
      <w:r>
        <w:rPr>
          <w:spacing w:val="-13"/>
          <w:w w:val="115"/>
        </w:rPr>
        <w:t> </w:t>
      </w:r>
      <w:r>
        <w:rPr>
          <w:w w:val="115"/>
        </w:rPr>
        <w:t>the</w:t>
      </w:r>
      <w:r>
        <w:rPr>
          <w:spacing w:val="-13"/>
          <w:w w:val="115"/>
        </w:rPr>
        <w:t> </w:t>
      </w:r>
      <w:r>
        <w:rPr>
          <w:w w:val="115"/>
        </w:rPr>
        <w:t>requirements of the Working Time Directive.</w:t>
      </w:r>
    </w:p>
    <w:p>
      <w:pPr>
        <w:pStyle w:val="BodyText"/>
        <w:spacing w:line="310" w:lineRule="exact"/>
        <w:ind w:right="41"/>
        <w:rPr>
          <w:rFonts w:ascii="Lucida Sans Unicode" w:hAnsi="Lucida Sans Unicode"/>
        </w:rPr>
      </w:pPr>
      <w:r>
        <w:rPr>
          <w:w w:val="115"/>
        </w:rPr>
        <w:t>There, the CJEU found a violation of </w:t>
      </w:r>
      <w:r>
        <w:rPr>
          <w:rFonts w:ascii="Lucida Sans Unicode" w:hAnsi="Lucida Sans Unicode"/>
          <w:w w:val="110"/>
        </w:rPr>
        <w:t>Article</w:t>
      </w:r>
      <w:r>
        <w:rPr>
          <w:rFonts w:ascii="Lucida Sans Unicode" w:hAnsi="Lucida Sans Unicode"/>
          <w:spacing w:val="-21"/>
          <w:w w:val="110"/>
        </w:rPr>
        <w:t> </w:t>
      </w:r>
      <w:r>
        <w:rPr>
          <w:rFonts w:ascii="Lucida Sans Unicode" w:hAnsi="Lucida Sans Unicode"/>
          <w:w w:val="110"/>
        </w:rPr>
        <w:t>47</w:t>
      </w:r>
      <w:r>
        <w:rPr>
          <w:rFonts w:ascii="Lucida Sans Unicode" w:hAnsi="Lucida Sans Unicode"/>
          <w:spacing w:val="-21"/>
          <w:w w:val="110"/>
        </w:rPr>
        <w:t> </w:t>
      </w:r>
      <w:r>
        <w:rPr>
          <w:rFonts w:ascii="Lucida Sans Unicode" w:hAnsi="Lucida Sans Unicode"/>
          <w:w w:val="110"/>
        </w:rPr>
        <w:t>of</w:t>
      </w:r>
      <w:r>
        <w:rPr>
          <w:rFonts w:ascii="Lucida Sans Unicode" w:hAnsi="Lucida Sans Unicode"/>
          <w:spacing w:val="-21"/>
          <w:w w:val="110"/>
        </w:rPr>
        <w:t> </w:t>
      </w:r>
      <w:r>
        <w:rPr>
          <w:rFonts w:ascii="Lucida Sans Unicode" w:hAnsi="Lucida Sans Unicode"/>
          <w:w w:val="110"/>
        </w:rPr>
        <w:t>the</w:t>
      </w:r>
      <w:r>
        <w:rPr>
          <w:rFonts w:ascii="Lucida Sans Unicode" w:hAnsi="Lucida Sans Unicode"/>
          <w:spacing w:val="-21"/>
          <w:w w:val="110"/>
        </w:rPr>
        <w:t> </w:t>
      </w:r>
      <w:r>
        <w:rPr>
          <w:rFonts w:ascii="Lucida Sans Unicode" w:hAnsi="Lucida Sans Unicode"/>
          <w:w w:val="110"/>
        </w:rPr>
        <w:t>Charter</w:t>
      </w:r>
      <w:r>
        <w:rPr>
          <w:rFonts w:ascii="Lucida Sans Unicode" w:hAnsi="Lucida Sans Unicode"/>
          <w:spacing w:val="-21"/>
          <w:w w:val="110"/>
        </w:rPr>
        <w:t> </w:t>
      </w:r>
      <w:r>
        <w:rPr>
          <w:rFonts w:ascii="Lucida Sans Unicode" w:hAnsi="Lucida Sans Unicode"/>
          <w:w w:val="110"/>
        </w:rPr>
        <w:t>due</w:t>
      </w:r>
      <w:r>
        <w:rPr>
          <w:rFonts w:ascii="Lucida Sans Unicode" w:hAnsi="Lucida Sans Unicode"/>
          <w:spacing w:val="-21"/>
          <w:w w:val="110"/>
        </w:rPr>
        <w:t> </w:t>
      </w:r>
      <w:r>
        <w:rPr>
          <w:rFonts w:ascii="Lucida Sans Unicode" w:hAnsi="Lucida Sans Unicode"/>
          <w:w w:val="110"/>
        </w:rPr>
        <w:t>to</w:t>
      </w:r>
      <w:r>
        <w:rPr>
          <w:rFonts w:ascii="Lucida Sans Unicode" w:hAnsi="Lucida Sans Unicode"/>
          <w:spacing w:val="-21"/>
          <w:w w:val="110"/>
        </w:rPr>
        <w:t> </w:t>
      </w:r>
      <w:r>
        <w:rPr>
          <w:rFonts w:ascii="Lucida Sans Unicode" w:hAnsi="Lucida Sans Unicode"/>
          <w:w w:val="110"/>
        </w:rPr>
        <w:t>the </w:t>
      </w:r>
      <w:r>
        <w:rPr>
          <w:w w:val="115"/>
        </w:rPr>
        <w:t>lack of dissuasive penalties for the employer</w:t>
      </w:r>
      <w:r>
        <w:rPr>
          <w:spacing w:val="-4"/>
          <w:w w:val="115"/>
        </w:rPr>
        <w:t> </w:t>
      </w:r>
      <w:r>
        <w:rPr>
          <w:w w:val="115"/>
        </w:rPr>
        <w:t>making</w:t>
      </w:r>
      <w:r>
        <w:rPr>
          <w:spacing w:val="-4"/>
          <w:w w:val="115"/>
        </w:rPr>
        <w:t> </w:t>
      </w:r>
      <w:r>
        <w:rPr>
          <w:w w:val="115"/>
        </w:rPr>
        <w:t>the</w:t>
      </w:r>
      <w:r>
        <w:rPr>
          <w:spacing w:val="-4"/>
          <w:w w:val="115"/>
        </w:rPr>
        <w:t> </w:t>
      </w:r>
      <w:r>
        <w:rPr>
          <w:w w:val="115"/>
        </w:rPr>
        <w:t>transfer,</w:t>
      </w:r>
      <w:r>
        <w:rPr>
          <w:spacing w:val="-4"/>
          <w:w w:val="115"/>
        </w:rPr>
        <w:t> </w:t>
      </w:r>
      <w:r>
        <w:rPr>
          <w:w w:val="115"/>
        </w:rPr>
        <w:t>but</w:t>
      </w:r>
      <w:r>
        <w:rPr>
          <w:spacing w:val="-4"/>
          <w:w w:val="115"/>
        </w:rPr>
        <w:t> </w:t>
      </w:r>
      <w:r>
        <w:rPr>
          <w:w w:val="115"/>
        </w:rPr>
        <w:t>not </w:t>
      </w:r>
      <w:r>
        <w:rPr>
          <w:rFonts w:ascii="Lucida Sans Unicode" w:hAnsi="Lucida Sans Unicode"/>
        </w:rPr>
        <w:t>a breach of Article 31 of the Charter, </w:t>
      </w:r>
      <w:r>
        <w:rPr>
          <w:w w:val="115"/>
        </w:rPr>
        <w:t>which protects the right to fair and just working conditions, which the CJEU did not go on to analyse in its reasoning.</w:t>
      </w:r>
      <w:r>
        <w:rPr>
          <w:spacing w:val="-5"/>
          <w:w w:val="115"/>
        </w:rPr>
        <w:t> </w:t>
      </w:r>
      <w:r>
        <w:rPr>
          <w:w w:val="115"/>
        </w:rPr>
        <w:t>The</w:t>
      </w:r>
      <w:r>
        <w:rPr>
          <w:spacing w:val="-5"/>
          <w:w w:val="115"/>
        </w:rPr>
        <w:t> </w:t>
      </w:r>
      <w:r>
        <w:rPr>
          <w:w w:val="115"/>
        </w:rPr>
        <w:t>CJEU</w:t>
      </w:r>
      <w:r>
        <w:rPr>
          <w:spacing w:val="-5"/>
          <w:w w:val="115"/>
        </w:rPr>
        <w:t> </w:t>
      </w:r>
      <w:r>
        <w:rPr>
          <w:w w:val="115"/>
        </w:rPr>
        <w:t>noted</w:t>
      </w:r>
      <w:r>
        <w:rPr>
          <w:spacing w:val="-5"/>
          <w:w w:val="115"/>
        </w:rPr>
        <w:t> </w:t>
      </w:r>
      <w:r>
        <w:rPr>
          <w:w w:val="115"/>
        </w:rPr>
        <w:t>that</w:t>
      </w:r>
      <w:r>
        <w:rPr>
          <w:spacing w:val="-5"/>
          <w:w w:val="115"/>
        </w:rPr>
        <w:t> </w:t>
      </w:r>
      <w:r>
        <w:rPr>
          <w:w w:val="115"/>
        </w:rPr>
        <w:t>‘fear of</w:t>
      </w:r>
      <w:r>
        <w:rPr>
          <w:spacing w:val="-8"/>
          <w:w w:val="115"/>
        </w:rPr>
        <w:t> </w:t>
      </w:r>
      <w:r>
        <w:rPr>
          <w:w w:val="115"/>
        </w:rPr>
        <w:t>such</w:t>
      </w:r>
      <w:r>
        <w:rPr>
          <w:spacing w:val="-8"/>
          <w:w w:val="115"/>
        </w:rPr>
        <w:t> </w:t>
      </w:r>
      <w:r>
        <w:rPr>
          <w:w w:val="115"/>
        </w:rPr>
        <w:t>a</w:t>
      </w:r>
      <w:r>
        <w:rPr>
          <w:spacing w:val="-8"/>
          <w:w w:val="115"/>
        </w:rPr>
        <w:t> </w:t>
      </w:r>
      <w:r>
        <w:rPr>
          <w:w w:val="115"/>
        </w:rPr>
        <w:t>reprisal</w:t>
      </w:r>
      <w:r>
        <w:rPr>
          <w:spacing w:val="-8"/>
          <w:w w:val="115"/>
        </w:rPr>
        <w:t> </w:t>
      </w:r>
      <w:r>
        <w:rPr>
          <w:w w:val="115"/>
        </w:rPr>
        <w:t>measure,</w:t>
      </w:r>
      <w:r>
        <w:rPr>
          <w:spacing w:val="-8"/>
          <w:w w:val="115"/>
        </w:rPr>
        <w:t> </w:t>
      </w:r>
      <w:r>
        <w:rPr>
          <w:w w:val="115"/>
        </w:rPr>
        <w:t>where</w:t>
      </w:r>
      <w:r>
        <w:rPr>
          <w:spacing w:val="-8"/>
          <w:w w:val="115"/>
        </w:rPr>
        <w:t> </w:t>
      </w:r>
      <w:r>
        <w:rPr>
          <w:w w:val="115"/>
        </w:rPr>
        <w:t>no legal remedy is available against it, might deter workers who considered themselves the victims of a measure taken</w:t>
      </w:r>
      <w:r>
        <w:rPr>
          <w:spacing w:val="-16"/>
          <w:w w:val="115"/>
        </w:rPr>
        <w:t> </w:t>
      </w:r>
      <w:r>
        <w:rPr>
          <w:w w:val="115"/>
        </w:rPr>
        <w:t>by</w:t>
      </w:r>
      <w:r>
        <w:rPr>
          <w:spacing w:val="-16"/>
          <w:w w:val="115"/>
        </w:rPr>
        <w:t> </w:t>
      </w:r>
      <w:r>
        <w:rPr>
          <w:w w:val="115"/>
        </w:rPr>
        <w:t>their</w:t>
      </w:r>
      <w:r>
        <w:rPr>
          <w:spacing w:val="-16"/>
          <w:w w:val="115"/>
        </w:rPr>
        <w:t> </w:t>
      </w:r>
      <w:r>
        <w:rPr>
          <w:w w:val="115"/>
        </w:rPr>
        <w:t>employer</w:t>
      </w:r>
      <w:r>
        <w:rPr>
          <w:spacing w:val="-16"/>
          <w:w w:val="115"/>
        </w:rPr>
        <w:t> </w:t>
      </w:r>
      <w:r>
        <w:rPr>
          <w:w w:val="115"/>
        </w:rPr>
        <w:t>from</w:t>
      </w:r>
      <w:r>
        <w:rPr>
          <w:spacing w:val="-16"/>
          <w:w w:val="115"/>
        </w:rPr>
        <w:t> </w:t>
      </w:r>
      <w:r>
        <w:rPr>
          <w:w w:val="115"/>
        </w:rPr>
        <w:t>pursuing their claims by judicial process, and </w:t>
      </w:r>
      <w:r>
        <w:rPr>
          <w:spacing w:val="-2"/>
          <w:w w:val="115"/>
        </w:rPr>
        <w:t>would</w:t>
      </w:r>
      <w:r>
        <w:rPr>
          <w:spacing w:val="-18"/>
          <w:w w:val="115"/>
        </w:rPr>
        <w:t> </w:t>
      </w:r>
      <w:r>
        <w:rPr>
          <w:spacing w:val="-2"/>
          <w:w w:val="115"/>
        </w:rPr>
        <w:t>consequently</w:t>
      </w:r>
      <w:r>
        <w:rPr>
          <w:spacing w:val="-17"/>
          <w:w w:val="115"/>
        </w:rPr>
        <w:t> </w:t>
      </w:r>
      <w:r>
        <w:rPr>
          <w:spacing w:val="-2"/>
          <w:w w:val="115"/>
        </w:rPr>
        <w:t>be</w:t>
      </w:r>
      <w:r>
        <w:rPr>
          <w:spacing w:val="-17"/>
          <w:w w:val="115"/>
        </w:rPr>
        <w:t> </w:t>
      </w:r>
      <w:r>
        <w:rPr>
          <w:spacing w:val="-2"/>
          <w:w w:val="115"/>
        </w:rPr>
        <w:t>liable</w:t>
      </w:r>
      <w:r>
        <w:rPr>
          <w:spacing w:val="-17"/>
          <w:w w:val="115"/>
        </w:rPr>
        <w:t> </w:t>
      </w:r>
      <w:r>
        <w:rPr>
          <w:spacing w:val="-2"/>
          <w:w w:val="115"/>
        </w:rPr>
        <w:t>seriously </w:t>
      </w:r>
      <w:r>
        <w:rPr>
          <w:w w:val="115"/>
        </w:rPr>
        <w:t>to jeopardise implementation of the aim pursued by the directive.’</w:t>
      </w:r>
      <w:r>
        <w:rPr>
          <w:rFonts w:ascii="Lucida Sans Unicode" w:hAnsi="Lucida Sans Unicode"/>
          <w:w w:val="115"/>
          <w:vertAlign w:val="superscript"/>
        </w:rPr>
        <w:t>92</w:t>
      </w:r>
    </w:p>
    <w:p>
      <w:pPr>
        <w:pStyle w:val="BodyText"/>
        <w:spacing w:line="310" w:lineRule="exact" w:before="300"/>
        <w:ind w:right="80"/>
      </w:pPr>
      <w:r>
        <w:rPr>
          <w:rFonts w:ascii="Lucida Sans Unicode" w:hAnsi="Lucida Sans Unicode"/>
        </w:rPr>
        <w:t>Second, the CJEU uses Article 47 CFR</w:t>
      </w:r>
      <w:r>
        <w:rPr>
          <w:rFonts w:ascii="Lucida Sans Unicode" w:hAnsi="Lucida Sans Unicode"/>
          <w:w w:val="110"/>
        </w:rPr>
        <w:t> </w:t>
      </w:r>
      <w:r>
        <w:rPr>
          <w:w w:val="110"/>
        </w:rPr>
        <w:t>as a ‘warning’ mechanism, reminding national courts of their obligation to </w:t>
      </w:r>
      <w:r>
        <w:rPr>
          <w:rFonts w:ascii="Lucida Sans Unicode" w:hAnsi="Lucida Sans Unicode"/>
        </w:rPr>
        <w:t>find effective remedies for </w:t>
      </w:r>
      <w:r>
        <w:rPr>
          <w:rFonts w:ascii="Lucida Sans Unicode" w:hAnsi="Lucida Sans Unicode"/>
        </w:rPr>
        <w:t>substantive </w:t>
      </w:r>
      <w:r>
        <w:rPr>
          <w:w w:val="110"/>
        </w:rPr>
        <w:t>violations of a fundamental right through direct effect and consistent interpretation, in order to avoid a further,</w:t>
      </w:r>
      <w:r>
        <w:rPr>
          <w:spacing w:val="40"/>
          <w:w w:val="110"/>
        </w:rPr>
        <w:t> </w:t>
      </w:r>
      <w:r>
        <w:rPr>
          <w:w w:val="110"/>
        </w:rPr>
        <w:t>procedural</w:t>
      </w:r>
      <w:r>
        <w:rPr>
          <w:spacing w:val="40"/>
          <w:w w:val="110"/>
        </w:rPr>
        <w:t> </w:t>
      </w:r>
      <w:r>
        <w:rPr>
          <w:w w:val="110"/>
        </w:rPr>
        <w:t>violation</w:t>
      </w:r>
      <w:r>
        <w:rPr>
          <w:spacing w:val="40"/>
          <w:w w:val="110"/>
        </w:rPr>
        <w:t> </w:t>
      </w:r>
      <w:r>
        <w:rPr>
          <w:w w:val="110"/>
        </w:rPr>
        <w:t>of</w:t>
      </w:r>
      <w:r>
        <w:rPr>
          <w:spacing w:val="40"/>
          <w:w w:val="110"/>
        </w:rPr>
        <w:t> </w:t>
      </w:r>
      <w:r>
        <w:rPr>
          <w:w w:val="110"/>
        </w:rPr>
        <w:t>the right to an effective remedy. This is best highlighted by the </w:t>
      </w:r>
      <w:r>
        <w:rPr>
          <w:rFonts w:ascii="Verdana" w:hAnsi="Verdana"/>
          <w:i/>
          <w:w w:val="110"/>
        </w:rPr>
        <w:t>Egenberger</w:t>
      </w:r>
      <w:r>
        <w:rPr>
          <w:rFonts w:ascii="Verdana" w:hAnsi="Verdana"/>
          <w:i/>
          <w:w w:val="110"/>
        </w:rPr>
        <w:t> </w:t>
      </w:r>
      <w:r>
        <w:rPr>
          <w:w w:val="110"/>
        </w:rPr>
        <w:t>case.</w:t>
      </w:r>
      <w:r>
        <w:rPr>
          <w:rFonts w:ascii="Lucida Sans Unicode" w:hAnsi="Lucida Sans Unicode"/>
          <w:w w:val="110"/>
          <w:vertAlign w:val="superscript"/>
        </w:rPr>
        <w:t>93</w:t>
      </w:r>
      <w:r>
        <w:rPr>
          <w:rFonts w:ascii="Lucida Sans Unicode" w:hAnsi="Lucida Sans Unicode"/>
          <w:w w:val="110"/>
          <w:vertAlign w:val="baseline"/>
        </w:rPr>
        <w:t> </w:t>
      </w:r>
      <w:r>
        <w:rPr>
          <w:w w:val="110"/>
          <w:vertAlign w:val="baseline"/>
        </w:rPr>
        <w:t>In that case, the claimant had applied for a temporary position</w:t>
      </w:r>
    </w:p>
    <w:p>
      <w:pPr>
        <w:pStyle w:val="BodyText"/>
        <w:spacing w:line="310" w:lineRule="exact"/>
        <w:ind w:right="424"/>
        <w:rPr>
          <w:rFonts w:ascii="Lucida Sans Unicode"/>
        </w:rPr>
      </w:pPr>
      <w:r>
        <w:rPr>
          <w:w w:val="110"/>
        </w:rPr>
        <w:t>with a development organisation wholly owned by various German protestant churches and church organisations. The position would have mainly involved the drawing</w:t>
      </w:r>
      <w:r>
        <w:rPr>
          <w:spacing w:val="40"/>
          <w:w w:val="110"/>
        </w:rPr>
        <w:t> </w:t>
      </w:r>
      <w:r>
        <w:rPr>
          <w:rFonts w:ascii="Lucida Sans Unicode"/>
        </w:rPr>
        <w:t>up of a parallel report to the </w:t>
      </w:r>
      <w:r>
        <w:rPr>
          <w:rFonts w:ascii="Lucida Sans Unicode"/>
        </w:rPr>
        <w:t>official</w:t>
      </w:r>
    </w:p>
    <w:p>
      <w:pPr>
        <w:pStyle w:val="BodyText"/>
        <w:spacing w:line="268" w:lineRule="auto" w:before="72"/>
        <w:ind w:right="317"/>
      </w:pPr>
      <w:r>
        <w:rPr/>
        <w:br w:type="column"/>
      </w:r>
      <w:r>
        <w:rPr>
          <w:w w:val="115"/>
        </w:rPr>
        <w:t>German government report to be submitted to the United Nations in </w:t>
      </w:r>
      <w:r>
        <w:rPr>
          <w:spacing w:val="-2"/>
          <w:w w:val="115"/>
        </w:rPr>
        <w:t>accordance</w:t>
      </w:r>
      <w:r>
        <w:rPr>
          <w:spacing w:val="-18"/>
          <w:w w:val="115"/>
        </w:rPr>
        <w:t> </w:t>
      </w:r>
      <w:r>
        <w:rPr>
          <w:spacing w:val="-2"/>
          <w:w w:val="115"/>
        </w:rPr>
        <w:t>with</w:t>
      </w:r>
      <w:r>
        <w:rPr>
          <w:spacing w:val="-17"/>
          <w:w w:val="115"/>
        </w:rPr>
        <w:t> </w:t>
      </w:r>
      <w:r>
        <w:rPr>
          <w:spacing w:val="-2"/>
          <w:w w:val="115"/>
        </w:rPr>
        <w:t>the</w:t>
      </w:r>
      <w:r>
        <w:rPr>
          <w:spacing w:val="-17"/>
          <w:w w:val="115"/>
        </w:rPr>
        <w:t> </w:t>
      </w:r>
      <w:r>
        <w:rPr>
          <w:spacing w:val="-2"/>
          <w:w w:val="115"/>
        </w:rPr>
        <w:t>UN</w:t>
      </w:r>
      <w:r>
        <w:rPr>
          <w:spacing w:val="-17"/>
          <w:w w:val="115"/>
        </w:rPr>
        <w:t> </w:t>
      </w:r>
      <w:r>
        <w:rPr>
          <w:spacing w:val="-2"/>
          <w:w w:val="115"/>
        </w:rPr>
        <w:t>Convention </w:t>
      </w:r>
      <w:r>
        <w:rPr>
          <w:w w:val="115"/>
        </w:rPr>
        <w:t>on the Elimination of All Forms of Racial</w:t>
      </w:r>
      <w:r>
        <w:rPr>
          <w:spacing w:val="-16"/>
          <w:w w:val="115"/>
        </w:rPr>
        <w:t> </w:t>
      </w:r>
      <w:r>
        <w:rPr>
          <w:w w:val="115"/>
        </w:rPr>
        <w:t>Discrimination.</w:t>
      </w:r>
      <w:r>
        <w:rPr>
          <w:spacing w:val="-16"/>
          <w:w w:val="115"/>
        </w:rPr>
        <w:t> </w:t>
      </w:r>
      <w:r>
        <w:rPr>
          <w:w w:val="115"/>
        </w:rPr>
        <w:t>The</w:t>
      </w:r>
      <w:r>
        <w:rPr>
          <w:spacing w:val="-16"/>
          <w:w w:val="115"/>
        </w:rPr>
        <w:t> </w:t>
      </w:r>
      <w:r>
        <w:rPr>
          <w:w w:val="115"/>
        </w:rPr>
        <w:t>claimant was not invited to interview for</w:t>
      </w:r>
    </w:p>
    <w:p>
      <w:pPr>
        <w:pStyle w:val="BodyText"/>
        <w:spacing w:line="268" w:lineRule="auto" w:before="5"/>
        <w:ind w:right="440"/>
      </w:pPr>
      <w:r>
        <w:rPr>
          <w:w w:val="115"/>
        </w:rPr>
        <w:t>the post despite being shortlisted, because she was not a member of a Protestant church; the post went instead</w:t>
      </w:r>
      <w:r>
        <w:rPr>
          <w:spacing w:val="-14"/>
          <w:w w:val="115"/>
        </w:rPr>
        <w:t> </w:t>
      </w:r>
      <w:r>
        <w:rPr>
          <w:w w:val="115"/>
        </w:rPr>
        <w:t>to</w:t>
      </w:r>
      <w:r>
        <w:rPr>
          <w:spacing w:val="-14"/>
          <w:w w:val="115"/>
        </w:rPr>
        <w:t> </w:t>
      </w:r>
      <w:r>
        <w:rPr>
          <w:w w:val="115"/>
        </w:rPr>
        <w:t>an</w:t>
      </w:r>
      <w:r>
        <w:rPr>
          <w:spacing w:val="-14"/>
          <w:w w:val="115"/>
        </w:rPr>
        <w:t> </w:t>
      </w:r>
      <w:r>
        <w:rPr>
          <w:w w:val="115"/>
        </w:rPr>
        <w:t>active</w:t>
      </w:r>
      <w:r>
        <w:rPr>
          <w:spacing w:val="-14"/>
          <w:w w:val="115"/>
        </w:rPr>
        <w:t> </w:t>
      </w:r>
      <w:r>
        <w:rPr>
          <w:w w:val="115"/>
        </w:rPr>
        <w:t>member</w:t>
      </w:r>
      <w:r>
        <w:rPr>
          <w:spacing w:val="-14"/>
          <w:w w:val="115"/>
        </w:rPr>
        <w:t> </w:t>
      </w:r>
      <w:r>
        <w:rPr>
          <w:w w:val="115"/>
        </w:rPr>
        <w:t>of</w:t>
      </w:r>
      <w:r>
        <w:rPr>
          <w:spacing w:val="-14"/>
          <w:w w:val="115"/>
        </w:rPr>
        <w:t> </w:t>
      </w:r>
      <w:r>
        <w:rPr>
          <w:w w:val="115"/>
        </w:rPr>
        <w:t>that</w:t>
      </w:r>
    </w:p>
    <w:p>
      <w:pPr>
        <w:pStyle w:val="BodyText"/>
        <w:spacing w:line="237" w:lineRule="auto" w:before="6"/>
        <w:ind w:right="317"/>
        <w:rPr>
          <w:rFonts w:ascii="Lucida Sans Unicode"/>
        </w:rPr>
      </w:pPr>
      <w:r>
        <w:rPr>
          <w:w w:val="105"/>
        </w:rPr>
        <w:t>church. The respondent relied on </w:t>
      </w:r>
      <w:r>
        <w:rPr>
          <w:w w:val="105"/>
        </w:rPr>
        <w:t>the</w:t>
      </w:r>
      <w:r>
        <w:rPr>
          <w:spacing w:val="40"/>
          <w:w w:val="105"/>
        </w:rPr>
        <w:t> </w:t>
      </w:r>
      <w:r>
        <w:rPr>
          <w:rFonts w:ascii="Lucida Sans Unicode"/>
          <w:w w:val="105"/>
        </w:rPr>
        <w:t>German transposition of Article 4</w:t>
      </w:r>
    </w:p>
    <w:p>
      <w:pPr>
        <w:pStyle w:val="BodyText"/>
        <w:spacing w:line="300" w:lineRule="exact"/>
        <w:rPr>
          <w:rFonts w:ascii="Lucida Sans Unicode"/>
        </w:rPr>
      </w:pPr>
      <w:r>
        <w:rPr>
          <w:rFonts w:ascii="Lucida Sans Unicode"/>
          <w:w w:val="105"/>
        </w:rPr>
        <w:t>(2)</w:t>
      </w:r>
      <w:r>
        <w:rPr>
          <w:rFonts w:ascii="Lucida Sans Unicode"/>
          <w:spacing w:val="-17"/>
          <w:w w:val="105"/>
        </w:rPr>
        <w:t> </w:t>
      </w:r>
      <w:r>
        <w:rPr>
          <w:rFonts w:ascii="Lucida Sans Unicode"/>
          <w:w w:val="105"/>
        </w:rPr>
        <w:t>of</w:t>
      </w:r>
      <w:r>
        <w:rPr>
          <w:rFonts w:ascii="Lucida Sans Unicode"/>
          <w:spacing w:val="-16"/>
          <w:w w:val="105"/>
        </w:rPr>
        <w:t> </w:t>
      </w:r>
      <w:r>
        <w:rPr>
          <w:rFonts w:ascii="Lucida Sans Unicode"/>
          <w:w w:val="105"/>
        </w:rPr>
        <w:t>Directive</w:t>
      </w:r>
      <w:r>
        <w:rPr>
          <w:rFonts w:ascii="Lucida Sans Unicode"/>
          <w:spacing w:val="-16"/>
          <w:w w:val="105"/>
        </w:rPr>
        <w:t> </w:t>
      </w:r>
      <w:r>
        <w:rPr>
          <w:rFonts w:ascii="Lucida Sans Unicode"/>
          <w:w w:val="105"/>
        </w:rPr>
        <w:t>2000/78/EC,</w:t>
      </w:r>
      <w:r>
        <w:rPr>
          <w:rFonts w:ascii="Lucida Sans Unicode"/>
          <w:spacing w:val="-17"/>
          <w:w w:val="105"/>
        </w:rPr>
        <w:t> </w:t>
      </w:r>
      <w:r>
        <w:rPr>
          <w:rFonts w:ascii="Lucida Sans Unicode"/>
          <w:spacing w:val="-2"/>
          <w:w w:val="105"/>
        </w:rPr>
        <w:t>which</w:t>
      </w:r>
    </w:p>
    <w:p>
      <w:pPr>
        <w:pStyle w:val="BodyText"/>
        <w:spacing w:line="268" w:lineRule="auto"/>
        <w:ind w:right="471"/>
      </w:pPr>
      <w:r>
        <w:rPr>
          <w:w w:val="115"/>
        </w:rPr>
        <w:t>contains the so-called ‘religious ethos</w:t>
      </w:r>
      <w:r>
        <w:rPr>
          <w:spacing w:val="-20"/>
          <w:w w:val="115"/>
        </w:rPr>
        <w:t> </w:t>
      </w:r>
      <w:r>
        <w:rPr>
          <w:w w:val="115"/>
        </w:rPr>
        <w:t>exception’</w:t>
      </w:r>
      <w:r>
        <w:rPr>
          <w:spacing w:val="-19"/>
          <w:w w:val="115"/>
        </w:rPr>
        <w:t> </w:t>
      </w:r>
      <w:r>
        <w:rPr>
          <w:w w:val="115"/>
        </w:rPr>
        <w:t>allowing</w:t>
      </w:r>
      <w:r>
        <w:rPr>
          <w:spacing w:val="-19"/>
          <w:w w:val="115"/>
        </w:rPr>
        <w:t> </w:t>
      </w:r>
      <w:r>
        <w:rPr>
          <w:w w:val="115"/>
        </w:rPr>
        <w:t>churches and</w:t>
      </w:r>
      <w:r>
        <w:rPr>
          <w:spacing w:val="-20"/>
          <w:w w:val="115"/>
        </w:rPr>
        <w:t> </w:t>
      </w:r>
      <w:r>
        <w:rPr>
          <w:w w:val="115"/>
        </w:rPr>
        <w:t>other</w:t>
      </w:r>
      <w:r>
        <w:rPr>
          <w:spacing w:val="-19"/>
          <w:w w:val="115"/>
        </w:rPr>
        <w:t> </w:t>
      </w:r>
      <w:r>
        <w:rPr>
          <w:w w:val="115"/>
        </w:rPr>
        <w:t>religious</w:t>
      </w:r>
      <w:r>
        <w:rPr>
          <w:spacing w:val="-19"/>
          <w:w w:val="115"/>
        </w:rPr>
        <w:t> </w:t>
      </w:r>
      <w:r>
        <w:rPr>
          <w:w w:val="115"/>
        </w:rPr>
        <w:t>organisations</w:t>
      </w:r>
      <w:r>
        <w:rPr>
          <w:spacing w:val="-19"/>
          <w:w w:val="115"/>
        </w:rPr>
        <w:t> </w:t>
      </w:r>
      <w:r>
        <w:rPr>
          <w:w w:val="115"/>
        </w:rPr>
        <w:t>to treat persons differently according to their religion if that ‘person’s</w:t>
      </w:r>
    </w:p>
    <w:p>
      <w:pPr>
        <w:pStyle w:val="BodyText"/>
        <w:spacing w:line="230" w:lineRule="auto" w:before="4"/>
        <w:ind w:right="161"/>
      </w:pPr>
      <w:r>
        <w:rPr>
          <w:w w:val="110"/>
        </w:rPr>
        <w:t>religion or belief constitute a </w:t>
      </w:r>
      <w:r>
        <w:rPr>
          <w:w w:val="110"/>
        </w:rPr>
        <w:t>genuine, </w:t>
      </w:r>
      <w:r>
        <w:rPr>
          <w:rFonts w:ascii="Lucida Sans Unicode" w:hAnsi="Lucida Sans Unicode"/>
        </w:rPr>
        <w:t>legitimate and justified occupational </w:t>
      </w:r>
      <w:r>
        <w:rPr>
          <w:w w:val="110"/>
        </w:rPr>
        <w:t>requirement’. According to German</w:t>
      </w:r>
    </w:p>
    <w:p>
      <w:pPr>
        <w:pStyle w:val="BodyText"/>
        <w:spacing w:line="310" w:lineRule="exact" w:before="14"/>
        <w:ind w:right="147"/>
        <w:rPr>
          <w:rFonts w:ascii="Lucida Sans Unicode" w:hAnsi="Lucida Sans Unicode"/>
        </w:rPr>
      </w:pPr>
      <w:r>
        <w:rPr>
          <w:w w:val="115"/>
        </w:rPr>
        <w:t>law, the decision whether such an </w:t>
      </w:r>
      <w:r>
        <w:rPr>
          <w:spacing w:val="-2"/>
          <w:w w:val="115"/>
        </w:rPr>
        <w:t>occupational</w:t>
      </w:r>
      <w:r>
        <w:rPr>
          <w:spacing w:val="-14"/>
          <w:w w:val="115"/>
        </w:rPr>
        <w:t> </w:t>
      </w:r>
      <w:r>
        <w:rPr>
          <w:spacing w:val="-2"/>
          <w:w w:val="115"/>
        </w:rPr>
        <w:t>requirement</w:t>
      </w:r>
      <w:r>
        <w:rPr>
          <w:spacing w:val="-14"/>
          <w:w w:val="115"/>
        </w:rPr>
        <w:t> </w:t>
      </w:r>
      <w:r>
        <w:rPr>
          <w:spacing w:val="-2"/>
          <w:w w:val="115"/>
        </w:rPr>
        <w:t>existed</w:t>
      </w:r>
      <w:r>
        <w:rPr>
          <w:spacing w:val="-14"/>
          <w:w w:val="115"/>
        </w:rPr>
        <w:t> </w:t>
      </w:r>
      <w:r>
        <w:rPr>
          <w:spacing w:val="-2"/>
          <w:w w:val="115"/>
        </w:rPr>
        <w:t>was </w:t>
      </w:r>
      <w:r>
        <w:rPr>
          <w:w w:val="115"/>
        </w:rPr>
        <w:t>to be determined by the organisation itself ‘in view of its right to self- determination’, so that judicial review was</w:t>
      </w:r>
      <w:r>
        <w:rPr>
          <w:spacing w:val="-20"/>
          <w:w w:val="115"/>
        </w:rPr>
        <w:t> </w:t>
      </w:r>
      <w:r>
        <w:rPr>
          <w:w w:val="115"/>
        </w:rPr>
        <w:t>severely</w:t>
      </w:r>
      <w:r>
        <w:rPr>
          <w:spacing w:val="-19"/>
          <w:w w:val="115"/>
        </w:rPr>
        <w:t> </w:t>
      </w:r>
      <w:r>
        <w:rPr>
          <w:w w:val="115"/>
        </w:rPr>
        <w:t>limited</w:t>
      </w:r>
      <w:r>
        <w:rPr>
          <w:spacing w:val="-19"/>
          <w:w w:val="115"/>
        </w:rPr>
        <w:t> </w:t>
      </w:r>
      <w:r>
        <w:rPr>
          <w:w w:val="115"/>
        </w:rPr>
        <w:t>to</w:t>
      </w:r>
      <w:r>
        <w:rPr>
          <w:spacing w:val="-19"/>
          <w:w w:val="115"/>
        </w:rPr>
        <w:t> </w:t>
      </w:r>
      <w:r>
        <w:rPr>
          <w:w w:val="115"/>
        </w:rPr>
        <w:t>a</w:t>
      </w:r>
      <w:r>
        <w:rPr>
          <w:spacing w:val="-19"/>
          <w:w w:val="115"/>
        </w:rPr>
        <w:t> </w:t>
      </w:r>
      <w:r>
        <w:rPr>
          <w:w w:val="115"/>
        </w:rPr>
        <w:t>review</w:t>
      </w:r>
      <w:r>
        <w:rPr>
          <w:spacing w:val="-20"/>
          <w:w w:val="115"/>
        </w:rPr>
        <w:t> </w:t>
      </w:r>
      <w:r>
        <w:rPr>
          <w:w w:val="115"/>
        </w:rPr>
        <w:t>of</w:t>
      </w:r>
      <w:r>
        <w:rPr>
          <w:spacing w:val="-19"/>
          <w:w w:val="115"/>
        </w:rPr>
        <w:t> </w:t>
      </w:r>
      <w:r>
        <w:rPr>
          <w:w w:val="115"/>
        </w:rPr>
        <w:t>the plausibility of such a decision on the </w:t>
      </w:r>
      <w:r>
        <w:rPr>
          <w:w w:val="110"/>
        </w:rPr>
        <w:t>basis of the church’s </w:t>
      </w:r>
      <w:r>
        <w:rPr>
          <w:w w:val="110"/>
        </w:rPr>
        <w:t>self-perception.</w:t>
      </w:r>
      <w:r>
        <w:rPr>
          <w:rFonts w:ascii="Lucida Sans Unicode" w:hAnsi="Lucida Sans Unicode"/>
          <w:w w:val="110"/>
          <w:vertAlign w:val="superscript"/>
        </w:rPr>
        <w:t>94</w:t>
      </w:r>
    </w:p>
    <w:p>
      <w:pPr>
        <w:pStyle w:val="BodyText"/>
        <w:spacing w:line="310" w:lineRule="exact" w:before="300"/>
        <w:ind w:right="242"/>
        <w:rPr>
          <w:rFonts w:ascii="Lucida Sans Unicode" w:hAnsi="Lucida Sans Unicode"/>
        </w:rPr>
      </w:pPr>
      <w:r>
        <w:rPr>
          <w:rFonts w:ascii="Lucida Sans Unicode" w:hAnsi="Lucida Sans Unicode"/>
          <w:w w:val="110"/>
        </w:rPr>
        <w:t>On</w:t>
      </w:r>
      <w:r>
        <w:rPr>
          <w:rFonts w:ascii="Lucida Sans Unicode" w:hAnsi="Lucida Sans Unicode"/>
          <w:spacing w:val="-17"/>
          <w:w w:val="110"/>
        </w:rPr>
        <w:t> </w:t>
      </w:r>
      <w:r>
        <w:rPr>
          <w:rFonts w:ascii="Lucida Sans Unicode" w:hAnsi="Lucida Sans Unicode"/>
          <w:w w:val="110"/>
        </w:rPr>
        <w:t>a</w:t>
      </w:r>
      <w:r>
        <w:rPr>
          <w:rFonts w:ascii="Lucida Sans Unicode" w:hAnsi="Lucida Sans Unicode"/>
          <w:spacing w:val="-17"/>
          <w:w w:val="110"/>
        </w:rPr>
        <w:t> </w:t>
      </w:r>
      <w:r>
        <w:rPr>
          <w:rFonts w:ascii="Lucida Sans Unicode" w:hAnsi="Lucida Sans Unicode"/>
          <w:w w:val="110"/>
        </w:rPr>
        <w:t>first</w:t>
      </w:r>
      <w:r>
        <w:rPr>
          <w:rFonts w:ascii="Lucida Sans Unicode" w:hAnsi="Lucida Sans Unicode"/>
          <w:spacing w:val="-17"/>
          <w:w w:val="110"/>
        </w:rPr>
        <w:t> </w:t>
      </w:r>
      <w:r>
        <w:rPr>
          <w:rFonts w:ascii="Lucida Sans Unicode" w:hAnsi="Lucida Sans Unicode"/>
          <w:w w:val="110"/>
        </w:rPr>
        <w:t>level,</w:t>
      </w:r>
      <w:r>
        <w:rPr>
          <w:rFonts w:ascii="Lucida Sans Unicode" w:hAnsi="Lucida Sans Unicode"/>
          <w:spacing w:val="-17"/>
          <w:w w:val="110"/>
        </w:rPr>
        <w:t> </w:t>
      </w:r>
      <w:r>
        <w:rPr>
          <w:rFonts w:ascii="Lucida Sans Unicode" w:hAnsi="Lucida Sans Unicode"/>
          <w:w w:val="110"/>
        </w:rPr>
        <w:t>the</w:t>
      </w:r>
      <w:r>
        <w:rPr>
          <w:rFonts w:ascii="Lucida Sans Unicode" w:hAnsi="Lucida Sans Unicode"/>
          <w:spacing w:val="-17"/>
          <w:w w:val="110"/>
        </w:rPr>
        <w:t> </w:t>
      </w:r>
      <w:r>
        <w:rPr>
          <w:rFonts w:ascii="Lucida Sans Unicode" w:hAnsi="Lucida Sans Unicode"/>
          <w:w w:val="110"/>
        </w:rPr>
        <w:t>CJEU</w:t>
      </w:r>
      <w:r>
        <w:rPr>
          <w:rFonts w:ascii="Lucida Sans Unicode" w:hAnsi="Lucida Sans Unicode"/>
          <w:spacing w:val="-17"/>
          <w:w w:val="110"/>
        </w:rPr>
        <w:t> </w:t>
      </w:r>
      <w:r>
        <w:rPr>
          <w:rFonts w:ascii="Lucida Sans Unicode" w:hAnsi="Lucida Sans Unicode"/>
          <w:w w:val="110"/>
        </w:rPr>
        <w:t>found</w:t>
      </w:r>
      <w:r>
        <w:rPr>
          <w:rFonts w:ascii="Lucida Sans Unicode" w:hAnsi="Lucida Sans Unicode"/>
          <w:spacing w:val="-17"/>
          <w:w w:val="110"/>
        </w:rPr>
        <w:t> </w:t>
      </w:r>
      <w:r>
        <w:rPr>
          <w:rFonts w:ascii="Lucida Sans Unicode" w:hAnsi="Lucida Sans Unicode"/>
          <w:w w:val="110"/>
        </w:rPr>
        <w:t>that </w:t>
      </w:r>
      <w:r>
        <w:rPr>
          <w:w w:val="110"/>
        </w:rPr>
        <w:t>this requirement was substantively </w:t>
      </w:r>
      <w:r>
        <w:rPr>
          <w:rFonts w:ascii="Verdana" w:hAnsi="Verdana"/>
          <w:i/>
        </w:rPr>
        <w:t>incompatible with Article 21 CFR</w:t>
      </w:r>
      <w:r>
        <w:rPr/>
        <w:t>, </w:t>
      </w:r>
      <w:r>
        <w:rPr>
          <w:w w:val="110"/>
        </w:rPr>
        <w:t>which is directly effective and must, therefore, be adequately protected in domestic law. On a second level, the CJEU found that the narrow judicial review protection offered in </w:t>
      </w:r>
      <w:r>
        <w:rPr>
          <w:w w:val="110"/>
        </w:rPr>
        <w:t>domestic law was also not compatible with the </w:t>
      </w:r>
      <w:r>
        <w:rPr>
          <w:rFonts w:ascii="Lucida Sans Unicode" w:hAnsi="Lucida Sans Unicode"/>
          <w:w w:val="110"/>
        </w:rPr>
        <w:t>Charter</w:t>
      </w:r>
      <w:r>
        <w:rPr>
          <w:rFonts w:ascii="Lucida Sans Unicode" w:hAnsi="Lucida Sans Unicode"/>
          <w:spacing w:val="-21"/>
          <w:w w:val="110"/>
        </w:rPr>
        <w:t> </w:t>
      </w:r>
      <w:r>
        <w:rPr>
          <w:rFonts w:ascii="Lucida Sans Unicode" w:hAnsi="Lucida Sans Unicode"/>
          <w:w w:val="110"/>
        </w:rPr>
        <w:t>–</w:t>
      </w:r>
      <w:r>
        <w:rPr>
          <w:rFonts w:ascii="Lucida Sans Unicode" w:hAnsi="Lucida Sans Unicode"/>
          <w:spacing w:val="-21"/>
          <w:w w:val="110"/>
        </w:rPr>
        <w:t> </w:t>
      </w:r>
      <w:r>
        <w:rPr>
          <w:rFonts w:ascii="Lucida Sans Unicode" w:hAnsi="Lucida Sans Unicode"/>
          <w:w w:val="110"/>
        </w:rPr>
        <w:t>this</w:t>
      </w:r>
      <w:r>
        <w:rPr>
          <w:rFonts w:ascii="Lucida Sans Unicode" w:hAnsi="Lucida Sans Unicode"/>
          <w:spacing w:val="-21"/>
          <w:w w:val="110"/>
        </w:rPr>
        <w:t> </w:t>
      </w:r>
      <w:r>
        <w:rPr>
          <w:rFonts w:ascii="Lucida Sans Unicode" w:hAnsi="Lucida Sans Unicode"/>
          <w:w w:val="110"/>
        </w:rPr>
        <w:t>time</w:t>
      </w:r>
      <w:r>
        <w:rPr>
          <w:rFonts w:ascii="Lucida Sans Unicode" w:hAnsi="Lucida Sans Unicode"/>
          <w:spacing w:val="-21"/>
          <w:w w:val="110"/>
        </w:rPr>
        <w:t> </w:t>
      </w:r>
      <w:r>
        <w:rPr>
          <w:rFonts w:ascii="Lucida Sans Unicode" w:hAnsi="Lucida Sans Unicode"/>
          <w:w w:val="110"/>
        </w:rPr>
        <w:t>Article</w:t>
      </w:r>
      <w:r>
        <w:rPr>
          <w:rFonts w:ascii="Lucida Sans Unicode" w:hAnsi="Lucida Sans Unicode"/>
          <w:spacing w:val="-21"/>
          <w:w w:val="110"/>
        </w:rPr>
        <w:t> </w:t>
      </w:r>
      <w:r>
        <w:rPr>
          <w:rFonts w:ascii="Lucida Sans Unicode" w:hAnsi="Lucida Sans Unicode"/>
          <w:w w:val="110"/>
        </w:rPr>
        <w:t>47</w:t>
      </w:r>
      <w:r>
        <w:rPr>
          <w:rFonts w:ascii="Lucida Sans Unicode" w:hAnsi="Lucida Sans Unicode"/>
          <w:spacing w:val="-21"/>
          <w:w w:val="110"/>
        </w:rPr>
        <w:t> </w:t>
      </w:r>
      <w:r>
        <w:rPr>
          <w:rFonts w:ascii="Lucida Sans Unicode" w:hAnsi="Lucida Sans Unicode"/>
          <w:w w:val="110"/>
        </w:rPr>
        <w:t>CFR. </w:t>
      </w:r>
      <w:r>
        <w:rPr>
          <w:w w:val="110"/>
        </w:rPr>
        <w:t>Even though the case returned to </w:t>
      </w:r>
      <w:r>
        <w:rPr>
          <w:rFonts w:ascii="Lucida Sans Unicode" w:hAnsi="Lucida Sans Unicode"/>
        </w:rPr>
        <w:t>domestic courts for final assessment,</w:t>
      </w:r>
    </w:p>
    <w:p>
      <w:pPr>
        <w:spacing w:after="0" w:line="310" w:lineRule="exact"/>
        <w:rPr>
          <w:rFonts w:ascii="Lucida Sans Unicode" w:hAnsi="Lucida Sans Unicode"/>
        </w:rPr>
        <w:sectPr>
          <w:type w:val="continuous"/>
          <w:pgSz w:w="11910" w:h="16840"/>
          <w:pgMar w:header="568" w:footer="580" w:top="0" w:bottom="280" w:left="1020" w:right="1020"/>
          <w:cols w:num="2" w:equalWidth="0">
            <w:col w:w="4746" w:space="300"/>
            <w:col w:w="4824"/>
          </w:cols>
        </w:sectPr>
      </w:pPr>
    </w:p>
    <w:p>
      <w:pPr>
        <w:pStyle w:val="BodyText"/>
        <w:spacing w:before="101" w:after="1"/>
        <w:ind w:left="0"/>
        <w:rPr>
          <w:rFonts w:ascii="Lucida Sans Unicode"/>
          <w:sz w:val="20"/>
        </w:rPr>
      </w:pPr>
    </w:p>
    <w:p>
      <w:pPr>
        <w:pStyle w:val="BodyText"/>
        <w:spacing w:line="20" w:lineRule="exact"/>
        <w:rPr>
          <w:rFonts w:ascii="Lucida Sans Unicode"/>
          <w:sz w:val="2"/>
        </w:rPr>
      </w:pPr>
      <w:r>
        <w:rPr>
          <w:rFonts w:ascii="Lucida Sans Unicode"/>
          <w:sz w:val="2"/>
        </w:rPr>
        <mc:AlternateContent>
          <mc:Choice Requires="wps">
            <w:drawing>
              <wp:inline distT="0" distB="0" distL="0" distR="0">
                <wp:extent cx="6120130" cy="6350"/>
                <wp:effectExtent l="9525" t="0" r="0" b="3175"/>
                <wp:docPr id="87" name="Group 87"/>
                <wp:cNvGraphicFramePr>
                  <a:graphicFrameLocks/>
                </wp:cNvGraphicFramePr>
                <a:graphic>
                  <a:graphicData uri="http://schemas.microsoft.com/office/word/2010/wordprocessingGroup">
                    <wpg:wgp>
                      <wpg:cNvPr id="87" name="Group 87"/>
                      <wpg:cNvGrpSpPr/>
                      <wpg:grpSpPr>
                        <a:xfrm>
                          <a:off x="0" y="0"/>
                          <a:ext cx="6120130" cy="6350"/>
                          <a:chExt cx="6120130" cy="6350"/>
                        </a:xfrm>
                      </wpg:grpSpPr>
                      <wps:wsp>
                        <wps:cNvPr id="88" name="Graphic 88"/>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62" coordorigin="0,0" coordsize="9638,10">
                <v:line style="position:absolute" from="0,5" to="9638,5" stroked="true" strokeweight=".5pt" strokecolor="#77328a">
                  <v:stroke dashstyle="solid"/>
                </v:line>
              </v:group>
            </w:pict>
          </mc:Fallback>
        </mc:AlternateContent>
      </w:r>
      <w:r>
        <w:rPr>
          <w:rFonts w:ascii="Lucida Sans Unicode"/>
          <w:sz w:val="2"/>
        </w:rPr>
      </w:r>
    </w:p>
    <w:p>
      <w:pPr>
        <w:pStyle w:val="ListParagraph"/>
        <w:numPr>
          <w:ilvl w:val="0"/>
          <w:numId w:val="6"/>
        </w:numPr>
        <w:tabs>
          <w:tab w:pos="567" w:val="left" w:leader="none"/>
        </w:tabs>
        <w:spacing w:line="223" w:lineRule="exact" w:before="61" w:after="0"/>
        <w:ind w:left="567" w:right="0" w:hanging="454"/>
        <w:jc w:val="left"/>
        <w:rPr>
          <w:sz w:val="16"/>
        </w:rPr>
      </w:pPr>
      <w:r>
        <w:rPr>
          <w:rFonts w:ascii="Verdana" w:hAnsi="Verdana"/>
          <w:i/>
          <w:w w:val="105"/>
          <w:sz w:val="16"/>
        </w:rPr>
        <w:t>Fuß</w:t>
      </w:r>
      <w:r>
        <w:rPr>
          <w:rFonts w:ascii="Verdana" w:hAnsi="Verdana"/>
          <w:i/>
          <w:spacing w:val="-15"/>
          <w:w w:val="105"/>
          <w:sz w:val="16"/>
        </w:rPr>
        <w:t> </w:t>
      </w:r>
      <w:r>
        <w:rPr>
          <w:w w:val="105"/>
          <w:sz w:val="16"/>
        </w:rPr>
        <w:t>(n</w:t>
      </w:r>
      <w:r>
        <w:rPr>
          <w:spacing w:val="-14"/>
          <w:w w:val="105"/>
          <w:sz w:val="16"/>
        </w:rPr>
        <w:t> </w:t>
      </w:r>
      <w:r>
        <w:rPr>
          <w:w w:val="105"/>
          <w:sz w:val="16"/>
        </w:rPr>
        <w:t>87)</w:t>
      </w:r>
      <w:r>
        <w:rPr>
          <w:spacing w:val="-13"/>
          <w:w w:val="105"/>
          <w:sz w:val="16"/>
        </w:rPr>
        <w:t> </w:t>
      </w:r>
      <w:r>
        <w:rPr>
          <w:w w:val="105"/>
          <w:sz w:val="16"/>
        </w:rPr>
        <w:t>para.</w:t>
      </w:r>
      <w:r>
        <w:rPr>
          <w:spacing w:val="-13"/>
          <w:w w:val="105"/>
          <w:sz w:val="16"/>
        </w:rPr>
        <w:t> </w:t>
      </w:r>
      <w:r>
        <w:rPr>
          <w:spacing w:val="-5"/>
          <w:w w:val="105"/>
          <w:sz w:val="16"/>
        </w:rPr>
        <w:t>66.</w:t>
      </w:r>
    </w:p>
    <w:p>
      <w:pPr>
        <w:pStyle w:val="ListParagraph"/>
        <w:numPr>
          <w:ilvl w:val="0"/>
          <w:numId w:val="6"/>
        </w:numPr>
        <w:tabs>
          <w:tab w:pos="567" w:val="left" w:leader="none"/>
        </w:tabs>
        <w:spacing w:line="200" w:lineRule="exact" w:before="0" w:after="0"/>
        <w:ind w:left="567" w:right="0" w:hanging="454"/>
        <w:jc w:val="left"/>
        <w:rPr>
          <w:sz w:val="16"/>
        </w:rPr>
      </w:pPr>
      <w:r>
        <w:rPr>
          <w:rFonts w:ascii="Verdana"/>
          <w:i/>
          <w:sz w:val="16"/>
        </w:rPr>
        <w:t>Egenberger</w:t>
      </w:r>
      <w:r>
        <w:rPr>
          <w:rFonts w:ascii="Verdana"/>
          <w:i/>
          <w:spacing w:val="3"/>
          <w:sz w:val="16"/>
        </w:rPr>
        <w:t> </w:t>
      </w:r>
      <w:r>
        <w:rPr>
          <w:rFonts w:ascii="Arial"/>
          <w:sz w:val="16"/>
        </w:rPr>
        <w:t>(n</w:t>
      </w:r>
      <w:r>
        <w:rPr>
          <w:rFonts w:ascii="Arial"/>
          <w:spacing w:val="16"/>
          <w:sz w:val="16"/>
        </w:rPr>
        <w:t> </w:t>
      </w:r>
      <w:r>
        <w:rPr>
          <w:rFonts w:ascii="Arial"/>
          <w:spacing w:val="-4"/>
          <w:sz w:val="16"/>
        </w:rPr>
        <w:t>66).</w:t>
      </w:r>
    </w:p>
    <w:p>
      <w:pPr>
        <w:pStyle w:val="ListParagraph"/>
        <w:numPr>
          <w:ilvl w:val="0"/>
          <w:numId w:val="6"/>
        </w:numPr>
        <w:tabs>
          <w:tab w:pos="567" w:val="left" w:leader="none"/>
        </w:tabs>
        <w:spacing w:line="223" w:lineRule="exact" w:before="0" w:after="0"/>
        <w:ind w:left="567" w:right="0" w:hanging="454"/>
        <w:jc w:val="left"/>
        <w:rPr>
          <w:sz w:val="16"/>
        </w:rPr>
      </w:pPr>
      <w:r>
        <w:rPr>
          <w:rFonts w:ascii="Verdana"/>
          <w:i/>
          <w:sz w:val="16"/>
        </w:rPr>
        <w:t>Ibid</w:t>
      </w:r>
      <w:r>
        <w:rPr>
          <w:sz w:val="16"/>
        </w:rPr>
        <w:t>,</w:t>
      </w:r>
      <w:r>
        <w:rPr>
          <w:spacing w:val="-12"/>
          <w:sz w:val="16"/>
        </w:rPr>
        <w:t> </w:t>
      </w:r>
      <w:r>
        <w:rPr>
          <w:sz w:val="16"/>
        </w:rPr>
        <w:t>para</w:t>
      </w:r>
      <w:r>
        <w:rPr>
          <w:spacing w:val="-11"/>
          <w:sz w:val="16"/>
        </w:rPr>
        <w:t> </w:t>
      </w:r>
      <w:r>
        <w:rPr>
          <w:spacing w:val="-5"/>
          <w:sz w:val="16"/>
        </w:rPr>
        <w:t>31.</w:t>
      </w:r>
    </w:p>
    <w:p>
      <w:pPr>
        <w:spacing w:after="0" w:line="223" w:lineRule="exact"/>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310" w:lineRule="exact" w:before="49"/>
        <w:ind w:right="159"/>
        <w:rPr>
          <w:rFonts w:ascii="Lucida Sans Unicode"/>
        </w:rPr>
      </w:pPr>
      <w:r>
        <w:rPr>
          <w:w w:val="115"/>
        </w:rPr>
        <w:t>the CJEU had therefore already made clear in its reasoning that any failure by the domestic court to read down or disapply the discriminatory measure</w:t>
      </w:r>
      <w:r>
        <w:rPr>
          <w:spacing w:val="-2"/>
          <w:w w:val="115"/>
        </w:rPr>
        <w:t> </w:t>
      </w:r>
      <w:r>
        <w:rPr>
          <w:w w:val="115"/>
        </w:rPr>
        <w:t>would</w:t>
      </w:r>
      <w:r>
        <w:rPr>
          <w:spacing w:val="-2"/>
          <w:w w:val="115"/>
        </w:rPr>
        <w:t> </w:t>
      </w:r>
      <w:r>
        <w:rPr>
          <w:w w:val="115"/>
        </w:rPr>
        <w:t>result</w:t>
      </w:r>
      <w:r>
        <w:rPr>
          <w:spacing w:val="-2"/>
          <w:w w:val="115"/>
        </w:rPr>
        <w:t> </w:t>
      </w:r>
      <w:r>
        <w:rPr>
          <w:rFonts w:ascii="Verdana"/>
          <w:i/>
          <w:w w:val="115"/>
        </w:rPr>
        <w:t>both</w:t>
      </w:r>
      <w:r>
        <w:rPr>
          <w:rFonts w:ascii="Verdana"/>
          <w:i/>
          <w:spacing w:val="-23"/>
          <w:w w:val="115"/>
        </w:rPr>
        <w:t> </w:t>
      </w:r>
      <w:r>
        <w:rPr>
          <w:w w:val="115"/>
        </w:rPr>
        <w:t>in discrimination incompatible with the Charter and in a breach of the right to</w:t>
      </w:r>
      <w:r>
        <w:rPr>
          <w:spacing w:val="-11"/>
          <w:w w:val="115"/>
        </w:rPr>
        <w:t> </w:t>
      </w:r>
      <w:r>
        <w:rPr>
          <w:w w:val="115"/>
        </w:rPr>
        <w:t>effective</w:t>
      </w:r>
      <w:r>
        <w:rPr>
          <w:spacing w:val="-11"/>
          <w:w w:val="115"/>
        </w:rPr>
        <w:t> </w:t>
      </w:r>
      <w:r>
        <w:rPr>
          <w:w w:val="115"/>
        </w:rPr>
        <w:t>judicial</w:t>
      </w:r>
      <w:r>
        <w:rPr>
          <w:spacing w:val="-11"/>
          <w:w w:val="115"/>
        </w:rPr>
        <w:t> </w:t>
      </w:r>
      <w:r>
        <w:rPr>
          <w:w w:val="115"/>
        </w:rPr>
        <w:t>protection</w:t>
      </w:r>
      <w:r>
        <w:rPr>
          <w:spacing w:val="-11"/>
          <w:w w:val="115"/>
        </w:rPr>
        <w:t> </w:t>
      </w:r>
      <w:r>
        <w:rPr>
          <w:w w:val="115"/>
        </w:rPr>
        <w:t>and</w:t>
      </w:r>
      <w:r>
        <w:rPr>
          <w:spacing w:val="-11"/>
          <w:w w:val="115"/>
        </w:rPr>
        <w:t> </w:t>
      </w:r>
      <w:r>
        <w:rPr>
          <w:w w:val="115"/>
        </w:rPr>
        <w:t>an effective</w:t>
      </w:r>
      <w:r>
        <w:rPr>
          <w:spacing w:val="-13"/>
          <w:w w:val="115"/>
        </w:rPr>
        <w:t> </w:t>
      </w:r>
      <w:r>
        <w:rPr>
          <w:w w:val="115"/>
        </w:rPr>
        <w:t>remedy,</w:t>
      </w:r>
      <w:r>
        <w:rPr>
          <w:spacing w:val="-13"/>
          <w:w w:val="115"/>
        </w:rPr>
        <w:t> </w:t>
      </w:r>
      <w:r>
        <w:rPr>
          <w:w w:val="115"/>
        </w:rPr>
        <w:t>protected</w:t>
      </w:r>
      <w:r>
        <w:rPr>
          <w:spacing w:val="-13"/>
          <w:w w:val="115"/>
        </w:rPr>
        <w:t> </w:t>
      </w:r>
      <w:r>
        <w:rPr>
          <w:w w:val="115"/>
        </w:rPr>
        <w:t>in</w:t>
      </w:r>
      <w:r>
        <w:rPr>
          <w:spacing w:val="-13"/>
          <w:w w:val="115"/>
        </w:rPr>
        <w:t> </w:t>
      </w:r>
      <w:r>
        <w:rPr>
          <w:w w:val="115"/>
        </w:rPr>
        <w:t>Article </w:t>
      </w:r>
      <w:r>
        <w:rPr>
          <w:rFonts w:ascii="Lucida Sans Unicode"/>
          <w:w w:val="115"/>
        </w:rPr>
        <w:t>47</w:t>
      </w:r>
      <w:r>
        <w:rPr>
          <w:rFonts w:ascii="Lucida Sans Unicode"/>
          <w:spacing w:val="-22"/>
          <w:w w:val="115"/>
        </w:rPr>
        <w:t> </w:t>
      </w:r>
      <w:r>
        <w:rPr>
          <w:rFonts w:ascii="Lucida Sans Unicode"/>
          <w:w w:val="115"/>
        </w:rPr>
        <w:t>thereof.</w:t>
      </w:r>
    </w:p>
    <w:p>
      <w:pPr>
        <w:pStyle w:val="BodyText"/>
        <w:spacing w:line="310" w:lineRule="exact" w:before="300"/>
        <w:ind w:right="30"/>
      </w:pPr>
      <w:r>
        <w:rPr>
          <w:w w:val="110"/>
        </w:rPr>
        <w:t>Overall, dissuasiveness, both in substantive and in symbolic terms (as shown in </w:t>
      </w:r>
      <w:r>
        <w:rPr>
          <w:rFonts w:ascii="Verdana" w:hAnsi="Verdana"/>
          <w:i/>
          <w:w w:val="110"/>
        </w:rPr>
        <w:t>Fuß</w:t>
      </w:r>
      <w:r>
        <w:rPr>
          <w:rFonts w:ascii="Verdana" w:hAnsi="Verdana"/>
          <w:i/>
          <w:spacing w:val="-20"/>
          <w:w w:val="110"/>
        </w:rPr>
        <w:t> </w:t>
      </w:r>
      <w:r>
        <w:rPr>
          <w:w w:val="110"/>
        </w:rPr>
        <w:t>and </w:t>
      </w:r>
      <w:r>
        <w:rPr>
          <w:rFonts w:ascii="Verdana" w:hAnsi="Verdana"/>
          <w:i/>
          <w:w w:val="110"/>
        </w:rPr>
        <w:t>Braathens</w:t>
      </w:r>
      <w:r>
        <w:rPr>
          <w:w w:val="110"/>
        </w:rPr>
        <w:t>) as well as expansive judicial control of the application of EU law (as shown in </w:t>
      </w:r>
      <w:r>
        <w:rPr>
          <w:rFonts w:ascii="Verdana" w:hAnsi="Verdana"/>
          <w:i/>
          <w:spacing w:val="-2"/>
          <w:w w:val="110"/>
        </w:rPr>
        <w:t>Egenberger</w:t>
      </w:r>
      <w:r>
        <w:rPr>
          <w:spacing w:val="-2"/>
          <w:w w:val="110"/>
        </w:rPr>
        <w:t>)</w:t>
      </w:r>
      <w:r>
        <w:rPr>
          <w:spacing w:val="-10"/>
          <w:w w:val="110"/>
        </w:rPr>
        <w:t> </w:t>
      </w:r>
      <w:r>
        <w:rPr>
          <w:spacing w:val="-2"/>
          <w:w w:val="110"/>
        </w:rPr>
        <w:t>are</w:t>
      </w:r>
      <w:r>
        <w:rPr>
          <w:spacing w:val="-10"/>
          <w:w w:val="110"/>
        </w:rPr>
        <w:t> </w:t>
      </w:r>
      <w:r>
        <w:rPr>
          <w:spacing w:val="-2"/>
          <w:w w:val="110"/>
        </w:rPr>
        <w:t>key</w:t>
      </w:r>
      <w:r>
        <w:rPr>
          <w:spacing w:val="-10"/>
          <w:w w:val="110"/>
        </w:rPr>
        <w:t> </w:t>
      </w:r>
      <w:r>
        <w:rPr>
          <w:spacing w:val="-2"/>
          <w:w w:val="110"/>
        </w:rPr>
        <w:t>characteristics</w:t>
      </w:r>
      <w:r>
        <w:rPr>
          <w:spacing w:val="-10"/>
          <w:w w:val="110"/>
        </w:rPr>
        <w:t> </w:t>
      </w:r>
      <w:r>
        <w:rPr>
          <w:spacing w:val="-2"/>
          <w:w w:val="110"/>
        </w:rPr>
        <w:t>of </w:t>
      </w:r>
      <w:r>
        <w:rPr>
          <w:rFonts w:ascii="Lucida Sans Unicode" w:hAnsi="Lucida Sans Unicode"/>
        </w:rPr>
        <w:t>the CJEU’s interpretation of Article 47 </w:t>
      </w:r>
      <w:r>
        <w:rPr>
          <w:spacing w:val="-4"/>
          <w:w w:val="110"/>
        </w:rPr>
        <w:t>CFR.</w:t>
      </w:r>
    </w:p>
    <w:p>
      <w:pPr>
        <w:pStyle w:val="BodyText"/>
        <w:spacing w:before="31"/>
        <w:ind w:left="0"/>
      </w:pPr>
    </w:p>
    <w:p>
      <w:pPr>
        <w:pStyle w:val="ListParagraph"/>
        <w:numPr>
          <w:ilvl w:val="0"/>
          <w:numId w:val="8"/>
        </w:numPr>
        <w:tabs>
          <w:tab w:pos="372" w:val="left" w:leader="none"/>
        </w:tabs>
        <w:spacing w:line="290" w:lineRule="exact" w:before="0" w:after="0"/>
        <w:ind w:left="372" w:right="0" w:hanging="259"/>
        <w:jc w:val="left"/>
        <w:rPr>
          <w:rFonts w:ascii="Verdana"/>
          <w:i/>
          <w:sz w:val="24"/>
        </w:rPr>
      </w:pPr>
      <w:r>
        <w:rPr>
          <w:rFonts w:ascii="Verdana"/>
          <w:i/>
          <w:color w:val="77328A"/>
          <w:spacing w:val="-2"/>
          <w:sz w:val="24"/>
        </w:rPr>
        <w:t>State</w:t>
      </w:r>
      <w:r>
        <w:rPr>
          <w:rFonts w:ascii="Verdana"/>
          <w:i/>
          <w:color w:val="77328A"/>
          <w:spacing w:val="-18"/>
          <w:sz w:val="24"/>
        </w:rPr>
        <w:t> </w:t>
      </w:r>
      <w:r>
        <w:rPr>
          <w:rFonts w:ascii="Verdana"/>
          <w:i/>
          <w:color w:val="77328A"/>
          <w:spacing w:val="-2"/>
          <w:sz w:val="24"/>
        </w:rPr>
        <w:t>liability</w:t>
      </w:r>
      <w:r>
        <w:rPr>
          <w:rFonts w:ascii="Verdana"/>
          <w:i/>
          <w:color w:val="77328A"/>
          <w:spacing w:val="-17"/>
          <w:sz w:val="24"/>
        </w:rPr>
        <w:t> </w:t>
      </w:r>
      <w:r>
        <w:rPr>
          <w:rFonts w:ascii="Verdana"/>
          <w:i/>
          <w:color w:val="77328A"/>
          <w:spacing w:val="-2"/>
          <w:sz w:val="24"/>
        </w:rPr>
        <w:t>in</w:t>
      </w:r>
      <w:r>
        <w:rPr>
          <w:rFonts w:ascii="Verdana"/>
          <w:i/>
          <w:color w:val="77328A"/>
          <w:spacing w:val="-18"/>
          <w:sz w:val="24"/>
        </w:rPr>
        <w:t> </w:t>
      </w:r>
      <w:r>
        <w:rPr>
          <w:rFonts w:ascii="Verdana"/>
          <w:i/>
          <w:color w:val="77328A"/>
          <w:spacing w:val="-2"/>
          <w:sz w:val="24"/>
        </w:rPr>
        <w:t>damages</w:t>
      </w:r>
    </w:p>
    <w:p>
      <w:pPr>
        <w:pStyle w:val="BodyText"/>
        <w:spacing w:line="310" w:lineRule="exact" w:before="13"/>
        <w:ind w:right="30"/>
      </w:pPr>
      <w:r>
        <w:rPr>
          <w:rFonts w:ascii="Lucida Sans Unicode"/>
          <w:w w:val="110"/>
        </w:rPr>
        <w:t>Beyond</w:t>
      </w:r>
      <w:r>
        <w:rPr>
          <w:rFonts w:ascii="Lucida Sans Unicode"/>
          <w:spacing w:val="-21"/>
          <w:w w:val="110"/>
        </w:rPr>
        <w:t> </w:t>
      </w:r>
      <w:r>
        <w:rPr>
          <w:rFonts w:ascii="Lucida Sans Unicode"/>
          <w:w w:val="110"/>
        </w:rPr>
        <w:t>the</w:t>
      </w:r>
      <w:r>
        <w:rPr>
          <w:rFonts w:ascii="Lucida Sans Unicode"/>
          <w:spacing w:val="-21"/>
          <w:w w:val="110"/>
        </w:rPr>
        <w:t> </w:t>
      </w:r>
      <w:r>
        <w:rPr>
          <w:rFonts w:ascii="Lucida Sans Unicode"/>
          <w:w w:val="110"/>
        </w:rPr>
        <w:t>keen</w:t>
      </w:r>
      <w:r>
        <w:rPr>
          <w:rFonts w:ascii="Lucida Sans Unicode"/>
          <w:spacing w:val="-21"/>
          <w:w w:val="110"/>
        </w:rPr>
        <w:t> </w:t>
      </w:r>
      <w:r>
        <w:rPr>
          <w:rFonts w:ascii="Lucida Sans Unicode"/>
          <w:w w:val="110"/>
        </w:rPr>
        <w:t>use</w:t>
      </w:r>
      <w:r>
        <w:rPr>
          <w:rFonts w:ascii="Lucida Sans Unicode"/>
          <w:spacing w:val="-21"/>
          <w:w w:val="110"/>
        </w:rPr>
        <w:t> </w:t>
      </w:r>
      <w:r>
        <w:rPr>
          <w:rFonts w:ascii="Lucida Sans Unicode"/>
          <w:w w:val="110"/>
        </w:rPr>
        <w:t>of</w:t>
      </w:r>
      <w:r>
        <w:rPr>
          <w:rFonts w:ascii="Lucida Sans Unicode"/>
          <w:spacing w:val="-21"/>
          <w:w w:val="110"/>
        </w:rPr>
        <w:t> </w:t>
      </w:r>
      <w:r>
        <w:rPr>
          <w:rFonts w:ascii="Lucida Sans Unicode"/>
          <w:w w:val="110"/>
        </w:rPr>
        <w:t>Article</w:t>
      </w:r>
      <w:r>
        <w:rPr>
          <w:rFonts w:ascii="Lucida Sans Unicode"/>
          <w:spacing w:val="-21"/>
          <w:w w:val="110"/>
        </w:rPr>
        <w:t> </w:t>
      </w:r>
      <w:r>
        <w:rPr>
          <w:rFonts w:ascii="Lucida Sans Unicode"/>
          <w:w w:val="110"/>
        </w:rPr>
        <w:t>47 </w:t>
      </w:r>
      <w:r>
        <w:rPr>
          <w:w w:val="110"/>
        </w:rPr>
        <w:t>CFR, the Charter also gives rise to the possibility of state liability in </w:t>
      </w:r>
      <w:r>
        <w:rPr>
          <w:w w:val="110"/>
        </w:rPr>
        <w:t>damages. Like all other provisions of EU law that confer rights on individuals, where</w:t>
      </w:r>
    </w:p>
    <w:p>
      <w:pPr>
        <w:pStyle w:val="BodyText"/>
        <w:spacing w:line="310" w:lineRule="exact"/>
        <w:ind w:right="118"/>
      </w:pPr>
      <w:r>
        <w:rPr>
          <w:w w:val="115"/>
        </w:rPr>
        <w:t>the actions of the state violate the Charter (including through rights- incompatible legislation) and a </w:t>
      </w:r>
      <w:r>
        <w:rPr>
          <w:w w:val="110"/>
        </w:rPr>
        <w:t>private party sustains serious </w:t>
      </w:r>
      <w:r>
        <w:rPr>
          <w:w w:val="110"/>
        </w:rPr>
        <w:t>damage </w:t>
      </w:r>
      <w:r>
        <w:rPr>
          <w:w w:val="115"/>
        </w:rPr>
        <w:t>displaying a direct causal link with that violation, domestic courts must </w:t>
      </w:r>
      <w:r>
        <w:rPr>
          <w:rFonts w:ascii="Lucida Sans Unicode"/>
        </w:rPr>
        <w:t>award financial compensation under </w:t>
      </w:r>
      <w:r>
        <w:rPr>
          <w:w w:val="115"/>
        </w:rPr>
        <w:t>the</w:t>
      </w:r>
      <w:r>
        <w:rPr>
          <w:spacing w:val="-20"/>
          <w:w w:val="115"/>
        </w:rPr>
        <w:t> </w:t>
      </w:r>
      <w:r>
        <w:rPr>
          <w:w w:val="115"/>
        </w:rPr>
        <w:t>so-called</w:t>
      </w:r>
      <w:r>
        <w:rPr>
          <w:spacing w:val="-19"/>
          <w:w w:val="115"/>
        </w:rPr>
        <w:t> </w:t>
      </w:r>
      <w:r>
        <w:rPr>
          <w:rFonts w:ascii="Verdana"/>
          <w:i/>
          <w:w w:val="115"/>
        </w:rPr>
        <w:t>Francovich</w:t>
      </w:r>
      <w:r>
        <w:rPr>
          <w:rFonts w:ascii="Verdana"/>
          <w:i/>
          <w:spacing w:val="-25"/>
          <w:w w:val="115"/>
        </w:rPr>
        <w:t> </w:t>
      </w:r>
      <w:r>
        <w:rPr>
          <w:w w:val="115"/>
        </w:rPr>
        <w:t>principle</w:t>
      </w:r>
      <w:r>
        <w:rPr>
          <w:spacing w:val="-19"/>
          <w:w w:val="115"/>
        </w:rPr>
        <w:t> </w:t>
      </w:r>
      <w:r>
        <w:rPr>
          <w:w w:val="115"/>
        </w:rPr>
        <w:t>of</w:t>
      </w:r>
    </w:p>
    <w:p>
      <w:pPr>
        <w:pStyle w:val="BodyText"/>
        <w:spacing w:line="247" w:lineRule="auto" w:before="23"/>
        <w:ind w:right="30"/>
      </w:pPr>
      <w:r>
        <w:rPr>
          <w:w w:val="110"/>
        </w:rPr>
        <w:t>state liability in damages. After </w:t>
      </w:r>
      <w:r>
        <w:rPr>
          <w:w w:val="110"/>
        </w:rPr>
        <w:t>setting out the principle in outline in the </w:t>
      </w:r>
      <w:r>
        <w:rPr>
          <w:rFonts w:ascii="Verdana" w:hAnsi="Verdana"/>
          <w:i/>
          <w:w w:val="110"/>
        </w:rPr>
        <w:t>Francovich</w:t>
      </w:r>
      <w:r>
        <w:rPr>
          <w:rFonts w:ascii="Verdana" w:hAnsi="Verdana"/>
          <w:i/>
          <w:spacing w:val="-24"/>
          <w:w w:val="110"/>
        </w:rPr>
        <w:t> </w:t>
      </w:r>
      <w:r>
        <w:rPr>
          <w:w w:val="110"/>
        </w:rPr>
        <w:t>case,</w:t>
      </w:r>
      <w:r>
        <w:rPr>
          <w:w w:val="110"/>
          <w:vertAlign w:val="superscript"/>
        </w:rPr>
        <w:t>95</w:t>
      </w:r>
      <w:r>
        <w:rPr>
          <w:spacing w:val="-18"/>
          <w:w w:val="110"/>
          <w:vertAlign w:val="baseline"/>
        </w:rPr>
        <w:t> </w:t>
      </w:r>
      <w:r>
        <w:rPr>
          <w:rFonts w:ascii="Lucida Sans Unicode" w:hAnsi="Lucida Sans Unicode"/>
          <w:w w:val="110"/>
          <w:vertAlign w:val="baseline"/>
        </w:rPr>
        <w:t>the</w:t>
      </w:r>
      <w:r>
        <w:rPr>
          <w:rFonts w:ascii="Lucida Sans Unicode" w:hAnsi="Lucida Sans Unicode"/>
          <w:spacing w:val="-21"/>
          <w:w w:val="110"/>
          <w:vertAlign w:val="baseline"/>
        </w:rPr>
        <w:t> </w:t>
      </w:r>
      <w:r>
        <w:rPr>
          <w:rFonts w:ascii="Lucida Sans Unicode" w:hAnsi="Lucida Sans Unicode"/>
          <w:w w:val="110"/>
          <w:vertAlign w:val="baseline"/>
        </w:rPr>
        <w:t>CJEU</w:t>
      </w:r>
      <w:r>
        <w:rPr>
          <w:rFonts w:ascii="Lucida Sans Unicode" w:hAnsi="Lucida Sans Unicode"/>
          <w:spacing w:val="-21"/>
          <w:w w:val="110"/>
          <w:vertAlign w:val="baseline"/>
        </w:rPr>
        <w:t> </w:t>
      </w:r>
      <w:r>
        <w:rPr>
          <w:rFonts w:ascii="Lucida Sans Unicode" w:hAnsi="Lucida Sans Unicode"/>
          <w:w w:val="110"/>
          <w:vertAlign w:val="baseline"/>
        </w:rPr>
        <w:t>clarified </w:t>
      </w:r>
      <w:r>
        <w:rPr>
          <w:w w:val="110"/>
          <w:vertAlign w:val="baseline"/>
        </w:rPr>
        <w:t>the conditions for state liability in its </w:t>
      </w:r>
      <w:r>
        <w:rPr>
          <w:spacing w:val="-2"/>
          <w:w w:val="110"/>
          <w:vertAlign w:val="baseline"/>
        </w:rPr>
        <w:t>ruling</w:t>
      </w:r>
      <w:r>
        <w:rPr>
          <w:spacing w:val="-15"/>
          <w:w w:val="110"/>
          <w:vertAlign w:val="baseline"/>
        </w:rPr>
        <w:t> </w:t>
      </w:r>
      <w:r>
        <w:rPr>
          <w:spacing w:val="-2"/>
          <w:w w:val="110"/>
          <w:vertAlign w:val="baseline"/>
        </w:rPr>
        <w:t>in</w:t>
      </w:r>
      <w:r>
        <w:rPr>
          <w:spacing w:val="-5"/>
          <w:w w:val="110"/>
          <w:vertAlign w:val="baseline"/>
        </w:rPr>
        <w:t> </w:t>
      </w:r>
      <w:r>
        <w:rPr>
          <w:rFonts w:ascii="Verdana" w:hAnsi="Verdana"/>
          <w:i/>
          <w:spacing w:val="-2"/>
          <w:w w:val="110"/>
          <w:vertAlign w:val="baseline"/>
        </w:rPr>
        <w:t>Brasserie</w:t>
      </w:r>
      <w:r>
        <w:rPr>
          <w:rFonts w:ascii="Verdana" w:hAnsi="Verdana"/>
          <w:i/>
          <w:spacing w:val="-22"/>
          <w:w w:val="110"/>
          <w:vertAlign w:val="baseline"/>
        </w:rPr>
        <w:t> </w:t>
      </w:r>
      <w:r>
        <w:rPr>
          <w:rFonts w:ascii="Verdana" w:hAnsi="Verdana"/>
          <w:i/>
          <w:spacing w:val="-2"/>
          <w:w w:val="110"/>
          <w:vertAlign w:val="baseline"/>
        </w:rPr>
        <w:t>du</w:t>
      </w:r>
      <w:r>
        <w:rPr>
          <w:rFonts w:ascii="Verdana" w:hAnsi="Verdana"/>
          <w:i/>
          <w:spacing w:val="-21"/>
          <w:w w:val="110"/>
          <w:vertAlign w:val="baseline"/>
        </w:rPr>
        <w:t> </w:t>
      </w:r>
      <w:r>
        <w:rPr>
          <w:rFonts w:ascii="Verdana" w:hAnsi="Verdana"/>
          <w:i/>
          <w:spacing w:val="-2"/>
          <w:w w:val="110"/>
          <w:vertAlign w:val="baseline"/>
        </w:rPr>
        <w:t>Pêcheur</w:t>
      </w:r>
      <w:r>
        <w:rPr>
          <w:spacing w:val="-2"/>
          <w:w w:val="110"/>
          <w:vertAlign w:val="baseline"/>
        </w:rPr>
        <w:t>:</w:t>
      </w:r>
    </w:p>
    <w:p>
      <w:pPr>
        <w:pStyle w:val="BodyText"/>
        <w:spacing w:line="310" w:lineRule="exact" w:before="49"/>
        <w:ind w:right="242"/>
      </w:pPr>
      <w:r>
        <w:rPr/>
        <w:br w:type="column"/>
      </w:r>
      <w:r>
        <w:rPr>
          <w:rFonts w:ascii="Lucida Sans Unicode" w:hAnsi="Lucida Sans Unicode"/>
        </w:rPr>
        <w:t>‘[EU] law confers a right to reparation </w:t>
      </w:r>
      <w:r>
        <w:rPr>
          <w:w w:val="110"/>
        </w:rPr>
        <w:t>where three conditions are met: the rule of law infringed must be </w:t>
      </w:r>
      <w:r>
        <w:rPr>
          <w:w w:val="110"/>
        </w:rPr>
        <w:t>intended to confer rights on individuals; the </w:t>
      </w:r>
      <w:r>
        <w:rPr>
          <w:rFonts w:ascii="Lucida Sans Unicode" w:hAnsi="Lucida Sans Unicode"/>
        </w:rPr>
        <w:t>breach must be sufficiently serious, </w:t>
      </w:r>
      <w:r>
        <w:rPr>
          <w:w w:val="110"/>
        </w:rPr>
        <w:t>and there must be a direct causal link between the breach of the obligation resting on the state and the damage sustained by the injured parties.’</w:t>
      </w:r>
      <w:r>
        <w:rPr>
          <w:w w:val="110"/>
          <w:vertAlign w:val="superscript"/>
        </w:rPr>
        <w:t>96</w:t>
      </w:r>
    </w:p>
    <w:p>
      <w:pPr>
        <w:pStyle w:val="BodyText"/>
        <w:spacing w:before="47"/>
        <w:ind w:left="0"/>
      </w:pPr>
    </w:p>
    <w:p>
      <w:pPr>
        <w:pStyle w:val="BodyText"/>
        <w:spacing w:line="268" w:lineRule="auto"/>
        <w:ind w:right="242"/>
      </w:pPr>
      <w:r>
        <w:rPr>
          <w:w w:val="115"/>
        </w:rPr>
        <w:t>It must be noted that the application of state liability to the Charter has been</w:t>
      </w:r>
      <w:r>
        <w:rPr>
          <w:spacing w:val="-13"/>
          <w:w w:val="115"/>
        </w:rPr>
        <w:t> </w:t>
      </w:r>
      <w:r>
        <w:rPr>
          <w:w w:val="115"/>
        </w:rPr>
        <w:t>the</w:t>
      </w:r>
      <w:r>
        <w:rPr>
          <w:spacing w:val="-13"/>
          <w:w w:val="115"/>
        </w:rPr>
        <w:t> </w:t>
      </w:r>
      <w:r>
        <w:rPr>
          <w:w w:val="115"/>
        </w:rPr>
        <w:t>cause</w:t>
      </w:r>
      <w:r>
        <w:rPr>
          <w:spacing w:val="-13"/>
          <w:w w:val="115"/>
        </w:rPr>
        <w:t> </w:t>
      </w:r>
      <w:r>
        <w:rPr>
          <w:w w:val="115"/>
        </w:rPr>
        <w:t>of</w:t>
      </w:r>
      <w:r>
        <w:rPr>
          <w:spacing w:val="-13"/>
          <w:w w:val="115"/>
        </w:rPr>
        <w:t> </w:t>
      </w:r>
      <w:r>
        <w:rPr>
          <w:w w:val="115"/>
        </w:rPr>
        <w:t>some</w:t>
      </w:r>
      <w:r>
        <w:rPr>
          <w:spacing w:val="-13"/>
          <w:w w:val="115"/>
        </w:rPr>
        <w:t> </w:t>
      </w:r>
      <w:r>
        <w:rPr>
          <w:w w:val="115"/>
        </w:rPr>
        <w:t>uncertainty. In practice, state liability has been used</w:t>
      </w:r>
      <w:r>
        <w:rPr>
          <w:spacing w:val="-1"/>
          <w:w w:val="115"/>
        </w:rPr>
        <w:t> </w:t>
      </w:r>
      <w:r>
        <w:rPr>
          <w:w w:val="115"/>
        </w:rPr>
        <w:t>less</w:t>
      </w:r>
      <w:r>
        <w:rPr>
          <w:spacing w:val="-1"/>
          <w:w w:val="115"/>
        </w:rPr>
        <w:t> </w:t>
      </w:r>
      <w:r>
        <w:rPr>
          <w:w w:val="115"/>
        </w:rPr>
        <w:t>frequently</w:t>
      </w:r>
      <w:r>
        <w:rPr>
          <w:spacing w:val="-2"/>
          <w:w w:val="115"/>
        </w:rPr>
        <w:t> </w:t>
      </w:r>
      <w:r>
        <w:rPr>
          <w:w w:val="115"/>
        </w:rPr>
        <w:t>at</w:t>
      </w:r>
      <w:r>
        <w:rPr>
          <w:spacing w:val="-1"/>
          <w:w w:val="115"/>
        </w:rPr>
        <w:t> </w:t>
      </w:r>
      <w:r>
        <w:rPr>
          <w:w w:val="115"/>
        </w:rPr>
        <w:t>the</w:t>
      </w:r>
      <w:r>
        <w:rPr>
          <w:spacing w:val="-1"/>
          <w:w w:val="115"/>
        </w:rPr>
        <w:t> </w:t>
      </w:r>
      <w:r>
        <w:rPr>
          <w:w w:val="115"/>
        </w:rPr>
        <w:t>EU</w:t>
      </w:r>
      <w:r>
        <w:rPr>
          <w:spacing w:val="-2"/>
          <w:w w:val="115"/>
        </w:rPr>
        <w:t> </w:t>
      </w:r>
      <w:r>
        <w:rPr>
          <w:w w:val="115"/>
        </w:rPr>
        <w:t>level than consistent interpretation and </w:t>
      </w:r>
      <w:r>
        <w:rPr>
          <w:spacing w:val="-2"/>
          <w:w w:val="115"/>
        </w:rPr>
        <w:t>direct</w:t>
      </w:r>
      <w:r>
        <w:rPr>
          <w:spacing w:val="-18"/>
          <w:w w:val="115"/>
        </w:rPr>
        <w:t> </w:t>
      </w:r>
      <w:r>
        <w:rPr>
          <w:spacing w:val="-2"/>
          <w:w w:val="115"/>
        </w:rPr>
        <w:t>effect,</w:t>
      </w:r>
      <w:r>
        <w:rPr>
          <w:spacing w:val="-17"/>
          <w:w w:val="115"/>
        </w:rPr>
        <w:t> </w:t>
      </w:r>
      <w:r>
        <w:rPr>
          <w:spacing w:val="-2"/>
          <w:w w:val="115"/>
        </w:rPr>
        <w:t>as</w:t>
      </w:r>
      <w:r>
        <w:rPr>
          <w:spacing w:val="-17"/>
          <w:w w:val="115"/>
        </w:rPr>
        <w:t> </w:t>
      </w:r>
      <w:r>
        <w:rPr>
          <w:spacing w:val="-2"/>
          <w:w w:val="115"/>
        </w:rPr>
        <w:t>the</w:t>
      </w:r>
      <w:r>
        <w:rPr>
          <w:spacing w:val="-17"/>
          <w:w w:val="115"/>
        </w:rPr>
        <w:t> </w:t>
      </w:r>
      <w:r>
        <w:rPr>
          <w:spacing w:val="-2"/>
          <w:w w:val="115"/>
        </w:rPr>
        <w:t>CJEU</w:t>
      </w:r>
      <w:r>
        <w:rPr>
          <w:spacing w:val="-17"/>
          <w:w w:val="115"/>
        </w:rPr>
        <w:t> </w:t>
      </w:r>
      <w:r>
        <w:rPr>
          <w:spacing w:val="-2"/>
          <w:w w:val="115"/>
        </w:rPr>
        <w:t>has</w:t>
      </w:r>
      <w:r>
        <w:rPr>
          <w:spacing w:val="-18"/>
          <w:w w:val="115"/>
        </w:rPr>
        <w:t> </w:t>
      </w:r>
      <w:r>
        <w:rPr>
          <w:spacing w:val="-2"/>
          <w:w w:val="115"/>
        </w:rPr>
        <w:t>tended </w:t>
      </w:r>
      <w:r>
        <w:rPr>
          <w:w w:val="115"/>
        </w:rPr>
        <w:t>to</w:t>
      </w:r>
      <w:r>
        <w:rPr>
          <w:spacing w:val="-9"/>
          <w:w w:val="115"/>
        </w:rPr>
        <w:t> </w:t>
      </w:r>
      <w:r>
        <w:rPr>
          <w:w w:val="115"/>
        </w:rPr>
        <w:t>emphasise</w:t>
      </w:r>
      <w:r>
        <w:rPr>
          <w:spacing w:val="-9"/>
          <w:w w:val="115"/>
        </w:rPr>
        <w:t> </w:t>
      </w:r>
      <w:r>
        <w:rPr>
          <w:w w:val="115"/>
        </w:rPr>
        <w:t>direct</w:t>
      </w:r>
      <w:r>
        <w:rPr>
          <w:spacing w:val="-9"/>
          <w:w w:val="115"/>
        </w:rPr>
        <w:t> </w:t>
      </w:r>
      <w:r>
        <w:rPr>
          <w:w w:val="115"/>
        </w:rPr>
        <w:t>effect</w:t>
      </w:r>
      <w:r>
        <w:rPr>
          <w:spacing w:val="-9"/>
          <w:w w:val="115"/>
        </w:rPr>
        <w:t> </w:t>
      </w:r>
      <w:r>
        <w:rPr>
          <w:w w:val="115"/>
        </w:rPr>
        <w:t>over</w:t>
      </w:r>
      <w:r>
        <w:rPr>
          <w:spacing w:val="-9"/>
          <w:w w:val="115"/>
        </w:rPr>
        <w:t> </w:t>
      </w:r>
      <w:r>
        <w:rPr>
          <w:w w:val="115"/>
        </w:rPr>
        <w:t>state liability</w:t>
      </w:r>
      <w:r>
        <w:rPr>
          <w:spacing w:val="-8"/>
          <w:w w:val="115"/>
        </w:rPr>
        <w:t> </w:t>
      </w:r>
      <w:r>
        <w:rPr>
          <w:w w:val="115"/>
        </w:rPr>
        <w:t>where</w:t>
      </w:r>
      <w:r>
        <w:rPr>
          <w:spacing w:val="-8"/>
          <w:w w:val="115"/>
        </w:rPr>
        <w:t> </w:t>
      </w:r>
      <w:r>
        <w:rPr>
          <w:w w:val="115"/>
        </w:rPr>
        <w:t>possible,</w:t>
      </w:r>
      <w:r>
        <w:rPr>
          <w:spacing w:val="-8"/>
          <w:w w:val="115"/>
        </w:rPr>
        <w:t> </w:t>
      </w:r>
      <w:r>
        <w:rPr>
          <w:w w:val="115"/>
        </w:rPr>
        <w:t>despite</w:t>
      </w:r>
      <w:r>
        <w:rPr>
          <w:spacing w:val="-8"/>
          <w:w w:val="115"/>
        </w:rPr>
        <w:t> </w:t>
      </w:r>
      <w:r>
        <w:rPr>
          <w:w w:val="115"/>
        </w:rPr>
        <w:t>calls by some Advocates General to rely on state liability more regularly.</w:t>
      </w:r>
      <w:r>
        <w:rPr>
          <w:w w:val="115"/>
          <w:vertAlign w:val="superscript"/>
        </w:rPr>
        <w:t>97</w:t>
      </w:r>
      <w:r>
        <w:rPr>
          <w:w w:val="115"/>
          <w:vertAlign w:val="baseline"/>
        </w:rPr>
        <w:t> Initially, state liability was typically used to remedy violations of EU rights that lacked direct effect. For </w:t>
      </w:r>
      <w:r>
        <w:rPr>
          <w:w w:val="110"/>
          <w:vertAlign w:val="baseline"/>
        </w:rPr>
        <w:t>example, </w:t>
      </w:r>
      <w:r>
        <w:rPr>
          <w:rFonts w:ascii="Verdana"/>
          <w:i/>
          <w:w w:val="110"/>
          <w:vertAlign w:val="baseline"/>
        </w:rPr>
        <w:t>Francovich</w:t>
      </w:r>
      <w:r>
        <w:rPr>
          <w:rFonts w:ascii="Verdana"/>
          <w:i/>
          <w:spacing w:val="-11"/>
          <w:w w:val="110"/>
          <w:vertAlign w:val="baseline"/>
        </w:rPr>
        <w:t> </w:t>
      </w:r>
      <w:r>
        <w:rPr>
          <w:w w:val="110"/>
          <w:vertAlign w:val="baseline"/>
        </w:rPr>
        <w:t>itself was a </w:t>
      </w:r>
      <w:r>
        <w:rPr>
          <w:w w:val="115"/>
          <w:vertAlign w:val="baseline"/>
        </w:rPr>
        <w:t>claim by a group of employees in Italy whose employer had become</w:t>
      </w:r>
    </w:p>
    <w:p>
      <w:pPr>
        <w:pStyle w:val="BodyText"/>
        <w:spacing w:line="259" w:lineRule="auto"/>
        <w:ind w:right="161"/>
        <w:rPr>
          <w:rFonts w:ascii="Lucida Sans Unicode"/>
        </w:rPr>
      </w:pPr>
      <w:r>
        <w:rPr>
          <w:w w:val="110"/>
        </w:rPr>
        <w:t>insolvent, for compensation for </w:t>
      </w:r>
      <w:r>
        <w:rPr>
          <w:w w:val="110"/>
        </w:rPr>
        <w:t>wages owed at the time of dissolution of the company. Whereas an EU directive </w:t>
      </w:r>
      <w:r>
        <w:rPr>
          <w:rFonts w:ascii="Lucida Sans Unicode"/>
          <w:spacing w:val="-2"/>
          <w:w w:val="110"/>
        </w:rPr>
        <w:t>had</w:t>
      </w:r>
      <w:r>
        <w:rPr>
          <w:rFonts w:ascii="Lucida Sans Unicode"/>
          <w:spacing w:val="-16"/>
          <w:w w:val="110"/>
        </w:rPr>
        <w:t> </w:t>
      </w:r>
      <w:r>
        <w:rPr>
          <w:rFonts w:ascii="Lucida Sans Unicode"/>
          <w:spacing w:val="-2"/>
          <w:w w:val="110"/>
        </w:rPr>
        <w:t>been</w:t>
      </w:r>
      <w:r>
        <w:rPr>
          <w:rFonts w:ascii="Lucida Sans Unicode"/>
          <w:spacing w:val="-16"/>
          <w:w w:val="110"/>
        </w:rPr>
        <w:t> </w:t>
      </w:r>
      <w:r>
        <w:rPr>
          <w:rFonts w:ascii="Lucida Sans Unicode"/>
          <w:spacing w:val="-2"/>
          <w:w w:val="110"/>
        </w:rPr>
        <w:t>specifically</w:t>
      </w:r>
      <w:r>
        <w:rPr>
          <w:rFonts w:ascii="Lucida Sans Unicode"/>
          <w:spacing w:val="-16"/>
          <w:w w:val="110"/>
        </w:rPr>
        <w:t> </w:t>
      </w:r>
      <w:r>
        <w:rPr>
          <w:rFonts w:ascii="Lucida Sans Unicode"/>
          <w:spacing w:val="-2"/>
          <w:w w:val="110"/>
        </w:rPr>
        <w:t>put</w:t>
      </w:r>
      <w:r>
        <w:rPr>
          <w:rFonts w:ascii="Lucida Sans Unicode"/>
          <w:spacing w:val="-16"/>
          <w:w w:val="110"/>
        </w:rPr>
        <w:t> </w:t>
      </w:r>
      <w:r>
        <w:rPr>
          <w:rFonts w:ascii="Lucida Sans Unicode"/>
          <w:spacing w:val="-2"/>
          <w:w w:val="110"/>
        </w:rPr>
        <w:t>in</w:t>
      </w:r>
      <w:r>
        <w:rPr>
          <w:rFonts w:ascii="Lucida Sans Unicode"/>
          <w:spacing w:val="-16"/>
          <w:w w:val="110"/>
        </w:rPr>
        <w:t> </w:t>
      </w:r>
      <w:r>
        <w:rPr>
          <w:rFonts w:ascii="Lucida Sans Unicode"/>
          <w:spacing w:val="-2"/>
          <w:w w:val="110"/>
        </w:rPr>
        <w:t>place</w:t>
      </w:r>
    </w:p>
    <w:p>
      <w:pPr>
        <w:pStyle w:val="BodyText"/>
        <w:spacing w:line="224" w:lineRule="exact"/>
      </w:pPr>
      <w:r>
        <w:rPr>
          <w:w w:val="115"/>
        </w:rPr>
        <w:t>to</w:t>
      </w:r>
      <w:r>
        <w:rPr>
          <w:spacing w:val="-4"/>
          <w:w w:val="115"/>
        </w:rPr>
        <w:t> </w:t>
      </w:r>
      <w:r>
        <w:rPr>
          <w:w w:val="115"/>
        </w:rPr>
        <w:t>protect</w:t>
      </w:r>
      <w:r>
        <w:rPr>
          <w:spacing w:val="-4"/>
          <w:w w:val="115"/>
        </w:rPr>
        <w:t> </w:t>
      </w:r>
      <w:r>
        <w:rPr>
          <w:w w:val="115"/>
        </w:rPr>
        <w:t>workers</w:t>
      </w:r>
      <w:r>
        <w:rPr>
          <w:spacing w:val="-4"/>
          <w:w w:val="115"/>
        </w:rPr>
        <w:t> </w:t>
      </w:r>
      <w:r>
        <w:rPr>
          <w:w w:val="115"/>
        </w:rPr>
        <w:t>in</w:t>
      </w:r>
      <w:r>
        <w:rPr>
          <w:spacing w:val="-4"/>
          <w:w w:val="115"/>
        </w:rPr>
        <w:t> </w:t>
      </w:r>
      <w:r>
        <w:rPr>
          <w:w w:val="115"/>
        </w:rPr>
        <w:t>this</w:t>
      </w:r>
      <w:r>
        <w:rPr>
          <w:spacing w:val="-4"/>
          <w:w w:val="115"/>
        </w:rPr>
        <w:t> </w:t>
      </w:r>
      <w:r>
        <w:rPr>
          <w:spacing w:val="-2"/>
          <w:w w:val="115"/>
        </w:rPr>
        <w:t>situation,</w:t>
      </w:r>
    </w:p>
    <w:p>
      <w:pPr>
        <w:pStyle w:val="BodyText"/>
        <w:spacing w:line="252" w:lineRule="auto" w:before="31"/>
        <w:ind w:right="533"/>
      </w:pPr>
      <w:r>
        <w:rPr>
          <w:w w:val="115"/>
        </w:rPr>
        <w:t>the provisions of the directive could not be relied upon against </w:t>
      </w:r>
      <w:r>
        <w:rPr>
          <w:w w:val="110"/>
        </w:rPr>
        <w:t>the employer directly.</w:t>
      </w:r>
      <w:r>
        <w:rPr>
          <w:rFonts w:ascii="Lucida Sans Unicode"/>
          <w:w w:val="110"/>
          <w:vertAlign w:val="superscript"/>
        </w:rPr>
        <w:t>98</w:t>
      </w:r>
      <w:r>
        <w:rPr>
          <w:rFonts w:ascii="Lucida Sans Unicode"/>
          <w:spacing w:val="-10"/>
          <w:w w:val="110"/>
          <w:vertAlign w:val="baseline"/>
        </w:rPr>
        <w:t> </w:t>
      </w:r>
      <w:r>
        <w:rPr>
          <w:w w:val="110"/>
          <w:vertAlign w:val="baseline"/>
        </w:rPr>
        <w:t>Consistent</w:t>
      </w:r>
    </w:p>
    <w:p>
      <w:pPr>
        <w:pStyle w:val="BodyText"/>
        <w:spacing w:line="239" w:lineRule="exact"/>
      </w:pPr>
      <w:r>
        <w:rPr>
          <w:w w:val="110"/>
        </w:rPr>
        <w:t>interpretation</w:t>
      </w:r>
      <w:r>
        <w:rPr>
          <w:spacing w:val="14"/>
          <w:w w:val="110"/>
        </w:rPr>
        <w:t> </w:t>
      </w:r>
      <w:r>
        <w:rPr>
          <w:w w:val="110"/>
        </w:rPr>
        <w:t>was</w:t>
      </w:r>
      <w:r>
        <w:rPr>
          <w:spacing w:val="14"/>
          <w:w w:val="110"/>
        </w:rPr>
        <w:t> </w:t>
      </w:r>
      <w:r>
        <w:rPr>
          <w:w w:val="110"/>
        </w:rPr>
        <w:t>also</w:t>
      </w:r>
      <w:r>
        <w:rPr>
          <w:spacing w:val="14"/>
          <w:w w:val="110"/>
        </w:rPr>
        <w:t> </w:t>
      </w:r>
      <w:r>
        <w:rPr>
          <w:w w:val="110"/>
        </w:rPr>
        <w:t>impossible,</w:t>
      </w:r>
      <w:r>
        <w:rPr>
          <w:spacing w:val="15"/>
          <w:w w:val="110"/>
        </w:rPr>
        <w:t> </w:t>
      </w:r>
      <w:r>
        <w:rPr>
          <w:spacing w:val="-5"/>
          <w:w w:val="110"/>
        </w:rPr>
        <w:t>as</w:t>
      </w:r>
    </w:p>
    <w:p>
      <w:pPr>
        <w:pStyle w:val="BodyText"/>
        <w:spacing w:line="268" w:lineRule="auto" w:before="34"/>
        <w:ind w:right="317"/>
      </w:pPr>
      <w:r>
        <w:rPr>
          <w:w w:val="115"/>
        </w:rPr>
        <w:t>Italy had altogether failed to enact implementing legislation. In this situation, the only course of action </w:t>
      </w:r>
      <w:r>
        <w:rPr>
          <w:spacing w:val="-2"/>
          <w:w w:val="115"/>
        </w:rPr>
        <w:t>available</w:t>
      </w:r>
      <w:r>
        <w:rPr>
          <w:spacing w:val="-11"/>
          <w:w w:val="115"/>
        </w:rPr>
        <w:t> </w:t>
      </w:r>
      <w:r>
        <w:rPr>
          <w:spacing w:val="-2"/>
          <w:w w:val="115"/>
        </w:rPr>
        <w:t>to</w:t>
      </w:r>
      <w:r>
        <w:rPr>
          <w:spacing w:val="-11"/>
          <w:w w:val="115"/>
        </w:rPr>
        <w:t> </w:t>
      </w:r>
      <w:r>
        <w:rPr>
          <w:spacing w:val="-2"/>
          <w:w w:val="115"/>
        </w:rPr>
        <w:t>the</w:t>
      </w:r>
      <w:r>
        <w:rPr>
          <w:spacing w:val="-11"/>
          <w:w w:val="115"/>
        </w:rPr>
        <w:t> </w:t>
      </w:r>
      <w:r>
        <w:rPr>
          <w:spacing w:val="-2"/>
          <w:w w:val="115"/>
        </w:rPr>
        <w:t>workers</w:t>
      </w:r>
      <w:r>
        <w:rPr>
          <w:spacing w:val="-11"/>
          <w:w w:val="115"/>
        </w:rPr>
        <w:t> </w:t>
      </w:r>
      <w:r>
        <w:rPr>
          <w:spacing w:val="-2"/>
          <w:w w:val="115"/>
        </w:rPr>
        <w:t>in</w:t>
      </w:r>
      <w:r>
        <w:rPr>
          <w:spacing w:val="-11"/>
          <w:w w:val="115"/>
        </w:rPr>
        <w:t> </w:t>
      </w:r>
      <w:r>
        <w:rPr>
          <w:spacing w:val="-2"/>
          <w:w w:val="115"/>
        </w:rPr>
        <w:t>question</w:t>
      </w:r>
    </w:p>
    <w:p>
      <w:pPr>
        <w:spacing w:after="0" w:line="268" w:lineRule="auto"/>
        <w:sectPr>
          <w:type w:val="continuous"/>
          <w:pgSz w:w="11910" w:h="16840"/>
          <w:pgMar w:header="568" w:footer="580" w:top="0" w:bottom="280" w:left="1020" w:right="1020"/>
          <w:cols w:num="2" w:equalWidth="0">
            <w:col w:w="4747" w:space="299"/>
            <w:col w:w="4824"/>
          </w:cols>
        </w:sectPr>
      </w:pPr>
    </w:p>
    <w:p>
      <w:pPr>
        <w:pStyle w:val="BodyText"/>
        <w:spacing w:before="3"/>
        <w:ind w:left="0"/>
        <w:rPr>
          <w:sz w:val="18"/>
        </w:rPr>
      </w:pPr>
    </w:p>
    <w:p>
      <w:pPr>
        <w:pStyle w:val="BodyText"/>
        <w:spacing w:line="20" w:lineRule="exact"/>
        <w:rPr>
          <w:sz w:val="2"/>
        </w:rPr>
      </w:pPr>
      <w:r>
        <w:rPr>
          <w:sz w:val="2"/>
        </w:rPr>
        <mc:AlternateContent>
          <mc:Choice Requires="wps">
            <w:drawing>
              <wp:inline distT="0" distB="0" distL="0" distR="0">
                <wp:extent cx="6120130" cy="6350"/>
                <wp:effectExtent l="9525" t="0" r="0" b="3175"/>
                <wp:docPr id="89" name="Group 89"/>
                <wp:cNvGraphicFramePr>
                  <a:graphicFrameLocks/>
                </wp:cNvGraphicFramePr>
                <a:graphic>
                  <a:graphicData uri="http://schemas.microsoft.com/office/word/2010/wordprocessingGroup">
                    <wpg:wgp>
                      <wpg:cNvPr id="89" name="Group 89"/>
                      <wpg:cNvGrpSpPr/>
                      <wpg:grpSpPr>
                        <a:xfrm>
                          <a:off x="0" y="0"/>
                          <a:ext cx="6120130" cy="6350"/>
                          <a:chExt cx="6120130" cy="6350"/>
                        </a:xfrm>
                      </wpg:grpSpPr>
                      <wps:wsp>
                        <wps:cNvPr id="90" name="Graphic 90"/>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63"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7" w:val="left" w:leader="none"/>
        </w:tabs>
        <w:spacing w:line="206" w:lineRule="auto" w:before="85" w:after="0"/>
        <w:ind w:left="567" w:right="230" w:hanging="454"/>
        <w:jc w:val="left"/>
        <w:rPr>
          <w:rFonts w:ascii="Arial" w:hAnsi="Arial"/>
          <w:sz w:val="16"/>
        </w:rPr>
      </w:pPr>
      <w:r>
        <w:rPr>
          <w:rFonts w:ascii="Verdana" w:hAnsi="Verdana"/>
          <w:i/>
          <w:sz w:val="16"/>
        </w:rPr>
        <w:t>Francovich</w:t>
      </w:r>
      <w:r>
        <w:rPr>
          <w:rFonts w:ascii="Verdana" w:hAnsi="Verdana"/>
          <w:i/>
          <w:spacing w:val="-9"/>
          <w:sz w:val="16"/>
        </w:rPr>
        <w:t> </w:t>
      </w:r>
      <w:r>
        <w:rPr>
          <w:sz w:val="16"/>
        </w:rPr>
        <w:t>(n</w:t>
      </w:r>
      <w:r>
        <w:rPr>
          <w:spacing w:val="-3"/>
          <w:sz w:val="16"/>
        </w:rPr>
        <w:t> </w:t>
      </w:r>
      <w:r>
        <w:rPr>
          <w:sz w:val="16"/>
        </w:rPr>
        <w:t>50),</w:t>
      </w:r>
      <w:r>
        <w:rPr>
          <w:spacing w:val="-3"/>
          <w:sz w:val="16"/>
        </w:rPr>
        <w:t> </w:t>
      </w:r>
      <w:r>
        <w:rPr>
          <w:sz w:val="16"/>
        </w:rPr>
        <w:t>para.</w:t>
      </w:r>
      <w:r>
        <w:rPr>
          <w:spacing w:val="-3"/>
          <w:sz w:val="16"/>
        </w:rPr>
        <w:t> </w:t>
      </w:r>
      <w:r>
        <w:rPr>
          <w:sz w:val="16"/>
        </w:rPr>
        <w:t>33.</w:t>
      </w:r>
      <w:r>
        <w:rPr>
          <w:spacing w:val="-3"/>
          <w:sz w:val="16"/>
        </w:rPr>
        <w:t> </w:t>
      </w:r>
      <w:r>
        <w:rPr>
          <w:sz w:val="16"/>
        </w:rPr>
        <w:t>See</w:t>
      </w:r>
      <w:r>
        <w:rPr>
          <w:spacing w:val="-3"/>
          <w:sz w:val="16"/>
        </w:rPr>
        <w:t> </w:t>
      </w:r>
      <w:r>
        <w:rPr>
          <w:sz w:val="16"/>
        </w:rPr>
        <w:t>also</w:t>
      </w:r>
      <w:r>
        <w:rPr>
          <w:spacing w:val="-3"/>
          <w:sz w:val="16"/>
        </w:rPr>
        <w:t> </w:t>
      </w:r>
      <w:r>
        <w:rPr>
          <w:sz w:val="16"/>
        </w:rPr>
        <w:t>Joined</w:t>
      </w:r>
      <w:r>
        <w:rPr>
          <w:spacing w:val="-3"/>
          <w:sz w:val="16"/>
        </w:rPr>
        <w:t> </w:t>
      </w:r>
      <w:r>
        <w:rPr>
          <w:sz w:val="16"/>
        </w:rPr>
        <w:t>Cases</w:t>
      </w:r>
      <w:r>
        <w:rPr>
          <w:spacing w:val="-3"/>
          <w:sz w:val="16"/>
        </w:rPr>
        <w:t> </w:t>
      </w:r>
      <w:r>
        <w:rPr>
          <w:sz w:val="16"/>
        </w:rPr>
        <w:t>C-46/93</w:t>
      </w:r>
      <w:r>
        <w:rPr>
          <w:spacing w:val="-3"/>
          <w:sz w:val="16"/>
        </w:rPr>
        <w:t> </w:t>
      </w:r>
      <w:r>
        <w:rPr>
          <w:sz w:val="16"/>
        </w:rPr>
        <w:t>and</w:t>
      </w:r>
      <w:r>
        <w:rPr>
          <w:spacing w:val="-3"/>
          <w:sz w:val="16"/>
        </w:rPr>
        <w:t> </w:t>
      </w:r>
      <w:r>
        <w:rPr>
          <w:sz w:val="16"/>
        </w:rPr>
        <w:t>C-48/93,</w:t>
      </w:r>
      <w:r>
        <w:rPr>
          <w:spacing w:val="-3"/>
          <w:sz w:val="16"/>
        </w:rPr>
        <w:t> </w:t>
      </w:r>
      <w:r>
        <w:rPr>
          <w:rFonts w:ascii="Verdana" w:hAnsi="Verdana"/>
          <w:i/>
          <w:sz w:val="16"/>
        </w:rPr>
        <w:t>Brasserie</w:t>
      </w:r>
      <w:r>
        <w:rPr>
          <w:rFonts w:ascii="Verdana" w:hAnsi="Verdana"/>
          <w:i/>
          <w:spacing w:val="-9"/>
          <w:sz w:val="16"/>
        </w:rPr>
        <w:t> </w:t>
      </w:r>
      <w:r>
        <w:rPr>
          <w:rFonts w:ascii="Verdana" w:hAnsi="Verdana"/>
          <w:i/>
          <w:sz w:val="16"/>
        </w:rPr>
        <w:t>du</w:t>
      </w:r>
      <w:r>
        <w:rPr>
          <w:rFonts w:ascii="Verdana" w:hAnsi="Verdana"/>
          <w:i/>
          <w:spacing w:val="-9"/>
          <w:sz w:val="16"/>
        </w:rPr>
        <w:t> </w:t>
      </w:r>
      <w:r>
        <w:rPr>
          <w:rFonts w:ascii="Verdana" w:hAnsi="Verdana"/>
          <w:i/>
          <w:sz w:val="16"/>
        </w:rPr>
        <w:t>Pêcheur</w:t>
      </w:r>
      <w:r>
        <w:rPr>
          <w:rFonts w:ascii="Verdana" w:hAnsi="Verdana"/>
          <w:i/>
          <w:spacing w:val="-9"/>
          <w:sz w:val="16"/>
        </w:rPr>
        <w:t> </w:t>
      </w:r>
      <w:r>
        <w:rPr>
          <w:rFonts w:ascii="Verdana" w:hAnsi="Verdana"/>
          <w:i/>
          <w:sz w:val="16"/>
        </w:rPr>
        <w:t>v</w:t>
      </w:r>
      <w:r>
        <w:rPr>
          <w:rFonts w:ascii="Verdana" w:hAnsi="Verdana"/>
          <w:i/>
          <w:spacing w:val="-9"/>
          <w:sz w:val="16"/>
        </w:rPr>
        <w:t> </w:t>
      </w:r>
      <w:r>
        <w:rPr>
          <w:rFonts w:ascii="Verdana" w:hAnsi="Verdana"/>
          <w:i/>
          <w:sz w:val="16"/>
        </w:rPr>
        <w:t>Germany</w:t>
      </w:r>
      <w:r>
        <w:rPr>
          <w:rFonts w:ascii="Verdana" w:hAnsi="Verdana"/>
          <w:i/>
          <w:spacing w:val="-9"/>
          <w:sz w:val="16"/>
        </w:rPr>
        <w:t> </w:t>
      </w:r>
      <w:r>
        <w:rPr>
          <w:rFonts w:ascii="Verdana" w:hAnsi="Verdana"/>
          <w:i/>
          <w:sz w:val="16"/>
        </w:rPr>
        <w:t>and</w:t>
      </w:r>
      <w:r>
        <w:rPr>
          <w:rFonts w:ascii="Verdana" w:hAnsi="Verdana"/>
          <w:i/>
          <w:spacing w:val="-9"/>
          <w:sz w:val="16"/>
        </w:rPr>
        <w:t> </w:t>
      </w:r>
      <w:r>
        <w:rPr>
          <w:rFonts w:ascii="Verdana" w:hAnsi="Verdana"/>
          <w:i/>
          <w:sz w:val="16"/>
        </w:rPr>
        <w:t>R</w:t>
      </w:r>
      <w:r>
        <w:rPr>
          <w:rFonts w:ascii="Verdana" w:hAnsi="Verdana"/>
          <w:i/>
          <w:spacing w:val="-9"/>
          <w:sz w:val="16"/>
        </w:rPr>
        <w:t> </w:t>
      </w:r>
      <w:r>
        <w:rPr>
          <w:rFonts w:ascii="Verdana" w:hAnsi="Verdana"/>
          <w:i/>
          <w:sz w:val="16"/>
        </w:rPr>
        <w:t>v</w:t>
      </w:r>
      <w:r>
        <w:rPr>
          <w:rFonts w:ascii="Verdana" w:hAnsi="Verdana"/>
          <w:i/>
          <w:sz w:val="16"/>
        </w:rPr>
        <w:t> SS for Transport, ex parte Factortame</w:t>
      </w:r>
      <w:r>
        <w:rPr>
          <w:rFonts w:ascii="Arial" w:hAnsi="Arial"/>
          <w:sz w:val="16"/>
        </w:rPr>
        <w:t>, EU:C:1996:79.</w:t>
      </w:r>
    </w:p>
    <w:p>
      <w:pPr>
        <w:pStyle w:val="ListParagraph"/>
        <w:numPr>
          <w:ilvl w:val="0"/>
          <w:numId w:val="6"/>
        </w:numPr>
        <w:tabs>
          <w:tab w:pos="567" w:val="left" w:leader="none"/>
        </w:tabs>
        <w:spacing w:line="190" w:lineRule="exact" w:before="12" w:after="0"/>
        <w:ind w:left="567" w:right="0" w:hanging="454"/>
        <w:jc w:val="left"/>
        <w:rPr>
          <w:rFonts w:ascii="Arial" w:hAnsi="Arial"/>
          <w:sz w:val="16"/>
        </w:rPr>
      </w:pPr>
      <w:r>
        <w:rPr>
          <w:rFonts w:ascii="Verdana" w:hAnsi="Verdana"/>
          <w:i/>
          <w:sz w:val="16"/>
        </w:rPr>
        <w:t>Brasserie</w:t>
      </w:r>
      <w:r>
        <w:rPr>
          <w:rFonts w:ascii="Verdana" w:hAnsi="Verdana"/>
          <w:i/>
          <w:spacing w:val="-10"/>
          <w:sz w:val="16"/>
        </w:rPr>
        <w:t> </w:t>
      </w:r>
      <w:r>
        <w:rPr>
          <w:rFonts w:ascii="Verdana" w:hAnsi="Verdana"/>
          <w:i/>
          <w:sz w:val="16"/>
        </w:rPr>
        <w:t>du</w:t>
      </w:r>
      <w:r>
        <w:rPr>
          <w:rFonts w:ascii="Verdana" w:hAnsi="Verdana"/>
          <w:i/>
          <w:spacing w:val="-10"/>
          <w:sz w:val="16"/>
        </w:rPr>
        <w:t> </w:t>
      </w:r>
      <w:r>
        <w:rPr>
          <w:rFonts w:ascii="Verdana" w:hAnsi="Verdana"/>
          <w:i/>
          <w:sz w:val="16"/>
        </w:rPr>
        <w:t>Pêcheur,</w:t>
      </w:r>
      <w:r>
        <w:rPr>
          <w:rFonts w:ascii="Verdana" w:hAnsi="Verdana"/>
          <w:i/>
          <w:spacing w:val="-9"/>
          <w:sz w:val="16"/>
        </w:rPr>
        <w:t> </w:t>
      </w:r>
      <w:r>
        <w:rPr>
          <w:rFonts w:ascii="Verdana" w:hAnsi="Verdana"/>
          <w:i/>
          <w:sz w:val="16"/>
        </w:rPr>
        <w:t>ibid</w:t>
      </w:r>
      <w:r>
        <w:rPr>
          <w:rFonts w:ascii="Arial" w:hAnsi="Arial"/>
          <w:sz w:val="16"/>
        </w:rPr>
        <w:t>,</w:t>
      </w:r>
      <w:r>
        <w:rPr>
          <w:rFonts w:ascii="Arial" w:hAnsi="Arial"/>
          <w:spacing w:val="2"/>
          <w:sz w:val="16"/>
        </w:rPr>
        <w:t> </w:t>
      </w:r>
      <w:r>
        <w:rPr>
          <w:rFonts w:ascii="Arial" w:hAnsi="Arial"/>
          <w:sz w:val="16"/>
        </w:rPr>
        <w:t>para</w:t>
      </w:r>
      <w:r>
        <w:rPr>
          <w:rFonts w:ascii="Arial" w:hAnsi="Arial"/>
          <w:spacing w:val="3"/>
          <w:sz w:val="16"/>
        </w:rPr>
        <w:t> </w:t>
      </w:r>
      <w:r>
        <w:rPr>
          <w:rFonts w:ascii="Arial" w:hAnsi="Arial"/>
          <w:spacing w:val="-5"/>
          <w:sz w:val="16"/>
        </w:rPr>
        <w:t>51.</w:t>
      </w:r>
    </w:p>
    <w:p>
      <w:pPr>
        <w:pStyle w:val="ListParagraph"/>
        <w:numPr>
          <w:ilvl w:val="0"/>
          <w:numId w:val="6"/>
        </w:numPr>
        <w:tabs>
          <w:tab w:pos="567" w:val="left" w:leader="none"/>
        </w:tabs>
        <w:spacing w:line="218" w:lineRule="exact" w:before="0" w:after="0"/>
        <w:ind w:left="567" w:right="0" w:hanging="454"/>
        <w:jc w:val="left"/>
        <w:rPr>
          <w:rFonts w:ascii="Arial"/>
          <w:sz w:val="16"/>
        </w:rPr>
      </w:pPr>
      <w:r>
        <w:rPr>
          <w:sz w:val="16"/>
        </w:rPr>
        <w:t>See</w:t>
      </w:r>
      <w:r>
        <w:rPr>
          <w:spacing w:val="-9"/>
          <w:sz w:val="16"/>
        </w:rPr>
        <w:t> </w:t>
      </w:r>
      <w:r>
        <w:rPr>
          <w:sz w:val="16"/>
        </w:rPr>
        <w:t>the</w:t>
      </w:r>
      <w:r>
        <w:rPr>
          <w:spacing w:val="-9"/>
          <w:sz w:val="16"/>
        </w:rPr>
        <w:t> </w:t>
      </w:r>
      <w:r>
        <w:rPr>
          <w:sz w:val="16"/>
        </w:rPr>
        <w:t>Opinion</w:t>
      </w:r>
      <w:r>
        <w:rPr>
          <w:spacing w:val="-8"/>
          <w:sz w:val="16"/>
        </w:rPr>
        <w:t> </w:t>
      </w:r>
      <w:r>
        <w:rPr>
          <w:sz w:val="16"/>
        </w:rPr>
        <w:t>of</w:t>
      </w:r>
      <w:r>
        <w:rPr>
          <w:spacing w:val="-9"/>
          <w:sz w:val="16"/>
        </w:rPr>
        <w:t> </w:t>
      </w:r>
      <w:r>
        <w:rPr>
          <w:sz w:val="16"/>
        </w:rPr>
        <w:t>Advocate</w:t>
      </w:r>
      <w:r>
        <w:rPr>
          <w:spacing w:val="-8"/>
          <w:sz w:val="16"/>
        </w:rPr>
        <w:t> </w:t>
      </w:r>
      <w:r>
        <w:rPr>
          <w:sz w:val="16"/>
        </w:rPr>
        <w:t>General</w:t>
      </w:r>
      <w:r>
        <w:rPr>
          <w:spacing w:val="-9"/>
          <w:sz w:val="16"/>
        </w:rPr>
        <w:t> </w:t>
      </w:r>
      <w:r>
        <w:rPr>
          <w:sz w:val="16"/>
        </w:rPr>
        <w:t>Bobek</w:t>
      </w:r>
      <w:r>
        <w:rPr>
          <w:spacing w:val="-8"/>
          <w:sz w:val="16"/>
        </w:rPr>
        <w:t> </w:t>
      </w:r>
      <w:r>
        <w:rPr>
          <w:sz w:val="16"/>
        </w:rPr>
        <w:t>in</w:t>
      </w:r>
      <w:r>
        <w:rPr>
          <w:spacing w:val="-9"/>
          <w:sz w:val="16"/>
        </w:rPr>
        <w:t> </w:t>
      </w:r>
      <w:r>
        <w:rPr>
          <w:sz w:val="16"/>
        </w:rPr>
        <w:t>C684/16,</w:t>
      </w:r>
      <w:r>
        <w:rPr>
          <w:spacing w:val="-8"/>
          <w:sz w:val="16"/>
        </w:rPr>
        <w:t> </w:t>
      </w:r>
      <w:r>
        <w:rPr>
          <w:rFonts w:ascii="Verdana"/>
          <w:i/>
          <w:sz w:val="16"/>
        </w:rPr>
        <w:t>Cresco</w:t>
      </w:r>
      <w:r>
        <w:rPr>
          <w:rFonts w:ascii="Verdana"/>
          <w:i/>
          <w:spacing w:val="-14"/>
          <w:sz w:val="16"/>
        </w:rPr>
        <w:t> </w:t>
      </w:r>
      <w:r>
        <w:rPr>
          <w:rFonts w:ascii="Verdana"/>
          <w:i/>
          <w:sz w:val="16"/>
        </w:rPr>
        <w:t>Investigation</w:t>
      </w:r>
      <w:r>
        <w:rPr>
          <w:sz w:val="16"/>
        </w:rPr>
        <w:t>,</w:t>
      </w:r>
      <w:r>
        <w:rPr>
          <w:spacing w:val="-9"/>
          <w:sz w:val="16"/>
        </w:rPr>
        <w:t> </w:t>
      </w:r>
      <w:r>
        <w:rPr>
          <w:sz w:val="16"/>
        </w:rPr>
        <w:t>EU:C:2019:43,</w:t>
      </w:r>
      <w:r>
        <w:rPr>
          <w:spacing w:val="-8"/>
          <w:sz w:val="16"/>
        </w:rPr>
        <w:t> </w:t>
      </w:r>
      <w:r>
        <w:rPr>
          <w:sz w:val="16"/>
        </w:rPr>
        <w:t>paras</w:t>
      </w:r>
      <w:r>
        <w:rPr>
          <w:spacing w:val="-9"/>
          <w:sz w:val="16"/>
        </w:rPr>
        <w:t> </w:t>
      </w:r>
      <w:r>
        <w:rPr>
          <w:sz w:val="16"/>
        </w:rPr>
        <w:t>173-</w:t>
      </w:r>
      <w:r>
        <w:rPr>
          <w:spacing w:val="-5"/>
          <w:sz w:val="16"/>
        </w:rPr>
        <w:t>185</w:t>
      </w:r>
    </w:p>
    <w:p>
      <w:pPr>
        <w:pStyle w:val="ListParagraph"/>
        <w:numPr>
          <w:ilvl w:val="0"/>
          <w:numId w:val="6"/>
        </w:numPr>
        <w:tabs>
          <w:tab w:pos="567" w:val="left" w:leader="none"/>
        </w:tabs>
        <w:spacing w:line="218" w:lineRule="auto" w:before="0" w:after="0"/>
        <w:ind w:left="567" w:right="474" w:hanging="454"/>
        <w:jc w:val="left"/>
        <w:rPr>
          <w:sz w:val="16"/>
        </w:rPr>
      </w:pPr>
      <w:r>
        <w:rPr>
          <w:rFonts w:ascii="Arial"/>
          <w:spacing w:val="-2"/>
          <w:w w:val="115"/>
          <w:sz w:val="16"/>
        </w:rPr>
        <w:t>As</w:t>
      </w:r>
      <w:r>
        <w:rPr>
          <w:rFonts w:ascii="Arial"/>
          <w:spacing w:val="-6"/>
          <w:w w:val="115"/>
          <w:sz w:val="16"/>
        </w:rPr>
        <w:t> </w:t>
      </w:r>
      <w:r>
        <w:rPr>
          <w:rFonts w:ascii="Arial"/>
          <w:spacing w:val="-2"/>
          <w:w w:val="115"/>
          <w:sz w:val="16"/>
        </w:rPr>
        <w:t>discussed</w:t>
      </w:r>
      <w:r>
        <w:rPr>
          <w:rFonts w:ascii="Arial"/>
          <w:spacing w:val="-6"/>
          <w:w w:val="115"/>
          <w:sz w:val="16"/>
        </w:rPr>
        <w:t> </w:t>
      </w:r>
      <w:r>
        <w:rPr>
          <w:rFonts w:ascii="Arial"/>
          <w:spacing w:val="-2"/>
          <w:w w:val="115"/>
          <w:sz w:val="16"/>
        </w:rPr>
        <w:t>earlier,</w:t>
      </w:r>
      <w:r>
        <w:rPr>
          <w:rFonts w:ascii="Arial"/>
          <w:spacing w:val="-6"/>
          <w:w w:val="115"/>
          <w:sz w:val="16"/>
        </w:rPr>
        <w:t> </w:t>
      </w:r>
      <w:r>
        <w:rPr>
          <w:rFonts w:ascii="Arial"/>
          <w:spacing w:val="-2"/>
          <w:w w:val="115"/>
          <w:sz w:val="16"/>
        </w:rPr>
        <w:t>unlike</w:t>
      </w:r>
      <w:r>
        <w:rPr>
          <w:rFonts w:ascii="Arial"/>
          <w:spacing w:val="-6"/>
          <w:w w:val="115"/>
          <w:sz w:val="16"/>
        </w:rPr>
        <w:t> </w:t>
      </w:r>
      <w:r>
        <w:rPr>
          <w:rFonts w:ascii="Arial"/>
          <w:spacing w:val="-2"/>
          <w:w w:val="115"/>
          <w:sz w:val="16"/>
        </w:rPr>
        <w:t>Treaty</w:t>
      </w:r>
      <w:r>
        <w:rPr>
          <w:rFonts w:ascii="Arial"/>
          <w:spacing w:val="-6"/>
          <w:w w:val="115"/>
          <w:sz w:val="16"/>
        </w:rPr>
        <w:t> </w:t>
      </w:r>
      <w:r>
        <w:rPr>
          <w:rFonts w:ascii="Arial"/>
          <w:spacing w:val="-2"/>
          <w:w w:val="115"/>
          <w:sz w:val="16"/>
        </w:rPr>
        <w:t>provisions</w:t>
      </w:r>
      <w:r>
        <w:rPr>
          <w:rFonts w:ascii="Arial"/>
          <w:spacing w:val="-6"/>
          <w:w w:val="115"/>
          <w:sz w:val="16"/>
        </w:rPr>
        <w:t> </w:t>
      </w:r>
      <w:r>
        <w:rPr>
          <w:rFonts w:ascii="Arial"/>
          <w:spacing w:val="-2"/>
          <w:w w:val="115"/>
          <w:sz w:val="16"/>
        </w:rPr>
        <w:t>and</w:t>
      </w:r>
      <w:r>
        <w:rPr>
          <w:rFonts w:ascii="Arial"/>
          <w:spacing w:val="-6"/>
          <w:w w:val="115"/>
          <w:sz w:val="16"/>
        </w:rPr>
        <w:t> </w:t>
      </w:r>
      <w:r>
        <w:rPr>
          <w:rFonts w:ascii="Arial"/>
          <w:spacing w:val="-2"/>
          <w:w w:val="115"/>
          <w:sz w:val="16"/>
        </w:rPr>
        <w:t>the</w:t>
      </w:r>
      <w:r>
        <w:rPr>
          <w:rFonts w:ascii="Arial"/>
          <w:spacing w:val="-6"/>
          <w:w w:val="115"/>
          <w:sz w:val="16"/>
        </w:rPr>
        <w:t> </w:t>
      </w:r>
      <w:r>
        <w:rPr>
          <w:rFonts w:ascii="Arial"/>
          <w:spacing w:val="-2"/>
          <w:w w:val="115"/>
          <w:sz w:val="16"/>
        </w:rPr>
        <w:t>Charter,</w:t>
      </w:r>
      <w:r>
        <w:rPr>
          <w:rFonts w:ascii="Arial"/>
          <w:spacing w:val="-6"/>
          <w:w w:val="115"/>
          <w:sz w:val="16"/>
        </w:rPr>
        <w:t> </w:t>
      </w:r>
      <w:r>
        <w:rPr>
          <w:rFonts w:ascii="Arial"/>
          <w:spacing w:val="-2"/>
          <w:w w:val="115"/>
          <w:sz w:val="16"/>
        </w:rPr>
        <w:t>the</w:t>
      </w:r>
      <w:r>
        <w:rPr>
          <w:rFonts w:ascii="Arial"/>
          <w:spacing w:val="-6"/>
          <w:w w:val="115"/>
          <w:sz w:val="16"/>
        </w:rPr>
        <w:t> </w:t>
      </w:r>
      <w:r>
        <w:rPr>
          <w:rFonts w:ascii="Arial"/>
          <w:spacing w:val="-2"/>
          <w:w w:val="115"/>
          <w:sz w:val="16"/>
        </w:rPr>
        <w:t>provisions</w:t>
      </w:r>
      <w:r>
        <w:rPr>
          <w:rFonts w:ascii="Arial"/>
          <w:spacing w:val="-6"/>
          <w:w w:val="115"/>
          <w:sz w:val="16"/>
        </w:rPr>
        <w:t> </w:t>
      </w:r>
      <w:r>
        <w:rPr>
          <w:rFonts w:ascii="Arial"/>
          <w:spacing w:val="-2"/>
          <w:w w:val="115"/>
          <w:sz w:val="16"/>
        </w:rPr>
        <w:t>of</w:t>
      </w:r>
      <w:r>
        <w:rPr>
          <w:rFonts w:ascii="Arial"/>
          <w:spacing w:val="-6"/>
          <w:w w:val="115"/>
          <w:sz w:val="16"/>
        </w:rPr>
        <w:t> </w:t>
      </w:r>
      <w:r>
        <w:rPr>
          <w:rFonts w:ascii="Arial"/>
          <w:spacing w:val="-2"/>
          <w:w w:val="115"/>
          <w:sz w:val="16"/>
        </w:rPr>
        <w:t>a</w:t>
      </w:r>
      <w:r>
        <w:rPr>
          <w:rFonts w:ascii="Arial"/>
          <w:spacing w:val="-6"/>
          <w:w w:val="115"/>
          <w:sz w:val="16"/>
        </w:rPr>
        <w:t> </w:t>
      </w:r>
      <w:r>
        <w:rPr>
          <w:rFonts w:ascii="Arial"/>
          <w:spacing w:val="-2"/>
          <w:w w:val="115"/>
          <w:sz w:val="16"/>
        </w:rPr>
        <w:t>directive</w:t>
      </w:r>
      <w:r>
        <w:rPr>
          <w:rFonts w:ascii="Arial"/>
          <w:spacing w:val="-6"/>
          <w:w w:val="115"/>
          <w:sz w:val="16"/>
        </w:rPr>
        <w:t> </w:t>
      </w:r>
      <w:r>
        <w:rPr>
          <w:rFonts w:ascii="Arial"/>
          <w:spacing w:val="-2"/>
          <w:w w:val="115"/>
          <w:sz w:val="16"/>
        </w:rPr>
        <w:t>cannot</w:t>
      </w:r>
      <w:r>
        <w:rPr>
          <w:rFonts w:ascii="Arial"/>
          <w:spacing w:val="-6"/>
          <w:w w:val="115"/>
          <w:sz w:val="16"/>
        </w:rPr>
        <w:t> </w:t>
      </w:r>
      <w:r>
        <w:rPr>
          <w:rFonts w:ascii="Arial"/>
          <w:spacing w:val="-2"/>
          <w:w w:val="115"/>
          <w:sz w:val="16"/>
        </w:rPr>
        <w:t>be</w:t>
      </w:r>
      <w:r>
        <w:rPr>
          <w:rFonts w:ascii="Arial"/>
          <w:spacing w:val="-6"/>
          <w:w w:val="115"/>
          <w:sz w:val="16"/>
        </w:rPr>
        <w:t> </w:t>
      </w:r>
      <w:r>
        <w:rPr>
          <w:rFonts w:ascii="Arial"/>
          <w:spacing w:val="-2"/>
          <w:w w:val="115"/>
          <w:sz w:val="16"/>
        </w:rPr>
        <w:t>invoked</w:t>
      </w:r>
      <w:r>
        <w:rPr>
          <w:rFonts w:ascii="Arial"/>
          <w:spacing w:val="-6"/>
          <w:w w:val="115"/>
          <w:sz w:val="16"/>
        </w:rPr>
        <w:t> </w:t>
      </w:r>
      <w:r>
        <w:rPr>
          <w:rFonts w:ascii="Arial"/>
          <w:spacing w:val="-2"/>
          <w:w w:val="115"/>
          <w:sz w:val="16"/>
        </w:rPr>
        <w:t>in </w:t>
      </w:r>
      <w:r>
        <w:rPr>
          <w:rFonts w:ascii="Arial"/>
          <w:w w:val="115"/>
          <w:sz w:val="16"/>
        </w:rPr>
        <w:t>themselves</w:t>
      </w:r>
      <w:r>
        <w:rPr>
          <w:rFonts w:ascii="Arial"/>
          <w:spacing w:val="-13"/>
          <w:w w:val="115"/>
          <w:sz w:val="16"/>
        </w:rPr>
        <w:t> </w:t>
      </w:r>
      <w:r>
        <w:rPr>
          <w:rFonts w:ascii="Arial"/>
          <w:w w:val="115"/>
          <w:sz w:val="16"/>
        </w:rPr>
        <w:t>in</w:t>
      </w:r>
      <w:r>
        <w:rPr>
          <w:rFonts w:ascii="Arial"/>
          <w:spacing w:val="-13"/>
          <w:w w:val="115"/>
          <w:sz w:val="16"/>
        </w:rPr>
        <w:t> </w:t>
      </w:r>
      <w:r>
        <w:rPr>
          <w:rFonts w:ascii="Arial"/>
          <w:w w:val="115"/>
          <w:sz w:val="16"/>
        </w:rPr>
        <w:t>private</w:t>
      </w:r>
      <w:r>
        <w:rPr>
          <w:rFonts w:ascii="Arial"/>
          <w:spacing w:val="-13"/>
          <w:w w:val="115"/>
          <w:sz w:val="16"/>
        </w:rPr>
        <w:t> </w:t>
      </w:r>
      <w:r>
        <w:rPr>
          <w:rFonts w:ascii="Arial"/>
          <w:w w:val="115"/>
          <w:sz w:val="16"/>
        </w:rPr>
        <w:t>litigation</w:t>
      </w:r>
      <w:r>
        <w:rPr>
          <w:rFonts w:ascii="Arial"/>
          <w:spacing w:val="-13"/>
          <w:w w:val="115"/>
          <w:sz w:val="16"/>
        </w:rPr>
        <w:t> </w:t>
      </w:r>
      <w:r>
        <w:rPr>
          <w:rFonts w:ascii="Arial"/>
          <w:w w:val="115"/>
          <w:sz w:val="16"/>
        </w:rPr>
        <w:t>unless</w:t>
      </w:r>
      <w:r>
        <w:rPr>
          <w:rFonts w:ascii="Arial"/>
          <w:spacing w:val="-12"/>
          <w:w w:val="115"/>
          <w:sz w:val="16"/>
        </w:rPr>
        <w:t> </w:t>
      </w:r>
      <w:r>
        <w:rPr>
          <w:rFonts w:ascii="Arial"/>
          <w:w w:val="115"/>
          <w:sz w:val="16"/>
        </w:rPr>
        <w:t>there</w:t>
      </w:r>
      <w:r>
        <w:rPr>
          <w:rFonts w:ascii="Arial"/>
          <w:spacing w:val="-13"/>
          <w:w w:val="115"/>
          <w:sz w:val="16"/>
        </w:rPr>
        <w:t> </w:t>
      </w:r>
      <w:r>
        <w:rPr>
          <w:rFonts w:ascii="Arial"/>
          <w:w w:val="115"/>
          <w:sz w:val="16"/>
        </w:rPr>
        <w:t>is</w:t>
      </w:r>
      <w:r>
        <w:rPr>
          <w:rFonts w:ascii="Arial"/>
          <w:spacing w:val="-13"/>
          <w:w w:val="115"/>
          <w:sz w:val="16"/>
        </w:rPr>
        <w:t> </w:t>
      </w:r>
      <w:r>
        <w:rPr>
          <w:rFonts w:ascii="Arial"/>
          <w:w w:val="115"/>
          <w:sz w:val="16"/>
        </w:rPr>
        <w:t>a</w:t>
      </w:r>
      <w:r>
        <w:rPr>
          <w:rFonts w:ascii="Arial"/>
          <w:spacing w:val="-13"/>
          <w:w w:val="115"/>
          <w:sz w:val="16"/>
        </w:rPr>
        <w:t> </w:t>
      </w:r>
      <w:r>
        <w:rPr>
          <w:rFonts w:ascii="Arial"/>
          <w:w w:val="115"/>
          <w:sz w:val="16"/>
        </w:rPr>
        <w:t>corresponding</w:t>
      </w:r>
      <w:r>
        <w:rPr>
          <w:rFonts w:ascii="Arial"/>
          <w:spacing w:val="-13"/>
          <w:w w:val="115"/>
          <w:sz w:val="16"/>
        </w:rPr>
        <w:t> </w:t>
      </w:r>
      <w:r>
        <w:rPr>
          <w:rFonts w:ascii="Arial"/>
          <w:w w:val="115"/>
          <w:sz w:val="16"/>
        </w:rPr>
        <w:t>general</w:t>
      </w:r>
      <w:r>
        <w:rPr>
          <w:rFonts w:ascii="Arial"/>
          <w:spacing w:val="-12"/>
          <w:w w:val="115"/>
          <w:sz w:val="16"/>
        </w:rPr>
        <w:t> </w:t>
      </w:r>
      <w:r>
        <w:rPr>
          <w:rFonts w:ascii="Arial"/>
          <w:w w:val="115"/>
          <w:sz w:val="16"/>
        </w:rPr>
        <w:t>principle</w:t>
      </w:r>
      <w:r>
        <w:rPr>
          <w:rFonts w:ascii="Arial"/>
          <w:spacing w:val="-13"/>
          <w:w w:val="115"/>
          <w:sz w:val="16"/>
        </w:rPr>
        <w:t> </w:t>
      </w:r>
      <w:r>
        <w:rPr>
          <w:rFonts w:ascii="Arial"/>
          <w:w w:val="115"/>
          <w:sz w:val="16"/>
        </w:rPr>
        <w:t>or</w:t>
      </w:r>
      <w:r>
        <w:rPr>
          <w:rFonts w:ascii="Arial"/>
          <w:spacing w:val="-13"/>
          <w:w w:val="115"/>
          <w:sz w:val="16"/>
        </w:rPr>
        <w:t> </w:t>
      </w:r>
      <w:r>
        <w:rPr>
          <w:rFonts w:ascii="Arial"/>
          <w:w w:val="115"/>
          <w:sz w:val="16"/>
        </w:rPr>
        <w:t>Charter</w:t>
      </w:r>
      <w:r>
        <w:rPr>
          <w:rFonts w:ascii="Arial"/>
          <w:spacing w:val="-13"/>
          <w:w w:val="115"/>
          <w:sz w:val="16"/>
        </w:rPr>
        <w:t> </w:t>
      </w:r>
      <w:r>
        <w:rPr>
          <w:rFonts w:ascii="Arial"/>
          <w:w w:val="115"/>
          <w:sz w:val="16"/>
        </w:rPr>
        <w:t>right,</w:t>
      </w:r>
      <w:r>
        <w:rPr>
          <w:rFonts w:ascii="Arial"/>
          <w:spacing w:val="-12"/>
          <w:w w:val="115"/>
          <w:sz w:val="16"/>
        </w:rPr>
        <w:t> </w:t>
      </w:r>
      <w:r>
        <w:rPr>
          <w:rFonts w:ascii="Arial"/>
          <w:w w:val="115"/>
          <w:sz w:val="16"/>
        </w:rPr>
        <w:t>which</w:t>
      </w:r>
      <w:r>
        <w:rPr>
          <w:rFonts w:ascii="Arial"/>
          <w:spacing w:val="-13"/>
          <w:w w:val="115"/>
          <w:sz w:val="16"/>
        </w:rPr>
        <w:t> </w:t>
      </w:r>
      <w:r>
        <w:rPr>
          <w:rFonts w:ascii="Arial"/>
          <w:w w:val="115"/>
          <w:sz w:val="16"/>
        </w:rPr>
        <w:t>was</w:t>
      </w:r>
      <w:r>
        <w:rPr>
          <w:rFonts w:ascii="Arial"/>
          <w:spacing w:val="-13"/>
          <w:w w:val="115"/>
          <w:sz w:val="16"/>
        </w:rPr>
        <w:t> </w:t>
      </w:r>
      <w:r>
        <w:rPr>
          <w:rFonts w:ascii="Arial"/>
          <w:w w:val="115"/>
          <w:sz w:val="16"/>
        </w:rPr>
        <w:t>not</w:t>
      </w:r>
    </w:p>
    <w:p>
      <w:pPr>
        <w:spacing w:before="11"/>
        <w:ind w:left="567" w:right="0" w:firstLine="0"/>
        <w:jc w:val="left"/>
        <w:rPr>
          <w:sz w:val="16"/>
        </w:rPr>
      </w:pPr>
      <w:r>
        <w:rPr>
          <w:w w:val="110"/>
          <w:sz w:val="16"/>
        </w:rPr>
        <w:t>applicable</w:t>
      </w:r>
      <w:r>
        <w:rPr>
          <w:spacing w:val="9"/>
          <w:w w:val="110"/>
          <w:sz w:val="16"/>
        </w:rPr>
        <w:t> </w:t>
      </w:r>
      <w:r>
        <w:rPr>
          <w:w w:val="110"/>
          <w:sz w:val="16"/>
        </w:rPr>
        <w:t>in</w:t>
      </w:r>
      <w:r>
        <w:rPr>
          <w:spacing w:val="10"/>
          <w:w w:val="110"/>
          <w:sz w:val="16"/>
        </w:rPr>
        <w:t> </w:t>
      </w:r>
      <w:r>
        <w:rPr>
          <w:w w:val="110"/>
          <w:sz w:val="16"/>
        </w:rPr>
        <w:t>this</w:t>
      </w:r>
      <w:r>
        <w:rPr>
          <w:spacing w:val="10"/>
          <w:w w:val="110"/>
          <w:sz w:val="16"/>
        </w:rPr>
        <w:t> </w:t>
      </w:r>
      <w:r>
        <w:rPr>
          <w:spacing w:val="-2"/>
          <w:w w:val="110"/>
          <w:sz w:val="16"/>
        </w:rPr>
        <w:t>case.</w:t>
      </w:r>
    </w:p>
    <w:p>
      <w:pPr>
        <w:spacing w:after="0"/>
        <w:jc w:val="left"/>
        <w:rPr>
          <w:sz w:val="16"/>
        </w:rPr>
        <w:sectPr>
          <w:type w:val="continuous"/>
          <w:pgSz w:w="11910" w:h="16840"/>
          <w:pgMar w:header="568" w:footer="580" w:top="0" w:bottom="280" w:left="1020" w:right="1020"/>
        </w:sectPr>
      </w:pPr>
    </w:p>
    <w:p>
      <w:pPr>
        <w:pStyle w:val="BodyText"/>
        <w:ind w:left="0"/>
        <w:rPr>
          <w:sz w:val="20"/>
        </w:rPr>
      </w:pPr>
    </w:p>
    <w:p>
      <w:pPr>
        <w:pStyle w:val="BodyText"/>
        <w:ind w:left="0"/>
        <w:rPr>
          <w:sz w:val="20"/>
        </w:rPr>
      </w:pPr>
    </w:p>
    <w:p>
      <w:pPr>
        <w:pStyle w:val="BodyText"/>
        <w:spacing w:before="48"/>
        <w:ind w:left="0"/>
        <w:rPr>
          <w:sz w:val="20"/>
        </w:rPr>
      </w:pPr>
    </w:p>
    <w:p>
      <w:pPr>
        <w:spacing w:after="0"/>
        <w:rPr>
          <w:sz w:val="20"/>
        </w:rPr>
        <w:sectPr>
          <w:pgSz w:w="11910" w:h="16840"/>
          <w:pgMar w:header="568" w:footer="580" w:top="840" w:bottom="780" w:left="1020" w:right="1020"/>
        </w:sectPr>
      </w:pPr>
    </w:p>
    <w:p>
      <w:pPr>
        <w:pStyle w:val="BodyText"/>
        <w:spacing w:line="310" w:lineRule="exact" w:before="49"/>
        <w:ind w:right="80"/>
      </w:pPr>
      <w:r>
        <w:rPr>
          <w:w w:val="115"/>
        </w:rPr>
        <w:t>was</w:t>
      </w:r>
      <w:r>
        <w:rPr>
          <w:spacing w:val="-20"/>
          <w:w w:val="115"/>
        </w:rPr>
        <w:t> </w:t>
      </w:r>
      <w:r>
        <w:rPr>
          <w:w w:val="115"/>
        </w:rPr>
        <w:t>to</w:t>
      </w:r>
      <w:r>
        <w:rPr>
          <w:spacing w:val="-19"/>
          <w:w w:val="115"/>
        </w:rPr>
        <w:t> </w:t>
      </w:r>
      <w:r>
        <w:rPr>
          <w:w w:val="115"/>
        </w:rPr>
        <w:t>claim</w:t>
      </w:r>
      <w:r>
        <w:rPr>
          <w:spacing w:val="-19"/>
          <w:w w:val="115"/>
        </w:rPr>
        <w:t> </w:t>
      </w:r>
      <w:r>
        <w:rPr>
          <w:w w:val="115"/>
        </w:rPr>
        <w:t>compensation</w:t>
      </w:r>
      <w:r>
        <w:rPr>
          <w:spacing w:val="-19"/>
          <w:w w:val="115"/>
        </w:rPr>
        <w:t> </w:t>
      </w:r>
      <w:r>
        <w:rPr>
          <w:w w:val="115"/>
        </w:rPr>
        <w:t>from</w:t>
      </w:r>
      <w:r>
        <w:rPr>
          <w:spacing w:val="-19"/>
          <w:w w:val="115"/>
        </w:rPr>
        <w:t> </w:t>
      </w:r>
      <w:r>
        <w:rPr>
          <w:w w:val="115"/>
        </w:rPr>
        <w:t>Italy for its failure to comply with EU law, since</w:t>
      </w:r>
      <w:r>
        <w:rPr>
          <w:spacing w:val="-15"/>
          <w:w w:val="115"/>
        </w:rPr>
        <w:t> </w:t>
      </w:r>
      <w:r>
        <w:rPr>
          <w:w w:val="115"/>
        </w:rPr>
        <w:t>that</w:t>
      </w:r>
      <w:r>
        <w:rPr>
          <w:spacing w:val="-15"/>
          <w:w w:val="115"/>
        </w:rPr>
        <w:t> </w:t>
      </w:r>
      <w:r>
        <w:rPr>
          <w:w w:val="115"/>
        </w:rPr>
        <w:t>failure</w:t>
      </w:r>
      <w:r>
        <w:rPr>
          <w:spacing w:val="-15"/>
          <w:w w:val="115"/>
        </w:rPr>
        <w:t> </w:t>
      </w:r>
      <w:r>
        <w:rPr>
          <w:w w:val="115"/>
        </w:rPr>
        <w:t>had</w:t>
      </w:r>
      <w:r>
        <w:rPr>
          <w:spacing w:val="-15"/>
          <w:w w:val="115"/>
        </w:rPr>
        <w:t> </w:t>
      </w:r>
      <w:r>
        <w:rPr>
          <w:w w:val="115"/>
        </w:rPr>
        <w:t>caused</w:t>
      </w:r>
      <w:r>
        <w:rPr>
          <w:spacing w:val="-15"/>
          <w:w w:val="115"/>
        </w:rPr>
        <w:t> </w:t>
      </w:r>
      <w:r>
        <w:rPr>
          <w:w w:val="115"/>
        </w:rPr>
        <w:t>them</w:t>
      </w:r>
      <w:r>
        <w:rPr>
          <w:spacing w:val="-15"/>
          <w:w w:val="115"/>
        </w:rPr>
        <w:t> </w:t>
      </w:r>
      <w:r>
        <w:rPr>
          <w:w w:val="115"/>
        </w:rPr>
        <w:t>to </w:t>
      </w:r>
      <w:r>
        <w:rPr>
          <w:rFonts w:ascii="Lucida Sans Unicode" w:hAnsi="Lucida Sans Unicode"/>
        </w:rPr>
        <w:t>suffer measurable financial damage. </w:t>
      </w:r>
      <w:r>
        <w:rPr>
          <w:w w:val="115"/>
        </w:rPr>
        <w:t>In</w:t>
      </w:r>
      <w:r>
        <w:rPr>
          <w:spacing w:val="-15"/>
          <w:w w:val="115"/>
        </w:rPr>
        <w:t> </w:t>
      </w:r>
      <w:r>
        <w:rPr>
          <w:w w:val="115"/>
        </w:rPr>
        <w:t>one</w:t>
      </w:r>
      <w:r>
        <w:rPr>
          <w:spacing w:val="-15"/>
          <w:w w:val="115"/>
        </w:rPr>
        <w:t> </w:t>
      </w:r>
      <w:r>
        <w:rPr>
          <w:w w:val="115"/>
        </w:rPr>
        <w:t>sense,</w:t>
      </w:r>
      <w:r>
        <w:rPr>
          <w:spacing w:val="-15"/>
          <w:w w:val="115"/>
        </w:rPr>
        <w:t> </w:t>
      </w:r>
      <w:r>
        <w:rPr>
          <w:w w:val="115"/>
        </w:rPr>
        <w:t>therefore,</w:t>
      </w:r>
      <w:r>
        <w:rPr>
          <w:spacing w:val="-15"/>
          <w:w w:val="115"/>
        </w:rPr>
        <w:t> </w:t>
      </w:r>
      <w:r>
        <w:rPr>
          <w:w w:val="115"/>
        </w:rPr>
        <w:t>state</w:t>
      </w:r>
      <w:r>
        <w:rPr>
          <w:spacing w:val="-15"/>
          <w:w w:val="115"/>
        </w:rPr>
        <w:t> </w:t>
      </w:r>
      <w:r>
        <w:rPr>
          <w:w w:val="115"/>
        </w:rPr>
        <w:t>liability in damages can be considered the only true ‘remedy’ provided by EU law.</w:t>
      </w:r>
      <w:r>
        <w:rPr>
          <w:spacing w:val="-20"/>
          <w:w w:val="115"/>
        </w:rPr>
        <w:t> </w:t>
      </w:r>
      <w:r>
        <w:rPr>
          <w:w w:val="115"/>
        </w:rPr>
        <w:t>Whereas,</w:t>
      </w:r>
      <w:r>
        <w:rPr>
          <w:spacing w:val="-19"/>
          <w:w w:val="115"/>
        </w:rPr>
        <w:t> </w:t>
      </w:r>
      <w:r>
        <w:rPr>
          <w:w w:val="115"/>
        </w:rPr>
        <w:t>as</w:t>
      </w:r>
      <w:r>
        <w:rPr>
          <w:spacing w:val="-19"/>
          <w:w w:val="115"/>
        </w:rPr>
        <w:t> </w:t>
      </w:r>
      <w:r>
        <w:rPr>
          <w:w w:val="115"/>
        </w:rPr>
        <w:t>we</w:t>
      </w:r>
      <w:r>
        <w:rPr>
          <w:spacing w:val="-19"/>
          <w:w w:val="115"/>
        </w:rPr>
        <w:t> </w:t>
      </w:r>
      <w:r>
        <w:rPr>
          <w:w w:val="115"/>
        </w:rPr>
        <w:t>have</w:t>
      </w:r>
      <w:r>
        <w:rPr>
          <w:spacing w:val="-19"/>
          <w:w w:val="115"/>
        </w:rPr>
        <w:t> </w:t>
      </w:r>
      <w:r>
        <w:rPr>
          <w:w w:val="115"/>
        </w:rPr>
        <w:t>seen,</w:t>
      </w:r>
      <w:r>
        <w:rPr>
          <w:spacing w:val="-20"/>
          <w:w w:val="115"/>
        </w:rPr>
        <w:t> </w:t>
      </w:r>
      <w:r>
        <w:rPr>
          <w:w w:val="115"/>
        </w:rPr>
        <w:t>the CJEU may otherwise set out some overarching principles about what</w:t>
      </w:r>
    </w:p>
    <w:p>
      <w:pPr>
        <w:pStyle w:val="BodyText"/>
        <w:spacing w:line="268" w:lineRule="auto" w:before="23"/>
        <w:ind w:right="213"/>
      </w:pPr>
      <w:r>
        <w:rPr>
          <w:w w:val="115"/>
        </w:rPr>
        <w:t>an</w:t>
      </w:r>
      <w:r>
        <w:rPr>
          <w:spacing w:val="-20"/>
          <w:w w:val="115"/>
        </w:rPr>
        <w:t> </w:t>
      </w:r>
      <w:r>
        <w:rPr>
          <w:w w:val="115"/>
        </w:rPr>
        <w:t>effective</w:t>
      </w:r>
      <w:r>
        <w:rPr>
          <w:spacing w:val="-19"/>
          <w:w w:val="115"/>
        </w:rPr>
        <w:t> </w:t>
      </w:r>
      <w:r>
        <w:rPr>
          <w:w w:val="115"/>
        </w:rPr>
        <w:t>remedy</w:t>
      </w:r>
      <w:r>
        <w:rPr>
          <w:spacing w:val="-19"/>
          <w:w w:val="115"/>
        </w:rPr>
        <w:t> </w:t>
      </w:r>
      <w:r>
        <w:rPr>
          <w:w w:val="115"/>
        </w:rPr>
        <w:t>would</w:t>
      </w:r>
      <w:r>
        <w:rPr>
          <w:spacing w:val="-19"/>
          <w:w w:val="115"/>
        </w:rPr>
        <w:t> </w:t>
      </w:r>
      <w:r>
        <w:rPr>
          <w:w w:val="115"/>
        </w:rPr>
        <w:t>amount to in cases where direct effect or</w:t>
      </w:r>
    </w:p>
    <w:p>
      <w:pPr>
        <w:pStyle w:val="BodyText"/>
        <w:spacing w:line="268" w:lineRule="auto" w:before="2"/>
        <w:ind w:right="44"/>
        <w:jc w:val="both"/>
      </w:pPr>
      <w:r>
        <w:rPr>
          <w:spacing w:val="-2"/>
          <w:w w:val="115"/>
        </w:rPr>
        <w:t>consistent</w:t>
      </w:r>
      <w:r>
        <w:rPr>
          <w:spacing w:val="-14"/>
          <w:w w:val="115"/>
        </w:rPr>
        <w:t> </w:t>
      </w:r>
      <w:r>
        <w:rPr>
          <w:spacing w:val="-2"/>
          <w:w w:val="115"/>
        </w:rPr>
        <w:t>interpretation</w:t>
      </w:r>
      <w:r>
        <w:rPr>
          <w:spacing w:val="-14"/>
          <w:w w:val="115"/>
        </w:rPr>
        <w:t> </w:t>
      </w:r>
      <w:r>
        <w:rPr>
          <w:spacing w:val="-2"/>
          <w:w w:val="115"/>
        </w:rPr>
        <w:t>are</w:t>
      </w:r>
      <w:r>
        <w:rPr>
          <w:spacing w:val="-14"/>
          <w:w w:val="115"/>
        </w:rPr>
        <w:t> </w:t>
      </w:r>
      <w:r>
        <w:rPr>
          <w:spacing w:val="-2"/>
          <w:w w:val="115"/>
        </w:rPr>
        <w:t>possible, </w:t>
      </w:r>
      <w:r>
        <w:rPr>
          <w:w w:val="115"/>
        </w:rPr>
        <w:t>compensation</w:t>
      </w:r>
      <w:r>
        <w:rPr>
          <w:spacing w:val="-20"/>
          <w:w w:val="115"/>
        </w:rPr>
        <w:t> </w:t>
      </w:r>
      <w:r>
        <w:rPr>
          <w:w w:val="115"/>
        </w:rPr>
        <w:t>under</w:t>
      </w:r>
      <w:r>
        <w:rPr>
          <w:spacing w:val="-19"/>
          <w:w w:val="115"/>
        </w:rPr>
        <w:t> </w:t>
      </w:r>
      <w:r>
        <w:rPr>
          <w:w w:val="115"/>
        </w:rPr>
        <w:t>the</w:t>
      </w:r>
      <w:r>
        <w:rPr>
          <w:spacing w:val="-19"/>
          <w:w w:val="115"/>
        </w:rPr>
        <w:t> </w:t>
      </w:r>
      <w:r>
        <w:rPr>
          <w:w w:val="115"/>
        </w:rPr>
        <w:t>state</w:t>
      </w:r>
      <w:r>
        <w:rPr>
          <w:spacing w:val="-19"/>
          <w:w w:val="115"/>
        </w:rPr>
        <w:t> </w:t>
      </w:r>
      <w:r>
        <w:rPr>
          <w:w w:val="115"/>
        </w:rPr>
        <w:t>liability principle is the only remaining</w:t>
      </w:r>
    </w:p>
    <w:p>
      <w:pPr>
        <w:pStyle w:val="BodyText"/>
        <w:spacing w:line="268" w:lineRule="auto" w:before="2"/>
        <w:ind w:right="213"/>
      </w:pPr>
      <w:r>
        <w:rPr>
          <w:w w:val="115"/>
        </w:rPr>
        <w:t>option where other remedial </w:t>
      </w:r>
      <w:r>
        <w:rPr>
          <w:w w:val="110"/>
        </w:rPr>
        <w:t>avenues fail. For the same reason, </w:t>
      </w:r>
      <w:r>
        <w:rPr>
          <w:spacing w:val="-2"/>
          <w:w w:val="115"/>
        </w:rPr>
        <w:t>state</w:t>
      </w:r>
      <w:r>
        <w:rPr>
          <w:spacing w:val="-18"/>
          <w:w w:val="115"/>
        </w:rPr>
        <w:t> </w:t>
      </w:r>
      <w:r>
        <w:rPr>
          <w:spacing w:val="-2"/>
          <w:w w:val="115"/>
        </w:rPr>
        <w:t>liability</w:t>
      </w:r>
      <w:r>
        <w:rPr>
          <w:spacing w:val="-17"/>
          <w:w w:val="115"/>
        </w:rPr>
        <w:t> </w:t>
      </w:r>
      <w:r>
        <w:rPr>
          <w:spacing w:val="-2"/>
          <w:w w:val="115"/>
        </w:rPr>
        <w:t>has</w:t>
      </w:r>
      <w:r>
        <w:rPr>
          <w:spacing w:val="-17"/>
          <w:w w:val="115"/>
        </w:rPr>
        <w:t> </w:t>
      </w:r>
      <w:r>
        <w:rPr>
          <w:spacing w:val="-2"/>
          <w:w w:val="115"/>
        </w:rPr>
        <w:t>also</w:t>
      </w:r>
      <w:r>
        <w:rPr>
          <w:spacing w:val="-17"/>
          <w:w w:val="115"/>
        </w:rPr>
        <w:t> </w:t>
      </w:r>
      <w:r>
        <w:rPr>
          <w:spacing w:val="-2"/>
          <w:w w:val="115"/>
        </w:rPr>
        <w:t>been</w:t>
      </w:r>
      <w:r>
        <w:rPr>
          <w:spacing w:val="-17"/>
          <w:w w:val="115"/>
        </w:rPr>
        <w:t> </w:t>
      </w:r>
      <w:r>
        <w:rPr>
          <w:spacing w:val="-2"/>
          <w:w w:val="115"/>
        </w:rPr>
        <w:t>viewed </w:t>
      </w:r>
      <w:r>
        <w:rPr>
          <w:w w:val="115"/>
        </w:rPr>
        <w:t>as a fallback remedy: it lacks the</w:t>
      </w:r>
    </w:p>
    <w:p>
      <w:pPr>
        <w:pStyle w:val="BodyText"/>
        <w:spacing w:line="324" w:lineRule="exact"/>
        <w:jc w:val="both"/>
        <w:rPr>
          <w:rFonts w:ascii="Lucida Sans Unicode"/>
        </w:rPr>
      </w:pPr>
      <w:r>
        <w:rPr>
          <w:rFonts w:ascii="Lucida Sans Unicode"/>
        </w:rPr>
        <w:t>flexibility</w:t>
      </w:r>
      <w:r>
        <w:rPr>
          <w:rFonts w:ascii="Lucida Sans Unicode"/>
          <w:spacing w:val="11"/>
        </w:rPr>
        <w:t> </w:t>
      </w:r>
      <w:r>
        <w:rPr>
          <w:rFonts w:ascii="Lucida Sans Unicode"/>
        </w:rPr>
        <w:t>and</w:t>
      </w:r>
      <w:r>
        <w:rPr>
          <w:rFonts w:ascii="Lucida Sans Unicode"/>
          <w:spacing w:val="12"/>
        </w:rPr>
        <w:t> </w:t>
      </w:r>
      <w:r>
        <w:rPr>
          <w:rFonts w:ascii="Lucida Sans Unicode"/>
        </w:rPr>
        <w:t>adaptability</w:t>
      </w:r>
      <w:r>
        <w:rPr>
          <w:rFonts w:ascii="Lucida Sans Unicode"/>
          <w:spacing w:val="11"/>
        </w:rPr>
        <w:t> </w:t>
      </w:r>
      <w:r>
        <w:rPr>
          <w:rFonts w:ascii="Lucida Sans Unicode"/>
        </w:rPr>
        <w:t>to</w:t>
      </w:r>
      <w:r>
        <w:rPr>
          <w:rFonts w:ascii="Lucida Sans Unicode"/>
          <w:spacing w:val="12"/>
        </w:rPr>
        <w:t> </w:t>
      </w:r>
      <w:r>
        <w:rPr>
          <w:rFonts w:ascii="Lucida Sans Unicode"/>
          <w:spacing w:val="-2"/>
        </w:rPr>
        <w:t>personal</w:t>
      </w:r>
    </w:p>
    <w:p>
      <w:pPr>
        <w:pStyle w:val="BodyText"/>
        <w:spacing w:line="268" w:lineRule="auto"/>
        <w:ind w:right="38"/>
        <w:jc w:val="both"/>
      </w:pPr>
      <w:r>
        <w:rPr>
          <w:w w:val="110"/>
        </w:rPr>
        <w:t>circumstances</w:t>
      </w:r>
      <w:r>
        <w:rPr>
          <w:spacing w:val="-4"/>
          <w:w w:val="110"/>
        </w:rPr>
        <w:t> </w:t>
      </w:r>
      <w:r>
        <w:rPr>
          <w:w w:val="110"/>
        </w:rPr>
        <w:t>that</w:t>
      </w:r>
      <w:r>
        <w:rPr>
          <w:spacing w:val="-4"/>
          <w:w w:val="110"/>
        </w:rPr>
        <w:t> </w:t>
      </w:r>
      <w:r>
        <w:rPr>
          <w:w w:val="110"/>
        </w:rPr>
        <w:t>characterise</w:t>
      </w:r>
      <w:r>
        <w:rPr>
          <w:spacing w:val="-4"/>
          <w:w w:val="110"/>
        </w:rPr>
        <w:t> </w:t>
      </w:r>
      <w:r>
        <w:rPr>
          <w:w w:val="110"/>
        </w:rPr>
        <w:t>cases </w:t>
      </w:r>
      <w:r>
        <w:rPr>
          <w:w w:val="115"/>
        </w:rPr>
        <w:t>decided</w:t>
      </w:r>
      <w:r>
        <w:rPr>
          <w:spacing w:val="-10"/>
          <w:w w:val="115"/>
        </w:rPr>
        <w:t> </w:t>
      </w:r>
      <w:r>
        <w:rPr>
          <w:w w:val="115"/>
        </w:rPr>
        <w:t>under</w:t>
      </w:r>
      <w:r>
        <w:rPr>
          <w:spacing w:val="-10"/>
          <w:w w:val="115"/>
        </w:rPr>
        <w:t> </w:t>
      </w:r>
      <w:r>
        <w:rPr>
          <w:w w:val="115"/>
        </w:rPr>
        <w:t>the</w:t>
      </w:r>
      <w:r>
        <w:rPr>
          <w:spacing w:val="-10"/>
          <w:w w:val="115"/>
        </w:rPr>
        <w:t> </w:t>
      </w:r>
      <w:r>
        <w:rPr>
          <w:w w:val="115"/>
        </w:rPr>
        <w:t>principles</w:t>
      </w:r>
      <w:r>
        <w:rPr>
          <w:spacing w:val="-10"/>
          <w:w w:val="115"/>
        </w:rPr>
        <w:t> </w:t>
      </w:r>
      <w:r>
        <w:rPr>
          <w:w w:val="115"/>
        </w:rPr>
        <w:t>of</w:t>
      </w:r>
      <w:r>
        <w:rPr>
          <w:spacing w:val="-10"/>
          <w:w w:val="115"/>
        </w:rPr>
        <w:t> </w:t>
      </w:r>
      <w:r>
        <w:rPr>
          <w:w w:val="115"/>
        </w:rPr>
        <w:t>direct effect</w:t>
      </w:r>
      <w:r>
        <w:rPr>
          <w:spacing w:val="-12"/>
          <w:w w:val="115"/>
        </w:rPr>
        <w:t> </w:t>
      </w:r>
      <w:r>
        <w:rPr>
          <w:w w:val="115"/>
        </w:rPr>
        <w:t>and</w:t>
      </w:r>
      <w:r>
        <w:rPr>
          <w:spacing w:val="-12"/>
          <w:w w:val="115"/>
        </w:rPr>
        <w:t> </w:t>
      </w:r>
      <w:r>
        <w:rPr>
          <w:w w:val="115"/>
        </w:rPr>
        <w:t>consistent</w:t>
      </w:r>
      <w:r>
        <w:rPr>
          <w:spacing w:val="-12"/>
          <w:w w:val="115"/>
        </w:rPr>
        <w:t> </w:t>
      </w:r>
      <w:r>
        <w:rPr>
          <w:w w:val="115"/>
        </w:rPr>
        <w:t>interpretation.</w:t>
      </w:r>
      <w:r>
        <w:rPr>
          <w:w w:val="115"/>
          <w:vertAlign w:val="superscript"/>
        </w:rPr>
        <w:t>99</w:t>
      </w:r>
    </w:p>
    <w:p>
      <w:pPr>
        <w:pStyle w:val="BodyText"/>
        <w:spacing w:line="310" w:lineRule="exact" w:before="270"/>
        <w:ind w:right="268"/>
      </w:pPr>
      <w:r>
        <w:rPr>
          <w:spacing w:val="-2"/>
          <w:w w:val="115"/>
        </w:rPr>
        <w:t>Moreover,</w:t>
      </w:r>
      <w:r>
        <w:rPr>
          <w:spacing w:val="-15"/>
          <w:w w:val="115"/>
        </w:rPr>
        <w:t> </w:t>
      </w:r>
      <w:r>
        <w:rPr>
          <w:spacing w:val="-2"/>
          <w:w w:val="115"/>
        </w:rPr>
        <w:t>particularly</w:t>
      </w:r>
      <w:r>
        <w:rPr>
          <w:spacing w:val="-15"/>
          <w:w w:val="115"/>
        </w:rPr>
        <w:t> </w:t>
      </w:r>
      <w:r>
        <w:rPr>
          <w:spacing w:val="-2"/>
          <w:w w:val="115"/>
        </w:rPr>
        <w:t>in</w:t>
      </w:r>
      <w:r>
        <w:rPr>
          <w:spacing w:val="-15"/>
          <w:w w:val="115"/>
        </w:rPr>
        <w:t> </w:t>
      </w:r>
      <w:r>
        <w:rPr>
          <w:spacing w:val="-2"/>
          <w:w w:val="115"/>
        </w:rPr>
        <w:t>the</w:t>
      </w:r>
      <w:r>
        <w:rPr>
          <w:spacing w:val="-15"/>
          <w:w w:val="115"/>
        </w:rPr>
        <w:t> </w:t>
      </w:r>
      <w:r>
        <w:rPr>
          <w:spacing w:val="-2"/>
          <w:w w:val="115"/>
        </w:rPr>
        <w:t>context </w:t>
      </w:r>
      <w:r>
        <w:rPr>
          <w:w w:val="115"/>
        </w:rPr>
        <w:t>of fundamental rights, state liability </w:t>
      </w:r>
      <w:r>
        <w:rPr>
          <w:rFonts w:ascii="Lucida Sans Unicode"/>
        </w:rPr>
        <w:t>would be difficult to establish, as </w:t>
      </w:r>
      <w:r>
        <w:rPr>
          <w:w w:val="115"/>
        </w:rPr>
        <w:t>the conditions of causality and</w:t>
      </w:r>
    </w:p>
    <w:p>
      <w:pPr>
        <w:pStyle w:val="BodyText"/>
        <w:spacing w:line="225" w:lineRule="auto"/>
        <w:ind w:right="97"/>
        <w:jc w:val="both"/>
      </w:pPr>
      <w:r>
        <w:rPr>
          <w:rFonts w:ascii="Lucida Sans Unicode"/>
        </w:rPr>
        <w:t>measurability would often be </w:t>
      </w:r>
      <w:r>
        <w:rPr>
          <w:rFonts w:ascii="Lucida Sans Unicode"/>
        </w:rPr>
        <w:t>difficult </w:t>
      </w:r>
      <w:r>
        <w:rPr>
          <w:w w:val="110"/>
        </w:rPr>
        <w:t>to make out. Think, for example, of</w:t>
      </w:r>
    </w:p>
    <w:p>
      <w:pPr>
        <w:pStyle w:val="BodyText"/>
        <w:spacing w:line="310" w:lineRule="exact" w:before="14"/>
        <w:ind w:right="213"/>
      </w:pPr>
      <w:r>
        <w:rPr>
          <w:spacing w:val="-2"/>
          <w:w w:val="110"/>
        </w:rPr>
        <w:t>a</w:t>
      </w:r>
      <w:r>
        <w:rPr>
          <w:spacing w:val="-12"/>
          <w:w w:val="110"/>
        </w:rPr>
        <w:t> </w:t>
      </w:r>
      <w:r>
        <w:rPr>
          <w:spacing w:val="-2"/>
          <w:w w:val="110"/>
        </w:rPr>
        <w:t>scenario</w:t>
      </w:r>
      <w:r>
        <w:rPr>
          <w:spacing w:val="-11"/>
          <w:w w:val="110"/>
        </w:rPr>
        <w:t> </w:t>
      </w:r>
      <w:r>
        <w:rPr>
          <w:spacing w:val="-2"/>
          <w:w w:val="110"/>
        </w:rPr>
        <w:t>like</w:t>
      </w:r>
      <w:r>
        <w:rPr>
          <w:spacing w:val="-11"/>
          <w:w w:val="110"/>
        </w:rPr>
        <w:t> </w:t>
      </w:r>
      <w:r>
        <w:rPr>
          <w:rFonts w:ascii="Verdana"/>
          <w:i/>
          <w:spacing w:val="-2"/>
          <w:w w:val="110"/>
        </w:rPr>
        <w:t>Braathens</w:t>
      </w:r>
      <w:r>
        <w:rPr>
          <w:spacing w:val="-2"/>
          <w:w w:val="110"/>
        </w:rPr>
        <w:t>,</w:t>
      </w:r>
      <w:r>
        <w:rPr>
          <w:rFonts w:ascii="Lucida Sans Unicode"/>
          <w:spacing w:val="-2"/>
          <w:w w:val="110"/>
          <w:vertAlign w:val="superscript"/>
        </w:rPr>
        <w:t>100</w:t>
      </w:r>
      <w:r>
        <w:rPr>
          <w:rFonts w:ascii="Lucida Sans Unicode"/>
          <w:spacing w:val="-19"/>
          <w:w w:val="110"/>
          <w:vertAlign w:val="baseline"/>
        </w:rPr>
        <w:t> </w:t>
      </w:r>
      <w:r>
        <w:rPr>
          <w:spacing w:val="-2"/>
          <w:w w:val="110"/>
          <w:vertAlign w:val="baseline"/>
        </w:rPr>
        <w:t>where </w:t>
      </w:r>
      <w:r>
        <w:rPr>
          <w:w w:val="110"/>
          <w:vertAlign w:val="baseline"/>
        </w:rPr>
        <w:t>the principal complaint was that the domestic implementing measure failed to acknowledge </w:t>
      </w:r>
      <w:r>
        <w:rPr>
          <w:w w:val="110"/>
          <w:vertAlign w:val="baseline"/>
        </w:rPr>
        <w:t>discrimination as a self-standing harm: if it had</w:t>
      </w:r>
      <w:r>
        <w:rPr>
          <w:spacing w:val="40"/>
          <w:w w:val="110"/>
          <w:vertAlign w:val="baseline"/>
        </w:rPr>
        <w:t> </w:t>
      </w:r>
      <w:r>
        <w:rPr>
          <w:w w:val="110"/>
          <w:vertAlign w:val="baseline"/>
        </w:rPr>
        <w:t>been assessed under the principle</w:t>
      </w:r>
    </w:p>
    <w:p>
      <w:pPr>
        <w:pStyle w:val="BodyText"/>
        <w:spacing w:line="252" w:lineRule="auto" w:before="23"/>
        <w:ind w:right="427"/>
        <w:jc w:val="both"/>
        <w:rPr>
          <w:rFonts w:ascii="Lucida Sans Unicode"/>
        </w:rPr>
      </w:pPr>
      <w:r>
        <w:rPr>
          <w:w w:val="110"/>
        </w:rPr>
        <w:t>of state liability in damages, </w:t>
      </w:r>
      <w:r>
        <w:rPr>
          <w:w w:val="110"/>
        </w:rPr>
        <w:t>rather than through the directly effective </w:t>
      </w:r>
      <w:r>
        <w:rPr>
          <w:rFonts w:ascii="Lucida Sans Unicode"/>
          <w:w w:val="110"/>
        </w:rPr>
        <w:t>character</w:t>
      </w:r>
      <w:r>
        <w:rPr>
          <w:rFonts w:ascii="Lucida Sans Unicode"/>
          <w:spacing w:val="-15"/>
          <w:w w:val="110"/>
        </w:rPr>
        <w:t> </w:t>
      </w:r>
      <w:r>
        <w:rPr>
          <w:rFonts w:ascii="Lucida Sans Unicode"/>
          <w:w w:val="110"/>
        </w:rPr>
        <w:t>of</w:t>
      </w:r>
      <w:r>
        <w:rPr>
          <w:rFonts w:ascii="Lucida Sans Unicode"/>
          <w:spacing w:val="-15"/>
          <w:w w:val="110"/>
        </w:rPr>
        <w:t> </w:t>
      </w:r>
      <w:r>
        <w:rPr>
          <w:rFonts w:ascii="Lucida Sans Unicode"/>
          <w:w w:val="110"/>
        </w:rPr>
        <w:t>Article</w:t>
      </w:r>
      <w:r>
        <w:rPr>
          <w:rFonts w:ascii="Lucida Sans Unicode"/>
          <w:spacing w:val="-15"/>
          <w:w w:val="110"/>
        </w:rPr>
        <w:t> </w:t>
      </w:r>
      <w:r>
        <w:rPr>
          <w:rFonts w:ascii="Lucida Sans Unicode"/>
          <w:w w:val="110"/>
        </w:rPr>
        <w:t>47</w:t>
      </w:r>
      <w:r>
        <w:rPr>
          <w:rFonts w:ascii="Lucida Sans Unicode"/>
          <w:spacing w:val="-15"/>
          <w:w w:val="110"/>
        </w:rPr>
        <w:t> </w:t>
      </w:r>
      <w:r>
        <w:rPr>
          <w:rFonts w:ascii="Lucida Sans Unicode"/>
          <w:w w:val="110"/>
        </w:rPr>
        <w:t>CFR,</w:t>
      </w:r>
      <w:r>
        <w:rPr>
          <w:rFonts w:ascii="Lucida Sans Unicode"/>
          <w:spacing w:val="-16"/>
          <w:w w:val="110"/>
        </w:rPr>
        <w:t> </w:t>
      </w:r>
      <w:r>
        <w:rPr>
          <w:rFonts w:ascii="Lucida Sans Unicode"/>
          <w:w w:val="110"/>
        </w:rPr>
        <w:t>it</w:t>
      </w:r>
    </w:p>
    <w:p>
      <w:pPr>
        <w:pStyle w:val="BodyText"/>
        <w:spacing w:line="239" w:lineRule="exact"/>
        <w:jc w:val="both"/>
      </w:pPr>
      <w:r>
        <w:rPr>
          <w:w w:val="115"/>
        </w:rPr>
        <w:t>is</w:t>
      </w:r>
      <w:r>
        <w:rPr>
          <w:spacing w:val="-13"/>
          <w:w w:val="115"/>
        </w:rPr>
        <w:t> </w:t>
      </w:r>
      <w:r>
        <w:rPr>
          <w:w w:val="115"/>
        </w:rPr>
        <w:t>unlikely</w:t>
      </w:r>
      <w:r>
        <w:rPr>
          <w:spacing w:val="-13"/>
          <w:w w:val="115"/>
        </w:rPr>
        <w:t> </w:t>
      </w:r>
      <w:r>
        <w:rPr>
          <w:w w:val="115"/>
        </w:rPr>
        <w:t>that</w:t>
      </w:r>
      <w:r>
        <w:rPr>
          <w:spacing w:val="-13"/>
          <w:w w:val="115"/>
        </w:rPr>
        <w:t> </w:t>
      </w:r>
      <w:r>
        <w:rPr>
          <w:w w:val="115"/>
        </w:rPr>
        <w:t>the</w:t>
      </w:r>
      <w:r>
        <w:rPr>
          <w:spacing w:val="-13"/>
          <w:w w:val="115"/>
        </w:rPr>
        <w:t> </w:t>
      </w:r>
      <w:r>
        <w:rPr>
          <w:w w:val="115"/>
        </w:rPr>
        <w:t>claim</w:t>
      </w:r>
      <w:r>
        <w:rPr>
          <w:spacing w:val="-13"/>
          <w:w w:val="115"/>
        </w:rPr>
        <w:t> </w:t>
      </w:r>
      <w:r>
        <w:rPr>
          <w:spacing w:val="-2"/>
          <w:w w:val="115"/>
        </w:rPr>
        <w:t>would</w:t>
      </w:r>
    </w:p>
    <w:p>
      <w:pPr>
        <w:pStyle w:val="BodyText"/>
        <w:spacing w:before="34"/>
        <w:jc w:val="both"/>
      </w:pPr>
      <w:r>
        <w:rPr>
          <w:w w:val="110"/>
        </w:rPr>
        <w:t>have</w:t>
      </w:r>
      <w:r>
        <w:rPr>
          <w:spacing w:val="-12"/>
          <w:w w:val="110"/>
        </w:rPr>
        <w:t> </w:t>
      </w:r>
      <w:r>
        <w:rPr>
          <w:w w:val="110"/>
        </w:rPr>
        <w:t>succeeded.</w:t>
      </w:r>
      <w:r>
        <w:rPr>
          <w:spacing w:val="-12"/>
          <w:w w:val="110"/>
        </w:rPr>
        <w:t> </w:t>
      </w:r>
      <w:r>
        <w:rPr>
          <w:w w:val="110"/>
        </w:rPr>
        <w:t>No</w:t>
      </w:r>
      <w:r>
        <w:rPr>
          <w:spacing w:val="-11"/>
          <w:w w:val="110"/>
        </w:rPr>
        <w:t> </w:t>
      </w:r>
      <w:r>
        <w:rPr>
          <w:spacing w:val="-2"/>
          <w:w w:val="110"/>
        </w:rPr>
        <w:t>measurable</w:t>
      </w:r>
    </w:p>
    <w:p>
      <w:pPr>
        <w:pStyle w:val="BodyText"/>
        <w:spacing w:line="310" w:lineRule="exact" w:before="49"/>
        <w:ind w:right="443"/>
      </w:pPr>
      <w:r>
        <w:rPr/>
        <w:br w:type="column"/>
      </w:r>
      <w:r>
        <w:rPr>
          <w:w w:val="110"/>
        </w:rPr>
        <w:t>damage had been sustained </w:t>
      </w:r>
      <w:r>
        <w:rPr>
          <w:w w:val="110"/>
        </w:rPr>
        <w:t>under the</w:t>
      </w:r>
      <w:r>
        <w:rPr>
          <w:spacing w:val="-19"/>
          <w:w w:val="110"/>
        </w:rPr>
        <w:t> </w:t>
      </w:r>
      <w:r>
        <w:rPr>
          <w:rFonts w:ascii="Verdana"/>
          <w:i/>
          <w:w w:val="110"/>
        </w:rPr>
        <w:t>Brasserie</w:t>
      </w:r>
      <w:r>
        <w:rPr>
          <w:rFonts w:ascii="Verdana"/>
          <w:i/>
          <w:spacing w:val="-23"/>
          <w:w w:val="110"/>
        </w:rPr>
        <w:t> </w:t>
      </w:r>
      <w:r>
        <w:rPr>
          <w:w w:val="110"/>
        </w:rPr>
        <w:t>conditions.</w:t>
      </w:r>
      <w:r>
        <w:rPr>
          <w:spacing w:val="-14"/>
          <w:w w:val="110"/>
        </w:rPr>
        <w:t> </w:t>
      </w:r>
      <w:r>
        <w:rPr>
          <w:w w:val="110"/>
        </w:rPr>
        <w:t>It</w:t>
      </w:r>
      <w:r>
        <w:rPr>
          <w:spacing w:val="-12"/>
          <w:w w:val="110"/>
        </w:rPr>
        <w:t> </w:t>
      </w:r>
      <w:r>
        <w:rPr>
          <w:w w:val="110"/>
        </w:rPr>
        <w:t>is</w:t>
      </w:r>
      <w:r>
        <w:rPr>
          <w:spacing w:val="-12"/>
          <w:w w:val="110"/>
        </w:rPr>
        <w:t> </w:t>
      </w:r>
      <w:r>
        <w:rPr>
          <w:w w:val="110"/>
        </w:rPr>
        <w:t>likely </w:t>
      </w:r>
      <w:r>
        <w:rPr>
          <w:w w:val="115"/>
        </w:rPr>
        <w:t>that these complicating factors in the attribution of state liability in damages</w:t>
      </w:r>
      <w:r>
        <w:rPr>
          <w:spacing w:val="-8"/>
          <w:w w:val="115"/>
        </w:rPr>
        <w:t> </w:t>
      </w:r>
      <w:r>
        <w:rPr>
          <w:w w:val="115"/>
        </w:rPr>
        <w:t>have</w:t>
      </w:r>
      <w:r>
        <w:rPr>
          <w:spacing w:val="-8"/>
          <w:w w:val="115"/>
        </w:rPr>
        <w:t> </w:t>
      </w:r>
      <w:r>
        <w:rPr>
          <w:w w:val="115"/>
        </w:rPr>
        <w:t>led</w:t>
      </w:r>
      <w:r>
        <w:rPr>
          <w:spacing w:val="-8"/>
          <w:w w:val="115"/>
        </w:rPr>
        <w:t> </w:t>
      </w:r>
      <w:r>
        <w:rPr>
          <w:w w:val="115"/>
        </w:rPr>
        <w:t>to</w:t>
      </w:r>
      <w:r>
        <w:rPr>
          <w:spacing w:val="-8"/>
          <w:w w:val="115"/>
        </w:rPr>
        <w:t> </w:t>
      </w:r>
      <w:r>
        <w:rPr>
          <w:w w:val="115"/>
        </w:rPr>
        <w:t>the</w:t>
      </w:r>
      <w:r>
        <w:rPr>
          <w:spacing w:val="-8"/>
          <w:w w:val="115"/>
        </w:rPr>
        <w:t> </w:t>
      </w:r>
      <w:r>
        <w:rPr>
          <w:w w:val="115"/>
        </w:rPr>
        <w:t>coupling of substantive violations with the </w:t>
      </w:r>
      <w:r>
        <w:rPr>
          <w:rFonts w:ascii="Lucida Sans Unicode"/>
        </w:rPr>
        <w:t>violation of Article 47 CFR, which </w:t>
      </w:r>
      <w:r>
        <w:rPr>
          <w:w w:val="115"/>
        </w:rPr>
        <w:t>enjoys</w:t>
      </w:r>
      <w:r>
        <w:rPr>
          <w:spacing w:val="-3"/>
          <w:w w:val="115"/>
        </w:rPr>
        <w:t> </w:t>
      </w:r>
      <w:r>
        <w:rPr>
          <w:w w:val="115"/>
        </w:rPr>
        <w:t>direct</w:t>
      </w:r>
      <w:r>
        <w:rPr>
          <w:spacing w:val="-3"/>
          <w:w w:val="115"/>
        </w:rPr>
        <w:t> </w:t>
      </w:r>
      <w:r>
        <w:rPr>
          <w:w w:val="115"/>
        </w:rPr>
        <w:t>effect,</w:t>
      </w:r>
      <w:r>
        <w:rPr>
          <w:spacing w:val="-3"/>
          <w:w w:val="115"/>
        </w:rPr>
        <w:t> </w:t>
      </w:r>
      <w:r>
        <w:rPr>
          <w:w w:val="115"/>
        </w:rPr>
        <w:t>and</w:t>
      </w:r>
      <w:r>
        <w:rPr>
          <w:spacing w:val="-3"/>
          <w:w w:val="115"/>
        </w:rPr>
        <w:t> </w:t>
      </w:r>
      <w:r>
        <w:rPr>
          <w:w w:val="115"/>
        </w:rPr>
        <w:t>therefore</w:t>
      </w:r>
    </w:p>
    <w:p>
      <w:pPr>
        <w:pStyle w:val="BodyText"/>
        <w:spacing w:line="268" w:lineRule="auto" w:before="23"/>
        <w:ind w:right="111"/>
      </w:pPr>
      <w:r>
        <w:rPr>
          <w:w w:val="115"/>
        </w:rPr>
        <w:t>can</w:t>
      </w:r>
      <w:r>
        <w:rPr>
          <w:spacing w:val="-20"/>
          <w:w w:val="115"/>
        </w:rPr>
        <w:t> </w:t>
      </w:r>
      <w:r>
        <w:rPr>
          <w:w w:val="115"/>
        </w:rPr>
        <w:t>act</w:t>
      </w:r>
      <w:r>
        <w:rPr>
          <w:spacing w:val="-19"/>
          <w:w w:val="115"/>
        </w:rPr>
        <w:t> </w:t>
      </w:r>
      <w:r>
        <w:rPr>
          <w:w w:val="115"/>
        </w:rPr>
        <w:t>as</w:t>
      </w:r>
      <w:r>
        <w:rPr>
          <w:spacing w:val="-19"/>
          <w:w w:val="115"/>
        </w:rPr>
        <w:t> </w:t>
      </w:r>
      <w:r>
        <w:rPr>
          <w:w w:val="115"/>
        </w:rPr>
        <w:t>a</w:t>
      </w:r>
      <w:r>
        <w:rPr>
          <w:spacing w:val="-19"/>
          <w:w w:val="115"/>
        </w:rPr>
        <w:t> </w:t>
      </w:r>
      <w:r>
        <w:rPr>
          <w:w w:val="115"/>
        </w:rPr>
        <w:t>vehicle</w:t>
      </w:r>
      <w:r>
        <w:rPr>
          <w:spacing w:val="-19"/>
          <w:w w:val="115"/>
        </w:rPr>
        <w:t> </w:t>
      </w:r>
      <w:r>
        <w:rPr>
          <w:w w:val="115"/>
        </w:rPr>
        <w:t>towards</w:t>
      </w:r>
      <w:r>
        <w:rPr>
          <w:spacing w:val="-20"/>
          <w:w w:val="115"/>
        </w:rPr>
        <w:t> </w:t>
      </w:r>
      <w:r>
        <w:rPr>
          <w:w w:val="115"/>
        </w:rPr>
        <w:t>remedies better suited to the individual case </w:t>
      </w:r>
      <w:r>
        <w:rPr>
          <w:spacing w:val="-2"/>
          <w:w w:val="115"/>
        </w:rPr>
        <w:t>facts,</w:t>
      </w:r>
      <w:r>
        <w:rPr>
          <w:spacing w:val="-18"/>
          <w:w w:val="115"/>
        </w:rPr>
        <w:t> </w:t>
      </w:r>
      <w:r>
        <w:rPr>
          <w:spacing w:val="-2"/>
          <w:w w:val="115"/>
        </w:rPr>
        <w:t>as</w:t>
      </w:r>
      <w:r>
        <w:rPr>
          <w:spacing w:val="-17"/>
          <w:w w:val="115"/>
        </w:rPr>
        <w:t> </w:t>
      </w:r>
      <w:r>
        <w:rPr>
          <w:spacing w:val="-2"/>
          <w:w w:val="115"/>
        </w:rPr>
        <w:t>discussed</w:t>
      </w:r>
      <w:r>
        <w:rPr>
          <w:spacing w:val="-17"/>
          <w:w w:val="115"/>
        </w:rPr>
        <w:t> </w:t>
      </w:r>
      <w:r>
        <w:rPr>
          <w:spacing w:val="-2"/>
          <w:w w:val="115"/>
        </w:rPr>
        <w:t>above.</w:t>
      </w:r>
      <w:r>
        <w:rPr>
          <w:spacing w:val="-17"/>
          <w:w w:val="115"/>
        </w:rPr>
        <w:t> </w:t>
      </w:r>
      <w:r>
        <w:rPr>
          <w:spacing w:val="-2"/>
          <w:w w:val="115"/>
        </w:rPr>
        <w:t>Overall,</w:t>
      </w:r>
      <w:r>
        <w:rPr>
          <w:spacing w:val="-17"/>
          <w:w w:val="115"/>
        </w:rPr>
        <w:t> </w:t>
      </w:r>
      <w:r>
        <w:rPr>
          <w:spacing w:val="-2"/>
          <w:w w:val="115"/>
        </w:rPr>
        <w:t>the </w:t>
      </w:r>
      <w:r>
        <w:rPr>
          <w:w w:val="115"/>
        </w:rPr>
        <w:t>case</w:t>
      </w:r>
      <w:r>
        <w:rPr>
          <w:spacing w:val="-2"/>
          <w:w w:val="115"/>
        </w:rPr>
        <w:t> </w:t>
      </w:r>
      <w:r>
        <w:rPr>
          <w:w w:val="115"/>
        </w:rPr>
        <w:t>law</w:t>
      </w:r>
      <w:r>
        <w:rPr>
          <w:spacing w:val="-2"/>
          <w:w w:val="115"/>
        </w:rPr>
        <w:t> </w:t>
      </w:r>
      <w:r>
        <w:rPr>
          <w:w w:val="115"/>
        </w:rPr>
        <w:t>so</w:t>
      </w:r>
      <w:r>
        <w:rPr>
          <w:spacing w:val="-2"/>
          <w:w w:val="115"/>
        </w:rPr>
        <w:t> </w:t>
      </w:r>
      <w:r>
        <w:rPr>
          <w:w w:val="115"/>
        </w:rPr>
        <w:t>far</w:t>
      </w:r>
      <w:r>
        <w:rPr>
          <w:spacing w:val="-2"/>
          <w:w w:val="115"/>
        </w:rPr>
        <w:t> </w:t>
      </w:r>
      <w:r>
        <w:rPr>
          <w:w w:val="115"/>
        </w:rPr>
        <w:t>has</w:t>
      </w:r>
      <w:r>
        <w:rPr>
          <w:spacing w:val="-2"/>
          <w:w w:val="115"/>
        </w:rPr>
        <w:t> </w:t>
      </w:r>
      <w:r>
        <w:rPr>
          <w:w w:val="115"/>
        </w:rPr>
        <w:t>not</w:t>
      </w:r>
      <w:r>
        <w:rPr>
          <w:spacing w:val="-2"/>
          <w:w w:val="115"/>
        </w:rPr>
        <w:t> </w:t>
      </w:r>
      <w:r>
        <w:rPr>
          <w:w w:val="115"/>
        </w:rPr>
        <w:t>shown</w:t>
      </w:r>
      <w:r>
        <w:rPr>
          <w:spacing w:val="-2"/>
          <w:w w:val="115"/>
        </w:rPr>
        <w:t> </w:t>
      </w:r>
      <w:r>
        <w:rPr>
          <w:w w:val="115"/>
        </w:rPr>
        <w:t>state liability to be a principal remedy for </w:t>
      </w:r>
      <w:r>
        <w:rPr>
          <w:w w:val="110"/>
        </w:rPr>
        <w:t>the</w:t>
      </w:r>
      <w:r>
        <w:rPr>
          <w:spacing w:val="-1"/>
          <w:w w:val="110"/>
        </w:rPr>
        <w:t> </w:t>
      </w:r>
      <w:r>
        <w:rPr>
          <w:w w:val="110"/>
        </w:rPr>
        <w:t>CJEU</w:t>
      </w:r>
      <w:r>
        <w:rPr>
          <w:spacing w:val="-1"/>
          <w:w w:val="110"/>
        </w:rPr>
        <w:t> </w:t>
      </w:r>
      <w:r>
        <w:rPr>
          <w:w w:val="110"/>
        </w:rPr>
        <w:t>under</w:t>
      </w:r>
      <w:r>
        <w:rPr>
          <w:spacing w:val="-1"/>
          <w:w w:val="110"/>
        </w:rPr>
        <w:t> </w:t>
      </w:r>
      <w:r>
        <w:rPr>
          <w:w w:val="110"/>
        </w:rPr>
        <w:t>the</w:t>
      </w:r>
      <w:r>
        <w:rPr>
          <w:spacing w:val="-1"/>
          <w:w w:val="110"/>
        </w:rPr>
        <w:t> </w:t>
      </w:r>
      <w:r>
        <w:rPr>
          <w:w w:val="110"/>
        </w:rPr>
        <w:t>Charter,</w:t>
      </w:r>
      <w:r>
        <w:rPr>
          <w:spacing w:val="-1"/>
          <w:w w:val="110"/>
        </w:rPr>
        <w:t> </w:t>
      </w:r>
      <w:r>
        <w:rPr>
          <w:w w:val="110"/>
        </w:rPr>
        <w:t>albeit</w:t>
      </w:r>
      <w:r>
        <w:rPr>
          <w:spacing w:val="-1"/>
          <w:w w:val="110"/>
        </w:rPr>
        <w:t> </w:t>
      </w:r>
      <w:r>
        <w:rPr>
          <w:w w:val="110"/>
        </w:rPr>
        <w:t>one </w:t>
      </w:r>
      <w:r>
        <w:rPr>
          <w:w w:val="115"/>
        </w:rPr>
        <w:t>that remains available in theory.</w:t>
      </w:r>
    </w:p>
    <w:p>
      <w:pPr>
        <w:pStyle w:val="BodyText"/>
        <w:spacing w:line="247" w:lineRule="auto" w:before="268"/>
        <w:ind w:right="178"/>
      </w:pPr>
      <w:r>
        <w:rPr>
          <w:rFonts w:ascii="Lucida Sans Unicode"/>
        </w:rPr>
        <w:t>Nevertheless, the Court has </w:t>
      </w:r>
      <w:r>
        <w:rPr>
          <w:rFonts w:ascii="Lucida Sans Unicode"/>
        </w:rPr>
        <w:t>affirmed </w:t>
      </w:r>
      <w:r>
        <w:rPr>
          <w:w w:val="110"/>
        </w:rPr>
        <w:t>the possibility of state liability in damages as a secondary remedy,</w:t>
      </w:r>
    </w:p>
    <w:p>
      <w:pPr>
        <w:pStyle w:val="BodyText"/>
        <w:spacing w:line="268" w:lineRule="auto" w:before="20"/>
        <w:ind w:right="538"/>
      </w:pPr>
      <w:r>
        <w:rPr>
          <w:w w:val="115"/>
        </w:rPr>
        <w:t>in</w:t>
      </w:r>
      <w:r>
        <w:rPr>
          <w:spacing w:val="-20"/>
          <w:w w:val="115"/>
        </w:rPr>
        <w:t> </w:t>
      </w:r>
      <w:r>
        <w:rPr>
          <w:w w:val="115"/>
        </w:rPr>
        <w:t>two</w:t>
      </w:r>
      <w:r>
        <w:rPr>
          <w:spacing w:val="-19"/>
          <w:w w:val="115"/>
        </w:rPr>
        <w:t> </w:t>
      </w:r>
      <w:r>
        <w:rPr>
          <w:w w:val="115"/>
        </w:rPr>
        <w:t>respects.</w:t>
      </w:r>
      <w:r>
        <w:rPr>
          <w:spacing w:val="-19"/>
          <w:w w:val="115"/>
        </w:rPr>
        <w:t> </w:t>
      </w:r>
      <w:r>
        <w:rPr>
          <w:w w:val="115"/>
        </w:rPr>
        <w:t>First,</w:t>
      </w:r>
      <w:r>
        <w:rPr>
          <w:spacing w:val="-19"/>
          <w:w w:val="115"/>
        </w:rPr>
        <w:t> </w:t>
      </w:r>
      <w:r>
        <w:rPr>
          <w:w w:val="115"/>
        </w:rPr>
        <w:t>state</w:t>
      </w:r>
      <w:r>
        <w:rPr>
          <w:spacing w:val="-19"/>
          <w:w w:val="115"/>
        </w:rPr>
        <w:t> </w:t>
      </w:r>
      <w:r>
        <w:rPr>
          <w:w w:val="115"/>
        </w:rPr>
        <w:t>liability is relied upon for breaches of EU legislation that further expresses provisions of the Charter that do</w:t>
      </w:r>
    </w:p>
    <w:p>
      <w:pPr>
        <w:pStyle w:val="BodyText"/>
        <w:spacing w:line="213" w:lineRule="auto"/>
        <w:ind w:right="266"/>
      </w:pPr>
      <w:r>
        <w:rPr>
          <w:rFonts w:ascii="Lucida Sans Unicode" w:hAnsi="Lucida Sans Unicode"/>
          <w:w w:val="105"/>
        </w:rPr>
        <w:t>not</w:t>
      </w:r>
      <w:r>
        <w:rPr>
          <w:rFonts w:ascii="Lucida Sans Unicode" w:hAnsi="Lucida Sans Unicode"/>
          <w:spacing w:val="-20"/>
          <w:w w:val="105"/>
        </w:rPr>
        <w:t> </w:t>
      </w:r>
      <w:r>
        <w:rPr>
          <w:rFonts w:ascii="Lucida Sans Unicode" w:hAnsi="Lucida Sans Unicode"/>
          <w:w w:val="105"/>
        </w:rPr>
        <w:t>have</w:t>
      </w:r>
      <w:r>
        <w:rPr>
          <w:rFonts w:ascii="Lucida Sans Unicode" w:hAnsi="Lucida Sans Unicode"/>
          <w:spacing w:val="-20"/>
          <w:w w:val="105"/>
        </w:rPr>
        <w:t> </w:t>
      </w:r>
      <w:r>
        <w:rPr>
          <w:rFonts w:ascii="Lucida Sans Unicode" w:hAnsi="Lucida Sans Unicode"/>
          <w:w w:val="105"/>
        </w:rPr>
        <w:t>a</w:t>
      </w:r>
      <w:r>
        <w:rPr>
          <w:rFonts w:ascii="Lucida Sans Unicode" w:hAnsi="Lucida Sans Unicode"/>
          <w:spacing w:val="-20"/>
          <w:w w:val="105"/>
        </w:rPr>
        <w:t> </w:t>
      </w:r>
      <w:r>
        <w:rPr>
          <w:rFonts w:ascii="Lucida Sans Unicode" w:hAnsi="Lucida Sans Unicode"/>
          <w:w w:val="105"/>
        </w:rPr>
        <w:t>clearly</w:t>
      </w:r>
      <w:r>
        <w:rPr>
          <w:rFonts w:ascii="Lucida Sans Unicode" w:hAnsi="Lucida Sans Unicode"/>
          <w:spacing w:val="-20"/>
          <w:w w:val="105"/>
        </w:rPr>
        <w:t> </w:t>
      </w:r>
      <w:r>
        <w:rPr>
          <w:rFonts w:ascii="Lucida Sans Unicode" w:hAnsi="Lucida Sans Unicode"/>
          <w:w w:val="105"/>
        </w:rPr>
        <w:t>defined</w:t>
      </w:r>
      <w:r>
        <w:rPr>
          <w:rFonts w:ascii="Lucida Sans Unicode" w:hAnsi="Lucida Sans Unicode"/>
          <w:spacing w:val="-20"/>
          <w:w w:val="105"/>
        </w:rPr>
        <w:t> </w:t>
      </w:r>
      <w:r>
        <w:rPr>
          <w:rFonts w:ascii="Lucida Sans Unicode" w:hAnsi="Lucida Sans Unicode"/>
          <w:w w:val="105"/>
        </w:rPr>
        <w:t>character </w:t>
      </w:r>
      <w:r>
        <w:rPr>
          <w:w w:val="105"/>
        </w:rPr>
        <w:t>as ‘rights.’ In </w:t>
      </w:r>
      <w:r>
        <w:rPr>
          <w:rFonts w:ascii="Verdana" w:hAnsi="Verdana"/>
          <w:i/>
          <w:w w:val="105"/>
        </w:rPr>
        <w:t>Smith v Meade</w:t>
      </w:r>
      <w:r>
        <w:rPr>
          <w:w w:val="105"/>
        </w:rPr>
        <w:t>, for</w:t>
      </w:r>
    </w:p>
    <w:p>
      <w:pPr>
        <w:pStyle w:val="BodyText"/>
        <w:spacing w:line="268" w:lineRule="auto" w:before="35"/>
        <w:ind w:right="170"/>
      </w:pPr>
      <w:r>
        <w:rPr>
          <w:w w:val="115"/>
        </w:rPr>
        <w:t>instance,</w:t>
      </w:r>
      <w:r>
        <w:rPr>
          <w:spacing w:val="-4"/>
          <w:w w:val="115"/>
        </w:rPr>
        <w:t> </w:t>
      </w:r>
      <w:r>
        <w:rPr>
          <w:w w:val="115"/>
        </w:rPr>
        <w:t>which</w:t>
      </w:r>
      <w:r>
        <w:rPr>
          <w:spacing w:val="-4"/>
          <w:w w:val="115"/>
        </w:rPr>
        <w:t> </w:t>
      </w:r>
      <w:r>
        <w:rPr>
          <w:w w:val="115"/>
        </w:rPr>
        <w:t>concerned</w:t>
      </w:r>
      <w:r>
        <w:rPr>
          <w:spacing w:val="-4"/>
          <w:w w:val="115"/>
        </w:rPr>
        <w:t> </w:t>
      </w:r>
      <w:r>
        <w:rPr>
          <w:w w:val="115"/>
        </w:rPr>
        <w:t>breaches </w:t>
      </w:r>
      <w:r>
        <w:rPr>
          <w:spacing w:val="-2"/>
          <w:w w:val="115"/>
        </w:rPr>
        <w:t>of</w:t>
      </w:r>
      <w:r>
        <w:rPr>
          <w:spacing w:val="-16"/>
          <w:w w:val="115"/>
        </w:rPr>
        <w:t> </w:t>
      </w:r>
      <w:r>
        <w:rPr>
          <w:spacing w:val="-2"/>
          <w:w w:val="115"/>
        </w:rPr>
        <w:t>a</w:t>
      </w:r>
      <w:r>
        <w:rPr>
          <w:spacing w:val="-16"/>
          <w:w w:val="115"/>
        </w:rPr>
        <w:t> </w:t>
      </w:r>
      <w:r>
        <w:rPr>
          <w:spacing w:val="-2"/>
          <w:w w:val="115"/>
        </w:rPr>
        <w:t>directive</w:t>
      </w:r>
      <w:r>
        <w:rPr>
          <w:spacing w:val="-16"/>
          <w:w w:val="115"/>
        </w:rPr>
        <w:t> </w:t>
      </w:r>
      <w:r>
        <w:rPr>
          <w:spacing w:val="-2"/>
          <w:w w:val="115"/>
        </w:rPr>
        <w:t>on</w:t>
      </w:r>
      <w:r>
        <w:rPr>
          <w:spacing w:val="-16"/>
          <w:w w:val="115"/>
        </w:rPr>
        <w:t> </w:t>
      </w:r>
      <w:r>
        <w:rPr>
          <w:spacing w:val="-2"/>
          <w:w w:val="115"/>
        </w:rPr>
        <w:t>insurance</w:t>
      </w:r>
      <w:r>
        <w:rPr>
          <w:spacing w:val="-16"/>
          <w:w w:val="115"/>
        </w:rPr>
        <w:t> </w:t>
      </w:r>
      <w:r>
        <w:rPr>
          <w:spacing w:val="-2"/>
          <w:w w:val="115"/>
        </w:rPr>
        <w:t>conditions, </w:t>
      </w:r>
      <w:r>
        <w:rPr>
          <w:w w:val="115"/>
        </w:rPr>
        <w:t>the CJEU noted that state liability</w:t>
      </w:r>
    </w:p>
    <w:p>
      <w:pPr>
        <w:pStyle w:val="BodyText"/>
        <w:spacing w:line="230" w:lineRule="auto" w:before="12"/>
        <w:ind w:right="116"/>
      </w:pPr>
      <w:r>
        <w:rPr>
          <w:w w:val="110"/>
        </w:rPr>
        <w:t>in damages was the only avenue available to the applicant.</w:t>
      </w:r>
      <w:r>
        <w:rPr>
          <w:rFonts w:ascii="Lucida Sans Unicode"/>
          <w:w w:val="110"/>
          <w:vertAlign w:val="superscript"/>
        </w:rPr>
        <w:t>101</w:t>
      </w:r>
      <w:r>
        <w:rPr>
          <w:rFonts w:ascii="Lucida Sans Unicode"/>
          <w:spacing w:val="-1"/>
          <w:w w:val="110"/>
          <w:vertAlign w:val="baseline"/>
        </w:rPr>
        <w:t> </w:t>
      </w:r>
      <w:r>
        <w:rPr>
          <w:w w:val="110"/>
          <w:vertAlign w:val="baseline"/>
        </w:rPr>
        <w:t>The case was distinguished from situations </w:t>
      </w:r>
      <w:r>
        <w:rPr>
          <w:rFonts w:ascii="Lucida Sans Unicode"/>
          <w:w w:val="110"/>
          <w:vertAlign w:val="baseline"/>
        </w:rPr>
        <w:t>where</w:t>
      </w:r>
      <w:r>
        <w:rPr>
          <w:rFonts w:ascii="Lucida Sans Unicode"/>
          <w:spacing w:val="-21"/>
          <w:w w:val="110"/>
          <w:vertAlign w:val="baseline"/>
        </w:rPr>
        <w:t> </w:t>
      </w:r>
      <w:r>
        <w:rPr>
          <w:rFonts w:ascii="Lucida Sans Unicode"/>
          <w:w w:val="110"/>
          <w:vertAlign w:val="baseline"/>
        </w:rPr>
        <w:t>the</w:t>
      </w:r>
      <w:r>
        <w:rPr>
          <w:rFonts w:ascii="Lucida Sans Unicode"/>
          <w:spacing w:val="-21"/>
          <w:w w:val="110"/>
          <w:vertAlign w:val="baseline"/>
        </w:rPr>
        <w:t> </w:t>
      </w:r>
      <w:r>
        <w:rPr>
          <w:rFonts w:ascii="Lucida Sans Unicode"/>
          <w:w w:val="110"/>
          <w:vertAlign w:val="baseline"/>
        </w:rPr>
        <w:t>directive</w:t>
      </w:r>
      <w:r>
        <w:rPr>
          <w:rFonts w:ascii="Lucida Sans Unicode"/>
          <w:spacing w:val="-21"/>
          <w:w w:val="110"/>
          <w:vertAlign w:val="baseline"/>
        </w:rPr>
        <w:t> </w:t>
      </w:r>
      <w:r>
        <w:rPr>
          <w:rFonts w:ascii="Lucida Sans Unicode"/>
          <w:w w:val="110"/>
          <w:vertAlign w:val="baseline"/>
        </w:rPr>
        <w:t>specifically </w:t>
      </w:r>
      <w:r>
        <w:rPr>
          <w:w w:val="110"/>
          <w:vertAlign w:val="baseline"/>
        </w:rPr>
        <w:t>expressed a Charter provision </w:t>
      </w:r>
      <w:r>
        <w:rPr>
          <w:w w:val="110"/>
          <w:vertAlign w:val="baseline"/>
        </w:rPr>
        <w:t>capable</w:t>
      </w:r>
    </w:p>
    <w:p>
      <w:pPr>
        <w:pStyle w:val="BodyText"/>
        <w:spacing w:line="247" w:lineRule="auto" w:before="38"/>
        <w:ind w:right="170"/>
      </w:pPr>
      <w:r>
        <w:rPr>
          <w:w w:val="110"/>
        </w:rPr>
        <w:t>of enjoying direct effect, such as </w:t>
      </w:r>
      <w:r>
        <w:rPr>
          <w:rFonts w:ascii="Lucida Sans Unicode"/>
          <w:w w:val="110"/>
        </w:rPr>
        <w:t>Article</w:t>
      </w:r>
      <w:r>
        <w:rPr>
          <w:rFonts w:ascii="Lucida Sans Unicode"/>
          <w:spacing w:val="-21"/>
          <w:w w:val="110"/>
        </w:rPr>
        <w:t> </w:t>
      </w:r>
      <w:r>
        <w:rPr>
          <w:rFonts w:ascii="Lucida Sans Unicode"/>
        </w:rPr>
        <w:t>21.</w:t>
      </w:r>
      <w:r>
        <w:rPr>
          <w:rFonts w:ascii="Lucida Sans Unicode"/>
          <w:vertAlign w:val="superscript"/>
        </w:rPr>
        <w:t>102</w:t>
      </w:r>
      <w:r>
        <w:rPr>
          <w:rFonts w:ascii="Lucida Sans Unicode"/>
          <w:spacing w:val="-19"/>
          <w:vertAlign w:val="baseline"/>
        </w:rPr>
        <w:t> </w:t>
      </w:r>
      <w:r>
        <w:rPr>
          <w:w w:val="110"/>
          <w:vertAlign w:val="baseline"/>
        </w:rPr>
        <w:t>Whereas,</w:t>
      </w:r>
      <w:r>
        <w:rPr>
          <w:spacing w:val="-18"/>
          <w:w w:val="110"/>
          <w:vertAlign w:val="baseline"/>
        </w:rPr>
        <w:t> </w:t>
      </w:r>
      <w:r>
        <w:rPr>
          <w:w w:val="110"/>
          <w:vertAlign w:val="baseline"/>
        </w:rPr>
        <w:t>in</w:t>
      </w:r>
      <w:r>
        <w:rPr>
          <w:spacing w:val="-16"/>
          <w:w w:val="110"/>
          <w:vertAlign w:val="baseline"/>
        </w:rPr>
        <w:t> </w:t>
      </w:r>
      <w:r>
        <w:rPr>
          <w:w w:val="110"/>
          <w:vertAlign w:val="baseline"/>
        </w:rPr>
        <w:t>that</w:t>
      </w:r>
      <w:r>
        <w:rPr>
          <w:spacing w:val="-16"/>
          <w:w w:val="110"/>
          <w:vertAlign w:val="baseline"/>
        </w:rPr>
        <w:t> </w:t>
      </w:r>
      <w:r>
        <w:rPr>
          <w:w w:val="110"/>
          <w:vertAlign w:val="baseline"/>
        </w:rPr>
        <w:t>case, consumer protection (covered by </w:t>
      </w:r>
      <w:r>
        <w:rPr>
          <w:rFonts w:ascii="Lucida Sans Unicode"/>
          <w:w w:val="110"/>
          <w:vertAlign w:val="baseline"/>
        </w:rPr>
        <w:t>Article</w:t>
      </w:r>
      <w:r>
        <w:rPr>
          <w:rFonts w:ascii="Lucida Sans Unicode"/>
          <w:spacing w:val="-12"/>
          <w:w w:val="110"/>
          <w:vertAlign w:val="baseline"/>
        </w:rPr>
        <w:t> </w:t>
      </w:r>
      <w:r>
        <w:rPr>
          <w:rFonts w:ascii="Lucida Sans Unicode"/>
          <w:w w:val="110"/>
          <w:vertAlign w:val="baseline"/>
        </w:rPr>
        <w:t>38</w:t>
      </w:r>
      <w:r>
        <w:rPr>
          <w:rFonts w:ascii="Lucida Sans Unicode"/>
          <w:spacing w:val="-12"/>
          <w:w w:val="110"/>
          <w:vertAlign w:val="baseline"/>
        </w:rPr>
        <w:t> </w:t>
      </w:r>
      <w:r>
        <w:rPr>
          <w:rFonts w:ascii="Lucida Sans Unicode"/>
          <w:w w:val="110"/>
          <w:vertAlign w:val="baseline"/>
        </w:rPr>
        <w:t>CFR)</w:t>
      </w:r>
      <w:r>
        <w:rPr>
          <w:rFonts w:ascii="Lucida Sans Unicode"/>
          <w:spacing w:val="-12"/>
          <w:w w:val="110"/>
          <w:vertAlign w:val="baseline"/>
        </w:rPr>
        <w:t> </w:t>
      </w:r>
      <w:r>
        <w:rPr>
          <w:rFonts w:ascii="Lucida Sans Unicode"/>
          <w:w w:val="110"/>
          <w:vertAlign w:val="baseline"/>
        </w:rPr>
        <w:t>was</w:t>
      </w:r>
      <w:r>
        <w:rPr>
          <w:rFonts w:ascii="Lucida Sans Unicode"/>
          <w:spacing w:val="-12"/>
          <w:w w:val="110"/>
          <w:vertAlign w:val="baseline"/>
        </w:rPr>
        <w:t> </w:t>
      </w:r>
      <w:r>
        <w:rPr>
          <w:rFonts w:ascii="Lucida Sans Unicode"/>
          <w:w w:val="110"/>
          <w:vertAlign w:val="baseline"/>
        </w:rPr>
        <w:t>an</w:t>
      </w:r>
      <w:r>
        <w:rPr>
          <w:rFonts w:ascii="Lucida Sans Unicode"/>
          <w:spacing w:val="-12"/>
          <w:w w:val="110"/>
          <w:vertAlign w:val="baseline"/>
        </w:rPr>
        <w:t> </w:t>
      </w:r>
      <w:r>
        <w:rPr>
          <w:rFonts w:ascii="Lucida Sans Unicode"/>
          <w:w w:val="110"/>
          <w:vertAlign w:val="baseline"/>
        </w:rPr>
        <w:t>aim</w:t>
      </w:r>
      <w:r>
        <w:rPr>
          <w:rFonts w:ascii="Lucida Sans Unicode"/>
          <w:spacing w:val="-12"/>
          <w:w w:val="110"/>
          <w:vertAlign w:val="baseline"/>
        </w:rPr>
        <w:t> </w:t>
      </w:r>
      <w:r>
        <w:rPr>
          <w:rFonts w:ascii="Lucida Sans Unicode"/>
          <w:w w:val="110"/>
          <w:vertAlign w:val="baseline"/>
        </w:rPr>
        <w:t>of</w:t>
      </w:r>
      <w:r>
        <w:rPr>
          <w:rFonts w:ascii="Lucida Sans Unicode"/>
          <w:spacing w:val="-12"/>
          <w:w w:val="110"/>
          <w:vertAlign w:val="baseline"/>
        </w:rPr>
        <w:t> </w:t>
      </w:r>
      <w:r>
        <w:rPr>
          <w:rFonts w:ascii="Lucida Sans Unicode"/>
          <w:w w:val="110"/>
          <w:vertAlign w:val="baseline"/>
        </w:rPr>
        <w:t>the </w:t>
      </w:r>
      <w:r>
        <w:rPr>
          <w:w w:val="110"/>
          <w:vertAlign w:val="baseline"/>
        </w:rPr>
        <w:t>directive, that Charter provision is a principle, and does not enjoy direct effect. It is possible that state liability will</w:t>
      </w:r>
      <w:r>
        <w:rPr>
          <w:spacing w:val="28"/>
          <w:w w:val="110"/>
          <w:vertAlign w:val="baseline"/>
        </w:rPr>
        <w:t> </w:t>
      </w:r>
      <w:r>
        <w:rPr>
          <w:w w:val="110"/>
          <w:vertAlign w:val="baseline"/>
        </w:rPr>
        <w:t>therefore</w:t>
      </w:r>
      <w:r>
        <w:rPr>
          <w:spacing w:val="28"/>
          <w:w w:val="110"/>
          <w:vertAlign w:val="baseline"/>
        </w:rPr>
        <w:t> </w:t>
      </w:r>
      <w:r>
        <w:rPr>
          <w:w w:val="110"/>
          <w:vertAlign w:val="baseline"/>
        </w:rPr>
        <w:t>retain</w:t>
      </w:r>
      <w:r>
        <w:rPr>
          <w:spacing w:val="29"/>
          <w:w w:val="110"/>
          <w:vertAlign w:val="baseline"/>
        </w:rPr>
        <w:t> </w:t>
      </w:r>
      <w:r>
        <w:rPr>
          <w:w w:val="110"/>
          <w:vertAlign w:val="baseline"/>
        </w:rPr>
        <w:t>an</w:t>
      </w:r>
      <w:r>
        <w:rPr>
          <w:spacing w:val="28"/>
          <w:w w:val="110"/>
          <w:vertAlign w:val="baseline"/>
        </w:rPr>
        <w:t> </w:t>
      </w:r>
      <w:r>
        <w:rPr>
          <w:w w:val="110"/>
          <w:vertAlign w:val="baseline"/>
        </w:rPr>
        <w:t>important</w:t>
      </w:r>
      <w:r>
        <w:rPr>
          <w:spacing w:val="29"/>
          <w:w w:val="110"/>
          <w:vertAlign w:val="baseline"/>
        </w:rPr>
        <w:t> </w:t>
      </w:r>
      <w:r>
        <w:rPr>
          <w:spacing w:val="-4"/>
          <w:w w:val="110"/>
          <w:vertAlign w:val="baseline"/>
        </w:rPr>
        <w:t>role</w:t>
      </w:r>
    </w:p>
    <w:p>
      <w:pPr>
        <w:spacing w:after="0" w:line="247" w:lineRule="auto"/>
        <w:sectPr>
          <w:type w:val="continuous"/>
          <w:pgSz w:w="11910" w:h="16840"/>
          <w:pgMar w:header="568" w:footer="580" w:top="0" w:bottom="280" w:left="1020" w:right="1020"/>
          <w:cols w:num="2" w:equalWidth="0">
            <w:col w:w="4656" w:space="389"/>
            <w:col w:w="4825"/>
          </w:cols>
        </w:sectPr>
      </w:pPr>
    </w:p>
    <w:p>
      <w:pPr>
        <w:pStyle w:val="BodyText"/>
        <w:spacing w:before="81"/>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91" name="Group 91"/>
                <wp:cNvGraphicFramePr>
                  <a:graphicFrameLocks/>
                </wp:cNvGraphicFramePr>
                <a:graphic>
                  <a:graphicData uri="http://schemas.microsoft.com/office/word/2010/wordprocessingGroup">
                    <wpg:wgp>
                      <wpg:cNvPr id="91" name="Group 91"/>
                      <wpg:cNvGrpSpPr/>
                      <wpg:grpSpPr>
                        <a:xfrm>
                          <a:off x="0" y="0"/>
                          <a:ext cx="6120130" cy="6350"/>
                          <a:chExt cx="6120130" cy="6350"/>
                        </a:xfrm>
                      </wpg:grpSpPr>
                      <wps:wsp>
                        <wps:cNvPr id="92" name="Graphic 92"/>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64"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7" w:val="left" w:leader="none"/>
        </w:tabs>
        <w:spacing w:line="194" w:lineRule="auto" w:before="94" w:after="0"/>
        <w:ind w:left="567" w:right="464" w:hanging="454"/>
        <w:jc w:val="left"/>
        <w:rPr>
          <w:rFonts w:ascii="Arial" w:hAnsi="Arial"/>
          <w:sz w:val="16"/>
        </w:rPr>
      </w:pPr>
      <w:r>
        <w:rPr>
          <w:sz w:val="16"/>
        </w:rPr>
        <w:t>Eleni Frantziou, ‘The Horizontal Effect of the Charter: Towards an Understanding of Horizontality as a Structural Constitutional Principle’ (2020) 22 </w:t>
      </w:r>
      <w:r>
        <w:rPr>
          <w:rFonts w:ascii="Verdana" w:hAnsi="Verdana"/>
          <w:i/>
          <w:sz w:val="16"/>
        </w:rPr>
        <w:t>Cambridge Yearbook of European Legal Studies </w:t>
      </w:r>
      <w:r>
        <w:rPr>
          <w:sz w:val="16"/>
        </w:rPr>
        <w:t>208, 222.</w:t>
      </w:r>
    </w:p>
    <w:p>
      <w:pPr>
        <w:pStyle w:val="ListParagraph"/>
        <w:numPr>
          <w:ilvl w:val="0"/>
          <w:numId w:val="6"/>
        </w:numPr>
        <w:tabs>
          <w:tab w:pos="565" w:val="left" w:leader="none"/>
        </w:tabs>
        <w:spacing w:line="191" w:lineRule="exact" w:before="0" w:after="0"/>
        <w:ind w:left="565" w:right="0" w:hanging="452"/>
        <w:jc w:val="left"/>
        <w:rPr>
          <w:sz w:val="16"/>
        </w:rPr>
      </w:pPr>
      <w:r>
        <w:rPr>
          <w:rFonts w:ascii="Verdana"/>
          <w:i/>
          <w:sz w:val="16"/>
        </w:rPr>
        <w:t>Braathens</w:t>
      </w:r>
      <w:r>
        <w:rPr>
          <w:rFonts w:ascii="Verdana"/>
          <w:i/>
          <w:spacing w:val="-13"/>
          <w:sz w:val="16"/>
        </w:rPr>
        <w:t> </w:t>
      </w:r>
      <w:r>
        <w:rPr>
          <w:sz w:val="16"/>
        </w:rPr>
        <w:t>(n</w:t>
      </w:r>
      <w:r>
        <w:rPr>
          <w:spacing w:val="-7"/>
          <w:sz w:val="16"/>
        </w:rPr>
        <w:t> </w:t>
      </w:r>
      <w:r>
        <w:rPr>
          <w:spacing w:val="-4"/>
          <w:sz w:val="16"/>
        </w:rPr>
        <w:t>90).</w:t>
      </w:r>
    </w:p>
    <w:p>
      <w:pPr>
        <w:pStyle w:val="ListParagraph"/>
        <w:numPr>
          <w:ilvl w:val="0"/>
          <w:numId w:val="6"/>
        </w:numPr>
        <w:tabs>
          <w:tab w:pos="567" w:val="left" w:leader="none"/>
        </w:tabs>
        <w:spacing w:line="200" w:lineRule="exact" w:before="0" w:after="0"/>
        <w:ind w:left="567" w:right="0" w:hanging="454"/>
        <w:jc w:val="left"/>
        <w:rPr>
          <w:sz w:val="16"/>
        </w:rPr>
      </w:pPr>
      <w:r>
        <w:rPr>
          <w:rFonts w:ascii="Verdana"/>
          <w:i/>
          <w:w w:val="105"/>
          <w:sz w:val="16"/>
        </w:rPr>
        <w:t>Smith</w:t>
      </w:r>
      <w:r>
        <w:rPr>
          <w:rFonts w:ascii="Verdana"/>
          <w:i/>
          <w:spacing w:val="-15"/>
          <w:w w:val="105"/>
          <w:sz w:val="16"/>
        </w:rPr>
        <w:t> </w:t>
      </w:r>
      <w:r>
        <w:rPr>
          <w:rFonts w:ascii="Verdana"/>
          <w:i/>
          <w:w w:val="105"/>
          <w:sz w:val="16"/>
        </w:rPr>
        <w:t>v</w:t>
      </w:r>
      <w:r>
        <w:rPr>
          <w:rFonts w:ascii="Verdana"/>
          <w:i/>
          <w:spacing w:val="-15"/>
          <w:w w:val="105"/>
          <w:sz w:val="16"/>
        </w:rPr>
        <w:t> </w:t>
      </w:r>
      <w:r>
        <w:rPr>
          <w:rFonts w:ascii="Verdana"/>
          <w:i/>
          <w:w w:val="105"/>
          <w:sz w:val="16"/>
        </w:rPr>
        <w:t>Meade</w:t>
      </w:r>
      <w:r>
        <w:rPr>
          <w:rFonts w:ascii="Verdana"/>
          <w:i/>
          <w:spacing w:val="-15"/>
          <w:w w:val="105"/>
          <w:sz w:val="16"/>
        </w:rPr>
        <w:t> </w:t>
      </w:r>
      <w:r>
        <w:rPr>
          <w:rFonts w:ascii="Arial"/>
          <w:w w:val="105"/>
          <w:sz w:val="16"/>
        </w:rPr>
        <w:t>(n</w:t>
      </w:r>
      <w:r>
        <w:rPr>
          <w:rFonts w:ascii="Arial"/>
          <w:spacing w:val="-11"/>
          <w:w w:val="105"/>
          <w:sz w:val="16"/>
        </w:rPr>
        <w:t> </w:t>
      </w:r>
      <w:r>
        <w:rPr>
          <w:rFonts w:ascii="Arial"/>
          <w:w w:val="105"/>
          <w:sz w:val="16"/>
        </w:rPr>
        <w:t>79),</w:t>
      </w:r>
      <w:r>
        <w:rPr>
          <w:rFonts w:ascii="Arial"/>
          <w:spacing w:val="-4"/>
          <w:w w:val="105"/>
          <w:sz w:val="16"/>
        </w:rPr>
        <w:t> </w:t>
      </w:r>
      <w:r>
        <w:rPr>
          <w:rFonts w:ascii="Arial"/>
          <w:w w:val="105"/>
          <w:sz w:val="16"/>
        </w:rPr>
        <w:t>para</w:t>
      </w:r>
      <w:r>
        <w:rPr>
          <w:rFonts w:ascii="Arial"/>
          <w:spacing w:val="-5"/>
          <w:w w:val="105"/>
          <w:sz w:val="16"/>
        </w:rPr>
        <w:t> 56.</w:t>
      </w:r>
    </w:p>
    <w:p>
      <w:pPr>
        <w:pStyle w:val="ListParagraph"/>
        <w:numPr>
          <w:ilvl w:val="0"/>
          <w:numId w:val="6"/>
        </w:numPr>
        <w:tabs>
          <w:tab w:pos="566" w:val="left" w:leader="none"/>
        </w:tabs>
        <w:spacing w:line="223" w:lineRule="exact" w:before="0" w:after="0"/>
        <w:ind w:left="566" w:right="0" w:hanging="453"/>
        <w:jc w:val="left"/>
        <w:rPr>
          <w:sz w:val="16"/>
        </w:rPr>
      </w:pPr>
      <w:r>
        <w:rPr>
          <w:rFonts w:ascii="Verdana"/>
          <w:i/>
          <w:sz w:val="16"/>
        </w:rPr>
        <w:t>Ibid</w:t>
      </w:r>
      <w:r>
        <w:rPr>
          <w:sz w:val="16"/>
        </w:rPr>
        <w:t>,</w:t>
      </w:r>
      <w:r>
        <w:rPr>
          <w:spacing w:val="-12"/>
          <w:sz w:val="16"/>
        </w:rPr>
        <w:t> </w:t>
      </w:r>
      <w:r>
        <w:rPr>
          <w:sz w:val="16"/>
        </w:rPr>
        <w:t>para</w:t>
      </w:r>
      <w:r>
        <w:rPr>
          <w:spacing w:val="-11"/>
          <w:sz w:val="16"/>
        </w:rPr>
        <w:t> </w:t>
      </w:r>
      <w:r>
        <w:rPr>
          <w:spacing w:val="-5"/>
          <w:sz w:val="16"/>
        </w:rPr>
        <w:t>47.</w:t>
      </w:r>
    </w:p>
    <w:p>
      <w:pPr>
        <w:spacing w:after="0" w:line="223" w:lineRule="exact"/>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268" w:lineRule="auto" w:before="72"/>
        <w:ind w:right="30"/>
      </w:pPr>
      <w:r>
        <w:rPr>
          <w:w w:val="115"/>
        </w:rPr>
        <w:t>as a fundamental rights remedy for violations</w:t>
      </w:r>
      <w:r>
        <w:rPr>
          <w:spacing w:val="-15"/>
          <w:w w:val="115"/>
        </w:rPr>
        <w:t> </w:t>
      </w:r>
      <w:r>
        <w:rPr>
          <w:w w:val="115"/>
        </w:rPr>
        <w:t>of</w:t>
      </w:r>
      <w:r>
        <w:rPr>
          <w:spacing w:val="-15"/>
          <w:w w:val="115"/>
        </w:rPr>
        <w:t> </w:t>
      </w:r>
      <w:r>
        <w:rPr>
          <w:w w:val="115"/>
        </w:rPr>
        <w:t>EU</w:t>
      </w:r>
      <w:r>
        <w:rPr>
          <w:spacing w:val="-15"/>
          <w:w w:val="115"/>
        </w:rPr>
        <w:t> </w:t>
      </w:r>
      <w:r>
        <w:rPr>
          <w:w w:val="115"/>
        </w:rPr>
        <w:t>law</w:t>
      </w:r>
      <w:r>
        <w:rPr>
          <w:spacing w:val="-15"/>
          <w:w w:val="115"/>
        </w:rPr>
        <w:t> </w:t>
      </w:r>
      <w:r>
        <w:rPr>
          <w:w w:val="115"/>
        </w:rPr>
        <w:t>that</w:t>
      </w:r>
      <w:r>
        <w:rPr>
          <w:spacing w:val="-15"/>
          <w:w w:val="115"/>
        </w:rPr>
        <w:t> </w:t>
      </w:r>
      <w:r>
        <w:rPr>
          <w:w w:val="115"/>
        </w:rPr>
        <w:t>relate</w:t>
      </w:r>
      <w:r>
        <w:rPr>
          <w:spacing w:val="-15"/>
          <w:w w:val="115"/>
        </w:rPr>
        <w:t> </w:t>
      </w:r>
      <w:r>
        <w:rPr>
          <w:w w:val="115"/>
        </w:rPr>
        <w:t>to</w:t>
      </w:r>
      <w:r>
        <w:rPr>
          <w:spacing w:val="-15"/>
          <w:w w:val="115"/>
        </w:rPr>
        <w:t> </w:t>
      </w:r>
      <w:r>
        <w:rPr>
          <w:w w:val="115"/>
        </w:rPr>
        <w:t>non- directly effective provisions of the Charter further detailed in secondary </w:t>
      </w:r>
      <w:r>
        <w:rPr>
          <w:spacing w:val="-2"/>
          <w:w w:val="115"/>
        </w:rPr>
        <w:t>legislation.</w:t>
      </w:r>
    </w:p>
    <w:p>
      <w:pPr>
        <w:pStyle w:val="BodyText"/>
        <w:spacing w:before="6"/>
        <w:ind w:left="0"/>
      </w:pPr>
    </w:p>
    <w:p>
      <w:pPr>
        <w:pStyle w:val="BodyText"/>
        <w:spacing w:line="310" w:lineRule="exact"/>
        <w:ind w:right="84"/>
      </w:pPr>
      <w:r>
        <w:rPr>
          <w:rFonts w:ascii="Lucida Sans Unicode" w:hAnsi="Lucida Sans Unicode"/>
        </w:rPr>
        <w:t>Secondly, and perhaps more </w:t>
      </w:r>
      <w:r>
        <w:rPr>
          <w:w w:val="110"/>
        </w:rPr>
        <w:t>importantly, state liability in damages should not only be viewed as relevant to the Charter as a remedy directly addressing violations of fundamental rights – a function that has less relevance due to the expansive use of </w:t>
      </w:r>
      <w:r>
        <w:rPr>
          <w:rFonts w:ascii="Lucida Sans Unicode" w:hAnsi="Lucida Sans Unicode"/>
        </w:rPr>
        <w:t>Article 47 CFR by the CJEU. Rather, the </w:t>
      </w:r>
      <w:r>
        <w:rPr>
          <w:w w:val="110"/>
        </w:rPr>
        <w:t>most likely use of state liability is by a private violator of a fundamental right, such as a private employer who has been forced to pay out compensation</w:t>
      </w:r>
      <w:r>
        <w:rPr>
          <w:spacing w:val="40"/>
          <w:w w:val="110"/>
        </w:rPr>
        <w:t> </w:t>
      </w:r>
      <w:r>
        <w:rPr>
          <w:w w:val="110"/>
        </w:rPr>
        <w:t>in litigation on one of the substantive provisions through direct effect.</w:t>
      </w:r>
    </w:p>
    <w:p>
      <w:pPr>
        <w:pStyle w:val="BodyText"/>
        <w:spacing w:line="310" w:lineRule="exact"/>
        <w:ind w:right="196"/>
      </w:pPr>
      <w:r>
        <w:rPr>
          <w:rFonts w:ascii="Lucida Sans Unicode"/>
        </w:rPr>
        <w:t>State liability in damages would thus </w:t>
      </w:r>
      <w:r>
        <w:rPr>
          <w:w w:val="110"/>
        </w:rPr>
        <w:t>permit a private actor to recover any losses that they incurred because they followed a seriously erroneous</w:t>
      </w:r>
      <w:r>
        <w:rPr>
          <w:spacing w:val="40"/>
          <w:w w:val="110"/>
        </w:rPr>
        <w:t> </w:t>
      </w:r>
      <w:r>
        <w:rPr>
          <w:w w:val="110"/>
        </w:rPr>
        <w:t>or incomplete implementation of EU law</w:t>
      </w:r>
      <w:r>
        <w:rPr>
          <w:spacing w:val="-7"/>
          <w:w w:val="110"/>
        </w:rPr>
        <w:t> </w:t>
      </w:r>
      <w:r>
        <w:rPr>
          <w:w w:val="110"/>
        </w:rPr>
        <w:t>in</w:t>
      </w:r>
      <w:r>
        <w:rPr>
          <w:spacing w:val="-7"/>
          <w:w w:val="110"/>
        </w:rPr>
        <w:t> </w:t>
      </w:r>
      <w:r>
        <w:rPr>
          <w:w w:val="110"/>
        </w:rPr>
        <w:t>domestic</w:t>
      </w:r>
      <w:r>
        <w:rPr>
          <w:spacing w:val="-7"/>
          <w:w w:val="110"/>
        </w:rPr>
        <w:t> </w:t>
      </w:r>
      <w:r>
        <w:rPr>
          <w:w w:val="110"/>
        </w:rPr>
        <w:t>legislation</w:t>
      </w:r>
      <w:r>
        <w:rPr>
          <w:spacing w:val="-7"/>
          <w:w w:val="110"/>
        </w:rPr>
        <w:t> </w:t>
      </w:r>
      <w:r>
        <w:rPr>
          <w:w w:val="110"/>
        </w:rPr>
        <w:t>or</w:t>
      </w:r>
      <w:r>
        <w:rPr>
          <w:spacing w:val="-7"/>
          <w:w w:val="110"/>
        </w:rPr>
        <w:t> </w:t>
      </w:r>
      <w:r>
        <w:rPr>
          <w:w w:val="110"/>
        </w:rPr>
        <w:t>because no such legislation was in place.</w:t>
      </w:r>
    </w:p>
    <w:p>
      <w:pPr>
        <w:pStyle w:val="BodyText"/>
        <w:spacing w:line="310" w:lineRule="exact"/>
        <w:ind w:right="208"/>
      </w:pPr>
      <w:r>
        <w:rPr>
          <w:w w:val="110"/>
        </w:rPr>
        <w:t>The possibility of relying on state liability in this manner for violations</w:t>
      </w:r>
      <w:r>
        <w:rPr>
          <w:spacing w:val="80"/>
          <w:w w:val="110"/>
        </w:rPr>
        <w:t> </w:t>
      </w:r>
      <w:r>
        <w:rPr>
          <w:rFonts w:ascii="Lucida Sans Unicode"/>
        </w:rPr>
        <w:t>of</w:t>
      </w:r>
      <w:r>
        <w:rPr>
          <w:rFonts w:ascii="Lucida Sans Unicode"/>
          <w:spacing w:val="-11"/>
        </w:rPr>
        <w:t> </w:t>
      </w:r>
      <w:r>
        <w:rPr>
          <w:rFonts w:ascii="Lucida Sans Unicode"/>
        </w:rPr>
        <w:t>the</w:t>
      </w:r>
      <w:r>
        <w:rPr>
          <w:rFonts w:ascii="Lucida Sans Unicode"/>
          <w:spacing w:val="-11"/>
        </w:rPr>
        <w:t> </w:t>
      </w:r>
      <w:r>
        <w:rPr>
          <w:rFonts w:ascii="Lucida Sans Unicode"/>
        </w:rPr>
        <w:t>Charter</w:t>
      </w:r>
      <w:r>
        <w:rPr>
          <w:rFonts w:ascii="Lucida Sans Unicode"/>
          <w:spacing w:val="-11"/>
        </w:rPr>
        <w:t> </w:t>
      </w:r>
      <w:r>
        <w:rPr>
          <w:rFonts w:ascii="Lucida Sans Unicode"/>
        </w:rPr>
        <w:t>was</w:t>
      </w:r>
      <w:r>
        <w:rPr>
          <w:rFonts w:ascii="Lucida Sans Unicode"/>
          <w:spacing w:val="-11"/>
        </w:rPr>
        <w:t> </w:t>
      </w:r>
      <w:r>
        <w:rPr>
          <w:rFonts w:ascii="Lucida Sans Unicode"/>
        </w:rPr>
        <w:t>affirmed</w:t>
      </w:r>
      <w:r>
        <w:rPr>
          <w:rFonts w:ascii="Lucida Sans Unicode"/>
          <w:spacing w:val="-11"/>
        </w:rPr>
        <w:t> </w:t>
      </w:r>
      <w:r>
        <w:rPr>
          <w:rFonts w:ascii="Lucida Sans Unicode"/>
        </w:rPr>
        <w:t>in</w:t>
      </w:r>
      <w:r>
        <w:rPr>
          <w:rFonts w:ascii="Lucida Sans Unicode"/>
          <w:spacing w:val="-11"/>
        </w:rPr>
        <w:t> </w:t>
      </w:r>
      <w:r>
        <w:rPr>
          <w:rFonts w:ascii="Verdana"/>
          <w:i/>
        </w:rPr>
        <w:t>Cresco</w:t>
      </w:r>
      <w:r>
        <w:rPr/>
        <w:t>, </w:t>
      </w:r>
      <w:r>
        <w:rPr>
          <w:w w:val="110"/>
        </w:rPr>
        <w:t>where the CJEU highlighted that the </w:t>
      </w:r>
      <w:r>
        <w:rPr>
          <w:rFonts w:ascii="Lucida Sans Unicode"/>
        </w:rPr>
        <w:t>findings of breach of Article 21 CFR </w:t>
      </w:r>
      <w:r>
        <w:rPr>
          <w:w w:val="110"/>
        </w:rPr>
        <w:t>by a private employer in line with the direct effect principle did not, at the</w:t>
      </w:r>
    </w:p>
    <w:p>
      <w:pPr>
        <w:pStyle w:val="BodyText"/>
        <w:spacing w:line="268" w:lineRule="auto" w:before="23"/>
        <w:ind w:right="30"/>
      </w:pPr>
      <w:r>
        <w:rPr>
          <w:w w:val="110"/>
        </w:rPr>
        <w:t>same time, prevent that employer from subsequently seeking to recover the cost of the compensation they had had to pay, considering they had relied on legislation that itself set out a series</w:t>
      </w:r>
    </w:p>
    <w:p>
      <w:pPr>
        <w:pStyle w:val="BodyText"/>
        <w:spacing w:line="268" w:lineRule="auto" w:before="4"/>
        <w:ind w:right="159"/>
      </w:pPr>
      <w:r>
        <w:rPr>
          <w:w w:val="110"/>
        </w:rPr>
        <w:t>of</w:t>
      </w:r>
      <w:r>
        <w:rPr>
          <w:spacing w:val="-2"/>
          <w:w w:val="110"/>
        </w:rPr>
        <w:t> </w:t>
      </w:r>
      <w:r>
        <w:rPr>
          <w:w w:val="110"/>
        </w:rPr>
        <w:t>CFR-incompatible</w:t>
      </w:r>
      <w:r>
        <w:rPr>
          <w:spacing w:val="-2"/>
          <w:w w:val="110"/>
        </w:rPr>
        <w:t> </w:t>
      </w:r>
      <w:r>
        <w:rPr>
          <w:w w:val="110"/>
        </w:rPr>
        <w:t>exemptions</w:t>
      </w:r>
      <w:r>
        <w:rPr>
          <w:spacing w:val="-2"/>
          <w:w w:val="110"/>
        </w:rPr>
        <w:t> </w:t>
      </w:r>
      <w:r>
        <w:rPr>
          <w:w w:val="110"/>
        </w:rPr>
        <w:t>from the principle of non-discrimination on grounds of religious belief.</w:t>
      </w:r>
    </w:p>
    <w:p>
      <w:pPr>
        <w:pStyle w:val="BodyText"/>
        <w:spacing w:line="310" w:lineRule="exact" w:before="49"/>
        <w:ind w:right="122"/>
        <w:rPr>
          <w:rFonts w:ascii="Lucida Sans Unicode"/>
        </w:rPr>
      </w:pPr>
      <w:r>
        <w:rPr/>
        <w:br w:type="column"/>
      </w:r>
      <w:r>
        <w:rPr>
          <w:w w:val="110"/>
        </w:rPr>
        <w:t>Finally, it is important to remember</w:t>
      </w:r>
      <w:r>
        <w:rPr>
          <w:spacing w:val="80"/>
          <w:w w:val="110"/>
        </w:rPr>
        <w:t> </w:t>
      </w:r>
      <w:r>
        <w:rPr>
          <w:w w:val="110"/>
        </w:rPr>
        <w:t>that state liability in damages is</w:t>
      </w:r>
      <w:r>
        <w:rPr>
          <w:spacing w:val="80"/>
          <w:w w:val="150"/>
        </w:rPr>
        <w:t> </w:t>
      </w:r>
      <w:r>
        <w:rPr>
          <w:w w:val="110"/>
        </w:rPr>
        <w:t>usually assessed at the national level.</w:t>
      </w:r>
      <w:r>
        <w:rPr>
          <w:rFonts w:ascii="Lucida Sans Unicode"/>
          <w:w w:val="110"/>
          <w:vertAlign w:val="superscript"/>
        </w:rPr>
        <w:t>103</w:t>
      </w:r>
      <w:r>
        <w:rPr>
          <w:rFonts w:ascii="Lucida Sans Unicode"/>
          <w:spacing w:val="-6"/>
          <w:w w:val="110"/>
          <w:vertAlign w:val="baseline"/>
        </w:rPr>
        <w:t> </w:t>
      </w:r>
      <w:r>
        <w:rPr>
          <w:w w:val="110"/>
          <w:vertAlign w:val="baseline"/>
        </w:rPr>
        <w:t>As such, the relative absence of state liability case law under the Charter at the EU level should not be understood as denying the possibility</w:t>
      </w:r>
      <w:r>
        <w:rPr>
          <w:spacing w:val="40"/>
          <w:w w:val="110"/>
          <w:vertAlign w:val="baseline"/>
        </w:rPr>
        <w:t> </w:t>
      </w:r>
      <w:r>
        <w:rPr>
          <w:w w:val="110"/>
          <w:vertAlign w:val="baseline"/>
        </w:rPr>
        <w:t>of state liability altogether. As </w:t>
      </w:r>
      <w:r>
        <w:rPr>
          <w:w w:val="110"/>
          <w:vertAlign w:val="baseline"/>
        </w:rPr>
        <w:t>Chapter </w:t>
      </w:r>
      <w:r>
        <w:rPr>
          <w:rFonts w:ascii="Lucida Sans Unicode"/>
          <w:vertAlign w:val="baseline"/>
        </w:rPr>
        <w:t>4 goes on to show, in the UK, EU state </w:t>
      </w:r>
      <w:r>
        <w:rPr>
          <w:w w:val="110"/>
          <w:vertAlign w:val="baseline"/>
        </w:rPr>
        <w:t>liability has been applied occasionally by</w:t>
      </w:r>
      <w:r>
        <w:rPr>
          <w:spacing w:val="40"/>
          <w:w w:val="110"/>
          <w:vertAlign w:val="baseline"/>
        </w:rPr>
        <w:t> </w:t>
      </w:r>
      <w:r>
        <w:rPr>
          <w:w w:val="110"/>
          <w:vertAlign w:val="baseline"/>
        </w:rPr>
        <w:t>domestic</w:t>
      </w:r>
      <w:r>
        <w:rPr>
          <w:spacing w:val="40"/>
          <w:w w:val="110"/>
          <w:vertAlign w:val="baseline"/>
        </w:rPr>
        <w:t> </w:t>
      </w:r>
      <w:r>
        <w:rPr>
          <w:w w:val="110"/>
          <w:vertAlign w:val="baseline"/>
        </w:rPr>
        <w:t>courts</w:t>
      </w:r>
      <w:r>
        <w:rPr>
          <w:spacing w:val="40"/>
          <w:w w:val="110"/>
          <w:vertAlign w:val="baseline"/>
        </w:rPr>
        <w:t> </w:t>
      </w:r>
      <w:r>
        <w:rPr>
          <w:w w:val="110"/>
          <w:vertAlign w:val="baseline"/>
        </w:rPr>
        <w:t>including,</w:t>
      </w:r>
      <w:r>
        <w:rPr>
          <w:spacing w:val="40"/>
          <w:w w:val="110"/>
          <w:vertAlign w:val="baseline"/>
        </w:rPr>
        <w:t> </w:t>
      </w:r>
      <w:r>
        <w:rPr>
          <w:w w:val="110"/>
          <w:vertAlign w:val="baseline"/>
        </w:rPr>
        <w:t>in certain cases, after Brexit.</w:t>
      </w:r>
      <w:r>
        <w:rPr>
          <w:rFonts w:ascii="Lucida Sans Unicode"/>
          <w:w w:val="110"/>
          <w:vertAlign w:val="superscript"/>
        </w:rPr>
        <w:t>104</w:t>
      </w:r>
    </w:p>
    <w:p>
      <w:pPr>
        <w:pStyle w:val="BodyText"/>
        <w:spacing w:line="268" w:lineRule="auto" w:before="323"/>
        <w:ind w:right="317"/>
      </w:pPr>
      <w:r>
        <w:rPr>
          <w:w w:val="115"/>
        </w:rPr>
        <w:t>In short, then, where the scope of the Charter is engaged, domestic courts must consider the ways through which EU law might give rise</w:t>
      </w:r>
      <w:r>
        <w:rPr>
          <w:spacing w:val="-18"/>
          <w:w w:val="115"/>
        </w:rPr>
        <w:t> </w:t>
      </w:r>
      <w:r>
        <w:rPr>
          <w:w w:val="115"/>
        </w:rPr>
        <w:t>to</w:t>
      </w:r>
      <w:r>
        <w:rPr>
          <w:spacing w:val="-18"/>
          <w:w w:val="115"/>
        </w:rPr>
        <w:t> </w:t>
      </w:r>
      <w:r>
        <w:rPr>
          <w:w w:val="115"/>
        </w:rPr>
        <w:t>reparation</w:t>
      </w:r>
      <w:r>
        <w:rPr>
          <w:spacing w:val="-18"/>
          <w:w w:val="115"/>
        </w:rPr>
        <w:t> </w:t>
      </w:r>
      <w:r>
        <w:rPr>
          <w:w w:val="115"/>
        </w:rPr>
        <w:t>in</w:t>
      </w:r>
      <w:r>
        <w:rPr>
          <w:spacing w:val="-18"/>
          <w:w w:val="115"/>
        </w:rPr>
        <w:t> </w:t>
      </w:r>
      <w:r>
        <w:rPr>
          <w:w w:val="115"/>
        </w:rPr>
        <w:t>domestic</w:t>
      </w:r>
      <w:r>
        <w:rPr>
          <w:spacing w:val="-18"/>
          <w:w w:val="115"/>
        </w:rPr>
        <w:t> </w:t>
      </w:r>
      <w:r>
        <w:rPr>
          <w:w w:val="115"/>
        </w:rPr>
        <w:t>law:</w:t>
      </w:r>
      <w:r>
        <w:rPr>
          <w:spacing w:val="-18"/>
          <w:w w:val="115"/>
        </w:rPr>
        <w:t> </w:t>
      </w:r>
      <w:r>
        <w:rPr>
          <w:w w:val="115"/>
        </w:rPr>
        <w:t>if the</w:t>
      </w:r>
      <w:r>
        <w:rPr>
          <w:spacing w:val="-7"/>
          <w:w w:val="115"/>
        </w:rPr>
        <w:t> </w:t>
      </w:r>
      <w:r>
        <w:rPr>
          <w:w w:val="115"/>
        </w:rPr>
        <w:t>right</w:t>
      </w:r>
      <w:r>
        <w:rPr>
          <w:spacing w:val="-6"/>
          <w:w w:val="115"/>
        </w:rPr>
        <w:t> </w:t>
      </w:r>
      <w:r>
        <w:rPr>
          <w:w w:val="115"/>
        </w:rPr>
        <w:t>is</w:t>
      </w:r>
      <w:r>
        <w:rPr>
          <w:spacing w:val="-6"/>
          <w:w w:val="115"/>
        </w:rPr>
        <w:t> </w:t>
      </w:r>
      <w:r>
        <w:rPr>
          <w:w w:val="115"/>
        </w:rPr>
        <w:t>directly</w:t>
      </w:r>
      <w:r>
        <w:rPr>
          <w:spacing w:val="-7"/>
          <w:w w:val="115"/>
        </w:rPr>
        <w:t> </w:t>
      </w:r>
      <w:r>
        <w:rPr>
          <w:w w:val="115"/>
        </w:rPr>
        <w:t>effective,</w:t>
      </w:r>
      <w:r>
        <w:rPr>
          <w:spacing w:val="-6"/>
          <w:w w:val="115"/>
        </w:rPr>
        <w:t> </w:t>
      </w:r>
      <w:r>
        <w:rPr>
          <w:w w:val="115"/>
        </w:rPr>
        <w:t>then</w:t>
      </w:r>
      <w:r>
        <w:rPr>
          <w:spacing w:val="-6"/>
          <w:w w:val="115"/>
        </w:rPr>
        <w:t> </w:t>
      </w:r>
      <w:r>
        <w:rPr>
          <w:spacing w:val="-5"/>
          <w:w w:val="115"/>
        </w:rPr>
        <w:t>it</w:t>
      </w:r>
    </w:p>
    <w:p>
      <w:pPr>
        <w:pStyle w:val="BodyText"/>
        <w:spacing w:line="268" w:lineRule="auto" w:before="5"/>
        <w:ind w:right="147"/>
      </w:pPr>
      <w:r>
        <w:rPr>
          <w:w w:val="115"/>
        </w:rPr>
        <w:t>attracts the full protective panoply of consistent</w:t>
      </w:r>
      <w:r>
        <w:rPr>
          <w:spacing w:val="-9"/>
          <w:w w:val="115"/>
        </w:rPr>
        <w:t> </w:t>
      </w:r>
      <w:r>
        <w:rPr>
          <w:w w:val="115"/>
        </w:rPr>
        <w:t>interpretation,</w:t>
      </w:r>
      <w:r>
        <w:rPr>
          <w:spacing w:val="-9"/>
          <w:w w:val="115"/>
        </w:rPr>
        <w:t> </w:t>
      </w:r>
      <w:r>
        <w:rPr>
          <w:w w:val="115"/>
        </w:rPr>
        <w:t>direct</w:t>
      </w:r>
      <w:r>
        <w:rPr>
          <w:spacing w:val="-9"/>
          <w:w w:val="115"/>
        </w:rPr>
        <w:t> </w:t>
      </w:r>
      <w:r>
        <w:rPr>
          <w:w w:val="115"/>
        </w:rPr>
        <w:t>effect – if necessary through disapplication of</w:t>
      </w:r>
      <w:r>
        <w:rPr>
          <w:spacing w:val="-20"/>
          <w:w w:val="115"/>
        </w:rPr>
        <w:t> </w:t>
      </w:r>
      <w:r>
        <w:rPr>
          <w:w w:val="115"/>
        </w:rPr>
        <w:t>domestic</w:t>
      </w:r>
      <w:r>
        <w:rPr>
          <w:spacing w:val="-19"/>
          <w:w w:val="115"/>
        </w:rPr>
        <w:t> </w:t>
      </w:r>
      <w:r>
        <w:rPr>
          <w:w w:val="115"/>
        </w:rPr>
        <w:t>legislation</w:t>
      </w:r>
      <w:r>
        <w:rPr>
          <w:spacing w:val="-19"/>
          <w:w w:val="115"/>
        </w:rPr>
        <w:t> </w:t>
      </w:r>
      <w:r>
        <w:rPr>
          <w:w w:val="115"/>
        </w:rPr>
        <w:t>–</w:t>
      </w:r>
      <w:r>
        <w:rPr>
          <w:spacing w:val="-19"/>
          <w:w w:val="115"/>
        </w:rPr>
        <w:t> </w:t>
      </w:r>
      <w:r>
        <w:rPr>
          <w:w w:val="115"/>
        </w:rPr>
        <w:t>and</w:t>
      </w:r>
      <w:r>
        <w:rPr>
          <w:spacing w:val="-19"/>
          <w:w w:val="115"/>
        </w:rPr>
        <w:t> </w:t>
      </w:r>
      <w:r>
        <w:rPr>
          <w:w w:val="115"/>
        </w:rPr>
        <w:t>effective judicial remedies in line with Article</w:t>
      </w:r>
    </w:p>
    <w:p>
      <w:pPr>
        <w:pStyle w:val="BodyText"/>
        <w:spacing w:line="325" w:lineRule="exact"/>
        <w:rPr>
          <w:rFonts w:ascii="Lucida Sans Unicode"/>
        </w:rPr>
      </w:pPr>
      <w:r>
        <w:rPr>
          <w:rFonts w:ascii="Lucida Sans Unicode"/>
          <w:w w:val="105"/>
        </w:rPr>
        <w:t>47</w:t>
      </w:r>
      <w:r>
        <w:rPr>
          <w:rFonts w:ascii="Lucida Sans Unicode"/>
          <w:spacing w:val="-19"/>
          <w:w w:val="105"/>
        </w:rPr>
        <w:t> </w:t>
      </w:r>
      <w:r>
        <w:rPr>
          <w:rFonts w:ascii="Lucida Sans Unicode"/>
          <w:w w:val="105"/>
        </w:rPr>
        <w:t>CFR.</w:t>
      </w:r>
      <w:r>
        <w:rPr>
          <w:rFonts w:ascii="Lucida Sans Unicode"/>
          <w:spacing w:val="-18"/>
          <w:w w:val="105"/>
        </w:rPr>
        <w:t> </w:t>
      </w:r>
      <w:r>
        <w:rPr>
          <w:rFonts w:ascii="Lucida Sans Unicode"/>
          <w:w w:val="105"/>
        </w:rPr>
        <w:t>Rights</w:t>
      </w:r>
      <w:r>
        <w:rPr>
          <w:rFonts w:ascii="Lucida Sans Unicode"/>
          <w:spacing w:val="-19"/>
          <w:w w:val="105"/>
        </w:rPr>
        <w:t> </w:t>
      </w:r>
      <w:r>
        <w:rPr>
          <w:rFonts w:ascii="Lucida Sans Unicode"/>
          <w:w w:val="105"/>
        </w:rPr>
        <w:t>that</w:t>
      </w:r>
      <w:r>
        <w:rPr>
          <w:rFonts w:ascii="Lucida Sans Unicode"/>
          <w:spacing w:val="-18"/>
          <w:w w:val="105"/>
        </w:rPr>
        <w:t> </w:t>
      </w:r>
      <w:r>
        <w:rPr>
          <w:rFonts w:ascii="Lucida Sans Unicode"/>
          <w:w w:val="105"/>
        </w:rPr>
        <w:t>are</w:t>
      </w:r>
      <w:r>
        <w:rPr>
          <w:rFonts w:ascii="Lucida Sans Unicode"/>
          <w:spacing w:val="-19"/>
          <w:w w:val="105"/>
        </w:rPr>
        <w:t> </w:t>
      </w:r>
      <w:r>
        <w:rPr>
          <w:rFonts w:ascii="Lucida Sans Unicode"/>
          <w:w w:val="105"/>
        </w:rPr>
        <w:t>not</w:t>
      </w:r>
      <w:r>
        <w:rPr>
          <w:rFonts w:ascii="Lucida Sans Unicode"/>
          <w:spacing w:val="-18"/>
          <w:w w:val="105"/>
        </w:rPr>
        <w:t> </w:t>
      </w:r>
      <w:r>
        <w:rPr>
          <w:rFonts w:ascii="Lucida Sans Unicode"/>
          <w:w w:val="105"/>
        </w:rPr>
        <w:t>precise</w:t>
      </w:r>
      <w:r>
        <w:rPr>
          <w:rFonts w:ascii="Lucida Sans Unicode"/>
          <w:spacing w:val="-18"/>
          <w:w w:val="105"/>
        </w:rPr>
        <w:t> </w:t>
      </w:r>
      <w:r>
        <w:rPr>
          <w:rFonts w:ascii="Lucida Sans Unicode"/>
          <w:spacing w:val="-5"/>
          <w:w w:val="105"/>
        </w:rPr>
        <w:t>or</w:t>
      </w:r>
    </w:p>
    <w:p>
      <w:pPr>
        <w:pStyle w:val="BodyText"/>
        <w:spacing w:line="268" w:lineRule="auto"/>
        <w:ind w:right="118"/>
      </w:pPr>
      <w:r>
        <w:rPr>
          <w:w w:val="115"/>
        </w:rPr>
        <w:t>unconditional enough to enjoy direct effect can continue to give rise to state</w:t>
      </w:r>
      <w:r>
        <w:rPr>
          <w:spacing w:val="-5"/>
          <w:w w:val="115"/>
        </w:rPr>
        <w:t> </w:t>
      </w:r>
      <w:r>
        <w:rPr>
          <w:w w:val="115"/>
        </w:rPr>
        <w:t>liability</w:t>
      </w:r>
      <w:r>
        <w:rPr>
          <w:spacing w:val="-5"/>
          <w:w w:val="115"/>
        </w:rPr>
        <w:t> </w:t>
      </w:r>
      <w:r>
        <w:rPr>
          <w:w w:val="115"/>
        </w:rPr>
        <w:t>claims,</w:t>
      </w:r>
      <w:r>
        <w:rPr>
          <w:spacing w:val="-5"/>
          <w:w w:val="115"/>
        </w:rPr>
        <w:t> </w:t>
      </w:r>
      <w:r>
        <w:rPr>
          <w:w w:val="115"/>
        </w:rPr>
        <w:t>together</w:t>
      </w:r>
      <w:r>
        <w:rPr>
          <w:spacing w:val="-5"/>
          <w:w w:val="115"/>
        </w:rPr>
        <w:t> </w:t>
      </w:r>
      <w:r>
        <w:rPr>
          <w:w w:val="115"/>
        </w:rPr>
        <w:t>with</w:t>
      </w:r>
      <w:r>
        <w:rPr>
          <w:spacing w:val="-5"/>
          <w:w w:val="115"/>
        </w:rPr>
        <w:t> </w:t>
      </w:r>
      <w:r>
        <w:rPr>
          <w:w w:val="115"/>
        </w:rPr>
        <w:t>the provisions of secondary legislation that further clarify them. And, of course,</w:t>
      </w:r>
      <w:r>
        <w:rPr>
          <w:spacing w:val="-20"/>
          <w:w w:val="115"/>
        </w:rPr>
        <w:t> </w:t>
      </w:r>
      <w:r>
        <w:rPr>
          <w:rFonts w:ascii="Verdana" w:hAnsi="Verdana"/>
          <w:i/>
          <w:w w:val="115"/>
        </w:rPr>
        <w:t>any</w:t>
      </w:r>
      <w:r>
        <w:rPr>
          <w:rFonts w:ascii="Verdana" w:hAnsi="Verdana"/>
          <w:i/>
          <w:spacing w:val="-25"/>
          <w:w w:val="115"/>
        </w:rPr>
        <w:t> </w:t>
      </w:r>
      <w:r>
        <w:rPr>
          <w:w w:val="115"/>
        </w:rPr>
        <w:t>legislation</w:t>
      </w:r>
      <w:r>
        <w:rPr>
          <w:spacing w:val="-15"/>
          <w:w w:val="115"/>
        </w:rPr>
        <w:t> </w:t>
      </w:r>
      <w:r>
        <w:rPr>
          <w:w w:val="115"/>
        </w:rPr>
        <w:t>at</w:t>
      </w:r>
      <w:r>
        <w:rPr>
          <w:spacing w:val="-13"/>
          <w:w w:val="115"/>
        </w:rPr>
        <w:t> </w:t>
      </w:r>
      <w:r>
        <w:rPr>
          <w:w w:val="115"/>
        </w:rPr>
        <w:t>the</w:t>
      </w:r>
      <w:r>
        <w:rPr>
          <w:spacing w:val="-13"/>
          <w:w w:val="115"/>
        </w:rPr>
        <w:t> </w:t>
      </w:r>
      <w:r>
        <w:rPr>
          <w:w w:val="115"/>
        </w:rPr>
        <w:t>national level must start from consistent interpretation,</w:t>
      </w:r>
      <w:r>
        <w:rPr>
          <w:spacing w:val="-18"/>
          <w:w w:val="115"/>
        </w:rPr>
        <w:t> </w:t>
      </w:r>
      <w:r>
        <w:rPr>
          <w:w w:val="115"/>
        </w:rPr>
        <w:t>under</w:t>
      </w:r>
      <w:r>
        <w:rPr>
          <w:spacing w:val="-18"/>
          <w:w w:val="115"/>
        </w:rPr>
        <w:t> </w:t>
      </w:r>
      <w:r>
        <w:rPr>
          <w:w w:val="115"/>
        </w:rPr>
        <w:t>the</w:t>
      </w:r>
      <w:r>
        <w:rPr>
          <w:spacing w:val="-18"/>
          <w:w w:val="115"/>
        </w:rPr>
        <w:t> </w:t>
      </w:r>
      <w:r>
        <w:rPr>
          <w:w w:val="115"/>
        </w:rPr>
        <w:t>wide-ranging duty of consistent interpretation – a duty that applies to all provisions of the Charter regardless of their status as rights or principles.</w:t>
      </w:r>
    </w:p>
    <w:p>
      <w:pPr>
        <w:spacing w:after="0" w:line="268" w:lineRule="auto"/>
        <w:sectPr>
          <w:type w:val="continuous"/>
          <w:pgSz w:w="11910" w:h="16840"/>
          <w:pgMar w:header="568" w:footer="580" w:top="0" w:bottom="280" w:left="1020" w:right="1020"/>
          <w:cols w:num="2" w:equalWidth="0">
            <w:col w:w="4747" w:space="299"/>
            <w:col w:w="4824"/>
          </w:cols>
        </w:sectPr>
      </w:pPr>
    </w:p>
    <w:p>
      <w:pPr>
        <w:pStyle w:val="BodyText"/>
        <w:spacing w:before="159"/>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93" name="Group 93"/>
                <wp:cNvGraphicFramePr>
                  <a:graphicFrameLocks/>
                </wp:cNvGraphicFramePr>
                <a:graphic>
                  <a:graphicData uri="http://schemas.microsoft.com/office/word/2010/wordprocessingGroup">
                    <wpg:wgp>
                      <wpg:cNvPr id="93" name="Group 93"/>
                      <wpg:cNvGrpSpPr/>
                      <wpg:grpSpPr>
                        <a:xfrm>
                          <a:off x="0" y="0"/>
                          <a:ext cx="6120130" cy="6350"/>
                          <a:chExt cx="6120130" cy="6350"/>
                        </a:xfrm>
                      </wpg:grpSpPr>
                      <wps:wsp>
                        <wps:cNvPr id="94" name="Graphic 94"/>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65"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5" w:val="left" w:leader="none"/>
          <w:tab w:pos="567" w:val="left" w:leader="none"/>
        </w:tabs>
        <w:spacing w:line="194" w:lineRule="auto" w:before="94" w:after="0"/>
        <w:ind w:left="567" w:right="204" w:hanging="454"/>
        <w:jc w:val="left"/>
        <w:rPr>
          <w:sz w:val="16"/>
        </w:rPr>
      </w:pPr>
      <w:r>
        <w:rPr>
          <w:w w:val="105"/>
          <w:sz w:val="16"/>
        </w:rPr>
        <w:t>Barend</w:t>
      </w:r>
      <w:r>
        <w:rPr>
          <w:spacing w:val="-14"/>
          <w:w w:val="105"/>
          <w:sz w:val="16"/>
        </w:rPr>
        <w:t> </w:t>
      </w:r>
      <w:r>
        <w:rPr>
          <w:w w:val="105"/>
          <w:sz w:val="16"/>
        </w:rPr>
        <w:t>van</w:t>
      </w:r>
      <w:r>
        <w:rPr>
          <w:spacing w:val="-13"/>
          <w:w w:val="105"/>
          <w:sz w:val="16"/>
        </w:rPr>
        <w:t> </w:t>
      </w:r>
      <w:r>
        <w:rPr>
          <w:w w:val="105"/>
          <w:sz w:val="16"/>
        </w:rPr>
        <w:t>Leeuwen</w:t>
      </w:r>
      <w:r>
        <w:rPr>
          <w:spacing w:val="-12"/>
          <w:w w:val="105"/>
          <w:sz w:val="16"/>
        </w:rPr>
        <w:t> </w:t>
      </w:r>
      <w:r>
        <w:rPr>
          <w:w w:val="105"/>
          <w:sz w:val="16"/>
        </w:rPr>
        <w:t>and</w:t>
      </w:r>
      <w:r>
        <w:rPr>
          <w:spacing w:val="-12"/>
          <w:w w:val="105"/>
          <w:sz w:val="16"/>
        </w:rPr>
        <w:t> </w:t>
      </w:r>
      <w:r>
        <w:rPr>
          <w:w w:val="105"/>
          <w:sz w:val="16"/>
        </w:rPr>
        <w:t>Rónán</w:t>
      </w:r>
      <w:r>
        <w:rPr>
          <w:spacing w:val="-12"/>
          <w:w w:val="105"/>
          <w:sz w:val="16"/>
        </w:rPr>
        <w:t> </w:t>
      </w:r>
      <w:r>
        <w:rPr>
          <w:w w:val="105"/>
          <w:sz w:val="16"/>
        </w:rPr>
        <w:t>Condon,</w:t>
      </w:r>
      <w:r>
        <w:rPr>
          <w:spacing w:val="-12"/>
          <w:w w:val="105"/>
          <w:sz w:val="16"/>
        </w:rPr>
        <w:t> </w:t>
      </w:r>
      <w:r>
        <w:rPr>
          <w:w w:val="105"/>
          <w:sz w:val="16"/>
        </w:rPr>
        <w:t>‘Bottom</w:t>
      </w:r>
      <w:r>
        <w:rPr>
          <w:spacing w:val="-12"/>
          <w:w w:val="105"/>
          <w:sz w:val="16"/>
        </w:rPr>
        <w:t> </w:t>
      </w:r>
      <w:r>
        <w:rPr>
          <w:w w:val="105"/>
          <w:sz w:val="16"/>
        </w:rPr>
        <w:t>Up</w:t>
      </w:r>
      <w:r>
        <w:rPr>
          <w:spacing w:val="-12"/>
          <w:w w:val="105"/>
          <w:sz w:val="16"/>
        </w:rPr>
        <w:t> </w:t>
      </w:r>
      <w:r>
        <w:rPr>
          <w:w w:val="105"/>
          <w:sz w:val="16"/>
        </w:rPr>
        <w:t>or</w:t>
      </w:r>
      <w:r>
        <w:rPr>
          <w:spacing w:val="-12"/>
          <w:w w:val="105"/>
          <w:sz w:val="16"/>
        </w:rPr>
        <w:t> </w:t>
      </w:r>
      <w:r>
        <w:rPr>
          <w:w w:val="105"/>
          <w:sz w:val="16"/>
        </w:rPr>
        <w:t>Rock</w:t>
      </w:r>
      <w:r>
        <w:rPr>
          <w:spacing w:val="-12"/>
          <w:w w:val="105"/>
          <w:sz w:val="16"/>
        </w:rPr>
        <w:t> </w:t>
      </w:r>
      <w:r>
        <w:rPr>
          <w:w w:val="105"/>
          <w:sz w:val="16"/>
        </w:rPr>
        <w:t>Bottom</w:t>
      </w:r>
      <w:r>
        <w:rPr>
          <w:spacing w:val="-12"/>
          <w:w w:val="105"/>
          <w:sz w:val="16"/>
        </w:rPr>
        <w:t> </w:t>
      </w:r>
      <w:r>
        <w:rPr>
          <w:w w:val="105"/>
          <w:sz w:val="16"/>
        </w:rPr>
        <w:t>Harmonization?</w:t>
      </w:r>
      <w:r>
        <w:rPr>
          <w:spacing w:val="-12"/>
          <w:w w:val="105"/>
          <w:sz w:val="16"/>
        </w:rPr>
        <w:t> </w:t>
      </w:r>
      <w:r>
        <w:rPr>
          <w:rFonts w:ascii="Verdana" w:hAnsi="Verdana"/>
          <w:i/>
          <w:w w:val="105"/>
          <w:sz w:val="16"/>
        </w:rPr>
        <w:t>Francovich</w:t>
      </w:r>
      <w:r>
        <w:rPr>
          <w:rFonts w:ascii="Verdana" w:hAnsi="Verdana"/>
          <w:i/>
          <w:spacing w:val="-15"/>
          <w:w w:val="105"/>
          <w:sz w:val="16"/>
        </w:rPr>
        <w:t> </w:t>
      </w:r>
      <w:r>
        <w:rPr>
          <w:w w:val="105"/>
          <w:sz w:val="16"/>
        </w:rPr>
        <w:t>State</w:t>
      </w:r>
      <w:r>
        <w:rPr>
          <w:spacing w:val="-12"/>
          <w:w w:val="105"/>
          <w:sz w:val="16"/>
        </w:rPr>
        <w:t> </w:t>
      </w:r>
      <w:r>
        <w:rPr>
          <w:w w:val="105"/>
          <w:sz w:val="16"/>
        </w:rPr>
        <w:t>Liability</w:t>
      </w:r>
      <w:r>
        <w:rPr>
          <w:spacing w:val="-12"/>
          <w:w w:val="105"/>
          <w:sz w:val="16"/>
        </w:rPr>
        <w:t> </w:t>
      </w:r>
      <w:r>
        <w:rPr>
          <w:w w:val="105"/>
          <w:sz w:val="16"/>
        </w:rPr>
        <w:t>in </w:t>
      </w:r>
      <w:r>
        <w:rPr>
          <w:sz w:val="16"/>
        </w:rPr>
        <w:t>National Courts’ (2016) 35:1 </w:t>
      </w:r>
      <w:r>
        <w:rPr>
          <w:rFonts w:ascii="Verdana" w:hAnsi="Verdana"/>
          <w:i/>
          <w:sz w:val="16"/>
        </w:rPr>
        <w:t>YEL</w:t>
      </w:r>
      <w:r>
        <w:rPr>
          <w:rFonts w:ascii="Verdana" w:hAnsi="Verdana"/>
          <w:i/>
          <w:spacing w:val="-1"/>
          <w:sz w:val="16"/>
        </w:rPr>
        <w:t> </w:t>
      </w:r>
      <w:r>
        <w:rPr>
          <w:sz w:val="16"/>
        </w:rPr>
        <w:t>229, 231.</w:t>
      </w:r>
    </w:p>
    <w:p>
      <w:pPr>
        <w:pStyle w:val="ListParagraph"/>
        <w:numPr>
          <w:ilvl w:val="0"/>
          <w:numId w:val="6"/>
        </w:numPr>
        <w:tabs>
          <w:tab w:pos="565" w:val="left" w:leader="none"/>
        </w:tabs>
        <w:spacing w:line="214" w:lineRule="exact" w:before="0" w:after="0"/>
        <w:ind w:left="565" w:right="0" w:hanging="452"/>
        <w:jc w:val="left"/>
        <w:rPr>
          <w:sz w:val="16"/>
        </w:rPr>
      </w:pPr>
      <w:r>
        <w:rPr>
          <w:sz w:val="16"/>
        </w:rPr>
        <w:t>See,</w:t>
      </w:r>
      <w:r>
        <w:rPr>
          <w:spacing w:val="-3"/>
          <w:sz w:val="16"/>
        </w:rPr>
        <w:t> </w:t>
      </w:r>
      <w:r>
        <w:rPr>
          <w:sz w:val="16"/>
        </w:rPr>
        <w:t>e.g.,</w:t>
      </w:r>
      <w:r>
        <w:rPr>
          <w:spacing w:val="-2"/>
          <w:sz w:val="16"/>
        </w:rPr>
        <w:t> </w:t>
      </w:r>
      <w:r>
        <w:rPr>
          <w:rFonts w:ascii="Verdana" w:hAnsi="Verdana"/>
          <w:i/>
          <w:sz w:val="16"/>
        </w:rPr>
        <w:t>Jersey</w:t>
      </w:r>
      <w:r>
        <w:rPr>
          <w:rFonts w:ascii="Verdana" w:hAnsi="Verdana"/>
          <w:i/>
          <w:spacing w:val="-8"/>
          <w:sz w:val="16"/>
        </w:rPr>
        <w:t> </w:t>
      </w:r>
      <w:r>
        <w:rPr>
          <w:rFonts w:ascii="Verdana" w:hAnsi="Verdana"/>
          <w:i/>
          <w:sz w:val="16"/>
        </w:rPr>
        <w:t>Choice</w:t>
      </w:r>
      <w:r>
        <w:rPr>
          <w:rFonts w:ascii="Verdana" w:hAnsi="Verdana"/>
          <w:i/>
          <w:spacing w:val="-8"/>
          <w:sz w:val="16"/>
        </w:rPr>
        <w:t> </w:t>
      </w:r>
      <w:r>
        <w:rPr>
          <w:rFonts w:ascii="Verdana" w:hAnsi="Verdana"/>
          <w:i/>
          <w:sz w:val="16"/>
        </w:rPr>
        <w:t>Limited</w:t>
      </w:r>
      <w:r>
        <w:rPr>
          <w:rFonts w:ascii="Verdana" w:hAnsi="Verdana"/>
          <w:i/>
          <w:spacing w:val="-8"/>
          <w:sz w:val="16"/>
        </w:rPr>
        <w:t> </w:t>
      </w:r>
      <w:r>
        <w:rPr>
          <w:rFonts w:ascii="Verdana" w:hAnsi="Verdana"/>
          <w:i/>
          <w:sz w:val="16"/>
        </w:rPr>
        <w:t>v</w:t>
      </w:r>
      <w:r>
        <w:rPr>
          <w:rFonts w:ascii="Verdana" w:hAnsi="Verdana"/>
          <w:i/>
          <w:spacing w:val="-8"/>
          <w:sz w:val="16"/>
        </w:rPr>
        <w:t> </w:t>
      </w:r>
      <w:r>
        <w:rPr>
          <w:rFonts w:ascii="Verdana" w:hAnsi="Verdana"/>
          <w:i/>
          <w:sz w:val="16"/>
        </w:rPr>
        <w:t>Her</w:t>
      </w:r>
      <w:r>
        <w:rPr>
          <w:rFonts w:ascii="Verdana" w:hAnsi="Verdana"/>
          <w:i/>
          <w:spacing w:val="-8"/>
          <w:sz w:val="16"/>
        </w:rPr>
        <w:t> </w:t>
      </w:r>
      <w:r>
        <w:rPr>
          <w:rFonts w:ascii="Verdana" w:hAnsi="Verdana"/>
          <w:i/>
          <w:sz w:val="16"/>
        </w:rPr>
        <w:t>Majesty’s</w:t>
      </w:r>
      <w:r>
        <w:rPr>
          <w:rFonts w:ascii="Verdana" w:hAnsi="Verdana"/>
          <w:i/>
          <w:spacing w:val="-8"/>
          <w:sz w:val="16"/>
        </w:rPr>
        <w:t> </w:t>
      </w:r>
      <w:r>
        <w:rPr>
          <w:rFonts w:ascii="Verdana" w:hAnsi="Verdana"/>
          <w:i/>
          <w:sz w:val="16"/>
        </w:rPr>
        <w:t>Treasury</w:t>
      </w:r>
      <w:r>
        <w:rPr>
          <w:rFonts w:ascii="Verdana" w:hAnsi="Verdana"/>
          <w:i/>
          <w:spacing w:val="-8"/>
          <w:sz w:val="16"/>
        </w:rPr>
        <w:t> </w:t>
      </w:r>
      <w:r>
        <w:rPr>
          <w:sz w:val="16"/>
        </w:rPr>
        <w:t>[2021]</w:t>
      </w:r>
      <w:r>
        <w:rPr>
          <w:spacing w:val="-2"/>
          <w:sz w:val="16"/>
        </w:rPr>
        <w:t> </w:t>
      </w:r>
      <w:r>
        <w:rPr>
          <w:sz w:val="16"/>
        </w:rPr>
        <w:t>EWCA</w:t>
      </w:r>
      <w:r>
        <w:rPr>
          <w:spacing w:val="-2"/>
          <w:sz w:val="16"/>
        </w:rPr>
        <w:t> </w:t>
      </w:r>
      <w:r>
        <w:rPr>
          <w:sz w:val="16"/>
        </w:rPr>
        <w:t>Civ</w:t>
      </w:r>
      <w:r>
        <w:rPr>
          <w:spacing w:val="-2"/>
          <w:sz w:val="16"/>
        </w:rPr>
        <w:t> 1941.</w:t>
      </w:r>
    </w:p>
    <w:p>
      <w:pPr>
        <w:spacing w:after="0" w:line="214" w:lineRule="exact"/>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84"/>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Heading3"/>
        <w:numPr>
          <w:ilvl w:val="0"/>
          <w:numId w:val="7"/>
        </w:numPr>
        <w:tabs>
          <w:tab w:pos="680" w:val="left" w:leader="none"/>
        </w:tabs>
        <w:spacing w:line="252" w:lineRule="auto" w:before="80" w:after="0"/>
        <w:ind w:left="680" w:right="704" w:hanging="567"/>
        <w:jc w:val="left"/>
        <w:rPr>
          <w:color w:val="77328A"/>
        </w:rPr>
      </w:pPr>
      <w:bookmarkStart w:name="7.  Limitations to Charter rights" w:id="24"/>
      <w:bookmarkEnd w:id="24"/>
      <w:r>
        <w:rPr>
          <w:b w:val="0"/>
        </w:rPr>
      </w:r>
      <w:bookmarkStart w:name="_bookmark10" w:id="25"/>
      <w:bookmarkEnd w:id="25"/>
      <w:r>
        <w:rPr>
          <w:b w:val="0"/>
        </w:rPr>
      </w:r>
      <w:r>
        <w:rPr>
          <w:color w:val="77328A"/>
        </w:rPr>
        <w:t>Limitations</w:t>
      </w:r>
      <w:r>
        <w:rPr>
          <w:color w:val="77328A"/>
          <w:spacing w:val="-2"/>
        </w:rPr>
        <w:t> </w:t>
      </w:r>
      <w:r>
        <w:rPr>
          <w:color w:val="77328A"/>
        </w:rPr>
        <w:t>to</w:t>
      </w:r>
      <w:r>
        <w:rPr>
          <w:color w:val="77328A"/>
          <w:spacing w:val="-2"/>
        </w:rPr>
        <w:t> </w:t>
      </w:r>
      <w:r>
        <w:rPr>
          <w:color w:val="77328A"/>
        </w:rPr>
        <w:t>Charter </w:t>
      </w:r>
      <w:r>
        <w:rPr>
          <w:color w:val="77328A"/>
          <w:spacing w:val="-2"/>
        </w:rPr>
        <w:t>rights</w:t>
      </w:r>
    </w:p>
    <w:p>
      <w:pPr>
        <w:pStyle w:val="BodyText"/>
        <w:spacing w:line="310" w:lineRule="exact" w:before="152"/>
        <w:ind w:right="31"/>
      </w:pPr>
      <w:r>
        <w:rPr>
          <w:w w:val="110"/>
        </w:rPr>
        <w:t>As a general rule, Charter rights are </w:t>
      </w:r>
      <w:r>
        <w:rPr>
          <w:rFonts w:ascii="Lucida Sans Unicode"/>
        </w:rPr>
        <w:t>subject</w:t>
      </w:r>
      <w:r>
        <w:rPr>
          <w:rFonts w:ascii="Lucida Sans Unicode"/>
          <w:spacing w:val="-19"/>
        </w:rPr>
        <w:t> </w:t>
      </w:r>
      <w:r>
        <w:rPr>
          <w:rFonts w:ascii="Lucida Sans Unicode"/>
        </w:rPr>
        <w:t>to</w:t>
      </w:r>
      <w:r>
        <w:rPr>
          <w:rFonts w:ascii="Lucida Sans Unicode"/>
          <w:spacing w:val="-19"/>
        </w:rPr>
        <w:t> </w:t>
      </w:r>
      <w:r>
        <w:rPr>
          <w:rFonts w:ascii="Lucida Sans Unicode"/>
        </w:rPr>
        <w:t>limitations.</w:t>
      </w:r>
      <w:r>
        <w:rPr>
          <w:rFonts w:ascii="Lucida Sans Unicode"/>
          <w:spacing w:val="-19"/>
        </w:rPr>
        <w:t> </w:t>
      </w:r>
      <w:r>
        <w:rPr>
          <w:rFonts w:ascii="Lucida Sans Unicode"/>
        </w:rPr>
        <w:t>Article</w:t>
      </w:r>
      <w:r>
        <w:rPr>
          <w:rFonts w:ascii="Lucida Sans Unicode"/>
          <w:spacing w:val="-19"/>
        </w:rPr>
        <w:t> </w:t>
      </w:r>
      <w:r>
        <w:rPr>
          <w:rFonts w:ascii="Lucida Sans Unicode"/>
        </w:rPr>
        <w:t>52</w:t>
      </w:r>
      <w:r>
        <w:rPr>
          <w:rFonts w:ascii="Lucida Sans Unicode"/>
          <w:spacing w:val="-19"/>
        </w:rPr>
        <w:t> </w:t>
      </w:r>
      <w:r>
        <w:rPr>
          <w:rFonts w:ascii="Lucida Sans Unicode"/>
        </w:rPr>
        <w:t>(1)</w:t>
      </w:r>
      <w:r>
        <w:rPr>
          <w:rFonts w:ascii="Lucida Sans Unicode"/>
          <w:spacing w:val="-19"/>
        </w:rPr>
        <w:t> </w:t>
      </w:r>
      <w:r>
        <w:rPr>
          <w:rFonts w:ascii="Lucida Sans Unicode"/>
        </w:rPr>
        <w:t>CFR </w:t>
      </w:r>
      <w:r>
        <w:rPr>
          <w:w w:val="110"/>
        </w:rPr>
        <w:t>spells out the conditions for limiting Charter rights out in some detail:</w:t>
      </w:r>
    </w:p>
    <w:p>
      <w:pPr>
        <w:pStyle w:val="BodyText"/>
        <w:spacing w:before="23"/>
        <w:ind w:left="0"/>
      </w:pPr>
    </w:p>
    <w:p>
      <w:pPr>
        <w:pStyle w:val="BodyText"/>
        <w:spacing w:line="310" w:lineRule="exact" w:before="1"/>
        <w:ind w:left="680" w:right="240"/>
      </w:pPr>
      <w:r>
        <w:rPr>
          <w:color w:val="77328A"/>
          <w:w w:val="115"/>
        </w:rPr>
        <w:t>Any limitation on the exercise of the rights and freedoms </w:t>
      </w:r>
      <w:r>
        <w:rPr>
          <w:color w:val="77328A"/>
          <w:spacing w:val="-2"/>
          <w:w w:val="115"/>
        </w:rPr>
        <w:t>recognised</w:t>
      </w:r>
      <w:r>
        <w:rPr>
          <w:color w:val="77328A"/>
          <w:spacing w:val="-18"/>
          <w:w w:val="115"/>
        </w:rPr>
        <w:t> </w:t>
      </w:r>
      <w:r>
        <w:rPr>
          <w:color w:val="77328A"/>
          <w:spacing w:val="-2"/>
          <w:w w:val="115"/>
        </w:rPr>
        <w:t>by</w:t>
      </w:r>
      <w:r>
        <w:rPr>
          <w:color w:val="77328A"/>
          <w:spacing w:val="-17"/>
          <w:w w:val="115"/>
        </w:rPr>
        <w:t> </w:t>
      </w:r>
      <w:r>
        <w:rPr>
          <w:color w:val="77328A"/>
          <w:spacing w:val="-2"/>
          <w:w w:val="115"/>
        </w:rPr>
        <w:t>this</w:t>
      </w:r>
      <w:r>
        <w:rPr>
          <w:color w:val="77328A"/>
          <w:spacing w:val="-17"/>
          <w:w w:val="115"/>
        </w:rPr>
        <w:t> </w:t>
      </w:r>
      <w:r>
        <w:rPr>
          <w:color w:val="77328A"/>
          <w:spacing w:val="-2"/>
          <w:w w:val="115"/>
        </w:rPr>
        <w:t>Charter</w:t>
      </w:r>
      <w:r>
        <w:rPr>
          <w:color w:val="77328A"/>
          <w:spacing w:val="-17"/>
          <w:w w:val="115"/>
        </w:rPr>
        <w:t> </w:t>
      </w:r>
      <w:r>
        <w:rPr>
          <w:color w:val="77328A"/>
          <w:spacing w:val="-2"/>
          <w:w w:val="115"/>
        </w:rPr>
        <w:t>must </w:t>
      </w:r>
      <w:r>
        <w:rPr>
          <w:color w:val="77328A"/>
          <w:w w:val="115"/>
        </w:rPr>
        <w:t>be provided for by law and respect the essence of those </w:t>
      </w:r>
      <w:r>
        <w:rPr>
          <w:rFonts w:ascii="Lucida Sans Unicode"/>
          <w:color w:val="77328A"/>
        </w:rPr>
        <w:t>rights and freedoms. Subject to </w:t>
      </w:r>
      <w:r>
        <w:rPr>
          <w:color w:val="77328A"/>
          <w:w w:val="115"/>
        </w:rPr>
        <w:t>the principle of proportionality, limitations</w:t>
      </w:r>
      <w:r>
        <w:rPr>
          <w:color w:val="77328A"/>
          <w:spacing w:val="-1"/>
          <w:w w:val="115"/>
        </w:rPr>
        <w:t> </w:t>
      </w:r>
      <w:r>
        <w:rPr>
          <w:color w:val="77328A"/>
          <w:w w:val="115"/>
        </w:rPr>
        <w:t>may</w:t>
      </w:r>
      <w:r>
        <w:rPr>
          <w:color w:val="77328A"/>
          <w:spacing w:val="-1"/>
          <w:w w:val="115"/>
        </w:rPr>
        <w:t> </w:t>
      </w:r>
      <w:r>
        <w:rPr>
          <w:color w:val="77328A"/>
          <w:w w:val="115"/>
        </w:rPr>
        <w:t>be</w:t>
      </w:r>
      <w:r>
        <w:rPr>
          <w:color w:val="77328A"/>
          <w:spacing w:val="-1"/>
          <w:w w:val="115"/>
        </w:rPr>
        <w:t> </w:t>
      </w:r>
      <w:r>
        <w:rPr>
          <w:color w:val="77328A"/>
          <w:w w:val="115"/>
        </w:rPr>
        <w:t>made</w:t>
      </w:r>
      <w:r>
        <w:rPr>
          <w:color w:val="77328A"/>
          <w:spacing w:val="-1"/>
          <w:w w:val="115"/>
        </w:rPr>
        <w:t> </w:t>
      </w:r>
      <w:r>
        <w:rPr>
          <w:color w:val="77328A"/>
          <w:w w:val="115"/>
        </w:rPr>
        <w:t>only</w:t>
      </w:r>
      <w:r>
        <w:rPr>
          <w:color w:val="77328A"/>
          <w:spacing w:val="-1"/>
          <w:w w:val="115"/>
        </w:rPr>
        <w:t> </w:t>
      </w:r>
      <w:r>
        <w:rPr>
          <w:color w:val="77328A"/>
          <w:w w:val="115"/>
        </w:rPr>
        <w:t>if</w:t>
      </w:r>
    </w:p>
    <w:p>
      <w:pPr>
        <w:pStyle w:val="BodyText"/>
        <w:spacing w:line="268" w:lineRule="auto" w:before="23"/>
        <w:ind w:left="680" w:right="31"/>
      </w:pPr>
      <w:r>
        <w:rPr>
          <w:color w:val="77328A"/>
          <w:w w:val="110"/>
        </w:rPr>
        <w:t>they</w:t>
      </w:r>
      <w:r>
        <w:rPr>
          <w:color w:val="77328A"/>
          <w:spacing w:val="-6"/>
          <w:w w:val="110"/>
        </w:rPr>
        <w:t> </w:t>
      </w:r>
      <w:r>
        <w:rPr>
          <w:color w:val="77328A"/>
          <w:w w:val="110"/>
        </w:rPr>
        <w:t>are</w:t>
      </w:r>
      <w:r>
        <w:rPr>
          <w:color w:val="77328A"/>
          <w:spacing w:val="-6"/>
          <w:w w:val="110"/>
        </w:rPr>
        <w:t> </w:t>
      </w:r>
      <w:r>
        <w:rPr>
          <w:color w:val="77328A"/>
          <w:w w:val="110"/>
        </w:rPr>
        <w:t>necessary</w:t>
      </w:r>
      <w:r>
        <w:rPr>
          <w:color w:val="77328A"/>
          <w:spacing w:val="-6"/>
          <w:w w:val="110"/>
        </w:rPr>
        <w:t> </w:t>
      </w:r>
      <w:r>
        <w:rPr>
          <w:color w:val="77328A"/>
          <w:w w:val="110"/>
        </w:rPr>
        <w:t>and</w:t>
      </w:r>
      <w:r>
        <w:rPr>
          <w:color w:val="77328A"/>
          <w:spacing w:val="-6"/>
          <w:w w:val="110"/>
        </w:rPr>
        <w:t> </w:t>
      </w:r>
      <w:r>
        <w:rPr>
          <w:color w:val="77328A"/>
          <w:w w:val="110"/>
        </w:rPr>
        <w:t>genuinely </w:t>
      </w:r>
      <w:r>
        <w:rPr>
          <w:color w:val="77328A"/>
          <w:w w:val="115"/>
        </w:rPr>
        <w:t>meet objectives of general interest</w:t>
      </w:r>
      <w:r>
        <w:rPr>
          <w:color w:val="77328A"/>
          <w:spacing w:val="-8"/>
          <w:w w:val="115"/>
        </w:rPr>
        <w:t> </w:t>
      </w:r>
      <w:r>
        <w:rPr>
          <w:color w:val="77328A"/>
          <w:w w:val="115"/>
        </w:rPr>
        <w:t>recognised</w:t>
      </w:r>
      <w:r>
        <w:rPr>
          <w:color w:val="77328A"/>
          <w:spacing w:val="-8"/>
          <w:w w:val="115"/>
        </w:rPr>
        <w:t> </w:t>
      </w:r>
      <w:r>
        <w:rPr>
          <w:color w:val="77328A"/>
          <w:w w:val="115"/>
        </w:rPr>
        <w:t>by</w:t>
      </w:r>
      <w:r>
        <w:rPr>
          <w:color w:val="77328A"/>
          <w:spacing w:val="-8"/>
          <w:w w:val="115"/>
        </w:rPr>
        <w:t> </w:t>
      </w:r>
      <w:r>
        <w:rPr>
          <w:color w:val="77328A"/>
          <w:w w:val="115"/>
        </w:rPr>
        <w:t>the</w:t>
      </w:r>
      <w:r>
        <w:rPr>
          <w:color w:val="77328A"/>
          <w:spacing w:val="-8"/>
          <w:w w:val="115"/>
        </w:rPr>
        <w:t> </w:t>
      </w:r>
      <w:r>
        <w:rPr>
          <w:color w:val="77328A"/>
          <w:w w:val="115"/>
        </w:rPr>
        <w:t>Union or the need to protect the rights and freedoms of others.</w:t>
      </w:r>
    </w:p>
    <w:p>
      <w:pPr>
        <w:pStyle w:val="BodyText"/>
        <w:spacing w:before="28"/>
        <w:ind w:left="0"/>
      </w:pPr>
    </w:p>
    <w:p>
      <w:pPr>
        <w:pStyle w:val="BodyText"/>
        <w:spacing w:line="268" w:lineRule="auto"/>
        <w:ind w:right="243"/>
      </w:pPr>
      <w:r>
        <w:rPr>
          <w:w w:val="110"/>
        </w:rPr>
        <w:t>Limits to Charter rights must be provided for by law. This can be EU law or domestic law. As for the latter, the limitation may be contained in</w:t>
      </w:r>
      <w:r>
        <w:rPr>
          <w:spacing w:val="80"/>
          <w:w w:val="110"/>
        </w:rPr>
        <w:t> </w:t>
      </w:r>
      <w:r>
        <w:rPr>
          <w:w w:val="110"/>
        </w:rPr>
        <w:t>UK or Northern Ireland primary or secondary</w:t>
      </w:r>
      <w:r>
        <w:rPr>
          <w:spacing w:val="-14"/>
          <w:w w:val="110"/>
        </w:rPr>
        <w:t> </w:t>
      </w:r>
      <w:r>
        <w:rPr>
          <w:w w:val="110"/>
        </w:rPr>
        <w:t>legislation</w:t>
      </w:r>
      <w:r>
        <w:rPr>
          <w:spacing w:val="-14"/>
          <w:w w:val="110"/>
        </w:rPr>
        <w:t> </w:t>
      </w:r>
      <w:r>
        <w:rPr>
          <w:w w:val="110"/>
        </w:rPr>
        <w:t>as</w:t>
      </w:r>
      <w:r>
        <w:rPr>
          <w:spacing w:val="-14"/>
          <w:w w:val="110"/>
        </w:rPr>
        <w:t> </w:t>
      </w:r>
      <w:r>
        <w:rPr>
          <w:w w:val="110"/>
        </w:rPr>
        <w:t>well</w:t>
      </w:r>
      <w:r>
        <w:rPr>
          <w:spacing w:val="-14"/>
          <w:w w:val="110"/>
        </w:rPr>
        <w:t> </w:t>
      </w:r>
      <w:r>
        <w:rPr>
          <w:w w:val="110"/>
        </w:rPr>
        <w:t>as</w:t>
      </w:r>
      <w:r>
        <w:rPr>
          <w:spacing w:val="-14"/>
          <w:w w:val="110"/>
        </w:rPr>
        <w:t> </w:t>
      </w:r>
      <w:r>
        <w:rPr>
          <w:w w:val="110"/>
        </w:rPr>
        <w:t>in</w:t>
      </w:r>
      <w:r>
        <w:rPr>
          <w:spacing w:val="-14"/>
          <w:w w:val="110"/>
        </w:rPr>
        <w:t> </w:t>
      </w:r>
      <w:r>
        <w:rPr>
          <w:w w:val="110"/>
        </w:rPr>
        <w:t>the common law. The rationale behind</w:t>
      </w:r>
    </w:p>
    <w:p>
      <w:pPr>
        <w:pStyle w:val="BodyText"/>
        <w:spacing w:line="268" w:lineRule="auto" w:before="6"/>
        <w:ind w:right="31"/>
      </w:pPr>
      <w:r>
        <w:rPr>
          <w:w w:val="110"/>
        </w:rPr>
        <w:t>this requirement is that any restriction of a right must be foreseeable for individuals. Any limitation must also respect the essence of those rights.</w:t>
      </w:r>
    </w:p>
    <w:p>
      <w:pPr>
        <w:pStyle w:val="BodyText"/>
        <w:spacing w:line="252" w:lineRule="auto" w:before="4"/>
        <w:ind w:right="31"/>
      </w:pPr>
      <w:r>
        <w:rPr>
          <w:w w:val="110"/>
        </w:rPr>
        <w:t>The idea behind this concept is that every Charter right contains a ‘hard </w:t>
      </w:r>
      <w:r>
        <w:rPr/>
        <w:t>nucleus’</w:t>
      </w:r>
      <w:r>
        <w:rPr>
          <w:rFonts w:ascii="Lucida Sans Unicode" w:hAnsi="Lucida Sans Unicode"/>
          <w:vertAlign w:val="superscript"/>
        </w:rPr>
        <w:t>105</w:t>
      </w:r>
      <w:r>
        <w:rPr>
          <w:vertAlign w:val="baseline"/>
        </w:rPr>
        <w:t>,</w:t>
      </w:r>
      <w:r>
        <w:rPr>
          <w:spacing w:val="40"/>
          <w:vertAlign w:val="baseline"/>
        </w:rPr>
        <w:t> </w:t>
      </w:r>
      <w:r>
        <w:rPr>
          <w:vertAlign w:val="baseline"/>
        </w:rPr>
        <w:t>which</w:t>
      </w:r>
      <w:r>
        <w:rPr>
          <w:spacing w:val="40"/>
          <w:vertAlign w:val="baseline"/>
        </w:rPr>
        <w:t> </w:t>
      </w:r>
      <w:r>
        <w:rPr>
          <w:vertAlign w:val="baseline"/>
        </w:rPr>
        <w:t>cannot</w:t>
      </w:r>
      <w:r>
        <w:rPr>
          <w:spacing w:val="40"/>
          <w:vertAlign w:val="baseline"/>
        </w:rPr>
        <w:t> </w:t>
      </w:r>
      <w:r>
        <w:rPr>
          <w:vertAlign w:val="baseline"/>
        </w:rPr>
        <w:t>be</w:t>
      </w:r>
      <w:r>
        <w:rPr>
          <w:spacing w:val="40"/>
          <w:vertAlign w:val="baseline"/>
        </w:rPr>
        <w:t> </w:t>
      </w:r>
      <w:r>
        <w:rPr>
          <w:vertAlign w:val="baseline"/>
        </w:rPr>
        <w:t>deviated</w:t>
      </w:r>
    </w:p>
    <w:p>
      <w:pPr>
        <w:pStyle w:val="BodyText"/>
        <w:spacing w:line="239" w:lineRule="exact"/>
      </w:pPr>
      <w:r>
        <w:rPr>
          <w:w w:val="110"/>
        </w:rPr>
        <w:t>from</w:t>
      </w:r>
      <w:r>
        <w:rPr>
          <w:spacing w:val="-1"/>
          <w:w w:val="110"/>
        </w:rPr>
        <w:t> </w:t>
      </w:r>
      <w:r>
        <w:rPr>
          <w:w w:val="110"/>
        </w:rPr>
        <w:t>under</w:t>
      </w:r>
      <w:r>
        <w:rPr>
          <w:spacing w:val="-1"/>
          <w:w w:val="110"/>
        </w:rPr>
        <w:t> </w:t>
      </w:r>
      <w:r>
        <w:rPr>
          <w:w w:val="110"/>
        </w:rPr>
        <w:t>any</w:t>
      </w:r>
      <w:r>
        <w:rPr>
          <w:spacing w:val="-1"/>
          <w:w w:val="110"/>
        </w:rPr>
        <w:t> </w:t>
      </w:r>
      <w:r>
        <w:rPr>
          <w:spacing w:val="-2"/>
          <w:w w:val="110"/>
        </w:rPr>
        <w:t>circumstances.</w:t>
      </w:r>
    </w:p>
    <w:p>
      <w:pPr>
        <w:pStyle w:val="BodyText"/>
        <w:spacing w:before="34"/>
      </w:pPr>
      <w:r>
        <w:rPr>
          <w:w w:val="110"/>
        </w:rPr>
        <w:t>Interference</w:t>
      </w:r>
      <w:r>
        <w:rPr>
          <w:spacing w:val="-8"/>
          <w:w w:val="110"/>
        </w:rPr>
        <w:t> </w:t>
      </w:r>
      <w:r>
        <w:rPr>
          <w:w w:val="110"/>
        </w:rPr>
        <w:t>with</w:t>
      </w:r>
      <w:r>
        <w:rPr>
          <w:spacing w:val="-7"/>
          <w:w w:val="110"/>
        </w:rPr>
        <w:t> </w:t>
      </w:r>
      <w:r>
        <w:rPr>
          <w:w w:val="110"/>
        </w:rPr>
        <w:t>the</w:t>
      </w:r>
      <w:r>
        <w:rPr>
          <w:spacing w:val="-8"/>
          <w:w w:val="110"/>
        </w:rPr>
        <w:t> </w:t>
      </w:r>
      <w:r>
        <w:rPr>
          <w:w w:val="110"/>
        </w:rPr>
        <w:t>essence</w:t>
      </w:r>
      <w:r>
        <w:rPr>
          <w:spacing w:val="-7"/>
          <w:w w:val="110"/>
        </w:rPr>
        <w:t> </w:t>
      </w:r>
      <w:r>
        <w:rPr>
          <w:w w:val="110"/>
        </w:rPr>
        <w:t>of</w:t>
      </w:r>
      <w:r>
        <w:rPr>
          <w:spacing w:val="-7"/>
          <w:w w:val="110"/>
        </w:rPr>
        <w:t> </w:t>
      </w:r>
      <w:r>
        <w:rPr>
          <w:w w:val="110"/>
        </w:rPr>
        <w:t>a</w:t>
      </w:r>
      <w:r>
        <w:rPr>
          <w:spacing w:val="-8"/>
          <w:w w:val="110"/>
        </w:rPr>
        <w:t> </w:t>
      </w:r>
      <w:r>
        <w:rPr>
          <w:spacing w:val="-2"/>
          <w:w w:val="110"/>
        </w:rPr>
        <w:t>right</w:t>
      </w:r>
    </w:p>
    <w:p>
      <w:pPr>
        <w:pStyle w:val="BodyText"/>
        <w:spacing w:line="310" w:lineRule="exact" w:before="88"/>
        <w:ind w:right="266"/>
      </w:pPr>
      <w:r>
        <w:rPr/>
        <w:br w:type="column"/>
      </w:r>
      <w:r>
        <w:rPr>
          <w:w w:val="110"/>
        </w:rPr>
        <w:t>would ‘call into question the right as </w:t>
      </w:r>
      <w:r>
        <w:rPr/>
        <w:t>such’.</w:t>
      </w:r>
      <w:r>
        <w:rPr>
          <w:rFonts w:ascii="Lucida Sans Unicode" w:hAnsi="Lucida Sans Unicode"/>
          <w:vertAlign w:val="superscript"/>
        </w:rPr>
        <w:t>106</w:t>
      </w:r>
      <w:r>
        <w:rPr>
          <w:rFonts w:ascii="Lucida Sans Unicode" w:hAnsi="Lucida Sans Unicode"/>
          <w:vertAlign w:val="baseline"/>
        </w:rPr>
        <w:t> </w:t>
      </w:r>
      <w:r>
        <w:rPr>
          <w:vertAlign w:val="baseline"/>
        </w:rPr>
        <w:t>The CJEU has found </w:t>
      </w:r>
      <w:r>
        <w:rPr>
          <w:vertAlign w:val="baseline"/>
        </w:rPr>
        <w:t>violations </w:t>
      </w:r>
      <w:r>
        <w:rPr>
          <w:w w:val="110"/>
          <w:vertAlign w:val="baseline"/>
        </w:rPr>
        <w:t>of the essence – which it sometimes refers to as the ‘very substance of</w:t>
      </w:r>
    </w:p>
    <w:p>
      <w:pPr>
        <w:pStyle w:val="BodyText"/>
        <w:spacing w:line="310" w:lineRule="exact"/>
        <w:ind w:right="136"/>
        <w:rPr>
          <w:rFonts w:ascii="Lucida Sans Unicode" w:hAnsi="Lucida Sans Unicode"/>
        </w:rPr>
      </w:pPr>
      <w:r>
        <w:rPr>
          <w:w w:val="105"/>
        </w:rPr>
        <w:t>the right’ – in a number of cases. For instance, generalised access for public authorities to the content of electronic</w:t>
      </w:r>
      <w:r>
        <w:rPr>
          <w:spacing w:val="80"/>
          <w:w w:val="150"/>
        </w:rPr>
        <w:t> </w:t>
      </w:r>
      <w:r>
        <w:rPr>
          <w:w w:val="105"/>
        </w:rPr>
        <w:t>communications</w:t>
      </w:r>
      <w:r>
        <w:rPr>
          <w:spacing w:val="40"/>
          <w:w w:val="105"/>
        </w:rPr>
        <w:t> </w:t>
      </w:r>
      <w:r>
        <w:rPr>
          <w:w w:val="105"/>
        </w:rPr>
        <w:t>would</w:t>
      </w:r>
      <w:r>
        <w:rPr>
          <w:spacing w:val="40"/>
          <w:w w:val="105"/>
        </w:rPr>
        <w:t> </w:t>
      </w:r>
      <w:r>
        <w:rPr>
          <w:w w:val="105"/>
        </w:rPr>
        <w:t>be</w:t>
      </w:r>
      <w:r>
        <w:rPr>
          <w:spacing w:val="40"/>
          <w:w w:val="105"/>
        </w:rPr>
        <w:t> </w:t>
      </w:r>
      <w:r>
        <w:rPr>
          <w:w w:val="105"/>
        </w:rPr>
        <w:t>a</w:t>
      </w:r>
      <w:r>
        <w:rPr>
          <w:spacing w:val="40"/>
          <w:w w:val="105"/>
        </w:rPr>
        <w:t> </w:t>
      </w:r>
      <w:r>
        <w:rPr>
          <w:w w:val="105"/>
        </w:rPr>
        <w:t>violation</w:t>
      </w:r>
      <w:r>
        <w:rPr>
          <w:spacing w:val="80"/>
          <w:w w:val="105"/>
        </w:rPr>
        <w:t> </w:t>
      </w:r>
      <w:r>
        <w:rPr>
          <w:w w:val="105"/>
        </w:rPr>
        <w:t>of</w:t>
      </w:r>
      <w:r>
        <w:rPr>
          <w:spacing w:val="40"/>
          <w:w w:val="105"/>
        </w:rPr>
        <w:t> </w:t>
      </w:r>
      <w:r>
        <w:rPr>
          <w:w w:val="105"/>
        </w:rPr>
        <w:t>the</w:t>
      </w:r>
      <w:r>
        <w:rPr>
          <w:spacing w:val="40"/>
          <w:w w:val="105"/>
        </w:rPr>
        <w:t> </w:t>
      </w:r>
      <w:r>
        <w:rPr>
          <w:w w:val="105"/>
        </w:rPr>
        <w:t>essence</w:t>
      </w:r>
      <w:r>
        <w:rPr>
          <w:spacing w:val="40"/>
          <w:w w:val="105"/>
        </w:rPr>
        <w:t> </w:t>
      </w:r>
      <w:r>
        <w:rPr>
          <w:w w:val="105"/>
        </w:rPr>
        <w:t>of</w:t>
      </w:r>
      <w:r>
        <w:rPr>
          <w:spacing w:val="40"/>
          <w:w w:val="105"/>
        </w:rPr>
        <w:t> </w:t>
      </w:r>
      <w:r>
        <w:rPr>
          <w:w w:val="105"/>
        </w:rPr>
        <w:t>Article</w:t>
      </w:r>
      <w:r>
        <w:rPr>
          <w:spacing w:val="40"/>
          <w:w w:val="105"/>
        </w:rPr>
        <w:t> </w:t>
      </w:r>
      <w:r>
        <w:rPr>
          <w:w w:val="105"/>
        </w:rPr>
        <w:t>7</w:t>
      </w:r>
      <w:r>
        <w:rPr>
          <w:spacing w:val="40"/>
          <w:w w:val="105"/>
        </w:rPr>
        <w:t> </w:t>
      </w:r>
      <w:r>
        <w:rPr>
          <w:w w:val="105"/>
        </w:rPr>
        <w:t>CFR</w:t>
      </w:r>
      <w:r>
        <w:rPr>
          <w:spacing w:val="40"/>
          <w:w w:val="105"/>
        </w:rPr>
        <w:t> </w:t>
      </w:r>
      <w:r>
        <w:rPr>
          <w:w w:val="105"/>
        </w:rPr>
        <w:t>(right to private and family life).</w:t>
      </w:r>
      <w:r>
        <w:rPr>
          <w:rFonts w:ascii="Lucida Sans Unicode" w:hAnsi="Lucida Sans Unicode"/>
          <w:w w:val="105"/>
          <w:vertAlign w:val="superscript"/>
        </w:rPr>
        <w:t>107</w:t>
      </w:r>
      <w:r>
        <w:rPr>
          <w:rFonts w:ascii="Lucida Sans Unicode" w:hAnsi="Lucida Sans Unicode"/>
          <w:w w:val="105"/>
          <w:vertAlign w:val="baseline"/>
        </w:rPr>
        <w:t> </w:t>
      </w:r>
      <w:r>
        <w:rPr>
          <w:w w:val="105"/>
          <w:vertAlign w:val="baseline"/>
        </w:rPr>
        <w:t>National legislation not providing for any</w:t>
      </w:r>
      <w:r>
        <w:rPr>
          <w:spacing w:val="40"/>
          <w:w w:val="105"/>
          <w:vertAlign w:val="baseline"/>
        </w:rPr>
        <w:t> </w:t>
      </w:r>
      <w:r>
        <w:rPr>
          <w:w w:val="105"/>
          <w:vertAlign w:val="baseline"/>
        </w:rPr>
        <w:t>possibility for an individual to pursue</w:t>
      </w:r>
      <w:r>
        <w:rPr>
          <w:spacing w:val="40"/>
          <w:w w:val="105"/>
          <w:vertAlign w:val="baseline"/>
        </w:rPr>
        <w:t> </w:t>
      </w:r>
      <w:r>
        <w:rPr>
          <w:w w:val="105"/>
          <w:vertAlign w:val="baseline"/>
        </w:rPr>
        <w:t>legal remedies in order to have access</w:t>
      </w:r>
      <w:r>
        <w:rPr>
          <w:spacing w:val="40"/>
          <w:w w:val="105"/>
          <w:vertAlign w:val="baseline"/>
        </w:rPr>
        <w:t> </w:t>
      </w:r>
      <w:r>
        <w:rPr>
          <w:w w:val="105"/>
          <w:vertAlign w:val="baseline"/>
        </w:rPr>
        <w:t>to personal data relating to him, or to</w:t>
      </w:r>
      <w:r>
        <w:rPr>
          <w:spacing w:val="40"/>
          <w:w w:val="105"/>
          <w:vertAlign w:val="baseline"/>
        </w:rPr>
        <w:t> </w:t>
      </w:r>
      <w:r>
        <w:rPr>
          <w:rFonts w:ascii="Lucida Sans Unicode" w:hAnsi="Lucida Sans Unicode"/>
          <w:w w:val="105"/>
          <w:vertAlign w:val="baseline"/>
        </w:rPr>
        <w:t>obtain</w:t>
      </w:r>
      <w:r>
        <w:rPr>
          <w:rFonts w:ascii="Lucida Sans Unicode" w:hAnsi="Lucida Sans Unicode"/>
          <w:spacing w:val="-14"/>
          <w:w w:val="105"/>
          <w:vertAlign w:val="baseline"/>
        </w:rPr>
        <w:t> </w:t>
      </w:r>
      <w:r>
        <w:rPr>
          <w:rFonts w:ascii="Lucida Sans Unicode" w:hAnsi="Lucida Sans Unicode"/>
          <w:w w:val="105"/>
          <w:vertAlign w:val="baseline"/>
        </w:rPr>
        <w:t>the</w:t>
      </w:r>
      <w:r>
        <w:rPr>
          <w:rFonts w:ascii="Lucida Sans Unicode" w:hAnsi="Lucida Sans Unicode"/>
          <w:spacing w:val="-14"/>
          <w:w w:val="105"/>
          <w:vertAlign w:val="baseline"/>
        </w:rPr>
        <w:t> </w:t>
      </w:r>
      <w:r>
        <w:rPr>
          <w:rFonts w:ascii="Lucida Sans Unicode" w:hAnsi="Lucida Sans Unicode"/>
          <w:w w:val="105"/>
          <w:vertAlign w:val="baseline"/>
        </w:rPr>
        <w:t>rectification</w:t>
      </w:r>
      <w:r>
        <w:rPr>
          <w:rFonts w:ascii="Lucida Sans Unicode" w:hAnsi="Lucida Sans Unicode"/>
          <w:spacing w:val="-14"/>
          <w:w w:val="105"/>
          <w:vertAlign w:val="baseline"/>
        </w:rPr>
        <w:t> </w:t>
      </w:r>
      <w:r>
        <w:rPr>
          <w:rFonts w:ascii="Lucida Sans Unicode" w:hAnsi="Lucida Sans Unicode"/>
          <w:w w:val="105"/>
          <w:vertAlign w:val="baseline"/>
        </w:rPr>
        <w:t>or</w:t>
      </w:r>
      <w:r>
        <w:rPr>
          <w:rFonts w:ascii="Lucida Sans Unicode" w:hAnsi="Lucida Sans Unicode"/>
          <w:spacing w:val="-14"/>
          <w:w w:val="105"/>
          <w:vertAlign w:val="baseline"/>
        </w:rPr>
        <w:t> </w:t>
      </w:r>
      <w:r>
        <w:rPr>
          <w:rFonts w:ascii="Lucida Sans Unicode" w:hAnsi="Lucida Sans Unicode"/>
          <w:w w:val="105"/>
          <w:vertAlign w:val="baseline"/>
        </w:rPr>
        <w:t>erasure</w:t>
      </w:r>
      <w:r>
        <w:rPr>
          <w:rFonts w:ascii="Lucida Sans Unicode" w:hAnsi="Lucida Sans Unicode"/>
          <w:spacing w:val="-14"/>
          <w:w w:val="105"/>
          <w:vertAlign w:val="baseline"/>
        </w:rPr>
        <w:t> </w:t>
      </w:r>
      <w:r>
        <w:rPr>
          <w:rFonts w:ascii="Lucida Sans Unicode" w:hAnsi="Lucida Sans Unicode"/>
          <w:w w:val="105"/>
          <w:vertAlign w:val="baseline"/>
        </w:rPr>
        <w:t>of </w:t>
      </w:r>
      <w:r>
        <w:rPr>
          <w:w w:val="105"/>
          <w:vertAlign w:val="baseline"/>
        </w:rPr>
        <w:t>such</w:t>
      </w:r>
      <w:r>
        <w:rPr>
          <w:spacing w:val="40"/>
          <w:w w:val="105"/>
          <w:vertAlign w:val="baseline"/>
        </w:rPr>
        <w:t> </w:t>
      </w:r>
      <w:r>
        <w:rPr>
          <w:w w:val="105"/>
          <w:vertAlign w:val="baseline"/>
        </w:rPr>
        <w:t>data</w:t>
      </w:r>
      <w:r>
        <w:rPr>
          <w:spacing w:val="40"/>
          <w:w w:val="105"/>
          <w:vertAlign w:val="baseline"/>
        </w:rPr>
        <w:t> </w:t>
      </w:r>
      <w:r>
        <w:rPr>
          <w:w w:val="105"/>
          <w:vertAlign w:val="baseline"/>
        </w:rPr>
        <w:t>would</w:t>
      </w:r>
      <w:r>
        <w:rPr>
          <w:spacing w:val="40"/>
          <w:w w:val="105"/>
          <w:vertAlign w:val="baseline"/>
        </w:rPr>
        <w:t> </w:t>
      </w:r>
      <w:r>
        <w:rPr>
          <w:w w:val="105"/>
          <w:vertAlign w:val="baseline"/>
        </w:rPr>
        <w:t>constitute</w:t>
      </w:r>
      <w:r>
        <w:rPr>
          <w:spacing w:val="40"/>
          <w:w w:val="105"/>
          <w:vertAlign w:val="baseline"/>
        </w:rPr>
        <w:t> </w:t>
      </w:r>
      <w:r>
        <w:rPr>
          <w:w w:val="105"/>
          <w:vertAlign w:val="baseline"/>
        </w:rPr>
        <w:t>a</w:t>
      </w:r>
      <w:r>
        <w:rPr>
          <w:spacing w:val="40"/>
          <w:w w:val="105"/>
          <w:vertAlign w:val="baseline"/>
        </w:rPr>
        <w:t> </w:t>
      </w:r>
      <w:r>
        <w:rPr>
          <w:w w:val="105"/>
          <w:vertAlign w:val="baseline"/>
        </w:rPr>
        <w:t>violation </w:t>
      </w:r>
      <w:r>
        <w:rPr>
          <w:rFonts w:ascii="Lucida Sans Unicode" w:hAnsi="Lucida Sans Unicode"/>
          <w:w w:val="105"/>
          <w:vertAlign w:val="baseline"/>
        </w:rPr>
        <w:t>of</w:t>
      </w:r>
      <w:r>
        <w:rPr>
          <w:rFonts w:ascii="Lucida Sans Unicode" w:hAnsi="Lucida Sans Unicode"/>
          <w:spacing w:val="-16"/>
          <w:w w:val="105"/>
          <w:vertAlign w:val="baseline"/>
        </w:rPr>
        <w:t> </w:t>
      </w:r>
      <w:r>
        <w:rPr>
          <w:rFonts w:ascii="Lucida Sans Unicode" w:hAnsi="Lucida Sans Unicode"/>
          <w:w w:val="105"/>
          <w:vertAlign w:val="baseline"/>
        </w:rPr>
        <w:t>the</w:t>
      </w:r>
      <w:r>
        <w:rPr>
          <w:rFonts w:ascii="Lucida Sans Unicode" w:hAnsi="Lucida Sans Unicode"/>
          <w:spacing w:val="-16"/>
          <w:w w:val="105"/>
          <w:vertAlign w:val="baseline"/>
        </w:rPr>
        <w:t> </w:t>
      </w:r>
      <w:r>
        <w:rPr>
          <w:rFonts w:ascii="Lucida Sans Unicode" w:hAnsi="Lucida Sans Unicode"/>
          <w:w w:val="105"/>
          <w:vertAlign w:val="baseline"/>
        </w:rPr>
        <w:t>essence</w:t>
      </w:r>
      <w:r>
        <w:rPr>
          <w:rFonts w:ascii="Lucida Sans Unicode" w:hAnsi="Lucida Sans Unicode"/>
          <w:spacing w:val="-16"/>
          <w:w w:val="105"/>
          <w:vertAlign w:val="baseline"/>
        </w:rPr>
        <w:t> </w:t>
      </w:r>
      <w:r>
        <w:rPr>
          <w:rFonts w:ascii="Lucida Sans Unicode" w:hAnsi="Lucida Sans Unicode"/>
          <w:w w:val="105"/>
          <w:vertAlign w:val="baseline"/>
        </w:rPr>
        <w:t>of</w:t>
      </w:r>
      <w:r>
        <w:rPr>
          <w:rFonts w:ascii="Lucida Sans Unicode" w:hAnsi="Lucida Sans Unicode"/>
          <w:spacing w:val="-16"/>
          <w:w w:val="105"/>
          <w:vertAlign w:val="baseline"/>
        </w:rPr>
        <w:t> </w:t>
      </w:r>
      <w:r>
        <w:rPr>
          <w:rFonts w:ascii="Lucida Sans Unicode" w:hAnsi="Lucida Sans Unicode"/>
          <w:w w:val="105"/>
          <w:vertAlign w:val="baseline"/>
        </w:rPr>
        <w:t>Article</w:t>
      </w:r>
      <w:r>
        <w:rPr>
          <w:rFonts w:ascii="Lucida Sans Unicode" w:hAnsi="Lucida Sans Unicode"/>
          <w:spacing w:val="-16"/>
          <w:w w:val="105"/>
          <w:vertAlign w:val="baseline"/>
        </w:rPr>
        <w:t> </w:t>
      </w:r>
      <w:r>
        <w:rPr>
          <w:rFonts w:ascii="Lucida Sans Unicode" w:hAnsi="Lucida Sans Unicode"/>
          <w:w w:val="105"/>
          <w:vertAlign w:val="baseline"/>
        </w:rPr>
        <w:t>47</w:t>
      </w:r>
      <w:r>
        <w:rPr>
          <w:rFonts w:ascii="Lucida Sans Unicode" w:hAnsi="Lucida Sans Unicode"/>
          <w:spacing w:val="-16"/>
          <w:w w:val="105"/>
          <w:vertAlign w:val="baseline"/>
        </w:rPr>
        <w:t> </w:t>
      </w:r>
      <w:r>
        <w:rPr>
          <w:rFonts w:ascii="Lucida Sans Unicode" w:hAnsi="Lucida Sans Unicode"/>
          <w:w w:val="105"/>
          <w:vertAlign w:val="baseline"/>
        </w:rPr>
        <w:t>CFR</w:t>
      </w:r>
      <w:r>
        <w:rPr>
          <w:rFonts w:ascii="Lucida Sans Unicode" w:hAnsi="Lucida Sans Unicode"/>
          <w:spacing w:val="-16"/>
          <w:w w:val="105"/>
          <w:vertAlign w:val="baseline"/>
        </w:rPr>
        <w:t> </w:t>
      </w:r>
      <w:r>
        <w:rPr>
          <w:rFonts w:ascii="Lucida Sans Unicode" w:hAnsi="Lucida Sans Unicode"/>
          <w:w w:val="105"/>
          <w:vertAlign w:val="baseline"/>
        </w:rPr>
        <w:t>(right </w:t>
      </w:r>
      <w:r>
        <w:rPr>
          <w:w w:val="105"/>
          <w:vertAlign w:val="baseline"/>
        </w:rPr>
        <w:t>to an effective remedy).</w:t>
      </w:r>
      <w:r>
        <w:rPr>
          <w:rFonts w:ascii="Lucida Sans Unicode" w:hAnsi="Lucida Sans Unicode"/>
          <w:w w:val="105"/>
          <w:vertAlign w:val="superscript"/>
        </w:rPr>
        <w:t>108</w:t>
      </w:r>
      <w:r>
        <w:rPr>
          <w:rFonts w:ascii="Lucida Sans Unicode" w:hAnsi="Lucida Sans Unicode"/>
          <w:w w:val="105"/>
          <w:vertAlign w:val="baseline"/>
        </w:rPr>
        <w:t> </w:t>
      </w:r>
      <w:r>
        <w:rPr>
          <w:w w:val="105"/>
          <w:vertAlign w:val="baseline"/>
        </w:rPr>
        <w:t>The loss of a worker’s acquired right to paid annual</w:t>
      </w:r>
      <w:r>
        <w:rPr>
          <w:spacing w:val="40"/>
          <w:w w:val="105"/>
          <w:vertAlign w:val="baseline"/>
        </w:rPr>
        <w:t> </w:t>
      </w:r>
      <w:r>
        <w:rPr>
          <w:w w:val="105"/>
          <w:vertAlign w:val="baseline"/>
        </w:rPr>
        <w:t>leave or their corresponding right to</w:t>
      </w:r>
      <w:r>
        <w:rPr>
          <w:spacing w:val="40"/>
          <w:w w:val="105"/>
          <w:vertAlign w:val="baseline"/>
        </w:rPr>
        <w:t> </w:t>
      </w:r>
      <w:r>
        <w:rPr>
          <w:w w:val="105"/>
          <w:vertAlign w:val="baseline"/>
        </w:rPr>
        <w:t>payment</w:t>
      </w:r>
      <w:r>
        <w:rPr>
          <w:spacing w:val="40"/>
          <w:w w:val="105"/>
          <w:vertAlign w:val="baseline"/>
        </w:rPr>
        <w:t> </w:t>
      </w:r>
      <w:r>
        <w:rPr>
          <w:w w:val="105"/>
          <w:vertAlign w:val="baseline"/>
        </w:rPr>
        <w:t>of</w:t>
      </w:r>
      <w:r>
        <w:rPr>
          <w:spacing w:val="40"/>
          <w:w w:val="105"/>
          <w:vertAlign w:val="baseline"/>
        </w:rPr>
        <w:t> </w:t>
      </w:r>
      <w:r>
        <w:rPr>
          <w:w w:val="105"/>
          <w:vertAlign w:val="baseline"/>
        </w:rPr>
        <w:t>an</w:t>
      </w:r>
      <w:r>
        <w:rPr>
          <w:spacing w:val="40"/>
          <w:w w:val="105"/>
          <w:vertAlign w:val="baseline"/>
        </w:rPr>
        <w:t> </w:t>
      </w:r>
      <w:r>
        <w:rPr>
          <w:w w:val="105"/>
          <w:vertAlign w:val="baseline"/>
        </w:rPr>
        <w:t>allowance</w:t>
      </w:r>
      <w:r>
        <w:rPr>
          <w:spacing w:val="40"/>
          <w:w w:val="105"/>
          <w:vertAlign w:val="baseline"/>
        </w:rPr>
        <w:t> </w:t>
      </w:r>
      <w:r>
        <w:rPr>
          <w:w w:val="105"/>
          <w:vertAlign w:val="baseline"/>
        </w:rPr>
        <w:t>in</w:t>
      </w:r>
      <w:r>
        <w:rPr>
          <w:spacing w:val="40"/>
          <w:w w:val="105"/>
          <w:vertAlign w:val="baseline"/>
        </w:rPr>
        <w:t> </w:t>
      </w:r>
      <w:r>
        <w:rPr>
          <w:w w:val="105"/>
          <w:vertAlign w:val="baseline"/>
        </w:rPr>
        <w:t>lieu</w:t>
      </w:r>
      <w:r>
        <w:rPr>
          <w:spacing w:val="40"/>
          <w:w w:val="105"/>
          <w:vertAlign w:val="baseline"/>
        </w:rPr>
        <w:t> </w:t>
      </w:r>
      <w:r>
        <w:rPr>
          <w:w w:val="105"/>
          <w:vertAlign w:val="baseline"/>
        </w:rPr>
        <w:t>of leave</w:t>
      </w:r>
      <w:r>
        <w:rPr>
          <w:spacing w:val="40"/>
          <w:w w:val="105"/>
          <w:vertAlign w:val="baseline"/>
        </w:rPr>
        <w:t> </w:t>
      </w:r>
      <w:r>
        <w:rPr>
          <w:w w:val="105"/>
          <w:vertAlign w:val="baseline"/>
        </w:rPr>
        <w:t>not</w:t>
      </w:r>
      <w:r>
        <w:rPr>
          <w:spacing w:val="40"/>
          <w:w w:val="105"/>
          <w:vertAlign w:val="baseline"/>
        </w:rPr>
        <w:t> </w:t>
      </w:r>
      <w:r>
        <w:rPr>
          <w:w w:val="105"/>
          <w:vertAlign w:val="baseline"/>
        </w:rPr>
        <w:t>taken</w:t>
      </w:r>
      <w:r>
        <w:rPr>
          <w:spacing w:val="40"/>
          <w:w w:val="105"/>
          <w:vertAlign w:val="baseline"/>
        </w:rPr>
        <w:t> </w:t>
      </w:r>
      <w:r>
        <w:rPr>
          <w:w w:val="105"/>
          <w:vertAlign w:val="baseline"/>
        </w:rPr>
        <w:t>upon</w:t>
      </w:r>
      <w:r>
        <w:rPr>
          <w:spacing w:val="40"/>
          <w:w w:val="105"/>
          <w:vertAlign w:val="baseline"/>
        </w:rPr>
        <w:t> </w:t>
      </w:r>
      <w:r>
        <w:rPr>
          <w:w w:val="105"/>
          <w:vertAlign w:val="baseline"/>
        </w:rPr>
        <w:t>termination</w:t>
      </w:r>
      <w:r>
        <w:rPr>
          <w:spacing w:val="40"/>
          <w:w w:val="105"/>
          <w:vertAlign w:val="baseline"/>
        </w:rPr>
        <w:t> </w:t>
      </w:r>
      <w:r>
        <w:rPr>
          <w:w w:val="105"/>
          <w:vertAlign w:val="baseline"/>
        </w:rPr>
        <w:t>of</w:t>
      </w:r>
      <w:r>
        <w:rPr>
          <w:spacing w:val="80"/>
          <w:w w:val="105"/>
          <w:vertAlign w:val="baseline"/>
        </w:rPr>
        <w:t> </w:t>
      </w:r>
      <w:r>
        <w:rPr>
          <w:w w:val="105"/>
          <w:vertAlign w:val="baseline"/>
        </w:rPr>
        <w:t>the</w:t>
      </w:r>
      <w:r>
        <w:rPr>
          <w:spacing w:val="40"/>
          <w:w w:val="105"/>
          <w:vertAlign w:val="baseline"/>
        </w:rPr>
        <w:t> </w:t>
      </w:r>
      <w:r>
        <w:rPr>
          <w:w w:val="105"/>
          <w:vertAlign w:val="baseline"/>
        </w:rPr>
        <w:t>employment</w:t>
      </w:r>
      <w:r>
        <w:rPr>
          <w:spacing w:val="40"/>
          <w:w w:val="105"/>
          <w:vertAlign w:val="baseline"/>
        </w:rPr>
        <w:t> </w:t>
      </w:r>
      <w:r>
        <w:rPr>
          <w:w w:val="105"/>
          <w:vertAlign w:val="baseline"/>
        </w:rPr>
        <w:t>relationship,</w:t>
      </w:r>
      <w:r>
        <w:rPr>
          <w:spacing w:val="40"/>
          <w:w w:val="105"/>
          <w:vertAlign w:val="baseline"/>
        </w:rPr>
        <w:t> </w:t>
      </w:r>
      <w:r>
        <w:rPr>
          <w:w w:val="105"/>
          <w:vertAlign w:val="baseline"/>
        </w:rPr>
        <w:t>without the worker having actually had the opportunity</w:t>
      </w:r>
      <w:r>
        <w:rPr>
          <w:spacing w:val="40"/>
          <w:w w:val="105"/>
          <w:vertAlign w:val="baseline"/>
        </w:rPr>
        <w:t> </w:t>
      </w:r>
      <w:r>
        <w:rPr>
          <w:w w:val="105"/>
          <w:vertAlign w:val="baseline"/>
        </w:rPr>
        <w:t>to</w:t>
      </w:r>
      <w:r>
        <w:rPr>
          <w:spacing w:val="40"/>
          <w:w w:val="105"/>
          <w:vertAlign w:val="baseline"/>
        </w:rPr>
        <w:t> </w:t>
      </w:r>
      <w:r>
        <w:rPr>
          <w:w w:val="105"/>
          <w:vertAlign w:val="baseline"/>
        </w:rPr>
        <w:t>exercise</w:t>
      </w:r>
      <w:r>
        <w:rPr>
          <w:spacing w:val="40"/>
          <w:w w:val="105"/>
          <w:vertAlign w:val="baseline"/>
        </w:rPr>
        <w:t> </w:t>
      </w:r>
      <w:r>
        <w:rPr>
          <w:w w:val="105"/>
          <w:vertAlign w:val="baseline"/>
        </w:rPr>
        <w:t>that</w:t>
      </w:r>
      <w:r>
        <w:rPr>
          <w:spacing w:val="40"/>
          <w:w w:val="105"/>
          <w:vertAlign w:val="baseline"/>
        </w:rPr>
        <w:t> </w:t>
      </w:r>
      <w:r>
        <w:rPr>
          <w:w w:val="105"/>
          <w:vertAlign w:val="baseline"/>
        </w:rPr>
        <w:t>right</w:t>
      </w:r>
      <w:r>
        <w:rPr>
          <w:spacing w:val="40"/>
          <w:w w:val="105"/>
          <w:vertAlign w:val="baseline"/>
        </w:rPr>
        <w:t> </w:t>
      </w:r>
      <w:r>
        <w:rPr>
          <w:w w:val="105"/>
          <w:vertAlign w:val="baseline"/>
        </w:rPr>
        <w:t>to</w:t>
      </w:r>
      <w:r>
        <w:rPr>
          <w:spacing w:val="40"/>
          <w:w w:val="105"/>
          <w:vertAlign w:val="baseline"/>
        </w:rPr>
        <w:t> </w:t>
      </w:r>
      <w:r>
        <w:rPr>
          <w:w w:val="105"/>
          <w:vertAlign w:val="baseline"/>
        </w:rPr>
        <w:t>paid</w:t>
      </w:r>
      <w:r>
        <w:rPr>
          <w:spacing w:val="40"/>
          <w:w w:val="105"/>
          <w:vertAlign w:val="baseline"/>
        </w:rPr>
        <w:t> </w:t>
      </w:r>
      <w:r>
        <w:rPr>
          <w:w w:val="105"/>
          <w:vertAlign w:val="baseline"/>
        </w:rPr>
        <w:t>annual</w:t>
      </w:r>
      <w:r>
        <w:rPr>
          <w:spacing w:val="40"/>
          <w:w w:val="105"/>
          <w:vertAlign w:val="baseline"/>
        </w:rPr>
        <w:t> </w:t>
      </w:r>
      <w:r>
        <w:rPr>
          <w:w w:val="105"/>
          <w:vertAlign w:val="baseline"/>
        </w:rPr>
        <w:t>leave,</w:t>
      </w:r>
      <w:r>
        <w:rPr>
          <w:spacing w:val="40"/>
          <w:w w:val="105"/>
          <w:vertAlign w:val="baseline"/>
        </w:rPr>
        <w:t> </w:t>
      </w:r>
      <w:r>
        <w:rPr>
          <w:w w:val="105"/>
          <w:vertAlign w:val="baseline"/>
        </w:rPr>
        <w:t>would</w:t>
      </w:r>
      <w:r>
        <w:rPr>
          <w:spacing w:val="40"/>
          <w:w w:val="105"/>
          <w:vertAlign w:val="baseline"/>
        </w:rPr>
        <w:t> </w:t>
      </w:r>
      <w:r>
        <w:rPr>
          <w:w w:val="105"/>
          <w:vertAlign w:val="baseline"/>
        </w:rPr>
        <w:t>undermine</w:t>
      </w:r>
      <w:r>
        <w:rPr>
          <w:spacing w:val="40"/>
          <w:w w:val="105"/>
          <w:vertAlign w:val="baseline"/>
        </w:rPr>
        <w:t> </w:t>
      </w:r>
      <w:r>
        <w:rPr>
          <w:w w:val="105"/>
          <w:vertAlign w:val="baseline"/>
        </w:rPr>
        <w:t>the very substance of that right </w:t>
      </w:r>
      <w:r>
        <w:rPr>
          <w:rFonts w:ascii="Lucida Sans Unicode" w:hAnsi="Lucida Sans Unicode"/>
          <w:w w:val="105"/>
          <w:vertAlign w:val="baseline"/>
        </w:rPr>
        <w:t>contained</w:t>
      </w:r>
      <w:r>
        <w:rPr>
          <w:rFonts w:ascii="Lucida Sans Unicode" w:hAnsi="Lucida Sans Unicode"/>
          <w:spacing w:val="-20"/>
          <w:w w:val="105"/>
          <w:vertAlign w:val="baseline"/>
        </w:rPr>
        <w:t> </w:t>
      </w:r>
      <w:r>
        <w:rPr>
          <w:rFonts w:ascii="Lucida Sans Unicode" w:hAnsi="Lucida Sans Unicode"/>
          <w:w w:val="105"/>
          <w:vertAlign w:val="baseline"/>
        </w:rPr>
        <w:t>in</w:t>
      </w:r>
      <w:r>
        <w:rPr>
          <w:rFonts w:ascii="Lucida Sans Unicode" w:hAnsi="Lucida Sans Unicode"/>
          <w:spacing w:val="-20"/>
          <w:w w:val="105"/>
          <w:vertAlign w:val="baseline"/>
        </w:rPr>
        <w:t> </w:t>
      </w:r>
      <w:r>
        <w:rPr>
          <w:rFonts w:ascii="Lucida Sans Unicode" w:hAnsi="Lucida Sans Unicode"/>
          <w:w w:val="105"/>
          <w:vertAlign w:val="baseline"/>
        </w:rPr>
        <w:t>Article</w:t>
      </w:r>
      <w:r>
        <w:rPr>
          <w:rFonts w:ascii="Lucida Sans Unicode" w:hAnsi="Lucida Sans Unicode"/>
          <w:spacing w:val="-20"/>
          <w:w w:val="105"/>
          <w:vertAlign w:val="baseline"/>
        </w:rPr>
        <w:t> </w:t>
      </w:r>
      <w:r>
        <w:rPr>
          <w:rFonts w:ascii="Lucida Sans Unicode" w:hAnsi="Lucida Sans Unicode"/>
          <w:w w:val="105"/>
          <w:vertAlign w:val="baseline"/>
        </w:rPr>
        <w:t>31</w:t>
      </w:r>
      <w:r>
        <w:rPr>
          <w:rFonts w:ascii="Lucida Sans Unicode" w:hAnsi="Lucida Sans Unicode"/>
          <w:spacing w:val="-20"/>
          <w:w w:val="105"/>
          <w:vertAlign w:val="baseline"/>
        </w:rPr>
        <w:t> </w:t>
      </w:r>
      <w:r>
        <w:rPr>
          <w:rFonts w:ascii="Lucida Sans Unicode" w:hAnsi="Lucida Sans Unicode"/>
          <w:w w:val="105"/>
          <w:vertAlign w:val="baseline"/>
        </w:rPr>
        <w:t>(2)</w:t>
      </w:r>
      <w:r>
        <w:rPr>
          <w:rFonts w:ascii="Lucida Sans Unicode" w:hAnsi="Lucida Sans Unicode"/>
          <w:spacing w:val="-20"/>
          <w:w w:val="105"/>
          <w:vertAlign w:val="baseline"/>
        </w:rPr>
        <w:t> </w:t>
      </w:r>
      <w:r>
        <w:rPr>
          <w:rFonts w:ascii="Lucida Sans Unicode" w:hAnsi="Lucida Sans Unicode"/>
          <w:w w:val="105"/>
          <w:vertAlign w:val="baseline"/>
        </w:rPr>
        <w:t>CFR.</w:t>
      </w:r>
      <w:r>
        <w:rPr>
          <w:rFonts w:ascii="Lucida Sans Unicode" w:hAnsi="Lucida Sans Unicode"/>
          <w:w w:val="105"/>
          <w:vertAlign w:val="superscript"/>
        </w:rPr>
        <w:t>109</w:t>
      </w:r>
      <w:r>
        <w:rPr>
          <w:rFonts w:ascii="Lucida Sans Unicode" w:hAnsi="Lucida Sans Unicode"/>
          <w:spacing w:val="-20"/>
          <w:w w:val="105"/>
          <w:vertAlign w:val="baseline"/>
        </w:rPr>
        <w:t> </w:t>
      </w:r>
      <w:r>
        <w:rPr>
          <w:w w:val="105"/>
          <w:vertAlign w:val="baseline"/>
        </w:rPr>
        <w:t>The CJEU further held that the </w:t>
      </w:r>
      <w:r>
        <w:rPr>
          <w:w w:val="105"/>
          <w:vertAlign w:val="baseline"/>
        </w:rPr>
        <w:t>requirement</w:t>
      </w:r>
      <w:r>
        <w:rPr>
          <w:spacing w:val="40"/>
          <w:w w:val="105"/>
          <w:vertAlign w:val="baseline"/>
        </w:rPr>
        <w:t> </w:t>
      </w:r>
      <w:r>
        <w:rPr>
          <w:w w:val="105"/>
          <w:vertAlign w:val="baseline"/>
        </w:rPr>
        <w:t>of judicial independence forms part of</w:t>
      </w:r>
      <w:r>
        <w:rPr>
          <w:spacing w:val="40"/>
          <w:w w:val="105"/>
          <w:vertAlign w:val="baseline"/>
        </w:rPr>
        <w:t> </w:t>
      </w:r>
      <w:r>
        <w:rPr>
          <w:w w:val="105"/>
          <w:vertAlign w:val="baseline"/>
        </w:rPr>
        <w:t>the</w:t>
      </w:r>
      <w:r>
        <w:rPr>
          <w:spacing w:val="40"/>
          <w:w w:val="105"/>
          <w:vertAlign w:val="baseline"/>
        </w:rPr>
        <w:t> </w:t>
      </w:r>
      <w:r>
        <w:rPr>
          <w:w w:val="105"/>
          <w:vertAlign w:val="baseline"/>
        </w:rPr>
        <w:t>essence</w:t>
      </w:r>
      <w:r>
        <w:rPr>
          <w:spacing w:val="40"/>
          <w:w w:val="105"/>
          <w:vertAlign w:val="baseline"/>
        </w:rPr>
        <w:t> </w:t>
      </w:r>
      <w:r>
        <w:rPr>
          <w:w w:val="105"/>
          <w:vertAlign w:val="baseline"/>
        </w:rPr>
        <w:t>of</w:t>
      </w:r>
      <w:r>
        <w:rPr>
          <w:spacing w:val="40"/>
          <w:w w:val="105"/>
          <w:vertAlign w:val="baseline"/>
        </w:rPr>
        <w:t> </w:t>
      </w:r>
      <w:r>
        <w:rPr>
          <w:w w:val="105"/>
          <w:vertAlign w:val="baseline"/>
        </w:rPr>
        <w:t>the</w:t>
      </w:r>
      <w:r>
        <w:rPr>
          <w:spacing w:val="40"/>
          <w:w w:val="105"/>
          <w:vertAlign w:val="baseline"/>
        </w:rPr>
        <w:t> </w:t>
      </w:r>
      <w:r>
        <w:rPr>
          <w:w w:val="105"/>
          <w:vertAlign w:val="baseline"/>
        </w:rPr>
        <w:t>fundamental</w:t>
      </w:r>
      <w:r>
        <w:rPr>
          <w:spacing w:val="40"/>
          <w:w w:val="105"/>
          <w:vertAlign w:val="baseline"/>
        </w:rPr>
        <w:t> </w:t>
      </w:r>
      <w:r>
        <w:rPr>
          <w:w w:val="105"/>
          <w:vertAlign w:val="baseline"/>
        </w:rPr>
        <w:t>right</w:t>
      </w:r>
      <w:r>
        <w:rPr>
          <w:spacing w:val="80"/>
          <w:w w:val="105"/>
          <w:vertAlign w:val="baseline"/>
        </w:rPr>
        <w:t> </w:t>
      </w:r>
      <w:r>
        <w:rPr>
          <w:w w:val="105"/>
          <w:vertAlign w:val="baseline"/>
        </w:rPr>
        <w:t>to a fair trial.</w:t>
      </w:r>
      <w:r>
        <w:rPr>
          <w:rFonts w:ascii="Lucida Sans Unicode" w:hAnsi="Lucida Sans Unicode"/>
          <w:w w:val="105"/>
          <w:vertAlign w:val="superscript"/>
        </w:rPr>
        <w:t>110</w:t>
      </w:r>
    </w:p>
    <w:p>
      <w:pPr>
        <w:pStyle w:val="BodyText"/>
        <w:spacing w:line="268" w:lineRule="auto" w:before="323"/>
        <w:ind w:right="538"/>
      </w:pPr>
      <w:r>
        <w:rPr>
          <w:w w:val="110"/>
        </w:rPr>
        <w:t>Any limitation of a Charter right must comply with the principle of proportionality. The </w:t>
      </w:r>
      <w:r>
        <w:rPr>
          <w:w w:val="110"/>
        </w:rPr>
        <w:t>proportionality test is typically carried out in four </w:t>
      </w:r>
      <w:r>
        <w:rPr>
          <w:spacing w:val="-2"/>
          <w:w w:val="110"/>
        </w:rPr>
        <w:t>stages.</w:t>
      </w:r>
      <w:r>
        <w:rPr>
          <w:spacing w:val="-2"/>
          <w:w w:val="110"/>
          <w:vertAlign w:val="superscript"/>
        </w:rPr>
        <w:t>111</w:t>
      </w:r>
    </w:p>
    <w:p>
      <w:pPr>
        <w:spacing w:after="0" w:line="268" w:lineRule="auto"/>
        <w:sectPr>
          <w:type w:val="continuous"/>
          <w:pgSz w:w="11910" w:h="16840"/>
          <w:pgMar w:header="568" w:footer="580" w:top="0" w:bottom="280" w:left="1020" w:right="1020"/>
          <w:cols w:num="2" w:equalWidth="0">
            <w:col w:w="4732" w:space="313"/>
            <w:col w:w="4825"/>
          </w:cols>
        </w:sectPr>
      </w:pPr>
    </w:p>
    <w:p>
      <w:pPr>
        <w:pStyle w:val="BodyText"/>
        <w:spacing w:before="1"/>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95" name="Group 95"/>
                <wp:cNvGraphicFramePr>
                  <a:graphicFrameLocks/>
                </wp:cNvGraphicFramePr>
                <a:graphic>
                  <a:graphicData uri="http://schemas.microsoft.com/office/word/2010/wordprocessingGroup">
                    <wpg:wgp>
                      <wpg:cNvPr id="95" name="Group 95"/>
                      <wpg:cNvGrpSpPr/>
                      <wpg:grpSpPr>
                        <a:xfrm>
                          <a:off x="0" y="0"/>
                          <a:ext cx="6120130" cy="6350"/>
                          <a:chExt cx="6120130" cy="6350"/>
                        </a:xfrm>
                      </wpg:grpSpPr>
                      <wps:wsp>
                        <wps:cNvPr id="96" name="Graphic 96"/>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66"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7" w:val="left" w:leader="none"/>
        </w:tabs>
        <w:spacing w:line="194" w:lineRule="auto" w:before="94" w:after="0"/>
        <w:ind w:left="567" w:right="182" w:hanging="454"/>
        <w:jc w:val="left"/>
        <w:rPr>
          <w:sz w:val="16"/>
        </w:rPr>
      </w:pPr>
      <w:r>
        <w:rPr>
          <w:sz w:val="16"/>
        </w:rPr>
        <w:t>Koen Lenaerts, ‘Limits on Limitations: The Essence of Fundamental Rights in the EU’ (2019) 20 German law Journal 779, 781.</w:t>
      </w:r>
    </w:p>
    <w:p>
      <w:pPr>
        <w:pStyle w:val="ListParagraph"/>
        <w:numPr>
          <w:ilvl w:val="0"/>
          <w:numId w:val="6"/>
        </w:numPr>
        <w:tabs>
          <w:tab w:pos="565" w:val="left" w:leader="none"/>
        </w:tabs>
        <w:spacing w:line="191" w:lineRule="exact" w:before="0" w:after="0"/>
        <w:ind w:left="565" w:right="0" w:hanging="452"/>
        <w:jc w:val="left"/>
        <w:rPr>
          <w:sz w:val="16"/>
        </w:rPr>
      </w:pPr>
      <w:r>
        <w:rPr>
          <w:sz w:val="16"/>
        </w:rPr>
        <w:t>Case</w:t>
      </w:r>
      <w:r>
        <w:rPr>
          <w:spacing w:val="-12"/>
          <w:sz w:val="16"/>
        </w:rPr>
        <w:t> </w:t>
      </w:r>
      <w:r>
        <w:rPr>
          <w:sz w:val="16"/>
        </w:rPr>
        <w:t>C-650/13</w:t>
      </w:r>
      <w:r>
        <w:rPr>
          <w:spacing w:val="-8"/>
          <w:sz w:val="16"/>
        </w:rPr>
        <w:t> </w:t>
      </w:r>
      <w:r>
        <w:rPr>
          <w:rFonts w:ascii="Verdana" w:hAnsi="Verdana"/>
          <w:i/>
          <w:sz w:val="16"/>
        </w:rPr>
        <w:t>Delvigne</w:t>
      </w:r>
      <w:r>
        <w:rPr>
          <w:rFonts w:ascii="Verdana" w:hAnsi="Verdana"/>
          <w:i/>
          <w:spacing w:val="-14"/>
          <w:sz w:val="16"/>
        </w:rPr>
        <w:t> </w:t>
      </w:r>
      <w:r>
        <w:rPr>
          <w:rFonts w:ascii="Verdana" w:hAnsi="Verdana"/>
          <w:i/>
          <w:sz w:val="16"/>
        </w:rPr>
        <w:t>v</w:t>
      </w:r>
      <w:r>
        <w:rPr>
          <w:rFonts w:ascii="Verdana" w:hAnsi="Verdana"/>
          <w:i/>
          <w:spacing w:val="-14"/>
          <w:sz w:val="16"/>
        </w:rPr>
        <w:t> </w:t>
      </w:r>
      <w:r>
        <w:rPr>
          <w:rFonts w:ascii="Verdana" w:hAnsi="Verdana"/>
          <w:i/>
          <w:sz w:val="16"/>
        </w:rPr>
        <w:t>Commune</w:t>
      </w:r>
      <w:r>
        <w:rPr>
          <w:rFonts w:ascii="Verdana" w:hAnsi="Verdana"/>
          <w:i/>
          <w:spacing w:val="-14"/>
          <w:sz w:val="16"/>
        </w:rPr>
        <w:t> </w:t>
      </w:r>
      <w:r>
        <w:rPr>
          <w:rFonts w:ascii="Verdana" w:hAnsi="Verdana"/>
          <w:i/>
          <w:sz w:val="16"/>
        </w:rPr>
        <w:t>de</w:t>
      </w:r>
      <w:r>
        <w:rPr>
          <w:rFonts w:ascii="Verdana" w:hAnsi="Verdana"/>
          <w:i/>
          <w:spacing w:val="-15"/>
          <w:sz w:val="16"/>
        </w:rPr>
        <w:t> </w:t>
      </w:r>
      <w:r>
        <w:rPr>
          <w:rFonts w:ascii="Verdana" w:hAnsi="Verdana"/>
          <w:i/>
          <w:sz w:val="16"/>
        </w:rPr>
        <w:t>Lesparre-Médoc</w:t>
      </w:r>
      <w:r>
        <w:rPr>
          <w:rFonts w:ascii="Verdana" w:hAnsi="Verdana"/>
          <w:i/>
          <w:spacing w:val="-14"/>
          <w:sz w:val="16"/>
        </w:rPr>
        <w:t> </w:t>
      </w:r>
      <w:r>
        <w:rPr>
          <w:rFonts w:ascii="Verdana" w:hAnsi="Verdana"/>
          <w:i/>
          <w:sz w:val="16"/>
        </w:rPr>
        <w:t>and</w:t>
      </w:r>
      <w:r>
        <w:rPr>
          <w:rFonts w:ascii="Verdana" w:hAnsi="Verdana"/>
          <w:i/>
          <w:spacing w:val="-14"/>
          <w:sz w:val="16"/>
        </w:rPr>
        <w:t> </w:t>
      </w:r>
      <w:r>
        <w:rPr>
          <w:rFonts w:ascii="Verdana" w:hAnsi="Verdana"/>
          <w:i/>
          <w:sz w:val="16"/>
        </w:rPr>
        <w:t>Préfet</w:t>
      </w:r>
      <w:r>
        <w:rPr>
          <w:rFonts w:ascii="Verdana" w:hAnsi="Verdana"/>
          <w:i/>
          <w:spacing w:val="-14"/>
          <w:sz w:val="16"/>
        </w:rPr>
        <w:t> </w:t>
      </w:r>
      <w:r>
        <w:rPr>
          <w:rFonts w:ascii="Verdana" w:hAnsi="Verdana"/>
          <w:i/>
          <w:sz w:val="16"/>
        </w:rPr>
        <w:t>de</w:t>
      </w:r>
      <w:r>
        <w:rPr>
          <w:rFonts w:ascii="Verdana" w:hAnsi="Verdana"/>
          <w:i/>
          <w:spacing w:val="-14"/>
          <w:sz w:val="16"/>
        </w:rPr>
        <w:t> </w:t>
      </w:r>
      <w:r>
        <w:rPr>
          <w:rFonts w:ascii="Verdana" w:hAnsi="Verdana"/>
          <w:i/>
          <w:sz w:val="16"/>
        </w:rPr>
        <w:t>la</w:t>
      </w:r>
      <w:r>
        <w:rPr>
          <w:rFonts w:ascii="Verdana" w:hAnsi="Verdana"/>
          <w:i/>
          <w:spacing w:val="-14"/>
          <w:sz w:val="16"/>
        </w:rPr>
        <w:t> </w:t>
      </w:r>
      <w:r>
        <w:rPr>
          <w:rFonts w:ascii="Verdana" w:hAnsi="Verdana"/>
          <w:i/>
          <w:sz w:val="16"/>
        </w:rPr>
        <w:t>Gironde</w:t>
      </w:r>
      <w:r>
        <w:rPr>
          <w:rFonts w:ascii="Verdana" w:hAnsi="Verdana"/>
          <w:i/>
          <w:spacing w:val="-14"/>
          <w:sz w:val="16"/>
        </w:rPr>
        <w:t> </w:t>
      </w:r>
      <w:r>
        <w:rPr>
          <w:sz w:val="16"/>
        </w:rPr>
        <w:t>ECLI:EU:C:2015:648,</w:t>
      </w:r>
      <w:r>
        <w:rPr>
          <w:spacing w:val="-8"/>
          <w:sz w:val="16"/>
        </w:rPr>
        <w:t> </w:t>
      </w:r>
      <w:r>
        <w:rPr>
          <w:sz w:val="16"/>
        </w:rPr>
        <w:t>para</w:t>
      </w:r>
      <w:r>
        <w:rPr>
          <w:spacing w:val="-9"/>
          <w:sz w:val="16"/>
        </w:rPr>
        <w:t> </w:t>
      </w:r>
      <w:r>
        <w:rPr>
          <w:spacing w:val="-5"/>
          <w:sz w:val="16"/>
        </w:rPr>
        <w:t>48.</w:t>
      </w:r>
    </w:p>
    <w:p>
      <w:pPr>
        <w:pStyle w:val="ListParagraph"/>
        <w:numPr>
          <w:ilvl w:val="0"/>
          <w:numId w:val="6"/>
        </w:numPr>
        <w:tabs>
          <w:tab w:pos="565" w:val="left" w:leader="none"/>
        </w:tabs>
        <w:spacing w:line="200" w:lineRule="exact" w:before="0" w:after="0"/>
        <w:ind w:left="565" w:right="0" w:hanging="452"/>
        <w:jc w:val="left"/>
        <w:rPr>
          <w:sz w:val="16"/>
        </w:rPr>
      </w:pPr>
      <w:r>
        <w:rPr>
          <w:spacing w:val="-2"/>
          <w:sz w:val="16"/>
        </w:rPr>
        <w:t>Case</w:t>
      </w:r>
      <w:r>
        <w:rPr>
          <w:sz w:val="16"/>
        </w:rPr>
        <w:t> </w:t>
      </w:r>
      <w:r>
        <w:rPr>
          <w:spacing w:val="-2"/>
          <w:sz w:val="16"/>
        </w:rPr>
        <w:t>C-362/14</w:t>
      </w:r>
      <w:r>
        <w:rPr>
          <w:sz w:val="16"/>
        </w:rPr>
        <w:t> </w:t>
      </w:r>
      <w:r>
        <w:rPr>
          <w:rFonts w:ascii="Verdana"/>
          <w:i/>
          <w:spacing w:val="-2"/>
          <w:sz w:val="16"/>
        </w:rPr>
        <w:t>Maximilian</w:t>
      </w:r>
      <w:r>
        <w:rPr>
          <w:rFonts w:ascii="Verdana"/>
          <w:i/>
          <w:spacing w:val="-5"/>
          <w:sz w:val="16"/>
        </w:rPr>
        <w:t> </w:t>
      </w:r>
      <w:r>
        <w:rPr>
          <w:rFonts w:ascii="Verdana"/>
          <w:i/>
          <w:spacing w:val="-2"/>
          <w:sz w:val="16"/>
        </w:rPr>
        <w:t>Schrems</w:t>
      </w:r>
      <w:r>
        <w:rPr>
          <w:rFonts w:ascii="Verdana"/>
          <w:i/>
          <w:spacing w:val="-6"/>
          <w:sz w:val="16"/>
        </w:rPr>
        <w:t> </w:t>
      </w:r>
      <w:r>
        <w:rPr>
          <w:rFonts w:ascii="Verdana"/>
          <w:i/>
          <w:spacing w:val="-2"/>
          <w:sz w:val="16"/>
        </w:rPr>
        <w:t>v</w:t>
      </w:r>
      <w:r>
        <w:rPr>
          <w:rFonts w:ascii="Verdana"/>
          <w:i/>
          <w:spacing w:val="-6"/>
          <w:sz w:val="16"/>
        </w:rPr>
        <w:t> </w:t>
      </w:r>
      <w:r>
        <w:rPr>
          <w:rFonts w:ascii="Verdana"/>
          <w:i/>
          <w:spacing w:val="-2"/>
          <w:sz w:val="16"/>
        </w:rPr>
        <w:t>Data</w:t>
      </w:r>
      <w:r>
        <w:rPr>
          <w:rFonts w:ascii="Verdana"/>
          <w:i/>
          <w:spacing w:val="-5"/>
          <w:sz w:val="16"/>
        </w:rPr>
        <w:t> </w:t>
      </w:r>
      <w:r>
        <w:rPr>
          <w:rFonts w:ascii="Verdana"/>
          <w:i/>
          <w:spacing w:val="-2"/>
          <w:sz w:val="16"/>
        </w:rPr>
        <w:t>Protection</w:t>
      </w:r>
      <w:r>
        <w:rPr>
          <w:rFonts w:ascii="Verdana"/>
          <w:i/>
          <w:spacing w:val="-6"/>
          <w:sz w:val="16"/>
        </w:rPr>
        <w:t> </w:t>
      </w:r>
      <w:r>
        <w:rPr>
          <w:rFonts w:ascii="Verdana"/>
          <w:i/>
          <w:spacing w:val="-2"/>
          <w:sz w:val="16"/>
        </w:rPr>
        <w:t>Commissioner</w:t>
      </w:r>
      <w:r>
        <w:rPr>
          <w:rFonts w:ascii="Verdana"/>
          <w:i/>
          <w:spacing w:val="-6"/>
          <w:sz w:val="16"/>
        </w:rPr>
        <w:t> </w:t>
      </w:r>
      <w:r>
        <w:rPr>
          <w:spacing w:val="-2"/>
          <w:sz w:val="16"/>
        </w:rPr>
        <w:t>ECLI:EU:C:2015:650,</w:t>
      </w:r>
      <w:r>
        <w:rPr>
          <w:spacing w:val="1"/>
          <w:sz w:val="16"/>
        </w:rPr>
        <w:t> </w:t>
      </w:r>
      <w:r>
        <w:rPr>
          <w:spacing w:val="-2"/>
          <w:sz w:val="16"/>
        </w:rPr>
        <w:t>para</w:t>
      </w:r>
      <w:r>
        <w:rPr>
          <w:sz w:val="16"/>
        </w:rPr>
        <w:t> </w:t>
      </w:r>
      <w:r>
        <w:rPr>
          <w:spacing w:val="-5"/>
          <w:sz w:val="16"/>
        </w:rPr>
        <w:t>94.</w:t>
      </w:r>
    </w:p>
    <w:p>
      <w:pPr>
        <w:pStyle w:val="ListParagraph"/>
        <w:numPr>
          <w:ilvl w:val="0"/>
          <w:numId w:val="6"/>
        </w:numPr>
        <w:tabs>
          <w:tab w:pos="565" w:val="left" w:leader="none"/>
        </w:tabs>
        <w:spacing w:line="200" w:lineRule="exact" w:before="0" w:after="0"/>
        <w:ind w:left="565" w:right="0" w:hanging="452"/>
        <w:jc w:val="left"/>
        <w:rPr>
          <w:sz w:val="16"/>
        </w:rPr>
      </w:pPr>
      <w:r>
        <w:rPr>
          <w:rFonts w:ascii="Verdana"/>
          <w:i/>
          <w:w w:val="105"/>
          <w:sz w:val="16"/>
        </w:rPr>
        <w:t>Ibid</w:t>
      </w:r>
      <w:r>
        <w:rPr>
          <w:rFonts w:ascii="Arial"/>
          <w:w w:val="105"/>
          <w:sz w:val="16"/>
        </w:rPr>
        <w:t>,</w:t>
      </w:r>
      <w:r>
        <w:rPr>
          <w:rFonts w:ascii="Arial"/>
          <w:spacing w:val="-10"/>
          <w:w w:val="105"/>
          <w:sz w:val="16"/>
        </w:rPr>
        <w:t> </w:t>
      </w:r>
      <w:r>
        <w:rPr>
          <w:rFonts w:ascii="Arial"/>
          <w:w w:val="105"/>
          <w:sz w:val="16"/>
        </w:rPr>
        <w:t>para</w:t>
      </w:r>
      <w:r>
        <w:rPr>
          <w:rFonts w:ascii="Arial"/>
          <w:spacing w:val="-9"/>
          <w:w w:val="105"/>
          <w:sz w:val="16"/>
        </w:rPr>
        <w:t> </w:t>
      </w:r>
      <w:r>
        <w:rPr>
          <w:rFonts w:ascii="Arial"/>
          <w:spacing w:val="-5"/>
          <w:w w:val="105"/>
          <w:sz w:val="16"/>
        </w:rPr>
        <w:t>95.</w:t>
      </w:r>
    </w:p>
    <w:p>
      <w:pPr>
        <w:pStyle w:val="ListParagraph"/>
        <w:numPr>
          <w:ilvl w:val="0"/>
          <w:numId w:val="6"/>
        </w:numPr>
        <w:tabs>
          <w:tab w:pos="565" w:val="left" w:leader="none"/>
        </w:tabs>
        <w:spacing w:line="200" w:lineRule="exact" w:before="0" w:after="0"/>
        <w:ind w:left="565" w:right="0" w:hanging="452"/>
        <w:jc w:val="left"/>
        <w:rPr>
          <w:sz w:val="16"/>
        </w:rPr>
      </w:pPr>
      <w:r>
        <w:rPr>
          <w:rFonts w:ascii="Verdana" w:hAnsi="Verdana"/>
          <w:i/>
          <w:sz w:val="16"/>
        </w:rPr>
        <w:t>Bauer</w:t>
      </w:r>
      <w:r>
        <w:rPr>
          <w:rFonts w:ascii="Verdana" w:hAnsi="Verdana"/>
          <w:i/>
          <w:spacing w:val="-13"/>
          <w:sz w:val="16"/>
        </w:rPr>
        <w:t> </w:t>
      </w:r>
      <w:r>
        <w:rPr>
          <w:rFonts w:ascii="Verdana" w:hAnsi="Verdana"/>
          <w:i/>
          <w:sz w:val="16"/>
        </w:rPr>
        <w:t>and</w:t>
      </w:r>
      <w:r>
        <w:rPr>
          <w:rFonts w:ascii="Verdana" w:hAnsi="Verdana"/>
          <w:i/>
          <w:spacing w:val="-13"/>
          <w:sz w:val="16"/>
        </w:rPr>
        <w:t> </w:t>
      </w:r>
      <w:r>
        <w:rPr>
          <w:rFonts w:ascii="Verdana" w:hAnsi="Verdana"/>
          <w:i/>
          <w:sz w:val="16"/>
        </w:rPr>
        <w:t>Broßonn</w:t>
      </w:r>
      <w:r>
        <w:rPr>
          <w:rFonts w:ascii="Verdana" w:hAnsi="Verdana"/>
          <w:i/>
          <w:spacing w:val="-12"/>
          <w:sz w:val="16"/>
        </w:rPr>
        <w:t> </w:t>
      </w:r>
      <w:r>
        <w:rPr>
          <w:sz w:val="16"/>
        </w:rPr>
        <w:t>(n</w:t>
      </w:r>
      <w:r>
        <w:rPr>
          <w:spacing w:val="-7"/>
          <w:sz w:val="16"/>
        </w:rPr>
        <w:t> </w:t>
      </w:r>
      <w:r>
        <w:rPr>
          <w:sz w:val="16"/>
        </w:rPr>
        <w:t>21)</w:t>
      </w:r>
      <w:r>
        <w:rPr>
          <w:spacing w:val="-7"/>
          <w:sz w:val="16"/>
        </w:rPr>
        <w:t> </w:t>
      </w:r>
      <w:r>
        <w:rPr>
          <w:sz w:val="16"/>
        </w:rPr>
        <w:t>para</w:t>
      </w:r>
      <w:r>
        <w:rPr>
          <w:spacing w:val="-6"/>
          <w:sz w:val="16"/>
        </w:rPr>
        <w:t> </w:t>
      </w:r>
      <w:r>
        <w:rPr>
          <w:spacing w:val="-5"/>
          <w:sz w:val="16"/>
        </w:rPr>
        <w:t>49.</w:t>
      </w:r>
    </w:p>
    <w:p>
      <w:pPr>
        <w:pStyle w:val="ListParagraph"/>
        <w:numPr>
          <w:ilvl w:val="0"/>
          <w:numId w:val="6"/>
        </w:numPr>
        <w:tabs>
          <w:tab w:pos="567" w:val="left" w:leader="none"/>
        </w:tabs>
        <w:spacing w:line="200" w:lineRule="exact" w:before="0" w:after="0"/>
        <w:ind w:left="567" w:right="0" w:hanging="454"/>
        <w:jc w:val="left"/>
        <w:rPr>
          <w:sz w:val="16"/>
        </w:rPr>
      </w:pPr>
      <w:r>
        <w:rPr>
          <w:spacing w:val="-2"/>
          <w:sz w:val="16"/>
        </w:rPr>
        <w:t>Case</w:t>
      </w:r>
      <w:r>
        <w:rPr>
          <w:spacing w:val="-1"/>
          <w:sz w:val="16"/>
        </w:rPr>
        <w:t> </w:t>
      </w:r>
      <w:r>
        <w:rPr>
          <w:spacing w:val="-2"/>
          <w:sz w:val="16"/>
        </w:rPr>
        <w:t>C-216/18</w:t>
      </w:r>
      <w:r>
        <w:rPr>
          <w:spacing w:val="-1"/>
          <w:sz w:val="16"/>
        </w:rPr>
        <w:t> </w:t>
      </w:r>
      <w:r>
        <w:rPr>
          <w:spacing w:val="-2"/>
          <w:sz w:val="16"/>
        </w:rPr>
        <w:t>PPU</w:t>
      </w:r>
      <w:r>
        <w:rPr>
          <w:sz w:val="16"/>
        </w:rPr>
        <w:t> </w:t>
      </w:r>
      <w:r>
        <w:rPr>
          <w:rFonts w:ascii="Verdana"/>
          <w:i/>
          <w:spacing w:val="-2"/>
          <w:sz w:val="16"/>
        </w:rPr>
        <w:t>LM</w:t>
      </w:r>
      <w:r>
        <w:rPr>
          <w:rFonts w:ascii="Verdana"/>
          <w:i/>
          <w:spacing w:val="-7"/>
          <w:sz w:val="16"/>
        </w:rPr>
        <w:t> </w:t>
      </w:r>
      <w:r>
        <w:rPr>
          <w:spacing w:val="-2"/>
          <w:sz w:val="16"/>
        </w:rPr>
        <w:t>ECLI:EU:C:2018:586,</w:t>
      </w:r>
      <w:r>
        <w:rPr>
          <w:sz w:val="16"/>
        </w:rPr>
        <w:t> </w:t>
      </w:r>
      <w:r>
        <w:rPr>
          <w:spacing w:val="-2"/>
          <w:sz w:val="16"/>
        </w:rPr>
        <w:t>para</w:t>
      </w:r>
      <w:r>
        <w:rPr>
          <w:spacing w:val="-1"/>
          <w:sz w:val="16"/>
        </w:rPr>
        <w:t> </w:t>
      </w:r>
      <w:r>
        <w:rPr>
          <w:spacing w:val="-5"/>
          <w:sz w:val="16"/>
        </w:rPr>
        <w:t>48.</w:t>
      </w:r>
    </w:p>
    <w:p>
      <w:pPr>
        <w:pStyle w:val="ListParagraph"/>
        <w:numPr>
          <w:ilvl w:val="0"/>
          <w:numId w:val="6"/>
        </w:numPr>
        <w:tabs>
          <w:tab w:pos="567" w:val="left" w:leader="none"/>
        </w:tabs>
        <w:spacing w:line="206" w:lineRule="auto" w:before="2" w:after="0"/>
        <w:ind w:left="567" w:right="330" w:hanging="454"/>
        <w:jc w:val="left"/>
        <w:rPr>
          <w:rFonts w:ascii="Arial" w:hAnsi="Arial"/>
          <w:sz w:val="16"/>
        </w:rPr>
      </w:pPr>
      <w:r>
        <w:rPr>
          <w:sz w:val="16"/>
        </w:rPr>
        <w:t>E.g.</w:t>
      </w:r>
      <w:r>
        <w:rPr>
          <w:spacing w:val="-5"/>
          <w:sz w:val="16"/>
        </w:rPr>
        <w:t> </w:t>
      </w:r>
      <w:r>
        <w:rPr>
          <w:sz w:val="16"/>
        </w:rPr>
        <w:t>in</w:t>
      </w:r>
      <w:r>
        <w:rPr>
          <w:spacing w:val="-5"/>
          <w:sz w:val="16"/>
        </w:rPr>
        <w:t> </w:t>
      </w:r>
      <w:r>
        <w:rPr>
          <w:sz w:val="16"/>
        </w:rPr>
        <w:t>Joined</w:t>
      </w:r>
      <w:r>
        <w:rPr>
          <w:spacing w:val="-5"/>
          <w:sz w:val="16"/>
        </w:rPr>
        <w:t> </w:t>
      </w:r>
      <w:r>
        <w:rPr>
          <w:sz w:val="16"/>
        </w:rPr>
        <w:t>Cases</w:t>
      </w:r>
      <w:r>
        <w:rPr>
          <w:spacing w:val="-5"/>
          <w:sz w:val="16"/>
        </w:rPr>
        <w:t> </w:t>
      </w:r>
      <w:r>
        <w:rPr>
          <w:sz w:val="16"/>
        </w:rPr>
        <w:t>C-92/09</w:t>
      </w:r>
      <w:r>
        <w:rPr>
          <w:spacing w:val="-5"/>
          <w:sz w:val="16"/>
        </w:rPr>
        <w:t> </w:t>
      </w:r>
      <w:r>
        <w:rPr>
          <w:sz w:val="16"/>
        </w:rPr>
        <w:t>and</w:t>
      </w:r>
      <w:r>
        <w:rPr>
          <w:spacing w:val="-5"/>
          <w:sz w:val="16"/>
        </w:rPr>
        <w:t> </w:t>
      </w:r>
      <w:r>
        <w:rPr>
          <w:sz w:val="16"/>
        </w:rPr>
        <w:t>C-93/09</w:t>
      </w:r>
      <w:r>
        <w:rPr>
          <w:spacing w:val="-5"/>
          <w:sz w:val="16"/>
        </w:rPr>
        <w:t> </w:t>
      </w:r>
      <w:r>
        <w:rPr>
          <w:rFonts w:ascii="Verdana" w:hAnsi="Verdana"/>
          <w:i/>
          <w:sz w:val="16"/>
        </w:rPr>
        <w:t>Volker</w:t>
      </w:r>
      <w:r>
        <w:rPr>
          <w:rFonts w:ascii="Verdana" w:hAnsi="Verdana"/>
          <w:i/>
          <w:spacing w:val="-11"/>
          <w:sz w:val="16"/>
        </w:rPr>
        <w:t> </w:t>
      </w:r>
      <w:r>
        <w:rPr>
          <w:rFonts w:ascii="Verdana" w:hAnsi="Verdana"/>
          <w:i/>
          <w:sz w:val="16"/>
        </w:rPr>
        <w:t>und</w:t>
      </w:r>
      <w:r>
        <w:rPr>
          <w:rFonts w:ascii="Verdana" w:hAnsi="Verdana"/>
          <w:i/>
          <w:spacing w:val="-11"/>
          <w:sz w:val="16"/>
        </w:rPr>
        <w:t> </w:t>
      </w:r>
      <w:r>
        <w:rPr>
          <w:rFonts w:ascii="Verdana" w:hAnsi="Verdana"/>
          <w:i/>
          <w:sz w:val="16"/>
        </w:rPr>
        <w:t>Markus</w:t>
      </w:r>
      <w:r>
        <w:rPr>
          <w:rFonts w:ascii="Verdana" w:hAnsi="Verdana"/>
          <w:i/>
          <w:spacing w:val="-11"/>
          <w:sz w:val="16"/>
        </w:rPr>
        <w:t> </w:t>
      </w:r>
      <w:r>
        <w:rPr>
          <w:rFonts w:ascii="Verdana" w:hAnsi="Verdana"/>
          <w:i/>
          <w:sz w:val="16"/>
        </w:rPr>
        <w:t>Schecke</w:t>
      </w:r>
      <w:r>
        <w:rPr>
          <w:rFonts w:ascii="Verdana" w:hAnsi="Verdana"/>
          <w:i/>
          <w:spacing w:val="-11"/>
          <w:sz w:val="16"/>
        </w:rPr>
        <w:t> </w:t>
      </w:r>
      <w:r>
        <w:rPr>
          <w:rFonts w:ascii="Verdana" w:hAnsi="Verdana"/>
          <w:i/>
          <w:sz w:val="16"/>
        </w:rPr>
        <w:t>GbR</w:t>
      </w:r>
      <w:r>
        <w:rPr>
          <w:rFonts w:ascii="Verdana" w:hAnsi="Verdana"/>
          <w:i/>
          <w:spacing w:val="-11"/>
          <w:sz w:val="16"/>
        </w:rPr>
        <w:t> </w:t>
      </w:r>
      <w:r>
        <w:rPr>
          <w:rFonts w:ascii="Verdana" w:hAnsi="Verdana"/>
          <w:i/>
          <w:sz w:val="16"/>
        </w:rPr>
        <w:t>and</w:t>
      </w:r>
      <w:r>
        <w:rPr>
          <w:rFonts w:ascii="Verdana" w:hAnsi="Verdana"/>
          <w:i/>
          <w:spacing w:val="-11"/>
          <w:sz w:val="16"/>
        </w:rPr>
        <w:t> </w:t>
      </w:r>
      <w:r>
        <w:rPr>
          <w:rFonts w:ascii="Verdana" w:hAnsi="Verdana"/>
          <w:i/>
          <w:sz w:val="16"/>
        </w:rPr>
        <w:t>Eifert</w:t>
      </w:r>
      <w:r>
        <w:rPr>
          <w:rFonts w:ascii="Verdana" w:hAnsi="Verdana"/>
          <w:i/>
          <w:spacing w:val="-11"/>
          <w:sz w:val="16"/>
        </w:rPr>
        <w:t> </w:t>
      </w:r>
      <w:r>
        <w:rPr>
          <w:sz w:val="16"/>
        </w:rPr>
        <w:t>EU:C:2010:662,</w:t>
      </w:r>
      <w:r>
        <w:rPr>
          <w:spacing w:val="-5"/>
          <w:sz w:val="16"/>
        </w:rPr>
        <w:t> </w:t>
      </w:r>
      <w:r>
        <w:rPr>
          <w:sz w:val="16"/>
        </w:rPr>
        <w:t>paras</w:t>
      </w:r>
      <w:r>
        <w:rPr>
          <w:spacing w:val="-5"/>
          <w:sz w:val="16"/>
        </w:rPr>
        <w:t> </w:t>
      </w:r>
      <w:r>
        <w:rPr>
          <w:sz w:val="16"/>
        </w:rPr>
        <w:t>74</w:t>
      </w:r>
      <w:r>
        <w:rPr>
          <w:spacing w:val="-5"/>
          <w:sz w:val="16"/>
        </w:rPr>
        <w:t> </w:t>
      </w:r>
      <w:r>
        <w:rPr>
          <w:sz w:val="16"/>
        </w:rPr>
        <w:t>et </w:t>
      </w:r>
      <w:r>
        <w:rPr>
          <w:w w:val="105"/>
          <w:sz w:val="16"/>
        </w:rPr>
        <w:t>seq;</w:t>
      </w:r>
      <w:r>
        <w:rPr>
          <w:spacing w:val="-8"/>
          <w:w w:val="105"/>
          <w:sz w:val="16"/>
        </w:rPr>
        <w:t> </w:t>
      </w:r>
      <w:r>
        <w:rPr>
          <w:w w:val="105"/>
          <w:sz w:val="16"/>
        </w:rPr>
        <w:t>NB:</w:t>
      </w:r>
      <w:r>
        <w:rPr>
          <w:spacing w:val="-8"/>
          <w:w w:val="105"/>
          <w:sz w:val="16"/>
        </w:rPr>
        <w:t> </w:t>
      </w:r>
      <w:r>
        <w:rPr>
          <w:w w:val="105"/>
          <w:sz w:val="16"/>
        </w:rPr>
        <w:t>the</w:t>
      </w:r>
      <w:r>
        <w:rPr>
          <w:spacing w:val="-8"/>
          <w:w w:val="105"/>
          <w:sz w:val="16"/>
        </w:rPr>
        <w:t> </w:t>
      </w:r>
      <w:r>
        <w:rPr>
          <w:w w:val="105"/>
          <w:sz w:val="16"/>
        </w:rPr>
        <w:t>CJEU</w:t>
      </w:r>
      <w:r>
        <w:rPr>
          <w:spacing w:val="-8"/>
          <w:w w:val="105"/>
          <w:sz w:val="16"/>
        </w:rPr>
        <w:t> </w:t>
      </w:r>
      <w:r>
        <w:rPr>
          <w:w w:val="105"/>
          <w:sz w:val="16"/>
        </w:rPr>
        <w:t>at</w:t>
      </w:r>
      <w:r>
        <w:rPr>
          <w:spacing w:val="-8"/>
          <w:w w:val="105"/>
          <w:sz w:val="16"/>
        </w:rPr>
        <w:t> </w:t>
      </w:r>
      <w:r>
        <w:rPr>
          <w:w w:val="105"/>
          <w:sz w:val="16"/>
        </w:rPr>
        <w:t>times</w:t>
      </w:r>
      <w:r>
        <w:rPr>
          <w:spacing w:val="-8"/>
          <w:w w:val="105"/>
          <w:sz w:val="16"/>
        </w:rPr>
        <w:t> </w:t>
      </w:r>
      <w:r>
        <w:rPr>
          <w:w w:val="105"/>
          <w:sz w:val="16"/>
        </w:rPr>
        <w:t>conflates</w:t>
      </w:r>
      <w:r>
        <w:rPr>
          <w:spacing w:val="-8"/>
          <w:w w:val="105"/>
          <w:sz w:val="16"/>
        </w:rPr>
        <w:t> </w:t>
      </w:r>
      <w:r>
        <w:rPr>
          <w:w w:val="105"/>
          <w:sz w:val="16"/>
        </w:rPr>
        <w:t>the</w:t>
      </w:r>
      <w:r>
        <w:rPr>
          <w:spacing w:val="-8"/>
          <w:w w:val="105"/>
          <w:sz w:val="16"/>
        </w:rPr>
        <w:t> </w:t>
      </w:r>
      <w:r>
        <w:rPr>
          <w:w w:val="105"/>
          <w:sz w:val="16"/>
        </w:rPr>
        <w:t>‘necessity’</w:t>
      </w:r>
      <w:r>
        <w:rPr>
          <w:spacing w:val="-8"/>
          <w:w w:val="105"/>
          <w:sz w:val="16"/>
        </w:rPr>
        <w:t> </w:t>
      </w:r>
      <w:r>
        <w:rPr>
          <w:w w:val="105"/>
          <w:sz w:val="16"/>
        </w:rPr>
        <w:t>stage</w:t>
      </w:r>
      <w:r>
        <w:rPr>
          <w:spacing w:val="-8"/>
          <w:w w:val="105"/>
          <w:sz w:val="16"/>
        </w:rPr>
        <w:t> </w:t>
      </w:r>
      <w:r>
        <w:rPr>
          <w:w w:val="105"/>
          <w:sz w:val="16"/>
        </w:rPr>
        <w:t>with</w:t>
      </w:r>
      <w:r>
        <w:rPr>
          <w:spacing w:val="-8"/>
          <w:w w:val="105"/>
          <w:sz w:val="16"/>
        </w:rPr>
        <w:t> </w:t>
      </w:r>
      <w:r>
        <w:rPr>
          <w:w w:val="105"/>
          <w:sz w:val="16"/>
        </w:rPr>
        <w:t>the</w:t>
      </w:r>
      <w:r>
        <w:rPr>
          <w:spacing w:val="-8"/>
          <w:w w:val="105"/>
          <w:sz w:val="16"/>
        </w:rPr>
        <w:t> </w:t>
      </w:r>
      <w:r>
        <w:rPr>
          <w:w w:val="105"/>
          <w:sz w:val="16"/>
        </w:rPr>
        <w:t>proportionality</w:t>
      </w:r>
      <w:r>
        <w:rPr>
          <w:spacing w:val="-8"/>
          <w:w w:val="105"/>
          <w:sz w:val="16"/>
        </w:rPr>
        <w:t> </w:t>
      </w:r>
      <w:r>
        <w:rPr>
          <w:w w:val="105"/>
          <w:sz w:val="16"/>
        </w:rPr>
        <w:t>in</w:t>
      </w:r>
      <w:r>
        <w:rPr>
          <w:spacing w:val="-8"/>
          <w:w w:val="105"/>
          <w:sz w:val="16"/>
        </w:rPr>
        <w:t> </w:t>
      </w:r>
      <w:r>
        <w:rPr>
          <w:w w:val="105"/>
          <w:sz w:val="16"/>
        </w:rPr>
        <w:t>the</w:t>
      </w:r>
      <w:r>
        <w:rPr>
          <w:spacing w:val="-8"/>
          <w:w w:val="105"/>
          <w:sz w:val="16"/>
        </w:rPr>
        <w:t> </w:t>
      </w:r>
      <w:r>
        <w:rPr>
          <w:w w:val="105"/>
          <w:sz w:val="16"/>
        </w:rPr>
        <w:t>strict</w:t>
      </w:r>
      <w:r>
        <w:rPr>
          <w:spacing w:val="-8"/>
          <w:w w:val="105"/>
          <w:sz w:val="16"/>
        </w:rPr>
        <w:t> </w:t>
      </w:r>
      <w:r>
        <w:rPr>
          <w:w w:val="105"/>
          <w:sz w:val="16"/>
        </w:rPr>
        <w:t>sense</w:t>
      </w:r>
      <w:r>
        <w:rPr>
          <w:spacing w:val="-8"/>
          <w:w w:val="105"/>
          <w:sz w:val="16"/>
        </w:rPr>
        <w:t> </w:t>
      </w:r>
      <w:r>
        <w:rPr>
          <w:w w:val="105"/>
          <w:sz w:val="16"/>
        </w:rPr>
        <w:t>(balancing) </w:t>
      </w:r>
      <w:r>
        <w:rPr>
          <w:rFonts w:ascii="Arial" w:hAnsi="Arial"/>
          <w:spacing w:val="-2"/>
          <w:w w:val="105"/>
          <w:sz w:val="16"/>
        </w:rPr>
        <w:t>stage.</w:t>
      </w:r>
    </w:p>
    <w:p>
      <w:pPr>
        <w:spacing w:after="0" w:line="206" w:lineRule="auto"/>
        <w:jc w:val="left"/>
        <w:rPr>
          <w:rFonts w:ascii="Arial" w:hAnsi="Arial"/>
          <w:sz w:val="16"/>
        </w:rPr>
        <w:sectPr>
          <w:type w:val="continuous"/>
          <w:pgSz w:w="11910" w:h="16840"/>
          <w:pgMar w:header="568" w:footer="580" w:top="0" w:bottom="280" w:left="1020" w:right="1020"/>
        </w:sectPr>
      </w:pPr>
    </w:p>
    <w:p>
      <w:pPr>
        <w:pStyle w:val="BodyText"/>
        <w:ind w:left="0"/>
        <w:rPr>
          <w:sz w:val="20"/>
        </w:rPr>
      </w:pPr>
    </w:p>
    <w:p>
      <w:pPr>
        <w:pStyle w:val="BodyText"/>
        <w:ind w:left="0"/>
        <w:rPr>
          <w:sz w:val="20"/>
        </w:rPr>
      </w:pPr>
    </w:p>
    <w:p>
      <w:pPr>
        <w:pStyle w:val="BodyText"/>
        <w:spacing w:before="48"/>
        <w:ind w:left="0"/>
        <w:rPr>
          <w:sz w:val="20"/>
        </w:rPr>
      </w:pPr>
    </w:p>
    <w:p>
      <w:pPr>
        <w:spacing w:after="0"/>
        <w:rPr>
          <w:sz w:val="20"/>
        </w:rPr>
        <w:sectPr>
          <w:pgSz w:w="11910" w:h="16840"/>
          <w:pgMar w:header="568" w:footer="580" w:top="840" w:bottom="780" w:left="1020" w:right="1020"/>
        </w:sectPr>
      </w:pPr>
    </w:p>
    <w:p>
      <w:pPr>
        <w:pStyle w:val="BodyText"/>
        <w:spacing w:line="268" w:lineRule="auto" w:before="72"/>
        <w:ind w:right="587"/>
      </w:pPr>
      <w:bookmarkStart w:name="8.  No UK opt-out from the Charter " w:id="26"/>
      <w:bookmarkEnd w:id="26"/>
      <w:r>
        <w:rPr/>
      </w:r>
      <w:bookmarkStart w:name="_bookmark11" w:id="27"/>
      <w:bookmarkEnd w:id="27"/>
      <w:r>
        <w:rPr/>
      </w:r>
      <w:r>
        <w:rPr>
          <w:w w:val="115"/>
        </w:rPr>
        <w:t>First, the restriction must meet objectives</w:t>
      </w:r>
      <w:r>
        <w:rPr>
          <w:spacing w:val="-20"/>
          <w:w w:val="115"/>
        </w:rPr>
        <w:t> </w:t>
      </w:r>
      <w:r>
        <w:rPr>
          <w:w w:val="115"/>
        </w:rPr>
        <w:t>of</w:t>
      </w:r>
      <w:r>
        <w:rPr>
          <w:spacing w:val="-19"/>
          <w:w w:val="115"/>
        </w:rPr>
        <w:t> </w:t>
      </w:r>
      <w:r>
        <w:rPr>
          <w:w w:val="115"/>
        </w:rPr>
        <w:t>a</w:t>
      </w:r>
      <w:r>
        <w:rPr>
          <w:spacing w:val="-19"/>
          <w:w w:val="115"/>
        </w:rPr>
        <w:t> </w:t>
      </w:r>
      <w:r>
        <w:rPr>
          <w:w w:val="115"/>
        </w:rPr>
        <w:t>general</w:t>
      </w:r>
      <w:r>
        <w:rPr>
          <w:spacing w:val="-19"/>
          <w:w w:val="115"/>
        </w:rPr>
        <w:t> </w:t>
      </w:r>
      <w:r>
        <w:rPr>
          <w:w w:val="115"/>
        </w:rPr>
        <w:t>interest</w:t>
      </w:r>
      <w:r>
        <w:rPr>
          <w:spacing w:val="-19"/>
          <w:w w:val="115"/>
        </w:rPr>
        <w:t> </w:t>
      </w:r>
      <w:r>
        <w:rPr>
          <w:w w:val="115"/>
        </w:rPr>
        <w:t>(a legitimate aim). This can be any objective that is not evidently contrary to the public interest.</w:t>
      </w:r>
    </w:p>
    <w:p>
      <w:pPr>
        <w:pStyle w:val="BodyText"/>
        <w:spacing w:line="325" w:lineRule="exact"/>
        <w:rPr>
          <w:rFonts w:ascii="Lucida Sans Unicode"/>
        </w:rPr>
      </w:pPr>
      <w:r>
        <w:rPr>
          <w:rFonts w:ascii="Lucida Sans Unicode"/>
        </w:rPr>
        <w:t>Secondly,</w:t>
      </w:r>
      <w:r>
        <w:rPr>
          <w:rFonts w:ascii="Lucida Sans Unicode"/>
          <w:spacing w:val="8"/>
        </w:rPr>
        <w:t> </w:t>
      </w:r>
      <w:r>
        <w:rPr>
          <w:rFonts w:ascii="Lucida Sans Unicode"/>
        </w:rPr>
        <w:t>the</w:t>
      </w:r>
      <w:r>
        <w:rPr>
          <w:rFonts w:ascii="Lucida Sans Unicode"/>
          <w:spacing w:val="9"/>
        </w:rPr>
        <w:t> </w:t>
      </w:r>
      <w:r>
        <w:rPr>
          <w:rFonts w:ascii="Lucida Sans Unicode"/>
        </w:rPr>
        <w:t>measure</w:t>
      </w:r>
      <w:r>
        <w:rPr>
          <w:rFonts w:ascii="Lucida Sans Unicode"/>
          <w:spacing w:val="9"/>
        </w:rPr>
        <w:t> </w:t>
      </w:r>
      <w:r>
        <w:rPr>
          <w:rFonts w:ascii="Lucida Sans Unicode"/>
        </w:rPr>
        <w:t>must</w:t>
      </w:r>
      <w:r>
        <w:rPr>
          <w:rFonts w:ascii="Lucida Sans Unicode"/>
          <w:spacing w:val="9"/>
        </w:rPr>
        <w:t> </w:t>
      </w:r>
      <w:r>
        <w:rPr>
          <w:rFonts w:ascii="Lucida Sans Unicode"/>
          <w:spacing w:val="-5"/>
        </w:rPr>
        <w:t>be</w:t>
      </w:r>
    </w:p>
    <w:p>
      <w:pPr>
        <w:pStyle w:val="BodyText"/>
        <w:spacing w:line="268" w:lineRule="auto"/>
      </w:pPr>
      <w:r>
        <w:rPr>
          <w:w w:val="115"/>
        </w:rPr>
        <w:t>suitable</w:t>
      </w:r>
      <w:r>
        <w:rPr>
          <w:spacing w:val="-11"/>
          <w:w w:val="115"/>
        </w:rPr>
        <w:t> </w:t>
      </w:r>
      <w:r>
        <w:rPr>
          <w:w w:val="115"/>
        </w:rPr>
        <w:t>(or</w:t>
      </w:r>
      <w:r>
        <w:rPr>
          <w:spacing w:val="-11"/>
          <w:w w:val="115"/>
        </w:rPr>
        <w:t> </w:t>
      </w:r>
      <w:r>
        <w:rPr>
          <w:w w:val="115"/>
        </w:rPr>
        <w:t>appropriate).</w:t>
      </w:r>
      <w:r>
        <w:rPr>
          <w:spacing w:val="-11"/>
          <w:w w:val="115"/>
        </w:rPr>
        <w:t> </w:t>
      </w:r>
      <w:r>
        <w:rPr>
          <w:w w:val="115"/>
        </w:rPr>
        <w:t>This</w:t>
      </w:r>
      <w:r>
        <w:rPr>
          <w:spacing w:val="-11"/>
          <w:w w:val="115"/>
        </w:rPr>
        <w:t> </w:t>
      </w:r>
      <w:r>
        <w:rPr>
          <w:w w:val="115"/>
        </w:rPr>
        <w:t>means </w:t>
      </w:r>
      <w:r>
        <w:rPr>
          <w:spacing w:val="-2"/>
          <w:w w:val="115"/>
        </w:rPr>
        <w:t>that</w:t>
      </w:r>
      <w:r>
        <w:rPr>
          <w:spacing w:val="-16"/>
          <w:w w:val="115"/>
        </w:rPr>
        <w:t> </w:t>
      </w:r>
      <w:r>
        <w:rPr>
          <w:spacing w:val="-2"/>
          <w:w w:val="115"/>
        </w:rPr>
        <w:t>the</w:t>
      </w:r>
      <w:r>
        <w:rPr>
          <w:spacing w:val="-16"/>
          <w:w w:val="115"/>
        </w:rPr>
        <w:t> </w:t>
      </w:r>
      <w:r>
        <w:rPr>
          <w:spacing w:val="-2"/>
          <w:w w:val="115"/>
        </w:rPr>
        <w:t>measure</w:t>
      </w:r>
      <w:r>
        <w:rPr>
          <w:spacing w:val="-16"/>
          <w:w w:val="115"/>
        </w:rPr>
        <w:t> </w:t>
      </w:r>
      <w:r>
        <w:rPr>
          <w:spacing w:val="-2"/>
          <w:w w:val="115"/>
        </w:rPr>
        <w:t>must</w:t>
      </w:r>
      <w:r>
        <w:rPr>
          <w:spacing w:val="-16"/>
          <w:w w:val="115"/>
        </w:rPr>
        <w:t> </w:t>
      </w:r>
      <w:r>
        <w:rPr>
          <w:spacing w:val="-2"/>
          <w:w w:val="115"/>
        </w:rPr>
        <w:t>be</w:t>
      </w:r>
      <w:r>
        <w:rPr>
          <w:spacing w:val="-16"/>
          <w:w w:val="115"/>
        </w:rPr>
        <w:t> </w:t>
      </w:r>
      <w:r>
        <w:rPr>
          <w:spacing w:val="-2"/>
          <w:w w:val="115"/>
        </w:rPr>
        <w:t>designed</w:t>
      </w:r>
      <w:r>
        <w:rPr>
          <w:spacing w:val="-16"/>
          <w:w w:val="115"/>
        </w:rPr>
        <w:t> </w:t>
      </w:r>
      <w:r>
        <w:rPr>
          <w:spacing w:val="-2"/>
          <w:w w:val="115"/>
        </w:rPr>
        <w:t>in </w:t>
      </w:r>
      <w:r>
        <w:rPr>
          <w:w w:val="115"/>
        </w:rPr>
        <w:t>a way that it is capable of achieving its overall objective. Thirdly, the measure</w:t>
      </w:r>
      <w:r>
        <w:rPr>
          <w:spacing w:val="-20"/>
          <w:w w:val="115"/>
        </w:rPr>
        <w:t> </w:t>
      </w:r>
      <w:r>
        <w:rPr>
          <w:w w:val="115"/>
        </w:rPr>
        <w:t>must</w:t>
      </w:r>
      <w:r>
        <w:rPr>
          <w:spacing w:val="-19"/>
          <w:w w:val="115"/>
        </w:rPr>
        <w:t> </w:t>
      </w:r>
      <w:r>
        <w:rPr>
          <w:w w:val="115"/>
        </w:rPr>
        <w:t>be</w:t>
      </w:r>
      <w:r>
        <w:rPr>
          <w:spacing w:val="-19"/>
          <w:w w:val="115"/>
        </w:rPr>
        <w:t> </w:t>
      </w:r>
      <w:r>
        <w:rPr>
          <w:w w:val="115"/>
        </w:rPr>
        <w:t>necessary,</w:t>
      </w:r>
      <w:r>
        <w:rPr>
          <w:spacing w:val="-19"/>
          <w:w w:val="115"/>
        </w:rPr>
        <w:t> </w:t>
      </w:r>
      <w:r>
        <w:rPr>
          <w:w w:val="115"/>
        </w:rPr>
        <w:t>i.e.</w:t>
      </w:r>
      <w:r>
        <w:rPr>
          <w:spacing w:val="-19"/>
          <w:w w:val="115"/>
        </w:rPr>
        <w:t> </w:t>
      </w:r>
      <w:r>
        <w:rPr>
          <w:w w:val="115"/>
        </w:rPr>
        <w:t>of</w:t>
      </w:r>
    </w:p>
    <w:p>
      <w:pPr>
        <w:pStyle w:val="BodyText"/>
        <w:spacing w:line="268" w:lineRule="auto"/>
        <w:ind w:right="394"/>
      </w:pPr>
      <w:r>
        <w:rPr>
          <w:w w:val="110"/>
        </w:rPr>
        <w:t>all conceivable measures capable of achieving the stated objective equally well, the measure that </w:t>
      </w:r>
      <w:r>
        <w:rPr>
          <w:w w:val="110"/>
        </w:rPr>
        <w:t>least</w:t>
      </w:r>
    </w:p>
    <w:p>
      <w:pPr>
        <w:pStyle w:val="BodyText"/>
        <w:spacing w:line="268" w:lineRule="auto"/>
        <w:ind w:right="31"/>
      </w:pPr>
      <w:r>
        <w:rPr>
          <w:w w:val="115"/>
        </w:rPr>
        <w:t>interferes with the right at issue must be</w:t>
      </w:r>
      <w:r>
        <w:rPr>
          <w:spacing w:val="-20"/>
          <w:w w:val="115"/>
        </w:rPr>
        <w:t> </w:t>
      </w:r>
      <w:r>
        <w:rPr>
          <w:w w:val="115"/>
        </w:rPr>
        <w:t>chosen.</w:t>
      </w:r>
      <w:r>
        <w:rPr>
          <w:spacing w:val="-19"/>
          <w:w w:val="115"/>
        </w:rPr>
        <w:t> </w:t>
      </w:r>
      <w:r>
        <w:rPr>
          <w:w w:val="115"/>
        </w:rPr>
        <w:t>Fourthly,</w:t>
      </w:r>
      <w:r>
        <w:rPr>
          <w:spacing w:val="-19"/>
          <w:w w:val="115"/>
        </w:rPr>
        <w:t> </w:t>
      </w:r>
      <w:r>
        <w:rPr>
          <w:w w:val="115"/>
        </w:rPr>
        <w:t>proportionality</w:t>
      </w:r>
      <w:r>
        <w:rPr>
          <w:spacing w:val="-19"/>
          <w:w w:val="115"/>
        </w:rPr>
        <w:t> </w:t>
      </w:r>
      <w:r>
        <w:rPr>
          <w:w w:val="115"/>
        </w:rPr>
        <w:t>in the strict sense requires a balancing of the competing interests involved.</w:t>
      </w:r>
    </w:p>
    <w:p>
      <w:pPr>
        <w:pStyle w:val="BodyText"/>
        <w:spacing w:line="268" w:lineRule="auto"/>
      </w:pPr>
      <w:r>
        <w:rPr>
          <w:w w:val="115"/>
        </w:rPr>
        <w:t>Typically, it requires a weighting and balancing of the objective pursued and the right restricted. According to the</w:t>
      </w:r>
      <w:r>
        <w:rPr>
          <w:spacing w:val="-10"/>
          <w:w w:val="115"/>
        </w:rPr>
        <w:t> </w:t>
      </w:r>
      <w:r>
        <w:rPr>
          <w:w w:val="115"/>
        </w:rPr>
        <w:t>CJEU,</w:t>
      </w:r>
      <w:r>
        <w:rPr>
          <w:spacing w:val="-10"/>
          <w:w w:val="115"/>
        </w:rPr>
        <w:t> </w:t>
      </w:r>
      <w:r>
        <w:rPr>
          <w:w w:val="115"/>
        </w:rPr>
        <w:t>‘where</w:t>
      </w:r>
      <w:r>
        <w:rPr>
          <w:spacing w:val="-10"/>
          <w:w w:val="115"/>
        </w:rPr>
        <w:t> </w:t>
      </w:r>
      <w:r>
        <w:rPr>
          <w:w w:val="115"/>
        </w:rPr>
        <w:t>several</w:t>
      </w:r>
      <w:r>
        <w:rPr>
          <w:spacing w:val="-10"/>
          <w:w w:val="115"/>
        </w:rPr>
        <w:t> </w:t>
      </w:r>
      <w:r>
        <w:rPr>
          <w:w w:val="115"/>
        </w:rPr>
        <w:t>rights</w:t>
      </w:r>
      <w:r>
        <w:rPr>
          <w:spacing w:val="-10"/>
          <w:w w:val="115"/>
        </w:rPr>
        <w:t> </w:t>
      </w:r>
      <w:r>
        <w:rPr>
          <w:w w:val="115"/>
        </w:rPr>
        <w:t>and fundamental freedoms protected by the</w:t>
      </w:r>
      <w:r>
        <w:rPr>
          <w:spacing w:val="-20"/>
          <w:w w:val="115"/>
        </w:rPr>
        <w:t> </w:t>
      </w:r>
      <w:r>
        <w:rPr>
          <w:w w:val="115"/>
        </w:rPr>
        <w:t>European</w:t>
      </w:r>
      <w:r>
        <w:rPr>
          <w:spacing w:val="-19"/>
          <w:w w:val="115"/>
        </w:rPr>
        <w:t> </w:t>
      </w:r>
      <w:r>
        <w:rPr>
          <w:w w:val="115"/>
        </w:rPr>
        <w:t>Union</w:t>
      </w:r>
      <w:r>
        <w:rPr>
          <w:spacing w:val="-19"/>
          <w:w w:val="115"/>
        </w:rPr>
        <w:t> </w:t>
      </w:r>
      <w:r>
        <w:rPr>
          <w:w w:val="115"/>
        </w:rPr>
        <w:t>legal</w:t>
      </w:r>
      <w:r>
        <w:rPr>
          <w:spacing w:val="-19"/>
          <w:w w:val="115"/>
        </w:rPr>
        <w:t> </w:t>
      </w:r>
      <w:r>
        <w:rPr>
          <w:w w:val="115"/>
        </w:rPr>
        <w:t>order</w:t>
      </w:r>
      <w:r>
        <w:rPr>
          <w:spacing w:val="-19"/>
          <w:w w:val="115"/>
        </w:rPr>
        <w:t> </w:t>
      </w:r>
      <w:r>
        <w:rPr>
          <w:w w:val="115"/>
        </w:rPr>
        <w:t>are</w:t>
      </w:r>
      <w:r>
        <w:rPr>
          <w:spacing w:val="-20"/>
          <w:w w:val="115"/>
        </w:rPr>
        <w:t> </w:t>
      </w:r>
      <w:r>
        <w:rPr>
          <w:w w:val="115"/>
        </w:rPr>
        <w:t>at issue,</w:t>
      </w:r>
      <w:r>
        <w:rPr>
          <w:spacing w:val="-20"/>
          <w:w w:val="115"/>
        </w:rPr>
        <w:t> </w:t>
      </w:r>
      <w:r>
        <w:rPr>
          <w:w w:val="115"/>
        </w:rPr>
        <w:t>the</w:t>
      </w:r>
      <w:r>
        <w:rPr>
          <w:spacing w:val="-19"/>
          <w:w w:val="115"/>
        </w:rPr>
        <w:t> </w:t>
      </w:r>
      <w:r>
        <w:rPr>
          <w:w w:val="115"/>
        </w:rPr>
        <w:t>assessment</w:t>
      </w:r>
      <w:r>
        <w:rPr>
          <w:spacing w:val="-19"/>
          <w:w w:val="115"/>
        </w:rPr>
        <w:t> </w:t>
      </w:r>
      <w:r>
        <w:rPr>
          <w:w w:val="115"/>
        </w:rPr>
        <w:t>of</w:t>
      </w:r>
      <w:r>
        <w:rPr>
          <w:spacing w:val="-19"/>
          <w:w w:val="115"/>
        </w:rPr>
        <w:t> </w:t>
      </w:r>
      <w:r>
        <w:rPr>
          <w:w w:val="115"/>
        </w:rPr>
        <w:t>the</w:t>
      </w:r>
      <w:r>
        <w:rPr>
          <w:spacing w:val="-19"/>
          <w:w w:val="115"/>
        </w:rPr>
        <w:t> </w:t>
      </w:r>
      <w:r>
        <w:rPr>
          <w:w w:val="115"/>
        </w:rPr>
        <w:t>possible disproportionate</w:t>
      </w:r>
      <w:r>
        <w:rPr>
          <w:spacing w:val="-19"/>
          <w:w w:val="115"/>
        </w:rPr>
        <w:t> </w:t>
      </w:r>
      <w:r>
        <w:rPr>
          <w:w w:val="115"/>
        </w:rPr>
        <w:t>nature</w:t>
      </w:r>
      <w:r>
        <w:rPr>
          <w:spacing w:val="-19"/>
          <w:w w:val="115"/>
        </w:rPr>
        <w:t> </w:t>
      </w:r>
      <w:r>
        <w:rPr>
          <w:w w:val="115"/>
        </w:rPr>
        <w:t>of</w:t>
      </w:r>
      <w:r>
        <w:rPr>
          <w:spacing w:val="-19"/>
          <w:w w:val="115"/>
        </w:rPr>
        <w:t> </w:t>
      </w:r>
      <w:r>
        <w:rPr>
          <w:w w:val="115"/>
        </w:rPr>
        <w:t>a</w:t>
      </w:r>
      <w:r>
        <w:rPr>
          <w:spacing w:val="-19"/>
          <w:w w:val="115"/>
        </w:rPr>
        <w:t> </w:t>
      </w:r>
      <w:r>
        <w:rPr>
          <w:w w:val="115"/>
        </w:rPr>
        <w:t>provision of European Union law must be carried out with a view to reconciling the requirements of the protection of those different rights and freedoms</w:t>
      </w:r>
    </w:p>
    <w:p>
      <w:pPr>
        <w:pStyle w:val="BodyText"/>
        <w:spacing w:line="342" w:lineRule="exact"/>
        <w:rPr>
          <w:rFonts w:ascii="Lucida Sans Unicode" w:hAnsi="Lucida Sans Unicode"/>
        </w:rPr>
      </w:pPr>
      <w:r>
        <w:rPr>
          <w:w w:val="105"/>
        </w:rPr>
        <w:t>and</w:t>
      </w:r>
      <w:r>
        <w:rPr>
          <w:spacing w:val="35"/>
          <w:w w:val="105"/>
        </w:rPr>
        <w:t> </w:t>
      </w:r>
      <w:r>
        <w:rPr>
          <w:w w:val="105"/>
        </w:rPr>
        <w:t>a</w:t>
      </w:r>
      <w:r>
        <w:rPr>
          <w:spacing w:val="35"/>
          <w:w w:val="105"/>
        </w:rPr>
        <w:t> </w:t>
      </w:r>
      <w:r>
        <w:rPr>
          <w:w w:val="105"/>
        </w:rPr>
        <w:t>fair</w:t>
      </w:r>
      <w:r>
        <w:rPr>
          <w:spacing w:val="35"/>
          <w:w w:val="105"/>
        </w:rPr>
        <w:t> </w:t>
      </w:r>
      <w:r>
        <w:rPr>
          <w:w w:val="105"/>
        </w:rPr>
        <w:t>balance</w:t>
      </w:r>
      <w:r>
        <w:rPr>
          <w:spacing w:val="35"/>
          <w:w w:val="105"/>
        </w:rPr>
        <w:t> </w:t>
      </w:r>
      <w:r>
        <w:rPr>
          <w:w w:val="105"/>
        </w:rPr>
        <w:t>between</w:t>
      </w:r>
      <w:r>
        <w:rPr>
          <w:spacing w:val="35"/>
          <w:w w:val="105"/>
        </w:rPr>
        <w:t> </w:t>
      </w:r>
      <w:r>
        <w:rPr>
          <w:spacing w:val="-2"/>
          <w:w w:val="105"/>
        </w:rPr>
        <w:t>them’.</w:t>
      </w:r>
      <w:r>
        <w:rPr>
          <w:rFonts w:ascii="Lucida Sans Unicode" w:hAnsi="Lucida Sans Unicode"/>
          <w:spacing w:val="-2"/>
          <w:w w:val="105"/>
          <w:vertAlign w:val="superscript"/>
        </w:rPr>
        <w:t>112</w:t>
      </w:r>
    </w:p>
    <w:p>
      <w:pPr>
        <w:pStyle w:val="BodyText"/>
        <w:spacing w:line="310" w:lineRule="exact" w:before="257"/>
        <w:ind w:right="70"/>
      </w:pPr>
      <w:r>
        <w:rPr>
          <w:w w:val="110"/>
        </w:rPr>
        <w:t>There are, however, a number of Charter rights which cannot be restricted at all, similarly to the </w:t>
      </w:r>
      <w:r>
        <w:rPr>
          <w:w w:val="110"/>
        </w:rPr>
        <w:t>ECHR. These are so-called absolute rights and their absolute character either </w:t>
      </w:r>
      <w:r>
        <w:rPr>
          <w:rFonts w:ascii="Lucida Sans Unicode" w:hAnsi="Lucida Sans Unicode"/>
        </w:rPr>
        <w:t>flows from their very nature or from </w:t>
      </w:r>
      <w:r>
        <w:rPr>
          <w:rFonts w:ascii="Lucida Sans Unicode" w:hAnsi="Lucida Sans Unicode"/>
          <w:w w:val="110"/>
        </w:rPr>
        <w:t>Article</w:t>
      </w:r>
      <w:r>
        <w:rPr>
          <w:rFonts w:ascii="Lucida Sans Unicode" w:hAnsi="Lucida Sans Unicode"/>
          <w:spacing w:val="-21"/>
          <w:w w:val="110"/>
        </w:rPr>
        <w:t> </w:t>
      </w:r>
      <w:r>
        <w:rPr>
          <w:rFonts w:ascii="Lucida Sans Unicode" w:hAnsi="Lucida Sans Unicode"/>
          <w:w w:val="110"/>
        </w:rPr>
        <w:t>52</w:t>
      </w:r>
      <w:r>
        <w:rPr>
          <w:rFonts w:ascii="Lucida Sans Unicode" w:hAnsi="Lucida Sans Unicode"/>
          <w:spacing w:val="-21"/>
          <w:w w:val="110"/>
        </w:rPr>
        <w:t> </w:t>
      </w:r>
      <w:r>
        <w:rPr>
          <w:rFonts w:ascii="Lucida Sans Unicode" w:hAnsi="Lucida Sans Unicode"/>
          <w:w w:val="110"/>
        </w:rPr>
        <w:t>(3)</w:t>
      </w:r>
      <w:r>
        <w:rPr>
          <w:rFonts w:ascii="Lucida Sans Unicode" w:hAnsi="Lucida Sans Unicode"/>
          <w:spacing w:val="-21"/>
          <w:w w:val="110"/>
        </w:rPr>
        <w:t> </w:t>
      </w:r>
      <w:r>
        <w:rPr>
          <w:rFonts w:ascii="Lucida Sans Unicode" w:hAnsi="Lucida Sans Unicode"/>
          <w:w w:val="110"/>
        </w:rPr>
        <w:t>CFR.</w:t>
      </w:r>
      <w:r>
        <w:rPr>
          <w:rFonts w:ascii="Lucida Sans Unicode" w:hAnsi="Lucida Sans Unicode"/>
          <w:spacing w:val="-21"/>
          <w:w w:val="110"/>
        </w:rPr>
        <w:t> </w:t>
      </w:r>
      <w:r>
        <w:rPr>
          <w:rFonts w:ascii="Lucida Sans Unicode" w:hAnsi="Lucida Sans Unicode"/>
          <w:w w:val="110"/>
        </w:rPr>
        <w:t>That</w:t>
      </w:r>
      <w:r>
        <w:rPr>
          <w:rFonts w:ascii="Lucida Sans Unicode" w:hAnsi="Lucida Sans Unicode"/>
          <w:spacing w:val="-21"/>
          <w:w w:val="110"/>
        </w:rPr>
        <w:t> </w:t>
      </w:r>
      <w:r>
        <w:rPr>
          <w:rFonts w:ascii="Lucida Sans Unicode" w:hAnsi="Lucida Sans Unicode"/>
          <w:w w:val="110"/>
        </w:rPr>
        <w:t>provision </w:t>
      </w:r>
      <w:r>
        <w:rPr>
          <w:w w:val="110"/>
        </w:rPr>
        <w:t>says that: ‘In so far as this Charter contains rights which correspond to</w:t>
      </w:r>
    </w:p>
    <w:p>
      <w:pPr>
        <w:pStyle w:val="BodyText"/>
        <w:spacing w:line="310" w:lineRule="exact" w:before="49"/>
        <w:ind w:right="203"/>
        <w:rPr>
          <w:rFonts w:ascii="Lucida Sans Unicode" w:hAnsi="Lucida Sans Unicode"/>
        </w:rPr>
      </w:pPr>
      <w:r>
        <w:rPr/>
        <w:br w:type="column"/>
      </w:r>
      <w:r>
        <w:rPr>
          <w:rFonts w:ascii="Lucida Sans Unicode" w:hAnsi="Lucida Sans Unicode"/>
        </w:rPr>
        <w:t>rights guaranteed by the [ECHR], the </w:t>
      </w:r>
      <w:r>
        <w:rPr>
          <w:w w:val="110"/>
        </w:rPr>
        <w:t>meaning and scope of those rights shall be the same as those laid down </w:t>
      </w:r>
      <w:r>
        <w:rPr>
          <w:rFonts w:ascii="Lucida Sans Unicode" w:hAnsi="Lucida Sans Unicode"/>
        </w:rPr>
        <w:t>by the said Convention’. Articles 3 </w:t>
      </w:r>
      <w:r>
        <w:rPr>
          <w:w w:val="110"/>
        </w:rPr>
        <w:t>ECHR (prohibition of torture and inhuman or degrading treatment or </w:t>
      </w:r>
      <w:r>
        <w:rPr>
          <w:rFonts w:ascii="Lucida Sans Unicode" w:hAnsi="Lucida Sans Unicode"/>
        </w:rPr>
        <w:t>punishment) and 4 ECHR </w:t>
      </w:r>
      <w:r>
        <w:rPr>
          <w:rFonts w:ascii="Lucida Sans Unicode" w:hAnsi="Lucida Sans Unicode"/>
        </w:rPr>
        <w:t>(prohibition </w:t>
      </w:r>
      <w:r>
        <w:rPr>
          <w:w w:val="110"/>
        </w:rPr>
        <w:t>of slavery, servitude or forced labour) are absolute rights and are mirrored</w:t>
      </w:r>
      <w:r>
        <w:rPr>
          <w:spacing w:val="40"/>
          <w:w w:val="110"/>
        </w:rPr>
        <w:t> </w:t>
      </w:r>
      <w:r>
        <w:rPr>
          <w:rFonts w:ascii="Lucida Sans Unicode" w:hAnsi="Lucida Sans Unicode"/>
          <w:w w:val="110"/>
        </w:rPr>
        <w:t>in</w:t>
      </w:r>
      <w:r>
        <w:rPr>
          <w:rFonts w:ascii="Lucida Sans Unicode" w:hAnsi="Lucida Sans Unicode"/>
          <w:spacing w:val="-21"/>
          <w:w w:val="110"/>
        </w:rPr>
        <w:t> </w:t>
      </w:r>
      <w:r>
        <w:rPr>
          <w:rFonts w:ascii="Lucida Sans Unicode" w:hAnsi="Lucida Sans Unicode"/>
          <w:w w:val="110"/>
        </w:rPr>
        <w:t>Articles</w:t>
      </w:r>
      <w:r>
        <w:rPr>
          <w:rFonts w:ascii="Lucida Sans Unicode" w:hAnsi="Lucida Sans Unicode"/>
          <w:spacing w:val="-21"/>
          <w:w w:val="110"/>
        </w:rPr>
        <w:t> </w:t>
      </w:r>
      <w:r>
        <w:rPr>
          <w:rFonts w:ascii="Lucida Sans Unicode" w:hAnsi="Lucida Sans Unicode"/>
          <w:w w:val="110"/>
        </w:rPr>
        <w:t>4</w:t>
      </w:r>
      <w:r>
        <w:rPr>
          <w:rFonts w:ascii="Lucida Sans Unicode" w:hAnsi="Lucida Sans Unicode"/>
          <w:spacing w:val="-21"/>
          <w:w w:val="110"/>
        </w:rPr>
        <w:t> </w:t>
      </w:r>
      <w:r>
        <w:rPr>
          <w:rFonts w:ascii="Lucida Sans Unicode" w:hAnsi="Lucida Sans Unicode"/>
          <w:w w:val="110"/>
        </w:rPr>
        <w:t>and</w:t>
      </w:r>
      <w:r>
        <w:rPr>
          <w:rFonts w:ascii="Lucida Sans Unicode" w:hAnsi="Lucida Sans Unicode"/>
          <w:spacing w:val="-21"/>
          <w:w w:val="110"/>
        </w:rPr>
        <w:t> </w:t>
      </w:r>
      <w:r>
        <w:rPr>
          <w:rFonts w:ascii="Lucida Sans Unicode" w:hAnsi="Lucida Sans Unicode"/>
          <w:w w:val="110"/>
        </w:rPr>
        <w:t>5</w:t>
      </w:r>
      <w:r>
        <w:rPr>
          <w:rFonts w:ascii="Lucida Sans Unicode" w:hAnsi="Lucida Sans Unicode"/>
          <w:spacing w:val="-21"/>
          <w:w w:val="110"/>
        </w:rPr>
        <w:t> </w:t>
      </w:r>
      <w:r>
        <w:rPr>
          <w:rFonts w:ascii="Lucida Sans Unicode" w:hAnsi="Lucida Sans Unicode"/>
          <w:w w:val="110"/>
        </w:rPr>
        <w:t>CFR</w:t>
      </w:r>
      <w:r>
        <w:rPr>
          <w:rFonts w:ascii="Lucida Sans Unicode" w:hAnsi="Lucida Sans Unicode"/>
          <w:spacing w:val="-21"/>
          <w:w w:val="110"/>
        </w:rPr>
        <w:t> </w:t>
      </w:r>
      <w:r>
        <w:rPr>
          <w:rFonts w:ascii="Lucida Sans Unicode" w:hAnsi="Lucida Sans Unicode"/>
          <w:w w:val="110"/>
        </w:rPr>
        <w:t>respectively.</w:t>
      </w:r>
    </w:p>
    <w:p>
      <w:pPr>
        <w:pStyle w:val="BodyText"/>
        <w:spacing w:line="310" w:lineRule="exact"/>
        <w:ind w:right="435"/>
        <w:rPr>
          <w:rFonts w:ascii="Lucida Sans Unicode" w:hAnsi="Lucida Sans Unicode"/>
        </w:rPr>
      </w:pPr>
      <w:r>
        <w:rPr>
          <w:rFonts w:ascii="Lucida Sans Unicode" w:hAnsi="Lucida Sans Unicode"/>
          <w:w w:val="110"/>
        </w:rPr>
        <w:t>It</w:t>
      </w:r>
      <w:r>
        <w:rPr>
          <w:rFonts w:ascii="Lucida Sans Unicode" w:hAnsi="Lucida Sans Unicode"/>
          <w:spacing w:val="-16"/>
          <w:w w:val="110"/>
        </w:rPr>
        <w:t> </w:t>
      </w:r>
      <w:r>
        <w:rPr>
          <w:rFonts w:ascii="Lucida Sans Unicode" w:hAnsi="Lucida Sans Unicode"/>
          <w:w w:val="110"/>
        </w:rPr>
        <w:t>follows</w:t>
      </w:r>
      <w:r>
        <w:rPr>
          <w:rFonts w:ascii="Lucida Sans Unicode" w:hAnsi="Lucida Sans Unicode"/>
          <w:spacing w:val="-16"/>
          <w:w w:val="110"/>
        </w:rPr>
        <w:t> </w:t>
      </w:r>
      <w:r>
        <w:rPr>
          <w:rFonts w:ascii="Lucida Sans Unicode" w:hAnsi="Lucida Sans Unicode"/>
          <w:w w:val="110"/>
        </w:rPr>
        <w:t>from</w:t>
      </w:r>
      <w:r>
        <w:rPr>
          <w:rFonts w:ascii="Lucida Sans Unicode" w:hAnsi="Lucida Sans Unicode"/>
          <w:spacing w:val="-16"/>
          <w:w w:val="110"/>
        </w:rPr>
        <w:t> </w:t>
      </w:r>
      <w:r>
        <w:rPr>
          <w:rFonts w:ascii="Lucida Sans Unicode" w:hAnsi="Lucida Sans Unicode"/>
          <w:w w:val="110"/>
        </w:rPr>
        <w:t>Article</w:t>
      </w:r>
      <w:r>
        <w:rPr>
          <w:rFonts w:ascii="Lucida Sans Unicode" w:hAnsi="Lucida Sans Unicode"/>
          <w:spacing w:val="-16"/>
          <w:w w:val="110"/>
        </w:rPr>
        <w:t> </w:t>
      </w:r>
      <w:r>
        <w:rPr>
          <w:rFonts w:ascii="Lucida Sans Unicode" w:hAnsi="Lucida Sans Unicode"/>
          <w:w w:val="110"/>
        </w:rPr>
        <w:t>52</w:t>
      </w:r>
      <w:r>
        <w:rPr>
          <w:rFonts w:ascii="Lucida Sans Unicode" w:hAnsi="Lucida Sans Unicode"/>
          <w:spacing w:val="-16"/>
          <w:w w:val="110"/>
        </w:rPr>
        <w:t> </w:t>
      </w:r>
      <w:r>
        <w:rPr>
          <w:rFonts w:ascii="Lucida Sans Unicode" w:hAnsi="Lucida Sans Unicode"/>
          <w:w w:val="110"/>
        </w:rPr>
        <w:t>(3)</w:t>
      </w:r>
      <w:r>
        <w:rPr>
          <w:rFonts w:ascii="Lucida Sans Unicode" w:hAnsi="Lucida Sans Unicode"/>
          <w:spacing w:val="-16"/>
          <w:w w:val="110"/>
        </w:rPr>
        <w:t> </w:t>
      </w:r>
      <w:r>
        <w:rPr>
          <w:rFonts w:ascii="Lucida Sans Unicode" w:hAnsi="Lucida Sans Unicode"/>
          <w:w w:val="110"/>
        </w:rPr>
        <w:t>CFR </w:t>
      </w:r>
      <w:r>
        <w:rPr>
          <w:rFonts w:ascii="Lucida Sans Unicode" w:hAnsi="Lucida Sans Unicode"/>
        </w:rPr>
        <w:t>that Articles 4 and 5 CFR must also </w:t>
      </w:r>
      <w:r>
        <w:rPr>
          <w:w w:val="110"/>
        </w:rPr>
        <w:t>be considered absolute rights. The same</w:t>
      </w:r>
      <w:r>
        <w:rPr>
          <w:spacing w:val="-4"/>
          <w:w w:val="110"/>
        </w:rPr>
        <w:t> </w:t>
      </w:r>
      <w:r>
        <w:rPr>
          <w:w w:val="110"/>
        </w:rPr>
        <w:t>is</w:t>
      </w:r>
      <w:r>
        <w:rPr>
          <w:spacing w:val="-4"/>
          <w:w w:val="110"/>
        </w:rPr>
        <w:t> </w:t>
      </w:r>
      <w:r>
        <w:rPr>
          <w:w w:val="110"/>
        </w:rPr>
        <w:t>true</w:t>
      </w:r>
      <w:r>
        <w:rPr>
          <w:spacing w:val="-4"/>
          <w:w w:val="110"/>
        </w:rPr>
        <w:t> </w:t>
      </w:r>
      <w:r>
        <w:rPr>
          <w:w w:val="110"/>
        </w:rPr>
        <w:t>for</w:t>
      </w:r>
      <w:r>
        <w:rPr>
          <w:spacing w:val="-4"/>
          <w:w w:val="110"/>
        </w:rPr>
        <w:t> </w:t>
      </w:r>
      <w:r>
        <w:rPr>
          <w:w w:val="110"/>
        </w:rPr>
        <w:t>Article</w:t>
      </w:r>
      <w:r>
        <w:rPr>
          <w:spacing w:val="-4"/>
          <w:w w:val="110"/>
        </w:rPr>
        <w:t> </w:t>
      </w:r>
      <w:r>
        <w:rPr/>
        <w:t>1 </w:t>
      </w:r>
      <w:r>
        <w:rPr>
          <w:w w:val="110"/>
        </w:rPr>
        <w:t>CFR,</w:t>
      </w:r>
      <w:r>
        <w:rPr>
          <w:spacing w:val="-4"/>
          <w:w w:val="110"/>
        </w:rPr>
        <w:t> </w:t>
      </w:r>
      <w:r>
        <w:rPr>
          <w:w w:val="110"/>
        </w:rPr>
        <w:t>which stipulates that human dignity shall be ‘inviolable’. Here the absolute character</w:t>
      </w:r>
      <w:r>
        <w:rPr>
          <w:spacing w:val="40"/>
          <w:w w:val="110"/>
        </w:rPr>
        <w:t> </w:t>
      </w:r>
      <w:r>
        <w:rPr>
          <w:w w:val="110"/>
        </w:rPr>
        <w:t>of</w:t>
      </w:r>
      <w:r>
        <w:rPr>
          <w:spacing w:val="40"/>
          <w:w w:val="110"/>
        </w:rPr>
        <w:t> </w:t>
      </w:r>
      <w:r>
        <w:rPr>
          <w:w w:val="110"/>
        </w:rPr>
        <w:t>the</w:t>
      </w:r>
      <w:r>
        <w:rPr>
          <w:spacing w:val="40"/>
          <w:w w:val="110"/>
        </w:rPr>
        <w:t> </w:t>
      </w:r>
      <w:r>
        <w:rPr>
          <w:w w:val="110"/>
        </w:rPr>
        <w:t>right</w:t>
      </w:r>
      <w:r>
        <w:rPr>
          <w:spacing w:val="40"/>
          <w:w w:val="110"/>
        </w:rPr>
        <w:t> </w:t>
      </w:r>
      <w:r>
        <w:rPr>
          <w:w w:val="110"/>
        </w:rPr>
        <w:t>follows</w:t>
      </w:r>
      <w:r>
        <w:rPr>
          <w:spacing w:val="40"/>
          <w:w w:val="110"/>
        </w:rPr>
        <w:t> </w:t>
      </w:r>
      <w:r>
        <w:rPr>
          <w:w w:val="110"/>
        </w:rPr>
        <w:t>from its categorical wording. It further </w:t>
      </w:r>
      <w:r>
        <w:rPr>
          <w:rFonts w:ascii="Lucida Sans Unicode" w:hAnsi="Lucida Sans Unicode"/>
        </w:rPr>
        <w:t>follows from Article 52 (3) CFR that </w:t>
      </w:r>
      <w:r>
        <w:rPr>
          <w:w w:val="110"/>
        </w:rPr>
        <w:t>any restrictions to the right to life in </w:t>
      </w:r>
      <w:r>
        <w:rPr>
          <w:rFonts w:ascii="Lucida Sans Unicode" w:hAnsi="Lucida Sans Unicode"/>
          <w:w w:val="110"/>
        </w:rPr>
        <w:t>Article</w:t>
      </w:r>
      <w:r>
        <w:rPr>
          <w:rFonts w:ascii="Lucida Sans Unicode" w:hAnsi="Lucida Sans Unicode"/>
          <w:spacing w:val="-16"/>
          <w:w w:val="110"/>
        </w:rPr>
        <w:t> </w:t>
      </w:r>
      <w:r>
        <w:rPr>
          <w:rFonts w:ascii="Lucida Sans Unicode" w:hAnsi="Lucida Sans Unicode"/>
          <w:w w:val="110"/>
        </w:rPr>
        <w:t>2</w:t>
      </w:r>
      <w:r>
        <w:rPr>
          <w:rFonts w:ascii="Lucida Sans Unicode" w:hAnsi="Lucida Sans Unicode"/>
          <w:spacing w:val="-16"/>
          <w:w w:val="110"/>
        </w:rPr>
        <w:t> </w:t>
      </w:r>
      <w:r>
        <w:rPr>
          <w:rFonts w:ascii="Lucida Sans Unicode" w:hAnsi="Lucida Sans Unicode"/>
          <w:w w:val="110"/>
        </w:rPr>
        <w:t>CFR</w:t>
      </w:r>
      <w:r>
        <w:rPr>
          <w:rFonts w:ascii="Lucida Sans Unicode" w:hAnsi="Lucida Sans Unicode"/>
          <w:spacing w:val="-16"/>
          <w:w w:val="110"/>
        </w:rPr>
        <w:t> </w:t>
      </w:r>
      <w:r>
        <w:rPr>
          <w:rFonts w:ascii="Lucida Sans Unicode" w:hAnsi="Lucida Sans Unicode"/>
          <w:w w:val="110"/>
        </w:rPr>
        <w:t>must</w:t>
      </w:r>
      <w:r>
        <w:rPr>
          <w:rFonts w:ascii="Lucida Sans Unicode" w:hAnsi="Lucida Sans Unicode"/>
          <w:spacing w:val="-16"/>
          <w:w w:val="110"/>
        </w:rPr>
        <w:t> </w:t>
      </w:r>
      <w:r>
        <w:rPr>
          <w:rFonts w:ascii="Lucida Sans Unicode" w:hAnsi="Lucida Sans Unicode"/>
          <w:w w:val="110"/>
        </w:rPr>
        <w:t>not</w:t>
      </w:r>
      <w:r>
        <w:rPr>
          <w:rFonts w:ascii="Lucida Sans Unicode" w:hAnsi="Lucida Sans Unicode"/>
          <w:spacing w:val="-16"/>
          <w:w w:val="110"/>
        </w:rPr>
        <w:t> </w:t>
      </w:r>
      <w:r>
        <w:rPr>
          <w:rFonts w:ascii="Lucida Sans Unicode" w:hAnsi="Lucida Sans Unicode"/>
          <w:w w:val="110"/>
        </w:rPr>
        <w:t>go</w:t>
      </w:r>
      <w:r>
        <w:rPr>
          <w:rFonts w:ascii="Lucida Sans Unicode" w:hAnsi="Lucida Sans Unicode"/>
          <w:spacing w:val="-16"/>
          <w:w w:val="110"/>
        </w:rPr>
        <w:t> </w:t>
      </w:r>
      <w:r>
        <w:rPr>
          <w:rFonts w:ascii="Lucida Sans Unicode" w:hAnsi="Lucida Sans Unicode"/>
          <w:w w:val="110"/>
        </w:rPr>
        <w:t>beyond </w:t>
      </w:r>
      <w:r>
        <w:rPr>
          <w:w w:val="110"/>
        </w:rPr>
        <w:t>what is permissible according to </w:t>
      </w:r>
      <w:r>
        <w:rPr>
          <w:rFonts w:ascii="Lucida Sans Unicode" w:hAnsi="Lucida Sans Unicode"/>
          <w:w w:val="110"/>
        </w:rPr>
        <w:t>Article 2 (2) ECHR.</w:t>
      </w:r>
    </w:p>
    <w:p>
      <w:pPr>
        <w:pStyle w:val="Heading3"/>
        <w:numPr>
          <w:ilvl w:val="0"/>
          <w:numId w:val="7"/>
        </w:numPr>
        <w:tabs>
          <w:tab w:pos="680" w:val="left" w:leader="none"/>
        </w:tabs>
        <w:spacing w:line="252" w:lineRule="auto" w:before="318" w:after="0"/>
        <w:ind w:left="680" w:right="1601" w:hanging="567"/>
        <w:jc w:val="left"/>
        <w:rPr>
          <w:color w:val="77328A"/>
        </w:rPr>
      </w:pPr>
      <w:r>
        <w:rPr>
          <w:color w:val="77328A"/>
        </w:rPr>
        <w:t>No UK opt-out from</w:t>
      </w:r>
      <w:r>
        <w:rPr>
          <w:color w:val="77328A"/>
          <w:spacing w:val="-10"/>
        </w:rPr>
        <w:t> </w:t>
      </w:r>
      <w:r>
        <w:rPr>
          <w:color w:val="77328A"/>
        </w:rPr>
        <w:t>the</w:t>
      </w:r>
      <w:r>
        <w:rPr>
          <w:color w:val="77328A"/>
          <w:spacing w:val="-10"/>
        </w:rPr>
        <w:t> </w:t>
      </w:r>
      <w:r>
        <w:rPr>
          <w:color w:val="77328A"/>
        </w:rPr>
        <w:t>Charter</w:t>
      </w:r>
    </w:p>
    <w:p>
      <w:pPr>
        <w:pStyle w:val="BodyText"/>
        <w:spacing w:line="310" w:lineRule="exact" w:before="152"/>
        <w:ind w:right="617"/>
        <w:rPr>
          <w:rFonts w:ascii="Verdana"/>
          <w:i/>
        </w:rPr>
      </w:pPr>
      <w:r>
        <w:rPr>
          <w:rFonts w:ascii="Lucida Sans Unicode"/>
        </w:rPr>
        <w:t>As a final point, it should be </w:t>
      </w:r>
      <w:r>
        <w:rPr>
          <w:rFonts w:ascii="Lucida Sans Unicode"/>
        </w:rPr>
        <w:t>noted </w:t>
      </w:r>
      <w:r>
        <w:rPr>
          <w:w w:val="110"/>
        </w:rPr>
        <w:t>that the UK did not have an opt- out of the Charter while it was an </w:t>
      </w:r>
      <w:r>
        <w:rPr>
          <w:rFonts w:ascii="Lucida Sans Unicode"/>
          <w:spacing w:val="-2"/>
          <w:w w:val="110"/>
        </w:rPr>
        <w:t>EU</w:t>
      </w:r>
      <w:r>
        <w:rPr>
          <w:rFonts w:ascii="Lucida Sans Unicode"/>
          <w:spacing w:val="-19"/>
          <w:w w:val="110"/>
        </w:rPr>
        <w:t> </w:t>
      </w:r>
      <w:r>
        <w:rPr>
          <w:rFonts w:ascii="Lucida Sans Unicode"/>
          <w:spacing w:val="-2"/>
          <w:w w:val="110"/>
        </w:rPr>
        <w:t>Member</w:t>
      </w:r>
      <w:r>
        <w:rPr>
          <w:rFonts w:ascii="Lucida Sans Unicode"/>
          <w:spacing w:val="-19"/>
          <w:w w:val="110"/>
        </w:rPr>
        <w:t> </w:t>
      </w:r>
      <w:r>
        <w:rPr>
          <w:rFonts w:ascii="Lucida Sans Unicode"/>
          <w:spacing w:val="-2"/>
          <w:w w:val="110"/>
        </w:rPr>
        <w:t>State.</w:t>
      </w:r>
      <w:r>
        <w:rPr>
          <w:rFonts w:ascii="Lucida Sans Unicode"/>
          <w:spacing w:val="-19"/>
          <w:w w:val="110"/>
        </w:rPr>
        <w:t> </w:t>
      </w:r>
      <w:r>
        <w:rPr>
          <w:rFonts w:ascii="Lucida Sans Unicode"/>
          <w:spacing w:val="-2"/>
          <w:w w:val="110"/>
        </w:rPr>
        <w:t>In</w:t>
      </w:r>
      <w:r>
        <w:rPr>
          <w:rFonts w:ascii="Lucida Sans Unicode"/>
          <w:spacing w:val="-19"/>
          <w:w w:val="110"/>
        </w:rPr>
        <w:t> </w:t>
      </w:r>
      <w:r>
        <w:rPr>
          <w:rFonts w:ascii="Verdana"/>
          <w:i/>
          <w:spacing w:val="-2"/>
          <w:w w:val="110"/>
        </w:rPr>
        <w:t>NS</w:t>
      </w:r>
      <w:r>
        <w:rPr>
          <w:rFonts w:ascii="Verdana"/>
          <w:i/>
          <w:spacing w:val="-21"/>
          <w:w w:val="110"/>
        </w:rPr>
        <w:t> </w:t>
      </w:r>
      <w:r>
        <w:rPr>
          <w:rFonts w:ascii="Verdana"/>
          <w:i/>
          <w:spacing w:val="-2"/>
          <w:w w:val="110"/>
        </w:rPr>
        <w:t>v</w:t>
      </w:r>
      <w:r>
        <w:rPr>
          <w:rFonts w:ascii="Verdana"/>
          <w:i/>
          <w:spacing w:val="-22"/>
          <w:w w:val="110"/>
        </w:rPr>
        <w:t> </w:t>
      </w:r>
      <w:r>
        <w:rPr>
          <w:rFonts w:ascii="Verdana"/>
          <w:i/>
          <w:spacing w:val="-2"/>
          <w:w w:val="110"/>
        </w:rPr>
        <w:t>Home</w:t>
      </w:r>
    </w:p>
    <w:p>
      <w:pPr>
        <w:pStyle w:val="BodyText"/>
        <w:spacing w:line="237" w:lineRule="auto" w:before="9"/>
        <w:ind w:right="147"/>
      </w:pPr>
      <w:r>
        <w:rPr>
          <w:rFonts w:ascii="Verdana"/>
          <w:i/>
          <w:w w:val="105"/>
        </w:rPr>
        <w:t>Secretary</w:t>
      </w:r>
      <w:r>
        <w:rPr>
          <w:w w:val="105"/>
        </w:rPr>
        <w:t>, the CJEU held that </w:t>
      </w:r>
      <w:r>
        <w:rPr>
          <w:w w:val="105"/>
        </w:rPr>
        <w:t>Protocol </w:t>
      </w:r>
      <w:r>
        <w:rPr>
          <w:rFonts w:ascii="Lucida Sans Unicode"/>
          <w:w w:val="105"/>
        </w:rPr>
        <w:t>No.</w:t>
      </w:r>
      <w:r>
        <w:rPr>
          <w:rFonts w:ascii="Lucida Sans Unicode"/>
          <w:spacing w:val="-7"/>
          <w:w w:val="105"/>
        </w:rPr>
        <w:t> </w:t>
      </w:r>
      <w:r>
        <w:rPr>
          <w:rFonts w:ascii="Lucida Sans Unicode"/>
          <w:w w:val="105"/>
        </w:rPr>
        <w:t>30</w:t>
      </w:r>
      <w:r>
        <w:rPr>
          <w:rFonts w:ascii="Lucida Sans Unicode"/>
          <w:spacing w:val="-7"/>
          <w:w w:val="105"/>
        </w:rPr>
        <w:t> </w:t>
      </w:r>
      <w:r>
        <w:rPr>
          <w:rFonts w:ascii="Lucida Sans Unicode"/>
          <w:w w:val="105"/>
        </w:rPr>
        <w:t>to</w:t>
      </w:r>
      <w:r>
        <w:rPr>
          <w:rFonts w:ascii="Lucida Sans Unicode"/>
          <w:spacing w:val="-7"/>
          <w:w w:val="105"/>
        </w:rPr>
        <w:t> </w:t>
      </w:r>
      <w:r>
        <w:rPr>
          <w:rFonts w:ascii="Lucida Sans Unicode"/>
          <w:w w:val="105"/>
        </w:rPr>
        <w:t>the</w:t>
      </w:r>
      <w:r>
        <w:rPr>
          <w:rFonts w:ascii="Lucida Sans Unicode"/>
          <w:spacing w:val="-7"/>
          <w:w w:val="105"/>
        </w:rPr>
        <w:t> </w:t>
      </w:r>
      <w:r>
        <w:rPr>
          <w:rFonts w:ascii="Lucida Sans Unicode"/>
          <w:w w:val="105"/>
        </w:rPr>
        <w:t>Lisbon</w:t>
      </w:r>
      <w:r>
        <w:rPr>
          <w:rFonts w:ascii="Lucida Sans Unicode"/>
          <w:spacing w:val="-7"/>
          <w:w w:val="105"/>
        </w:rPr>
        <w:t> </w:t>
      </w:r>
      <w:r>
        <w:rPr>
          <w:rFonts w:ascii="Lucida Sans Unicode"/>
          <w:w w:val="105"/>
        </w:rPr>
        <w:t>Treaty</w:t>
      </w:r>
      <w:r>
        <w:rPr>
          <w:rFonts w:ascii="Lucida Sans Unicode"/>
          <w:w w:val="105"/>
          <w:vertAlign w:val="superscript"/>
        </w:rPr>
        <w:t>113</w:t>
      </w:r>
      <w:r>
        <w:rPr>
          <w:rFonts w:ascii="Lucida Sans Unicode"/>
          <w:spacing w:val="-7"/>
          <w:w w:val="105"/>
          <w:vertAlign w:val="baseline"/>
        </w:rPr>
        <w:t> </w:t>
      </w:r>
      <w:r>
        <w:rPr>
          <w:w w:val="105"/>
          <w:vertAlign w:val="baseline"/>
        </w:rPr>
        <w:t>did</w:t>
      </w:r>
    </w:p>
    <w:p>
      <w:pPr>
        <w:pStyle w:val="BodyText"/>
        <w:spacing w:line="253" w:lineRule="exact"/>
      </w:pPr>
      <w:r>
        <w:rPr>
          <w:w w:val="115"/>
        </w:rPr>
        <w:t>not</w:t>
      </w:r>
      <w:r>
        <w:rPr>
          <w:spacing w:val="-11"/>
          <w:w w:val="115"/>
        </w:rPr>
        <w:t> </w:t>
      </w:r>
      <w:r>
        <w:rPr>
          <w:w w:val="115"/>
        </w:rPr>
        <w:t>exempt</w:t>
      </w:r>
      <w:r>
        <w:rPr>
          <w:spacing w:val="-11"/>
          <w:w w:val="115"/>
        </w:rPr>
        <w:t> </w:t>
      </w:r>
      <w:r>
        <w:rPr>
          <w:w w:val="115"/>
        </w:rPr>
        <w:t>the</w:t>
      </w:r>
      <w:r>
        <w:rPr>
          <w:spacing w:val="-11"/>
          <w:w w:val="115"/>
        </w:rPr>
        <w:t> </w:t>
      </w:r>
      <w:r>
        <w:rPr>
          <w:w w:val="115"/>
        </w:rPr>
        <w:t>UK</w:t>
      </w:r>
      <w:r>
        <w:rPr>
          <w:spacing w:val="-11"/>
          <w:w w:val="115"/>
        </w:rPr>
        <w:t> </w:t>
      </w:r>
      <w:r>
        <w:rPr>
          <w:w w:val="115"/>
        </w:rPr>
        <w:t>from</w:t>
      </w:r>
      <w:r>
        <w:rPr>
          <w:spacing w:val="-11"/>
          <w:w w:val="115"/>
        </w:rPr>
        <w:t> </w:t>
      </w:r>
      <w:r>
        <w:rPr>
          <w:spacing w:val="-2"/>
          <w:w w:val="115"/>
        </w:rPr>
        <w:t>compliance</w:t>
      </w:r>
    </w:p>
    <w:p>
      <w:pPr>
        <w:pStyle w:val="BodyText"/>
        <w:spacing w:line="356" w:lineRule="exact"/>
        <w:rPr>
          <w:rFonts w:ascii="Lucida Sans Unicode" w:hAnsi="Lucida Sans Unicode"/>
        </w:rPr>
      </w:pPr>
      <w:r>
        <w:rPr>
          <w:w w:val="110"/>
        </w:rPr>
        <w:t>with</w:t>
      </w:r>
      <w:r>
        <w:rPr>
          <w:spacing w:val="18"/>
          <w:w w:val="110"/>
        </w:rPr>
        <w:t> </w:t>
      </w:r>
      <w:r>
        <w:rPr>
          <w:w w:val="110"/>
        </w:rPr>
        <w:t>the</w:t>
      </w:r>
      <w:r>
        <w:rPr>
          <w:spacing w:val="18"/>
          <w:w w:val="110"/>
        </w:rPr>
        <w:t> </w:t>
      </w:r>
      <w:r>
        <w:rPr>
          <w:w w:val="110"/>
        </w:rPr>
        <w:t>Charter’s</w:t>
      </w:r>
      <w:r>
        <w:rPr>
          <w:spacing w:val="18"/>
          <w:w w:val="110"/>
        </w:rPr>
        <w:t> </w:t>
      </w:r>
      <w:r>
        <w:rPr>
          <w:spacing w:val="-2"/>
          <w:w w:val="110"/>
        </w:rPr>
        <w:t>provisions.</w:t>
      </w:r>
      <w:r>
        <w:rPr>
          <w:rFonts w:ascii="Lucida Sans Unicode" w:hAnsi="Lucida Sans Unicode"/>
          <w:spacing w:val="-2"/>
          <w:w w:val="110"/>
          <w:vertAlign w:val="superscript"/>
        </w:rPr>
        <w:t>114</w:t>
      </w:r>
    </w:p>
    <w:p>
      <w:pPr>
        <w:pStyle w:val="BodyText"/>
        <w:spacing w:line="259" w:lineRule="auto"/>
        <w:ind w:right="396"/>
        <w:rPr>
          <w:rFonts w:ascii="Lucida Sans Unicode" w:hAnsi="Lucida Sans Unicode"/>
        </w:rPr>
      </w:pPr>
      <w:r>
        <w:rPr>
          <w:w w:val="110"/>
        </w:rPr>
        <w:t>The CJEU here endorsed Advocate General</w:t>
      </w:r>
      <w:r>
        <w:rPr>
          <w:spacing w:val="-10"/>
          <w:w w:val="110"/>
        </w:rPr>
        <w:t> </w:t>
      </w:r>
      <w:r>
        <w:rPr>
          <w:w w:val="110"/>
        </w:rPr>
        <w:t>Trstenjak’s</w:t>
      </w:r>
      <w:r>
        <w:rPr>
          <w:spacing w:val="-10"/>
          <w:w w:val="110"/>
        </w:rPr>
        <w:t> </w:t>
      </w:r>
      <w:r>
        <w:rPr>
          <w:w w:val="110"/>
        </w:rPr>
        <w:t>opinion,</w:t>
      </w:r>
      <w:r>
        <w:rPr>
          <w:spacing w:val="-10"/>
          <w:w w:val="110"/>
        </w:rPr>
        <w:t> </w:t>
      </w:r>
      <w:r>
        <w:rPr>
          <w:w w:val="110"/>
        </w:rPr>
        <w:t>in</w:t>
      </w:r>
      <w:r>
        <w:rPr>
          <w:spacing w:val="-10"/>
          <w:w w:val="110"/>
        </w:rPr>
        <w:t> </w:t>
      </w:r>
      <w:r>
        <w:rPr>
          <w:w w:val="110"/>
        </w:rPr>
        <w:t>which the Advocate General noted that</w:t>
      </w:r>
      <w:r>
        <w:rPr>
          <w:spacing w:val="80"/>
          <w:w w:val="110"/>
        </w:rPr>
        <w:t> </w:t>
      </w:r>
      <w:r>
        <w:rPr>
          <w:rFonts w:ascii="Lucida Sans Unicode" w:hAnsi="Lucida Sans Unicode"/>
          <w:spacing w:val="-2"/>
          <w:w w:val="110"/>
        </w:rPr>
        <w:t>the</w:t>
      </w:r>
      <w:r>
        <w:rPr>
          <w:rFonts w:ascii="Lucida Sans Unicode" w:hAnsi="Lucida Sans Unicode"/>
          <w:spacing w:val="-18"/>
          <w:w w:val="110"/>
        </w:rPr>
        <w:t> </w:t>
      </w:r>
      <w:r>
        <w:rPr>
          <w:rFonts w:ascii="Lucida Sans Unicode" w:hAnsi="Lucida Sans Unicode"/>
          <w:spacing w:val="-2"/>
          <w:w w:val="110"/>
        </w:rPr>
        <w:t>Protocol</w:t>
      </w:r>
      <w:r>
        <w:rPr>
          <w:rFonts w:ascii="Lucida Sans Unicode" w:hAnsi="Lucida Sans Unicode"/>
          <w:spacing w:val="-18"/>
          <w:w w:val="110"/>
        </w:rPr>
        <w:t> </w:t>
      </w:r>
      <w:r>
        <w:rPr>
          <w:rFonts w:ascii="Lucida Sans Unicode" w:hAnsi="Lucida Sans Unicode"/>
          <w:spacing w:val="-2"/>
          <w:w w:val="110"/>
        </w:rPr>
        <w:t>merely</w:t>
      </w:r>
      <w:r>
        <w:rPr>
          <w:rFonts w:ascii="Lucida Sans Unicode" w:hAnsi="Lucida Sans Unicode"/>
          <w:spacing w:val="-18"/>
          <w:w w:val="110"/>
        </w:rPr>
        <w:t> </w:t>
      </w:r>
      <w:r>
        <w:rPr>
          <w:rFonts w:ascii="Lucida Sans Unicode" w:hAnsi="Lucida Sans Unicode"/>
          <w:spacing w:val="-2"/>
          <w:w w:val="110"/>
        </w:rPr>
        <w:t>reaffirmed</w:t>
      </w:r>
      <w:r>
        <w:rPr>
          <w:rFonts w:ascii="Lucida Sans Unicode" w:hAnsi="Lucida Sans Unicode"/>
          <w:spacing w:val="-18"/>
          <w:w w:val="110"/>
        </w:rPr>
        <w:t> </w:t>
      </w:r>
      <w:r>
        <w:rPr>
          <w:rFonts w:ascii="Lucida Sans Unicode" w:hAnsi="Lucida Sans Unicode"/>
          <w:spacing w:val="-2"/>
          <w:w w:val="110"/>
        </w:rPr>
        <w:t>the</w:t>
      </w:r>
    </w:p>
    <w:p>
      <w:pPr>
        <w:pStyle w:val="BodyText"/>
        <w:spacing w:line="224" w:lineRule="exact"/>
      </w:pPr>
      <w:r>
        <w:rPr>
          <w:w w:val="110"/>
        </w:rPr>
        <w:t>‘normative</w:t>
      </w:r>
      <w:r>
        <w:rPr>
          <w:spacing w:val="12"/>
          <w:w w:val="110"/>
        </w:rPr>
        <w:t> </w:t>
      </w:r>
      <w:r>
        <w:rPr>
          <w:w w:val="110"/>
        </w:rPr>
        <w:t>content</w:t>
      </w:r>
      <w:r>
        <w:rPr>
          <w:spacing w:val="13"/>
          <w:w w:val="110"/>
        </w:rPr>
        <w:t> </w:t>
      </w:r>
      <w:r>
        <w:rPr>
          <w:w w:val="110"/>
        </w:rPr>
        <w:t>of</w:t>
      </w:r>
      <w:r>
        <w:rPr>
          <w:spacing w:val="12"/>
          <w:w w:val="110"/>
        </w:rPr>
        <w:t> </w:t>
      </w:r>
      <w:r>
        <w:rPr>
          <w:w w:val="110"/>
        </w:rPr>
        <w:t>article</w:t>
      </w:r>
      <w:r>
        <w:rPr>
          <w:spacing w:val="13"/>
          <w:w w:val="110"/>
        </w:rPr>
        <w:t> </w:t>
      </w:r>
      <w:r>
        <w:rPr>
          <w:w w:val="110"/>
        </w:rPr>
        <w:t>51</w:t>
      </w:r>
      <w:r>
        <w:rPr>
          <w:spacing w:val="13"/>
          <w:w w:val="110"/>
        </w:rPr>
        <w:t> </w:t>
      </w:r>
      <w:r>
        <w:rPr>
          <w:spacing w:val="-5"/>
          <w:w w:val="110"/>
        </w:rPr>
        <w:t>of</w:t>
      </w:r>
    </w:p>
    <w:p>
      <w:pPr>
        <w:pStyle w:val="BodyText"/>
        <w:spacing w:before="23"/>
      </w:pPr>
      <w:r>
        <w:rPr>
          <w:w w:val="110"/>
        </w:rPr>
        <w:t>the</w:t>
      </w:r>
      <w:r>
        <w:rPr>
          <w:spacing w:val="-2"/>
          <w:w w:val="110"/>
        </w:rPr>
        <w:t> </w:t>
      </w:r>
      <w:r>
        <w:rPr>
          <w:w w:val="110"/>
        </w:rPr>
        <w:t>Charter’,</w:t>
      </w:r>
      <w:r>
        <w:rPr>
          <w:spacing w:val="-1"/>
          <w:w w:val="110"/>
        </w:rPr>
        <w:t> </w:t>
      </w:r>
      <w:r>
        <w:rPr>
          <w:w w:val="110"/>
        </w:rPr>
        <w:t>which</w:t>
      </w:r>
      <w:r>
        <w:rPr>
          <w:spacing w:val="-1"/>
          <w:w w:val="110"/>
        </w:rPr>
        <w:t> </w:t>
      </w:r>
      <w:r>
        <w:rPr>
          <w:w w:val="110"/>
        </w:rPr>
        <w:t>–</w:t>
      </w:r>
      <w:r>
        <w:rPr>
          <w:spacing w:val="-1"/>
          <w:w w:val="110"/>
        </w:rPr>
        <w:t> </w:t>
      </w:r>
      <w:r>
        <w:rPr>
          <w:w w:val="110"/>
        </w:rPr>
        <w:t>as</w:t>
      </w:r>
      <w:r>
        <w:rPr>
          <w:spacing w:val="-1"/>
          <w:w w:val="110"/>
        </w:rPr>
        <w:t> </w:t>
      </w:r>
      <w:r>
        <w:rPr>
          <w:spacing w:val="-2"/>
          <w:w w:val="110"/>
        </w:rPr>
        <w:t>explored</w:t>
      </w:r>
    </w:p>
    <w:p>
      <w:pPr>
        <w:spacing w:after="0"/>
        <w:sectPr>
          <w:type w:val="continuous"/>
          <w:pgSz w:w="11910" w:h="16840"/>
          <w:pgMar w:header="568" w:footer="580" w:top="0" w:bottom="280" w:left="1020" w:right="1020"/>
          <w:cols w:num="2" w:equalWidth="0">
            <w:col w:w="4690" w:space="356"/>
            <w:col w:w="4824"/>
          </w:cols>
        </w:sectPr>
      </w:pPr>
    </w:p>
    <w:p>
      <w:pPr>
        <w:pStyle w:val="BodyText"/>
        <w:spacing w:before="89"/>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97" name="Group 97"/>
                <wp:cNvGraphicFramePr>
                  <a:graphicFrameLocks/>
                </wp:cNvGraphicFramePr>
                <a:graphic>
                  <a:graphicData uri="http://schemas.microsoft.com/office/word/2010/wordprocessingGroup">
                    <wpg:wgp>
                      <wpg:cNvPr id="97" name="Group 97"/>
                      <wpg:cNvGrpSpPr/>
                      <wpg:grpSpPr>
                        <a:xfrm>
                          <a:off x="0" y="0"/>
                          <a:ext cx="6120130" cy="6350"/>
                          <a:chExt cx="6120130" cy="6350"/>
                        </a:xfrm>
                      </wpg:grpSpPr>
                      <wps:wsp>
                        <wps:cNvPr id="98" name="Graphic 98"/>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67"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7" w:val="left" w:leader="none"/>
        </w:tabs>
        <w:spacing w:line="223" w:lineRule="exact" w:before="61" w:after="0"/>
        <w:ind w:left="567" w:right="0" w:hanging="454"/>
        <w:jc w:val="left"/>
        <w:rPr>
          <w:sz w:val="16"/>
        </w:rPr>
      </w:pPr>
      <w:r>
        <w:rPr>
          <w:spacing w:val="-4"/>
          <w:sz w:val="16"/>
        </w:rPr>
        <w:t>Case</w:t>
      </w:r>
      <w:r>
        <w:rPr>
          <w:spacing w:val="4"/>
          <w:sz w:val="16"/>
        </w:rPr>
        <w:t> </w:t>
      </w:r>
      <w:r>
        <w:rPr>
          <w:spacing w:val="-4"/>
          <w:sz w:val="16"/>
        </w:rPr>
        <w:t>C-283/11</w:t>
      </w:r>
      <w:r>
        <w:rPr>
          <w:spacing w:val="5"/>
          <w:sz w:val="16"/>
        </w:rPr>
        <w:t> </w:t>
      </w:r>
      <w:r>
        <w:rPr>
          <w:rFonts w:ascii="Verdana" w:hAnsi="Verdana"/>
          <w:i/>
          <w:spacing w:val="-4"/>
          <w:sz w:val="16"/>
        </w:rPr>
        <w:t>Sky</w:t>
      </w:r>
      <w:r>
        <w:rPr>
          <w:rFonts w:ascii="Verdana" w:hAnsi="Verdana"/>
          <w:i/>
          <w:spacing w:val="-2"/>
          <w:sz w:val="16"/>
        </w:rPr>
        <w:t> </w:t>
      </w:r>
      <w:r>
        <w:rPr>
          <w:rFonts w:ascii="Verdana" w:hAnsi="Verdana"/>
          <w:i/>
          <w:spacing w:val="-4"/>
          <w:sz w:val="16"/>
        </w:rPr>
        <w:t>Österreich</w:t>
      </w:r>
      <w:r>
        <w:rPr>
          <w:rFonts w:ascii="Verdana" w:hAnsi="Verdana"/>
          <w:i/>
          <w:spacing w:val="-1"/>
          <w:sz w:val="16"/>
        </w:rPr>
        <w:t> </w:t>
      </w:r>
      <w:r>
        <w:rPr>
          <w:rFonts w:ascii="Verdana" w:hAnsi="Verdana"/>
          <w:i/>
          <w:spacing w:val="-4"/>
          <w:sz w:val="16"/>
        </w:rPr>
        <w:t>GmbH</w:t>
      </w:r>
      <w:r>
        <w:rPr>
          <w:rFonts w:ascii="Verdana" w:hAnsi="Verdana"/>
          <w:i/>
          <w:spacing w:val="-2"/>
          <w:sz w:val="16"/>
        </w:rPr>
        <w:t> </w:t>
      </w:r>
      <w:r>
        <w:rPr>
          <w:rFonts w:ascii="Verdana" w:hAnsi="Verdana"/>
          <w:i/>
          <w:spacing w:val="-4"/>
          <w:sz w:val="16"/>
        </w:rPr>
        <w:t>v</w:t>
      </w:r>
      <w:r>
        <w:rPr>
          <w:rFonts w:ascii="Verdana" w:hAnsi="Verdana"/>
          <w:i/>
          <w:spacing w:val="-1"/>
          <w:sz w:val="16"/>
        </w:rPr>
        <w:t> </w:t>
      </w:r>
      <w:r>
        <w:rPr>
          <w:rFonts w:ascii="Verdana" w:hAnsi="Verdana"/>
          <w:i/>
          <w:spacing w:val="-4"/>
          <w:sz w:val="16"/>
        </w:rPr>
        <w:t>Österreichischer</w:t>
      </w:r>
      <w:r>
        <w:rPr>
          <w:rFonts w:ascii="Verdana" w:hAnsi="Verdana"/>
          <w:i/>
          <w:spacing w:val="-2"/>
          <w:sz w:val="16"/>
        </w:rPr>
        <w:t> </w:t>
      </w:r>
      <w:r>
        <w:rPr>
          <w:rFonts w:ascii="Verdana" w:hAnsi="Verdana"/>
          <w:i/>
          <w:spacing w:val="-4"/>
          <w:sz w:val="16"/>
        </w:rPr>
        <w:t>Rundfunk</w:t>
      </w:r>
      <w:r>
        <w:rPr>
          <w:rFonts w:ascii="Verdana" w:hAnsi="Verdana"/>
          <w:i/>
          <w:spacing w:val="-1"/>
          <w:sz w:val="16"/>
        </w:rPr>
        <w:t> </w:t>
      </w:r>
      <w:r>
        <w:rPr>
          <w:spacing w:val="-4"/>
          <w:sz w:val="16"/>
        </w:rPr>
        <w:t>EU:C:2013:28,</w:t>
      </w:r>
      <w:r>
        <w:rPr>
          <w:spacing w:val="5"/>
          <w:sz w:val="16"/>
        </w:rPr>
        <w:t> </w:t>
      </w:r>
      <w:r>
        <w:rPr>
          <w:spacing w:val="-4"/>
          <w:sz w:val="16"/>
        </w:rPr>
        <w:t>para</w:t>
      </w:r>
      <w:r>
        <w:rPr>
          <w:spacing w:val="4"/>
          <w:sz w:val="16"/>
        </w:rPr>
        <w:t> </w:t>
      </w:r>
      <w:r>
        <w:rPr>
          <w:spacing w:val="-5"/>
          <w:sz w:val="16"/>
        </w:rPr>
        <w:t>60.</w:t>
      </w:r>
    </w:p>
    <w:p>
      <w:pPr>
        <w:pStyle w:val="ListParagraph"/>
        <w:numPr>
          <w:ilvl w:val="0"/>
          <w:numId w:val="6"/>
        </w:numPr>
        <w:tabs>
          <w:tab w:pos="567" w:val="left" w:leader="none"/>
        </w:tabs>
        <w:spacing w:line="194" w:lineRule="auto" w:before="10" w:after="0"/>
        <w:ind w:left="567" w:right="235" w:hanging="454"/>
        <w:jc w:val="left"/>
        <w:rPr>
          <w:sz w:val="16"/>
        </w:rPr>
      </w:pPr>
      <w:r>
        <w:rPr>
          <w:sz w:val="16"/>
        </w:rPr>
        <w:t>Protocol (No 30) on the application of the Charter of Fundamental Rights of the European Union to Poland and to</w:t>
      </w:r>
      <w:r>
        <w:rPr>
          <w:spacing w:val="80"/>
          <w:sz w:val="16"/>
        </w:rPr>
        <w:t> </w:t>
      </w:r>
      <w:r>
        <w:rPr>
          <w:sz w:val="16"/>
        </w:rPr>
        <w:t>the United Kingdom [2008] </w:t>
      </w:r>
      <w:r>
        <w:rPr>
          <w:w w:val="115"/>
          <w:sz w:val="16"/>
        </w:rPr>
        <w:t>OJ </w:t>
      </w:r>
      <w:r>
        <w:rPr>
          <w:sz w:val="16"/>
        </w:rPr>
        <w:t>C 115/313.</w:t>
      </w:r>
    </w:p>
    <w:p>
      <w:pPr>
        <w:pStyle w:val="ListParagraph"/>
        <w:numPr>
          <w:ilvl w:val="0"/>
          <w:numId w:val="6"/>
        </w:numPr>
        <w:tabs>
          <w:tab w:pos="567" w:val="left" w:leader="none"/>
        </w:tabs>
        <w:spacing w:line="194" w:lineRule="auto" w:before="2" w:after="0"/>
        <w:ind w:left="567" w:right="346" w:hanging="454"/>
        <w:jc w:val="left"/>
        <w:rPr>
          <w:sz w:val="16"/>
        </w:rPr>
      </w:pPr>
      <w:r>
        <w:rPr>
          <w:spacing w:val="-4"/>
          <w:sz w:val="16"/>
        </w:rPr>
        <w:t>Joined</w:t>
      </w:r>
      <w:r>
        <w:rPr>
          <w:spacing w:val="-5"/>
          <w:sz w:val="16"/>
        </w:rPr>
        <w:t> </w:t>
      </w:r>
      <w:r>
        <w:rPr>
          <w:spacing w:val="-4"/>
          <w:sz w:val="16"/>
        </w:rPr>
        <w:t>Cases</w:t>
      </w:r>
      <w:r>
        <w:rPr>
          <w:spacing w:val="-5"/>
          <w:sz w:val="16"/>
        </w:rPr>
        <w:t> </w:t>
      </w:r>
      <w:r>
        <w:rPr>
          <w:spacing w:val="-4"/>
          <w:sz w:val="16"/>
        </w:rPr>
        <w:t>C-411/10</w:t>
      </w:r>
      <w:r>
        <w:rPr>
          <w:spacing w:val="-5"/>
          <w:sz w:val="16"/>
        </w:rPr>
        <w:t> </w:t>
      </w:r>
      <w:r>
        <w:rPr>
          <w:spacing w:val="-4"/>
          <w:sz w:val="16"/>
        </w:rPr>
        <w:t>and</w:t>
      </w:r>
      <w:r>
        <w:rPr>
          <w:spacing w:val="-5"/>
          <w:sz w:val="16"/>
        </w:rPr>
        <w:t> </w:t>
      </w:r>
      <w:r>
        <w:rPr>
          <w:spacing w:val="-4"/>
          <w:sz w:val="16"/>
        </w:rPr>
        <w:t>C-493/10</w:t>
      </w:r>
      <w:r>
        <w:rPr>
          <w:spacing w:val="-5"/>
          <w:sz w:val="16"/>
        </w:rPr>
        <w:t> </w:t>
      </w:r>
      <w:r>
        <w:rPr>
          <w:rFonts w:ascii="Verdana"/>
          <w:i/>
          <w:spacing w:val="-4"/>
          <w:sz w:val="16"/>
        </w:rPr>
        <w:t>N.S.</w:t>
      </w:r>
      <w:r>
        <w:rPr>
          <w:rFonts w:ascii="Verdana"/>
          <w:i/>
          <w:spacing w:val="-11"/>
          <w:sz w:val="16"/>
        </w:rPr>
        <w:t> </w:t>
      </w:r>
      <w:r>
        <w:rPr>
          <w:rFonts w:ascii="Verdana"/>
          <w:i/>
          <w:spacing w:val="-4"/>
          <w:sz w:val="16"/>
        </w:rPr>
        <w:t>v</w:t>
      </w:r>
      <w:r>
        <w:rPr>
          <w:rFonts w:ascii="Verdana"/>
          <w:i/>
          <w:spacing w:val="-10"/>
          <w:sz w:val="16"/>
        </w:rPr>
        <w:t> </w:t>
      </w:r>
      <w:r>
        <w:rPr>
          <w:rFonts w:ascii="Verdana"/>
          <w:i/>
          <w:spacing w:val="-4"/>
          <w:sz w:val="16"/>
        </w:rPr>
        <w:t>Secretary</w:t>
      </w:r>
      <w:r>
        <w:rPr>
          <w:rFonts w:ascii="Verdana"/>
          <w:i/>
          <w:spacing w:val="-10"/>
          <w:sz w:val="16"/>
        </w:rPr>
        <w:t> </w:t>
      </w:r>
      <w:r>
        <w:rPr>
          <w:rFonts w:ascii="Verdana"/>
          <w:i/>
          <w:spacing w:val="-4"/>
          <w:sz w:val="16"/>
        </w:rPr>
        <w:t>of</w:t>
      </w:r>
      <w:r>
        <w:rPr>
          <w:rFonts w:ascii="Verdana"/>
          <w:i/>
          <w:spacing w:val="-10"/>
          <w:sz w:val="16"/>
        </w:rPr>
        <w:t> </w:t>
      </w:r>
      <w:r>
        <w:rPr>
          <w:rFonts w:ascii="Verdana"/>
          <w:i/>
          <w:spacing w:val="-4"/>
          <w:sz w:val="16"/>
        </w:rPr>
        <w:t>State</w:t>
      </w:r>
      <w:r>
        <w:rPr>
          <w:rFonts w:ascii="Verdana"/>
          <w:i/>
          <w:spacing w:val="-10"/>
          <w:sz w:val="16"/>
        </w:rPr>
        <w:t> </w:t>
      </w:r>
      <w:r>
        <w:rPr>
          <w:rFonts w:ascii="Verdana"/>
          <w:i/>
          <w:spacing w:val="-4"/>
          <w:sz w:val="16"/>
        </w:rPr>
        <w:t>for</w:t>
      </w:r>
      <w:r>
        <w:rPr>
          <w:rFonts w:ascii="Verdana"/>
          <w:i/>
          <w:spacing w:val="-10"/>
          <w:sz w:val="16"/>
        </w:rPr>
        <w:t> </w:t>
      </w:r>
      <w:r>
        <w:rPr>
          <w:rFonts w:ascii="Verdana"/>
          <w:i/>
          <w:spacing w:val="-4"/>
          <w:sz w:val="16"/>
        </w:rPr>
        <w:t>the</w:t>
      </w:r>
      <w:r>
        <w:rPr>
          <w:rFonts w:ascii="Verdana"/>
          <w:i/>
          <w:spacing w:val="-10"/>
          <w:sz w:val="16"/>
        </w:rPr>
        <w:t> </w:t>
      </w:r>
      <w:r>
        <w:rPr>
          <w:rFonts w:ascii="Verdana"/>
          <w:i/>
          <w:spacing w:val="-4"/>
          <w:sz w:val="16"/>
        </w:rPr>
        <w:t>Home</w:t>
      </w:r>
      <w:r>
        <w:rPr>
          <w:rFonts w:ascii="Verdana"/>
          <w:i/>
          <w:spacing w:val="-10"/>
          <w:sz w:val="16"/>
        </w:rPr>
        <w:t> </w:t>
      </w:r>
      <w:r>
        <w:rPr>
          <w:rFonts w:ascii="Verdana"/>
          <w:i/>
          <w:spacing w:val="-4"/>
          <w:sz w:val="16"/>
        </w:rPr>
        <w:t>Department</w:t>
      </w:r>
      <w:r>
        <w:rPr>
          <w:rFonts w:ascii="Verdana"/>
          <w:i/>
          <w:spacing w:val="-10"/>
          <w:sz w:val="16"/>
        </w:rPr>
        <w:t> </w:t>
      </w:r>
      <w:r>
        <w:rPr>
          <w:spacing w:val="-4"/>
          <w:sz w:val="16"/>
        </w:rPr>
        <w:t>EU:C:2011:865, paras</w:t>
      </w:r>
      <w:r>
        <w:rPr>
          <w:spacing w:val="-5"/>
          <w:sz w:val="16"/>
        </w:rPr>
        <w:t> </w:t>
      </w:r>
      <w:r>
        <w:rPr>
          <w:spacing w:val="-4"/>
          <w:sz w:val="16"/>
        </w:rPr>
        <w:t>116- 122.</w:t>
      </w:r>
    </w:p>
    <w:p>
      <w:pPr>
        <w:spacing w:after="0" w:line="194" w:lineRule="auto"/>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310" w:lineRule="exact" w:before="49"/>
        <w:ind w:right="186"/>
      </w:pPr>
      <w:r>
        <w:rPr>
          <w:rFonts w:ascii="Lucida Sans Unicode" w:hAnsi="Lucida Sans Unicode"/>
          <w:w w:val="105"/>
        </w:rPr>
        <w:t>above</w:t>
      </w:r>
      <w:r>
        <w:rPr>
          <w:rFonts w:ascii="Lucida Sans Unicode" w:hAnsi="Lucida Sans Unicode"/>
          <w:spacing w:val="-20"/>
          <w:w w:val="105"/>
        </w:rPr>
        <w:t> </w:t>
      </w:r>
      <w:r>
        <w:rPr>
          <w:rFonts w:ascii="Lucida Sans Unicode" w:hAnsi="Lucida Sans Unicode"/>
          <w:w w:val="105"/>
        </w:rPr>
        <w:t>–</w:t>
      </w:r>
      <w:r>
        <w:rPr>
          <w:rFonts w:ascii="Lucida Sans Unicode" w:hAnsi="Lucida Sans Unicode"/>
          <w:spacing w:val="-20"/>
          <w:w w:val="105"/>
        </w:rPr>
        <w:t> </w:t>
      </w:r>
      <w:r>
        <w:rPr>
          <w:rFonts w:ascii="Lucida Sans Unicode" w:hAnsi="Lucida Sans Unicode"/>
          <w:w w:val="105"/>
        </w:rPr>
        <w:t>defines</w:t>
      </w:r>
      <w:r>
        <w:rPr>
          <w:rFonts w:ascii="Lucida Sans Unicode" w:hAnsi="Lucida Sans Unicode"/>
          <w:spacing w:val="-20"/>
          <w:w w:val="105"/>
        </w:rPr>
        <w:t> </w:t>
      </w:r>
      <w:r>
        <w:rPr>
          <w:rFonts w:ascii="Lucida Sans Unicode" w:hAnsi="Lucida Sans Unicode"/>
          <w:w w:val="105"/>
        </w:rPr>
        <w:t>the</w:t>
      </w:r>
      <w:r>
        <w:rPr>
          <w:rFonts w:ascii="Lucida Sans Unicode" w:hAnsi="Lucida Sans Unicode"/>
          <w:spacing w:val="-20"/>
          <w:w w:val="105"/>
        </w:rPr>
        <w:t> </w:t>
      </w:r>
      <w:r>
        <w:rPr>
          <w:rFonts w:ascii="Lucida Sans Unicode" w:hAnsi="Lucida Sans Unicode"/>
          <w:w w:val="105"/>
        </w:rPr>
        <w:t>method</w:t>
      </w:r>
      <w:r>
        <w:rPr>
          <w:rFonts w:ascii="Lucida Sans Unicode" w:hAnsi="Lucida Sans Unicode"/>
          <w:spacing w:val="-20"/>
          <w:w w:val="105"/>
        </w:rPr>
        <w:t> </w:t>
      </w:r>
      <w:r>
        <w:rPr>
          <w:rFonts w:ascii="Lucida Sans Unicode" w:hAnsi="Lucida Sans Unicode"/>
          <w:w w:val="105"/>
        </w:rPr>
        <w:t>by</w:t>
      </w:r>
      <w:r>
        <w:rPr>
          <w:rFonts w:ascii="Lucida Sans Unicode" w:hAnsi="Lucida Sans Unicode"/>
          <w:spacing w:val="-20"/>
          <w:w w:val="105"/>
        </w:rPr>
        <w:t> </w:t>
      </w:r>
      <w:r>
        <w:rPr>
          <w:rFonts w:ascii="Lucida Sans Unicode" w:hAnsi="Lucida Sans Unicode"/>
          <w:w w:val="105"/>
        </w:rPr>
        <w:t>which </w:t>
      </w:r>
      <w:r>
        <w:rPr>
          <w:w w:val="105"/>
        </w:rPr>
        <w:t>the Charter applies in the Member</w:t>
      </w:r>
      <w:r>
        <w:rPr>
          <w:spacing w:val="40"/>
          <w:w w:val="105"/>
        </w:rPr>
        <w:t> </w:t>
      </w:r>
      <w:r>
        <w:rPr>
          <w:rFonts w:ascii="Lucida Sans Unicode" w:hAnsi="Lucida Sans Unicode"/>
          <w:w w:val="105"/>
        </w:rPr>
        <w:t>States.</w:t>
      </w:r>
      <w:r>
        <w:rPr>
          <w:w w:val="105"/>
          <w:vertAlign w:val="superscript"/>
        </w:rPr>
        <w:t>115</w:t>
      </w:r>
      <w:r>
        <w:rPr>
          <w:w w:val="105"/>
          <w:vertAlign w:val="baseline"/>
        </w:rPr>
        <w:t> </w:t>
      </w:r>
      <w:r>
        <w:rPr>
          <w:rFonts w:ascii="Lucida Sans Unicode" w:hAnsi="Lucida Sans Unicode"/>
          <w:w w:val="105"/>
          <w:vertAlign w:val="baseline"/>
        </w:rPr>
        <w:t>Article</w:t>
      </w:r>
      <w:r>
        <w:rPr>
          <w:rFonts w:ascii="Lucida Sans Unicode" w:hAnsi="Lucida Sans Unicode"/>
          <w:spacing w:val="-6"/>
          <w:w w:val="105"/>
          <w:vertAlign w:val="baseline"/>
        </w:rPr>
        <w:t> </w:t>
      </w:r>
      <w:r>
        <w:rPr>
          <w:rFonts w:ascii="Lucida Sans Unicode" w:hAnsi="Lucida Sans Unicode"/>
          <w:w w:val="95"/>
          <w:vertAlign w:val="baseline"/>
        </w:rPr>
        <w:t>1 </w:t>
      </w:r>
      <w:r>
        <w:rPr>
          <w:rFonts w:ascii="Lucida Sans Unicode" w:hAnsi="Lucida Sans Unicode"/>
          <w:w w:val="105"/>
          <w:vertAlign w:val="baseline"/>
        </w:rPr>
        <w:t>(2)</w:t>
      </w:r>
      <w:r>
        <w:rPr>
          <w:rFonts w:ascii="Lucida Sans Unicode" w:hAnsi="Lucida Sans Unicode"/>
          <w:spacing w:val="-6"/>
          <w:w w:val="105"/>
          <w:vertAlign w:val="baseline"/>
        </w:rPr>
        <w:t> </w:t>
      </w:r>
      <w:r>
        <w:rPr>
          <w:rFonts w:ascii="Lucida Sans Unicode" w:hAnsi="Lucida Sans Unicode"/>
          <w:w w:val="105"/>
          <w:vertAlign w:val="baseline"/>
        </w:rPr>
        <w:t>of</w:t>
      </w:r>
      <w:r>
        <w:rPr>
          <w:rFonts w:ascii="Lucida Sans Unicode" w:hAnsi="Lucida Sans Unicode"/>
          <w:spacing w:val="-6"/>
          <w:w w:val="105"/>
          <w:vertAlign w:val="baseline"/>
        </w:rPr>
        <w:t> </w:t>
      </w:r>
      <w:r>
        <w:rPr>
          <w:rFonts w:ascii="Lucida Sans Unicode" w:hAnsi="Lucida Sans Unicode"/>
          <w:w w:val="105"/>
          <w:vertAlign w:val="baseline"/>
        </w:rPr>
        <w:t>Protocol</w:t>
      </w:r>
      <w:r>
        <w:rPr>
          <w:rFonts w:ascii="Lucida Sans Unicode" w:hAnsi="Lucida Sans Unicode"/>
          <w:spacing w:val="-6"/>
          <w:w w:val="105"/>
          <w:vertAlign w:val="baseline"/>
        </w:rPr>
        <w:t> </w:t>
      </w:r>
      <w:r>
        <w:rPr>
          <w:rFonts w:ascii="Lucida Sans Unicode" w:hAnsi="Lucida Sans Unicode"/>
          <w:w w:val="105"/>
          <w:vertAlign w:val="baseline"/>
        </w:rPr>
        <w:t>No </w:t>
      </w:r>
      <w:r>
        <w:rPr>
          <w:rFonts w:ascii="Lucida Sans Unicode" w:hAnsi="Lucida Sans Unicode"/>
          <w:vertAlign w:val="baseline"/>
        </w:rPr>
        <w:t>30</w:t>
      </w:r>
      <w:r>
        <w:rPr>
          <w:rFonts w:ascii="Lucida Sans Unicode" w:hAnsi="Lucida Sans Unicode"/>
          <w:spacing w:val="-7"/>
          <w:vertAlign w:val="baseline"/>
        </w:rPr>
        <w:t> </w:t>
      </w:r>
      <w:r>
        <w:rPr>
          <w:rFonts w:ascii="Lucida Sans Unicode" w:hAnsi="Lucida Sans Unicode"/>
          <w:vertAlign w:val="baseline"/>
        </w:rPr>
        <w:t>stipulates</w:t>
      </w:r>
      <w:r>
        <w:rPr>
          <w:rFonts w:ascii="Lucida Sans Unicode" w:hAnsi="Lucida Sans Unicode"/>
          <w:spacing w:val="-7"/>
          <w:vertAlign w:val="baseline"/>
        </w:rPr>
        <w:t> </w:t>
      </w:r>
      <w:r>
        <w:rPr>
          <w:rFonts w:ascii="Lucida Sans Unicode" w:hAnsi="Lucida Sans Unicode"/>
          <w:vertAlign w:val="baseline"/>
        </w:rPr>
        <w:t>as</w:t>
      </w:r>
      <w:r>
        <w:rPr>
          <w:rFonts w:ascii="Lucida Sans Unicode" w:hAnsi="Lucida Sans Unicode"/>
          <w:spacing w:val="-7"/>
          <w:vertAlign w:val="baseline"/>
        </w:rPr>
        <w:t> </w:t>
      </w:r>
      <w:r>
        <w:rPr>
          <w:rFonts w:ascii="Lucida Sans Unicode" w:hAnsi="Lucida Sans Unicode"/>
          <w:vertAlign w:val="baseline"/>
        </w:rPr>
        <w:t>follows:</w:t>
      </w:r>
      <w:r>
        <w:rPr>
          <w:rFonts w:ascii="Lucida Sans Unicode" w:hAnsi="Lucida Sans Unicode"/>
          <w:spacing w:val="-7"/>
          <w:vertAlign w:val="baseline"/>
        </w:rPr>
        <w:t> </w:t>
      </w:r>
      <w:r>
        <w:rPr>
          <w:rFonts w:ascii="Lucida Sans Unicode" w:hAnsi="Lucida Sans Unicode"/>
          <w:vertAlign w:val="baseline"/>
        </w:rPr>
        <w:t>‘In</w:t>
      </w:r>
      <w:r>
        <w:rPr>
          <w:rFonts w:ascii="Lucida Sans Unicode" w:hAnsi="Lucida Sans Unicode"/>
          <w:spacing w:val="-7"/>
          <w:vertAlign w:val="baseline"/>
        </w:rPr>
        <w:t> </w:t>
      </w:r>
      <w:r>
        <w:rPr>
          <w:rFonts w:ascii="Lucida Sans Unicode" w:hAnsi="Lucida Sans Unicode"/>
          <w:vertAlign w:val="baseline"/>
        </w:rPr>
        <w:t>particular, </w:t>
      </w:r>
      <w:r>
        <w:rPr>
          <w:w w:val="105"/>
          <w:vertAlign w:val="baseline"/>
        </w:rPr>
        <w:t>and</w:t>
      </w:r>
      <w:r>
        <w:rPr>
          <w:spacing w:val="40"/>
          <w:w w:val="105"/>
          <w:vertAlign w:val="baseline"/>
        </w:rPr>
        <w:t> </w:t>
      </w:r>
      <w:r>
        <w:rPr>
          <w:w w:val="105"/>
          <w:vertAlign w:val="baseline"/>
        </w:rPr>
        <w:t>for</w:t>
      </w:r>
      <w:r>
        <w:rPr>
          <w:spacing w:val="40"/>
          <w:w w:val="105"/>
          <w:vertAlign w:val="baseline"/>
        </w:rPr>
        <w:t> </w:t>
      </w:r>
      <w:r>
        <w:rPr>
          <w:w w:val="105"/>
          <w:vertAlign w:val="baseline"/>
        </w:rPr>
        <w:t>the</w:t>
      </w:r>
      <w:r>
        <w:rPr>
          <w:spacing w:val="40"/>
          <w:w w:val="105"/>
          <w:vertAlign w:val="baseline"/>
        </w:rPr>
        <w:t> </w:t>
      </w:r>
      <w:r>
        <w:rPr>
          <w:w w:val="105"/>
          <w:vertAlign w:val="baseline"/>
        </w:rPr>
        <w:t>avoidance</w:t>
      </w:r>
      <w:r>
        <w:rPr>
          <w:spacing w:val="40"/>
          <w:w w:val="105"/>
          <w:vertAlign w:val="baseline"/>
        </w:rPr>
        <w:t> </w:t>
      </w:r>
      <w:r>
        <w:rPr>
          <w:w w:val="105"/>
          <w:vertAlign w:val="baseline"/>
        </w:rPr>
        <w:t>of</w:t>
      </w:r>
      <w:r>
        <w:rPr>
          <w:spacing w:val="40"/>
          <w:w w:val="105"/>
          <w:vertAlign w:val="baseline"/>
        </w:rPr>
        <w:t> </w:t>
      </w:r>
      <w:r>
        <w:rPr>
          <w:w w:val="105"/>
          <w:vertAlign w:val="baseline"/>
        </w:rPr>
        <w:t>doubt, nothing in Title IV of the Charter</w:t>
      </w:r>
      <w:r>
        <w:rPr>
          <w:spacing w:val="80"/>
          <w:w w:val="105"/>
          <w:vertAlign w:val="baseline"/>
        </w:rPr>
        <w:t> </w:t>
      </w:r>
      <w:r>
        <w:rPr>
          <w:w w:val="105"/>
          <w:vertAlign w:val="baseline"/>
        </w:rPr>
        <w:t>creates</w:t>
      </w:r>
      <w:r>
        <w:rPr>
          <w:spacing w:val="75"/>
          <w:w w:val="105"/>
          <w:vertAlign w:val="baseline"/>
        </w:rPr>
        <w:t> </w:t>
      </w:r>
      <w:r>
        <w:rPr>
          <w:w w:val="105"/>
          <w:vertAlign w:val="baseline"/>
        </w:rPr>
        <w:t>justiciable</w:t>
      </w:r>
      <w:r>
        <w:rPr>
          <w:spacing w:val="76"/>
          <w:w w:val="105"/>
          <w:vertAlign w:val="baseline"/>
        </w:rPr>
        <w:t> </w:t>
      </w:r>
      <w:r>
        <w:rPr>
          <w:w w:val="105"/>
          <w:vertAlign w:val="baseline"/>
        </w:rPr>
        <w:t>rights</w:t>
      </w:r>
      <w:r>
        <w:rPr>
          <w:spacing w:val="75"/>
          <w:w w:val="105"/>
          <w:vertAlign w:val="baseline"/>
        </w:rPr>
        <w:t> </w:t>
      </w:r>
      <w:r>
        <w:rPr>
          <w:w w:val="105"/>
          <w:vertAlign w:val="baseline"/>
        </w:rPr>
        <w:t>applicable</w:t>
      </w:r>
      <w:r>
        <w:rPr>
          <w:spacing w:val="80"/>
          <w:w w:val="150"/>
          <w:vertAlign w:val="baseline"/>
        </w:rPr>
        <w:t> </w:t>
      </w:r>
      <w:r>
        <w:rPr>
          <w:w w:val="110"/>
          <w:vertAlign w:val="baseline"/>
        </w:rPr>
        <w:t>to </w:t>
      </w:r>
      <w:r>
        <w:rPr>
          <w:w w:val="105"/>
          <w:vertAlign w:val="baseline"/>
        </w:rPr>
        <w:t>Poland or the United Kingdom</w:t>
      </w:r>
      <w:r>
        <w:rPr>
          <w:spacing w:val="80"/>
          <w:w w:val="105"/>
          <w:vertAlign w:val="baseline"/>
        </w:rPr>
        <w:t> </w:t>
      </w:r>
      <w:r>
        <w:rPr>
          <w:w w:val="105"/>
          <w:vertAlign w:val="baseline"/>
        </w:rPr>
        <w:t>except</w:t>
      </w:r>
      <w:r>
        <w:rPr>
          <w:spacing w:val="40"/>
          <w:w w:val="105"/>
          <w:vertAlign w:val="baseline"/>
        </w:rPr>
        <w:t> </w:t>
      </w:r>
      <w:r>
        <w:rPr>
          <w:w w:val="105"/>
          <w:vertAlign w:val="baseline"/>
        </w:rPr>
        <w:t>in</w:t>
      </w:r>
      <w:r>
        <w:rPr>
          <w:spacing w:val="40"/>
          <w:w w:val="105"/>
          <w:vertAlign w:val="baseline"/>
        </w:rPr>
        <w:t> </w:t>
      </w:r>
      <w:r>
        <w:rPr>
          <w:w w:val="105"/>
          <w:vertAlign w:val="baseline"/>
        </w:rPr>
        <w:t>so</w:t>
      </w:r>
      <w:r>
        <w:rPr>
          <w:spacing w:val="40"/>
          <w:w w:val="105"/>
          <w:vertAlign w:val="baseline"/>
        </w:rPr>
        <w:t> </w:t>
      </w:r>
      <w:r>
        <w:rPr>
          <w:w w:val="105"/>
          <w:vertAlign w:val="baseline"/>
        </w:rPr>
        <w:t>far</w:t>
      </w:r>
      <w:r>
        <w:rPr>
          <w:spacing w:val="40"/>
          <w:w w:val="105"/>
          <w:vertAlign w:val="baseline"/>
        </w:rPr>
        <w:t> </w:t>
      </w:r>
      <w:r>
        <w:rPr>
          <w:w w:val="105"/>
          <w:vertAlign w:val="baseline"/>
        </w:rPr>
        <w:t>as</w:t>
      </w:r>
      <w:r>
        <w:rPr>
          <w:spacing w:val="40"/>
          <w:w w:val="105"/>
          <w:vertAlign w:val="baseline"/>
        </w:rPr>
        <w:t> </w:t>
      </w:r>
      <w:r>
        <w:rPr>
          <w:w w:val="105"/>
          <w:vertAlign w:val="baseline"/>
        </w:rPr>
        <w:t>Poland</w:t>
      </w:r>
      <w:r>
        <w:rPr>
          <w:spacing w:val="40"/>
          <w:w w:val="105"/>
          <w:vertAlign w:val="baseline"/>
        </w:rPr>
        <w:t> </w:t>
      </w:r>
      <w:r>
        <w:rPr>
          <w:w w:val="105"/>
          <w:vertAlign w:val="baseline"/>
        </w:rPr>
        <w:t>or</w:t>
      </w:r>
      <w:r>
        <w:rPr>
          <w:spacing w:val="40"/>
          <w:w w:val="105"/>
          <w:vertAlign w:val="baseline"/>
        </w:rPr>
        <w:t> </w:t>
      </w:r>
      <w:r>
        <w:rPr>
          <w:w w:val="105"/>
          <w:vertAlign w:val="baseline"/>
        </w:rPr>
        <w:t>the</w:t>
      </w:r>
    </w:p>
    <w:p>
      <w:pPr>
        <w:pStyle w:val="BodyText"/>
        <w:spacing w:line="268" w:lineRule="auto" w:before="23"/>
        <w:ind w:right="30"/>
      </w:pPr>
      <w:r>
        <w:rPr>
          <w:w w:val="115"/>
        </w:rPr>
        <w:t>United</w:t>
      </w:r>
      <w:r>
        <w:rPr>
          <w:spacing w:val="-20"/>
          <w:w w:val="115"/>
        </w:rPr>
        <w:t> </w:t>
      </w:r>
      <w:r>
        <w:rPr>
          <w:w w:val="115"/>
        </w:rPr>
        <w:t>Kingdom</w:t>
      </w:r>
      <w:r>
        <w:rPr>
          <w:spacing w:val="-19"/>
          <w:w w:val="115"/>
        </w:rPr>
        <w:t> </w:t>
      </w:r>
      <w:r>
        <w:rPr>
          <w:w w:val="115"/>
        </w:rPr>
        <w:t>has</w:t>
      </w:r>
      <w:r>
        <w:rPr>
          <w:spacing w:val="-19"/>
          <w:w w:val="115"/>
        </w:rPr>
        <w:t> </w:t>
      </w:r>
      <w:r>
        <w:rPr>
          <w:w w:val="115"/>
        </w:rPr>
        <w:t>provided</w:t>
      </w:r>
      <w:r>
        <w:rPr>
          <w:spacing w:val="-19"/>
          <w:w w:val="115"/>
        </w:rPr>
        <w:t> </w:t>
      </w:r>
      <w:r>
        <w:rPr>
          <w:w w:val="115"/>
        </w:rPr>
        <w:t>for</w:t>
      </w:r>
      <w:r>
        <w:rPr>
          <w:spacing w:val="-19"/>
          <w:w w:val="115"/>
        </w:rPr>
        <w:t> </w:t>
      </w:r>
      <w:r>
        <w:rPr>
          <w:w w:val="115"/>
        </w:rPr>
        <w:t>such rights in its national law.’ Title IV of</w:t>
      </w:r>
    </w:p>
    <w:p>
      <w:pPr>
        <w:pStyle w:val="BodyText"/>
        <w:spacing w:line="322" w:lineRule="exact"/>
        <w:rPr>
          <w:rFonts w:ascii="Lucida Sans Unicode" w:hAnsi="Lucida Sans Unicode"/>
        </w:rPr>
      </w:pPr>
      <w:r>
        <w:rPr>
          <w:rFonts w:ascii="Lucida Sans Unicode" w:hAnsi="Lucida Sans Unicode"/>
        </w:rPr>
        <w:t>the</w:t>
      </w:r>
      <w:r>
        <w:rPr>
          <w:rFonts w:ascii="Lucida Sans Unicode" w:hAnsi="Lucida Sans Unicode"/>
          <w:spacing w:val="6"/>
        </w:rPr>
        <w:t> </w:t>
      </w:r>
      <w:r>
        <w:rPr>
          <w:rFonts w:ascii="Lucida Sans Unicode" w:hAnsi="Lucida Sans Unicode"/>
        </w:rPr>
        <w:t>Charter</w:t>
      </w:r>
      <w:r>
        <w:rPr>
          <w:rFonts w:ascii="Lucida Sans Unicode" w:hAnsi="Lucida Sans Unicode"/>
          <w:spacing w:val="7"/>
        </w:rPr>
        <w:t> </w:t>
      </w:r>
      <w:r>
        <w:rPr>
          <w:rFonts w:ascii="Lucida Sans Unicode" w:hAnsi="Lucida Sans Unicode"/>
        </w:rPr>
        <w:t>is</w:t>
      </w:r>
      <w:r>
        <w:rPr>
          <w:rFonts w:ascii="Lucida Sans Unicode" w:hAnsi="Lucida Sans Unicode"/>
          <w:spacing w:val="7"/>
        </w:rPr>
        <w:t> </w:t>
      </w:r>
      <w:r>
        <w:rPr>
          <w:rFonts w:ascii="Lucida Sans Unicode" w:hAnsi="Lucida Sans Unicode"/>
        </w:rPr>
        <w:t>entitled</w:t>
      </w:r>
      <w:r>
        <w:rPr>
          <w:rFonts w:ascii="Lucida Sans Unicode" w:hAnsi="Lucida Sans Unicode"/>
          <w:spacing w:val="6"/>
        </w:rPr>
        <w:t> </w:t>
      </w:r>
      <w:r>
        <w:rPr>
          <w:rFonts w:ascii="Lucida Sans Unicode" w:hAnsi="Lucida Sans Unicode"/>
        </w:rPr>
        <w:t>‘Solidarity’</w:t>
      </w:r>
      <w:r>
        <w:rPr>
          <w:rFonts w:ascii="Lucida Sans Unicode" w:hAnsi="Lucida Sans Unicode"/>
          <w:spacing w:val="7"/>
        </w:rPr>
        <w:t> </w:t>
      </w:r>
      <w:r>
        <w:rPr>
          <w:rFonts w:ascii="Lucida Sans Unicode" w:hAnsi="Lucida Sans Unicode"/>
          <w:spacing w:val="-5"/>
        </w:rPr>
        <w:t>and</w:t>
      </w:r>
    </w:p>
    <w:p>
      <w:pPr>
        <w:pStyle w:val="BodyText"/>
        <w:spacing w:line="268" w:lineRule="auto"/>
        <w:ind w:right="30"/>
      </w:pPr>
      <w:r>
        <w:rPr>
          <w:w w:val="115"/>
        </w:rPr>
        <w:t>contains mostly rights and principles that would typically be considered to fall into the category of ‘economic, social</w:t>
      </w:r>
      <w:r>
        <w:rPr>
          <w:spacing w:val="-6"/>
          <w:w w:val="115"/>
        </w:rPr>
        <w:t> </w:t>
      </w:r>
      <w:r>
        <w:rPr>
          <w:w w:val="115"/>
        </w:rPr>
        <w:t>and</w:t>
      </w:r>
      <w:r>
        <w:rPr>
          <w:spacing w:val="-6"/>
          <w:w w:val="115"/>
        </w:rPr>
        <w:t> </w:t>
      </w:r>
      <w:r>
        <w:rPr>
          <w:w w:val="115"/>
        </w:rPr>
        <w:t>cultural</w:t>
      </w:r>
      <w:r>
        <w:rPr>
          <w:spacing w:val="-6"/>
          <w:w w:val="115"/>
        </w:rPr>
        <w:t> </w:t>
      </w:r>
      <w:r>
        <w:rPr>
          <w:w w:val="115"/>
        </w:rPr>
        <w:t>rights’.</w:t>
      </w:r>
      <w:r>
        <w:rPr>
          <w:spacing w:val="-6"/>
          <w:w w:val="115"/>
        </w:rPr>
        <w:t> </w:t>
      </w:r>
      <w:r>
        <w:rPr>
          <w:w w:val="115"/>
        </w:rPr>
        <w:t>The</w:t>
      </w:r>
      <w:r>
        <w:rPr>
          <w:spacing w:val="-6"/>
          <w:w w:val="115"/>
        </w:rPr>
        <w:t> </w:t>
      </w:r>
      <w:r>
        <w:rPr>
          <w:w w:val="115"/>
        </w:rPr>
        <w:t>CJEU has</w:t>
      </w:r>
      <w:r>
        <w:rPr>
          <w:spacing w:val="-20"/>
          <w:w w:val="115"/>
        </w:rPr>
        <w:t> </w:t>
      </w:r>
      <w:r>
        <w:rPr>
          <w:w w:val="115"/>
        </w:rPr>
        <w:t>not</w:t>
      </w:r>
      <w:r>
        <w:rPr>
          <w:spacing w:val="-19"/>
          <w:w w:val="115"/>
        </w:rPr>
        <w:t> </w:t>
      </w:r>
      <w:r>
        <w:rPr>
          <w:w w:val="115"/>
        </w:rPr>
        <w:t>directly</w:t>
      </w:r>
      <w:r>
        <w:rPr>
          <w:spacing w:val="-19"/>
          <w:w w:val="115"/>
        </w:rPr>
        <w:t> </w:t>
      </w:r>
      <w:r>
        <w:rPr>
          <w:w w:val="115"/>
        </w:rPr>
        <w:t>addressed</w:t>
      </w:r>
      <w:r>
        <w:rPr>
          <w:spacing w:val="-19"/>
          <w:w w:val="115"/>
        </w:rPr>
        <w:t> </w:t>
      </w:r>
      <w:r>
        <w:rPr>
          <w:w w:val="115"/>
        </w:rPr>
        <w:t>the</w:t>
      </w:r>
      <w:r>
        <w:rPr>
          <w:spacing w:val="-19"/>
          <w:w w:val="115"/>
        </w:rPr>
        <w:t> </w:t>
      </w:r>
      <w:r>
        <w:rPr>
          <w:w w:val="115"/>
        </w:rPr>
        <w:t>impact</w:t>
      </w:r>
    </w:p>
    <w:p>
      <w:pPr>
        <w:pStyle w:val="BodyText"/>
        <w:spacing w:line="325" w:lineRule="exact"/>
        <w:rPr>
          <w:rFonts w:ascii="Lucida Sans Unicode"/>
        </w:rPr>
      </w:pPr>
      <w:r>
        <w:rPr>
          <w:rFonts w:ascii="Lucida Sans Unicode"/>
        </w:rPr>
        <w:t>of</w:t>
      </w:r>
      <w:r>
        <w:rPr>
          <w:rFonts w:ascii="Lucida Sans Unicode"/>
          <w:spacing w:val="3"/>
        </w:rPr>
        <w:t> </w:t>
      </w:r>
      <w:r>
        <w:rPr>
          <w:rFonts w:ascii="Lucida Sans Unicode"/>
        </w:rPr>
        <w:t>Article</w:t>
      </w:r>
      <w:r>
        <w:rPr>
          <w:rFonts w:ascii="Lucida Sans Unicode"/>
          <w:spacing w:val="4"/>
        </w:rPr>
        <w:t> </w:t>
      </w:r>
      <w:r>
        <w:rPr>
          <w:rFonts w:ascii="Lucida Sans Unicode"/>
          <w:w w:val="95"/>
        </w:rPr>
        <w:t>1</w:t>
      </w:r>
      <w:r>
        <w:rPr>
          <w:rFonts w:ascii="Lucida Sans Unicode"/>
          <w:spacing w:val="3"/>
        </w:rPr>
        <w:t> </w:t>
      </w:r>
      <w:r>
        <w:rPr>
          <w:rFonts w:ascii="Lucida Sans Unicode"/>
        </w:rPr>
        <w:t>(2)</w:t>
      </w:r>
      <w:r>
        <w:rPr>
          <w:rFonts w:ascii="Lucida Sans Unicode"/>
          <w:spacing w:val="4"/>
        </w:rPr>
        <w:t> </w:t>
      </w:r>
      <w:r>
        <w:rPr>
          <w:rFonts w:ascii="Lucida Sans Unicode"/>
        </w:rPr>
        <w:t>on</w:t>
      </w:r>
      <w:r>
        <w:rPr>
          <w:rFonts w:ascii="Lucida Sans Unicode"/>
          <w:spacing w:val="3"/>
        </w:rPr>
        <w:t> </w:t>
      </w:r>
      <w:r>
        <w:rPr>
          <w:rFonts w:ascii="Lucida Sans Unicode"/>
        </w:rPr>
        <w:t>the</w:t>
      </w:r>
      <w:r>
        <w:rPr>
          <w:rFonts w:ascii="Lucida Sans Unicode"/>
          <w:spacing w:val="4"/>
        </w:rPr>
        <w:t> </w:t>
      </w:r>
      <w:r>
        <w:rPr>
          <w:rFonts w:ascii="Lucida Sans Unicode"/>
          <w:spacing w:val="-2"/>
        </w:rPr>
        <w:t>applicability</w:t>
      </w:r>
    </w:p>
    <w:p>
      <w:pPr>
        <w:pStyle w:val="BodyText"/>
        <w:spacing w:line="252" w:lineRule="auto"/>
        <w:ind w:right="510"/>
        <w:rPr>
          <w:rFonts w:ascii="Lucida Sans Unicode"/>
        </w:rPr>
      </w:pPr>
      <w:r>
        <w:rPr>
          <w:w w:val="110"/>
        </w:rPr>
        <w:t>of Title IV to the UK or Poland. There</w:t>
      </w:r>
      <w:r>
        <w:rPr>
          <w:spacing w:val="-3"/>
          <w:w w:val="110"/>
        </w:rPr>
        <w:t> </w:t>
      </w:r>
      <w:r>
        <w:rPr>
          <w:w w:val="110"/>
        </w:rPr>
        <w:t>are,</w:t>
      </w:r>
      <w:r>
        <w:rPr>
          <w:spacing w:val="-3"/>
          <w:w w:val="110"/>
        </w:rPr>
        <w:t> </w:t>
      </w:r>
      <w:r>
        <w:rPr>
          <w:w w:val="110"/>
        </w:rPr>
        <w:t>however,</w:t>
      </w:r>
      <w:r>
        <w:rPr>
          <w:spacing w:val="-3"/>
          <w:w w:val="110"/>
        </w:rPr>
        <w:t> </w:t>
      </w:r>
      <w:r>
        <w:rPr>
          <w:w w:val="110"/>
        </w:rPr>
        <w:t>good</w:t>
      </w:r>
      <w:r>
        <w:rPr>
          <w:spacing w:val="-3"/>
          <w:w w:val="110"/>
        </w:rPr>
        <w:t> </w:t>
      </w:r>
      <w:r>
        <w:rPr>
          <w:w w:val="110"/>
        </w:rPr>
        <w:t>reasons </w:t>
      </w:r>
      <w:r>
        <w:rPr>
          <w:rFonts w:ascii="Lucida Sans Unicode"/>
        </w:rPr>
        <w:t>to</w:t>
      </w:r>
      <w:r>
        <w:rPr>
          <w:rFonts w:ascii="Lucida Sans Unicode"/>
          <w:spacing w:val="2"/>
        </w:rPr>
        <w:t> </w:t>
      </w:r>
      <w:r>
        <w:rPr>
          <w:rFonts w:ascii="Lucida Sans Unicode"/>
        </w:rPr>
        <w:t>assume</w:t>
      </w:r>
      <w:r>
        <w:rPr>
          <w:rFonts w:ascii="Lucida Sans Unicode"/>
          <w:spacing w:val="3"/>
        </w:rPr>
        <w:t> </w:t>
      </w:r>
      <w:r>
        <w:rPr>
          <w:rFonts w:ascii="Lucida Sans Unicode"/>
        </w:rPr>
        <w:t>that</w:t>
      </w:r>
      <w:r>
        <w:rPr>
          <w:rFonts w:ascii="Lucida Sans Unicode"/>
          <w:spacing w:val="2"/>
        </w:rPr>
        <w:t> </w:t>
      </w:r>
      <w:r>
        <w:rPr>
          <w:rFonts w:ascii="Lucida Sans Unicode"/>
        </w:rPr>
        <w:t>Article</w:t>
      </w:r>
      <w:r>
        <w:rPr>
          <w:rFonts w:ascii="Lucida Sans Unicode"/>
          <w:spacing w:val="3"/>
        </w:rPr>
        <w:t> </w:t>
      </w:r>
      <w:r>
        <w:rPr>
          <w:rFonts w:ascii="Lucida Sans Unicode"/>
        </w:rPr>
        <w:t>1</w:t>
      </w:r>
      <w:r>
        <w:rPr>
          <w:rFonts w:ascii="Lucida Sans Unicode"/>
          <w:spacing w:val="3"/>
        </w:rPr>
        <w:t> </w:t>
      </w:r>
      <w:r>
        <w:rPr>
          <w:rFonts w:ascii="Lucida Sans Unicode"/>
        </w:rPr>
        <w:t>(2)</w:t>
      </w:r>
      <w:r>
        <w:rPr>
          <w:rFonts w:ascii="Lucida Sans Unicode"/>
          <w:spacing w:val="2"/>
        </w:rPr>
        <w:t> </w:t>
      </w:r>
      <w:r>
        <w:rPr>
          <w:rFonts w:ascii="Lucida Sans Unicode"/>
        </w:rPr>
        <w:t>has</w:t>
      </w:r>
      <w:r>
        <w:rPr>
          <w:rFonts w:ascii="Lucida Sans Unicode"/>
          <w:spacing w:val="3"/>
        </w:rPr>
        <w:t> </w:t>
      </w:r>
      <w:r>
        <w:rPr>
          <w:rFonts w:ascii="Lucida Sans Unicode"/>
          <w:spacing w:val="-5"/>
        </w:rPr>
        <w:t>no</w:t>
      </w:r>
    </w:p>
    <w:p>
      <w:pPr>
        <w:pStyle w:val="BodyText"/>
        <w:spacing w:line="239" w:lineRule="exact"/>
      </w:pPr>
      <w:r>
        <w:rPr>
          <w:spacing w:val="-2"/>
          <w:w w:val="115"/>
        </w:rPr>
        <w:t>tangible</w:t>
      </w:r>
      <w:r>
        <w:rPr>
          <w:spacing w:val="-8"/>
          <w:w w:val="115"/>
        </w:rPr>
        <w:t> </w:t>
      </w:r>
      <w:r>
        <w:rPr>
          <w:spacing w:val="-2"/>
          <w:w w:val="115"/>
        </w:rPr>
        <w:t>effects</w:t>
      </w:r>
      <w:r>
        <w:rPr>
          <w:spacing w:val="-8"/>
          <w:w w:val="115"/>
        </w:rPr>
        <w:t> </w:t>
      </w:r>
      <w:r>
        <w:rPr>
          <w:spacing w:val="-2"/>
          <w:w w:val="115"/>
        </w:rPr>
        <w:t>either.</w:t>
      </w:r>
      <w:r>
        <w:rPr>
          <w:spacing w:val="-8"/>
          <w:w w:val="115"/>
        </w:rPr>
        <w:t> </w:t>
      </w:r>
      <w:r>
        <w:rPr>
          <w:spacing w:val="-2"/>
          <w:w w:val="115"/>
        </w:rPr>
        <w:t>First,</w:t>
      </w:r>
      <w:r>
        <w:rPr>
          <w:spacing w:val="-8"/>
          <w:w w:val="115"/>
        </w:rPr>
        <w:t> </w:t>
      </w:r>
      <w:r>
        <w:rPr>
          <w:spacing w:val="-2"/>
          <w:w w:val="115"/>
        </w:rPr>
        <w:t>the</w:t>
      </w:r>
      <w:r>
        <w:rPr>
          <w:spacing w:val="-8"/>
          <w:w w:val="115"/>
        </w:rPr>
        <w:t> </w:t>
      </w:r>
      <w:r>
        <w:rPr>
          <w:spacing w:val="-4"/>
          <w:w w:val="115"/>
        </w:rPr>
        <w:t>CJEU</w:t>
      </w:r>
    </w:p>
    <w:p>
      <w:pPr>
        <w:pStyle w:val="BodyText"/>
        <w:spacing w:line="230" w:lineRule="auto" w:before="22"/>
        <w:ind w:right="159"/>
      </w:pPr>
      <w:r>
        <w:rPr>
          <w:w w:val="110"/>
        </w:rPr>
        <w:t>recently reiterated with regard to </w:t>
      </w:r>
      <w:r>
        <w:rPr>
          <w:rFonts w:ascii="Lucida Sans Unicode" w:hAnsi="Lucida Sans Unicode"/>
        </w:rPr>
        <w:t>Poland that Protocol No 30 ‘does </w:t>
      </w:r>
      <w:r>
        <w:rPr>
          <w:rFonts w:ascii="Lucida Sans Unicode" w:hAnsi="Lucida Sans Unicode"/>
        </w:rPr>
        <w:t>not </w:t>
      </w:r>
      <w:r>
        <w:rPr>
          <w:w w:val="110"/>
        </w:rPr>
        <w:t>call into question the applicability</w:t>
      </w:r>
    </w:p>
    <w:p>
      <w:pPr>
        <w:pStyle w:val="BodyText"/>
        <w:spacing w:line="310" w:lineRule="exact" w:before="15"/>
        <w:ind w:right="447"/>
        <w:rPr>
          <w:rFonts w:ascii="Lucida Sans Unicode" w:hAnsi="Lucida Sans Unicode"/>
        </w:rPr>
      </w:pPr>
      <w:r>
        <w:rPr>
          <w:w w:val="110"/>
        </w:rPr>
        <w:t>of the Charter in Poland, nor is it intended</w:t>
      </w:r>
      <w:r>
        <w:rPr>
          <w:spacing w:val="40"/>
          <w:w w:val="110"/>
        </w:rPr>
        <w:t> </w:t>
      </w:r>
      <w:r>
        <w:rPr>
          <w:w w:val="110"/>
        </w:rPr>
        <w:t>to</w:t>
      </w:r>
      <w:r>
        <w:rPr>
          <w:spacing w:val="40"/>
          <w:w w:val="110"/>
        </w:rPr>
        <w:t> </w:t>
      </w:r>
      <w:r>
        <w:rPr>
          <w:w w:val="110"/>
        </w:rPr>
        <w:t>exempt</w:t>
      </w:r>
      <w:r>
        <w:rPr>
          <w:spacing w:val="40"/>
          <w:w w:val="110"/>
        </w:rPr>
        <w:t> </w:t>
      </w:r>
      <w:r>
        <w:rPr>
          <w:w w:val="110"/>
        </w:rPr>
        <w:t>the</w:t>
      </w:r>
      <w:r>
        <w:rPr>
          <w:spacing w:val="40"/>
          <w:w w:val="110"/>
        </w:rPr>
        <w:t> </w:t>
      </w:r>
      <w:r>
        <w:rPr>
          <w:w w:val="110"/>
        </w:rPr>
        <w:t>Republic of Poland from the obligation to comply with the provisions of the Charter’.</w:t>
      </w:r>
      <w:r>
        <w:rPr>
          <w:w w:val="110"/>
          <w:vertAlign w:val="superscript"/>
        </w:rPr>
        <w:t>116</w:t>
      </w:r>
      <w:r>
        <w:rPr>
          <w:w w:val="110"/>
          <w:vertAlign w:val="baseline"/>
        </w:rPr>
        <w:t> No mention is made of any limitations to this statement </w:t>
      </w:r>
      <w:r>
        <w:rPr>
          <w:rFonts w:ascii="Lucida Sans Unicode" w:hAnsi="Lucida Sans Unicode"/>
          <w:vertAlign w:val="baseline"/>
        </w:rPr>
        <w:t>resulting</w:t>
      </w:r>
      <w:r>
        <w:rPr>
          <w:rFonts w:ascii="Lucida Sans Unicode" w:hAnsi="Lucida Sans Unicode"/>
          <w:spacing w:val="-2"/>
          <w:vertAlign w:val="baseline"/>
        </w:rPr>
        <w:t> </w:t>
      </w:r>
      <w:r>
        <w:rPr>
          <w:rFonts w:ascii="Lucida Sans Unicode" w:hAnsi="Lucida Sans Unicode"/>
          <w:vertAlign w:val="baseline"/>
        </w:rPr>
        <w:t>from</w:t>
      </w:r>
      <w:r>
        <w:rPr>
          <w:rFonts w:ascii="Lucida Sans Unicode" w:hAnsi="Lucida Sans Unicode"/>
          <w:spacing w:val="-2"/>
          <w:vertAlign w:val="baseline"/>
        </w:rPr>
        <w:t> </w:t>
      </w:r>
      <w:r>
        <w:rPr>
          <w:rFonts w:ascii="Lucida Sans Unicode" w:hAnsi="Lucida Sans Unicode"/>
          <w:vertAlign w:val="baseline"/>
        </w:rPr>
        <w:t>Article</w:t>
      </w:r>
      <w:r>
        <w:rPr>
          <w:rFonts w:ascii="Lucida Sans Unicode" w:hAnsi="Lucida Sans Unicode"/>
          <w:spacing w:val="-2"/>
          <w:vertAlign w:val="baseline"/>
        </w:rPr>
        <w:t> </w:t>
      </w:r>
      <w:r>
        <w:rPr>
          <w:rFonts w:ascii="Lucida Sans Unicode" w:hAnsi="Lucida Sans Unicode"/>
          <w:vertAlign w:val="baseline"/>
        </w:rPr>
        <w:t>1</w:t>
      </w:r>
      <w:r>
        <w:rPr>
          <w:rFonts w:ascii="Lucida Sans Unicode" w:hAnsi="Lucida Sans Unicode"/>
          <w:spacing w:val="-2"/>
          <w:vertAlign w:val="baseline"/>
        </w:rPr>
        <w:t> </w:t>
      </w:r>
      <w:r>
        <w:rPr>
          <w:rFonts w:ascii="Lucida Sans Unicode" w:hAnsi="Lucida Sans Unicode"/>
          <w:vertAlign w:val="baseline"/>
        </w:rPr>
        <w:t>(2).</w:t>
      </w:r>
      <w:r>
        <w:rPr>
          <w:rFonts w:ascii="Lucida Sans Unicode" w:hAnsi="Lucida Sans Unicode"/>
          <w:spacing w:val="-2"/>
          <w:vertAlign w:val="baseline"/>
        </w:rPr>
        <w:t> </w:t>
      </w:r>
      <w:r>
        <w:rPr>
          <w:rFonts w:ascii="Lucida Sans Unicode" w:hAnsi="Lucida Sans Unicode"/>
          <w:vertAlign w:val="baseline"/>
        </w:rPr>
        <w:t>Second, </w:t>
      </w:r>
      <w:r>
        <w:rPr>
          <w:rFonts w:ascii="Lucida Sans Unicode" w:hAnsi="Lucida Sans Unicode"/>
          <w:spacing w:val="-2"/>
          <w:w w:val="110"/>
          <w:vertAlign w:val="baseline"/>
        </w:rPr>
        <w:t>even</w:t>
      </w:r>
      <w:r>
        <w:rPr>
          <w:rFonts w:ascii="Lucida Sans Unicode" w:hAnsi="Lucida Sans Unicode"/>
          <w:spacing w:val="-19"/>
          <w:w w:val="110"/>
          <w:vertAlign w:val="baseline"/>
        </w:rPr>
        <w:t> </w:t>
      </w:r>
      <w:r>
        <w:rPr>
          <w:rFonts w:ascii="Lucida Sans Unicode" w:hAnsi="Lucida Sans Unicode"/>
          <w:spacing w:val="-2"/>
          <w:w w:val="110"/>
          <w:vertAlign w:val="baseline"/>
        </w:rPr>
        <w:t>if</w:t>
      </w:r>
      <w:r>
        <w:rPr>
          <w:rFonts w:ascii="Lucida Sans Unicode" w:hAnsi="Lucida Sans Unicode"/>
          <w:spacing w:val="-19"/>
          <w:w w:val="110"/>
          <w:vertAlign w:val="baseline"/>
        </w:rPr>
        <w:t> </w:t>
      </w:r>
      <w:r>
        <w:rPr>
          <w:rFonts w:ascii="Lucida Sans Unicode" w:hAnsi="Lucida Sans Unicode"/>
          <w:spacing w:val="-2"/>
          <w:w w:val="110"/>
          <w:vertAlign w:val="baseline"/>
        </w:rPr>
        <w:t>Article</w:t>
      </w:r>
      <w:r>
        <w:rPr>
          <w:rFonts w:ascii="Lucida Sans Unicode" w:hAnsi="Lucida Sans Unicode"/>
          <w:spacing w:val="-19"/>
          <w:w w:val="110"/>
          <w:vertAlign w:val="baseline"/>
        </w:rPr>
        <w:t> </w:t>
      </w:r>
      <w:r>
        <w:rPr>
          <w:rFonts w:ascii="Lucida Sans Unicode" w:hAnsi="Lucida Sans Unicode"/>
          <w:spacing w:val="-2"/>
          <w:w w:val="95"/>
          <w:vertAlign w:val="baseline"/>
        </w:rPr>
        <w:t>1</w:t>
      </w:r>
      <w:r>
        <w:rPr>
          <w:rFonts w:ascii="Lucida Sans Unicode" w:hAnsi="Lucida Sans Unicode"/>
          <w:spacing w:val="-9"/>
          <w:w w:val="95"/>
          <w:vertAlign w:val="baseline"/>
        </w:rPr>
        <w:t> </w:t>
      </w:r>
      <w:r>
        <w:rPr>
          <w:rFonts w:ascii="Lucida Sans Unicode" w:hAnsi="Lucida Sans Unicode"/>
          <w:spacing w:val="-2"/>
          <w:w w:val="110"/>
          <w:vertAlign w:val="baseline"/>
        </w:rPr>
        <w:t>(2)</w:t>
      </w:r>
      <w:r>
        <w:rPr>
          <w:rFonts w:ascii="Lucida Sans Unicode" w:hAnsi="Lucida Sans Unicode"/>
          <w:spacing w:val="-19"/>
          <w:w w:val="110"/>
          <w:vertAlign w:val="baseline"/>
        </w:rPr>
        <w:t> </w:t>
      </w:r>
      <w:r>
        <w:rPr>
          <w:rFonts w:ascii="Lucida Sans Unicode" w:hAnsi="Lucida Sans Unicode"/>
          <w:spacing w:val="-2"/>
          <w:w w:val="110"/>
          <w:vertAlign w:val="baseline"/>
        </w:rPr>
        <w:t>modified</w:t>
      </w:r>
      <w:r>
        <w:rPr>
          <w:rFonts w:ascii="Lucida Sans Unicode" w:hAnsi="Lucida Sans Unicode"/>
          <w:spacing w:val="-18"/>
          <w:w w:val="110"/>
          <w:vertAlign w:val="baseline"/>
        </w:rPr>
        <w:t> </w:t>
      </w:r>
      <w:r>
        <w:rPr>
          <w:rFonts w:ascii="Lucida Sans Unicode" w:hAnsi="Lucida Sans Unicode"/>
          <w:spacing w:val="-2"/>
          <w:w w:val="110"/>
          <w:vertAlign w:val="baseline"/>
        </w:rPr>
        <w:t>this</w:t>
      </w:r>
    </w:p>
    <w:p>
      <w:pPr>
        <w:pStyle w:val="BodyText"/>
        <w:spacing w:line="310" w:lineRule="exact"/>
        <w:ind w:right="143"/>
      </w:pPr>
      <w:r>
        <w:rPr>
          <w:w w:val="110"/>
        </w:rPr>
        <w:t>general statement, on the basis of its wording</w:t>
      </w:r>
      <w:r>
        <w:rPr>
          <w:spacing w:val="40"/>
          <w:w w:val="110"/>
        </w:rPr>
        <w:t> </w:t>
      </w:r>
      <w:r>
        <w:rPr>
          <w:w w:val="110"/>
        </w:rPr>
        <w:t>one</w:t>
      </w:r>
      <w:r>
        <w:rPr>
          <w:spacing w:val="40"/>
          <w:w w:val="110"/>
        </w:rPr>
        <w:t> </w:t>
      </w:r>
      <w:r>
        <w:rPr>
          <w:w w:val="110"/>
        </w:rPr>
        <w:t>cannot</w:t>
      </w:r>
      <w:r>
        <w:rPr>
          <w:spacing w:val="40"/>
          <w:w w:val="110"/>
        </w:rPr>
        <w:t> </w:t>
      </w:r>
      <w:r>
        <w:rPr>
          <w:w w:val="110"/>
        </w:rPr>
        <w:t>conclude</w:t>
      </w:r>
      <w:r>
        <w:rPr>
          <w:spacing w:val="40"/>
          <w:w w:val="110"/>
        </w:rPr>
        <w:t> </w:t>
      </w:r>
      <w:r>
        <w:rPr>
          <w:w w:val="110"/>
        </w:rPr>
        <w:t>that</w:t>
      </w:r>
      <w:r>
        <w:rPr>
          <w:spacing w:val="40"/>
          <w:w w:val="110"/>
        </w:rPr>
        <w:t> </w:t>
      </w:r>
      <w:r>
        <w:rPr>
          <w:w w:val="110"/>
        </w:rPr>
        <w:t>the rights contained in Title IV are </w:t>
      </w:r>
      <w:r>
        <w:rPr>
          <w:w w:val="110"/>
        </w:rPr>
        <w:t>not available in the UK and Poland. As </w:t>
      </w:r>
      <w:r>
        <w:rPr>
          <w:rFonts w:ascii="Lucida Sans Unicode"/>
        </w:rPr>
        <w:t>outlined in section 2 of Chapter 1, the Charter can be seen as a codification </w:t>
      </w:r>
      <w:r>
        <w:rPr>
          <w:w w:val="110"/>
        </w:rPr>
        <w:t>of existing general principles of EU law, so that the Charter (or Title IV in particular) should not be seen to be</w:t>
      </w:r>
    </w:p>
    <w:p>
      <w:pPr>
        <w:pStyle w:val="BodyText"/>
        <w:spacing w:line="310" w:lineRule="exact" w:before="49"/>
        <w:ind w:right="129"/>
      </w:pPr>
      <w:r>
        <w:rPr/>
        <w:br w:type="column"/>
      </w:r>
      <w:r>
        <w:rPr>
          <w:w w:val="115"/>
        </w:rPr>
        <w:t>‘creating’ new rights, but simply to be </w:t>
      </w:r>
      <w:r>
        <w:rPr>
          <w:rFonts w:ascii="Lucida Sans Unicode" w:hAnsi="Lucida Sans Unicode"/>
        </w:rPr>
        <w:t>reaffirming these. Hence even if the </w:t>
      </w:r>
      <w:r>
        <w:rPr>
          <w:w w:val="115"/>
        </w:rPr>
        <w:t>Charter-version</w:t>
      </w:r>
      <w:r>
        <w:rPr>
          <w:spacing w:val="-16"/>
          <w:w w:val="115"/>
        </w:rPr>
        <w:t> </w:t>
      </w:r>
      <w:r>
        <w:rPr>
          <w:w w:val="115"/>
        </w:rPr>
        <w:t>of</w:t>
      </w:r>
      <w:r>
        <w:rPr>
          <w:spacing w:val="-16"/>
          <w:w w:val="115"/>
        </w:rPr>
        <w:t> </w:t>
      </w:r>
      <w:r>
        <w:rPr>
          <w:w w:val="115"/>
        </w:rPr>
        <w:t>a</w:t>
      </w:r>
      <w:r>
        <w:rPr>
          <w:spacing w:val="-16"/>
          <w:w w:val="115"/>
        </w:rPr>
        <w:t> </w:t>
      </w:r>
      <w:r>
        <w:rPr>
          <w:w w:val="115"/>
        </w:rPr>
        <w:t>right</w:t>
      </w:r>
      <w:r>
        <w:rPr>
          <w:spacing w:val="-16"/>
          <w:w w:val="115"/>
        </w:rPr>
        <w:t> </w:t>
      </w:r>
      <w:r>
        <w:rPr>
          <w:w w:val="115"/>
        </w:rPr>
        <w:t>contained</w:t>
      </w:r>
      <w:r>
        <w:rPr>
          <w:spacing w:val="-16"/>
          <w:w w:val="115"/>
        </w:rPr>
        <w:t> </w:t>
      </w:r>
      <w:r>
        <w:rPr>
          <w:w w:val="115"/>
        </w:rPr>
        <w:t>in Title IV were not applicable to the UK and</w:t>
      </w:r>
      <w:r>
        <w:rPr>
          <w:spacing w:val="-6"/>
          <w:w w:val="115"/>
        </w:rPr>
        <w:t> </w:t>
      </w:r>
      <w:r>
        <w:rPr>
          <w:w w:val="115"/>
        </w:rPr>
        <w:t>Poland,</w:t>
      </w:r>
      <w:r>
        <w:rPr>
          <w:spacing w:val="-6"/>
          <w:w w:val="115"/>
        </w:rPr>
        <w:t> </w:t>
      </w:r>
      <w:r>
        <w:rPr>
          <w:w w:val="115"/>
        </w:rPr>
        <w:t>a</w:t>
      </w:r>
      <w:r>
        <w:rPr>
          <w:spacing w:val="-6"/>
          <w:w w:val="115"/>
        </w:rPr>
        <w:t> </w:t>
      </w:r>
      <w:r>
        <w:rPr>
          <w:w w:val="115"/>
        </w:rPr>
        <w:t>general</w:t>
      </w:r>
      <w:r>
        <w:rPr>
          <w:spacing w:val="-6"/>
          <w:w w:val="115"/>
        </w:rPr>
        <w:t> </w:t>
      </w:r>
      <w:r>
        <w:rPr>
          <w:w w:val="115"/>
        </w:rPr>
        <w:t>principle</w:t>
      </w:r>
      <w:r>
        <w:rPr>
          <w:spacing w:val="-6"/>
          <w:w w:val="115"/>
        </w:rPr>
        <w:t> </w:t>
      </w:r>
      <w:r>
        <w:rPr>
          <w:w w:val="115"/>
        </w:rPr>
        <w:t>of</w:t>
      </w:r>
      <w:r>
        <w:rPr>
          <w:spacing w:val="-6"/>
          <w:w w:val="115"/>
        </w:rPr>
        <w:t> </w:t>
      </w:r>
      <w:r>
        <w:rPr>
          <w:w w:val="115"/>
        </w:rPr>
        <w:t>EU law</w:t>
      </w:r>
      <w:r>
        <w:rPr>
          <w:spacing w:val="-20"/>
          <w:w w:val="115"/>
        </w:rPr>
        <w:t> </w:t>
      </w:r>
      <w:r>
        <w:rPr>
          <w:w w:val="115"/>
        </w:rPr>
        <w:t>with</w:t>
      </w:r>
      <w:r>
        <w:rPr>
          <w:spacing w:val="-19"/>
          <w:w w:val="115"/>
        </w:rPr>
        <w:t> </w:t>
      </w:r>
      <w:r>
        <w:rPr>
          <w:w w:val="115"/>
        </w:rPr>
        <w:t>the</w:t>
      </w:r>
      <w:r>
        <w:rPr>
          <w:spacing w:val="-19"/>
          <w:w w:val="115"/>
        </w:rPr>
        <w:t> </w:t>
      </w:r>
      <w:r>
        <w:rPr>
          <w:w w:val="115"/>
        </w:rPr>
        <w:t>same</w:t>
      </w:r>
      <w:r>
        <w:rPr>
          <w:spacing w:val="-19"/>
          <w:w w:val="115"/>
        </w:rPr>
        <w:t> </w:t>
      </w:r>
      <w:r>
        <w:rPr>
          <w:w w:val="115"/>
        </w:rPr>
        <w:t>substantive</w:t>
      </w:r>
      <w:r>
        <w:rPr>
          <w:spacing w:val="-19"/>
          <w:w w:val="115"/>
        </w:rPr>
        <w:t> </w:t>
      </w:r>
      <w:r>
        <w:rPr>
          <w:w w:val="115"/>
        </w:rPr>
        <w:t>content would be.</w:t>
      </w:r>
    </w:p>
    <w:p>
      <w:pPr>
        <w:pStyle w:val="BodyText"/>
        <w:spacing w:before="31"/>
        <w:ind w:left="0"/>
      </w:pPr>
    </w:p>
    <w:p>
      <w:pPr>
        <w:pStyle w:val="BodyText"/>
        <w:spacing w:line="266" w:lineRule="auto"/>
        <w:ind w:right="317"/>
      </w:pPr>
      <w:r>
        <w:rPr>
          <w:w w:val="110"/>
        </w:rPr>
        <w:t>The</w:t>
      </w:r>
      <w:r>
        <w:rPr>
          <w:spacing w:val="-19"/>
          <w:w w:val="110"/>
        </w:rPr>
        <w:t> </w:t>
      </w:r>
      <w:r>
        <w:rPr>
          <w:w w:val="110"/>
        </w:rPr>
        <w:t>state</w:t>
      </w:r>
      <w:r>
        <w:rPr>
          <w:spacing w:val="-15"/>
          <w:w w:val="110"/>
        </w:rPr>
        <w:t> </w:t>
      </w:r>
      <w:r>
        <w:rPr>
          <w:w w:val="110"/>
        </w:rPr>
        <w:t>of</w:t>
      </w:r>
      <w:r>
        <w:rPr>
          <w:spacing w:val="-13"/>
          <w:w w:val="110"/>
        </w:rPr>
        <w:t> </w:t>
      </w:r>
      <w:r>
        <w:rPr>
          <w:w w:val="110"/>
        </w:rPr>
        <w:t>the</w:t>
      </w:r>
      <w:r>
        <w:rPr>
          <w:spacing w:val="-13"/>
          <w:w w:val="110"/>
        </w:rPr>
        <w:t> </w:t>
      </w:r>
      <w:r>
        <w:rPr>
          <w:w w:val="110"/>
        </w:rPr>
        <w:t>EU</w:t>
      </w:r>
      <w:r>
        <w:rPr>
          <w:spacing w:val="-13"/>
          <w:w w:val="110"/>
        </w:rPr>
        <w:t> </w:t>
      </w:r>
      <w:r>
        <w:rPr>
          <w:rFonts w:ascii="Verdana"/>
          <w:i/>
          <w:w w:val="110"/>
        </w:rPr>
        <w:t>acquis</w:t>
      </w:r>
      <w:r>
        <w:rPr>
          <w:rFonts w:ascii="Verdana"/>
          <w:i/>
          <w:spacing w:val="-24"/>
          <w:w w:val="110"/>
        </w:rPr>
        <w:t> </w:t>
      </w:r>
      <w:r>
        <w:rPr>
          <w:w w:val="110"/>
        </w:rPr>
        <w:t>therefore, </w:t>
      </w:r>
      <w:r>
        <w:rPr>
          <w:w w:val="115"/>
        </w:rPr>
        <w:t>in its application to the UK at the end of the implementation period, included the operative part of </w:t>
      </w:r>
      <w:r>
        <w:rPr>
          <w:rFonts w:ascii="Verdana"/>
          <w:i/>
          <w:w w:val="115"/>
        </w:rPr>
        <w:t>NS</w:t>
      </w:r>
      <w:r>
        <w:rPr>
          <w:w w:val="115"/>
        </w:rPr>
        <w:t>, namely that the UK was obliged</w:t>
      </w:r>
    </w:p>
    <w:p>
      <w:pPr>
        <w:pStyle w:val="BodyText"/>
        <w:spacing w:line="259" w:lineRule="auto"/>
        <w:ind w:right="533"/>
        <w:rPr>
          <w:rFonts w:ascii="Lucida Sans Unicode"/>
        </w:rPr>
      </w:pPr>
      <w:r>
        <w:rPr>
          <w:w w:val="115"/>
        </w:rPr>
        <w:t>to conform to the Charter in its implementation of EU law. Thus, </w:t>
      </w:r>
      <w:r>
        <w:rPr>
          <w:spacing w:val="-2"/>
          <w:w w:val="115"/>
        </w:rPr>
        <w:t>no</w:t>
      </w:r>
      <w:r>
        <w:rPr>
          <w:spacing w:val="-18"/>
          <w:w w:val="115"/>
        </w:rPr>
        <w:t> </w:t>
      </w:r>
      <w:r>
        <w:rPr>
          <w:spacing w:val="-2"/>
          <w:w w:val="115"/>
        </w:rPr>
        <w:t>credible</w:t>
      </w:r>
      <w:r>
        <w:rPr>
          <w:spacing w:val="-17"/>
          <w:w w:val="115"/>
        </w:rPr>
        <w:t> </w:t>
      </w:r>
      <w:r>
        <w:rPr>
          <w:spacing w:val="-2"/>
          <w:w w:val="115"/>
        </w:rPr>
        <w:t>reliance</w:t>
      </w:r>
      <w:r>
        <w:rPr>
          <w:spacing w:val="-17"/>
          <w:w w:val="115"/>
        </w:rPr>
        <w:t> </w:t>
      </w:r>
      <w:r>
        <w:rPr>
          <w:spacing w:val="-2"/>
          <w:w w:val="115"/>
        </w:rPr>
        <w:t>can</w:t>
      </w:r>
      <w:r>
        <w:rPr>
          <w:spacing w:val="-17"/>
          <w:w w:val="115"/>
        </w:rPr>
        <w:t> </w:t>
      </w:r>
      <w:r>
        <w:rPr>
          <w:spacing w:val="-2"/>
          <w:w w:val="115"/>
        </w:rPr>
        <w:t>be</w:t>
      </w:r>
      <w:r>
        <w:rPr>
          <w:spacing w:val="-17"/>
          <w:w w:val="115"/>
        </w:rPr>
        <w:t> </w:t>
      </w:r>
      <w:r>
        <w:rPr>
          <w:spacing w:val="-2"/>
          <w:w w:val="115"/>
        </w:rPr>
        <w:t>placed </w:t>
      </w:r>
      <w:r>
        <w:rPr>
          <w:rFonts w:ascii="Lucida Sans Unicode"/>
          <w:w w:val="110"/>
        </w:rPr>
        <w:t>on</w:t>
      </w:r>
      <w:r>
        <w:rPr>
          <w:rFonts w:ascii="Lucida Sans Unicode"/>
          <w:spacing w:val="-21"/>
          <w:w w:val="110"/>
        </w:rPr>
        <w:t> </w:t>
      </w:r>
      <w:r>
        <w:rPr>
          <w:rFonts w:ascii="Lucida Sans Unicode"/>
          <w:w w:val="110"/>
        </w:rPr>
        <w:t>Protocol</w:t>
      </w:r>
      <w:r>
        <w:rPr>
          <w:rFonts w:ascii="Lucida Sans Unicode"/>
          <w:spacing w:val="-21"/>
          <w:w w:val="110"/>
        </w:rPr>
        <w:t> </w:t>
      </w:r>
      <w:r>
        <w:rPr>
          <w:rFonts w:ascii="Lucida Sans Unicode"/>
          <w:w w:val="110"/>
        </w:rPr>
        <w:t>No</w:t>
      </w:r>
      <w:r>
        <w:rPr>
          <w:rFonts w:ascii="Lucida Sans Unicode"/>
          <w:spacing w:val="-21"/>
          <w:w w:val="110"/>
        </w:rPr>
        <w:t> </w:t>
      </w:r>
      <w:r>
        <w:rPr>
          <w:rFonts w:ascii="Lucida Sans Unicode"/>
          <w:w w:val="110"/>
        </w:rPr>
        <w:t>30</w:t>
      </w:r>
      <w:r>
        <w:rPr>
          <w:rFonts w:ascii="Lucida Sans Unicode"/>
          <w:spacing w:val="-21"/>
          <w:w w:val="110"/>
        </w:rPr>
        <w:t> </w:t>
      </w:r>
      <w:r>
        <w:rPr>
          <w:rFonts w:ascii="Lucida Sans Unicode"/>
          <w:w w:val="110"/>
        </w:rPr>
        <w:t>as</w:t>
      </w:r>
      <w:r>
        <w:rPr>
          <w:rFonts w:ascii="Lucida Sans Unicode"/>
          <w:spacing w:val="-20"/>
          <w:w w:val="110"/>
        </w:rPr>
        <w:t> </w:t>
      </w:r>
      <w:r>
        <w:rPr>
          <w:rFonts w:ascii="Lucida Sans Unicode"/>
          <w:w w:val="110"/>
        </w:rPr>
        <w:t>a</w:t>
      </w:r>
      <w:r>
        <w:rPr>
          <w:rFonts w:ascii="Lucida Sans Unicode"/>
          <w:spacing w:val="-21"/>
          <w:w w:val="110"/>
        </w:rPr>
        <w:t> </w:t>
      </w:r>
      <w:r>
        <w:rPr>
          <w:rFonts w:ascii="Lucida Sans Unicode"/>
          <w:w w:val="110"/>
        </w:rPr>
        <w:t>means</w:t>
      </w:r>
      <w:r>
        <w:rPr>
          <w:rFonts w:ascii="Lucida Sans Unicode"/>
          <w:spacing w:val="-21"/>
          <w:w w:val="110"/>
        </w:rPr>
        <w:t> </w:t>
      </w:r>
      <w:r>
        <w:rPr>
          <w:rFonts w:ascii="Lucida Sans Unicode"/>
          <w:w w:val="110"/>
        </w:rPr>
        <w:t>of</w:t>
      </w:r>
    </w:p>
    <w:p>
      <w:pPr>
        <w:pStyle w:val="BodyText"/>
        <w:spacing w:line="224" w:lineRule="exact"/>
      </w:pPr>
      <w:r>
        <w:rPr>
          <w:w w:val="115"/>
        </w:rPr>
        <w:t>negating</w:t>
      </w:r>
      <w:r>
        <w:rPr>
          <w:spacing w:val="-14"/>
          <w:w w:val="115"/>
        </w:rPr>
        <w:t> </w:t>
      </w:r>
      <w:r>
        <w:rPr>
          <w:w w:val="115"/>
        </w:rPr>
        <w:t>the</w:t>
      </w:r>
      <w:r>
        <w:rPr>
          <w:spacing w:val="-13"/>
          <w:w w:val="115"/>
        </w:rPr>
        <w:t> </w:t>
      </w:r>
      <w:r>
        <w:rPr>
          <w:w w:val="115"/>
        </w:rPr>
        <w:t>operation</w:t>
      </w:r>
      <w:r>
        <w:rPr>
          <w:spacing w:val="-14"/>
          <w:w w:val="115"/>
        </w:rPr>
        <w:t> </w:t>
      </w:r>
      <w:r>
        <w:rPr>
          <w:w w:val="115"/>
        </w:rPr>
        <w:t>and</w:t>
      </w:r>
      <w:r>
        <w:rPr>
          <w:spacing w:val="-13"/>
          <w:w w:val="115"/>
        </w:rPr>
        <w:t> </w:t>
      </w:r>
      <w:r>
        <w:rPr>
          <w:spacing w:val="-2"/>
          <w:w w:val="115"/>
        </w:rPr>
        <w:t>effect</w:t>
      </w:r>
    </w:p>
    <w:p>
      <w:pPr>
        <w:pStyle w:val="BodyText"/>
        <w:spacing w:line="268" w:lineRule="auto" w:before="33"/>
        <w:ind w:right="161"/>
      </w:pPr>
      <w:r>
        <w:rPr>
          <w:w w:val="115"/>
        </w:rPr>
        <w:t>of any part of the Charter in the Northern</w:t>
      </w:r>
      <w:r>
        <w:rPr>
          <w:spacing w:val="-20"/>
          <w:w w:val="115"/>
        </w:rPr>
        <w:t> </w:t>
      </w:r>
      <w:r>
        <w:rPr>
          <w:w w:val="115"/>
        </w:rPr>
        <w:t>Ireland</w:t>
      </w:r>
      <w:r>
        <w:rPr>
          <w:spacing w:val="-19"/>
          <w:w w:val="115"/>
        </w:rPr>
        <w:t> </w:t>
      </w:r>
      <w:r>
        <w:rPr>
          <w:w w:val="115"/>
        </w:rPr>
        <w:t>legal</w:t>
      </w:r>
      <w:r>
        <w:rPr>
          <w:spacing w:val="-19"/>
          <w:w w:val="115"/>
        </w:rPr>
        <w:t> </w:t>
      </w:r>
      <w:r>
        <w:rPr>
          <w:w w:val="115"/>
        </w:rPr>
        <w:t>order</w:t>
      </w:r>
      <w:r>
        <w:rPr>
          <w:spacing w:val="-19"/>
          <w:w w:val="115"/>
        </w:rPr>
        <w:t> </w:t>
      </w:r>
      <w:r>
        <w:rPr>
          <w:w w:val="115"/>
        </w:rPr>
        <w:t>through the Withdrawal Agreement and the Windsor Framework.</w:t>
      </w:r>
    </w:p>
    <w:p>
      <w:pPr>
        <w:spacing w:after="0" w:line="268" w:lineRule="auto"/>
        <w:sectPr>
          <w:type w:val="continuous"/>
          <w:pgSz w:w="11910" w:h="16840"/>
          <w:pgMar w:header="568" w:footer="580" w:top="0" w:bottom="280" w:left="1020" w:right="1020"/>
          <w:cols w:num="2" w:equalWidth="0">
            <w:col w:w="4747" w:space="299"/>
            <w:col w:w="4824"/>
          </w:cols>
        </w:sectPr>
      </w:pPr>
    </w:p>
    <w:p>
      <w:pPr>
        <w:pStyle w:val="BodyText"/>
        <w:spacing w:before="169"/>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99" name="Group 99"/>
                <wp:cNvGraphicFramePr>
                  <a:graphicFrameLocks/>
                </wp:cNvGraphicFramePr>
                <a:graphic>
                  <a:graphicData uri="http://schemas.microsoft.com/office/word/2010/wordprocessingGroup">
                    <wpg:wgp>
                      <wpg:cNvPr id="99" name="Group 99"/>
                      <wpg:cNvGrpSpPr/>
                      <wpg:grpSpPr>
                        <a:xfrm>
                          <a:off x="0" y="0"/>
                          <a:ext cx="6120130" cy="6350"/>
                          <a:chExt cx="6120130" cy="6350"/>
                        </a:xfrm>
                      </wpg:grpSpPr>
                      <wps:wsp>
                        <wps:cNvPr id="100" name="Graphic 100"/>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68"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7" w:val="left" w:leader="none"/>
        </w:tabs>
        <w:spacing w:line="194" w:lineRule="auto" w:before="94" w:after="0"/>
        <w:ind w:left="567" w:right="320" w:hanging="454"/>
        <w:jc w:val="left"/>
        <w:rPr>
          <w:rFonts w:ascii="Arial"/>
          <w:sz w:val="16"/>
        </w:rPr>
      </w:pPr>
      <w:r>
        <w:rPr>
          <w:sz w:val="16"/>
        </w:rPr>
        <w:t>Joined</w:t>
      </w:r>
      <w:r>
        <w:rPr>
          <w:spacing w:val="-7"/>
          <w:sz w:val="16"/>
        </w:rPr>
        <w:t> </w:t>
      </w:r>
      <w:r>
        <w:rPr>
          <w:sz w:val="16"/>
        </w:rPr>
        <w:t>Cases</w:t>
      </w:r>
      <w:r>
        <w:rPr>
          <w:spacing w:val="-7"/>
          <w:sz w:val="16"/>
        </w:rPr>
        <w:t> </w:t>
      </w:r>
      <w:r>
        <w:rPr>
          <w:sz w:val="16"/>
        </w:rPr>
        <w:t>C-411/10</w:t>
      </w:r>
      <w:r>
        <w:rPr>
          <w:spacing w:val="-7"/>
          <w:sz w:val="16"/>
        </w:rPr>
        <w:t> </w:t>
      </w:r>
      <w:r>
        <w:rPr>
          <w:sz w:val="16"/>
        </w:rPr>
        <w:t>and</w:t>
      </w:r>
      <w:r>
        <w:rPr>
          <w:spacing w:val="-7"/>
          <w:sz w:val="16"/>
        </w:rPr>
        <w:t> </w:t>
      </w:r>
      <w:r>
        <w:rPr>
          <w:sz w:val="16"/>
        </w:rPr>
        <w:t>C-493/10</w:t>
      </w:r>
      <w:r>
        <w:rPr>
          <w:spacing w:val="-7"/>
          <w:sz w:val="16"/>
        </w:rPr>
        <w:t> </w:t>
      </w:r>
      <w:r>
        <w:rPr>
          <w:rFonts w:ascii="Verdana"/>
          <w:i/>
          <w:sz w:val="16"/>
        </w:rPr>
        <w:t>N.S.</w:t>
      </w:r>
      <w:r>
        <w:rPr>
          <w:rFonts w:ascii="Verdana"/>
          <w:i/>
          <w:spacing w:val="-13"/>
          <w:sz w:val="16"/>
        </w:rPr>
        <w:t> </w:t>
      </w:r>
      <w:r>
        <w:rPr>
          <w:rFonts w:ascii="Verdana"/>
          <w:i/>
          <w:sz w:val="16"/>
        </w:rPr>
        <w:t>v</w:t>
      </w:r>
      <w:r>
        <w:rPr>
          <w:rFonts w:ascii="Verdana"/>
          <w:i/>
          <w:spacing w:val="-13"/>
          <w:sz w:val="16"/>
        </w:rPr>
        <w:t> </w:t>
      </w:r>
      <w:r>
        <w:rPr>
          <w:rFonts w:ascii="Verdana"/>
          <w:i/>
          <w:sz w:val="16"/>
        </w:rPr>
        <w:t>Secretary</w:t>
      </w:r>
      <w:r>
        <w:rPr>
          <w:rFonts w:ascii="Verdana"/>
          <w:i/>
          <w:spacing w:val="-13"/>
          <w:sz w:val="16"/>
        </w:rPr>
        <w:t> </w:t>
      </w:r>
      <w:r>
        <w:rPr>
          <w:rFonts w:ascii="Verdana"/>
          <w:i/>
          <w:sz w:val="16"/>
        </w:rPr>
        <w:t>of</w:t>
      </w:r>
      <w:r>
        <w:rPr>
          <w:rFonts w:ascii="Verdana"/>
          <w:i/>
          <w:spacing w:val="-13"/>
          <w:sz w:val="16"/>
        </w:rPr>
        <w:t> </w:t>
      </w:r>
      <w:r>
        <w:rPr>
          <w:rFonts w:ascii="Verdana"/>
          <w:i/>
          <w:sz w:val="16"/>
        </w:rPr>
        <w:t>State</w:t>
      </w:r>
      <w:r>
        <w:rPr>
          <w:rFonts w:ascii="Verdana"/>
          <w:i/>
          <w:spacing w:val="-13"/>
          <w:sz w:val="16"/>
        </w:rPr>
        <w:t> </w:t>
      </w:r>
      <w:r>
        <w:rPr>
          <w:rFonts w:ascii="Verdana"/>
          <w:i/>
          <w:sz w:val="16"/>
        </w:rPr>
        <w:t>for</w:t>
      </w:r>
      <w:r>
        <w:rPr>
          <w:rFonts w:ascii="Verdana"/>
          <w:i/>
          <w:spacing w:val="-13"/>
          <w:sz w:val="16"/>
        </w:rPr>
        <w:t> </w:t>
      </w:r>
      <w:r>
        <w:rPr>
          <w:rFonts w:ascii="Verdana"/>
          <w:i/>
          <w:sz w:val="16"/>
        </w:rPr>
        <w:t>the</w:t>
      </w:r>
      <w:r>
        <w:rPr>
          <w:rFonts w:ascii="Verdana"/>
          <w:i/>
          <w:spacing w:val="-13"/>
          <w:sz w:val="16"/>
        </w:rPr>
        <w:t> </w:t>
      </w:r>
      <w:r>
        <w:rPr>
          <w:rFonts w:ascii="Verdana"/>
          <w:i/>
          <w:sz w:val="16"/>
        </w:rPr>
        <w:t>Home</w:t>
      </w:r>
      <w:r>
        <w:rPr>
          <w:rFonts w:ascii="Verdana"/>
          <w:i/>
          <w:spacing w:val="-13"/>
          <w:sz w:val="16"/>
        </w:rPr>
        <w:t> </w:t>
      </w:r>
      <w:r>
        <w:rPr>
          <w:rFonts w:ascii="Verdana"/>
          <w:i/>
          <w:sz w:val="16"/>
        </w:rPr>
        <w:t>Department,</w:t>
      </w:r>
      <w:r>
        <w:rPr>
          <w:rFonts w:ascii="Verdana"/>
          <w:i/>
          <w:spacing w:val="-13"/>
          <w:sz w:val="16"/>
        </w:rPr>
        <w:t> </w:t>
      </w:r>
      <w:r>
        <w:rPr>
          <w:rFonts w:ascii="Arial"/>
          <w:sz w:val="16"/>
        </w:rPr>
        <w:t>Opinion</w:t>
      </w:r>
      <w:r>
        <w:rPr>
          <w:rFonts w:ascii="Arial"/>
          <w:spacing w:val="-1"/>
          <w:sz w:val="16"/>
        </w:rPr>
        <w:t> </w:t>
      </w:r>
      <w:r>
        <w:rPr>
          <w:rFonts w:ascii="Arial"/>
          <w:sz w:val="16"/>
        </w:rPr>
        <w:t>of</w:t>
      </w:r>
      <w:r>
        <w:rPr>
          <w:rFonts w:ascii="Arial"/>
          <w:spacing w:val="-1"/>
          <w:sz w:val="16"/>
        </w:rPr>
        <w:t> </w:t>
      </w:r>
      <w:r>
        <w:rPr>
          <w:rFonts w:ascii="Arial"/>
          <w:sz w:val="16"/>
        </w:rPr>
        <w:t>AG</w:t>
      </w:r>
      <w:r>
        <w:rPr>
          <w:rFonts w:ascii="Arial"/>
          <w:spacing w:val="-1"/>
          <w:sz w:val="16"/>
        </w:rPr>
        <w:t> </w:t>
      </w:r>
      <w:r>
        <w:rPr>
          <w:rFonts w:ascii="Arial"/>
          <w:sz w:val="16"/>
        </w:rPr>
        <w:t>Trstenjak, </w:t>
      </w:r>
      <w:r>
        <w:rPr>
          <w:spacing w:val="-2"/>
          <w:sz w:val="16"/>
        </w:rPr>
        <w:t>EU:C:2011:611,</w:t>
      </w:r>
      <w:r>
        <w:rPr>
          <w:spacing w:val="-10"/>
          <w:sz w:val="16"/>
        </w:rPr>
        <w:t> </w:t>
      </w:r>
      <w:r>
        <w:rPr>
          <w:spacing w:val="-2"/>
          <w:sz w:val="16"/>
        </w:rPr>
        <w:t>para</w:t>
      </w:r>
      <w:r>
        <w:rPr>
          <w:spacing w:val="-10"/>
          <w:sz w:val="16"/>
        </w:rPr>
        <w:t> </w:t>
      </w:r>
      <w:r>
        <w:rPr>
          <w:spacing w:val="-2"/>
          <w:sz w:val="16"/>
        </w:rPr>
        <w:t>169.</w:t>
      </w:r>
    </w:p>
    <w:p>
      <w:pPr>
        <w:pStyle w:val="ListParagraph"/>
        <w:numPr>
          <w:ilvl w:val="0"/>
          <w:numId w:val="6"/>
        </w:numPr>
        <w:tabs>
          <w:tab w:pos="567" w:val="left" w:leader="none"/>
        </w:tabs>
        <w:spacing w:line="214" w:lineRule="exact" w:before="0" w:after="0"/>
        <w:ind w:left="567" w:right="0" w:hanging="454"/>
        <w:jc w:val="left"/>
        <w:rPr>
          <w:rFonts w:ascii="Arial"/>
          <w:sz w:val="16"/>
        </w:rPr>
      </w:pPr>
      <w:r>
        <w:rPr>
          <w:spacing w:val="-4"/>
          <w:sz w:val="16"/>
        </w:rPr>
        <w:t>Case</w:t>
      </w:r>
      <w:r>
        <w:rPr>
          <w:spacing w:val="-9"/>
          <w:sz w:val="16"/>
        </w:rPr>
        <w:t> </w:t>
      </w:r>
      <w:r>
        <w:rPr>
          <w:spacing w:val="-4"/>
          <w:sz w:val="16"/>
        </w:rPr>
        <w:t>C-619/18</w:t>
      </w:r>
      <w:r>
        <w:rPr>
          <w:spacing w:val="-7"/>
          <w:sz w:val="16"/>
        </w:rPr>
        <w:t> </w:t>
      </w:r>
      <w:r>
        <w:rPr>
          <w:rFonts w:ascii="Verdana"/>
          <w:i/>
          <w:spacing w:val="-4"/>
          <w:sz w:val="16"/>
        </w:rPr>
        <w:t>Commission</w:t>
      </w:r>
      <w:r>
        <w:rPr>
          <w:rFonts w:ascii="Verdana"/>
          <w:i/>
          <w:spacing w:val="-10"/>
          <w:sz w:val="16"/>
        </w:rPr>
        <w:t> </w:t>
      </w:r>
      <w:r>
        <w:rPr>
          <w:rFonts w:ascii="Verdana"/>
          <w:i/>
          <w:spacing w:val="-4"/>
          <w:sz w:val="16"/>
        </w:rPr>
        <w:t>v</w:t>
      </w:r>
      <w:r>
        <w:rPr>
          <w:rFonts w:ascii="Verdana"/>
          <w:i/>
          <w:spacing w:val="-10"/>
          <w:sz w:val="16"/>
        </w:rPr>
        <w:t> </w:t>
      </w:r>
      <w:r>
        <w:rPr>
          <w:rFonts w:ascii="Verdana"/>
          <w:i/>
          <w:spacing w:val="-4"/>
          <w:sz w:val="16"/>
        </w:rPr>
        <w:t>Poland,</w:t>
      </w:r>
      <w:r>
        <w:rPr>
          <w:rFonts w:ascii="Verdana"/>
          <w:i/>
          <w:spacing w:val="-10"/>
          <w:sz w:val="16"/>
        </w:rPr>
        <w:t> </w:t>
      </w:r>
      <w:r>
        <w:rPr>
          <w:spacing w:val="-4"/>
          <w:sz w:val="16"/>
        </w:rPr>
        <w:t>EU:C:2019:531,</w:t>
      </w:r>
      <w:r>
        <w:rPr>
          <w:spacing w:val="-6"/>
          <w:sz w:val="16"/>
        </w:rPr>
        <w:t> </w:t>
      </w:r>
      <w:r>
        <w:rPr>
          <w:spacing w:val="-4"/>
          <w:sz w:val="16"/>
        </w:rPr>
        <w:t>para</w:t>
      </w:r>
      <w:r>
        <w:rPr>
          <w:spacing w:val="-6"/>
          <w:sz w:val="16"/>
        </w:rPr>
        <w:t> </w:t>
      </w:r>
      <w:r>
        <w:rPr>
          <w:spacing w:val="-5"/>
          <w:sz w:val="16"/>
        </w:rPr>
        <w:t>53.</w:t>
      </w:r>
    </w:p>
    <w:p>
      <w:pPr>
        <w:spacing w:after="0" w:line="214" w:lineRule="exact"/>
        <w:jc w:val="left"/>
        <w:rPr>
          <w:rFonts w:ascii="Arial"/>
          <w:sz w:val="16"/>
        </w:rPr>
        <w:sectPr>
          <w:type w:val="continuous"/>
          <w:pgSz w:w="11910" w:h="16840"/>
          <w:pgMar w:header="568" w:footer="580" w:top="0" w:bottom="280" w:left="1020" w:right="1020"/>
        </w:sectPr>
      </w:pPr>
    </w:p>
    <w:p>
      <w:pPr>
        <w:pStyle w:val="Heading1"/>
        <w:spacing w:line="683" w:lineRule="exact" w:before="734"/>
      </w:pPr>
      <w:bookmarkStart w:name="Chapter 2: The basic framework for the a" w:id="28"/>
      <w:bookmarkEnd w:id="28"/>
      <w:r>
        <w:rPr/>
      </w:r>
      <w:bookmarkStart w:name="1. Introductory remarks" w:id="29"/>
      <w:bookmarkEnd w:id="29"/>
      <w:r>
        <w:rPr/>
      </w:r>
      <w:bookmarkStart w:name="2.  The relevant provisions of the Withd" w:id="30"/>
      <w:bookmarkEnd w:id="30"/>
      <w:r>
        <w:rPr/>
      </w:r>
      <w:bookmarkStart w:name="_bookmark12" w:id="31"/>
      <w:bookmarkEnd w:id="31"/>
      <w:r>
        <w:rPr/>
      </w:r>
      <w:r>
        <w:rPr>
          <w:color w:val="77328A"/>
          <w:w w:val="110"/>
        </w:rPr>
        <w:t>Chapter</w:t>
      </w:r>
      <w:r>
        <w:rPr>
          <w:color w:val="77328A"/>
          <w:spacing w:val="57"/>
          <w:w w:val="110"/>
        </w:rPr>
        <w:t> </w:t>
      </w:r>
      <w:r>
        <w:rPr>
          <w:color w:val="77328A"/>
          <w:spacing w:val="-5"/>
          <w:w w:val="110"/>
        </w:rPr>
        <w:t>2:</w:t>
      </w:r>
    </w:p>
    <w:p>
      <w:pPr>
        <w:spacing w:line="469" w:lineRule="exact" w:before="0"/>
        <w:ind w:left="113" w:right="0" w:firstLine="0"/>
        <w:jc w:val="left"/>
        <w:rPr>
          <w:rFonts w:ascii="Tahoma"/>
          <w:b/>
          <w:sz w:val="40"/>
        </w:rPr>
      </w:pPr>
      <w:r>
        <w:rPr>
          <w:rFonts w:ascii="Tahoma"/>
          <w:b/>
          <w:color w:val="77328A"/>
          <w:sz w:val="40"/>
        </w:rPr>
        <w:t>The</w:t>
      </w:r>
      <w:r>
        <w:rPr>
          <w:rFonts w:ascii="Tahoma"/>
          <w:b/>
          <w:color w:val="77328A"/>
          <w:spacing w:val="8"/>
          <w:sz w:val="40"/>
        </w:rPr>
        <w:t> </w:t>
      </w:r>
      <w:r>
        <w:rPr>
          <w:rFonts w:ascii="Tahoma"/>
          <w:b/>
          <w:color w:val="77328A"/>
          <w:sz w:val="40"/>
        </w:rPr>
        <w:t>basic</w:t>
      </w:r>
      <w:r>
        <w:rPr>
          <w:rFonts w:ascii="Tahoma"/>
          <w:b/>
          <w:color w:val="77328A"/>
          <w:spacing w:val="9"/>
          <w:sz w:val="40"/>
        </w:rPr>
        <w:t> </w:t>
      </w:r>
      <w:r>
        <w:rPr>
          <w:rFonts w:ascii="Tahoma"/>
          <w:b/>
          <w:color w:val="77328A"/>
          <w:sz w:val="40"/>
        </w:rPr>
        <w:t>framework</w:t>
      </w:r>
      <w:r>
        <w:rPr>
          <w:rFonts w:ascii="Tahoma"/>
          <w:b/>
          <w:color w:val="77328A"/>
          <w:spacing w:val="9"/>
          <w:sz w:val="40"/>
        </w:rPr>
        <w:t> </w:t>
      </w:r>
      <w:r>
        <w:rPr>
          <w:rFonts w:ascii="Tahoma"/>
          <w:b/>
          <w:color w:val="77328A"/>
          <w:sz w:val="40"/>
        </w:rPr>
        <w:t>for</w:t>
      </w:r>
      <w:r>
        <w:rPr>
          <w:rFonts w:ascii="Tahoma"/>
          <w:b/>
          <w:color w:val="77328A"/>
          <w:spacing w:val="9"/>
          <w:sz w:val="40"/>
        </w:rPr>
        <w:t> </w:t>
      </w:r>
      <w:r>
        <w:rPr>
          <w:rFonts w:ascii="Tahoma"/>
          <w:b/>
          <w:color w:val="77328A"/>
          <w:sz w:val="40"/>
        </w:rPr>
        <w:t>the</w:t>
      </w:r>
      <w:r>
        <w:rPr>
          <w:rFonts w:ascii="Tahoma"/>
          <w:b/>
          <w:color w:val="77328A"/>
          <w:spacing w:val="9"/>
          <w:sz w:val="40"/>
        </w:rPr>
        <w:t> </w:t>
      </w:r>
      <w:r>
        <w:rPr>
          <w:rFonts w:ascii="Tahoma"/>
          <w:b/>
          <w:color w:val="77328A"/>
          <w:sz w:val="40"/>
        </w:rPr>
        <w:t>application</w:t>
      </w:r>
      <w:r>
        <w:rPr>
          <w:rFonts w:ascii="Tahoma"/>
          <w:b/>
          <w:color w:val="77328A"/>
          <w:spacing w:val="9"/>
          <w:sz w:val="40"/>
        </w:rPr>
        <w:t> </w:t>
      </w:r>
      <w:r>
        <w:rPr>
          <w:rFonts w:ascii="Tahoma"/>
          <w:b/>
          <w:color w:val="77328A"/>
          <w:spacing w:val="-5"/>
          <w:sz w:val="40"/>
        </w:rPr>
        <w:t>of</w:t>
      </w:r>
    </w:p>
    <w:p>
      <w:pPr>
        <w:spacing w:line="252" w:lineRule="auto" w:before="23"/>
        <w:ind w:left="113" w:right="630" w:firstLine="0"/>
        <w:jc w:val="left"/>
        <w:rPr>
          <w:rFonts w:ascii="Tahoma"/>
          <w:b/>
          <w:sz w:val="40"/>
        </w:rPr>
      </w:pPr>
      <w:r>
        <w:rPr>
          <w:rFonts w:ascii="Tahoma"/>
          <w:b/>
          <w:color w:val="77328A"/>
          <w:sz w:val="40"/>
        </w:rPr>
        <w:t>the Charter and the general principles of EU law in the Northern Ireland legal order</w:t>
      </w:r>
    </w:p>
    <w:p>
      <w:pPr>
        <w:pStyle w:val="BodyText"/>
        <w:spacing w:before="109"/>
        <w:ind w:left="0"/>
        <w:rPr>
          <w:rFonts w:ascii="Tahoma"/>
          <w:b/>
          <w:sz w:val="20"/>
        </w:rPr>
      </w:pPr>
    </w:p>
    <w:p>
      <w:pPr>
        <w:spacing w:after="0"/>
        <w:rPr>
          <w:rFonts w:ascii="Tahoma"/>
          <w:sz w:val="20"/>
        </w:rPr>
        <w:sectPr>
          <w:pgSz w:w="11910" w:h="16840"/>
          <w:pgMar w:header="568" w:footer="580" w:top="840" w:bottom="780" w:left="1020" w:right="1020"/>
        </w:sectPr>
      </w:pPr>
    </w:p>
    <w:p>
      <w:pPr>
        <w:pStyle w:val="Heading3"/>
        <w:numPr>
          <w:ilvl w:val="0"/>
          <w:numId w:val="9"/>
        </w:numPr>
        <w:tabs>
          <w:tab w:pos="680" w:val="left" w:leader="none"/>
        </w:tabs>
        <w:spacing w:line="240" w:lineRule="auto" w:before="79" w:after="0"/>
        <w:ind w:left="680" w:right="0" w:hanging="567"/>
        <w:jc w:val="left"/>
      </w:pPr>
      <w:r>
        <w:rPr>
          <w:color w:val="77328A"/>
        </w:rPr>
        <w:t>Introductory</w:t>
      </w:r>
      <w:r>
        <w:rPr>
          <w:color w:val="77328A"/>
          <w:spacing w:val="-19"/>
        </w:rPr>
        <w:t> </w:t>
      </w:r>
      <w:r>
        <w:rPr>
          <w:color w:val="77328A"/>
          <w:spacing w:val="-2"/>
        </w:rPr>
        <w:t>remarks</w:t>
      </w:r>
    </w:p>
    <w:p>
      <w:pPr>
        <w:pStyle w:val="BodyText"/>
        <w:spacing w:line="322" w:lineRule="exact" w:before="173"/>
        <w:ind w:right="246"/>
      </w:pPr>
      <w:r>
        <w:rPr>
          <w:w w:val="110"/>
        </w:rPr>
        <w:t>The purpose of this chapter is to explore</w:t>
      </w:r>
      <w:r>
        <w:rPr>
          <w:spacing w:val="40"/>
          <w:w w:val="110"/>
        </w:rPr>
        <w:t> </w:t>
      </w:r>
      <w:r>
        <w:rPr>
          <w:w w:val="110"/>
        </w:rPr>
        <w:t>the</w:t>
      </w:r>
      <w:r>
        <w:rPr>
          <w:spacing w:val="40"/>
          <w:w w:val="110"/>
        </w:rPr>
        <w:t> </w:t>
      </w:r>
      <w:r>
        <w:rPr>
          <w:w w:val="110"/>
        </w:rPr>
        <w:t>position</w:t>
      </w:r>
      <w:r>
        <w:rPr>
          <w:spacing w:val="40"/>
          <w:w w:val="110"/>
        </w:rPr>
        <w:t> </w:t>
      </w:r>
      <w:r>
        <w:rPr>
          <w:w w:val="110"/>
        </w:rPr>
        <w:t>of</w:t>
      </w:r>
      <w:r>
        <w:rPr>
          <w:spacing w:val="40"/>
          <w:w w:val="110"/>
        </w:rPr>
        <w:t> </w:t>
      </w:r>
      <w:r>
        <w:rPr>
          <w:w w:val="110"/>
        </w:rPr>
        <w:t>the</w:t>
      </w:r>
      <w:r>
        <w:rPr>
          <w:spacing w:val="40"/>
          <w:w w:val="110"/>
        </w:rPr>
        <w:t> </w:t>
      </w:r>
      <w:r>
        <w:rPr>
          <w:w w:val="110"/>
        </w:rPr>
        <w:t>Charter in the legal order of Northern </w:t>
      </w:r>
      <w:r>
        <w:rPr>
          <w:w w:val="110"/>
        </w:rPr>
        <w:t>Ireland </w:t>
      </w:r>
      <w:r>
        <w:rPr>
          <w:rFonts w:ascii="Lucida Sans Unicode"/>
        </w:rPr>
        <w:t>from 11 pm on 31 December 2020, </w:t>
      </w:r>
      <w:r>
        <w:rPr>
          <w:w w:val="110"/>
        </w:rPr>
        <w:t>when the Withdrawal Agreement, including the Windsor Framework, entered into force.</w:t>
      </w:r>
    </w:p>
    <w:p>
      <w:pPr>
        <w:pStyle w:val="BodyText"/>
        <w:spacing w:before="25"/>
        <w:ind w:left="0"/>
      </w:pPr>
    </w:p>
    <w:p>
      <w:pPr>
        <w:pStyle w:val="BodyText"/>
        <w:spacing w:line="322" w:lineRule="exact"/>
        <w:ind w:right="132"/>
        <w:rPr>
          <w:rFonts w:ascii="Lucida Sans Unicode" w:hAnsi="Lucida Sans Unicode"/>
        </w:rPr>
      </w:pPr>
      <w:r>
        <w:rPr>
          <w:w w:val="105"/>
        </w:rPr>
        <w:t>As discussed in more detail in Chapter</w:t>
      </w:r>
      <w:r>
        <w:rPr>
          <w:spacing w:val="80"/>
          <w:w w:val="105"/>
        </w:rPr>
        <w:t> </w:t>
      </w:r>
      <w:r>
        <w:rPr/>
        <w:t>1,</w:t>
      </w:r>
      <w:r>
        <w:rPr>
          <w:spacing w:val="40"/>
          <w:w w:val="105"/>
        </w:rPr>
        <w:t> </w:t>
      </w:r>
      <w:r>
        <w:rPr>
          <w:w w:val="105"/>
        </w:rPr>
        <w:t>the</w:t>
      </w:r>
      <w:r>
        <w:rPr>
          <w:spacing w:val="40"/>
          <w:w w:val="105"/>
        </w:rPr>
        <w:t> </w:t>
      </w:r>
      <w:r>
        <w:rPr>
          <w:w w:val="105"/>
        </w:rPr>
        <w:t>Charter</w:t>
      </w:r>
      <w:r>
        <w:rPr>
          <w:spacing w:val="40"/>
          <w:w w:val="105"/>
        </w:rPr>
        <w:t> </w:t>
      </w:r>
      <w:r>
        <w:rPr>
          <w:w w:val="105"/>
        </w:rPr>
        <w:t>applies</w:t>
      </w:r>
      <w:r>
        <w:rPr>
          <w:w w:val="110"/>
        </w:rPr>
        <w:t> to ‘to </w:t>
      </w:r>
      <w:r>
        <w:rPr>
          <w:w w:val="105"/>
        </w:rPr>
        <w:t>the </w:t>
      </w:r>
      <w:r>
        <w:rPr>
          <w:rFonts w:ascii="Lucida Sans Unicode" w:hAnsi="Lucida Sans Unicode"/>
          <w:w w:val="105"/>
        </w:rPr>
        <w:t>Member States only when they are </w:t>
      </w:r>
      <w:r>
        <w:rPr>
          <w:w w:val="105"/>
        </w:rPr>
        <w:t>implementing Union law’</w:t>
      </w:r>
      <w:r>
        <w:rPr>
          <w:w w:val="105"/>
          <w:vertAlign w:val="superscript"/>
        </w:rPr>
        <w:t>117</w:t>
      </w:r>
      <w:r>
        <w:rPr>
          <w:w w:val="105"/>
          <w:vertAlign w:val="baseline"/>
        </w:rPr>
        <w:t> and </w:t>
      </w:r>
      <w:r>
        <w:rPr>
          <w:w w:val="110"/>
          <w:vertAlign w:val="baseline"/>
        </w:rPr>
        <w:t>it </w:t>
      </w:r>
      <w:r>
        <w:rPr>
          <w:w w:val="105"/>
          <w:vertAlign w:val="baseline"/>
        </w:rPr>
        <w:t>‘does not</w:t>
      </w:r>
      <w:r>
        <w:rPr>
          <w:spacing w:val="40"/>
          <w:w w:val="105"/>
          <w:vertAlign w:val="baseline"/>
        </w:rPr>
        <w:t> </w:t>
      </w:r>
      <w:r>
        <w:rPr>
          <w:w w:val="105"/>
          <w:vertAlign w:val="baseline"/>
        </w:rPr>
        <w:t>establish</w:t>
      </w:r>
      <w:r>
        <w:rPr>
          <w:spacing w:val="40"/>
          <w:w w:val="105"/>
          <w:vertAlign w:val="baseline"/>
        </w:rPr>
        <w:t> </w:t>
      </w:r>
      <w:r>
        <w:rPr>
          <w:w w:val="105"/>
          <w:vertAlign w:val="baseline"/>
        </w:rPr>
        <w:t>any</w:t>
      </w:r>
      <w:r>
        <w:rPr>
          <w:spacing w:val="40"/>
          <w:w w:val="105"/>
          <w:vertAlign w:val="baseline"/>
        </w:rPr>
        <w:t> </w:t>
      </w:r>
      <w:r>
        <w:rPr>
          <w:w w:val="105"/>
          <w:vertAlign w:val="baseline"/>
        </w:rPr>
        <w:t>new</w:t>
      </w:r>
      <w:r>
        <w:rPr>
          <w:spacing w:val="40"/>
          <w:w w:val="105"/>
          <w:vertAlign w:val="baseline"/>
        </w:rPr>
        <w:t> </w:t>
      </w:r>
      <w:r>
        <w:rPr>
          <w:w w:val="105"/>
          <w:vertAlign w:val="baseline"/>
        </w:rPr>
        <w:t>power</w:t>
      </w:r>
      <w:r>
        <w:rPr>
          <w:spacing w:val="40"/>
          <w:w w:val="105"/>
          <w:vertAlign w:val="baseline"/>
        </w:rPr>
        <w:t> </w:t>
      </w:r>
      <w:r>
        <w:rPr>
          <w:w w:val="105"/>
          <w:vertAlign w:val="baseline"/>
        </w:rPr>
        <w:t>or</w:t>
      </w:r>
      <w:r>
        <w:rPr>
          <w:spacing w:val="40"/>
          <w:w w:val="105"/>
          <w:vertAlign w:val="baseline"/>
        </w:rPr>
        <w:t> </w:t>
      </w:r>
      <w:r>
        <w:rPr>
          <w:w w:val="105"/>
          <w:vertAlign w:val="baseline"/>
        </w:rPr>
        <w:t>task </w:t>
      </w:r>
      <w:r>
        <w:rPr>
          <w:rFonts w:ascii="Lucida Sans Unicode" w:hAnsi="Lucida Sans Unicode"/>
          <w:w w:val="105"/>
          <w:vertAlign w:val="baseline"/>
        </w:rPr>
        <w:t>for</w:t>
      </w:r>
      <w:r>
        <w:rPr>
          <w:rFonts w:ascii="Lucida Sans Unicode" w:hAnsi="Lucida Sans Unicode"/>
          <w:spacing w:val="-1"/>
          <w:w w:val="105"/>
          <w:vertAlign w:val="baseline"/>
        </w:rPr>
        <w:t> </w:t>
      </w:r>
      <w:r>
        <w:rPr>
          <w:rFonts w:ascii="Lucida Sans Unicode" w:hAnsi="Lucida Sans Unicode"/>
          <w:w w:val="105"/>
          <w:vertAlign w:val="baseline"/>
        </w:rPr>
        <w:t>the</w:t>
      </w:r>
      <w:r>
        <w:rPr>
          <w:rFonts w:ascii="Lucida Sans Unicode" w:hAnsi="Lucida Sans Unicode"/>
          <w:spacing w:val="-1"/>
          <w:w w:val="105"/>
          <w:vertAlign w:val="baseline"/>
        </w:rPr>
        <w:t> </w:t>
      </w:r>
      <w:r>
        <w:rPr>
          <w:rFonts w:ascii="Lucida Sans Unicode" w:hAnsi="Lucida Sans Unicode"/>
          <w:w w:val="105"/>
          <w:vertAlign w:val="baseline"/>
        </w:rPr>
        <w:t>[…]</w:t>
      </w:r>
      <w:r>
        <w:rPr>
          <w:rFonts w:ascii="Lucida Sans Unicode" w:hAnsi="Lucida Sans Unicode"/>
          <w:spacing w:val="-1"/>
          <w:w w:val="105"/>
          <w:vertAlign w:val="baseline"/>
        </w:rPr>
        <w:t> </w:t>
      </w:r>
      <w:r>
        <w:rPr>
          <w:rFonts w:ascii="Lucida Sans Unicode" w:hAnsi="Lucida Sans Unicode"/>
          <w:w w:val="105"/>
          <w:vertAlign w:val="baseline"/>
        </w:rPr>
        <w:t>Union,</w:t>
      </w:r>
      <w:r>
        <w:rPr>
          <w:rFonts w:ascii="Lucida Sans Unicode" w:hAnsi="Lucida Sans Unicode"/>
          <w:spacing w:val="-1"/>
          <w:w w:val="105"/>
          <w:vertAlign w:val="baseline"/>
        </w:rPr>
        <w:t> </w:t>
      </w:r>
      <w:r>
        <w:rPr>
          <w:rFonts w:ascii="Lucida Sans Unicode" w:hAnsi="Lucida Sans Unicode"/>
          <w:w w:val="105"/>
          <w:vertAlign w:val="baseline"/>
        </w:rPr>
        <w:t>or</w:t>
      </w:r>
      <w:r>
        <w:rPr>
          <w:rFonts w:ascii="Lucida Sans Unicode" w:hAnsi="Lucida Sans Unicode"/>
          <w:spacing w:val="-1"/>
          <w:w w:val="105"/>
          <w:vertAlign w:val="baseline"/>
        </w:rPr>
        <w:t> </w:t>
      </w:r>
      <w:r>
        <w:rPr>
          <w:rFonts w:ascii="Lucida Sans Unicode" w:hAnsi="Lucida Sans Unicode"/>
          <w:w w:val="105"/>
          <w:vertAlign w:val="baseline"/>
        </w:rPr>
        <w:t>modify</w:t>
      </w:r>
      <w:r>
        <w:rPr>
          <w:rFonts w:ascii="Lucida Sans Unicode" w:hAnsi="Lucida Sans Unicode"/>
          <w:spacing w:val="-1"/>
          <w:w w:val="105"/>
          <w:vertAlign w:val="baseline"/>
        </w:rPr>
        <w:t> </w:t>
      </w:r>
      <w:r>
        <w:rPr>
          <w:rFonts w:ascii="Lucida Sans Unicode" w:hAnsi="Lucida Sans Unicode"/>
          <w:w w:val="105"/>
          <w:vertAlign w:val="baseline"/>
        </w:rPr>
        <w:t>powers and</w:t>
      </w:r>
      <w:r>
        <w:rPr>
          <w:rFonts w:ascii="Lucida Sans Unicode" w:hAnsi="Lucida Sans Unicode"/>
          <w:spacing w:val="-20"/>
          <w:w w:val="105"/>
          <w:vertAlign w:val="baseline"/>
        </w:rPr>
        <w:t> </w:t>
      </w:r>
      <w:r>
        <w:rPr>
          <w:rFonts w:ascii="Lucida Sans Unicode" w:hAnsi="Lucida Sans Unicode"/>
          <w:w w:val="105"/>
          <w:vertAlign w:val="baseline"/>
        </w:rPr>
        <w:t>tasks</w:t>
      </w:r>
      <w:r>
        <w:rPr>
          <w:rFonts w:ascii="Lucida Sans Unicode" w:hAnsi="Lucida Sans Unicode"/>
          <w:spacing w:val="-20"/>
          <w:w w:val="105"/>
          <w:vertAlign w:val="baseline"/>
        </w:rPr>
        <w:t> </w:t>
      </w:r>
      <w:r>
        <w:rPr>
          <w:rFonts w:ascii="Lucida Sans Unicode" w:hAnsi="Lucida Sans Unicode"/>
          <w:w w:val="105"/>
          <w:vertAlign w:val="baseline"/>
        </w:rPr>
        <w:t>defined</w:t>
      </w:r>
      <w:r>
        <w:rPr>
          <w:rFonts w:ascii="Lucida Sans Unicode" w:hAnsi="Lucida Sans Unicode"/>
          <w:spacing w:val="-20"/>
          <w:w w:val="105"/>
          <w:vertAlign w:val="baseline"/>
        </w:rPr>
        <w:t> </w:t>
      </w:r>
      <w:r>
        <w:rPr>
          <w:rFonts w:ascii="Lucida Sans Unicode" w:hAnsi="Lucida Sans Unicode"/>
          <w:w w:val="105"/>
          <w:vertAlign w:val="baseline"/>
        </w:rPr>
        <w:t>by</w:t>
      </w:r>
      <w:r>
        <w:rPr>
          <w:rFonts w:ascii="Lucida Sans Unicode" w:hAnsi="Lucida Sans Unicode"/>
          <w:spacing w:val="-20"/>
          <w:w w:val="105"/>
          <w:vertAlign w:val="baseline"/>
        </w:rPr>
        <w:t> </w:t>
      </w:r>
      <w:r>
        <w:rPr>
          <w:rFonts w:ascii="Lucida Sans Unicode" w:hAnsi="Lucida Sans Unicode"/>
          <w:w w:val="105"/>
          <w:vertAlign w:val="baseline"/>
        </w:rPr>
        <w:t>the</w:t>
      </w:r>
      <w:r>
        <w:rPr>
          <w:rFonts w:ascii="Lucida Sans Unicode" w:hAnsi="Lucida Sans Unicode"/>
          <w:spacing w:val="-20"/>
          <w:w w:val="105"/>
          <w:vertAlign w:val="baseline"/>
        </w:rPr>
        <w:t> </w:t>
      </w:r>
      <w:r>
        <w:rPr>
          <w:rFonts w:ascii="Lucida Sans Unicode" w:hAnsi="Lucida Sans Unicode"/>
          <w:vertAlign w:val="baseline"/>
        </w:rPr>
        <w:t>Treaties’.</w:t>
      </w:r>
      <w:r>
        <w:rPr>
          <w:rFonts w:ascii="Lucida Sans Unicode" w:hAnsi="Lucida Sans Unicode"/>
          <w:vertAlign w:val="superscript"/>
        </w:rPr>
        <w:t>118</w:t>
      </w:r>
    </w:p>
    <w:p>
      <w:pPr>
        <w:pStyle w:val="BodyText"/>
        <w:spacing w:line="322" w:lineRule="exact" w:before="300"/>
        <w:ind w:right="74"/>
        <w:rPr>
          <w:rFonts w:ascii="Lucida Sans Unicode" w:hAnsi="Lucida Sans Unicode"/>
        </w:rPr>
      </w:pPr>
      <w:r>
        <w:rPr>
          <w:w w:val="110"/>
        </w:rPr>
        <w:t>Hence the applicability of the Charter </w:t>
      </w:r>
      <w:r>
        <w:rPr>
          <w:rFonts w:ascii="Lucida Sans Unicode" w:hAnsi="Lucida Sans Unicode"/>
          <w:w w:val="110"/>
        </w:rPr>
        <w:t>relates</w:t>
      </w:r>
      <w:r>
        <w:rPr>
          <w:rFonts w:ascii="Lucida Sans Unicode" w:hAnsi="Lucida Sans Unicode"/>
          <w:spacing w:val="-21"/>
          <w:w w:val="110"/>
        </w:rPr>
        <w:t> </w:t>
      </w:r>
      <w:r>
        <w:rPr>
          <w:rFonts w:ascii="Lucida Sans Unicode" w:hAnsi="Lucida Sans Unicode"/>
          <w:w w:val="110"/>
        </w:rPr>
        <w:t>to</w:t>
      </w:r>
      <w:r>
        <w:rPr>
          <w:rFonts w:ascii="Lucida Sans Unicode" w:hAnsi="Lucida Sans Unicode"/>
          <w:spacing w:val="-21"/>
          <w:w w:val="110"/>
        </w:rPr>
        <w:t> </w:t>
      </w:r>
      <w:r>
        <w:rPr>
          <w:rFonts w:ascii="Lucida Sans Unicode" w:hAnsi="Lucida Sans Unicode"/>
          <w:w w:val="110"/>
        </w:rPr>
        <w:t>whether</w:t>
      </w:r>
      <w:r>
        <w:rPr>
          <w:rFonts w:ascii="Lucida Sans Unicode" w:hAnsi="Lucida Sans Unicode"/>
          <w:spacing w:val="-21"/>
          <w:w w:val="110"/>
        </w:rPr>
        <w:t> </w:t>
      </w:r>
      <w:r>
        <w:rPr>
          <w:rFonts w:ascii="Lucida Sans Unicode" w:hAnsi="Lucida Sans Unicode"/>
          <w:w w:val="110"/>
        </w:rPr>
        <w:t>a</w:t>
      </w:r>
      <w:r>
        <w:rPr>
          <w:rFonts w:ascii="Lucida Sans Unicode" w:hAnsi="Lucida Sans Unicode"/>
          <w:spacing w:val="-21"/>
          <w:w w:val="110"/>
        </w:rPr>
        <w:t> </w:t>
      </w:r>
      <w:r>
        <w:rPr>
          <w:rFonts w:ascii="Lucida Sans Unicode" w:hAnsi="Lucida Sans Unicode"/>
          <w:w w:val="110"/>
        </w:rPr>
        <w:t>Member</w:t>
      </w:r>
      <w:r>
        <w:rPr>
          <w:rFonts w:ascii="Lucida Sans Unicode" w:hAnsi="Lucida Sans Unicode"/>
          <w:spacing w:val="-21"/>
          <w:w w:val="110"/>
        </w:rPr>
        <w:t> </w:t>
      </w:r>
      <w:r>
        <w:rPr>
          <w:rFonts w:ascii="Lucida Sans Unicode" w:hAnsi="Lucida Sans Unicode"/>
          <w:w w:val="110"/>
        </w:rPr>
        <w:t>State </w:t>
      </w:r>
      <w:r>
        <w:rPr>
          <w:w w:val="110"/>
        </w:rPr>
        <w:t>acts within the scope of EU law, this being synonymous with </w:t>
      </w:r>
      <w:r>
        <w:rPr>
          <w:w w:val="110"/>
        </w:rPr>
        <w:t>implementing EU law.</w:t>
      </w:r>
      <w:r>
        <w:rPr>
          <w:w w:val="110"/>
          <w:vertAlign w:val="superscript"/>
        </w:rPr>
        <w:t>119</w:t>
      </w:r>
      <w:r>
        <w:rPr>
          <w:w w:val="110"/>
          <w:vertAlign w:val="baseline"/>
        </w:rPr>
        <w:t> In accordance with the principles set out in the preceding chapter, however, once the Charter’s applicability is established, there are wide-ranging obligations on Member </w:t>
      </w:r>
      <w:r>
        <w:rPr>
          <w:rFonts w:ascii="Lucida Sans Unicode" w:hAnsi="Lucida Sans Unicode"/>
          <w:w w:val="110"/>
          <w:vertAlign w:val="baseline"/>
        </w:rPr>
        <w:t>State</w:t>
      </w:r>
      <w:r>
        <w:rPr>
          <w:rFonts w:ascii="Lucida Sans Unicode" w:hAnsi="Lucida Sans Unicode"/>
          <w:spacing w:val="-19"/>
          <w:w w:val="110"/>
          <w:vertAlign w:val="baseline"/>
        </w:rPr>
        <w:t> </w:t>
      </w:r>
      <w:r>
        <w:rPr>
          <w:rFonts w:ascii="Lucida Sans Unicode" w:hAnsi="Lucida Sans Unicode"/>
          <w:w w:val="110"/>
          <w:vertAlign w:val="baseline"/>
        </w:rPr>
        <w:t>courts</w:t>
      </w:r>
      <w:r>
        <w:rPr>
          <w:rFonts w:ascii="Lucida Sans Unicode" w:hAnsi="Lucida Sans Unicode"/>
          <w:spacing w:val="-19"/>
          <w:w w:val="110"/>
          <w:vertAlign w:val="baseline"/>
        </w:rPr>
        <w:t> </w:t>
      </w:r>
      <w:r>
        <w:rPr>
          <w:rFonts w:ascii="Lucida Sans Unicode" w:hAnsi="Lucida Sans Unicode"/>
          <w:w w:val="110"/>
          <w:vertAlign w:val="baseline"/>
        </w:rPr>
        <w:t>to</w:t>
      </w:r>
      <w:r>
        <w:rPr>
          <w:rFonts w:ascii="Lucida Sans Unicode" w:hAnsi="Lucida Sans Unicode"/>
          <w:spacing w:val="-19"/>
          <w:w w:val="110"/>
          <w:vertAlign w:val="baseline"/>
        </w:rPr>
        <w:t> </w:t>
      </w:r>
      <w:r>
        <w:rPr>
          <w:rFonts w:ascii="Lucida Sans Unicode" w:hAnsi="Lucida Sans Unicode"/>
          <w:w w:val="110"/>
          <w:vertAlign w:val="baseline"/>
        </w:rPr>
        <w:t>try</w:t>
      </w:r>
      <w:r>
        <w:rPr>
          <w:rFonts w:ascii="Lucida Sans Unicode" w:hAnsi="Lucida Sans Unicode"/>
          <w:spacing w:val="-19"/>
          <w:w w:val="110"/>
          <w:vertAlign w:val="baseline"/>
        </w:rPr>
        <w:t> </w:t>
      </w:r>
      <w:r>
        <w:rPr>
          <w:rFonts w:ascii="Lucida Sans Unicode" w:hAnsi="Lucida Sans Unicode"/>
          <w:w w:val="110"/>
          <w:vertAlign w:val="baseline"/>
        </w:rPr>
        <w:t>to</w:t>
      </w:r>
      <w:r>
        <w:rPr>
          <w:rFonts w:ascii="Lucida Sans Unicode" w:hAnsi="Lucida Sans Unicode"/>
          <w:spacing w:val="-19"/>
          <w:w w:val="110"/>
          <w:vertAlign w:val="baseline"/>
        </w:rPr>
        <w:t> </w:t>
      </w:r>
      <w:r>
        <w:rPr>
          <w:rFonts w:ascii="Lucida Sans Unicode" w:hAnsi="Lucida Sans Unicode"/>
          <w:w w:val="110"/>
          <w:vertAlign w:val="baseline"/>
        </w:rPr>
        <w:t>read</w:t>
      </w:r>
      <w:r>
        <w:rPr>
          <w:rFonts w:ascii="Lucida Sans Unicode" w:hAnsi="Lucida Sans Unicode"/>
          <w:spacing w:val="-19"/>
          <w:w w:val="110"/>
          <w:vertAlign w:val="baseline"/>
        </w:rPr>
        <w:t> </w:t>
      </w:r>
      <w:r>
        <w:rPr>
          <w:rFonts w:ascii="Lucida Sans Unicode" w:hAnsi="Lucida Sans Unicode"/>
          <w:w w:val="110"/>
          <w:vertAlign w:val="baseline"/>
        </w:rPr>
        <w:t>domestic </w:t>
      </w:r>
      <w:r>
        <w:rPr>
          <w:w w:val="110"/>
          <w:vertAlign w:val="baseline"/>
        </w:rPr>
        <w:t>provisions and practices consistently with the Charter and, where this is not possible, to disapply </w:t>
      </w:r>
      <w:r>
        <w:rPr>
          <w:rFonts w:ascii="Verdana" w:hAnsi="Verdana"/>
          <w:i/>
          <w:w w:val="110"/>
          <w:vertAlign w:val="baseline"/>
        </w:rPr>
        <w:t>any </w:t>
      </w:r>
      <w:r>
        <w:rPr>
          <w:w w:val="110"/>
          <w:vertAlign w:val="baseline"/>
        </w:rPr>
        <w:t>‘legislative, administrative or judicial practice </w:t>
      </w:r>
      <w:r>
        <w:rPr>
          <w:rFonts w:ascii="Lucida Sans Unicode" w:hAnsi="Lucida Sans Unicode"/>
          <w:w w:val="110"/>
          <w:vertAlign w:val="baseline"/>
        </w:rPr>
        <w:t>[within</w:t>
      </w:r>
      <w:r>
        <w:rPr>
          <w:rFonts w:ascii="Lucida Sans Unicode" w:hAnsi="Lucida Sans Unicode"/>
          <w:spacing w:val="-15"/>
          <w:w w:val="110"/>
          <w:vertAlign w:val="baseline"/>
        </w:rPr>
        <w:t> </w:t>
      </w:r>
      <w:r>
        <w:rPr>
          <w:rFonts w:ascii="Lucida Sans Unicode" w:hAnsi="Lucida Sans Unicode"/>
          <w:w w:val="110"/>
          <w:vertAlign w:val="baseline"/>
        </w:rPr>
        <w:t>that</w:t>
      </w:r>
      <w:r>
        <w:rPr>
          <w:rFonts w:ascii="Lucida Sans Unicode" w:hAnsi="Lucida Sans Unicode"/>
          <w:spacing w:val="-15"/>
          <w:w w:val="110"/>
          <w:vertAlign w:val="baseline"/>
        </w:rPr>
        <w:t> </w:t>
      </w:r>
      <w:r>
        <w:rPr>
          <w:rFonts w:ascii="Lucida Sans Unicode" w:hAnsi="Lucida Sans Unicode"/>
          <w:w w:val="110"/>
          <w:vertAlign w:val="baseline"/>
        </w:rPr>
        <w:t>Member</w:t>
      </w:r>
      <w:r>
        <w:rPr>
          <w:rFonts w:ascii="Lucida Sans Unicode" w:hAnsi="Lucida Sans Unicode"/>
          <w:spacing w:val="-15"/>
          <w:w w:val="110"/>
          <w:vertAlign w:val="baseline"/>
        </w:rPr>
        <w:t> </w:t>
      </w:r>
      <w:r>
        <w:rPr>
          <w:rFonts w:ascii="Lucida Sans Unicode" w:hAnsi="Lucida Sans Unicode"/>
          <w:w w:val="110"/>
          <w:vertAlign w:val="baseline"/>
        </w:rPr>
        <w:t>State]</w:t>
      </w:r>
      <w:r>
        <w:rPr>
          <w:rFonts w:ascii="Lucida Sans Unicode" w:hAnsi="Lucida Sans Unicode"/>
          <w:spacing w:val="-15"/>
          <w:w w:val="110"/>
          <w:vertAlign w:val="baseline"/>
        </w:rPr>
        <w:t> </w:t>
      </w:r>
      <w:r>
        <w:rPr>
          <w:rFonts w:ascii="Lucida Sans Unicode" w:hAnsi="Lucida Sans Unicode"/>
          <w:w w:val="110"/>
          <w:vertAlign w:val="baseline"/>
        </w:rPr>
        <w:t>which</w:t>
      </w:r>
    </w:p>
    <w:p>
      <w:pPr>
        <w:pStyle w:val="BodyText"/>
        <w:spacing w:line="264" w:lineRule="auto" w:before="85"/>
        <w:ind w:right="178"/>
        <w:rPr>
          <w:rFonts w:ascii="Lucida Sans Unicode" w:hAnsi="Lucida Sans Unicode"/>
        </w:rPr>
      </w:pPr>
      <w:r>
        <w:rPr/>
        <w:br w:type="column"/>
      </w:r>
      <w:r>
        <w:rPr>
          <w:w w:val="115"/>
        </w:rPr>
        <w:t>might impair the effectiveness of European Union law’, rather than </w:t>
      </w:r>
      <w:r>
        <w:rPr>
          <w:spacing w:val="-2"/>
          <w:w w:val="115"/>
        </w:rPr>
        <w:t>simply</w:t>
      </w:r>
      <w:r>
        <w:rPr>
          <w:spacing w:val="-11"/>
          <w:w w:val="115"/>
        </w:rPr>
        <w:t> </w:t>
      </w:r>
      <w:r>
        <w:rPr>
          <w:spacing w:val="-2"/>
          <w:w w:val="115"/>
        </w:rPr>
        <w:t>disapplying</w:t>
      </w:r>
      <w:r>
        <w:rPr>
          <w:spacing w:val="-11"/>
          <w:w w:val="115"/>
        </w:rPr>
        <w:t> </w:t>
      </w:r>
      <w:r>
        <w:rPr>
          <w:spacing w:val="-2"/>
          <w:w w:val="115"/>
        </w:rPr>
        <w:t>those</w:t>
      </w:r>
      <w:r>
        <w:rPr>
          <w:spacing w:val="-11"/>
          <w:w w:val="115"/>
        </w:rPr>
        <w:t> </w:t>
      </w:r>
      <w:r>
        <w:rPr>
          <w:spacing w:val="-2"/>
          <w:w w:val="115"/>
        </w:rPr>
        <w:t>practices </w:t>
      </w:r>
      <w:r>
        <w:rPr>
          <w:w w:val="110"/>
        </w:rPr>
        <w:t>which </w:t>
      </w:r>
      <w:r>
        <w:rPr>
          <w:rFonts w:ascii="Verdana" w:hAnsi="Verdana"/>
          <w:i/>
          <w:w w:val="110"/>
        </w:rPr>
        <w:t>clearly</w:t>
      </w:r>
      <w:r>
        <w:rPr>
          <w:rFonts w:ascii="Verdana" w:hAnsi="Verdana"/>
          <w:i/>
          <w:spacing w:val="-16"/>
          <w:w w:val="110"/>
        </w:rPr>
        <w:t> </w:t>
      </w:r>
      <w:r>
        <w:rPr>
          <w:w w:val="110"/>
        </w:rPr>
        <w:t>infringe EU law</w:t>
      </w:r>
      <w:r>
        <w:rPr>
          <w:rFonts w:ascii="Lucida Sans Unicode" w:hAnsi="Lucida Sans Unicode"/>
          <w:w w:val="110"/>
          <w:vertAlign w:val="superscript"/>
        </w:rPr>
        <w:t>120</w:t>
      </w:r>
    </w:p>
    <w:p>
      <w:pPr>
        <w:pStyle w:val="BodyText"/>
        <w:spacing w:line="221" w:lineRule="exact"/>
      </w:pPr>
      <w:r>
        <w:rPr>
          <w:w w:val="110"/>
        </w:rPr>
        <w:t>(as</w:t>
      </w:r>
      <w:r>
        <w:rPr>
          <w:spacing w:val="-2"/>
          <w:w w:val="110"/>
        </w:rPr>
        <w:t> </w:t>
      </w:r>
      <w:r>
        <w:rPr>
          <w:w w:val="110"/>
        </w:rPr>
        <w:t>well</w:t>
      </w:r>
      <w:r>
        <w:rPr>
          <w:spacing w:val="-2"/>
          <w:w w:val="110"/>
        </w:rPr>
        <w:t> </w:t>
      </w:r>
      <w:r>
        <w:rPr>
          <w:w w:val="110"/>
        </w:rPr>
        <w:t>as</w:t>
      </w:r>
      <w:r>
        <w:rPr>
          <w:spacing w:val="-1"/>
          <w:w w:val="110"/>
        </w:rPr>
        <w:t> </w:t>
      </w:r>
      <w:r>
        <w:rPr>
          <w:w w:val="110"/>
        </w:rPr>
        <w:t>to</w:t>
      </w:r>
      <w:r>
        <w:rPr>
          <w:spacing w:val="-2"/>
          <w:w w:val="110"/>
        </w:rPr>
        <w:t> </w:t>
      </w:r>
      <w:r>
        <w:rPr>
          <w:w w:val="110"/>
        </w:rPr>
        <w:t>provide</w:t>
      </w:r>
      <w:r>
        <w:rPr>
          <w:spacing w:val="-1"/>
          <w:w w:val="110"/>
        </w:rPr>
        <w:t> </w:t>
      </w:r>
      <w:r>
        <w:rPr>
          <w:w w:val="110"/>
        </w:rPr>
        <w:t>access</w:t>
      </w:r>
      <w:r>
        <w:rPr>
          <w:spacing w:val="-2"/>
          <w:w w:val="110"/>
        </w:rPr>
        <w:t> </w:t>
      </w:r>
      <w:r>
        <w:rPr>
          <w:spacing w:val="-5"/>
          <w:w w:val="110"/>
        </w:rPr>
        <w:t>to</w:t>
      </w:r>
    </w:p>
    <w:p>
      <w:pPr>
        <w:pStyle w:val="BodyText"/>
        <w:spacing w:line="316" w:lineRule="exact" w:before="11"/>
        <w:ind w:right="224"/>
      </w:pPr>
      <w:r>
        <w:rPr>
          <w:rFonts w:ascii="Lucida Sans Unicode"/>
        </w:rPr>
        <w:t>effective remedies, including </w:t>
      </w:r>
      <w:r>
        <w:rPr>
          <w:rFonts w:ascii="Lucida Sans Unicode"/>
        </w:rPr>
        <w:t>financial </w:t>
      </w:r>
      <w:r>
        <w:rPr>
          <w:w w:val="110"/>
        </w:rPr>
        <w:t>compensation, where this is required to ensure the effectiveness of the </w:t>
      </w:r>
      <w:r>
        <w:rPr>
          <w:spacing w:val="-2"/>
          <w:w w:val="110"/>
        </w:rPr>
        <w:t>Charter).</w:t>
      </w:r>
    </w:p>
    <w:p>
      <w:pPr>
        <w:pStyle w:val="BodyText"/>
        <w:spacing w:before="49"/>
        <w:ind w:left="0"/>
      </w:pPr>
    </w:p>
    <w:p>
      <w:pPr>
        <w:pStyle w:val="BodyText"/>
        <w:spacing w:line="273" w:lineRule="auto"/>
        <w:ind w:right="318"/>
      </w:pPr>
      <w:r>
        <w:rPr>
          <w:w w:val="115"/>
        </w:rPr>
        <w:t>The importance of these points in relation</w:t>
      </w:r>
      <w:r>
        <w:rPr>
          <w:spacing w:val="-10"/>
          <w:w w:val="115"/>
        </w:rPr>
        <w:t> </w:t>
      </w:r>
      <w:r>
        <w:rPr>
          <w:w w:val="115"/>
        </w:rPr>
        <w:t>to</w:t>
      </w:r>
      <w:r>
        <w:rPr>
          <w:spacing w:val="-10"/>
          <w:w w:val="115"/>
        </w:rPr>
        <w:t> </w:t>
      </w:r>
      <w:r>
        <w:rPr>
          <w:w w:val="115"/>
        </w:rPr>
        <w:t>the</w:t>
      </w:r>
      <w:r>
        <w:rPr>
          <w:spacing w:val="-10"/>
          <w:w w:val="115"/>
        </w:rPr>
        <w:t> </w:t>
      </w:r>
      <w:r>
        <w:rPr>
          <w:w w:val="115"/>
        </w:rPr>
        <w:t>continued</w:t>
      </w:r>
      <w:r>
        <w:rPr>
          <w:spacing w:val="-10"/>
          <w:w w:val="115"/>
        </w:rPr>
        <w:t> </w:t>
      </w:r>
      <w:r>
        <w:rPr>
          <w:w w:val="115"/>
        </w:rPr>
        <w:t>application of the Charter in Northern Ireland will</w:t>
      </w:r>
      <w:r>
        <w:rPr>
          <w:spacing w:val="-12"/>
          <w:w w:val="115"/>
        </w:rPr>
        <w:t> </w:t>
      </w:r>
      <w:r>
        <w:rPr>
          <w:w w:val="115"/>
        </w:rPr>
        <w:t>be</w:t>
      </w:r>
      <w:r>
        <w:rPr>
          <w:spacing w:val="-12"/>
          <w:w w:val="115"/>
        </w:rPr>
        <w:t> </w:t>
      </w:r>
      <w:r>
        <w:rPr>
          <w:w w:val="115"/>
        </w:rPr>
        <w:t>expanded</w:t>
      </w:r>
      <w:r>
        <w:rPr>
          <w:spacing w:val="-12"/>
          <w:w w:val="115"/>
        </w:rPr>
        <w:t> </w:t>
      </w:r>
      <w:r>
        <w:rPr>
          <w:w w:val="115"/>
        </w:rPr>
        <w:t>upon</w:t>
      </w:r>
      <w:r>
        <w:rPr>
          <w:spacing w:val="-12"/>
          <w:w w:val="115"/>
        </w:rPr>
        <w:t> </w:t>
      </w:r>
      <w:r>
        <w:rPr>
          <w:w w:val="115"/>
        </w:rPr>
        <w:t>further</w:t>
      </w:r>
      <w:r>
        <w:rPr>
          <w:spacing w:val="-12"/>
          <w:w w:val="115"/>
        </w:rPr>
        <w:t> </w:t>
      </w:r>
      <w:r>
        <w:rPr>
          <w:w w:val="115"/>
        </w:rPr>
        <w:t>in</w:t>
      </w:r>
      <w:r>
        <w:rPr>
          <w:spacing w:val="-12"/>
          <w:w w:val="115"/>
        </w:rPr>
        <w:t> </w:t>
      </w:r>
      <w:r>
        <w:rPr>
          <w:w w:val="115"/>
        </w:rPr>
        <w:t>the remainder of this report.</w:t>
      </w:r>
    </w:p>
    <w:p>
      <w:pPr>
        <w:pStyle w:val="BodyText"/>
        <w:spacing w:before="23"/>
        <w:ind w:left="0"/>
      </w:pPr>
    </w:p>
    <w:p>
      <w:pPr>
        <w:pStyle w:val="Heading3"/>
        <w:numPr>
          <w:ilvl w:val="0"/>
          <w:numId w:val="9"/>
        </w:numPr>
        <w:tabs>
          <w:tab w:pos="680" w:val="left" w:leader="none"/>
        </w:tabs>
        <w:spacing w:line="254" w:lineRule="auto" w:before="0" w:after="0"/>
        <w:ind w:left="680" w:right="596" w:hanging="567"/>
        <w:jc w:val="left"/>
      </w:pPr>
      <w:r>
        <w:rPr>
          <w:color w:val="77328A"/>
        </w:rPr>
        <w:t>The</w:t>
      </w:r>
      <w:r>
        <w:rPr>
          <w:color w:val="77328A"/>
          <w:spacing w:val="-7"/>
        </w:rPr>
        <w:t> </w:t>
      </w:r>
      <w:r>
        <w:rPr>
          <w:color w:val="77328A"/>
        </w:rPr>
        <w:t>relevant</w:t>
      </w:r>
      <w:r>
        <w:rPr>
          <w:color w:val="77328A"/>
          <w:spacing w:val="-7"/>
        </w:rPr>
        <w:t> </w:t>
      </w:r>
      <w:r>
        <w:rPr>
          <w:color w:val="77328A"/>
        </w:rPr>
        <w:t>provisions of the Withdrawal Agreement and the Windsor Framework</w:t>
      </w:r>
    </w:p>
    <w:p>
      <w:pPr>
        <w:pStyle w:val="BodyText"/>
        <w:spacing w:line="273" w:lineRule="auto" w:before="181"/>
        <w:ind w:right="266"/>
      </w:pPr>
      <w:r>
        <w:rPr>
          <w:w w:val="115"/>
        </w:rPr>
        <w:t>There are four provisions of general importance across the Withdrawal Agreement and the Windsor Framework for the purposes of </w:t>
      </w:r>
      <w:r>
        <w:rPr>
          <w:w w:val="110"/>
        </w:rPr>
        <w:t>assessing the applicability of the </w:t>
      </w:r>
      <w:r>
        <w:rPr>
          <w:w w:val="110"/>
        </w:rPr>
        <w:t>CFR </w:t>
      </w:r>
      <w:r>
        <w:rPr>
          <w:w w:val="115"/>
        </w:rPr>
        <w:t>in the Northern Ireland legal order.</w:t>
      </w:r>
    </w:p>
    <w:p>
      <w:pPr>
        <w:pStyle w:val="BodyText"/>
        <w:spacing w:before="14"/>
        <w:ind w:left="0"/>
      </w:pPr>
    </w:p>
    <w:p>
      <w:pPr>
        <w:pStyle w:val="BodyText"/>
        <w:spacing w:line="218" w:lineRule="auto" w:before="1"/>
        <w:ind w:right="216"/>
        <w:rPr>
          <w:rFonts w:ascii="Lucida Sans Unicode" w:hAnsi="Lucida Sans Unicode"/>
        </w:rPr>
      </w:pPr>
      <w:r>
        <w:rPr>
          <w:rFonts w:ascii="Lucida Sans Unicode" w:hAnsi="Lucida Sans Unicode"/>
          <w:w w:val="105"/>
        </w:rPr>
        <w:t>The first provision is Article 2 WA, </w:t>
      </w:r>
      <w:r>
        <w:rPr>
          <w:rFonts w:ascii="Lucida Sans Unicode" w:hAnsi="Lucida Sans Unicode"/>
        </w:rPr>
        <w:t>which defines ‘Union law’ as </w:t>
      </w:r>
      <w:r>
        <w:rPr>
          <w:rFonts w:ascii="Lucida Sans Unicode" w:hAnsi="Lucida Sans Unicode"/>
        </w:rPr>
        <w:t>including </w:t>
      </w:r>
      <w:r>
        <w:rPr>
          <w:w w:val="105"/>
        </w:rPr>
        <w:t>the CFR and the general principles of</w:t>
      </w:r>
      <w:r>
        <w:rPr>
          <w:spacing w:val="40"/>
          <w:w w:val="105"/>
        </w:rPr>
        <w:t> </w:t>
      </w:r>
      <w:r>
        <w:rPr>
          <w:rFonts w:ascii="Lucida Sans Unicode" w:hAnsi="Lucida Sans Unicode"/>
          <w:w w:val="105"/>
        </w:rPr>
        <w:t>EU law, and defines ‘Member States’ as the 27 Member States of the EU.</w:t>
      </w:r>
    </w:p>
    <w:p>
      <w:pPr>
        <w:spacing w:after="0" w:line="218" w:lineRule="auto"/>
        <w:rPr>
          <w:rFonts w:ascii="Lucida Sans Unicode" w:hAnsi="Lucida Sans Unicode"/>
        </w:rPr>
        <w:sectPr>
          <w:type w:val="continuous"/>
          <w:pgSz w:w="11910" w:h="16840"/>
          <w:pgMar w:header="568" w:footer="580" w:top="0" w:bottom="280" w:left="1020" w:right="1020"/>
          <w:cols w:num="2" w:equalWidth="0">
            <w:col w:w="4735" w:space="310"/>
            <w:col w:w="4825"/>
          </w:cols>
        </w:sectPr>
      </w:pPr>
    </w:p>
    <w:p>
      <w:pPr>
        <w:pStyle w:val="BodyText"/>
        <w:spacing w:before="12"/>
        <w:ind w:left="0"/>
        <w:rPr>
          <w:rFonts w:ascii="Lucida Sans Unicode"/>
          <w:sz w:val="9"/>
        </w:rPr>
      </w:pPr>
    </w:p>
    <w:p>
      <w:pPr>
        <w:pStyle w:val="BodyText"/>
        <w:spacing w:line="20" w:lineRule="exact"/>
        <w:rPr>
          <w:rFonts w:ascii="Lucida Sans Unicode"/>
          <w:sz w:val="2"/>
        </w:rPr>
      </w:pPr>
      <w:r>
        <w:rPr>
          <w:rFonts w:ascii="Lucida Sans Unicode"/>
          <w:sz w:val="2"/>
        </w:rPr>
        <mc:AlternateContent>
          <mc:Choice Requires="wps">
            <w:drawing>
              <wp:inline distT="0" distB="0" distL="0" distR="0">
                <wp:extent cx="6120130" cy="6350"/>
                <wp:effectExtent l="9525" t="0" r="0" b="3175"/>
                <wp:docPr id="101" name="Group 101"/>
                <wp:cNvGraphicFramePr>
                  <a:graphicFrameLocks/>
                </wp:cNvGraphicFramePr>
                <a:graphic>
                  <a:graphicData uri="http://schemas.microsoft.com/office/word/2010/wordprocessingGroup">
                    <wpg:wgp>
                      <wpg:cNvPr id="101" name="Group 101"/>
                      <wpg:cNvGrpSpPr/>
                      <wpg:grpSpPr>
                        <a:xfrm>
                          <a:off x="0" y="0"/>
                          <a:ext cx="6120130" cy="6350"/>
                          <a:chExt cx="6120130" cy="6350"/>
                        </a:xfrm>
                      </wpg:grpSpPr>
                      <wps:wsp>
                        <wps:cNvPr id="102" name="Graphic 102"/>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69" coordorigin="0,0" coordsize="9638,10">
                <v:line style="position:absolute" from="0,5" to="9638,5" stroked="true" strokeweight=".5pt" strokecolor="#77328a">
                  <v:stroke dashstyle="solid"/>
                </v:line>
              </v:group>
            </w:pict>
          </mc:Fallback>
        </mc:AlternateContent>
      </w:r>
      <w:r>
        <w:rPr>
          <w:rFonts w:ascii="Lucida Sans Unicode"/>
          <w:sz w:val="2"/>
        </w:rPr>
      </w:r>
    </w:p>
    <w:p>
      <w:pPr>
        <w:pStyle w:val="ListParagraph"/>
        <w:numPr>
          <w:ilvl w:val="0"/>
          <w:numId w:val="6"/>
        </w:numPr>
        <w:tabs>
          <w:tab w:pos="567" w:val="left" w:leader="none"/>
        </w:tabs>
        <w:spacing w:line="223" w:lineRule="exact" w:before="61" w:after="0"/>
        <w:ind w:left="567" w:right="0" w:hanging="454"/>
        <w:jc w:val="left"/>
        <w:rPr>
          <w:rFonts w:ascii="Arial"/>
          <w:sz w:val="16"/>
        </w:rPr>
      </w:pPr>
      <w:r>
        <w:rPr>
          <w:sz w:val="16"/>
        </w:rPr>
        <w:t>Charter</w:t>
      </w:r>
      <w:r>
        <w:rPr>
          <w:spacing w:val="3"/>
          <w:sz w:val="16"/>
        </w:rPr>
        <w:t> </w:t>
      </w:r>
      <w:r>
        <w:rPr>
          <w:sz w:val="16"/>
        </w:rPr>
        <w:t>of</w:t>
      </w:r>
      <w:r>
        <w:rPr>
          <w:spacing w:val="3"/>
          <w:sz w:val="16"/>
        </w:rPr>
        <w:t> </w:t>
      </w:r>
      <w:r>
        <w:rPr>
          <w:sz w:val="16"/>
        </w:rPr>
        <w:t>Fundamental</w:t>
      </w:r>
      <w:r>
        <w:rPr>
          <w:spacing w:val="3"/>
          <w:sz w:val="16"/>
        </w:rPr>
        <w:t> </w:t>
      </w:r>
      <w:r>
        <w:rPr>
          <w:sz w:val="16"/>
        </w:rPr>
        <w:t>Rights</w:t>
      </w:r>
      <w:r>
        <w:rPr>
          <w:spacing w:val="3"/>
          <w:sz w:val="16"/>
        </w:rPr>
        <w:t> </w:t>
      </w:r>
      <w:r>
        <w:rPr>
          <w:sz w:val="16"/>
        </w:rPr>
        <w:t>of</w:t>
      </w:r>
      <w:r>
        <w:rPr>
          <w:spacing w:val="3"/>
          <w:sz w:val="16"/>
        </w:rPr>
        <w:t> </w:t>
      </w:r>
      <w:r>
        <w:rPr>
          <w:sz w:val="16"/>
        </w:rPr>
        <w:t>the</w:t>
      </w:r>
      <w:r>
        <w:rPr>
          <w:spacing w:val="4"/>
          <w:sz w:val="16"/>
        </w:rPr>
        <w:t> </w:t>
      </w:r>
      <w:r>
        <w:rPr>
          <w:sz w:val="16"/>
        </w:rPr>
        <w:t>European</w:t>
      </w:r>
      <w:r>
        <w:rPr>
          <w:spacing w:val="3"/>
          <w:sz w:val="16"/>
        </w:rPr>
        <w:t> </w:t>
      </w:r>
      <w:r>
        <w:rPr>
          <w:sz w:val="16"/>
        </w:rPr>
        <w:t>Union</w:t>
      </w:r>
      <w:r>
        <w:rPr>
          <w:spacing w:val="3"/>
          <w:sz w:val="16"/>
        </w:rPr>
        <w:t> </w:t>
      </w:r>
      <w:r>
        <w:rPr>
          <w:sz w:val="16"/>
        </w:rPr>
        <w:t>[2012]</w:t>
      </w:r>
      <w:r>
        <w:rPr>
          <w:spacing w:val="3"/>
          <w:sz w:val="16"/>
        </w:rPr>
        <w:t> </w:t>
      </w:r>
      <w:r>
        <w:rPr>
          <w:sz w:val="16"/>
        </w:rPr>
        <w:t>OJ</w:t>
      </w:r>
      <w:r>
        <w:rPr>
          <w:spacing w:val="3"/>
          <w:sz w:val="16"/>
        </w:rPr>
        <w:t> </w:t>
      </w:r>
      <w:r>
        <w:rPr>
          <w:sz w:val="16"/>
        </w:rPr>
        <w:t>C</w:t>
      </w:r>
      <w:r>
        <w:rPr>
          <w:spacing w:val="3"/>
          <w:sz w:val="16"/>
        </w:rPr>
        <w:t> </w:t>
      </w:r>
      <w:r>
        <w:rPr>
          <w:sz w:val="16"/>
        </w:rPr>
        <w:t>326/391,</w:t>
      </w:r>
      <w:r>
        <w:rPr>
          <w:spacing w:val="4"/>
          <w:sz w:val="16"/>
        </w:rPr>
        <w:t> </w:t>
      </w:r>
      <w:r>
        <w:rPr>
          <w:sz w:val="16"/>
        </w:rPr>
        <w:t>art.</w:t>
      </w:r>
      <w:r>
        <w:rPr>
          <w:spacing w:val="3"/>
          <w:sz w:val="16"/>
        </w:rPr>
        <w:t> </w:t>
      </w:r>
      <w:r>
        <w:rPr>
          <w:spacing w:val="-2"/>
          <w:sz w:val="16"/>
        </w:rPr>
        <w:t>51(1).</w:t>
      </w:r>
    </w:p>
    <w:p>
      <w:pPr>
        <w:pStyle w:val="ListParagraph"/>
        <w:numPr>
          <w:ilvl w:val="0"/>
          <w:numId w:val="6"/>
        </w:numPr>
        <w:tabs>
          <w:tab w:pos="567" w:val="left" w:leader="none"/>
        </w:tabs>
        <w:spacing w:line="200" w:lineRule="exact" w:before="0" w:after="0"/>
        <w:ind w:left="567" w:right="0" w:hanging="454"/>
        <w:jc w:val="left"/>
        <w:rPr>
          <w:sz w:val="16"/>
        </w:rPr>
      </w:pPr>
      <w:r>
        <w:rPr>
          <w:sz w:val="16"/>
        </w:rPr>
        <w:t>Charter,</w:t>
      </w:r>
      <w:r>
        <w:rPr>
          <w:spacing w:val="-12"/>
          <w:sz w:val="16"/>
        </w:rPr>
        <w:t> </w:t>
      </w:r>
      <w:r>
        <w:rPr>
          <w:sz w:val="16"/>
        </w:rPr>
        <w:t>art.</w:t>
      </w:r>
      <w:r>
        <w:rPr>
          <w:spacing w:val="-12"/>
          <w:sz w:val="16"/>
        </w:rPr>
        <w:t> </w:t>
      </w:r>
      <w:r>
        <w:rPr>
          <w:spacing w:val="-2"/>
          <w:sz w:val="16"/>
        </w:rPr>
        <w:t>51(2).</w:t>
      </w:r>
    </w:p>
    <w:p>
      <w:pPr>
        <w:pStyle w:val="ListParagraph"/>
        <w:numPr>
          <w:ilvl w:val="0"/>
          <w:numId w:val="6"/>
        </w:numPr>
        <w:tabs>
          <w:tab w:pos="567" w:val="left" w:leader="none"/>
        </w:tabs>
        <w:spacing w:line="200" w:lineRule="exact" w:before="0" w:after="0"/>
        <w:ind w:left="567" w:right="0" w:hanging="454"/>
        <w:jc w:val="left"/>
        <w:rPr>
          <w:rFonts w:ascii="Arial" w:hAnsi="Arial"/>
          <w:sz w:val="16"/>
        </w:rPr>
      </w:pPr>
      <w:r>
        <w:rPr>
          <w:rFonts w:ascii="Verdana" w:hAnsi="Verdana"/>
          <w:i/>
          <w:sz w:val="16"/>
        </w:rPr>
        <w:t>Åkerberg</w:t>
      </w:r>
      <w:r>
        <w:rPr>
          <w:rFonts w:ascii="Verdana" w:hAnsi="Verdana"/>
          <w:i/>
          <w:spacing w:val="-4"/>
          <w:sz w:val="16"/>
        </w:rPr>
        <w:t> </w:t>
      </w:r>
      <w:r>
        <w:rPr>
          <w:rFonts w:ascii="Verdana" w:hAnsi="Verdana"/>
          <w:i/>
          <w:sz w:val="16"/>
        </w:rPr>
        <w:t>Fransson</w:t>
      </w:r>
      <w:r>
        <w:rPr>
          <w:rFonts w:ascii="Verdana" w:hAnsi="Verdana"/>
          <w:i/>
          <w:spacing w:val="-3"/>
          <w:sz w:val="16"/>
        </w:rPr>
        <w:t> </w:t>
      </w:r>
      <w:r>
        <w:rPr>
          <w:sz w:val="16"/>
        </w:rPr>
        <w:t>(n</w:t>
      </w:r>
      <w:r>
        <w:rPr>
          <w:spacing w:val="2"/>
          <w:sz w:val="16"/>
        </w:rPr>
        <w:t> </w:t>
      </w:r>
      <w:r>
        <w:rPr>
          <w:spacing w:val="-4"/>
          <w:sz w:val="16"/>
        </w:rPr>
        <w:t>13).</w:t>
      </w:r>
    </w:p>
    <w:p>
      <w:pPr>
        <w:pStyle w:val="ListParagraph"/>
        <w:numPr>
          <w:ilvl w:val="0"/>
          <w:numId w:val="6"/>
        </w:numPr>
        <w:tabs>
          <w:tab w:pos="566" w:val="left" w:leader="none"/>
        </w:tabs>
        <w:spacing w:line="223" w:lineRule="exact" w:before="0" w:after="0"/>
        <w:ind w:left="566" w:right="0" w:hanging="453"/>
        <w:jc w:val="left"/>
        <w:rPr>
          <w:sz w:val="16"/>
        </w:rPr>
      </w:pPr>
      <w:r>
        <w:rPr>
          <w:rFonts w:ascii="Verdana"/>
          <w:i/>
          <w:spacing w:val="-2"/>
          <w:sz w:val="16"/>
        </w:rPr>
        <w:t>Ibid,</w:t>
      </w:r>
      <w:r>
        <w:rPr>
          <w:rFonts w:ascii="Verdana"/>
          <w:i/>
          <w:spacing w:val="-13"/>
          <w:sz w:val="16"/>
        </w:rPr>
        <w:t> </w:t>
      </w:r>
      <w:r>
        <w:rPr>
          <w:spacing w:val="-2"/>
          <w:sz w:val="16"/>
        </w:rPr>
        <w:t>paras</w:t>
      </w:r>
      <w:r>
        <w:rPr>
          <w:spacing w:val="-9"/>
          <w:sz w:val="16"/>
        </w:rPr>
        <w:t> </w:t>
      </w:r>
      <w:r>
        <w:rPr>
          <w:spacing w:val="-2"/>
          <w:sz w:val="16"/>
        </w:rPr>
        <w:t>46-</w:t>
      </w:r>
      <w:r>
        <w:rPr>
          <w:spacing w:val="-5"/>
          <w:sz w:val="16"/>
        </w:rPr>
        <w:t>49.</w:t>
      </w:r>
    </w:p>
    <w:p>
      <w:pPr>
        <w:spacing w:after="0" w:line="223" w:lineRule="exact"/>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359" w:lineRule="exact" w:before="34"/>
        <w:rPr>
          <w:rFonts w:ascii="Lucida Sans Unicode"/>
        </w:rPr>
      </w:pPr>
      <w:bookmarkStart w:name="3. The architecture and consequences of " w:id="32"/>
      <w:bookmarkEnd w:id="32"/>
      <w:r>
        <w:rPr/>
      </w:r>
      <w:bookmarkStart w:name="a. The statutory provisions and text" w:id="33"/>
      <w:bookmarkEnd w:id="33"/>
      <w:r>
        <w:rPr/>
      </w:r>
      <w:bookmarkStart w:name="_bookmark13" w:id="34"/>
      <w:bookmarkEnd w:id="34"/>
      <w:r>
        <w:rPr/>
      </w:r>
      <w:r>
        <w:rPr>
          <w:rFonts w:ascii="Lucida Sans Unicode"/>
        </w:rPr>
        <w:t>The</w:t>
      </w:r>
      <w:r>
        <w:rPr>
          <w:rFonts w:ascii="Lucida Sans Unicode"/>
          <w:spacing w:val="1"/>
        </w:rPr>
        <w:t> </w:t>
      </w:r>
      <w:r>
        <w:rPr>
          <w:rFonts w:ascii="Lucida Sans Unicode"/>
        </w:rPr>
        <w:t>second</w:t>
      </w:r>
      <w:r>
        <w:rPr>
          <w:rFonts w:ascii="Lucida Sans Unicode"/>
          <w:spacing w:val="2"/>
        </w:rPr>
        <w:t> </w:t>
      </w:r>
      <w:r>
        <w:rPr>
          <w:rFonts w:ascii="Lucida Sans Unicode"/>
        </w:rPr>
        <w:t>provision</w:t>
      </w:r>
      <w:r>
        <w:rPr>
          <w:rFonts w:ascii="Lucida Sans Unicode"/>
          <w:spacing w:val="1"/>
        </w:rPr>
        <w:t> </w:t>
      </w:r>
      <w:r>
        <w:rPr>
          <w:rFonts w:ascii="Lucida Sans Unicode"/>
        </w:rPr>
        <w:t>is</w:t>
      </w:r>
      <w:r>
        <w:rPr>
          <w:rFonts w:ascii="Lucida Sans Unicode"/>
          <w:spacing w:val="2"/>
        </w:rPr>
        <w:t> </w:t>
      </w:r>
      <w:r>
        <w:rPr>
          <w:rFonts w:ascii="Lucida Sans Unicode"/>
        </w:rPr>
        <w:t>Article</w:t>
      </w:r>
      <w:r>
        <w:rPr>
          <w:rFonts w:ascii="Lucida Sans Unicode"/>
          <w:spacing w:val="2"/>
        </w:rPr>
        <w:t> </w:t>
      </w:r>
      <w:r>
        <w:rPr>
          <w:rFonts w:ascii="Lucida Sans Unicode"/>
          <w:spacing w:val="-10"/>
        </w:rPr>
        <w:t>4</w:t>
      </w:r>
    </w:p>
    <w:p>
      <w:pPr>
        <w:pStyle w:val="BodyText"/>
        <w:spacing w:line="271" w:lineRule="auto"/>
        <w:ind w:right="303"/>
      </w:pPr>
      <w:r>
        <w:rPr>
          <w:w w:val="110"/>
        </w:rPr>
        <w:t>(1) WA, which mandates that the ‘The provisions of this Agreement and the provisions of Union law made applicable’ in the Withdrawal Agreement shall ‘produce in </w:t>
      </w:r>
      <w:r>
        <w:rPr>
          <w:w w:val="110"/>
        </w:rPr>
        <w:t>respect</w:t>
      </w:r>
      <w:r>
        <w:rPr>
          <w:w w:val="110"/>
        </w:rPr>
        <w:t> of and in the United Kingdom the same legal effects as those which</w:t>
      </w:r>
    </w:p>
    <w:p>
      <w:pPr>
        <w:pStyle w:val="BodyText"/>
        <w:spacing w:line="218" w:lineRule="auto" w:before="2"/>
        <w:rPr>
          <w:rFonts w:ascii="Lucida Sans Unicode" w:hAnsi="Lucida Sans Unicode"/>
        </w:rPr>
      </w:pPr>
      <w:r>
        <w:rPr>
          <w:w w:val="105"/>
        </w:rPr>
        <w:t>they produce within the Union and its</w:t>
      </w:r>
      <w:r>
        <w:rPr>
          <w:spacing w:val="80"/>
          <w:w w:val="105"/>
        </w:rPr>
        <w:t> </w:t>
      </w:r>
      <w:r>
        <w:rPr>
          <w:rFonts w:ascii="Lucida Sans Unicode" w:hAnsi="Lucida Sans Unicode"/>
          <w:w w:val="105"/>
        </w:rPr>
        <w:t>Member</w:t>
      </w:r>
      <w:r>
        <w:rPr>
          <w:rFonts w:ascii="Lucida Sans Unicode" w:hAnsi="Lucida Sans Unicode"/>
          <w:spacing w:val="-12"/>
          <w:w w:val="105"/>
        </w:rPr>
        <w:t> </w:t>
      </w:r>
      <w:r>
        <w:rPr>
          <w:rFonts w:ascii="Lucida Sans Unicode" w:hAnsi="Lucida Sans Unicode"/>
          <w:w w:val="105"/>
        </w:rPr>
        <w:t>States’.</w:t>
      </w:r>
      <w:r>
        <w:rPr>
          <w:rFonts w:ascii="Lucida Sans Unicode" w:hAnsi="Lucida Sans Unicode"/>
          <w:spacing w:val="-12"/>
          <w:w w:val="105"/>
        </w:rPr>
        <w:t> </w:t>
      </w:r>
      <w:r>
        <w:rPr>
          <w:rFonts w:ascii="Lucida Sans Unicode" w:hAnsi="Lucida Sans Unicode"/>
          <w:w w:val="105"/>
        </w:rPr>
        <w:t>This</w:t>
      </w:r>
      <w:r>
        <w:rPr>
          <w:rFonts w:ascii="Lucida Sans Unicode" w:hAnsi="Lucida Sans Unicode"/>
          <w:spacing w:val="-12"/>
          <w:w w:val="105"/>
        </w:rPr>
        <w:t> </w:t>
      </w:r>
      <w:r>
        <w:rPr>
          <w:rFonts w:ascii="Lucida Sans Unicode" w:hAnsi="Lucida Sans Unicode"/>
          <w:w w:val="105"/>
        </w:rPr>
        <w:t>includes</w:t>
      </w:r>
      <w:r>
        <w:rPr>
          <w:rFonts w:ascii="Lucida Sans Unicode" w:hAnsi="Lucida Sans Unicode"/>
          <w:spacing w:val="-12"/>
          <w:w w:val="105"/>
        </w:rPr>
        <w:t> </w:t>
      </w:r>
      <w:r>
        <w:rPr>
          <w:rFonts w:ascii="Lucida Sans Unicode" w:hAnsi="Lucida Sans Unicode"/>
          <w:w w:val="105"/>
        </w:rPr>
        <w:t>direct effect</w:t>
      </w:r>
      <w:r>
        <w:rPr>
          <w:rFonts w:ascii="Lucida Sans Unicode" w:hAnsi="Lucida Sans Unicode"/>
          <w:spacing w:val="-18"/>
          <w:w w:val="105"/>
        </w:rPr>
        <w:t> </w:t>
      </w:r>
      <w:r>
        <w:rPr>
          <w:rFonts w:ascii="Lucida Sans Unicode" w:hAnsi="Lucida Sans Unicode"/>
          <w:w w:val="105"/>
        </w:rPr>
        <w:t>and</w:t>
      </w:r>
      <w:r>
        <w:rPr>
          <w:rFonts w:ascii="Lucida Sans Unicode" w:hAnsi="Lucida Sans Unicode"/>
          <w:spacing w:val="-18"/>
          <w:w w:val="105"/>
        </w:rPr>
        <w:t> </w:t>
      </w:r>
      <w:r>
        <w:rPr>
          <w:rFonts w:ascii="Lucida Sans Unicode" w:hAnsi="Lucida Sans Unicode"/>
          <w:w w:val="105"/>
        </w:rPr>
        <w:t>primacy</w:t>
      </w:r>
      <w:r>
        <w:rPr>
          <w:rFonts w:ascii="Lucida Sans Unicode" w:hAnsi="Lucida Sans Unicode"/>
          <w:spacing w:val="-18"/>
          <w:w w:val="105"/>
        </w:rPr>
        <w:t> </w:t>
      </w:r>
      <w:r>
        <w:rPr>
          <w:rFonts w:ascii="Lucida Sans Unicode" w:hAnsi="Lucida Sans Unicode"/>
          <w:w w:val="105"/>
        </w:rPr>
        <w:t>–</w:t>
      </w:r>
      <w:r>
        <w:rPr>
          <w:rFonts w:ascii="Lucida Sans Unicode" w:hAnsi="Lucida Sans Unicode"/>
          <w:spacing w:val="-17"/>
          <w:w w:val="105"/>
        </w:rPr>
        <w:t> </w:t>
      </w:r>
      <w:r>
        <w:rPr>
          <w:rFonts w:ascii="Lucida Sans Unicode" w:hAnsi="Lucida Sans Unicode"/>
          <w:w w:val="105"/>
        </w:rPr>
        <w:t>or</w:t>
      </w:r>
      <w:r>
        <w:rPr>
          <w:rFonts w:ascii="Lucida Sans Unicode" w:hAnsi="Lucida Sans Unicode"/>
          <w:spacing w:val="-18"/>
          <w:w w:val="105"/>
        </w:rPr>
        <w:t> </w:t>
      </w:r>
      <w:r>
        <w:rPr>
          <w:rFonts w:ascii="Lucida Sans Unicode" w:hAnsi="Lucida Sans Unicode"/>
          <w:w w:val="105"/>
        </w:rPr>
        <w:t>as</w:t>
      </w:r>
      <w:r>
        <w:rPr>
          <w:rFonts w:ascii="Lucida Sans Unicode" w:hAnsi="Lucida Sans Unicode"/>
          <w:spacing w:val="-18"/>
          <w:w w:val="105"/>
        </w:rPr>
        <w:t> </w:t>
      </w:r>
      <w:r>
        <w:rPr>
          <w:rFonts w:ascii="Lucida Sans Unicode" w:hAnsi="Lucida Sans Unicode"/>
          <w:w w:val="105"/>
        </w:rPr>
        <w:t>Article</w:t>
      </w:r>
      <w:r>
        <w:rPr>
          <w:rFonts w:ascii="Lucida Sans Unicode" w:hAnsi="Lucida Sans Unicode"/>
          <w:spacing w:val="-17"/>
          <w:w w:val="105"/>
        </w:rPr>
        <w:t> </w:t>
      </w:r>
      <w:r>
        <w:rPr>
          <w:rFonts w:ascii="Lucida Sans Unicode" w:hAnsi="Lucida Sans Unicode"/>
          <w:w w:val="105"/>
        </w:rPr>
        <w:t>4</w:t>
      </w:r>
      <w:r>
        <w:rPr>
          <w:rFonts w:ascii="Lucida Sans Unicode" w:hAnsi="Lucida Sans Unicode"/>
          <w:spacing w:val="-18"/>
          <w:w w:val="105"/>
        </w:rPr>
        <w:t> </w:t>
      </w:r>
      <w:r>
        <w:rPr>
          <w:rFonts w:ascii="Lucida Sans Unicode" w:hAnsi="Lucida Sans Unicode"/>
          <w:spacing w:val="-5"/>
          <w:w w:val="105"/>
        </w:rPr>
        <w:t>(2)</w:t>
      </w:r>
    </w:p>
    <w:p>
      <w:pPr>
        <w:pStyle w:val="BodyText"/>
        <w:spacing w:line="237" w:lineRule="auto"/>
        <w:rPr>
          <w:rFonts w:ascii="Lucida Sans Unicode" w:hAnsi="Lucida Sans Unicode"/>
        </w:rPr>
      </w:pPr>
      <w:r>
        <w:rPr>
          <w:w w:val="110"/>
        </w:rPr>
        <w:t>puts it – disapplication of </w:t>
      </w:r>
      <w:r>
        <w:rPr>
          <w:w w:val="110"/>
        </w:rPr>
        <w:t>inconsistent </w:t>
      </w:r>
      <w:r>
        <w:rPr>
          <w:rFonts w:ascii="Lucida Sans Unicode" w:hAnsi="Lucida Sans Unicode"/>
        </w:rPr>
        <w:t>domestic law. Furthermore, Article 4</w:t>
      </w:r>
    </w:p>
    <w:p>
      <w:pPr>
        <w:pStyle w:val="BodyText"/>
        <w:spacing w:line="302" w:lineRule="exact"/>
        <w:rPr>
          <w:rFonts w:ascii="Lucida Sans Unicode"/>
        </w:rPr>
      </w:pPr>
      <w:r>
        <w:rPr>
          <w:rFonts w:ascii="Lucida Sans Unicode"/>
          <w:spacing w:val="-2"/>
          <w:w w:val="105"/>
        </w:rPr>
        <w:t>(3)</w:t>
      </w:r>
      <w:r>
        <w:rPr>
          <w:rFonts w:ascii="Lucida Sans Unicode"/>
          <w:spacing w:val="-12"/>
          <w:w w:val="105"/>
        </w:rPr>
        <w:t> </w:t>
      </w:r>
      <w:r>
        <w:rPr>
          <w:rFonts w:ascii="Lucida Sans Unicode"/>
          <w:spacing w:val="-2"/>
          <w:w w:val="105"/>
        </w:rPr>
        <w:t>and</w:t>
      </w:r>
      <w:r>
        <w:rPr>
          <w:rFonts w:ascii="Lucida Sans Unicode"/>
          <w:spacing w:val="-11"/>
          <w:w w:val="105"/>
        </w:rPr>
        <w:t> </w:t>
      </w:r>
      <w:r>
        <w:rPr>
          <w:rFonts w:ascii="Lucida Sans Unicode"/>
          <w:spacing w:val="-2"/>
          <w:w w:val="105"/>
        </w:rPr>
        <w:t>(4)</w:t>
      </w:r>
      <w:r>
        <w:rPr>
          <w:rFonts w:ascii="Lucida Sans Unicode"/>
          <w:spacing w:val="-12"/>
          <w:w w:val="105"/>
        </w:rPr>
        <w:t> </w:t>
      </w:r>
      <w:r>
        <w:rPr>
          <w:rFonts w:ascii="Lucida Sans Unicode"/>
          <w:spacing w:val="-2"/>
          <w:w w:val="105"/>
        </w:rPr>
        <w:t>require</w:t>
      </w:r>
      <w:r>
        <w:rPr>
          <w:rFonts w:ascii="Lucida Sans Unicode"/>
          <w:spacing w:val="-11"/>
          <w:w w:val="105"/>
        </w:rPr>
        <w:t> </w:t>
      </w:r>
      <w:r>
        <w:rPr>
          <w:rFonts w:ascii="Lucida Sans Unicode"/>
          <w:spacing w:val="-2"/>
          <w:w w:val="105"/>
        </w:rPr>
        <w:t>an</w:t>
      </w:r>
      <w:r>
        <w:rPr>
          <w:rFonts w:ascii="Lucida Sans Unicode"/>
          <w:spacing w:val="-12"/>
          <w:w w:val="105"/>
        </w:rPr>
        <w:t> </w:t>
      </w:r>
      <w:r>
        <w:rPr>
          <w:rFonts w:ascii="Lucida Sans Unicode"/>
          <w:spacing w:val="-2"/>
          <w:w w:val="105"/>
        </w:rPr>
        <w:t>interpretation</w:t>
      </w:r>
      <w:r>
        <w:rPr>
          <w:rFonts w:ascii="Lucida Sans Unicode"/>
          <w:spacing w:val="-11"/>
          <w:w w:val="105"/>
        </w:rPr>
        <w:t> </w:t>
      </w:r>
      <w:r>
        <w:rPr>
          <w:rFonts w:ascii="Lucida Sans Unicode"/>
          <w:spacing w:val="-5"/>
          <w:w w:val="105"/>
        </w:rPr>
        <w:t>of</w:t>
      </w:r>
    </w:p>
    <w:p>
      <w:pPr>
        <w:pStyle w:val="BodyText"/>
        <w:spacing w:line="271" w:lineRule="auto"/>
        <w:ind w:right="199"/>
      </w:pPr>
      <w:r>
        <w:rPr>
          <w:w w:val="115"/>
        </w:rPr>
        <w:t>EU</w:t>
      </w:r>
      <w:r>
        <w:rPr>
          <w:spacing w:val="-20"/>
          <w:w w:val="115"/>
        </w:rPr>
        <w:t> </w:t>
      </w:r>
      <w:r>
        <w:rPr>
          <w:w w:val="115"/>
        </w:rPr>
        <w:t>law</w:t>
      </w:r>
      <w:r>
        <w:rPr>
          <w:spacing w:val="-19"/>
          <w:w w:val="115"/>
        </w:rPr>
        <w:t> </w:t>
      </w:r>
      <w:r>
        <w:rPr>
          <w:w w:val="115"/>
        </w:rPr>
        <w:t>(referred</w:t>
      </w:r>
      <w:r>
        <w:rPr>
          <w:spacing w:val="-19"/>
          <w:w w:val="115"/>
        </w:rPr>
        <w:t> </w:t>
      </w:r>
      <w:r>
        <w:rPr>
          <w:w w:val="115"/>
        </w:rPr>
        <w:t>to</w:t>
      </w:r>
      <w:r>
        <w:rPr>
          <w:spacing w:val="-19"/>
          <w:w w:val="115"/>
        </w:rPr>
        <w:t> </w:t>
      </w:r>
      <w:r>
        <w:rPr>
          <w:w w:val="115"/>
        </w:rPr>
        <w:t>in</w:t>
      </w:r>
      <w:r>
        <w:rPr>
          <w:spacing w:val="-19"/>
          <w:w w:val="115"/>
        </w:rPr>
        <w:t> </w:t>
      </w:r>
      <w:r>
        <w:rPr>
          <w:w w:val="115"/>
        </w:rPr>
        <w:t>the</w:t>
      </w:r>
      <w:r>
        <w:rPr>
          <w:spacing w:val="-20"/>
          <w:w w:val="115"/>
        </w:rPr>
        <w:t> </w:t>
      </w:r>
      <w:r>
        <w:rPr>
          <w:w w:val="115"/>
        </w:rPr>
        <w:t>Withdrawal Agreement) which is in accordance with</w:t>
      </w:r>
      <w:r>
        <w:rPr>
          <w:spacing w:val="-15"/>
          <w:w w:val="115"/>
        </w:rPr>
        <w:t> </w:t>
      </w:r>
      <w:r>
        <w:rPr>
          <w:w w:val="115"/>
        </w:rPr>
        <w:t>the</w:t>
      </w:r>
      <w:r>
        <w:rPr>
          <w:spacing w:val="-15"/>
          <w:w w:val="115"/>
        </w:rPr>
        <w:t> </w:t>
      </w:r>
      <w:r>
        <w:rPr>
          <w:w w:val="115"/>
        </w:rPr>
        <w:t>general</w:t>
      </w:r>
      <w:r>
        <w:rPr>
          <w:spacing w:val="-15"/>
          <w:w w:val="115"/>
        </w:rPr>
        <w:t> </w:t>
      </w:r>
      <w:r>
        <w:rPr>
          <w:w w:val="115"/>
        </w:rPr>
        <w:t>principles</w:t>
      </w:r>
      <w:r>
        <w:rPr>
          <w:spacing w:val="-15"/>
          <w:w w:val="115"/>
        </w:rPr>
        <w:t> </w:t>
      </w:r>
      <w:r>
        <w:rPr>
          <w:w w:val="115"/>
        </w:rPr>
        <w:t>of</w:t>
      </w:r>
      <w:r>
        <w:rPr>
          <w:spacing w:val="-15"/>
          <w:w w:val="115"/>
        </w:rPr>
        <w:t> </w:t>
      </w:r>
      <w:r>
        <w:rPr>
          <w:w w:val="115"/>
        </w:rPr>
        <w:t>EU</w:t>
      </w:r>
      <w:r>
        <w:rPr>
          <w:spacing w:val="-15"/>
          <w:w w:val="115"/>
        </w:rPr>
        <w:t> </w:t>
      </w:r>
      <w:r>
        <w:rPr>
          <w:w w:val="115"/>
        </w:rPr>
        <w:t>law and which conforms with relevant CJEU</w:t>
      </w:r>
      <w:r>
        <w:rPr>
          <w:spacing w:val="-9"/>
          <w:w w:val="115"/>
        </w:rPr>
        <w:t> </w:t>
      </w:r>
      <w:r>
        <w:rPr>
          <w:w w:val="115"/>
        </w:rPr>
        <w:t>case</w:t>
      </w:r>
      <w:r>
        <w:rPr>
          <w:spacing w:val="-9"/>
          <w:w w:val="115"/>
        </w:rPr>
        <w:t> </w:t>
      </w:r>
      <w:r>
        <w:rPr>
          <w:w w:val="115"/>
        </w:rPr>
        <w:t>law.</w:t>
      </w:r>
      <w:r>
        <w:rPr>
          <w:spacing w:val="-9"/>
          <w:w w:val="115"/>
        </w:rPr>
        <w:t> </w:t>
      </w:r>
      <w:r>
        <w:rPr>
          <w:w w:val="115"/>
        </w:rPr>
        <w:t>It</w:t>
      </w:r>
      <w:r>
        <w:rPr>
          <w:spacing w:val="-9"/>
          <w:w w:val="115"/>
        </w:rPr>
        <w:t> </w:t>
      </w:r>
      <w:r>
        <w:rPr>
          <w:w w:val="115"/>
        </w:rPr>
        <w:t>is</w:t>
      </w:r>
      <w:r>
        <w:rPr>
          <w:spacing w:val="-9"/>
          <w:w w:val="115"/>
        </w:rPr>
        <w:t> </w:t>
      </w:r>
      <w:r>
        <w:rPr>
          <w:w w:val="115"/>
        </w:rPr>
        <w:t>noteworthy</w:t>
      </w:r>
      <w:r>
        <w:rPr>
          <w:spacing w:val="-9"/>
          <w:w w:val="115"/>
        </w:rPr>
        <w:t> </w:t>
      </w:r>
      <w:r>
        <w:rPr>
          <w:w w:val="115"/>
        </w:rPr>
        <w:t>that this mandate for the conformity of </w:t>
      </w:r>
      <w:r>
        <w:rPr>
          <w:w w:val="110"/>
        </w:rPr>
        <w:t>EU</w:t>
      </w:r>
      <w:r>
        <w:rPr>
          <w:spacing w:val="-5"/>
          <w:w w:val="110"/>
        </w:rPr>
        <w:t> </w:t>
      </w:r>
      <w:r>
        <w:rPr>
          <w:w w:val="110"/>
        </w:rPr>
        <w:t>law</w:t>
      </w:r>
      <w:r>
        <w:rPr>
          <w:spacing w:val="-5"/>
          <w:w w:val="110"/>
        </w:rPr>
        <w:t> </w:t>
      </w:r>
      <w:r>
        <w:rPr>
          <w:w w:val="110"/>
        </w:rPr>
        <w:t>interpretation</w:t>
      </w:r>
      <w:r>
        <w:rPr>
          <w:spacing w:val="-5"/>
          <w:w w:val="110"/>
        </w:rPr>
        <w:t> </w:t>
      </w:r>
      <w:r>
        <w:rPr>
          <w:w w:val="110"/>
        </w:rPr>
        <w:t>with</w:t>
      </w:r>
      <w:r>
        <w:rPr>
          <w:spacing w:val="-5"/>
          <w:w w:val="110"/>
        </w:rPr>
        <w:t> </w:t>
      </w:r>
      <w:r>
        <w:rPr>
          <w:w w:val="110"/>
        </w:rPr>
        <w:t>CJEU</w:t>
      </w:r>
      <w:r>
        <w:rPr>
          <w:spacing w:val="-5"/>
          <w:w w:val="110"/>
        </w:rPr>
        <w:t> </w:t>
      </w:r>
      <w:r>
        <w:rPr>
          <w:w w:val="110"/>
        </w:rPr>
        <w:t>case </w:t>
      </w:r>
      <w:r>
        <w:rPr>
          <w:w w:val="115"/>
        </w:rPr>
        <w:t>law</w:t>
      </w:r>
      <w:r>
        <w:rPr>
          <w:spacing w:val="-2"/>
          <w:w w:val="115"/>
        </w:rPr>
        <w:t> </w:t>
      </w:r>
      <w:r>
        <w:rPr>
          <w:w w:val="115"/>
        </w:rPr>
        <w:t>is</w:t>
      </w:r>
      <w:r>
        <w:rPr>
          <w:spacing w:val="-2"/>
          <w:w w:val="115"/>
        </w:rPr>
        <w:t> </w:t>
      </w:r>
      <w:r>
        <w:rPr>
          <w:w w:val="115"/>
        </w:rPr>
        <w:t>temporally</w:t>
      </w:r>
      <w:r>
        <w:rPr>
          <w:spacing w:val="-2"/>
          <w:w w:val="115"/>
        </w:rPr>
        <w:t> </w:t>
      </w:r>
      <w:r>
        <w:rPr>
          <w:w w:val="115"/>
        </w:rPr>
        <w:t>limited</w:t>
      </w:r>
      <w:r>
        <w:rPr>
          <w:spacing w:val="-2"/>
          <w:w w:val="115"/>
        </w:rPr>
        <w:t> </w:t>
      </w:r>
      <w:r>
        <w:rPr>
          <w:w w:val="115"/>
        </w:rPr>
        <w:t>to</w:t>
      </w:r>
      <w:r>
        <w:rPr>
          <w:spacing w:val="-2"/>
          <w:w w:val="115"/>
        </w:rPr>
        <w:t> </w:t>
      </w:r>
      <w:r>
        <w:rPr>
          <w:w w:val="115"/>
        </w:rPr>
        <w:t>case</w:t>
      </w:r>
      <w:r>
        <w:rPr>
          <w:spacing w:val="-2"/>
          <w:w w:val="115"/>
        </w:rPr>
        <w:t> </w:t>
      </w:r>
      <w:r>
        <w:rPr>
          <w:w w:val="115"/>
        </w:rPr>
        <w:t>law</w:t>
      </w:r>
    </w:p>
    <w:p>
      <w:pPr>
        <w:pStyle w:val="BodyText"/>
        <w:spacing w:line="218" w:lineRule="auto"/>
        <w:rPr>
          <w:rFonts w:ascii="Lucida Sans Unicode"/>
        </w:rPr>
      </w:pPr>
      <w:r>
        <w:rPr/>
        <w:t>handed</w:t>
      </w:r>
      <w:r>
        <w:rPr>
          <w:spacing w:val="40"/>
        </w:rPr>
        <w:t> </w:t>
      </w:r>
      <w:r>
        <w:rPr/>
        <w:t>down</w:t>
      </w:r>
      <w:r>
        <w:rPr>
          <w:spacing w:val="40"/>
        </w:rPr>
        <w:t> </w:t>
      </w:r>
      <w:r>
        <w:rPr/>
        <w:t>prior</w:t>
      </w:r>
      <w:r>
        <w:rPr>
          <w:spacing w:val="40"/>
          <w:w w:val="105"/>
        </w:rPr>
        <w:t> </w:t>
      </w:r>
      <w:r>
        <w:rPr>
          <w:w w:val="105"/>
        </w:rPr>
        <w:t>to</w:t>
      </w:r>
      <w:r>
        <w:rPr>
          <w:spacing w:val="40"/>
          <w:w w:val="105"/>
        </w:rPr>
        <w:t> </w:t>
      </w:r>
      <w:r>
        <w:rPr/>
        <w:t>the</w:t>
      </w:r>
      <w:r>
        <w:rPr>
          <w:spacing w:val="40"/>
        </w:rPr>
        <w:t> </w:t>
      </w:r>
      <w:r>
        <w:rPr/>
        <w:t>end</w:t>
      </w:r>
      <w:r>
        <w:rPr>
          <w:spacing w:val="40"/>
          <w:w w:val="105"/>
        </w:rPr>
        <w:t> </w:t>
      </w:r>
      <w:r>
        <w:rPr>
          <w:w w:val="105"/>
        </w:rPr>
        <w:t>of</w:t>
      </w:r>
      <w:r>
        <w:rPr>
          <w:spacing w:val="40"/>
          <w:w w:val="105"/>
        </w:rPr>
        <w:t> </w:t>
      </w:r>
      <w:r>
        <w:rPr/>
        <w:t>the </w:t>
      </w:r>
      <w:r>
        <w:rPr>
          <w:rFonts w:ascii="Lucida Sans Unicode"/>
        </w:rPr>
        <w:t>transition period, i.e. 31 December </w:t>
      </w:r>
      <w:r>
        <w:rPr>
          <w:rFonts w:ascii="Lucida Sans Unicode"/>
          <w:spacing w:val="-2"/>
        </w:rPr>
        <w:t>2020.</w:t>
      </w:r>
    </w:p>
    <w:p>
      <w:pPr>
        <w:pStyle w:val="BodyText"/>
        <w:spacing w:line="310" w:lineRule="exact" w:before="260"/>
        <w:ind w:right="41"/>
      </w:pPr>
      <w:r>
        <w:rPr>
          <w:spacing w:val="-4"/>
          <w:w w:val="115"/>
        </w:rPr>
        <w:t>However,</w:t>
      </w:r>
      <w:r>
        <w:rPr>
          <w:spacing w:val="-13"/>
          <w:w w:val="115"/>
        </w:rPr>
        <w:t> </w:t>
      </w:r>
      <w:r>
        <w:rPr>
          <w:spacing w:val="-4"/>
          <w:w w:val="115"/>
        </w:rPr>
        <w:t>these</w:t>
      </w:r>
      <w:r>
        <w:rPr>
          <w:spacing w:val="-13"/>
          <w:w w:val="115"/>
        </w:rPr>
        <w:t> </w:t>
      </w:r>
      <w:r>
        <w:rPr>
          <w:spacing w:val="-4"/>
          <w:w w:val="115"/>
        </w:rPr>
        <w:t>temporal</w:t>
      </w:r>
      <w:r>
        <w:rPr>
          <w:spacing w:val="-13"/>
          <w:w w:val="115"/>
        </w:rPr>
        <w:t> </w:t>
      </w:r>
      <w:r>
        <w:rPr>
          <w:spacing w:val="-4"/>
          <w:w w:val="115"/>
        </w:rPr>
        <w:t>limits</w:t>
      </w:r>
      <w:r>
        <w:rPr>
          <w:spacing w:val="-13"/>
          <w:w w:val="115"/>
        </w:rPr>
        <w:t> </w:t>
      </w:r>
      <w:r>
        <w:rPr>
          <w:spacing w:val="-4"/>
          <w:w w:val="115"/>
        </w:rPr>
        <w:t>placed </w:t>
      </w:r>
      <w:r>
        <w:rPr>
          <w:w w:val="115"/>
        </w:rPr>
        <w:t>on</w:t>
      </w:r>
      <w:r>
        <w:rPr>
          <w:spacing w:val="-18"/>
          <w:w w:val="115"/>
        </w:rPr>
        <w:t> </w:t>
      </w:r>
      <w:r>
        <w:rPr>
          <w:w w:val="115"/>
        </w:rPr>
        <w:t>the</w:t>
      </w:r>
      <w:r>
        <w:rPr>
          <w:spacing w:val="-18"/>
          <w:w w:val="115"/>
        </w:rPr>
        <w:t> </w:t>
      </w:r>
      <w:r>
        <w:rPr>
          <w:w w:val="115"/>
        </w:rPr>
        <w:t>relevance</w:t>
      </w:r>
      <w:r>
        <w:rPr>
          <w:spacing w:val="-18"/>
          <w:w w:val="115"/>
        </w:rPr>
        <w:t> </w:t>
      </w:r>
      <w:r>
        <w:rPr>
          <w:w w:val="115"/>
        </w:rPr>
        <w:t>of</w:t>
      </w:r>
      <w:r>
        <w:rPr>
          <w:spacing w:val="-18"/>
          <w:w w:val="115"/>
        </w:rPr>
        <w:t> </w:t>
      </w:r>
      <w:r>
        <w:rPr>
          <w:w w:val="115"/>
        </w:rPr>
        <w:t>CJEU</w:t>
      </w:r>
      <w:r>
        <w:rPr>
          <w:spacing w:val="-18"/>
          <w:w w:val="115"/>
        </w:rPr>
        <w:t> </w:t>
      </w:r>
      <w:r>
        <w:rPr>
          <w:w w:val="115"/>
        </w:rPr>
        <w:t>case</w:t>
      </w:r>
      <w:r>
        <w:rPr>
          <w:spacing w:val="-18"/>
          <w:w w:val="115"/>
        </w:rPr>
        <w:t> </w:t>
      </w:r>
      <w:r>
        <w:rPr>
          <w:w w:val="115"/>
        </w:rPr>
        <w:t>law</w:t>
      </w:r>
      <w:r>
        <w:rPr>
          <w:spacing w:val="-18"/>
          <w:w w:val="115"/>
        </w:rPr>
        <w:t> </w:t>
      </w:r>
      <w:r>
        <w:rPr>
          <w:w w:val="115"/>
        </w:rPr>
        <w:t>to the interpretation of EU law referred to in the Withdrawal Agreement do not</w:t>
      </w:r>
      <w:r>
        <w:rPr>
          <w:spacing w:val="-6"/>
          <w:w w:val="115"/>
        </w:rPr>
        <w:t> </w:t>
      </w:r>
      <w:r>
        <w:rPr>
          <w:w w:val="115"/>
        </w:rPr>
        <w:t>apply</w:t>
      </w:r>
      <w:r>
        <w:rPr>
          <w:spacing w:val="-6"/>
          <w:w w:val="115"/>
        </w:rPr>
        <w:t> </w:t>
      </w:r>
      <w:r>
        <w:rPr>
          <w:w w:val="115"/>
        </w:rPr>
        <w:t>to</w:t>
      </w:r>
      <w:r>
        <w:rPr>
          <w:spacing w:val="-6"/>
          <w:w w:val="115"/>
        </w:rPr>
        <w:t> </w:t>
      </w:r>
      <w:r>
        <w:rPr>
          <w:w w:val="115"/>
        </w:rPr>
        <w:t>the</w:t>
      </w:r>
      <w:r>
        <w:rPr>
          <w:spacing w:val="-6"/>
          <w:w w:val="115"/>
        </w:rPr>
        <w:t> </w:t>
      </w:r>
      <w:r>
        <w:rPr>
          <w:w w:val="115"/>
        </w:rPr>
        <w:t>Windsor</w:t>
      </w:r>
      <w:r>
        <w:rPr>
          <w:spacing w:val="-6"/>
          <w:w w:val="115"/>
        </w:rPr>
        <w:t> </w:t>
      </w:r>
      <w:r>
        <w:rPr>
          <w:w w:val="115"/>
        </w:rPr>
        <w:t>Framework. </w:t>
      </w:r>
      <w:r>
        <w:rPr>
          <w:rFonts w:ascii="Lucida Sans Unicode" w:hAnsi="Lucida Sans Unicode"/>
        </w:rPr>
        <w:t>Instead, Article 13 (2) of the Windsor </w:t>
      </w:r>
      <w:r>
        <w:rPr>
          <w:w w:val="115"/>
        </w:rPr>
        <w:t>Framework (the third relevant provision for this section) removes </w:t>
      </w:r>
      <w:r>
        <w:rPr>
          <w:rFonts w:ascii="Lucida Sans Unicode" w:hAnsi="Lucida Sans Unicode"/>
          <w:spacing w:val="-2"/>
          <w:w w:val="110"/>
        </w:rPr>
        <w:t>the</w:t>
      </w:r>
      <w:r>
        <w:rPr>
          <w:rFonts w:ascii="Lucida Sans Unicode" w:hAnsi="Lucida Sans Unicode"/>
          <w:spacing w:val="-19"/>
          <w:w w:val="110"/>
        </w:rPr>
        <w:t> </w:t>
      </w:r>
      <w:r>
        <w:rPr>
          <w:rFonts w:ascii="Lucida Sans Unicode" w:hAnsi="Lucida Sans Unicode"/>
          <w:spacing w:val="-2"/>
          <w:w w:val="110"/>
        </w:rPr>
        <w:t>temporal</w:t>
      </w:r>
      <w:r>
        <w:rPr>
          <w:rFonts w:ascii="Lucida Sans Unicode" w:hAnsi="Lucida Sans Unicode"/>
          <w:spacing w:val="-19"/>
          <w:w w:val="110"/>
        </w:rPr>
        <w:t> </w:t>
      </w:r>
      <w:r>
        <w:rPr>
          <w:rFonts w:ascii="Lucida Sans Unicode" w:hAnsi="Lucida Sans Unicode"/>
          <w:spacing w:val="-2"/>
          <w:w w:val="110"/>
        </w:rPr>
        <w:t>limit</w:t>
      </w:r>
      <w:r>
        <w:rPr>
          <w:rFonts w:ascii="Lucida Sans Unicode" w:hAnsi="Lucida Sans Unicode"/>
          <w:spacing w:val="-19"/>
          <w:w w:val="110"/>
        </w:rPr>
        <w:t> </w:t>
      </w:r>
      <w:r>
        <w:rPr>
          <w:rFonts w:ascii="Lucida Sans Unicode" w:hAnsi="Lucida Sans Unicode"/>
          <w:spacing w:val="-2"/>
          <w:w w:val="110"/>
        </w:rPr>
        <w:t>in</w:t>
      </w:r>
      <w:r>
        <w:rPr>
          <w:rFonts w:ascii="Lucida Sans Unicode" w:hAnsi="Lucida Sans Unicode"/>
          <w:spacing w:val="-19"/>
          <w:w w:val="110"/>
        </w:rPr>
        <w:t> </w:t>
      </w:r>
      <w:r>
        <w:rPr>
          <w:rFonts w:ascii="Lucida Sans Unicode" w:hAnsi="Lucida Sans Unicode"/>
          <w:spacing w:val="-2"/>
          <w:w w:val="110"/>
        </w:rPr>
        <w:t>Article</w:t>
      </w:r>
      <w:r>
        <w:rPr>
          <w:rFonts w:ascii="Lucida Sans Unicode" w:hAnsi="Lucida Sans Unicode"/>
          <w:spacing w:val="-19"/>
          <w:w w:val="110"/>
        </w:rPr>
        <w:t> </w:t>
      </w:r>
      <w:r>
        <w:rPr>
          <w:rFonts w:ascii="Lucida Sans Unicode" w:hAnsi="Lucida Sans Unicode"/>
          <w:spacing w:val="-2"/>
          <w:w w:val="110"/>
        </w:rPr>
        <w:t>4</w:t>
      </w:r>
      <w:r>
        <w:rPr>
          <w:rFonts w:ascii="Lucida Sans Unicode" w:hAnsi="Lucida Sans Unicode"/>
          <w:spacing w:val="-19"/>
          <w:w w:val="110"/>
        </w:rPr>
        <w:t> </w:t>
      </w:r>
      <w:r>
        <w:rPr>
          <w:rFonts w:ascii="Lucida Sans Unicode" w:hAnsi="Lucida Sans Unicode"/>
          <w:spacing w:val="-2"/>
          <w:w w:val="110"/>
        </w:rPr>
        <w:t>and </w:t>
      </w:r>
      <w:r>
        <w:rPr>
          <w:w w:val="115"/>
        </w:rPr>
        <w:t>mandates that ‘the provisions of this Protocol referring to Union law or to </w:t>
      </w:r>
      <w:r>
        <w:rPr>
          <w:spacing w:val="-2"/>
          <w:w w:val="115"/>
        </w:rPr>
        <w:t>concepts</w:t>
      </w:r>
      <w:r>
        <w:rPr>
          <w:spacing w:val="-14"/>
          <w:w w:val="115"/>
        </w:rPr>
        <w:t> </w:t>
      </w:r>
      <w:r>
        <w:rPr>
          <w:spacing w:val="-2"/>
          <w:w w:val="115"/>
        </w:rPr>
        <w:t>or</w:t>
      </w:r>
      <w:r>
        <w:rPr>
          <w:spacing w:val="-14"/>
          <w:w w:val="115"/>
        </w:rPr>
        <w:t> </w:t>
      </w:r>
      <w:r>
        <w:rPr>
          <w:spacing w:val="-2"/>
          <w:w w:val="115"/>
        </w:rPr>
        <w:t>provisions</w:t>
      </w:r>
      <w:r>
        <w:rPr>
          <w:spacing w:val="-14"/>
          <w:w w:val="115"/>
        </w:rPr>
        <w:t> </w:t>
      </w:r>
      <w:r>
        <w:rPr>
          <w:spacing w:val="-2"/>
          <w:w w:val="115"/>
        </w:rPr>
        <w:t>thereof</w:t>
      </w:r>
      <w:r>
        <w:rPr>
          <w:spacing w:val="-14"/>
          <w:w w:val="115"/>
        </w:rPr>
        <w:t> </w:t>
      </w:r>
      <w:r>
        <w:rPr>
          <w:spacing w:val="-2"/>
          <w:w w:val="115"/>
        </w:rPr>
        <w:t>shall</w:t>
      </w:r>
      <w:r>
        <w:rPr>
          <w:spacing w:val="-14"/>
          <w:w w:val="115"/>
        </w:rPr>
        <w:t> </w:t>
      </w:r>
      <w:r>
        <w:rPr>
          <w:spacing w:val="-2"/>
          <w:w w:val="115"/>
        </w:rPr>
        <w:t>in </w:t>
      </w:r>
      <w:r>
        <w:rPr>
          <w:w w:val="115"/>
        </w:rPr>
        <w:t>their implementation and application be interpreted in conformity with</w:t>
      </w:r>
    </w:p>
    <w:p>
      <w:pPr>
        <w:pStyle w:val="BodyText"/>
        <w:spacing w:line="271" w:lineRule="auto" w:before="32"/>
      </w:pPr>
      <w:r>
        <w:rPr>
          <w:w w:val="115"/>
        </w:rPr>
        <w:t>the</w:t>
      </w:r>
      <w:r>
        <w:rPr>
          <w:spacing w:val="-19"/>
          <w:w w:val="115"/>
        </w:rPr>
        <w:t> </w:t>
      </w:r>
      <w:r>
        <w:rPr>
          <w:w w:val="115"/>
        </w:rPr>
        <w:t>relevant</w:t>
      </w:r>
      <w:r>
        <w:rPr>
          <w:spacing w:val="-19"/>
          <w:w w:val="115"/>
        </w:rPr>
        <w:t> </w:t>
      </w:r>
      <w:r>
        <w:rPr>
          <w:w w:val="115"/>
        </w:rPr>
        <w:t>case</w:t>
      </w:r>
      <w:r>
        <w:rPr>
          <w:spacing w:val="-19"/>
          <w:w w:val="115"/>
        </w:rPr>
        <w:t> </w:t>
      </w:r>
      <w:r>
        <w:rPr>
          <w:w w:val="115"/>
        </w:rPr>
        <w:t>law</w:t>
      </w:r>
      <w:r>
        <w:rPr>
          <w:spacing w:val="-19"/>
          <w:w w:val="115"/>
        </w:rPr>
        <w:t> </w:t>
      </w:r>
      <w:r>
        <w:rPr>
          <w:w w:val="115"/>
        </w:rPr>
        <w:t>of</w:t>
      </w:r>
      <w:r>
        <w:rPr>
          <w:spacing w:val="-19"/>
          <w:w w:val="115"/>
        </w:rPr>
        <w:t> </w:t>
      </w:r>
      <w:r>
        <w:rPr>
          <w:w w:val="115"/>
        </w:rPr>
        <w:t>the</w:t>
      </w:r>
      <w:r>
        <w:rPr>
          <w:spacing w:val="-19"/>
          <w:w w:val="115"/>
        </w:rPr>
        <w:t> </w:t>
      </w:r>
      <w:r>
        <w:rPr>
          <w:w w:val="115"/>
        </w:rPr>
        <w:t>Court</w:t>
      </w:r>
      <w:r>
        <w:rPr>
          <w:spacing w:val="-19"/>
          <w:w w:val="115"/>
        </w:rPr>
        <w:t> </w:t>
      </w:r>
      <w:r>
        <w:rPr>
          <w:w w:val="115"/>
        </w:rPr>
        <w:t>of Justice of the European Union’.</w:t>
      </w:r>
    </w:p>
    <w:p>
      <w:pPr>
        <w:pStyle w:val="BodyText"/>
        <w:spacing w:line="318" w:lineRule="exact" w:before="43"/>
        <w:ind w:right="416"/>
      </w:pPr>
      <w:r>
        <w:rPr/>
        <w:br w:type="column"/>
      </w:r>
      <w:r>
        <w:rPr>
          <w:rFonts w:ascii="Lucida Sans Unicode"/>
        </w:rPr>
        <w:t>The</w:t>
      </w:r>
      <w:r>
        <w:rPr>
          <w:rFonts w:ascii="Lucida Sans Unicode"/>
          <w:spacing w:val="-7"/>
        </w:rPr>
        <w:t> </w:t>
      </w:r>
      <w:r>
        <w:rPr>
          <w:rFonts w:ascii="Lucida Sans Unicode"/>
        </w:rPr>
        <w:t>fourth</w:t>
      </w:r>
      <w:r>
        <w:rPr>
          <w:rFonts w:ascii="Lucida Sans Unicode"/>
          <w:spacing w:val="-7"/>
        </w:rPr>
        <w:t> </w:t>
      </w:r>
      <w:r>
        <w:rPr>
          <w:rFonts w:ascii="Lucida Sans Unicode"/>
        </w:rPr>
        <w:t>provision</w:t>
      </w:r>
      <w:r>
        <w:rPr>
          <w:rFonts w:ascii="Lucida Sans Unicode"/>
          <w:spacing w:val="-7"/>
        </w:rPr>
        <w:t> </w:t>
      </w:r>
      <w:r>
        <w:rPr>
          <w:rFonts w:ascii="Lucida Sans Unicode"/>
        </w:rPr>
        <w:t>is</w:t>
      </w:r>
      <w:r>
        <w:rPr>
          <w:rFonts w:ascii="Lucida Sans Unicode"/>
          <w:spacing w:val="-7"/>
        </w:rPr>
        <w:t> </w:t>
      </w:r>
      <w:r>
        <w:rPr>
          <w:rFonts w:ascii="Lucida Sans Unicode"/>
        </w:rPr>
        <w:t>Article</w:t>
      </w:r>
      <w:r>
        <w:rPr>
          <w:rFonts w:ascii="Lucida Sans Unicode"/>
          <w:spacing w:val="-7"/>
        </w:rPr>
        <w:t> </w:t>
      </w:r>
      <w:r>
        <w:rPr>
          <w:rFonts w:ascii="Lucida Sans Unicode"/>
        </w:rPr>
        <w:t>13</w:t>
      </w:r>
      <w:r>
        <w:rPr>
          <w:rFonts w:ascii="Lucida Sans Unicode"/>
          <w:spacing w:val="-7"/>
        </w:rPr>
        <w:t> </w:t>
      </w:r>
      <w:r>
        <w:rPr>
          <w:rFonts w:ascii="Lucida Sans Unicode"/>
        </w:rPr>
        <w:t>(3), </w:t>
      </w:r>
      <w:r>
        <w:rPr>
          <w:w w:val="110"/>
        </w:rPr>
        <w:t>which further creates an obligation</w:t>
      </w:r>
      <w:r>
        <w:rPr>
          <w:spacing w:val="80"/>
          <w:w w:val="110"/>
        </w:rPr>
        <w:t> </w:t>
      </w:r>
      <w:r>
        <w:rPr>
          <w:w w:val="110"/>
        </w:rPr>
        <w:t>of dynamic alignment between the UK and the EU for certain EU acts</w:t>
      </w:r>
    </w:p>
    <w:p>
      <w:pPr>
        <w:pStyle w:val="BodyText"/>
        <w:spacing w:line="264" w:lineRule="auto" w:before="25"/>
        <w:ind w:right="170"/>
        <w:rPr>
          <w:rFonts w:ascii="Lucida Sans Unicode"/>
        </w:rPr>
      </w:pPr>
      <w:r>
        <w:rPr>
          <w:w w:val="110"/>
        </w:rPr>
        <w:t>referred to in the Windsor </w:t>
      </w:r>
      <w:r>
        <w:rPr>
          <w:w w:val="110"/>
        </w:rPr>
        <w:t>Framework. The </w:t>
      </w:r>
      <w:r>
        <w:rPr>
          <w:rFonts w:ascii="Verdana"/>
          <w:i/>
          <w:w w:val="110"/>
        </w:rPr>
        <w:t>general </w:t>
      </w:r>
      <w:r>
        <w:rPr>
          <w:w w:val="110"/>
        </w:rPr>
        <w:t>requirement of dynamic alignment covers all EU acts referred to in the Windsor Framework except </w:t>
      </w:r>
      <w:r>
        <w:rPr>
          <w:rFonts w:ascii="Lucida Sans Unicode"/>
        </w:rPr>
        <w:t>for the following: in Annex 2, the first</w:t>
      </w:r>
    </w:p>
    <w:p>
      <w:pPr>
        <w:pStyle w:val="BodyText"/>
        <w:spacing w:line="224" w:lineRule="exact"/>
      </w:pPr>
      <w:r>
        <w:rPr>
          <w:w w:val="105"/>
        </w:rPr>
        <w:t>indent</w:t>
      </w:r>
      <w:r>
        <w:rPr>
          <w:spacing w:val="25"/>
          <w:w w:val="105"/>
        </w:rPr>
        <w:t> </w:t>
      </w:r>
      <w:r>
        <w:rPr>
          <w:w w:val="105"/>
        </w:rPr>
        <w:t>of</w:t>
      </w:r>
      <w:r>
        <w:rPr>
          <w:spacing w:val="26"/>
          <w:w w:val="105"/>
        </w:rPr>
        <w:t> </w:t>
      </w:r>
      <w:r>
        <w:rPr>
          <w:w w:val="105"/>
        </w:rPr>
        <w:t>heading</w:t>
      </w:r>
      <w:r>
        <w:rPr>
          <w:spacing w:val="26"/>
          <w:w w:val="105"/>
        </w:rPr>
        <w:t> </w:t>
      </w:r>
      <w:r>
        <w:rPr/>
        <w:t>1</w:t>
      </w:r>
      <w:r>
        <w:rPr>
          <w:spacing w:val="26"/>
          <w:w w:val="105"/>
        </w:rPr>
        <w:t> </w:t>
      </w:r>
      <w:r>
        <w:rPr>
          <w:w w:val="105"/>
        </w:rPr>
        <w:t>and</w:t>
      </w:r>
      <w:r>
        <w:rPr>
          <w:spacing w:val="26"/>
          <w:w w:val="105"/>
        </w:rPr>
        <w:t> </w:t>
      </w:r>
      <w:r>
        <w:rPr>
          <w:w w:val="105"/>
        </w:rPr>
        <w:t>all</w:t>
      </w:r>
      <w:r>
        <w:rPr>
          <w:spacing w:val="26"/>
          <w:w w:val="105"/>
        </w:rPr>
        <w:t> </w:t>
      </w:r>
      <w:r>
        <w:rPr>
          <w:spacing w:val="-2"/>
          <w:w w:val="105"/>
        </w:rPr>
        <w:t>indents</w:t>
      </w:r>
    </w:p>
    <w:p>
      <w:pPr>
        <w:pStyle w:val="BodyText"/>
        <w:spacing w:line="235" w:lineRule="auto" w:before="8"/>
        <w:ind w:right="538"/>
      </w:pPr>
      <w:r>
        <w:rPr>
          <w:rFonts w:ascii="Lucida Sans Unicode"/>
        </w:rPr>
        <w:t>of headings 7-47; and the third </w:t>
      </w:r>
      <w:r>
        <w:rPr>
          <w:w w:val="110"/>
        </w:rPr>
        <w:t>subparagraph of Article 5(1) of </w:t>
      </w:r>
      <w:r>
        <w:rPr>
          <w:w w:val="110"/>
        </w:rPr>
        <w:t>the Windsor Framework.</w:t>
      </w:r>
      <w:r>
        <w:rPr>
          <w:rFonts w:ascii="Lucida Sans Unicode"/>
          <w:w w:val="110"/>
          <w:vertAlign w:val="superscript"/>
        </w:rPr>
        <w:t>121</w:t>
      </w:r>
      <w:r>
        <w:rPr>
          <w:rFonts w:ascii="Lucida Sans Unicode"/>
          <w:w w:val="110"/>
          <w:vertAlign w:val="baseline"/>
        </w:rPr>
        <w:t> </w:t>
      </w:r>
      <w:r>
        <w:rPr>
          <w:w w:val="110"/>
          <w:vertAlign w:val="baseline"/>
        </w:rPr>
        <w:t>The listed EU acts which are excepted from</w:t>
      </w:r>
    </w:p>
    <w:p>
      <w:pPr>
        <w:pStyle w:val="BodyText"/>
        <w:spacing w:line="252" w:lineRule="auto" w:before="38"/>
        <w:ind w:right="216"/>
        <w:rPr>
          <w:rFonts w:ascii="Lucida Sans Unicode" w:hAnsi="Lucida Sans Unicode"/>
        </w:rPr>
      </w:pPr>
      <w:r>
        <w:rPr>
          <w:w w:val="110"/>
        </w:rPr>
        <w:t>general dynamic alignment as regards Northern Ireland are only excepted to the extent that the UK Government </w:t>
      </w:r>
      <w:r>
        <w:rPr>
          <w:rFonts w:ascii="Lucida Sans Unicode" w:hAnsi="Lucida Sans Unicode"/>
          <w:w w:val="110"/>
        </w:rPr>
        <w:t>notifies</w:t>
      </w:r>
      <w:r>
        <w:rPr>
          <w:rFonts w:ascii="Lucida Sans Unicode" w:hAnsi="Lucida Sans Unicode"/>
          <w:spacing w:val="-21"/>
          <w:w w:val="110"/>
        </w:rPr>
        <w:t> </w:t>
      </w:r>
      <w:r>
        <w:rPr>
          <w:rFonts w:ascii="Lucida Sans Unicode" w:hAnsi="Lucida Sans Unicode"/>
          <w:w w:val="110"/>
        </w:rPr>
        <w:t>the</w:t>
      </w:r>
      <w:r>
        <w:rPr>
          <w:rFonts w:ascii="Lucida Sans Unicode" w:hAnsi="Lucida Sans Unicode"/>
          <w:spacing w:val="-21"/>
          <w:w w:val="110"/>
        </w:rPr>
        <w:t> </w:t>
      </w:r>
      <w:r>
        <w:rPr>
          <w:rFonts w:ascii="Lucida Sans Unicode" w:hAnsi="Lucida Sans Unicode"/>
          <w:w w:val="110"/>
        </w:rPr>
        <w:t>EU</w:t>
      </w:r>
      <w:r>
        <w:rPr>
          <w:rFonts w:ascii="Lucida Sans Unicode" w:hAnsi="Lucida Sans Unicode"/>
          <w:spacing w:val="-21"/>
          <w:w w:val="110"/>
        </w:rPr>
        <w:t> </w:t>
      </w:r>
      <w:r>
        <w:rPr>
          <w:rFonts w:ascii="Lucida Sans Unicode" w:hAnsi="Lucida Sans Unicode"/>
          <w:w w:val="110"/>
        </w:rPr>
        <w:t>that</w:t>
      </w:r>
      <w:r>
        <w:rPr>
          <w:rFonts w:ascii="Lucida Sans Unicode" w:hAnsi="Lucida Sans Unicode"/>
          <w:spacing w:val="-21"/>
          <w:w w:val="110"/>
        </w:rPr>
        <w:t> </w:t>
      </w:r>
      <w:r>
        <w:rPr>
          <w:rFonts w:ascii="Lucida Sans Unicode" w:hAnsi="Lucida Sans Unicode"/>
          <w:w w:val="110"/>
        </w:rPr>
        <w:t>the</w:t>
      </w:r>
      <w:r>
        <w:rPr>
          <w:rFonts w:ascii="Lucida Sans Unicode" w:hAnsi="Lucida Sans Unicode"/>
          <w:spacing w:val="-21"/>
          <w:w w:val="110"/>
        </w:rPr>
        <w:t> </w:t>
      </w:r>
      <w:r>
        <w:rPr>
          <w:rFonts w:ascii="Lucida Sans Unicode" w:hAnsi="Lucida Sans Unicode"/>
          <w:w w:val="110"/>
        </w:rPr>
        <w:t>Northern </w:t>
      </w:r>
      <w:r>
        <w:rPr>
          <w:w w:val="110"/>
        </w:rPr>
        <w:t>Ireland Assembly has validly </w:t>
      </w:r>
      <w:r>
        <w:rPr>
          <w:w w:val="110"/>
        </w:rPr>
        <w:t>triggered an emergency brake (referred to </w:t>
      </w:r>
      <w:r>
        <w:rPr>
          <w:rFonts w:ascii="Lucida Sans Unicode" w:hAnsi="Lucida Sans Unicode"/>
        </w:rPr>
        <w:t>colloquially as the ‘Stormont brake’ – </w:t>
      </w:r>
      <w:r>
        <w:rPr>
          <w:w w:val="110"/>
        </w:rPr>
        <w:t>discussed in Chapter 5) with respect</w:t>
      </w:r>
      <w:r>
        <w:rPr>
          <w:spacing w:val="80"/>
          <w:w w:val="110"/>
        </w:rPr>
        <w:t> </w:t>
      </w:r>
      <w:r>
        <w:rPr>
          <w:w w:val="110"/>
        </w:rPr>
        <w:t>to the listed EU acts above.</w:t>
      </w:r>
      <w:r>
        <w:rPr>
          <w:rFonts w:ascii="Lucida Sans Unicode" w:hAnsi="Lucida Sans Unicode"/>
          <w:w w:val="110"/>
          <w:vertAlign w:val="superscript"/>
        </w:rPr>
        <w:t>122</w:t>
      </w:r>
    </w:p>
    <w:p>
      <w:pPr>
        <w:pStyle w:val="Heading3"/>
        <w:numPr>
          <w:ilvl w:val="0"/>
          <w:numId w:val="9"/>
        </w:numPr>
        <w:tabs>
          <w:tab w:pos="474" w:val="left" w:leader="none"/>
        </w:tabs>
        <w:spacing w:line="256" w:lineRule="auto" w:before="248" w:after="0"/>
        <w:ind w:left="113" w:right="501" w:firstLine="0"/>
        <w:jc w:val="left"/>
      </w:pPr>
      <w:r>
        <w:rPr>
          <w:color w:val="77328A"/>
        </w:rPr>
        <w:t>The architecture and consequences of the </w:t>
      </w:r>
      <w:r>
        <w:rPr>
          <w:color w:val="77328A"/>
        </w:rPr>
        <w:t>EUWA and REULA</w:t>
      </w:r>
    </w:p>
    <w:p>
      <w:pPr>
        <w:pStyle w:val="ListParagraph"/>
        <w:numPr>
          <w:ilvl w:val="1"/>
          <w:numId w:val="9"/>
        </w:numPr>
        <w:tabs>
          <w:tab w:pos="395" w:val="left" w:leader="none"/>
        </w:tabs>
        <w:spacing w:line="318" w:lineRule="exact" w:before="144" w:after="0"/>
        <w:ind w:left="113" w:right="198" w:firstLine="0"/>
        <w:jc w:val="left"/>
        <w:rPr>
          <w:rFonts w:ascii="Arial" w:hAnsi="Arial"/>
          <w:sz w:val="24"/>
        </w:rPr>
      </w:pPr>
      <w:r>
        <w:rPr>
          <w:rFonts w:ascii="Tahoma" w:hAnsi="Tahoma"/>
          <w:b/>
          <w:color w:val="77328A"/>
          <w:sz w:val="24"/>
        </w:rPr>
        <w:t>The statutory provisions and text </w:t>
      </w:r>
      <w:r>
        <w:rPr>
          <w:rFonts w:ascii="Arial" w:hAnsi="Arial"/>
          <w:w w:val="110"/>
          <w:sz w:val="24"/>
        </w:rPr>
        <w:t>The</w:t>
      </w:r>
      <w:r>
        <w:rPr>
          <w:rFonts w:ascii="Arial" w:hAnsi="Arial"/>
          <w:spacing w:val="40"/>
          <w:w w:val="110"/>
          <w:sz w:val="24"/>
        </w:rPr>
        <w:t> </w:t>
      </w:r>
      <w:r>
        <w:rPr>
          <w:rFonts w:ascii="Arial" w:hAnsi="Arial"/>
          <w:w w:val="110"/>
          <w:sz w:val="24"/>
        </w:rPr>
        <w:t>European</w:t>
      </w:r>
      <w:r>
        <w:rPr>
          <w:rFonts w:ascii="Arial" w:hAnsi="Arial"/>
          <w:spacing w:val="40"/>
          <w:w w:val="110"/>
          <w:sz w:val="24"/>
        </w:rPr>
        <w:t> </w:t>
      </w:r>
      <w:r>
        <w:rPr>
          <w:rFonts w:ascii="Arial" w:hAnsi="Arial"/>
          <w:w w:val="110"/>
          <w:sz w:val="24"/>
        </w:rPr>
        <w:t>Union</w:t>
      </w:r>
      <w:r>
        <w:rPr>
          <w:rFonts w:ascii="Arial" w:hAnsi="Arial"/>
          <w:spacing w:val="40"/>
          <w:w w:val="110"/>
          <w:sz w:val="24"/>
        </w:rPr>
        <w:t> </w:t>
      </w:r>
      <w:r>
        <w:rPr>
          <w:rFonts w:ascii="Arial" w:hAnsi="Arial"/>
          <w:w w:val="110"/>
          <w:sz w:val="24"/>
        </w:rPr>
        <w:t>(Withdrawal) </w:t>
      </w:r>
      <w:r>
        <w:rPr>
          <w:sz w:val="24"/>
        </w:rPr>
        <w:t>Act 2018 (‘EUWA’) facilitated the </w:t>
      </w:r>
      <w:r>
        <w:rPr>
          <w:sz w:val="24"/>
        </w:rPr>
        <w:t>UK’s </w:t>
      </w:r>
      <w:r>
        <w:rPr>
          <w:rFonts w:ascii="Arial" w:hAnsi="Arial"/>
          <w:w w:val="110"/>
          <w:sz w:val="24"/>
        </w:rPr>
        <w:t>withdrawal from the EU in domestic law. It repealed the European </w:t>
      </w:r>
      <w:r>
        <w:rPr>
          <w:sz w:val="24"/>
        </w:rPr>
        <w:t>Communities Act 1972, section 2 of </w:t>
      </w:r>
      <w:r>
        <w:rPr>
          <w:rFonts w:ascii="Arial" w:hAnsi="Arial"/>
          <w:w w:val="110"/>
          <w:sz w:val="24"/>
        </w:rPr>
        <w:t>which had given effect to EU law</w:t>
      </w:r>
    </w:p>
    <w:p>
      <w:pPr>
        <w:pStyle w:val="BodyText"/>
        <w:spacing w:line="276" w:lineRule="auto" w:before="23"/>
        <w:ind w:right="266"/>
      </w:pPr>
      <w:r>
        <w:rPr>
          <w:w w:val="110"/>
        </w:rPr>
        <w:t>in the dualist UK legal order; and it saved most of the EU law that was then in effect in the UK as </w:t>
      </w:r>
      <w:r>
        <w:rPr>
          <w:w w:val="110"/>
        </w:rPr>
        <w:t>so-called ‘retained</w:t>
      </w:r>
      <w:r>
        <w:rPr>
          <w:spacing w:val="-3"/>
          <w:w w:val="110"/>
        </w:rPr>
        <w:t> </w:t>
      </w:r>
      <w:r>
        <w:rPr>
          <w:w w:val="110"/>
        </w:rPr>
        <w:t>EU</w:t>
      </w:r>
      <w:r>
        <w:rPr>
          <w:spacing w:val="-3"/>
          <w:w w:val="110"/>
        </w:rPr>
        <w:t> </w:t>
      </w:r>
      <w:r>
        <w:rPr>
          <w:w w:val="110"/>
        </w:rPr>
        <w:t>law.’</w:t>
      </w:r>
      <w:r>
        <w:rPr>
          <w:spacing w:val="-3"/>
          <w:w w:val="110"/>
        </w:rPr>
        <w:t> </w:t>
      </w:r>
      <w:r>
        <w:rPr>
          <w:w w:val="110"/>
        </w:rPr>
        <w:t>‘Retained</w:t>
      </w:r>
      <w:r>
        <w:rPr>
          <w:spacing w:val="-3"/>
          <w:w w:val="110"/>
        </w:rPr>
        <w:t> </w:t>
      </w:r>
      <w:r>
        <w:rPr>
          <w:w w:val="110"/>
        </w:rPr>
        <w:t>EU</w:t>
      </w:r>
      <w:r>
        <w:rPr>
          <w:spacing w:val="-3"/>
          <w:w w:val="110"/>
        </w:rPr>
        <w:t> </w:t>
      </w:r>
      <w:r>
        <w:rPr>
          <w:w w:val="110"/>
        </w:rPr>
        <w:t>law’ thus referred under the EUWA to those aspects of EU law available</w:t>
      </w:r>
    </w:p>
    <w:p>
      <w:pPr>
        <w:spacing w:after="0" w:line="276" w:lineRule="auto"/>
        <w:sectPr>
          <w:type w:val="continuous"/>
          <w:pgSz w:w="11910" w:h="16840"/>
          <w:pgMar w:header="568" w:footer="580" w:top="0" w:bottom="280" w:left="1020" w:right="1020"/>
          <w:cols w:num="2" w:equalWidth="0">
            <w:col w:w="4726" w:space="319"/>
            <w:col w:w="4825"/>
          </w:cols>
        </w:sectPr>
      </w:pPr>
    </w:p>
    <w:p>
      <w:pPr>
        <w:pStyle w:val="BodyText"/>
        <w:ind w:left="0"/>
        <w:rPr>
          <w:sz w:val="13"/>
        </w:rPr>
      </w:pPr>
    </w:p>
    <w:p>
      <w:pPr>
        <w:pStyle w:val="BodyText"/>
        <w:spacing w:line="20" w:lineRule="exact"/>
        <w:rPr>
          <w:sz w:val="2"/>
        </w:rPr>
      </w:pPr>
      <w:r>
        <w:rPr>
          <w:sz w:val="2"/>
        </w:rPr>
        <mc:AlternateContent>
          <mc:Choice Requires="wps">
            <w:drawing>
              <wp:inline distT="0" distB="0" distL="0" distR="0">
                <wp:extent cx="6120130" cy="6350"/>
                <wp:effectExtent l="9525" t="0" r="0" b="3175"/>
                <wp:docPr id="103" name="Group 103"/>
                <wp:cNvGraphicFramePr>
                  <a:graphicFrameLocks/>
                </wp:cNvGraphicFramePr>
                <a:graphic>
                  <a:graphicData uri="http://schemas.microsoft.com/office/word/2010/wordprocessingGroup">
                    <wpg:wgp>
                      <wpg:cNvPr id="103" name="Group 103"/>
                      <wpg:cNvGrpSpPr/>
                      <wpg:grpSpPr>
                        <a:xfrm>
                          <a:off x="0" y="0"/>
                          <a:ext cx="6120130" cy="6350"/>
                          <a:chExt cx="6120130" cy="6350"/>
                        </a:xfrm>
                      </wpg:grpSpPr>
                      <wps:wsp>
                        <wps:cNvPr id="104" name="Graphic 104"/>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70"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7" w:val="left" w:leader="none"/>
        </w:tabs>
        <w:spacing w:line="223" w:lineRule="exact" w:before="61" w:after="0"/>
        <w:ind w:left="567" w:right="0" w:hanging="454"/>
        <w:jc w:val="left"/>
        <w:rPr>
          <w:sz w:val="16"/>
        </w:rPr>
      </w:pPr>
      <w:r>
        <w:rPr>
          <w:w w:val="105"/>
          <w:sz w:val="16"/>
        </w:rPr>
        <w:t>See</w:t>
      </w:r>
      <w:r>
        <w:rPr>
          <w:spacing w:val="-10"/>
          <w:w w:val="105"/>
          <w:sz w:val="16"/>
        </w:rPr>
        <w:t> </w:t>
      </w:r>
      <w:r>
        <w:rPr>
          <w:w w:val="105"/>
          <w:sz w:val="16"/>
        </w:rPr>
        <w:t>WF,</w:t>
      </w:r>
      <w:r>
        <w:rPr>
          <w:spacing w:val="-9"/>
          <w:w w:val="105"/>
          <w:sz w:val="16"/>
        </w:rPr>
        <w:t> </w:t>
      </w:r>
      <w:r>
        <w:rPr>
          <w:w w:val="105"/>
          <w:sz w:val="16"/>
        </w:rPr>
        <w:t>Article</w:t>
      </w:r>
      <w:r>
        <w:rPr>
          <w:spacing w:val="-9"/>
          <w:w w:val="105"/>
          <w:sz w:val="16"/>
        </w:rPr>
        <w:t> </w:t>
      </w:r>
      <w:r>
        <w:rPr>
          <w:w w:val="105"/>
          <w:sz w:val="16"/>
        </w:rPr>
        <w:t>13(3a)</w:t>
      </w:r>
      <w:r>
        <w:rPr>
          <w:spacing w:val="-9"/>
          <w:w w:val="105"/>
          <w:sz w:val="16"/>
        </w:rPr>
        <w:t> </w:t>
      </w:r>
      <w:r>
        <w:rPr>
          <w:w w:val="105"/>
          <w:sz w:val="16"/>
        </w:rPr>
        <w:t>(final</w:t>
      </w:r>
      <w:r>
        <w:rPr>
          <w:spacing w:val="-9"/>
          <w:w w:val="105"/>
          <w:sz w:val="16"/>
        </w:rPr>
        <w:t> </w:t>
      </w:r>
      <w:r>
        <w:rPr>
          <w:spacing w:val="-2"/>
          <w:w w:val="105"/>
          <w:sz w:val="16"/>
        </w:rPr>
        <w:t>subparagraph).</w:t>
      </w:r>
    </w:p>
    <w:p>
      <w:pPr>
        <w:pStyle w:val="ListParagraph"/>
        <w:numPr>
          <w:ilvl w:val="0"/>
          <w:numId w:val="6"/>
        </w:numPr>
        <w:tabs>
          <w:tab w:pos="567" w:val="left" w:leader="none"/>
        </w:tabs>
        <w:spacing w:line="206" w:lineRule="auto" w:before="2" w:after="0"/>
        <w:ind w:left="567" w:right="373" w:hanging="454"/>
        <w:jc w:val="left"/>
        <w:rPr>
          <w:sz w:val="16"/>
        </w:rPr>
      </w:pPr>
      <w:r>
        <w:rPr>
          <w:rFonts w:ascii="Verdana"/>
          <w:i/>
          <w:w w:val="105"/>
          <w:sz w:val="16"/>
        </w:rPr>
        <w:t>Ibid</w:t>
      </w:r>
      <w:r>
        <w:rPr>
          <w:w w:val="105"/>
          <w:sz w:val="16"/>
        </w:rPr>
        <w:t>.,</w:t>
      </w:r>
      <w:r>
        <w:rPr>
          <w:spacing w:val="-7"/>
          <w:w w:val="105"/>
          <w:sz w:val="16"/>
        </w:rPr>
        <w:t> </w:t>
      </w:r>
      <w:r>
        <w:rPr>
          <w:w w:val="105"/>
          <w:sz w:val="16"/>
        </w:rPr>
        <w:t>the</w:t>
      </w:r>
      <w:r>
        <w:rPr>
          <w:spacing w:val="-7"/>
          <w:w w:val="105"/>
          <w:sz w:val="16"/>
        </w:rPr>
        <w:t> </w:t>
      </w:r>
      <w:r>
        <w:rPr>
          <w:w w:val="105"/>
          <w:sz w:val="16"/>
        </w:rPr>
        <w:t>first</w:t>
      </w:r>
      <w:r>
        <w:rPr>
          <w:spacing w:val="-7"/>
          <w:w w:val="105"/>
          <w:sz w:val="16"/>
        </w:rPr>
        <w:t> </w:t>
      </w:r>
      <w:r>
        <w:rPr>
          <w:w w:val="105"/>
          <w:sz w:val="16"/>
        </w:rPr>
        <w:t>subparagraph</w:t>
      </w:r>
      <w:r>
        <w:rPr>
          <w:spacing w:val="-7"/>
          <w:w w:val="105"/>
          <w:sz w:val="16"/>
        </w:rPr>
        <w:t> </w:t>
      </w:r>
      <w:r>
        <w:rPr>
          <w:w w:val="105"/>
          <w:sz w:val="16"/>
        </w:rPr>
        <w:t>in</w:t>
      </w:r>
      <w:r>
        <w:rPr>
          <w:spacing w:val="-7"/>
          <w:w w:val="105"/>
          <w:sz w:val="16"/>
        </w:rPr>
        <w:t> </w:t>
      </w:r>
      <w:r>
        <w:rPr>
          <w:w w:val="105"/>
          <w:sz w:val="16"/>
        </w:rPr>
        <w:t>relation</w:t>
      </w:r>
      <w:r>
        <w:rPr>
          <w:spacing w:val="-7"/>
          <w:w w:val="105"/>
          <w:sz w:val="16"/>
        </w:rPr>
        <w:t> </w:t>
      </w:r>
      <w:r>
        <w:rPr>
          <w:w w:val="105"/>
          <w:sz w:val="16"/>
        </w:rPr>
        <w:t>to</w:t>
      </w:r>
      <w:r>
        <w:rPr>
          <w:spacing w:val="-7"/>
          <w:w w:val="105"/>
          <w:sz w:val="16"/>
        </w:rPr>
        <w:t> </w:t>
      </w:r>
      <w:r>
        <w:rPr>
          <w:w w:val="105"/>
          <w:sz w:val="16"/>
        </w:rPr>
        <w:t>whole</w:t>
      </w:r>
      <w:r>
        <w:rPr>
          <w:spacing w:val="-7"/>
          <w:w w:val="105"/>
          <w:sz w:val="16"/>
        </w:rPr>
        <w:t> </w:t>
      </w:r>
      <w:r>
        <w:rPr>
          <w:w w:val="105"/>
          <w:sz w:val="16"/>
        </w:rPr>
        <w:t>EU</w:t>
      </w:r>
      <w:r>
        <w:rPr>
          <w:spacing w:val="-7"/>
          <w:w w:val="105"/>
          <w:sz w:val="16"/>
        </w:rPr>
        <w:t> </w:t>
      </w:r>
      <w:r>
        <w:rPr>
          <w:w w:val="105"/>
          <w:sz w:val="16"/>
        </w:rPr>
        <w:t>acts</w:t>
      </w:r>
      <w:r>
        <w:rPr>
          <w:spacing w:val="-7"/>
          <w:w w:val="105"/>
          <w:sz w:val="16"/>
        </w:rPr>
        <w:t> </w:t>
      </w:r>
      <w:r>
        <w:rPr>
          <w:w w:val="105"/>
          <w:sz w:val="16"/>
        </w:rPr>
        <w:t>which</w:t>
      </w:r>
      <w:r>
        <w:rPr>
          <w:spacing w:val="-7"/>
          <w:w w:val="105"/>
          <w:sz w:val="16"/>
        </w:rPr>
        <w:t> </w:t>
      </w:r>
      <w:r>
        <w:rPr>
          <w:w w:val="105"/>
          <w:sz w:val="16"/>
        </w:rPr>
        <w:t>amend</w:t>
      </w:r>
      <w:r>
        <w:rPr>
          <w:spacing w:val="-7"/>
          <w:w w:val="105"/>
          <w:sz w:val="16"/>
        </w:rPr>
        <w:t> </w:t>
      </w:r>
      <w:r>
        <w:rPr>
          <w:w w:val="105"/>
          <w:sz w:val="16"/>
        </w:rPr>
        <w:t>or</w:t>
      </w:r>
      <w:r>
        <w:rPr>
          <w:spacing w:val="-7"/>
          <w:w w:val="105"/>
          <w:sz w:val="16"/>
        </w:rPr>
        <w:t> </w:t>
      </w:r>
      <w:r>
        <w:rPr>
          <w:w w:val="105"/>
          <w:sz w:val="16"/>
        </w:rPr>
        <w:t>replace</w:t>
      </w:r>
      <w:r>
        <w:rPr>
          <w:spacing w:val="-7"/>
          <w:w w:val="105"/>
          <w:sz w:val="16"/>
        </w:rPr>
        <w:t> </w:t>
      </w:r>
      <w:r>
        <w:rPr>
          <w:w w:val="105"/>
          <w:sz w:val="16"/>
        </w:rPr>
        <w:t>the</w:t>
      </w:r>
      <w:r>
        <w:rPr>
          <w:spacing w:val="-7"/>
          <w:w w:val="105"/>
          <w:sz w:val="16"/>
        </w:rPr>
        <w:t> </w:t>
      </w:r>
      <w:r>
        <w:rPr>
          <w:w w:val="105"/>
          <w:sz w:val="16"/>
        </w:rPr>
        <w:t>listed</w:t>
      </w:r>
      <w:r>
        <w:rPr>
          <w:spacing w:val="-7"/>
          <w:w w:val="105"/>
          <w:sz w:val="16"/>
        </w:rPr>
        <w:t> </w:t>
      </w:r>
      <w:r>
        <w:rPr>
          <w:w w:val="105"/>
          <w:sz w:val="16"/>
        </w:rPr>
        <w:t>EU</w:t>
      </w:r>
      <w:r>
        <w:rPr>
          <w:spacing w:val="-7"/>
          <w:w w:val="105"/>
          <w:sz w:val="16"/>
        </w:rPr>
        <w:t> </w:t>
      </w:r>
      <w:r>
        <w:rPr>
          <w:w w:val="105"/>
          <w:sz w:val="16"/>
        </w:rPr>
        <w:t>acts</w:t>
      </w:r>
      <w:r>
        <w:rPr>
          <w:spacing w:val="-7"/>
          <w:w w:val="105"/>
          <w:sz w:val="16"/>
        </w:rPr>
        <w:t> </w:t>
      </w:r>
      <w:r>
        <w:rPr>
          <w:w w:val="105"/>
          <w:sz w:val="16"/>
        </w:rPr>
        <w:t>under</w:t>
      </w:r>
      <w:r>
        <w:rPr>
          <w:spacing w:val="-7"/>
          <w:w w:val="105"/>
          <w:sz w:val="16"/>
        </w:rPr>
        <w:t> </w:t>
      </w:r>
      <w:r>
        <w:rPr>
          <w:w w:val="105"/>
          <w:sz w:val="16"/>
        </w:rPr>
        <w:t>the Windsor</w:t>
      </w:r>
      <w:r>
        <w:rPr>
          <w:spacing w:val="-14"/>
          <w:w w:val="105"/>
          <w:sz w:val="16"/>
        </w:rPr>
        <w:t> </w:t>
      </w:r>
      <w:r>
        <w:rPr>
          <w:w w:val="105"/>
          <w:sz w:val="16"/>
        </w:rPr>
        <w:t>Framework,</w:t>
      </w:r>
      <w:r>
        <w:rPr>
          <w:spacing w:val="-13"/>
          <w:w w:val="105"/>
          <w:sz w:val="16"/>
        </w:rPr>
        <w:t> </w:t>
      </w:r>
      <w:r>
        <w:rPr>
          <w:w w:val="105"/>
          <w:sz w:val="16"/>
        </w:rPr>
        <w:t>and</w:t>
      </w:r>
      <w:r>
        <w:rPr>
          <w:spacing w:val="-13"/>
          <w:w w:val="105"/>
          <w:sz w:val="16"/>
        </w:rPr>
        <w:t> </w:t>
      </w:r>
      <w:r>
        <w:rPr>
          <w:w w:val="105"/>
          <w:sz w:val="16"/>
        </w:rPr>
        <w:t>the</w:t>
      </w:r>
      <w:r>
        <w:rPr>
          <w:spacing w:val="-14"/>
          <w:w w:val="105"/>
          <w:sz w:val="16"/>
        </w:rPr>
        <w:t> </w:t>
      </w:r>
      <w:r>
        <w:rPr>
          <w:w w:val="105"/>
          <w:sz w:val="16"/>
        </w:rPr>
        <w:t>fifth</w:t>
      </w:r>
      <w:r>
        <w:rPr>
          <w:spacing w:val="-13"/>
          <w:w w:val="105"/>
          <w:sz w:val="16"/>
        </w:rPr>
        <w:t> </w:t>
      </w:r>
      <w:r>
        <w:rPr>
          <w:w w:val="105"/>
          <w:sz w:val="16"/>
        </w:rPr>
        <w:t>subparagraph</w:t>
      </w:r>
      <w:r>
        <w:rPr>
          <w:spacing w:val="-13"/>
          <w:w w:val="105"/>
          <w:sz w:val="16"/>
        </w:rPr>
        <w:t> </w:t>
      </w:r>
      <w:r>
        <w:rPr>
          <w:w w:val="105"/>
          <w:sz w:val="16"/>
        </w:rPr>
        <w:t>in</w:t>
      </w:r>
      <w:r>
        <w:rPr>
          <w:spacing w:val="-14"/>
          <w:w w:val="105"/>
          <w:sz w:val="16"/>
        </w:rPr>
        <w:t> </w:t>
      </w:r>
      <w:r>
        <w:rPr>
          <w:w w:val="105"/>
          <w:sz w:val="16"/>
        </w:rPr>
        <w:t>relation</w:t>
      </w:r>
      <w:r>
        <w:rPr>
          <w:spacing w:val="-13"/>
          <w:w w:val="105"/>
          <w:sz w:val="16"/>
        </w:rPr>
        <w:t> </w:t>
      </w:r>
      <w:r>
        <w:rPr>
          <w:w w:val="105"/>
          <w:sz w:val="16"/>
        </w:rPr>
        <w:t>to</w:t>
      </w:r>
      <w:r>
        <w:rPr>
          <w:spacing w:val="-13"/>
          <w:w w:val="105"/>
          <w:sz w:val="16"/>
        </w:rPr>
        <w:t> </w:t>
      </w:r>
      <w:r>
        <w:rPr>
          <w:w w:val="105"/>
          <w:sz w:val="16"/>
        </w:rPr>
        <w:t>parts</w:t>
      </w:r>
      <w:r>
        <w:rPr>
          <w:spacing w:val="-13"/>
          <w:w w:val="105"/>
          <w:sz w:val="16"/>
        </w:rPr>
        <w:t> </w:t>
      </w:r>
      <w:r>
        <w:rPr>
          <w:w w:val="105"/>
          <w:sz w:val="16"/>
        </w:rPr>
        <w:t>of</w:t>
      </w:r>
      <w:r>
        <w:rPr>
          <w:spacing w:val="-14"/>
          <w:w w:val="105"/>
          <w:sz w:val="16"/>
        </w:rPr>
        <w:t> </w:t>
      </w:r>
      <w:r>
        <w:rPr>
          <w:w w:val="105"/>
          <w:sz w:val="16"/>
        </w:rPr>
        <w:t>EU</w:t>
      </w:r>
      <w:r>
        <w:rPr>
          <w:spacing w:val="-13"/>
          <w:w w:val="105"/>
          <w:sz w:val="16"/>
        </w:rPr>
        <w:t> </w:t>
      </w:r>
      <w:r>
        <w:rPr>
          <w:w w:val="105"/>
          <w:sz w:val="16"/>
        </w:rPr>
        <w:t>acts</w:t>
      </w:r>
      <w:r>
        <w:rPr>
          <w:spacing w:val="-13"/>
          <w:w w:val="105"/>
          <w:sz w:val="16"/>
        </w:rPr>
        <w:t> </w:t>
      </w:r>
      <w:r>
        <w:rPr>
          <w:w w:val="105"/>
          <w:sz w:val="16"/>
        </w:rPr>
        <w:t>which</w:t>
      </w:r>
      <w:r>
        <w:rPr>
          <w:spacing w:val="-14"/>
          <w:w w:val="105"/>
          <w:sz w:val="16"/>
        </w:rPr>
        <w:t> </w:t>
      </w:r>
      <w:r>
        <w:rPr>
          <w:w w:val="105"/>
          <w:sz w:val="16"/>
        </w:rPr>
        <w:t>amend</w:t>
      </w:r>
      <w:r>
        <w:rPr>
          <w:spacing w:val="-13"/>
          <w:w w:val="105"/>
          <w:sz w:val="16"/>
        </w:rPr>
        <w:t> </w:t>
      </w:r>
      <w:r>
        <w:rPr>
          <w:w w:val="105"/>
          <w:sz w:val="16"/>
        </w:rPr>
        <w:t>or</w:t>
      </w:r>
      <w:r>
        <w:rPr>
          <w:spacing w:val="-13"/>
          <w:w w:val="105"/>
          <w:sz w:val="16"/>
        </w:rPr>
        <w:t> </w:t>
      </w:r>
      <w:r>
        <w:rPr>
          <w:w w:val="105"/>
          <w:sz w:val="16"/>
        </w:rPr>
        <w:t>replace</w:t>
      </w:r>
      <w:r>
        <w:rPr>
          <w:spacing w:val="-13"/>
          <w:w w:val="105"/>
          <w:sz w:val="16"/>
        </w:rPr>
        <w:t> </w:t>
      </w:r>
      <w:r>
        <w:rPr>
          <w:w w:val="105"/>
          <w:sz w:val="16"/>
        </w:rPr>
        <w:t>the</w:t>
      </w:r>
      <w:r>
        <w:rPr>
          <w:spacing w:val="-14"/>
          <w:w w:val="105"/>
          <w:sz w:val="16"/>
        </w:rPr>
        <w:t> </w:t>
      </w:r>
      <w:r>
        <w:rPr>
          <w:w w:val="105"/>
          <w:sz w:val="16"/>
        </w:rPr>
        <w:t>listed </w:t>
      </w:r>
      <w:r>
        <w:rPr>
          <w:rFonts w:ascii="Arial"/>
          <w:w w:val="105"/>
          <w:sz w:val="16"/>
        </w:rPr>
        <w:t>EU acts under the Windsor Framework.</w:t>
      </w:r>
    </w:p>
    <w:p>
      <w:pPr>
        <w:spacing w:after="0" w:line="206" w:lineRule="auto"/>
        <w:jc w:val="left"/>
        <w:rPr>
          <w:sz w:val="16"/>
        </w:rPr>
        <w:sectPr>
          <w:type w:val="continuous"/>
          <w:pgSz w:w="11910" w:h="16840"/>
          <w:pgMar w:header="568" w:footer="580" w:top="0" w:bottom="280" w:left="1020" w:right="1020"/>
        </w:sectPr>
      </w:pPr>
    </w:p>
    <w:p>
      <w:pPr>
        <w:pStyle w:val="BodyText"/>
        <w:ind w:left="0"/>
        <w:rPr>
          <w:sz w:val="20"/>
        </w:rPr>
      </w:pPr>
    </w:p>
    <w:p>
      <w:pPr>
        <w:pStyle w:val="BodyText"/>
        <w:ind w:left="0"/>
        <w:rPr>
          <w:sz w:val="20"/>
        </w:rPr>
      </w:pPr>
    </w:p>
    <w:p>
      <w:pPr>
        <w:pStyle w:val="BodyText"/>
        <w:spacing w:before="48"/>
        <w:ind w:left="0"/>
        <w:rPr>
          <w:sz w:val="20"/>
        </w:rPr>
      </w:pPr>
    </w:p>
    <w:p>
      <w:pPr>
        <w:spacing w:after="0"/>
        <w:rPr>
          <w:sz w:val="20"/>
        </w:rPr>
        <w:sectPr>
          <w:pgSz w:w="11910" w:h="16840"/>
          <w:pgMar w:header="568" w:footer="580" w:top="840" w:bottom="780" w:left="1020" w:right="1020"/>
        </w:sectPr>
      </w:pPr>
    </w:p>
    <w:p>
      <w:pPr>
        <w:pStyle w:val="BodyText"/>
        <w:spacing w:line="310" w:lineRule="exact" w:before="49"/>
        <w:ind w:right="167"/>
      </w:pPr>
      <w:r>
        <w:rPr>
          <w:w w:val="110"/>
        </w:rPr>
        <w:t>to be enforced domestically before</w:t>
      </w:r>
      <w:r>
        <w:rPr>
          <w:spacing w:val="80"/>
          <w:w w:val="150"/>
        </w:rPr>
        <w:t> </w:t>
      </w:r>
      <w:r>
        <w:rPr>
          <w:rFonts w:ascii="Lucida Sans Unicode" w:hAnsi="Lucida Sans Unicode"/>
        </w:rPr>
        <w:t>31 December 2020 and retained as </w:t>
      </w:r>
      <w:r>
        <w:rPr>
          <w:w w:val="110"/>
        </w:rPr>
        <w:t>such</w:t>
      </w:r>
      <w:r>
        <w:rPr>
          <w:spacing w:val="-12"/>
          <w:w w:val="110"/>
        </w:rPr>
        <w:t> </w:t>
      </w:r>
      <w:r>
        <w:rPr>
          <w:w w:val="110"/>
        </w:rPr>
        <w:t>under</w:t>
      </w:r>
      <w:r>
        <w:rPr>
          <w:spacing w:val="-12"/>
          <w:w w:val="110"/>
        </w:rPr>
        <w:t> </w:t>
      </w:r>
      <w:r>
        <w:rPr>
          <w:w w:val="110"/>
        </w:rPr>
        <w:t>the</w:t>
      </w:r>
      <w:r>
        <w:rPr>
          <w:spacing w:val="-12"/>
          <w:w w:val="110"/>
        </w:rPr>
        <w:t> </w:t>
      </w:r>
      <w:r>
        <w:rPr>
          <w:w w:val="110"/>
        </w:rPr>
        <w:t>terms</w:t>
      </w:r>
      <w:r>
        <w:rPr>
          <w:spacing w:val="-12"/>
          <w:w w:val="110"/>
        </w:rPr>
        <w:t> </w:t>
      </w:r>
      <w:r>
        <w:rPr>
          <w:w w:val="110"/>
        </w:rPr>
        <w:t>of</w:t>
      </w:r>
      <w:r>
        <w:rPr>
          <w:spacing w:val="-12"/>
          <w:w w:val="110"/>
        </w:rPr>
        <w:t> </w:t>
      </w:r>
      <w:r>
        <w:rPr>
          <w:w w:val="110"/>
        </w:rPr>
        <w:t>the</w:t>
      </w:r>
      <w:r>
        <w:rPr>
          <w:spacing w:val="-12"/>
          <w:w w:val="110"/>
        </w:rPr>
        <w:t> </w:t>
      </w:r>
      <w:r>
        <w:rPr>
          <w:w w:val="110"/>
        </w:rPr>
        <w:t>EUWA.</w:t>
      </w:r>
      <w:r>
        <w:rPr>
          <w:rFonts w:ascii="Lucida Sans Unicode" w:hAnsi="Lucida Sans Unicode"/>
          <w:w w:val="110"/>
          <w:vertAlign w:val="superscript"/>
        </w:rPr>
        <w:t>123</w:t>
      </w:r>
      <w:r>
        <w:rPr>
          <w:rFonts w:ascii="Lucida Sans Unicode" w:hAnsi="Lucida Sans Unicode"/>
          <w:w w:val="110"/>
          <w:vertAlign w:val="baseline"/>
        </w:rPr>
        <w:t> </w:t>
      </w:r>
      <w:r>
        <w:rPr>
          <w:w w:val="110"/>
          <w:vertAlign w:val="baseline"/>
        </w:rPr>
        <w:t>The concept of ‘retained EU law’ has now</w:t>
      </w:r>
      <w:r>
        <w:rPr>
          <w:spacing w:val="14"/>
          <w:w w:val="110"/>
          <w:vertAlign w:val="baseline"/>
        </w:rPr>
        <w:t> </w:t>
      </w:r>
      <w:r>
        <w:rPr>
          <w:w w:val="110"/>
          <w:vertAlign w:val="baseline"/>
        </w:rPr>
        <w:t>been</w:t>
      </w:r>
      <w:r>
        <w:rPr>
          <w:spacing w:val="15"/>
          <w:w w:val="110"/>
          <w:vertAlign w:val="baseline"/>
        </w:rPr>
        <w:t> </w:t>
      </w:r>
      <w:r>
        <w:rPr>
          <w:w w:val="110"/>
          <w:vertAlign w:val="baseline"/>
        </w:rPr>
        <w:t>replaced</w:t>
      </w:r>
      <w:r>
        <w:rPr>
          <w:spacing w:val="15"/>
          <w:w w:val="110"/>
          <w:vertAlign w:val="baseline"/>
        </w:rPr>
        <w:t> </w:t>
      </w:r>
      <w:r>
        <w:rPr>
          <w:w w:val="110"/>
          <w:vertAlign w:val="baseline"/>
        </w:rPr>
        <w:t>by</w:t>
      </w:r>
      <w:r>
        <w:rPr>
          <w:spacing w:val="14"/>
          <w:w w:val="110"/>
          <w:vertAlign w:val="baseline"/>
        </w:rPr>
        <w:t> </w:t>
      </w:r>
      <w:r>
        <w:rPr>
          <w:w w:val="110"/>
          <w:vertAlign w:val="baseline"/>
        </w:rPr>
        <w:t>the</w:t>
      </w:r>
      <w:r>
        <w:rPr>
          <w:spacing w:val="15"/>
          <w:w w:val="110"/>
          <w:vertAlign w:val="baseline"/>
        </w:rPr>
        <w:t> </w:t>
      </w:r>
      <w:r>
        <w:rPr>
          <w:w w:val="110"/>
          <w:vertAlign w:val="baseline"/>
        </w:rPr>
        <w:t>concept</w:t>
      </w:r>
      <w:r>
        <w:rPr>
          <w:spacing w:val="15"/>
          <w:w w:val="110"/>
          <w:vertAlign w:val="baseline"/>
        </w:rPr>
        <w:t> </w:t>
      </w:r>
      <w:r>
        <w:rPr>
          <w:spacing w:val="-5"/>
          <w:w w:val="110"/>
          <w:vertAlign w:val="baseline"/>
        </w:rPr>
        <w:t>of</w:t>
      </w:r>
    </w:p>
    <w:p>
      <w:pPr>
        <w:pStyle w:val="BodyText"/>
        <w:spacing w:line="252" w:lineRule="auto" w:before="23"/>
        <w:ind w:right="132"/>
        <w:rPr>
          <w:rFonts w:ascii="Lucida Sans Unicode" w:hAnsi="Lucida Sans Unicode"/>
        </w:rPr>
      </w:pPr>
      <w:r>
        <w:rPr>
          <w:w w:val="110"/>
        </w:rPr>
        <w:t>‘assimilated law’ pursuant to section </w:t>
      </w:r>
      <w:r>
        <w:rPr>
          <w:w w:val="110"/>
        </w:rPr>
        <w:t>5 of the Retained EU Law (Revocation </w:t>
      </w:r>
      <w:r>
        <w:rPr>
          <w:rFonts w:ascii="Lucida Sans Unicode" w:hAnsi="Lucida Sans Unicode"/>
          <w:w w:val="110"/>
        </w:rPr>
        <w:t>and</w:t>
      </w:r>
      <w:r>
        <w:rPr>
          <w:rFonts w:ascii="Lucida Sans Unicode" w:hAnsi="Lucida Sans Unicode"/>
          <w:spacing w:val="-8"/>
          <w:w w:val="110"/>
        </w:rPr>
        <w:t> </w:t>
      </w:r>
      <w:r>
        <w:rPr>
          <w:rFonts w:ascii="Lucida Sans Unicode" w:hAnsi="Lucida Sans Unicode"/>
          <w:w w:val="110"/>
        </w:rPr>
        <w:t>Reform)</w:t>
      </w:r>
      <w:r>
        <w:rPr>
          <w:rFonts w:ascii="Lucida Sans Unicode" w:hAnsi="Lucida Sans Unicode"/>
          <w:spacing w:val="-8"/>
          <w:w w:val="110"/>
        </w:rPr>
        <w:t> </w:t>
      </w:r>
      <w:r>
        <w:rPr>
          <w:rFonts w:ascii="Lucida Sans Unicode" w:hAnsi="Lucida Sans Unicode"/>
          <w:w w:val="110"/>
        </w:rPr>
        <w:t>Act</w:t>
      </w:r>
      <w:r>
        <w:rPr>
          <w:rFonts w:ascii="Lucida Sans Unicode" w:hAnsi="Lucida Sans Unicode"/>
          <w:spacing w:val="-8"/>
          <w:w w:val="110"/>
        </w:rPr>
        <w:t> </w:t>
      </w:r>
      <w:r>
        <w:rPr>
          <w:rFonts w:ascii="Lucida Sans Unicode" w:hAnsi="Lucida Sans Unicode"/>
          <w:w w:val="110"/>
        </w:rPr>
        <w:t>2023.</w:t>
      </w:r>
    </w:p>
    <w:p>
      <w:pPr>
        <w:pStyle w:val="BodyText"/>
        <w:spacing w:line="230" w:lineRule="auto" w:before="272"/>
        <w:ind w:right="30"/>
      </w:pPr>
      <w:r>
        <w:rPr>
          <w:w w:val="110"/>
        </w:rPr>
        <w:t>As far as the Charter is concerned, </w:t>
      </w:r>
      <w:r>
        <w:rPr>
          <w:w w:val="110"/>
        </w:rPr>
        <w:t>the </w:t>
      </w:r>
      <w:r>
        <w:rPr>
          <w:rFonts w:ascii="Lucida Sans Unicode" w:hAnsi="Lucida Sans Unicode"/>
          <w:w w:val="110"/>
        </w:rPr>
        <w:t>EUWA</w:t>
      </w:r>
      <w:r>
        <w:rPr>
          <w:rFonts w:ascii="Lucida Sans Unicode" w:hAnsi="Lucida Sans Unicode"/>
          <w:spacing w:val="-19"/>
          <w:w w:val="110"/>
        </w:rPr>
        <w:t> </w:t>
      </w:r>
      <w:r>
        <w:rPr>
          <w:rFonts w:ascii="Lucida Sans Unicode" w:hAnsi="Lucida Sans Unicode"/>
          <w:w w:val="110"/>
        </w:rPr>
        <w:t>had</w:t>
      </w:r>
      <w:r>
        <w:rPr>
          <w:rFonts w:ascii="Lucida Sans Unicode" w:hAnsi="Lucida Sans Unicode"/>
          <w:spacing w:val="-19"/>
          <w:w w:val="110"/>
        </w:rPr>
        <w:t> </w:t>
      </w:r>
      <w:r>
        <w:rPr>
          <w:rFonts w:ascii="Lucida Sans Unicode" w:hAnsi="Lucida Sans Unicode"/>
          <w:w w:val="110"/>
        </w:rPr>
        <w:t>declared,</w:t>
      </w:r>
      <w:r>
        <w:rPr>
          <w:rFonts w:ascii="Lucida Sans Unicode" w:hAnsi="Lucida Sans Unicode"/>
          <w:spacing w:val="-19"/>
          <w:w w:val="110"/>
        </w:rPr>
        <w:t> </w:t>
      </w:r>
      <w:r>
        <w:rPr>
          <w:rFonts w:ascii="Lucida Sans Unicode" w:hAnsi="Lucida Sans Unicode"/>
          <w:w w:val="110"/>
        </w:rPr>
        <w:t>in</w:t>
      </w:r>
      <w:r>
        <w:rPr>
          <w:rFonts w:ascii="Lucida Sans Unicode" w:hAnsi="Lucida Sans Unicode"/>
          <w:spacing w:val="-19"/>
          <w:w w:val="110"/>
        </w:rPr>
        <w:t> </w:t>
      </w:r>
      <w:r>
        <w:rPr>
          <w:rFonts w:ascii="Lucida Sans Unicode" w:hAnsi="Lucida Sans Unicode"/>
          <w:w w:val="110"/>
        </w:rPr>
        <w:t>section</w:t>
      </w:r>
      <w:r>
        <w:rPr>
          <w:rFonts w:ascii="Lucida Sans Unicode" w:hAnsi="Lucida Sans Unicode"/>
          <w:spacing w:val="-19"/>
          <w:w w:val="110"/>
        </w:rPr>
        <w:t> </w:t>
      </w:r>
      <w:r>
        <w:rPr>
          <w:rFonts w:ascii="Lucida Sans Unicode" w:hAnsi="Lucida Sans Unicode"/>
          <w:w w:val="110"/>
        </w:rPr>
        <w:t>5</w:t>
      </w:r>
      <w:r>
        <w:rPr>
          <w:rFonts w:ascii="Lucida Sans Unicode" w:hAnsi="Lucida Sans Unicode"/>
          <w:spacing w:val="-19"/>
          <w:w w:val="110"/>
        </w:rPr>
        <w:t> </w:t>
      </w:r>
      <w:r>
        <w:rPr>
          <w:rFonts w:ascii="Lucida Sans Unicode" w:hAnsi="Lucida Sans Unicode"/>
          <w:w w:val="110"/>
        </w:rPr>
        <w:t>(4): </w:t>
      </w:r>
      <w:r>
        <w:rPr>
          <w:w w:val="110"/>
        </w:rPr>
        <w:t>‘The Charter of Fundamental Rights</w:t>
      </w:r>
    </w:p>
    <w:p>
      <w:pPr>
        <w:pStyle w:val="BodyText"/>
        <w:spacing w:line="310" w:lineRule="exact" w:before="14"/>
        <w:ind w:right="332"/>
        <w:rPr>
          <w:rFonts w:ascii="Lucida Sans Unicode" w:hAnsi="Lucida Sans Unicode"/>
        </w:rPr>
      </w:pPr>
      <w:r>
        <w:rPr>
          <w:w w:val="110"/>
        </w:rPr>
        <w:t>is not part of domestic law on or</w:t>
      </w:r>
      <w:r>
        <w:rPr>
          <w:spacing w:val="80"/>
          <w:w w:val="110"/>
        </w:rPr>
        <w:t> </w:t>
      </w:r>
      <w:r>
        <w:rPr>
          <w:rFonts w:ascii="Lucida Sans Unicode" w:hAnsi="Lucida Sans Unicode"/>
        </w:rPr>
        <w:t>after [the end of the </w:t>
      </w:r>
      <w:r>
        <w:rPr>
          <w:rFonts w:ascii="Lucida Sans Unicode" w:hAnsi="Lucida Sans Unicode"/>
        </w:rPr>
        <w:t>implementation </w:t>
      </w:r>
      <w:r>
        <w:rPr>
          <w:w w:val="110"/>
        </w:rPr>
        <w:t>period following the UK’s exit from </w:t>
      </w:r>
      <w:r>
        <w:rPr>
          <w:rFonts w:ascii="Lucida Sans Unicode" w:hAnsi="Lucida Sans Unicode"/>
        </w:rPr>
        <w:t>the European Union]’. This sweeping statement was, however, qualified </w:t>
      </w:r>
      <w:r>
        <w:rPr>
          <w:w w:val="110"/>
        </w:rPr>
        <w:t>when considered alongside other aspects</w:t>
      </w:r>
      <w:r>
        <w:rPr>
          <w:spacing w:val="40"/>
          <w:w w:val="110"/>
        </w:rPr>
        <w:t> </w:t>
      </w:r>
      <w:r>
        <w:rPr>
          <w:w w:val="110"/>
        </w:rPr>
        <w:t>of</w:t>
      </w:r>
      <w:r>
        <w:rPr>
          <w:spacing w:val="40"/>
          <w:w w:val="110"/>
        </w:rPr>
        <w:t> </w:t>
      </w:r>
      <w:r>
        <w:rPr>
          <w:w w:val="110"/>
        </w:rPr>
        <w:t>the</w:t>
      </w:r>
      <w:r>
        <w:rPr>
          <w:spacing w:val="40"/>
          <w:w w:val="110"/>
        </w:rPr>
        <w:t> </w:t>
      </w:r>
      <w:r>
        <w:rPr>
          <w:w w:val="110"/>
        </w:rPr>
        <w:t>Act,</w:t>
      </w:r>
      <w:r>
        <w:rPr>
          <w:spacing w:val="40"/>
          <w:w w:val="110"/>
        </w:rPr>
        <w:t> </w:t>
      </w:r>
      <w:r>
        <w:rPr>
          <w:w w:val="110"/>
        </w:rPr>
        <w:t>notably</w:t>
      </w:r>
      <w:r>
        <w:rPr>
          <w:spacing w:val="40"/>
          <w:w w:val="110"/>
        </w:rPr>
        <w:t> </w:t>
      </w:r>
      <w:r>
        <w:rPr>
          <w:w w:val="110"/>
        </w:rPr>
        <w:t>section </w:t>
      </w:r>
      <w:r>
        <w:rPr>
          <w:rFonts w:ascii="Lucida Sans Unicode" w:hAnsi="Lucida Sans Unicode"/>
        </w:rPr>
        <w:t>5 (5) EUWA, which clarified that the</w:t>
      </w:r>
    </w:p>
    <w:p>
      <w:pPr>
        <w:pStyle w:val="BodyText"/>
        <w:spacing w:line="268" w:lineRule="auto" w:before="23"/>
        <w:ind w:right="30"/>
      </w:pPr>
      <w:r>
        <w:rPr>
          <w:w w:val="115"/>
        </w:rPr>
        <w:t>exclusion</w:t>
      </w:r>
      <w:r>
        <w:rPr>
          <w:spacing w:val="-15"/>
          <w:w w:val="115"/>
        </w:rPr>
        <w:t> </w:t>
      </w:r>
      <w:r>
        <w:rPr>
          <w:w w:val="115"/>
        </w:rPr>
        <w:t>of</w:t>
      </w:r>
      <w:r>
        <w:rPr>
          <w:spacing w:val="-15"/>
          <w:w w:val="115"/>
        </w:rPr>
        <w:t> </w:t>
      </w:r>
      <w:r>
        <w:rPr>
          <w:w w:val="115"/>
        </w:rPr>
        <w:t>the</w:t>
      </w:r>
      <w:r>
        <w:rPr>
          <w:spacing w:val="-15"/>
          <w:w w:val="115"/>
        </w:rPr>
        <w:t> </w:t>
      </w:r>
      <w:r>
        <w:rPr>
          <w:w w:val="115"/>
        </w:rPr>
        <w:t>Charter</w:t>
      </w:r>
      <w:r>
        <w:rPr>
          <w:spacing w:val="-15"/>
          <w:w w:val="115"/>
        </w:rPr>
        <w:t> </w:t>
      </w:r>
      <w:r>
        <w:rPr>
          <w:w w:val="115"/>
        </w:rPr>
        <w:t>did</w:t>
      </w:r>
      <w:r>
        <w:rPr>
          <w:spacing w:val="-15"/>
          <w:w w:val="115"/>
        </w:rPr>
        <w:t> </w:t>
      </w:r>
      <w:r>
        <w:rPr>
          <w:w w:val="115"/>
        </w:rPr>
        <w:t>not</w:t>
      </w:r>
      <w:r>
        <w:rPr>
          <w:spacing w:val="-15"/>
          <w:w w:val="115"/>
        </w:rPr>
        <w:t> </w:t>
      </w:r>
      <w:r>
        <w:rPr>
          <w:w w:val="115"/>
        </w:rPr>
        <w:t>‘affect the retention in domestic law on or after exit day in accordance with</w:t>
      </w:r>
    </w:p>
    <w:p>
      <w:pPr>
        <w:pStyle w:val="BodyText"/>
        <w:spacing w:line="268" w:lineRule="auto" w:before="3"/>
        <w:ind w:right="167"/>
      </w:pPr>
      <w:r>
        <w:rPr>
          <w:w w:val="115"/>
        </w:rPr>
        <w:t>this</w:t>
      </w:r>
      <w:r>
        <w:rPr>
          <w:spacing w:val="-10"/>
          <w:w w:val="115"/>
        </w:rPr>
        <w:t> </w:t>
      </w:r>
      <w:r>
        <w:rPr>
          <w:w w:val="115"/>
        </w:rPr>
        <w:t>Act</w:t>
      </w:r>
      <w:r>
        <w:rPr>
          <w:spacing w:val="-10"/>
          <w:w w:val="115"/>
        </w:rPr>
        <w:t> </w:t>
      </w:r>
      <w:r>
        <w:rPr>
          <w:w w:val="115"/>
        </w:rPr>
        <w:t>of</w:t>
      </w:r>
      <w:r>
        <w:rPr>
          <w:spacing w:val="-10"/>
          <w:w w:val="115"/>
        </w:rPr>
        <w:t> </w:t>
      </w:r>
      <w:r>
        <w:rPr>
          <w:w w:val="115"/>
        </w:rPr>
        <w:t>any</w:t>
      </w:r>
      <w:r>
        <w:rPr>
          <w:spacing w:val="-10"/>
          <w:w w:val="115"/>
        </w:rPr>
        <w:t> </w:t>
      </w:r>
      <w:r>
        <w:rPr>
          <w:w w:val="115"/>
        </w:rPr>
        <w:t>fundamental</w:t>
      </w:r>
      <w:r>
        <w:rPr>
          <w:spacing w:val="-10"/>
          <w:w w:val="115"/>
        </w:rPr>
        <w:t> </w:t>
      </w:r>
      <w:r>
        <w:rPr>
          <w:w w:val="115"/>
        </w:rPr>
        <w:t>rights</w:t>
      </w:r>
      <w:r>
        <w:rPr>
          <w:spacing w:val="-10"/>
          <w:w w:val="115"/>
        </w:rPr>
        <w:t> </w:t>
      </w:r>
      <w:r>
        <w:rPr>
          <w:w w:val="115"/>
        </w:rPr>
        <w:t>or principles</w:t>
      </w:r>
      <w:r>
        <w:rPr>
          <w:spacing w:val="-11"/>
          <w:w w:val="115"/>
        </w:rPr>
        <w:t> </w:t>
      </w:r>
      <w:r>
        <w:rPr>
          <w:w w:val="115"/>
        </w:rPr>
        <w:t>which</w:t>
      </w:r>
      <w:r>
        <w:rPr>
          <w:spacing w:val="-11"/>
          <w:w w:val="115"/>
        </w:rPr>
        <w:t> </w:t>
      </w:r>
      <w:r>
        <w:rPr>
          <w:w w:val="115"/>
        </w:rPr>
        <w:t>exist</w:t>
      </w:r>
      <w:r>
        <w:rPr>
          <w:spacing w:val="-11"/>
          <w:w w:val="115"/>
        </w:rPr>
        <w:t> </w:t>
      </w:r>
      <w:r>
        <w:rPr>
          <w:w w:val="115"/>
        </w:rPr>
        <w:t>irrespective</w:t>
      </w:r>
      <w:r>
        <w:rPr>
          <w:spacing w:val="-11"/>
          <w:w w:val="115"/>
        </w:rPr>
        <w:t> </w:t>
      </w:r>
      <w:r>
        <w:rPr>
          <w:w w:val="115"/>
        </w:rPr>
        <w:t>of the Charter (and references to the Charter</w:t>
      </w:r>
      <w:r>
        <w:rPr>
          <w:spacing w:val="-7"/>
          <w:w w:val="115"/>
        </w:rPr>
        <w:t> </w:t>
      </w:r>
      <w:r>
        <w:rPr>
          <w:w w:val="115"/>
        </w:rPr>
        <w:t>in</w:t>
      </w:r>
      <w:r>
        <w:rPr>
          <w:spacing w:val="-7"/>
          <w:w w:val="115"/>
        </w:rPr>
        <w:t> </w:t>
      </w:r>
      <w:r>
        <w:rPr>
          <w:w w:val="115"/>
        </w:rPr>
        <w:t>any</w:t>
      </w:r>
      <w:r>
        <w:rPr>
          <w:spacing w:val="-7"/>
          <w:w w:val="115"/>
        </w:rPr>
        <w:t> </w:t>
      </w:r>
      <w:r>
        <w:rPr>
          <w:w w:val="115"/>
        </w:rPr>
        <w:t>case</w:t>
      </w:r>
      <w:r>
        <w:rPr>
          <w:spacing w:val="-7"/>
          <w:w w:val="115"/>
        </w:rPr>
        <w:t> </w:t>
      </w:r>
      <w:r>
        <w:rPr>
          <w:w w:val="115"/>
        </w:rPr>
        <w:t>law</w:t>
      </w:r>
      <w:r>
        <w:rPr>
          <w:spacing w:val="-7"/>
          <w:w w:val="115"/>
        </w:rPr>
        <w:t> </w:t>
      </w:r>
      <w:r>
        <w:rPr>
          <w:w w:val="115"/>
        </w:rPr>
        <w:t>are,</w:t>
      </w:r>
      <w:r>
        <w:rPr>
          <w:spacing w:val="-7"/>
          <w:w w:val="115"/>
        </w:rPr>
        <w:t> </w:t>
      </w:r>
      <w:r>
        <w:rPr>
          <w:w w:val="115"/>
        </w:rPr>
        <w:t>so</w:t>
      </w:r>
      <w:r>
        <w:rPr>
          <w:spacing w:val="-7"/>
          <w:w w:val="115"/>
        </w:rPr>
        <w:t> </w:t>
      </w:r>
      <w:r>
        <w:rPr>
          <w:w w:val="115"/>
        </w:rPr>
        <w:t>far</w:t>
      </w:r>
    </w:p>
    <w:p>
      <w:pPr>
        <w:pStyle w:val="BodyText"/>
        <w:spacing w:line="268" w:lineRule="auto" w:before="3"/>
        <w:ind w:right="132"/>
      </w:pPr>
      <w:r>
        <w:rPr>
          <w:w w:val="115"/>
        </w:rPr>
        <w:t>as necessary for this purpose, to be </w:t>
      </w:r>
      <w:r>
        <w:rPr>
          <w:spacing w:val="-2"/>
          <w:w w:val="115"/>
        </w:rPr>
        <w:t>read</w:t>
      </w:r>
      <w:r>
        <w:rPr>
          <w:spacing w:val="-18"/>
          <w:w w:val="115"/>
        </w:rPr>
        <w:t> </w:t>
      </w:r>
      <w:r>
        <w:rPr>
          <w:spacing w:val="-2"/>
          <w:w w:val="115"/>
        </w:rPr>
        <w:t>as</w:t>
      </w:r>
      <w:r>
        <w:rPr>
          <w:spacing w:val="-17"/>
          <w:w w:val="115"/>
        </w:rPr>
        <w:t> </w:t>
      </w:r>
      <w:r>
        <w:rPr>
          <w:spacing w:val="-2"/>
          <w:w w:val="115"/>
        </w:rPr>
        <w:t>if</w:t>
      </w:r>
      <w:r>
        <w:rPr>
          <w:spacing w:val="-17"/>
          <w:w w:val="115"/>
        </w:rPr>
        <w:t> </w:t>
      </w:r>
      <w:r>
        <w:rPr>
          <w:spacing w:val="-2"/>
          <w:w w:val="115"/>
        </w:rPr>
        <w:t>they</w:t>
      </w:r>
      <w:r>
        <w:rPr>
          <w:spacing w:val="-17"/>
          <w:w w:val="115"/>
        </w:rPr>
        <w:t> </w:t>
      </w:r>
      <w:r>
        <w:rPr>
          <w:spacing w:val="-2"/>
          <w:w w:val="115"/>
        </w:rPr>
        <w:t>were</w:t>
      </w:r>
      <w:r>
        <w:rPr>
          <w:spacing w:val="-17"/>
          <w:w w:val="115"/>
        </w:rPr>
        <w:t> </w:t>
      </w:r>
      <w:r>
        <w:rPr>
          <w:spacing w:val="-2"/>
          <w:w w:val="115"/>
        </w:rPr>
        <w:t>references</w:t>
      </w:r>
      <w:r>
        <w:rPr>
          <w:spacing w:val="-18"/>
          <w:w w:val="115"/>
        </w:rPr>
        <w:t> </w:t>
      </w:r>
      <w:r>
        <w:rPr>
          <w:spacing w:val="-2"/>
          <w:w w:val="115"/>
        </w:rPr>
        <w:t>to</w:t>
      </w:r>
      <w:r>
        <w:rPr>
          <w:spacing w:val="-17"/>
          <w:w w:val="115"/>
        </w:rPr>
        <w:t> </w:t>
      </w:r>
      <w:r>
        <w:rPr>
          <w:spacing w:val="-2"/>
          <w:w w:val="115"/>
        </w:rPr>
        <w:t>any </w:t>
      </w:r>
      <w:r>
        <w:rPr>
          <w:w w:val="115"/>
        </w:rPr>
        <w:t>corresponding retained fundamental rights or principles)’. Hence, while the EUWA removed the Charter</w:t>
      </w:r>
    </w:p>
    <w:p>
      <w:pPr>
        <w:pStyle w:val="BodyText"/>
        <w:spacing w:line="230" w:lineRule="auto" w:before="14"/>
        <w:ind w:right="272"/>
        <w:jc w:val="both"/>
      </w:pPr>
      <w:r>
        <w:rPr>
          <w:w w:val="110"/>
        </w:rPr>
        <w:t>from retained EU law, it retained the (largely)</w:t>
      </w:r>
      <w:r>
        <w:rPr>
          <w:spacing w:val="-19"/>
          <w:w w:val="110"/>
        </w:rPr>
        <w:t> </w:t>
      </w:r>
      <w:r>
        <w:rPr>
          <w:w w:val="110"/>
        </w:rPr>
        <w:t>parallel</w:t>
      </w:r>
      <w:r>
        <w:rPr>
          <w:rFonts w:ascii="Lucida Sans Unicode"/>
          <w:w w:val="110"/>
          <w:vertAlign w:val="superscript"/>
        </w:rPr>
        <w:t>124</w:t>
      </w:r>
      <w:r>
        <w:rPr>
          <w:rFonts w:ascii="Lucida Sans Unicode"/>
          <w:spacing w:val="-21"/>
          <w:w w:val="110"/>
          <w:vertAlign w:val="baseline"/>
        </w:rPr>
        <w:t> </w:t>
      </w:r>
      <w:r>
        <w:rPr>
          <w:w w:val="110"/>
          <w:vertAlign w:val="baseline"/>
        </w:rPr>
        <w:t>general</w:t>
      </w:r>
      <w:r>
        <w:rPr>
          <w:spacing w:val="-15"/>
          <w:w w:val="110"/>
          <w:vertAlign w:val="baseline"/>
        </w:rPr>
        <w:t> </w:t>
      </w:r>
      <w:r>
        <w:rPr>
          <w:w w:val="110"/>
          <w:vertAlign w:val="baseline"/>
        </w:rPr>
        <w:t>principles of</w:t>
      </w:r>
      <w:r>
        <w:rPr>
          <w:spacing w:val="-6"/>
          <w:w w:val="110"/>
          <w:vertAlign w:val="baseline"/>
        </w:rPr>
        <w:t> </w:t>
      </w:r>
      <w:r>
        <w:rPr>
          <w:w w:val="110"/>
          <w:vertAlign w:val="baseline"/>
        </w:rPr>
        <w:t>EU</w:t>
      </w:r>
      <w:r>
        <w:rPr>
          <w:spacing w:val="-6"/>
          <w:w w:val="110"/>
          <w:vertAlign w:val="baseline"/>
        </w:rPr>
        <w:t> </w:t>
      </w:r>
      <w:r>
        <w:rPr>
          <w:w w:val="110"/>
          <w:vertAlign w:val="baseline"/>
        </w:rPr>
        <w:t>law.</w:t>
      </w:r>
      <w:r>
        <w:rPr>
          <w:spacing w:val="-6"/>
          <w:w w:val="110"/>
          <w:vertAlign w:val="baseline"/>
        </w:rPr>
        <w:t> </w:t>
      </w:r>
      <w:r>
        <w:rPr>
          <w:w w:val="110"/>
          <w:vertAlign w:val="baseline"/>
        </w:rPr>
        <w:t>As</w:t>
      </w:r>
      <w:r>
        <w:rPr>
          <w:spacing w:val="-6"/>
          <w:w w:val="110"/>
          <w:vertAlign w:val="baseline"/>
        </w:rPr>
        <w:t> </w:t>
      </w:r>
      <w:r>
        <w:rPr>
          <w:w w:val="110"/>
          <w:vertAlign w:val="baseline"/>
        </w:rPr>
        <w:t>discussed</w:t>
      </w:r>
      <w:r>
        <w:rPr>
          <w:spacing w:val="-6"/>
          <w:w w:val="110"/>
          <w:vertAlign w:val="baseline"/>
        </w:rPr>
        <w:t> </w:t>
      </w:r>
      <w:r>
        <w:rPr>
          <w:w w:val="110"/>
          <w:vertAlign w:val="baseline"/>
        </w:rPr>
        <w:t>in</w:t>
      </w:r>
      <w:r>
        <w:rPr>
          <w:spacing w:val="-6"/>
          <w:w w:val="110"/>
          <w:vertAlign w:val="baseline"/>
        </w:rPr>
        <w:t> </w:t>
      </w:r>
      <w:r>
        <w:rPr>
          <w:w w:val="110"/>
          <w:vertAlign w:val="baseline"/>
        </w:rPr>
        <w:t>Chapter</w:t>
      </w:r>
      <w:r>
        <w:rPr>
          <w:spacing w:val="-6"/>
          <w:w w:val="110"/>
          <w:vertAlign w:val="baseline"/>
        </w:rPr>
        <w:t> </w:t>
      </w:r>
      <w:r>
        <w:rPr>
          <w:spacing w:val="-5"/>
          <w:w w:val="95"/>
          <w:vertAlign w:val="baseline"/>
        </w:rPr>
        <w:t>1,</w:t>
      </w:r>
    </w:p>
    <w:p>
      <w:pPr>
        <w:pStyle w:val="BodyText"/>
        <w:spacing w:line="268" w:lineRule="auto" w:before="37"/>
        <w:ind w:right="30"/>
      </w:pPr>
      <w:r>
        <w:rPr>
          <w:w w:val="115"/>
        </w:rPr>
        <w:t>considering</w:t>
      </w:r>
      <w:r>
        <w:rPr>
          <w:spacing w:val="-20"/>
          <w:w w:val="115"/>
        </w:rPr>
        <w:t> </w:t>
      </w:r>
      <w:r>
        <w:rPr>
          <w:w w:val="115"/>
        </w:rPr>
        <w:t>that</w:t>
      </w:r>
      <w:r>
        <w:rPr>
          <w:spacing w:val="-19"/>
          <w:w w:val="115"/>
        </w:rPr>
        <w:t> </w:t>
      </w:r>
      <w:r>
        <w:rPr>
          <w:w w:val="115"/>
        </w:rPr>
        <w:t>the</w:t>
      </w:r>
      <w:r>
        <w:rPr>
          <w:spacing w:val="-19"/>
          <w:w w:val="115"/>
        </w:rPr>
        <w:t> </w:t>
      </w:r>
      <w:r>
        <w:rPr>
          <w:w w:val="115"/>
        </w:rPr>
        <w:t>general</w:t>
      </w:r>
      <w:r>
        <w:rPr>
          <w:spacing w:val="-19"/>
          <w:w w:val="115"/>
        </w:rPr>
        <w:t> </w:t>
      </w:r>
      <w:r>
        <w:rPr>
          <w:w w:val="115"/>
        </w:rPr>
        <w:t>principles comprise all of the provisions of the Charter, the removal of the Charter should not in itself be considered to result</w:t>
      </w:r>
      <w:r>
        <w:rPr>
          <w:spacing w:val="-16"/>
          <w:w w:val="115"/>
        </w:rPr>
        <w:t> </w:t>
      </w:r>
      <w:r>
        <w:rPr>
          <w:w w:val="115"/>
        </w:rPr>
        <w:t>in</w:t>
      </w:r>
      <w:r>
        <w:rPr>
          <w:spacing w:val="-16"/>
          <w:w w:val="115"/>
        </w:rPr>
        <w:t> </w:t>
      </w:r>
      <w:r>
        <w:rPr>
          <w:w w:val="115"/>
        </w:rPr>
        <w:t>a</w:t>
      </w:r>
      <w:r>
        <w:rPr>
          <w:spacing w:val="-16"/>
          <w:w w:val="115"/>
        </w:rPr>
        <w:t> </w:t>
      </w:r>
      <w:r>
        <w:rPr>
          <w:w w:val="115"/>
        </w:rPr>
        <w:t>substantive</w:t>
      </w:r>
      <w:r>
        <w:rPr>
          <w:spacing w:val="-16"/>
          <w:w w:val="115"/>
        </w:rPr>
        <w:t> </w:t>
      </w:r>
      <w:r>
        <w:rPr>
          <w:w w:val="115"/>
        </w:rPr>
        <w:t>decrease</w:t>
      </w:r>
      <w:r>
        <w:rPr>
          <w:spacing w:val="-16"/>
          <w:w w:val="115"/>
        </w:rPr>
        <w:t> </w:t>
      </w:r>
      <w:r>
        <w:rPr>
          <w:w w:val="115"/>
        </w:rPr>
        <w:t>in</w:t>
      </w:r>
      <w:r>
        <w:rPr>
          <w:spacing w:val="-16"/>
          <w:w w:val="115"/>
        </w:rPr>
        <w:t> </w:t>
      </w:r>
      <w:r>
        <w:rPr>
          <w:w w:val="115"/>
        </w:rPr>
        <w:t>the protection of EU fundamental rights under the terms of the EUWA. That</w:t>
      </w:r>
    </w:p>
    <w:p>
      <w:pPr>
        <w:pStyle w:val="BodyText"/>
        <w:spacing w:line="310" w:lineRule="exact" w:before="49"/>
        <w:ind w:right="230"/>
      </w:pPr>
      <w:r>
        <w:rPr/>
        <w:br w:type="column"/>
      </w:r>
      <w:r>
        <w:rPr>
          <w:rFonts w:ascii="Lucida Sans Unicode" w:hAnsi="Lucida Sans Unicode"/>
        </w:rPr>
        <w:t>said,</w:t>
      </w:r>
      <w:r>
        <w:rPr>
          <w:rFonts w:ascii="Lucida Sans Unicode" w:hAnsi="Lucida Sans Unicode"/>
          <w:spacing w:val="-4"/>
        </w:rPr>
        <w:t> </w:t>
      </w:r>
      <w:r>
        <w:rPr>
          <w:rFonts w:ascii="Lucida Sans Unicode" w:hAnsi="Lucida Sans Unicode"/>
        </w:rPr>
        <w:t>paragraph</w:t>
      </w:r>
      <w:r>
        <w:rPr>
          <w:rFonts w:ascii="Lucida Sans Unicode" w:hAnsi="Lucida Sans Unicode"/>
          <w:spacing w:val="-4"/>
        </w:rPr>
        <w:t> </w:t>
      </w:r>
      <w:r>
        <w:rPr>
          <w:rFonts w:ascii="Lucida Sans Unicode" w:hAnsi="Lucida Sans Unicode"/>
        </w:rPr>
        <w:t>3</w:t>
      </w:r>
      <w:r>
        <w:rPr>
          <w:rFonts w:ascii="Lucida Sans Unicode" w:hAnsi="Lucida Sans Unicode"/>
          <w:spacing w:val="-4"/>
        </w:rPr>
        <w:t> </w:t>
      </w:r>
      <w:r>
        <w:rPr>
          <w:rFonts w:ascii="Lucida Sans Unicode" w:hAnsi="Lucida Sans Unicode"/>
        </w:rPr>
        <w:t>of</w:t>
      </w:r>
      <w:r>
        <w:rPr>
          <w:rFonts w:ascii="Lucida Sans Unicode" w:hAnsi="Lucida Sans Unicode"/>
          <w:spacing w:val="-4"/>
        </w:rPr>
        <w:t> </w:t>
      </w:r>
      <w:r>
        <w:rPr>
          <w:rFonts w:ascii="Lucida Sans Unicode" w:hAnsi="Lucida Sans Unicode"/>
        </w:rPr>
        <w:t>Schedule</w:t>
      </w:r>
      <w:r>
        <w:rPr>
          <w:rFonts w:ascii="Lucida Sans Unicode" w:hAnsi="Lucida Sans Unicode"/>
          <w:spacing w:val="-4"/>
        </w:rPr>
        <w:t> </w:t>
      </w:r>
      <w:r>
        <w:rPr>
          <w:rFonts w:ascii="Lucida Sans Unicode" w:hAnsi="Lucida Sans Unicode"/>
        </w:rPr>
        <w:t>1</w:t>
      </w:r>
      <w:r>
        <w:rPr>
          <w:rFonts w:ascii="Lucida Sans Unicode" w:hAnsi="Lucida Sans Unicode"/>
          <w:spacing w:val="-4"/>
        </w:rPr>
        <w:t> </w:t>
      </w:r>
      <w:r>
        <w:rPr>
          <w:rFonts w:ascii="Lucida Sans Unicode" w:hAnsi="Lucida Sans Unicode"/>
        </w:rPr>
        <w:t>to</w:t>
      </w:r>
      <w:r>
        <w:rPr>
          <w:rFonts w:ascii="Lucida Sans Unicode" w:hAnsi="Lucida Sans Unicode"/>
          <w:spacing w:val="-4"/>
        </w:rPr>
        <w:t> </w:t>
      </w:r>
      <w:r>
        <w:rPr>
          <w:rFonts w:ascii="Lucida Sans Unicode" w:hAnsi="Lucida Sans Unicode"/>
        </w:rPr>
        <w:t>the </w:t>
      </w:r>
      <w:r>
        <w:rPr>
          <w:w w:val="110"/>
        </w:rPr>
        <w:t>EUWA declared that there could be ‘no right of action in domestic law on or after exit day based on a failure</w:t>
      </w:r>
    </w:p>
    <w:p>
      <w:pPr>
        <w:pStyle w:val="BodyText"/>
        <w:spacing w:line="249" w:lineRule="auto" w:before="23"/>
        <w:ind w:right="147"/>
        <w:rPr>
          <w:rFonts w:ascii="Lucida Sans Unicode" w:hAnsi="Lucida Sans Unicode"/>
        </w:rPr>
      </w:pPr>
      <w:r>
        <w:rPr>
          <w:w w:val="110"/>
        </w:rPr>
        <w:t>to comply with any of the general principles of EU law’, while paragraph </w:t>
      </w:r>
      <w:r>
        <w:rPr>
          <w:rFonts w:ascii="Lucida Sans Unicode" w:hAnsi="Lucida Sans Unicode"/>
          <w:w w:val="110"/>
        </w:rPr>
        <w:t>4</w:t>
      </w:r>
      <w:r>
        <w:rPr>
          <w:rFonts w:ascii="Lucida Sans Unicode" w:hAnsi="Lucida Sans Unicode"/>
          <w:spacing w:val="-21"/>
          <w:w w:val="110"/>
        </w:rPr>
        <w:t> </w:t>
      </w:r>
      <w:r>
        <w:rPr>
          <w:rFonts w:ascii="Lucida Sans Unicode" w:hAnsi="Lucida Sans Unicode"/>
          <w:w w:val="110"/>
        </w:rPr>
        <w:t>of</w:t>
      </w:r>
      <w:r>
        <w:rPr>
          <w:rFonts w:ascii="Lucida Sans Unicode" w:hAnsi="Lucida Sans Unicode"/>
          <w:spacing w:val="-21"/>
          <w:w w:val="110"/>
        </w:rPr>
        <w:t> </w:t>
      </w:r>
      <w:r>
        <w:rPr>
          <w:rFonts w:ascii="Lucida Sans Unicode" w:hAnsi="Lucida Sans Unicode"/>
          <w:w w:val="110"/>
        </w:rPr>
        <w:t>Schedule</w:t>
      </w:r>
      <w:r>
        <w:rPr>
          <w:rFonts w:ascii="Lucida Sans Unicode" w:hAnsi="Lucida Sans Unicode"/>
          <w:spacing w:val="-21"/>
          <w:w w:val="110"/>
        </w:rPr>
        <w:t> </w:t>
      </w:r>
      <w:r>
        <w:rPr>
          <w:rFonts w:ascii="Lucida Sans Unicode" w:hAnsi="Lucida Sans Unicode"/>
          <w:w w:val="95"/>
        </w:rPr>
        <w:t>1</w:t>
      </w:r>
      <w:r>
        <w:rPr>
          <w:rFonts w:ascii="Lucida Sans Unicode" w:hAnsi="Lucida Sans Unicode"/>
          <w:spacing w:val="-15"/>
          <w:w w:val="95"/>
        </w:rPr>
        <w:t> </w:t>
      </w:r>
      <w:r>
        <w:rPr>
          <w:rFonts w:ascii="Lucida Sans Unicode" w:hAnsi="Lucida Sans Unicode"/>
          <w:w w:val="110"/>
        </w:rPr>
        <w:t>removed</w:t>
      </w:r>
      <w:r>
        <w:rPr>
          <w:rFonts w:ascii="Lucida Sans Unicode" w:hAnsi="Lucida Sans Unicode"/>
          <w:spacing w:val="-21"/>
          <w:w w:val="110"/>
        </w:rPr>
        <w:t> </w:t>
      </w:r>
      <w:r>
        <w:rPr>
          <w:rFonts w:ascii="Lucida Sans Unicode" w:hAnsi="Lucida Sans Unicode"/>
          <w:w w:val="110"/>
        </w:rPr>
        <w:t>the </w:t>
      </w:r>
      <w:r>
        <w:rPr>
          <w:w w:val="110"/>
        </w:rPr>
        <w:t>possibility of state liability in </w:t>
      </w:r>
      <w:r>
        <w:rPr>
          <w:w w:val="110"/>
        </w:rPr>
        <w:t>damages. Thus, the </w:t>
      </w:r>
      <w:r>
        <w:rPr>
          <w:rFonts w:ascii="Verdana" w:hAnsi="Verdana"/>
          <w:i/>
          <w:w w:val="110"/>
        </w:rPr>
        <w:t>effect </w:t>
      </w:r>
      <w:r>
        <w:rPr>
          <w:w w:val="110"/>
        </w:rPr>
        <w:t>of fundamental rights as general principles under the EUWA </w:t>
      </w:r>
      <w:r>
        <w:rPr>
          <w:rFonts w:ascii="Lucida Sans Unicode" w:hAnsi="Lucida Sans Unicode"/>
        </w:rPr>
        <w:t>was mostly confined to their use as</w:t>
      </w:r>
    </w:p>
    <w:p>
      <w:pPr>
        <w:pStyle w:val="BodyText"/>
        <w:spacing w:line="271" w:lineRule="exact"/>
      </w:pPr>
      <w:r>
        <w:rPr>
          <w:spacing w:val="-2"/>
          <w:w w:val="110"/>
        </w:rPr>
        <w:t>an</w:t>
      </w:r>
      <w:r>
        <w:rPr>
          <w:spacing w:val="-13"/>
          <w:w w:val="110"/>
        </w:rPr>
        <w:t> </w:t>
      </w:r>
      <w:r>
        <w:rPr>
          <w:spacing w:val="-2"/>
          <w:w w:val="110"/>
        </w:rPr>
        <w:t>interpretive</w:t>
      </w:r>
      <w:r>
        <w:rPr>
          <w:spacing w:val="-11"/>
          <w:w w:val="110"/>
        </w:rPr>
        <w:t> </w:t>
      </w:r>
      <w:r>
        <w:rPr>
          <w:spacing w:val="-2"/>
          <w:w w:val="110"/>
        </w:rPr>
        <w:t>aid.</w:t>
      </w:r>
      <w:r>
        <w:rPr>
          <w:rFonts w:ascii="Lucida Sans Unicode"/>
          <w:spacing w:val="-2"/>
          <w:w w:val="110"/>
          <w:vertAlign w:val="superscript"/>
        </w:rPr>
        <w:t>125</w:t>
      </w:r>
      <w:r>
        <w:rPr>
          <w:rFonts w:ascii="Lucida Sans Unicode"/>
          <w:spacing w:val="-19"/>
          <w:w w:val="110"/>
          <w:vertAlign w:val="baseline"/>
        </w:rPr>
        <w:t> </w:t>
      </w:r>
      <w:r>
        <w:rPr>
          <w:spacing w:val="-2"/>
          <w:w w:val="110"/>
          <w:vertAlign w:val="baseline"/>
        </w:rPr>
        <w:t>As</w:t>
      </w:r>
      <w:r>
        <w:rPr>
          <w:spacing w:val="-11"/>
          <w:w w:val="110"/>
          <w:vertAlign w:val="baseline"/>
        </w:rPr>
        <w:t> </w:t>
      </w:r>
      <w:r>
        <w:rPr>
          <w:spacing w:val="-2"/>
          <w:w w:val="110"/>
          <w:vertAlign w:val="baseline"/>
        </w:rPr>
        <w:t>highlighted</w:t>
      </w:r>
    </w:p>
    <w:p>
      <w:pPr>
        <w:pStyle w:val="BodyText"/>
        <w:spacing w:line="268" w:lineRule="auto"/>
        <w:ind w:right="250"/>
      </w:pPr>
      <w:r>
        <w:rPr>
          <w:w w:val="115"/>
        </w:rPr>
        <w:t>in</w:t>
      </w:r>
      <w:r>
        <w:rPr>
          <w:spacing w:val="-2"/>
          <w:w w:val="115"/>
        </w:rPr>
        <w:t> </w:t>
      </w:r>
      <w:r>
        <w:rPr>
          <w:w w:val="115"/>
        </w:rPr>
        <w:t>Chapter</w:t>
      </w:r>
      <w:r>
        <w:rPr>
          <w:spacing w:val="-2"/>
          <w:w w:val="115"/>
        </w:rPr>
        <w:t> </w:t>
      </w:r>
      <w:r>
        <w:rPr/>
        <w:t>1, </w:t>
      </w:r>
      <w:r>
        <w:rPr>
          <w:w w:val="115"/>
        </w:rPr>
        <w:t>therefore,</w:t>
      </w:r>
      <w:r>
        <w:rPr>
          <w:spacing w:val="-2"/>
          <w:w w:val="115"/>
        </w:rPr>
        <w:t> </w:t>
      </w:r>
      <w:r>
        <w:rPr>
          <w:w w:val="115"/>
        </w:rPr>
        <w:t>precisely those features of EU fundamental rights that had strengthened the remedial position of the persons invoking them, such as state liability in</w:t>
      </w:r>
      <w:r>
        <w:rPr>
          <w:spacing w:val="-12"/>
          <w:w w:val="115"/>
        </w:rPr>
        <w:t> </w:t>
      </w:r>
      <w:r>
        <w:rPr>
          <w:w w:val="115"/>
        </w:rPr>
        <w:t>damages</w:t>
      </w:r>
      <w:r>
        <w:rPr>
          <w:spacing w:val="-12"/>
          <w:w w:val="115"/>
        </w:rPr>
        <w:t> </w:t>
      </w:r>
      <w:r>
        <w:rPr>
          <w:w w:val="115"/>
        </w:rPr>
        <w:t>and</w:t>
      </w:r>
      <w:r>
        <w:rPr>
          <w:spacing w:val="-12"/>
          <w:w w:val="115"/>
        </w:rPr>
        <w:t> </w:t>
      </w:r>
      <w:r>
        <w:rPr>
          <w:w w:val="115"/>
        </w:rPr>
        <w:t>disapplication,</w:t>
      </w:r>
      <w:r>
        <w:rPr>
          <w:spacing w:val="-12"/>
          <w:w w:val="115"/>
        </w:rPr>
        <w:t> </w:t>
      </w:r>
      <w:r>
        <w:rPr>
          <w:w w:val="115"/>
        </w:rPr>
        <w:t>were removed under the terms of the EUWA.</w:t>
      </w:r>
      <w:r>
        <w:rPr>
          <w:spacing w:val="-20"/>
          <w:w w:val="115"/>
        </w:rPr>
        <w:t> </w:t>
      </w:r>
      <w:r>
        <w:rPr>
          <w:w w:val="115"/>
        </w:rPr>
        <w:t>And</w:t>
      </w:r>
      <w:r>
        <w:rPr>
          <w:spacing w:val="-19"/>
          <w:w w:val="115"/>
        </w:rPr>
        <w:t> </w:t>
      </w:r>
      <w:r>
        <w:rPr>
          <w:w w:val="115"/>
        </w:rPr>
        <w:t>since</w:t>
      </w:r>
      <w:r>
        <w:rPr>
          <w:spacing w:val="-19"/>
          <w:w w:val="115"/>
        </w:rPr>
        <w:t> </w:t>
      </w:r>
      <w:r>
        <w:rPr>
          <w:w w:val="115"/>
        </w:rPr>
        <w:t>the</w:t>
      </w:r>
      <w:r>
        <w:rPr>
          <w:spacing w:val="-19"/>
          <w:w w:val="115"/>
        </w:rPr>
        <w:t> </w:t>
      </w:r>
      <w:r>
        <w:rPr>
          <w:w w:val="115"/>
        </w:rPr>
        <w:t>entry</w:t>
      </w:r>
      <w:r>
        <w:rPr>
          <w:spacing w:val="-19"/>
          <w:w w:val="115"/>
        </w:rPr>
        <w:t> </w:t>
      </w:r>
      <w:r>
        <w:rPr>
          <w:w w:val="115"/>
        </w:rPr>
        <w:t>into</w:t>
      </w:r>
      <w:r>
        <w:rPr>
          <w:spacing w:val="-20"/>
          <w:w w:val="115"/>
        </w:rPr>
        <w:t> </w:t>
      </w:r>
      <w:r>
        <w:rPr>
          <w:w w:val="115"/>
        </w:rPr>
        <w:t>force</w:t>
      </w:r>
    </w:p>
    <w:p>
      <w:pPr>
        <w:pStyle w:val="BodyText"/>
        <w:spacing w:line="213" w:lineRule="auto"/>
        <w:ind w:right="317"/>
      </w:pPr>
      <w:r>
        <w:rPr>
          <w:rFonts w:ascii="Lucida Sans Unicode"/>
          <w:w w:val="105"/>
        </w:rPr>
        <w:t>of section 4 REULA on the 1st of </w:t>
      </w:r>
      <w:r>
        <w:rPr>
          <w:rFonts w:ascii="Lucida Sans Unicode"/>
          <w:spacing w:val="-2"/>
          <w:w w:val="105"/>
        </w:rPr>
        <w:t>January</w:t>
      </w:r>
      <w:r>
        <w:rPr>
          <w:rFonts w:ascii="Lucida Sans Unicode"/>
          <w:spacing w:val="-18"/>
          <w:w w:val="105"/>
        </w:rPr>
        <w:t> </w:t>
      </w:r>
      <w:r>
        <w:rPr>
          <w:rFonts w:ascii="Lucida Sans Unicode"/>
          <w:spacing w:val="-2"/>
          <w:w w:val="105"/>
        </w:rPr>
        <w:t>2024,</w:t>
      </w:r>
      <w:r>
        <w:rPr>
          <w:rFonts w:ascii="Lucida Sans Unicode"/>
          <w:spacing w:val="-18"/>
          <w:w w:val="105"/>
        </w:rPr>
        <w:t> </w:t>
      </w:r>
      <w:r>
        <w:rPr>
          <w:rFonts w:ascii="Lucida Sans Unicode"/>
          <w:spacing w:val="-2"/>
          <w:w w:val="105"/>
        </w:rPr>
        <w:t>the</w:t>
      </w:r>
      <w:r>
        <w:rPr>
          <w:rFonts w:ascii="Lucida Sans Unicode"/>
          <w:spacing w:val="-18"/>
          <w:w w:val="105"/>
        </w:rPr>
        <w:t> </w:t>
      </w:r>
      <w:r>
        <w:rPr>
          <w:rFonts w:ascii="Lucida Sans Unicode"/>
          <w:spacing w:val="-2"/>
          <w:w w:val="105"/>
        </w:rPr>
        <w:t>general</w:t>
      </w:r>
      <w:r>
        <w:rPr>
          <w:rFonts w:ascii="Lucida Sans Unicode"/>
          <w:spacing w:val="-18"/>
          <w:w w:val="105"/>
        </w:rPr>
        <w:t> </w:t>
      </w:r>
      <w:r>
        <w:rPr>
          <w:rFonts w:ascii="Lucida Sans Unicode"/>
          <w:spacing w:val="-2"/>
          <w:w w:val="105"/>
        </w:rPr>
        <w:t>principles </w:t>
      </w:r>
      <w:r>
        <w:rPr>
          <w:w w:val="105"/>
        </w:rPr>
        <w:t>of</w:t>
      </w:r>
      <w:r>
        <w:rPr>
          <w:spacing w:val="40"/>
          <w:w w:val="105"/>
        </w:rPr>
        <w:t> </w:t>
      </w:r>
      <w:r>
        <w:rPr>
          <w:w w:val="105"/>
        </w:rPr>
        <w:t>EU</w:t>
      </w:r>
      <w:r>
        <w:rPr>
          <w:spacing w:val="40"/>
          <w:w w:val="105"/>
        </w:rPr>
        <w:t> </w:t>
      </w:r>
      <w:r>
        <w:rPr>
          <w:w w:val="105"/>
        </w:rPr>
        <w:t>law</w:t>
      </w:r>
      <w:r>
        <w:rPr>
          <w:spacing w:val="40"/>
          <w:w w:val="105"/>
        </w:rPr>
        <w:t> </w:t>
      </w:r>
      <w:r>
        <w:rPr>
          <w:w w:val="105"/>
        </w:rPr>
        <w:t>are</w:t>
      </w:r>
      <w:r>
        <w:rPr>
          <w:spacing w:val="40"/>
          <w:w w:val="105"/>
        </w:rPr>
        <w:t> </w:t>
      </w:r>
      <w:r>
        <w:rPr>
          <w:w w:val="105"/>
        </w:rPr>
        <w:t>altogether</w:t>
      </w:r>
      <w:r>
        <w:rPr>
          <w:spacing w:val="40"/>
          <w:w w:val="105"/>
        </w:rPr>
        <w:t> </w:t>
      </w:r>
      <w:r>
        <w:rPr>
          <w:w w:val="105"/>
        </w:rPr>
        <w:t>abolished</w:t>
      </w:r>
    </w:p>
    <w:p>
      <w:pPr>
        <w:pStyle w:val="BodyText"/>
        <w:spacing w:line="268" w:lineRule="auto" w:before="25"/>
        <w:ind w:right="253"/>
        <w:jc w:val="both"/>
      </w:pPr>
      <w:r>
        <w:rPr>
          <w:w w:val="115"/>
        </w:rPr>
        <w:t>from</w:t>
      </w:r>
      <w:r>
        <w:rPr>
          <w:spacing w:val="-3"/>
          <w:w w:val="115"/>
        </w:rPr>
        <w:t> </w:t>
      </w:r>
      <w:r>
        <w:rPr>
          <w:w w:val="115"/>
        </w:rPr>
        <w:t>the</w:t>
      </w:r>
      <w:r>
        <w:rPr>
          <w:spacing w:val="-3"/>
          <w:w w:val="115"/>
        </w:rPr>
        <w:t> </w:t>
      </w:r>
      <w:r>
        <w:rPr>
          <w:w w:val="115"/>
        </w:rPr>
        <w:t>domestic</w:t>
      </w:r>
      <w:r>
        <w:rPr>
          <w:spacing w:val="-3"/>
          <w:w w:val="115"/>
        </w:rPr>
        <w:t> </w:t>
      </w:r>
      <w:r>
        <w:rPr>
          <w:w w:val="115"/>
        </w:rPr>
        <w:t>legal</w:t>
      </w:r>
      <w:r>
        <w:rPr>
          <w:spacing w:val="-3"/>
          <w:w w:val="115"/>
        </w:rPr>
        <w:t> </w:t>
      </w:r>
      <w:r>
        <w:rPr>
          <w:w w:val="115"/>
        </w:rPr>
        <w:t>order</w:t>
      </w:r>
      <w:r>
        <w:rPr>
          <w:spacing w:val="-3"/>
          <w:w w:val="115"/>
        </w:rPr>
        <w:t> </w:t>
      </w:r>
      <w:r>
        <w:rPr>
          <w:w w:val="115"/>
        </w:rPr>
        <w:t>(to</w:t>
      </w:r>
      <w:r>
        <w:rPr>
          <w:spacing w:val="-3"/>
          <w:w w:val="115"/>
        </w:rPr>
        <w:t> </w:t>
      </w:r>
      <w:r>
        <w:rPr>
          <w:w w:val="115"/>
        </w:rPr>
        <w:t>the extent</w:t>
      </w:r>
      <w:r>
        <w:rPr>
          <w:spacing w:val="-14"/>
          <w:w w:val="115"/>
        </w:rPr>
        <w:t> </w:t>
      </w:r>
      <w:r>
        <w:rPr>
          <w:w w:val="115"/>
        </w:rPr>
        <w:t>that</w:t>
      </w:r>
      <w:r>
        <w:rPr>
          <w:spacing w:val="-14"/>
          <w:w w:val="115"/>
        </w:rPr>
        <w:t> </w:t>
      </w:r>
      <w:r>
        <w:rPr>
          <w:w w:val="115"/>
        </w:rPr>
        <w:t>this</w:t>
      </w:r>
      <w:r>
        <w:rPr>
          <w:spacing w:val="-14"/>
          <w:w w:val="115"/>
        </w:rPr>
        <w:t> </w:t>
      </w:r>
      <w:r>
        <w:rPr>
          <w:w w:val="115"/>
        </w:rPr>
        <w:t>is</w:t>
      </w:r>
      <w:r>
        <w:rPr>
          <w:spacing w:val="-14"/>
          <w:w w:val="115"/>
        </w:rPr>
        <w:t> </w:t>
      </w:r>
      <w:r>
        <w:rPr>
          <w:w w:val="115"/>
        </w:rPr>
        <w:t>not</w:t>
      </w:r>
      <w:r>
        <w:rPr>
          <w:spacing w:val="-14"/>
          <w:w w:val="115"/>
        </w:rPr>
        <w:t> </w:t>
      </w:r>
      <w:r>
        <w:rPr>
          <w:w w:val="115"/>
        </w:rPr>
        <w:t>reversed</w:t>
      </w:r>
      <w:r>
        <w:rPr>
          <w:spacing w:val="-14"/>
          <w:w w:val="115"/>
        </w:rPr>
        <w:t> </w:t>
      </w:r>
      <w:r>
        <w:rPr>
          <w:w w:val="115"/>
        </w:rPr>
        <w:t>by</w:t>
      </w:r>
      <w:r>
        <w:rPr>
          <w:spacing w:val="-14"/>
          <w:w w:val="115"/>
        </w:rPr>
        <w:t> </w:t>
      </w:r>
      <w:r>
        <w:rPr>
          <w:w w:val="115"/>
        </w:rPr>
        <w:t>the operation of other provisions).</w:t>
      </w:r>
    </w:p>
    <w:p>
      <w:pPr>
        <w:pStyle w:val="BodyText"/>
        <w:spacing w:before="26"/>
        <w:ind w:left="0"/>
      </w:pPr>
    </w:p>
    <w:p>
      <w:pPr>
        <w:pStyle w:val="BodyText"/>
        <w:spacing w:line="268" w:lineRule="auto"/>
        <w:ind w:right="916"/>
        <w:jc w:val="both"/>
      </w:pPr>
      <w:r>
        <w:rPr>
          <w:spacing w:val="-2"/>
          <w:w w:val="115"/>
        </w:rPr>
        <w:t>The</w:t>
      </w:r>
      <w:r>
        <w:rPr>
          <w:spacing w:val="-14"/>
          <w:w w:val="115"/>
        </w:rPr>
        <w:t> </w:t>
      </w:r>
      <w:r>
        <w:rPr>
          <w:spacing w:val="-2"/>
          <w:w w:val="115"/>
        </w:rPr>
        <w:t>position</w:t>
      </w:r>
      <w:r>
        <w:rPr>
          <w:spacing w:val="-14"/>
          <w:w w:val="115"/>
        </w:rPr>
        <w:t> </w:t>
      </w:r>
      <w:r>
        <w:rPr>
          <w:spacing w:val="-2"/>
          <w:w w:val="115"/>
        </w:rPr>
        <w:t>in</w:t>
      </w:r>
      <w:r>
        <w:rPr>
          <w:spacing w:val="-14"/>
          <w:w w:val="115"/>
        </w:rPr>
        <w:t> </w:t>
      </w:r>
      <w:r>
        <w:rPr>
          <w:spacing w:val="-2"/>
          <w:w w:val="115"/>
        </w:rPr>
        <w:t>Northern</w:t>
      </w:r>
      <w:r>
        <w:rPr>
          <w:spacing w:val="-14"/>
          <w:w w:val="115"/>
        </w:rPr>
        <w:t> </w:t>
      </w:r>
      <w:r>
        <w:rPr>
          <w:spacing w:val="-2"/>
          <w:w w:val="115"/>
        </w:rPr>
        <w:t>Ireland </w:t>
      </w:r>
      <w:r>
        <w:rPr>
          <w:w w:val="115"/>
        </w:rPr>
        <w:t>is,</w:t>
      </w:r>
      <w:r>
        <w:rPr>
          <w:spacing w:val="-20"/>
          <w:w w:val="115"/>
        </w:rPr>
        <w:t> </w:t>
      </w:r>
      <w:r>
        <w:rPr>
          <w:w w:val="115"/>
        </w:rPr>
        <w:t>however,</w:t>
      </w:r>
      <w:r>
        <w:rPr>
          <w:spacing w:val="-19"/>
          <w:w w:val="115"/>
        </w:rPr>
        <w:t> </w:t>
      </w:r>
      <w:r>
        <w:rPr>
          <w:w w:val="115"/>
        </w:rPr>
        <w:t>complicated</w:t>
      </w:r>
      <w:r>
        <w:rPr>
          <w:spacing w:val="-19"/>
          <w:w w:val="115"/>
        </w:rPr>
        <w:t> </w:t>
      </w:r>
      <w:r>
        <w:rPr>
          <w:w w:val="115"/>
        </w:rPr>
        <w:t>by</w:t>
      </w:r>
      <w:r>
        <w:rPr>
          <w:spacing w:val="-19"/>
          <w:w w:val="115"/>
        </w:rPr>
        <w:t> </w:t>
      </w:r>
      <w:r>
        <w:rPr>
          <w:w w:val="115"/>
        </w:rPr>
        <w:t>the operation of the Withdrawal</w:t>
      </w:r>
    </w:p>
    <w:p>
      <w:pPr>
        <w:pStyle w:val="BodyText"/>
        <w:spacing w:line="264" w:lineRule="auto" w:before="3"/>
        <w:ind w:right="317"/>
      </w:pPr>
      <w:r>
        <w:rPr>
          <w:w w:val="110"/>
        </w:rPr>
        <w:t>Agreement and Windsor Framework, whereby considerable quantities of EU law continue to have effect </w:t>
      </w:r>
      <w:r>
        <w:rPr>
          <w:w w:val="110"/>
        </w:rPr>
        <w:t>within the jurisdiction </w:t>
      </w:r>
      <w:r>
        <w:rPr>
          <w:rFonts w:ascii="Verdana"/>
          <w:i/>
          <w:w w:val="110"/>
        </w:rPr>
        <w:t>as EU law</w:t>
      </w:r>
      <w:r>
        <w:rPr>
          <w:w w:val="110"/>
        </w:rPr>
        <w:t>, instead</w:t>
      </w:r>
    </w:p>
    <w:p>
      <w:pPr>
        <w:pStyle w:val="BodyText"/>
        <w:spacing w:line="268" w:lineRule="auto" w:before="8"/>
        <w:ind w:right="161"/>
      </w:pPr>
      <w:r>
        <w:rPr>
          <w:w w:val="115"/>
        </w:rPr>
        <w:t>of</w:t>
      </w:r>
      <w:r>
        <w:rPr>
          <w:spacing w:val="-20"/>
          <w:w w:val="115"/>
        </w:rPr>
        <w:t> </w:t>
      </w:r>
      <w:r>
        <w:rPr>
          <w:w w:val="115"/>
        </w:rPr>
        <w:t>the</w:t>
      </w:r>
      <w:r>
        <w:rPr>
          <w:spacing w:val="-19"/>
          <w:w w:val="115"/>
        </w:rPr>
        <w:t> </w:t>
      </w:r>
      <w:r>
        <w:rPr>
          <w:w w:val="115"/>
        </w:rPr>
        <w:t>purely</w:t>
      </w:r>
      <w:r>
        <w:rPr>
          <w:spacing w:val="-19"/>
          <w:w w:val="115"/>
        </w:rPr>
        <w:t> </w:t>
      </w:r>
      <w:r>
        <w:rPr>
          <w:w w:val="115"/>
        </w:rPr>
        <w:t>domestic</w:t>
      </w:r>
      <w:r>
        <w:rPr>
          <w:spacing w:val="-19"/>
          <w:w w:val="115"/>
        </w:rPr>
        <w:t> </w:t>
      </w:r>
      <w:r>
        <w:rPr>
          <w:w w:val="115"/>
        </w:rPr>
        <w:t>‘retained</w:t>
      </w:r>
      <w:r>
        <w:rPr>
          <w:spacing w:val="-19"/>
          <w:w w:val="115"/>
        </w:rPr>
        <w:t> </w:t>
      </w:r>
      <w:r>
        <w:rPr>
          <w:w w:val="115"/>
        </w:rPr>
        <w:t>EU law’/assimilated law. This follows from</w:t>
      </w:r>
      <w:r>
        <w:rPr>
          <w:spacing w:val="-3"/>
          <w:w w:val="115"/>
        </w:rPr>
        <w:t> </w:t>
      </w:r>
      <w:r>
        <w:rPr>
          <w:w w:val="115"/>
        </w:rPr>
        <w:t>section</w:t>
      </w:r>
      <w:r>
        <w:rPr>
          <w:spacing w:val="-3"/>
          <w:w w:val="115"/>
        </w:rPr>
        <w:t> </w:t>
      </w:r>
      <w:r>
        <w:rPr>
          <w:w w:val="115"/>
        </w:rPr>
        <w:t>7A</w:t>
      </w:r>
      <w:r>
        <w:rPr>
          <w:spacing w:val="-3"/>
          <w:w w:val="115"/>
        </w:rPr>
        <w:t> </w:t>
      </w:r>
      <w:r>
        <w:rPr>
          <w:w w:val="115"/>
        </w:rPr>
        <w:t>EUWA</w:t>
      </w:r>
      <w:r>
        <w:rPr>
          <w:spacing w:val="-3"/>
          <w:w w:val="115"/>
        </w:rPr>
        <w:t> </w:t>
      </w:r>
      <w:r>
        <w:rPr>
          <w:w w:val="115"/>
        </w:rPr>
        <w:t>–</w:t>
      </w:r>
      <w:r>
        <w:rPr>
          <w:spacing w:val="-3"/>
          <w:w w:val="115"/>
        </w:rPr>
        <w:t> </w:t>
      </w:r>
      <w:r>
        <w:rPr>
          <w:w w:val="115"/>
        </w:rPr>
        <w:t>added</w:t>
      </w:r>
      <w:r>
        <w:rPr>
          <w:spacing w:val="-3"/>
          <w:w w:val="115"/>
        </w:rPr>
        <w:t> </w:t>
      </w:r>
      <w:r>
        <w:rPr>
          <w:w w:val="115"/>
        </w:rPr>
        <w:t>to the</w:t>
      </w:r>
      <w:r>
        <w:rPr>
          <w:spacing w:val="-1"/>
          <w:w w:val="115"/>
        </w:rPr>
        <w:t> </w:t>
      </w:r>
      <w:r>
        <w:rPr>
          <w:w w:val="115"/>
        </w:rPr>
        <w:t>EUWA</w:t>
      </w:r>
      <w:r>
        <w:rPr>
          <w:spacing w:val="-1"/>
          <w:w w:val="115"/>
        </w:rPr>
        <w:t> </w:t>
      </w:r>
      <w:r>
        <w:rPr>
          <w:w w:val="115"/>
        </w:rPr>
        <w:t>by</w:t>
      </w:r>
      <w:r>
        <w:rPr>
          <w:spacing w:val="-1"/>
          <w:w w:val="115"/>
        </w:rPr>
        <w:t> </w:t>
      </w:r>
      <w:r>
        <w:rPr>
          <w:w w:val="115"/>
        </w:rPr>
        <w:t>the</w:t>
      </w:r>
      <w:r>
        <w:rPr>
          <w:spacing w:val="-1"/>
          <w:w w:val="115"/>
        </w:rPr>
        <w:t> </w:t>
      </w:r>
      <w:r>
        <w:rPr>
          <w:w w:val="115"/>
        </w:rPr>
        <w:t>European</w:t>
      </w:r>
      <w:r>
        <w:rPr>
          <w:spacing w:val="-1"/>
          <w:w w:val="115"/>
        </w:rPr>
        <w:t> </w:t>
      </w:r>
      <w:r>
        <w:rPr>
          <w:w w:val="115"/>
        </w:rPr>
        <w:t>Union</w:t>
      </w:r>
    </w:p>
    <w:p>
      <w:pPr>
        <w:pStyle w:val="BodyText"/>
        <w:spacing w:line="324" w:lineRule="exact"/>
        <w:rPr>
          <w:rFonts w:ascii="Lucida Sans Unicode" w:hAnsi="Lucida Sans Unicode"/>
        </w:rPr>
      </w:pPr>
      <w:r>
        <w:rPr>
          <w:rFonts w:ascii="Lucida Sans Unicode" w:hAnsi="Lucida Sans Unicode"/>
          <w:w w:val="105"/>
        </w:rPr>
        <w:t>(Withdrawal</w:t>
      </w:r>
      <w:r>
        <w:rPr>
          <w:rFonts w:ascii="Lucida Sans Unicode" w:hAnsi="Lucida Sans Unicode"/>
          <w:spacing w:val="1"/>
          <w:w w:val="105"/>
        </w:rPr>
        <w:t> </w:t>
      </w:r>
      <w:r>
        <w:rPr>
          <w:rFonts w:ascii="Lucida Sans Unicode" w:hAnsi="Lucida Sans Unicode"/>
          <w:w w:val="105"/>
        </w:rPr>
        <w:t>Agreement)</w:t>
      </w:r>
      <w:r>
        <w:rPr>
          <w:rFonts w:ascii="Lucida Sans Unicode" w:hAnsi="Lucida Sans Unicode"/>
          <w:spacing w:val="2"/>
          <w:w w:val="105"/>
        </w:rPr>
        <w:t> </w:t>
      </w:r>
      <w:r>
        <w:rPr>
          <w:rFonts w:ascii="Lucida Sans Unicode" w:hAnsi="Lucida Sans Unicode"/>
          <w:w w:val="105"/>
        </w:rPr>
        <w:t>Act</w:t>
      </w:r>
      <w:r>
        <w:rPr>
          <w:rFonts w:ascii="Lucida Sans Unicode" w:hAnsi="Lucida Sans Unicode"/>
          <w:spacing w:val="2"/>
          <w:w w:val="105"/>
        </w:rPr>
        <w:t> </w:t>
      </w:r>
      <w:r>
        <w:rPr>
          <w:rFonts w:ascii="Lucida Sans Unicode" w:hAnsi="Lucida Sans Unicode"/>
          <w:w w:val="105"/>
        </w:rPr>
        <w:t>2020</w:t>
      </w:r>
      <w:r>
        <w:rPr>
          <w:rFonts w:ascii="Lucida Sans Unicode" w:hAnsi="Lucida Sans Unicode"/>
          <w:spacing w:val="1"/>
          <w:w w:val="105"/>
        </w:rPr>
        <w:t> </w:t>
      </w:r>
      <w:r>
        <w:rPr>
          <w:rFonts w:ascii="Lucida Sans Unicode" w:hAnsi="Lucida Sans Unicode"/>
          <w:spacing w:val="-10"/>
          <w:w w:val="105"/>
        </w:rPr>
        <w:t>–</w:t>
      </w:r>
    </w:p>
    <w:p>
      <w:pPr>
        <w:pStyle w:val="BodyText"/>
        <w:spacing w:line="266" w:lineRule="exact"/>
      </w:pPr>
      <w:r>
        <w:rPr>
          <w:spacing w:val="-2"/>
          <w:w w:val="115"/>
        </w:rPr>
        <w:t>which</w:t>
      </w:r>
      <w:r>
        <w:rPr>
          <w:spacing w:val="-10"/>
          <w:w w:val="115"/>
        </w:rPr>
        <w:t> </w:t>
      </w:r>
      <w:r>
        <w:rPr>
          <w:spacing w:val="-2"/>
          <w:w w:val="115"/>
        </w:rPr>
        <w:t>does</w:t>
      </w:r>
      <w:r>
        <w:rPr>
          <w:spacing w:val="-10"/>
          <w:w w:val="115"/>
        </w:rPr>
        <w:t> </w:t>
      </w:r>
      <w:r>
        <w:rPr>
          <w:spacing w:val="-2"/>
          <w:w w:val="115"/>
        </w:rPr>
        <w:t>three</w:t>
      </w:r>
      <w:r>
        <w:rPr>
          <w:spacing w:val="-10"/>
          <w:w w:val="115"/>
        </w:rPr>
        <w:t> </w:t>
      </w:r>
      <w:r>
        <w:rPr>
          <w:spacing w:val="-2"/>
          <w:w w:val="115"/>
        </w:rPr>
        <w:t>things.</w:t>
      </w:r>
    </w:p>
    <w:p>
      <w:pPr>
        <w:spacing w:after="0" w:line="266" w:lineRule="exact"/>
        <w:sectPr>
          <w:type w:val="continuous"/>
          <w:pgSz w:w="11910" w:h="16840"/>
          <w:pgMar w:header="568" w:footer="580" w:top="0" w:bottom="280" w:left="1020" w:right="1020"/>
          <w:cols w:num="2" w:equalWidth="0">
            <w:col w:w="4735" w:space="311"/>
            <w:col w:w="4824"/>
          </w:cols>
        </w:sectPr>
      </w:pPr>
    </w:p>
    <w:p>
      <w:pPr>
        <w:pStyle w:val="BodyText"/>
        <w:spacing w:before="208"/>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105" name="Group 105"/>
                <wp:cNvGraphicFramePr>
                  <a:graphicFrameLocks/>
                </wp:cNvGraphicFramePr>
                <a:graphic>
                  <a:graphicData uri="http://schemas.microsoft.com/office/word/2010/wordprocessingGroup">
                    <wpg:wgp>
                      <wpg:cNvPr id="105" name="Group 105"/>
                      <wpg:cNvGrpSpPr/>
                      <wpg:grpSpPr>
                        <a:xfrm>
                          <a:off x="0" y="0"/>
                          <a:ext cx="6120130" cy="6350"/>
                          <a:chExt cx="6120130" cy="6350"/>
                        </a:xfrm>
                      </wpg:grpSpPr>
                      <wps:wsp>
                        <wps:cNvPr id="106" name="Graphic 106"/>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71"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7" w:val="left" w:leader="none"/>
        </w:tabs>
        <w:spacing w:line="223" w:lineRule="exact" w:before="61" w:after="0"/>
        <w:ind w:left="567" w:right="0" w:hanging="454"/>
        <w:jc w:val="left"/>
        <w:rPr>
          <w:sz w:val="16"/>
        </w:rPr>
      </w:pPr>
      <w:r>
        <w:rPr>
          <w:sz w:val="16"/>
        </w:rPr>
        <w:t>See</w:t>
      </w:r>
      <w:r>
        <w:rPr>
          <w:spacing w:val="2"/>
          <w:sz w:val="16"/>
        </w:rPr>
        <w:t> </w:t>
      </w:r>
      <w:r>
        <w:rPr>
          <w:sz w:val="16"/>
        </w:rPr>
        <w:t>EUWA,</w:t>
      </w:r>
      <w:r>
        <w:rPr>
          <w:spacing w:val="3"/>
          <w:sz w:val="16"/>
        </w:rPr>
        <w:t> </w:t>
      </w:r>
      <w:r>
        <w:rPr>
          <w:sz w:val="16"/>
        </w:rPr>
        <w:t>ss</w:t>
      </w:r>
      <w:r>
        <w:rPr>
          <w:spacing w:val="3"/>
          <w:sz w:val="16"/>
        </w:rPr>
        <w:t> </w:t>
      </w:r>
      <w:r>
        <w:rPr>
          <w:sz w:val="16"/>
        </w:rPr>
        <w:t>2-7</w:t>
      </w:r>
      <w:r>
        <w:rPr>
          <w:spacing w:val="2"/>
          <w:sz w:val="16"/>
        </w:rPr>
        <w:t> </w:t>
      </w:r>
      <w:r>
        <w:rPr>
          <w:sz w:val="16"/>
        </w:rPr>
        <w:t>and</w:t>
      </w:r>
      <w:r>
        <w:rPr>
          <w:spacing w:val="3"/>
          <w:sz w:val="16"/>
        </w:rPr>
        <w:t> </w:t>
      </w:r>
      <w:r>
        <w:rPr>
          <w:sz w:val="16"/>
        </w:rPr>
        <w:t>sch.</w:t>
      </w:r>
      <w:r>
        <w:rPr>
          <w:spacing w:val="3"/>
          <w:sz w:val="16"/>
        </w:rPr>
        <w:t> </w:t>
      </w:r>
      <w:r>
        <w:rPr>
          <w:spacing w:val="-5"/>
          <w:sz w:val="16"/>
        </w:rPr>
        <w:t>1.</w:t>
      </w:r>
    </w:p>
    <w:p>
      <w:pPr>
        <w:pStyle w:val="ListParagraph"/>
        <w:numPr>
          <w:ilvl w:val="0"/>
          <w:numId w:val="6"/>
        </w:numPr>
        <w:tabs>
          <w:tab w:pos="564" w:val="left" w:leader="none"/>
        </w:tabs>
        <w:spacing w:line="200" w:lineRule="exact" w:before="0" w:after="0"/>
        <w:ind w:left="564" w:right="0" w:hanging="451"/>
        <w:jc w:val="left"/>
        <w:rPr>
          <w:sz w:val="16"/>
        </w:rPr>
      </w:pPr>
      <w:r>
        <w:rPr>
          <w:sz w:val="16"/>
        </w:rPr>
        <w:t>See</w:t>
      </w:r>
      <w:r>
        <w:rPr>
          <w:spacing w:val="20"/>
          <w:sz w:val="16"/>
        </w:rPr>
        <w:t> </w:t>
      </w:r>
      <w:r>
        <w:rPr>
          <w:sz w:val="16"/>
        </w:rPr>
        <w:t>Chapter</w:t>
      </w:r>
      <w:r>
        <w:rPr>
          <w:spacing w:val="20"/>
          <w:sz w:val="16"/>
        </w:rPr>
        <w:t> </w:t>
      </w:r>
      <w:r>
        <w:rPr>
          <w:spacing w:val="-5"/>
          <w:sz w:val="16"/>
        </w:rPr>
        <w:t>1.</w:t>
      </w:r>
    </w:p>
    <w:p>
      <w:pPr>
        <w:pStyle w:val="ListParagraph"/>
        <w:numPr>
          <w:ilvl w:val="0"/>
          <w:numId w:val="6"/>
        </w:numPr>
        <w:tabs>
          <w:tab w:pos="567" w:val="left" w:leader="none"/>
        </w:tabs>
        <w:spacing w:line="223" w:lineRule="exact" w:before="0" w:after="0"/>
        <w:ind w:left="567" w:right="0" w:hanging="454"/>
        <w:jc w:val="left"/>
        <w:rPr>
          <w:sz w:val="16"/>
        </w:rPr>
      </w:pPr>
      <w:r>
        <w:rPr>
          <w:spacing w:val="-2"/>
          <w:w w:val="105"/>
          <w:sz w:val="16"/>
        </w:rPr>
        <w:t>This</w:t>
      </w:r>
      <w:r>
        <w:rPr>
          <w:spacing w:val="-6"/>
          <w:w w:val="105"/>
          <w:sz w:val="16"/>
        </w:rPr>
        <w:t> </w:t>
      </w:r>
      <w:r>
        <w:rPr>
          <w:spacing w:val="-2"/>
          <w:w w:val="105"/>
          <w:sz w:val="16"/>
        </w:rPr>
        <w:t>is</w:t>
      </w:r>
      <w:r>
        <w:rPr>
          <w:spacing w:val="-6"/>
          <w:w w:val="105"/>
          <w:sz w:val="16"/>
        </w:rPr>
        <w:t> </w:t>
      </w:r>
      <w:r>
        <w:rPr>
          <w:spacing w:val="-2"/>
          <w:w w:val="105"/>
          <w:sz w:val="16"/>
        </w:rPr>
        <w:t>the</w:t>
      </w:r>
      <w:r>
        <w:rPr>
          <w:spacing w:val="-6"/>
          <w:w w:val="105"/>
          <w:sz w:val="16"/>
        </w:rPr>
        <w:t> </w:t>
      </w:r>
      <w:r>
        <w:rPr>
          <w:spacing w:val="-2"/>
          <w:w w:val="105"/>
          <w:sz w:val="16"/>
        </w:rPr>
        <w:t>case</w:t>
      </w:r>
      <w:r>
        <w:rPr>
          <w:spacing w:val="-5"/>
          <w:w w:val="105"/>
          <w:sz w:val="16"/>
        </w:rPr>
        <w:t> </w:t>
      </w:r>
      <w:r>
        <w:rPr>
          <w:spacing w:val="-2"/>
          <w:w w:val="105"/>
          <w:sz w:val="16"/>
        </w:rPr>
        <w:t>except</w:t>
      </w:r>
      <w:r>
        <w:rPr>
          <w:spacing w:val="-6"/>
          <w:w w:val="105"/>
          <w:sz w:val="16"/>
        </w:rPr>
        <w:t> </w:t>
      </w:r>
      <w:r>
        <w:rPr>
          <w:spacing w:val="-2"/>
          <w:w w:val="105"/>
          <w:sz w:val="16"/>
        </w:rPr>
        <w:t>in</w:t>
      </w:r>
      <w:r>
        <w:rPr>
          <w:spacing w:val="-6"/>
          <w:w w:val="105"/>
          <w:sz w:val="16"/>
        </w:rPr>
        <w:t> </w:t>
      </w:r>
      <w:r>
        <w:rPr>
          <w:spacing w:val="-2"/>
          <w:w w:val="105"/>
          <w:sz w:val="16"/>
        </w:rPr>
        <w:t>limited</w:t>
      </w:r>
      <w:r>
        <w:rPr>
          <w:spacing w:val="-5"/>
          <w:w w:val="105"/>
          <w:sz w:val="16"/>
        </w:rPr>
        <w:t> </w:t>
      </w:r>
      <w:r>
        <w:rPr>
          <w:spacing w:val="-2"/>
          <w:w w:val="105"/>
          <w:sz w:val="16"/>
        </w:rPr>
        <w:t>situations,</w:t>
      </w:r>
      <w:r>
        <w:rPr>
          <w:spacing w:val="-6"/>
          <w:w w:val="105"/>
          <w:sz w:val="16"/>
        </w:rPr>
        <w:t> </w:t>
      </w:r>
      <w:r>
        <w:rPr>
          <w:spacing w:val="-2"/>
          <w:w w:val="105"/>
          <w:sz w:val="16"/>
        </w:rPr>
        <w:t>governed</w:t>
      </w:r>
      <w:r>
        <w:rPr>
          <w:spacing w:val="-6"/>
          <w:w w:val="105"/>
          <w:sz w:val="16"/>
        </w:rPr>
        <w:t> </w:t>
      </w:r>
      <w:r>
        <w:rPr>
          <w:spacing w:val="-2"/>
          <w:w w:val="105"/>
          <w:sz w:val="16"/>
        </w:rPr>
        <w:t>by</w:t>
      </w:r>
      <w:r>
        <w:rPr>
          <w:spacing w:val="-5"/>
          <w:w w:val="105"/>
          <w:sz w:val="16"/>
        </w:rPr>
        <w:t> </w:t>
      </w:r>
      <w:r>
        <w:rPr>
          <w:spacing w:val="-2"/>
          <w:w w:val="105"/>
          <w:sz w:val="16"/>
        </w:rPr>
        <w:t>the</w:t>
      </w:r>
      <w:r>
        <w:rPr>
          <w:spacing w:val="-6"/>
          <w:w w:val="105"/>
          <w:sz w:val="16"/>
        </w:rPr>
        <w:t> </w:t>
      </w:r>
      <w:r>
        <w:rPr>
          <w:spacing w:val="-2"/>
          <w:w w:val="105"/>
          <w:sz w:val="16"/>
        </w:rPr>
        <w:t>EUWA,</w:t>
      </w:r>
      <w:r>
        <w:rPr>
          <w:spacing w:val="-6"/>
          <w:w w:val="105"/>
          <w:sz w:val="16"/>
        </w:rPr>
        <w:t> </w:t>
      </w:r>
      <w:r>
        <w:rPr>
          <w:spacing w:val="-2"/>
          <w:w w:val="105"/>
          <w:sz w:val="16"/>
        </w:rPr>
        <w:t>Schedule</w:t>
      </w:r>
      <w:r>
        <w:rPr>
          <w:spacing w:val="-5"/>
          <w:w w:val="105"/>
          <w:sz w:val="16"/>
        </w:rPr>
        <w:t> </w:t>
      </w:r>
      <w:r>
        <w:rPr>
          <w:spacing w:val="-2"/>
          <w:w w:val="105"/>
          <w:sz w:val="16"/>
        </w:rPr>
        <w:t>8(39)</w:t>
      </w:r>
    </w:p>
    <w:p>
      <w:pPr>
        <w:spacing w:after="0" w:line="223" w:lineRule="exact"/>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310" w:lineRule="exact" w:before="49"/>
        <w:ind w:right="234"/>
      </w:pPr>
      <w:bookmarkStart w:name="b. The impact of the statutory provision" w:id="35"/>
      <w:bookmarkEnd w:id="35"/>
      <w:r>
        <w:rPr/>
      </w:r>
      <w:bookmarkStart w:name="_bookmark14" w:id="36"/>
      <w:bookmarkEnd w:id="36"/>
      <w:r>
        <w:rPr/>
      </w:r>
      <w:r>
        <w:rPr>
          <w:w w:val="110"/>
        </w:rPr>
        <w:t>First, it directly incorporates the entirety of the UK-EU Withdrawal Agreement into domestic law.</w:t>
      </w:r>
      <w:r>
        <w:rPr>
          <w:rFonts w:ascii="Lucida Sans Unicode" w:hAnsi="Lucida Sans Unicode"/>
          <w:w w:val="110"/>
          <w:vertAlign w:val="superscript"/>
        </w:rPr>
        <w:t>126</w:t>
      </w:r>
      <w:r>
        <w:rPr>
          <w:rFonts w:ascii="Lucida Sans Unicode" w:hAnsi="Lucida Sans Unicode"/>
          <w:w w:val="110"/>
          <w:vertAlign w:val="baseline"/>
        </w:rPr>
        <w:t> </w:t>
      </w:r>
      <w:r>
        <w:rPr>
          <w:rFonts w:ascii="Lucida Sans Unicode" w:hAnsi="Lucida Sans Unicode"/>
          <w:vertAlign w:val="baseline"/>
        </w:rPr>
        <w:t>Second, it mandates that the ‘rights, </w:t>
      </w:r>
      <w:r>
        <w:rPr>
          <w:w w:val="110"/>
          <w:vertAlign w:val="baseline"/>
        </w:rPr>
        <w:t>powers, liabilities, obligations and restrictions’ which are created, or which arise ‘from time to time’ </w:t>
      </w:r>
      <w:r>
        <w:rPr>
          <w:w w:val="110"/>
          <w:vertAlign w:val="baseline"/>
        </w:rPr>
        <w:t>under the Withdrawal Agreement, be</w:t>
      </w:r>
    </w:p>
    <w:p>
      <w:pPr>
        <w:pStyle w:val="BodyText"/>
        <w:spacing w:line="247" w:lineRule="auto" w:before="23"/>
        <w:ind w:right="164"/>
        <w:rPr>
          <w:rFonts w:ascii="Lucida Sans Unicode" w:hAnsi="Lucida Sans Unicode"/>
        </w:rPr>
      </w:pPr>
      <w:r>
        <w:rPr>
          <w:w w:val="115"/>
        </w:rPr>
        <w:t>given legal effect within domestic law ‘without further enactment’.</w:t>
      </w:r>
      <w:r>
        <w:rPr>
          <w:rFonts w:ascii="Lucida Sans Unicode" w:hAnsi="Lucida Sans Unicode"/>
          <w:w w:val="115"/>
          <w:vertAlign w:val="superscript"/>
        </w:rPr>
        <w:t>127</w:t>
      </w:r>
      <w:r>
        <w:rPr>
          <w:rFonts w:ascii="Lucida Sans Unicode" w:hAnsi="Lucida Sans Unicode"/>
          <w:w w:val="115"/>
          <w:vertAlign w:val="baseline"/>
        </w:rPr>
        <w:t> </w:t>
      </w:r>
      <w:r>
        <w:rPr>
          <w:w w:val="115"/>
          <w:vertAlign w:val="baseline"/>
        </w:rPr>
        <w:t>Third, it subjects every enactment, </w:t>
      </w:r>
      <w:r>
        <w:rPr>
          <w:spacing w:val="-2"/>
          <w:w w:val="115"/>
          <w:vertAlign w:val="baseline"/>
        </w:rPr>
        <w:t>including</w:t>
      </w:r>
      <w:r>
        <w:rPr>
          <w:spacing w:val="-14"/>
          <w:w w:val="115"/>
          <w:vertAlign w:val="baseline"/>
        </w:rPr>
        <w:t> </w:t>
      </w:r>
      <w:r>
        <w:rPr>
          <w:spacing w:val="-2"/>
          <w:w w:val="115"/>
          <w:vertAlign w:val="baseline"/>
        </w:rPr>
        <w:t>provisions</w:t>
      </w:r>
      <w:r>
        <w:rPr>
          <w:spacing w:val="-14"/>
          <w:w w:val="115"/>
          <w:vertAlign w:val="baseline"/>
        </w:rPr>
        <w:t> </w:t>
      </w:r>
      <w:r>
        <w:rPr>
          <w:spacing w:val="-2"/>
          <w:w w:val="115"/>
          <w:vertAlign w:val="baseline"/>
        </w:rPr>
        <w:t>within</w:t>
      </w:r>
      <w:r>
        <w:rPr>
          <w:spacing w:val="-14"/>
          <w:w w:val="115"/>
          <w:vertAlign w:val="baseline"/>
        </w:rPr>
        <w:t> </w:t>
      </w:r>
      <w:r>
        <w:rPr>
          <w:spacing w:val="-2"/>
          <w:w w:val="115"/>
          <w:vertAlign w:val="baseline"/>
        </w:rPr>
        <w:t>the</w:t>
      </w:r>
      <w:r>
        <w:rPr>
          <w:spacing w:val="-14"/>
          <w:w w:val="115"/>
          <w:vertAlign w:val="baseline"/>
        </w:rPr>
        <w:t> </w:t>
      </w:r>
      <w:r>
        <w:rPr>
          <w:spacing w:val="-2"/>
          <w:w w:val="115"/>
          <w:vertAlign w:val="baseline"/>
        </w:rPr>
        <w:t>EUWA </w:t>
      </w:r>
      <w:r>
        <w:rPr>
          <w:w w:val="115"/>
          <w:vertAlign w:val="baseline"/>
        </w:rPr>
        <w:t>itself,</w:t>
      </w:r>
      <w:r>
        <w:rPr>
          <w:spacing w:val="-7"/>
          <w:w w:val="115"/>
          <w:vertAlign w:val="baseline"/>
        </w:rPr>
        <w:t> </w:t>
      </w:r>
      <w:r>
        <w:rPr>
          <w:w w:val="115"/>
          <w:vertAlign w:val="baseline"/>
        </w:rPr>
        <w:t>to</w:t>
      </w:r>
      <w:r>
        <w:rPr>
          <w:spacing w:val="-7"/>
          <w:w w:val="115"/>
          <w:vertAlign w:val="baseline"/>
        </w:rPr>
        <w:t> </w:t>
      </w:r>
      <w:r>
        <w:rPr>
          <w:w w:val="115"/>
          <w:vertAlign w:val="baseline"/>
        </w:rPr>
        <w:t>the</w:t>
      </w:r>
      <w:r>
        <w:rPr>
          <w:spacing w:val="-7"/>
          <w:w w:val="115"/>
          <w:vertAlign w:val="baseline"/>
        </w:rPr>
        <w:t> </w:t>
      </w:r>
      <w:r>
        <w:rPr>
          <w:w w:val="115"/>
          <w:vertAlign w:val="baseline"/>
        </w:rPr>
        <w:t>incorporated</w:t>
      </w:r>
      <w:r>
        <w:rPr>
          <w:spacing w:val="-7"/>
          <w:w w:val="115"/>
          <w:vertAlign w:val="baseline"/>
        </w:rPr>
        <w:t> </w:t>
      </w:r>
      <w:r>
        <w:rPr>
          <w:w w:val="115"/>
          <w:vertAlign w:val="baseline"/>
        </w:rPr>
        <w:t>Withdrawal </w:t>
      </w:r>
      <w:r>
        <w:rPr>
          <w:spacing w:val="-2"/>
          <w:w w:val="115"/>
          <w:vertAlign w:val="baseline"/>
        </w:rPr>
        <w:t>Agreement.</w:t>
      </w:r>
      <w:r>
        <w:rPr>
          <w:rFonts w:ascii="Lucida Sans Unicode" w:hAnsi="Lucida Sans Unicode"/>
          <w:spacing w:val="-2"/>
          <w:w w:val="115"/>
          <w:vertAlign w:val="superscript"/>
        </w:rPr>
        <w:t>128</w:t>
      </w:r>
    </w:p>
    <w:p>
      <w:pPr>
        <w:pStyle w:val="Heading4"/>
        <w:numPr>
          <w:ilvl w:val="1"/>
          <w:numId w:val="9"/>
        </w:numPr>
        <w:tabs>
          <w:tab w:pos="411" w:val="left" w:leader="none"/>
        </w:tabs>
        <w:spacing w:line="256" w:lineRule="auto" w:before="248" w:after="0"/>
        <w:ind w:left="113" w:right="993" w:firstLine="0"/>
        <w:jc w:val="left"/>
      </w:pPr>
      <w:r>
        <w:rPr>
          <w:color w:val="77328A"/>
        </w:rPr>
        <w:t>The impact of the </w:t>
      </w:r>
      <w:r>
        <w:rPr>
          <w:color w:val="77328A"/>
        </w:rPr>
        <w:t>statutory </w:t>
      </w:r>
      <w:r>
        <w:rPr>
          <w:color w:val="77328A"/>
          <w:spacing w:val="-2"/>
        </w:rPr>
        <w:t>provisions</w:t>
      </w:r>
    </w:p>
    <w:p>
      <w:pPr>
        <w:pStyle w:val="BodyText"/>
        <w:spacing w:line="252" w:lineRule="auto" w:before="15"/>
        <w:ind w:right="310"/>
        <w:rPr>
          <w:rFonts w:ascii="Lucida Sans Unicode"/>
        </w:rPr>
      </w:pPr>
      <w:r>
        <w:rPr>
          <w:w w:val="110"/>
        </w:rPr>
        <w:t>The immediate consequence which arises from section 7A is the same</w:t>
      </w:r>
      <w:r>
        <w:rPr>
          <w:spacing w:val="40"/>
          <w:w w:val="110"/>
        </w:rPr>
        <w:t> </w:t>
      </w:r>
      <w:r>
        <w:rPr>
          <w:rFonts w:ascii="Lucida Sans Unicode"/>
        </w:rPr>
        <w:t>as</w:t>
      </w:r>
      <w:r>
        <w:rPr>
          <w:rFonts w:ascii="Lucida Sans Unicode"/>
          <w:spacing w:val="11"/>
        </w:rPr>
        <w:t> </w:t>
      </w:r>
      <w:r>
        <w:rPr>
          <w:rFonts w:ascii="Lucida Sans Unicode"/>
        </w:rPr>
        <w:t>under</w:t>
      </w:r>
      <w:r>
        <w:rPr>
          <w:rFonts w:ascii="Lucida Sans Unicode"/>
          <w:spacing w:val="12"/>
        </w:rPr>
        <w:t> </w:t>
      </w:r>
      <w:r>
        <w:rPr>
          <w:rFonts w:ascii="Lucida Sans Unicode"/>
        </w:rPr>
        <w:t>the</w:t>
      </w:r>
      <w:r>
        <w:rPr>
          <w:rFonts w:ascii="Lucida Sans Unicode"/>
          <w:spacing w:val="11"/>
        </w:rPr>
        <w:t> </w:t>
      </w:r>
      <w:r>
        <w:rPr>
          <w:rFonts w:ascii="Lucida Sans Unicode"/>
        </w:rPr>
        <w:t>now</w:t>
      </w:r>
      <w:r>
        <w:rPr>
          <w:rFonts w:ascii="Lucida Sans Unicode"/>
          <w:spacing w:val="12"/>
        </w:rPr>
        <w:t> </w:t>
      </w:r>
      <w:r>
        <w:rPr>
          <w:rFonts w:ascii="Lucida Sans Unicode"/>
        </w:rPr>
        <w:t>repealed</w:t>
      </w:r>
      <w:r>
        <w:rPr>
          <w:rFonts w:ascii="Lucida Sans Unicode"/>
          <w:spacing w:val="11"/>
        </w:rPr>
        <w:t> </w:t>
      </w:r>
      <w:r>
        <w:rPr>
          <w:rFonts w:ascii="Lucida Sans Unicode"/>
        </w:rPr>
        <w:t>section</w:t>
      </w:r>
      <w:r>
        <w:rPr>
          <w:rFonts w:ascii="Lucida Sans Unicode"/>
          <w:spacing w:val="12"/>
        </w:rPr>
        <w:t> </w:t>
      </w:r>
      <w:r>
        <w:rPr>
          <w:rFonts w:ascii="Lucida Sans Unicode"/>
          <w:spacing w:val="-10"/>
        </w:rPr>
        <w:t>2</w:t>
      </w:r>
    </w:p>
    <w:p>
      <w:pPr>
        <w:pStyle w:val="BodyText"/>
        <w:spacing w:line="237" w:lineRule="exact"/>
      </w:pPr>
      <w:r>
        <w:rPr>
          <w:w w:val="110"/>
        </w:rPr>
        <w:t>(1)</w:t>
      </w:r>
      <w:r>
        <w:rPr>
          <w:spacing w:val="2"/>
          <w:w w:val="110"/>
        </w:rPr>
        <w:t> </w:t>
      </w:r>
      <w:r>
        <w:rPr>
          <w:w w:val="110"/>
        </w:rPr>
        <w:t>of</w:t>
      </w:r>
      <w:r>
        <w:rPr>
          <w:spacing w:val="3"/>
          <w:w w:val="110"/>
        </w:rPr>
        <w:t> </w:t>
      </w:r>
      <w:r>
        <w:rPr>
          <w:w w:val="110"/>
        </w:rPr>
        <w:t>the</w:t>
      </w:r>
      <w:r>
        <w:rPr>
          <w:spacing w:val="3"/>
          <w:w w:val="110"/>
        </w:rPr>
        <w:t> </w:t>
      </w:r>
      <w:r>
        <w:rPr>
          <w:w w:val="110"/>
        </w:rPr>
        <w:t>European</w:t>
      </w:r>
      <w:r>
        <w:rPr>
          <w:spacing w:val="3"/>
          <w:w w:val="110"/>
        </w:rPr>
        <w:t> </w:t>
      </w:r>
      <w:r>
        <w:rPr>
          <w:w w:val="110"/>
        </w:rPr>
        <w:t>Communities</w:t>
      </w:r>
      <w:r>
        <w:rPr>
          <w:spacing w:val="3"/>
          <w:w w:val="110"/>
        </w:rPr>
        <w:t> </w:t>
      </w:r>
      <w:r>
        <w:rPr>
          <w:spacing w:val="-5"/>
          <w:w w:val="110"/>
        </w:rPr>
        <w:t>Act</w:t>
      </w:r>
    </w:p>
    <w:p>
      <w:pPr>
        <w:pStyle w:val="BodyText"/>
        <w:spacing w:line="310" w:lineRule="exact" w:before="14"/>
        <w:ind w:right="105"/>
        <w:rPr>
          <w:rFonts w:ascii="Lucida Sans Unicode"/>
        </w:rPr>
      </w:pPr>
      <w:r>
        <w:rPr>
          <w:rFonts w:ascii="Lucida Sans Unicode"/>
        </w:rPr>
        <w:t>1972: the entirety of the Withdrawal </w:t>
      </w:r>
      <w:r>
        <w:rPr>
          <w:w w:val="110"/>
        </w:rPr>
        <w:t>Agreement, </w:t>
      </w:r>
      <w:r>
        <w:rPr>
          <w:rFonts w:ascii="Verdana"/>
          <w:i/>
          <w:w w:val="110"/>
        </w:rPr>
        <w:t>including </w:t>
      </w:r>
      <w:r>
        <w:rPr>
          <w:w w:val="110"/>
        </w:rPr>
        <w:t>the principles which inform its application and</w:t>
      </w:r>
      <w:r>
        <w:rPr>
          <w:spacing w:val="80"/>
          <w:w w:val="110"/>
        </w:rPr>
        <w:t> </w:t>
      </w:r>
      <w:r>
        <w:rPr>
          <w:w w:val="110"/>
        </w:rPr>
        <w:t>scope, as these principles develop or are progressively interpreted, have automatic effect (via section 7A)</w:t>
      </w:r>
      <w:r>
        <w:rPr>
          <w:spacing w:val="80"/>
          <w:w w:val="110"/>
        </w:rPr>
        <w:t> </w:t>
      </w:r>
      <w:r>
        <w:rPr>
          <w:w w:val="110"/>
        </w:rPr>
        <w:t>within</w:t>
      </w:r>
      <w:r>
        <w:rPr>
          <w:spacing w:val="40"/>
          <w:w w:val="110"/>
        </w:rPr>
        <w:t> </w:t>
      </w:r>
      <w:r>
        <w:rPr>
          <w:w w:val="110"/>
        </w:rPr>
        <w:t>the</w:t>
      </w:r>
      <w:r>
        <w:rPr>
          <w:spacing w:val="40"/>
          <w:w w:val="110"/>
        </w:rPr>
        <w:t> </w:t>
      </w:r>
      <w:r>
        <w:rPr>
          <w:w w:val="110"/>
        </w:rPr>
        <w:t>domestic</w:t>
      </w:r>
      <w:r>
        <w:rPr>
          <w:spacing w:val="40"/>
          <w:w w:val="110"/>
        </w:rPr>
        <w:t> </w:t>
      </w:r>
      <w:r>
        <w:rPr>
          <w:w w:val="110"/>
        </w:rPr>
        <w:t>legal</w:t>
      </w:r>
      <w:r>
        <w:rPr>
          <w:spacing w:val="40"/>
          <w:w w:val="110"/>
        </w:rPr>
        <w:t> </w:t>
      </w:r>
      <w:r>
        <w:rPr>
          <w:w w:val="110"/>
        </w:rPr>
        <w:t>sphere</w:t>
      </w:r>
      <w:r>
        <w:rPr>
          <w:spacing w:val="40"/>
          <w:w w:val="110"/>
        </w:rPr>
        <w:t> </w:t>
      </w:r>
      <w:r>
        <w:rPr>
          <w:w w:val="110"/>
        </w:rPr>
        <w:t>in the UK generally and Northern </w:t>
      </w:r>
      <w:r>
        <w:rPr>
          <w:w w:val="110"/>
        </w:rPr>
        <w:t>Ireland </w:t>
      </w:r>
      <w:r>
        <w:rPr>
          <w:rFonts w:ascii="Lucida Sans Unicode"/>
          <w:spacing w:val="-2"/>
          <w:w w:val="110"/>
        </w:rPr>
        <w:t>specifically.</w:t>
      </w:r>
    </w:p>
    <w:p>
      <w:pPr>
        <w:pStyle w:val="BodyText"/>
        <w:spacing w:line="310" w:lineRule="exact" w:before="300"/>
        <w:ind w:right="48"/>
        <w:rPr>
          <w:rFonts w:ascii="Lucida Sans Unicode" w:hAnsi="Lucida Sans Unicode"/>
        </w:rPr>
      </w:pPr>
      <w:r>
        <w:rPr>
          <w:w w:val="110"/>
        </w:rPr>
        <w:t>It follows that the UK Government’s position that the Charter does not </w:t>
      </w:r>
      <w:r>
        <w:rPr>
          <w:w w:val="110"/>
        </w:rPr>
        <w:t>form a part of domestic law in Northern Ireland</w:t>
      </w:r>
      <w:r>
        <w:rPr>
          <w:rFonts w:ascii="Lucida Sans Unicode" w:hAnsi="Lucida Sans Unicode"/>
          <w:w w:val="110"/>
          <w:vertAlign w:val="superscript"/>
        </w:rPr>
        <w:t>129</w:t>
      </w:r>
      <w:r>
        <w:rPr>
          <w:rFonts w:ascii="Lucida Sans Unicode" w:hAnsi="Lucida Sans Unicode"/>
          <w:spacing w:val="-5"/>
          <w:w w:val="110"/>
          <w:vertAlign w:val="baseline"/>
        </w:rPr>
        <w:t> </w:t>
      </w:r>
      <w:r>
        <w:rPr>
          <w:w w:val="110"/>
          <w:vertAlign w:val="baseline"/>
        </w:rPr>
        <w:t>is not a fully accurate </w:t>
      </w:r>
      <w:r>
        <w:rPr>
          <w:rFonts w:ascii="Lucida Sans Unicode" w:hAnsi="Lucida Sans Unicode"/>
          <w:vertAlign w:val="baseline"/>
        </w:rPr>
        <w:t>reflection of the law for two reasons.</w:t>
      </w:r>
    </w:p>
    <w:p>
      <w:pPr>
        <w:pStyle w:val="BodyText"/>
        <w:spacing w:line="268" w:lineRule="auto" w:before="322"/>
        <w:ind w:right="709"/>
      </w:pPr>
      <w:r>
        <w:rPr>
          <w:w w:val="110"/>
        </w:rPr>
        <w:t>First, the UK Government elides in</w:t>
      </w:r>
      <w:r>
        <w:rPr>
          <w:spacing w:val="1"/>
          <w:w w:val="110"/>
        </w:rPr>
        <w:t> </w:t>
      </w:r>
      <w:r>
        <w:rPr>
          <w:w w:val="110"/>
        </w:rPr>
        <w:t>its</w:t>
      </w:r>
      <w:r>
        <w:rPr>
          <w:spacing w:val="1"/>
          <w:w w:val="110"/>
        </w:rPr>
        <w:t> </w:t>
      </w:r>
      <w:r>
        <w:rPr>
          <w:w w:val="110"/>
        </w:rPr>
        <w:t>reasoning</w:t>
      </w:r>
      <w:r>
        <w:rPr>
          <w:spacing w:val="1"/>
          <w:w w:val="110"/>
        </w:rPr>
        <w:t> </w:t>
      </w:r>
      <w:r>
        <w:rPr>
          <w:w w:val="110"/>
        </w:rPr>
        <w:t>the</w:t>
      </w:r>
      <w:r>
        <w:rPr>
          <w:spacing w:val="2"/>
          <w:w w:val="110"/>
        </w:rPr>
        <w:t> </w:t>
      </w:r>
      <w:r>
        <w:rPr>
          <w:w w:val="110"/>
        </w:rPr>
        <w:t>EU</w:t>
      </w:r>
      <w:r>
        <w:rPr>
          <w:spacing w:val="1"/>
          <w:w w:val="110"/>
        </w:rPr>
        <w:t> </w:t>
      </w:r>
      <w:r>
        <w:rPr>
          <w:w w:val="110"/>
        </w:rPr>
        <w:t>law</w:t>
      </w:r>
      <w:r>
        <w:rPr>
          <w:spacing w:val="1"/>
          <w:w w:val="110"/>
        </w:rPr>
        <w:t> </w:t>
      </w:r>
      <w:r>
        <w:rPr>
          <w:spacing w:val="-2"/>
          <w:w w:val="110"/>
        </w:rPr>
        <w:t>listed</w:t>
      </w:r>
    </w:p>
    <w:p>
      <w:pPr>
        <w:pStyle w:val="BodyText"/>
        <w:spacing w:line="249" w:lineRule="auto" w:before="34"/>
        <w:ind w:right="356"/>
      </w:pPr>
      <w:r>
        <w:rPr/>
        <w:br w:type="column"/>
      </w:r>
      <w:r>
        <w:rPr>
          <w:rFonts w:ascii="Lucida Sans Unicode"/>
          <w:w w:val="110"/>
        </w:rPr>
        <w:t>in</w:t>
      </w:r>
      <w:r>
        <w:rPr>
          <w:rFonts w:ascii="Lucida Sans Unicode"/>
          <w:spacing w:val="-21"/>
          <w:w w:val="110"/>
        </w:rPr>
        <w:t> </w:t>
      </w:r>
      <w:r>
        <w:rPr>
          <w:rFonts w:ascii="Lucida Sans Unicode"/>
          <w:w w:val="110"/>
        </w:rPr>
        <w:t>relation</w:t>
      </w:r>
      <w:r>
        <w:rPr>
          <w:rFonts w:ascii="Lucida Sans Unicode"/>
          <w:spacing w:val="-21"/>
          <w:w w:val="110"/>
        </w:rPr>
        <w:t> </w:t>
      </w:r>
      <w:r>
        <w:rPr>
          <w:rFonts w:ascii="Lucida Sans Unicode"/>
          <w:w w:val="110"/>
        </w:rPr>
        <w:t>to</w:t>
      </w:r>
      <w:r>
        <w:rPr>
          <w:rFonts w:ascii="Lucida Sans Unicode"/>
          <w:spacing w:val="-21"/>
          <w:w w:val="110"/>
        </w:rPr>
        <w:t> </w:t>
      </w:r>
      <w:r>
        <w:rPr>
          <w:rFonts w:ascii="Lucida Sans Unicode"/>
          <w:w w:val="110"/>
        </w:rPr>
        <w:t>Article</w:t>
      </w:r>
      <w:r>
        <w:rPr>
          <w:rFonts w:ascii="Lucida Sans Unicode"/>
          <w:spacing w:val="-21"/>
          <w:w w:val="110"/>
        </w:rPr>
        <w:t> </w:t>
      </w:r>
      <w:r>
        <w:rPr>
          <w:rFonts w:ascii="Lucida Sans Unicode"/>
          <w:w w:val="110"/>
        </w:rPr>
        <w:t>2</w:t>
      </w:r>
      <w:r>
        <w:rPr>
          <w:rFonts w:ascii="Lucida Sans Unicode"/>
          <w:spacing w:val="-21"/>
          <w:w w:val="110"/>
        </w:rPr>
        <w:t> </w:t>
      </w:r>
      <w:r>
        <w:rPr>
          <w:rFonts w:ascii="Lucida Sans Unicode"/>
          <w:w w:val="110"/>
        </w:rPr>
        <w:t>(and</w:t>
      </w:r>
      <w:r>
        <w:rPr>
          <w:rFonts w:ascii="Lucida Sans Unicode"/>
          <w:spacing w:val="-21"/>
          <w:w w:val="110"/>
        </w:rPr>
        <w:t> </w:t>
      </w:r>
      <w:r>
        <w:rPr>
          <w:rFonts w:ascii="Lucida Sans Unicode"/>
          <w:w w:val="110"/>
        </w:rPr>
        <w:t>its </w:t>
      </w:r>
      <w:r>
        <w:rPr>
          <w:w w:val="110"/>
        </w:rPr>
        <w:t>interpretational mandate), the</w:t>
      </w:r>
      <w:r>
        <w:rPr>
          <w:spacing w:val="40"/>
          <w:w w:val="110"/>
        </w:rPr>
        <w:t> </w:t>
      </w:r>
      <w:r>
        <w:rPr>
          <w:rFonts w:ascii="Lucida Sans Unicode"/>
        </w:rPr>
        <w:t>judicial enforcement of Article 2,</w:t>
      </w:r>
      <w:r>
        <w:rPr>
          <w:rFonts w:ascii="Lucida Sans Unicode"/>
          <w:spacing w:val="80"/>
          <w:w w:val="110"/>
        </w:rPr>
        <w:t> </w:t>
      </w:r>
      <w:r>
        <w:rPr>
          <w:w w:val="110"/>
        </w:rPr>
        <w:t>and the interpretational mandate given to UK courts under the </w:t>
      </w:r>
      <w:r>
        <w:rPr>
          <w:w w:val="110"/>
        </w:rPr>
        <w:t>EUWA. This obscures the operation of the Windsor Framework via section 7A.</w:t>
      </w:r>
    </w:p>
    <w:p>
      <w:pPr>
        <w:pStyle w:val="BodyText"/>
        <w:spacing w:line="268" w:lineRule="auto" w:before="6"/>
        <w:ind w:right="151"/>
      </w:pPr>
      <w:r>
        <w:rPr>
          <w:w w:val="115"/>
        </w:rPr>
        <w:t>Insofar</w:t>
      </w:r>
      <w:r>
        <w:rPr>
          <w:spacing w:val="-20"/>
          <w:w w:val="115"/>
        </w:rPr>
        <w:t> </w:t>
      </w:r>
      <w:r>
        <w:rPr>
          <w:w w:val="115"/>
        </w:rPr>
        <w:t>as</w:t>
      </w:r>
      <w:r>
        <w:rPr>
          <w:spacing w:val="-19"/>
          <w:w w:val="115"/>
        </w:rPr>
        <w:t> </w:t>
      </w:r>
      <w:r>
        <w:rPr>
          <w:w w:val="115"/>
        </w:rPr>
        <w:t>the</w:t>
      </w:r>
      <w:r>
        <w:rPr>
          <w:spacing w:val="-19"/>
          <w:w w:val="115"/>
        </w:rPr>
        <w:t> </w:t>
      </w:r>
      <w:r>
        <w:rPr>
          <w:w w:val="115"/>
        </w:rPr>
        <w:t>Withdrawal</w:t>
      </w:r>
      <w:r>
        <w:rPr>
          <w:spacing w:val="-19"/>
          <w:w w:val="115"/>
        </w:rPr>
        <w:t> </w:t>
      </w:r>
      <w:r>
        <w:rPr>
          <w:w w:val="115"/>
        </w:rPr>
        <w:t>Agreement, and</w:t>
      </w:r>
      <w:r>
        <w:rPr>
          <w:spacing w:val="-5"/>
          <w:w w:val="115"/>
        </w:rPr>
        <w:t> </w:t>
      </w:r>
      <w:r>
        <w:rPr>
          <w:w w:val="115"/>
        </w:rPr>
        <w:t>within</w:t>
      </w:r>
      <w:r>
        <w:rPr>
          <w:spacing w:val="-5"/>
          <w:w w:val="115"/>
        </w:rPr>
        <w:t> </w:t>
      </w:r>
      <w:r>
        <w:rPr>
          <w:w w:val="115"/>
        </w:rPr>
        <w:t>it</w:t>
      </w:r>
      <w:r>
        <w:rPr>
          <w:spacing w:val="-5"/>
          <w:w w:val="115"/>
        </w:rPr>
        <w:t> </w:t>
      </w:r>
      <w:r>
        <w:rPr>
          <w:w w:val="115"/>
        </w:rPr>
        <w:t>the</w:t>
      </w:r>
      <w:r>
        <w:rPr>
          <w:spacing w:val="-5"/>
          <w:w w:val="115"/>
        </w:rPr>
        <w:t> </w:t>
      </w:r>
      <w:r>
        <w:rPr>
          <w:w w:val="115"/>
        </w:rPr>
        <w:t>Windsor</w:t>
      </w:r>
      <w:r>
        <w:rPr>
          <w:spacing w:val="-5"/>
          <w:w w:val="115"/>
        </w:rPr>
        <w:t> </w:t>
      </w:r>
      <w:r>
        <w:rPr>
          <w:w w:val="115"/>
        </w:rPr>
        <w:t>Framework, refers to EU law (including in its annexes),</w:t>
      </w:r>
      <w:r>
        <w:rPr>
          <w:spacing w:val="-8"/>
          <w:w w:val="115"/>
        </w:rPr>
        <w:t> </w:t>
      </w:r>
      <w:r>
        <w:rPr>
          <w:w w:val="115"/>
        </w:rPr>
        <w:t>this</w:t>
      </w:r>
      <w:r>
        <w:rPr>
          <w:spacing w:val="-8"/>
          <w:w w:val="115"/>
        </w:rPr>
        <w:t> </w:t>
      </w:r>
      <w:r>
        <w:rPr>
          <w:w w:val="115"/>
        </w:rPr>
        <w:t>EU</w:t>
      </w:r>
      <w:r>
        <w:rPr>
          <w:spacing w:val="-8"/>
          <w:w w:val="115"/>
        </w:rPr>
        <w:t> </w:t>
      </w:r>
      <w:r>
        <w:rPr>
          <w:w w:val="115"/>
        </w:rPr>
        <w:t>law</w:t>
      </w:r>
      <w:r>
        <w:rPr>
          <w:spacing w:val="-8"/>
          <w:w w:val="115"/>
        </w:rPr>
        <w:t> </w:t>
      </w:r>
      <w:r>
        <w:rPr>
          <w:w w:val="115"/>
        </w:rPr>
        <w:t>produces</w:t>
      </w:r>
      <w:r>
        <w:rPr>
          <w:spacing w:val="-8"/>
          <w:w w:val="115"/>
        </w:rPr>
        <w:t> </w:t>
      </w:r>
      <w:r>
        <w:rPr>
          <w:w w:val="115"/>
        </w:rPr>
        <w:t>the same</w:t>
      </w:r>
      <w:r>
        <w:rPr>
          <w:spacing w:val="-20"/>
          <w:w w:val="115"/>
        </w:rPr>
        <w:t> </w:t>
      </w:r>
      <w:r>
        <w:rPr>
          <w:w w:val="115"/>
        </w:rPr>
        <w:t>effects</w:t>
      </w:r>
      <w:r>
        <w:rPr>
          <w:spacing w:val="-19"/>
          <w:w w:val="115"/>
        </w:rPr>
        <w:t> </w:t>
      </w:r>
      <w:r>
        <w:rPr>
          <w:w w:val="115"/>
        </w:rPr>
        <w:t>within</w:t>
      </w:r>
      <w:r>
        <w:rPr>
          <w:spacing w:val="-19"/>
          <w:w w:val="115"/>
        </w:rPr>
        <w:t> </w:t>
      </w:r>
      <w:r>
        <w:rPr>
          <w:w w:val="115"/>
        </w:rPr>
        <w:t>the</w:t>
      </w:r>
      <w:r>
        <w:rPr>
          <w:spacing w:val="-19"/>
          <w:w w:val="115"/>
        </w:rPr>
        <w:t> </w:t>
      </w:r>
      <w:r>
        <w:rPr>
          <w:w w:val="115"/>
        </w:rPr>
        <w:t>UK</w:t>
      </w:r>
      <w:r>
        <w:rPr>
          <w:spacing w:val="-19"/>
          <w:w w:val="115"/>
        </w:rPr>
        <w:t> </w:t>
      </w:r>
      <w:r>
        <w:rPr>
          <w:w w:val="115"/>
        </w:rPr>
        <w:t>legal</w:t>
      </w:r>
      <w:r>
        <w:rPr>
          <w:spacing w:val="-20"/>
          <w:w w:val="115"/>
        </w:rPr>
        <w:t> </w:t>
      </w:r>
      <w:r>
        <w:rPr>
          <w:w w:val="115"/>
        </w:rPr>
        <w:t>order as it does within the EU, including direct effect, in accordance with the</w:t>
      </w:r>
    </w:p>
    <w:p>
      <w:pPr>
        <w:pStyle w:val="BodyText"/>
        <w:spacing w:line="327" w:lineRule="exact"/>
        <w:rPr>
          <w:rFonts w:ascii="Lucida Sans Unicode"/>
        </w:rPr>
      </w:pPr>
      <w:r>
        <w:rPr>
          <w:rFonts w:ascii="Lucida Sans Unicode"/>
        </w:rPr>
        <w:t>second</w:t>
      </w:r>
      <w:r>
        <w:rPr>
          <w:rFonts w:ascii="Lucida Sans Unicode"/>
          <w:spacing w:val="21"/>
        </w:rPr>
        <w:t> </w:t>
      </w:r>
      <w:r>
        <w:rPr>
          <w:rFonts w:ascii="Lucida Sans Unicode"/>
        </w:rPr>
        <w:t>subparagraph</w:t>
      </w:r>
      <w:r>
        <w:rPr>
          <w:rFonts w:ascii="Lucida Sans Unicode"/>
          <w:spacing w:val="21"/>
        </w:rPr>
        <w:t> </w:t>
      </w:r>
      <w:r>
        <w:rPr>
          <w:rFonts w:ascii="Lucida Sans Unicode"/>
        </w:rPr>
        <w:t>of</w:t>
      </w:r>
      <w:r>
        <w:rPr>
          <w:rFonts w:ascii="Lucida Sans Unicode"/>
          <w:spacing w:val="21"/>
        </w:rPr>
        <w:t> </w:t>
      </w:r>
      <w:r>
        <w:rPr>
          <w:rFonts w:ascii="Lucida Sans Unicode"/>
        </w:rPr>
        <w:t>Article</w:t>
      </w:r>
      <w:r>
        <w:rPr>
          <w:rFonts w:ascii="Lucida Sans Unicode"/>
          <w:spacing w:val="21"/>
        </w:rPr>
        <w:t> </w:t>
      </w:r>
      <w:r>
        <w:rPr>
          <w:rFonts w:ascii="Lucida Sans Unicode"/>
          <w:spacing w:val="-10"/>
        </w:rPr>
        <w:t>4</w:t>
      </w:r>
    </w:p>
    <w:p>
      <w:pPr>
        <w:pStyle w:val="BodyText"/>
        <w:spacing w:line="268" w:lineRule="auto"/>
      </w:pPr>
      <w:r>
        <w:rPr>
          <w:w w:val="115"/>
        </w:rPr>
        <w:t>(1) WA, which provides that ‘legal or natural persons shall in particular be able to rely directly on the provisions contained or referred to in this Agreement</w:t>
      </w:r>
      <w:r>
        <w:rPr>
          <w:spacing w:val="-18"/>
          <w:w w:val="115"/>
        </w:rPr>
        <w:t> </w:t>
      </w:r>
      <w:r>
        <w:rPr>
          <w:w w:val="115"/>
        </w:rPr>
        <w:t>which</w:t>
      </w:r>
      <w:r>
        <w:rPr>
          <w:spacing w:val="-18"/>
          <w:w w:val="115"/>
        </w:rPr>
        <w:t> </w:t>
      </w:r>
      <w:r>
        <w:rPr>
          <w:w w:val="115"/>
        </w:rPr>
        <w:t>meet</w:t>
      </w:r>
      <w:r>
        <w:rPr>
          <w:spacing w:val="-18"/>
          <w:w w:val="115"/>
        </w:rPr>
        <w:t> </w:t>
      </w:r>
      <w:r>
        <w:rPr>
          <w:w w:val="115"/>
        </w:rPr>
        <w:t>the</w:t>
      </w:r>
      <w:r>
        <w:rPr>
          <w:spacing w:val="-18"/>
          <w:w w:val="115"/>
        </w:rPr>
        <w:t> </w:t>
      </w:r>
      <w:r>
        <w:rPr>
          <w:w w:val="115"/>
        </w:rPr>
        <w:t>conditions</w:t>
      </w:r>
    </w:p>
    <w:p>
      <w:pPr>
        <w:pStyle w:val="BodyText"/>
        <w:spacing w:line="325" w:lineRule="exact"/>
        <w:rPr>
          <w:rFonts w:ascii="Lucida Sans Unicode" w:hAnsi="Lucida Sans Unicode"/>
        </w:rPr>
      </w:pPr>
      <w:r>
        <w:rPr>
          <w:w w:val="110"/>
        </w:rPr>
        <w:t>for</w:t>
      </w:r>
      <w:r>
        <w:rPr>
          <w:spacing w:val="24"/>
          <w:w w:val="110"/>
        </w:rPr>
        <w:t> </w:t>
      </w:r>
      <w:r>
        <w:rPr>
          <w:w w:val="110"/>
        </w:rPr>
        <w:t>direct</w:t>
      </w:r>
      <w:r>
        <w:rPr>
          <w:spacing w:val="25"/>
          <w:w w:val="110"/>
        </w:rPr>
        <w:t> </w:t>
      </w:r>
      <w:r>
        <w:rPr>
          <w:w w:val="110"/>
        </w:rPr>
        <w:t>effect</w:t>
      </w:r>
      <w:r>
        <w:rPr>
          <w:spacing w:val="24"/>
          <w:w w:val="110"/>
        </w:rPr>
        <w:t> </w:t>
      </w:r>
      <w:r>
        <w:rPr>
          <w:w w:val="110"/>
        </w:rPr>
        <w:t>under</w:t>
      </w:r>
      <w:r>
        <w:rPr>
          <w:spacing w:val="25"/>
          <w:w w:val="110"/>
        </w:rPr>
        <w:t> </w:t>
      </w:r>
      <w:r>
        <w:rPr>
          <w:w w:val="110"/>
        </w:rPr>
        <w:t>Union</w:t>
      </w:r>
      <w:r>
        <w:rPr>
          <w:spacing w:val="24"/>
          <w:w w:val="110"/>
        </w:rPr>
        <w:t> </w:t>
      </w:r>
      <w:r>
        <w:rPr>
          <w:spacing w:val="-2"/>
          <w:w w:val="110"/>
        </w:rPr>
        <w:t>law.’</w:t>
      </w:r>
      <w:r>
        <w:rPr>
          <w:rFonts w:ascii="Lucida Sans Unicode" w:hAnsi="Lucida Sans Unicode"/>
          <w:spacing w:val="-2"/>
          <w:w w:val="110"/>
          <w:vertAlign w:val="superscript"/>
        </w:rPr>
        <w:t>130</w:t>
      </w:r>
    </w:p>
    <w:p>
      <w:pPr>
        <w:pStyle w:val="BodyText"/>
        <w:spacing w:line="252" w:lineRule="auto"/>
        <w:ind w:right="266"/>
      </w:pPr>
      <w:r>
        <w:rPr>
          <w:w w:val="110"/>
        </w:rPr>
        <w:t>In</w:t>
      </w:r>
      <w:r>
        <w:rPr>
          <w:spacing w:val="40"/>
          <w:w w:val="110"/>
        </w:rPr>
        <w:t> </w:t>
      </w:r>
      <w:r>
        <w:rPr>
          <w:w w:val="110"/>
        </w:rPr>
        <w:t>cases</w:t>
      </w:r>
      <w:r>
        <w:rPr>
          <w:spacing w:val="40"/>
          <w:w w:val="110"/>
        </w:rPr>
        <w:t> </w:t>
      </w:r>
      <w:r>
        <w:rPr>
          <w:w w:val="110"/>
        </w:rPr>
        <w:t>falling</w:t>
      </w:r>
      <w:r>
        <w:rPr>
          <w:spacing w:val="40"/>
          <w:w w:val="110"/>
        </w:rPr>
        <w:t> </w:t>
      </w:r>
      <w:r>
        <w:rPr>
          <w:w w:val="110"/>
        </w:rPr>
        <w:t>within</w:t>
      </w:r>
      <w:r>
        <w:rPr>
          <w:spacing w:val="40"/>
          <w:w w:val="110"/>
        </w:rPr>
        <w:t> </w:t>
      </w:r>
      <w:r>
        <w:rPr>
          <w:w w:val="110"/>
        </w:rPr>
        <w:t>the</w:t>
      </w:r>
      <w:r>
        <w:rPr>
          <w:spacing w:val="40"/>
          <w:w w:val="110"/>
        </w:rPr>
        <w:t> </w:t>
      </w:r>
      <w:r>
        <w:rPr>
          <w:w w:val="110"/>
        </w:rPr>
        <w:t>scope</w:t>
      </w:r>
      <w:r>
        <w:rPr>
          <w:spacing w:val="40"/>
          <w:w w:val="110"/>
        </w:rPr>
        <w:t> </w:t>
      </w:r>
      <w:r>
        <w:rPr>
          <w:w w:val="110"/>
        </w:rPr>
        <w:t>of the Withdrawal Agreement, </w:t>
      </w:r>
      <w:r>
        <w:rPr>
          <w:w w:val="110"/>
        </w:rPr>
        <w:t>therefore, the</w:t>
      </w:r>
      <w:r>
        <w:rPr>
          <w:spacing w:val="-7"/>
          <w:w w:val="110"/>
        </w:rPr>
        <w:t> </w:t>
      </w:r>
      <w:r>
        <w:rPr>
          <w:w w:val="110"/>
        </w:rPr>
        <w:t>CFR</w:t>
      </w:r>
      <w:r>
        <w:rPr>
          <w:spacing w:val="-7"/>
          <w:w w:val="110"/>
        </w:rPr>
        <w:t> </w:t>
      </w:r>
      <w:r>
        <w:rPr>
          <w:w w:val="110"/>
        </w:rPr>
        <w:t>applies.</w:t>
      </w:r>
      <w:r>
        <w:rPr>
          <w:rFonts w:ascii="Lucida Sans Unicode"/>
          <w:w w:val="110"/>
          <w:vertAlign w:val="superscript"/>
        </w:rPr>
        <w:t>131</w:t>
      </w:r>
      <w:r>
        <w:rPr>
          <w:rFonts w:ascii="Lucida Sans Unicode"/>
          <w:spacing w:val="-17"/>
          <w:w w:val="110"/>
          <w:vertAlign w:val="baseline"/>
        </w:rPr>
        <w:t> </w:t>
      </w:r>
      <w:r>
        <w:rPr>
          <w:w w:val="110"/>
          <w:vertAlign w:val="baseline"/>
        </w:rPr>
        <w:t>The</w:t>
      </w:r>
      <w:r>
        <w:rPr>
          <w:spacing w:val="-7"/>
          <w:w w:val="110"/>
          <w:vertAlign w:val="baseline"/>
        </w:rPr>
        <w:t> </w:t>
      </w:r>
      <w:r>
        <w:rPr>
          <w:w w:val="110"/>
          <w:vertAlign w:val="baseline"/>
        </w:rPr>
        <w:t>scope</w:t>
      </w:r>
      <w:r>
        <w:rPr>
          <w:spacing w:val="-7"/>
          <w:w w:val="110"/>
          <w:vertAlign w:val="baseline"/>
        </w:rPr>
        <w:t> </w:t>
      </w:r>
      <w:r>
        <w:rPr>
          <w:w w:val="110"/>
          <w:vertAlign w:val="baseline"/>
        </w:rPr>
        <w:t>of</w:t>
      </w:r>
      <w:r>
        <w:rPr>
          <w:spacing w:val="-7"/>
          <w:w w:val="110"/>
          <w:vertAlign w:val="baseline"/>
        </w:rPr>
        <w:t> </w:t>
      </w:r>
      <w:r>
        <w:rPr>
          <w:w w:val="110"/>
          <w:vertAlign w:val="baseline"/>
        </w:rPr>
        <w:t>EU</w:t>
      </w:r>
    </w:p>
    <w:p>
      <w:pPr>
        <w:pStyle w:val="BodyText"/>
        <w:spacing w:line="239" w:lineRule="exact"/>
      </w:pPr>
      <w:r>
        <w:rPr>
          <w:spacing w:val="-2"/>
          <w:w w:val="115"/>
        </w:rPr>
        <w:t>law,</w:t>
      </w:r>
      <w:r>
        <w:rPr>
          <w:spacing w:val="-16"/>
          <w:w w:val="115"/>
        </w:rPr>
        <w:t> </w:t>
      </w:r>
      <w:r>
        <w:rPr>
          <w:spacing w:val="-2"/>
          <w:w w:val="115"/>
        </w:rPr>
        <w:t>in</w:t>
      </w:r>
      <w:r>
        <w:rPr>
          <w:spacing w:val="-17"/>
          <w:w w:val="115"/>
        </w:rPr>
        <w:t> </w:t>
      </w:r>
      <w:r>
        <w:rPr>
          <w:spacing w:val="-2"/>
          <w:w w:val="115"/>
        </w:rPr>
        <w:t>this</w:t>
      </w:r>
      <w:r>
        <w:rPr>
          <w:spacing w:val="-16"/>
          <w:w w:val="115"/>
        </w:rPr>
        <w:t> </w:t>
      </w:r>
      <w:r>
        <w:rPr>
          <w:spacing w:val="-2"/>
          <w:w w:val="115"/>
        </w:rPr>
        <w:t>regard,</w:t>
      </w:r>
      <w:r>
        <w:rPr>
          <w:spacing w:val="-16"/>
          <w:w w:val="115"/>
        </w:rPr>
        <w:t> </w:t>
      </w:r>
      <w:r>
        <w:rPr>
          <w:spacing w:val="-2"/>
          <w:w w:val="115"/>
        </w:rPr>
        <w:t>relates</w:t>
      </w:r>
      <w:r>
        <w:rPr>
          <w:spacing w:val="-16"/>
          <w:w w:val="115"/>
        </w:rPr>
        <w:t> </w:t>
      </w:r>
      <w:r>
        <w:rPr>
          <w:spacing w:val="-2"/>
          <w:w w:val="115"/>
        </w:rPr>
        <w:t>back</w:t>
      </w:r>
      <w:r>
        <w:rPr>
          <w:spacing w:val="-16"/>
          <w:w w:val="115"/>
        </w:rPr>
        <w:t> </w:t>
      </w:r>
      <w:r>
        <w:rPr>
          <w:spacing w:val="-2"/>
          <w:w w:val="115"/>
        </w:rPr>
        <w:t>to</w:t>
      </w:r>
      <w:r>
        <w:rPr>
          <w:spacing w:val="-16"/>
          <w:w w:val="115"/>
        </w:rPr>
        <w:t> </w:t>
      </w:r>
      <w:r>
        <w:rPr>
          <w:spacing w:val="-5"/>
          <w:w w:val="115"/>
        </w:rPr>
        <w:t>the</w:t>
      </w:r>
    </w:p>
    <w:p>
      <w:pPr>
        <w:spacing w:line="254" w:lineRule="auto" w:before="0"/>
        <w:ind w:left="113" w:right="0" w:firstLine="0"/>
        <w:jc w:val="left"/>
        <w:rPr>
          <w:sz w:val="24"/>
        </w:rPr>
      </w:pPr>
      <w:r>
        <w:rPr>
          <w:w w:val="105"/>
          <w:sz w:val="24"/>
        </w:rPr>
        <w:t>reasoning of the CJEU in the </w:t>
      </w:r>
      <w:r>
        <w:rPr>
          <w:rFonts w:ascii="Verdana" w:hAnsi="Verdana"/>
          <w:i/>
          <w:w w:val="105"/>
          <w:sz w:val="24"/>
        </w:rPr>
        <w:t>Åkerberg</w:t>
      </w:r>
      <w:r>
        <w:rPr>
          <w:rFonts w:ascii="Verdana" w:hAnsi="Verdana"/>
          <w:i/>
          <w:w w:val="105"/>
          <w:sz w:val="24"/>
        </w:rPr>
        <w:t> Fransson </w:t>
      </w:r>
      <w:r>
        <w:rPr>
          <w:w w:val="105"/>
          <w:sz w:val="24"/>
        </w:rPr>
        <w:t>case (see Chapter </w:t>
      </w:r>
      <w:r>
        <w:rPr>
          <w:sz w:val="24"/>
        </w:rPr>
        <w:t>1 </w:t>
      </w:r>
      <w:r>
        <w:rPr>
          <w:w w:val="105"/>
          <w:sz w:val="24"/>
        </w:rPr>
        <w:t>above).</w:t>
      </w:r>
    </w:p>
    <w:p>
      <w:pPr>
        <w:pStyle w:val="BodyText"/>
        <w:spacing w:before="15"/>
        <w:ind w:left="0"/>
      </w:pPr>
    </w:p>
    <w:p>
      <w:pPr>
        <w:pStyle w:val="BodyText"/>
        <w:spacing w:line="310" w:lineRule="exact"/>
        <w:ind w:right="266"/>
      </w:pPr>
      <w:r>
        <w:rPr>
          <w:w w:val="115"/>
        </w:rPr>
        <w:t>In respect of the Northern Ireland legal</w:t>
      </w:r>
      <w:r>
        <w:rPr>
          <w:spacing w:val="-11"/>
          <w:w w:val="115"/>
        </w:rPr>
        <w:t> </w:t>
      </w:r>
      <w:r>
        <w:rPr>
          <w:w w:val="115"/>
        </w:rPr>
        <w:t>order,</w:t>
      </w:r>
      <w:r>
        <w:rPr>
          <w:spacing w:val="-11"/>
          <w:w w:val="115"/>
        </w:rPr>
        <w:t> </w:t>
      </w:r>
      <w:r>
        <w:rPr>
          <w:w w:val="115"/>
        </w:rPr>
        <w:t>the</w:t>
      </w:r>
      <w:r>
        <w:rPr>
          <w:spacing w:val="-11"/>
          <w:w w:val="115"/>
        </w:rPr>
        <w:t> </w:t>
      </w:r>
      <w:r>
        <w:rPr>
          <w:w w:val="115"/>
        </w:rPr>
        <w:t>same</w:t>
      </w:r>
      <w:r>
        <w:rPr>
          <w:spacing w:val="-11"/>
          <w:w w:val="115"/>
        </w:rPr>
        <w:t> </w:t>
      </w:r>
      <w:r>
        <w:rPr>
          <w:w w:val="115"/>
        </w:rPr>
        <w:t>reasoning </w:t>
      </w:r>
      <w:r>
        <w:rPr>
          <w:rFonts w:ascii="Lucida Sans Unicode"/>
        </w:rPr>
        <w:t>applies: any state body or official, </w:t>
      </w:r>
      <w:r>
        <w:rPr>
          <w:w w:val="115"/>
        </w:rPr>
        <w:t>when</w:t>
      </w:r>
      <w:r>
        <w:rPr>
          <w:spacing w:val="-5"/>
          <w:w w:val="115"/>
        </w:rPr>
        <w:t> </w:t>
      </w:r>
      <w:r>
        <w:rPr>
          <w:w w:val="115"/>
        </w:rPr>
        <w:t>discharging</w:t>
      </w:r>
      <w:r>
        <w:rPr>
          <w:spacing w:val="-5"/>
          <w:w w:val="115"/>
        </w:rPr>
        <w:t> </w:t>
      </w:r>
      <w:r>
        <w:rPr>
          <w:w w:val="115"/>
        </w:rPr>
        <w:t>a</w:t>
      </w:r>
      <w:r>
        <w:rPr>
          <w:spacing w:val="-5"/>
          <w:w w:val="115"/>
        </w:rPr>
        <w:t> </w:t>
      </w:r>
      <w:r>
        <w:rPr>
          <w:w w:val="115"/>
        </w:rPr>
        <w:t>function</w:t>
      </w:r>
      <w:r>
        <w:rPr>
          <w:spacing w:val="-5"/>
          <w:w w:val="115"/>
        </w:rPr>
        <w:t> </w:t>
      </w:r>
      <w:r>
        <w:rPr>
          <w:w w:val="115"/>
        </w:rPr>
        <w:t>relating to</w:t>
      </w:r>
      <w:r>
        <w:rPr>
          <w:spacing w:val="-10"/>
          <w:w w:val="115"/>
        </w:rPr>
        <w:t> </w:t>
      </w:r>
      <w:r>
        <w:rPr>
          <w:w w:val="115"/>
        </w:rPr>
        <w:t>Northern</w:t>
      </w:r>
      <w:r>
        <w:rPr>
          <w:spacing w:val="-10"/>
          <w:w w:val="115"/>
        </w:rPr>
        <w:t> </w:t>
      </w:r>
      <w:r>
        <w:rPr>
          <w:w w:val="115"/>
        </w:rPr>
        <w:t>Ireland</w:t>
      </w:r>
      <w:r>
        <w:rPr>
          <w:spacing w:val="-10"/>
          <w:w w:val="115"/>
        </w:rPr>
        <w:t> </w:t>
      </w:r>
      <w:r>
        <w:rPr>
          <w:w w:val="115"/>
        </w:rPr>
        <w:t>which</w:t>
      </w:r>
      <w:r>
        <w:rPr>
          <w:spacing w:val="-10"/>
          <w:w w:val="115"/>
        </w:rPr>
        <w:t> </w:t>
      </w:r>
      <w:r>
        <w:rPr>
          <w:w w:val="115"/>
        </w:rPr>
        <w:t>falls</w:t>
      </w:r>
      <w:r>
        <w:rPr>
          <w:spacing w:val="-10"/>
          <w:w w:val="115"/>
        </w:rPr>
        <w:t> </w:t>
      </w:r>
      <w:r>
        <w:rPr>
          <w:w w:val="115"/>
        </w:rPr>
        <w:t>within the</w:t>
      </w:r>
      <w:r>
        <w:rPr>
          <w:spacing w:val="-20"/>
          <w:w w:val="115"/>
        </w:rPr>
        <w:t> </w:t>
      </w:r>
      <w:r>
        <w:rPr>
          <w:w w:val="115"/>
        </w:rPr>
        <w:t>scope</w:t>
      </w:r>
      <w:r>
        <w:rPr>
          <w:spacing w:val="-19"/>
          <w:w w:val="115"/>
        </w:rPr>
        <w:t> </w:t>
      </w:r>
      <w:r>
        <w:rPr>
          <w:w w:val="115"/>
        </w:rPr>
        <w:t>of</w:t>
      </w:r>
      <w:r>
        <w:rPr>
          <w:spacing w:val="-19"/>
          <w:w w:val="115"/>
        </w:rPr>
        <w:t> </w:t>
      </w:r>
      <w:r>
        <w:rPr>
          <w:w w:val="115"/>
        </w:rPr>
        <w:t>the</w:t>
      </w:r>
      <w:r>
        <w:rPr>
          <w:spacing w:val="-19"/>
          <w:w w:val="115"/>
        </w:rPr>
        <w:t> </w:t>
      </w:r>
      <w:r>
        <w:rPr>
          <w:w w:val="115"/>
        </w:rPr>
        <w:t>EU</w:t>
      </w:r>
      <w:r>
        <w:rPr>
          <w:spacing w:val="-19"/>
          <w:w w:val="115"/>
        </w:rPr>
        <w:t> </w:t>
      </w:r>
      <w:r>
        <w:rPr>
          <w:w w:val="115"/>
        </w:rPr>
        <w:t>law</w:t>
      </w:r>
      <w:r>
        <w:rPr>
          <w:spacing w:val="-20"/>
          <w:w w:val="115"/>
        </w:rPr>
        <w:t> </w:t>
      </w:r>
      <w:r>
        <w:rPr>
          <w:w w:val="115"/>
        </w:rPr>
        <w:t>referred</w:t>
      </w:r>
      <w:r>
        <w:rPr>
          <w:spacing w:val="-19"/>
          <w:w w:val="115"/>
        </w:rPr>
        <w:t> </w:t>
      </w:r>
      <w:r>
        <w:rPr>
          <w:w w:val="115"/>
        </w:rPr>
        <w:t>to</w:t>
      </w:r>
      <w:r>
        <w:rPr>
          <w:spacing w:val="-19"/>
          <w:w w:val="115"/>
        </w:rPr>
        <w:t> </w:t>
      </w:r>
      <w:r>
        <w:rPr>
          <w:w w:val="115"/>
        </w:rPr>
        <w:t>in </w:t>
      </w:r>
      <w:r>
        <w:rPr>
          <w:spacing w:val="-2"/>
          <w:w w:val="115"/>
        </w:rPr>
        <w:t>the</w:t>
      </w:r>
      <w:r>
        <w:rPr>
          <w:spacing w:val="-17"/>
          <w:w w:val="115"/>
        </w:rPr>
        <w:t> </w:t>
      </w:r>
      <w:r>
        <w:rPr>
          <w:spacing w:val="-2"/>
          <w:w w:val="115"/>
        </w:rPr>
        <w:t>Windsor</w:t>
      </w:r>
      <w:r>
        <w:rPr>
          <w:spacing w:val="-17"/>
          <w:w w:val="115"/>
        </w:rPr>
        <w:t> </w:t>
      </w:r>
      <w:r>
        <w:rPr>
          <w:spacing w:val="-2"/>
          <w:w w:val="115"/>
        </w:rPr>
        <w:t>Framework,</w:t>
      </w:r>
      <w:r>
        <w:rPr>
          <w:spacing w:val="-17"/>
          <w:w w:val="115"/>
        </w:rPr>
        <w:t> </w:t>
      </w:r>
      <w:r>
        <w:rPr>
          <w:spacing w:val="-2"/>
          <w:w w:val="115"/>
        </w:rPr>
        <w:t>implements </w:t>
      </w:r>
      <w:r>
        <w:rPr>
          <w:w w:val="115"/>
        </w:rPr>
        <w:t>EU</w:t>
      </w:r>
      <w:r>
        <w:rPr>
          <w:spacing w:val="-4"/>
          <w:w w:val="115"/>
        </w:rPr>
        <w:t> </w:t>
      </w:r>
      <w:r>
        <w:rPr>
          <w:w w:val="115"/>
        </w:rPr>
        <w:t>law</w:t>
      </w:r>
      <w:r>
        <w:rPr>
          <w:spacing w:val="-4"/>
          <w:w w:val="115"/>
        </w:rPr>
        <w:t> </w:t>
      </w:r>
      <w:r>
        <w:rPr>
          <w:w w:val="115"/>
        </w:rPr>
        <w:t>for</w:t>
      </w:r>
      <w:r>
        <w:rPr>
          <w:spacing w:val="-4"/>
          <w:w w:val="115"/>
        </w:rPr>
        <w:t> </w:t>
      </w:r>
      <w:r>
        <w:rPr>
          <w:w w:val="115"/>
        </w:rPr>
        <w:t>the</w:t>
      </w:r>
      <w:r>
        <w:rPr>
          <w:spacing w:val="-4"/>
          <w:w w:val="115"/>
        </w:rPr>
        <w:t> </w:t>
      </w:r>
      <w:r>
        <w:rPr>
          <w:w w:val="115"/>
        </w:rPr>
        <w:t>purposes</w:t>
      </w:r>
      <w:r>
        <w:rPr>
          <w:spacing w:val="-4"/>
          <w:w w:val="115"/>
        </w:rPr>
        <w:t> </w:t>
      </w:r>
      <w:r>
        <w:rPr>
          <w:w w:val="115"/>
        </w:rPr>
        <w:t>of</w:t>
      </w:r>
      <w:r>
        <w:rPr>
          <w:spacing w:val="-4"/>
          <w:w w:val="115"/>
        </w:rPr>
        <w:t> </w:t>
      </w:r>
      <w:r>
        <w:rPr>
          <w:w w:val="115"/>
        </w:rPr>
        <w:t>CFR applicability.</w:t>
      </w:r>
      <w:r>
        <w:rPr>
          <w:spacing w:val="-16"/>
          <w:w w:val="115"/>
        </w:rPr>
        <w:t> </w:t>
      </w:r>
      <w:r>
        <w:rPr>
          <w:w w:val="115"/>
        </w:rPr>
        <w:t>Moreover,</w:t>
      </w:r>
      <w:r>
        <w:rPr>
          <w:spacing w:val="-16"/>
          <w:w w:val="115"/>
        </w:rPr>
        <w:t> </w:t>
      </w:r>
      <w:r>
        <w:rPr>
          <w:w w:val="115"/>
        </w:rPr>
        <w:t>any</w:t>
      </w:r>
      <w:r>
        <w:rPr>
          <w:spacing w:val="-16"/>
          <w:w w:val="115"/>
        </w:rPr>
        <w:t> </w:t>
      </w:r>
      <w:r>
        <w:rPr>
          <w:w w:val="115"/>
        </w:rPr>
        <w:t>natural</w:t>
      </w:r>
    </w:p>
    <w:p>
      <w:pPr>
        <w:pStyle w:val="BodyText"/>
        <w:spacing w:line="268" w:lineRule="auto" w:before="23"/>
        <w:ind w:right="538"/>
      </w:pPr>
      <w:r>
        <w:rPr>
          <w:w w:val="110"/>
        </w:rPr>
        <w:t>or legal person acting pursuant either to the Windsor </w:t>
      </w:r>
      <w:r>
        <w:rPr>
          <w:w w:val="110"/>
        </w:rPr>
        <w:t>Framework</w:t>
      </w:r>
    </w:p>
    <w:p>
      <w:pPr>
        <w:spacing w:after="0" w:line="268" w:lineRule="auto"/>
        <w:sectPr>
          <w:type w:val="continuous"/>
          <w:pgSz w:w="11910" w:h="16840"/>
          <w:pgMar w:header="568" w:footer="580" w:top="0" w:bottom="280" w:left="1020" w:right="1020"/>
          <w:cols w:num="2" w:equalWidth="0">
            <w:col w:w="4746" w:space="299"/>
            <w:col w:w="4825"/>
          </w:cols>
        </w:sectPr>
      </w:pPr>
    </w:p>
    <w:p>
      <w:pPr>
        <w:pStyle w:val="BodyText"/>
        <w:spacing w:before="2" w:after="1"/>
        <w:ind w:left="0"/>
        <w:rPr>
          <w:sz w:val="14"/>
        </w:rPr>
      </w:pPr>
    </w:p>
    <w:p>
      <w:pPr>
        <w:pStyle w:val="BodyText"/>
        <w:spacing w:line="20" w:lineRule="exact"/>
        <w:rPr>
          <w:sz w:val="2"/>
        </w:rPr>
      </w:pPr>
      <w:r>
        <w:rPr>
          <w:sz w:val="2"/>
        </w:rPr>
        <mc:AlternateContent>
          <mc:Choice Requires="wps">
            <w:drawing>
              <wp:inline distT="0" distB="0" distL="0" distR="0">
                <wp:extent cx="6120130" cy="6350"/>
                <wp:effectExtent l="9525" t="0" r="0" b="3175"/>
                <wp:docPr id="107" name="Group 107"/>
                <wp:cNvGraphicFramePr>
                  <a:graphicFrameLocks/>
                </wp:cNvGraphicFramePr>
                <a:graphic>
                  <a:graphicData uri="http://schemas.microsoft.com/office/word/2010/wordprocessingGroup">
                    <wpg:wgp>
                      <wpg:cNvPr id="107" name="Group 107"/>
                      <wpg:cNvGrpSpPr/>
                      <wpg:grpSpPr>
                        <a:xfrm>
                          <a:off x="0" y="0"/>
                          <a:ext cx="6120130" cy="6350"/>
                          <a:chExt cx="6120130" cy="6350"/>
                        </a:xfrm>
                      </wpg:grpSpPr>
                      <wps:wsp>
                        <wps:cNvPr id="108" name="Graphic 108"/>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72"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6" w:val="left" w:leader="none"/>
        </w:tabs>
        <w:spacing w:line="223" w:lineRule="exact" w:before="61" w:after="0"/>
        <w:ind w:left="566" w:right="0" w:hanging="453"/>
        <w:jc w:val="left"/>
        <w:rPr>
          <w:sz w:val="16"/>
        </w:rPr>
      </w:pPr>
      <w:r>
        <w:rPr>
          <w:w w:val="105"/>
          <w:sz w:val="16"/>
        </w:rPr>
        <w:t>EUWA,</w:t>
      </w:r>
      <w:r>
        <w:rPr>
          <w:spacing w:val="8"/>
          <w:w w:val="105"/>
          <w:sz w:val="16"/>
        </w:rPr>
        <w:t> </w:t>
      </w:r>
      <w:r>
        <w:rPr>
          <w:w w:val="105"/>
          <w:sz w:val="16"/>
        </w:rPr>
        <w:t>s</w:t>
      </w:r>
      <w:r>
        <w:rPr>
          <w:spacing w:val="8"/>
          <w:w w:val="105"/>
          <w:sz w:val="16"/>
        </w:rPr>
        <w:t> </w:t>
      </w:r>
      <w:r>
        <w:rPr>
          <w:spacing w:val="-2"/>
          <w:w w:val="105"/>
          <w:sz w:val="16"/>
        </w:rPr>
        <w:t>7A(2).</w:t>
      </w:r>
    </w:p>
    <w:p>
      <w:pPr>
        <w:pStyle w:val="ListParagraph"/>
        <w:numPr>
          <w:ilvl w:val="0"/>
          <w:numId w:val="6"/>
        </w:numPr>
        <w:tabs>
          <w:tab w:pos="567" w:val="left" w:leader="none"/>
        </w:tabs>
        <w:spacing w:line="200" w:lineRule="exact" w:before="0" w:after="0"/>
        <w:ind w:left="567" w:right="0" w:hanging="454"/>
        <w:jc w:val="left"/>
        <w:rPr>
          <w:sz w:val="16"/>
        </w:rPr>
      </w:pPr>
      <w:r>
        <w:rPr>
          <w:rFonts w:ascii="Arial"/>
          <w:w w:val="105"/>
          <w:sz w:val="16"/>
        </w:rPr>
        <w:t>EUWA,</w:t>
      </w:r>
      <w:r>
        <w:rPr>
          <w:rFonts w:ascii="Arial"/>
          <w:spacing w:val="-1"/>
          <w:w w:val="105"/>
          <w:sz w:val="16"/>
        </w:rPr>
        <w:t> </w:t>
      </w:r>
      <w:r>
        <w:rPr>
          <w:rFonts w:ascii="Arial"/>
          <w:w w:val="105"/>
          <w:sz w:val="16"/>
        </w:rPr>
        <w:t>s </w:t>
      </w:r>
      <w:r>
        <w:rPr>
          <w:rFonts w:ascii="Arial"/>
          <w:spacing w:val="-2"/>
          <w:w w:val="105"/>
          <w:sz w:val="16"/>
        </w:rPr>
        <w:t>7A(1).</w:t>
      </w:r>
    </w:p>
    <w:p>
      <w:pPr>
        <w:pStyle w:val="ListParagraph"/>
        <w:numPr>
          <w:ilvl w:val="0"/>
          <w:numId w:val="6"/>
        </w:numPr>
        <w:tabs>
          <w:tab w:pos="566" w:val="left" w:leader="none"/>
        </w:tabs>
        <w:spacing w:line="200" w:lineRule="exact" w:before="0" w:after="0"/>
        <w:ind w:left="566" w:right="0" w:hanging="453"/>
        <w:jc w:val="left"/>
        <w:rPr>
          <w:sz w:val="16"/>
        </w:rPr>
      </w:pPr>
      <w:r>
        <w:rPr>
          <w:w w:val="105"/>
          <w:sz w:val="16"/>
        </w:rPr>
        <w:t>EUWA,</w:t>
      </w:r>
      <w:r>
        <w:rPr>
          <w:spacing w:val="8"/>
          <w:w w:val="105"/>
          <w:sz w:val="16"/>
        </w:rPr>
        <w:t> </w:t>
      </w:r>
      <w:r>
        <w:rPr>
          <w:w w:val="105"/>
          <w:sz w:val="16"/>
        </w:rPr>
        <w:t>s</w:t>
      </w:r>
      <w:r>
        <w:rPr>
          <w:spacing w:val="8"/>
          <w:w w:val="105"/>
          <w:sz w:val="16"/>
        </w:rPr>
        <w:t> </w:t>
      </w:r>
      <w:r>
        <w:rPr>
          <w:spacing w:val="-2"/>
          <w:w w:val="105"/>
          <w:sz w:val="16"/>
        </w:rPr>
        <w:t>7A(3).</w:t>
      </w:r>
    </w:p>
    <w:p>
      <w:pPr>
        <w:pStyle w:val="ListParagraph"/>
        <w:numPr>
          <w:ilvl w:val="0"/>
          <w:numId w:val="6"/>
        </w:numPr>
        <w:tabs>
          <w:tab w:pos="567" w:val="left" w:leader="none"/>
        </w:tabs>
        <w:spacing w:line="194" w:lineRule="auto" w:before="10" w:after="0"/>
        <w:ind w:left="567" w:right="112" w:hanging="454"/>
        <w:jc w:val="left"/>
        <w:rPr>
          <w:sz w:val="16"/>
        </w:rPr>
      </w:pPr>
      <w:r>
        <w:rPr>
          <w:sz w:val="16"/>
        </w:rPr>
        <w:t>NI</w:t>
      </w:r>
      <w:r>
        <w:rPr>
          <w:spacing w:val="-7"/>
          <w:sz w:val="16"/>
        </w:rPr>
        <w:t> </w:t>
      </w:r>
      <w:r>
        <w:rPr>
          <w:sz w:val="16"/>
        </w:rPr>
        <w:t>Office,</w:t>
      </w:r>
      <w:r>
        <w:rPr>
          <w:spacing w:val="-7"/>
          <w:sz w:val="16"/>
        </w:rPr>
        <w:t> </w:t>
      </w:r>
      <w:r>
        <w:rPr>
          <w:sz w:val="16"/>
        </w:rPr>
        <w:t>UK</w:t>
      </w:r>
      <w:r>
        <w:rPr>
          <w:spacing w:val="-7"/>
          <w:sz w:val="16"/>
        </w:rPr>
        <w:t> </w:t>
      </w:r>
      <w:r>
        <w:rPr>
          <w:sz w:val="16"/>
        </w:rPr>
        <w:t>Government</w:t>
      </w:r>
      <w:r>
        <w:rPr>
          <w:spacing w:val="-7"/>
          <w:sz w:val="16"/>
        </w:rPr>
        <w:t> </w:t>
      </w:r>
      <w:r>
        <w:rPr>
          <w:sz w:val="16"/>
        </w:rPr>
        <w:t>commitment</w:t>
      </w:r>
      <w:r>
        <w:rPr>
          <w:spacing w:val="-7"/>
          <w:sz w:val="16"/>
        </w:rPr>
        <w:t> </w:t>
      </w:r>
      <w:r>
        <w:rPr>
          <w:sz w:val="16"/>
        </w:rPr>
        <w:t>to</w:t>
      </w:r>
      <w:r>
        <w:rPr>
          <w:spacing w:val="-7"/>
          <w:sz w:val="16"/>
        </w:rPr>
        <w:t> </w:t>
      </w:r>
      <w:r>
        <w:rPr>
          <w:sz w:val="16"/>
        </w:rPr>
        <w:t>‘no</w:t>
      </w:r>
      <w:r>
        <w:rPr>
          <w:spacing w:val="-7"/>
          <w:sz w:val="16"/>
        </w:rPr>
        <w:t> </w:t>
      </w:r>
      <w:r>
        <w:rPr>
          <w:sz w:val="16"/>
        </w:rPr>
        <w:t>diminution</w:t>
      </w:r>
      <w:r>
        <w:rPr>
          <w:spacing w:val="-7"/>
          <w:sz w:val="16"/>
        </w:rPr>
        <w:t> </w:t>
      </w:r>
      <w:r>
        <w:rPr>
          <w:sz w:val="16"/>
        </w:rPr>
        <w:t>of</w:t>
      </w:r>
      <w:r>
        <w:rPr>
          <w:spacing w:val="-7"/>
          <w:sz w:val="16"/>
        </w:rPr>
        <w:t> </w:t>
      </w:r>
      <w:r>
        <w:rPr>
          <w:sz w:val="16"/>
        </w:rPr>
        <w:t>rights,</w:t>
      </w:r>
      <w:r>
        <w:rPr>
          <w:spacing w:val="-7"/>
          <w:sz w:val="16"/>
        </w:rPr>
        <w:t> </w:t>
      </w:r>
      <w:r>
        <w:rPr>
          <w:sz w:val="16"/>
        </w:rPr>
        <w:t>safeguards</w:t>
      </w:r>
      <w:r>
        <w:rPr>
          <w:spacing w:val="-7"/>
          <w:sz w:val="16"/>
        </w:rPr>
        <w:t> </w:t>
      </w:r>
      <w:r>
        <w:rPr>
          <w:sz w:val="16"/>
        </w:rPr>
        <w:t>and</w:t>
      </w:r>
      <w:r>
        <w:rPr>
          <w:spacing w:val="-7"/>
          <w:sz w:val="16"/>
        </w:rPr>
        <w:t> </w:t>
      </w:r>
      <w:r>
        <w:rPr>
          <w:sz w:val="16"/>
        </w:rPr>
        <w:t>equality</w:t>
      </w:r>
      <w:r>
        <w:rPr>
          <w:spacing w:val="-7"/>
          <w:sz w:val="16"/>
        </w:rPr>
        <w:t> </w:t>
      </w:r>
      <w:r>
        <w:rPr>
          <w:sz w:val="16"/>
        </w:rPr>
        <w:t>of</w:t>
      </w:r>
      <w:r>
        <w:rPr>
          <w:spacing w:val="-7"/>
          <w:sz w:val="16"/>
        </w:rPr>
        <w:t> </w:t>
      </w:r>
      <w:r>
        <w:rPr>
          <w:sz w:val="16"/>
        </w:rPr>
        <w:t>opportunity’</w:t>
      </w:r>
      <w:r>
        <w:rPr>
          <w:spacing w:val="-7"/>
          <w:sz w:val="16"/>
        </w:rPr>
        <w:t> </w:t>
      </w:r>
      <w:r>
        <w:rPr>
          <w:sz w:val="16"/>
        </w:rPr>
        <w:t>in</w:t>
      </w:r>
      <w:r>
        <w:rPr>
          <w:spacing w:val="-7"/>
          <w:sz w:val="16"/>
        </w:rPr>
        <w:t> </w:t>
      </w:r>
      <w:r>
        <w:rPr>
          <w:sz w:val="16"/>
        </w:rPr>
        <w:t>Northern Ireland: What does it mean and how will it be implemented?, 2020, available at: </w:t>
      </w:r>
      <w:hyperlink r:id="rId37">
        <w:r>
          <w:rPr>
            <w:rFonts w:ascii="Arial" w:hAnsi="Arial"/>
            <w:color w:val="77328A"/>
            <w:sz w:val="16"/>
            <w:u w:val="single" w:color="77328A"/>
          </w:rPr>
          <w:t>https://assets.publishing.service.gov</w:t>
        </w:r>
        <w:r>
          <w:rPr>
            <w:rFonts w:ascii="Arial" w:hAnsi="Arial"/>
            <w:color w:val="77328A"/>
            <w:sz w:val="16"/>
            <w:u w:val="none"/>
          </w:rPr>
          <w:t>.</w:t>
        </w:r>
      </w:hyperlink>
      <w:r>
        <w:rPr>
          <w:rFonts w:ascii="Arial" w:hAnsi="Arial"/>
          <w:color w:val="77328A"/>
          <w:sz w:val="16"/>
          <w:u w:val="none"/>
        </w:rPr>
        <w:t> </w:t>
      </w:r>
      <w:hyperlink r:id="rId37">
        <w:r>
          <w:rPr>
            <w:color w:val="77328A"/>
            <w:sz w:val="16"/>
            <w:u w:val="single" w:color="77328A"/>
          </w:rPr>
          <w:t>uk/government/uploads/system/uploads/attachment_data/file/907682/Explainer</w:t>
        </w:r>
        <w:r>
          <w:rPr>
            <w:color w:val="77328A"/>
            <w:spacing w:val="80"/>
            <w:sz w:val="16"/>
            <w:u w:val="single" w:color="77328A"/>
          </w:rPr>
          <w:t> </w:t>
        </w:r>
        <w:r>
          <w:rPr>
            <w:color w:val="77328A"/>
            <w:sz w:val="16"/>
            <w:u w:val="single" w:color="77328A"/>
          </w:rPr>
          <w:t>UK_Government_commitment_</w:t>
        </w:r>
      </w:hyperlink>
      <w:r>
        <w:rPr>
          <w:color w:val="77328A"/>
          <w:sz w:val="16"/>
          <w:u w:val="none"/>
        </w:rPr>
        <w:t> </w:t>
      </w:r>
      <w:hyperlink r:id="rId37">
        <w:r>
          <w:rPr>
            <w:color w:val="77328A"/>
            <w:sz w:val="16"/>
            <w:u w:val="single" w:color="77328A"/>
          </w:rPr>
          <w:t>to_no_diminution_of_rights</w:t>
        </w:r>
        <w:r>
          <w:rPr>
            <w:color w:val="77328A"/>
            <w:spacing w:val="80"/>
            <w:w w:val="150"/>
            <w:sz w:val="16"/>
            <w:u w:val="single" w:color="77328A"/>
          </w:rPr>
          <w:t> </w:t>
        </w:r>
        <w:r>
          <w:rPr>
            <w:color w:val="77328A"/>
            <w:sz w:val="16"/>
            <w:u w:val="single" w:color="77328A"/>
          </w:rPr>
          <w:t>safeguards_and_equality_of_opportunity_in_Northern_Ireland.pdf</w:t>
        </w:r>
      </w:hyperlink>
      <w:r>
        <w:rPr>
          <w:sz w:val="16"/>
          <w:u w:val="none"/>
        </w:rPr>
        <w:t>, para 14.</w:t>
      </w:r>
    </w:p>
    <w:p>
      <w:pPr>
        <w:pStyle w:val="ListParagraph"/>
        <w:numPr>
          <w:ilvl w:val="0"/>
          <w:numId w:val="6"/>
        </w:numPr>
        <w:tabs>
          <w:tab w:pos="566" w:val="left" w:leader="none"/>
        </w:tabs>
        <w:spacing w:line="193" w:lineRule="exact" w:before="0" w:after="0"/>
        <w:ind w:left="566" w:right="0" w:hanging="453"/>
        <w:jc w:val="left"/>
        <w:rPr>
          <w:sz w:val="16"/>
        </w:rPr>
      </w:pPr>
      <w:r>
        <w:rPr>
          <w:sz w:val="16"/>
        </w:rPr>
        <w:t>On</w:t>
      </w:r>
      <w:r>
        <w:rPr>
          <w:spacing w:val="2"/>
          <w:sz w:val="16"/>
        </w:rPr>
        <w:t> </w:t>
      </w:r>
      <w:r>
        <w:rPr>
          <w:sz w:val="16"/>
        </w:rPr>
        <w:t>the</w:t>
      </w:r>
      <w:r>
        <w:rPr>
          <w:spacing w:val="3"/>
          <w:sz w:val="16"/>
        </w:rPr>
        <w:t> </w:t>
      </w:r>
      <w:r>
        <w:rPr>
          <w:sz w:val="16"/>
        </w:rPr>
        <w:t>specific</w:t>
      </w:r>
      <w:r>
        <w:rPr>
          <w:spacing w:val="3"/>
          <w:sz w:val="16"/>
        </w:rPr>
        <w:t> </w:t>
      </w:r>
      <w:r>
        <w:rPr>
          <w:sz w:val="16"/>
        </w:rPr>
        <w:t>case</w:t>
      </w:r>
      <w:r>
        <w:rPr>
          <w:spacing w:val="3"/>
          <w:sz w:val="16"/>
        </w:rPr>
        <w:t> </w:t>
      </w:r>
      <w:r>
        <w:rPr>
          <w:sz w:val="16"/>
        </w:rPr>
        <w:t>of</w:t>
      </w:r>
      <w:r>
        <w:rPr>
          <w:spacing w:val="3"/>
          <w:sz w:val="16"/>
        </w:rPr>
        <w:t> </w:t>
      </w:r>
      <w:r>
        <w:rPr>
          <w:sz w:val="16"/>
        </w:rPr>
        <w:t>the</w:t>
      </w:r>
      <w:r>
        <w:rPr>
          <w:spacing w:val="3"/>
          <w:sz w:val="16"/>
        </w:rPr>
        <w:t> </w:t>
      </w:r>
      <w:r>
        <w:rPr>
          <w:sz w:val="16"/>
        </w:rPr>
        <w:t>Annex</w:t>
      </w:r>
      <w:r>
        <w:rPr>
          <w:spacing w:val="3"/>
          <w:sz w:val="16"/>
        </w:rPr>
        <w:t> </w:t>
      </w:r>
      <w:r>
        <w:rPr>
          <w:w w:val="95"/>
          <w:sz w:val="16"/>
        </w:rPr>
        <w:t>1</w:t>
      </w:r>
      <w:r>
        <w:rPr>
          <w:spacing w:val="3"/>
          <w:sz w:val="16"/>
        </w:rPr>
        <w:t> </w:t>
      </w:r>
      <w:r>
        <w:rPr>
          <w:sz w:val="16"/>
        </w:rPr>
        <w:t>Directives</w:t>
      </w:r>
      <w:r>
        <w:rPr>
          <w:spacing w:val="3"/>
          <w:sz w:val="16"/>
        </w:rPr>
        <w:t> </w:t>
      </w:r>
      <w:r>
        <w:rPr>
          <w:sz w:val="16"/>
        </w:rPr>
        <w:t>see</w:t>
      </w:r>
      <w:r>
        <w:rPr>
          <w:spacing w:val="3"/>
          <w:sz w:val="16"/>
        </w:rPr>
        <w:t> </w:t>
      </w:r>
      <w:r>
        <w:rPr>
          <w:sz w:val="16"/>
        </w:rPr>
        <w:t>the</w:t>
      </w:r>
      <w:r>
        <w:rPr>
          <w:spacing w:val="3"/>
          <w:sz w:val="16"/>
        </w:rPr>
        <w:t> </w:t>
      </w:r>
      <w:r>
        <w:rPr>
          <w:sz w:val="16"/>
        </w:rPr>
        <w:t>discussion</w:t>
      </w:r>
      <w:r>
        <w:rPr>
          <w:spacing w:val="2"/>
          <w:sz w:val="16"/>
        </w:rPr>
        <w:t> </w:t>
      </w:r>
      <w:r>
        <w:rPr>
          <w:sz w:val="16"/>
        </w:rPr>
        <w:t>at</w:t>
      </w:r>
      <w:r>
        <w:rPr>
          <w:spacing w:val="3"/>
          <w:sz w:val="16"/>
        </w:rPr>
        <w:t> </w:t>
      </w:r>
      <w:r>
        <w:rPr>
          <w:sz w:val="16"/>
        </w:rPr>
        <w:t>4</w:t>
      </w:r>
      <w:r>
        <w:rPr>
          <w:spacing w:val="3"/>
          <w:sz w:val="16"/>
        </w:rPr>
        <w:t> </w:t>
      </w:r>
      <w:r>
        <w:rPr>
          <w:sz w:val="16"/>
        </w:rPr>
        <w:t>c</w:t>
      </w:r>
      <w:r>
        <w:rPr>
          <w:spacing w:val="3"/>
          <w:sz w:val="16"/>
        </w:rPr>
        <w:t> </w:t>
      </w:r>
      <w:r>
        <w:rPr>
          <w:spacing w:val="-2"/>
          <w:sz w:val="16"/>
        </w:rPr>
        <w:t>below.</w:t>
      </w:r>
    </w:p>
    <w:p>
      <w:pPr>
        <w:pStyle w:val="ListParagraph"/>
        <w:numPr>
          <w:ilvl w:val="0"/>
          <w:numId w:val="6"/>
        </w:numPr>
        <w:tabs>
          <w:tab w:pos="567" w:val="left" w:leader="none"/>
        </w:tabs>
        <w:spacing w:line="223" w:lineRule="exact" w:before="0" w:after="0"/>
        <w:ind w:left="567" w:right="0" w:hanging="454"/>
        <w:jc w:val="left"/>
        <w:rPr>
          <w:sz w:val="16"/>
        </w:rPr>
      </w:pPr>
      <w:r>
        <w:rPr>
          <w:rFonts w:ascii="Arial"/>
          <w:w w:val="105"/>
          <w:sz w:val="16"/>
        </w:rPr>
        <w:t>Art.</w:t>
      </w:r>
      <w:r>
        <w:rPr>
          <w:rFonts w:ascii="Arial"/>
          <w:spacing w:val="-3"/>
          <w:w w:val="105"/>
          <w:sz w:val="16"/>
        </w:rPr>
        <w:t> </w:t>
      </w:r>
      <w:r>
        <w:rPr>
          <w:rFonts w:ascii="Arial"/>
          <w:w w:val="105"/>
          <w:sz w:val="16"/>
        </w:rPr>
        <w:t>51</w:t>
      </w:r>
      <w:r>
        <w:rPr>
          <w:rFonts w:ascii="Arial"/>
          <w:spacing w:val="-2"/>
          <w:w w:val="105"/>
          <w:sz w:val="16"/>
        </w:rPr>
        <w:t> </w:t>
      </w:r>
      <w:r>
        <w:rPr>
          <w:rFonts w:ascii="Arial"/>
          <w:w w:val="105"/>
          <w:sz w:val="16"/>
        </w:rPr>
        <w:t>(1)</w:t>
      </w:r>
      <w:r>
        <w:rPr>
          <w:rFonts w:ascii="Arial"/>
          <w:spacing w:val="-3"/>
          <w:w w:val="105"/>
          <w:sz w:val="16"/>
        </w:rPr>
        <w:t> </w:t>
      </w:r>
      <w:r>
        <w:rPr>
          <w:rFonts w:ascii="Arial"/>
          <w:spacing w:val="-4"/>
          <w:w w:val="105"/>
          <w:sz w:val="16"/>
        </w:rPr>
        <w:t>CFR.</w:t>
      </w:r>
    </w:p>
    <w:p>
      <w:pPr>
        <w:spacing w:after="0" w:line="223" w:lineRule="exact"/>
        <w:jc w:val="left"/>
        <w:rPr>
          <w:sz w:val="16"/>
        </w:rPr>
        <w:sectPr>
          <w:type w:val="continuous"/>
          <w:pgSz w:w="11910" w:h="16840"/>
          <w:pgMar w:header="568" w:footer="580" w:top="0" w:bottom="280" w:left="1020" w:right="1020"/>
        </w:sectPr>
      </w:pPr>
    </w:p>
    <w:p>
      <w:pPr>
        <w:pStyle w:val="BodyText"/>
        <w:ind w:left="0"/>
        <w:rPr>
          <w:sz w:val="20"/>
        </w:rPr>
      </w:pPr>
    </w:p>
    <w:p>
      <w:pPr>
        <w:pStyle w:val="BodyText"/>
        <w:ind w:left="0"/>
        <w:rPr>
          <w:sz w:val="20"/>
        </w:rPr>
      </w:pPr>
    </w:p>
    <w:p>
      <w:pPr>
        <w:pStyle w:val="BodyText"/>
        <w:spacing w:before="48"/>
        <w:ind w:left="0"/>
        <w:rPr>
          <w:sz w:val="20"/>
        </w:rPr>
      </w:pPr>
    </w:p>
    <w:p>
      <w:pPr>
        <w:spacing w:after="0"/>
        <w:rPr>
          <w:sz w:val="20"/>
        </w:rPr>
        <w:sectPr>
          <w:pgSz w:w="11910" w:h="16840"/>
          <w:pgMar w:header="568" w:footer="580" w:top="840" w:bottom="780" w:left="1020" w:right="1020"/>
        </w:sectPr>
      </w:pPr>
    </w:p>
    <w:p>
      <w:pPr>
        <w:pStyle w:val="BodyText"/>
        <w:spacing w:line="268" w:lineRule="auto" w:before="72"/>
        <w:ind w:right="552"/>
      </w:pPr>
      <w:r>
        <w:rPr>
          <w:w w:val="115"/>
        </w:rPr>
        <w:t>or</w:t>
      </w:r>
      <w:r>
        <w:rPr>
          <w:spacing w:val="-20"/>
          <w:w w:val="115"/>
        </w:rPr>
        <w:t> </w:t>
      </w:r>
      <w:r>
        <w:rPr>
          <w:w w:val="115"/>
        </w:rPr>
        <w:t>to</w:t>
      </w:r>
      <w:r>
        <w:rPr>
          <w:spacing w:val="-19"/>
          <w:w w:val="115"/>
        </w:rPr>
        <w:t> </w:t>
      </w:r>
      <w:r>
        <w:rPr>
          <w:w w:val="115"/>
        </w:rPr>
        <w:t>directly</w:t>
      </w:r>
      <w:r>
        <w:rPr>
          <w:spacing w:val="-19"/>
          <w:w w:val="115"/>
        </w:rPr>
        <w:t> </w:t>
      </w:r>
      <w:r>
        <w:rPr>
          <w:w w:val="115"/>
        </w:rPr>
        <w:t>applicable</w:t>
      </w:r>
      <w:r>
        <w:rPr>
          <w:spacing w:val="-19"/>
          <w:w w:val="115"/>
        </w:rPr>
        <w:t> </w:t>
      </w:r>
      <w:r>
        <w:rPr>
          <w:w w:val="115"/>
        </w:rPr>
        <w:t>EU</w:t>
      </w:r>
      <w:r>
        <w:rPr>
          <w:spacing w:val="-19"/>
          <w:w w:val="115"/>
        </w:rPr>
        <w:t> </w:t>
      </w:r>
      <w:r>
        <w:rPr>
          <w:w w:val="115"/>
        </w:rPr>
        <w:t>law</w:t>
      </w:r>
      <w:r>
        <w:rPr>
          <w:spacing w:val="-20"/>
          <w:w w:val="115"/>
        </w:rPr>
        <w:t> </w:t>
      </w:r>
      <w:r>
        <w:rPr>
          <w:w w:val="115"/>
        </w:rPr>
        <w:t>in Northern Ireland can be subject to obligations under the Charter</w:t>
      </w:r>
    </w:p>
    <w:p>
      <w:pPr>
        <w:pStyle w:val="BodyText"/>
        <w:spacing w:line="268" w:lineRule="auto" w:before="2"/>
        <w:ind w:right="215"/>
      </w:pPr>
      <w:r>
        <w:rPr>
          <w:w w:val="115"/>
        </w:rPr>
        <w:t>provided</w:t>
      </w:r>
      <w:r>
        <w:rPr>
          <w:spacing w:val="-10"/>
          <w:w w:val="115"/>
        </w:rPr>
        <w:t> </w:t>
      </w:r>
      <w:r>
        <w:rPr>
          <w:w w:val="115"/>
        </w:rPr>
        <w:t>that</w:t>
      </w:r>
      <w:r>
        <w:rPr>
          <w:spacing w:val="-10"/>
          <w:w w:val="115"/>
        </w:rPr>
        <w:t> </w:t>
      </w:r>
      <w:r>
        <w:rPr>
          <w:w w:val="115"/>
        </w:rPr>
        <w:t>the</w:t>
      </w:r>
      <w:r>
        <w:rPr>
          <w:spacing w:val="-10"/>
          <w:w w:val="115"/>
        </w:rPr>
        <w:t> </w:t>
      </w:r>
      <w:r>
        <w:rPr>
          <w:w w:val="115"/>
        </w:rPr>
        <w:t>applicable</w:t>
      </w:r>
      <w:r>
        <w:rPr>
          <w:spacing w:val="-10"/>
          <w:w w:val="115"/>
        </w:rPr>
        <w:t> </w:t>
      </w:r>
      <w:r>
        <w:rPr>
          <w:w w:val="115"/>
        </w:rPr>
        <w:t>EU</w:t>
      </w:r>
      <w:r>
        <w:rPr>
          <w:spacing w:val="-10"/>
          <w:w w:val="115"/>
        </w:rPr>
        <w:t> </w:t>
      </w:r>
      <w:r>
        <w:rPr>
          <w:w w:val="115"/>
        </w:rPr>
        <w:t>law is</w:t>
      </w:r>
      <w:r>
        <w:rPr>
          <w:spacing w:val="-7"/>
          <w:w w:val="115"/>
        </w:rPr>
        <w:t> </w:t>
      </w:r>
      <w:r>
        <w:rPr>
          <w:w w:val="115"/>
        </w:rPr>
        <w:t>also</w:t>
      </w:r>
      <w:r>
        <w:rPr>
          <w:spacing w:val="-7"/>
          <w:w w:val="115"/>
        </w:rPr>
        <w:t> </w:t>
      </w:r>
      <w:r>
        <w:rPr>
          <w:w w:val="115"/>
        </w:rPr>
        <w:t>directly</w:t>
      </w:r>
      <w:r>
        <w:rPr>
          <w:spacing w:val="-7"/>
          <w:w w:val="115"/>
        </w:rPr>
        <w:t> </w:t>
      </w:r>
      <w:r>
        <w:rPr>
          <w:w w:val="115"/>
        </w:rPr>
        <w:t>effective</w:t>
      </w:r>
      <w:r>
        <w:rPr>
          <w:spacing w:val="-7"/>
          <w:w w:val="115"/>
        </w:rPr>
        <w:t> </w:t>
      </w:r>
      <w:r>
        <w:rPr>
          <w:w w:val="115"/>
        </w:rPr>
        <w:t>(i.e.</w:t>
      </w:r>
      <w:r>
        <w:rPr>
          <w:spacing w:val="-7"/>
          <w:w w:val="115"/>
        </w:rPr>
        <w:t> </w:t>
      </w:r>
      <w:r>
        <w:rPr>
          <w:w w:val="115"/>
        </w:rPr>
        <w:t>clear, precise and unconditional). A good </w:t>
      </w:r>
      <w:r>
        <w:rPr>
          <w:w w:val="110"/>
        </w:rPr>
        <w:t>example</w:t>
      </w:r>
      <w:r>
        <w:rPr>
          <w:spacing w:val="-6"/>
          <w:w w:val="110"/>
        </w:rPr>
        <w:t> </w:t>
      </w:r>
      <w:r>
        <w:rPr>
          <w:w w:val="110"/>
        </w:rPr>
        <w:t>of</w:t>
      </w:r>
      <w:r>
        <w:rPr>
          <w:spacing w:val="-6"/>
          <w:w w:val="110"/>
        </w:rPr>
        <w:t> </w:t>
      </w:r>
      <w:r>
        <w:rPr>
          <w:w w:val="110"/>
        </w:rPr>
        <w:t>this</w:t>
      </w:r>
      <w:r>
        <w:rPr>
          <w:spacing w:val="-6"/>
          <w:w w:val="110"/>
        </w:rPr>
        <w:t> </w:t>
      </w:r>
      <w:r>
        <w:rPr>
          <w:w w:val="110"/>
        </w:rPr>
        <w:t>is</w:t>
      </w:r>
      <w:r>
        <w:rPr>
          <w:spacing w:val="-6"/>
          <w:w w:val="110"/>
        </w:rPr>
        <w:t> </w:t>
      </w:r>
      <w:r>
        <w:rPr>
          <w:w w:val="110"/>
        </w:rPr>
        <w:t>the</w:t>
      </w:r>
      <w:r>
        <w:rPr>
          <w:spacing w:val="-6"/>
          <w:w w:val="110"/>
        </w:rPr>
        <w:t> </w:t>
      </w:r>
      <w:r>
        <w:rPr>
          <w:w w:val="110"/>
        </w:rPr>
        <w:t>EU</w:t>
      </w:r>
      <w:r>
        <w:rPr>
          <w:spacing w:val="-6"/>
          <w:w w:val="110"/>
        </w:rPr>
        <w:t> </w:t>
      </w:r>
      <w:r>
        <w:rPr>
          <w:w w:val="110"/>
        </w:rPr>
        <w:t>Framework </w:t>
      </w:r>
      <w:r>
        <w:rPr>
          <w:w w:val="115"/>
        </w:rPr>
        <w:t>Equality Directive: this directive</w:t>
      </w:r>
    </w:p>
    <w:p>
      <w:pPr>
        <w:pStyle w:val="BodyText"/>
        <w:spacing w:line="208" w:lineRule="auto" w:before="1"/>
        <w:ind w:right="215"/>
      </w:pPr>
      <w:r>
        <w:rPr>
          <w:rFonts w:ascii="Lucida Sans Unicode"/>
        </w:rPr>
        <w:t>specifies</w:t>
      </w:r>
      <w:r>
        <w:rPr>
          <w:rFonts w:ascii="Lucida Sans Unicode"/>
          <w:spacing w:val="-5"/>
        </w:rPr>
        <w:t> </w:t>
      </w:r>
      <w:r>
        <w:rPr>
          <w:rFonts w:ascii="Lucida Sans Unicode"/>
        </w:rPr>
        <w:t>conditions</w:t>
      </w:r>
      <w:r>
        <w:rPr>
          <w:rFonts w:ascii="Lucida Sans Unicode"/>
          <w:spacing w:val="-5"/>
        </w:rPr>
        <w:t> </w:t>
      </w:r>
      <w:r>
        <w:rPr>
          <w:rFonts w:ascii="Lucida Sans Unicode"/>
        </w:rPr>
        <w:t>for</w:t>
      </w:r>
      <w:r>
        <w:rPr>
          <w:rFonts w:ascii="Lucida Sans Unicode"/>
          <w:spacing w:val="-5"/>
        </w:rPr>
        <w:t> </w:t>
      </w:r>
      <w:r>
        <w:rPr>
          <w:rFonts w:ascii="Lucida Sans Unicode"/>
        </w:rPr>
        <w:t>the</w:t>
      </w:r>
      <w:r>
        <w:rPr>
          <w:rFonts w:ascii="Lucida Sans Unicode"/>
          <w:spacing w:val="-5"/>
        </w:rPr>
        <w:t> </w:t>
      </w:r>
      <w:r>
        <w:rPr>
          <w:rFonts w:ascii="Lucida Sans Unicode"/>
        </w:rPr>
        <w:t>exercise </w:t>
      </w:r>
      <w:r>
        <w:rPr>
          <w:rFonts w:ascii="Lucida Sans Unicode"/>
          <w:w w:val="105"/>
        </w:rPr>
        <w:t>of</w:t>
      </w:r>
      <w:r>
        <w:rPr>
          <w:rFonts w:ascii="Lucida Sans Unicode"/>
          <w:spacing w:val="-17"/>
          <w:w w:val="105"/>
        </w:rPr>
        <w:t> </w:t>
      </w:r>
      <w:r>
        <w:rPr>
          <w:rFonts w:ascii="Lucida Sans Unicode"/>
          <w:w w:val="105"/>
        </w:rPr>
        <w:t>Article</w:t>
      </w:r>
      <w:r>
        <w:rPr>
          <w:rFonts w:ascii="Lucida Sans Unicode"/>
          <w:spacing w:val="-17"/>
          <w:w w:val="105"/>
        </w:rPr>
        <w:t> </w:t>
      </w:r>
      <w:r>
        <w:rPr>
          <w:rFonts w:ascii="Lucida Sans Unicode"/>
          <w:w w:val="105"/>
        </w:rPr>
        <w:t>21</w:t>
      </w:r>
      <w:r>
        <w:rPr>
          <w:rFonts w:ascii="Lucida Sans Unicode"/>
          <w:spacing w:val="-17"/>
          <w:w w:val="105"/>
        </w:rPr>
        <w:t> </w:t>
      </w:r>
      <w:r>
        <w:rPr>
          <w:rFonts w:ascii="Lucida Sans Unicode"/>
          <w:w w:val="105"/>
        </w:rPr>
        <w:t>CFR</w:t>
      </w:r>
      <w:r>
        <w:rPr>
          <w:rFonts w:ascii="Lucida Sans Unicode"/>
          <w:spacing w:val="-17"/>
          <w:w w:val="105"/>
        </w:rPr>
        <w:t> </w:t>
      </w:r>
      <w:r>
        <w:rPr>
          <w:rFonts w:ascii="Lucida Sans Unicode"/>
          <w:w w:val="105"/>
        </w:rPr>
        <w:t>(the</w:t>
      </w:r>
      <w:r>
        <w:rPr>
          <w:rFonts w:ascii="Lucida Sans Unicode"/>
          <w:spacing w:val="-17"/>
          <w:w w:val="105"/>
        </w:rPr>
        <w:t> </w:t>
      </w:r>
      <w:r>
        <w:rPr>
          <w:rFonts w:ascii="Lucida Sans Unicode"/>
          <w:w w:val="105"/>
        </w:rPr>
        <w:t>right</w:t>
      </w:r>
      <w:r>
        <w:rPr>
          <w:rFonts w:ascii="Lucida Sans Unicode"/>
          <w:spacing w:val="-17"/>
          <w:w w:val="105"/>
        </w:rPr>
        <w:t> </w:t>
      </w:r>
      <w:r>
        <w:rPr>
          <w:rFonts w:ascii="Lucida Sans Unicode"/>
          <w:w w:val="105"/>
        </w:rPr>
        <w:t>to</w:t>
      </w:r>
      <w:r>
        <w:rPr>
          <w:rFonts w:ascii="Lucida Sans Unicode"/>
          <w:spacing w:val="-17"/>
          <w:w w:val="105"/>
        </w:rPr>
        <w:t> </w:t>
      </w:r>
      <w:r>
        <w:rPr>
          <w:rFonts w:ascii="Lucida Sans Unicode"/>
          <w:w w:val="105"/>
        </w:rPr>
        <w:t>non- </w:t>
      </w:r>
      <w:r>
        <w:rPr>
          <w:w w:val="105"/>
        </w:rPr>
        <w:t>discrimination)</w:t>
      </w:r>
      <w:r>
        <w:rPr>
          <w:rFonts w:ascii="Lucida Sans Unicode"/>
          <w:w w:val="105"/>
          <w:vertAlign w:val="superscript"/>
        </w:rPr>
        <w:t>132</w:t>
      </w:r>
      <w:r>
        <w:rPr>
          <w:rFonts w:ascii="Lucida Sans Unicode"/>
          <w:w w:val="105"/>
          <w:vertAlign w:val="baseline"/>
        </w:rPr>
        <w:t> </w:t>
      </w:r>
      <w:r>
        <w:rPr>
          <w:w w:val="105"/>
          <w:vertAlign w:val="baseline"/>
        </w:rPr>
        <w:t>and, may be </w:t>
      </w:r>
      <w:r>
        <w:rPr>
          <w:w w:val="105"/>
          <w:vertAlign w:val="baseline"/>
        </w:rPr>
        <w:t>relied upon</w:t>
      </w:r>
      <w:r>
        <w:rPr>
          <w:spacing w:val="40"/>
          <w:w w:val="105"/>
          <w:vertAlign w:val="baseline"/>
        </w:rPr>
        <w:t> </w:t>
      </w:r>
      <w:r>
        <w:rPr>
          <w:w w:val="105"/>
          <w:vertAlign w:val="baseline"/>
        </w:rPr>
        <w:t>as</w:t>
      </w:r>
      <w:r>
        <w:rPr>
          <w:spacing w:val="40"/>
          <w:w w:val="105"/>
          <w:vertAlign w:val="baseline"/>
        </w:rPr>
        <w:t> </w:t>
      </w:r>
      <w:r>
        <w:rPr>
          <w:w w:val="105"/>
          <w:vertAlign w:val="baseline"/>
        </w:rPr>
        <w:t>part</w:t>
      </w:r>
      <w:r>
        <w:rPr>
          <w:spacing w:val="40"/>
          <w:w w:val="105"/>
          <w:vertAlign w:val="baseline"/>
        </w:rPr>
        <w:t> </w:t>
      </w:r>
      <w:r>
        <w:rPr>
          <w:w w:val="105"/>
          <w:vertAlign w:val="baseline"/>
        </w:rPr>
        <w:t>of</w:t>
      </w:r>
      <w:r>
        <w:rPr>
          <w:spacing w:val="40"/>
          <w:w w:val="105"/>
          <w:vertAlign w:val="baseline"/>
        </w:rPr>
        <w:t> </w:t>
      </w:r>
      <w:r>
        <w:rPr>
          <w:w w:val="105"/>
          <w:vertAlign w:val="baseline"/>
        </w:rPr>
        <w:t>the</w:t>
      </w:r>
      <w:r>
        <w:rPr>
          <w:spacing w:val="40"/>
          <w:w w:val="105"/>
          <w:vertAlign w:val="baseline"/>
        </w:rPr>
        <w:t> </w:t>
      </w:r>
      <w:r>
        <w:rPr>
          <w:w w:val="105"/>
          <w:vertAlign w:val="baseline"/>
        </w:rPr>
        <w:t>non-diminution</w:t>
      </w:r>
    </w:p>
    <w:p>
      <w:pPr>
        <w:pStyle w:val="BodyText"/>
        <w:spacing w:line="310" w:lineRule="exact" w:before="18"/>
        <w:ind w:right="16"/>
      </w:pPr>
      <w:r>
        <w:rPr>
          <w:spacing w:val="-2"/>
          <w:w w:val="115"/>
        </w:rPr>
        <w:t>obligation</w:t>
      </w:r>
      <w:r>
        <w:rPr>
          <w:spacing w:val="-12"/>
          <w:w w:val="115"/>
        </w:rPr>
        <w:t> </w:t>
      </w:r>
      <w:r>
        <w:rPr>
          <w:spacing w:val="-2"/>
          <w:w w:val="115"/>
        </w:rPr>
        <w:t>in</w:t>
      </w:r>
      <w:r>
        <w:rPr>
          <w:spacing w:val="-12"/>
          <w:w w:val="115"/>
        </w:rPr>
        <w:t> </w:t>
      </w:r>
      <w:r>
        <w:rPr>
          <w:spacing w:val="-2"/>
          <w:w w:val="115"/>
        </w:rPr>
        <w:t>the</w:t>
      </w:r>
      <w:r>
        <w:rPr>
          <w:spacing w:val="-12"/>
          <w:w w:val="115"/>
        </w:rPr>
        <w:t> </w:t>
      </w:r>
      <w:r>
        <w:rPr>
          <w:spacing w:val="-2"/>
          <w:w w:val="115"/>
        </w:rPr>
        <w:t>Northern</w:t>
      </w:r>
      <w:r>
        <w:rPr>
          <w:spacing w:val="-12"/>
          <w:w w:val="115"/>
        </w:rPr>
        <w:t> </w:t>
      </w:r>
      <w:r>
        <w:rPr>
          <w:spacing w:val="-2"/>
          <w:w w:val="115"/>
        </w:rPr>
        <w:t>Ireland</w:t>
      </w:r>
      <w:r>
        <w:rPr>
          <w:spacing w:val="-12"/>
          <w:w w:val="115"/>
        </w:rPr>
        <w:t> </w:t>
      </w:r>
      <w:r>
        <w:rPr>
          <w:spacing w:val="-2"/>
          <w:w w:val="115"/>
        </w:rPr>
        <w:t>legal </w:t>
      </w:r>
      <w:r>
        <w:rPr>
          <w:w w:val="115"/>
        </w:rPr>
        <w:t>order.</w:t>
      </w:r>
      <w:r>
        <w:rPr>
          <w:spacing w:val="-10"/>
          <w:w w:val="115"/>
        </w:rPr>
        <w:t> </w:t>
      </w:r>
      <w:r>
        <w:rPr>
          <w:w w:val="115"/>
        </w:rPr>
        <w:t>The</w:t>
      </w:r>
      <w:r>
        <w:rPr>
          <w:spacing w:val="-10"/>
          <w:w w:val="115"/>
        </w:rPr>
        <w:t> </w:t>
      </w:r>
      <w:r>
        <w:rPr>
          <w:w w:val="115"/>
        </w:rPr>
        <w:t>Charter</w:t>
      </w:r>
      <w:r>
        <w:rPr>
          <w:spacing w:val="-10"/>
          <w:w w:val="115"/>
        </w:rPr>
        <w:t> </w:t>
      </w:r>
      <w:r>
        <w:rPr>
          <w:w w:val="115"/>
        </w:rPr>
        <w:t>can</w:t>
      </w:r>
      <w:r>
        <w:rPr>
          <w:spacing w:val="-10"/>
          <w:w w:val="115"/>
        </w:rPr>
        <w:t> </w:t>
      </w:r>
      <w:r>
        <w:rPr>
          <w:w w:val="115"/>
        </w:rPr>
        <w:t>therefore</w:t>
      </w:r>
      <w:r>
        <w:rPr>
          <w:spacing w:val="-10"/>
          <w:w w:val="115"/>
        </w:rPr>
        <w:t> </w:t>
      </w:r>
      <w:r>
        <w:rPr>
          <w:w w:val="115"/>
        </w:rPr>
        <w:t>be </w:t>
      </w:r>
      <w:r>
        <w:rPr>
          <w:spacing w:val="-2"/>
          <w:w w:val="115"/>
        </w:rPr>
        <w:t>relied</w:t>
      </w:r>
      <w:r>
        <w:rPr>
          <w:spacing w:val="-16"/>
          <w:w w:val="115"/>
        </w:rPr>
        <w:t> </w:t>
      </w:r>
      <w:r>
        <w:rPr>
          <w:spacing w:val="-2"/>
          <w:w w:val="115"/>
        </w:rPr>
        <w:t>upon</w:t>
      </w:r>
      <w:r>
        <w:rPr>
          <w:spacing w:val="-16"/>
          <w:w w:val="115"/>
        </w:rPr>
        <w:t> </w:t>
      </w:r>
      <w:r>
        <w:rPr>
          <w:spacing w:val="-2"/>
          <w:w w:val="115"/>
        </w:rPr>
        <w:t>in</w:t>
      </w:r>
      <w:r>
        <w:rPr>
          <w:spacing w:val="-16"/>
          <w:w w:val="115"/>
        </w:rPr>
        <w:t> </w:t>
      </w:r>
      <w:r>
        <w:rPr>
          <w:spacing w:val="-2"/>
          <w:w w:val="115"/>
        </w:rPr>
        <w:t>all</w:t>
      </w:r>
      <w:r>
        <w:rPr>
          <w:spacing w:val="-16"/>
          <w:w w:val="115"/>
        </w:rPr>
        <w:t> </w:t>
      </w:r>
      <w:r>
        <w:rPr>
          <w:spacing w:val="-2"/>
          <w:w w:val="115"/>
        </w:rPr>
        <w:t>cases</w:t>
      </w:r>
      <w:r>
        <w:rPr>
          <w:spacing w:val="-16"/>
          <w:w w:val="115"/>
        </w:rPr>
        <w:t> </w:t>
      </w:r>
      <w:r>
        <w:rPr>
          <w:spacing w:val="-2"/>
          <w:w w:val="115"/>
        </w:rPr>
        <w:t>concerning</w:t>
      </w:r>
      <w:r>
        <w:rPr>
          <w:spacing w:val="-16"/>
          <w:w w:val="115"/>
        </w:rPr>
        <w:t> </w:t>
      </w:r>
      <w:r>
        <w:rPr>
          <w:spacing w:val="-2"/>
          <w:w w:val="115"/>
        </w:rPr>
        <w:t>the </w:t>
      </w:r>
      <w:r>
        <w:rPr>
          <w:w w:val="115"/>
        </w:rPr>
        <w:t>application or interpretation of this </w:t>
      </w:r>
      <w:r>
        <w:rPr>
          <w:rFonts w:ascii="Lucida Sans Unicode"/>
        </w:rPr>
        <w:t>directive</w:t>
      </w:r>
      <w:r>
        <w:rPr>
          <w:rFonts w:ascii="Lucida Sans Unicode"/>
          <w:spacing w:val="-2"/>
        </w:rPr>
        <w:t> </w:t>
      </w:r>
      <w:r>
        <w:rPr>
          <w:rFonts w:ascii="Lucida Sans Unicode"/>
        </w:rPr>
        <w:t>and,</w:t>
      </w:r>
      <w:r>
        <w:rPr>
          <w:rFonts w:ascii="Lucida Sans Unicode"/>
          <w:spacing w:val="-2"/>
        </w:rPr>
        <w:t> </w:t>
      </w:r>
      <w:r>
        <w:rPr>
          <w:rFonts w:ascii="Lucida Sans Unicode"/>
        </w:rPr>
        <w:t>given</w:t>
      </w:r>
      <w:r>
        <w:rPr>
          <w:rFonts w:ascii="Lucida Sans Unicode"/>
          <w:spacing w:val="-2"/>
        </w:rPr>
        <w:t> </w:t>
      </w:r>
      <w:r>
        <w:rPr>
          <w:rFonts w:ascii="Lucida Sans Unicode"/>
        </w:rPr>
        <w:t>that</w:t>
      </w:r>
      <w:r>
        <w:rPr>
          <w:rFonts w:ascii="Lucida Sans Unicode"/>
          <w:spacing w:val="-2"/>
        </w:rPr>
        <w:t> </w:t>
      </w:r>
      <w:r>
        <w:rPr>
          <w:rFonts w:ascii="Lucida Sans Unicode"/>
        </w:rPr>
        <w:t>Article</w:t>
      </w:r>
      <w:r>
        <w:rPr>
          <w:rFonts w:ascii="Lucida Sans Unicode"/>
          <w:spacing w:val="-2"/>
        </w:rPr>
        <w:t> </w:t>
      </w:r>
      <w:r>
        <w:rPr>
          <w:rFonts w:ascii="Lucida Sans Unicode"/>
        </w:rPr>
        <w:t>21</w:t>
      </w:r>
      <w:r>
        <w:rPr>
          <w:rFonts w:ascii="Lucida Sans Unicode"/>
          <w:spacing w:val="-2"/>
        </w:rPr>
        <w:t> </w:t>
      </w:r>
      <w:r>
        <w:rPr>
          <w:rFonts w:ascii="Lucida Sans Unicode"/>
        </w:rPr>
        <w:t>CFR </w:t>
      </w:r>
      <w:r>
        <w:rPr>
          <w:w w:val="115"/>
        </w:rPr>
        <w:t>has direct effect, it may indeed be </w:t>
      </w:r>
      <w:r>
        <w:rPr>
          <w:w w:val="110"/>
        </w:rPr>
        <w:t>used as a means of applying the terms </w:t>
      </w:r>
      <w:r>
        <w:rPr>
          <w:w w:val="115"/>
        </w:rPr>
        <w:t>of the directive to private individuals or companies that would not, in the absence</w:t>
      </w:r>
      <w:r>
        <w:rPr>
          <w:spacing w:val="-1"/>
          <w:w w:val="115"/>
        </w:rPr>
        <w:t> </w:t>
      </w:r>
      <w:r>
        <w:rPr>
          <w:w w:val="115"/>
        </w:rPr>
        <w:t>of</w:t>
      </w:r>
      <w:r>
        <w:rPr>
          <w:spacing w:val="-1"/>
          <w:w w:val="115"/>
        </w:rPr>
        <w:t> </w:t>
      </w:r>
      <w:r>
        <w:rPr>
          <w:w w:val="115"/>
        </w:rPr>
        <w:t>Charter</w:t>
      </w:r>
      <w:r>
        <w:rPr>
          <w:spacing w:val="-1"/>
          <w:w w:val="115"/>
        </w:rPr>
        <w:t> </w:t>
      </w:r>
      <w:r>
        <w:rPr>
          <w:w w:val="115"/>
        </w:rPr>
        <w:t>applicability,</w:t>
      </w:r>
      <w:r>
        <w:rPr>
          <w:spacing w:val="-1"/>
          <w:w w:val="115"/>
        </w:rPr>
        <w:t> </w:t>
      </w:r>
      <w:r>
        <w:rPr>
          <w:w w:val="115"/>
        </w:rPr>
        <w:t>be directly caught by this measure.</w:t>
      </w:r>
    </w:p>
    <w:p>
      <w:pPr>
        <w:pStyle w:val="BodyText"/>
        <w:spacing w:before="9"/>
        <w:ind w:left="0"/>
      </w:pPr>
    </w:p>
    <w:p>
      <w:pPr>
        <w:pStyle w:val="BodyText"/>
        <w:spacing w:line="249" w:lineRule="auto"/>
        <w:ind w:right="215"/>
      </w:pPr>
      <w:r>
        <w:rPr>
          <w:rFonts w:ascii="Lucida Sans Unicode"/>
          <w:spacing w:val="-2"/>
          <w:w w:val="110"/>
        </w:rPr>
        <w:t>Second,</w:t>
      </w:r>
      <w:r>
        <w:rPr>
          <w:rFonts w:ascii="Lucida Sans Unicode"/>
          <w:spacing w:val="-19"/>
          <w:w w:val="110"/>
        </w:rPr>
        <w:t> </w:t>
      </w:r>
      <w:r>
        <w:rPr>
          <w:rFonts w:ascii="Lucida Sans Unicode"/>
          <w:spacing w:val="-2"/>
          <w:w w:val="110"/>
        </w:rPr>
        <w:t>the</w:t>
      </w:r>
      <w:r>
        <w:rPr>
          <w:rFonts w:ascii="Lucida Sans Unicode"/>
          <w:spacing w:val="-19"/>
          <w:w w:val="110"/>
        </w:rPr>
        <w:t> </w:t>
      </w:r>
      <w:r>
        <w:rPr>
          <w:rFonts w:ascii="Lucida Sans Unicode"/>
          <w:spacing w:val="-2"/>
          <w:w w:val="110"/>
        </w:rPr>
        <w:t>Charter</w:t>
      </w:r>
      <w:r>
        <w:rPr>
          <w:rFonts w:ascii="Lucida Sans Unicode"/>
          <w:spacing w:val="-19"/>
          <w:w w:val="110"/>
        </w:rPr>
        <w:t> </w:t>
      </w:r>
      <w:r>
        <w:rPr>
          <w:rFonts w:ascii="Lucida Sans Unicode"/>
          <w:spacing w:val="-2"/>
          <w:w w:val="110"/>
        </w:rPr>
        <w:t>also</w:t>
      </w:r>
      <w:r>
        <w:rPr>
          <w:rFonts w:ascii="Lucida Sans Unicode"/>
          <w:spacing w:val="-19"/>
          <w:w w:val="110"/>
        </w:rPr>
        <w:t> </w:t>
      </w:r>
      <w:r>
        <w:rPr>
          <w:rFonts w:ascii="Lucida Sans Unicode"/>
          <w:spacing w:val="-2"/>
          <w:w w:val="110"/>
        </w:rPr>
        <w:t>applies </w:t>
      </w:r>
      <w:r>
        <w:rPr>
          <w:w w:val="110"/>
        </w:rPr>
        <w:t>beyond the EU law listed in Annex </w:t>
      </w:r>
      <w:r>
        <w:rPr/>
        <w:t>1 </w:t>
      </w:r>
      <w:r>
        <w:rPr>
          <w:w w:val="110"/>
        </w:rPr>
        <w:t>in the context of the </w:t>
      </w:r>
      <w:r>
        <w:rPr>
          <w:w w:val="110"/>
        </w:rPr>
        <w:t>non-diminution </w:t>
      </w:r>
      <w:r>
        <w:rPr>
          <w:rFonts w:ascii="Lucida Sans Unicode"/>
          <w:w w:val="110"/>
        </w:rPr>
        <w:t>guarantee</w:t>
      </w:r>
      <w:r>
        <w:rPr>
          <w:rFonts w:ascii="Lucida Sans Unicode"/>
          <w:spacing w:val="-11"/>
          <w:w w:val="110"/>
        </w:rPr>
        <w:t> </w:t>
      </w:r>
      <w:r>
        <w:rPr>
          <w:rFonts w:ascii="Lucida Sans Unicode"/>
          <w:w w:val="110"/>
        </w:rPr>
        <w:t>(Article</w:t>
      </w:r>
      <w:r>
        <w:rPr>
          <w:rFonts w:ascii="Lucida Sans Unicode"/>
          <w:spacing w:val="-11"/>
          <w:w w:val="110"/>
        </w:rPr>
        <w:t> </w:t>
      </w:r>
      <w:r>
        <w:rPr>
          <w:rFonts w:ascii="Lucida Sans Unicode"/>
          <w:w w:val="110"/>
        </w:rPr>
        <w:t>2</w:t>
      </w:r>
      <w:r>
        <w:rPr>
          <w:rFonts w:ascii="Lucida Sans Unicode"/>
          <w:spacing w:val="-11"/>
          <w:w w:val="110"/>
        </w:rPr>
        <w:t> </w:t>
      </w:r>
      <w:r>
        <w:rPr>
          <w:rFonts w:ascii="Lucida Sans Unicode"/>
          <w:w w:val="110"/>
        </w:rPr>
        <w:t>Windsor </w:t>
      </w:r>
      <w:r>
        <w:rPr>
          <w:w w:val="110"/>
        </w:rPr>
        <w:t>Framework), but this applicability is somewhat more complex. The hook for the non-diminution guarantee</w:t>
      </w:r>
    </w:p>
    <w:p>
      <w:pPr>
        <w:pStyle w:val="BodyText"/>
        <w:spacing w:line="268" w:lineRule="auto" w:before="6"/>
        <w:ind w:right="491"/>
      </w:pPr>
      <w:r>
        <w:rPr>
          <w:w w:val="115"/>
        </w:rPr>
        <w:t>is</w:t>
      </w:r>
      <w:r>
        <w:rPr>
          <w:spacing w:val="-20"/>
          <w:w w:val="115"/>
        </w:rPr>
        <w:t> </w:t>
      </w:r>
      <w:r>
        <w:rPr>
          <w:w w:val="115"/>
        </w:rPr>
        <w:t>that</w:t>
      </w:r>
      <w:r>
        <w:rPr>
          <w:spacing w:val="-19"/>
          <w:w w:val="115"/>
        </w:rPr>
        <w:t> </w:t>
      </w:r>
      <w:r>
        <w:rPr>
          <w:w w:val="115"/>
        </w:rPr>
        <w:t>there</w:t>
      </w:r>
      <w:r>
        <w:rPr>
          <w:spacing w:val="-19"/>
          <w:w w:val="115"/>
        </w:rPr>
        <w:t> </w:t>
      </w:r>
      <w:r>
        <w:rPr>
          <w:w w:val="115"/>
        </w:rPr>
        <w:t>must</w:t>
      </w:r>
      <w:r>
        <w:rPr>
          <w:spacing w:val="-19"/>
          <w:w w:val="115"/>
        </w:rPr>
        <w:t> </w:t>
      </w:r>
      <w:r>
        <w:rPr>
          <w:w w:val="115"/>
        </w:rPr>
        <w:t>be</w:t>
      </w:r>
      <w:r>
        <w:rPr>
          <w:spacing w:val="-19"/>
          <w:w w:val="115"/>
        </w:rPr>
        <w:t> </w:t>
      </w:r>
      <w:r>
        <w:rPr>
          <w:w w:val="115"/>
        </w:rPr>
        <w:t>some</w:t>
      </w:r>
      <w:r>
        <w:rPr>
          <w:spacing w:val="-20"/>
          <w:w w:val="115"/>
        </w:rPr>
        <w:t> </w:t>
      </w:r>
      <w:r>
        <w:rPr>
          <w:w w:val="115"/>
        </w:rPr>
        <w:t>version of</w:t>
      </w:r>
      <w:r>
        <w:rPr>
          <w:spacing w:val="-2"/>
          <w:w w:val="115"/>
        </w:rPr>
        <w:t> </w:t>
      </w:r>
      <w:r>
        <w:rPr>
          <w:w w:val="115"/>
        </w:rPr>
        <w:t>EU</w:t>
      </w:r>
      <w:r>
        <w:rPr>
          <w:spacing w:val="-2"/>
          <w:w w:val="115"/>
        </w:rPr>
        <w:t> </w:t>
      </w:r>
      <w:r>
        <w:rPr>
          <w:w w:val="115"/>
        </w:rPr>
        <w:t>law</w:t>
      </w:r>
      <w:r>
        <w:rPr>
          <w:spacing w:val="-2"/>
          <w:w w:val="115"/>
        </w:rPr>
        <w:t> </w:t>
      </w:r>
      <w:r>
        <w:rPr>
          <w:w w:val="115"/>
        </w:rPr>
        <w:t>underlying</w:t>
      </w:r>
      <w:r>
        <w:rPr>
          <w:spacing w:val="-2"/>
          <w:w w:val="115"/>
        </w:rPr>
        <w:t> </w:t>
      </w:r>
      <w:r>
        <w:rPr>
          <w:w w:val="115"/>
        </w:rPr>
        <w:t>a</w:t>
      </w:r>
      <w:r>
        <w:rPr>
          <w:spacing w:val="-2"/>
          <w:w w:val="115"/>
        </w:rPr>
        <w:t> </w:t>
      </w:r>
      <w:r>
        <w:rPr>
          <w:w w:val="115"/>
        </w:rPr>
        <w:t>part</w:t>
      </w:r>
      <w:r>
        <w:rPr>
          <w:spacing w:val="-2"/>
          <w:w w:val="115"/>
        </w:rPr>
        <w:t> </w:t>
      </w:r>
      <w:r>
        <w:rPr>
          <w:w w:val="115"/>
        </w:rPr>
        <w:t>of</w:t>
      </w:r>
      <w:r>
        <w:rPr>
          <w:spacing w:val="-2"/>
          <w:w w:val="115"/>
        </w:rPr>
        <w:t> </w:t>
      </w:r>
      <w:r>
        <w:rPr>
          <w:w w:val="115"/>
        </w:rPr>
        <w:t>the Belfast (Good Friday) Agreement</w:t>
      </w:r>
    </w:p>
    <w:p>
      <w:pPr>
        <w:pStyle w:val="BodyText"/>
        <w:spacing w:line="259" w:lineRule="auto" w:before="3"/>
        <w:ind w:right="16"/>
        <w:rPr>
          <w:rFonts w:ascii="Lucida Sans Unicode"/>
        </w:rPr>
      </w:pPr>
      <w:r>
        <w:rPr>
          <w:w w:val="115"/>
        </w:rPr>
        <w:t>before the end of the implementation period.</w:t>
      </w:r>
      <w:r>
        <w:rPr>
          <w:spacing w:val="-13"/>
          <w:w w:val="115"/>
        </w:rPr>
        <w:t> </w:t>
      </w:r>
      <w:r>
        <w:rPr>
          <w:w w:val="115"/>
        </w:rPr>
        <w:t>That</w:t>
      </w:r>
      <w:r>
        <w:rPr>
          <w:spacing w:val="-13"/>
          <w:w w:val="115"/>
        </w:rPr>
        <w:t> </w:t>
      </w:r>
      <w:r>
        <w:rPr>
          <w:w w:val="115"/>
        </w:rPr>
        <w:t>EU</w:t>
      </w:r>
      <w:r>
        <w:rPr>
          <w:spacing w:val="-13"/>
          <w:w w:val="115"/>
        </w:rPr>
        <w:t> </w:t>
      </w:r>
      <w:r>
        <w:rPr>
          <w:w w:val="115"/>
        </w:rPr>
        <w:t>law</w:t>
      </w:r>
      <w:r>
        <w:rPr>
          <w:spacing w:val="-13"/>
          <w:w w:val="115"/>
        </w:rPr>
        <w:t> </w:t>
      </w:r>
      <w:r>
        <w:rPr>
          <w:w w:val="115"/>
        </w:rPr>
        <w:t>would</w:t>
      </w:r>
      <w:r>
        <w:rPr>
          <w:spacing w:val="-13"/>
          <w:w w:val="115"/>
        </w:rPr>
        <w:t> </w:t>
      </w:r>
      <w:r>
        <w:rPr>
          <w:w w:val="115"/>
        </w:rPr>
        <w:t>have</w:t>
      </w:r>
      <w:r>
        <w:rPr>
          <w:spacing w:val="-13"/>
          <w:w w:val="115"/>
        </w:rPr>
        <w:t> </w:t>
      </w:r>
      <w:r>
        <w:rPr>
          <w:w w:val="115"/>
        </w:rPr>
        <w:t>to</w:t>
      </w:r>
      <w:r>
        <w:rPr>
          <w:spacing w:val="-13"/>
          <w:w w:val="115"/>
        </w:rPr>
        <w:t> </w:t>
      </w:r>
      <w:r>
        <w:rPr>
          <w:w w:val="115"/>
        </w:rPr>
        <w:t>be interpreted</w:t>
      </w:r>
      <w:r>
        <w:rPr>
          <w:spacing w:val="-13"/>
          <w:w w:val="115"/>
        </w:rPr>
        <w:t> </w:t>
      </w:r>
      <w:r>
        <w:rPr>
          <w:w w:val="115"/>
        </w:rPr>
        <w:t>in</w:t>
      </w:r>
      <w:r>
        <w:rPr>
          <w:spacing w:val="-13"/>
          <w:w w:val="115"/>
        </w:rPr>
        <w:t> </w:t>
      </w:r>
      <w:r>
        <w:rPr>
          <w:w w:val="115"/>
        </w:rPr>
        <w:t>light</w:t>
      </w:r>
      <w:r>
        <w:rPr>
          <w:spacing w:val="-13"/>
          <w:w w:val="115"/>
        </w:rPr>
        <w:t> </w:t>
      </w:r>
      <w:r>
        <w:rPr>
          <w:w w:val="115"/>
        </w:rPr>
        <w:t>of</w:t>
      </w:r>
      <w:r>
        <w:rPr>
          <w:spacing w:val="-13"/>
          <w:w w:val="115"/>
        </w:rPr>
        <w:t> </w:t>
      </w:r>
      <w:r>
        <w:rPr>
          <w:w w:val="115"/>
        </w:rPr>
        <w:t>the</w:t>
      </w:r>
      <w:r>
        <w:rPr>
          <w:spacing w:val="-13"/>
          <w:w w:val="115"/>
        </w:rPr>
        <w:t> </w:t>
      </w:r>
      <w:r>
        <w:rPr>
          <w:w w:val="115"/>
        </w:rPr>
        <w:t>Charter</w:t>
      </w:r>
      <w:r>
        <w:rPr>
          <w:spacing w:val="-13"/>
          <w:w w:val="115"/>
        </w:rPr>
        <w:t> </w:t>
      </w:r>
      <w:r>
        <w:rPr>
          <w:w w:val="115"/>
        </w:rPr>
        <w:t>and, </w:t>
      </w:r>
      <w:r>
        <w:rPr>
          <w:rFonts w:ascii="Verdana"/>
          <w:i/>
          <w:w w:val="110"/>
        </w:rPr>
        <w:t>at</w:t>
      </w:r>
      <w:r>
        <w:rPr>
          <w:rFonts w:ascii="Verdana"/>
          <w:i/>
          <w:spacing w:val="-17"/>
          <w:w w:val="110"/>
        </w:rPr>
        <w:t> </w:t>
      </w:r>
      <w:r>
        <w:rPr>
          <w:rFonts w:ascii="Verdana"/>
          <w:i/>
          <w:w w:val="110"/>
        </w:rPr>
        <w:t>least</w:t>
      </w:r>
      <w:r>
        <w:rPr>
          <w:w w:val="110"/>
        </w:rPr>
        <w:t>, of relevant CJEU case law </w:t>
      </w:r>
      <w:r>
        <w:rPr>
          <w:w w:val="115"/>
        </w:rPr>
        <w:t>before the end of the implementation </w:t>
      </w:r>
      <w:r>
        <w:rPr>
          <w:spacing w:val="-2"/>
          <w:w w:val="115"/>
        </w:rPr>
        <w:t>period.</w:t>
      </w:r>
      <w:r>
        <w:rPr>
          <w:rFonts w:ascii="Lucida Sans Unicode"/>
          <w:spacing w:val="-2"/>
          <w:w w:val="115"/>
          <w:vertAlign w:val="superscript"/>
        </w:rPr>
        <w:t>133</w:t>
      </w:r>
    </w:p>
    <w:p>
      <w:pPr>
        <w:pStyle w:val="BodyText"/>
        <w:spacing w:line="268" w:lineRule="auto" w:before="72"/>
        <w:ind w:right="242"/>
      </w:pPr>
      <w:r>
        <w:rPr/>
        <w:br w:type="column"/>
      </w:r>
      <w:r>
        <w:rPr>
          <w:w w:val="115"/>
        </w:rPr>
        <w:t>Neither route bears any relationship with the altogether different power </w:t>
      </w:r>
      <w:r>
        <w:rPr>
          <w:spacing w:val="-2"/>
          <w:w w:val="115"/>
        </w:rPr>
        <w:t>conferred</w:t>
      </w:r>
      <w:r>
        <w:rPr>
          <w:spacing w:val="-16"/>
          <w:w w:val="115"/>
        </w:rPr>
        <w:t> </w:t>
      </w:r>
      <w:r>
        <w:rPr>
          <w:spacing w:val="-2"/>
          <w:w w:val="115"/>
        </w:rPr>
        <w:t>on</w:t>
      </w:r>
      <w:r>
        <w:rPr>
          <w:spacing w:val="-16"/>
          <w:w w:val="115"/>
        </w:rPr>
        <w:t> </w:t>
      </w:r>
      <w:r>
        <w:rPr>
          <w:spacing w:val="-2"/>
          <w:w w:val="115"/>
        </w:rPr>
        <w:t>UK</w:t>
      </w:r>
      <w:r>
        <w:rPr>
          <w:spacing w:val="-16"/>
          <w:w w:val="115"/>
        </w:rPr>
        <w:t> </w:t>
      </w:r>
      <w:r>
        <w:rPr>
          <w:spacing w:val="-2"/>
          <w:w w:val="115"/>
        </w:rPr>
        <w:t>courts</w:t>
      </w:r>
      <w:r>
        <w:rPr>
          <w:spacing w:val="-16"/>
          <w:w w:val="115"/>
        </w:rPr>
        <w:t> </w:t>
      </w:r>
      <w:r>
        <w:rPr>
          <w:spacing w:val="-2"/>
          <w:w w:val="115"/>
        </w:rPr>
        <w:t>by</w:t>
      </w:r>
      <w:r>
        <w:rPr>
          <w:spacing w:val="-16"/>
          <w:w w:val="115"/>
        </w:rPr>
        <w:t> </w:t>
      </w:r>
      <w:r>
        <w:rPr>
          <w:spacing w:val="-2"/>
          <w:w w:val="115"/>
        </w:rPr>
        <w:t>the</w:t>
      </w:r>
      <w:r>
        <w:rPr>
          <w:spacing w:val="-16"/>
          <w:w w:val="115"/>
        </w:rPr>
        <w:t> </w:t>
      </w:r>
      <w:r>
        <w:rPr>
          <w:spacing w:val="-2"/>
          <w:w w:val="115"/>
        </w:rPr>
        <w:t>EUWA </w:t>
      </w:r>
      <w:r>
        <w:rPr>
          <w:w w:val="115"/>
        </w:rPr>
        <w:t>and REULA to depart from CJEU case law in their interpretation of retained</w:t>
      </w:r>
      <w:r>
        <w:rPr>
          <w:spacing w:val="-3"/>
          <w:w w:val="115"/>
        </w:rPr>
        <w:t> </w:t>
      </w:r>
      <w:r>
        <w:rPr>
          <w:w w:val="115"/>
        </w:rPr>
        <w:t>EU</w:t>
      </w:r>
      <w:r>
        <w:rPr>
          <w:spacing w:val="-3"/>
          <w:w w:val="115"/>
        </w:rPr>
        <w:t> </w:t>
      </w:r>
      <w:r>
        <w:rPr>
          <w:w w:val="115"/>
        </w:rPr>
        <w:t>law</w:t>
      </w:r>
      <w:r>
        <w:rPr>
          <w:spacing w:val="-3"/>
          <w:w w:val="115"/>
        </w:rPr>
        <w:t> </w:t>
      </w:r>
      <w:r>
        <w:rPr>
          <w:w w:val="150"/>
        </w:rPr>
        <w:t>/</w:t>
      </w:r>
      <w:r>
        <w:rPr>
          <w:spacing w:val="-26"/>
          <w:w w:val="150"/>
        </w:rPr>
        <w:t> </w:t>
      </w:r>
      <w:r>
        <w:rPr>
          <w:w w:val="115"/>
        </w:rPr>
        <w:t>assimilated</w:t>
      </w:r>
      <w:r>
        <w:rPr>
          <w:spacing w:val="-3"/>
          <w:w w:val="115"/>
        </w:rPr>
        <w:t> </w:t>
      </w:r>
      <w:r>
        <w:rPr>
          <w:w w:val="115"/>
        </w:rPr>
        <w:t>law.</w:t>
      </w:r>
    </w:p>
    <w:p>
      <w:pPr>
        <w:pStyle w:val="BodyText"/>
        <w:spacing w:line="268" w:lineRule="auto" w:before="5"/>
        <w:ind w:right="161"/>
      </w:pPr>
      <w:r>
        <w:rPr>
          <w:w w:val="115"/>
        </w:rPr>
        <w:t>This is because Charter applicability is an obligation of the Windsor </w:t>
      </w:r>
      <w:r>
        <w:rPr>
          <w:spacing w:val="-2"/>
          <w:w w:val="115"/>
        </w:rPr>
        <w:t>Framework</w:t>
      </w:r>
      <w:r>
        <w:rPr>
          <w:spacing w:val="-15"/>
          <w:w w:val="115"/>
        </w:rPr>
        <w:t> </w:t>
      </w:r>
      <w:r>
        <w:rPr>
          <w:spacing w:val="-2"/>
          <w:w w:val="115"/>
        </w:rPr>
        <w:t>as</w:t>
      </w:r>
      <w:r>
        <w:rPr>
          <w:spacing w:val="-15"/>
          <w:w w:val="115"/>
        </w:rPr>
        <w:t> </w:t>
      </w:r>
      <w:r>
        <w:rPr>
          <w:spacing w:val="-2"/>
          <w:w w:val="115"/>
        </w:rPr>
        <w:t>given</w:t>
      </w:r>
      <w:r>
        <w:rPr>
          <w:spacing w:val="-15"/>
          <w:w w:val="115"/>
        </w:rPr>
        <w:t> </w:t>
      </w:r>
      <w:r>
        <w:rPr>
          <w:spacing w:val="-2"/>
          <w:w w:val="115"/>
        </w:rPr>
        <w:t>effect</w:t>
      </w:r>
      <w:r>
        <w:rPr>
          <w:spacing w:val="-15"/>
          <w:w w:val="115"/>
        </w:rPr>
        <w:t> </w:t>
      </w:r>
      <w:r>
        <w:rPr>
          <w:spacing w:val="-2"/>
          <w:w w:val="115"/>
        </w:rPr>
        <w:t>by</w:t>
      </w:r>
      <w:r>
        <w:rPr>
          <w:spacing w:val="-15"/>
          <w:w w:val="115"/>
        </w:rPr>
        <w:t> </w:t>
      </w:r>
      <w:r>
        <w:rPr>
          <w:spacing w:val="-2"/>
          <w:w w:val="115"/>
        </w:rPr>
        <w:t>section </w:t>
      </w:r>
      <w:r>
        <w:rPr>
          <w:w w:val="115"/>
        </w:rPr>
        <w:t>7A of the EUWA, whereas retained EU law </w:t>
      </w:r>
      <w:r>
        <w:rPr>
          <w:w w:val="155"/>
        </w:rPr>
        <w:t>/</w:t>
      </w:r>
      <w:r>
        <w:rPr>
          <w:spacing w:val="-23"/>
          <w:w w:val="155"/>
        </w:rPr>
        <w:t> </w:t>
      </w:r>
      <w:r>
        <w:rPr>
          <w:w w:val="115"/>
        </w:rPr>
        <w:t>assimilated law and their</w:t>
      </w:r>
    </w:p>
    <w:p>
      <w:pPr>
        <w:pStyle w:val="BodyText"/>
        <w:spacing w:line="268" w:lineRule="auto" w:before="5"/>
        <w:ind w:right="118"/>
      </w:pPr>
      <w:r>
        <w:rPr>
          <w:spacing w:val="-2"/>
          <w:w w:val="115"/>
        </w:rPr>
        <w:t>interpretational</w:t>
      </w:r>
      <w:r>
        <w:rPr>
          <w:spacing w:val="-15"/>
          <w:w w:val="115"/>
        </w:rPr>
        <w:t> </w:t>
      </w:r>
      <w:r>
        <w:rPr>
          <w:spacing w:val="-2"/>
          <w:w w:val="115"/>
        </w:rPr>
        <w:t>mandate</w:t>
      </w:r>
      <w:r>
        <w:rPr>
          <w:spacing w:val="-15"/>
          <w:w w:val="115"/>
        </w:rPr>
        <w:t> </w:t>
      </w:r>
      <w:r>
        <w:rPr>
          <w:spacing w:val="-2"/>
          <w:w w:val="115"/>
        </w:rPr>
        <w:t>are</w:t>
      </w:r>
      <w:r>
        <w:rPr>
          <w:spacing w:val="-15"/>
          <w:w w:val="115"/>
        </w:rPr>
        <w:t> </w:t>
      </w:r>
      <w:r>
        <w:rPr>
          <w:spacing w:val="-2"/>
          <w:w w:val="115"/>
        </w:rPr>
        <w:t>creations </w:t>
      </w:r>
      <w:r>
        <w:rPr>
          <w:w w:val="115"/>
        </w:rPr>
        <w:t>of</w:t>
      </w:r>
      <w:r>
        <w:rPr>
          <w:spacing w:val="-9"/>
          <w:w w:val="115"/>
        </w:rPr>
        <w:t> </w:t>
      </w:r>
      <w:r>
        <w:rPr>
          <w:w w:val="115"/>
        </w:rPr>
        <w:t>domestic</w:t>
      </w:r>
      <w:r>
        <w:rPr>
          <w:spacing w:val="-9"/>
          <w:w w:val="115"/>
        </w:rPr>
        <w:t> </w:t>
      </w:r>
      <w:r>
        <w:rPr>
          <w:w w:val="115"/>
        </w:rPr>
        <w:t>law</w:t>
      </w:r>
      <w:r>
        <w:rPr>
          <w:spacing w:val="-9"/>
          <w:w w:val="115"/>
        </w:rPr>
        <w:t> </w:t>
      </w:r>
      <w:r>
        <w:rPr>
          <w:w w:val="115"/>
        </w:rPr>
        <w:t>under</w:t>
      </w:r>
      <w:r>
        <w:rPr>
          <w:spacing w:val="-9"/>
          <w:w w:val="115"/>
        </w:rPr>
        <w:t> </w:t>
      </w:r>
      <w:r>
        <w:rPr>
          <w:w w:val="115"/>
        </w:rPr>
        <w:t>the</w:t>
      </w:r>
      <w:r>
        <w:rPr>
          <w:spacing w:val="-9"/>
          <w:w w:val="115"/>
        </w:rPr>
        <w:t> </w:t>
      </w:r>
      <w:r>
        <w:rPr>
          <w:w w:val="115"/>
        </w:rPr>
        <w:t>EUWA</w:t>
      </w:r>
      <w:r>
        <w:rPr>
          <w:spacing w:val="-9"/>
          <w:w w:val="115"/>
        </w:rPr>
        <w:t> </w:t>
      </w:r>
      <w:r>
        <w:rPr>
          <w:w w:val="115"/>
        </w:rPr>
        <w:t>and REULA, respectively. It is important, however, to remember that the Charter did not, prior to Brexit, apply in all cases directly in the UK legal </w:t>
      </w:r>
      <w:r>
        <w:rPr>
          <w:spacing w:val="-2"/>
          <w:w w:val="115"/>
        </w:rPr>
        <w:t>order.</w:t>
      </w:r>
      <w:r>
        <w:rPr>
          <w:spacing w:val="-16"/>
          <w:w w:val="115"/>
        </w:rPr>
        <w:t> </w:t>
      </w:r>
      <w:r>
        <w:rPr>
          <w:spacing w:val="-2"/>
          <w:w w:val="115"/>
        </w:rPr>
        <w:t>As</w:t>
      </w:r>
      <w:r>
        <w:rPr>
          <w:spacing w:val="-16"/>
          <w:w w:val="115"/>
        </w:rPr>
        <w:t> </w:t>
      </w:r>
      <w:r>
        <w:rPr>
          <w:spacing w:val="-2"/>
          <w:w w:val="115"/>
        </w:rPr>
        <w:t>previously</w:t>
      </w:r>
      <w:r>
        <w:rPr>
          <w:spacing w:val="-16"/>
          <w:w w:val="115"/>
        </w:rPr>
        <w:t> </w:t>
      </w:r>
      <w:r>
        <w:rPr>
          <w:spacing w:val="-2"/>
          <w:w w:val="115"/>
        </w:rPr>
        <w:t>set</w:t>
      </w:r>
      <w:r>
        <w:rPr>
          <w:spacing w:val="-16"/>
          <w:w w:val="115"/>
        </w:rPr>
        <w:t> </w:t>
      </w:r>
      <w:r>
        <w:rPr>
          <w:spacing w:val="-2"/>
          <w:w w:val="115"/>
        </w:rPr>
        <w:t>out</w:t>
      </w:r>
      <w:r>
        <w:rPr>
          <w:spacing w:val="-16"/>
          <w:w w:val="115"/>
        </w:rPr>
        <w:t> </w:t>
      </w:r>
      <w:r>
        <w:rPr>
          <w:spacing w:val="-2"/>
          <w:w w:val="115"/>
        </w:rPr>
        <w:t>in</w:t>
      </w:r>
      <w:r>
        <w:rPr>
          <w:spacing w:val="-16"/>
          <w:w w:val="115"/>
        </w:rPr>
        <w:t> </w:t>
      </w:r>
      <w:r>
        <w:rPr>
          <w:spacing w:val="-2"/>
          <w:w w:val="115"/>
        </w:rPr>
        <w:t>Chapter </w:t>
      </w:r>
      <w:r>
        <w:rPr/>
        <w:t>1, </w:t>
      </w:r>
      <w:r>
        <w:rPr>
          <w:w w:val="115"/>
        </w:rPr>
        <w:t>the Charter equally does not apply to every situation within the Northern Ireland legal order by virtue of the Windsor Framework – only to those situations which fall within the scope of</w:t>
      </w:r>
      <w:r>
        <w:rPr>
          <w:spacing w:val="-2"/>
          <w:w w:val="115"/>
        </w:rPr>
        <w:t> </w:t>
      </w:r>
      <w:r>
        <w:rPr>
          <w:w w:val="115"/>
        </w:rPr>
        <w:t>EU</w:t>
      </w:r>
      <w:r>
        <w:rPr>
          <w:spacing w:val="-2"/>
          <w:w w:val="115"/>
        </w:rPr>
        <w:t> </w:t>
      </w:r>
      <w:r>
        <w:rPr>
          <w:w w:val="115"/>
        </w:rPr>
        <w:t>law.</w:t>
      </w:r>
      <w:r>
        <w:rPr>
          <w:spacing w:val="-2"/>
          <w:w w:val="115"/>
        </w:rPr>
        <w:t> </w:t>
      </w:r>
      <w:r>
        <w:rPr>
          <w:w w:val="115"/>
        </w:rPr>
        <w:t>We</w:t>
      </w:r>
      <w:r>
        <w:rPr>
          <w:spacing w:val="-2"/>
          <w:w w:val="115"/>
        </w:rPr>
        <w:t> </w:t>
      </w:r>
      <w:r>
        <w:rPr>
          <w:w w:val="115"/>
        </w:rPr>
        <w:t>explore</w:t>
      </w:r>
      <w:r>
        <w:rPr>
          <w:spacing w:val="-2"/>
          <w:w w:val="115"/>
        </w:rPr>
        <w:t> </w:t>
      </w:r>
      <w:r>
        <w:rPr>
          <w:w w:val="115"/>
        </w:rPr>
        <w:t>this</w:t>
      </w:r>
      <w:r>
        <w:rPr>
          <w:spacing w:val="-2"/>
          <w:w w:val="115"/>
        </w:rPr>
        <w:t> </w:t>
      </w:r>
      <w:r>
        <w:rPr>
          <w:w w:val="115"/>
        </w:rPr>
        <w:t>in</w:t>
      </w:r>
      <w:r>
        <w:rPr>
          <w:spacing w:val="-2"/>
          <w:w w:val="115"/>
        </w:rPr>
        <w:t> </w:t>
      </w:r>
      <w:r>
        <w:rPr>
          <w:w w:val="115"/>
        </w:rPr>
        <w:t>more</w:t>
      </w:r>
    </w:p>
    <w:p>
      <w:pPr>
        <w:pStyle w:val="BodyText"/>
        <w:spacing w:line="225" w:lineRule="auto"/>
        <w:ind w:right="317"/>
      </w:pPr>
      <w:r>
        <w:rPr>
          <w:rFonts w:ascii="Lucida Sans Unicode"/>
        </w:rPr>
        <w:t>detail when discussing Article 2 </w:t>
      </w:r>
      <w:r>
        <w:rPr>
          <w:rFonts w:ascii="Lucida Sans Unicode"/>
        </w:rPr>
        <w:t>and </w:t>
      </w:r>
      <w:r>
        <w:rPr>
          <w:w w:val="105"/>
        </w:rPr>
        <w:t>the</w:t>
      </w:r>
      <w:r>
        <w:rPr>
          <w:spacing w:val="40"/>
          <w:w w:val="105"/>
        </w:rPr>
        <w:t> </w:t>
      </w:r>
      <w:r>
        <w:rPr>
          <w:w w:val="105"/>
        </w:rPr>
        <w:t>non-diminution</w:t>
      </w:r>
      <w:r>
        <w:rPr>
          <w:spacing w:val="40"/>
          <w:w w:val="105"/>
        </w:rPr>
        <w:t> </w:t>
      </w:r>
      <w:r>
        <w:rPr>
          <w:w w:val="105"/>
        </w:rPr>
        <w:t>guarantee.</w:t>
      </w:r>
    </w:p>
    <w:p>
      <w:pPr>
        <w:pStyle w:val="BodyText"/>
        <w:spacing w:before="26"/>
        <w:ind w:left="0"/>
      </w:pPr>
    </w:p>
    <w:p>
      <w:pPr>
        <w:pStyle w:val="BodyText"/>
        <w:spacing w:line="310" w:lineRule="exact" w:before="1"/>
        <w:ind w:right="133"/>
      </w:pPr>
      <w:r>
        <w:rPr>
          <w:w w:val="110"/>
        </w:rPr>
        <w:t>A useful analogy may be drawn with the applicability of the entire </w:t>
      </w:r>
      <w:r>
        <w:rPr>
          <w:rFonts w:ascii="Verdana"/>
          <w:i/>
          <w:w w:val="110"/>
        </w:rPr>
        <w:t>acquis</w:t>
      </w:r>
      <w:r>
        <w:rPr>
          <w:rFonts w:ascii="Verdana"/>
          <w:i/>
          <w:w w:val="110"/>
        </w:rPr>
        <w:t> communautaire</w:t>
      </w:r>
      <w:r>
        <w:rPr>
          <w:rFonts w:ascii="Verdana"/>
          <w:i/>
          <w:spacing w:val="-24"/>
          <w:w w:val="110"/>
        </w:rPr>
        <w:t> </w:t>
      </w:r>
      <w:r>
        <w:rPr>
          <w:w w:val="110"/>
        </w:rPr>
        <w:t>before</w:t>
      </w:r>
      <w:r>
        <w:rPr>
          <w:spacing w:val="-7"/>
          <w:w w:val="110"/>
        </w:rPr>
        <w:t> </w:t>
      </w:r>
      <w:r>
        <w:rPr>
          <w:w w:val="110"/>
        </w:rPr>
        <w:t>the</w:t>
      </w:r>
      <w:r>
        <w:rPr>
          <w:spacing w:val="-6"/>
          <w:w w:val="110"/>
        </w:rPr>
        <w:t> </w:t>
      </w:r>
      <w:r>
        <w:rPr>
          <w:w w:val="110"/>
        </w:rPr>
        <w:t>end</w:t>
      </w:r>
      <w:r>
        <w:rPr>
          <w:spacing w:val="-6"/>
          <w:w w:val="110"/>
        </w:rPr>
        <w:t> </w:t>
      </w:r>
      <w:r>
        <w:rPr>
          <w:w w:val="110"/>
        </w:rPr>
        <w:t>of</w:t>
      </w:r>
      <w:r>
        <w:rPr>
          <w:spacing w:val="-6"/>
          <w:w w:val="110"/>
        </w:rPr>
        <w:t> </w:t>
      </w:r>
      <w:r>
        <w:rPr>
          <w:w w:val="110"/>
        </w:rPr>
        <w:t>the implementation period, across the whole UK by virtue of the European </w:t>
      </w:r>
      <w:r>
        <w:rPr>
          <w:rFonts w:ascii="Lucida Sans Unicode"/>
        </w:rPr>
        <w:t>Communities</w:t>
      </w:r>
      <w:r>
        <w:rPr>
          <w:rFonts w:ascii="Lucida Sans Unicode"/>
          <w:spacing w:val="-10"/>
        </w:rPr>
        <w:t> </w:t>
      </w:r>
      <w:r>
        <w:rPr>
          <w:rFonts w:ascii="Lucida Sans Unicode"/>
        </w:rPr>
        <w:t>Act</w:t>
      </w:r>
      <w:r>
        <w:rPr>
          <w:rFonts w:ascii="Lucida Sans Unicode"/>
          <w:spacing w:val="-10"/>
        </w:rPr>
        <w:t> </w:t>
      </w:r>
      <w:r>
        <w:rPr>
          <w:rFonts w:ascii="Lucida Sans Unicode"/>
        </w:rPr>
        <w:t>1972.</w:t>
      </w:r>
      <w:r>
        <w:rPr>
          <w:rFonts w:ascii="Lucida Sans Unicode"/>
          <w:spacing w:val="-10"/>
        </w:rPr>
        <w:t> </w:t>
      </w:r>
      <w:r>
        <w:rPr>
          <w:rFonts w:ascii="Lucida Sans Unicode"/>
        </w:rPr>
        <w:t>The</w:t>
      </w:r>
      <w:r>
        <w:rPr>
          <w:rFonts w:ascii="Lucida Sans Unicode"/>
          <w:spacing w:val="-10"/>
        </w:rPr>
        <w:t> </w:t>
      </w:r>
      <w:r>
        <w:rPr>
          <w:rFonts w:ascii="Verdana"/>
          <w:i/>
        </w:rPr>
        <w:t>acquis</w:t>
      </w:r>
      <w:r>
        <w:rPr>
          <w:rFonts w:ascii="Verdana"/>
          <w:i/>
          <w:spacing w:val="-19"/>
        </w:rPr>
        <w:t> </w:t>
      </w:r>
      <w:r>
        <w:rPr/>
        <w:t>was </w:t>
      </w:r>
      <w:r>
        <w:rPr>
          <w:w w:val="110"/>
        </w:rPr>
        <w:t>required</w:t>
      </w:r>
      <w:r>
        <w:rPr>
          <w:spacing w:val="40"/>
          <w:w w:val="110"/>
        </w:rPr>
        <w:t> </w:t>
      </w:r>
      <w:r>
        <w:rPr>
          <w:w w:val="110"/>
        </w:rPr>
        <w:t>to</w:t>
      </w:r>
      <w:r>
        <w:rPr>
          <w:spacing w:val="40"/>
          <w:w w:val="110"/>
        </w:rPr>
        <w:t> </w:t>
      </w:r>
      <w:r>
        <w:rPr>
          <w:w w:val="110"/>
        </w:rPr>
        <w:t>be</w:t>
      </w:r>
      <w:r>
        <w:rPr>
          <w:spacing w:val="40"/>
          <w:w w:val="110"/>
        </w:rPr>
        <w:t> </w:t>
      </w:r>
      <w:r>
        <w:rPr>
          <w:w w:val="110"/>
        </w:rPr>
        <w:t>given</w:t>
      </w:r>
      <w:r>
        <w:rPr>
          <w:spacing w:val="40"/>
          <w:w w:val="110"/>
        </w:rPr>
        <w:t> </w:t>
      </w:r>
      <w:r>
        <w:rPr>
          <w:w w:val="110"/>
        </w:rPr>
        <w:t>effect</w:t>
      </w:r>
      <w:r>
        <w:rPr>
          <w:spacing w:val="40"/>
          <w:w w:val="110"/>
        </w:rPr>
        <w:t> </w:t>
      </w:r>
      <w:r>
        <w:rPr>
          <w:w w:val="110"/>
        </w:rPr>
        <w:t>as</w:t>
      </w:r>
      <w:r>
        <w:rPr>
          <w:spacing w:val="40"/>
          <w:w w:val="110"/>
        </w:rPr>
        <w:t> </w:t>
      </w:r>
      <w:r>
        <w:rPr>
          <w:w w:val="110"/>
        </w:rPr>
        <w:t>if</w:t>
      </w:r>
      <w:r>
        <w:rPr>
          <w:spacing w:val="40"/>
          <w:w w:val="110"/>
        </w:rPr>
        <w:t> </w:t>
      </w:r>
      <w:r>
        <w:rPr>
          <w:w w:val="110"/>
        </w:rPr>
        <w:t>the </w:t>
      </w:r>
      <w:r>
        <w:rPr>
          <w:rFonts w:ascii="Lucida Sans Unicode"/>
        </w:rPr>
        <w:t>UK were still a Member State. A similar </w:t>
      </w:r>
      <w:r>
        <w:rPr>
          <w:w w:val="110"/>
        </w:rPr>
        <w:t>effect remains in respect of Northern Ireland for a vastly reduced body of</w:t>
      </w:r>
      <w:r>
        <w:rPr>
          <w:spacing w:val="80"/>
          <w:w w:val="110"/>
        </w:rPr>
        <w:t> </w:t>
      </w:r>
      <w:r>
        <w:rPr>
          <w:w w:val="110"/>
        </w:rPr>
        <w:t>EU law under the Windsor </w:t>
      </w:r>
      <w:r>
        <w:rPr>
          <w:w w:val="110"/>
        </w:rPr>
        <w:t>Framework. This is the case even though the</w:t>
      </w:r>
    </w:p>
    <w:p>
      <w:pPr>
        <w:pStyle w:val="BodyText"/>
        <w:spacing w:line="268" w:lineRule="auto" w:before="22"/>
        <w:ind w:right="242"/>
      </w:pPr>
      <w:r>
        <w:rPr>
          <w:w w:val="115"/>
        </w:rPr>
        <w:t>CJEU does not retain the full extent of</w:t>
      </w:r>
      <w:r>
        <w:rPr>
          <w:spacing w:val="-20"/>
          <w:w w:val="115"/>
        </w:rPr>
        <w:t> </w:t>
      </w:r>
      <w:r>
        <w:rPr>
          <w:w w:val="115"/>
        </w:rPr>
        <w:t>its</w:t>
      </w:r>
      <w:r>
        <w:rPr>
          <w:spacing w:val="-19"/>
          <w:w w:val="115"/>
        </w:rPr>
        <w:t> </w:t>
      </w:r>
      <w:r>
        <w:rPr>
          <w:w w:val="115"/>
        </w:rPr>
        <w:t>reference</w:t>
      </w:r>
      <w:r>
        <w:rPr>
          <w:spacing w:val="-19"/>
          <w:w w:val="115"/>
        </w:rPr>
        <w:t> </w:t>
      </w:r>
      <w:r>
        <w:rPr>
          <w:w w:val="115"/>
        </w:rPr>
        <w:t>jurisdiction</w:t>
      </w:r>
      <w:r>
        <w:rPr>
          <w:spacing w:val="-19"/>
          <w:w w:val="115"/>
        </w:rPr>
        <w:t> </w:t>
      </w:r>
      <w:r>
        <w:rPr>
          <w:w w:val="115"/>
        </w:rPr>
        <w:t>in</w:t>
      </w:r>
      <w:r>
        <w:rPr>
          <w:spacing w:val="-19"/>
          <w:w w:val="115"/>
        </w:rPr>
        <w:t> </w:t>
      </w:r>
      <w:r>
        <w:rPr>
          <w:w w:val="115"/>
        </w:rPr>
        <w:t>respect</w:t>
      </w:r>
    </w:p>
    <w:p>
      <w:pPr>
        <w:spacing w:after="0" w:line="268" w:lineRule="auto"/>
        <w:sectPr>
          <w:type w:val="continuous"/>
          <w:pgSz w:w="11910" w:h="16840"/>
          <w:pgMar w:header="568" w:footer="580" w:top="0" w:bottom="280" w:left="1020" w:right="1020"/>
          <w:cols w:num="2" w:equalWidth="0">
            <w:col w:w="4727" w:space="319"/>
            <w:col w:w="4824"/>
          </w:cols>
        </w:sectPr>
      </w:pPr>
    </w:p>
    <w:p>
      <w:pPr>
        <w:pStyle w:val="BodyText"/>
        <w:ind w:left="0"/>
        <w:rPr>
          <w:sz w:val="20"/>
        </w:rPr>
      </w:pPr>
    </w:p>
    <w:p>
      <w:pPr>
        <w:pStyle w:val="BodyText"/>
        <w:spacing w:before="38" w:after="1"/>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109" name="Group 109"/>
                <wp:cNvGraphicFramePr>
                  <a:graphicFrameLocks/>
                </wp:cNvGraphicFramePr>
                <a:graphic>
                  <a:graphicData uri="http://schemas.microsoft.com/office/word/2010/wordprocessingGroup">
                    <wpg:wgp>
                      <wpg:cNvPr id="109" name="Group 109"/>
                      <wpg:cNvGrpSpPr/>
                      <wpg:grpSpPr>
                        <a:xfrm>
                          <a:off x="0" y="0"/>
                          <a:ext cx="6120130" cy="6350"/>
                          <a:chExt cx="6120130" cy="6350"/>
                        </a:xfrm>
                      </wpg:grpSpPr>
                      <wps:wsp>
                        <wps:cNvPr id="110" name="Graphic 110"/>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73"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7" w:val="left" w:leader="none"/>
        </w:tabs>
        <w:spacing w:line="223" w:lineRule="exact" w:before="61" w:after="0"/>
        <w:ind w:left="567" w:right="0" w:hanging="454"/>
        <w:jc w:val="left"/>
        <w:rPr>
          <w:sz w:val="16"/>
        </w:rPr>
      </w:pPr>
      <w:r>
        <w:rPr>
          <w:rFonts w:ascii="Verdana" w:hAnsi="Verdana"/>
          <w:i/>
          <w:sz w:val="16"/>
        </w:rPr>
        <w:t>Kücükdeveci</w:t>
      </w:r>
      <w:r>
        <w:rPr>
          <w:rFonts w:ascii="Verdana" w:hAnsi="Verdana"/>
          <w:i/>
          <w:spacing w:val="-9"/>
          <w:sz w:val="16"/>
        </w:rPr>
        <w:t> </w:t>
      </w:r>
      <w:r>
        <w:rPr>
          <w:sz w:val="16"/>
        </w:rPr>
        <w:t>(n</w:t>
      </w:r>
      <w:r>
        <w:rPr>
          <w:spacing w:val="-3"/>
          <w:sz w:val="16"/>
        </w:rPr>
        <w:t> </w:t>
      </w:r>
      <w:r>
        <w:rPr>
          <w:sz w:val="16"/>
        </w:rPr>
        <w:t>69),</w:t>
      </w:r>
      <w:r>
        <w:rPr>
          <w:spacing w:val="-3"/>
          <w:sz w:val="16"/>
        </w:rPr>
        <w:t> </w:t>
      </w:r>
      <w:r>
        <w:rPr>
          <w:sz w:val="16"/>
        </w:rPr>
        <w:t>para</w:t>
      </w:r>
      <w:r>
        <w:rPr>
          <w:spacing w:val="-2"/>
          <w:sz w:val="16"/>
        </w:rPr>
        <w:t> </w:t>
      </w:r>
      <w:r>
        <w:rPr>
          <w:sz w:val="16"/>
        </w:rPr>
        <w:t>21;</w:t>
      </w:r>
      <w:r>
        <w:rPr>
          <w:spacing w:val="-3"/>
          <w:sz w:val="16"/>
        </w:rPr>
        <w:t> </w:t>
      </w:r>
      <w:r>
        <w:rPr>
          <w:rFonts w:ascii="Verdana" w:hAnsi="Verdana"/>
          <w:i/>
          <w:sz w:val="16"/>
        </w:rPr>
        <w:t>Egenberger</w:t>
      </w:r>
      <w:r>
        <w:rPr>
          <w:rFonts w:ascii="Verdana" w:hAnsi="Verdana"/>
          <w:i/>
          <w:spacing w:val="-9"/>
          <w:sz w:val="16"/>
        </w:rPr>
        <w:t> </w:t>
      </w:r>
      <w:r>
        <w:rPr>
          <w:sz w:val="16"/>
        </w:rPr>
        <w:t>(n</w:t>
      </w:r>
      <w:r>
        <w:rPr>
          <w:spacing w:val="-3"/>
          <w:sz w:val="16"/>
        </w:rPr>
        <w:t> </w:t>
      </w:r>
      <w:r>
        <w:rPr>
          <w:sz w:val="16"/>
        </w:rPr>
        <w:t>66),</w:t>
      </w:r>
      <w:r>
        <w:rPr>
          <w:spacing w:val="-2"/>
          <w:sz w:val="16"/>
        </w:rPr>
        <w:t> </w:t>
      </w:r>
      <w:r>
        <w:rPr>
          <w:sz w:val="16"/>
        </w:rPr>
        <w:t>para</w:t>
      </w:r>
      <w:r>
        <w:rPr>
          <w:spacing w:val="-3"/>
          <w:sz w:val="16"/>
        </w:rPr>
        <w:t> </w:t>
      </w:r>
      <w:r>
        <w:rPr>
          <w:spacing w:val="-5"/>
          <w:sz w:val="16"/>
        </w:rPr>
        <w:t>47</w:t>
      </w:r>
    </w:p>
    <w:p>
      <w:pPr>
        <w:pStyle w:val="ListParagraph"/>
        <w:numPr>
          <w:ilvl w:val="0"/>
          <w:numId w:val="6"/>
        </w:numPr>
        <w:tabs>
          <w:tab w:pos="567" w:val="left" w:leader="none"/>
        </w:tabs>
        <w:spacing w:line="218" w:lineRule="auto" w:before="0" w:after="0"/>
        <w:ind w:left="567" w:right="255" w:hanging="454"/>
        <w:jc w:val="left"/>
        <w:rPr>
          <w:sz w:val="16"/>
        </w:rPr>
      </w:pPr>
      <w:r>
        <w:rPr>
          <w:sz w:val="16"/>
        </w:rPr>
        <w:t>NB:</w:t>
      </w:r>
      <w:r>
        <w:rPr>
          <w:spacing w:val="13"/>
          <w:sz w:val="16"/>
        </w:rPr>
        <w:t> </w:t>
      </w:r>
      <w:r>
        <w:rPr>
          <w:sz w:val="16"/>
        </w:rPr>
        <w:t>as</w:t>
      </w:r>
      <w:r>
        <w:rPr>
          <w:spacing w:val="13"/>
          <w:sz w:val="16"/>
        </w:rPr>
        <w:t> </w:t>
      </w:r>
      <w:r>
        <w:rPr>
          <w:sz w:val="16"/>
        </w:rPr>
        <w:t>we</w:t>
      </w:r>
      <w:r>
        <w:rPr>
          <w:spacing w:val="13"/>
          <w:sz w:val="16"/>
        </w:rPr>
        <w:t> </w:t>
      </w:r>
      <w:r>
        <w:rPr>
          <w:sz w:val="16"/>
        </w:rPr>
        <w:t>highlight</w:t>
      </w:r>
      <w:r>
        <w:rPr>
          <w:spacing w:val="13"/>
          <w:sz w:val="16"/>
        </w:rPr>
        <w:t> </w:t>
      </w:r>
      <w:r>
        <w:rPr>
          <w:sz w:val="16"/>
        </w:rPr>
        <w:t>in</w:t>
      </w:r>
      <w:r>
        <w:rPr>
          <w:spacing w:val="13"/>
          <w:sz w:val="16"/>
        </w:rPr>
        <w:t> </w:t>
      </w:r>
      <w:r>
        <w:rPr>
          <w:sz w:val="16"/>
        </w:rPr>
        <w:t>further</w:t>
      </w:r>
      <w:r>
        <w:rPr>
          <w:spacing w:val="13"/>
          <w:sz w:val="16"/>
        </w:rPr>
        <w:t> </w:t>
      </w:r>
      <w:r>
        <w:rPr>
          <w:sz w:val="16"/>
        </w:rPr>
        <w:t>detail</w:t>
      </w:r>
      <w:r>
        <w:rPr>
          <w:spacing w:val="13"/>
          <w:sz w:val="16"/>
        </w:rPr>
        <w:t> </w:t>
      </w:r>
      <w:r>
        <w:rPr>
          <w:sz w:val="16"/>
        </w:rPr>
        <w:t>Chapter</w:t>
      </w:r>
      <w:r>
        <w:rPr>
          <w:spacing w:val="13"/>
          <w:sz w:val="16"/>
        </w:rPr>
        <w:t> </w:t>
      </w:r>
      <w:r>
        <w:rPr>
          <w:sz w:val="16"/>
        </w:rPr>
        <w:t>3(3)</w:t>
      </w:r>
      <w:r>
        <w:rPr>
          <w:spacing w:val="13"/>
          <w:sz w:val="16"/>
        </w:rPr>
        <w:t> </w:t>
      </w:r>
      <w:r>
        <w:rPr>
          <w:sz w:val="16"/>
        </w:rPr>
        <w:t>below,</w:t>
      </w:r>
      <w:r>
        <w:rPr>
          <w:spacing w:val="13"/>
          <w:sz w:val="16"/>
        </w:rPr>
        <w:t> </w:t>
      </w:r>
      <w:r>
        <w:rPr>
          <w:sz w:val="16"/>
        </w:rPr>
        <w:t>CJEU</w:t>
      </w:r>
      <w:r>
        <w:rPr>
          <w:spacing w:val="13"/>
          <w:sz w:val="16"/>
        </w:rPr>
        <w:t> </w:t>
      </w:r>
      <w:r>
        <w:rPr>
          <w:sz w:val="16"/>
        </w:rPr>
        <w:t>case</w:t>
      </w:r>
      <w:r>
        <w:rPr>
          <w:spacing w:val="13"/>
          <w:sz w:val="16"/>
        </w:rPr>
        <w:t> </w:t>
      </w:r>
      <w:r>
        <w:rPr>
          <w:sz w:val="16"/>
        </w:rPr>
        <w:t>law</w:t>
      </w:r>
      <w:r>
        <w:rPr>
          <w:spacing w:val="13"/>
          <w:sz w:val="16"/>
        </w:rPr>
        <w:t> </w:t>
      </w:r>
      <w:r>
        <w:rPr>
          <w:sz w:val="16"/>
        </w:rPr>
        <w:t>on</w:t>
      </w:r>
      <w:r>
        <w:rPr>
          <w:spacing w:val="13"/>
          <w:sz w:val="16"/>
        </w:rPr>
        <w:t> </w:t>
      </w:r>
      <w:r>
        <w:rPr>
          <w:sz w:val="16"/>
        </w:rPr>
        <w:t>the</w:t>
      </w:r>
      <w:r>
        <w:rPr>
          <w:spacing w:val="13"/>
          <w:sz w:val="16"/>
        </w:rPr>
        <w:t> </w:t>
      </w:r>
      <w:r>
        <w:rPr>
          <w:sz w:val="16"/>
        </w:rPr>
        <w:t>Charter</w:t>
      </w:r>
      <w:r>
        <w:rPr>
          <w:spacing w:val="13"/>
          <w:sz w:val="16"/>
        </w:rPr>
        <w:t> </w:t>
      </w:r>
      <w:r>
        <w:rPr>
          <w:sz w:val="16"/>
        </w:rPr>
        <w:t>handed</w:t>
      </w:r>
      <w:r>
        <w:rPr>
          <w:spacing w:val="13"/>
          <w:sz w:val="16"/>
        </w:rPr>
        <w:t> </w:t>
      </w:r>
      <w:r>
        <w:rPr>
          <w:sz w:val="16"/>
        </w:rPr>
        <w:t>down</w:t>
      </w:r>
      <w:r>
        <w:rPr>
          <w:spacing w:val="13"/>
          <w:sz w:val="16"/>
        </w:rPr>
        <w:t> </w:t>
      </w:r>
      <w:r>
        <w:rPr>
          <w:rFonts w:ascii="Verdana"/>
          <w:i/>
          <w:sz w:val="16"/>
        </w:rPr>
        <w:t>after </w:t>
      </w:r>
      <w:r>
        <w:rPr>
          <w:rFonts w:ascii="Arial"/>
          <w:sz w:val="16"/>
        </w:rPr>
        <w:t>the</w:t>
      </w:r>
      <w:r>
        <w:rPr>
          <w:rFonts w:ascii="Arial"/>
          <w:spacing w:val="19"/>
          <w:sz w:val="16"/>
        </w:rPr>
        <w:t> </w:t>
      </w:r>
      <w:r>
        <w:rPr>
          <w:rFonts w:ascii="Arial"/>
          <w:sz w:val="16"/>
        </w:rPr>
        <w:t>end </w:t>
      </w:r>
      <w:r>
        <w:rPr>
          <w:rFonts w:ascii="Arial"/>
          <w:w w:val="110"/>
          <w:sz w:val="16"/>
        </w:rPr>
        <w:t>of the implementation period may also be relevant, as there is no temporal limit to relevant CJEU case law with</w:t>
      </w:r>
    </w:p>
    <w:p>
      <w:pPr>
        <w:spacing w:before="11"/>
        <w:ind w:left="567" w:right="0" w:firstLine="0"/>
        <w:jc w:val="left"/>
        <w:rPr>
          <w:sz w:val="16"/>
        </w:rPr>
      </w:pPr>
      <w:r>
        <w:rPr>
          <w:w w:val="115"/>
          <w:sz w:val="16"/>
        </w:rPr>
        <w:t>which</w:t>
      </w:r>
      <w:r>
        <w:rPr>
          <w:spacing w:val="-12"/>
          <w:w w:val="115"/>
          <w:sz w:val="16"/>
        </w:rPr>
        <w:t> </w:t>
      </w:r>
      <w:r>
        <w:rPr>
          <w:w w:val="115"/>
          <w:sz w:val="16"/>
        </w:rPr>
        <w:t>the</w:t>
      </w:r>
      <w:r>
        <w:rPr>
          <w:spacing w:val="-11"/>
          <w:w w:val="115"/>
          <w:sz w:val="16"/>
        </w:rPr>
        <w:t> </w:t>
      </w:r>
      <w:r>
        <w:rPr>
          <w:w w:val="115"/>
          <w:sz w:val="16"/>
        </w:rPr>
        <w:t>interpretation</w:t>
      </w:r>
      <w:r>
        <w:rPr>
          <w:spacing w:val="-11"/>
          <w:w w:val="115"/>
          <w:sz w:val="16"/>
        </w:rPr>
        <w:t> </w:t>
      </w:r>
      <w:r>
        <w:rPr>
          <w:w w:val="115"/>
          <w:sz w:val="16"/>
        </w:rPr>
        <w:t>of</w:t>
      </w:r>
      <w:r>
        <w:rPr>
          <w:spacing w:val="-11"/>
          <w:w w:val="115"/>
          <w:sz w:val="16"/>
        </w:rPr>
        <w:t> </w:t>
      </w:r>
      <w:r>
        <w:rPr>
          <w:w w:val="115"/>
          <w:sz w:val="16"/>
        </w:rPr>
        <w:t>EU</w:t>
      </w:r>
      <w:r>
        <w:rPr>
          <w:spacing w:val="-11"/>
          <w:w w:val="115"/>
          <w:sz w:val="16"/>
        </w:rPr>
        <w:t> </w:t>
      </w:r>
      <w:r>
        <w:rPr>
          <w:w w:val="115"/>
          <w:sz w:val="16"/>
        </w:rPr>
        <w:t>law</w:t>
      </w:r>
      <w:r>
        <w:rPr>
          <w:spacing w:val="-11"/>
          <w:w w:val="115"/>
          <w:sz w:val="16"/>
        </w:rPr>
        <w:t> </w:t>
      </w:r>
      <w:r>
        <w:rPr>
          <w:w w:val="115"/>
          <w:sz w:val="16"/>
        </w:rPr>
        <w:t>made</w:t>
      </w:r>
      <w:r>
        <w:rPr>
          <w:spacing w:val="-11"/>
          <w:w w:val="115"/>
          <w:sz w:val="16"/>
        </w:rPr>
        <w:t> </w:t>
      </w:r>
      <w:r>
        <w:rPr>
          <w:w w:val="115"/>
          <w:sz w:val="16"/>
        </w:rPr>
        <w:t>applicable</w:t>
      </w:r>
      <w:r>
        <w:rPr>
          <w:spacing w:val="-11"/>
          <w:w w:val="115"/>
          <w:sz w:val="16"/>
        </w:rPr>
        <w:t> </w:t>
      </w:r>
      <w:r>
        <w:rPr>
          <w:w w:val="115"/>
          <w:sz w:val="16"/>
        </w:rPr>
        <w:t>by</w:t>
      </w:r>
      <w:r>
        <w:rPr>
          <w:spacing w:val="-11"/>
          <w:w w:val="115"/>
          <w:sz w:val="16"/>
        </w:rPr>
        <w:t> </w:t>
      </w:r>
      <w:r>
        <w:rPr>
          <w:w w:val="115"/>
          <w:sz w:val="16"/>
        </w:rPr>
        <w:t>the</w:t>
      </w:r>
      <w:r>
        <w:rPr>
          <w:spacing w:val="-11"/>
          <w:w w:val="115"/>
          <w:sz w:val="16"/>
        </w:rPr>
        <w:t> </w:t>
      </w:r>
      <w:r>
        <w:rPr>
          <w:w w:val="115"/>
          <w:sz w:val="16"/>
        </w:rPr>
        <w:t>Windsor</w:t>
      </w:r>
      <w:r>
        <w:rPr>
          <w:spacing w:val="-12"/>
          <w:w w:val="115"/>
          <w:sz w:val="16"/>
        </w:rPr>
        <w:t> </w:t>
      </w:r>
      <w:r>
        <w:rPr>
          <w:w w:val="115"/>
          <w:sz w:val="16"/>
        </w:rPr>
        <w:t>Framework</w:t>
      </w:r>
      <w:r>
        <w:rPr>
          <w:spacing w:val="-11"/>
          <w:w w:val="115"/>
          <w:sz w:val="16"/>
        </w:rPr>
        <w:t> </w:t>
      </w:r>
      <w:r>
        <w:rPr>
          <w:w w:val="115"/>
          <w:sz w:val="16"/>
        </w:rPr>
        <w:t>must</w:t>
      </w:r>
      <w:r>
        <w:rPr>
          <w:spacing w:val="-11"/>
          <w:w w:val="115"/>
          <w:sz w:val="16"/>
        </w:rPr>
        <w:t> </w:t>
      </w:r>
      <w:r>
        <w:rPr>
          <w:spacing w:val="-2"/>
          <w:w w:val="115"/>
          <w:sz w:val="16"/>
        </w:rPr>
        <w:t>conform.</w:t>
      </w:r>
    </w:p>
    <w:p>
      <w:pPr>
        <w:spacing w:after="0"/>
        <w:jc w:val="left"/>
        <w:rPr>
          <w:sz w:val="16"/>
        </w:rPr>
        <w:sectPr>
          <w:type w:val="continuous"/>
          <w:pgSz w:w="11910" w:h="16840"/>
          <w:pgMar w:header="568" w:footer="580" w:top="0" w:bottom="280" w:left="1020" w:right="1020"/>
        </w:sectPr>
      </w:pPr>
    </w:p>
    <w:p>
      <w:pPr>
        <w:pStyle w:val="BodyText"/>
        <w:ind w:left="0"/>
        <w:rPr>
          <w:sz w:val="20"/>
        </w:rPr>
      </w:pPr>
    </w:p>
    <w:p>
      <w:pPr>
        <w:pStyle w:val="BodyText"/>
        <w:ind w:left="0"/>
        <w:rPr>
          <w:sz w:val="20"/>
        </w:rPr>
      </w:pPr>
    </w:p>
    <w:p>
      <w:pPr>
        <w:pStyle w:val="BodyText"/>
        <w:spacing w:before="48"/>
        <w:ind w:left="0"/>
        <w:rPr>
          <w:sz w:val="20"/>
        </w:rPr>
      </w:pPr>
    </w:p>
    <w:p>
      <w:pPr>
        <w:spacing w:after="0"/>
        <w:rPr>
          <w:sz w:val="20"/>
        </w:rPr>
        <w:sectPr>
          <w:pgSz w:w="11910" w:h="16840"/>
          <w:pgMar w:header="568" w:footer="580" w:top="840" w:bottom="780" w:left="1020" w:right="1020"/>
        </w:sectPr>
      </w:pPr>
    </w:p>
    <w:p>
      <w:pPr>
        <w:pStyle w:val="BodyText"/>
        <w:spacing w:line="310" w:lineRule="exact" w:before="49"/>
        <w:ind w:right="152"/>
      </w:pPr>
      <w:bookmarkStart w:name="c. How to read seemingly conflicting pro" w:id="37"/>
      <w:bookmarkEnd w:id="37"/>
      <w:r>
        <w:rPr/>
      </w:r>
      <w:bookmarkStart w:name="_bookmark15" w:id="38"/>
      <w:bookmarkEnd w:id="38"/>
      <w:r>
        <w:rPr/>
      </w:r>
      <w:r>
        <w:rPr>
          <w:w w:val="115"/>
        </w:rPr>
        <w:t>of</w:t>
      </w:r>
      <w:r>
        <w:rPr>
          <w:spacing w:val="-5"/>
          <w:w w:val="115"/>
        </w:rPr>
        <w:t> </w:t>
      </w:r>
      <w:r>
        <w:rPr>
          <w:w w:val="115"/>
        </w:rPr>
        <w:t>Northern</w:t>
      </w:r>
      <w:r>
        <w:rPr>
          <w:spacing w:val="-5"/>
          <w:w w:val="115"/>
        </w:rPr>
        <w:t> </w:t>
      </w:r>
      <w:r>
        <w:rPr>
          <w:w w:val="115"/>
        </w:rPr>
        <w:t>Ireland.</w:t>
      </w:r>
      <w:r>
        <w:rPr>
          <w:rFonts w:ascii="Lucida Sans Unicode"/>
          <w:w w:val="115"/>
          <w:vertAlign w:val="superscript"/>
        </w:rPr>
        <w:t>134</w:t>
      </w:r>
      <w:r>
        <w:rPr>
          <w:rFonts w:ascii="Lucida Sans Unicode"/>
          <w:spacing w:val="-15"/>
          <w:w w:val="115"/>
          <w:vertAlign w:val="baseline"/>
        </w:rPr>
        <w:t> </w:t>
      </w:r>
      <w:r>
        <w:rPr>
          <w:w w:val="115"/>
          <w:vertAlign w:val="baseline"/>
        </w:rPr>
        <w:t>Any</w:t>
      </w:r>
      <w:r>
        <w:rPr>
          <w:spacing w:val="-5"/>
          <w:w w:val="115"/>
          <w:vertAlign w:val="baseline"/>
        </w:rPr>
        <w:t> </w:t>
      </w:r>
      <w:r>
        <w:rPr>
          <w:w w:val="115"/>
          <w:vertAlign w:val="baseline"/>
        </w:rPr>
        <w:t>other interpretation, would, in our view,</w:t>
      </w:r>
      <w:r>
        <w:rPr>
          <w:w w:val="115"/>
          <w:vertAlign w:val="baseline"/>
        </w:rPr>
        <w:t> fail</w:t>
      </w:r>
      <w:r>
        <w:rPr>
          <w:spacing w:val="-17"/>
          <w:w w:val="115"/>
          <w:vertAlign w:val="baseline"/>
        </w:rPr>
        <w:t> </w:t>
      </w:r>
      <w:r>
        <w:rPr>
          <w:w w:val="115"/>
          <w:vertAlign w:val="baseline"/>
        </w:rPr>
        <w:t>to</w:t>
      </w:r>
      <w:r>
        <w:rPr>
          <w:spacing w:val="-17"/>
          <w:w w:val="115"/>
          <w:vertAlign w:val="baseline"/>
        </w:rPr>
        <w:t> </w:t>
      </w:r>
      <w:r>
        <w:rPr>
          <w:w w:val="115"/>
          <w:vertAlign w:val="baseline"/>
        </w:rPr>
        <w:t>account</w:t>
      </w:r>
      <w:r>
        <w:rPr>
          <w:spacing w:val="-17"/>
          <w:w w:val="115"/>
          <w:vertAlign w:val="baseline"/>
        </w:rPr>
        <w:t> </w:t>
      </w:r>
      <w:r>
        <w:rPr>
          <w:w w:val="115"/>
          <w:vertAlign w:val="baseline"/>
        </w:rPr>
        <w:t>for</w:t>
      </w:r>
      <w:r>
        <w:rPr>
          <w:spacing w:val="-17"/>
          <w:w w:val="115"/>
          <w:vertAlign w:val="baseline"/>
        </w:rPr>
        <w:t> </w:t>
      </w:r>
      <w:r>
        <w:rPr>
          <w:w w:val="115"/>
          <w:vertAlign w:val="baseline"/>
        </w:rPr>
        <w:t>the</w:t>
      </w:r>
      <w:r>
        <w:rPr>
          <w:spacing w:val="-17"/>
          <w:w w:val="115"/>
          <w:vertAlign w:val="baseline"/>
        </w:rPr>
        <w:t> </w:t>
      </w:r>
      <w:r>
        <w:rPr>
          <w:w w:val="115"/>
          <w:vertAlign w:val="baseline"/>
        </w:rPr>
        <w:t>clear</w:t>
      </w:r>
      <w:r>
        <w:rPr>
          <w:spacing w:val="-17"/>
          <w:w w:val="115"/>
          <w:vertAlign w:val="baseline"/>
        </w:rPr>
        <w:t> </w:t>
      </w:r>
      <w:r>
        <w:rPr>
          <w:w w:val="115"/>
          <w:vertAlign w:val="baseline"/>
        </w:rPr>
        <w:t>language of the Withdrawal Agreement and the</w:t>
      </w:r>
      <w:r>
        <w:rPr>
          <w:spacing w:val="-3"/>
          <w:w w:val="115"/>
          <w:vertAlign w:val="baseline"/>
        </w:rPr>
        <w:t> </w:t>
      </w:r>
      <w:r>
        <w:rPr>
          <w:w w:val="115"/>
          <w:vertAlign w:val="baseline"/>
        </w:rPr>
        <w:t>Windsor</w:t>
      </w:r>
      <w:r>
        <w:rPr>
          <w:spacing w:val="-3"/>
          <w:w w:val="115"/>
          <w:vertAlign w:val="baseline"/>
        </w:rPr>
        <w:t> </w:t>
      </w:r>
      <w:r>
        <w:rPr>
          <w:w w:val="115"/>
          <w:vertAlign w:val="baseline"/>
        </w:rPr>
        <w:t>Framework</w:t>
      </w:r>
      <w:r>
        <w:rPr>
          <w:spacing w:val="-3"/>
          <w:w w:val="115"/>
          <w:vertAlign w:val="baseline"/>
        </w:rPr>
        <w:t> </w:t>
      </w:r>
      <w:r>
        <w:rPr>
          <w:w w:val="115"/>
          <w:vertAlign w:val="baseline"/>
        </w:rPr>
        <w:t>in</w:t>
      </w:r>
      <w:r>
        <w:rPr>
          <w:spacing w:val="-3"/>
          <w:w w:val="115"/>
          <w:vertAlign w:val="baseline"/>
        </w:rPr>
        <w:t> </w:t>
      </w:r>
      <w:r>
        <w:rPr>
          <w:w w:val="115"/>
          <w:vertAlign w:val="baseline"/>
        </w:rPr>
        <w:t>retaining the</w:t>
      </w:r>
      <w:r>
        <w:rPr>
          <w:spacing w:val="-8"/>
          <w:w w:val="115"/>
          <w:vertAlign w:val="baseline"/>
        </w:rPr>
        <w:t> </w:t>
      </w:r>
      <w:r>
        <w:rPr>
          <w:w w:val="115"/>
          <w:vertAlign w:val="baseline"/>
        </w:rPr>
        <w:t>applicability</w:t>
      </w:r>
      <w:r>
        <w:rPr>
          <w:spacing w:val="-8"/>
          <w:w w:val="115"/>
          <w:vertAlign w:val="baseline"/>
        </w:rPr>
        <w:t> </w:t>
      </w:r>
      <w:r>
        <w:rPr>
          <w:w w:val="115"/>
          <w:vertAlign w:val="baseline"/>
        </w:rPr>
        <w:t>of</w:t>
      </w:r>
      <w:r>
        <w:rPr>
          <w:spacing w:val="-8"/>
          <w:w w:val="115"/>
          <w:vertAlign w:val="baseline"/>
        </w:rPr>
        <w:t> </w:t>
      </w:r>
      <w:r>
        <w:rPr>
          <w:w w:val="115"/>
          <w:vertAlign w:val="baseline"/>
        </w:rPr>
        <w:t>EU</w:t>
      </w:r>
      <w:r>
        <w:rPr>
          <w:spacing w:val="-8"/>
          <w:w w:val="115"/>
          <w:vertAlign w:val="baseline"/>
        </w:rPr>
        <w:t> </w:t>
      </w:r>
      <w:r>
        <w:rPr>
          <w:w w:val="115"/>
          <w:vertAlign w:val="baseline"/>
        </w:rPr>
        <w:t>law,</w:t>
      </w:r>
      <w:r>
        <w:rPr>
          <w:spacing w:val="-8"/>
          <w:w w:val="115"/>
          <w:vertAlign w:val="baseline"/>
        </w:rPr>
        <w:t> </w:t>
      </w:r>
      <w:r>
        <w:rPr>
          <w:w w:val="115"/>
          <w:vertAlign w:val="baseline"/>
        </w:rPr>
        <w:t>including through direct reliance.</w:t>
      </w:r>
    </w:p>
    <w:p>
      <w:pPr>
        <w:pStyle w:val="BodyText"/>
        <w:spacing w:before="32"/>
        <w:ind w:left="0"/>
      </w:pPr>
    </w:p>
    <w:p>
      <w:pPr>
        <w:pStyle w:val="Heading4"/>
        <w:numPr>
          <w:ilvl w:val="1"/>
          <w:numId w:val="9"/>
        </w:numPr>
        <w:tabs>
          <w:tab w:pos="390" w:val="left" w:leader="none"/>
        </w:tabs>
        <w:spacing w:line="256" w:lineRule="auto" w:before="0" w:after="0"/>
        <w:ind w:left="113" w:right="1454" w:firstLine="0"/>
        <w:jc w:val="left"/>
      </w:pPr>
      <w:r>
        <w:rPr>
          <w:color w:val="77328A"/>
        </w:rPr>
        <w:t>How</w:t>
      </w:r>
      <w:r>
        <w:rPr>
          <w:color w:val="77328A"/>
          <w:spacing w:val="-1"/>
        </w:rPr>
        <w:t> </w:t>
      </w:r>
      <w:r>
        <w:rPr>
          <w:color w:val="77328A"/>
        </w:rPr>
        <w:t>to</w:t>
      </w:r>
      <w:r>
        <w:rPr>
          <w:color w:val="77328A"/>
          <w:spacing w:val="-1"/>
        </w:rPr>
        <w:t> </w:t>
      </w:r>
      <w:r>
        <w:rPr>
          <w:color w:val="77328A"/>
        </w:rPr>
        <w:t>read</w:t>
      </w:r>
      <w:r>
        <w:rPr>
          <w:color w:val="77328A"/>
          <w:spacing w:val="-1"/>
        </w:rPr>
        <w:t> </w:t>
      </w:r>
      <w:r>
        <w:rPr>
          <w:color w:val="77328A"/>
        </w:rPr>
        <w:t>seemingly conflicting provisions</w:t>
      </w:r>
    </w:p>
    <w:p>
      <w:pPr>
        <w:pStyle w:val="BodyText"/>
        <w:spacing w:line="225" w:lineRule="auto"/>
        <w:ind w:right="253"/>
      </w:pPr>
      <w:r>
        <w:rPr>
          <w:rFonts w:ascii="Lucida Sans Unicode"/>
        </w:rPr>
        <w:t>There remains a final point in </w:t>
      </w:r>
      <w:r>
        <w:rPr>
          <w:w w:val="110"/>
        </w:rPr>
        <w:t>relation to the EUWA, with </w:t>
      </w:r>
      <w:r>
        <w:rPr>
          <w:w w:val="110"/>
        </w:rPr>
        <w:t>which</w:t>
      </w:r>
    </w:p>
    <w:p>
      <w:pPr>
        <w:pStyle w:val="BodyText"/>
        <w:spacing w:line="310" w:lineRule="exact" w:before="6"/>
        <w:ind w:right="295"/>
      </w:pPr>
      <w:r>
        <w:rPr>
          <w:w w:val="115"/>
        </w:rPr>
        <w:t>this</w:t>
      </w:r>
      <w:r>
        <w:rPr>
          <w:spacing w:val="-11"/>
          <w:w w:val="115"/>
        </w:rPr>
        <w:t> </w:t>
      </w:r>
      <w:r>
        <w:rPr>
          <w:w w:val="115"/>
        </w:rPr>
        <w:t>chapter</w:t>
      </w:r>
      <w:r>
        <w:rPr>
          <w:spacing w:val="-11"/>
          <w:w w:val="115"/>
        </w:rPr>
        <w:t> </w:t>
      </w:r>
      <w:r>
        <w:rPr>
          <w:w w:val="115"/>
        </w:rPr>
        <w:t>began:</w:t>
      </w:r>
      <w:r>
        <w:rPr>
          <w:spacing w:val="-11"/>
          <w:w w:val="115"/>
        </w:rPr>
        <w:t> </w:t>
      </w:r>
      <w:r>
        <w:rPr>
          <w:w w:val="115"/>
        </w:rPr>
        <w:t>the</w:t>
      </w:r>
      <w:r>
        <w:rPr>
          <w:spacing w:val="-11"/>
          <w:w w:val="115"/>
        </w:rPr>
        <w:t> </w:t>
      </w:r>
      <w:r>
        <w:rPr>
          <w:w w:val="115"/>
        </w:rPr>
        <w:t>declaration </w:t>
      </w:r>
      <w:r>
        <w:rPr>
          <w:rFonts w:ascii="Lucida Sans Unicode"/>
          <w:w w:val="110"/>
        </w:rPr>
        <w:t>in</w:t>
      </w:r>
      <w:r>
        <w:rPr>
          <w:rFonts w:ascii="Lucida Sans Unicode"/>
          <w:spacing w:val="-15"/>
          <w:w w:val="110"/>
        </w:rPr>
        <w:t> </w:t>
      </w:r>
      <w:r>
        <w:rPr>
          <w:rFonts w:ascii="Lucida Sans Unicode"/>
          <w:w w:val="110"/>
        </w:rPr>
        <w:t>section</w:t>
      </w:r>
      <w:r>
        <w:rPr>
          <w:rFonts w:ascii="Lucida Sans Unicode"/>
          <w:spacing w:val="-15"/>
          <w:w w:val="110"/>
        </w:rPr>
        <w:t> </w:t>
      </w:r>
      <w:r>
        <w:rPr>
          <w:rFonts w:ascii="Lucida Sans Unicode"/>
          <w:w w:val="110"/>
        </w:rPr>
        <w:t>5(4)</w:t>
      </w:r>
      <w:r>
        <w:rPr>
          <w:rFonts w:ascii="Lucida Sans Unicode"/>
          <w:spacing w:val="-15"/>
          <w:w w:val="110"/>
        </w:rPr>
        <w:t> </w:t>
      </w:r>
      <w:r>
        <w:rPr>
          <w:rFonts w:ascii="Lucida Sans Unicode"/>
          <w:w w:val="110"/>
        </w:rPr>
        <w:t>that</w:t>
      </w:r>
      <w:r>
        <w:rPr>
          <w:rFonts w:ascii="Lucida Sans Unicode"/>
          <w:spacing w:val="-15"/>
          <w:w w:val="110"/>
        </w:rPr>
        <w:t> </w:t>
      </w:r>
      <w:r>
        <w:rPr>
          <w:rFonts w:ascii="Lucida Sans Unicode"/>
          <w:w w:val="110"/>
        </w:rPr>
        <w:t>the</w:t>
      </w:r>
      <w:r>
        <w:rPr>
          <w:rFonts w:ascii="Lucida Sans Unicode"/>
          <w:spacing w:val="-15"/>
          <w:w w:val="110"/>
        </w:rPr>
        <w:t> </w:t>
      </w:r>
      <w:r>
        <w:rPr>
          <w:rFonts w:ascii="Lucida Sans Unicode"/>
          <w:w w:val="110"/>
        </w:rPr>
        <w:t>CFR</w:t>
      </w:r>
      <w:r>
        <w:rPr>
          <w:rFonts w:ascii="Lucida Sans Unicode"/>
          <w:spacing w:val="-15"/>
          <w:w w:val="110"/>
        </w:rPr>
        <w:t> </w:t>
      </w:r>
      <w:r>
        <w:rPr>
          <w:rFonts w:ascii="Lucida Sans Unicode"/>
          <w:w w:val="110"/>
        </w:rPr>
        <w:t>is</w:t>
      </w:r>
      <w:r>
        <w:rPr>
          <w:rFonts w:ascii="Lucida Sans Unicode"/>
          <w:spacing w:val="-15"/>
          <w:w w:val="110"/>
        </w:rPr>
        <w:t> </w:t>
      </w:r>
      <w:r>
        <w:rPr>
          <w:rFonts w:ascii="Lucida Sans Unicode"/>
          <w:w w:val="110"/>
        </w:rPr>
        <w:t>not </w:t>
      </w:r>
      <w:r>
        <w:rPr>
          <w:w w:val="110"/>
        </w:rPr>
        <w:t>part</w:t>
      </w:r>
      <w:r>
        <w:rPr>
          <w:spacing w:val="-7"/>
          <w:w w:val="110"/>
        </w:rPr>
        <w:t> </w:t>
      </w:r>
      <w:r>
        <w:rPr>
          <w:w w:val="110"/>
        </w:rPr>
        <w:t>of</w:t>
      </w:r>
      <w:r>
        <w:rPr>
          <w:spacing w:val="-7"/>
          <w:w w:val="110"/>
        </w:rPr>
        <w:t> </w:t>
      </w:r>
      <w:r>
        <w:rPr>
          <w:w w:val="110"/>
        </w:rPr>
        <w:t>UK</w:t>
      </w:r>
      <w:r>
        <w:rPr>
          <w:spacing w:val="-7"/>
          <w:w w:val="110"/>
        </w:rPr>
        <w:t> </w:t>
      </w:r>
      <w:r>
        <w:rPr>
          <w:w w:val="110"/>
        </w:rPr>
        <w:t>domestic</w:t>
      </w:r>
      <w:r>
        <w:rPr>
          <w:spacing w:val="-7"/>
          <w:w w:val="110"/>
        </w:rPr>
        <w:t> </w:t>
      </w:r>
      <w:r>
        <w:rPr>
          <w:w w:val="110"/>
        </w:rPr>
        <w:t>law</w:t>
      </w:r>
      <w:r>
        <w:rPr>
          <w:spacing w:val="-7"/>
          <w:w w:val="110"/>
        </w:rPr>
        <w:t> </w:t>
      </w:r>
      <w:r>
        <w:rPr>
          <w:rFonts w:ascii="Verdana"/>
          <w:i/>
          <w:w w:val="110"/>
        </w:rPr>
        <w:t>anywhere</w:t>
      </w:r>
      <w:r>
        <w:rPr>
          <w:w w:val="110"/>
        </w:rPr>
        <w:t>. </w:t>
      </w:r>
      <w:r>
        <w:rPr>
          <w:w w:val="115"/>
        </w:rPr>
        <w:t>The apparent irreconcilability of this</w:t>
      </w:r>
      <w:r>
        <w:rPr>
          <w:spacing w:val="-15"/>
          <w:w w:val="115"/>
        </w:rPr>
        <w:t> </w:t>
      </w:r>
      <w:r>
        <w:rPr>
          <w:w w:val="115"/>
        </w:rPr>
        <w:t>provision</w:t>
      </w:r>
      <w:r>
        <w:rPr>
          <w:spacing w:val="-15"/>
          <w:w w:val="115"/>
        </w:rPr>
        <w:t> </w:t>
      </w:r>
      <w:r>
        <w:rPr>
          <w:w w:val="115"/>
        </w:rPr>
        <w:t>with</w:t>
      </w:r>
      <w:r>
        <w:rPr>
          <w:spacing w:val="-15"/>
          <w:w w:val="115"/>
        </w:rPr>
        <w:t> </w:t>
      </w:r>
      <w:r>
        <w:rPr>
          <w:w w:val="115"/>
        </w:rPr>
        <w:t>the</w:t>
      </w:r>
      <w:r>
        <w:rPr>
          <w:spacing w:val="-15"/>
          <w:w w:val="115"/>
        </w:rPr>
        <w:t> </w:t>
      </w:r>
      <w:r>
        <w:rPr>
          <w:w w:val="115"/>
        </w:rPr>
        <w:t>provisions</w:t>
      </w:r>
      <w:r>
        <w:rPr>
          <w:spacing w:val="-15"/>
          <w:w w:val="115"/>
        </w:rPr>
        <w:t> </w:t>
      </w:r>
      <w:r>
        <w:rPr>
          <w:w w:val="115"/>
        </w:rPr>
        <w:t>of the</w:t>
      </w:r>
      <w:r>
        <w:rPr>
          <w:spacing w:val="-18"/>
          <w:w w:val="115"/>
        </w:rPr>
        <w:t> </w:t>
      </w:r>
      <w:r>
        <w:rPr>
          <w:w w:val="115"/>
        </w:rPr>
        <w:t>Withdrawal</w:t>
      </w:r>
      <w:r>
        <w:rPr>
          <w:spacing w:val="-18"/>
          <w:w w:val="115"/>
        </w:rPr>
        <w:t> </w:t>
      </w:r>
      <w:r>
        <w:rPr>
          <w:w w:val="115"/>
        </w:rPr>
        <w:t>Agreement</w:t>
      </w:r>
      <w:r>
        <w:rPr>
          <w:spacing w:val="-17"/>
          <w:w w:val="115"/>
        </w:rPr>
        <w:t> </w:t>
      </w:r>
      <w:r>
        <w:rPr>
          <w:w w:val="115"/>
        </w:rPr>
        <w:t>and</w:t>
      </w:r>
      <w:r>
        <w:rPr>
          <w:spacing w:val="-18"/>
          <w:w w:val="115"/>
        </w:rPr>
        <w:t> </w:t>
      </w:r>
      <w:r>
        <w:rPr>
          <w:spacing w:val="-5"/>
          <w:w w:val="115"/>
        </w:rPr>
        <w:t>the</w:t>
      </w:r>
    </w:p>
    <w:p>
      <w:pPr>
        <w:pStyle w:val="BodyText"/>
        <w:spacing w:line="310" w:lineRule="exact"/>
        <w:ind w:right="99"/>
      </w:pPr>
      <w:r>
        <w:rPr>
          <w:w w:val="110"/>
        </w:rPr>
        <w:t>Windsor Framework (as set out in </w:t>
      </w:r>
      <w:r>
        <w:rPr>
          <w:w w:val="110"/>
        </w:rPr>
        <w:t>the previous section) would fall away if </w:t>
      </w:r>
      <w:r>
        <w:rPr>
          <w:rFonts w:ascii="Lucida Sans Unicode" w:hAnsi="Lucida Sans Unicode"/>
        </w:rPr>
        <w:t>section 5(4) of the EUWA has already been modified or qualified by virtue</w:t>
      </w:r>
      <w:r>
        <w:rPr>
          <w:rFonts w:ascii="Lucida Sans Unicode" w:hAnsi="Lucida Sans Unicode"/>
          <w:spacing w:val="40"/>
          <w:w w:val="110"/>
        </w:rPr>
        <w:t> </w:t>
      </w:r>
      <w:r>
        <w:rPr>
          <w:rFonts w:ascii="Lucida Sans Unicode" w:hAnsi="Lucida Sans Unicode"/>
          <w:w w:val="110"/>
        </w:rPr>
        <w:t>of</w:t>
      </w:r>
      <w:r>
        <w:rPr>
          <w:rFonts w:ascii="Lucida Sans Unicode" w:hAnsi="Lucida Sans Unicode"/>
          <w:spacing w:val="-21"/>
          <w:w w:val="110"/>
        </w:rPr>
        <w:t> </w:t>
      </w:r>
      <w:r>
        <w:rPr>
          <w:rFonts w:ascii="Lucida Sans Unicode" w:hAnsi="Lucida Sans Unicode"/>
          <w:w w:val="110"/>
        </w:rPr>
        <w:t>section</w:t>
      </w:r>
      <w:r>
        <w:rPr>
          <w:rFonts w:ascii="Lucida Sans Unicode" w:hAnsi="Lucida Sans Unicode"/>
          <w:spacing w:val="-21"/>
          <w:w w:val="110"/>
        </w:rPr>
        <w:t> </w:t>
      </w:r>
      <w:r>
        <w:rPr>
          <w:rFonts w:ascii="Lucida Sans Unicode" w:hAnsi="Lucida Sans Unicode"/>
          <w:w w:val="110"/>
        </w:rPr>
        <w:t>7A</w:t>
      </w:r>
      <w:r>
        <w:rPr>
          <w:rFonts w:ascii="Lucida Sans Unicode" w:hAnsi="Lucida Sans Unicode"/>
          <w:spacing w:val="-21"/>
          <w:w w:val="110"/>
        </w:rPr>
        <w:t> </w:t>
      </w:r>
      <w:r>
        <w:rPr>
          <w:rFonts w:ascii="Lucida Sans Unicode" w:hAnsi="Lucida Sans Unicode"/>
          <w:w w:val="105"/>
        </w:rPr>
        <w:t>(1-</w:t>
      </w:r>
      <w:r>
        <w:rPr>
          <w:rFonts w:ascii="Lucida Sans Unicode" w:hAnsi="Lucida Sans Unicode"/>
          <w:w w:val="110"/>
        </w:rPr>
        <w:t>3)</w:t>
      </w:r>
      <w:r>
        <w:rPr>
          <w:rFonts w:ascii="Lucida Sans Unicode" w:hAnsi="Lucida Sans Unicode"/>
          <w:spacing w:val="-21"/>
          <w:w w:val="110"/>
        </w:rPr>
        <w:t> </w:t>
      </w:r>
      <w:r>
        <w:rPr>
          <w:rFonts w:ascii="Lucida Sans Unicode" w:hAnsi="Lucida Sans Unicode"/>
          <w:w w:val="110"/>
        </w:rPr>
        <w:t>EUWA,</w:t>
      </w:r>
      <w:r>
        <w:rPr>
          <w:rFonts w:ascii="Lucida Sans Unicode" w:hAnsi="Lucida Sans Unicode"/>
          <w:spacing w:val="-21"/>
          <w:w w:val="110"/>
        </w:rPr>
        <w:t> </w:t>
      </w:r>
      <w:r>
        <w:rPr>
          <w:rFonts w:ascii="Lucida Sans Unicode" w:hAnsi="Lucida Sans Unicode"/>
          <w:w w:val="110"/>
        </w:rPr>
        <w:t>which</w:t>
      </w:r>
      <w:r>
        <w:rPr>
          <w:rFonts w:ascii="Lucida Sans Unicode" w:hAnsi="Lucida Sans Unicode"/>
          <w:spacing w:val="-21"/>
          <w:w w:val="110"/>
        </w:rPr>
        <w:t> </w:t>
      </w:r>
      <w:r>
        <w:rPr>
          <w:rFonts w:ascii="Lucida Sans Unicode" w:hAnsi="Lucida Sans Unicode"/>
          <w:w w:val="110"/>
        </w:rPr>
        <w:t>is </w:t>
      </w:r>
      <w:r>
        <w:rPr>
          <w:w w:val="110"/>
        </w:rPr>
        <w:t>entitled ‘general implementation of remainder of withdrawal agreement’ and reads as follows:</w:t>
      </w:r>
    </w:p>
    <w:p>
      <w:pPr>
        <w:pStyle w:val="BodyText"/>
        <w:spacing w:before="9"/>
        <w:ind w:left="0"/>
      </w:pPr>
    </w:p>
    <w:p>
      <w:pPr>
        <w:pStyle w:val="ListParagraph"/>
        <w:numPr>
          <w:ilvl w:val="2"/>
          <w:numId w:val="9"/>
        </w:numPr>
        <w:tabs>
          <w:tab w:pos="1247" w:val="left" w:leader="none"/>
        </w:tabs>
        <w:spacing w:line="358" w:lineRule="exact" w:before="0" w:after="0"/>
        <w:ind w:left="1247" w:right="0" w:hanging="567"/>
        <w:jc w:val="left"/>
        <w:rPr>
          <w:color w:val="77328A"/>
          <w:sz w:val="24"/>
        </w:rPr>
      </w:pPr>
      <w:r>
        <w:rPr>
          <w:color w:val="77328A"/>
          <w:w w:val="105"/>
          <w:sz w:val="24"/>
        </w:rPr>
        <w:t>Subsection</w:t>
      </w:r>
      <w:r>
        <w:rPr>
          <w:color w:val="77328A"/>
          <w:spacing w:val="-14"/>
          <w:w w:val="105"/>
          <w:sz w:val="24"/>
        </w:rPr>
        <w:t> </w:t>
      </w:r>
      <w:r>
        <w:rPr>
          <w:color w:val="77328A"/>
          <w:w w:val="105"/>
          <w:sz w:val="24"/>
        </w:rPr>
        <w:t>(2)</w:t>
      </w:r>
      <w:r>
        <w:rPr>
          <w:color w:val="77328A"/>
          <w:spacing w:val="-14"/>
          <w:w w:val="105"/>
          <w:sz w:val="24"/>
        </w:rPr>
        <w:t> </w:t>
      </w:r>
      <w:r>
        <w:rPr>
          <w:color w:val="77328A"/>
          <w:w w:val="105"/>
          <w:sz w:val="24"/>
        </w:rPr>
        <w:t>applies</w:t>
      </w:r>
      <w:r>
        <w:rPr>
          <w:color w:val="77328A"/>
          <w:spacing w:val="-14"/>
          <w:w w:val="105"/>
          <w:sz w:val="24"/>
        </w:rPr>
        <w:t> </w:t>
      </w:r>
      <w:r>
        <w:rPr>
          <w:color w:val="77328A"/>
          <w:spacing w:val="-5"/>
          <w:w w:val="105"/>
          <w:sz w:val="24"/>
        </w:rPr>
        <w:t>to—</w:t>
      </w:r>
    </w:p>
    <w:p>
      <w:pPr>
        <w:pStyle w:val="ListParagraph"/>
        <w:numPr>
          <w:ilvl w:val="3"/>
          <w:numId w:val="9"/>
        </w:numPr>
        <w:tabs>
          <w:tab w:pos="1247" w:val="left" w:leader="none"/>
        </w:tabs>
        <w:spacing w:line="268" w:lineRule="auto" w:before="0" w:after="0"/>
        <w:ind w:left="1247" w:right="344" w:hanging="567"/>
        <w:jc w:val="left"/>
        <w:rPr>
          <w:rFonts w:ascii="Arial"/>
          <w:sz w:val="24"/>
        </w:rPr>
      </w:pPr>
      <w:r>
        <w:rPr>
          <w:rFonts w:ascii="Arial"/>
          <w:color w:val="77328A"/>
          <w:w w:val="115"/>
          <w:sz w:val="24"/>
        </w:rPr>
        <w:t>all such rights, powers, liabilities,</w:t>
      </w:r>
      <w:r>
        <w:rPr>
          <w:rFonts w:ascii="Arial"/>
          <w:color w:val="77328A"/>
          <w:spacing w:val="-16"/>
          <w:w w:val="115"/>
          <w:sz w:val="24"/>
        </w:rPr>
        <w:t> </w:t>
      </w:r>
      <w:r>
        <w:rPr>
          <w:rFonts w:ascii="Arial"/>
          <w:color w:val="77328A"/>
          <w:w w:val="115"/>
          <w:sz w:val="24"/>
        </w:rPr>
        <w:t>obligations</w:t>
      </w:r>
      <w:r>
        <w:rPr>
          <w:rFonts w:ascii="Arial"/>
          <w:color w:val="77328A"/>
          <w:spacing w:val="-16"/>
          <w:w w:val="115"/>
          <w:sz w:val="24"/>
        </w:rPr>
        <w:t> </w:t>
      </w:r>
      <w:r>
        <w:rPr>
          <w:rFonts w:ascii="Arial"/>
          <w:color w:val="77328A"/>
          <w:w w:val="115"/>
          <w:sz w:val="24"/>
        </w:rPr>
        <w:t>and restrictions from time to time</w:t>
      </w:r>
      <w:r>
        <w:rPr>
          <w:rFonts w:ascii="Arial"/>
          <w:color w:val="77328A"/>
          <w:spacing w:val="-20"/>
          <w:w w:val="115"/>
          <w:sz w:val="24"/>
        </w:rPr>
        <w:t> </w:t>
      </w:r>
      <w:r>
        <w:rPr>
          <w:rFonts w:ascii="Arial"/>
          <w:color w:val="77328A"/>
          <w:w w:val="115"/>
          <w:sz w:val="24"/>
        </w:rPr>
        <w:t>created</w:t>
      </w:r>
      <w:r>
        <w:rPr>
          <w:rFonts w:ascii="Arial"/>
          <w:color w:val="77328A"/>
          <w:spacing w:val="-19"/>
          <w:w w:val="115"/>
          <w:sz w:val="24"/>
        </w:rPr>
        <w:t> </w:t>
      </w:r>
      <w:r>
        <w:rPr>
          <w:rFonts w:ascii="Arial"/>
          <w:color w:val="77328A"/>
          <w:w w:val="115"/>
          <w:sz w:val="24"/>
        </w:rPr>
        <w:t>or</w:t>
      </w:r>
      <w:r>
        <w:rPr>
          <w:rFonts w:ascii="Arial"/>
          <w:color w:val="77328A"/>
          <w:spacing w:val="-19"/>
          <w:w w:val="115"/>
          <w:sz w:val="24"/>
        </w:rPr>
        <w:t> </w:t>
      </w:r>
      <w:r>
        <w:rPr>
          <w:rFonts w:ascii="Arial"/>
          <w:color w:val="77328A"/>
          <w:w w:val="115"/>
          <w:sz w:val="24"/>
        </w:rPr>
        <w:t>arising</w:t>
      </w:r>
      <w:r>
        <w:rPr>
          <w:rFonts w:ascii="Arial"/>
          <w:color w:val="77328A"/>
          <w:spacing w:val="-19"/>
          <w:w w:val="115"/>
          <w:sz w:val="24"/>
        </w:rPr>
        <w:t> </w:t>
      </w:r>
      <w:r>
        <w:rPr>
          <w:rFonts w:ascii="Arial"/>
          <w:color w:val="77328A"/>
          <w:w w:val="115"/>
          <w:sz w:val="24"/>
        </w:rPr>
        <w:t>by or under the withdrawal agreement, and</w:t>
      </w:r>
    </w:p>
    <w:p>
      <w:pPr>
        <w:pStyle w:val="ListParagraph"/>
        <w:numPr>
          <w:ilvl w:val="3"/>
          <w:numId w:val="9"/>
        </w:numPr>
        <w:tabs>
          <w:tab w:pos="1247" w:val="left" w:leader="none"/>
        </w:tabs>
        <w:spacing w:line="268" w:lineRule="auto" w:before="0" w:after="0"/>
        <w:ind w:left="1247" w:right="550" w:hanging="567"/>
        <w:jc w:val="left"/>
        <w:rPr>
          <w:rFonts w:ascii="Arial"/>
          <w:sz w:val="24"/>
        </w:rPr>
      </w:pPr>
      <w:r>
        <w:rPr>
          <w:rFonts w:ascii="Arial"/>
          <w:color w:val="77328A"/>
          <w:w w:val="115"/>
          <w:sz w:val="24"/>
        </w:rPr>
        <w:t>all such remedies and procedures from time to time provided for by or</w:t>
      </w:r>
      <w:r>
        <w:rPr>
          <w:rFonts w:ascii="Arial"/>
          <w:color w:val="77328A"/>
          <w:spacing w:val="-18"/>
          <w:w w:val="115"/>
          <w:sz w:val="24"/>
        </w:rPr>
        <w:t> </w:t>
      </w:r>
      <w:r>
        <w:rPr>
          <w:rFonts w:ascii="Arial"/>
          <w:color w:val="77328A"/>
          <w:w w:val="115"/>
          <w:sz w:val="24"/>
        </w:rPr>
        <w:t>under</w:t>
      </w:r>
      <w:r>
        <w:rPr>
          <w:rFonts w:ascii="Arial"/>
          <w:color w:val="77328A"/>
          <w:spacing w:val="-18"/>
          <w:w w:val="115"/>
          <w:sz w:val="24"/>
        </w:rPr>
        <w:t> </w:t>
      </w:r>
      <w:r>
        <w:rPr>
          <w:rFonts w:ascii="Arial"/>
          <w:color w:val="77328A"/>
          <w:w w:val="115"/>
          <w:sz w:val="24"/>
        </w:rPr>
        <w:t>the</w:t>
      </w:r>
      <w:r>
        <w:rPr>
          <w:rFonts w:ascii="Arial"/>
          <w:color w:val="77328A"/>
          <w:spacing w:val="-18"/>
          <w:w w:val="115"/>
          <w:sz w:val="24"/>
        </w:rPr>
        <w:t> </w:t>
      </w:r>
      <w:r>
        <w:rPr>
          <w:rFonts w:ascii="Arial"/>
          <w:color w:val="77328A"/>
          <w:w w:val="115"/>
          <w:sz w:val="24"/>
        </w:rPr>
        <w:t>withdrawal </w:t>
      </w:r>
      <w:r>
        <w:rPr>
          <w:rFonts w:ascii="Arial"/>
          <w:color w:val="77328A"/>
          <w:spacing w:val="-2"/>
          <w:w w:val="115"/>
          <w:sz w:val="24"/>
        </w:rPr>
        <w:t>agreement,</w:t>
      </w:r>
    </w:p>
    <w:p>
      <w:pPr>
        <w:pStyle w:val="BodyText"/>
        <w:spacing w:line="268" w:lineRule="auto" w:before="72"/>
        <w:ind w:left="680" w:right="443"/>
      </w:pPr>
      <w:r>
        <w:rPr/>
        <w:br w:type="column"/>
      </w:r>
      <w:r>
        <w:rPr>
          <w:color w:val="77328A"/>
          <w:w w:val="110"/>
        </w:rPr>
        <w:t>as in accordance with the withdrawal agreement are without further enactment to </w:t>
      </w:r>
      <w:r>
        <w:rPr>
          <w:color w:val="77328A"/>
          <w:w w:val="110"/>
        </w:rPr>
        <w:t>be given legal effect or used in the United Kingdom.</w:t>
      </w:r>
    </w:p>
    <w:p>
      <w:pPr>
        <w:pStyle w:val="BodyText"/>
        <w:spacing w:before="5"/>
        <w:ind w:left="0"/>
      </w:pPr>
    </w:p>
    <w:p>
      <w:pPr>
        <w:pStyle w:val="ListParagraph"/>
        <w:numPr>
          <w:ilvl w:val="2"/>
          <w:numId w:val="9"/>
        </w:numPr>
        <w:tabs>
          <w:tab w:pos="1247" w:val="left" w:leader="none"/>
        </w:tabs>
        <w:spacing w:line="310" w:lineRule="exact" w:before="0" w:after="0"/>
        <w:ind w:left="1247" w:right="148" w:hanging="567"/>
        <w:jc w:val="left"/>
        <w:rPr>
          <w:color w:val="77328A"/>
          <w:sz w:val="24"/>
        </w:rPr>
      </w:pPr>
      <w:r>
        <w:rPr>
          <w:color w:val="77328A"/>
          <w:sz w:val="24"/>
        </w:rPr>
        <w:t>The</w:t>
      </w:r>
      <w:r>
        <w:rPr>
          <w:color w:val="77328A"/>
          <w:spacing w:val="-19"/>
          <w:sz w:val="24"/>
        </w:rPr>
        <w:t> </w:t>
      </w:r>
      <w:r>
        <w:rPr>
          <w:color w:val="77328A"/>
          <w:sz w:val="24"/>
        </w:rPr>
        <w:t>rights,</w:t>
      </w:r>
      <w:r>
        <w:rPr>
          <w:color w:val="77328A"/>
          <w:spacing w:val="-19"/>
          <w:sz w:val="24"/>
        </w:rPr>
        <w:t> </w:t>
      </w:r>
      <w:r>
        <w:rPr>
          <w:color w:val="77328A"/>
          <w:sz w:val="24"/>
        </w:rPr>
        <w:t>powers,</w:t>
      </w:r>
      <w:r>
        <w:rPr>
          <w:color w:val="77328A"/>
          <w:spacing w:val="-19"/>
          <w:sz w:val="24"/>
        </w:rPr>
        <w:t> </w:t>
      </w:r>
      <w:r>
        <w:rPr>
          <w:color w:val="77328A"/>
          <w:sz w:val="24"/>
        </w:rPr>
        <w:t>liabilities, </w:t>
      </w:r>
      <w:r>
        <w:rPr>
          <w:rFonts w:ascii="Arial" w:hAnsi="Arial"/>
          <w:color w:val="77328A"/>
          <w:w w:val="105"/>
          <w:sz w:val="24"/>
        </w:rPr>
        <w:t>obligations, restrictions, remedies and procedures </w:t>
      </w:r>
      <w:r>
        <w:rPr>
          <w:color w:val="77328A"/>
          <w:w w:val="105"/>
          <w:sz w:val="24"/>
        </w:rPr>
        <w:t>concerned are to be—</w:t>
      </w:r>
    </w:p>
    <w:p>
      <w:pPr>
        <w:pStyle w:val="ListParagraph"/>
        <w:numPr>
          <w:ilvl w:val="3"/>
          <w:numId w:val="9"/>
        </w:numPr>
        <w:tabs>
          <w:tab w:pos="1247" w:val="left" w:leader="none"/>
        </w:tabs>
        <w:spacing w:line="268" w:lineRule="auto" w:before="23" w:after="0"/>
        <w:ind w:left="1247" w:right="345" w:hanging="567"/>
        <w:jc w:val="left"/>
        <w:rPr>
          <w:rFonts w:ascii="Arial"/>
          <w:sz w:val="24"/>
        </w:rPr>
      </w:pPr>
      <w:r>
        <w:rPr>
          <w:rFonts w:ascii="Arial"/>
          <w:color w:val="77328A"/>
          <w:w w:val="110"/>
          <w:sz w:val="24"/>
        </w:rPr>
        <w:t>recognised</w:t>
      </w:r>
      <w:r>
        <w:rPr>
          <w:rFonts w:ascii="Arial"/>
          <w:color w:val="77328A"/>
          <w:spacing w:val="-3"/>
          <w:w w:val="110"/>
          <w:sz w:val="24"/>
        </w:rPr>
        <w:t> </w:t>
      </w:r>
      <w:r>
        <w:rPr>
          <w:rFonts w:ascii="Arial"/>
          <w:color w:val="77328A"/>
          <w:w w:val="110"/>
          <w:sz w:val="24"/>
        </w:rPr>
        <w:t>and</w:t>
      </w:r>
      <w:r>
        <w:rPr>
          <w:rFonts w:ascii="Arial"/>
          <w:color w:val="77328A"/>
          <w:spacing w:val="-3"/>
          <w:w w:val="110"/>
          <w:sz w:val="24"/>
        </w:rPr>
        <w:t> </w:t>
      </w:r>
      <w:r>
        <w:rPr>
          <w:rFonts w:ascii="Arial"/>
          <w:color w:val="77328A"/>
          <w:w w:val="110"/>
          <w:sz w:val="24"/>
        </w:rPr>
        <w:t>available</w:t>
      </w:r>
      <w:r>
        <w:rPr>
          <w:rFonts w:ascii="Arial"/>
          <w:color w:val="77328A"/>
          <w:spacing w:val="-3"/>
          <w:w w:val="110"/>
          <w:sz w:val="24"/>
        </w:rPr>
        <w:t> </w:t>
      </w:r>
      <w:r>
        <w:rPr>
          <w:rFonts w:ascii="Arial"/>
          <w:color w:val="77328A"/>
          <w:w w:val="110"/>
          <w:sz w:val="24"/>
        </w:rPr>
        <w:t>in domestic law, and</w:t>
      </w:r>
    </w:p>
    <w:p>
      <w:pPr>
        <w:pStyle w:val="ListParagraph"/>
        <w:numPr>
          <w:ilvl w:val="3"/>
          <w:numId w:val="9"/>
        </w:numPr>
        <w:tabs>
          <w:tab w:pos="1247" w:val="left" w:leader="none"/>
        </w:tabs>
        <w:spacing w:line="268" w:lineRule="auto" w:before="2" w:after="0"/>
        <w:ind w:left="1247" w:right="947" w:hanging="567"/>
        <w:jc w:val="left"/>
        <w:rPr>
          <w:rFonts w:ascii="Arial"/>
          <w:sz w:val="24"/>
        </w:rPr>
      </w:pPr>
      <w:r>
        <w:rPr>
          <w:rFonts w:ascii="Arial"/>
          <w:color w:val="77328A"/>
          <w:spacing w:val="-4"/>
          <w:w w:val="115"/>
          <w:sz w:val="24"/>
        </w:rPr>
        <w:t>enforced,</w:t>
      </w:r>
      <w:r>
        <w:rPr>
          <w:rFonts w:ascii="Arial"/>
          <w:color w:val="77328A"/>
          <w:spacing w:val="-16"/>
          <w:w w:val="115"/>
          <w:sz w:val="24"/>
        </w:rPr>
        <w:t> </w:t>
      </w:r>
      <w:r>
        <w:rPr>
          <w:rFonts w:ascii="Arial"/>
          <w:color w:val="77328A"/>
          <w:spacing w:val="-4"/>
          <w:w w:val="115"/>
          <w:sz w:val="24"/>
        </w:rPr>
        <w:t>allowed</w:t>
      </w:r>
      <w:r>
        <w:rPr>
          <w:rFonts w:ascii="Arial"/>
          <w:color w:val="77328A"/>
          <w:spacing w:val="-15"/>
          <w:w w:val="115"/>
          <w:sz w:val="24"/>
        </w:rPr>
        <w:t> </w:t>
      </w:r>
      <w:r>
        <w:rPr>
          <w:rFonts w:ascii="Arial"/>
          <w:color w:val="77328A"/>
          <w:spacing w:val="-4"/>
          <w:w w:val="115"/>
          <w:sz w:val="24"/>
        </w:rPr>
        <w:t>and </w:t>
      </w:r>
      <w:r>
        <w:rPr>
          <w:rFonts w:ascii="Arial"/>
          <w:color w:val="77328A"/>
          <w:w w:val="115"/>
          <w:sz w:val="24"/>
        </w:rPr>
        <w:t>followed accordingly.</w:t>
      </w:r>
    </w:p>
    <w:p>
      <w:pPr>
        <w:pStyle w:val="BodyText"/>
        <w:spacing w:before="11"/>
        <w:ind w:left="0"/>
      </w:pPr>
    </w:p>
    <w:p>
      <w:pPr>
        <w:pStyle w:val="Heading5"/>
        <w:numPr>
          <w:ilvl w:val="2"/>
          <w:numId w:val="9"/>
        </w:numPr>
        <w:tabs>
          <w:tab w:pos="1247" w:val="left" w:leader="none"/>
        </w:tabs>
        <w:spacing w:line="268" w:lineRule="auto" w:before="0" w:after="0"/>
        <w:ind w:left="1247" w:right="513" w:hanging="567"/>
        <w:jc w:val="left"/>
        <w:rPr>
          <w:rFonts w:ascii="Tahoma"/>
          <w:i w:val="0"/>
          <w:color w:val="77328A"/>
        </w:rPr>
      </w:pPr>
      <w:r>
        <w:rPr>
          <w:i/>
          <w:color w:val="77328A"/>
          <w:w w:val="105"/>
        </w:rPr>
        <w:t>Every enactment</w:t>
      </w:r>
      <w:r>
        <w:rPr>
          <w:color w:val="77328A"/>
          <w:w w:val="105"/>
        </w:rPr>
        <w:t> (including an enactment contained in this Act) is to be read and has </w:t>
      </w:r>
      <w:r>
        <w:rPr>
          <w:color w:val="77328A"/>
          <w:w w:val="105"/>
        </w:rPr>
        <w:t>effect</w:t>
      </w:r>
    </w:p>
    <w:p>
      <w:pPr>
        <w:spacing w:before="2"/>
        <w:ind w:left="1247" w:right="0" w:firstLine="0"/>
        <w:jc w:val="left"/>
        <w:rPr>
          <w:b/>
          <w:i/>
          <w:sz w:val="24"/>
        </w:rPr>
      </w:pPr>
      <w:r>
        <w:rPr>
          <w:b/>
          <w:i/>
          <w:color w:val="77328A"/>
          <w:w w:val="105"/>
          <w:sz w:val="24"/>
        </w:rPr>
        <w:t>subject</w:t>
      </w:r>
      <w:r>
        <w:rPr>
          <w:b/>
          <w:i/>
          <w:color w:val="77328A"/>
          <w:spacing w:val="-1"/>
          <w:w w:val="105"/>
          <w:sz w:val="24"/>
        </w:rPr>
        <w:t> </w:t>
      </w:r>
      <w:r>
        <w:rPr>
          <w:b/>
          <w:i/>
          <w:color w:val="77328A"/>
          <w:w w:val="105"/>
          <w:sz w:val="24"/>
        </w:rPr>
        <w:t>to</w:t>
      </w:r>
      <w:r>
        <w:rPr>
          <w:b/>
          <w:i/>
          <w:color w:val="77328A"/>
          <w:spacing w:val="-1"/>
          <w:w w:val="105"/>
          <w:sz w:val="24"/>
        </w:rPr>
        <w:t> </w:t>
      </w:r>
      <w:r>
        <w:rPr>
          <w:b/>
          <w:i/>
          <w:color w:val="77328A"/>
          <w:w w:val="105"/>
          <w:sz w:val="24"/>
        </w:rPr>
        <w:t>subsection</w:t>
      </w:r>
      <w:r>
        <w:rPr>
          <w:b/>
          <w:i/>
          <w:color w:val="77328A"/>
          <w:spacing w:val="-1"/>
          <w:w w:val="105"/>
          <w:sz w:val="24"/>
        </w:rPr>
        <w:t> </w:t>
      </w:r>
      <w:r>
        <w:rPr>
          <w:b/>
          <w:i/>
          <w:color w:val="77328A"/>
          <w:spacing w:val="-2"/>
          <w:w w:val="105"/>
          <w:sz w:val="24"/>
        </w:rPr>
        <w:t>(2).</w:t>
      </w:r>
      <w:r>
        <w:rPr>
          <w:b/>
          <w:i/>
          <w:color w:val="77328A"/>
          <w:spacing w:val="-2"/>
          <w:w w:val="105"/>
          <w:sz w:val="24"/>
          <w:vertAlign w:val="superscript"/>
        </w:rPr>
        <w:t>135</w:t>
      </w:r>
    </w:p>
    <w:p>
      <w:pPr>
        <w:pStyle w:val="BodyText"/>
        <w:spacing w:before="62"/>
        <w:ind w:left="0"/>
        <w:rPr>
          <w:b/>
          <w:i/>
        </w:rPr>
      </w:pPr>
    </w:p>
    <w:p>
      <w:pPr>
        <w:pStyle w:val="BodyText"/>
        <w:spacing w:line="201" w:lineRule="auto"/>
        <w:ind w:right="510"/>
        <w:rPr>
          <w:rFonts w:ascii="Lucida Sans Unicode"/>
        </w:rPr>
      </w:pPr>
      <w:r>
        <w:rPr>
          <w:rFonts w:ascii="Lucida Sans Unicode"/>
        </w:rPr>
        <w:t>Section 7A (3) strongly suggests that</w:t>
      </w:r>
      <w:r>
        <w:rPr>
          <w:rFonts w:ascii="Lucida Sans Unicode"/>
          <w:spacing w:val="11"/>
        </w:rPr>
        <w:t> </w:t>
      </w:r>
      <w:r>
        <w:rPr>
          <w:rFonts w:ascii="Lucida Sans Unicode"/>
        </w:rPr>
        <w:t>section</w:t>
      </w:r>
      <w:r>
        <w:rPr>
          <w:rFonts w:ascii="Lucida Sans Unicode"/>
          <w:spacing w:val="12"/>
        </w:rPr>
        <w:t> </w:t>
      </w:r>
      <w:r>
        <w:rPr>
          <w:rFonts w:ascii="Lucida Sans Unicode"/>
        </w:rPr>
        <w:t>5</w:t>
      </w:r>
      <w:r>
        <w:rPr>
          <w:rFonts w:ascii="Lucida Sans Unicode"/>
          <w:spacing w:val="12"/>
        </w:rPr>
        <w:t> </w:t>
      </w:r>
      <w:r>
        <w:rPr>
          <w:rFonts w:ascii="Lucida Sans Unicode"/>
        </w:rPr>
        <w:t>(4)</w:t>
      </w:r>
      <w:r>
        <w:rPr>
          <w:rFonts w:ascii="Lucida Sans Unicode"/>
          <w:spacing w:val="12"/>
        </w:rPr>
        <w:t> </w:t>
      </w:r>
      <w:r>
        <w:rPr>
          <w:rFonts w:ascii="Lucida Sans Unicode"/>
        </w:rPr>
        <w:t>is</w:t>
      </w:r>
      <w:r>
        <w:rPr>
          <w:rFonts w:ascii="Lucida Sans Unicode"/>
          <w:spacing w:val="12"/>
        </w:rPr>
        <w:t> </w:t>
      </w:r>
      <w:r>
        <w:rPr>
          <w:rFonts w:ascii="Lucida Sans Unicode"/>
        </w:rPr>
        <w:t>subject</w:t>
      </w:r>
      <w:r>
        <w:rPr>
          <w:rFonts w:ascii="Lucida Sans Unicode"/>
          <w:spacing w:val="12"/>
        </w:rPr>
        <w:t> </w:t>
      </w:r>
      <w:r>
        <w:rPr>
          <w:rFonts w:ascii="Lucida Sans Unicode"/>
        </w:rPr>
        <w:t>to</w:t>
      </w:r>
      <w:r>
        <w:rPr>
          <w:rFonts w:ascii="Lucida Sans Unicode"/>
          <w:spacing w:val="12"/>
        </w:rPr>
        <w:t> </w:t>
      </w:r>
      <w:r>
        <w:rPr>
          <w:rFonts w:ascii="Lucida Sans Unicode"/>
          <w:spacing w:val="-4"/>
        </w:rPr>
        <w:t>s.7A</w:t>
      </w:r>
    </w:p>
    <w:p>
      <w:pPr>
        <w:pStyle w:val="BodyText"/>
        <w:spacing w:line="317" w:lineRule="exact"/>
        <w:rPr>
          <w:rFonts w:ascii="Lucida Sans Unicode"/>
        </w:rPr>
      </w:pPr>
      <w:r>
        <w:rPr>
          <w:rFonts w:ascii="Lucida Sans Unicode"/>
          <w:w w:val="105"/>
        </w:rPr>
        <w:t>(1)</w:t>
      </w:r>
      <w:r>
        <w:rPr>
          <w:rFonts w:ascii="Lucida Sans Unicode"/>
          <w:spacing w:val="-19"/>
          <w:w w:val="105"/>
        </w:rPr>
        <w:t> </w:t>
      </w:r>
      <w:r>
        <w:rPr>
          <w:rFonts w:ascii="Lucida Sans Unicode"/>
          <w:w w:val="105"/>
        </w:rPr>
        <w:t>and</w:t>
      </w:r>
      <w:r>
        <w:rPr>
          <w:rFonts w:ascii="Lucida Sans Unicode"/>
          <w:spacing w:val="-19"/>
          <w:w w:val="105"/>
        </w:rPr>
        <w:t> </w:t>
      </w:r>
      <w:r>
        <w:rPr>
          <w:rFonts w:ascii="Lucida Sans Unicode"/>
          <w:w w:val="105"/>
        </w:rPr>
        <w:t>(2),</w:t>
      </w:r>
      <w:r>
        <w:rPr>
          <w:rFonts w:ascii="Lucida Sans Unicode"/>
          <w:spacing w:val="-19"/>
          <w:w w:val="105"/>
        </w:rPr>
        <w:t> </w:t>
      </w:r>
      <w:r>
        <w:rPr>
          <w:rFonts w:ascii="Lucida Sans Unicode"/>
          <w:w w:val="105"/>
        </w:rPr>
        <w:t>so</w:t>
      </w:r>
      <w:r>
        <w:rPr>
          <w:rFonts w:ascii="Lucida Sans Unicode"/>
          <w:spacing w:val="-19"/>
          <w:w w:val="105"/>
        </w:rPr>
        <w:t> </w:t>
      </w:r>
      <w:r>
        <w:rPr>
          <w:rFonts w:ascii="Lucida Sans Unicode"/>
          <w:w w:val="105"/>
        </w:rPr>
        <w:t>that</w:t>
      </w:r>
      <w:r>
        <w:rPr>
          <w:rFonts w:ascii="Lucida Sans Unicode"/>
          <w:spacing w:val="-19"/>
          <w:w w:val="105"/>
        </w:rPr>
        <w:t> </w:t>
      </w:r>
      <w:r>
        <w:rPr>
          <w:rFonts w:ascii="Lucida Sans Unicode"/>
          <w:w w:val="105"/>
        </w:rPr>
        <w:t>the</w:t>
      </w:r>
      <w:r>
        <w:rPr>
          <w:rFonts w:ascii="Lucida Sans Unicode"/>
          <w:spacing w:val="-19"/>
          <w:w w:val="105"/>
        </w:rPr>
        <w:t> </w:t>
      </w:r>
      <w:r>
        <w:rPr>
          <w:rFonts w:ascii="Lucida Sans Unicode"/>
          <w:w w:val="105"/>
        </w:rPr>
        <w:t>Charter</w:t>
      </w:r>
      <w:r>
        <w:rPr>
          <w:rFonts w:ascii="Lucida Sans Unicode"/>
          <w:spacing w:val="-19"/>
          <w:w w:val="105"/>
        </w:rPr>
        <w:t> </w:t>
      </w:r>
      <w:r>
        <w:rPr>
          <w:rFonts w:ascii="Lucida Sans Unicode"/>
          <w:spacing w:val="-4"/>
          <w:w w:val="105"/>
        </w:rPr>
        <w:t>with</w:t>
      </w:r>
    </w:p>
    <w:p>
      <w:pPr>
        <w:pStyle w:val="BodyText"/>
        <w:spacing w:line="268" w:lineRule="auto"/>
        <w:ind w:right="468"/>
      </w:pPr>
      <w:r>
        <w:rPr>
          <w:w w:val="115"/>
        </w:rPr>
        <w:t>its associated remedies applies in Northern Ireland on the basis of</w:t>
      </w:r>
      <w:r>
        <w:rPr>
          <w:w w:val="115"/>
        </w:rPr>
        <w:t> the</w:t>
      </w:r>
      <w:r>
        <w:rPr>
          <w:spacing w:val="-20"/>
          <w:w w:val="115"/>
        </w:rPr>
        <w:t> </w:t>
      </w:r>
      <w:r>
        <w:rPr>
          <w:w w:val="115"/>
        </w:rPr>
        <w:t>WA</w:t>
      </w:r>
      <w:r>
        <w:rPr>
          <w:spacing w:val="-19"/>
          <w:w w:val="115"/>
        </w:rPr>
        <w:t> </w:t>
      </w:r>
      <w:r>
        <w:rPr>
          <w:w w:val="115"/>
        </w:rPr>
        <w:t>notwithstanding</w:t>
      </w:r>
      <w:r>
        <w:rPr>
          <w:spacing w:val="-19"/>
          <w:w w:val="115"/>
        </w:rPr>
        <w:t> </w:t>
      </w:r>
      <w:r>
        <w:rPr>
          <w:w w:val="115"/>
        </w:rPr>
        <w:t>its</w:t>
      </w:r>
      <w:r>
        <w:rPr>
          <w:spacing w:val="-19"/>
          <w:w w:val="115"/>
        </w:rPr>
        <w:t> </w:t>
      </w:r>
      <w:r>
        <w:rPr>
          <w:w w:val="115"/>
        </w:rPr>
        <w:t>express</w:t>
      </w:r>
    </w:p>
    <w:p>
      <w:pPr>
        <w:pStyle w:val="BodyText"/>
        <w:spacing w:line="268" w:lineRule="auto"/>
      </w:pPr>
      <w:r>
        <w:rPr>
          <w:spacing w:val="-2"/>
          <w:w w:val="115"/>
        </w:rPr>
        <w:t>removal</w:t>
      </w:r>
      <w:r>
        <w:rPr>
          <w:spacing w:val="-18"/>
          <w:w w:val="115"/>
        </w:rPr>
        <w:t> </w:t>
      </w:r>
      <w:r>
        <w:rPr>
          <w:spacing w:val="-2"/>
          <w:w w:val="115"/>
        </w:rPr>
        <w:t>from</w:t>
      </w:r>
      <w:r>
        <w:rPr>
          <w:spacing w:val="-17"/>
          <w:w w:val="115"/>
        </w:rPr>
        <w:t> </w:t>
      </w:r>
      <w:r>
        <w:rPr>
          <w:spacing w:val="-2"/>
          <w:w w:val="115"/>
        </w:rPr>
        <w:t>the</w:t>
      </w:r>
      <w:r>
        <w:rPr>
          <w:spacing w:val="-17"/>
          <w:w w:val="115"/>
        </w:rPr>
        <w:t> </w:t>
      </w:r>
      <w:r>
        <w:rPr>
          <w:spacing w:val="-2"/>
          <w:w w:val="115"/>
        </w:rPr>
        <w:t>remainder</w:t>
      </w:r>
      <w:r>
        <w:rPr>
          <w:spacing w:val="-17"/>
          <w:w w:val="115"/>
        </w:rPr>
        <w:t> </w:t>
      </w:r>
      <w:r>
        <w:rPr>
          <w:spacing w:val="-2"/>
          <w:w w:val="115"/>
        </w:rPr>
        <w:t>of</w:t>
      </w:r>
      <w:r>
        <w:rPr>
          <w:spacing w:val="-17"/>
          <w:w w:val="115"/>
        </w:rPr>
        <w:t> </w:t>
      </w:r>
      <w:r>
        <w:rPr>
          <w:spacing w:val="-2"/>
          <w:w w:val="115"/>
        </w:rPr>
        <w:t>UK</w:t>
      </w:r>
      <w:r>
        <w:rPr>
          <w:spacing w:val="-18"/>
          <w:w w:val="115"/>
        </w:rPr>
        <w:t> </w:t>
      </w:r>
      <w:r>
        <w:rPr>
          <w:spacing w:val="-2"/>
          <w:w w:val="115"/>
        </w:rPr>
        <w:t>law. </w:t>
      </w:r>
      <w:r>
        <w:rPr>
          <w:w w:val="115"/>
        </w:rPr>
        <w:t>Moreover,</w:t>
      </w:r>
      <w:r>
        <w:rPr>
          <w:spacing w:val="-17"/>
          <w:w w:val="115"/>
        </w:rPr>
        <w:t> </w:t>
      </w:r>
      <w:r>
        <w:rPr>
          <w:w w:val="115"/>
        </w:rPr>
        <w:t>it</w:t>
      </w:r>
      <w:r>
        <w:rPr>
          <w:spacing w:val="-17"/>
          <w:w w:val="115"/>
        </w:rPr>
        <w:t> </w:t>
      </w:r>
      <w:r>
        <w:rPr>
          <w:w w:val="115"/>
        </w:rPr>
        <w:t>is</w:t>
      </w:r>
      <w:r>
        <w:rPr>
          <w:spacing w:val="-17"/>
          <w:w w:val="115"/>
        </w:rPr>
        <w:t> </w:t>
      </w:r>
      <w:r>
        <w:rPr>
          <w:w w:val="115"/>
        </w:rPr>
        <w:t>important</w:t>
      </w:r>
      <w:r>
        <w:rPr>
          <w:spacing w:val="-17"/>
          <w:w w:val="115"/>
        </w:rPr>
        <w:t> </w:t>
      </w:r>
      <w:r>
        <w:rPr>
          <w:w w:val="115"/>
        </w:rPr>
        <w:t>to</w:t>
      </w:r>
      <w:r>
        <w:rPr>
          <w:spacing w:val="-17"/>
          <w:w w:val="115"/>
        </w:rPr>
        <w:t> </w:t>
      </w:r>
      <w:r>
        <w:rPr>
          <w:w w:val="115"/>
        </w:rPr>
        <w:t>appreciate section 5(7) in this context, which subjects the remainder of section 5</w:t>
      </w:r>
    </w:p>
    <w:p>
      <w:pPr>
        <w:pStyle w:val="BodyText"/>
        <w:spacing w:line="201" w:lineRule="auto"/>
        <w:rPr>
          <w:rFonts w:ascii="Lucida Sans Unicode" w:hAnsi="Lucida Sans Unicode"/>
        </w:rPr>
      </w:pPr>
      <w:r>
        <w:rPr>
          <w:rFonts w:ascii="Lucida Sans Unicode" w:hAnsi="Lucida Sans Unicode"/>
          <w:w w:val="105"/>
        </w:rPr>
        <w:t>(including section 5(4)) to ‘relevant </w:t>
      </w:r>
      <w:r>
        <w:rPr>
          <w:rFonts w:ascii="Lucida Sans Unicode" w:hAnsi="Lucida Sans Unicode"/>
        </w:rPr>
        <w:t>separation agreement law’, defined </w:t>
      </w:r>
      <w:r>
        <w:rPr>
          <w:rFonts w:ascii="Lucida Sans Unicode" w:hAnsi="Lucida Sans Unicode"/>
        </w:rPr>
        <w:t>at </w:t>
      </w:r>
      <w:r>
        <w:rPr>
          <w:w w:val="105"/>
        </w:rPr>
        <w:t>section 7C to </w:t>
      </w:r>
      <w:r>
        <w:rPr>
          <w:rFonts w:ascii="Verdana" w:hAnsi="Verdana"/>
          <w:i/>
          <w:w w:val="105"/>
        </w:rPr>
        <w:t>include </w:t>
      </w:r>
      <w:r>
        <w:rPr>
          <w:w w:val="105"/>
        </w:rPr>
        <w:t>section 7A.</w:t>
      </w:r>
      <w:r>
        <w:rPr>
          <w:rFonts w:ascii="Lucida Sans Unicode" w:hAnsi="Lucida Sans Unicode"/>
          <w:w w:val="105"/>
          <w:vertAlign w:val="superscript"/>
        </w:rPr>
        <w:t>136</w:t>
      </w:r>
    </w:p>
    <w:p>
      <w:pPr>
        <w:pStyle w:val="BodyText"/>
        <w:spacing w:line="310" w:lineRule="exact" w:before="274"/>
        <w:ind w:right="266"/>
      </w:pPr>
      <w:r>
        <w:rPr>
          <w:rFonts w:ascii="Lucida Sans Unicode" w:hAnsi="Lucida Sans Unicode"/>
        </w:rPr>
        <w:t>Section 7A mandates that the </w:t>
      </w:r>
      <w:r>
        <w:rPr>
          <w:rFonts w:ascii="Lucida Sans Unicode" w:hAnsi="Lucida Sans Unicode"/>
        </w:rPr>
        <w:t>‘rights, </w:t>
      </w:r>
      <w:r>
        <w:rPr>
          <w:w w:val="110"/>
        </w:rPr>
        <w:t>powers, liabilities, obligations and restrictions’ which are created, or which arise ‘from time to time’ under the Withdrawal Agreement, be</w:t>
      </w:r>
    </w:p>
    <w:p>
      <w:pPr>
        <w:pStyle w:val="BodyText"/>
        <w:spacing w:line="237" w:lineRule="auto" w:before="25"/>
        <w:ind w:right="538"/>
        <w:rPr>
          <w:rFonts w:ascii="Lucida Sans Unicode" w:hAnsi="Lucida Sans Unicode"/>
        </w:rPr>
      </w:pPr>
      <w:r>
        <w:rPr>
          <w:w w:val="115"/>
        </w:rPr>
        <w:t>given</w:t>
      </w:r>
      <w:r>
        <w:rPr>
          <w:spacing w:val="-13"/>
          <w:w w:val="115"/>
        </w:rPr>
        <w:t> </w:t>
      </w:r>
      <w:r>
        <w:rPr>
          <w:w w:val="115"/>
        </w:rPr>
        <w:t>legal</w:t>
      </w:r>
      <w:r>
        <w:rPr>
          <w:spacing w:val="-13"/>
          <w:w w:val="115"/>
        </w:rPr>
        <w:t> </w:t>
      </w:r>
      <w:r>
        <w:rPr>
          <w:w w:val="115"/>
        </w:rPr>
        <w:t>effect</w:t>
      </w:r>
      <w:r>
        <w:rPr>
          <w:spacing w:val="-13"/>
          <w:w w:val="115"/>
        </w:rPr>
        <w:t> </w:t>
      </w:r>
      <w:r>
        <w:rPr>
          <w:w w:val="115"/>
        </w:rPr>
        <w:t>within</w:t>
      </w:r>
      <w:r>
        <w:rPr>
          <w:spacing w:val="-13"/>
          <w:w w:val="115"/>
        </w:rPr>
        <w:t> </w:t>
      </w:r>
      <w:r>
        <w:rPr>
          <w:w w:val="115"/>
        </w:rPr>
        <w:t>domestic law</w:t>
      </w:r>
      <w:r>
        <w:rPr>
          <w:spacing w:val="6"/>
          <w:w w:val="115"/>
        </w:rPr>
        <w:t> </w:t>
      </w:r>
      <w:r>
        <w:rPr>
          <w:w w:val="115"/>
        </w:rPr>
        <w:t>‘without</w:t>
      </w:r>
      <w:r>
        <w:rPr>
          <w:spacing w:val="7"/>
          <w:w w:val="115"/>
        </w:rPr>
        <w:t> </w:t>
      </w:r>
      <w:r>
        <w:rPr>
          <w:w w:val="115"/>
        </w:rPr>
        <w:t>further</w:t>
      </w:r>
      <w:r>
        <w:rPr>
          <w:spacing w:val="7"/>
          <w:w w:val="115"/>
        </w:rPr>
        <w:t> </w:t>
      </w:r>
      <w:r>
        <w:rPr>
          <w:spacing w:val="-2"/>
          <w:w w:val="105"/>
        </w:rPr>
        <w:t>enactment’.</w:t>
      </w:r>
      <w:r>
        <w:rPr>
          <w:rFonts w:ascii="Lucida Sans Unicode" w:hAnsi="Lucida Sans Unicode"/>
          <w:spacing w:val="-2"/>
          <w:w w:val="105"/>
          <w:vertAlign w:val="superscript"/>
        </w:rPr>
        <w:t>137</w:t>
      </w:r>
    </w:p>
    <w:p>
      <w:pPr>
        <w:spacing w:after="0" w:line="237" w:lineRule="auto"/>
        <w:rPr>
          <w:rFonts w:ascii="Lucida Sans Unicode" w:hAnsi="Lucida Sans Unicode"/>
        </w:rPr>
        <w:sectPr>
          <w:type w:val="continuous"/>
          <w:pgSz w:w="11910" w:h="16840"/>
          <w:pgMar w:header="568" w:footer="580" w:top="0" w:bottom="280" w:left="1020" w:right="1020"/>
          <w:cols w:num="2" w:equalWidth="0">
            <w:col w:w="4653" w:space="392"/>
            <w:col w:w="4825"/>
          </w:cols>
        </w:sectPr>
      </w:pPr>
    </w:p>
    <w:p>
      <w:pPr>
        <w:pStyle w:val="BodyText"/>
        <w:spacing w:before="11"/>
        <w:ind w:left="0"/>
        <w:rPr>
          <w:rFonts w:ascii="Lucida Sans Unicode"/>
          <w:sz w:val="12"/>
        </w:rPr>
      </w:pPr>
    </w:p>
    <w:p>
      <w:pPr>
        <w:pStyle w:val="BodyText"/>
        <w:spacing w:line="20" w:lineRule="exact"/>
        <w:rPr>
          <w:rFonts w:ascii="Lucida Sans Unicode"/>
          <w:sz w:val="2"/>
        </w:rPr>
      </w:pPr>
      <w:r>
        <w:rPr>
          <w:rFonts w:ascii="Lucida Sans Unicode"/>
          <w:sz w:val="2"/>
        </w:rPr>
        <mc:AlternateContent>
          <mc:Choice Requires="wps">
            <w:drawing>
              <wp:inline distT="0" distB="0" distL="0" distR="0">
                <wp:extent cx="6120130" cy="6350"/>
                <wp:effectExtent l="9525" t="0" r="0" b="3175"/>
                <wp:docPr id="111" name="Group 111"/>
                <wp:cNvGraphicFramePr>
                  <a:graphicFrameLocks/>
                </wp:cNvGraphicFramePr>
                <a:graphic>
                  <a:graphicData uri="http://schemas.microsoft.com/office/word/2010/wordprocessingGroup">
                    <wpg:wgp>
                      <wpg:cNvPr id="111" name="Group 111"/>
                      <wpg:cNvGrpSpPr/>
                      <wpg:grpSpPr>
                        <a:xfrm>
                          <a:off x="0" y="0"/>
                          <a:ext cx="6120130" cy="6350"/>
                          <a:chExt cx="6120130" cy="6350"/>
                        </a:xfrm>
                      </wpg:grpSpPr>
                      <wps:wsp>
                        <wps:cNvPr id="112" name="Graphic 112"/>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74" coordorigin="0,0" coordsize="9638,10">
                <v:line style="position:absolute" from="0,5" to="9638,5" stroked="true" strokeweight=".5pt" strokecolor="#77328a">
                  <v:stroke dashstyle="solid"/>
                </v:line>
              </v:group>
            </w:pict>
          </mc:Fallback>
        </mc:AlternateContent>
      </w:r>
      <w:r>
        <w:rPr>
          <w:rFonts w:ascii="Lucida Sans Unicode"/>
          <w:sz w:val="2"/>
        </w:rPr>
      </w:r>
    </w:p>
    <w:p>
      <w:pPr>
        <w:pStyle w:val="ListParagraph"/>
        <w:numPr>
          <w:ilvl w:val="0"/>
          <w:numId w:val="6"/>
        </w:numPr>
        <w:tabs>
          <w:tab w:pos="566" w:val="left" w:leader="none"/>
        </w:tabs>
        <w:spacing w:line="223" w:lineRule="exact" w:before="61" w:after="0"/>
        <w:ind w:left="566" w:right="0" w:hanging="453"/>
        <w:jc w:val="left"/>
        <w:rPr>
          <w:sz w:val="16"/>
        </w:rPr>
      </w:pPr>
      <w:r>
        <w:rPr>
          <w:w w:val="105"/>
          <w:sz w:val="16"/>
        </w:rPr>
        <w:t>Windsor</w:t>
      </w:r>
      <w:r>
        <w:rPr>
          <w:spacing w:val="-12"/>
          <w:w w:val="105"/>
          <w:sz w:val="16"/>
        </w:rPr>
        <w:t> </w:t>
      </w:r>
      <w:r>
        <w:rPr>
          <w:w w:val="105"/>
          <w:sz w:val="16"/>
        </w:rPr>
        <w:t>Framework,</w:t>
      </w:r>
      <w:r>
        <w:rPr>
          <w:spacing w:val="-11"/>
          <w:w w:val="105"/>
          <w:sz w:val="16"/>
        </w:rPr>
        <w:t> </w:t>
      </w:r>
      <w:r>
        <w:rPr>
          <w:w w:val="105"/>
          <w:sz w:val="16"/>
        </w:rPr>
        <w:t>Art</w:t>
      </w:r>
      <w:r>
        <w:rPr>
          <w:spacing w:val="-11"/>
          <w:w w:val="105"/>
          <w:sz w:val="16"/>
        </w:rPr>
        <w:t> </w:t>
      </w:r>
      <w:r>
        <w:rPr>
          <w:spacing w:val="-2"/>
          <w:w w:val="105"/>
          <w:sz w:val="16"/>
        </w:rPr>
        <w:t>12(4).</w:t>
      </w:r>
    </w:p>
    <w:p>
      <w:pPr>
        <w:pStyle w:val="ListParagraph"/>
        <w:numPr>
          <w:ilvl w:val="0"/>
          <w:numId w:val="6"/>
        </w:numPr>
        <w:tabs>
          <w:tab w:pos="567" w:val="left" w:leader="none"/>
        </w:tabs>
        <w:spacing w:line="200" w:lineRule="exact" w:before="0" w:after="0"/>
        <w:ind w:left="567" w:right="0" w:hanging="454"/>
        <w:jc w:val="left"/>
        <w:rPr>
          <w:sz w:val="16"/>
        </w:rPr>
      </w:pPr>
      <w:r>
        <w:rPr>
          <w:rFonts w:ascii="Arial"/>
          <w:spacing w:val="2"/>
          <w:sz w:val="16"/>
        </w:rPr>
        <w:t>Emphasis</w:t>
      </w:r>
      <w:r>
        <w:rPr>
          <w:rFonts w:ascii="Arial"/>
          <w:spacing w:val="36"/>
          <w:sz w:val="16"/>
        </w:rPr>
        <w:t> </w:t>
      </w:r>
      <w:r>
        <w:rPr>
          <w:rFonts w:ascii="Arial"/>
          <w:spacing w:val="-2"/>
          <w:sz w:val="16"/>
        </w:rPr>
        <w:t>added.</w:t>
      </w:r>
    </w:p>
    <w:p>
      <w:pPr>
        <w:pStyle w:val="ListParagraph"/>
        <w:numPr>
          <w:ilvl w:val="0"/>
          <w:numId w:val="6"/>
        </w:numPr>
        <w:tabs>
          <w:tab w:pos="566" w:val="left" w:leader="none"/>
        </w:tabs>
        <w:spacing w:line="200" w:lineRule="exact" w:before="0" w:after="0"/>
        <w:ind w:left="566" w:right="0" w:hanging="453"/>
        <w:jc w:val="left"/>
        <w:rPr>
          <w:sz w:val="16"/>
        </w:rPr>
      </w:pPr>
      <w:r>
        <w:rPr>
          <w:w w:val="110"/>
          <w:sz w:val="16"/>
        </w:rPr>
        <w:t>EUWA,</w:t>
      </w:r>
      <w:r>
        <w:rPr>
          <w:spacing w:val="-9"/>
          <w:w w:val="110"/>
          <w:sz w:val="16"/>
        </w:rPr>
        <w:t> </w:t>
      </w:r>
      <w:r>
        <w:rPr>
          <w:w w:val="110"/>
          <w:sz w:val="16"/>
        </w:rPr>
        <w:t>s</w:t>
      </w:r>
      <w:r>
        <w:rPr>
          <w:spacing w:val="-9"/>
          <w:w w:val="110"/>
          <w:sz w:val="16"/>
        </w:rPr>
        <w:t> </w:t>
      </w:r>
      <w:r>
        <w:rPr>
          <w:spacing w:val="-2"/>
          <w:w w:val="110"/>
          <w:sz w:val="16"/>
        </w:rPr>
        <w:t>7C(3)(a)(i).</w:t>
      </w:r>
    </w:p>
    <w:p>
      <w:pPr>
        <w:pStyle w:val="ListParagraph"/>
        <w:numPr>
          <w:ilvl w:val="0"/>
          <w:numId w:val="6"/>
        </w:numPr>
        <w:tabs>
          <w:tab w:pos="567" w:val="left" w:leader="none"/>
        </w:tabs>
        <w:spacing w:line="223" w:lineRule="exact" w:before="0" w:after="0"/>
        <w:ind w:left="567" w:right="0" w:hanging="454"/>
        <w:jc w:val="left"/>
        <w:rPr>
          <w:sz w:val="16"/>
        </w:rPr>
      </w:pPr>
      <w:r>
        <w:rPr>
          <w:rFonts w:ascii="Arial"/>
          <w:w w:val="105"/>
          <w:sz w:val="16"/>
        </w:rPr>
        <w:t>EUWA,</w:t>
      </w:r>
      <w:r>
        <w:rPr>
          <w:rFonts w:ascii="Arial"/>
          <w:spacing w:val="-1"/>
          <w:w w:val="105"/>
          <w:sz w:val="16"/>
        </w:rPr>
        <w:t> </w:t>
      </w:r>
      <w:r>
        <w:rPr>
          <w:rFonts w:ascii="Arial"/>
          <w:w w:val="105"/>
          <w:sz w:val="16"/>
        </w:rPr>
        <w:t>s </w:t>
      </w:r>
      <w:r>
        <w:rPr>
          <w:rFonts w:ascii="Arial"/>
          <w:spacing w:val="-2"/>
          <w:w w:val="105"/>
          <w:sz w:val="16"/>
        </w:rPr>
        <w:t>7A(1).</w:t>
      </w:r>
    </w:p>
    <w:p>
      <w:pPr>
        <w:spacing w:after="0" w:line="223" w:lineRule="exact"/>
        <w:jc w:val="left"/>
        <w:rPr>
          <w:sz w:val="16"/>
        </w:rPr>
        <w:sectPr>
          <w:type w:val="continuous"/>
          <w:pgSz w:w="11910" w:h="16840"/>
          <w:pgMar w:header="568" w:footer="580" w:top="0" w:bottom="280" w:left="1020" w:right="1020"/>
        </w:sectPr>
      </w:pPr>
    </w:p>
    <w:p>
      <w:pPr>
        <w:pStyle w:val="BodyText"/>
        <w:ind w:left="0"/>
        <w:rPr>
          <w:sz w:val="20"/>
        </w:rPr>
      </w:pPr>
    </w:p>
    <w:p>
      <w:pPr>
        <w:pStyle w:val="BodyText"/>
        <w:ind w:left="0"/>
        <w:rPr>
          <w:sz w:val="20"/>
        </w:rPr>
      </w:pPr>
    </w:p>
    <w:p>
      <w:pPr>
        <w:pStyle w:val="BodyText"/>
        <w:spacing w:before="48"/>
        <w:ind w:left="0"/>
        <w:rPr>
          <w:sz w:val="20"/>
        </w:rPr>
      </w:pPr>
    </w:p>
    <w:p>
      <w:pPr>
        <w:spacing w:after="0"/>
        <w:rPr>
          <w:sz w:val="20"/>
        </w:rPr>
        <w:sectPr>
          <w:pgSz w:w="11910" w:h="16840"/>
          <w:pgMar w:header="568" w:footer="580" w:top="840" w:bottom="780" w:left="1020" w:right="1020"/>
        </w:sectPr>
      </w:pPr>
    </w:p>
    <w:p>
      <w:pPr>
        <w:pStyle w:val="BodyText"/>
        <w:spacing w:line="326" w:lineRule="exact" w:before="36"/>
        <w:ind w:right="221"/>
      </w:pPr>
      <w:r>
        <w:rPr>
          <w:w w:val="110"/>
        </w:rPr>
        <w:t>It also subjects every enactment, including</w:t>
      </w:r>
      <w:r>
        <w:rPr>
          <w:spacing w:val="40"/>
          <w:w w:val="110"/>
        </w:rPr>
        <w:t> </w:t>
      </w:r>
      <w:r>
        <w:rPr>
          <w:w w:val="110"/>
        </w:rPr>
        <w:t>provisions</w:t>
      </w:r>
      <w:r>
        <w:rPr>
          <w:spacing w:val="40"/>
          <w:w w:val="110"/>
        </w:rPr>
        <w:t> </w:t>
      </w:r>
      <w:r>
        <w:rPr>
          <w:w w:val="110"/>
        </w:rPr>
        <w:t>within</w:t>
      </w:r>
      <w:r>
        <w:rPr>
          <w:spacing w:val="40"/>
          <w:w w:val="110"/>
        </w:rPr>
        <w:t> </w:t>
      </w:r>
      <w:r>
        <w:rPr>
          <w:w w:val="110"/>
        </w:rPr>
        <w:t>the</w:t>
      </w:r>
      <w:r>
        <w:rPr>
          <w:spacing w:val="40"/>
          <w:w w:val="110"/>
        </w:rPr>
        <w:t> </w:t>
      </w:r>
      <w:r>
        <w:rPr>
          <w:w w:val="110"/>
        </w:rPr>
        <w:t>EUWA itself, to the incorporated WA.</w:t>
      </w:r>
      <w:r>
        <w:rPr>
          <w:rFonts w:ascii="Lucida Sans Unicode"/>
          <w:w w:val="110"/>
          <w:vertAlign w:val="superscript"/>
        </w:rPr>
        <w:t>138</w:t>
      </w:r>
      <w:r>
        <w:rPr>
          <w:rFonts w:ascii="Lucida Sans Unicode"/>
          <w:w w:val="110"/>
          <w:vertAlign w:val="baseline"/>
        </w:rPr>
        <w:t> </w:t>
      </w:r>
      <w:r>
        <w:rPr>
          <w:w w:val="110"/>
          <w:vertAlign w:val="baseline"/>
        </w:rPr>
        <w:t>The immediate consequence of this is the same as under the now </w:t>
      </w:r>
      <w:r>
        <w:rPr>
          <w:rFonts w:ascii="Lucida Sans Unicode"/>
          <w:vertAlign w:val="baseline"/>
        </w:rPr>
        <w:t>repealed section 2(1) of the European Communities Act 1972: the entirety</w:t>
      </w:r>
      <w:r>
        <w:rPr>
          <w:rFonts w:ascii="Lucida Sans Unicode"/>
          <w:spacing w:val="80"/>
          <w:w w:val="110"/>
          <w:vertAlign w:val="baseline"/>
        </w:rPr>
        <w:t> </w:t>
      </w:r>
      <w:r>
        <w:rPr>
          <w:w w:val="110"/>
          <w:vertAlign w:val="baseline"/>
        </w:rPr>
        <w:t>of the WA, </w:t>
      </w:r>
      <w:r>
        <w:rPr>
          <w:rFonts w:ascii="Verdana"/>
          <w:i/>
          <w:w w:val="110"/>
          <w:vertAlign w:val="baseline"/>
        </w:rPr>
        <w:t>including </w:t>
      </w:r>
      <w:r>
        <w:rPr>
          <w:w w:val="110"/>
          <w:vertAlign w:val="baseline"/>
        </w:rPr>
        <w:t>the principles which inform its application and scope, as these principles develop</w:t>
      </w:r>
    </w:p>
    <w:p>
      <w:pPr>
        <w:pStyle w:val="BodyText"/>
        <w:spacing w:line="283" w:lineRule="auto" w:before="34"/>
        <w:ind w:right="157"/>
      </w:pPr>
      <w:r>
        <w:rPr>
          <w:w w:val="115"/>
        </w:rPr>
        <w:t>or are progressively interpreted, have automatic effect (via section 7A)</w:t>
      </w:r>
      <w:r>
        <w:rPr>
          <w:spacing w:val="-19"/>
          <w:w w:val="115"/>
        </w:rPr>
        <w:t> </w:t>
      </w:r>
      <w:r>
        <w:rPr>
          <w:w w:val="115"/>
        </w:rPr>
        <w:t>within</w:t>
      </w:r>
      <w:r>
        <w:rPr>
          <w:spacing w:val="-19"/>
          <w:w w:val="115"/>
        </w:rPr>
        <w:t> </w:t>
      </w:r>
      <w:r>
        <w:rPr>
          <w:w w:val="115"/>
        </w:rPr>
        <w:t>the</w:t>
      </w:r>
      <w:r>
        <w:rPr>
          <w:spacing w:val="-19"/>
          <w:w w:val="115"/>
        </w:rPr>
        <w:t> </w:t>
      </w:r>
      <w:r>
        <w:rPr>
          <w:w w:val="115"/>
        </w:rPr>
        <w:t>domestic</w:t>
      </w:r>
      <w:r>
        <w:rPr>
          <w:spacing w:val="-19"/>
          <w:w w:val="115"/>
        </w:rPr>
        <w:t> </w:t>
      </w:r>
      <w:r>
        <w:rPr>
          <w:w w:val="115"/>
        </w:rPr>
        <w:t>legal</w:t>
      </w:r>
      <w:r>
        <w:rPr>
          <w:spacing w:val="-19"/>
          <w:w w:val="115"/>
        </w:rPr>
        <w:t> </w:t>
      </w:r>
      <w:r>
        <w:rPr>
          <w:w w:val="115"/>
        </w:rPr>
        <w:t>sphere in the UK generally and Northern</w:t>
      </w:r>
    </w:p>
    <w:p>
      <w:pPr>
        <w:pStyle w:val="BodyText"/>
        <w:spacing w:line="211" w:lineRule="auto"/>
        <w:ind w:right="320"/>
        <w:rPr>
          <w:rFonts w:ascii="Lucida Sans Unicode"/>
        </w:rPr>
      </w:pPr>
      <w:r>
        <w:rPr>
          <w:rFonts w:ascii="Lucida Sans Unicode"/>
        </w:rPr>
        <w:t>Ireland specifically. Last but not least,</w:t>
      </w:r>
      <w:r>
        <w:rPr>
          <w:rFonts w:ascii="Lucida Sans Unicode"/>
          <w:spacing w:val="-9"/>
        </w:rPr>
        <w:t> </w:t>
      </w:r>
      <w:r>
        <w:rPr>
          <w:rFonts w:ascii="Lucida Sans Unicode"/>
        </w:rPr>
        <w:t>the</w:t>
      </w:r>
      <w:r>
        <w:rPr>
          <w:rFonts w:ascii="Lucida Sans Unicode"/>
          <w:spacing w:val="-9"/>
        </w:rPr>
        <w:t> </w:t>
      </w:r>
      <w:r>
        <w:rPr>
          <w:rFonts w:ascii="Lucida Sans Unicode"/>
        </w:rPr>
        <w:t>exceptions</w:t>
      </w:r>
      <w:r>
        <w:rPr>
          <w:rFonts w:ascii="Lucida Sans Unicode"/>
          <w:spacing w:val="-9"/>
        </w:rPr>
        <w:t> </w:t>
      </w:r>
      <w:r>
        <w:rPr>
          <w:rFonts w:ascii="Lucida Sans Unicode"/>
        </w:rPr>
        <w:t>in</w:t>
      </w:r>
      <w:r>
        <w:rPr>
          <w:rFonts w:ascii="Lucida Sans Unicode"/>
          <w:spacing w:val="-9"/>
        </w:rPr>
        <w:t> </w:t>
      </w:r>
      <w:r>
        <w:rPr>
          <w:rFonts w:ascii="Lucida Sans Unicode"/>
        </w:rPr>
        <w:t>Schedule</w:t>
      </w:r>
      <w:r>
        <w:rPr>
          <w:rFonts w:ascii="Lucida Sans Unicode"/>
          <w:spacing w:val="-9"/>
        </w:rPr>
        <w:t> </w:t>
      </w:r>
      <w:r>
        <w:rPr>
          <w:rFonts w:ascii="Lucida Sans Unicode"/>
          <w:w w:val="95"/>
        </w:rPr>
        <w:t>1</w:t>
      </w:r>
    </w:p>
    <w:p>
      <w:pPr>
        <w:pStyle w:val="BodyText"/>
        <w:spacing w:line="280" w:lineRule="auto" w:before="2"/>
        <w:ind w:right="157"/>
      </w:pPr>
      <w:r>
        <w:rPr>
          <w:w w:val="115"/>
        </w:rPr>
        <w:t>EUWA mentioned above are in turn subjected to a long list of overriding provisions in section 7C, which restores their applicability in the </w:t>
      </w:r>
      <w:r>
        <w:rPr>
          <w:spacing w:val="-2"/>
          <w:w w:val="115"/>
        </w:rPr>
        <w:t>application</w:t>
      </w:r>
      <w:r>
        <w:rPr>
          <w:spacing w:val="-14"/>
          <w:w w:val="115"/>
        </w:rPr>
        <w:t> </w:t>
      </w:r>
      <w:r>
        <w:rPr>
          <w:spacing w:val="-2"/>
          <w:w w:val="115"/>
        </w:rPr>
        <w:t>of</w:t>
      </w:r>
      <w:r>
        <w:rPr>
          <w:spacing w:val="-14"/>
          <w:w w:val="115"/>
        </w:rPr>
        <w:t> </w:t>
      </w:r>
      <w:r>
        <w:rPr>
          <w:spacing w:val="-2"/>
          <w:w w:val="115"/>
        </w:rPr>
        <w:t>‘separation</w:t>
      </w:r>
      <w:r>
        <w:rPr>
          <w:spacing w:val="-14"/>
          <w:w w:val="115"/>
        </w:rPr>
        <w:t> </w:t>
      </w:r>
      <w:r>
        <w:rPr>
          <w:spacing w:val="-2"/>
          <w:w w:val="115"/>
        </w:rPr>
        <w:t>agreement </w:t>
      </w:r>
      <w:r>
        <w:rPr/>
        <w:t>law’</w:t>
      </w:r>
      <w:r>
        <w:rPr>
          <w:spacing w:val="40"/>
        </w:rPr>
        <w:t> </w:t>
      </w:r>
      <w:r>
        <w:rPr/>
        <w:t>which</w:t>
      </w:r>
      <w:r>
        <w:rPr>
          <w:spacing w:val="40"/>
        </w:rPr>
        <w:t> </w:t>
      </w:r>
      <w:r>
        <w:rPr/>
        <w:t>includes,</w:t>
      </w:r>
      <w:r>
        <w:rPr>
          <w:spacing w:val="41"/>
        </w:rPr>
        <w:t> </w:t>
      </w:r>
      <w:r>
        <w:rPr>
          <w:rFonts w:ascii="Verdana" w:hAnsi="Verdana"/>
          <w:i/>
        </w:rPr>
        <w:t>inter</w:t>
      </w:r>
      <w:r>
        <w:rPr>
          <w:rFonts w:ascii="Verdana" w:hAnsi="Verdana"/>
          <w:i/>
          <w:spacing w:val="22"/>
        </w:rPr>
        <w:t> </w:t>
      </w:r>
      <w:r>
        <w:rPr>
          <w:rFonts w:ascii="Verdana" w:hAnsi="Verdana"/>
          <w:i/>
        </w:rPr>
        <w:t>alia</w:t>
      </w:r>
      <w:r>
        <w:rPr/>
        <w:t>,</w:t>
      </w:r>
      <w:r>
        <w:rPr>
          <w:spacing w:val="41"/>
        </w:rPr>
        <w:t> </w:t>
      </w:r>
      <w:r>
        <w:rPr>
          <w:spacing w:val="-2"/>
        </w:rPr>
        <w:t>Article</w:t>
      </w:r>
    </w:p>
    <w:p>
      <w:pPr>
        <w:pStyle w:val="BodyText"/>
        <w:spacing w:line="211" w:lineRule="auto"/>
        <w:ind w:right="39"/>
        <w:rPr>
          <w:rFonts w:ascii="Lucida Sans Unicode"/>
        </w:rPr>
      </w:pPr>
      <w:r>
        <w:rPr>
          <w:rFonts w:ascii="Lucida Sans Unicode"/>
          <w:w w:val="105"/>
        </w:rPr>
        <w:t>4</w:t>
      </w:r>
      <w:r>
        <w:rPr>
          <w:rFonts w:ascii="Lucida Sans Unicode"/>
          <w:spacing w:val="-8"/>
          <w:w w:val="105"/>
        </w:rPr>
        <w:t> </w:t>
      </w:r>
      <w:r>
        <w:rPr>
          <w:rFonts w:ascii="Lucida Sans Unicode"/>
          <w:w w:val="105"/>
        </w:rPr>
        <w:t>of</w:t>
      </w:r>
      <w:r>
        <w:rPr>
          <w:rFonts w:ascii="Lucida Sans Unicode"/>
          <w:spacing w:val="-8"/>
          <w:w w:val="105"/>
        </w:rPr>
        <w:t> </w:t>
      </w:r>
      <w:r>
        <w:rPr>
          <w:rFonts w:ascii="Lucida Sans Unicode"/>
          <w:w w:val="105"/>
        </w:rPr>
        <w:t>the</w:t>
      </w:r>
      <w:r>
        <w:rPr>
          <w:rFonts w:ascii="Lucida Sans Unicode"/>
          <w:spacing w:val="-8"/>
          <w:w w:val="105"/>
        </w:rPr>
        <w:t> </w:t>
      </w:r>
      <w:r>
        <w:rPr>
          <w:rFonts w:ascii="Lucida Sans Unicode"/>
          <w:w w:val="105"/>
        </w:rPr>
        <w:t>WA</w:t>
      </w:r>
      <w:r>
        <w:rPr>
          <w:rFonts w:ascii="Lucida Sans Unicode"/>
          <w:w w:val="105"/>
          <w:vertAlign w:val="superscript"/>
        </w:rPr>
        <w:t>1</w:t>
      </w:r>
      <w:r>
        <w:rPr>
          <w:rFonts w:ascii="Lucida Sans Unicode"/>
          <w:w w:val="105"/>
          <w:vertAlign w:val="superscript"/>
        </w:rPr>
        <w:t>39</w:t>
      </w:r>
      <w:r>
        <w:rPr>
          <w:rFonts w:ascii="Lucida Sans Unicode"/>
          <w:spacing w:val="-8"/>
          <w:w w:val="105"/>
          <w:vertAlign w:val="baseline"/>
        </w:rPr>
        <w:t> </w:t>
      </w:r>
      <w:r>
        <w:rPr>
          <w:rFonts w:ascii="Lucida Sans Unicode"/>
          <w:w w:val="105"/>
          <w:vertAlign w:val="baseline"/>
        </w:rPr>
        <w:t>and</w:t>
      </w:r>
      <w:r>
        <w:rPr>
          <w:rFonts w:ascii="Lucida Sans Unicode"/>
          <w:spacing w:val="-8"/>
          <w:w w:val="105"/>
          <w:vertAlign w:val="baseline"/>
        </w:rPr>
        <w:t> </w:t>
      </w:r>
      <w:r>
        <w:rPr>
          <w:rFonts w:ascii="Lucida Sans Unicode"/>
          <w:w w:val="105"/>
          <w:vertAlign w:val="baseline"/>
        </w:rPr>
        <w:t>Article</w:t>
      </w:r>
      <w:r>
        <w:rPr>
          <w:rFonts w:ascii="Lucida Sans Unicode"/>
          <w:spacing w:val="-8"/>
          <w:w w:val="105"/>
          <w:vertAlign w:val="baseline"/>
        </w:rPr>
        <w:t> </w:t>
      </w:r>
      <w:r>
        <w:rPr>
          <w:rFonts w:ascii="Lucida Sans Unicode"/>
          <w:w w:val="105"/>
          <w:vertAlign w:val="baseline"/>
        </w:rPr>
        <w:t>13</w:t>
      </w:r>
      <w:r>
        <w:rPr>
          <w:rFonts w:ascii="Lucida Sans Unicode"/>
          <w:spacing w:val="-8"/>
          <w:w w:val="105"/>
          <w:vertAlign w:val="baseline"/>
        </w:rPr>
        <w:t> </w:t>
      </w:r>
      <w:r>
        <w:rPr>
          <w:rFonts w:ascii="Lucida Sans Unicode"/>
          <w:w w:val="105"/>
          <w:vertAlign w:val="baseline"/>
        </w:rPr>
        <w:t>of</w:t>
      </w:r>
      <w:r>
        <w:rPr>
          <w:rFonts w:ascii="Lucida Sans Unicode"/>
          <w:spacing w:val="-8"/>
          <w:w w:val="105"/>
          <w:vertAlign w:val="baseline"/>
        </w:rPr>
        <w:t> </w:t>
      </w:r>
      <w:r>
        <w:rPr>
          <w:rFonts w:ascii="Lucida Sans Unicode"/>
          <w:w w:val="105"/>
          <w:vertAlign w:val="baseline"/>
        </w:rPr>
        <w:t>the </w:t>
      </w:r>
      <w:r>
        <w:rPr>
          <w:w w:val="105"/>
          <w:vertAlign w:val="baseline"/>
        </w:rPr>
        <w:t>Protocol.</w:t>
      </w:r>
      <w:r>
        <w:rPr>
          <w:rFonts w:ascii="Lucida Sans Unicode"/>
          <w:w w:val="105"/>
          <w:vertAlign w:val="superscript"/>
        </w:rPr>
        <w:t>140</w:t>
      </w:r>
      <w:r>
        <w:rPr>
          <w:rFonts w:ascii="Lucida Sans Unicode"/>
          <w:spacing w:val="-20"/>
          <w:w w:val="105"/>
          <w:vertAlign w:val="baseline"/>
        </w:rPr>
        <w:t> </w:t>
      </w:r>
      <w:r>
        <w:rPr>
          <w:rFonts w:ascii="Lucida Sans Unicode"/>
          <w:w w:val="105"/>
          <w:vertAlign w:val="baseline"/>
        </w:rPr>
        <w:t>Since</w:t>
      </w:r>
      <w:r>
        <w:rPr>
          <w:rFonts w:ascii="Lucida Sans Unicode"/>
          <w:spacing w:val="-20"/>
          <w:w w:val="105"/>
          <w:vertAlign w:val="baseline"/>
        </w:rPr>
        <w:t> </w:t>
      </w:r>
      <w:r>
        <w:rPr>
          <w:rFonts w:ascii="Lucida Sans Unicode"/>
          <w:w w:val="105"/>
          <w:vertAlign w:val="baseline"/>
        </w:rPr>
        <w:t>the</w:t>
      </w:r>
      <w:r>
        <w:rPr>
          <w:rFonts w:ascii="Lucida Sans Unicode"/>
          <w:spacing w:val="-20"/>
          <w:w w:val="105"/>
          <w:vertAlign w:val="baseline"/>
        </w:rPr>
        <w:t> </w:t>
      </w:r>
      <w:r>
        <w:rPr>
          <w:rFonts w:ascii="Lucida Sans Unicode"/>
          <w:w w:val="105"/>
          <w:vertAlign w:val="baseline"/>
        </w:rPr>
        <w:t>whole</w:t>
      </w:r>
      <w:r>
        <w:rPr>
          <w:rFonts w:ascii="Lucida Sans Unicode"/>
          <w:spacing w:val="-20"/>
          <w:w w:val="105"/>
          <w:vertAlign w:val="baseline"/>
        </w:rPr>
        <w:t> </w:t>
      </w:r>
      <w:r>
        <w:rPr>
          <w:rFonts w:ascii="Lucida Sans Unicode"/>
          <w:w w:val="105"/>
          <w:vertAlign w:val="baseline"/>
        </w:rPr>
        <w:t>of</w:t>
      </w:r>
      <w:r>
        <w:rPr>
          <w:rFonts w:ascii="Lucida Sans Unicode"/>
          <w:spacing w:val="-20"/>
          <w:w w:val="105"/>
          <w:vertAlign w:val="baseline"/>
        </w:rPr>
        <w:t> </w:t>
      </w:r>
      <w:r>
        <w:rPr>
          <w:rFonts w:ascii="Lucida Sans Unicode"/>
          <w:w w:val="105"/>
          <w:vertAlign w:val="baseline"/>
        </w:rPr>
        <w:t>section</w:t>
      </w:r>
      <w:r>
        <w:rPr>
          <w:rFonts w:ascii="Lucida Sans Unicode"/>
          <w:w w:val="105"/>
          <w:vertAlign w:val="baseline"/>
        </w:rPr>
        <w:t> 5 EUWA (including section 5(4)) is</w:t>
      </w:r>
    </w:p>
    <w:p>
      <w:pPr>
        <w:pStyle w:val="BodyText"/>
        <w:spacing w:line="242" w:lineRule="auto" w:before="3"/>
        <w:ind w:right="39"/>
      </w:pPr>
      <w:r>
        <w:rPr>
          <w:w w:val="110"/>
        </w:rPr>
        <w:t>subject to ‘separation agreement law’, </w:t>
      </w:r>
      <w:r>
        <w:rPr>
          <w:rFonts w:ascii="Lucida Sans Unicode" w:hAnsi="Lucida Sans Unicode"/>
        </w:rPr>
        <w:t>defined in section 7C as </w:t>
      </w:r>
      <w:r>
        <w:rPr>
          <w:rFonts w:ascii="Verdana" w:hAnsi="Verdana"/>
          <w:i/>
        </w:rPr>
        <w:t>inter alia</w:t>
      </w:r>
      <w:r>
        <w:rPr>
          <w:rFonts w:ascii="Verdana" w:hAnsi="Verdana"/>
          <w:i/>
        </w:rPr>
        <w:t> </w:t>
      </w:r>
      <w:r>
        <w:rPr>
          <w:w w:val="110"/>
        </w:rPr>
        <w:t>including section 7A, the </w:t>
      </w:r>
      <w:r>
        <w:rPr>
          <w:w w:val="110"/>
        </w:rPr>
        <w:t>requirements </w:t>
      </w:r>
      <w:r>
        <w:rPr>
          <w:rFonts w:ascii="Lucida Sans Unicode" w:hAnsi="Lucida Sans Unicode"/>
          <w:spacing w:val="-2"/>
          <w:w w:val="110"/>
        </w:rPr>
        <w:t>of</w:t>
      </w:r>
      <w:r>
        <w:rPr>
          <w:rFonts w:ascii="Lucida Sans Unicode" w:hAnsi="Lucida Sans Unicode"/>
          <w:spacing w:val="-16"/>
          <w:w w:val="110"/>
        </w:rPr>
        <w:t> </w:t>
      </w:r>
      <w:r>
        <w:rPr>
          <w:rFonts w:ascii="Lucida Sans Unicode" w:hAnsi="Lucida Sans Unicode"/>
          <w:spacing w:val="-2"/>
          <w:w w:val="110"/>
        </w:rPr>
        <w:t>Article</w:t>
      </w:r>
      <w:r>
        <w:rPr>
          <w:rFonts w:ascii="Lucida Sans Unicode" w:hAnsi="Lucida Sans Unicode"/>
          <w:spacing w:val="-16"/>
          <w:w w:val="110"/>
        </w:rPr>
        <w:t> </w:t>
      </w:r>
      <w:r>
        <w:rPr>
          <w:rFonts w:ascii="Lucida Sans Unicode" w:hAnsi="Lucida Sans Unicode"/>
          <w:spacing w:val="-2"/>
          <w:w w:val="110"/>
        </w:rPr>
        <w:t>4</w:t>
      </w:r>
      <w:r>
        <w:rPr>
          <w:rFonts w:ascii="Lucida Sans Unicode" w:hAnsi="Lucida Sans Unicode"/>
          <w:spacing w:val="-16"/>
          <w:w w:val="110"/>
        </w:rPr>
        <w:t> </w:t>
      </w:r>
      <w:r>
        <w:rPr>
          <w:rFonts w:ascii="Lucida Sans Unicode" w:hAnsi="Lucida Sans Unicode"/>
          <w:spacing w:val="-2"/>
          <w:w w:val="110"/>
        </w:rPr>
        <w:t>WA</w:t>
      </w:r>
      <w:r>
        <w:rPr>
          <w:rFonts w:ascii="Lucida Sans Unicode" w:hAnsi="Lucida Sans Unicode"/>
          <w:spacing w:val="-16"/>
          <w:w w:val="110"/>
        </w:rPr>
        <w:t> </w:t>
      </w:r>
      <w:r>
        <w:rPr>
          <w:rFonts w:ascii="Lucida Sans Unicode" w:hAnsi="Lucida Sans Unicode"/>
          <w:spacing w:val="-2"/>
          <w:w w:val="110"/>
        </w:rPr>
        <w:t>(including,</w:t>
      </w:r>
      <w:r>
        <w:rPr>
          <w:rFonts w:ascii="Lucida Sans Unicode" w:hAnsi="Lucida Sans Unicode"/>
          <w:spacing w:val="-16"/>
          <w:w w:val="110"/>
        </w:rPr>
        <w:t> </w:t>
      </w:r>
      <w:r>
        <w:rPr>
          <w:rFonts w:ascii="Lucida Sans Unicode" w:hAnsi="Lucida Sans Unicode"/>
          <w:spacing w:val="-2"/>
          <w:w w:val="110"/>
        </w:rPr>
        <w:t>crucially, </w:t>
      </w:r>
      <w:r>
        <w:rPr>
          <w:w w:val="110"/>
        </w:rPr>
        <w:t>the primacy requirement) and Article</w:t>
      </w:r>
      <w:r>
        <w:rPr>
          <w:spacing w:val="40"/>
          <w:w w:val="110"/>
        </w:rPr>
        <w:t> </w:t>
      </w:r>
      <w:r>
        <w:rPr>
          <w:rFonts w:ascii="Lucida Sans Unicode" w:hAnsi="Lucida Sans Unicode"/>
        </w:rPr>
        <w:t>13 of the Windsor Framework,</w:t>
      </w:r>
      <w:r>
        <w:rPr>
          <w:rFonts w:ascii="Lucida Sans Unicode" w:hAnsi="Lucida Sans Unicode"/>
          <w:vertAlign w:val="superscript"/>
        </w:rPr>
        <w:t>141</w:t>
      </w:r>
      <w:r>
        <w:rPr>
          <w:rFonts w:ascii="Lucida Sans Unicode" w:hAnsi="Lucida Sans Unicode"/>
          <w:vertAlign w:val="baseline"/>
        </w:rPr>
        <w:t> </w:t>
      </w:r>
      <w:r>
        <w:rPr>
          <w:vertAlign w:val="baseline"/>
        </w:rPr>
        <w:t>the </w:t>
      </w:r>
      <w:r>
        <w:rPr>
          <w:w w:val="110"/>
          <w:vertAlign w:val="baseline"/>
        </w:rPr>
        <w:t>apparent irreconcilability of section</w:t>
      </w:r>
      <w:r>
        <w:rPr>
          <w:spacing w:val="40"/>
          <w:w w:val="110"/>
          <w:vertAlign w:val="baseline"/>
        </w:rPr>
        <w:t> </w:t>
      </w:r>
      <w:r>
        <w:rPr>
          <w:rFonts w:ascii="Lucida Sans Unicode" w:hAnsi="Lucida Sans Unicode"/>
          <w:w w:val="110"/>
          <w:vertAlign w:val="baseline"/>
        </w:rPr>
        <w:t>5(4)</w:t>
      </w:r>
      <w:r>
        <w:rPr>
          <w:rFonts w:ascii="Lucida Sans Unicode" w:hAnsi="Lucida Sans Unicode"/>
          <w:spacing w:val="-21"/>
          <w:w w:val="110"/>
          <w:vertAlign w:val="baseline"/>
        </w:rPr>
        <w:t> </w:t>
      </w:r>
      <w:r>
        <w:rPr>
          <w:rFonts w:ascii="Lucida Sans Unicode" w:hAnsi="Lucida Sans Unicode"/>
          <w:w w:val="110"/>
          <w:vertAlign w:val="baseline"/>
        </w:rPr>
        <w:t>EUWA</w:t>
      </w:r>
      <w:r>
        <w:rPr>
          <w:rFonts w:ascii="Lucida Sans Unicode" w:hAnsi="Lucida Sans Unicode"/>
          <w:spacing w:val="-21"/>
          <w:w w:val="110"/>
          <w:vertAlign w:val="baseline"/>
        </w:rPr>
        <w:t> </w:t>
      </w:r>
      <w:r>
        <w:rPr>
          <w:rFonts w:ascii="Lucida Sans Unicode" w:hAnsi="Lucida Sans Unicode"/>
          <w:w w:val="110"/>
          <w:vertAlign w:val="baseline"/>
        </w:rPr>
        <w:t>with</w:t>
      </w:r>
      <w:r>
        <w:rPr>
          <w:rFonts w:ascii="Lucida Sans Unicode" w:hAnsi="Lucida Sans Unicode"/>
          <w:spacing w:val="-21"/>
          <w:w w:val="110"/>
          <w:vertAlign w:val="baseline"/>
        </w:rPr>
        <w:t> </w:t>
      </w:r>
      <w:r>
        <w:rPr>
          <w:rFonts w:ascii="Lucida Sans Unicode" w:hAnsi="Lucida Sans Unicode"/>
          <w:w w:val="110"/>
          <w:vertAlign w:val="baseline"/>
        </w:rPr>
        <w:t>the</w:t>
      </w:r>
      <w:r>
        <w:rPr>
          <w:rFonts w:ascii="Lucida Sans Unicode" w:hAnsi="Lucida Sans Unicode"/>
          <w:spacing w:val="-21"/>
          <w:w w:val="110"/>
          <w:vertAlign w:val="baseline"/>
        </w:rPr>
        <w:t> </w:t>
      </w:r>
      <w:r>
        <w:rPr>
          <w:rFonts w:ascii="Lucida Sans Unicode" w:hAnsi="Lucida Sans Unicode"/>
          <w:w w:val="110"/>
          <w:vertAlign w:val="baseline"/>
        </w:rPr>
        <w:t>provisions</w:t>
      </w:r>
      <w:r>
        <w:rPr>
          <w:rFonts w:ascii="Lucida Sans Unicode" w:hAnsi="Lucida Sans Unicode"/>
          <w:spacing w:val="-21"/>
          <w:w w:val="110"/>
          <w:vertAlign w:val="baseline"/>
        </w:rPr>
        <w:t> </w:t>
      </w:r>
      <w:r>
        <w:rPr>
          <w:rFonts w:ascii="Lucida Sans Unicode" w:hAnsi="Lucida Sans Unicode"/>
          <w:w w:val="110"/>
          <w:vertAlign w:val="baseline"/>
        </w:rPr>
        <w:t>of</w:t>
      </w:r>
      <w:r>
        <w:rPr>
          <w:rFonts w:ascii="Lucida Sans Unicode" w:hAnsi="Lucida Sans Unicode"/>
          <w:spacing w:val="-21"/>
          <w:w w:val="110"/>
          <w:vertAlign w:val="baseline"/>
        </w:rPr>
        <w:t> </w:t>
      </w:r>
      <w:r>
        <w:rPr>
          <w:rFonts w:ascii="Lucida Sans Unicode" w:hAnsi="Lucida Sans Unicode"/>
          <w:w w:val="110"/>
          <w:vertAlign w:val="baseline"/>
        </w:rPr>
        <w:t>the </w:t>
      </w:r>
      <w:r>
        <w:rPr>
          <w:w w:val="110"/>
          <w:vertAlign w:val="baseline"/>
        </w:rPr>
        <w:t>WA and the Windsor Framework falls</w:t>
      </w:r>
    </w:p>
    <w:p>
      <w:pPr>
        <w:pStyle w:val="BodyText"/>
        <w:spacing w:line="223" w:lineRule="auto" w:before="28"/>
        <w:ind w:right="39"/>
      </w:pPr>
      <w:r>
        <w:rPr>
          <w:rFonts w:ascii="Lucida Sans Unicode"/>
          <w:w w:val="105"/>
        </w:rPr>
        <w:t>away given that section 5(4) EUWA </w:t>
      </w:r>
      <w:r>
        <w:rPr>
          <w:rFonts w:ascii="Lucida Sans Unicode"/>
          <w:spacing w:val="-2"/>
          <w:w w:val="105"/>
        </w:rPr>
        <w:t>has</w:t>
      </w:r>
      <w:r>
        <w:rPr>
          <w:rFonts w:ascii="Lucida Sans Unicode"/>
          <w:spacing w:val="-15"/>
          <w:w w:val="105"/>
        </w:rPr>
        <w:t> </w:t>
      </w:r>
      <w:r>
        <w:rPr>
          <w:rFonts w:ascii="Lucida Sans Unicode"/>
          <w:spacing w:val="-2"/>
          <w:w w:val="105"/>
        </w:rPr>
        <w:t>already</w:t>
      </w:r>
      <w:r>
        <w:rPr>
          <w:rFonts w:ascii="Lucida Sans Unicode"/>
          <w:spacing w:val="-15"/>
          <w:w w:val="105"/>
        </w:rPr>
        <w:t> </w:t>
      </w:r>
      <w:r>
        <w:rPr>
          <w:rFonts w:ascii="Lucida Sans Unicode"/>
          <w:spacing w:val="-2"/>
          <w:w w:val="105"/>
        </w:rPr>
        <w:t>been</w:t>
      </w:r>
      <w:r>
        <w:rPr>
          <w:rFonts w:ascii="Lucida Sans Unicode"/>
          <w:spacing w:val="-15"/>
          <w:w w:val="105"/>
        </w:rPr>
        <w:t> </w:t>
      </w:r>
      <w:r>
        <w:rPr>
          <w:rFonts w:ascii="Lucida Sans Unicode"/>
          <w:spacing w:val="-2"/>
          <w:w w:val="105"/>
        </w:rPr>
        <w:t>modified</w:t>
      </w:r>
      <w:r>
        <w:rPr>
          <w:rFonts w:ascii="Lucida Sans Unicode"/>
          <w:spacing w:val="-15"/>
          <w:w w:val="105"/>
        </w:rPr>
        <w:t> </w:t>
      </w:r>
      <w:r>
        <w:rPr>
          <w:rFonts w:ascii="Lucida Sans Unicode"/>
          <w:spacing w:val="-2"/>
          <w:w w:val="105"/>
        </w:rPr>
        <w:t>by</w:t>
      </w:r>
      <w:r>
        <w:rPr>
          <w:rFonts w:ascii="Lucida Sans Unicode"/>
          <w:spacing w:val="-15"/>
          <w:w w:val="105"/>
        </w:rPr>
        <w:t> </w:t>
      </w:r>
      <w:r>
        <w:rPr>
          <w:rFonts w:ascii="Lucida Sans Unicode"/>
          <w:spacing w:val="-2"/>
          <w:w w:val="105"/>
        </w:rPr>
        <w:t>virtue</w:t>
      </w:r>
      <w:r>
        <w:rPr>
          <w:rFonts w:ascii="Lucida Sans Unicode"/>
          <w:spacing w:val="-15"/>
          <w:w w:val="105"/>
        </w:rPr>
        <w:t> </w:t>
      </w:r>
      <w:r>
        <w:rPr>
          <w:rFonts w:ascii="Lucida Sans Unicode"/>
          <w:spacing w:val="-2"/>
          <w:w w:val="105"/>
        </w:rPr>
        <w:t>of </w:t>
      </w:r>
      <w:r>
        <w:rPr>
          <w:w w:val="105"/>
        </w:rPr>
        <w:t>section 7A EUWA.</w:t>
      </w:r>
    </w:p>
    <w:p>
      <w:pPr>
        <w:pStyle w:val="BodyText"/>
        <w:spacing w:line="318" w:lineRule="exact" w:before="42"/>
        <w:ind w:right="266"/>
      </w:pPr>
      <w:r>
        <w:rPr/>
        <w:br w:type="column"/>
      </w:r>
      <w:r>
        <w:rPr>
          <w:w w:val="110"/>
        </w:rPr>
        <w:t>This interpretation has already been </w:t>
      </w:r>
      <w:r>
        <w:rPr>
          <w:rFonts w:ascii="Lucida Sans Unicode"/>
        </w:rPr>
        <w:t>confirmed by the Northern Irish </w:t>
      </w:r>
      <w:r>
        <w:rPr>
          <w:rFonts w:ascii="Lucida Sans Unicode"/>
        </w:rPr>
        <w:t>High </w:t>
      </w:r>
      <w:r>
        <w:rPr>
          <w:w w:val="110"/>
        </w:rPr>
        <w:t>Court in </w:t>
      </w:r>
      <w:r>
        <w:rPr>
          <w:rFonts w:ascii="Verdana"/>
          <w:i/>
          <w:w w:val="110"/>
        </w:rPr>
        <w:t>SPUC</w:t>
      </w:r>
      <w:r>
        <w:rPr>
          <w:w w:val="110"/>
        </w:rPr>
        <w:t>, discussed earlier. As Colton J put it in that judgment,</w:t>
      </w:r>
    </w:p>
    <w:p>
      <w:pPr>
        <w:pStyle w:val="BodyText"/>
        <w:spacing w:before="56"/>
        <w:ind w:left="0"/>
      </w:pPr>
    </w:p>
    <w:p>
      <w:pPr>
        <w:pStyle w:val="BodyText"/>
        <w:spacing w:line="237" w:lineRule="auto"/>
        <w:ind w:left="680" w:right="405"/>
        <w:rPr>
          <w:rFonts w:ascii="Lucida Sans Unicode"/>
        </w:rPr>
      </w:pPr>
      <w:r>
        <w:rPr>
          <w:color w:val="77328A"/>
          <w:w w:val="110"/>
        </w:rPr>
        <w:t>The combined effect of section </w:t>
      </w:r>
      <w:r>
        <w:rPr>
          <w:rFonts w:ascii="Lucida Sans Unicode"/>
          <w:color w:val="77328A"/>
        </w:rPr>
        <w:t>7A EUWA 2018 and Article 4 </w:t>
      </w:r>
      <w:r>
        <w:rPr>
          <w:rFonts w:ascii="Lucida Sans Unicode"/>
          <w:color w:val="77328A"/>
        </w:rPr>
        <w:t>of </w:t>
      </w:r>
      <w:r>
        <w:rPr>
          <w:color w:val="77328A"/>
          <w:w w:val="110"/>
        </w:rPr>
        <w:t>the Protocol limits the effects</w:t>
      </w:r>
      <w:r>
        <w:rPr>
          <w:color w:val="77328A"/>
          <w:spacing w:val="80"/>
          <w:w w:val="110"/>
        </w:rPr>
        <w:t> </w:t>
      </w:r>
      <w:r>
        <w:rPr>
          <w:rFonts w:ascii="Lucida Sans Unicode"/>
          <w:color w:val="77328A"/>
          <w:w w:val="110"/>
        </w:rPr>
        <w:t>of</w:t>
      </w:r>
      <w:r>
        <w:rPr>
          <w:rFonts w:ascii="Lucida Sans Unicode"/>
          <w:color w:val="77328A"/>
          <w:spacing w:val="-4"/>
          <w:w w:val="110"/>
        </w:rPr>
        <w:t> </w:t>
      </w:r>
      <w:r>
        <w:rPr>
          <w:rFonts w:ascii="Lucida Sans Unicode"/>
          <w:color w:val="77328A"/>
          <w:w w:val="110"/>
        </w:rPr>
        <w:t>section</w:t>
      </w:r>
      <w:r>
        <w:rPr>
          <w:rFonts w:ascii="Lucida Sans Unicode"/>
          <w:color w:val="77328A"/>
          <w:spacing w:val="-4"/>
          <w:w w:val="110"/>
        </w:rPr>
        <w:t> </w:t>
      </w:r>
      <w:r>
        <w:rPr>
          <w:rFonts w:ascii="Lucida Sans Unicode"/>
          <w:color w:val="77328A"/>
          <w:w w:val="110"/>
        </w:rPr>
        <w:t>5(4)</w:t>
      </w:r>
      <w:r>
        <w:rPr>
          <w:rFonts w:ascii="Lucida Sans Unicode"/>
          <w:color w:val="77328A"/>
          <w:spacing w:val="-4"/>
          <w:w w:val="110"/>
        </w:rPr>
        <w:t> </w:t>
      </w:r>
      <w:r>
        <w:rPr>
          <w:rFonts w:ascii="Lucida Sans Unicode"/>
          <w:color w:val="77328A"/>
          <w:w w:val="110"/>
        </w:rPr>
        <w:t>and</w:t>
      </w:r>
      <w:r>
        <w:rPr>
          <w:rFonts w:ascii="Lucida Sans Unicode"/>
          <w:color w:val="77328A"/>
          <w:spacing w:val="-4"/>
          <w:w w:val="110"/>
        </w:rPr>
        <w:t> </w:t>
      </w:r>
      <w:r>
        <w:rPr>
          <w:rFonts w:ascii="Lucida Sans Unicode"/>
          <w:color w:val="77328A"/>
          <w:w w:val="110"/>
        </w:rPr>
        <w:t>(5)</w:t>
      </w:r>
      <w:r>
        <w:rPr>
          <w:rFonts w:ascii="Lucida Sans Unicode"/>
          <w:color w:val="77328A"/>
          <w:spacing w:val="-4"/>
          <w:w w:val="110"/>
        </w:rPr>
        <w:t> </w:t>
      </w:r>
      <w:r>
        <w:rPr>
          <w:rFonts w:ascii="Lucida Sans Unicode"/>
          <w:color w:val="77328A"/>
          <w:w w:val="110"/>
        </w:rPr>
        <w:t>of</w:t>
      </w:r>
      <w:r>
        <w:rPr>
          <w:rFonts w:ascii="Lucida Sans Unicode"/>
          <w:color w:val="77328A"/>
          <w:spacing w:val="-4"/>
          <w:w w:val="110"/>
        </w:rPr>
        <w:t> </w:t>
      </w:r>
      <w:r>
        <w:rPr>
          <w:rFonts w:ascii="Lucida Sans Unicode"/>
          <w:color w:val="77328A"/>
          <w:w w:val="110"/>
        </w:rPr>
        <w:t>the</w:t>
      </w:r>
    </w:p>
    <w:p>
      <w:pPr>
        <w:pStyle w:val="BodyText"/>
        <w:spacing w:line="206" w:lineRule="auto"/>
        <w:ind w:left="680" w:right="170"/>
        <w:rPr>
          <w:rFonts w:ascii="Lucida Sans Unicode"/>
        </w:rPr>
      </w:pPr>
      <w:r>
        <w:rPr>
          <w:rFonts w:ascii="Lucida Sans Unicode"/>
          <w:color w:val="77328A"/>
        </w:rPr>
        <w:t>EUWA 2018 and Schedule 1, </w:t>
      </w:r>
      <w:r>
        <w:rPr>
          <w:rFonts w:ascii="Lucida Sans Unicode"/>
          <w:color w:val="77328A"/>
        </w:rPr>
        <w:t>para 3 of the same Act which restrict</w:t>
      </w:r>
    </w:p>
    <w:p>
      <w:pPr>
        <w:pStyle w:val="BodyText"/>
        <w:spacing w:line="276" w:lineRule="auto"/>
        <w:ind w:left="680" w:right="443"/>
      </w:pPr>
      <w:r>
        <w:rPr>
          <w:color w:val="77328A"/>
          <w:w w:val="110"/>
        </w:rPr>
        <w:t>the</w:t>
      </w:r>
      <w:r>
        <w:rPr>
          <w:color w:val="77328A"/>
          <w:spacing w:val="40"/>
          <w:w w:val="110"/>
        </w:rPr>
        <w:t> </w:t>
      </w:r>
      <w:r>
        <w:rPr>
          <w:color w:val="77328A"/>
          <w:w w:val="110"/>
        </w:rPr>
        <w:t>use</w:t>
      </w:r>
      <w:r>
        <w:rPr>
          <w:color w:val="77328A"/>
          <w:spacing w:val="40"/>
          <w:w w:val="110"/>
        </w:rPr>
        <w:t> </w:t>
      </w:r>
      <w:r>
        <w:rPr>
          <w:color w:val="77328A"/>
          <w:w w:val="110"/>
        </w:rPr>
        <w:t>to</w:t>
      </w:r>
      <w:r>
        <w:rPr>
          <w:color w:val="77328A"/>
          <w:spacing w:val="40"/>
          <w:w w:val="110"/>
        </w:rPr>
        <w:t> </w:t>
      </w:r>
      <w:r>
        <w:rPr>
          <w:color w:val="77328A"/>
          <w:w w:val="110"/>
        </w:rPr>
        <w:t>which</w:t>
      </w:r>
      <w:r>
        <w:rPr>
          <w:color w:val="77328A"/>
          <w:spacing w:val="40"/>
          <w:w w:val="110"/>
        </w:rPr>
        <w:t> </w:t>
      </w:r>
      <w:r>
        <w:rPr>
          <w:color w:val="77328A"/>
          <w:w w:val="110"/>
        </w:rPr>
        <w:t>the</w:t>
      </w:r>
      <w:r>
        <w:rPr>
          <w:color w:val="77328A"/>
          <w:spacing w:val="40"/>
          <w:w w:val="110"/>
        </w:rPr>
        <w:t> </w:t>
      </w:r>
      <w:r>
        <w:rPr>
          <w:color w:val="77328A"/>
          <w:w w:val="110"/>
        </w:rPr>
        <w:t>Charter of Fundamental Rights and </w:t>
      </w:r>
      <w:r>
        <w:rPr>
          <w:color w:val="77328A"/>
          <w:w w:val="110"/>
        </w:rPr>
        <w:t>EU</w:t>
      </w:r>
    </w:p>
    <w:p>
      <w:pPr>
        <w:pStyle w:val="BodyText"/>
        <w:spacing w:line="242" w:lineRule="auto"/>
        <w:ind w:left="680" w:right="266"/>
        <w:rPr>
          <w:rFonts w:ascii="Lucida Sans Unicode" w:hAnsi="Lucida Sans Unicode"/>
        </w:rPr>
      </w:pPr>
      <w:r>
        <w:rPr>
          <w:color w:val="77328A"/>
          <w:w w:val="110"/>
        </w:rPr>
        <w:t>General</w:t>
      </w:r>
      <w:r>
        <w:rPr>
          <w:color w:val="77328A"/>
          <w:spacing w:val="-7"/>
          <w:w w:val="110"/>
        </w:rPr>
        <w:t> </w:t>
      </w:r>
      <w:r>
        <w:rPr>
          <w:color w:val="77328A"/>
          <w:w w:val="110"/>
        </w:rPr>
        <w:t>Principles</w:t>
      </w:r>
      <w:r>
        <w:rPr>
          <w:color w:val="77328A"/>
          <w:spacing w:val="-7"/>
          <w:w w:val="110"/>
        </w:rPr>
        <w:t> </w:t>
      </w:r>
      <w:r>
        <w:rPr>
          <w:color w:val="77328A"/>
          <w:w w:val="110"/>
        </w:rPr>
        <w:t>may</w:t>
      </w:r>
      <w:r>
        <w:rPr>
          <w:color w:val="77328A"/>
          <w:spacing w:val="-7"/>
          <w:w w:val="110"/>
        </w:rPr>
        <w:t> </w:t>
      </w:r>
      <w:r>
        <w:rPr>
          <w:color w:val="77328A"/>
          <w:w w:val="110"/>
        </w:rPr>
        <w:t>be</w:t>
      </w:r>
      <w:r>
        <w:rPr>
          <w:color w:val="77328A"/>
          <w:spacing w:val="-7"/>
          <w:w w:val="110"/>
        </w:rPr>
        <w:t> </w:t>
      </w:r>
      <w:r>
        <w:rPr>
          <w:color w:val="77328A"/>
          <w:w w:val="110"/>
        </w:rPr>
        <w:t>relied on after the UK’s exit.</w:t>
      </w:r>
      <w:r>
        <w:rPr>
          <w:rFonts w:ascii="Lucida Sans Unicode" w:hAnsi="Lucida Sans Unicode"/>
          <w:color w:val="77328A"/>
          <w:w w:val="110"/>
          <w:vertAlign w:val="superscript"/>
        </w:rPr>
        <w:t>142</w:t>
      </w:r>
    </w:p>
    <w:p>
      <w:pPr>
        <w:spacing w:line="318" w:lineRule="exact" w:before="251"/>
        <w:ind w:left="113" w:right="487" w:firstLine="0"/>
        <w:jc w:val="left"/>
        <w:rPr>
          <w:sz w:val="24"/>
        </w:rPr>
      </w:pPr>
      <w:r>
        <w:rPr>
          <w:w w:val="110"/>
          <w:sz w:val="24"/>
        </w:rPr>
        <w:t>The same conclusion would </w:t>
      </w:r>
      <w:r>
        <w:rPr>
          <w:w w:val="110"/>
          <w:sz w:val="24"/>
        </w:rPr>
        <w:t>appear to follow from the judgment of the Northern Irish Court of Appeal in </w:t>
      </w:r>
      <w:r>
        <w:rPr>
          <w:rFonts w:ascii="Verdana" w:hAnsi="Verdana"/>
          <w:i/>
          <w:sz w:val="24"/>
        </w:rPr>
        <w:t>Allister and Peeple’s applications</w:t>
      </w:r>
      <w:r>
        <w:rPr>
          <w:rFonts w:ascii="Verdana" w:hAnsi="Verdana"/>
          <w:i/>
          <w:sz w:val="24"/>
        </w:rPr>
        <w:t> for judicial review</w:t>
      </w:r>
      <w:r>
        <w:rPr>
          <w:rFonts w:ascii="Verdana" w:hAnsi="Verdana"/>
          <w:i/>
          <w:sz w:val="24"/>
          <w:vertAlign w:val="superscript"/>
        </w:rPr>
        <w:t>143</w:t>
      </w:r>
      <w:r>
        <w:rPr>
          <w:rFonts w:ascii="Verdana" w:hAnsi="Verdana"/>
          <w:i/>
          <w:sz w:val="24"/>
          <w:vertAlign w:val="baseline"/>
        </w:rPr>
        <w:t> </w:t>
      </w:r>
      <w:r>
        <w:rPr>
          <w:sz w:val="24"/>
          <w:vertAlign w:val="baseline"/>
        </w:rPr>
        <w:t>and from the </w:t>
      </w:r>
      <w:r>
        <w:rPr>
          <w:rFonts w:ascii="Lucida Sans Unicode" w:hAnsi="Lucida Sans Unicode"/>
          <w:w w:val="110"/>
          <w:sz w:val="24"/>
          <w:vertAlign w:val="baseline"/>
        </w:rPr>
        <w:t>judgment</w:t>
      </w:r>
      <w:r>
        <w:rPr>
          <w:rFonts w:ascii="Lucida Sans Unicode" w:hAnsi="Lucida Sans Unicode"/>
          <w:spacing w:val="-18"/>
          <w:w w:val="110"/>
          <w:sz w:val="24"/>
          <w:vertAlign w:val="baseline"/>
        </w:rPr>
        <w:t> </w:t>
      </w:r>
      <w:r>
        <w:rPr>
          <w:rFonts w:ascii="Lucida Sans Unicode" w:hAnsi="Lucida Sans Unicode"/>
          <w:w w:val="110"/>
          <w:sz w:val="24"/>
          <w:vertAlign w:val="baseline"/>
        </w:rPr>
        <w:t>of</w:t>
      </w:r>
      <w:r>
        <w:rPr>
          <w:rFonts w:ascii="Lucida Sans Unicode" w:hAnsi="Lucida Sans Unicode"/>
          <w:spacing w:val="-18"/>
          <w:w w:val="110"/>
          <w:sz w:val="24"/>
          <w:vertAlign w:val="baseline"/>
        </w:rPr>
        <w:t> </w:t>
      </w:r>
      <w:r>
        <w:rPr>
          <w:rFonts w:ascii="Lucida Sans Unicode" w:hAnsi="Lucida Sans Unicode"/>
          <w:w w:val="110"/>
          <w:sz w:val="24"/>
          <w:vertAlign w:val="baseline"/>
        </w:rPr>
        <w:t>the</w:t>
      </w:r>
      <w:r>
        <w:rPr>
          <w:rFonts w:ascii="Lucida Sans Unicode" w:hAnsi="Lucida Sans Unicode"/>
          <w:spacing w:val="-18"/>
          <w:w w:val="110"/>
          <w:sz w:val="24"/>
          <w:vertAlign w:val="baseline"/>
        </w:rPr>
        <w:t> </w:t>
      </w:r>
      <w:r>
        <w:rPr>
          <w:rFonts w:ascii="Lucida Sans Unicode" w:hAnsi="Lucida Sans Unicode"/>
          <w:w w:val="110"/>
          <w:sz w:val="24"/>
          <w:vertAlign w:val="baseline"/>
        </w:rPr>
        <w:t>UK</w:t>
      </w:r>
      <w:r>
        <w:rPr>
          <w:rFonts w:ascii="Lucida Sans Unicode" w:hAnsi="Lucida Sans Unicode"/>
          <w:spacing w:val="-18"/>
          <w:w w:val="110"/>
          <w:sz w:val="24"/>
          <w:vertAlign w:val="baseline"/>
        </w:rPr>
        <w:t> </w:t>
      </w:r>
      <w:r>
        <w:rPr>
          <w:rFonts w:ascii="Lucida Sans Unicode" w:hAnsi="Lucida Sans Unicode"/>
          <w:w w:val="110"/>
          <w:sz w:val="24"/>
          <w:vertAlign w:val="baseline"/>
        </w:rPr>
        <w:t>Supreme </w:t>
      </w:r>
      <w:r>
        <w:rPr>
          <w:w w:val="110"/>
          <w:sz w:val="24"/>
          <w:vertAlign w:val="baseline"/>
        </w:rPr>
        <w:t>Court when the case reached it on </w:t>
      </w:r>
      <w:r>
        <w:rPr>
          <w:sz w:val="24"/>
          <w:vertAlign w:val="baseline"/>
        </w:rPr>
        <w:t>appeal.</w:t>
      </w:r>
      <w:r>
        <w:rPr>
          <w:rFonts w:ascii="Lucida Sans Unicode" w:hAnsi="Lucida Sans Unicode"/>
          <w:sz w:val="24"/>
          <w:vertAlign w:val="superscript"/>
        </w:rPr>
        <w:t>144</w:t>
      </w:r>
      <w:r>
        <w:rPr>
          <w:rFonts w:ascii="Lucida Sans Unicode" w:hAnsi="Lucida Sans Unicode"/>
          <w:spacing w:val="51"/>
          <w:sz w:val="24"/>
          <w:vertAlign w:val="baseline"/>
        </w:rPr>
        <w:t> </w:t>
      </w:r>
      <w:r>
        <w:rPr>
          <w:sz w:val="24"/>
          <w:vertAlign w:val="baseline"/>
        </w:rPr>
        <w:t>This</w:t>
      </w:r>
      <w:r>
        <w:rPr>
          <w:spacing w:val="60"/>
          <w:sz w:val="24"/>
          <w:vertAlign w:val="baseline"/>
        </w:rPr>
        <w:t> </w:t>
      </w:r>
      <w:r>
        <w:rPr>
          <w:sz w:val="24"/>
          <w:vertAlign w:val="baseline"/>
        </w:rPr>
        <w:t>judgment</w:t>
      </w:r>
      <w:r>
        <w:rPr>
          <w:spacing w:val="60"/>
          <w:sz w:val="24"/>
          <w:vertAlign w:val="baseline"/>
        </w:rPr>
        <w:t> </w:t>
      </w:r>
      <w:r>
        <w:rPr>
          <w:spacing w:val="-2"/>
          <w:sz w:val="24"/>
          <w:vertAlign w:val="baseline"/>
        </w:rPr>
        <w:t>concerned</w:t>
      </w:r>
    </w:p>
    <w:p>
      <w:pPr>
        <w:pStyle w:val="BodyText"/>
        <w:spacing w:line="259" w:lineRule="auto" w:before="29"/>
        <w:ind w:right="487"/>
        <w:rPr>
          <w:rFonts w:ascii="Lucida Sans Unicode"/>
        </w:rPr>
      </w:pPr>
      <w:r>
        <w:rPr>
          <w:w w:val="110"/>
        </w:rPr>
        <w:t>the constitutionality of the Windsor Framework (compatibility with the </w:t>
      </w:r>
      <w:r>
        <w:rPr>
          <w:rFonts w:ascii="Lucida Sans Unicode"/>
        </w:rPr>
        <w:t>Act of Union 1800) and one </w:t>
      </w:r>
      <w:r>
        <w:rPr>
          <w:rFonts w:ascii="Lucida Sans Unicode"/>
        </w:rPr>
        <w:t>specific</w:t>
      </w:r>
    </w:p>
    <w:p>
      <w:pPr>
        <w:pStyle w:val="BodyText"/>
        <w:spacing w:line="235" w:lineRule="exact"/>
      </w:pPr>
      <w:r>
        <w:rPr>
          <w:w w:val="115"/>
        </w:rPr>
        <w:t>aspect</w:t>
      </w:r>
      <w:r>
        <w:rPr>
          <w:spacing w:val="-10"/>
          <w:w w:val="115"/>
        </w:rPr>
        <w:t> </w:t>
      </w:r>
      <w:r>
        <w:rPr>
          <w:w w:val="115"/>
        </w:rPr>
        <w:t>of</w:t>
      </w:r>
      <w:r>
        <w:rPr>
          <w:spacing w:val="-9"/>
          <w:w w:val="115"/>
        </w:rPr>
        <w:t> </w:t>
      </w:r>
      <w:r>
        <w:rPr>
          <w:w w:val="115"/>
        </w:rPr>
        <w:t>this</w:t>
      </w:r>
      <w:r>
        <w:rPr>
          <w:spacing w:val="-9"/>
          <w:w w:val="115"/>
        </w:rPr>
        <w:t> </w:t>
      </w:r>
      <w:r>
        <w:rPr>
          <w:spacing w:val="-2"/>
          <w:w w:val="115"/>
        </w:rPr>
        <w:t>constitutionality</w:t>
      </w:r>
    </w:p>
    <w:p>
      <w:pPr>
        <w:pStyle w:val="BodyText"/>
        <w:spacing w:line="318" w:lineRule="exact" w:before="12"/>
        <w:ind w:right="331"/>
        <w:rPr>
          <w:rFonts w:ascii="Lucida Sans Unicode"/>
        </w:rPr>
      </w:pPr>
      <w:r>
        <w:rPr>
          <w:rFonts w:ascii="Lucida Sans Unicode"/>
          <w:w w:val="105"/>
        </w:rPr>
        <w:t>revolved</w:t>
      </w:r>
      <w:r>
        <w:rPr>
          <w:rFonts w:ascii="Lucida Sans Unicode"/>
          <w:spacing w:val="-20"/>
          <w:w w:val="105"/>
        </w:rPr>
        <w:t> </w:t>
      </w:r>
      <w:r>
        <w:rPr>
          <w:rFonts w:ascii="Lucida Sans Unicode"/>
          <w:w w:val="105"/>
        </w:rPr>
        <w:t>around</w:t>
      </w:r>
      <w:r>
        <w:rPr>
          <w:rFonts w:ascii="Lucida Sans Unicode"/>
          <w:spacing w:val="-20"/>
          <w:w w:val="105"/>
        </w:rPr>
        <w:t> </w:t>
      </w:r>
      <w:r>
        <w:rPr>
          <w:rFonts w:ascii="Lucida Sans Unicode"/>
          <w:w w:val="105"/>
        </w:rPr>
        <w:t>its</w:t>
      </w:r>
      <w:r>
        <w:rPr>
          <w:rFonts w:ascii="Lucida Sans Unicode"/>
          <w:spacing w:val="-20"/>
          <w:w w:val="105"/>
        </w:rPr>
        <w:t> </w:t>
      </w:r>
      <w:r>
        <w:rPr>
          <w:rFonts w:ascii="Lucida Sans Unicode"/>
          <w:w w:val="105"/>
        </w:rPr>
        <w:t>Article</w:t>
      </w:r>
      <w:r>
        <w:rPr>
          <w:rFonts w:ascii="Lucida Sans Unicode"/>
          <w:spacing w:val="-20"/>
          <w:w w:val="105"/>
        </w:rPr>
        <w:t> </w:t>
      </w:r>
      <w:r>
        <w:rPr>
          <w:rFonts w:ascii="Lucida Sans Unicode"/>
        </w:rPr>
        <w:t>18.</w:t>
      </w:r>
      <w:r>
        <w:rPr>
          <w:rFonts w:ascii="Lucida Sans Unicode"/>
          <w:vertAlign w:val="superscript"/>
        </w:rPr>
        <w:t>145</w:t>
      </w:r>
      <w:r>
        <w:rPr>
          <w:rFonts w:ascii="Lucida Sans Unicode"/>
          <w:vertAlign w:val="baseline"/>
        </w:rPr>
        <w:t> </w:t>
      </w:r>
      <w:r>
        <w:rPr>
          <w:rFonts w:ascii="Lucida Sans Unicode"/>
          <w:w w:val="105"/>
          <w:vertAlign w:val="baseline"/>
        </w:rPr>
        <w:t>Article</w:t>
      </w:r>
      <w:r>
        <w:rPr>
          <w:rFonts w:ascii="Lucida Sans Unicode"/>
          <w:spacing w:val="-2"/>
          <w:w w:val="105"/>
          <w:vertAlign w:val="baseline"/>
        </w:rPr>
        <w:t> </w:t>
      </w:r>
      <w:r>
        <w:rPr>
          <w:rFonts w:ascii="Lucida Sans Unicode"/>
          <w:vertAlign w:val="baseline"/>
        </w:rPr>
        <w:t>18 </w:t>
      </w:r>
      <w:r>
        <w:rPr>
          <w:rFonts w:ascii="Lucida Sans Unicode"/>
          <w:w w:val="105"/>
          <w:vertAlign w:val="baseline"/>
        </w:rPr>
        <w:t>provides</w:t>
      </w:r>
      <w:r>
        <w:rPr>
          <w:rFonts w:ascii="Lucida Sans Unicode"/>
          <w:spacing w:val="-2"/>
          <w:w w:val="105"/>
          <w:vertAlign w:val="baseline"/>
        </w:rPr>
        <w:t> </w:t>
      </w:r>
      <w:r>
        <w:rPr>
          <w:rFonts w:ascii="Lucida Sans Unicode"/>
          <w:w w:val="105"/>
          <w:vertAlign w:val="baseline"/>
        </w:rPr>
        <w:t>for</w:t>
      </w:r>
      <w:r>
        <w:rPr>
          <w:rFonts w:ascii="Lucida Sans Unicode"/>
          <w:spacing w:val="-2"/>
          <w:w w:val="105"/>
          <w:vertAlign w:val="baseline"/>
        </w:rPr>
        <w:t> </w:t>
      </w:r>
      <w:r>
        <w:rPr>
          <w:rFonts w:ascii="Lucida Sans Unicode"/>
          <w:w w:val="105"/>
          <w:vertAlign w:val="baseline"/>
        </w:rPr>
        <w:t>the</w:t>
      </w:r>
      <w:r>
        <w:rPr>
          <w:rFonts w:ascii="Lucida Sans Unicode"/>
          <w:spacing w:val="-2"/>
          <w:w w:val="105"/>
          <w:vertAlign w:val="baseline"/>
        </w:rPr>
        <w:t> </w:t>
      </w:r>
      <w:r>
        <w:rPr>
          <w:rFonts w:ascii="Lucida Sans Unicode"/>
          <w:w w:val="105"/>
          <w:vertAlign w:val="baseline"/>
        </w:rPr>
        <w:t>Northern </w:t>
      </w:r>
      <w:r>
        <w:rPr>
          <w:w w:val="105"/>
          <w:vertAlign w:val="baseline"/>
        </w:rPr>
        <w:t>Ireland</w:t>
      </w:r>
      <w:r>
        <w:rPr>
          <w:spacing w:val="40"/>
          <w:w w:val="105"/>
          <w:vertAlign w:val="baseline"/>
        </w:rPr>
        <w:t> </w:t>
      </w:r>
      <w:r>
        <w:rPr>
          <w:w w:val="105"/>
          <w:vertAlign w:val="baseline"/>
        </w:rPr>
        <w:t>Assembly</w:t>
      </w:r>
      <w:r>
        <w:rPr>
          <w:spacing w:val="40"/>
          <w:w w:val="105"/>
          <w:vertAlign w:val="baseline"/>
        </w:rPr>
        <w:t> </w:t>
      </w:r>
      <w:r>
        <w:rPr>
          <w:w w:val="105"/>
          <w:vertAlign w:val="baseline"/>
        </w:rPr>
        <w:t>to</w:t>
      </w:r>
      <w:r>
        <w:rPr>
          <w:spacing w:val="40"/>
          <w:w w:val="105"/>
          <w:vertAlign w:val="baseline"/>
        </w:rPr>
        <w:t> </w:t>
      </w:r>
      <w:r>
        <w:rPr>
          <w:w w:val="105"/>
          <w:vertAlign w:val="baseline"/>
        </w:rPr>
        <w:t>periodically</w:t>
      </w:r>
      <w:r>
        <w:rPr>
          <w:spacing w:val="40"/>
          <w:w w:val="105"/>
          <w:vertAlign w:val="baseline"/>
        </w:rPr>
        <w:t> </w:t>
      </w:r>
      <w:r>
        <w:rPr>
          <w:w w:val="105"/>
          <w:vertAlign w:val="baseline"/>
        </w:rPr>
        <w:t>vote to</w:t>
      </w:r>
      <w:r>
        <w:rPr>
          <w:spacing w:val="63"/>
          <w:w w:val="105"/>
          <w:vertAlign w:val="baseline"/>
        </w:rPr>
        <w:t> </w:t>
      </w:r>
      <w:r>
        <w:rPr>
          <w:w w:val="105"/>
          <w:vertAlign w:val="baseline"/>
        </w:rPr>
        <w:t>determine</w:t>
      </w:r>
      <w:r>
        <w:rPr>
          <w:spacing w:val="63"/>
          <w:w w:val="105"/>
          <w:vertAlign w:val="baseline"/>
        </w:rPr>
        <w:t> </w:t>
      </w:r>
      <w:r>
        <w:rPr>
          <w:w w:val="105"/>
          <w:vertAlign w:val="baseline"/>
        </w:rPr>
        <w:t>whether</w:t>
      </w:r>
      <w:r>
        <w:rPr>
          <w:spacing w:val="63"/>
          <w:w w:val="105"/>
          <w:vertAlign w:val="baseline"/>
        </w:rPr>
        <w:t> </w:t>
      </w:r>
      <w:r>
        <w:rPr>
          <w:w w:val="105"/>
          <w:vertAlign w:val="baseline"/>
        </w:rPr>
        <w:t>to</w:t>
      </w:r>
      <w:r>
        <w:rPr>
          <w:spacing w:val="63"/>
          <w:w w:val="105"/>
          <w:vertAlign w:val="baseline"/>
        </w:rPr>
        <w:t> </w:t>
      </w:r>
      <w:r>
        <w:rPr>
          <w:w w:val="105"/>
          <w:vertAlign w:val="baseline"/>
        </w:rPr>
        <w:t>continue</w:t>
      </w:r>
      <w:r>
        <w:rPr>
          <w:spacing w:val="80"/>
          <w:w w:val="150"/>
          <w:vertAlign w:val="baseline"/>
        </w:rPr>
        <w:t> </w:t>
      </w:r>
      <w:r>
        <w:rPr>
          <w:rFonts w:ascii="Lucida Sans Unicode"/>
          <w:w w:val="105"/>
          <w:vertAlign w:val="baseline"/>
        </w:rPr>
        <w:t>the</w:t>
      </w:r>
      <w:r>
        <w:rPr>
          <w:rFonts w:ascii="Lucida Sans Unicode"/>
          <w:spacing w:val="-6"/>
          <w:w w:val="105"/>
          <w:vertAlign w:val="baseline"/>
        </w:rPr>
        <w:t> </w:t>
      </w:r>
      <w:r>
        <w:rPr>
          <w:rFonts w:ascii="Lucida Sans Unicode"/>
          <w:w w:val="105"/>
          <w:vertAlign w:val="baseline"/>
        </w:rPr>
        <w:t>application</w:t>
      </w:r>
      <w:r>
        <w:rPr>
          <w:rFonts w:ascii="Lucida Sans Unicode"/>
          <w:spacing w:val="-6"/>
          <w:w w:val="105"/>
          <w:vertAlign w:val="baseline"/>
        </w:rPr>
        <w:t> </w:t>
      </w:r>
      <w:r>
        <w:rPr>
          <w:rFonts w:ascii="Lucida Sans Unicode"/>
          <w:w w:val="105"/>
          <w:vertAlign w:val="baseline"/>
        </w:rPr>
        <w:t>of</w:t>
      </w:r>
      <w:r>
        <w:rPr>
          <w:rFonts w:ascii="Lucida Sans Unicode"/>
          <w:spacing w:val="-6"/>
          <w:w w:val="105"/>
          <w:vertAlign w:val="baseline"/>
        </w:rPr>
        <w:t> </w:t>
      </w:r>
      <w:r>
        <w:rPr>
          <w:rFonts w:ascii="Lucida Sans Unicode"/>
          <w:w w:val="105"/>
          <w:vertAlign w:val="baseline"/>
        </w:rPr>
        <w:t>Articles</w:t>
      </w:r>
      <w:r>
        <w:rPr>
          <w:rFonts w:ascii="Lucida Sans Unicode"/>
          <w:spacing w:val="-6"/>
          <w:w w:val="105"/>
          <w:vertAlign w:val="baseline"/>
        </w:rPr>
        <w:t> </w:t>
      </w:r>
      <w:r>
        <w:rPr>
          <w:rFonts w:ascii="Lucida Sans Unicode"/>
          <w:vertAlign w:val="baseline"/>
        </w:rPr>
        <w:t>5-10</w:t>
      </w:r>
      <w:r>
        <w:rPr>
          <w:rFonts w:ascii="Lucida Sans Unicode"/>
          <w:spacing w:val="-2"/>
          <w:vertAlign w:val="baseline"/>
        </w:rPr>
        <w:t> </w:t>
      </w:r>
      <w:r>
        <w:rPr>
          <w:rFonts w:ascii="Lucida Sans Unicode"/>
          <w:w w:val="105"/>
          <w:vertAlign w:val="baseline"/>
        </w:rPr>
        <w:t>of</w:t>
      </w:r>
    </w:p>
    <w:p>
      <w:pPr>
        <w:pStyle w:val="BodyText"/>
        <w:spacing w:line="206" w:lineRule="auto" w:before="28"/>
        <w:ind w:right="318"/>
        <w:rPr>
          <w:rFonts w:ascii="Lucida Sans Unicode"/>
        </w:rPr>
      </w:pPr>
      <w:r>
        <w:rPr>
          <w:w w:val="105"/>
        </w:rPr>
        <w:t>the Protocol in Northern Ireland.</w:t>
      </w:r>
      <w:r>
        <w:rPr>
          <w:rFonts w:ascii="Lucida Sans Unicode"/>
          <w:w w:val="105"/>
          <w:vertAlign w:val="superscript"/>
        </w:rPr>
        <w:t>146</w:t>
      </w:r>
      <w:r>
        <w:rPr>
          <w:rFonts w:ascii="Lucida Sans Unicode"/>
          <w:spacing w:val="40"/>
          <w:w w:val="105"/>
          <w:vertAlign w:val="baseline"/>
        </w:rPr>
        <w:t> </w:t>
      </w:r>
      <w:r>
        <w:rPr>
          <w:rFonts w:ascii="Lucida Sans Unicode"/>
          <w:spacing w:val="-2"/>
          <w:w w:val="105"/>
          <w:vertAlign w:val="baseline"/>
        </w:rPr>
        <w:t>The</w:t>
      </w:r>
      <w:r>
        <w:rPr>
          <w:rFonts w:ascii="Lucida Sans Unicode"/>
          <w:spacing w:val="-18"/>
          <w:w w:val="105"/>
          <w:vertAlign w:val="baseline"/>
        </w:rPr>
        <w:t> </w:t>
      </w:r>
      <w:r>
        <w:rPr>
          <w:rFonts w:ascii="Lucida Sans Unicode"/>
          <w:spacing w:val="-2"/>
          <w:w w:val="105"/>
          <w:vertAlign w:val="baseline"/>
        </w:rPr>
        <w:t>issue</w:t>
      </w:r>
      <w:r>
        <w:rPr>
          <w:rFonts w:ascii="Lucida Sans Unicode"/>
          <w:spacing w:val="-18"/>
          <w:w w:val="105"/>
          <w:vertAlign w:val="baseline"/>
        </w:rPr>
        <w:t> </w:t>
      </w:r>
      <w:r>
        <w:rPr>
          <w:rFonts w:ascii="Lucida Sans Unicode"/>
          <w:spacing w:val="-2"/>
          <w:w w:val="105"/>
          <w:vertAlign w:val="baseline"/>
        </w:rPr>
        <w:t>for</w:t>
      </w:r>
      <w:r>
        <w:rPr>
          <w:rFonts w:ascii="Lucida Sans Unicode"/>
          <w:spacing w:val="-18"/>
          <w:w w:val="105"/>
          <w:vertAlign w:val="baseline"/>
        </w:rPr>
        <w:t> </w:t>
      </w:r>
      <w:r>
        <w:rPr>
          <w:rFonts w:ascii="Lucida Sans Unicode"/>
          <w:spacing w:val="-2"/>
          <w:w w:val="105"/>
          <w:vertAlign w:val="baseline"/>
        </w:rPr>
        <w:t>the</w:t>
      </w:r>
      <w:r>
        <w:rPr>
          <w:rFonts w:ascii="Lucida Sans Unicode"/>
          <w:spacing w:val="-18"/>
          <w:w w:val="105"/>
          <w:vertAlign w:val="baseline"/>
        </w:rPr>
        <w:t> </w:t>
      </w:r>
      <w:r>
        <w:rPr>
          <w:rFonts w:ascii="Lucida Sans Unicode"/>
          <w:spacing w:val="-2"/>
          <w:w w:val="105"/>
          <w:vertAlign w:val="baseline"/>
        </w:rPr>
        <w:t>Supreme</w:t>
      </w:r>
      <w:r>
        <w:rPr>
          <w:rFonts w:ascii="Lucida Sans Unicode"/>
          <w:spacing w:val="-18"/>
          <w:w w:val="105"/>
          <w:vertAlign w:val="baseline"/>
        </w:rPr>
        <w:t> </w:t>
      </w:r>
      <w:r>
        <w:rPr>
          <w:rFonts w:ascii="Lucida Sans Unicode"/>
          <w:spacing w:val="-2"/>
          <w:w w:val="105"/>
          <w:vertAlign w:val="baseline"/>
        </w:rPr>
        <w:t>Court</w:t>
      </w:r>
      <w:r>
        <w:rPr>
          <w:rFonts w:ascii="Lucida Sans Unicode"/>
          <w:spacing w:val="-18"/>
          <w:w w:val="105"/>
          <w:vertAlign w:val="baseline"/>
        </w:rPr>
        <w:t> </w:t>
      </w:r>
      <w:r>
        <w:rPr>
          <w:rFonts w:ascii="Lucida Sans Unicode"/>
          <w:spacing w:val="-2"/>
          <w:w w:val="105"/>
          <w:vertAlign w:val="baseline"/>
        </w:rPr>
        <w:t>was</w:t>
      </w:r>
    </w:p>
    <w:p>
      <w:pPr>
        <w:pStyle w:val="BodyText"/>
        <w:spacing w:line="276" w:lineRule="auto" w:before="3"/>
        <w:ind w:right="325"/>
      </w:pPr>
      <w:r>
        <w:rPr>
          <w:w w:val="110"/>
        </w:rPr>
        <w:t>the fact that the Assembly’s vote in this regard disapplies the petition of concern mechanism, by which a </w:t>
      </w:r>
      <w:r>
        <w:rPr>
          <w:w w:val="110"/>
        </w:rPr>
        <w:t>third</w:t>
      </w:r>
    </w:p>
    <w:p>
      <w:pPr>
        <w:spacing w:after="0" w:line="276" w:lineRule="auto"/>
        <w:sectPr>
          <w:type w:val="continuous"/>
          <w:pgSz w:w="11910" w:h="16840"/>
          <w:pgMar w:header="568" w:footer="580" w:top="0" w:bottom="280" w:left="1020" w:right="1020"/>
          <w:cols w:num="2" w:equalWidth="0">
            <w:col w:w="4745" w:space="300"/>
            <w:col w:w="4825"/>
          </w:cols>
        </w:sectPr>
      </w:pPr>
    </w:p>
    <w:p>
      <w:pPr>
        <w:pStyle w:val="BodyText"/>
        <w:spacing w:before="2" w:after="1"/>
        <w:ind w:left="0"/>
        <w:rPr>
          <w:sz w:val="13"/>
        </w:rPr>
      </w:pPr>
    </w:p>
    <w:p>
      <w:pPr>
        <w:pStyle w:val="BodyText"/>
        <w:spacing w:line="20" w:lineRule="exact"/>
        <w:rPr>
          <w:sz w:val="2"/>
        </w:rPr>
      </w:pPr>
      <w:r>
        <w:rPr>
          <w:sz w:val="2"/>
        </w:rPr>
        <mc:AlternateContent>
          <mc:Choice Requires="wps">
            <w:drawing>
              <wp:inline distT="0" distB="0" distL="0" distR="0">
                <wp:extent cx="6120130" cy="6350"/>
                <wp:effectExtent l="9525" t="0" r="0" b="3175"/>
                <wp:docPr id="113" name="Group 113"/>
                <wp:cNvGraphicFramePr>
                  <a:graphicFrameLocks/>
                </wp:cNvGraphicFramePr>
                <a:graphic>
                  <a:graphicData uri="http://schemas.microsoft.com/office/word/2010/wordprocessingGroup">
                    <wpg:wgp>
                      <wpg:cNvPr id="113" name="Group 113"/>
                      <wpg:cNvGrpSpPr/>
                      <wpg:grpSpPr>
                        <a:xfrm>
                          <a:off x="0" y="0"/>
                          <a:ext cx="6120130" cy="6350"/>
                          <a:chExt cx="6120130" cy="6350"/>
                        </a:xfrm>
                      </wpg:grpSpPr>
                      <wps:wsp>
                        <wps:cNvPr id="114" name="Graphic 114"/>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75"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5" w:val="left" w:leader="none"/>
        </w:tabs>
        <w:spacing w:line="223" w:lineRule="exact" w:before="61" w:after="0"/>
        <w:ind w:left="565" w:right="0" w:hanging="452"/>
        <w:jc w:val="left"/>
        <w:rPr>
          <w:sz w:val="16"/>
        </w:rPr>
      </w:pPr>
      <w:r>
        <w:rPr>
          <w:w w:val="105"/>
          <w:sz w:val="16"/>
        </w:rPr>
        <w:t>EUWA,</w:t>
      </w:r>
      <w:r>
        <w:rPr>
          <w:spacing w:val="8"/>
          <w:w w:val="105"/>
          <w:sz w:val="16"/>
        </w:rPr>
        <w:t> </w:t>
      </w:r>
      <w:r>
        <w:rPr>
          <w:w w:val="105"/>
          <w:sz w:val="16"/>
        </w:rPr>
        <w:t>s</w:t>
      </w:r>
      <w:r>
        <w:rPr>
          <w:spacing w:val="8"/>
          <w:w w:val="105"/>
          <w:sz w:val="16"/>
        </w:rPr>
        <w:t> </w:t>
      </w:r>
      <w:r>
        <w:rPr>
          <w:spacing w:val="-2"/>
          <w:w w:val="105"/>
          <w:sz w:val="16"/>
        </w:rPr>
        <w:t>7A(3).</w:t>
      </w:r>
    </w:p>
    <w:p>
      <w:pPr>
        <w:pStyle w:val="ListParagraph"/>
        <w:numPr>
          <w:ilvl w:val="0"/>
          <w:numId w:val="6"/>
        </w:numPr>
        <w:tabs>
          <w:tab w:pos="566" w:val="left" w:leader="none"/>
        </w:tabs>
        <w:spacing w:line="200" w:lineRule="exact" w:before="0" w:after="0"/>
        <w:ind w:left="566" w:right="0" w:hanging="453"/>
        <w:jc w:val="left"/>
        <w:rPr>
          <w:sz w:val="16"/>
        </w:rPr>
      </w:pPr>
      <w:r>
        <w:rPr>
          <w:w w:val="110"/>
          <w:sz w:val="16"/>
        </w:rPr>
        <w:t>EUWA</w:t>
      </w:r>
      <w:r>
        <w:rPr>
          <w:spacing w:val="-1"/>
          <w:w w:val="110"/>
          <w:sz w:val="16"/>
        </w:rPr>
        <w:t> </w:t>
      </w:r>
      <w:r>
        <w:rPr>
          <w:w w:val="110"/>
          <w:sz w:val="16"/>
        </w:rPr>
        <w:t>s </w:t>
      </w:r>
      <w:r>
        <w:rPr>
          <w:spacing w:val="-2"/>
          <w:w w:val="110"/>
          <w:sz w:val="16"/>
        </w:rPr>
        <w:t>7C(2)(a).</w:t>
      </w:r>
    </w:p>
    <w:p>
      <w:pPr>
        <w:pStyle w:val="ListParagraph"/>
        <w:numPr>
          <w:ilvl w:val="0"/>
          <w:numId w:val="6"/>
        </w:numPr>
        <w:tabs>
          <w:tab w:pos="565" w:val="left" w:leader="none"/>
        </w:tabs>
        <w:spacing w:line="200" w:lineRule="exact" w:before="0" w:after="0"/>
        <w:ind w:left="565" w:right="0" w:hanging="452"/>
        <w:jc w:val="left"/>
        <w:rPr>
          <w:sz w:val="16"/>
        </w:rPr>
      </w:pPr>
      <w:r>
        <w:rPr>
          <w:w w:val="110"/>
          <w:sz w:val="16"/>
        </w:rPr>
        <w:t>EUWA</w:t>
      </w:r>
      <w:r>
        <w:rPr>
          <w:spacing w:val="-1"/>
          <w:w w:val="110"/>
          <w:sz w:val="16"/>
        </w:rPr>
        <w:t> </w:t>
      </w:r>
      <w:r>
        <w:rPr>
          <w:w w:val="110"/>
          <w:sz w:val="16"/>
        </w:rPr>
        <w:t>s </w:t>
      </w:r>
      <w:r>
        <w:rPr>
          <w:spacing w:val="-2"/>
          <w:w w:val="110"/>
          <w:sz w:val="16"/>
        </w:rPr>
        <w:t>7C(2)(c).</w:t>
      </w:r>
    </w:p>
    <w:p>
      <w:pPr>
        <w:pStyle w:val="ListParagraph"/>
        <w:numPr>
          <w:ilvl w:val="0"/>
          <w:numId w:val="6"/>
        </w:numPr>
        <w:tabs>
          <w:tab w:pos="567" w:val="left" w:leader="none"/>
        </w:tabs>
        <w:spacing w:line="200" w:lineRule="exact" w:before="0" w:after="0"/>
        <w:ind w:left="567" w:right="0" w:hanging="454"/>
        <w:jc w:val="left"/>
        <w:rPr>
          <w:sz w:val="16"/>
        </w:rPr>
      </w:pPr>
      <w:r>
        <w:rPr>
          <w:w w:val="105"/>
          <w:sz w:val="16"/>
        </w:rPr>
        <w:t>EUWA s 5(7)</w:t>
      </w:r>
      <w:r>
        <w:rPr>
          <w:spacing w:val="1"/>
          <w:w w:val="105"/>
          <w:sz w:val="16"/>
        </w:rPr>
        <w:t> </w:t>
      </w:r>
      <w:r>
        <w:rPr>
          <w:w w:val="105"/>
          <w:sz w:val="16"/>
        </w:rPr>
        <w:t>and s 7C(2)</w:t>
      </w:r>
      <w:r>
        <w:rPr>
          <w:spacing w:val="1"/>
          <w:w w:val="105"/>
          <w:sz w:val="16"/>
        </w:rPr>
        <w:t> </w:t>
      </w:r>
      <w:r>
        <w:rPr>
          <w:w w:val="105"/>
          <w:sz w:val="16"/>
        </w:rPr>
        <w:t>and </w:t>
      </w:r>
      <w:r>
        <w:rPr>
          <w:spacing w:val="-4"/>
          <w:w w:val="105"/>
          <w:sz w:val="16"/>
        </w:rPr>
        <w:t>(3).</w:t>
      </w:r>
    </w:p>
    <w:p>
      <w:pPr>
        <w:pStyle w:val="ListParagraph"/>
        <w:numPr>
          <w:ilvl w:val="0"/>
          <w:numId w:val="6"/>
        </w:numPr>
        <w:tabs>
          <w:tab w:pos="565" w:val="left" w:leader="none"/>
        </w:tabs>
        <w:spacing w:line="200" w:lineRule="exact" w:before="0" w:after="0"/>
        <w:ind w:left="565" w:right="0" w:hanging="452"/>
        <w:jc w:val="left"/>
        <w:rPr>
          <w:sz w:val="16"/>
        </w:rPr>
      </w:pPr>
      <w:r>
        <w:rPr>
          <w:rFonts w:ascii="Verdana"/>
          <w:i/>
          <w:sz w:val="16"/>
        </w:rPr>
        <w:t>SPUC </w:t>
      </w:r>
      <w:r>
        <w:rPr>
          <w:sz w:val="16"/>
        </w:rPr>
        <w:t>(n</w:t>
      </w:r>
      <w:r>
        <w:rPr>
          <w:spacing w:val="7"/>
          <w:sz w:val="16"/>
        </w:rPr>
        <w:t> </w:t>
      </w:r>
      <w:r>
        <w:rPr>
          <w:sz w:val="16"/>
        </w:rPr>
        <w:t>43),</w:t>
      </w:r>
      <w:r>
        <w:rPr>
          <w:spacing w:val="6"/>
          <w:sz w:val="16"/>
        </w:rPr>
        <w:t> </w:t>
      </w:r>
      <w:r>
        <w:rPr>
          <w:sz w:val="16"/>
        </w:rPr>
        <w:t>para</w:t>
      </w:r>
      <w:r>
        <w:rPr>
          <w:spacing w:val="7"/>
          <w:sz w:val="16"/>
        </w:rPr>
        <w:t> </w:t>
      </w:r>
      <w:r>
        <w:rPr>
          <w:spacing w:val="-5"/>
          <w:sz w:val="16"/>
        </w:rPr>
        <w:t>78.</w:t>
      </w:r>
    </w:p>
    <w:p>
      <w:pPr>
        <w:pStyle w:val="ListParagraph"/>
        <w:numPr>
          <w:ilvl w:val="0"/>
          <w:numId w:val="6"/>
        </w:numPr>
        <w:tabs>
          <w:tab w:pos="566" w:val="left" w:leader="none"/>
        </w:tabs>
        <w:spacing w:line="200" w:lineRule="exact" w:before="0" w:after="0"/>
        <w:ind w:left="566" w:right="0" w:hanging="453"/>
        <w:jc w:val="left"/>
        <w:rPr>
          <w:sz w:val="16"/>
        </w:rPr>
      </w:pPr>
      <w:r>
        <w:rPr>
          <w:rFonts w:ascii="Verdana" w:hAnsi="Verdana"/>
          <w:i/>
          <w:sz w:val="16"/>
        </w:rPr>
        <w:t>Allister</w:t>
      </w:r>
      <w:r>
        <w:rPr>
          <w:rFonts w:ascii="Verdana" w:hAnsi="Verdana"/>
          <w:i/>
          <w:spacing w:val="-12"/>
          <w:sz w:val="16"/>
        </w:rPr>
        <w:t> </w:t>
      </w:r>
      <w:r>
        <w:rPr>
          <w:rFonts w:ascii="Verdana" w:hAnsi="Verdana"/>
          <w:i/>
          <w:sz w:val="16"/>
        </w:rPr>
        <w:t>and</w:t>
      </w:r>
      <w:r>
        <w:rPr>
          <w:rFonts w:ascii="Verdana" w:hAnsi="Verdana"/>
          <w:i/>
          <w:spacing w:val="-11"/>
          <w:sz w:val="16"/>
        </w:rPr>
        <w:t> </w:t>
      </w:r>
      <w:r>
        <w:rPr>
          <w:rFonts w:ascii="Verdana" w:hAnsi="Verdana"/>
          <w:i/>
          <w:sz w:val="16"/>
        </w:rPr>
        <w:t>Peeples’</w:t>
      </w:r>
      <w:r>
        <w:rPr>
          <w:rFonts w:ascii="Verdana" w:hAnsi="Verdana"/>
          <w:i/>
          <w:spacing w:val="-12"/>
          <w:sz w:val="16"/>
        </w:rPr>
        <w:t> </w:t>
      </w:r>
      <w:r>
        <w:rPr>
          <w:rFonts w:ascii="Verdana" w:hAnsi="Verdana"/>
          <w:i/>
          <w:sz w:val="16"/>
        </w:rPr>
        <w:t>applications</w:t>
      </w:r>
      <w:r>
        <w:rPr>
          <w:rFonts w:ascii="Verdana" w:hAnsi="Verdana"/>
          <w:i/>
          <w:spacing w:val="-11"/>
          <w:sz w:val="16"/>
        </w:rPr>
        <w:t> </w:t>
      </w:r>
      <w:r>
        <w:rPr>
          <w:rFonts w:ascii="Verdana" w:hAnsi="Verdana"/>
          <w:i/>
          <w:sz w:val="16"/>
        </w:rPr>
        <w:t>for</w:t>
      </w:r>
      <w:r>
        <w:rPr>
          <w:rFonts w:ascii="Verdana" w:hAnsi="Verdana"/>
          <w:i/>
          <w:spacing w:val="-12"/>
          <w:sz w:val="16"/>
        </w:rPr>
        <w:t> </w:t>
      </w:r>
      <w:r>
        <w:rPr>
          <w:rFonts w:ascii="Verdana" w:hAnsi="Verdana"/>
          <w:i/>
          <w:sz w:val="16"/>
        </w:rPr>
        <w:t>judicial</w:t>
      </w:r>
      <w:r>
        <w:rPr>
          <w:rFonts w:ascii="Verdana" w:hAnsi="Verdana"/>
          <w:i/>
          <w:spacing w:val="-11"/>
          <w:sz w:val="16"/>
        </w:rPr>
        <w:t> </w:t>
      </w:r>
      <w:r>
        <w:rPr>
          <w:rFonts w:ascii="Verdana" w:hAnsi="Verdana"/>
          <w:i/>
          <w:sz w:val="16"/>
        </w:rPr>
        <w:t>review</w:t>
      </w:r>
      <w:r>
        <w:rPr>
          <w:rFonts w:ascii="Verdana" w:hAnsi="Verdana"/>
          <w:i/>
          <w:spacing w:val="-12"/>
          <w:sz w:val="16"/>
        </w:rPr>
        <w:t> </w:t>
      </w:r>
      <w:r>
        <w:rPr>
          <w:sz w:val="16"/>
        </w:rPr>
        <w:t>[2022]</w:t>
      </w:r>
      <w:r>
        <w:rPr>
          <w:spacing w:val="-5"/>
          <w:sz w:val="16"/>
        </w:rPr>
        <w:t> </w:t>
      </w:r>
      <w:r>
        <w:rPr>
          <w:sz w:val="16"/>
        </w:rPr>
        <w:t>NICA</w:t>
      </w:r>
      <w:r>
        <w:rPr>
          <w:spacing w:val="-5"/>
          <w:sz w:val="16"/>
        </w:rPr>
        <w:t> </w:t>
      </w:r>
      <w:r>
        <w:rPr>
          <w:sz w:val="16"/>
        </w:rPr>
        <w:t>15,</w:t>
      </w:r>
      <w:r>
        <w:rPr>
          <w:spacing w:val="-6"/>
          <w:sz w:val="16"/>
        </w:rPr>
        <w:t> </w:t>
      </w:r>
      <w:r>
        <w:rPr>
          <w:sz w:val="16"/>
        </w:rPr>
        <w:t>para</w:t>
      </w:r>
      <w:r>
        <w:rPr>
          <w:spacing w:val="-5"/>
          <w:sz w:val="16"/>
        </w:rPr>
        <w:t> </w:t>
      </w:r>
      <w:r>
        <w:rPr>
          <w:spacing w:val="-4"/>
          <w:sz w:val="16"/>
        </w:rPr>
        <w:t>328.</w:t>
      </w:r>
    </w:p>
    <w:p>
      <w:pPr>
        <w:pStyle w:val="ListParagraph"/>
        <w:numPr>
          <w:ilvl w:val="0"/>
          <w:numId w:val="6"/>
        </w:numPr>
        <w:tabs>
          <w:tab w:pos="566" w:val="left" w:leader="none"/>
        </w:tabs>
        <w:spacing w:line="200" w:lineRule="exact" w:before="0" w:after="0"/>
        <w:ind w:left="566" w:right="0" w:hanging="453"/>
        <w:jc w:val="left"/>
        <w:rPr>
          <w:sz w:val="16"/>
        </w:rPr>
      </w:pPr>
      <w:r>
        <w:rPr>
          <w:rFonts w:ascii="Verdana"/>
          <w:i/>
          <w:sz w:val="16"/>
        </w:rPr>
        <w:t>Allister</w:t>
      </w:r>
      <w:r>
        <w:rPr>
          <w:rFonts w:ascii="Verdana"/>
          <w:i/>
          <w:spacing w:val="4"/>
          <w:sz w:val="16"/>
        </w:rPr>
        <w:t> </w:t>
      </w:r>
      <w:r>
        <w:rPr>
          <w:rFonts w:ascii="Verdana"/>
          <w:i/>
          <w:sz w:val="16"/>
        </w:rPr>
        <w:t>and</w:t>
      </w:r>
      <w:r>
        <w:rPr>
          <w:rFonts w:ascii="Verdana"/>
          <w:i/>
          <w:spacing w:val="5"/>
          <w:sz w:val="16"/>
        </w:rPr>
        <w:t> </w:t>
      </w:r>
      <w:r>
        <w:rPr>
          <w:rFonts w:ascii="Verdana"/>
          <w:i/>
          <w:sz w:val="16"/>
        </w:rPr>
        <w:t>Peeples</w:t>
      </w:r>
      <w:r>
        <w:rPr>
          <w:rFonts w:ascii="Verdana"/>
          <w:i/>
          <w:spacing w:val="4"/>
          <w:sz w:val="16"/>
        </w:rPr>
        <w:t> </w:t>
      </w:r>
      <w:r>
        <w:rPr>
          <w:sz w:val="16"/>
        </w:rPr>
        <w:t>[2023]</w:t>
      </w:r>
      <w:r>
        <w:rPr>
          <w:spacing w:val="11"/>
          <w:sz w:val="16"/>
        </w:rPr>
        <w:t> </w:t>
      </w:r>
      <w:r>
        <w:rPr>
          <w:sz w:val="16"/>
        </w:rPr>
        <w:t>UKSC</w:t>
      </w:r>
      <w:r>
        <w:rPr>
          <w:spacing w:val="10"/>
          <w:sz w:val="16"/>
        </w:rPr>
        <w:t> </w:t>
      </w:r>
      <w:r>
        <w:rPr>
          <w:spacing w:val="-5"/>
          <w:sz w:val="16"/>
        </w:rPr>
        <w:t>5.</w:t>
      </w:r>
    </w:p>
    <w:p>
      <w:pPr>
        <w:pStyle w:val="ListParagraph"/>
        <w:numPr>
          <w:ilvl w:val="0"/>
          <w:numId w:val="6"/>
        </w:numPr>
        <w:tabs>
          <w:tab w:pos="566" w:val="left" w:leader="none"/>
        </w:tabs>
        <w:spacing w:line="200" w:lineRule="exact" w:before="0" w:after="0"/>
        <w:ind w:left="566" w:right="0" w:hanging="453"/>
        <w:jc w:val="left"/>
        <w:rPr>
          <w:sz w:val="16"/>
        </w:rPr>
      </w:pPr>
      <w:r>
        <w:rPr>
          <w:rFonts w:ascii="Verdana"/>
          <w:i/>
          <w:spacing w:val="-2"/>
          <w:sz w:val="16"/>
        </w:rPr>
        <w:t>Ibid</w:t>
      </w:r>
      <w:r>
        <w:rPr>
          <w:spacing w:val="-2"/>
          <w:sz w:val="16"/>
        </w:rPr>
        <w:t>.,</w:t>
      </w:r>
      <w:r>
        <w:rPr>
          <w:spacing w:val="-8"/>
          <w:sz w:val="16"/>
        </w:rPr>
        <w:t> </w:t>
      </w:r>
      <w:r>
        <w:rPr>
          <w:spacing w:val="-2"/>
          <w:sz w:val="16"/>
        </w:rPr>
        <w:t>para</w:t>
      </w:r>
      <w:r>
        <w:rPr>
          <w:spacing w:val="-7"/>
          <w:sz w:val="16"/>
        </w:rPr>
        <w:t> </w:t>
      </w:r>
      <w:r>
        <w:rPr>
          <w:spacing w:val="-5"/>
          <w:sz w:val="16"/>
        </w:rPr>
        <w:t>86.</w:t>
      </w:r>
    </w:p>
    <w:p>
      <w:pPr>
        <w:pStyle w:val="ListParagraph"/>
        <w:numPr>
          <w:ilvl w:val="0"/>
          <w:numId w:val="6"/>
        </w:numPr>
        <w:tabs>
          <w:tab w:pos="565" w:val="left" w:leader="none"/>
        </w:tabs>
        <w:spacing w:line="223" w:lineRule="exact" w:before="0" w:after="0"/>
        <w:ind w:left="565" w:right="0" w:hanging="452"/>
        <w:jc w:val="left"/>
        <w:rPr>
          <w:sz w:val="16"/>
        </w:rPr>
      </w:pPr>
      <w:r>
        <w:rPr>
          <w:sz w:val="16"/>
        </w:rPr>
        <w:t>WA,</w:t>
      </w:r>
      <w:r>
        <w:rPr>
          <w:spacing w:val="19"/>
          <w:sz w:val="16"/>
        </w:rPr>
        <w:t> </w:t>
      </w:r>
      <w:r>
        <w:rPr>
          <w:sz w:val="16"/>
        </w:rPr>
        <w:t>Windsor</w:t>
      </w:r>
      <w:r>
        <w:rPr>
          <w:spacing w:val="19"/>
          <w:sz w:val="16"/>
        </w:rPr>
        <w:t> </w:t>
      </w:r>
      <w:r>
        <w:rPr>
          <w:sz w:val="16"/>
        </w:rPr>
        <w:t>Framework,</w:t>
      </w:r>
      <w:r>
        <w:rPr>
          <w:spacing w:val="19"/>
          <w:sz w:val="16"/>
        </w:rPr>
        <w:t> </w:t>
      </w:r>
      <w:r>
        <w:rPr>
          <w:sz w:val="16"/>
        </w:rPr>
        <w:t>art</w:t>
      </w:r>
      <w:r>
        <w:rPr>
          <w:spacing w:val="19"/>
          <w:sz w:val="16"/>
        </w:rPr>
        <w:t> </w:t>
      </w:r>
      <w:r>
        <w:rPr>
          <w:spacing w:val="-2"/>
          <w:sz w:val="16"/>
        </w:rPr>
        <w:t>18(1).</w:t>
      </w:r>
    </w:p>
    <w:p>
      <w:pPr>
        <w:spacing w:after="0" w:line="223" w:lineRule="exact"/>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310" w:lineRule="exact" w:before="49"/>
        <w:ind w:right="165"/>
        <w:rPr>
          <w:rFonts w:ascii="Lucida Sans Unicode" w:hAnsi="Lucida Sans Unicode"/>
        </w:rPr>
      </w:pPr>
      <w:r>
        <w:rPr>
          <w:w w:val="110"/>
        </w:rPr>
        <w:t>of Assembly Members may trigger a petition to subject a given matter on which the Assembly votes, to cross- community</w:t>
      </w:r>
      <w:r>
        <w:rPr>
          <w:spacing w:val="-7"/>
          <w:w w:val="110"/>
        </w:rPr>
        <w:t> </w:t>
      </w:r>
      <w:r>
        <w:rPr>
          <w:w w:val="110"/>
        </w:rPr>
        <w:t>consent.</w:t>
      </w:r>
      <w:r>
        <w:rPr>
          <w:rFonts w:ascii="Lucida Sans Unicode" w:hAnsi="Lucida Sans Unicode"/>
          <w:w w:val="110"/>
          <w:vertAlign w:val="superscript"/>
        </w:rPr>
        <w:t>147</w:t>
      </w:r>
      <w:r>
        <w:rPr>
          <w:rFonts w:ascii="Lucida Sans Unicode" w:hAnsi="Lucida Sans Unicode"/>
          <w:spacing w:val="-17"/>
          <w:w w:val="110"/>
          <w:vertAlign w:val="baseline"/>
        </w:rPr>
        <w:t> </w:t>
      </w:r>
      <w:r>
        <w:rPr>
          <w:rFonts w:ascii="Lucida Sans Unicode" w:hAnsi="Lucida Sans Unicode"/>
          <w:w w:val="110"/>
          <w:vertAlign w:val="baseline"/>
        </w:rPr>
        <w:t>Article</w:t>
      </w:r>
      <w:r>
        <w:rPr>
          <w:rFonts w:ascii="Lucida Sans Unicode" w:hAnsi="Lucida Sans Unicode"/>
          <w:spacing w:val="-17"/>
          <w:w w:val="110"/>
          <w:vertAlign w:val="baseline"/>
        </w:rPr>
        <w:t> </w:t>
      </w:r>
      <w:r>
        <w:rPr>
          <w:rFonts w:ascii="Lucida Sans Unicode" w:hAnsi="Lucida Sans Unicode"/>
          <w:w w:val="110"/>
          <w:vertAlign w:val="baseline"/>
        </w:rPr>
        <w:t>18(2) </w:t>
      </w:r>
      <w:r>
        <w:rPr>
          <w:w w:val="110"/>
          <w:vertAlign w:val="baseline"/>
        </w:rPr>
        <w:t>WA requires that the Assembly vote</w:t>
      </w:r>
      <w:r>
        <w:rPr>
          <w:spacing w:val="80"/>
          <w:w w:val="110"/>
          <w:vertAlign w:val="baseline"/>
        </w:rPr>
        <w:t> </w:t>
      </w:r>
      <w:r>
        <w:rPr>
          <w:rFonts w:ascii="Lucida Sans Unicode" w:hAnsi="Lucida Sans Unicode"/>
          <w:vertAlign w:val="baseline"/>
        </w:rPr>
        <w:t>on Articles 5-10 of the Protocol be </w:t>
      </w:r>
      <w:r>
        <w:rPr>
          <w:w w:val="110"/>
          <w:vertAlign w:val="baseline"/>
        </w:rPr>
        <w:t>carried out ‘strictly in accordance </w:t>
      </w:r>
      <w:r>
        <w:rPr>
          <w:w w:val="110"/>
          <w:vertAlign w:val="baseline"/>
        </w:rPr>
        <w:t>with </w:t>
      </w:r>
      <w:r>
        <w:rPr>
          <w:rFonts w:ascii="Lucida Sans Unicode" w:hAnsi="Lucida Sans Unicode"/>
          <w:vertAlign w:val="baseline"/>
        </w:rPr>
        <w:t>the unilateral declaration […] made</w:t>
      </w:r>
    </w:p>
    <w:p>
      <w:pPr>
        <w:pStyle w:val="BodyText"/>
        <w:spacing w:line="310" w:lineRule="exact"/>
        <w:ind w:right="76"/>
        <w:rPr>
          <w:rFonts w:ascii="Lucida Sans Unicode" w:hAnsi="Lucida Sans Unicode"/>
        </w:rPr>
      </w:pPr>
      <w:r>
        <w:rPr>
          <w:w w:val="105"/>
        </w:rPr>
        <w:t>by the United Kingdom on 17 October</w:t>
      </w:r>
      <w:r>
        <w:rPr>
          <w:spacing w:val="80"/>
          <w:w w:val="105"/>
        </w:rPr>
        <w:t> </w:t>
      </w:r>
      <w:r>
        <w:rPr>
          <w:rFonts w:ascii="Lucida Sans Unicode" w:hAnsi="Lucida Sans Unicode"/>
        </w:rPr>
        <w:t>2019’.</w:t>
      </w:r>
      <w:r>
        <w:rPr>
          <w:rFonts w:ascii="Lucida Sans Unicode" w:hAnsi="Lucida Sans Unicode"/>
          <w:spacing w:val="-19"/>
        </w:rPr>
        <w:t> </w:t>
      </w:r>
      <w:r>
        <w:rPr>
          <w:rFonts w:ascii="Lucida Sans Unicode" w:hAnsi="Lucida Sans Unicode"/>
        </w:rPr>
        <w:t>This</w:t>
      </w:r>
      <w:r>
        <w:rPr>
          <w:rFonts w:ascii="Lucida Sans Unicode" w:hAnsi="Lucida Sans Unicode"/>
          <w:spacing w:val="-19"/>
        </w:rPr>
        <w:t> </w:t>
      </w:r>
      <w:r>
        <w:rPr>
          <w:rFonts w:ascii="Lucida Sans Unicode" w:hAnsi="Lucida Sans Unicode"/>
        </w:rPr>
        <w:t>unilateral</w:t>
      </w:r>
      <w:r>
        <w:rPr>
          <w:rFonts w:ascii="Lucida Sans Unicode" w:hAnsi="Lucida Sans Unicode"/>
          <w:spacing w:val="-19"/>
        </w:rPr>
        <w:t> </w:t>
      </w:r>
      <w:r>
        <w:rPr>
          <w:rFonts w:ascii="Lucida Sans Unicode" w:hAnsi="Lucida Sans Unicode"/>
        </w:rPr>
        <w:t>declaration</w:t>
      </w:r>
      <w:r>
        <w:rPr>
          <w:rFonts w:ascii="Lucida Sans Unicode" w:hAnsi="Lucida Sans Unicode"/>
          <w:spacing w:val="-19"/>
        </w:rPr>
        <w:t> </w:t>
      </w:r>
      <w:r>
        <w:rPr>
          <w:rFonts w:ascii="Lucida Sans Unicode" w:hAnsi="Lucida Sans Unicode"/>
        </w:rPr>
        <w:t>made </w:t>
      </w:r>
      <w:r>
        <w:rPr>
          <w:w w:val="105"/>
        </w:rPr>
        <w:t>no</w:t>
      </w:r>
      <w:r>
        <w:rPr>
          <w:spacing w:val="40"/>
          <w:w w:val="105"/>
        </w:rPr>
        <w:t> </w:t>
      </w:r>
      <w:r>
        <w:rPr>
          <w:w w:val="105"/>
        </w:rPr>
        <w:t>mention</w:t>
      </w:r>
      <w:r>
        <w:rPr>
          <w:spacing w:val="40"/>
          <w:w w:val="105"/>
        </w:rPr>
        <w:t> </w:t>
      </w:r>
      <w:r>
        <w:rPr>
          <w:w w:val="105"/>
        </w:rPr>
        <w:t>of</w:t>
      </w:r>
      <w:r>
        <w:rPr>
          <w:spacing w:val="40"/>
          <w:w w:val="105"/>
        </w:rPr>
        <w:t> </w:t>
      </w:r>
      <w:r>
        <w:rPr>
          <w:w w:val="105"/>
        </w:rPr>
        <w:t>the</w:t>
      </w:r>
      <w:r>
        <w:rPr>
          <w:spacing w:val="40"/>
          <w:w w:val="105"/>
        </w:rPr>
        <w:t> </w:t>
      </w:r>
      <w:r>
        <w:rPr>
          <w:w w:val="105"/>
        </w:rPr>
        <w:t>petition</w:t>
      </w:r>
      <w:r>
        <w:rPr>
          <w:spacing w:val="40"/>
          <w:w w:val="105"/>
        </w:rPr>
        <w:t> </w:t>
      </w:r>
      <w:r>
        <w:rPr>
          <w:w w:val="105"/>
        </w:rPr>
        <w:t>of</w:t>
      </w:r>
      <w:r>
        <w:rPr>
          <w:spacing w:val="40"/>
          <w:w w:val="105"/>
        </w:rPr>
        <w:t> </w:t>
      </w:r>
      <w:r>
        <w:rPr>
          <w:w w:val="105"/>
        </w:rPr>
        <w:t>concern but</w:t>
      </w:r>
      <w:r>
        <w:rPr>
          <w:spacing w:val="40"/>
          <w:w w:val="105"/>
        </w:rPr>
        <w:t> </w:t>
      </w:r>
      <w:r>
        <w:rPr>
          <w:w w:val="105"/>
        </w:rPr>
        <w:t>provided</w:t>
      </w:r>
      <w:r>
        <w:rPr>
          <w:spacing w:val="40"/>
          <w:w w:val="105"/>
        </w:rPr>
        <w:t> </w:t>
      </w:r>
      <w:r>
        <w:rPr>
          <w:w w:val="105"/>
        </w:rPr>
        <w:t>for</w:t>
      </w:r>
      <w:r>
        <w:rPr>
          <w:spacing w:val="40"/>
          <w:w w:val="105"/>
        </w:rPr>
        <w:t> </w:t>
      </w:r>
      <w:r>
        <w:rPr>
          <w:w w:val="105"/>
        </w:rPr>
        <w:t>the</w:t>
      </w:r>
      <w:r>
        <w:rPr>
          <w:spacing w:val="40"/>
          <w:w w:val="105"/>
        </w:rPr>
        <w:t> </w:t>
      </w:r>
      <w:r>
        <w:rPr>
          <w:w w:val="105"/>
        </w:rPr>
        <w:t>Assembly</w:t>
      </w:r>
      <w:r>
        <w:rPr>
          <w:spacing w:val="40"/>
          <w:w w:val="105"/>
        </w:rPr>
        <w:t> </w:t>
      </w:r>
      <w:r>
        <w:rPr>
          <w:w w:val="105"/>
        </w:rPr>
        <w:t>to consent</w:t>
      </w:r>
      <w:r>
        <w:rPr>
          <w:spacing w:val="63"/>
          <w:w w:val="105"/>
        </w:rPr>
        <w:t> </w:t>
      </w:r>
      <w:r>
        <w:rPr>
          <w:w w:val="105"/>
        </w:rPr>
        <w:t>to</w:t>
      </w:r>
      <w:r>
        <w:rPr>
          <w:spacing w:val="63"/>
          <w:w w:val="105"/>
        </w:rPr>
        <w:t> </w:t>
      </w:r>
      <w:r>
        <w:rPr>
          <w:w w:val="105"/>
        </w:rPr>
        <w:t>the</w:t>
      </w:r>
      <w:r>
        <w:rPr>
          <w:spacing w:val="63"/>
          <w:w w:val="105"/>
        </w:rPr>
        <w:t> </w:t>
      </w:r>
      <w:r>
        <w:rPr>
          <w:w w:val="105"/>
        </w:rPr>
        <w:t>continued</w:t>
      </w:r>
      <w:r>
        <w:rPr>
          <w:spacing w:val="63"/>
          <w:w w:val="105"/>
        </w:rPr>
        <w:t> </w:t>
      </w:r>
      <w:r>
        <w:rPr>
          <w:w w:val="105"/>
        </w:rPr>
        <w:t>application </w:t>
      </w:r>
      <w:r>
        <w:rPr>
          <w:rFonts w:ascii="Lucida Sans Unicode" w:hAnsi="Lucida Sans Unicode"/>
        </w:rPr>
        <w:t>of</w:t>
      </w:r>
      <w:r>
        <w:rPr>
          <w:rFonts w:ascii="Lucida Sans Unicode" w:hAnsi="Lucida Sans Unicode"/>
          <w:spacing w:val="-11"/>
        </w:rPr>
        <w:t> </w:t>
      </w:r>
      <w:r>
        <w:rPr>
          <w:rFonts w:ascii="Lucida Sans Unicode" w:hAnsi="Lucida Sans Unicode"/>
        </w:rPr>
        <w:t>Articles</w:t>
      </w:r>
      <w:r>
        <w:rPr>
          <w:rFonts w:ascii="Lucida Sans Unicode" w:hAnsi="Lucida Sans Unicode"/>
          <w:spacing w:val="-11"/>
        </w:rPr>
        <w:t> </w:t>
      </w:r>
      <w:r>
        <w:rPr>
          <w:rFonts w:ascii="Lucida Sans Unicode" w:hAnsi="Lucida Sans Unicode"/>
        </w:rPr>
        <w:t>5-10</w:t>
      </w:r>
      <w:r>
        <w:rPr>
          <w:rFonts w:ascii="Lucida Sans Unicode" w:hAnsi="Lucida Sans Unicode"/>
          <w:spacing w:val="-11"/>
        </w:rPr>
        <w:t> </w:t>
      </w:r>
      <w:r>
        <w:rPr>
          <w:rFonts w:ascii="Lucida Sans Unicode" w:hAnsi="Lucida Sans Unicode"/>
        </w:rPr>
        <w:t>by</w:t>
      </w:r>
      <w:r>
        <w:rPr>
          <w:rFonts w:ascii="Lucida Sans Unicode" w:hAnsi="Lucida Sans Unicode"/>
          <w:spacing w:val="-11"/>
        </w:rPr>
        <w:t> </w:t>
      </w:r>
      <w:r>
        <w:rPr>
          <w:rFonts w:ascii="Lucida Sans Unicode" w:hAnsi="Lucida Sans Unicode"/>
        </w:rPr>
        <w:t>majority,</w:t>
      </w:r>
      <w:r>
        <w:rPr>
          <w:rFonts w:ascii="Lucida Sans Unicode" w:hAnsi="Lucida Sans Unicode"/>
          <w:vertAlign w:val="superscript"/>
        </w:rPr>
        <w:t>148</w:t>
      </w:r>
      <w:r>
        <w:rPr>
          <w:rFonts w:ascii="Lucida Sans Unicode" w:hAnsi="Lucida Sans Unicode"/>
          <w:spacing w:val="-11"/>
          <w:vertAlign w:val="baseline"/>
        </w:rPr>
        <w:t> </w:t>
      </w:r>
      <w:r>
        <w:rPr>
          <w:vertAlign w:val="baseline"/>
        </w:rPr>
        <w:t>which</w:t>
      </w:r>
      <w:r>
        <w:rPr>
          <w:spacing w:val="-2"/>
          <w:vertAlign w:val="baseline"/>
        </w:rPr>
        <w:t> </w:t>
      </w:r>
      <w:r>
        <w:rPr>
          <w:vertAlign w:val="baseline"/>
        </w:rPr>
        <w:t>is </w:t>
      </w:r>
      <w:r>
        <w:rPr>
          <w:rFonts w:ascii="Lucida Sans Unicode" w:hAnsi="Lucida Sans Unicode"/>
          <w:w w:val="105"/>
          <w:vertAlign w:val="baseline"/>
        </w:rPr>
        <w:t>also</w:t>
      </w:r>
      <w:r>
        <w:rPr>
          <w:rFonts w:ascii="Lucida Sans Unicode" w:hAnsi="Lucida Sans Unicode"/>
          <w:spacing w:val="-18"/>
          <w:w w:val="105"/>
          <w:vertAlign w:val="baseline"/>
        </w:rPr>
        <w:t> </w:t>
      </w:r>
      <w:r>
        <w:rPr>
          <w:rFonts w:ascii="Lucida Sans Unicode" w:hAnsi="Lucida Sans Unicode"/>
          <w:w w:val="105"/>
          <w:vertAlign w:val="baseline"/>
        </w:rPr>
        <w:t>provided</w:t>
      </w:r>
      <w:r>
        <w:rPr>
          <w:rFonts w:ascii="Lucida Sans Unicode" w:hAnsi="Lucida Sans Unicode"/>
          <w:spacing w:val="-18"/>
          <w:w w:val="105"/>
          <w:vertAlign w:val="baseline"/>
        </w:rPr>
        <w:t> </w:t>
      </w:r>
      <w:r>
        <w:rPr>
          <w:rFonts w:ascii="Lucida Sans Unicode" w:hAnsi="Lucida Sans Unicode"/>
          <w:w w:val="105"/>
          <w:vertAlign w:val="baseline"/>
        </w:rPr>
        <w:t>under</w:t>
      </w:r>
      <w:r>
        <w:rPr>
          <w:rFonts w:ascii="Lucida Sans Unicode" w:hAnsi="Lucida Sans Unicode"/>
          <w:spacing w:val="-18"/>
          <w:w w:val="105"/>
          <w:vertAlign w:val="baseline"/>
        </w:rPr>
        <w:t> </w:t>
      </w:r>
      <w:r>
        <w:rPr>
          <w:rFonts w:ascii="Lucida Sans Unicode" w:hAnsi="Lucida Sans Unicode"/>
          <w:w w:val="105"/>
          <w:vertAlign w:val="baseline"/>
        </w:rPr>
        <w:t>Article</w:t>
      </w:r>
      <w:r>
        <w:rPr>
          <w:rFonts w:ascii="Lucida Sans Unicode" w:hAnsi="Lucida Sans Unicode"/>
          <w:spacing w:val="-18"/>
          <w:w w:val="105"/>
          <w:vertAlign w:val="baseline"/>
        </w:rPr>
        <w:t> </w:t>
      </w:r>
      <w:r>
        <w:rPr>
          <w:rFonts w:ascii="Lucida Sans Unicode" w:hAnsi="Lucida Sans Unicode"/>
          <w:w w:val="105"/>
          <w:vertAlign w:val="baseline"/>
        </w:rPr>
        <w:t>18(5)</w:t>
      </w:r>
      <w:r>
        <w:rPr>
          <w:rFonts w:ascii="Lucida Sans Unicode" w:hAnsi="Lucida Sans Unicode"/>
          <w:spacing w:val="-18"/>
          <w:w w:val="105"/>
          <w:vertAlign w:val="baseline"/>
        </w:rPr>
        <w:t> </w:t>
      </w:r>
      <w:r>
        <w:rPr>
          <w:rFonts w:ascii="Lucida Sans Unicode" w:hAnsi="Lucida Sans Unicode"/>
          <w:w w:val="105"/>
          <w:vertAlign w:val="baseline"/>
        </w:rPr>
        <w:t>WA.</w:t>
      </w:r>
    </w:p>
    <w:p>
      <w:pPr>
        <w:pStyle w:val="BodyText"/>
        <w:spacing w:line="310" w:lineRule="exact" w:before="300"/>
        <w:ind w:right="270"/>
      </w:pPr>
      <w:r>
        <w:rPr>
          <w:rFonts w:ascii="Lucida Sans Unicode"/>
        </w:rPr>
        <w:t>The Supreme Court interpreted the combination of Article 18(2), 18(5) </w:t>
      </w:r>
      <w:r>
        <w:rPr>
          <w:w w:val="110"/>
        </w:rPr>
        <w:t>and the unilateral declaration as having</w:t>
      </w:r>
      <w:r>
        <w:rPr>
          <w:spacing w:val="-19"/>
          <w:w w:val="110"/>
        </w:rPr>
        <w:t> </w:t>
      </w:r>
      <w:r>
        <w:rPr>
          <w:w w:val="110"/>
        </w:rPr>
        <w:t>imposed</w:t>
      </w:r>
      <w:r>
        <w:rPr>
          <w:spacing w:val="-18"/>
          <w:w w:val="110"/>
        </w:rPr>
        <w:t> </w:t>
      </w:r>
      <w:r>
        <w:rPr>
          <w:w w:val="110"/>
        </w:rPr>
        <w:t>an</w:t>
      </w:r>
      <w:r>
        <w:rPr>
          <w:spacing w:val="-19"/>
          <w:w w:val="110"/>
        </w:rPr>
        <w:t> </w:t>
      </w:r>
      <w:r>
        <w:rPr>
          <w:rFonts w:ascii="Verdana"/>
          <w:i/>
          <w:w w:val="110"/>
        </w:rPr>
        <w:t>obligation</w:t>
      </w:r>
      <w:r>
        <w:rPr>
          <w:rFonts w:ascii="Verdana"/>
          <w:i/>
          <w:spacing w:val="-23"/>
          <w:w w:val="110"/>
        </w:rPr>
        <w:t> </w:t>
      </w:r>
      <w:r>
        <w:rPr>
          <w:w w:val="110"/>
        </w:rPr>
        <w:t>on</w:t>
      </w:r>
      <w:r>
        <w:rPr>
          <w:spacing w:val="-18"/>
          <w:w w:val="110"/>
        </w:rPr>
        <w:t> </w:t>
      </w:r>
      <w:r>
        <w:rPr>
          <w:w w:val="110"/>
        </w:rPr>
        <w:t>the UK Government to which, by virtue</w:t>
      </w:r>
      <w:r>
        <w:rPr>
          <w:spacing w:val="40"/>
          <w:w w:val="110"/>
        </w:rPr>
        <w:t> </w:t>
      </w:r>
      <w:r>
        <w:rPr>
          <w:w w:val="110"/>
        </w:rPr>
        <w:t>of section 7A EUWA, the petition</w:t>
      </w:r>
    </w:p>
    <w:p>
      <w:pPr>
        <w:pStyle w:val="BodyText"/>
        <w:spacing w:line="310" w:lineRule="exact"/>
        <w:ind w:right="197"/>
      </w:pPr>
      <w:r>
        <w:rPr>
          <w:w w:val="110"/>
        </w:rPr>
        <w:t>of concern mechanism was subject. The disapplication of this </w:t>
      </w:r>
      <w:r>
        <w:rPr>
          <w:w w:val="110"/>
        </w:rPr>
        <w:t>mechanism for the Assembly vote under Article </w:t>
      </w:r>
      <w:r>
        <w:rPr>
          <w:rFonts w:ascii="Lucida Sans Unicode" w:hAnsi="Lucida Sans Unicode"/>
          <w:spacing w:val="-2"/>
          <w:w w:val="105"/>
        </w:rPr>
        <w:t>18</w:t>
      </w:r>
      <w:r>
        <w:rPr>
          <w:rFonts w:ascii="Lucida Sans Unicode" w:hAnsi="Lucida Sans Unicode"/>
          <w:spacing w:val="-18"/>
          <w:w w:val="105"/>
        </w:rPr>
        <w:t> </w:t>
      </w:r>
      <w:r>
        <w:rPr>
          <w:rFonts w:ascii="Lucida Sans Unicode" w:hAnsi="Lucida Sans Unicode"/>
          <w:spacing w:val="-2"/>
          <w:w w:val="110"/>
        </w:rPr>
        <w:t>WA,</w:t>
      </w:r>
      <w:r>
        <w:rPr>
          <w:rFonts w:ascii="Lucida Sans Unicode" w:hAnsi="Lucida Sans Unicode"/>
          <w:spacing w:val="-19"/>
          <w:w w:val="110"/>
        </w:rPr>
        <w:t> </w:t>
      </w:r>
      <w:r>
        <w:rPr>
          <w:rFonts w:ascii="Lucida Sans Unicode" w:hAnsi="Lucida Sans Unicode"/>
          <w:spacing w:val="-2"/>
          <w:w w:val="110"/>
        </w:rPr>
        <w:t>was,</w:t>
      </w:r>
      <w:r>
        <w:rPr>
          <w:rFonts w:ascii="Lucida Sans Unicode" w:hAnsi="Lucida Sans Unicode"/>
          <w:spacing w:val="-19"/>
          <w:w w:val="110"/>
        </w:rPr>
        <w:t> </w:t>
      </w:r>
      <w:r>
        <w:rPr>
          <w:rFonts w:ascii="Lucida Sans Unicode" w:hAnsi="Lucida Sans Unicode"/>
          <w:spacing w:val="-2"/>
          <w:w w:val="110"/>
        </w:rPr>
        <w:t>therefore</w:t>
      </w:r>
      <w:r>
        <w:rPr>
          <w:rFonts w:ascii="Lucida Sans Unicode" w:hAnsi="Lucida Sans Unicode"/>
          <w:spacing w:val="-19"/>
          <w:w w:val="110"/>
        </w:rPr>
        <w:t> </w:t>
      </w:r>
      <w:r>
        <w:rPr>
          <w:rFonts w:ascii="Lucida Sans Unicode" w:hAnsi="Lucida Sans Unicode"/>
          <w:spacing w:val="-2"/>
          <w:w w:val="110"/>
        </w:rPr>
        <w:t>preceded</w:t>
      </w:r>
      <w:r>
        <w:rPr>
          <w:rFonts w:ascii="Lucida Sans Unicode" w:hAnsi="Lucida Sans Unicode"/>
          <w:spacing w:val="-19"/>
          <w:w w:val="110"/>
        </w:rPr>
        <w:t> </w:t>
      </w:r>
      <w:r>
        <w:rPr>
          <w:rFonts w:ascii="Lucida Sans Unicode" w:hAnsi="Lucida Sans Unicode"/>
          <w:spacing w:val="-2"/>
          <w:w w:val="110"/>
        </w:rPr>
        <w:t>by </w:t>
      </w:r>
      <w:r>
        <w:rPr>
          <w:rFonts w:ascii="Lucida Sans Unicode" w:hAnsi="Lucida Sans Unicode"/>
        </w:rPr>
        <w:t>the modification to the Northern </w:t>
      </w:r>
      <w:r>
        <w:rPr>
          <w:w w:val="110"/>
        </w:rPr>
        <w:t>Ireland</w:t>
      </w:r>
      <w:r>
        <w:rPr>
          <w:spacing w:val="40"/>
          <w:w w:val="110"/>
        </w:rPr>
        <w:t> </w:t>
      </w:r>
      <w:r>
        <w:rPr>
          <w:w w:val="110"/>
        </w:rPr>
        <w:t>Act</w:t>
      </w:r>
      <w:r>
        <w:rPr>
          <w:spacing w:val="40"/>
          <w:w w:val="110"/>
        </w:rPr>
        <w:t> </w:t>
      </w:r>
      <w:r>
        <w:rPr>
          <w:w w:val="110"/>
        </w:rPr>
        <w:t>by</w:t>
      </w:r>
      <w:r>
        <w:rPr>
          <w:spacing w:val="40"/>
          <w:w w:val="110"/>
        </w:rPr>
        <w:t> </w:t>
      </w:r>
      <w:r>
        <w:rPr>
          <w:w w:val="110"/>
        </w:rPr>
        <w:t>operation</w:t>
      </w:r>
      <w:r>
        <w:rPr>
          <w:spacing w:val="40"/>
          <w:w w:val="110"/>
        </w:rPr>
        <w:t> </w:t>
      </w:r>
      <w:r>
        <w:rPr>
          <w:w w:val="110"/>
        </w:rPr>
        <w:t>of</w:t>
      </w:r>
      <w:r>
        <w:rPr>
          <w:spacing w:val="40"/>
          <w:w w:val="110"/>
        </w:rPr>
        <w:t> </w:t>
      </w:r>
      <w:r>
        <w:rPr>
          <w:w w:val="110"/>
        </w:rPr>
        <w:t>section </w:t>
      </w:r>
      <w:r>
        <w:rPr/>
        <w:t>7A EUWA.</w:t>
      </w:r>
      <w:r>
        <w:rPr>
          <w:rFonts w:ascii="Lucida Sans Unicode" w:hAnsi="Lucida Sans Unicode"/>
          <w:vertAlign w:val="superscript"/>
        </w:rPr>
        <w:t>149</w:t>
      </w:r>
      <w:r>
        <w:rPr>
          <w:rFonts w:ascii="Lucida Sans Unicode" w:hAnsi="Lucida Sans Unicode"/>
          <w:vertAlign w:val="baseline"/>
        </w:rPr>
        <w:t> The Supreme Court’s </w:t>
      </w:r>
      <w:r>
        <w:rPr>
          <w:w w:val="110"/>
          <w:vertAlign w:val="baseline"/>
        </w:rPr>
        <w:t>reasoning, therefore, shows that section 7A EUWA does not merely modify domestic UK law (including Northern Ireland law) by giving</w:t>
      </w:r>
    </w:p>
    <w:p>
      <w:pPr>
        <w:pStyle w:val="BodyText"/>
        <w:spacing w:line="310" w:lineRule="exact" w:before="49"/>
        <w:ind w:right="242"/>
      </w:pPr>
      <w:r>
        <w:rPr/>
        <w:br w:type="column"/>
      </w:r>
      <w:r>
        <w:rPr>
          <w:w w:val="110"/>
        </w:rPr>
        <w:t>primacy to the express provisions of the WA (and the Protocol), but also </w:t>
      </w:r>
      <w:r>
        <w:rPr>
          <w:rFonts w:ascii="Lucida Sans Unicode" w:hAnsi="Lucida Sans Unicode"/>
        </w:rPr>
        <w:t>modifies domestic law in ways which </w:t>
      </w:r>
      <w:r>
        <w:rPr>
          <w:spacing w:val="-2"/>
          <w:w w:val="110"/>
        </w:rPr>
        <w:t>are</w:t>
      </w:r>
      <w:r>
        <w:rPr>
          <w:spacing w:val="-17"/>
          <w:w w:val="110"/>
        </w:rPr>
        <w:t> </w:t>
      </w:r>
      <w:r>
        <w:rPr>
          <w:spacing w:val="-2"/>
          <w:w w:val="110"/>
        </w:rPr>
        <w:t>a</w:t>
      </w:r>
      <w:r>
        <w:rPr>
          <w:spacing w:val="-12"/>
          <w:w w:val="110"/>
        </w:rPr>
        <w:t> </w:t>
      </w:r>
      <w:r>
        <w:rPr>
          <w:rFonts w:ascii="Verdana" w:hAnsi="Verdana"/>
          <w:i/>
          <w:spacing w:val="-2"/>
          <w:w w:val="110"/>
        </w:rPr>
        <w:t>necessary</w:t>
      </w:r>
      <w:r>
        <w:rPr>
          <w:rFonts w:ascii="Verdana" w:hAnsi="Verdana"/>
          <w:i/>
          <w:spacing w:val="-22"/>
          <w:w w:val="110"/>
        </w:rPr>
        <w:t> </w:t>
      </w:r>
      <w:r>
        <w:rPr>
          <w:rFonts w:ascii="Verdana" w:hAnsi="Verdana"/>
          <w:i/>
          <w:spacing w:val="-2"/>
          <w:w w:val="110"/>
        </w:rPr>
        <w:t>implication</w:t>
      </w:r>
      <w:r>
        <w:rPr>
          <w:rFonts w:ascii="Verdana" w:hAnsi="Verdana"/>
          <w:i/>
          <w:spacing w:val="-21"/>
          <w:w w:val="110"/>
        </w:rPr>
        <w:t> </w:t>
      </w:r>
      <w:r>
        <w:rPr>
          <w:spacing w:val="-2"/>
          <w:w w:val="110"/>
        </w:rPr>
        <w:t>of</w:t>
      </w:r>
      <w:r>
        <w:rPr>
          <w:spacing w:val="-8"/>
          <w:w w:val="110"/>
        </w:rPr>
        <w:t> </w:t>
      </w:r>
      <w:r>
        <w:rPr>
          <w:spacing w:val="-2"/>
          <w:w w:val="110"/>
        </w:rPr>
        <w:t>the </w:t>
      </w:r>
      <w:r>
        <w:rPr>
          <w:w w:val="110"/>
        </w:rPr>
        <w:t>WA’s incorporation into domestic </w:t>
      </w:r>
      <w:r>
        <w:rPr>
          <w:w w:val="110"/>
        </w:rPr>
        <w:t>law.</w:t>
      </w:r>
    </w:p>
    <w:p>
      <w:pPr>
        <w:pStyle w:val="BodyText"/>
        <w:spacing w:before="24"/>
        <w:ind w:left="0"/>
      </w:pPr>
    </w:p>
    <w:p>
      <w:pPr>
        <w:pStyle w:val="BodyText"/>
        <w:spacing w:line="310" w:lineRule="exact"/>
        <w:ind w:right="129"/>
      </w:pPr>
      <w:r>
        <w:rPr>
          <w:w w:val="110"/>
        </w:rPr>
        <w:t>This interpretation chimes with the demands of EU law, which not only requires inconsistent national laws </w:t>
      </w:r>
      <w:r>
        <w:rPr>
          <w:w w:val="110"/>
        </w:rPr>
        <w:t>and practices to yield where they are in </w:t>
      </w:r>
      <w:r>
        <w:rPr>
          <w:rFonts w:ascii="Lucida Sans Unicode"/>
          <w:w w:val="110"/>
        </w:rPr>
        <w:t>clear</w:t>
      </w:r>
      <w:r>
        <w:rPr>
          <w:rFonts w:ascii="Lucida Sans Unicode"/>
          <w:spacing w:val="-21"/>
          <w:w w:val="110"/>
        </w:rPr>
        <w:t> </w:t>
      </w:r>
      <w:r>
        <w:rPr>
          <w:rFonts w:ascii="Lucida Sans Unicode"/>
          <w:w w:val="110"/>
        </w:rPr>
        <w:t>conflict</w:t>
      </w:r>
      <w:r>
        <w:rPr>
          <w:rFonts w:ascii="Lucida Sans Unicode"/>
          <w:spacing w:val="-21"/>
          <w:w w:val="110"/>
        </w:rPr>
        <w:t> </w:t>
      </w:r>
      <w:r>
        <w:rPr>
          <w:rFonts w:ascii="Lucida Sans Unicode"/>
          <w:w w:val="110"/>
        </w:rPr>
        <w:t>with</w:t>
      </w:r>
      <w:r>
        <w:rPr>
          <w:rFonts w:ascii="Lucida Sans Unicode"/>
          <w:spacing w:val="-21"/>
          <w:w w:val="110"/>
        </w:rPr>
        <w:t> </w:t>
      </w:r>
      <w:r>
        <w:rPr>
          <w:rFonts w:ascii="Lucida Sans Unicode"/>
          <w:w w:val="110"/>
        </w:rPr>
        <w:t>EU</w:t>
      </w:r>
      <w:r>
        <w:rPr>
          <w:rFonts w:ascii="Lucida Sans Unicode"/>
          <w:spacing w:val="-21"/>
          <w:w w:val="110"/>
        </w:rPr>
        <w:t> </w:t>
      </w:r>
      <w:r>
        <w:rPr>
          <w:rFonts w:ascii="Lucida Sans Unicode"/>
          <w:w w:val="110"/>
        </w:rPr>
        <w:t>law,</w:t>
      </w:r>
      <w:r>
        <w:rPr>
          <w:rFonts w:ascii="Lucida Sans Unicode"/>
          <w:w w:val="110"/>
          <w:vertAlign w:val="superscript"/>
        </w:rPr>
        <w:t>150</w:t>
      </w:r>
      <w:r>
        <w:rPr>
          <w:rFonts w:ascii="Lucida Sans Unicode"/>
          <w:spacing w:val="-21"/>
          <w:w w:val="110"/>
          <w:vertAlign w:val="baseline"/>
        </w:rPr>
        <w:t> </w:t>
      </w:r>
      <w:r>
        <w:rPr>
          <w:w w:val="110"/>
          <w:vertAlign w:val="baseline"/>
        </w:rPr>
        <w:t>but</w:t>
      </w:r>
      <w:r>
        <w:rPr>
          <w:spacing w:val="-18"/>
          <w:w w:val="110"/>
          <w:vertAlign w:val="baseline"/>
        </w:rPr>
        <w:t> </w:t>
      </w:r>
      <w:r>
        <w:rPr>
          <w:w w:val="110"/>
          <w:vertAlign w:val="baseline"/>
        </w:rPr>
        <w:t>also that EU law must be given effects</w:t>
      </w:r>
    </w:p>
    <w:p>
      <w:pPr>
        <w:pStyle w:val="BodyText"/>
        <w:spacing w:line="264" w:lineRule="auto" w:before="23"/>
        <w:ind w:right="317"/>
      </w:pPr>
      <w:r>
        <w:rPr>
          <w:w w:val="110"/>
        </w:rPr>
        <w:t>‘as far as possible’ in national law.</w:t>
      </w:r>
      <w:r>
        <w:rPr>
          <w:w w:val="110"/>
          <w:vertAlign w:val="superscript"/>
        </w:rPr>
        <w:t>151</w:t>
      </w:r>
      <w:r>
        <w:rPr>
          <w:w w:val="110"/>
          <w:vertAlign w:val="baseline"/>
        </w:rPr>
        <w:t> </w:t>
      </w:r>
      <w:r>
        <w:rPr>
          <w:rFonts w:ascii="Verdana" w:hAnsi="Verdana"/>
          <w:i/>
          <w:w w:val="110"/>
          <w:vertAlign w:val="baseline"/>
        </w:rPr>
        <w:t>Allister</w:t>
      </w:r>
      <w:r>
        <w:rPr>
          <w:rFonts w:ascii="Verdana" w:hAnsi="Verdana"/>
          <w:i/>
          <w:spacing w:val="-22"/>
          <w:w w:val="110"/>
          <w:vertAlign w:val="baseline"/>
        </w:rPr>
        <w:t> </w:t>
      </w:r>
      <w:r>
        <w:rPr>
          <w:rFonts w:ascii="Verdana" w:hAnsi="Verdana"/>
          <w:i/>
          <w:w w:val="110"/>
          <w:vertAlign w:val="baseline"/>
        </w:rPr>
        <w:t>and</w:t>
      </w:r>
      <w:r>
        <w:rPr>
          <w:rFonts w:ascii="Verdana" w:hAnsi="Verdana"/>
          <w:i/>
          <w:spacing w:val="-22"/>
          <w:w w:val="110"/>
          <w:vertAlign w:val="baseline"/>
        </w:rPr>
        <w:t> </w:t>
      </w:r>
      <w:r>
        <w:rPr>
          <w:rFonts w:ascii="Verdana" w:hAnsi="Verdana"/>
          <w:i/>
          <w:w w:val="110"/>
          <w:vertAlign w:val="baseline"/>
        </w:rPr>
        <w:t>Peeples</w:t>
      </w:r>
      <w:r>
        <w:rPr>
          <w:rFonts w:ascii="Verdana" w:hAnsi="Verdana"/>
          <w:i/>
          <w:spacing w:val="-22"/>
          <w:w w:val="110"/>
          <w:vertAlign w:val="baseline"/>
        </w:rPr>
        <w:t> </w:t>
      </w:r>
      <w:r>
        <w:rPr>
          <w:w w:val="110"/>
          <w:vertAlign w:val="baseline"/>
        </w:rPr>
        <w:t>would</w:t>
      </w:r>
      <w:r>
        <w:rPr>
          <w:spacing w:val="-2"/>
          <w:w w:val="110"/>
          <w:vertAlign w:val="baseline"/>
        </w:rPr>
        <w:t> </w:t>
      </w:r>
      <w:r>
        <w:rPr>
          <w:w w:val="110"/>
          <w:vertAlign w:val="baseline"/>
        </w:rPr>
        <w:t>appear to accord this same character to obligations arising in the strict </w:t>
      </w:r>
      <w:r>
        <w:rPr>
          <w:w w:val="110"/>
          <w:vertAlign w:val="baseline"/>
        </w:rPr>
        <w:t>sense</w:t>
      </w:r>
    </w:p>
    <w:p>
      <w:pPr>
        <w:pStyle w:val="BodyText"/>
        <w:spacing w:line="268" w:lineRule="auto" w:before="8"/>
        <w:ind w:right="147"/>
      </w:pPr>
      <w:r>
        <w:rPr>
          <w:w w:val="115"/>
        </w:rPr>
        <w:t>under</w:t>
      </w:r>
      <w:r>
        <w:rPr>
          <w:spacing w:val="-20"/>
          <w:w w:val="115"/>
        </w:rPr>
        <w:t> </w:t>
      </w:r>
      <w:r>
        <w:rPr>
          <w:w w:val="115"/>
        </w:rPr>
        <w:t>the</w:t>
      </w:r>
      <w:r>
        <w:rPr>
          <w:spacing w:val="-19"/>
          <w:w w:val="115"/>
        </w:rPr>
        <w:t> </w:t>
      </w:r>
      <w:r>
        <w:rPr>
          <w:w w:val="115"/>
        </w:rPr>
        <w:t>Withdrawal</w:t>
      </w:r>
      <w:r>
        <w:rPr>
          <w:spacing w:val="-19"/>
          <w:w w:val="115"/>
        </w:rPr>
        <w:t> </w:t>
      </w:r>
      <w:r>
        <w:rPr>
          <w:w w:val="115"/>
        </w:rPr>
        <w:t>Agreement</w:t>
      </w:r>
      <w:r>
        <w:rPr>
          <w:spacing w:val="-19"/>
          <w:w w:val="115"/>
        </w:rPr>
        <w:t> </w:t>
      </w:r>
      <w:r>
        <w:rPr>
          <w:w w:val="115"/>
        </w:rPr>
        <w:t>and the Protocol rather than only under the</w:t>
      </w:r>
      <w:r>
        <w:rPr>
          <w:spacing w:val="-1"/>
          <w:w w:val="115"/>
        </w:rPr>
        <w:t> </w:t>
      </w:r>
      <w:r>
        <w:rPr>
          <w:w w:val="115"/>
        </w:rPr>
        <w:t>EU</w:t>
      </w:r>
      <w:r>
        <w:rPr>
          <w:spacing w:val="-1"/>
          <w:w w:val="115"/>
        </w:rPr>
        <w:t> </w:t>
      </w:r>
      <w:r>
        <w:rPr>
          <w:w w:val="115"/>
        </w:rPr>
        <w:t>law</w:t>
      </w:r>
      <w:r>
        <w:rPr>
          <w:spacing w:val="-1"/>
          <w:w w:val="115"/>
        </w:rPr>
        <w:t> </w:t>
      </w:r>
      <w:r>
        <w:rPr>
          <w:w w:val="115"/>
        </w:rPr>
        <w:t>which</w:t>
      </w:r>
      <w:r>
        <w:rPr>
          <w:spacing w:val="-1"/>
          <w:w w:val="115"/>
        </w:rPr>
        <w:t> </w:t>
      </w:r>
      <w:r>
        <w:rPr>
          <w:w w:val="115"/>
        </w:rPr>
        <w:t>is</w:t>
      </w:r>
      <w:r>
        <w:rPr>
          <w:spacing w:val="-1"/>
          <w:w w:val="115"/>
        </w:rPr>
        <w:t> </w:t>
      </w:r>
      <w:r>
        <w:rPr>
          <w:w w:val="115"/>
        </w:rPr>
        <w:t>referenced</w:t>
      </w:r>
      <w:r>
        <w:rPr>
          <w:spacing w:val="-1"/>
          <w:w w:val="115"/>
        </w:rPr>
        <w:t> </w:t>
      </w:r>
      <w:r>
        <w:rPr>
          <w:w w:val="115"/>
        </w:rPr>
        <w:t>by</w:t>
      </w:r>
      <w:r>
        <w:rPr>
          <w:spacing w:val="-1"/>
          <w:w w:val="115"/>
        </w:rPr>
        <w:t> </w:t>
      </w:r>
      <w:r>
        <w:rPr>
          <w:w w:val="115"/>
        </w:rPr>
        <w:t>or listed within them. In this scenario, therefore, the operation of section</w:t>
      </w:r>
    </w:p>
    <w:p>
      <w:pPr>
        <w:pStyle w:val="BodyText"/>
        <w:spacing w:line="268" w:lineRule="auto" w:before="5"/>
        <w:ind w:right="161"/>
      </w:pPr>
      <w:r>
        <w:rPr>
          <w:w w:val="115"/>
        </w:rPr>
        <w:t>7A of the EUWA ensures not only that</w:t>
      </w:r>
      <w:r>
        <w:rPr>
          <w:spacing w:val="-7"/>
          <w:w w:val="115"/>
        </w:rPr>
        <w:t> </w:t>
      </w:r>
      <w:r>
        <w:rPr>
          <w:w w:val="115"/>
        </w:rPr>
        <w:t>the</w:t>
      </w:r>
      <w:r>
        <w:rPr>
          <w:spacing w:val="-7"/>
          <w:w w:val="115"/>
        </w:rPr>
        <w:t> </w:t>
      </w:r>
      <w:r>
        <w:rPr>
          <w:w w:val="115"/>
        </w:rPr>
        <w:t>Charter</w:t>
      </w:r>
      <w:r>
        <w:rPr>
          <w:spacing w:val="-7"/>
          <w:w w:val="115"/>
        </w:rPr>
        <w:t> </w:t>
      </w:r>
      <w:r>
        <w:rPr>
          <w:w w:val="115"/>
        </w:rPr>
        <w:t>has</w:t>
      </w:r>
      <w:r>
        <w:rPr>
          <w:spacing w:val="-7"/>
          <w:w w:val="115"/>
        </w:rPr>
        <w:t> </w:t>
      </w:r>
      <w:r>
        <w:rPr>
          <w:w w:val="115"/>
        </w:rPr>
        <w:t>effect,</w:t>
      </w:r>
      <w:r>
        <w:rPr>
          <w:spacing w:val="-7"/>
          <w:w w:val="115"/>
        </w:rPr>
        <w:t> </w:t>
      </w:r>
      <w:r>
        <w:rPr>
          <w:w w:val="115"/>
        </w:rPr>
        <w:t>but</w:t>
      </w:r>
      <w:r>
        <w:rPr>
          <w:spacing w:val="-7"/>
          <w:w w:val="115"/>
        </w:rPr>
        <w:t> </w:t>
      </w:r>
      <w:r>
        <w:rPr>
          <w:w w:val="115"/>
        </w:rPr>
        <w:t>that</w:t>
      </w:r>
      <w:r>
        <w:rPr>
          <w:spacing w:val="-7"/>
          <w:w w:val="115"/>
        </w:rPr>
        <w:t> </w:t>
      </w:r>
      <w:r>
        <w:rPr>
          <w:w w:val="115"/>
        </w:rPr>
        <w:t>it has effect to the maximum possible extent to ensure that obligations under EU law are given effect in the broadest possible terms. Given that the</w:t>
      </w:r>
      <w:r>
        <w:rPr>
          <w:spacing w:val="-10"/>
          <w:w w:val="115"/>
        </w:rPr>
        <w:t> </w:t>
      </w:r>
      <w:r>
        <w:rPr>
          <w:w w:val="115"/>
        </w:rPr>
        <w:t>CFR</w:t>
      </w:r>
      <w:r>
        <w:rPr>
          <w:spacing w:val="-10"/>
          <w:w w:val="115"/>
        </w:rPr>
        <w:t> </w:t>
      </w:r>
      <w:r>
        <w:rPr>
          <w:w w:val="115"/>
        </w:rPr>
        <w:t>has</w:t>
      </w:r>
      <w:r>
        <w:rPr>
          <w:spacing w:val="-10"/>
          <w:w w:val="115"/>
        </w:rPr>
        <w:t> </w:t>
      </w:r>
      <w:r>
        <w:rPr>
          <w:w w:val="115"/>
        </w:rPr>
        <w:t>the</w:t>
      </w:r>
      <w:r>
        <w:rPr>
          <w:spacing w:val="-10"/>
          <w:w w:val="115"/>
        </w:rPr>
        <w:t> </w:t>
      </w:r>
      <w:r>
        <w:rPr>
          <w:w w:val="115"/>
        </w:rPr>
        <w:t>same</w:t>
      </w:r>
      <w:r>
        <w:rPr>
          <w:spacing w:val="-10"/>
          <w:w w:val="115"/>
        </w:rPr>
        <w:t> </w:t>
      </w:r>
      <w:r>
        <w:rPr>
          <w:w w:val="115"/>
        </w:rPr>
        <w:t>legal</w:t>
      </w:r>
      <w:r>
        <w:rPr>
          <w:spacing w:val="-10"/>
          <w:w w:val="115"/>
        </w:rPr>
        <w:t> </w:t>
      </w:r>
      <w:r>
        <w:rPr>
          <w:w w:val="115"/>
        </w:rPr>
        <w:t>force</w:t>
      </w:r>
      <w:r>
        <w:rPr>
          <w:spacing w:val="-10"/>
          <w:w w:val="115"/>
        </w:rPr>
        <w:t> </w:t>
      </w:r>
      <w:r>
        <w:rPr>
          <w:w w:val="115"/>
        </w:rPr>
        <w:t>as</w:t>
      </w:r>
    </w:p>
    <w:p>
      <w:pPr>
        <w:pStyle w:val="BodyText"/>
        <w:spacing w:line="327" w:lineRule="exact"/>
      </w:pPr>
      <w:r>
        <w:rPr>
          <w:w w:val="105"/>
        </w:rPr>
        <w:t>the</w:t>
      </w:r>
      <w:r>
        <w:rPr>
          <w:spacing w:val="-6"/>
          <w:w w:val="105"/>
        </w:rPr>
        <w:t> </w:t>
      </w:r>
      <w:r>
        <w:rPr>
          <w:w w:val="105"/>
        </w:rPr>
        <w:t>EU</w:t>
      </w:r>
      <w:r>
        <w:rPr>
          <w:spacing w:val="-6"/>
          <w:w w:val="105"/>
        </w:rPr>
        <w:t> </w:t>
      </w:r>
      <w:r>
        <w:rPr>
          <w:w w:val="105"/>
        </w:rPr>
        <w:t>Treaties</w:t>
      </w:r>
      <w:r>
        <w:rPr>
          <w:spacing w:val="-6"/>
          <w:w w:val="105"/>
        </w:rPr>
        <w:t> </w:t>
      </w:r>
      <w:r>
        <w:rPr>
          <w:w w:val="105"/>
        </w:rPr>
        <w:t>under</w:t>
      </w:r>
      <w:r>
        <w:rPr>
          <w:spacing w:val="-6"/>
          <w:w w:val="105"/>
        </w:rPr>
        <w:t> </w:t>
      </w:r>
      <w:r>
        <w:rPr>
          <w:w w:val="105"/>
        </w:rPr>
        <w:t>EU</w:t>
      </w:r>
      <w:r>
        <w:rPr>
          <w:spacing w:val="-6"/>
          <w:w w:val="105"/>
        </w:rPr>
        <w:t> </w:t>
      </w:r>
      <w:r>
        <w:rPr>
          <w:w w:val="105"/>
        </w:rPr>
        <w:t>law,</w:t>
      </w:r>
      <w:r>
        <w:rPr>
          <w:rFonts w:ascii="Lucida Sans Unicode"/>
          <w:w w:val="105"/>
          <w:vertAlign w:val="superscript"/>
        </w:rPr>
        <w:t>152</w:t>
      </w:r>
      <w:r>
        <w:rPr>
          <w:rFonts w:ascii="Lucida Sans Unicode"/>
          <w:spacing w:val="-16"/>
          <w:w w:val="105"/>
          <w:vertAlign w:val="baseline"/>
        </w:rPr>
        <w:t> </w:t>
      </w:r>
      <w:r>
        <w:rPr>
          <w:spacing w:val="-4"/>
          <w:w w:val="105"/>
          <w:vertAlign w:val="baseline"/>
        </w:rPr>
        <w:t>this</w:t>
      </w:r>
    </w:p>
    <w:p>
      <w:pPr>
        <w:pStyle w:val="BodyText"/>
        <w:spacing w:line="230" w:lineRule="auto"/>
        <w:ind w:right="414"/>
      </w:pPr>
      <w:r>
        <w:rPr>
          <w:w w:val="110"/>
        </w:rPr>
        <w:t>scenario would mean that, section </w:t>
      </w:r>
      <w:r>
        <w:rPr>
          <w:rFonts w:ascii="Lucida Sans Unicode"/>
        </w:rPr>
        <w:t>5(4) of the EUWA </w:t>
      </w:r>
      <w:r>
        <w:rPr>
          <w:rFonts w:ascii="Lucida Sans Unicode"/>
        </w:rPr>
        <w:t>notwithstanding, </w:t>
      </w:r>
      <w:r>
        <w:rPr>
          <w:w w:val="110"/>
        </w:rPr>
        <w:t>the Charter has the same effect in</w:t>
      </w:r>
    </w:p>
    <w:p>
      <w:pPr>
        <w:pStyle w:val="BodyText"/>
        <w:spacing w:before="35"/>
      </w:pPr>
      <w:r>
        <w:rPr>
          <w:w w:val="115"/>
        </w:rPr>
        <w:t>Northern</w:t>
      </w:r>
      <w:r>
        <w:rPr>
          <w:spacing w:val="-15"/>
          <w:w w:val="115"/>
        </w:rPr>
        <w:t> </w:t>
      </w:r>
      <w:r>
        <w:rPr>
          <w:w w:val="115"/>
        </w:rPr>
        <w:t>Ireland</w:t>
      </w:r>
      <w:r>
        <w:rPr>
          <w:spacing w:val="-15"/>
          <w:w w:val="115"/>
        </w:rPr>
        <w:t> </w:t>
      </w:r>
      <w:r>
        <w:rPr>
          <w:w w:val="115"/>
        </w:rPr>
        <w:t>law</w:t>
      </w:r>
      <w:r>
        <w:rPr>
          <w:spacing w:val="-15"/>
          <w:w w:val="115"/>
        </w:rPr>
        <w:t> </w:t>
      </w:r>
      <w:r>
        <w:rPr>
          <w:w w:val="115"/>
        </w:rPr>
        <w:t>as</w:t>
      </w:r>
      <w:r>
        <w:rPr>
          <w:spacing w:val="-15"/>
          <w:w w:val="115"/>
        </w:rPr>
        <w:t> </w:t>
      </w:r>
      <w:r>
        <w:rPr>
          <w:w w:val="115"/>
        </w:rPr>
        <w:t>it</w:t>
      </w:r>
      <w:r>
        <w:rPr>
          <w:spacing w:val="-15"/>
          <w:w w:val="115"/>
        </w:rPr>
        <w:t> </w:t>
      </w:r>
      <w:r>
        <w:rPr>
          <w:w w:val="115"/>
        </w:rPr>
        <w:t>did</w:t>
      </w:r>
      <w:r>
        <w:rPr>
          <w:spacing w:val="-15"/>
          <w:w w:val="115"/>
        </w:rPr>
        <w:t> </w:t>
      </w:r>
      <w:r>
        <w:rPr>
          <w:spacing w:val="-2"/>
          <w:w w:val="115"/>
        </w:rPr>
        <w:t>before</w:t>
      </w:r>
    </w:p>
    <w:p>
      <w:pPr>
        <w:spacing w:after="0"/>
        <w:sectPr>
          <w:type w:val="continuous"/>
          <w:pgSz w:w="11910" w:h="16840"/>
          <w:pgMar w:header="568" w:footer="580" w:top="0" w:bottom="280" w:left="1020" w:right="1020"/>
          <w:cols w:num="2" w:equalWidth="0">
            <w:col w:w="4719" w:space="327"/>
            <w:col w:w="4824"/>
          </w:cols>
        </w:sectPr>
      </w:pPr>
    </w:p>
    <w:p>
      <w:pPr>
        <w:pStyle w:val="BodyText"/>
        <w:spacing w:before="169"/>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115" name="Group 115"/>
                <wp:cNvGraphicFramePr>
                  <a:graphicFrameLocks/>
                </wp:cNvGraphicFramePr>
                <a:graphic>
                  <a:graphicData uri="http://schemas.microsoft.com/office/word/2010/wordprocessingGroup">
                    <wpg:wgp>
                      <wpg:cNvPr id="115" name="Group 115"/>
                      <wpg:cNvGrpSpPr/>
                      <wpg:grpSpPr>
                        <a:xfrm>
                          <a:off x="0" y="0"/>
                          <a:ext cx="6120130" cy="6350"/>
                          <a:chExt cx="6120130" cy="6350"/>
                        </a:xfrm>
                      </wpg:grpSpPr>
                      <wps:wsp>
                        <wps:cNvPr id="116" name="Graphic 116"/>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76"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7" w:val="left" w:leader="none"/>
        </w:tabs>
        <w:spacing w:line="201" w:lineRule="auto" w:before="89" w:after="0"/>
        <w:ind w:left="567" w:right="125" w:hanging="454"/>
        <w:jc w:val="left"/>
        <w:rPr>
          <w:sz w:val="16"/>
        </w:rPr>
      </w:pPr>
      <w:r>
        <w:rPr>
          <w:spacing w:val="-2"/>
          <w:w w:val="105"/>
          <w:sz w:val="16"/>
        </w:rPr>
        <w:t>Northern</w:t>
      </w:r>
      <w:r>
        <w:rPr>
          <w:spacing w:val="-6"/>
          <w:w w:val="105"/>
          <w:sz w:val="16"/>
        </w:rPr>
        <w:t> </w:t>
      </w:r>
      <w:r>
        <w:rPr>
          <w:spacing w:val="-2"/>
          <w:w w:val="105"/>
          <w:sz w:val="16"/>
        </w:rPr>
        <w:t>Ireland</w:t>
      </w:r>
      <w:r>
        <w:rPr>
          <w:spacing w:val="-6"/>
          <w:w w:val="105"/>
          <w:sz w:val="16"/>
        </w:rPr>
        <w:t> </w:t>
      </w:r>
      <w:r>
        <w:rPr>
          <w:spacing w:val="-2"/>
          <w:w w:val="105"/>
          <w:sz w:val="16"/>
        </w:rPr>
        <w:t>Act</w:t>
      </w:r>
      <w:r>
        <w:rPr>
          <w:spacing w:val="-6"/>
          <w:w w:val="105"/>
          <w:sz w:val="16"/>
        </w:rPr>
        <w:t> </w:t>
      </w:r>
      <w:r>
        <w:rPr>
          <w:spacing w:val="-2"/>
          <w:w w:val="105"/>
          <w:sz w:val="16"/>
        </w:rPr>
        <w:t>1998,</w:t>
      </w:r>
      <w:r>
        <w:rPr>
          <w:spacing w:val="-6"/>
          <w:w w:val="105"/>
          <w:sz w:val="16"/>
        </w:rPr>
        <w:t> </w:t>
      </w:r>
      <w:r>
        <w:rPr>
          <w:spacing w:val="-2"/>
          <w:w w:val="105"/>
          <w:sz w:val="16"/>
        </w:rPr>
        <w:t>s</w:t>
      </w:r>
      <w:r>
        <w:rPr>
          <w:spacing w:val="-6"/>
          <w:w w:val="105"/>
          <w:sz w:val="16"/>
        </w:rPr>
        <w:t> </w:t>
      </w:r>
      <w:r>
        <w:rPr>
          <w:spacing w:val="-2"/>
          <w:w w:val="105"/>
          <w:sz w:val="16"/>
        </w:rPr>
        <w:t>42.</w:t>
      </w:r>
      <w:r>
        <w:rPr>
          <w:spacing w:val="-6"/>
          <w:w w:val="105"/>
          <w:sz w:val="16"/>
        </w:rPr>
        <w:t> </w:t>
      </w:r>
      <w:r>
        <w:rPr>
          <w:spacing w:val="-2"/>
          <w:w w:val="105"/>
          <w:sz w:val="16"/>
        </w:rPr>
        <w:t>Note</w:t>
      </w:r>
      <w:r>
        <w:rPr>
          <w:spacing w:val="-6"/>
          <w:w w:val="105"/>
          <w:sz w:val="16"/>
        </w:rPr>
        <w:t> </w:t>
      </w:r>
      <w:r>
        <w:rPr>
          <w:spacing w:val="-2"/>
          <w:w w:val="105"/>
          <w:sz w:val="16"/>
        </w:rPr>
        <w:t>that</w:t>
      </w:r>
      <w:r>
        <w:rPr>
          <w:spacing w:val="-6"/>
          <w:w w:val="105"/>
          <w:sz w:val="16"/>
        </w:rPr>
        <w:t> </w:t>
      </w:r>
      <w:r>
        <w:rPr>
          <w:spacing w:val="-2"/>
          <w:w w:val="105"/>
          <w:sz w:val="16"/>
        </w:rPr>
        <w:t>this</w:t>
      </w:r>
      <w:r>
        <w:rPr>
          <w:spacing w:val="-6"/>
          <w:w w:val="105"/>
          <w:sz w:val="16"/>
        </w:rPr>
        <w:t> </w:t>
      </w:r>
      <w:r>
        <w:rPr>
          <w:spacing w:val="-2"/>
          <w:w w:val="105"/>
          <w:sz w:val="16"/>
        </w:rPr>
        <w:t>provision</w:t>
      </w:r>
      <w:r>
        <w:rPr>
          <w:spacing w:val="-6"/>
          <w:w w:val="105"/>
          <w:sz w:val="16"/>
        </w:rPr>
        <w:t> </w:t>
      </w:r>
      <w:r>
        <w:rPr>
          <w:spacing w:val="-2"/>
          <w:w w:val="105"/>
          <w:sz w:val="16"/>
        </w:rPr>
        <w:t>was</w:t>
      </w:r>
      <w:r>
        <w:rPr>
          <w:spacing w:val="-6"/>
          <w:w w:val="105"/>
          <w:sz w:val="16"/>
        </w:rPr>
        <w:t> </w:t>
      </w:r>
      <w:r>
        <w:rPr>
          <w:spacing w:val="-2"/>
          <w:w w:val="105"/>
          <w:sz w:val="16"/>
        </w:rPr>
        <w:t>amended</w:t>
      </w:r>
      <w:r>
        <w:rPr>
          <w:spacing w:val="-6"/>
          <w:w w:val="105"/>
          <w:sz w:val="16"/>
        </w:rPr>
        <w:t> </w:t>
      </w:r>
      <w:r>
        <w:rPr>
          <w:spacing w:val="-2"/>
          <w:w w:val="105"/>
          <w:sz w:val="16"/>
        </w:rPr>
        <w:t>by</w:t>
      </w:r>
      <w:r>
        <w:rPr>
          <w:spacing w:val="-6"/>
          <w:w w:val="105"/>
          <w:sz w:val="16"/>
        </w:rPr>
        <w:t> </w:t>
      </w:r>
      <w:r>
        <w:rPr>
          <w:spacing w:val="-2"/>
          <w:w w:val="105"/>
          <w:sz w:val="16"/>
        </w:rPr>
        <w:t>the</w:t>
      </w:r>
      <w:r>
        <w:rPr>
          <w:spacing w:val="-6"/>
          <w:w w:val="105"/>
          <w:sz w:val="16"/>
        </w:rPr>
        <w:t> </w:t>
      </w:r>
      <w:r>
        <w:rPr>
          <w:spacing w:val="-2"/>
          <w:w w:val="105"/>
          <w:sz w:val="16"/>
        </w:rPr>
        <w:t>Northern</w:t>
      </w:r>
      <w:r>
        <w:rPr>
          <w:spacing w:val="-6"/>
          <w:w w:val="105"/>
          <w:sz w:val="16"/>
        </w:rPr>
        <w:t> </w:t>
      </w:r>
      <w:r>
        <w:rPr>
          <w:spacing w:val="-2"/>
          <w:w w:val="105"/>
          <w:sz w:val="16"/>
        </w:rPr>
        <w:t>Ireland</w:t>
      </w:r>
      <w:r>
        <w:rPr>
          <w:spacing w:val="-6"/>
          <w:w w:val="105"/>
          <w:sz w:val="16"/>
        </w:rPr>
        <w:t> </w:t>
      </w:r>
      <w:r>
        <w:rPr>
          <w:spacing w:val="-2"/>
          <w:w w:val="105"/>
          <w:sz w:val="16"/>
        </w:rPr>
        <w:t>(Ministers,</w:t>
      </w:r>
      <w:r>
        <w:rPr>
          <w:spacing w:val="-6"/>
          <w:w w:val="105"/>
          <w:sz w:val="16"/>
        </w:rPr>
        <w:t> </w:t>
      </w:r>
      <w:r>
        <w:rPr>
          <w:spacing w:val="-2"/>
          <w:w w:val="105"/>
          <w:sz w:val="16"/>
        </w:rPr>
        <w:t>Elections </w:t>
      </w:r>
      <w:r>
        <w:rPr>
          <w:w w:val="105"/>
          <w:sz w:val="16"/>
        </w:rPr>
        <w:t>and</w:t>
      </w:r>
      <w:r>
        <w:rPr>
          <w:spacing w:val="-4"/>
          <w:w w:val="105"/>
          <w:sz w:val="16"/>
        </w:rPr>
        <w:t> </w:t>
      </w:r>
      <w:r>
        <w:rPr>
          <w:w w:val="105"/>
          <w:sz w:val="16"/>
        </w:rPr>
        <w:t>Petitions</w:t>
      </w:r>
      <w:r>
        <w:rPr>
          <w:spacing w:val="-4"/>
          <w:w w:val="105"/>
          <w:sz w:val="16"/>
        </w:rPr>
        <w:t> </w:t>
      </w:r>
      <w:r>
        <w:rPr>
          <w:w w:val="105"/>
          <w:sz w:val="16"/>
        </w:rPr>
        <w:t>of</w:t>
      </w:r>
      <w:r>
        <w:rPr>
          <w:spacing w:val="-4"/>
          <w:w w:val="105"/>
          <w:sz w:val="16"/>
        </w:rPr>
        <w:t> </w:t>
      </w:r>
      <w:r>
        <w:rPr>
          <w:w w:val="105"/>
          <w:sz w:val="16"/>
        </w:rPr>
        <w:t>Concern)</w:t>
      </w:r>
      <w:r>
        <w:rPr>
          <w:spacing w:val="-4"/>
          <w:w w:val="105"/>
          <w:sz w:val="16"/>
        </w:rPr>
        <w:t> </w:t>
      </w:r>
      <w:r>
        <w:rPr>
          <w:w w:val="105"/>
          <w:sz w:val="16"/>
        </w:rPr>
        <w:t>Act</w:t>
      </w:r>
      <w:r>
        <w:rPr>
          <w:spacing w:val="-4"/>
          <w:w w:val="105"/>
          <w:sz w:val="16"/>
        </w:rPr>
        <w:t> </w:t>
      </w:r>
      <w:r>
        <w:rPr>
          <w:w w:val="105"/>
          <w:sz w:val="16"/>
        </w:rPr>
        <w:t>2022,</w:t>
      </w:r>
      <w:r>
        <w:rPr>
          <w:spacing w:val="-4"/>
          <w:w w:val="105"/>
          <w:sz w:val="16"/>
        </w:rPr>
        <w:t> </w:t>
      </w:r>
      <w:r>
        <w:rPr>
          <w:w w:val="105"/>
          <w:sz w:val="16"/>
        </w:rPr>
        <w:t>but</w:t>
      </w:r>
      <w:r>
        <w:rPr>
          <w:spacing w:val="-4"/>
          <w:w w:val="105"/>
          <w:sz w:val="16"/>
        </w:rPr>
        <w:t> </w:t>
      </w:r>
      <w:r>
        <w:rPr>
          <w:w w:val="105"/>
          <w:sz w:val="16"/>
        </w:rPr>
        <w:t>the</w:t>
      </w:r>
      <w:r>
        <w:rPr>
          <w:spacing w:val="-4"/>
          <w:w w:val="105"/>
          <w:sz w:val="16"/>
        </w:rPr>
        <w:t> </w:t>
      </w:r>
      <w:r>
        <w:rPr>
          <w:w w:val="105"/>
          <w:sz w:val="16"/>
        </w:rPr>
        <w:t>Supreme</w:t>
      </w:r>
      <w:r>
        <w:rPr>
          <w:spacing w:val="-4"/>
          <w:w w:val="105"/>
          <w:sz w:val="16"/>
        </w:rPr>
        <w:t> </w:t>
      </w:r>
      <w:r>
        <w:rPr>
          <w:w w:val="105"/>
          <w:sz w:val="16"/>
        </w:rPr>
        <w:t>Court</w:t>
      </w:r>
      <w:r>
        <w:rPr>
          <w:spacing w:val="-4"/>
          <w:w w:val="105"/>
          <w:sz w:val="16"/>
        </w:rPr>
        <w:t> </w:t>
      </w:r>
      <w:r>
        <w:rPr>
          <w:w w:val="105"/>
          <w:sz w:val="16"/>
        </w:rPr>
        <w:t>was</w:t>
      </w:r>
      <w:r>
        <w:rPr>
          <w:spacing w:val="-4"/>
          <w:w w:val="105"/>
          <w:sz w:val="16"/>
        </w:rPr>
        <w:t> </w:t>
      </w:r>
      <w:r>
        <w:rPr>
          <w:w w:val="105"/>
          <w:sz w:val="16"/>
        </w:rPr>
        <w:t>concerned</w:t>
      </w:r>
      <w:r>
        <w:rPr>
          <w:spacing w:val="-4"/>
          <w:w w:val="105"/>
          <w:sz w:val="16"/>
        </w:rPr>
        <w:t> </w:t>
      </w:r>
      <w:r>
        <w:rPr>
          <w:w w:val="105"/>
          <w:sz w:val="16"/>
        </w:rPr>
        <w:t>with</w:t>
      </w:r>
      <w:r>
        <w:rPr>
          <w:spacing w:val="-4"/>
          <w:w w:val="105"/>
          <w:sz w:val="16"/>
        </w:rPr>
        <w:t> </w:t>
      </w:r>
      <w:r>
        <w:rPr>
          <w:w w:val="105"/>
          <w:sz w:val="16"/>
        </w:rPr>
        <w:t>the</w:t>
      </w:r>
      <w:r>
        <w:rPr>
          <w:spacing w:val="-4"/>
          <w:w w:val="105"/>
          <w:sz w:val="16"/>
        </w:rPr>
        <w:t> </w:t>
      </w:r>
      <w:r>
        <w:rPr>
          <w:w w:val="105"/>
          <w:sz w:val="16"/>
        </w:rPr>
        <w:t>original</w:t>
      </w:r>
      <w:r>
        <w:rPr>
          <w:spacing w:val="-4"/>
          <w:w w:val="105"/>
          <w:sz w:val="16"/>
        </w:rPr>
        <w:t> </w:t>
      </w:r>
      <w:r>
        <w:rPr>
          <w:w w:val="105"/>
          <w:sz w:val="16"/>
        </w:rPr>
        <w:t>version</w:t>
      </w:r>
      <w:r>
        <w:rPr>
          <w:spacing w:val="-4"/>
          <w:w w:val="105"/>
          <w:sz w:val="16"/>
        </w:rPr>
        <w:t> </w:t>
      </w:r>
      <w:r>
        <w:rPr>
          <w:w w:val="105"/>
          <w:sz w:val="16"/>
        </w:rPr>
        <w:t>of</w:t>
      </w:r>
      <w:r>
        <w:rPr>
          <w:spacing w:val="-4"/>
          <w:w w:val="105"/>
          <w:sz w:val="16"/>
        </w:rPr>
        <w:t> </w:t>
      </w:r>
      <w:r>
        <w:rPr>
          <w:w w:val="105"/>
          <w:sz w:val="16"/>
        </w:rPr>
        <w:t>the </w:t>
      </w:r>
      <w:r>
        <w:rPr>
          <w:sz w:val="16"/>
        </w:rPr>
        <w:t>provision. In its original form, there were no restrictions on the category of matters to which section 42 applied; this </w:t>
      </w:r>
      <w:r>
        <w:rPr>
          <w:rFonts w:ascii="Arial"/>
          <w:w w:val="105"/>
          <w:sz w:val="16"/>
        </w:rPr>
        <w:t>was</w:t>
      </w:r>
      <w:r>
        <w:rPr>
          <w:rFonts w:ascii="Arial"/>
          <w:spacing w:val="40"/>
          <w:w w:val="105"/>
          <w:sz w:val="16"/>
        </w:rPr>
        <w:t> </w:t>
      </w:r>
      <w:r>
        <w:rPr>
          <w:rFonts w:ascii="Arial"/>
          <w:w w:val="105"/>
          <w:sz w:val="16"/>
        </w:rPr>
        <w:t>subsequently</w:t>
      </w:r>
      <w:r>
        <w:rPr>
          <w:rFonts w:ascii="Arial"/>
          <w:spacing w:val="40"/>
          <w:w w:val="105"/>
          <w:sz w:val="16"/>
        </w:rPr>
        <w:t> </w:t>
      </w:r>
      <w:r>
        <w:rPr>
          <w:rFonts w:ascii="Arial"/>
          <w:w w:val="105"/>
          <w:sz w:val="16"/>
        </w:rPr>
        <w:t>amended</w:t>
      </w:r>
      <w:r>
        <w:rPr>
          <w:rFonts w:ascii="Arial"/>
          <w:spacing w:val="40"/>
          <w:w w:val="105"/>
          <w:sz w:val="16"/>
        </w:rPr>
        <w:t> </w:t>
      </w:r>
      <w:r>
        <w:rPr>
          <w:rFonts w:ascii="Arial"/>
          <w:w w:val="105"/>
          <w:sz w:val="16"/>
        </w:rPr>
        <w:t>to</w:t>
      </w:r>
      <w:r>
        <w:rPr>
          <w:rFonts w:ascii="Arial"/>
          <w:spacing w:val="40"/>
          <w:w w:val="105"/>
          <w:sz w:val="16"/>
        </w:rPr>
        <w:t> </w:t>
      </w:r>
      <w:r>
        <w:rPr>
          <w:rFonts w:ascii="Arial"/>
          <w:w w:val="105"/>
          <w:sz w:val="16"/>
        </w:rPr>
        <w:t>introduce</w:t>
      </w:r>
      <w:r>
        <w:rPr>
          <w:rFonts w:ascii="Arial"/>
          <w:spacing w:val="40"/>
          <w:w w:val="105"/>
          <w:sz w:val="16"/>
        </w:rPr>
        <w:t> </w:t>
      </w:r>
      <w:r>
        <w:rPr>
          <w:rFonts w:ascii="Arial"/>
          <w:w w:val="105"/>
          <w:sz w:val="16"/>
        </w:rPr>
        <w:t>certain</w:t>
      </w:r>
      <w:r>
        <w:rPr>
          <w:rFonts w:ascii="Arial"/>
          <w:spacing w:val="40"/>
          <w:w w:val="105"/>
          <w:sz w:val="16"/>
        </w:rPr>
        <w:t> </w:t>
      </w:r>
      <w:r>
        <w:rPr>
          <w:rFonts w:ascii="Arial"/>
          <w:w w:val="105"/>
          <w:sz w:val="16"/>
        </w:rPr>
        <w:t>restrictions,</w:t>
      </w:r>
      <w:r>
        <w:rPr>
          <w:rFonts w:ascii="Arial"/>
          <w:spacing w:val="40"/>
          <w:w w:val="105"/>
          <w:sz w:val="16"/>
        </w:rPr>
        <w:t> </w:t>
      </w:r>
      <w:r>
        <w:rPr>
          <w:rFonts w:ascii="Arial"/>
          <w:w w:val="105"/>
          <w:sz w:val="16"/>
        </w:rPr>
        <w:t>none</w:t>
      </w:r>
      <w:r>
        <w:rPr>
          <w:rFonts w:ascii="Arial"/>
          <w:spacing w:val="40"/>
          <w:w w:val="105"/>
          <w:sz w:val="16"/>
        </w:rPr>
        <w:t> </w:t>
      </w:r>
      <w:r>
        <w:rPr>
          <w:rFonts w:ascii="Arial"/>
          <w:w w:val="105"/>
          <w:sz w:val="16"/>
        </w:rPr>
        <w:t>of</w:t>
      </w:r>
      <w:r>
        <w:rPr>
          <w:rFonts w:ascii="Arial"/>
          <w:spacing w:val="40"/>
          <w:w w:val="105"/>
          <w:sz w:val="16"/>
        </w:rPr>
        <w:t> </w:t>
      </w:r>
      <w:r>
        <w:rPr>
          <w:rFonts w:ascii="Arial"/>
          <w:w w:val="105"/>
          <w:sz w:val="16"/>
        </w:rPr>
        <w:t>which</w:t>
      </w:r>
      <w:r>
        <w:rPr>
          <w:rFonts w:ascii="Arial"/>
          <w:spacing w:val="40"/>
          <w:w w:val="105"/>
          <w:sz w:val="16"/>
        </w:rPr>
        <w:t> </w:t>
      </w:r>
      <w:r>
        <w:rPr>
          <w:rFonts w:ascii="Arial"/>
          <w:w w:val="105"/>
          <w:sz w:val="16"/>
        </w:rPr>
        <w:t>relate</w:t>
      </w:r>
      <w:r>
        <w:rPr>
          <w:rFonts w:ascii="Arial"/>
          <w:spacing w:val="40"/>
          <w:w w:val="105"/>
          <w:sz w:val="16"/>
        </w:rPr>
        <w:t> </w:t>
      </w:r>
      <w:r>
        <w:rPr>
          <w:rFonts w:ascii="Arial"/>
          <w:w w:val="105"/>
          <w:sz w:val="16"/>
        </w:rPr>
        <w:t>to</w:t>
      </w:r>
      <w:r>
        <w:rPr>
          <w:rFonts w:ascii="Arial"/>
          <w:spacing w:val="40"/>
          <w:w w:val="105"/>
          <w:sz w:val="16"/>
        </w:rPr>
        <w:t> </w:t>
      </w:r>
      <w:r>
        <w:rPr>
          <w:rFonts w:ascii="Arial"/>
          <w:w w:val="105"/>
          <w:sz w:val="16"/>
        </w:rPr>
        <w:t>the</w:t>
      </w:r>
      <w:r>
        <w:rPr>
          <w:rFonts w:ascii="Arial"/>
          <w:spacing w:val="40"/>
          <w:w w:val="105"/>
          <w:sz w:val="16"/>
        </w:rPr>
        <w:t> </w:t>
      </w:r>
      <w:r>
        <w:rPr>
          <w:rFonts w:ascii="Arial"/>
          <w:w w:val="105"/>
          <w:sz w:val="16"/>
        </w:rPr>
        <w:t>Windsor</w:t>
      </w:r>
      <w:r>
        <w:rPr>
          <w:rFonts w:ascii="Arial"/>
          <w:spacing w:val="40"/>
          <w:w w:val="105"/>
          <w:sz w:val="16"/>
        </w:rPr>
        <w:t> </w:t>
      </w:r>
      <w:r>
        <w:rPr>
          <w:rFonts w:ascii="Arial"/>
          <w:w w:val="105"/>
          <w:sz w:val="16"/>
        </w:rPr>
        <w:t>Framework</w:t>
      </w:r>
      <w:r>
        <w:rPr>
          <w:rFonts w:ascii="Arial"/>
          <w:spacing w:val="40"/>
          <w:w w:val="105"/>
          <w:sz w:val="16"/>
        </w:rPr>
        <w:t> </w:t>
      </w:r>
      <w:r>
        <w:rPr>
          <w:rFonts w:ascii="Arial"/>
          <w:w w:val="105"/>
          <w:sz w:val="16"/>
        </w:rPr>
        <w:t>or</w:t>
      </w:r>
    </w:p>
    <w:p>
      <w:pPr>
        <w:spacing w:line="194" w:lineRule="auto" w:before="31"/>
        <w:ind w:left="567" w:right="43" w:firstLine="0"/>
        <w:jc w:val="left"/>
        <w:rPr>
          <w:rFonts w:ascii="Lucida Sans Unicode"/>
          <w:sz w:val="16"/>
        </w:rPr>
      </w:pPr>
      <w:r>
        <w:rPr>
          <w:rFonts w:ascii="Lucida Sans Unicode"/>
          <w:sz w:val="16"/>
        </w:rPr>
        <w:t>the voting provisions under Article 18. Post-amendment, therefore, the section 42 mechanism remains disapplied to votes pursuant to Article 18, see Northern Ireland Act 1998, sch. 6A, para 18(5).</w:t>
      </w:r>
    </w:p>
    <w:p>
      <w:pPr>
        <w:pStyle w:val="ListParagraph"/>
        <w:numPr>
          <w:ilvl w:val="0"/>
          <w:numId w:val="6"/>
        </w:numPr>
        <w:tabs>
          <w:tab w:pos="565" w:val="left" w:leader="none"/>
          <w:tab w:pos="567" w:val="left" w:leader="none"/>
        </w:tabs>
        <w:spacing w:line="206" w:lineRule="auto" w:before="0" w:after="0"/>
        <w:ind w:left="567" w:right="271" w:hanging="454"/>
        <w:jc w:val="left"/>
        <w:rPr>
          <w:sz w:val="16"/>
        </w:rPr>
      </w:pPr>
      <w:r>
        <w:rPr>
          <w:rFonts w:ascii="Verdana" w:hAnsi="Verdana"/>
          <w:i/>
          <w:sz w:val="16"/>
        </w:rPr>
        <w:t>Declaration</w:t>
      </w:r>
      <w:r>
        <w:rPr>
          <w:rFonts w:ascii="Verdana" w:hAnsi="Verdana"/>
          <w:i/>
          <w:spacing w:val="-14"/>
          <w:sz w:val="16"/>
        </w:rPr>
        <w:t> </w:t>
      </w:r>
      <w:r>
        <w:rPr>
          <w:rFonts w:ascii="Verdana" w:hAnsi="Verdana"/>
          <w:i/>
          <w:sz w:val="16"/>
        </w:rPr>
        <w:t>by</w:t>
      </w:r>
      <w:r>
        <w:rPr>
          <w:rFonts w:ascii="Verdana" w:hAnsi="Verdana"/>
          <w:i/>
          <w:spacing w:val="-14"/>
          <w:sz w:val="16"/>
        </w:rPr>
        <w:t> </w:t>
      </w:r>
      <w:r>
        <w:rPr>
          <w:rFonts w:ascii="Verdana" w:hAnsi="Verdana"/>
          <w:i/>
          <w:sz w:val="16"/>
        </w:rPr>
        <w:t>Her</w:t>
      </w:r>
      <w:r>
        <w:rPr>
          <w:rFonts w:ascii="Verdana" w:hAnsi="Verdana"/>
          <w:i/>
          <w:spacing w:val="-14"/>
          <w:sz w:val="16"/>
        </w:rPr>
        <w:t> </w:t>
      </w:r>
      <w:r>
        <w:rPr>
          <w:rFonts w:ascii="Verdana" w:hAnsi="Verdana"/>
          <w:i/>
          <w:sz w:val="16"/>
        </w:rPr>
        <w:t>Majesty’s</w:t>
      </w:r>
      <w:r>
        <w:rPr>
          <w:rFonts w:ascii="Verdana" w:hAnsi="Verdana"/>
          <w:i/>
          <w:spacing w:val="-14"/>
          <w:sz w:val="16"/>
        </w:rPr>
        <w:t> </w:t>
      </w:r>
      <w:r>
        <w:rPr>
          <w:rFonts w:ascii="Verdana" w:hAnsi="Verdana"/>
          <w:i/>
          <w:sz w:val="16"/>
        </w:rPr>
        <w:t>Government</w:t>
      </w:r>
      <w:r>
        <w:rPr>
          <w:rFonts w:ascii="Verdana" w:hAnsi="Verdana"/>
          <w:i/>
          <w:spacing w:val="-14"/>
          <w:sz w:val="16"/>
        </w:rPr>
        <w:t> </w:t>
      </w:r>
      <w:r>
        <w:rPr>
          <w:rFonts w:ascii="Verdana" w:hAnsi="Verdana"/>
          <w:i/>
          <w:sz w:val="16"/>
        </w:rPr>
        <w:t>of</w:t>
      </w:r>
      <w:r>
        <w:rPr>
          <w:rFonts w:ascii="Verdana" w:hAnsi="Verdana"/>
          <w:i/>
          <w:spacing w:val="-14"/>
          <w:sz w:val="16"/>
        </w:rPr>
        <w:t> </w:t>
      </w:r>
      <w:r>
        <w:rPr>
          <w:rFonts w:ascii="Verdana" w:hAnsi="Verdana"/>
          <w:i/>
          <w:sz w:val="16"/>
        </w:rPr>
        <w:t>the</w:t>
      </w:r>
      <w:r>
        <w:rPr>
          <w:rFonts w:ascii="Verdana" w:hAnsi="Verdana"/>
          <w:i/>
          <w:spacing w:val="-14"/>
          <w:sz w:val="16"/>
        </w:rPr>
        <w:t> </w:t>
      </w:r>
      <w:r>
        <w:rPr>
          <w:rFonts w:ascii="Verdana" w:hAnsi="Verdana"/>
          <w:i/>
          <w:sz w:val="16"/>
        </w:rPr>
        <w:t>United</w:t>
      </w:r>
      <w:r>
        <w:rPr>
          <w:rFonts w:ascii="Verdana" w:hAnsi="Verdana"/>
          <w:i/>
          <w:spacing w:val="-14"/>
          <w:sz w:val="16"/>
        </w:rPr>
        <w:t> </w:t>
      </w:r>
      <w:r>
        <w:rPr>
          <w:rFonts w:ascii="Verdana" w:hAnsi="Verdana"/>
          <w:i/>
          <w:sz w:val="16"/>
        </w:rPr>
        <w:t>Kingdom</w:t>
      </w:r>
      <w:r>
        <w:rPr>
          <w:rFonts w:ascii="Verdana" w:hAnsi="Verdana"/>
          <w:i/>
          <w:spacing w:val="-14"/>
          <w:sz w:val="16"/>
        </w:rPr>
        <w:t> </w:t>
      </w:r>
      <w:r>
        <w:rPr>
          <w:rFonts w:ascii="Verdana" w:hAnsi="Verdana"/>
          <w:i/>
          <w:sz w:val="16"/>
        </w:rPr>
        <w:t>of</w:t>
      </w:r>
      <w:r>
        <w:rPr>
          <w:rFonts w:ascii="Verdana" w:hAnsi="Verdana"/>
          <w:i/>
          <w:spacing w:val="-14"/>
          <w:sz w:val="16"/>
        </w:rPr>
        <w:t> </w:t>
      </w:r>
      <w:r>
        <w:rPr>
          <w:rFonts w:ascii="Verdana" w:hAnsi="Verdana"/>
          <w:i/>
          <w:sz w:val="16"/>
        </w:rPr>
        <w:t>Great</w:t>
      </w:r>
      <w:r>
        <w:rPr>
          <w:rFonts w:ascii="Verdana" w:hAnsi="Verdana"/>
          <w:i/>
          <w:spacing w:val="-14"/>
          <w:sz w:val="16"/>
        </w:rPr>
        <w:t> </w:t>
      </w:r>
      <w:r>
        <w:rPr>
          <w:rFonts w:ascii="Verdana" w:hAnsi="Verdana"/>
          <w:i/>
          <w:sz w:val="16"/>
        </w:rPr>
        <w:t>Britain</w:t>
      </w:r>
      <w:r>
        <w:rPr>
          <w:rFonts w:ascii="Verdana" w:hAnsi="Verdana"/>
          <w:i/>
          <w:spacing w:val="-14"/>
          <w:sz w:val="16"/>
        </w:rPr>
        <w:t> </w:t>
      </w:r>
      <w:r>
        <w:rPr>
          <w:rFonts w:ascii="Verdana" w:hAnsi="Verdana"/>
          <w:i/>
          <w:sz w:val="16"/>
        </w:rPr>
        <w:t>and</w:t>
      </w:r>
      <w:r>
        <w:rPr>
          <w:rFonts w:ascii="Verdana" w:hAnsi="Verdana"/>
          <w:i/>
          <w:spacing w:val="-14"/>
          <w:sz w:val="16"/>
        </w:rPr>
        <w:t> </w:t>
      </w:r>
      <w:r>
        <w:rPr>
          <w:rFonts w:ascii="Verdana" w:hAnsi="Verdana"/>
          <w:i/>
          <w:sz w:val="16"/>
        </w:rPr>
        <w:t>Northern</w:t>
      </w:r>
      <w:r>
        <w:rPr>
          <w:rFonts w:ascii="Verdana" w:hAnsi="Verdana"/>
          <w:i/>
          <w:spacing w:val="-14"/>
          <w:sz w:val="16"/>
        </w:rPr>
        <w:t> </w:t>
      </w:r>
      <w:r>
        <w:rPr>
          <w:rFonts w:ascii="Verdana" w:hAnsi="Verdana"/>
          <w:i/>
          <w:sz w:val="16"/>
        </w:rPr>
        <w:t>Ireland</w:t>
      </w:r>
      <w:r>
        <w:rPr>
          <w:rFonts w:ascii="Verdana" w:hAnsi="Verdana"/>
          <w:i/>
          <w:spacing w:val="-14"/>
          <w:sz w:val="16"/>
        </w:rPr>
        <w:t> </w:t>
      </w:r>
      <w:r>
        <w:rPr>
          <w:rFonts w:ascii="Verdana" w:hAnsi="Verdana"/>
          <w:i/>
          <w:sz w:val="16"/>
        </w:rPr>
        <w:t>concerning</w:t>
      </w:r>
      <w:r>
        <w:rPr>
          <w:rFonts w:ascii="Verdana" w:hAnsi="Verdana"/>
          <w:i/>
          <w:sz w:val="16"/>
        </w:rPr>
        <w:t> the operation of the ‘Democratic consent in Northern Ireland’ provision of the Protocol on Ireland/Northern</w:t>
      </w:r>
    </w:p>
    <w:p>
      <w:pPr>
        <w:spacing w:line="194" w:lineRule="auto" w:before="23"/>
        <w:ind w:left="567" w:right="0" w:firstLine="0"/>
        <w:jc w:val="left"/>
        <w:rPr>
          <w:rFonts w:ascii="Lucida Sans Unicode"/>
          <w:sz w:val="16"/>
        </w:rPr>
      </w:pPr>
      <w:r>
        <w:rPr>
          <w:rFonts w:ascii="Verdana"/>
          <w:i/>
          <w:sz w:val="16"/>
        </w:rPr>
        <w:t>Ireland</w:t>
      </w:r>
      <w:r>
        <w:rPr>
          <w:rFonts w:ascii="Verdana"/>
          <w:i/>
          <w:spacing w:val="77"/>
          <w:sz w:val="16"/>
        </w:rPr>
        <w:t> </w:t>
      </w:r>
      <w:r>
        <w:rPr>
          <w:rFonts w:ascii="Lucida Sans Unicode"/>
          <w:sz w:val="16"/>
        </w:rPr>
        <w:t>(17</w:t>
      </w:r>
      <w:r>
        <w:rPr>
          <w:rFonts w:ascii="Lucida Sans Unicode"/>
          <w:spacing w:val="59"/>
          <w:w w:val="150"/>
          <w:sz w:val="16"/>
        </w:rPr>
        <w:t> </w:t>
      </w:r>
      <w:r>
        <w:rPr>
          <w:rFonts w:ascii="Lucida Sans Unicode"/>
          <w:sz w:val="16"/>
        </w:rPr>
        <w:t>October</w:t>
      </w:r>
      <w:r>
        <w:rPr>
          <w:rFonts w:ascii="Lucida Sans Unicode"/>
          <w:spacing w:val="58"/>
          <w:w w:val="150"/>
          <w:sz w:val="16"/>
        </w:rPr>
        <w:t> </w:t>
      </w:r>
      <w:r>
        <w:rPr>
          <w:rFonts w:ascii="Lucida Sans Unicode"/>
          <w:sz w:val="16"/>
        </w:rPr>
        <w:t>2019)</w:t>
      </w:r>
      <w:r>
        <w:rPr>
          <w:rFonts w:ascii="Lucida Sans Unicode"/>
          <w:spacing w:val="59"/>
          <w:w w:val="150"/>
          <w:sz w:val="16"/>
        </w:rPr>
        <w:t> </w:t>
      </w:r>
      <w:r>
        <w:rPr>
          <w:rFonts w:ascii="Lucida Sans Unicode"/>
          <w:sz w:val="16"/>
        </w:rPr>
        <w:t>available</w:t>
      </w:r>
      <w:r>
        <w:rPr>
          <w:rFonts w:ascii="Lucida Sans Unicode"/>
          <w:spacing w:val="59"/>
          <w:w w:val="150"/>
          <w:sz w:val="16"/>
        </w:rPr>
        <w:t> </w:t>
      </w:r>
      <w:hyperlink r:id="rId38">
        <w:r>
          <w:rPr>
            <w:color w:val="77328A"/>
            <w:sz w:val="16"/>
            <w:u w:val="single" w:color="77328A"/>
          </w:rPr>
          <w:t>https://assets.publishing.service.gov.uk/government/uploads/system/uploads/</w:t>
        </w:r>
      </w:hyperlink>
      <w:r>
        <w:rPr>
          <w:color w:val="77328A"/>
          <w:spacing w:val="80"/>
          <w:sz w:val="16"/>
          <w:u w:val="none"/>
        </w:rPr>
        <w:t> </w:t>
      </w:r>
      <w:hyperlink r:id="rId38">
        <w:r>
          <w:rPr>
            <w:rFonts w:ascii="Lucida Sans Unicode"/>
            <w:color w:val="77328A"/>
            <w:sz w:val="16"/>
            <w:u w:val="single" w:color="77328A"/>
          </w:rPr>
          <w:t>attachment_data/file/840232/Unilateral_Declaration_on_Consent.pdf</w:t>
        </w:r>
      </w:hyperlink>
      <w:r>
        <w:rPr>
          <w:rFonts w:ascii="Lucida Sans Unicode"/>
          <w:color w:val="77328A"/>
          <w:sz w:val="16"/>
          <w:u w:val="none"/>
        </w:rPr>
        <w:t> </w:t>
      </w:r>
      <w:r>
        <w:rPr>
          <w:rFonts w:ascii="Lucida Sans Unicode"/>
          <w:sz w:val="16"/>
          <w:u w:val="none"/>
        </w:rPr>
        <w:t>, para 3(b).</w:t>
      </w:r>
    </w:p>
    <w:p>
      <w:pPr>
        <w:pStyle w:val="ListParagraph"/>
        <w:numPr>
          <w:ilvl w:val="0"/>
          <w:numId w:val="6"/>
        </w:numPr>
        <w:tabs>
          <w:tab w:pos="565" w:val="left" w:leader="none"/>
          <w:tab w:pos="567" w:val="left" w:leader="none"/>
        </w:tabs>
        <w:spacing w:line="194" w:lineRule="auto" w:before="2" w:after="0"/>
        <w:ind w:left="567" w:right="533" w:hanging="454"/>
        <w:jc w:val="left"/>
        <w:rPr>
          <w:sz w:val="16"/>
        </w:rPr>
      </w:pPr>
      <w:r>
        <w:rPr>
          <w:rFonts w:ascii="Arial" w:hAnsi="Arial"/>
          <w:w w:val="110"/>
          <w:sz w:val="16"/>
        </w:rPr>
        <w:t>The explicit disapplication of the petition of concern mechanism was achieved by way of secondary legislation</w:t>
      </w:r>
      <w:r>
        <w:rPr>
          <w:rFonts w:ascii="Arial" w:hAnsi="Arial"/>
          <w:spacing w:val="40"/>
          <w:w w:val="110"/>
          <w:sz w:val="16"/>
        </w:rPr>
        <w:t> </w:t>
      </w:r>
      <w:r>
        <w:rPr>
          <w:sz w:val="16"/>
        </w:rPr>
        <w:t>amending the Northern Ireland Act 1998, but section 7A had already ‘modified’ the Northern Ireland Act – see </w:t>
      </w:r>
      <w:r>
        <w:rPr>
          <w:rFonts w:ascii="Verdana" w:hAnsi="Verdana"/>
          <w:i/>
          <w:sz w:val="16"/>
        </w:rPr>
        <w:t>Allister</w:t>
      </w:r>
      <w:r>
        <w:rPr>
          <w:rFonts w:ascii="Verdana" w:hAnsi="Verdana"/>
          <w:i/>
          <w:spacing w:val="14"/>
          <w:sz w:val="16"/>
        </w:rPr>
        <w:t> </w:t>
      </w:r>
      <w:r>
        <w:rPr>
          <w:rFonts w:ascii="Verdana" w:hAnsi="Verdana"/>
          <w:i/>
          <w:sz w:val="16"/>
        </w:rPr>
        <w:t>and</w:t>
      </w:r>
      <w:r>
        <w:rPr>
          <w:rFonts w:ascii="Verdana" w:hAnsi="Verdana"/>
          <w:i/>
          <w:spacing w:val="14"/>
          <w:sz w:val="16"/>
        </w:rPr>
        <w:t> </w:t>
      </w:r>
      <w:r>
        <w:rPr>
          <w:rFonts w:ascii="Verdana" w:hAnsi="Verdana"/>
          <w:i/>
          <w:sz w:val="16"/>
        </w:rPr>
        <w:t>Peeples</w:t>
      </w:r>
      <w:r>
        <w:rPr>
          <w:sz w:val="16"/>
        </w:rPr>
        <w:t>,</w:t>
      </w:r>
      <w:r>
        <w:rPr>
          <w:spacing w:val="20"/>
          <w:sz w:val="16"/>
        </w:rPr>
        <w:t> </w:t>
      </w:r>
      <w:r>
        <w:rPr>
          <w:sz w:val="16"/>
        </w:rPr>
        <w:t>(n</w:t>
      </w:r>
      <w:r>
        <w:rPr>
          <w:spacing w:val="20"/>
          <w:sz w:val="16"/>
        </w:rPr>
        <w:t> </w:t>
      </w:r>
      <w:r>
        <w:rPr>
          <w:sz w:val="16"/>
        </w:rPr>
        <w:t>144)</w:t>
      </w:r>
      <w:r>
        <w:rPr>
          <w:spacing w:val="20"/>
          <w:sz w:val="16"/>
        </w:rPr>
        <w:t> </w:t>
      </w:r>
      <w:r>
        <w:rPr>
          <w:sz w:val="16"/>
        </w:rPr>
        <w:t>[108].</w:t>
      </w:r>
      <w:r>
        <w:rPr>
          <w:spacing w:val="20"/>
          <w:sz w:val="16"/>
        </w:rPr>
        <w:t> </w:t>
      </w:r>
      <w:r>
        <w:rPr>
          <w:sz w:val="16"/>
        </w:rPr>
        <w:t>See</w:t>
      </w:r>
      <w:r>
        <w:rPr>
          <w:spacing w:val="20"/>
          <w:sz w:val="16"/>
        </w:rPr>
        <w:t> </w:t>
      </w:r>
      <w:r>
        <w:rPr>
          <w:sz w:val="16"/>
        </w:rPr>
        <w:t>also</w:t>
      </w:r>
      <w:r>
        <w:rPr>
          <w:spacing w:val="20"/>
          <w:sz w:val="16"/>
        </w:rPr>
        <w:t> </w:t>
      </w:r>
      <w:r>
        <w:rPr>
          <w:sz w:val="16"/>
        </w:rPr>
        <w:t>Anurag</w:t>
      </w:r>
      <w:r>
        <w:rPr>
          <w:spacing w:val="20"/>
          <w:sz w:val="16"/>
        </w:rPr>
        <w:t> </w:t>
      </w:r>
      <w:r>
        <w:rPr>
          <w:sz w:val="16"/>
        </w:rPr>
        <w:t>Deb,</w:t>
      </w:r>
      <w:r>
        <w:rPr>
          <w:spacing w:val="20"/>
          <w:sz w:val="16"/>
        </w:rPr>
        <w:t> </w:t>
      </w:r>
      <w:r>
        <w:rPr>
          <w:sz w:val="16"/>
        </w:rPr>
        <w:t>‘</w:t>
      </w:r>
      <w:hyperlink r:id="rId39">
        <w:r>
          <w:rPr>
            <w:rFonts w:ascii="Arial" w:hAnsi="Arial"/>
            <w:color w:val="77328A"/>
            <w:sz w:val="16"/>
            <w:u w:val="single" w:color="77328A"/>
          </w:rPr>
          <w:t>Allister:</w:t>
        </w:r>
        <w:r>
          <w:rPr>
            <w:rFonts w:ascii="Arial" w:hAnsi="Arial"/>
            <w:color w:val="77328A"/>
            <w:spacing w:val="26"/>
            <w:sz w:val="16"/>
            <w:u w:val="single" w:color="77328A"/>
          </w:rPr>
          <w:t> </w:t>
        </w:r>
        <w:r>
          <w:rPr>
            <w:rFonts w:ascii="Arial" w:hAnsi="Arial"/>
            <w:color w:val="77328A"/>
            <w:sz w:val="16"/>
            <w:u w:val="single" w:color="77328A"/>
          </w:rPr>
          <w:t>the</w:t>
        </w:r>
        <w:r>
          <w:rPr>
            <w:rFonts w:ascii="Arial" w:hAnsi="Arial"/>
            <w:color w:val="77328A"/>
            <w:spacing w:val="26"/>
            <w:sz w:val="16"/>
            <w:u w:val="single" w:color="77328A"/>
          </w:rPr>
          <w:t> </w:t>
        </w:r>
        <w:r>
          <w:rPr>
            <w:rFonts w:ascii="Arial" w:hAnsi="Arial"/>
            <w:color w:val="77328A"/>
            <w:sz w:val="16"/>
            <w:u w:val="single" w:color="77328A"/>
          </w:rPr>
          <w:t>effect</w:t>
        </w:r>
        <w:r>
          <w:rPr>
            <w:rFonts w:ascii="Arial" w:hAnsi="Arial"/>
            <w:color w:val="77328A"/>
            <w:spacing w:val="26"/>
            <w:sz w:val="16"/>
            <w:u w:val="single" w:color="77328A"/>
          </w:rPr>
          <w:t> </w:t>
        </w:r>
        <w:r>
          <w:rPr>
            <w:rFonts w:ascii="Arial" w:hAnsi="Arial"/>
            <w:color w:val="77328A"/>
            <w:sz w:val="16"/>
            <w:u w:val="single" w:color="77328A"/>
          </w:rPr>
          <w:t>of</w:t>
        </w:r>
        <w:r>
          <w:rPr>
            <w:rFonts w:ascii="Arial" w:hAnsi="Arial"/>
            <w:color w:val="77328A"/>
            <w:spacing w:val="26"/>
            <w:sz w:val="16"/>
            <w:u w:val="single" w:color="77328A"/>
          </w:rPr>
          <w:t> </w:t>
        </w:r>
        <w:r>
          <w:rPr>
            <w:rFonts w:ascii="Arial" w:hAnsi="Arial"/>
            <w:color w:val="77328A"/>
            <w:sz w:val="16"/>
            <w:u w:val="single" w:color="77328A"/>
          </w:rPr>
          <w:t>the</w:t>
        </w:r>
        <w:r>
          <w:rPr>
            <w:rFonts w:ascii="Arial" w:hAnsi="Arial"/>
            <w:color w:val="77328A"/>
            <w:spacing w:val="26"/>
            <w:sz w:val="16"/>
            <w:u w:val="single" w:color="77328A"/>
          </w:rPr>
          <w:t> </w:t>
        </w:r>
        <w:r>
          <w:rPr>
            <w:rFonts w:ascii="Arial" w:hAnsi="Arial"/>
            <w:color w:val="77328A"/>
            <w:sz w:val="16"/>
            <w:u w:val="single" w:color="77328A"/>
          </w:rPr>
          <w:t>EU</w:t>
        </w:r>
        <w:r>
          <w:rPr>
            <w:rFonts w:ascii="Arial" w:hAnsi="Arial"/>
            <w:color w:val="77328A"/>
            <w:spacing w:val="26"/>
            <w:sz w:val="16"/>
            <w:u w:val="single" w:color="77328A"/>
          </w:rPr>
          <w:t> </w:t>
        </w:r>
        <w:r>
          <w:rPr>
            <w:rFonts w:ascii="Arial" w:hAnsi="Arial"/>
            <w:color w:val="77328A"/>
            <w:sz w:val="16"/>
            <w:u w:val="single" w:color="77328A"/>
          </w:rPr>
          <w:t>Withdrawal</w:t>
        </w:r>
        <w:r>
          <w:rPr>
            <w:rFonts w:ascii="Arial" w:hAnsi="Arial"/>
            <w:color w:val="77328A"/>
            <w:spacing w:val="26"/>
            <w:sz w:val="16"/>
            <w:u w:val="single" w:color="77328A"/>
          </w:rPr>
          <w:t> </w:t>
        </w:r>
        <w:r>
          <w:rPr>
            <w:rFonts w:ascii="Arial" w:hAnsi="Arial"/>
            <w:color w:val="77328A"/>
            <w:sz w:val="16"/>
            <w:u w:val="single" w:color="77328A"/>
          </w:rPr>
          <w:t>Act</w:t>
        </w:r>
      </w:hyperlink>
      <w:r>
        <w:rPr>
          <w:rFonts w:ascii="Arial" w:hAnsi="Arial"/>
          <w:sz w:val="16"/>
          <w:u w:val="none"/>
        </w:rPr>
        <w:t>’</w:t>
      </w:r>
      <w:r>
        <w:rPr>
          <w:rFonts w:ascii="Arial" w:hAnsi="Arial"/>
          <w:spacing w:val="26"/>
          <w:sz w:val="16"/>
          <w:u w:val="none"/>
        </w:rPr>
        <w:t> </w:t>
      </w:r>
      <w:r>
        <w:rPr>
          <w:rFonts w:ascii="Arial" w:hAnsi="Arial"/>
          <w:sz w:val="16"/>
          <w:u w:val="none"/>
        </w:rPr>
        <w:t>(</w:t>
      </w:r>
      <w:r>
        <w:rPr>
          <w:rFonts w:ascii="Verdana" w:hAnsi="Verdana"/>
          <w:i/>
          <w:sz w:val="16"/>
          <w:u w:val="none"/>
        </w:rPr>
        <w:t>EU</w:t>
      </w:r>
      <w:r>
        <w:rPr>
          <w:rFonts w:ascii="Verdana" w:hAnsi="Verdana"/>
          <w:i/>
          <w:spacing w:val="14"/>
          <w:sz w:val="16"/>
          <w:u w:val="none"/>
        </w:rPr>
        <w:t> </w:t>
      </w:r>
      <w:r>
        <w:rPr>
          <w:rFonts w:ascii="Verdana" w:hAnsi="Verdana"/>
          <w:i/>
          <w:sz w:val="16"/>
          <w:u w:val="none"/>
        </w:rPr>
        <w:t>Law</w:t>
      </w:r>
      <w:r>
        <w:rPr>
          <w:rFonts w:ascii="Verdana" w:hAnsi="Verdana"/>
          <w:i/>
          <w:sz w:val="16"/>
          <w:u w:val="none"/>
        </w:rPr>
        <w:t> </w:t>
      </w:r>
      <w:r>
        <w:rPr>
          <w:rFonts w:ascii="Verdana" w:hAnsi="Verdana"/>
          <w:i/>
          <w:w w:val="110"/>
          <w:sz w:val="16"/>
          <w:u w:val="none"/>
        </w:rPr>
        <w:t>Analysis</w:t>
      </w:r>
      <w:r>
        <w:rPr>
          <w:w w:val="110"/>
          <w:sz w:val="16"/>
          <w:u w:val="none"/>
        </w:rPr>
        <w:t>,</w:t>
      </w:r>
      <w:r>
        <w:rPr>
          <w:spacing w:val="-14"/>
          <w:w w:val="110"/>
          <w:sz w:val="16"/>
          <w:u w:val="none"/>
        </w:rPr>
        <w:t> </w:t>
      </w:r>
      <w:r>
        <w:rPr>
          <w:w w:val="110"/>
          <w:sz w:val="16"/>
          <w:u w:val="none"/>
        </w:rPr>
        <w:t>22</w:t>
      </w:r>
      <w:r>
        <w:rPr>
          <w:spacing w:val="-14"/>
          <w:w w:val="110"/>
          <w:sz w:val="16"/>
          <w:u w:val="none"/>
        </w:rPr>
        <w:t> </w:t>
      </w:r>
      <w:r>
        <w:rPr>
          <w:w w:val="110"/>
          <w:sz w:val="16"/>
          <w:u w:val="none"/>
        </w:rPr>
        <w:t>February</w:t>
      </w:r>
      <w:r>
        <w:rPr>
          <w:spacing w:val="-14"/>
          <w:w w:val="110"/>
          <w:sz w:val="16"/>
          <w:u w:val="none"/>
        </w:rPr>
        <w:t> </w:t>
      </w:r>
      <w:r>
        <w:rPr>
          <w:w w:val="110"/>
          <w:sz w:val="16"/>
          <w:u w:val="none"/>
        </w:rPr>
        <w:t>2023).</w:t>
      </w:r>
    </w:p>
    <w:p>
      <w:pPr>
        <w:pStyle w:val="ListParagraph"/>
        <w:numPr>
          <w:ilvl w:val="0"/>
          <w:numId w:val="6"/>
        </w:numPr>
        <w:tabs>
          <w:tab w:pos="566" w:val="left" w:leader="none"/>
        </w:tabs>
        <w:spacing w:line="193" w:lineRule="exact" w:before="0" w:after="0"/>
        <w:ind w:left="566" w:right="0" w:hanging="453"/>
        <w:jc w:val="left"/>
        <w:rPr>
          <w:sz w:val="16"/>
        </w:rPr>
      </w:pPr>
      <w:r>
        <w:rPr>
          <w:sz w:val="16"/>
        </w:rPr>
        <w:t>See</w:t>
      </w:r>
      <w:r>
        <w:rPr>
          <w:spacing w:val="7"/>
          <w:sz w:val="16"/>
        </w:rPr>
        <w:t> </w:t>
      </w:r>
      <w:r>
        <w:rPr>
          <w:sz w:val="16"/>
        </w:rPr>
        <w:t>our</w:t>
      </w:r>
      <w:r>
        <w:rPr>
          <w:spacing w:val="8"/>
          <w:sz w:val="16"/>
        </w:rPr>
        <w:t> </w:t>
      </w:r>
      <w:r>
        <w:rPr>
          <w:sz w:val="16"/>
        </w:rPr>
        <w:t>analysis</w:t>
      </w:r>
      <w:r>
        <w:rPr>
          <w:spacing w:val="7"/>
          <w:sz w:val="16"/>
        </w:rPr>
        <w:t> </w:t>
      </w:r>
      <w:r>
        <w:rPr>
          <w:sz w:val="16"/>
        </w:rPr>
        <w:t>of</w:t>
      </w:r>
      <w:r>
        <w:rPr>
          <w:spacing w:val="8"/>
          <w:sz w:val="16"/>
        </w:rPr>
        <w:t> </w:t>
      </w:r>
      <w:r>
        <w:rPr>
          <w:sz w:val="16"/>
        </w:rPr>
        <w:t>the</w:t>
      </w:r>
      <w:r>
        <w:rPr>
          <w:spacing w:val="7"/>
          <w:sz w:val="16"/>
        </w:rPr>
        <w:t> </w:t>
      </w:r>
      <w:r>
        <w:rPr>
          <w:sz w:val="16"/>
        </w:rPr>
        <w:t>doctrine</w:t>
      </w:r>
      <w:r>
        <w:rPr>
          <w:spacing w:val="7"/>
          <w:sz w:val="16"/>
        </w:rPr>
        <w:t> </w:t>
      </w:r>
      <w:r>
        <w:rPr>
          <w:sz w:val="16"/>
        </w:rPr>
        <w:t>of</w:t>
      </w:r>
      <w:r>
        <w:rPr>
          <w:spacing w:val="8"/>
          <w:sz w:val="16"/>
        </w:rPr>
        <w:t> </w:t>
      </w:r>
      <w:r>
        <w:rPr>
          <w:sz w:val="16"/>
        </w:rPr>
        <w:t>primacy</w:t>
      </w:r>
      <w:r>
        <w:rPr>
          <w:spacing w:val="7"/>
          <w:sz w:val="16"/>
        </w:rPr>
        <w:t> </w:t>
      </w:r>
      <w:r>
        <w:rPr>
          <w:sz w:val="16"/>
        </w:rPr>
        <w:t>in</w:t>
      </w:r>
      <w:r>
        <w:rPr>
          <w:spacing w:val="8"/>
          <w:sz w:val="16"/>
        </w:rPr>
        <w:t> </w:t>
      </w:r>
      <w:r>
        <w:rPr>
          <w:sz w:val="16"/>
        </w:rPr>
        <w:t>Chapter</w:t>
      </w:r>
      <w:r>
        <w:rPr>
          <w:spacing w:val="7"/>
          <w:sz w:val="16"/>
        </w:rPr>
        <w:t> </w:t>
      </w:r>
      <w:r>
        <w:rPr>
          <w:spacing w:val="-5"/>
          <w:sz w:val="16"/>
        </w:rPr>
        <w:t>1.</w:t>
      </w:r>
    </w:p>
    <w:p>
      <w:pPr>
        <w:pStyle w:val="ListParagraph"/>
        <w:numPr>
          <w:ilvl w:val="0"/>
          <w:numId w:val="6"/>
        </w:numPr>
        <w:tabs>
          <w:tab w:pos="567" w:val="left" w:leader="none"/>
        </w:tabs>
        <w:spacing w:line="200" w:lineRule="exact" w:before="0" w:after="0"/>
        <w:ind w:left="567" w:right="0" w:hanging="454"/>
        <w:jc w:val="left"/>
        <w:rPr>
          <w:rFonts w:ascii="Arial"/>
          <w:sz w:val="16"/>
        </w:rPr>
      </w:pPr>
      <w:r>
        <w:rPr>
          <w:sz w:val="16"/>
        </w:rPr>
        <w:t>See</w:t>
      </w:r>
      <w:r>
        <w:rPr>
          <w:spacing w:val="-2"/>
          <w:sz w:val="16"/>
        </w:rPr>
        <w:t> </w:t>
      </w:r>
      <w:r>
        <w:rPr>
          <w:sz w:val="16"/>
        </w:rPr>
        <w:t>e.g.</w:t>
      </w:r>
      <w:r>
        <w:rPr>
          <w:spacing w:val="-2"/>
          <w:sz w:val="16"/>
        </w:rPr>
        <w:t> </w:t>
      </w:r>
      <w:r>
        <w:rPr>
          <w:rFonts w:ascii="Verdana"/>
          <w:i/>
          <w:sz w:val="16"/>
        </w:rPr>
        <w:t>Marleasing</w:t>
      </w:r>
      <w:r>
        <w:rPr>
          <w:rFonts w:ascii="Verdana"/>
          <w:i/>
          <w:spacing w:val="-8"/>
          <w:sz w:val="16"/>
        </w:rPr>
        <w:t> </w:t>
      </w:r>
      <w:r>
        <w:rPr>
          <w:sz w:val="16"/>
        </w:rPr>
        <w:t>(n</w:t>
      </w:r>
      <w:r>
        <w:rPr>
          <w:spacing w:val="-1"/>
          <w:sz w:val="16"/>
        </w:rPr>
        <w:t> </w:t>
      </w:r>
      <w:r>
        <w:rPr>
          <w:sz w:val="16"/>
        </w:rPr>
        <w:t>57),</w:t>
      </w:r>
      <w:r>
        <w:rPr>
          <w:spacing w:val="-2"/>
          <w:sz w:val="16"/>
        </w:rPr>
        <w:t> </w:t>
      </w:r>
      <w:r>
        <w:rPr>
          <w:sz w:val="16"/>
        </w:rPr>
        <w:t>para</w:t>
      </w:r>
      <w:r>
        <w:rPr>
          <w:spacing w:val="-2"/>
          <w:sz w:val="16"/>
        </w:rPr>
        <w:t> </w:t>
      </w:r>
      <w:r>
        <w:rPr>
          <w:spacing w:val="-5"/>
          <w:sz w:val="16"/>
        </w:rPr>
        <w:t>8.</w:t>
      </w:r>
    </w:p>
    <w:p>
      <w:pPr>
        <w:pStyle w:val="ListParagraph"/>
        <w:numPr>
          <w:ilvl w:val="0"/>
          <w:numId w:val="6"/>
        </w:numPr>
        <w:tabs>
          <w:tab w:pos="567" w:val="left" w:leader="none"/>
        </w:tabs>
        <w:spacing w:line="223" w:lineRule="exact" w:before="0" w:after="0"/>
        <w:ind w:left="567" w:right="0" w:hanging="454"/>
        <w:jc w:val="left"/>
        <w:rPr>
          <w:sz w:val="16"/>
        </w:rPr>
      </w:pPr>
      <w:r>
        <w:rPr>
          <w:rFonts w:ascii="Arial"/>
          <w:w w:val="110"/>
          <w:sz w:val="16"/>
        </w:rPr>
        <w:t>Art</w:t>
      </w:r>
      <w:r>
        <w:rPr>
          <w:rFonts w:ascii="Arial"/>
          <w:spacing w:val="6"/>
          <w:w w:val="110"/>
          <w:sz w:val="16"/>
        </w:rPr>
        <w:t> </w:t>
      </w:r>
      <w:r>
        <w:rPr>
          <w:rFonts w:ascii="Arial"/>
          <w:w w:val="110"/>
          <w:sz w:val="16"/>
        </w:rPr>
        <w:t>6(1)</w:t>
      </w:r>
      <w:r>
        <w:rPr>
          <w:rFonts w:ascii="Arial"/>
          <w:spacing w:val="7"/>
          <w:w w:val="110"/>
          <w:sz w:val="16"/>
        </w:rPr>
        <w:t> </w:t>
      </w:r>
      <w:r>
        <w:rPr>
          <w:rFonts w:ascii="Arial"/>
          <w:spacing w:val="-4"/>
          <w:w w:val="110"/>
          <w:sz w:val="16"/>
        </w:rPr>
        <w:t>TEU.</w:t>
      </w:r>
    </w:p>
    <w:p>
      <w:pPr>
        <w:spacing w:after="0" w:line="223" w:lineRule="exact"/>
        <w:jc w:val="left"/>
        <w:rPr>
          <w:sz w:val="16"/>
        </w:rPr>
        <w:sectPr>
          <w:type w:val="continuous"/>
          <w:pgSz w:w="11910" w:h="16840"/>
          <w:pgMar w:header="568" w:footer="580" w:top="0" w:bottom="280" w:left="1020" w:right="1020"/>
        </w:sectPr>
      </w:pPr>
    </w:p>
    <w:p>
      <w:pPr>
        <w:pStyle w:val="BodyText"/>
        <w:ind w:left="0"/>
        <w:rPr>
          <w:sz w:val="20"/>
        </w:rPr>
      </w:pPr>
    </w:p>
    <w:p>
      <w:pPr>
        <w:pStyle w:val="BodyText"/>
        <w:ind w:left="0"/>
        <w:rPr>
          <w:sz w:val="20"/>
        </w:rPr>
      </w:pPr>
    </w:p>
    <w:p>
      <w:pPr>
        <w:pStyle w:val="BodyText"/>
        <w:spacing w:before="48"/>
        <w:ind w:left="0"/>
        <w:rPr>
          <w:sz w:val="20"/>
        </w:rPr>
      </w:pPr>
    </w:p>
    <w:p>
      <w:pPr>
        <w:spacing w:after="0"/>
        <w:rPr>
          <w:sz w:val="20"/>
        </w:rPr>
        <w:sectPr>
          <w:pgSz w:w="11910" w:h="16840"/>
          <w:pgMar w:header="568" w:footer="580" w:top="840" w:bottom="780" w:left="1020" w:right="1020"/>
        </w:sectPr>
      </w:pPr>
    </w:p>
    <w:p>
      <w:pPr>
        <w:pStyle w:val="BodyText"/>
        <w:spacing w:line="268" w:lineRule="auto" w:before="72"/>
      </w:pPr>
      <w:bookmarkStart w:name="d. Section 7A EUWA after the REULA" w:id="39"/>
      <w:bookmarkEnd w:id="39"/>
      <w:r>
        <w:rPr/>
      </w:r>
      <w:bookmarkStart w:name="_bookmark16" w:id="40"/>
      <w:bookmarkEnd w:id="40"/>
      <w:r>
        <w:rPr/>
      </w:r>
      <w:r>
        <w:rPr>
          <w:w w:val="115"/>
        </w:rPr>
        <w:t>Brexit, albeit in respect of a greatly reduced</w:t>
      </w:r>
      <w:r>
        <w:rPr>
          <w:spacing w:val="-20"/>
          <w:w w:val="115"/>
        </w:rPr>
        <w:t> </w:t>
      </w:r>
      <w:r>
        <w:rPr>
          <w:w w:val="115"/>
        </w:rPr>
        <w:t>body</w:t>
      </w:r>
      <w:r>
        <w:rPr>
          <w:spacing w:val="-19"/>
          <w:w w:val="115"/>
        </w:rPr>
        <w:t> </w:t>
      </w:r>
      <w:r>
        <w:rPr>
          <w:w w:val="115"/>
        </w:rPr>
        <w:t>of</w:t>
      </w:r>
      <w:r>
        <w:rPr>
          <w:spacing w:val="-19"/>
          <w:w w:val="115"/>
        </w:rPr>
        <w:t> </w:t>
      </w:r>
      <w:r>
        <w:rPr>
          <w:w w:val="115"/>
        </w:rPr>
        <w:t>EU</w:t>
      </w:r>
      <w:r>
        <w:rPr>
          <w:spacing w:val="-19"/>
          <w:w w:val="115"/>
        </w:rPr>
        <w:t> </w:t>
      </w:r>
      <w:r>
        <w:rPr>
          <w:w w:val="115"/>
        </w:rPr>
        <w:t>law</w:t>
      </w:r>
      <w:r>
        <w:rPr>
          <w:spacing w:val="-19"/>
          <w:w w:val="115"/>
        </w:rPr>
        <w:t> </w:t>
      </w:r>
      <w:r>
        <w:rPr>
          <w:w w:val="115"/>
        </w:rPr>
        <w:t>mentioned</w:t>
      </w:r>
      <w:r>
        <w:rPr>
          <w:spacing w:val="-20"/>
          <w:w w:val="115"/>
        </w:rPr>
        <w:t> </w:t>
      </w:r>
      <w:r>
        <w:rPr>
          <w:w w:val="115"/>
        </w:rPr>
        <w:t>in the Protocol.</w:t>
      </w:r>
    </w:p>
    <w:p>
      <w:pPr>
        <w:pStyle w:val="BodyText"/>
        <w:spacing w:before="21"/>
        <w:ind w:left="0"/>
      </w:pPr>
    </w:p>
    <w:p>
      <w:pPr>
        <w:pStyle w:val="BodyText"/>
        <w:spacing w:line="244" w:lineRule="auto"/>
      </w:pPr>
      <w:r>
        <w:rPr>
          <w:w w:val="115"/>
        </w:rPr>
        <w:t>Of course, it is imaginable that the </w:t>
      </w:r>
      <w:r>
        <w:rPr>
          <w:rFonts w:ascii="Lucida Sans Unicode" w:hAnsi="Lucida Sans Unicode"/>
        </w:rPr>
        <w:t>Supreme Court’s conclusions on a </w:t>
      </w:r>
      <w:r>
        <w:rPr>
          <w:w w:val="115"/>
        </w:rPr>
        <w:t>discrete aspect of the Protocol may not extend to the position of the Charter within the Northern Ireland </w:t>
      </w:r>
      <w:r>
        <w:rPr>
          <w:spacing w:val="-2"/>
          <w:w w:val="115"/>
        </w:rPr>
        <w:t>legal</w:t>
      </w:r>
      <w:r>
        <w:rPr>
          <w:spacing w:val="-18"/>
          <w:w w:val="115"/>
        </w:rPr>
        <w:t> </w:t>
      </w:r>
      <w:r>
        <w:rPr>
          <w:spacing w:val="-2"/>
          <w:w w:val="115"/>
        </w:rPr>
        <w:t>order,</w:t>
      </w:r>
      <w:r>
        <w:rPr>
          <w:spacing w:val="-17"/>
          <w:w w:val="115"/>
        </w:rPr>
        <w:t> </w:t>
      </w:r>
      <w:r>
        <w:rPr>
          <w:spacing w:val="-2"/>
          <w:w w:val="115"/>
        </w:rPr>
        <w:t>more</w:t>
      </w:r>
      <w:r>
        <w:rPr>
          <w:spacing w:val="-17"/>
          <w:w w:val="115"/>
        </w:rPr>
        <w:t> </w:t>
      </w:r>
      <w:r>
        <w:rPr>
          <w:spacing w:val="-2"/>
          <w:w w:val="115"/>
        </w:rPr>
        <w:t>generally.</w:t>
      </w:r>
      <w:r>
        <w:rPr>
          <w:rFonts w:ascii="Lucida Sans Unicode" w:hAnsi="Lucida Sans Unicode"/>
          <w:spacing w:val="-2"/>
          <w:w w:val="115"/>
          <w:vertAlign w:val="superscript"/>
        </w:rPr>
        <w:t>153</w:t>
      </w:r>
      <w:r>
        <w:rPr>
          <w:rFonts w:ascii="Lucida Sans Unicode" w:hAnsi="Lucida Sans Unicode"/>
          <w:spacing w:val="-20"/>
          <w:w w:val="115"/>
          <w:vertAlign w:val="baseline"/>
        </w:rPr>
        <w:t> </w:t>
      </w:r>
      <w:r>
        <w:rPr>
          <w:spacing w:val="-2"/>
          <w:w w:val="115"/>
          <w:vertAlign w:val="baseline"/>
        </w:rPr>
        <w:t>Our </w:t>
      </w:r>
      <w:r>
        <w:rPr>
          <w:w w:val="115"/>
          <w:vertAlign w:val="baseline"/>
        </w:rPr>
        <w:t>interpretation</w:t>
      </w:r>
      <w:r>
        <w:rPr>
          <w:spacing w:val="-2"/>
          <w:w w:val="115"/>
          <w:vertAlign w:val="baseline"/>
        </w:rPr>
        <w:t> </w:t>
      </w:r>
      <w:r>
        <w:rPr>
          <w:w w:val="115"/>
          <w:vertAlign w:val="baseline"/>
        </w:rPr>
        <w:t>of</w:t>
      </w:r>
      <w:r>
        <w:rPr>
          <w:spacing w:val="-2"/>
          <w:w w:val="115"/>
          <w:vertAlign w:val="baseline"/>
        </w:rPr>
        <w:t> </w:t>
      </w:r>
      <w:r>
        <w:rPr>
          <w:w w:val="115"/>
          <w:vertAlign w:val="baseline"/>
        </w:rPr>
        <w:t>the</w:t>
      </w:r>
      <w:r>
        <w:rPr>
          <w:spacing w:val="-2"/>
          <w:w w:val="115"/>
          <w:vertAlign w:val="baseline"/>
        </w:rPr>
        <w:t> </w:t>
      </w:r>
      <w:r>
        <w:rPr>
          <w:w w:val="115"/>
          <w:vertAlign w:val="baseline"/>
        </w:rPr>
        <w:t>impact</w:t>
      </w:r>
      <w:r>
        <w:rPr>
          <w:spacing w:val="-2"/>
          <w:w w:val="115"/>
          <w:vertAlign w:val="baseline"/>
        </w:rPr>
        <w:t> </w:t>
      </w:r>
      <w:r>
        <w:rPr>
          <w:w w:val="115"/>
          <w:vertAlign w:val="baseline"/>
        </w:rPr>
        <w:t>of</w:t>
      </w:r>
      <w:r>
        <w:rPr>
          <w:spacing w:val="-2"/>
          <w:w w:val="115"/>
          <w:vertAlign w:val="baseline"/>
        </w:rPr>
        <w:t> </w:t>
      </w:r>
      <w:r>
        <w:rPr>
          <w:w w:val="115"/>
          <w:vertAlign w:val="baseline"/>
        </w:rPr>
        <w:t>section 7A</w:t>
      </w:r>
      <w:r>
        <w:rPr>
          <w:spacing w:val="-20"/>
          <w:w w:val="115"/>
          <w:vertAlign w:val="baseline"/>
        </w:rPr>
        <w:t> </w:t>
      </w:r>
      <w:r>
        <w:rPr>
          <w:w w:val="115"/>
          <w:vertAlign w:val="baseline"/>
        </w:rPr>
        <w:t>of</w:t>
      </w:r>
      <w:r>
        <w:rPr>
          <w:spacing w:val="-19"/>
          <w:w w:val="115"/>
          <w:vertAlign w:val="baseline"/>
        </w:rPr>
        <w:t> </w:t>
      </w:r>
      <w:r>
        <w:rPr>
          <w:w w:val="115"/>
          <w:vertAlign w:val="baseline"/>
        </w:rPr>
        <w:t>the</w:t>
      </w:r>
      <w:r>
        <w:rPr>
          <w:spacing w:val="-19"/>
          <w:w w:val="115"/>
          <w:vertAlign w:val="baseline"/>
        </w:rPr>
        <w:t> </w:t>
      </w:r>
      <w:r>
        <w:rPr>
          <w:w w:val="115"/>
          <w:vertAlign w:val="baseline"/>
        </w:rPr>
        <w:t>EUWA</w:t>
      </w:r>
      <w:r>
        <w:rPr>
          <w:spacing w:val="-19"/>
          <w:w w:val="115"/>
          <w:vertAlign w:val="baseline"/>
        </w:rPr>
        <w:t> </w:t>
      </w:r>
      <w:r>
        <w:rPr>
          <w:w w:val="115"/>
          <w:vertAlign w:val="baseline"/>
        </w:rPr>
        <w:t>does,</w:t>
      </w:r>
      <w:r>
        <w:rPr>
          <w:spacing w:val="-19"/>
          <w:w w:val="115"/>
          <w:vertAlign w:val="baseline"/>
        </w:rPr>
        <w:t> </w:t>
      </w:r>
      <w:r>
        <w:rPr>
          <w:w w:val="115"/>
          <w:vertAlign w:val="baseline"/>
        </w:rPr>
        <w:t>however,</w:t>
      </w:r>
      <w:r>
        <w:rPr>
          <w:spacing w:val="-20"/>
          <w:w w:val="115"/>
          <w:vertAlign w:val="baseline"/>
        </w:rPr>
        <w:t> </w:t>
      </w:r>
      <w:r>
        <w:rPr>
          <w:w w:val="115"/>
          <w:vertAlign w:val="baseline"/>
        </w:rPr>
        <w:t>have </w:t>
      </w:r>
      <w:r>
        <w:rPr>
          <w:rFonts w:ascii="Lucida Sans Unicode" w:hAnsi="Lucida Sans Unicode"/>
          <w:spacing w:val="-2"/>
          <w:w w:val="110"/>
          <w:vertAlign w:val="baseline"/>
        </w:rPr>
        <w:t>the</w:t>
      </w:r>
      <w:r>
        <w:rPr>
          <w:rFonts w:ascii="Lucida Sans Unicode" w:hAnsi="Lucida Sans Unicode"/>
          <w:spacing w:val="-15"/>
          <w:w w:val="110"/>
          <w:vertAlign w:val="baseline"/>
        </w:rPr>
        <w:t> </w:t>
      </w:r>
      <w:r>
        <w:rPr>
          <w:rFonts w:ascii="Lucida Sans Unicode" w:hAnsi="Lucida Sans Unicode"/>
          <w:spacing w:val="-2"/>
          <w:w w:val="110"/>
          <w:vertAlign w:val="baseline"/>
        </w:rPr>
        <w:t>benefit</w:t>
      </w:r>
      <w:r>
        <w:rPr>
          <w:rFonts w:ascii="Lucida Sans Unicode" w:hAnsi="Lucida Sans Unicode"/>
          <w:spacing w:val="-15"/>
          <w:w w:val="110"/>
          <w:vertAlign w:val="baseline"/>
        </w:rPr>
        <w:t> </w:t>
      </w:r>
      <w:r>
        <w:rPr>
          <w:rFonts w:ascii="Lucida Sans Unicode" w:hAnsi="Lucida Sans Unicode"/>
          <w:spacing w:val="-2"/>
          <w:w w:val="110"/>
          <w:vertAlign w:val="baseline"/>
        </w:rPr>
        <w:t>of</w:t>
      </w:r>
      <w:r>
        <w:rPr>
          <w:rFonts w:ascii="Lucida Sans Unicode" w:hAnsi="Lucida Sans Unicode"/>
          <w:spacing w:val="-15"/>
          <w:w w:val="110"/>
          <w:vertAlign w:val="baseline"/>
        </w:rPr>
        <w:t> </w:t>
      </w:r>
      <w:r>
        <w:rPr>
          <w:rFonts w:ascii="Lucida Sans Unicode" w:hAnsi="Lucida Sans Unicode"/>
          <w:spacing w:val="-2"/>
          <w:w w:val="110"/>
          <w:vertAlign w:val="baseline"/>
        </w:rPr>
        <w:t>greater</w:t>
      </w:r>
      <w:r>
        <w:rPr>
          <w:rFonts w:ascii="Lucida Sans Unicode" w:hAnsi="Lucida Sans Unicode"/>
          <w:spacing w:val="-15"/>
          <w:w w:val="110"/>
          <w:vertAlign w:val="baseline"/>
        </w:rPr>
        <w:t> </w:t>
      </w:r>
      <w:r>
        <w:rPr>
          <w:rFonts w:ascii="Lucida Sans Unicode" w:hAnsi="Lucida Sans Unicode"/>
          <w:spacing w:val="-2"/>
          <w:w w:val="110"/>
          <w:vertAlign w:val="baseline"/>
        </w:rPr>
        <w:t>certainty</w:t>
      </w:r>
      <w:r>
        <w:rPr>
          <w:rFonts w:ascii="Lucida Sans Unicode" w:hAnsi="Lucida Sans Unicode"/>
          <w:spacing w:val="-15"/>
          <w:w w:val="110"/>
          <w:vertAlign w:val="baseline"/>
        </w:rPr>
        <w:t> </w:t>
      </w:r>
      <w:r>
        <w:rPr>
          <w:rFonts w:ascii="Lucida Sans Unicode" w:hAnsi="Lucida Sans Unicode"/>
          <w:spacing w:val="-2"/>
          <w:w w:val="110"/>
          <w:vertAlign w:val="baseline"/>
        </w:rPr>
        <w:t>for </w:t>
      </w:r>
      <w:r>
        <w:rPr>
          <w:w w:val="115"/>
          <w:vertAlign w:val="baseline"/>
        </w:rPr>
        <w:t>domestic courts and litigants, which alternative interpretations would</w:t>
      </w:r>
    </w:p>
    <w:p>
      <w:pPr>
        <w:pStyle w:val="BodyText"/>
        <w:spacing w:line="268" w:lineRule="auto" w:before="9"/>
      </w:pPr>
      <w:r>
        <w:rPr>
          <w:w w:val="115"/>
        </w:rPr>
        <w:t>not provide, particularly considering that no correction was made of the broader approach adopted in the </w:t>
      </w:r>
      <w:r>
        <w:rPr>
          <w:spacing w:val="-2"/>
          <w:w w:val="115"/>
        </w:rPr>
        <w:t>Northern</w:t>
      </w:r>
      <w:r>
        <w:rPr>
          <w:spacing w:val="-13"/>
          <w:w w:val="115"/>
        </w:rPr>
        <w:t> </w:t>
      </w:r>
      <w:r>
        <w:rPr>
          <w:spacing w:val="-2"/>
          <w:w w:val="115"/>
        </w:rPr>
        <w:t>Ireland</w:t>
      </w:r>
      <w:r>
        <w:rPr>
          <w:spacing w:val="-13"/>
          <w:w w:val="115"/>
        </w:rPr>
        <w:t> </w:t>
      </w:r>
      <w:r>
        <w:rPr>
          <w:spacing w:val="-2"/>
          <w:w w:val="115"/>
        </w:rPr>
        <w:t>High</w:t>
      </w:r>
      <w:r>
        <w:rPr>
          <w:spacing w:val="-13"/>
          <w:w w:val="115"/>
        </w:rPr>
        <w:t> </w:t>
      </w:r>
      <w:r>
        <w:rPr>
          <w:spacing w:val="-2"/>
          <w:w w:val="115"/>
        </w:rPr>
        <w:t>Court</w:t>
      </w:r>
      <w:r>
        <w:rPr>
          <w:spacing w:val="-13"/>
          <w:w w:val="115"/>
        </w:rPr>
        <w:t> </w:t>
      </w:r>
      <w:r>
        <w:rPr>
          <w:spacing w:val="-2"/>
          <w:w w:val="115"/>
        </w:rPr>
        <w:t>and</w:t>
      </w:r>
      <w:r>
        <w:rPr>
          <w:spacing w:val="-13"/>
          <w:w w:val="115"/>
        </w:rPr>
        <w:t> </w:t>
      </w:r>
      <w:r>
        <w:rPr>
          <w:spacing w:val="-2"/>
          <w:w w:val="115"/>
        </w:rPr>
        <w:t>Court </w:t>
      </w:r>
      <w:r>
        <w:rPr>
          <w:w w:val="115"/>
        </w:rPr>
        <w:t>of Appeal, where the Charter was</w:t>
      </w:r>
    </w:p>
    <w:p>
      <w:pPr>
        <w:pStyle w:val="BodyText"/>
        <w:spacing w:line="326" w:lineRule="exact"/>
        <w:rPr>
          <w:rFonts w:ascii="Lucida Sans Unicode"/>
        </w:rPr>
      </w:pPr>
      <w:r>
        <w:rPr>
          <w:rFonts w:ascii="Lucida Sans Unicode"/>
        </w:rPr>
        <w:t>specifically</w:t>
      </w:r>
      <w:r>
        <w:rPr>
          <w:rFonts w:ascii="Lucida Sans Unicode"/>
          <w:spacing w:val="34"/>
        </w:rPr>
        <w:t> </w:t>
      </w:r>
      <w:r>
        <w:rPr>
          <w:rFonts w:ascii="Lucida Sans Unicode"/>
          <w:spacing w:val="-2"/>
        </w:rPr>
        <w:t>highlighted.</w:t>
      </w:r>
    </w:p>
    <w:p>
      <w:pPr>
        <w:pStyle w:val="ListParagraph"/>
        <w:numPr>
          <w:ilvl w:val="1"/>
          <w:numId w:val="9"/>
        </w:numPr>
        <w:tabs>
          <w:tab w:pos="414" w:val="left" w:leader="none"/>
        </w:tabs>
        <w:spacing w:line="256" w:lineRule="auto" w:before="262" w:after="0"/>
        <w:ind w:left="113" w:right="100" w:firstLine="0"/>
        <w:jc w:val="left"/>
        <w:rPr>
          <w:sz w:val="24"/>
        </w:rPr>
      </w:pPr>
      <w:r>
        <w:rPr>
          <w:rFonts w:ascii="Tahoma"/>
          <w:b/>
          <w:color w:val="77328A"/>
          <w:sz w:val="24"/>
        </w:rPr>
        <w:t>Section 7A EUWA after the </w:t>
      </w:r>
      <w:r>
        <w:rPr>
          <w:rFonts w:ascii="Tahoma"/>
          <w:b/>
          <w:color w:val="77328A"/>
          <w:sz w:val="24"/>
        </w:rPr>
        <w:t>REULA </w:t>
      </w:r>
      <w:r>
        <w:rPr>
          <w:rFonts w:ascii="Arial"/>
          <w:w w:val="110"/>
          <w:sz w:val="24"/>
        </w:rPr>
        <w:t>The REULA amends the EUWA in two important respects, for the purposes</w:t>
      </w:r>
      <w:r>
        <w:rPr>
          <w:rFonts w:ascii="Arial"/>
          <w:spacing w:val="40"/>
          <w:w w:val="110"/>
          <w:sz w:val="24"/>
        </w:rPr>
        <w:t> </w:t>
      </w:r>
      <w:r>
        <w:rPr>
          <w:sz w:val="24"/>
        </w:rPr>
        <w:t>of this report: first, as noted earlier,</w:t>
      </w:r>
    </w:p>
    <w:p>
      <w:pPr>
        <w:pStyle w:val="BodyText"/>
        <w:spacing w:line="228" w:lineRule="exact"/>
      </w:pPr>
      <w:r>
        <w:rPr>
          <w:w w:val="110"/>
        </w:rPr>
        <w:t>it</w:t>
      </w:r>
      <w:r>
        <w:rPr>
          <w:spacing w:val="7"/>
          <w:w w:val="110"/>
        </w:rPr>
        <w:t> </w:t>
      </w:r>
      <w:r>
        <w:rPr>
          <w:w w:val="110"/>
        </w:rPr>
        <w:t>abolishes</w:t>
      </w:r>
      <w:r>
        <w:rPr>
          <w:spacing w:val="7"/>
          <w:w w:val="110"/>
        </w:rPr>
        <w:t> </w:t>
      </w:r>
      <w:r>
        <w:rPr>
          <w:w w:val="110"/>
        </w:rPr>
        <w:t>the</w:t>
      </w:r>
      <w:r>
        <w:rPr>
          <w:spacing w:val="7"/>
          <w:w w:val="110"/>
        </w:rPr>
        <w:t> </w:t>
      </w:r>
      <w:r>
        <w:rPr>
          <w:w w:val="110"/>
        </w:rPr>
        <w:t>general</w:t>
      </w:r>
      <w:r>
        <w:rPr>
          <w:spacing w:val="8"/>
          <w:w w:val="110"/>
        </w:rPr>
        <w:t> </w:t>
      </w:r>
      <w:r>
        <w:rPr>
          <w:spacing w:val="-2"/>
          <w:w w:val="110"/>
        </w:rPr>
        <w:t>principles</w:t>
      </w:r>
    </w:p>
    <w:p>
      <w:pPr>
        <w:pStyle w:val="BodyText"/>
        <w:spacing w:line="308" w:lineRule="exact" w:before="11"/>
        <w:ind w:right="345"/>
      </w:pPr>
      <w:r>
        <w:rPr>
          <w:w w:val="110"/>
        </w:rPr>
        <w:t>of</w:t>
      </w:r>
      <w:r>
        <w:rPr>
          <w:spacing w:val="40"/>
          <w:w w:val="110"/>
        </w:rPr>
        <w:t> </w:t>
      </w:r>
      <w:r>
        <w:rPr>
          <w:w w:val="110"/>
        </w:rPr>
        <w:t>EU</w:t>
      </w:r>
      <w:r>
        <w:rPr>
          <w:spacing w:val="40"/>
          <w:w w:val="110"/>
        </w:rPr>
        <w:t> </w:t>
      </w:r>
      <w:r>
        <w:rPr>
          <w:w w:val="110"/>
        </w:rPr>
        <w:t>law</w:t>
      </w:r>
      <w:r>
        <w:rPr>
          <w:spacing w:val="40"/>
          <w:w w:val="110"/>
        </w:rPr>
        <w:t> </w:t>
      </w:r>
      <w:r>
        <w:rPr>
          <w:w w:val="110"/>
        </w:rPr>
        <w:t>in</w:t>
      </w:r>
      <w:r>
        <w:rPr>
          <w:spacing w:val="40"/>
          <w:w w:val="110"/>
        </w:rPr>
        <w:t> </w:t>
      </w:r>
      <w:r>
        <w:rPr>
          <w:w w:val="110"/>
        </w:rPr>
        <w:t>domestic</w:t>
      </w:r>
      <w:r>
        <w:rPr>
          <w:spacing w:val="40"/>
          <w:w w:val="110"/>
        </w:rPr>
        <w:t> </w:t>
      </w:r>
      <w:r>
        <w:rPr>
          <w:w w:val="110"/>
        </w:rPr>
        <w:t>law</w:t>
      </w:r>
      <w:r>
        <w:rPr>
          <w:spacing w:val="40"/>
          <w:w w:val="110"/>
        </w:rPr>
        <w:t> </w:t>
      </w:r>
      <w:r>
        <w:rPr>
          <w:w w:val="110"/>
        </w:rPr>
        <w:t>(section </w:t>
      </w:r>
      <w:r>
        <w:rPr>
          <w:rFonts w:ascii="Lucida Sans Unicode"/>
          <w:w w:val="110"/>
        </w:rPr>
        <w:t>4</w:t>
      </w:r>
      <w:r>
        <w:rPr>
          <w:rFonts w:ascii="Lucida Sans Unicode"/>
          <w:spacing w:val="-6"/>
          <w:w w:val="110"/>
        </w:rPr>
        <w:t> </w:t>
      </w:r>
      <w:r>
        <w:rPr>
          <w:rFonts w:ascii="Lucida Sans Unicode"/>
          <w:w w:val="110"/>
        </w:rPr>
        <w:t>REULA);</w:t>
      </w:r>
      <w:r>
        <w:rPr>
          <w:rFonts w:ascii="Lucida Sans Unicode"/>
          <w:spacing w:val="-6"/>
          <w:w w:val="110"/>
        </w:rPr>
        <w:t> </w:t>
      </w:r>
      <w:r>
        <w:rPr>
          <w:rFonts w:ascii="Lucida Sans Unicode"/>
          <w:w w:val="110"/>
        </w:rPr>
        <w:t>second,</w:t>
      </w:r>
      <w:r>
        <w:rPr>
          <w:rFonts w:ascii="Lucida Sans Unicode"/>
          <w:spacing w:val="-6"/>
          <w:w w:val="110"/>
        </w:rPr>
        <w:t> </w:t>
      </w:r>
      <w:r>
        <w:rPr>
          <w:rFonts w:ascii="Lucida Sans Unicode"/>
          <w:w w:val="110"/>
        </w:rPr>
        <w:t>it</w:t>
      </w:r>
      <w:r>
        <w:rPr>
          <w:rFonts w:ascii="Lucida Sans Unicode"/>
          <w:spacing w:val="-6"/>
          <w:w w:val="110"/>
        </w:rPr>
        <w:t> </w:t>
      </w:r>
      <w:r>
        <w:rPr>
          <w:rFonts w:ascii="Lucida Sans Unicode"/>
          <w:w w:val="110"/>
        </w:rPr>
        <w:t>ends</w:t>
      </w:r>
      <w:r>
        <w:rPr>
          <w:rFonts w:ascii="Lucida Sans Unicode"/>
          <w:spacing w:val="-6"/>
          <w:w w:val="110"/>
        </w:rPr>
        <w:t> </w:t>
      </w:r>
      <w:r>
        <w:rPr>
          <w:rFonts w:ascii="Lucida Sans Unicode"/>
          <w:w w:val="110"/>
        </w:rPr>
        <w:t>the supremacy</w:t>
      </w:r>
      <w:r>
        <w:rPr>
          <w:rFonts w:ascii="Lucida Sans Unicode"/>
          <w:spacing w:val="-21"/>
          <w:w w:val="110"/>
        </w:rPr>
        <w:t> </w:t>
      </w:r>
      <w:r>
        <w:rPr>
          <w:rFonts w:ascii="Lucida Sans Unicode"/>
          <w:w w:val="110"/>
        </w:rPr>
        <w:t>of</w:t>
      </w:r>
      <w:r>
        <w:rPr>
          <w:rFonts w:ascii="Lucida Sans Unicode"/>
          <w:spacing w:val="-21"/>
          <w:w w:val="110"/>
        </w:rPr>
        <w:t> </w:t>
      </w:r>
      <w:r>
        <w:rPr>
          <w:rFonts w:ascii="Lucida Sans Unicode"/>
          <w:w w:val="110"/>
        </w:rPr>
        <w:t>EU</w:t>
      </w:r>
      <w:r>
        <w:rPr>
          <w:rFonts w:ascii="Lucida Sans Unicode"/>
          <w:spacing w:val="-21"/>
          <w:w w:val="110"/>
        </w:rPr>
        <w:t> </w:t>
      </w:r>
      <w:r>
        <w:rPr>
          <w:rFonts w:ascii="Lucida Sans Unicode"/>
          <w:w w:val="110"/>
        </w:rPr>
        <w:t>law</w:t>
      </w:r>
      <w:r>
        <w:rPr>
          <w:rFonts w:ascii="Lucida Sans Unicode"/>
          <w:spacing w:val="-21"/>
          <w:w w:val="110"/>
        </w:rPr>
        <w:t> </w:t>
      </w:r>
      <w:r>
        <w:rPr>
          <w:rFonts w:ascii="Lucida Sans Unicode"/>
          <w:w w:val="110"/>
        </w:rPr>
        <w:t>(section</w:t>
      </w:r>
      <w:r>
        <w:rPr>
          <w:rFonts w:ascii="Lucida Sans Unicode"/>
          <w:spacing w:val="-21"/>
          <w:w w:val="110"/>
        </w:rPr>
        <w:t> </w:t>
      </w:r>
      <w:r>
        <w:rPr>
          <w:rFonts w:ascii="Lucida Sans Unicode"/>
          <w:w w:val="110"/>
        </w:rPr>
        <w:t>3(1) </w:t>
      </w:r>
      <w:r>
        <w:rPr>
          <w:w w:val="110"/>
        </w:rPr>
        <w:t>REULA).</w:t>
      </w:r>
      <w:r>
        <w:rPr>
          <w:spacing w:val="-12"/>
          <w:w w:val="110"/>
        </w:rPr>
        <w:t> </w:t>
      </w:r>
      <w:r>
        <w:rPr>
          <w:w w:val="110"/>
        </w:rPr>
        <w:t>Nevertheless,</w:t>
      </w:r>
      <w:r>
        <w:rPr>
          <w:spacing w:val="-12"/>
          <w:w w:val="110"/>
        </w:rPr>
        <w:t> </w:t>
      </w:r>
      <w:r>
        <w:rPr>
          <w:w w:val="110"/>
        </w:rPr>
        <w:t>it</w:t>
      </w:r>
      <w:r>
        <w:rPr>
          <w:spacing w:val="-12"/>
          <w:w w:val="110"/>
        </w:rPr>
        <w:t> </w:t>
      </w:r>
      <w:r>
        <w:rPr>
          <w:w w:val="110"/>
        </w:rPr>
        <w:t>is</w:t>
      </w:r>
      <w:r>
        <w:rPr>
          <w:spacing w:val="-12"/>
          <w:w w:val="110"/>
        </w:rPr>
        <w:t> </w:t>
      </w:r>
      <w:r>
        <w:rPr>
          <w:w w:val="110"/>
        </w:rPr>
        <w:t>essential to emphasise that these changes </w:t>
      </w:r>
      <w:r>
        <w:rPr>
          <w:w w:val="110"/>
        </w:rPr>
        <w:t>do not affect the operation of section</w:t>
      </w:r>
      <w:r>
        <w:rPr>
          <w:spacing w:val="80"/>
          <w:w w:val="110"/>
        </w:rPr>
        <w:t> </w:t>
      </w:r>
      <w:r>
        <w:rPr>
          <w:w w:val="110"/>
        </w:rPr>
        <w:t>7A EUWA. Rather, the effect of section 7A of the EUWA appears to </w:t>
      </w:r>
      <w:r>
        <w:rPr>
          <w:rFonts w:ascii="Lucida Sans Unicode"/>
        </w:rPr>
        <w:t>be preserved by section 3(3) of the </w:t>
      </w:r>
      <w:r>
        <w:rPr>
          <w:rFonts w:ascii="Lucida Sans Unicode"/>
          <w:w w:val="110"/>
        </w:rPr>
        <w:t>REULA. Section 3(3) REULA </w:t>
      </w:r>
      <w:r>
        <w:rPr>
          <w:rFonts w:ascii="Verdana"/>
          <w:i/>
          <w:w w:val="110"/>
        </w:rPr>
        <w:t>inter</w:t>
      </w:r>
      <w:r>
        <w:rPr>
          <w:rFonts w:ascii="Verdana"/>
          <w:i/>
          <w:w w:val="110"/>
        </w:rPr>
        <w:t> </w:t>
      </w:r>
      <w:r>
        <w:rPr>
          <w:rFonts w:ascii="Verdana"/>
          <w:i/>
        </w:rPr>
        <w:t>alia </w:t>
      </w:r>
      <w:r>
        <w:rPr>
          <w:rFonts w:ascii="Lucida Sans Unicode"/>
        </w:rPr>
        <w:t>replaces subsections (1)-(3) of </w:t>
      </w:r>
      <w:r>
        <w:rPr>
          <w:w w:val="110"/>
        </w:rPr>
        <w:t>section 5 of the EUWA (including</w:t>
      </w:r>
    </w:p>
    <w:p>
      <w:pPr>
        <w:pStyle w:val="BodyText"/>
        <w:spacing w:line="252" w:lineRule="auto" w:before="23"/>
        <w:rPr>
          <w:rFonts w:ascii="Lucida Sans Unicode"/>
        </w:rPr>
      </w:pPr>
      <w:r>
        <w:rPr>
          <w:w w:val="110"/>
        </w:rPr>
        <w:t>references to these subsections </w:t>
      </w:r>
      <w:r>
        <w:rPr>
          <w:w w:val="110"/>
        </w:rPr>
        <w:t>within section 5 of the EUWA) with new </w:t>
      </w:r>
      <w:r>
        <w:rPr>
          <w:rFonts w:ascii="Lucida Sans Unicode"/>
        </w:rPr>
        <w:t>subsections (A1)-(A3). The effect</w:t>
      </w:r>
    </w:p>
    <w:p>
      <w:pPr>
        <w:pStyle w:val="BodyText"/>
        <w:spacing w:line="234" w:lineRule="exact"/>
      </w:pPr>
      <w:r>
        <w:rPr>
          <w:w w:val="115"/>
        </w:rPr>
        <w:t>of</w:t>
      </w:r>
      <w:r>
        <w:rPr>
          <w:spacing w:val="-13"/>
          <w:w w:val="115"/>
        </w:rPr>
        <w:t> </w:t>
      </w:r>
      <w:r>
        <w:rPr>
          <w:w w:val="115"/>
        </w:rPr>
        <w:t>this</w:t>
      </w:r>
      <w:r>
        <w:rPr>
          <w:spacing w:val="-12"/>
          <w:w w:val="115"/>
        </w:rPr>
        <w:t> </w:t>
      </w:r>
      <w:r>
        <w:rPr>
          <w:w w:val="115"/>
        </w:rPr>
        <w:t>replacement</w:t>
      </w:r>
      <w:r>
        <w:rPr>
          <w:spacing w:val="-13"/>
          <w:w w:val="115"/>
        </w:rPr>
        <w:t> </w:t>
      </w:r>
      <w:r>
        <w:rPr>
          <w:w w:val="115"/>
        </w:rPr>
        <w:t>is</w:t>
      </w:r>
      <w:r>
        <w:rPr>
          <w:spacing w:val="-12"/>
          <w:w w:val="115"/>
        </w:rPr>
        <w:t> </w:t>
      </w:r>
      <w:r>
        <w:rPr>
          <w:w w:val="115"/>
        </w:rPr>
        <w:t>at</w:t>
      </w:r>
      <w:r>
        <w:rPr>
          <w:spacing w:val="-13"/>
          <w:w w:val="115"/>
        </w:rPr>
        <w:t> </w:t>
      </w:r>
      <w:r>
        <w:rPr>
          <w:w w:val="115"/>
        </w:rPr>
        <w:t>its</w:t>
      </w:r>
      <w:r>
        <w:rPr>
          <w:spacing w:val="-12"/>
          <w:w w:val="115"/>
        </w:rPr>
        <w:t> </w:t>
      </w:r>
      <w:r>
        <w:rPr>
          <w:spacing w:val="-4"/>
          <w:w w:val="115"/>
        </w:rPr>
        <w:t>most</w:t>
      </w:r>
    </w:p>
    <w:p>
      <w:pPr>
        <w:pStyle w:val="BodyText"/>
        <w:spacing w:line="316" w:lineRule="exact" w:before="44"/>
        <w:ind w:right="183"/>
        <w:rPr>
          <w:rFonts w:ascii="Lucida Sans Unicode" w:hAnsi="Lucida Sans Unicode"/>
        </w:rPr>
      </w:pPr>
      <w:r>
        <w:rPr/>
        <w:br w:type="column"/>
      </w:r>
      <w:r>
        <w:rPr>
          <w:w w:val="110"/>
        </w:rPr>
        <w:t>important in the reference to (new) subsection (A1) in section 5(7) of the EUWA. This last provision subjects</w:t>
      </w:r>
      <w:r>
        <w:rPr>
          <w:spacing w:val="40"/>
          <w:w w:val="110"/>
        </w:rPr>
        <w:t> </w:t>
      </w:r>
      <w:r>
        <w:rPr>
          <w:w w:val="110"/>
        </w:rPr>
        <w:t>the sweeping language of section </w:t>
      </w:r>
      <w:r>
        <w:rPr>
          <w:w w:val="110"/>
        </w:rPr>
        <w:t>5(1) (which brings an end to the principle</w:t>
      </w:r>
      <w:r>
        <w:rPr>
          <w:spacing w:val="80"/>
          <w:w w:val="110"/>
        </w:rPr>
        <w:t> </w:t>
      </w:r>
      <w:r>
        <w:rPr>
          <w:w w:val="110"/>
        </w:rPr>
        <w:t>of EU law supremacy in the domestic legal order) to ‘relevant separation </w:t>
      </w:r>
      <w:r>
        <w:rPr>
          <w:rFonts w:ascii="Lucida Sans Unicode" w:hAnsi="Lucida Sans Unicode"/>
        </w:rPr>
        <w:t>agreement law’, defined in section</w:t>
      </w:r>
    </w:p>
    <w:p>
      <w:pPr>
        <w:pStyle w:val="BodyText"/>
        <w:spacing w:line="249" w:lineRule="auto" w:before="9"/>
        <w:ind w:right="317"/>
        <w:rPr>
          <w:rFonts w:ascii="Lucida Sans Unicode"/>
        </w:rPr>
      </w:pPr>
      <w:r>
        <w:rPr>
          <w:w w:val="110"/>
        </w:rPr>
        <w:t>7C of the EUWA to include, </w:t>
      </w:r>
      <w:r>
        <w:rPr>
          <w:rFonts w:ascii="Verdana"/>
          <w:i/>
          <w:w w:val="110"/>
        </w:rPr>
        <w:t>inter</w:t>
      </w:r>
      <w:r>
        <w:rPr>
          <w:rFonts w:ascii="Verdana"/>
          <w:i/>
          <w:w w:val="110"/>
        </w:rPr>
        <w:t> alia</w:t>
      </w:r>
      <w:r>
        <w:rPr>
          <w:w w:val="110"/>
        </w:rPr>
        <w:t>, section 7A of the EUWA, all of </w:t>
      </w:r>
      <w:r>
        <w:rPr>
          <w:rFonts w:ascii="Lucida Sans Unicode"/>
        </w:rPr>
        <w:t>the</w:t>
      </w:r>
      <w:r>
        <w:rPr>
          <w:rFonts w:ascii="Lucida Sans Unicode"/>
          <w:spacing w:val="9"/>
        </w:rPr>
        <w:t> </w:t>
      </w:r>
      <w:r>
        <w:rPr>
          <w:rFonts w:ascii="Lucida Sans Unicode"/>
        </w:rPr>
        <w:t>requirements</w:t>
      </w:r>
      <w:r>
        <w:rPr>
          <w:rFonts w:ascii="Lucida Sans Unicode"/>
          <w:spacing w:val="9"/>
        </w:rPr>
        <w:t> </w:t>
      </w:r>
      <w:r>
        <w:rPr>
          <w:rFonts w:ascii="Lucida Sans Unicode"/>
        </w:rPr>
        <w:t>of</w:t>
      </w:r>
      <w:r>
        <w:rPr>
          <w:rFonts w:ascii="Lucida Sans Unicode"/>
          <w:spacing w:val="10"/>
        </w:rPr>
        <w:t> </w:t>
      </w:r>
      <w:r>
        <w:rPr>
          <w:rFonts w:ascii="Lucida Sans Unicode"/>
        </w:rPr>
        <w:t>Article</w:t>
      </w:r>
      <w:r>
        <w:rPr>
          <w:rFonts w:ascii="Lucida Sans Unicode"/>
          <w:spacing w:val="9"/>
        </w:rPr>
        <w:t> </w:t>
      </w:r>
      <w:r>
        <w:rPr>
          <w:rFonts w:ascii="Lucida Sans Unicode"/>
        </w:rPr>
        <w:t>4</w:t>
      </w:r>
      <w:r>
        <w:rPr>
          <w:rFonts w:ascii="Lucida Sans Unicode"/>
          <w:spacing w:val="10"/>
        </w:rPr>
        <w:t> </w:t>
      </w:r>
      <w:r>
        <w:rPr>
          <w:rFonts w:ascii="Lucida Sans Unicode"/>
        </w:rPr>
        <w:t>of</w:t>
      </w:r>
      <w:r>
        <w:rPr>
          <w:rFonts w:ascii="Lucida Sans Unicode"/>
          <w:spacing w:val="9"/>
        </w:rPr>
        <w:t> </w:t>
      </w:r>
      <w:r>
        <w:rPr>
          <w:rFonts w:ascii="Lucida Sans Unicode"/>
          <w:spacing w:val="-5"/>
        </w:rPr>
        <w:t>the</w:t>
      </w:r>
    </w:p>
    <w:p>
      <w:pPr>
        <w:pStyle w:val="BodyText"/>
        <w:spacing w:line="295" w:lineRule="exact"/>
        <w:rPr>
          <w:rFonts w:ascii="Lucida Sans Unicode"/>
        </w:rPr>
      </w:pPr>
      <w:r>
        <w:rPr>
          <w:rFonts w:ascii="Lucida Sans Unicode"/>
        </w:rPr>
        <w:t>Withdrawal</w:t>
      </w:r>
      <w:r>
        <w:rPr>
          <w:rFonts w:ascii="Lucida Sans Unicode"/>
          <w:spacing w:val="39"/>
        </w:rPr>
        <w:t> </w:t>
      </w:r>
      <w:r>
        <w:rPr>
          <w:rFonts w:ascii="Lucida Sans Unicode"/>
        </w:rPr>
        <w:t>Agreement</w:t>
      </w:r>
      <w:r>
        <w:rPr>
          <w:rFonts w:ascii="Lucida Sans Unicode"/>
          <w:spacing w:val="39"/>
        </w:rPr>
        <w:t> </w:t>
      </w:r>
      <w:r>
        <w:rPr>
          <w:rFonts w:ascii="Lucida Sans Unicode"/>
        </w:rPr>
        <w:t>and</w:t>
      </w:r>
      <w:r>
        <w:rPr>
          <w:rFonts w:ascii="Lucida Sans Unicode"/>
          <w:spacing w:val="40"/>
        </w:rPr>
        <w:t> </w:t>
      </w:r>
      <w:r>
        <w:rPr>
          <w:rFonts w:ascii="Lucida Sans Unicode"/>
        </w:rPr>
        <w:t>Article</w:t>
      </w:r>
      <w:r>
        <w:rPr>
          <w:rFonts w:ascii="Lucida Sans Unicode"/>
          <w:spacing w:val="39"/>
        </w:rPr>
        <w:t> </w:t>
      </w:r>
      <w:r>
        <w:rPr>
          <w:rFonts w:ascii="Lucida Sans Unicode"/>
          <w:spacing w:val="-5"/>
        </w:rPr>
        <w:t>13</w:t>
      </w:r>
    </w:p>
    <w:p>
      <w:pPr>
        <w:pStyle w:val="BodyText"/>
        <w:spacing w:line="264" w:lineRule="auto"/>
        <w:ind w:right="114"/>
        <w:rPr>
          <w:rFonts w:ascii="Lucida Sans Unicode"/>
        </w:rPr>
      </w:pPr>
      <w:r>
        <w:rPr>
          <w:w w:val="110"/>
        </w:rPr>
        <w:t>of the Windsor Framework </w:t>
      </w:r>
      <w:r>
        <w:rPr>
          <w:w w:val="110"/>
        </w:rPr>
        <w:t>(conferring dynamic alignment on the Annex </w:t>
      </w:r>
      <w:r>
        <w:rPr/>
        <w:t>1 </w:t>
      </w:r>
      <w:r>
        <w:rPr>
          <w:w w:val="110"/>
        </w:rPr>
        <w:t>EU legislation concerning equality and</w:t>
      </w:r>
      <w:r>
        <w:rPr>
          <w:spacing w:val="40"/>
          <w:w w:val="110"/>
        </w:rPr>
        <w:t> </w:t>
      </w:r>
      <w:r>
        <w:rPr>
          <w:spacing w:val="-2"/>
          <w:w w:val="110"/>
        </w:rPr>
        <w:t>non-discrimination).</w:t>
      </w:r>
      <w:r>
        <w:rPr>
          <w:rFonts w:ascii="Lucida Sans Unicode"/>
          <w:spacing w:val="-2"/>
          <w:w w:val="110"/>
          <w:vertAlign w:val="superscript"/>
        </w:rPr>
        <w:t>154</w:t>
      </w:r>
    </w:p>
    <w:p>
      <w:pPr>
        <w:pStyle w:val="BodyText"/>
        <w:spacing w:line="316" w:lineRule="exact" w:before="211"/>
        <w:ind w:right="123"/>
      </w:pPr>
      <w:r>
        <w:rPr>
          <w:w w:val="115"/>
        </w:rPr>
        <w:t>The key principle of this meandering and complicated statutory tangle </w:t>
      </w:r>
      <w:r>
        <w:rPr>
          <w:rFonts w:ascii="Lucida Sans Unicode" w:hAnsi="Lucida Sans Unicode"/>
        </w:rPr>
        <w:t>appears to be that section 3(1) of the </w:t>
      </w:r>
      <w:r>
        <w:rPr>
          <w:w w:val="110"/>
        </w:rPr>
        <w:t>REULA applies to what was </w:t>
      </w:r>
      <w:r>
        <w:rPr>
          <w:w w:val="110"/>
        </w:rPr>
        <w:t>previously </w:t>
      </w:r>
      <w:r>
        <w:rPr>
          <w:w w:val="115"/>
        </w:rPr>
        <w:t>known</w:t>
      </w:r>
      <w:r>
        <w:rPr>
          <w:spacing w:val="-20"/>
          <w:w w:val="115"/>
        </w:rPr>
        <w:t> </w:t>
      </w:r>
      <w:r>
        <w:rPr>
          <w:w w:val="115"/>
        </w:rPr>
        <w:t>as</w:t>
      </w:r>
      <w:r>
        <w:rPr>
          <w:spacing w:val="-19"/>
          <w:w w:val="115"/>
        </w:rPr>
        <w:t> </w:t>
      </w:r>
      <w:r>
        <w:rPr>
          <w:w w:val="115"/>
        </w:rPr>
        <w:t>retained</w:t>
      </w:r>
      <w:r>
        <w:rPr>
          <w:spacing w:val="-19"/>
          <w:w w:val="115"/>
        </w:rPr>
        <w:t> </w:t>
      </w:r>
      <w:r>
        <w:rPr>
          <w:w w:val="115"/>
        </w:rPr>
        <w:t>EU</w:t>
      </w:r>
      <w:r>
        <w:rPr>
          <w:spacing w:val="-19"/>
          <w:w w:val="115"/>
        </w:rPr>
        <w:t> </w:t>
      </w:r>
      <w:r>
        <w:rPr>
          <w:w w:val="115"/>
        </w:rPr>
        <w:t>law</w:t>
      </w:r>
      <w:r>
        <w:rPr>
          <w:spacing w:val="-19"/>
          <w:w w:val="115"/>
        </w:rPr>
        <w:t> </w:t>
      </w:r>
      <w:r>
        <w:rPr>
          <w:w w:val="115"/>
        </w:rPr>
        <w:t>(henceforth called</w:t>
      </w:r>
      <w:r>
        <w:rPr>
          <w:spacing w:val="-11"/>
          <w:w w:val="115"/>
        </w:rPr>
        <w:t> </w:t>
      </w:r>
      <w:r>
        <w:rPr>
          <w:w w:val="115"/>
        </w:rPr>
        <w:t>assimilated</w:t>
      </w:r>
      <w:r>
        <w:rPr>
          <w:spacing w:val="-11"/>
          <w:w w:val="115"/>
        </w:rPr>
        <w:t> </w:t>
      </w:r>
      <w:r>
        <w:rPr>
          <w:w w:val="115"/>
        </w:rPr>
        <w:t>law)</w:t>
      </w:r>
      <w:r>
        <w:rPr>
          <w:spacing w:val="-11"/>
          <w:w w:val="115"/>
        </w:rPr>
        <w:t> </w:t>
      </w:r>
      <w:r>
        <w:rPr>
          <w:rFonts w:ascii="Verdana" w:hAnsi="Verdana"/>
          <w:i/>
          <w:w w:val="115"/>
        </w:rPr>
        <w:t>only</w:t>
      </w:r>
      <w:r>
        <w:rPr>
          <w:w w:val="115"/>
        </w:rPr>
        <w:t>,</w:t>
      </w:r>
      <w:r>
        <w:rPr>
          <w:spacing w:val="-11"/>
          <w:w w:val="115"/>
        </w:rPr>
        <w:t> </w:t>
      </w:r>
      <w:r>
        <w:rPr>
          <w:w w:val="115"/>
        </w:rPr>
        <w:t>thus preserving</w:t>
      </w:r>
      <w:r>
        <w:rPr>
          <w:spacing w:val="-5"/>
          <w:w w:val="115"/>
        </w:rPr>
        <w:t> </w:t>
      </w:r>
      <w:r>
        <w:rPr>
          <w:w w:val="115"/>
        </w:rPr>
        <w:t>supremacy</w:t>
      </w:r>
      <w:r>
        <w:rPr>
          <w:spacing w:val="-5"/>
          <w:w w:val="115"/>
        </w:rPr>
        <w:t> </w:t>
      </w:r>
      <w:r>
        <w:rPr>
          <w:w w:val="115"/>
        </w:rPr>
        <w:t>for</w:t>
      </w:r>
      <w:r>
        <w:rPr>
          <w:spacing w:val="-5"/>
          <w:w w:val="115"/>
        </w:rPr>
        <w:t> </w:t>
      </w:r>
      <w:r>
        <w:rPr>
          <w:w w:val="115"/>
        </w:rPr>
        <w:t>EU</w:t>
      </w:r>
      <w:r>
        <w:rPr>
          <w:spacing w:val="-5"/>
          <w:w w:val="115"/>
        </w:rPr>
        <w:t> </w:t>
      </w:r>
      <w:r>
        <w:rPr>
          <w:w w:val="115"/>
        </w:rPr>
        <w:t>law</w:t>
      </w:r>
      <w:r>
        <w:rPr>
          <w:spacing w:val="-5"/>
          <w:w w:val="115"/>
        </w:rPr>
        <w:t> </w:t>
      </w:r>
      <w:r>
        <w:rPr>
          <w:rFonts w:ascii="Verdana" w:hAnsi="Verdana"/>
          <w:i/>
          <w:w w:val="115"/>
        </w:rPr>
        <w:t>as</w:t>
      </w:r>
      <w:r>
        <w:rPr>
          <w:rFonts w:ascii="Verdana" w:hAnsi="Verdana"/>
          <w:i/>
          <w:w w:val="115"/>
        </w:rPr>
        <w:t> such</w:t>
      </w:r>
      <w:r>
        <w:rPr>
          <w:rFonts w:ascii="Verdana" w:hAnsi="Verdana"/>
          <w:i/>
          <w:spacing w:val="-18"/>
          <w:w w:val="115"/>
        </w:rPr>
        <w:t> </w:t>
      </w:r>
      <w:r>
        <w:rPr>
          <w:w w:val="115"/>
        </w:rPr>
        <w:t>(that is, the provisions of the treaty and law made by the EU), insofar</w:t>
      </w:r>
      <w:r>
        <w:rPr>
          <w:spacing w:val="-13"/>
          <w:w w:val="115"/>
        </w:rPr>
        <w:t> </w:t>
      </w:r>
      <w:r>
        <w:rPr>
          <w:w w:val="115"/>
        </w:rPr>
        <w:t>as</w:t>
      </w:r>
      <w:r>
        <w:rPr>
          <w:spacing w:val="-13"/>
          <w:w w:val="115"/>
        </w:rPr>
        <w:t> </w:t>
      </w:r>
      <w:r>
        <w:rPr>
          <w:w w:val="115"/>
        </w:rPr>
        <w:t>these</w:t>
      </w:r>
      <w:r>
        <w:rPr>
          <w:spacing w:val="-13"/>
          <w:w w:val="115"/>
        </w:rPr>
        <w:t> </w:t>
      </w:r>
      <w:r>
        <w:rPr>
          <w:w w:val="115"/>
        </w:rPr>
        <w:t>apply</w:t>
      </w:r>
      <w:r>
        <w:rPr>
          <w:spacing w:val="-13"/>
          <w:w w:val="115"/>
        </w:rPr>
        <w:t> </w:t>
      </w:r>
      <w:r>
        <w:rPr>
          <w:w w:val="115"/>
        </w:rPr>
        <w:t>via</w:t>
      </w:r>
      <w:r>
        <w:rPr>
          <w:spacing w:val="-13"/>
          <w:w w:val="115"/>
        </w:rPr>
        <w:t> </w:t>
      </w:r>
      <w:r>
        <w:rPr>
          <w:w w:val="115"/>
        </w:rPr>
        <w:t>the</w:t>
      </w:r>
      <w:r>
        <w:rPr>
          <w:spacing w:val="-13"/>
          <w:w w:val="115"/>
        </w:rPr>
        <w:t> </w:t>
      </w:r>
      <w:r>
        <w:rPr>
          <w:w w:val="115"/>
        </w:rPr>
        <w:t>WA</w:t>
      </w:r>
      <w:r>
        <w:rPr>
          <w:spacing w:val="-13"/>
          <w:w w:val="115"/>
        </w:rPr>
        <w:t> </w:t>
      </w:r>
      <w:r>
        <w:rPr>
          <w:w w:val="115"/>
        </w:rPr>
        <w:t>and </w:t>
      </w:r>
      <w:r>
        <w:rPr>
          <w:spacing w:val="-2"/>
          <w:w w:val="115"/>
        </w:rPr>
        <w:t>WF.</w:t>
      </w:r>
      <w:r>
        <w:rPr>
          <w:spacing w:val="-18"/>
          <w:w w:val="115"/>
        </w:rPr>
        <w:t> </w:t>
      </w:r>
      <w:r>
        <w:rPr>
          <w:spacing w:val="-2"/>
          <w:w w:val="115"/>
        </w:rPr>
        <w:t>This</w:t>
      </w:r>
      <w:r>
        <w:rPr>
          <w:spacing w:val="-17"/>
          <w:w w:val="115"/>
        </w:rPr>
        <w:t> </w:t>
      </w:r>
      <w:r>
        <w:rPr>
          <w:spacing w:val="-2"/>
          <w:w w:val="115"/>
        </w:rPr>
        <w:t>is</w:t>
      </w:r>
      <w:r>
        <w:rPr>
          <w:spacing w:val="-17"/>
          <w:w w:val="115"/>
        </w:rPr>
        <w:t> </w:t>
      </w:r>
      <w:r>
        <w:rPr>
          <w:spacing w:val="-2"/>
          <w:w w:val="115"/>
        </w:rPr>
        <w:t>because</w:t>
      </w:r>
      <w:r>
        <w:rPr>
          <w:spacing w:val="-17"/>
          <w:w w:val="115"/>
        </w:rPr>
        <w:t> </w:t>
      </w:r>
      <w:r>
        <w:rPr>
          <w:spacing w:val="-2"/>
          <w:w w:val="115"/>
        </w:rPr>
        <w:t>REULA</w:t>
      </w:r>
      <w:r>
        <w:rPr>
          <w:spacing w:val="-17"/>
          <w:w w:val="115"/>
        </w:rPr>
        <w:t> </w:t>
      </w:r>
      <w:r>
        <w:rPr>
          <w:spacing w:val="-2"/>
          <w:w w:val="115"/>
        </w:rPr>
        <w:t>leaves</w:t>
      </w:r>
      <w:r>
        <w:rPr>
          <w:spacing w:val="-18"/>
          <w:w w:val="115"/>
        </w:rPr>
        <w:t> </w:t>
      </w:r>
      <w:r>
        <w:rPr>
          <w:spacing w:val="-2"/>
          <w:w w:val="115"/>
        </w:rPr>
        <w:t>s </w:t>
      </w:r>
      <w:r>
        <w:rPr>
          <w:w w:val="115"/>
        </w:rPr>
        <w:t>7A of the EUWA intact, and it is this provision which acts as the conduit for</w:t>
      </w:r>
      <w:r>
        <w:rPr>
          <w:spacing w:val="-12"/>
          <w:w w:val="115"/>
        </w:rPr>
        <w:t> </w:t>
      </w:r>
      <w:r>
        <w:rPr>
          <w:w w:val="115"/>
        </w:rPr>
        <w:t>the</w:t>
      </w:r>
      <w:r>
        <w:rPr>
          <w:spacing w:val="-12"/>
          <w:w w:val="115"/>
        </w:rPr>
        <w:t> </w:t>
      </w:r>
      <w:r>
        <w:rPr>
          <w:w w:val="115"/>
        </w:rPr>
        <w:t>observance</w:t>
      </w:r>
      <w:r>
        <w:rPr>
          <w:spacing w:val="-12"/>
          <w:w w:val="115"/>
        </w:rPr>
        <w:t> </w:t>
      </w:r>
      <w:r>
        <w:rPr>
          <w:w w:val="115"/>
        </w:rPr>
        <w:t>of</w:t>
      </w:r>
      <w:r>
        <w:rPr>
          <w:spacing w:val="-12"/>
          <w:w w:val="115"/>
        </w:rPr>
        <w:t> </w:t>
      </w:r>
      <w:r>
        <w:rPr>
          <w:w w:val="115"/>
        </w:rPr>
        <w:t>the</w:t>
      </w:r>
      <w:r>
        <w:rPr>
          <w:spacing w:val="-12"/>
          <w:w w:val="115"/>
        </w:rPr>
        <w:t> </w:t>
      </w:r>
      <w:r>
        <w:rPr>
          <w:w w:val="115"/>
        </w:rPr>
        <w:t>requirement for the United Kingdom to ‘ensure compliance’ with the WA and for its </w:t>
      </w:r>
      <w:r>
        <w:rPr>
          <w:spacing w:val="-2"/>
          <w:w w:val="115"/>
        </w:rPr>
        <w:t>‘judicial</w:t>
      </w:r>
      <w:r>
        <w:rPr>
          <w:spacing w:val="-5"/>
          <w:w w:val="115"/>
        </w:rPr>
        <w:t> </w:t>
      </w:r>
      <w:r>
        <w:rPr>
          <w:spacing w:val="-2"/>
          <w:w w:val="115"/>
        </w:rPr>
        <w:t>and</w:t>
      </w:r>
      <w:r>
        <w:rPr>
          <w:spacing w:val="-5"/>
          <w:w w:val="115"/>
        </w:rPr>
        <w:t> </w:t>
      </w:r>
      <w:r>
        <w:rPr>
          <w:spacing w:val="-2"/>
          <w:w w:val="115"/>
        </w:rPr>
        <w:t>administrative</w:t>
      </w:r>
      <w:r>
        <w:rPr>
          <w:spacing w:val="-5"/>
          <w:w w:val="115"/>
        </w:rPr>
        <w:t> </w:t>
      </w:r>
      <w:r>
        <w:rPr>
          <w:spacing w:val="-2"/>
          <w:w w:val="115"/>
        </w:rPr>
        <w:t>authorities’ </w:t>
      </w:r>
      <w:r>
        <w:rPr>
          <w:w w:val="115"/>
        </w:rPr>
        <w:t>to</w:t>
      </w:r>
      <w:r>
        <w:rPr>
          <w:spacing w:val="-4"/>
          <w:w w:val="115"/>
        </w:rPr>
        <w:t> </w:t>
      </w:r>
      <w:r>
        <w:rPr>
          <w:w w:val="115"/>
        </w:rPr>
        <w:t>disapply</w:t>
      </w:r>
      <w:r>
        <w:rPr>
          <w:spacing w:val="-4"/>
          <w:w w:val="115"/>
        </w:rPr>
        <w:t> </w:t>
      </w:r>
      <w:r>
        <w:rPr>
          <w:w w:val="115"/>
        </w:rPr>
        <w:t>any</w:t>
      </w:r>
      <w:r>
        <w:rPr>
          <w:spacing w:val="-4"/>
          <w:w w:val="115"/>
        </w:rPr>
        <w:t> </w:t>
      </w:r>
      <w:r>
        <w:rPr>
          <w:w w:val="115"/>
        </w:rPr>
        <w:t>inconsistent</w:t>
      </w:r>
      <w:r>
        <w:rPr>
          <w:spacing w:val="-4"/>
          <w:w w:val="115"/>
        </w:rPr>
        <w:t> </w:t>
      </w:r>
      <w:r>
        <w:rPr>
          <w:w w:val="115"/>
        </w:rPr>
        <w:t>domestic provisions,</w:t>
      </w:r>
      <w:r>
        <w:rPr>
          <w:spacing w:val="-20"/>
          <w:w w:val="115"/>
        </w:rPr>
        <w:t> </w:t>
      </w:r>
      <w:r>
        <w:rPr>
          <w:w w:val="115"/>
        </w:rPr>
        <w:t>which</w:t>
      </w:r>
      <w:r>
        <w:rPr>
          <w:spacing w:val="-19"/>
          <w:w w:val="115"/>
        </w:rPr>
        <w:t> </w:t>
      </w:r>
      <w:r>
        <w:rPr>
          <w:w w:val="115"/>
        </w:rPr>
        <w:t>is</w:t>
      </w:r>
      <w:r>
        <w:rPr>
          <w:spacing w:val="-19"/>
          <w:w w:val="115"/>
        </w:rPr>
        <w:t> </w:t>
      </w:r>
      <w:r>
        <w:rPr>
          <w:w w:val="115"/>
        </w:rPr>
        <w:t>explicitly</w:t>
      </w:r>
      <w:r>
        <w:rPr>
          <w:spacing w:val="-19"/>
          <w:w w:val="115"/>
        </w:rPr>
        <w:t> </w:t>
      </w:r>
      <w:r>
        <w:rPr>
          <w:w w:val="115"/>
        </w:rPr>
        <w:t>provided </w:t>
      </w:r>
      <w:r>
        <w:rPr>
          <w:rFonts w:ascii="Lucida Sans Unicode" w:hAnsi="Lucida Sans Unicode"/>
          <w:w w:val="110"/>
        </w:rPr>
        <w:t>for</w:t>
      </w:r>
      <w:r>
        <w:rPr>
          <w:rFonts w:ascii="Lucida Sans Unicode" w:hAnsi="Lucida Sans Unicode"/>
          <w:spacing w:val="-15"/>
          <w:w w:val="110"/>
        </w:rPr>
        <w:t> </w:t>
      </w:r>
      <w:r>
        <w:rPr>
          <w:rFonts w:ascii="Lucida Sans Unicode" w:hAnsi="Lucida Sans Unicode"/>
          <w:w w:val="110"/>
        </w:rPr>
        <w:t>in</w:t>
      </w:r>
      <w:r>
        <w:rPr>
          <w:rFonts w:ascii="Lucida Sans Unicode" w:hAnsi="Lucida Sans Unicode"/>
          <w:spacing w:val="-15"/>
          <w:w w:val="110"/>
        </w:rPr>
        <w:t> </w:t>
      </w:r>
      <w:r>
        <w:rPr>
          <w:rFonts w:ascii="Lucida Sans Unicode" w:hAnsi="Lucida Sans Unicode"/>
          <w:w w:val="110"/>
        </w:rPr>
        <w:t>Article</w:t>
      </w:r>
      <w:r>
        <w:rPr>
          <w:rFonts w:ascii="Lucida Sans Unicode" w:hAnsi="Lucida Sans Unicode"/>
          <w:spacing w:val="-15"/>
          <w:w w:val="110"/>
        </w:rPr>
        <w:t> </w:t>
      </w:r>
      <w:r>
        <w:rPr>
          <w:rFonts w:ascii="Lucida Sans Unicode" w:hAnsi="Lucida Sans Unicode"/>
          <w:w w:val="110"/>
        </w:rPr>
        <w:t>4(2)</w:t>
      </w:r>
      <w:r>
        <w:rPr>
          <w:rFonts w:ascii="Lucida Sans Unicode" w:hAnsi="Lucida Sans Unicode"/>
          <w:spacing w:val="-15"/>
          <w:w w:val="110"/>
        </w:rPr>
        <w:t> </w:t>
      </w:r>
      <w:r>
        <w:rPr>
          <w:rFonts w:ascii="Lucida Sans Unicode" w:hAnsi="Lucida Sans Unicode"/>
          <w:w w:val="110"/>
        </w:rPr>
        <w:t>WA,</w:t>
      </w:r>
      <w:r>
        <w:rPr>
          <w:rFonts w:ascii="Lucida Sans Unicode" w:hAnsi="Lucida Sans Unicode"/>
          <w:spacing w:val="-15"/>
          <w:w w:val="110"/>
        </w:rPr>
        <w:t> </w:t>
      </w:r>
      <w:r>
        <w:rPr>
          <w:rFonts w:ascii="Lucida Sans Unicode" w:hAnsi="Lucida Sans Unicode"/>
          <w:w w:val="110"/>
        </w:rPr>
        <w:t>in</w:t>
      </w:r>
      <w:r>
        <w:rPr>
          <w:rFonts w:ascii="Lucida Sans Unicode" w:hAnsi="Lucida Sans Unicode"/>
          <w:spacing w:val="-15"/>
          <w:w w:val="110"/>
        </w:rPr>
        <w:t> </w:t>
      </w:r>
      <w:r>
        <w:rPr>
          <w:rFonts w:ascii="Lucida Sans Unicode" w:hAnsi="Lucida Sans Unicode"/>
          <w:w w:val="110"/>
        </w:rPr>
        <w:t>respect</w:t>
      </w:r>
      <w:r>
        <w:rPr>
          <w:rFonts w:ascii="Lucida Sans Unicode" w:hAnsi="Lucida Sans Unicode"/>
          <w:spacing w:val="-15"/>
          <w:w w:val="110"/>
        </w:rPr>
        <w:t> </w:t>
      </w:r>
      <w:r>
        <w:rPr>
          <w:rFonts w:ascii="Lucida Sans Unicode" w:hAnsi="Lucida Sans Unicode"/>
          <w:w w:val="110"/>
        </w:rPr>
        <w:t>of </w:t>
      </w:r>
      <w:r>
        <w:rPr>
          <w:w w:val="115"/>
        </w:rPr>
        <w:t>the WA itself, and the provisions of Union law made applicable by or referred</w:t>
      </w:r>
      <w:r>
        <w:rPr>
          <w:spacing w:val="-18"/>
          <w:w w:val="115"/>
        </w:rPr>
        <w:t> </w:t>
      </w:r>
      <w:r>
        <w:rPr>
          <w:w w:val="115"/>
        </w:rPr>
        <w:t>to</w:t>
      </w:r>
      <w:r>
        <w:rPr>
          <w:spacing w:val="-18"/>
          <w:w w:val="115"/>
        </w:rPr>
        <w:t> </w:t>
      </w:r>
      <w:r>
        <w:rPr>
          <w:w w:val="115"/>
        </w:rPr>
        <w:t>it.</w:t>
      </w:r>
      <w:r>
        <w:rPr>
          <w:spacing w:val="-18"/>
          <w:w w:val="115"/>
        </w:rPr>
        <w:t> </w:t>
      </w:r>
      <w:r>
        <w:rPr>
          <w:w w:val="115"/>
        </w:rPr>
        <w:t>This</w:t>
      </w:r>
      <w:r>
        <w:rPr>
          <w:spacing w:val="-18"/>
          <w:w w:val="115"/>
        </w:rPr>
        <w:t> </w:t>
      </w:r>
      <w:r>
        <w:rPr>
          <w:w w:val="115"/>
        </w:rPr>
        <w:t>approach</w:t>
      </w:r>
      <w:r>
        <w:rPr>
          <w:spacing w:val="-18"/>
          <w:w w:val="115"/>
        </w:rPr>
        <w:t> </w:t>
      </w:r>
      <w:r>
        <w:rPr>
          <w:w w:val="115"/>
        </w:rPr>
        <w:t>to</w:t>
      </w:r>
      <w:r>
        <w:rPr>
          <w:spacing w:val="-18"/>
          <w:w w:val="115"/>
        </w:rPr>
        <w:t> </w:t>
      </w:r>
      <w:r>
        <w:rPr>
          <w:w w:val="115"/>
        </w:rPr>
        <w:t>section 7A WA as a ‘conduit pipe’ similar</w:t>
      </w:r>
    </w:p>
    <w:p>
      <w:pPr>
        <w:pStyle w:val="BodyText"/>
        <w:spacing w:line="350" w:lineRule="exact"/>
        <w:rPr>
          <w:rFonts w:ascii="Lucida Sans Unicode"/>
        </w:rPr>
      </w:pPr>
      <w:r>
        <w:rPr>
          <w:rFonts w:ascii="Lucida Sans Unicode"/>
          <w:w w:val="105"/>
        </w:rPr>
        <w:t>to</w:t>
      </w:r>
      <w:r>
        <w:rPr>
          <w:rFonts w:ascii="Lucida Sans Unicode"/>
          <w:spacing w:val="-18"/>
          <w:w w:val="105"/>
        </w:rPr>
        <w:t> </w:t>
      </w:r>
      <w:r>
        <w:rPr>
          <w:rFonts w:ascii="Lucida Sans Unicode"/>
          <w:w w:val="105"/>
        </w:rPr>
        <w:t>section</w:t>
      </w:r>
      <w:r>
        <w:rPr>
          <w:rFonts w:ascii="Lucida Sans Unicode"/>
          <w:spacing w:val="-17"/>
          <w:w w:val="105"/>
        </w:rPr>
        <w:t> </w:t>
      </w:r>
      <w:r>
        <w:rPr>
          <w:rFonts w:ascii="Lucida Sans Unicode"/>
          <w:w w:val="105"/>
        </w:rPr>
        <w:t>2</w:t>
      </w:r>
      <w:r>
        <w:rPr>
          <w:rFonts w:ascii="Lucida Sans Unicode"/>
          <w:spacing w:val="-17"/>
          <w:w w:val="105"/>
        </w:rPr>
        <w:t> </w:t>
      </w:r>
      <w:r>
        <w:rPr>
          <w:rFonts w:ascii="Lucida Sans Unicode"/>
          <w:w w:val="105"/>
        </w:rPr>
        <w:t>ECA</w:t>
      </w:r>
      <w:r>
        <w:rPr>
          <w:rFonts w:ascii="Lucida Sans Unicode"/>
          <w:spacing w:val="-17"/>
          <w:w w:val="105"/>
        </w:rPr>
        <w:t> </w:t>
      </w:r>
      <w:r>
        <w:rPr>
          <w:rFonts w:ascii="Lucida Sans Unicode"/>
          <w:w w:val="105"/>
        </w:rPr>
        <w:t>is</w:t>
      </w:r>
      <w:r>
        <w:rPr>
          <w:rFonts w:ascii="Lucida Sans Unicode"/>
          <w:spacing w:val="-17"/>
          <w:w w:val="105"/>
        </w:rPr>
        <w:t> </w:t>
      </w:r>
      <w:r>
        <w:rPr>
          <w:rFonts w:ascii="Lucida Sans Unicode"/>
          <w:w w:val="105"/>
        </w:rPr>
        <w:t>plain</w:t>
      </w:r>
      <w:r>
        <w:rPr>
          <w:rFonts w:ascii="Lucida Sans Unicode"/>
          <w:spacing w:val="-17"/>
          <w:w w:val="105"/>
        </w:rPr>
        <w:t> </w:t>
      </w:r>
      <w:r>
        <w:rPr>
          <w:rFonts w:ascii="Lucida Sans Unicode"/>
          <w:w w:val="105"/>
        </w:rPr>
        <w:t>from</w:t>
      </w:r>
      <w:r>
        <w:rPr>
          <w:rFonts w:ascii="Lucida Sans Unicode"/>
          <w:spacing w:val="-18"/>
          <w:w w:val="105"/>
        </w:rPr>
        <w:t> </w:t>
      </w:r>
      <w:r>
        <w:rPr>
          <w:rFonts w:ascii="Lucida Sans Unicode"/>
          <w:spacing w:val="-5"/>
          <w:w w:val="105"/>
        </w:rPr>
        <w:t>the</w:t>
      </w:r>
    </w:p>
    <w:p>
      <w:pPr>
        <w:spacing w:after="0" w:line="350" w:lineRule="exact"/>
        <w:rPr>
          <w:rFonts w:ascii="Lucida Sans Unicode"/>
        </w:rPr>
        <w:sectPr>
          <w:type w:val="continuous"/>
          <w:pgSz w:w="11910" w:h="16840"/>
          <w:pgMar w:header="568" w:footer="580" w:top="0" w:bottom="280" w:left="1020" w:right="1020"/>
          <w:cols w:num="2" w:equalWidth="0">
            <w:col w:w="4744" w:space="302"/>
            <w:col w:w="4824"/>
          </w:cols>
        </w:sectPr>
      </w:pPr>
    </w:p>
    <w:p>
      <w:pPr>
        <w:pStyle w:val="BodyText"/>
        <w:spacing w:before="1"/>
        <w:ind w:left="0"/>
        <w:rPr>
          <w:rFonts w:ascii="Lucida Sans Unicode"/>
          <w:sz w:val="9"/>
        </w:rPr>
      </w:pPr>
    </w:p>
    <w:p>
      <w:pPr>
        <w:pStyle w:val="BodyText"/>
        <w:spacing w:line="20" w:lineRule="exact"/>
        <w:rPr>
          <w:rFonts w:ascii="Lucida Sans Unicode"/>
          <w:sz w:val="2"/>
        </w:rPr>
      </w:pPr>
      <w:r>
        <w:rPr>
          <w:rFonts w:ascii="Lucida Sans Unicode"/>
          <w:sz w:val="2"/>
        </w:rPr>
        <mc:AlternateContent>
          <mc:Choice Requires="wps">
            <w:drawing>
              <wp:inline distT="0" distB="0" distL="0" distR="0">
                <wp:extent cx="6120130" cy="6350"/>
                <wp:effectExtent l="9525" t="0" r="0" b="3175"/>
                <wp:docPr id="117" name="Group 117"/>
                <wp:cNvGraphicFramePr>
                  <a:graphicFrameLocks/>
                </wp:cNvGraphicFramePr>
                <a:graphic>
                  <a:graphicData uri="http://schemas.microsoft.com/office/word/2010/wordprocessingGroup">
                    <wpg:wgp>
                      <wpg:cNvPr id="117" name="Group 117"/>
                      <wpg:cNvGrpSpPr/>
                      <wpg:grpSpPr>
                        <a:xfrm>
                          <a:off x="0" y="0"/>
                          <a:ext cx="6120130" cy="6350"/>
                          <a:chExt cx="6120130" cy="6350"/>
                        </a:xfrm>
                      </wpg:grpSpPr>
                      <wps:wsp>
                        <wps:cNvPr id="118" name="Graphic 118"/>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77" coordorigin="0,0" coordsize="9638,10">
                <v:line style="position:absolute" from="0,5" to="9638,5" stroked="true" strokeweight=".5pt" strokecolor="#77328a">
                  <v:stroke dashstyle="solid"/>
                </v:line>
              </v:group>
            </w:pict>
          </mc:Fallback>
        </mc:AlternateContent>
      </w:r>
      <w:r>
        <w:rPr>
          <w:rFonts w:ascii="Lucida Sans Unicode"/>
          <w:sz w:val="2"/>
        </w:rPr>
      </w:r>
    </w:p>
    <w:p>
      <w:pPr>
        <w:pStyle w:val="ListParagraph"/>
        <w:numPr>
          <w:ilvl w:val="0"/>
          <w:numId w:val="6"/>
        </w:numPr>
        <w:tabs>
          <w:tab w:pos="567" w:val="left" w:leader="none"/>
        </w:tabs>
        <w:spacing w:line="218" w:lineRule="auto" w:before="77" w:after="0"/>
        <w:ind w:left="567" w:right="321" w:hanging="454"/>
        <w:jc w:val="left"/>
        <w:rPr>
          <w:sz w:val="16"/>
        </w:rPr>
      </w:pPr>
      <w:r>
        <w:rPr>
          <w:rFonts w:ascii="Arial"/>
          <w:sz w:val="16"/>
        </w:rPr>
        <w:t>Though</w:t>
      </w:r>
      <w:r>
        <w:rPr>
          <w:rFonts w:ascii="Arial"/>
          <w:spacing w:val="30"/>
          <w:sz w:val="16"/>
        </w:rPr>
        <w:t> </w:t>
      </w:r>
      <w:r>
        <w:rPr>
          <w:rFonts w:ascii="Arial"/>
          <w:sz w:val="16"/>
        </w:rPr>
        <w:t>there</w:t>
      </w:r>
      <w:r>
        <w:rPr>
          <w:rFonts w:ascii="Arial"/>
          <w:spacing w:val="30"/>
          <w:sz w:val="16"/>
        </w:rPr>
        <w:t> </w:t>
      </w:r>
      <w:r>
        <w:rPr>
          <w:rFonts w:ascii="Arial"/>
          <w:sz w:val="16"/>
        </w:rPr>
        <w:t>is</w:t>
      </w:r>
      <w:r>
        <w:rPr>
          <w:rFonts w:ascii="Arial"/>
          <w:spacing w:val="30"/>
          <w:sz w:val="16"/>
        </w:rPr>
        <w:t> </w:t>
      </w:r>
      <w:r>
        <w:rPr>
          <w:rFonts w:ascii="Arial"/>
          <w:sz w:val="16"/>
        </w:rPr>
        <w:t>no</w:t>
      </w:r>
      <w:r>
        <w:rPr>
          <w:rFonts w:ascii="Arial"/>
          <w:spacing w:val="30"/>
          <w:sz w:val="16"/>
        </w:rPr>
        <w:t> </w:t>
      </w:r>
      <w:r>
        <w:rPr>
          <w:rFonts w:ascii="Arial"/>
          <w:sz w:val="16"/>
        </w:rPr>
        <w:t>principled</w:t>
      </w:r>
      <w:r>
        <w:rPr>
          <w:rFonts w:ascii="Arial"/>
          <w:spacing w:val="30"/>
          <w:sz w:val="16"/>
        </w:rPr>
        <w:t> </w:t>
      </w:r>
      <w:r>
        <w:rPr>
          <w:rFonts w:ascii="Arial"/>
          <w:sz w:val="16"/>
        </w:rPr>
        <w:t>reason</w:t>
      </w:r>
      <w:r>
        <w:rPr>
          <w:rFonts w:ascii="Arial"/>
          <w:spacing w:val="30"/>
          <w:sz w:val="16"/>
        </w:rPr>
        <w:t> </w:t>
      </w:r>
      <w:r>
        <w:rPr>
          <w:rFonts w:ascii="Arial"/>
          <w:sz w:val="16"/>
        </w:rPr>
        <w:t>why</w:t>
      </w:r>
      <w:r>
        <w:rPr>
          <w:rFonts w:ascii="Arial"/>
          <w:spacing w:val="30"/>
          <w:sz w:val="16"/>
        </w:rPr>
        <w:t> </w:t>
      </w:r>
      <w:r>
        <w:rPr>
          <w:rFonts w:ascii="Arial"/>
          <w:sz w:val="16"/>
        </w:rPr>
        <w:t>the</w:t>
      </w:r>
      <w:r>
        <w:rPr>
          <w:rFonts w:ascii="Arial"/>
          <w:spacing w:val="30"/>
          <w:sz w:val="16"/>
        </w:rPr>
        <w:t> </w:t>
      </w:r>
      <w:r>
        <w:rPr>
          <w:rFonts w:ascii="Arial"/>
          <w:sz w:val="16"/>
        </w:rPr>
        <w:t>reasoning</w:t>
      </w:r>
      <w:r>
        <w:rPr>
          <w:rFonts w:ascii="Arial"/>
          <w:spacing w:val="30"/>
          <w:sz w:val="16"/>
        </w:rPr>
        <w:t> </w:t>
      </w:r>
      <w:r>
        <w:rPr>
          <w:rFonts w:ascii="Arial"/>
          <w:sz w:val="16"/>
        </w:rPr>
        <w:t>in</w:t>
      </w:r>
      <w:r>
        <w:rPr>
          <w:rFonts w:ascii="Arial"/>
          <w:spacing w:val="30"/>
          <w:sz w:val="16"/>
        </w:rPr>
        <w:t> </w:t>
      </w:r>
      <w:r>
        <w:rPr>
          <w:rFonts w:ascii="Verdana"/>
          <w:i/>
          <w:sz w:val="16"/>
        </w:rPr>
        <w:t>Allister</w:t>
      </w:r>
      <w:r>
        <w:rPr>
          <w:rFonts w:ascii="Verdana"/>
          <w:i/>
          <w:spacing w:val="18"/>
          <w:sz w:val="16"/>
        </w:rPr>
        <w:t> </w:t>
      </w:r>
      <w:r>
        <w:rPr>
          <w:rFonts w:ascii="Verdana"/>
          <w:i/>
          <w:sz w:val="16"/>
        </w:rPr>
        <w:t>and</w:t>
      </w:r>
      <w:r>
        <w:rPr>
          <w:rFonts w:ascii="Verdana"/>
          <w:i/>
          <w:spacing w:val="18"/>
          <w:sz w:val="16"/>
        </w:rPr>
        <w:t> </w:t>
      </w:r>
      <w:r>
        <w:rPr>
          <w:rFonts w:ascii="Verdana"/>
          <w:i/>
          <w:sz w:val="16"/>
        </w:rPr>
        <w:t>Peeples</w:t>
      </w:r>
      <w:r>
        <w:rPr>
          <w:rFonts w:ascii="Verdana"/>
          <w:i/>
          <w:spacing w:val="18"/>
          <w:sz w:val="16"/>
        </w:rPr>
        <w:t> </w:t>
      </w:r>
      <w:r>
        <w:rPr>
          <w:sz w:val="16"/>
        </w:rPr>
        <w:t>(n</w:t>
      </w:r>
      <w:r>
        <w:rPr>
          <w:spacing w:val="24"/>
          <w:sz w:val="16"/>
        </w:rPr>
        <w:t> </w:t>
      </w:r>
      <w:r>
        <w:rPr>
          <w:sz w:val="16"/>
        </w:rPr>
        <w:t>144)</w:t>
      </w:r>
      <w:r>
        <w:rPr>
          <w:spacing w:val="24"/>
          <w:sz w:val="16"/>
        </w:rPr>
        <w:t> </w:t>
      </w:r>
      <w:r>
        <w:rPr>
          <w:sz w:val="16"/>
        </w:rPr>
        <w:t>cannot</w:t>
      </w:r>
      <w:r>
        <w:rPr>
          <w:spacing w:val="24"/>
          <w:sz w:val="16"/>
        </w:rPr>
        <w:t> </w:t>
      </w:r>
      <w:r>
        <w:rPr>
          <w:sz w:val="16"/>
        </w:rPr>
        <w:t>be</w:t>
      </w:r>
      <w:r>
        <w:rPr>
          <w:spacing w:val="24"/>
          <w:sz w:val="16"/>
        </w:rPr>
        <w:t> </w:t>
      </w:r>
      <w:r>
        <w:rPr>
          <w:sz w:val="16"/>
        </w:rPr>
        <w:t>extended</w:t>
      </w:r>
      <w:r>
        <w:rPr>
          <w:spacing w:val="24"/>
          <w:sz w:val="16"/>
        </w:rPr>
        <w:t> </w:t>
      </w:r>
      <w:r>
        <w:rPr>
          <w:sz w:val="16"/>
        </w:rPr>
        <w:t>to</w:t>
      </w:r>
      <w:r>
        <w:rPr>
          <w:spacing w:val="24"/>
          <w:sz w:val="16"/>
        </w:rPr>
        <w:t> </w:t>
      </w:r>
      <w:r>
        <w:rPr>
          <w:sz w:val="16"/>
        </w:rPr>
        <w:t>the </w:t>
      </w:r>
      <w:r>
        <w:rPr>
          <w:rFonts w:ascii="Arial"/>
          <w:w w:val="110"/>
          <w:sz w:val="16"/>
        </w:rPr>
        <w:t>Windsor Framework generally.</w:t>
      </w:r>
    </w:p>
    <w:p>
      <w:pPr>
        <w:pStyle w:val="ListParagraph"/>
        <w:numPr>
          <w:ilvl w:val="0"/>
          <w:numId w:val="6"/>
        </w:numPr>
        <w:tabs>
          <w:tab w:pos="566" w:val="left" w:leader="none"/>
        </w:tabs>
        <w:spacing w:line="239" w:lineRule="exact" w:before="0" w:after="0"/>
        <w:ind w:left="566" w:right="0" w:hanging="453"/>
        <w:jc w:val="left"/>
        <w:rPr>
          <w:sz w:val="16"/>
        </w:rPr>
      </w:pPr>
      <w:r>
        <w:rPr>
          <w:w w:val="105"/>
          <w:sz w:val="16"/>
        </w:rPr>
        <w:t>EUWA</w:t>
      </w:r>
      <w:r>
        <w:rPr>
          <w:spacing w:val="5"/>
          <w:w w:val="105"/>
          <w:sz w:val="16"/>
        </w:rPr>
        <w:t> </w:t>
      </w:r>
      <w:r>
        <w:rPr>
          <w:w w:val="105"/>
          <w:sz w:val="16"/>
        </w:rPr>
        <w:t>s</w:t>
      </w:r>
      <w:r>
        <w:rPr>
          <w:spacing w:val="6"/>
          <w:w w:val="105"/>
          <w:sz w:val="16"/>
        </w:rPr>
        <w:t> </w:t>
      </w:r>
      <w:r>
        <w:rPr>
          <w:w w:val="105"/>
          <w:sz w:val="16"/>
        </w:rPr>
        <w:t>7C(2)</w:t>
      </w:r>
      <w:r>
        <w:rPr>
          <w:spacing w:val="5"/>
          <w:w w:val="105"/>
          <w:sz w:val="16"/>
        </w:rPr>
        <w:t> </w:t>
      </w:r>
      <w:r>
        <w:rPr>
          <w:w w:val="105"/>
          <w:sz w:val="16"/>
        </w:rPr>
        <w:t>and</w:t>
      </w:r>
      <w:r>
        <w:rPr>
          <w:spacing w:val="6"/>
          <w:w w:val="105"/>
          <w:sz w:val="16"/>
        </w:rPr>
        <w:t> </w:t>
      </w:r>
      <w:r>
        <w:rPr>
          <w:spacing w:val="-4"/>
          <w:w w:val="105"/>
          <w:sz w:val="16"/>
        </w:rPr>
        <w:t>(3).</w:t>
      </w:r>
    </w:p>
    <w:p>
      <w:pPr>
        <w:spacing w:after="0" w:line="239" w:lineRule="exact"/>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84"/>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228" w:lineRule="auto" w:before="122"/>
        <w:ind w:right="183"/>
      </w:pPr>
      <w:bookmarkStart w:name="4.  Article 2 of the Windsor Framework: " w:id="41"/>
      <w:bookmarkEnd w:id="41"/>
      <w:r>
        <w:rPr/>
      </w:r>
      <w:bookmarkStart w:name="a. The basic features of Article 2 Winds" w:id="42"/>
      <w:bookmarkEnd w:id="42"/>
      <w:r>
        <w:rPr/>
      </w:r>
      <w:bookmarkStart w:name="_bookmark17" w:id="43"/>
      <w:bookmarkEnd w:id="43"/>
      <w:r>
        <w:rPr/>
      </w:r>
      <w:r>
        <w:rPr>
          <w:w w:val="110"/>
        </w:rPr>
        <w:t>explanatory note to section 7A and </w:t>
      </w:r>
      <w:r>
        <w:rPr>
          <w:rFonts w:ascii="Lucida Sans Unicode"/>
          <w:spacing w:val="-2"/>
          <w:w w:val="110"/>
        </w:rPr>
        <w:t>was</w:t>
      </w:r>
      <w:r>
        <w:rPr>
          <w:rFonts w:ascii="Lucida Sans Unicode"/>
          <w:spacing w:val="-19"/>
          <w:w w:val="110"/>
        </w:rPr>
        <w:t> </w:t>
      </w:r>
      <w:r>
        <w:rPr>
          <w:rFonts w:ascii="Lucida Sans Unicode"/>
          <w:spacing w:val="-2"/>
          <w:w w:val="110"/>
        </w:rPr>
        <w:t>recently</w:t>
      </w:r>
      <w:r>
        <w:rPr>
          <w:rFonts w:ascii="Lucida Sans Unicode"/>
          <w:spacing w:val="-19"/>
          <w:w w:val="110"/>
        </w:rPr>
        <w:t> </w:t>
      </w:r>
      <w:r>
        <w:rPr>
          <w:rFonts w:ascii="Lucida Sans Unicode"/>
          <w:spacing w:val="-2"/>
          <w:w w:val="110"/>
        </w:rPr>
        <w:t>confirmed</w:t>
      </w:r>
      <w:r>
        <w:rPr>
          <w:rFonts w:ascii="Lucida Sans Unicode"/>
          <w:spacing w:val="-19"/>
          <w:w w:val="110"/>
        </w:rPr>
        <w:t> </w:t>
      </w:r>
      <w:r>
        <w:rPr>
          <w:rFonts w:ascii="Lucida Sans Unicode"/>
          <w:spacing w:val="-2"/>
          <w:w w:val="110"/>
        </w:rPr>
        <w:t>by</w:t>
      </w:r>
      <w:r>
        <w:rPr>
          <w:rFonts w:ascii="Lucida Sans Unicode"/>
          <w:spacing w:val="-19"/>
          <w:w w:val="110"/>
        </w:rPr>
        <w:t> </w:t>
      </w:r>
      <w:r>
        <w:rPr>
          <w:rFonts w:ascii="Lucida Sans Unicode"/>
          <w:spacing w:val="-2"/>
          <w:w w:val="110"/>
        </w:rPr>
        <w:t>the</w:t>
      </w:r>
      <w:r>
        <w:rPr>
          <w:rFonts w:ascii="Lucida Sans Unicode"/>
          <w:spacing w:val="-19"/>
          <w:w w:val="110"/>
        </w:rPr>
        <w:t> </w:t>
      </w:r>
      <w:r>
        <w:rPr>
          <w:rFonts w:ascii="Lucida Sans Unicode"/>
          <w:spacing w:val="-2"/>
          <w:w w:val="110"/>
        </w:rPr>
        <w:t>High </w:t>
      </w:r>
      <w:r>
        <w:rPr>
          <w:w w:val="110"/>
        </w:rPr>
        <w:t>Court</w:t>
      </w:r>
      <w:r>
        <w:rPr>
          <w:spacing w:val="-18"/>
          <w:w w:val="110"/>
        </w:rPr>
        <w:t> </w:t>
      </w:r>
      <w:r>
        <w:rPr>
          <w:w w:val="110"/>
        </w:rPr>
        <w:t>in</w:t>
      </w:r>
      <w:r>
        <w:rPr>
          <w:spacing w:val="-18"/>
          <w:w w:val="110"/>
        </w:rPr>
        <w:t> </w:t>
      </w:r>
      <w:r>
        <w:rPr>
          <w:rFonts w:ascii="Verdana"/>
          <w:i/>
          <w:w w:val="110"/>
        </w:rPr>
        <w:t>Dillon</w:t>
      </w:r>
      <w:r>
        <w:rPr>
          <w:w w:val="110"/>
        </w:rPr>
        <w:t>,</w:t>
      </w:r>
      <w:r>
        <w:rPr>
          <w:w w:val="110"/>
          <w:vertAlign w:val="superscript"/>
        </w:rPr>
        <w:t>155</w:t>
      </w:r>
      <w:r>
        <w:rPr>
          <w:spacing w:val="-18"/>
          <w:w w:val="110"/>
          <w:vertAlign w:val="baseline"/>
        </w:rPr>
        <w:t> </w:t>
      </w:r>
      <w:r>
        <w:rPr>
          <w:w w:val="110"/>
          <w:vertAlign w:val="baseline"/>
        </w:rPr>
        <w:t>following</w:t>
      </w:r>
      <w:r>
        <w:rPr>
          <w:spacing w:val="-18"/>
          <w:w w:val="110"/>
          <w:vertAlign w:val="baseline"/>
        </w:rPr>
        <w:t> </w:t>
      </w:r>
      <w:r>
        <w:rPr>
          <w:w w:val="110"/>
          <w:vertAlign w:val="baseline"/>
        </w:rPr>
        <w:t>the</w:t>
      </w:r>
      <w:r>
        <w:rPr>
          <w:spacing w:val="-18"/>
          <w:w w:val="110"/>
          <w:vertAlign w:val="baseline"/>
        </w:rPr>
        <w:t> </w:t>
      </w:r>
      <w:r>
        <w:rPr>
          <w:w w:val="110"/>
          <w:vertAlign w:val="baseline"/>
        </w:rPr>
        <w:t>earlier </w:t>
      </w:r>
      <w:r>
        <w:rPr>
          <w:rFonts w:ascii="Lucida Sans Unicode"/>
          <w:vertAlign w:val="baseline"/>
        </w:rPr>
        <w:t>Supreme</w:t>
      </w:r>
      <w:r>
        <w:rPr>
          <w:rFonts w:ascii="Lucida Sans Unicode"/>
          <w:spacing w:val="4"/>
          <w:vertAlign w:val="baseline"/>
        </w:rPr>
        <w:t> </w:t>
      </w:r>
      <w:r>
        <w:rPr>
          <w:rFonts w:ascii="Lucida Sans Unicode"/>
          <w:vertAlign w:val="baseline"/>
        </w:rPr>
        <w:t>Court</w:t>
      </w:r>
      <w:r>
        <w:rPr>
          <w:rFonts w:ascii="Lucida Sans Unicode"/>
          <w:spacing w:val="5"/>
          <w:vertAlign w:val="baseline"/>
        </w:rPr>
        <w:t> </w:t>
      </w:r>
      <w:r>
        <w:rPr>
          <w:rFonts w:ascii="Lucida Sans Unicode"/>
          <w:vertAlign w:val="baseline"/>
        </w:rPr>
        <w:t>ruling</w:t>
      </w:r>
      <w:r>
        <w:rPr>
          <w:rFonts w:ascii="Lucida Sans Unicode"/>
          <w:spacing w:val="5"/>
          <w:vertAlign w:val="baseline"/>
        </w:rPr>
        <w:t> </w:t>
      </w:r>
      <w:r>
        <w:rPr>
          <w:rFonts w:ascii="Lucida Sans Unicode"/>
          <w:vertAlign w:val="baseline"/>
        </w:rPr>
        <w:t>in</w:t>
      </w:r>
      <w:r>
        <w:rPr>
          <w:rFonts w:ascii="Lucida Sans Unicode"/>
          <w:spacing w:val="5"/>
          <w:vertAlign w:val="baseline"/>
        </w:rPr>
        <w:t> </w:t>
      </w:r>
      <w:r>
        <w:rPr>
          <w:rFonts w:ascii="Verdana"/>
          <w:i/>
          <w:vertAlign w:val="baseline"/>
        </w:rPr>
        <w:t>Re</w:t>
      </w:r>
      <w:r>
        <w:rPr>
          <w:rFonts w:ascii="Verdana"/>
          <w:i/>
          <w:spacing w:val="-4"/>
          <w:vertAlign w:val="baseline"/>
        </w:rPr>
        <w:t> </w:t>
      </w:r>
      <w:r>
        <w:rPr>
          <w:rFonts w:ascii="Verdana"/>
          <w:i/>
          <w:spacing w:val="-5"/>
          <w:vertAlign w:val="baseline"/>
        </w:rPr>
        <w:t>Allister</w:t>
      </w:r>
      <w:r>
        <w:rPr>
          <w:spacing w:val="-5"/>
          <w:vertAlign w:val="baseline"/>
        </w:rPr>
        <w:t>.</w:t>
      </w:r>
      <w:r>
        <w:rPr>
          <w:spacing w:val="-5"/>
          <w:vertAlign w:val="superscript"/>
        </w:rPr>
        <w:t>156</w:t>
      </w:r>
    </w:p>
    <w:p>
      <w:pPr>
        <w:spacing w:line="310" w:lineRule="exact" w:before="191"/>
        <w:ind w:left="113" w:right="183" w:firstLine="0"/>
        <w:jc w:val="left"/>
        <w:rPr>
          <w:sz w:val="24"/>
        </w:rPr>
      </w:pPr>
      <w:r>
        <w:rPr>
          <w:w w:val="110"/>
          <w:sz w:val="24"/>
        </w:rPr>
        <w:t>The same reasoning applies to the </w:t>
      </w:r>
      <w:r>
        <w:rPr>
          <w:rFonts w:ascii="Lucida Sans Unicode"/>
          <w:w w:val="110"/>
          <w:sz w:val="24"/>
        </w:rPr>
        <w:t>effect</w:t>
      </w:r>
      <w:r>
        <w:rPr>
          <w:rFonts w:ascii="Lucida Sans Unicode"/>
          <w:spacing w:val="-8"/>
          <w:w w:val="110"/>
          <w:sz w:val="24"/>
        </w:rPr>
        <w:t> </w:t>
      </w:r>
      <w:r>
        <w:rPr>
          <w:rFonts w:ascii="Lucida Sans Unicode"/>
          <w:w w:val="110"/>
          <w:sz w:val="24"/>
        </w:rPr>
        <w:t>of</w:t>
      </w:r>
      <w:r>
        <w:rPr>
          <w:rFonts w:ascii="Lucida Sans Unicode"/>
          <w:spacing w:val="-8"/>
          <w:w w:val="110"/>
          <w:sz w:val="24"/>
        </w:rPr>
        <w:t> </w:t>
      </w:r>
      <w:r>
        <w:rPr>
          <w:rFonts w:ascii="Lucida Sans Unicode"/>
          <w:w w:val="110"/>
          <w:sz w:val="24"/>
        </w:rPr>
        <w:t>section</w:t>
      </w:r>
      <w:r>
        <w:rPr>
          <w:rFonts w:ascii="Lucida Sans Unicode"/>
          <w:spacing w:val="-8"/>
          <w:w w:val="110"/>
          <w:sz w:val="24"/>
        </w:rPr>
        <w:t> </w:t>
      </w:r>
      <w:r>
        <w:rPr>
          <w:rFonts w:ascii="Lucida Sans Unicode"/>
          <w:w w:val="110"/>
          <w:sz w:val="24"/>
        </w:rPr>
        <w:t>4</w:t>
      </w:r>
      <w:r>
        <w:rPr>
          <w:rFonts w:ascii="Lucida Sans Unicode"/>
          <w:spacing w:val="-8"/>
          <w:w w:val="110"/>
          <w:sz w:val="24"/>
        </w:rPr>
        <w:t> </w:t>
      </w:r>
      <w:r>
        <w:rPr>
          <w:rFonts w:ascii="Lucida Sans Unicode"/>
          <w:w w:val="110"/>
          <w:sz w:val="24"/>
        </w:rPr>
        <w:t>of</w:t>
      </w:r>
      <w:r>
        <w:rPr>
          <w:rFonts w:ascii="Lucida Sans Unicode"/>
          <w:spacing w:val="-8"/>
          <w:w w:val="110"/>
          <w:sz w:val="24"/>
        </w:rPr>
        <w:t> </w:t>
      </w:r>
      <w:r>
        <w:rPr>
          <w:rFonts w:ascii="Lucida Sans Unicode"/>
          <w:w w:val="110"/>
          <w:sz w:val="24"/>
        </w:rPr>
        <w:t>the</w:t>
      </w:r>
      <w:r>
        <w:rPr>
          <w:rFonts w:ascii="Lucida Sans Unicode"/>
          <w:spacing w:val="-8"/>
          <w:w w:val="110"/>
          <w:sz w:val="24"/>
        </w:rPr>
        <w:t> </w:t>
      </w:r>
      <w:r>
        <w:rPr>
          <w:rFonts w:ascii="Lucida Sans Unicode"/>
          <w:w w:val="110"/>
          <w:sz w:val="24"/>
        </w:rPr>
        <w:t>REULA, </w:t>
      </w:r>
      <w:r>
        <w:rPr>
          <w:w w:val="110"/>
          <w:sz w:val="24"/>
        </w:rPr>
        <w:t>ending the availability of general principles</w:t>
      </w:r>
      <w:r>
        <w:rPr>
          <w:spacing w:val="36"/>
          <w:w w:val="110"/>
          <w:sz w:val="24"/>
        </w:rPr>
        <w:t> </w:t>
      </w:r>
      <w:r>
        <w:rPr>
          <w:w w:val="110"/>
          <w:sz w:val="24"/>
        </w:rPr>
        <w:t>of</w:t>
      </w:r>
      <w:r>
        <w:rPr>
          <w:spacing w:val="36"/>
          <w:w w:val="110"/>
          <w:sz w:val="24"/>
        </w:rPr>
        <w:t> </w:t>
      </w:r>
      <w:r>
        <w:rPr>
          <w:w w:val="110"/>
          <w:sz w:val="24"/>
        </w:rPr>
        <w:t>EU</w:t>
      </w:r>
      <w:r>
        <w:rPr>
          <w:spacing w:val="36"/>
          <w:w w:val="110"/>
          <w:sz w:val="24"/>
        </w:rPr>
        <w:t> </w:t>
      </w:r>
      <w:r>
        <w:rPr>
          <w:w w:val="110"/>
          <w:sz w:val="24"/>
        </w:rPr>
        <w:t>law.</w:t>
      </w:r>
      <w:r>
        <w:rPr>
          <w:spacing w:val="36"/>
          <w:w w:val="110"/>
          <w:sz w:val="24"/>
        </w:rPr>
        <w:t> </w:t>
      </w:r>
      <w:r>
        <w:rPr>
          <w:w w:val="110"/>
          <w:sz w:val="24"/>
        </w:rPr>
        <w:t>This</w:t>
      </w:r>
      <w:r>
        <w:rPr>
          <w:spacing w:val="36"/>
          <w:w w:val="110"/>
          <w:sz w:val="24"/>
        </w:rPr>
        <w:t> </w:t>
      </w:r>
      <w:r>
        <w:rPr>
          <w:w w:val="110"/>
          <w:sz w:val="24"/>
        </w:rPr>
        <w:t>would</w:t>
      </w:r>
      <w:r>
        <w:rPr>
          <w:w w:val="110"/>
          <w:sz w:val="24"/>
        </w:rPr>
        <w:t> apply to the Northern Ireland legal order in much the same way as the wider UK legal order: it applies to any </w:t>
      </w:r>
      <w:r>
        <w:rPr>
          <w:sz w:val="24"/>
        </w:rPr>
        <w:t>matter </w:t>
      </w:r>
      <w:r>
        <w:rPr>
          <w:rFonts w:ascii="Verdana"/>
          <w:i/>
          <w:sz w:val="24"/>
        </w:rPr>
        <w:t>not covered by or within the</w:t>
      </w:r>
      <w:r>
        <w:rPr>
          <w:rFonts w:ascii="Verdana"/>
          <w:i/>
          <w:sz w:val="24"/>
        </w:rPr>
        <w:t> scope of the Withdrawal Agreement (including the Windsor Framework)</w:t>
      </w:r>
      <w:r>
        <w:rPr>
          <w:sz w:val="24"/>
        </w:rPr>
        <w:t>.</w:t>
      </w:r>
    </w:p>
    <w:p>
      <w:pPr>
        <w:pStyle w:val="BodyText"/>
        <w:spacing w:line="268" w:lineRule="auto" w:before="19"/>
        <w:ind w:right="48"/>
      </w:pPr>
      <w:r>
        <w:rPr>
          <w:w w:val="115"/>
        </w:rPr>
        <w:t>Consequently, in our view, the only viable</w:t>
      </w:r>
      <w:r>
        <w:rPr>
          <w:spacing w:val="-12"/>
          <w:w w:val="115"/>
        </w:rPr>
        <w:t> </w:t>
      </w:r>
      <w:r>
        <w:rPr>
          <w:w w:val="115"/>
        </w:rPr>
        <w:t>position</w:t>
      </w:r>
      <w:r>
        <w:rPr>
          <w:spacing w:val="-12"/>
          <w:w w:val="115"/>
        </w:rPr>
        <w:t> </w:t>
      </w:r>
      <w:r>
        <w:rPr>
          <w:w w:val="115"/>
        </w:rPr>
        <w:t>for</w:t>
      </w:r>
      <w:r>
        <w:rPr>
          <w:spacing w:val="-12"/>
          <w:w w:val="115"/>
        </w:rPr>
        <w:t> </w:t>
      </w:r>
      <w:r>
        <w:rPr>
          <w:w w:val="115"/>
        </w:rPr>
        <w:t>ensuring</w:t>
      </w:r>
      <w:r>
        <w:rPr>
          <w:spacing w:val="-12"/>
          <w:w w:val="115"/>
        </w:rPr>
        <w:t> </w:t>
      </w:r>
      <w:r>
        <w:rPr>
          <w:w w:val="115"/>
        </w:rPr>
        <w:t>respect</w:t>
      </w:r>
      <w:r>
        <w:rPr>
          <w:spacing w:val="-12"/>
          <w:w w:val="115"/>
        </w:rPr>
        <w:t> </w:t>
      </w:r>
      <w:r>
        <w:rPr>
          <w:w w:val="115"/>
        </w:rPr>
        <w:t>of the</w:t>
      </w:r>
      <w:r>
        <w:rPr>
          <w:spacing w:val="-15"/>
          <w:w w:val="115"/>
        </w:rPr>
        <w:t> </w:t>
      </w:r>
      <w:r>
        <w:rPr>
          <w:w w:val="115"/>
        </w:rPr>
        <w:t>Windsor</w:t>
      </w:r>
      <w:r>
        <w:rPr>
          <w:spacing w:val="-15"/>
          <w:w w:val="115"/>
        </w:rPr>
        <w:t> </w:t>
      </w:r>
      <w:r>
        <w:rPr>
          <w:w w:val="115"/>
        </w:rPr>
        <w:t>Framework</w:t>
      </w:r>
      <w:r>
        <w:rPr>
          <w:spacing w:val="-15"/>
          <w:w w:val="115"/>
        </w:rPr>
        <w:t> </w:t>
      </w:r>
      <w:r>
        <w:rPr>
          <w:w w:val="115"/>
        </w:rPr>
        <w:t>is</w:t>
      </w:r>
      <w:r>
        <w:rPr>
          <w:spacing w:val="-15"/>
          <w:w w:val="115"/>
        </w:rPr>
        <w:t> </w:t>
      </w:r>
      <w:r>
        <w:rPr>
          <w:w w:val="115"/>
        </w:rPr>
        <w:t>to</w:t>
      </w:r>
      <w:r>
        <w:rPr>
          <w:spacing w:val="-15"/>
          <w:w w:val="115"/>
        </w:rPr>
        <w:t> </w:t>
      </w:r>
      <w:r>
        <w:rPr>
          <w:w w:val="115"/>
        </w:rPr>
        <w:t>treat</w:t>
      </w:r>
      <w:r>
        <w:rPr>
          <w:spacing w:val="-15"/>
          <w:w w:val="115"/>
        </w:rPr>
        <w:t> </w:t>
      </w:r>
      <w:r>
        <w:rPr>
          <w:w w:val="115"/>
        </w:rPr>
        <w:t>the Charter</w:t>
      </w:r>
      <w:r>
        <w:rPr>
          <w:spacing w:val="-9"/>
          <w:w w:val="115"/>
        </w:rPr>
        <w:t> </w:t>
      </w:r>
      <w:r>
        <w:rPr>
          <w:w w:val="115"/>
        </w:rPr>
        <w:t>(and</w:t>
      </w:r>
      <w:r>
        <w:rPr>
          <w:spacing w:val="-9"/>
          <w:w w:val="115"/>
        </w:rPr>
        <w:t> </w:t>
      </w:r>
      <w:r>
        <w:rPr>
          <w:w w:val="115"/>
        </w:rPr>
        <w:t>general</w:t>
      </w:r>
      <w:r>
        <w:rPr>
          <w:spacing w:val="-9"/>
          <w:w w:val="115"/>
        </w:rPr>
        <w:t> </w:t>
      </w:r>
      <w:r>
        <w:rPr>
          <w:w w:val="115"/>
        </w:rPr>
        <w:t>principles</w:t>
      </w:r>
      <w:r>
        <w:rPr>
          <w:spacing w:val="-9"/>
          <w:w w:val="115"/>
        </w:rPr>
        <w:t> </w:t>
      </w:r>
      <w:r>
        <w:rPr>
          <w:w w:val="115"/>
        </w:rPr>
        <w:t>of</w:t>
      </w:r>
      <w:r>
        <w:rPr>
          <w:spacing w:val="-9"/>
          <w:w w:val="115"/>
        </w:rPr>
        <w:t> </w:t>
      </w:r>
      <w:r>
        <w:rPr>
          <w:w w:val="115"/>
        </w:rPr>
        <w:t>EU </w:t>
      </w:r>
      <w:r>
        <w:rPr>
          <w:w w:val="110"/>
        </w:rPr>
        <w:t>law) as applicable in the same </w:t>
      </w:r>
      <w:r>
        <w:rPr>
          <w:w w:val="110"/>
        </w:rPr>
        <w:t>manner </w:t>
      </w:r>
      <w:r>
        <w:rPr>
          <w:w w:val="115"/>
        </w:rPr>
        <w:t>that it did prior to Brexit – the only</w:t>
      </w:r>
    </w:p>
    <w:p>
      <w:pPr>
        <w:pStyle w:val="BodyText"/>
        <w:spacing w:line="230" w:lineRule="auto" w:before="12"/>
        <w:ind w:right="117"/>
        <w:jc w:val="both"/>
      </w:pPr>
      <w:r>
        <w:rPr>
          <w:w w:val="110"/>
        </w:rPr>
        <w:t>difference being that its application is </w:t>
      </w:r>
      <w:r>
        <w:rPr>
          <w:rFonts w:ascii="Lucida Sans Unicode"/>
        </w:rPr>
        <w:t>confined to a reduced body of EU </w:t>
      </w:r>
      <w:r>
        <w:rPr>
          <w:rFonts w:ascii="Lucida Sans Unicode"/>
        </w:rPr>
        <w:t>law </w:t>
      </w:r>
      <w:r>
        <w:rPr>
          <w:w w:val="110"/>
        </w:rPr>
        <w:t>applying</w:t>
      </w:r>
      <w:r>
        <w:rPr>
          <w:spacing w:val="9"/>
          <w:w w:val="110"/>
        </w:rPr>
        <w:t> </w:t>
      </w:r>
      <w:r>
        <w:rPr>
          <w:w w:val="110"/>
        </w:rPr>
        <w:t>as</w:t>
      </w:r>
      <w:r>
        <w:rPr>
          <w:spacing w:val="9"/>
          <w:w w:val="110"/>
        </w:rPr>
        <w:t> </w:t>
      </w:r>
      <w:r>
        <w:rPr>
          <w:w w:val="110"/>
        </w:rPr>
        <w:t>a</w:t>
      </w:r>
      <w:r>
        <w:rPr>
          <w:spacing w:val="9"/>
          <w:w w:val="110"/>
        </w:rPr>
        <w:t> </w:t>
      </w:r>
      <w:r>
        <w:rPr>
          <w:w w:val="110"/>
        </w:rPr>
        <w:t>result</w:t>
      </w:r>
      <w:r>
        <w:rPr>
          <w:spacing w:val="10"/>
          <w:w w:val="110"/>
        </w:rPr>
        <w:t> </w:t>
      </w:r>
      <w:r>
        <w:rPr>
          <w:w w:val="110"/>
        </w:rPr>
        <w:t>of</w:t>
      </w:r>
      <w:r>
        <w:rPr>
          <w:spacing w:val="9"/>
          <w:w w:val="110"/>
        </w:rPr>
        <w:t> </w:t>
      </w:r>
      <w:r>
        <w:rPr>
          <w:w w:val="110"/>
        </w:rPr>
        <w:t>the</w:t>
      </w:r>
      <w:r>
        <w:rPr>
          <w:spacing w:val="9"/>
          <w:w w:val="110"/>
        </w:rPr>
        <w:t> </w:t>
      </w:r>
      <w:r>
        <w:rPr>
          <w:spacing w:val="-2"/>
          <w:w w:val="110"/>
        </w:rPr>
        <w:t>Withdrawal</w:t>
      </w:r>
    </w:p>
    <w:p>
      <w:pPr>
        <w:pStyle w:val="BodyText"/>
        <w:spacing w:before="36"/>
        <w:jc w:val="both"/>
      </w:pPr>
      <w:r>
        <w:rPr>
          <w:spacing w:val="-2"/>
          <w:w w:val="115"/>
        </w:rPr>
        <w:t>Agreement</w:t>
      </w:r>
      <w:r>
        <w:rPr>
          <w:spacing w:val="-9"/>
          <w:w w:val="115"/>
        </w:rPr>
        <w:t> </w:t>
      </w:r>
      <w:r>
        <w:rPr>
          <w:spacing w:val="-2"/>
          <w:w w:val="115"/>
        </w:rPr>
        <w:t>and</w:t>
      </w:r>
      <w:r>
        <w:rPr>
          <w:spacing w:val="-9"/>
          <w:w w:val="115"/>
        </w:rPr>
        <w:t> </w:t>
      </w:r>
      <w:r>
        <w:rPr>
          <w:spacing w:val="-2"/>
          <w:w w:val="115"/>
        </w:rPr>
        <w:t>Windsor</w:t>
      </w:r>
      <w:r>
        <w:rPr>
          <w:spacing w:val="-9"/>
          <w:w w:val="115"/>
        </w:rPr>
        <w:t> </w:t>
      </w:r>
      <w:r>
        <w:rPr>
          <w:spacing w:val="-2"/>
          <w:w w:val="115"/>
        </w:rPr>
        <w:t>Framework.</w:t>
      </w:r>
    </w:p>
    <w:p>
      <w:pPr>
        <w:pStyle w:val="BodyText"/>
        <w:spacing w:line="268" w:lineRule="auto" w:before="260"/>
      </w:pPr>
      <w:r>
        <w:rPr>
          <w:w w:val="115"/>
        </w:rPr>
        <w:t>Finally, it is important to remember that section 7A incorporates the provisions of the Withdrawal Agreement</w:t>
      </w:r>
      <w:r>
        <w:rPr>
          <w:spacing w:val="-1"/>
          <w:w w:val="115"/>
        </w:rPr>
        <w:t> </w:t>
      </w:r>
      <w:r>
        <w:rPr>
          <w:w w:val="115"/>
        </w:rPr>
        <w:t>,</w:t>
      </w:r>
      <w:r>
        <w:rPr>
          <w:spacing w:val="-1"/>
          <w:w w:val="115"/>
        </w:rPr>
        <w:t> </w:t>
      </w:r>
      <w:r>
        <w:rPr>
          <w:w w:val="115"/>
        </w:rPr>
        <w:t>which</w:t>
      </w:r>
      <w:r>
        <w:rPr>
          <w:spacing w:val="-1"/>
          <w:w w:val="115"/>
        </w:rPr>
        <w:t> </w:t>
      </w:r>
      <w:r>
        <w:rPr>
          <w:w w:val="115"/>
        </w:rPr>
        <w:t>creates</w:t>
      </w:r>
      <w:r>
        <w:rPr>
          <w:spacing w:val="-1"/>
          <w:w w:val="115"/>
        </w:rPr>
        <w:t> </w:t>
      </w:r>
      <w:r>
        <w:rPr>
          <w:w w:val="115"/>
        </w:rPr>
        <w:t>rights</w:t>
      </w:r>
      <w:r>
        <w:rPr>
          <w:spacing w:val="-1"/>
          <w:w w:val="115"/>
        </w:rPr>
        <w:t> </w:t>
      </w:r>
      <w:r>
        <w:rPr>
          <w:w w:val="115"/>
        </w:rPr>
        <w:t>and obligations</w:t>
      </w:r>
      <w:r>
        <w:rPr>
          <w:spacing w:val="-6"/>
          <w:w w:val="115"/>
        </w:rPr>
        <w:t> </w:t>
      </w:r>
      <w:r>
        <w:rPr>
          <w:w w:val="115"/>
        </w:rPr>
        <w:t>distinct</w:t>
      </w:r>
      <w:r>
        <w:rPr>
          <w:spacing w:val="-6"/>
          <w:w w:val="115"/>
        </w:rPr>
        <w:t> </w:t>
      </w:r>
      <w:r>
        <w:rPr>
          <w:w w:val="115"/>
        </w:rPr>
        <w:t>from</w:t>
      </w:r>
      <w:r>
        <w:rPr>
          <w:spacing w:val="-6"/>
          <w:w w:val="115"/>
        </w:rPr>
        <w:t> </w:t>
      </w:r>
      <w:r>
        <w:rPr>
          <w:w w:val="115"/>
        </w:rPr>
        <w:t>EU</w:t>
      </w:r>
      <w:r>
        <w:rPr>
          <w:spacing w:val="-6"/>
          <w:w w:val="115"/>
        </w:rPr>
        <w:t> </w:t>
      </w:r>
      <w:r>
        <w:rPr>
          <w:w w:val="115"/>
        </w:rPr>
        <w:t>law.</w:t>
      </w:r>
      <w:r>
        <w:rPr>
          <w:w w:val="115"/>
          <w:vertAlign w:val="superscript"/>
        </w:rPr>
        <w:t>157</w:t>
      </w:r>
      <w:r>
        <w:rPr>
          <w:w w:val="115"/>
          <w:vertAlign w:val="baseline"/>
        </w:rPr>
        <w:t> Thus, if the Charter applies in the implementation</w:t>
      </w:r>
      <w:r>
        <w:rPr>
          <w:spacing w:val="-4"/>
          <w:w w:val="115"/>
          <w:vertAlign w:val="baseline"/>
        </w:rPr>
        <w:t> </w:t>
      </w:r>
      <w:r>
        <w:rPr>
          <w:w w:val="115"/>
          <w:vertAlign w:val="baseline"/>
        </w:rPr>
        <w:t>of</w:t>
      </w:r>
      <w:r>
        <w:rPr>
          <w:spacing w:val="-4"/>
          <w:w w:val="115"/>
          <w:vertAlign w:val="baseline"/>
        </w:rPr>
        <w:t> </w:t>
      </w:r>
      <w:r>
        <w:rPr>
          <w:w w:val="115"/>
          <w:vertAlign w:val="baseline"/>
        </w:rPr>
        <w:t>EU</w:t>
      </w:r>
      <w:r>
        <w:rPr>
          <w:spacing w:val="-4"/>
          <w:w w:val="115"/>
          <w:vertAlign w:val="baseline"/>
        </w:rPr>
        <w:t> </w:t>
      </w:r>
      <w:r>
        <w:rPr>
          <w:w w:val="115"/>
          <w:vertAlign w:val="baseline"/>
        </w:rPr>
        <w:t>law</w:t>
      </w:r>
      <w:r>
        <w:rPr>
          <w:spacing w:val="-4"/>
          <w:w w:val="115"/>
          <w:vertAlign w:val="baseline"/>
        </w:rPr>
        <w:t> </w:t>
      </w:r>
      <w:r>
        <w:rPr>
          <w:w w:val="115"/>
          <w:vertAlign w:val="baseline"/>
        </w:rPr>
        <w:t>in</w:t>
      </w:r>
      <w:r>
        <w:rPr>
          <w:spacing w:val="-4"/>
          <w:w w:val="115"/>
          <w:vertAlign w:val="baseline"/>
        </w:rPr>
        <w:t> </w:t>
      </w:r>
      <w:r>
        <w:rPr>
          <w:w w:val="115"/>
          <w:vertAlign w:val="baseline"/>
        </w:rPr>
        <w:t>Northern Ireland, this implementation arises </w:t>
      </w:r>
      <w:r>
        <w:rPr>
          <w:spacing w:val="-2"/>
          <w:w w:val="115"/>
          <w:vertAlign w:val="baseline"/>
        </w:rPr>
        <w:t>because</w:t>
      </w:r>
      <w:r>
        <w:rPr>
          <w:spacing w:val="-16"/>
          <w:w w:val="115"/>
          <w:vertAlign w:val="baseline"/>
        </w:rPr>
        <w:t> </w:t>
      </w:r>
      <w:r>
        <w:rPr>
          <w:spacing w:val="-2"/>
          <w:w w:val="115"/>
          <w:vertAlign w:val="baseline"/>
        </w:rPr>
        <w:t>of</w:t>
      </w:r>
      <w:r>
        <w:rPr>
          <w:spacing w:val="-16"/>
          <w:w w:val="115"/>
          <w:vertAlign w:val="baseline"/>
        </w:rPr>
        <w:t> </w:t>
      </w:r>
      <w:r>
        <w:rPr>
          <w:spacing w:val="-2"/>
          <w:w w:val="115"/>
          <w:vertAlign w:val="baseline"/>
        </w:rPr>
        <w:t>the</w:t>
      </w:r>
      <w:r>
        <w:rPr>
          <w:spacing w:val="-16"/>
          <w:w w:val="115"/>
          <w:vertAlign w:val="baseline"/>
        </w:rPr>
        <w:t> </w:t>
      </w:r>
      <w:r>
        <w:rPr>
          <w:spacing w:val="-2"/>
          <w:w w:val="115"/>
          <w:vertAlign w:val="baseline"/>
        </w:rPr>
        <w:t>Withdrawal</w:t>
      </w:r>
      <w:r>
        <w:rPr>
          <w:spacing w:val="-16"/>
          <w:w w:val="115"/>
          <w:vertAlign w:val="baseline"/>
        </w:rPr>
        <w:t> </w:t>
      </w:r>
      <w:r>
        <w:rPr>
          <w:spacing w:val="-2"/>
          <w:w w:val="115"/>
          <w:vertAlign w:val="baseline"/>
        </w:rPr>
        <w:t>Agreement </w:t>
      </w:r>
      <w:r>
        <w:rPr>
          <w:w w:val="115"/>
          <w:vertAlign w:val="baseline"/>
        </w:rPr>
        <w:t>and any remedies for breaches in</w:t>
      </w:r>
    </w:p>
    <w:p>
      <w:pPr>
        <w:pStyle w:val="BodyText"/>
        <w:spacing w:line="268" w:lineRule="auto" w:before="5"/>
        <w:ind w:right="234"/>
      </w:pPr>
      <w:r>
        <w:rPr>
          <w:w w:val="115"/>
        </w:rPr>
        <w:t>this implementation must similarly be conditioned by the requirements of the Withdrawal Agreement. This </w:t>
      </w:r>
      <w:r>
        <w:rPr>
          <w:w w:val="110"/>
        </w:rPr>
        <w:t>becomes</w:t>
      </w:r>
      <w:r>
        <w:rPr>
          <w:spacing w:val="5"/>
          <w:w w:val="110"/>
        </w:rPr>
        <w:t> </w:t>
      </w:r>
      <w:r>
        <w:rPr>
          <w:w w:val="110"/>
        </w:rPr>
        <w:t>clear</w:t>
      </w:r>
      <w:r>
        <w:rPr>
          <w:spacing w:val="6"/>
          <w:w w:val="110"/>
        </w:rPr>
        <w:t> </w:t>
      </w:r>
      <w:r>
        <w:rPr>
          <w:w w:val="110"/>
        </w:rPr>
        <w:t>when</w:t>
      </w:r>
      <w:r>
        <w:rPr>
          <w:spacing w:val="6"/>
          <w:w w:val="110"/>
        </w:rPr>
        <w:t> </w:t>
      </w:r>
      <w:r>
        <w:rPr>
          <w:w w:val="110"/>
        </w:rPr>
        <w:t>we</w:t>
      </w:r>
      <w:r>
        <w:rPr>
          <w:spacing w:val="6"/>
          <w:w w:val="110"/>
        </w:rPr>
        <w:t> </w:t>
      </w:r>
      <w:r>
        <w:rPr>
          <w:w w:val="110"/>
        </w:rPr>
        <w:t>consider</w:t>
      </w:r>
      <w:r>
        <w:rPr>
          <w:spacing w:val="6"/>
          <w:w w:val="110"/>
        </w:rPr>
        <w:t> </w:t>
      </w:r>
      <w:r>
        <w:rPr>
          <w:spacing w:val="-5"/>
          <w:w w:val="110"/>
        </w:rPr>
        <w:t>the</w:t>
      </w:r>
    </w:p>
    <w:p>
      <w:pPr>
        <w:pStyle w:val="BodyText"/>
        <w:spacing w:line="322" w:lineRule="exact"/>
        <w:jc w:val="both"/>
        <w:rPr>
          <w:rFonts w:ascii="Lucida Sans Unicode"/>
        </w:rPr>
      </w:pPr>
      <w:r>
        <w:rPr>
          <w:rFonts w:ascii="Lucida Sans Unicode"/>
          <w:w w:val="105"/>
        </w:rPr>
        <w:t>nature</w:t>
      </w:r>
      <w:r>
        <w:rPr>
          <w:rFonts w:ascii="Lucida Sans Unicode"/>
          <w:spacing w:val="-20"/>
          <w:w w:val="105"/>
        </w:rPr>
        <w:t> </w:t>
      </w:r>
      <w:r>
        <w:rPr>
          <w:rFonts w:ascii="Lucida Sans Unicode"/>
          <w:w w:val="105"/>
        </w:rPr>
        <w:t>and</w:t>
      </w:r>
      <w:r>
        <w:rPr>
          <w:rFonts w:ascii="Lucida Sans Unicode"/>
          <w:spacing w:val="-20"/>
          <w:w w:val="105"/>
        </w:rPr>
        <w:t> </w:t>
      </w:r>
      <w:r>
        <w:rPr>
          <w:rFonts w:ascii="Lucida Sans Unicode"/>
          <w:w w:val="105"/>
        </w:rPr>
        <w:t>content</w:t>
      </w:r>
      <w:r>
        <w:rPr>
          <w:rFonts w:ascii="Lucida Sans Unicode"/>
          <w:spacing w:val="-19"/>
          <w:w w:val="105"/>
        </w:rPr>
        <w:t> </w:t>
      </w:r>
      <w:r>
        <w:rPr>
          <w:rFonts w:ascii="Lucida Sans Unicode"/>
          <w:w w:val="105"/>
        </w:rPr>
        <w:t>of</w:t>
      </w:r>
      <w:r>
        <w:rPr>
          <w:rFonts w:ascii="Lucida Sans Unicode"/>
          <w:spacing w:val="-20"/>
          <w:w w:val="105"/>
        </w:rPr>
        <w:t> </w:t>
      </w:r>
      <w:r>
        <w:rPr>
          <w:rFonts w:ascii="Lucida Sans Unicode"/>
          <w:w w:val="105"/>
        </w:rPr>
        <w:t>Article</w:t>
      </w:r>
      <w:r>
        <w:rPr>
          <w:rFonts w:ascii="Lucida Sans Unicode"/>
          <w:spacing w:val="-19"/>
          <w:w w:val="105"/>
        </w:rPr>
        <w:t> </w:t>
      </w:r>
      <w:r>
        <w:rPr>
          <w:rFonts w:ascii="Lucida Sans Unicode"/>
          <w:w w:val="105"/>
        </w:rPr>
        <w:t>2</w:t>
      </w:r>
      <w:r>
        <w:rPr>
          <w:rFonts w:ascii="Lucida Sans Unicode"/>
          <w:spacing w:val="-20"/>
          <w:w w:val="105"/>
        </w:rPr>
        <w:t> </w:t>
      </w:r>
      <w:r>
        <w:rPr>
          <w:rFonts w:ascii="Lucida Sans Unicode"/>
          <w:w w:val="105"/>
        </w:rPr>
        <w:t>of</w:t>
      </w:r>
      <w:r>
        <w:rPr>
          <w:rFonts w:ascii="Lucida Sans Unicode"/>
          <w:spacing w:val="-19"/>
          <w:w w:val="105"/>
        </w:rPr>
        <w:t> </w:t>
      </w:r>
      <w:r>
        <w:rPr>
          <w:rFonts w:ascii="Lucida Sans Unicode"/>
          <w:spacing w:val="-5"/>
          <w:w w:val="105"/>
        </w:rPr>
        <w:t>the</w:t>
      </w:r>
    </w:p>
    <w:p>
      <w:pPr>
        <w:pStyle w:val="BodyText"/>
        <w:spacing w:line="265" w:lineRule="exact"/>
      </w:pPr>
      <w:r>
        <w:rPr>
          <w:w w:val="110"/>
        </w:rPr>
        <w:t>Windsor</w:t>
      </w:r>
      <w:r>
        <w:rPr>
          <w:spacing w:val="29"/>
          <w:w w:val="110"/>
        </w:rPr>
        <w:t> </w:t>
      </w:r>
      <w:r>
        <w:rPr>
          <w:spacing w:val="-2"/>
          <w:w w:val="110"/>
        </w:rPr>
        <w:t>Framework.</w:t>
      </w:r>
    </w:p>
    <w:p>
      <w:pPr>
        <w:pStyle w:val="Heading3"/>
        <w:numPr>
          <w:ilvl w:val="0"/>
          <w:numId w:val="9"/>
        </w:numPr>
        <w:tabs>
          <w:tab w:pos="680" w:val="left" w:leader="none"/>
        </w:tabs>
        <w:spacing w:line="254" w:lineRule="auto" w:before="80" w:after="0"/>
        <w:ind w:left="680" w:right="470" w:hanging="567"/>
        <w:jc w:val="left"/>
      </w:pPr>
      <w:r>
        <w:rPr>
          <w:b w:val="0"/>
        </w:rPr>
        <w:br w:type="column"/>
      </w:r>
      <w:r>
        <w:rPr>
          <w:color w:val="77328A"/>
        </w:rPr>
        <w:t>Article 2 of the </w:t>
      </w:r>
      <w:r>
        <w:rPr>
          <w:color w:val="77328A"/>
        </w:rPr>
        <w:t>Windsor Framework: general </w:t>
      </w:r>
      <w:r>
        <w:rPr>
          <w:color w:val="77328A"/>
          <w:spacing w:val="-2"/>
        </w:rPr>
        <w:t>considerations</w:t>
      </w:r>
    </w:p>
    <w:p>
      <w:pPr>
        <w:pStyle w:val="BodyText"/>
        <w:spacing w:line="249" w:lineRule="auto" w:before="135"/>
        <w:ind w:right="409"/>
        <w:jc w:val="both"/>
      </w:pPr>
      <w:r>
        <w:rPr>
          <w:rFonts w:ascii="Lucida Sans Unicode"/>
        </w:rPr>
        <w:t>Article 2 of the Windsor Framework </w:t>
      </w:r>
      <w:r>
        <w:rPr>
          <w:w w:val="110"/>
        </w:rPr>
        <w:t>has central importance in </w:t>
      </w:r>
      <w:r>
        <w:rPr>
          <w:w w:val="110"/>
        </w:rPr>
        <w:t>answering the question of how the Charter</w:t>
      </w:r>
    </w:p>
    <w:p>
      <w:pPr>
        <w:pStyle w:val="BodyText"/>
        <w:spacing w:line="271" w:lineRule="auto" w:before="20"/>
        <w:ind w:right="266"/>
      </w:pPr>
      <w:r>
        <w:rPr>
          <w:w w:val="115"/>
        </w:rPr>
        <w:t>has and may have effect in the </w:t>
      </w:r>
      <w:r>
        <w:rPr>
          <w:w w:val="110"/>
        </w:rPr>
        <w:t>Northern</w:t>
      </w:r>
      <w:r>
        <w:rPr>
          <w:spacing w:val="-2"/>
          <w:w w:val="110"/>
        </w:rPr>
        <w:t> </w:t>
      </w:r>
      <w:r>
        <w:rPr>
          <w:w w:val="110"/>
        </w:rPr>
        <w:t>Ireland</w:t>
      </w:r>
      <w:r>
        <w:rPr>
          <w:spacing w:val="-2"/>
          <w:w w:val="110"/>
        </w:rPr>
        <w:t> </w:t>
      </w:r>
      <w:r>
        <w:rPr>
          <w:w w:val="110"/>
        </w:rPr>
        <w:t>legal</w:t>
      </w:r>
      <w:r>
        <w:rPr>
          <w:spacing w:val="-2"/>
          <w:w w:val="110"/>
        </w:rPr>
        <w:t> </w:t>
      </w:r>
      <w:r>
        <w:rPr>
          <w:w w:val="110"/>
        </w:rPr>
        <w:t>order.</w:t>
      </w:r>
      <w:r>
        <w:rPr>
          <w:spacing w:val="-2"/>
          <w:w w:val="110"/>
        </w:rPr>
        <w:t> </w:t>
      </w:r>
      <w:r>
        <w:rPr>
          <w:w w:val="110"/>
        </w:rPr>
        <w:t>This</w:t>
      </w:r>
      <w:r>
        <w:rPr>
          <w:spacing w:val="-2"/>
          <w:w w:val="110"/>
        </w:rPr>
        <w:t> </w:t>
      </w:r>
      <w:r>
        <w:rPr>
          <w:w w:val="110"/>
        </w:rPr>
        <w:t>is </w:t>
      </w:r>
      <w:r>
        <w:rPr>
          <w:w w:val="115"/>
        </w:rPr>
        <w:t>because many of the rights in the</w:t>
      </w:r>
    </w:p>
    <w:p>
      <w:pPr>
        <w:pStyle w:val="BodyText"/>
        <w:spacing w:line="216" w:lineRule="auto"/>
        <w:ind w:right="561"/>
        <w:jc w:val="both"/>
      </w:pPr>
      <w:r>
        <w:rPr>
          <w:rFonts w:ascii="Lucida Sans Unicode"/>
        </w:rPr>
        <w:t>Rights, Safeguards and Equality of Opportunity (RSEO) section of </w:t>
      </w:r>
      <w:r>
        <w:rPr>
          <w:rFonts w:ascii="Lucida Sans Unicode"/>
        </w:rPr>
        <w:t>the </w:t>
      </w:r>
      <w:r>
        <w:rPr>
          <w:w w:val="110"/>
        </w:rPr>
        <w:t>Belfast (Good Friday) Agreement,</w:t>
      </w:r>
    </w:p>
    <w:p>
      <w:pPr>
        <w:pStyle w:val="BodyText"/>
        <w:spacing w:line="228" w:lineRule="auto" w:before="6"/>
        <w:ind w:right="929"/>
        <w:jc w:val="both"/>
      </w:pPr>
      <w:r>
        <w:rPr>
          <w:rFonts w:ascii="Lucida Sans Unicode"/>
          <w:spacing w:val="-2"/>
          <w:w w:val="105"/>
        </w:rPr>
        <w:t>referenced</w:t>
      </w:r>
      <w:r>
        <w:rPr>
          <w:rFonts w:ascii="Lucida Sans Unicode"/>
          <w:spacing w:val="-18"/>
          <w:w w:val="105"/>
        </w:rPr>
        <w:t> </w:t>
      </w:r>
      <w:r>
        <w:rPr>
          <w:rFonts w:ascii="Lucida Sans Unicode"/>
          <w:spacing w:val="-2"/>
          <w:w w:val="105"/>
        </w:rPr>
        <w:t>by</w:t>
      </w:r>
      <w:r>
        <w:rPr>
          <w:rFonts w:ascii="Lucida Sans Unicode"/>
          <w:spacing w:val="-18"/>
          <w:w w:val="105"/>
        </w:rPr>
        <w:t> </w:t>
      </w:r>
      <w:r>
        <w:rPr>
          <w:rFonts w:ascii="Lucida Sans Unicode"/>
          <w:spacing w:val="-2"/>
          <w:w w:val="105"/>
        </w:rPr>
        <w:t>Article</w:t>
      </w:r>
      <w:r>
        <w:rPr>
          <w:rFonts w:ascii="Lucida Sans Unicode"/>
          <w:spacing w:val="-18"/>
          <w:w w:val="105"/>
        </w:rPr>
        <w:t> </w:t>
      </w:r>
      <w:r>
        <w:rPr>
          <w:rFonts w:ascii="Lucida Sans Unicode"/>
          <w:spacing w:val="-2"/>
          <w:w w:val="105"/>
        </w:rPr>
        <w:t>2,</w:t>
      </w:r>
      <w:r>
        <w:rPr>
          <w:rFonts w:ascii="Lucida Sans Unicode"/>
          <w:spacing w:val="-18"/>
          <w:w w:val="105"/>
        </w:rPr>
        <w:t> </w:t>
      </w:r>
      <w:r>
        <w:rPr>
          <w:rFonts w:ascii="Lucida Sans Unicode"/>
          <w:spacing w:val="-2"/>
          <w:w w:val="105"/>
        </w:rPr>
        <w:t>are</w:t>
      </w:r>
      <w:r>
        <w:rPr>
          <w:rFonts w:ascii="Lucida Sans Unicode"/>
          <w:spacing w:val="-18"/>
          <w:w w:val="105"/>
        </w:rPr>
        <w:t> </w:t>
      </w:r>
      <w:r>
        <w:rPr>
          <w:rFonts w:ascii="Lucida Sans Unicode"/>
          <w:spacing w:val="-2"/>
          <w:w w:val="105"/>
        </w:rPr>
        <w:t>also </w:t>
      </w:r>
      <w:r>
        <w:rPr>
          <w:w w:val="105"/>
        </w:rPr>
        <w:t>contained</w:t>
      </w:r>
      <w:r>
        <w:rPr>
          <w:spacing w:val="40"/>
          <w:w w:val="105"/>
        </w:rPr>
        <w:t> </w:t>
      </w:r>
      <w:r>
        <w:rPr>
          <w:w w:val="105"/>
        </w:rPr>
        <w:t>within</w:t>
      </w:r>
      <w:r>
        <w:rPr>
          <w:spacing w:val="40"/>
          <w:w w:val="105"/>
        </w:rPr>
        <w:t> </w:t>
      </w:r>
      <w:r>
        <w:rPr>
          <w:w w:val="105"/>
        </w:rPr>
        <w:t>the</w:t>
      </w:r>
      <w:r>
        <w:rPr>
          <w:spacing w:val="40"/>
          <w:w w:val="105"/>
        </w:rPr>
        <w:t> </w:t>
      </w:r>
      <w:r>
        <w:rPr>
          <w:w w:val="105"/>
        </w:rPr>
        <w:t>Charter.</w:t>
      </w:r>
    </w:p>
    <w:p>
      <w:pPr>
        <w:pStyle w:val="BodyText"/>
        <w:spacing w:before="48"/>
        <w:ind w:left="0"/>
      </w:pPr>
    </w:p>
    <w:p>
      <w:pPr>
        <w:pStyle w:val="Heading4"/>
        <w:numPr>
          <w:ilvl w:val="1"/>
          <w:numId w:val="9"/>
        </w:numPr>
        <w:tabs>
          <w:tab w:pos="395" w:val="left" w:leader="none"/>
        </w:tabs>
        <w:spacing w:line="259" w:lineRule="auto" w:before="0" w:after="0"/>
        <w:ind w:left="113" w:right="765" w:firstLine="0"/>
        <w:jc w:val="left"/>
      </w:pPr>
      <w:r>
        <w:rPr>
          <w:color w:val="77328A"/>
        </w:rPr>
        <w:t>The basic features of Article </w:t>
      </w:r>
      <w:r>
        <w:rPr>
          <w:color w:val="77328A"/>
        </w:rPr>
        <w:t>2 Windsor Framework</w:t>
      </w:r>
    </w:p>
    <w:p>
      <w:pPr>
        <w:pStyle w:val="BodyText"/>
        <w:spacing w:line="346" w:lineRule="exact"/>
        <w:jc w:val="both"/>
        <w:rPr>
          <w:rFonts w:ascii="Lucida Sans Unicode"/>
        </w:rPr>
      </w:pPr>
      <w:r>
        <w:rPr>
          <w:rFonts w:ascii="Lucida Sans Unicode"/>
        </w:rPr>
        <w:t>Article 2</w:t>
      </w:r>
      <w:r>
        <w:rPr>
          <w:rFonts w:ascii="Lucida Sans Unicode"/>
          <w:spacing w:val="1"/>
        </w:rPr>
        <w:t> </w:t>
      </w:r>
      <w:r>
        <w:rPr>
          <w:rFonts w:ascii="Lucida Sans Unicode"/>
        </w:rPr>
        <w:t>(1)</w:t>
      </w:r>
      <w:r>
        <w:rPr>
          <w:rFonts w:ascii="Lucida Sans Unicode"/>
          <w:spacing w:val="1"/>
        </w:rPr>
        <w:t> </w:t>
      </w:r>
      <w:r>
        <w:rPr>
          <w:rFonts w:ascii="Lucida Sans Unicode"/>
        </w:rPr>
        <w:t>reads as</w:t>
      </w:r>
      <w:r>
        <w:rPr>
          <w:rFonts w:ascii="Lucida Sans Unicode"/>
          <w:spacing w:val="1"/>
        </w:rPr>
        <w:t> </w:t>
      </w:r>
      <w:r>
        <w:rPr>
          <w:rFonts w:ascii="Lucida Sans Unicode"/>
          <w:spacing w:val="-2"/>
        </w:rPr>
        <w:t>follows:</w:t>
      </w:r>
    </w:p>
    <w:p>
      <w:pPr>
        <w:pStyle w:val="BodyText"/>
        <w:tabs>
          <w:tab w:pos="680" w:val="left" w:leader="none"/>
        </w:tabs>
        <w:spacing w:line="314" w:lineRule="exact" w:before="256"/>
        <w:ind w:left="680" w:right="364" w:hanging="567"/>
      </w:pPr>
      <w:r>
        <w:rPr>
          <w:spacing w:val="-6"/>
        </w:rPr>
        <w:t>1.</w:t>
      </w:r>
      <w:r>
        <w:rPr/>
        <w:tab/>
      </w:r>
      <w:r>
        <w:rPr>
          <w:w w:val="110"/>
        </w:rPr>
        <w:t>The United Kingdom shall ensure that no diminution of rights, safeguards or equality </w:t>
      </w:r>
      <w:r>
        <w:rPr>
          <w:w w:val="110"/>
        </w:rPr>
        <w:t>of</w:t>
      </w:r>
      <w:r>
        <w:rPr>
          <w:w w:val="110"/>
        </w:rPr>
        <w:t> opportunity, as set out in that </w:t>
      </w:r>
      <w:r>
        <w:rPr>
          <w:rFonts w:ascii="Lucida Sans Unicode"/>
        </w:rPr>
        <w:t>part of the 1998 Agreement entitled Rights, Safeguards and </w:t>
      </w:r>
      <w:r>
        <w:rPr>
          <w:w w:val="110"/>
        </w:rPr>
        <w:t>Equality of Opportunity results from its withdrawal from the Union, including in the area of</w:t>
      </w:r>
    </w:p>
    <w:p>
      <w:pPr>
        <w:pStyle w:val="BodyText"/>
        <w:spacing w:line="271" w:lineRule="auto" w:before="19"/>
        <w:ind w:left="680" w:right="144"/>
      </w:pPr>
      <w:r>
        <w:rPr>
          <w:w w:val="115"/>
        </w:rPr>
        <w:t>protection</w:t>
      </w:r>
      <w:r>
        <w:rPr>
          <w:spacing w:val="-20"/>
          <w:w w:val="115"/>
        </w:rPr>
        <w:t> </w:t>
      </w:r>
      <w:r>
        <w:rPr>
          <w:w w:val="115"/>
        </w:rPr>
        <w:t>against</w:t>
      </w:r>
      <w:r>
        <w:rPr>
          <w:spacing w:val="-19"/>
          <w:w w:val="115"/>
        </w:rPr>
        <w:t> </w:t>
      </w:r>
      <w:r>
        <w:rPr>
          <w:w w:val="115"/>
        </w:rPr>
        <w:t>discrimination, as enshrined in the provisions</w:t>
      </w:r>
    </w:p>
    <w:p>
      <w:pPr>
        <w:pStyle w:val="BodyText"/>
        <w:spacing w:before="3"/>
        <w:ind w:left="680" w:right="634"/>
        <w:rPr>
          <w:rFonts w:ascii="Lucida Sans Unicode"/>
        </w:rPr>
      </w:pPr>
      <w:r>
        <w:rPr>
          <w:w w:val="105"/>
        </w:rPr>
        <w:t>of Union law listed in Annex </w:t>
      </w:r>
      <w:r>
        <w:rPr/>
        <w:t>1 </w:t>
      </w:r>
      <w:r>
        <w:rPr>
          <w:rFonts w:ascii="Lucida Sans Unicode"/>
          <w:w w:val="105"/>
        </w:rPr>
        <w:t>to</w:t>
      </w:r>
      <w:r>
        <w:rPr>
          <w:rFonts w:ascii="Lucida Sans Unicode"/>
          <w:spacing w:val="-11"/>
          <w:w w:val="105"/>
        </w:rPr>
        <w:t> </w:t>
      </w:r>
      <w:r>
        <w:rPr>
          <w:rFonts w:ascii="Lucida Sans Unicode"/>
          <w:w w:val="105"/>
        </w:rPr>
        <w:t>this</w:t>
      </w:r>
      <w:r>
        <w:rPr>
          <w:rFonts w:ascii="Lucida Sans Unicode"/>
          <w:spacing w:val="-10"/>
          <w:w w:val="105"/>
        </w:rPr>
        <w:t> </w:t>
      </w:r>
      <w:r>
        <w:rPr>
          <w:rFonts w:ascii="Lucida Sans Unicode"/>
          <w:w w:val="105"/>
        </w:rPr>
        <w:t>Protocol</w:t>
      </w:r>
      <w:r>
        <w:rPr>
          <w:rFonts w:ascii="Lucida Sans Unicode"/>
          <w:spacing w:val="-10"/>
          <w:w w:val="105"/>
        </w:rPr>
        <w:t> </w:t>
      </w:r>
      <w:r>
        <w:rPr>
          <w:rFonts w:ascii="Lucida Sans Unicode"/>
          <w:w w:val="105"/>
        </w:rPr>
        <w:t>[the</w:t>
      </w:r>
      <w:r>
        <w:rPr>
          <w:rFonts w:ascii="Lucida Sans Unicode"/>
          <w:spacing w:val="-10"/>
          <w:w w:val="105"/>
        </w:rPr>
        <w:t> </w:t>
      </w:r>
      <w:r>
        <w:rPr>
          <w:rFonts w:ascii="Lucida Sans Unicode"/>
          <w:spacing w:val="-2"/>
          <w:w w:val="105"/>
        </w:rPr>
        <w:t>Windsor</w:t>
      </w:r>
    </w:p>
    <w:p>
      <w:pPr>
        <w:pStyle w:val="BodyText"/>
        <w:spacing w:line="304" w:lineRule="exact"/>
        <w:ind w:left="680"/>
        <w:rPr>
          <w:rFonts w:ascii="Lucida Sans Unicode"/>
        </w:rPr>
      </w:pPr>
      <w:r>
        <w:rPr>
          <w:rFonts w:ascii="Lucida Sans Unicode"/>
        </w:rPr>
        <w:t>Framework],</w:t>
      </w:r>
      <w:r>
        <w:rPr>
          <w:rFonts w:ascii="Lucida Sans Unicode"/>
          <w:spacing w:val="15"/>
        </w:rPr>
        <w:t> </w:t>
      </w:r>
      <w:r>
        <w:rPr>
          <w:rFonts w:ascii="Lucida Sans Unicode"/>
        </w:rPr>
        <w:t>and</w:t>
      </w:r>
      <w:r>
        <w:rPr>
          <w:rFonts w:ascii="Lucida Sans Unicode"/>
          <w:spacing w:val="15"/>
        </w:rPr>
        <w:t> </w:t>
      </w:r>
      <w:r>
        <w:rPr>
          <w:rFonts w:ascii="Lucida Sans Unicode"/>
        </w:rPr>
        <w:t>shall</w:t>
      </w:r>
      <w:r>
        <w:rPr>
          <w:rFonts w:ascii="Lucida Sans Unicode"/>
          <w:spacing w:val="15"/>
        </w:rPr>
        <w:t> </w:t>
      </w:r>
      <w:r>
        <w:rPr>
          <w:rFonts w:ascii="Lucida Sans Unicode"/>
          <w:spacing w:val="-2"/>
        </w:rPr>
        <w:t>implement</w:t>
      </w:r>
    </w:p>
    <w:p>
      <w:pPr>
        <w:pStyle w:val="BodyText"/>
        <w:spacing w:line="271" w:lineRule="auto"/>
        <w:ind w:left="680"/>
      </w:pPr>
      <w:r>
        <w:rPr>
          <w:w w:val="115"/>
        </w:rPr>
        <w:t>this</w:t>
      </w:r>
      <w:r>
        <w:rPr>
          <w:spacing w:val="-20"/>
          <w:w w:val="115"/>
        </w:rPr>
        <w:t> </w:t>
      </w:r>
      <w:r>
        <w:rPr>
          <w:w w:val="115"/>
        </w:rPr>
        <w:t>paragraph</w:t>
      </w:r>
      <w:r>
        <w:rPr>
          <w:spacing w:val="-19"/>
          <w:w w:val="115"/>
        </w:rPr>
        <w:t> </w:t>
      </w:r>
      <w:r>
        <w:rPr>
          <w:w w:val="115"/>
        </w:rPr>
        <w:t>through</w:t>
      </w:r>
      <w:r>
        <w:rPr>
          <w:spacing w:val="-19"/>
          <w:w w:val="115"/>
        </w:rPr>
        <w:t> </w:t>
      </w:r>
      <w:r>
        <w:rPr>
          <w:w w:val="115"/>
        </w:rPr>
        <w:t>dedicated </w:t>
      </w:r>
      <w:r>
        <w:rPr>
          <w:spacing w:val="-2"/>
          <w:w w:val="115"/>
        </w:rPr>
        <w:t>mechanisms.</w:t>
      </w:r>
    </w:p>
    <w:p>
      <w:pPr>
        <w:pStyle w:val="BodyText"/>
        <w:spacing w:before="22"/>
        <w:ind w:left="0"/>
      </w:pPr>
    </w:p>
    <w:p>
      <w:pPr>
        <w:pStyle w:val="BodyText"/>
        <w:spacing w:line="235" w:lineRule="auto"/>
        <w:ind w:right="131"/>
        <w:rPr>
          <w:rFonts w:ascii="Lucida Sans Unicode"/>
        </w:rPr>
      </w:pPr>
      <w:r>
        <w:rPr>
          <w:w w:val="110"/>
        </w:rPr>
        <w:t>The substantive content and </w:t>
      </w:r>
      <w:r>
        <w:rPr>
          <w:rFonts w:ascii="Lucida Sans Unicode"/>
        </w:rPr>
        <w:t>application of Article 2 of the </w:t>
      </w:r>
      <w:r>
        <w:rPr>
          <w:rFonts w:ascii="Lucida Sans Unicode"/>
        </w:rPr>
        <w:t>Windsor </w:t>
      </w:r>
      <w:r>
        <w:rPr>
          <w:w w:val="110"/>
        </w:rPr>
        <w:t>Framework has been covered in extensive</w:t>
      </w:r>
      <w:r>
        <w:rPr>
          <w:spacing w:val="-6"/>
          <w:w w:val="110"/>
        </w:rPr>
        <w:t> </w:t>
      </w:r>
      <w:r>
        <w:rPr>
          <w:w w:val="110"/>
        </w:rPr>
        <w:t>detail</w:t>
      </w:r>
      <w:r>
        <w:rPr>
          <w:spacing w:val="-6"/>
          <w:w w:val="110"/>
        </w:rPr>
        <w:t> </w:t>
      </w:r>
      <w:r>
        <w:rPr>
          <w:w w:val="110"/>
        </w:rPr>
        <w:t>in</w:t>
      </w:r>
      <w:r>
        <w:rPr>
          <w:spacing w:val="-6"/>
          <w:w w:val="110"/>
        </w:rPr>
        <w:t> </w:t>
      </w:r>
      <w:r>
        <w:rPr>
          <w:w w:val="110"/>
        </w:rPr>
        <w:t>a</w:t>
      </w:r>
      <w:r>
        <w:rPr>
          <w:spacing w:val="-6"/>
          <w:w w:val="110"/>
        </w:rPr>
        <w:t> </w:t>
      </w:r>
      <w:r>
        <w:rPr>
          <w:w w:val="110"/>
        </w:rPr>
        <w:t>previous</w:t>
      </w:r>
      <w:r>
        <w:rPr>
          <w:spacing w:val="-6"/>
          <w:w w:val="110"/>
        </w:rPr>
        <w:t> </w:t>
      </w:r>
      <w:r>
        <w:rPr>
          <w:w w:val="110"/>
        </w:rPr>
        <w:t>report.</w:t>
      </w:r>
      <w:r>
        <w:rPr>
          <w:rFonts w:ascii="Lucida Sans Unicode"/>
          <w:w w:val="110"/>
          <w:vertAlign w:val="superscript"/>
        </w:rPr>
        <w:t>158</w:t>
      </w:r>
    </w:p>
    <w:p>
      <w:pPr>
        <w:spacing w:after="0" w:line="235" w:lineRule="auto"/>
        <w:rPr>
          <w:rFonts w:ascii="Lucida Sans Unicode"/>
        </w:rPr>
        <w:sectPr>
          <w:type w:val="continuous"/>
          <w:pgSz w:w="11910" w:h="16840"/>
          <w:pgMar w:header="568" w:footer="580" w:top="0" w:bottom="280" w:left="1020" w:right="1020"/>
          <w:cols w:num="2" w:equalWidth="0">
            <w:col w:w="4746" w:space="299"/>
            <w:col w:w="4825"/>
          </w:cols>
        </w:sectPr>
      </w:pPr>
    </w:p>
    <w:p>
      <w:pPr>
        <w:pStyle w:val="BodyText"/>
        <w:spacing w:before="1"/>
        <w:ind w:left="0"/>
        <w:rPr>
          <w:rFonts w:ascii="Lucida Sans Unicode"/>
          <w:sz w:val="9"/>
        </w:rPr>
      </w:pPr>
    </w:p>
    <w:p>
      <w:pPr>
        <w:pStyle w:val="BodyText"/>
        <w:spacing w:line="20" w:lineRule="exact"/>
        <w:rPr>
          <w:rFonts w:ascii="Lucida Sans Unicode"/>
          <w:sz w:val="2"/>
        </w:rPr>
      </w:pPr>
      <w:r>
        <w:rPr>
          <w:rFonts w:ascii="Lucida Sans Unicode"/>
          <w:sz w:val="2"/>
        </w:rPr>
        <mc:AlternateContent>
          <mc:Choice Requires="wps">
            <w:drawing>
              <wp:inline distT="0" distB="0" distL="0" distR="0">
                <wp:extent cx="6120130" cy="6350"/>
                <wp:effectExtent l="9525" t="0" r="0" b="3175"/>
                <wp:docPr id="119" name="Group 119"/>
                <wp:cNvGraphicFramePr>
                  <a:graphicFrameLocks/>
                </wp:cNvGraphicFramePr>
                <a:graphic>
                  <a:graphicData uri="http://schemas.microsoft.com/office/word/2010/wordprocessingGroup">
                    <wpg:wgp>
                      <wpg:cNvPr id="119" name="Group 119"/>
                      <wpg:cNvGrpSpPr/>
                      <wpg:grpSpPr>
                        <a:xfrm>
                          <a:off x="0" y="0"/>
                          <a:ext cx="6120130" cy="6350"/>
                          <a:chExt cx="6120130" cy="6350"/>
                        </a:xfrm>
                      </wpg:grpSpPr>
                      <wps:wsp>
                        <wps:cNvPr id="120" name="Graphic 120"/>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78" coordorigin="0,0" coordsize="9638,10">
                <v:line style="position:absolute" from="0,5" to="9638,5" stroked="true" strokeweight=".5pt" strokecolor="#77328a">
                  <v:stroke dashstyle="solid"/>
                </v:line>
              </v:group>
            </w:pict>
          </mc:Fallback>
        </mc:AlternateContent>
      </w:r>
      <w:r>
        <w:rPr>
          <w:rFonts w:ascii="Lucida Sans Unicode"/>
          <w:sz w:val="2"/>
        </w:rPr>
      </w:r>
    </w:p>
    <w:p>
      <w:pPr>
        <w:pStyle w:val="ListParagraph"/>
        <w:numPr>
          <w:ilvl w:val="0"/>
          <w:numId w:val="6"/>
        </w:numPr>
        <w:tabs>
          <w:tab w:pos="567" w:val="left" w:leader="none"/>
        </w:tabs>
        <w:spacing w:line="194" w:lineRule="auto" w:before="94" w:after="0"/>
        <w:ind w:left="567" w:right="146" w:hanging="454"/>
        <w:jc w:val="left"/>
        <w:rPr>
          <w:rFonts w:ascii="Arial" w:hAnsi="Arial"/>
          <w:sz w:val="16"/>
        </w:rPr>
      </w:pPr>
      <w:r>
        <w:rPr>
          <w:rFonts w:ascii="Verdana" w:hAnsi="Verdana"/>
          <w:i/>
          <w:spacing w:val="-2"/>
          <w:sz w:val="16"/>
        </w:rPr>
        <w:t>Dillon,</w:t>
      </w:r>
      <w:r>
        <w:rPr>
          <w:rFonts w:ascii="Verdana" w:hAnsi="Verdana"/>
          <w:i/>
          <w:spacing w:val="-5"/>
          <w:sz w:val="16"/>
        </w:rPr>
        <w:t> </w:t>
      </w:r>
      <w:r>
        <w:rPr>
          <w:rFonts w:ascii="Verdana" w:hAnsi="Verdana"/>
          <w:i/>
          <w:spacing w:val="-2"/>
          <w:sz w:val="16"/>
        </w:rPr>
        <w:t>McEvoy,</w:t>
      </w:r>
      <w:r>
        <w:rPr>
          <w:rFonts w:ascii="Verdana" w:hAnsi="Verdana"/>
          <w:i/>
          <w:spacing w:val="-5"/>
          <w:sz w:val="16"/>
        </w:rPr>
        <w:t> </w:t>
      </w:r>
      <w:r>
        <w:rPr>
          <w:rFonts w:ascii="Verdana" w:hAnsi="Verdana"/>
          <w:i/>
          <w:spacing w:val="-2"/>
          <w:sz w:val="16"/>
        </w:rPr>
        <w:t>McManus,</w:t>
      </w:r>
      <w:r>
        <w:rPr>
          <w:rFonts w:ascii="Verdana" w:hAnsi="Verdana"/>
          <w:i/>
          <w:spacing w:val="-5"/>
          <w:sz w:val="16"/>
        </w:rPr>
        <w:t> </w:t>
      </w:r>
      <w:r>
        <w:rPr>
          <w:rFonts w:ascii="Verdana" w:hAnsi="Verdana"/>
          <w:i/>
          <w:spacing w:val="-2"/>
          <w:sz w:val="16"/>
        </w:rPr>
        <w:t>Hughes,</w:t>
      </w:r>
      <w:r>
        <w:rPr>
          <w:rFonts w:ascii="Verdana" w:hAnsi="Verdana"/>
          <w:i/>
          <w:spacing w:val="-5"/>
          <w:sz w:val="16"/>
        </w:rPr>
        <w:t> </w:t>
      </w:r>
      <w:r>
        <w:rPr>
          <w:rFonts w:ascii="Verdana" w:hAnsi="Verdana"/>
          <w:i/>
          <w:spacing w:val="-2"/>
          <w:sz w:val="16"/>
        </w:rPr>
        <w:t>Jordan,</w:t>
      </w:r>
      <w:r>
        <w:rPr>
          <w:rFonts w:ascii="Verdana" w:hAnsi="Verdana"/>
          <w:i/>
          <w:spacing w:val="-5"/>
          <w:sz w:val="16"/>
        </w:rPr>
        <w:t> </w:t>
      </w:r>
      <w:r>
        <w:rPr>
          <w:rFonts w:ascii="Verdana" w:hAnsi="Verdana"/>
          <w:i/>
          <w:spacing w:val="-2"/>
          <w:sz w:val="16"/>
        </w:rPr>
        <w:t>Gilvary,</w:t>
      </w:r>
      <w:r>
        <w:rPr>
          <w:rFonts w:ascii="Verdana" w:hAnsi="Verdana"/>
          <w:i/>
          <w:spacing w:val="-5"/>
          <w:sz w:val="16"/>
        </w:rPr>
        <w:t> </w:t>
      </w:r>
      <w:r>
        <w:rPr>
          <w:rFonts w:ascii="Verdana" w:hAnsi="Verdana"/>
          <w:i/>
          <w:spacing w:val="-2"/>
          <w:sz w:val="16"/>
        </w:rPr>
        <w:t>and</w:t>
      </w:r>
      <w:r>
        <w:rPr>
          <w:rFonts w:ascii="Verdana" w:hAnsi="Verdana"/>
          <w:i/>
          <w:spacing w:val="-5"/>
          <w:sz w:val="16"/>
        </w:rPr>
        <w:t> </w:t>
      </w:r>
      <w:r>
        <w:rPr>
          <w:rFonts w:ascii="Verdana" w:hAnsi="Verdana"/>
          <w:i/>
          <w:spacing w:val="-2"/>
          <w:sz w:val="16"/>
        </w:rPr>
        <w:t>Fitzsimmons’</w:t>
      </w:r>
      <w:r>
        <w:rPr>
          <w:rFonts w:ascii="Verdana" w:hAnsi="Verdana"/>
          <w:i/>
          <w:spacing w:val="-5"/>
          <w:sz w:val="16"/>
        </w:rPr>
        <w:t> </w:t>
      </w:r>
      <w:r>
        <w:rPr>
          <w:rFonts w:ascii="Verdana" w:hAnsi="Verdana"/>
          <w:i/>
          <w:spacing w:val="-2"/>
          <w:sz w:val="16"/>
        </w:rPr>
        <w:t>Applications</w:t>
      </w:r>
      <w:r>
        <w:rPr>
          <w:rFonts w:ascii="Verdana" w:hAnsi="Verdana"/>
          <w:i/>
          <w:spacing w:val="-5"/>
          <w:sz w:val="16"/>
        </w:rPr>
        <w:t> </w:t>
      </w:r>
      <w:r>
        <w:rPr>
          <w:rFonts w:ascii="Verdana" w:hAnsi="Verdana"/>
          <w:i/>
          <w:spacing w:val="-2"/>
          <w:sz w:val="16"/>
        </w:rPr>
        <w:t>for</w:t>
      </w:r>
      <w:r>
        <w:rPr>
          <w:rFonts w:ascii="Verdana" w:hAnsi="Verdana"/>
          <w:i/>
          <w:spacing w:val="-5"/>
          <w:sz w:val="16"/>
        </w:rPr>
        <w:t> </w:t>
      </w:r>
      <w:r>
        <w:rPr>
          <w:rFonts w:ascii="Verdana" w:hAnsi="Verdana"/>
          <w:i/>
          <w:spacing w:val="-2"/>
          <w:sz w:val="16"/>
        </w:rPr>
        <w:t>judicial</w:t>
      </w:r>
      <w:r>
        <w:rPr>
          <w:rFonts w:ascii="Verdana" w:hAnsi="Verdana"/>
          <w:i/>
          <w:spacing w:val="-5"/>
          <w:sz w:val="16"/>
        </w:rPr>
        <w:t> </w:t>
      </w:r>
      <w:r>
        <w:rPr>
          <w:rFonts w:ascii="Verdana" w:hAnsi="Verdana"/>
          <w:i/>
          <w:spacing w:val="-2"/>
          <w:sz w:val="16"/>
        </w:rPr>
        <w:t>review</w:t>
      </w:r>
      <w:r>
        <w:rPr>
          <w:rFonts w:ascii="Verdana" w:hAnsi="Verdana"/>
          <w:i/>
          <w:spacing w:val="-5"/>
          <w:sz w:val="16"/>
        </w:rPr>
        <w:t> </w:t>
      </w:r>
      <w:r>
        <w:rPr>
          <w:spacing w:val="-2"/>
          <w:sz w:val="16"/>
        </w:rPr>
        <w:t>[2024] NIKB 11, </w:t>
      </w:r>
      <w:r>
        <w:rPr>
          <w:sz w:val="16"/>
        </w:rPr>
        <w:t>paras 525-526, per Colton J.</w:t>
      </w:r>
    </w:p>
    <w:p>
      <w:pPr>
        <w:pStyle w:val="ListParagraph"/>
        <w:numPr>
          <w:ilvl w:val="0"/>
          <w:numId w:val="6"/>
        </w:numPr>
        <w:tabs>
          <w:tab w:pos="566" w:val="left" w:leader="none"/>
        </w:tabs>
        <w:spacing w:line="191" w:lineRule="exact" w:before="0" w:after="0"/>
        <w:ind w:left="566" w:right="0" w:hanging="453"/>
        <w:jc w:val="left"/>
        <w:rPr>
          <w:rFonts w:ascii="Arial"/>
          <w:sz w:val="16"/>
        </w:rPr>
      </w:pPr>
      <w:r>
        <w:rPr>
          <w:rFonts w:ascii="Verdana"/>
          <w:i/>
          <w:sz w:val="16"/>
        </w:rPr>
        <w:t>Re</w:t>
      </w:r>
      <w:r>
        <w:rPr>
          <w:rFonts w:ascii="Verdana"/>
          <w:i/>
          <w:spacing w:val="-6"/>
          <w:sz w:val="16"/>
        </w:rPr>
        <w:t> </w:t>
      </w:r>
      <w:r>
        <w:rPr>
          <w:rFonts w:ascii="Verdana"/>
          <w:i/>
          <w:sz w:val="16"/>
        </w:rPr>
        <w:t>Allister</w:t>
      </w:r>
      <w:r>
        <w:rPr>
          <w:rFonts w:ascii="Verdana"/>
          <w:i/>
          <w:spacing w:val="-6"/>
          <w:sz w:val="16"/>
        </w:rPr>
        <w:t> </w:t>
      </w:r>
      <w:r>
        <w:rPr>
          <w:rFonts w:ascii="Verdana"/>
          <w:i/>
          <w:sz w:val="16"/>
        </w:rPr>
        <w:t>and</w:t>
      </w:r>
      <w:r>
        <w:rPr>
          <w:rFonts w:ascii="Verdana"/>
          <w:i/>
          <w:spacing w:val="-6"/>
          <w:sz w:val="16"/>
        </w:rPr>
        <w:t> </w:t>
      </w:r>
      <w:r>
        <w:rPr>
          <w:rFonts w:ascii="Verdana"/>
          <w:i/>
          <w:sz w:val="16"/>
        </w:rPr>
        <w:t>others</w:t>
      </w:r>
      <w:r>
        <w:rPr>
          <w:rFonts w:ascii="Verdana"/>
          <w:i/>
          <w:spacing w:val="-6"/>
          <w:sz w:val="16"/>
        </w:rPr>
        <w:t> </w:t>
      </w:r>
      <w:r>
        <w:rPr>
          <w:sz w:val="16"/>
        </w:rPr>
        <w:t>[2023] 2</w:t>
      </w:r>
      <w:r>
        <w:rPr>
          <w:spacing w:val="1"/>
          <w:sz w:val="16"/>
        </w:rPr>
        <w:t> </w:t>
      </w:r>
      <w:r>
        <w:rPr>
          <w:sz w:val="16"/>
        </w:rPr>
        <w:t>WLR 457, paras 66-68, per</w:t>
      </w:r>
      <w:r>
        <w:rPr>
          <w:spacing w:val="1"/>
          <w:sz w:val="16"/>
        </w:rPr>
        <w:t> </w:t>
      </w:r>
      <w:r>
        <w:rPr>
          <w:sz w:val="16"/>
        </w:rPr>
        <w:t>Lord </w:t>
      </w:r>
      <w:r>
        <w:rPr>
          <w:spacing w:val="-2"/>
          <w:sz w:val="16"/>
        </w:rPr>
        <w:t>Stephens.</w:t>
      </w:r>
    </w:p>
    <w:p>
      <w:pPr>
        <w:pStyle w:val="ListParagraph"/>
        <w:numPr>
          <w:ilvl w:val="0"/>
          <w:numId w:val="6"/>
        </w:numPr>
        <w:tabs>
          <w:tab w:pos="567" w:val="left" w:leader="none"/>
        </w:tabs>
        <w:spacing w:line="200" w:lineRule="exact" w:before="0" w:after="0"/>
        <w:ind w:left="567" w:right="0" w:hanging="454"/>
        <w:jc w:val="left"/>
        <w:rPr>
          <w:rFonts w:ascii="Arial"/>
          <w:sz w:val="16"/>
        </w:rPr>
      </w:pPr>
      <w:r>
        <w:rPr>
          <w:sz w:val="16"/>
        </w:rPr>
        <w:t>For</w:t>
      </w:r>
      <w:r>
        <w:rPr>
          <w:spacing w:val="11"/>
          <w:sz w:val="16"/>
        </w:rPr>
        <w:t> </w:t>
      </w:r>
      <w:r>
        <w:rPr>
          <w:sz w:val="16"/>
        </w:rPr>
        <w:t>example,</w:t>
      </w:r>
      <w:r>
        <w:rPr>
          <w:spacing w:val="11"/>
          <w:sz w:val="16"/>
        </w:rPr>
        <w:t> </w:t>
      </w:r>
      <w:r>
        <w:rPr>
          <w:sz w:val="16"/>
        </w:rPr>
        <w:t>the</w:t>
      </w:r>
      <w:r>
        <w:rPr>
          <w:spacing w:val="12"/>
          <w:sz w:val="16"/>
        </w:rPr>
        <w:t> </w:t>
      </w:r>
      <w:r>
        <w:rPr>
          <w:sz w:val="16"/>
        </w:rPr>
        <w:t>democratic</w:t>
      </w:r>
      <w:r>
        <w:rPr>
          <w:spacing w:val="11"/>
          <w:sz w:val="16"/>
        </w:rPr>
        <w:t> </w:t>
      </w:r>
      <w:r>
        <w:rPr>
          <w:sz w:val="16"/>
        </w:rPr>
        <w:t>consent</w:t>
      </w:r>
      <w:r>
        <w:rPr>
          <w:spacing w:val="12"/>
          <w:sz w:val="16"/>
        </w:rPr>
        <w:t> </w:t>
      </w:r>
      <w:r>
        <w:rPr>
          <w:sz w:val="16"/>
        </w:rPr>
        <w:t>mechanism</w:t>
      </w:r>
      <w:r>
        <w:rPr>
          <w:spacing w:val="11"/>
          <w:sz w:val="16"/>
        </w:rPr>
        <w:t> </w:t>
      </w:r>
      <w:r>
        <w:rPr>
          <w:sz w:val="16"/>
        </w:rPr>
        <w:t>under</w:t>
      </w:r>
      <w:r>
        <w:rPr>
          <w:spacing w:val="12"/>
          <w:sz w:val="16"/>
        </w:rPr>
        <w:t> </w:t>
      </w:r>
      <w:r>
        <w:rPr>
          <w:sz w:val="16"/>
        </w:rPr>
        <w:t>Windsor</w:t>
      </w:r>
      <w:r>
        <w:rPr>
          <w:spacing w:val="11"/>
          <w:sz w:val="16"/>
        </w:rPr>
        <w:t> </w:t>
      </w:r>
      <w:r>
        <w:rPr>
          <w:sz w:val="16"/>
        </w:rPr>
        <w:t>Framework,</w:t>
      </w:r>
      <w:r>
        <w:rPr>
          <w:spacing w:val="12"/>
          <w:sz w:val="16"/>
        </w:rPr>
        <w:t> </w:t>
      </w:r>
      <w:r>
        <w:rPr>
          <w:sz w:val="16"/>
        </w:rPr>
        <w:t>Art</w:t>
      </w:r>
      <w:r>
        <w:rPr>
          <w:spacing w:val="11"/>
          <w:sz w:val="16"/>
        </w:rPr>
        <w:t> </w:t>
      </w:r>
      <w:r>
        <w:rPr>
          <w:spacing w:val="-5"/>
          <w:sz w:val="16"/>
        </w:rPr>
        <w:t>18.</w:t>
      </w:r>
    </w:p>
    <w:p>
      <w:pPr>
        <w:pStyle w:val="ListParagraph"/>
        <w:numPr>
          <w:ilvl w:val="0"/>
          <w:numId w:val="6"/>
        </w:numPr>
        <w:tabs>
          <w:tab w:pos="566" w:val="left" w:leader="none"/>
        </w:tabs>
        <w:spacing w:line="223" w:lineRule="exact" w:before="0" w:after="0"/>
        <w:ind w:left="566" w:right="0" w:hanging="453"/>
        <w:jc w:val="left"/>
        <w:rPr>
          <w:sz w:val="16"/>
        </w:rPr>
      </w:pPr>
      <w:r>
        <w:rPr>
          <w:rFonts w:ascii="Arial"/>
          <w:w w:val="110"/>
          <w:sz w:val="16"/>
        </w:rPr>
        <w:t>Craig</w:t>
      </w:r>
      <w:r>
        <w:rPr>
          <w:rFonts w:ascii="Arial"/>
          <w:spacing w:val="-1"/>
          <w:w w:val="110"/>
          <w:sz w:val="16"/>
        </w:rPr>
        <w:t> </w:t>
      </w:r>
      <w:r>
        <w:rPr>
          <w:rFonts w:ascii="Verdana"/>
          <w:i/>
          <w:w w:val="110"/>
          <w:sz w:val="16"/>
        </w:rPr>
        <w:t>et</w:t>
      </w:r>
      <w:r>
        <w:rPr>
          <w:rFonts w:ascii="Verdana"/>
          <w:i/>
          <w:spacing w:val="-13"/>
          <w:w w:val="110"/>
          <w:sz w:val="16"/>
        </w:rPr>
        <w:t> </w:t>
      </w:r>
      <w:r>
        <w:rPr>
          <w:rFonts w:ascii="Verdana"/>
          <w:i/>
          <w:w w:val="110"/>
          <w:sz w:val="16"/>
        </w:rPr>
        <w:t>al</w:t>
      </w:r>
      <w:r>
        <w:rPr>
          <w:rFonts w:ascii="Verdana"/>
          <w:i/>
          <w:spacing w:val="-13"/>
          <w:w w:val="110"/>
          <w:sz w:val="16"/>
        </w:rPr>
        <w:t> </w:t>
      </w:r>
      <w:r>
        <w:rPr>
          <w:rFonts w:ascii="Arial"/>
          <w:w w:val="110"/>
          <w:sz w:val="16"/>
        </w:rPr>
        <w:t>and the NIHRC and</w:t>
      </w:r>
      <w:r>
        <w:rPr>
          <w:rFonts w:ascii="Arial"/>
          <w:spacing w:val="-1"/>
          <w:w w:val="110"/>
          <w:sz w:val="16"/>
        </w:rPr>
        <w:t> </w:t>
      </w:r>
      <w:r>
        <w:rPr>
          <w:rFonts w:ascii="Arial"/>
          <w:w w:val="110"/>
          <w:sz w:val="16"/>
        </w:rPr>
        <w:t>ECNI Working Paper (both quoted at n </w:t>
      </w:r>
      <w:r>
        <w:rPr>
          <w:rFonts w:ascii="Arial"/>
          <w:spacing w:val="-5"/>
          <w:w w:val="110"/>
          <w:sz w:val="16"/>
        </w:rPr>
        <w:t>5).</w:t>
      </w:r>
    </w:p>
    <w:p>
      <w:pPr>
        <w:spacing w:after="0" w:line="223" w:lineRule="exact"/>
        <w:jc w:val="left"/>
        <w:rPr>
          <w:sz w:val="16"/>
        </w:rPr>
        <w:sectPr>
          <w:type w:val="continuous"/>
          <w:pgSz w:w="11910" w:h="16840"/>
          <w:pgMar w:header="568" w:footer="580" w:top="0" w:bottom="280" w:left="1020" w:right="1020"/>
        </w:sectPr>
      </w:pPr>
    </w:p>
    <w:p>
      <w:pPr>
        <w:pStyle w:val="BodyText"/>
        <w:ind w:left="0"/>
        <w:rPr>
          <w:sz w:val="20"/>
        </w:rPr>
      </w:pPr>
    </w:p>
    <w:p>
      <w:pPr>
        <w:pStyle w:val="BodyText"/>
        <w:ind w:left="0"/>
        <w:rPr>
          <w:sz w:val="20"/>
        </w:rPr>
      </w:pPr>
    </w:p>
    <w:p>
      <w:pPr>
        <w:pStyle w:val="BodyText"/>
        <w:spacing w:before="48"/>
        <w:ind w:left="0"/>
        <w:rPr>
          <w:sz w:val="20"/>
        </w:rPr>
      </w:pPr>
    </w:p>
    <w:p>
      <w:pPr>
        <w:spacing w:after="0"/>
        <w:rPr>
          <w:sz w:val="20"/>
        </w:rPr>
        <w:sectPr>
          <w:pgSz w:w="11910" w:h="16840"/>
          <w:pgMar w:header="568" w:footer="580" w:top="840" w:bottom="780" w:left="1020" w:right="1020"/>
        </w:sectPr>
      </w:pPr>
    </w:p>
    <w:p>
      <w:pPr>
        <w:pStyle w:val="BodyText"/>
        <w:spacing w:line="249" w:lineRule="auto" w:before="72"/>
        <w:rPr>
          <w:rFonts w:ascii="Lucida Sans Unicode"/>
        </w:rPr>
      </w:pPr>
      <w:r>
        <w:rPr>
          <w:w w:val="110"/>
        </w:rPr>
        <w:t>This section therefore does not rehearse this previous exploration </w:t>
      </w:r>
      <w:r>
        <w:rPr>
          <w:w w:val="110"/>
        </w:rPr>
        <w:t>but </w:t>
      </w:r>
      <w:r>
        <w:rPr>
          <w:rFonts w:ascii="Lucida Sans Unicode"/>
        </w:rPr>
        <w:t>relies on some of its key findings.</w:t>
      </w:r>
    </w:p>
    <w:p>
      <w:pPr>
        <w:pStyle w:val="BodyText"/>
        <w:spacing w:line="199" w:lineRule="auto" w:before="211"/>
        <w:rPr>
          <w:rFonts w:ascii="Lucida Sans Unicode"/>
        </w:rPr>
      </w:pPr>
      <w:r>
        <w:rPr>
          <w:rFonts w:ascii="Lucida Sans Unicode"/>
          <w:spacing w:val="-2"/>
          <w:w w:val="105"/>
        </w:rPr>
        <w:t>Non-diminution</w:t>
      </w:r>
      <w:r>
        <w:rPr>
          <w:rFonts w:ascii="Lucida Sans Unicode"/>
          <w:spacing w:val="-17"/>
          <w:w w:val="105"/>
        </w:rPr>
        <w:t> </w:t>
      </w:r>
      <w:r>
        <w:rPr>
          <w:rFonts w:ascii="Lucida Sans Unicode"/>
          <w:spacing w:val="-2"/>
          <w:w w:val="105"/>
        </w:rPr>
        <w:t>(in</w:t>
      </w:r>
      <w:r>
        <w:rPr>
          <w:rFonts w:ascii="Lucida Sans Unicode"/>
          <w:spacing w:val="-17"/>
          <w:w w:val="105"/>
        </w:rPr>
        <w:t> </w:t>
      </w:r>
      <w:r>
        <w:rPr>
          <w:rFonts w:ascii="Lucida Sans Unicode"/>
          <w:spacing w:val="-2"/>
          <w:w w:val="105"/>
        </w:rPr>
        <w:t>the</w:t>
      </w:r>
      <w:r>
        <w:rPr>
          <w:rFonts w:ascii="Lucida Sans Unicode"/>
          <w:spacing w:val="-17"/>
          <w:w w:val="105"/>
        </w:rPr>
        <w:t> </w:t>
      </w:r>
      <w:r>
        <w:rPr>
          <w:rFonts w:ascii="Lucida Sans Unicode"/>
          <w:spacing w:val="-2"/>
          <w:w w:val="105"/>
        </w:rPr>
        <w:t>RSEO</w:t>
      </w:r>
      <w:r>
        <w:rPr>
          <w:rFonts w:ascii="Lucida Sans Unicode"/>
          <w:spacing w:val="-17"/>
          <w:w w:val="105"/>
        </w:rPr>
        <w:t> </w:t>
      </w:r>
      <w:r>
        <w:rPr>
          <w:rFonts w:ascii="Lucida Sans Unicode"/>
          <w:spacing w:val="-2"/>
          <w:w w:val="105"/>
        </w:rPr>
        <w:t>context) </w:t>
      </w:r>
      <w:r>
        <w:rPr>
          <w:rFonts w:ascii="Lucida Sans Unicode"/>
          <w:w w:val="105"/>
        </w:rPr>
        <w:t>provides a definite baseline which</w:t>
      </w:r>
    </w:p>
    <w:p>
      <w:pPr>
        <w:pStyle w:val="BodyText"/>
        <w:spacing w:line="256" w:lineRule="auto"/>
        <w:ind w:right="70"/>
        <w:rPr>
          <w:rFonts w:ascii="Lucida Sans Unicode"/>
        </w:rPr>
      </w:pPr>
      <w:r>
        <w:rPr>
          <w:w w:val="110"/>
        </w:rPr>
        <w:t>the UK is obligated to maintain in Northern Ireland. This means that </w:t>
      </w:r>
      <w:r>
        <w:rPr>
          <w:w w:val="110"/>
        </w:rPr>
        <w:t>any reduction in the standards of rights </w:t>
      </w:r>
      <w:r>
        <w:rPr>
          <w:rFonts w:ascii="Lucida Sans Unicode"/>
          <w:w w:val="110"/>
        </w:rPr>
        <w:t>and</w:t>
      </w:r>
      <w:r>
        <w:rPr>
          <w:rFonts w:ascii="Lucida Sans Unicode"/>
          <w:spacing w:val="-18"/>
          <w:w w:val="110"/>
        </w:rPr>
        <w:t> </w:t>
      </w:r>
      <w:r>
        <w:rPr>
          <w:rFonts w:ascii="Lucida Sans Unicode"/>
          <w:w w:val="110"/>
        </w:rPr>
        <w:t>equalities</w:t>
      </w:r>
      <w:r>
        <w:rPr>
          <w:rFonts w:ascii="Lucida Sans Unicode"/>
          <w:spacing w:val="-18"/>
          <w:w w:val="110"/>
        </w:rPr>
        <w:t> </w:t>
      </w:r>
      <w:r>
        <w:rPr>
          <w:rFonts w:ascii="Lucida Sans Unicode"/>
          <w:w w:val="110"/>
        </w:rPr>
        <w:t>related</w:t>
      </w:r>
      <w:r>
        <w:rPr>
          <w:rFonts w:ascii="Lucida Sans Unicode"/>
          <w:spacing w:val="-18"/>
          <w:w w:val="110"/>
        </w:rPr>
        <w:t> </w:t>
      </w:r>
      <w:r>
        <w:rPr>
          <w:rFonts w:ascii="Lucida Sans Unicode"/>
          <w:w w:val="110"/>
        </w:rPr>
        <w:t>to</w:t>
      </w:r>
      <w:r>
        <w:rPr>
          <w:rFonts w:ascii="Lucida Sans Unicode"/>
          <w:spacing w:val="-18"/>
          <w:w w:val="110"/>
        </w:rPr>
        <w:t> </w:t>
      </w:r>
      <w:r>
        <w:rPr>
          <w:rFonts w:ascii="Lucida Sans Unicode"/>
          <w:w w:val="110"/>
        </w:rPr>
        <w:t>the</w:t>
      </w:r>
      <w:r>
        <w:rPr>
          <w:rFonts w:ascii="Lucida Sans Unicode"/>
          <w:spacing w:val="-18"/>
          <w:w w:val="110"/>
        </w:rPr>
        <w:t> </w:t>
      </w:r>
      <w:r>
        <w:rPr>
          <w:rFonts w:ascii="Lucida Sans Unicode"/>
          <w:w w:val="110"/>
        </w:rPr>
        <w:t>RSEO</w:t>
      </w:r>
    </w:p>
    <w:p>
      <w:pPr>
        <w:pStyle w:val="BodyText"/>
        <w:spacing w:line="248" w:lineRule="exact"/>
        <w:rPr>
          <w:rFonts w:ascii="Lucida Sans Unicode"/>
        </w:rPr>
      </w:pPr>
      <w:r>
        <w:rPr>
          <w:rFonts w:ascii="Lucida Sans Unicode"/>
        </w:rPr>
        <w:t>section,</w:t>
      </w:r>
      <w:r>
        <w:rPr>
          <w:rFonts w:ascii="Lucida Sans Unicode"/>
          <w:spacing w:val="8"/>
        </w:rPr>
        <w:t> </w:t>
      </w:r>
      <w:r>
        <w:rPr>
          <w:rFonts w:ascii="Lucida Sans Unicode"/>
        </w:rPr>
        <w:t>as</w:t>
      </w:r>
      <w:r>
        <w:rPr>
          <w:rFonts w:ascii="Lucida Sans Unicode"/>
          <w:spacing w:val="9"/>
        </w:rPr>
        <w:t> </w:t>
      </w:r>
      <w:r>
        <w:rPr>
          <w:rFonts w:ascii="Lucida Sans Unicode"/>
        </w:rPr>
        <w:t>set</w:t>
      </w:r>
      <w:r>
        <w:rPr>
          <w:rFonts w:ascii="Lucida Sans Unicode"/>
          <w:spacing w:val="9"/>
        </w:rPr>
        <w:t> </w:t>
      </w:r>
      <w:r>
        <w:rPr>
          <w:rFonts w:ascii="Lucida Sans Unicode"/>
        </w:rPr>
        <w:t>out</w:t>
      </w:r>
      <w:r>
        <w:rPr>
          <w:rFonts w:ascii="Lucida Sans Unicode"/>
          <w:spacing w:val="9"/>
        </w:rPr>
        <w:t> </w:t>
      </w:r>
      <w:r>
        <w:rPr>
          <w:rFonts w:ascii="Lucida Sans Unicode"/>
        </w:rPr>
        <w:t>in</w:t>
      </w:r>
      <w:r>
        <w:rPr>
          <w:rFonts w:ascii="Lucida Sans Unicode"/>
          <w:spacing w:val="9"/>
        </w:rPr>
        <w:t> </w:t>
      </w:r>
      <w:r>
        <w:rPr>
          <w:rFonts w:ascii="Lucida Sans Unicode"/>
        </w:rPr>
        <w:t>EU</w:t>
      </w:r>
      <w:r>
        <w:rPr>
          <w:rFonts w:ascii="Lucida Sans Unicode"/>
          <w:spacing w:val="9"/>
        </w:rPr>
        <w:t> </w:t>
      </w:r>
      <w:r>
        <w:rPr>
          <w:rFonts w:ascii="Lucida Sans Unicode"/>
        </w:rPr>
        <w:t>law</w:t>
      </w:r>
      <w:r>
        <w:rPr>
          <w:rFonts w:ascii="Lucida Sans Unicode"/>
          <w:spacing w:val="9"/>
        </w:rPr>
        <w:t> </w:t>
      </w:r>
      <w:r>
        <w:rPr>
          <w:rFonts w:ascii="Lucida Sans Unicode"/>
        </w:rPr>
        <w:t>before</w:t>
      </w:r>
      <w:r>
        <w:rPr>
          <w:rFonts w:ascii="Lucida Sans Unicode"/>
          <w:spacing w:val="9"/>
        </w:rPr>
        <w:t> </w:t>
      </w:r>
      <w:r>
        <w:rPr>
          <w:rFonts w:ascii="Lucida Sans Unicode"/>
          <w:spacing w:val="-5"/>
        </w:rPr>
        <w:t>31</w:t>
      </w:r>
    </w:p>
    <w:p>
      <w:pPr>
        <w:pStyle w:val="BodyText"/>
        <w:spacing w:line="199" w:lineRule="auto" w:before="10"/>
        <w:rPr>
          <w:rFonts w:ascii="Lucida Sans Unicode"/>
        </w:rPr>
      </w:pPr>
      <w:r>
        <w:rPr>
          <w:rFonts w:ascii="Lucida Sans Unicode"/>
          <w:spacing w:val="-2"/>
          <w:w w:val="105"/>
        </w:rPr>
        <w:t>December</w:t>
      </w:r>
      <w:r>
        <w:rPr>
          <w:rFonts w:ascii="Lucida Sans Unicode"/>
          <w:spacing w:val="-16"/>
          <w:w w:val="105"/>
        </w:rPr>
        <w:t> </w:t>
      </w:r>
      <w:r>
        <w:rPr>
          <w:rFonts w:ascii="Lucida Sans Unicode"/>
          <w:spacing w:val="-2"/>
          <w:w w:val="105"/>
        </w:rPr>
        <w:t>2020,</w:t>
      </w:r>
      <w:r>
        <w:rPr>
          <w:rFonts w:ascii="Lucida Sans Unicode"/>
          <w:spacing w:val="-16"/>
          <w:w w:val="105"/>
        </w:rPr>
        <w:t> </w:t>
      </w:r>
      <w:r>
        <w:rPr>
          <w:rFonts w:ascii="Lucida Sans Unicode"/>
          <w:spacing w:val="-2"/>
          <w:w w:val="105"/>
        </w:rPr>
        <w:t>would</w:t>
      </w:r>
      <w:r>
        <w:rPr>
          <w:rFonts w:ascii="Lucida Sans Unicode"/>
          <w:spacing w:val="-16"/>
          <w:w w:val="105"/>
        </w:rPr>
        <w:t> </w:t>
      </w:r>
      <w:r>
        <w:rPr>
          <w:rFonts w:ascii="Lucida Sans Unicode"/>
          <w:spacing w:val="-2"/>
          <w:w w:val="105"/>
        </w:rPr>
        <w:t>breach</w:t>
      </w:r>
      <w:r>
        <w:rPr>
          <w:rFonts w:ascii="Lucida Sans Unicode"/>
          <w:spacing w:val="-16"/>
          <w:w w:val="105"/>
        </w:rPr>
        <w:t> </w:t>
      </w:r>
      <w:r>
        <w:rPr>
          <w:rFonts w:ascii="Lucida Sans Unicode"/>
          <w:spacing w:val="-2"/>
          <w:w w:val="105"/>
        </w:rPr>
        <w:t>Article </w:t>
      </w:r>
      <w:r>
        <w:rPr>
          <w:rFonts w:ascii="Lucida Sans Unicode"/>
          <w:w w:val="105"/>
        </w:rPr>
        <w:t>2 of the Windsor Framework.</w:t>
      </w:r>
    </w:p>
    <w:p>
      <w:pPr>
        <w:pStyle w:val="BodyText"/>
        <w:spacing w:line="235" w:lineRule="auto" w:before="241"/>
        <w:rPr>
          <w:rFonts w:ascii="Lucida Sans Unicode"/>
        </w:rPr>
      </w:pPr>
      <w:r>
        <w:rPr>
          <w:w w:val="115"/>
        </w:rPr>
        <w:t>At</w:t>
      </w:r>
      <w:r>
        <w:rPr>
          <w:spacing w:val="-13"/>
          <w:w w:val="115"/>
        </w:rPr>
        <w:t> </w:t>
      </w:r>
      <w:r>
        <w:rPr>
          <w:w w:val="115"/>
        </w:rPr>
        <w:t>this</w:t>
      </w:r>
      <w:r>
        <w:rPr>
          <w:spacing w:val="-13"/>
          <w:w w:val="115"/>
        </w:rPr>
        <w:t> </w:t>
      </w:r>
      <w:r>
        <w:rPr>
          <w:w w:val="115"/>
        </w:rPr>
        <w:t>point,</w:t>
      </w:r>
      <w:r>
        <w:rPr>
          <w:spacing w:val="-13"/>
          <w:w w:val="115"/>
        </w:rPr>
        <w:t> </w:t>
      </w:r>
      <w:r>
        <w:rPr>
          <w:w w:val="115"/>
        </w:rPr>
        <w:t>it</w:t>
      </w:r>
      <w:r>
        <w:rPr>
          <w:spacing w:val="-13"/>
          <w:w w:val="115"/>
        </w:rPr>
        <w:t> </w:t>
      </w:r>
      <w:r>
        <w:rPr>
          <w:w w:val="115"/>
        </w:rPr>
        <w:t>is</w:t>
      </w:r>
      <w:r>
        <w:rPr>
          <w:spacing w:val="-13"/>
          <w:w w:val="115"/>
        </w:rPr>
        <w:t> </w:t>
      </w:r>
      <w:r>
        <w:rPr>
          <w:w w:val="115"/>
        </w:rPr>
        <w:t>worth</w:t>
      </w:r>
      <w:r>
        <w:rPr>
          <w:spacing w:val="-13"/>
          <w:w w:val="115"/>
        </w:rPr>
        <w:t> </w:t>
      </w:r>
      <w:r>
        <w:rPr>
          <w:w w:val="115"/>
        </w:rPr>
        <w:t>emphasising </w:t>
      </w:r>
      <w:r>
        <w:rPr>
          <w:rFonts w:ascii="Lucida Sans Unicode"/>
          <w:w w:val="110"/>
        </w:rPr>
        <w:t>that</w:t>
      </w:r>
      <w:r>
        <w:rPr>
          <w:rFonts w:ascii="Lucida Sans Unicode"/>
          <w:spacing w:val="-10"/>
          <w:w w:val="110"/>
        </w:rPr>
        <w:t> </w:t>
      </w:r>
      <w:r>
        <w:rPr>
          <w:rFonts w:ascii="Lucida Sans Unicode"/>
          <w:w w:val="110"/>
        </w:rPr>
        <w:t>the</w:t>
      </w:r>
      <w:r>
        <w:rPr>
          <w:rFonts w:ascii="Lucida Sans Unicode"/>
          <w:spacing w:val="-10"/>
          <w:w w:val="110"/>
        </w:rPr>
        <w:t> </w:t>
      </w:r>
      <w:r>
        <w:rPr>
          <w:rFonts w:ascii="Lucida Sans Unicode"/>
          <w:w w:val="110"/>
        </w:rPr>
        <w:t>RSEO</w:t>
      </w:r>
      <w:r>
        <w:rPr>
          <w:rFonts w:ascii="Lucida Sans Unicode"/>
          <w:spacing w:val="-10"/>
          <w:w w:val="110"/>
        </w:rPr>
        <w:t> </w:t>
      </w:r>
      <w:r>
        <w:rPr>
          <w:rFonts w:ascii="Lucida Sans Unicode"/>
          <w:w w:val="110"/>
        </w:rPr>
        <w:t>section</w:t>
      </w:r>
      <w:r>
        <w:rPr>
          <w:rFonts w:ascii="Lucida Sans Unicode"/>
          <w:spacing w:val="-10"/>
          <w:w w:val="110"/>
        </w:rPr>
        <w:t> </w:t>
      </w:r>
      <w:r>
        <w:rPr>
          <w:rFonts w:ascii="Lucida Sans Unicode"/>
          <w:w w:val="110"/>
        </w:rPr>
        <w:t>contains</w:t>
      </w:r>
    </w:p>
    <w:p>
      <w:pPr>
        <w:pStyle w:val="BodyText"/>
        <w:spacing w:line="254" w:lineRule="exact"/>
      </w:pPr>
      <w:r>
        <w:rPr>
          <w:w w:val="115"/>
        </w:rPr>
        <w:t>not</w:t>
      </w:r>
      <w:r>
        <w:rPr>
          <w:spacing w:val="-3"/>
          <w:w w:val="115"/>
        </w:rPr>
        <w:t> </w:t>
      </w:r>
      <w:r>
        <w:rPr>
          <w:w w:val="115"/>
        </w:rPr>
        <w:t>only</w:t>
      </w:r>
      <w:r>
        <w:rPr>
          <w:spacing w:val="-2"/>
          <w:w w:val="115"/>
        </w:rPr>
        <w:t> </w:t>
      </w:r>
      <w:r>
        <w:rPr>
          <w:w w:val="115"/>
        </w:rPr>
        <w:t>a</w:t>
      </w:r>
      <w:r>
        <w:rPr>
          <w:spacing w:val="-2"/>
          <w:w w:val="115"/>
        </w:rPr>
        <w:t> </w:t>
      </w:r>
      <w:r>
        <w:rPr>
          <w:w w:val="115"/>
        </w:rPr>
        <w:t>list</w:t>
      </w:r>
      <w:r>
        <w:rPr>
          <w:spacing w:val="-2"/>
          <w:w w:val="115"/>
        </w:rPr>
        <w:t> </w:t>
      </w:r>
      <w:r>
        <w:rPr>
          <w:w w:val="115"/>
        </w:rPr>
        <w:t>of</w:t>
      </w:r>
      <w:r>
        <w:rPr>
          <w:spacing w:val="-2"/>
          <w:w w:val="115"/>
        </w:rPr>
        <w:t> </w:t>
      </w:r>
      <w:r>
        <w:rPr>
          <w:w w:val="115"/>
        </w:rPr>
        <w:t>rights</w:t>
      </w:r>
      <w:r>
        <w:rPr>
          <w:spacing w:val="-2"/>
          <w:w w:val="115"/>
        </w:rPr>
        <w:t> within</w:t>
      </w:r>
    </w:p>
    <w:p>
      <w:pPr>
        <w:pStyle w:val="BodyText"/>
        <w:spacing w:line="266" w:lineRule="auto" w:before="31"/>
        <w:ind w:right="587"/>
      </w:pPr>
      <w:r>
        <w:rPr>
          <w:w w:val="115"/>
        </w:rPr>
        <w:t>a broader ‘commitment to the mutual respect, the civil rights and the religious liberties of everyone</w:t>
      </w:r>
      <w:r>
        <w:rPr>
          <w:spacing w:val="-20"/>
          <w:w w:val="115"/>
        </w:rPr>
        <w:t> </w:t>
      </w:r>
      <w:r>
        <w:rPr>
          <w:w w:val="115"/>
        </w:rPr>
        <w:t>in</w:t>
      </w:r>
      <w:r>
        <w:rPr>
          <w:spacing w:val="-19"/>
          <w:w w:val="115"/>
        </w:rPr>
        <w:t> </w:t>
      </w:r>
      <w:r>
        <w:rPr>
          <w:w w:val="115"/>
        </w:rPr>
        <w:t>the</w:t>
      </w:r>
      <w:r>
        <w:rPr>
          <w:spacing w:val="-19"/>
          <w:w w:val="115"/>
        </w:rPr>
        <w:t> </w:t>
      </w:r>
      <w:r>
        <w:rPr>
          <w:w w:val="115"/>
        </w:rPr>
        <w:t>community’,</w:t>
      </w:r>
      <w:r>
        <w:rPr>
          <w:spacing w:val="-19"/>
          <w:w w:val="115"/>
        </w:rPr>
        <w:t> </w:t>
      </w:r>
      <w:r>
        <w:rPr>
          <w:w w:val="115"/>
        </w:rPr>
        <w:t>but</w:t>
      </w:r>
    </w:p>
    <w:p>
      <w:pPr>
        <w:pStyle w:val="BodyText"/>
        <w:spacing w:line="322" w:lineRule="exact"/>
        <w:rPr>
          <w:rFonts w:ascii="Lucida Sans Unicode"/>
        </w:rPr>
      </w:pPr>
      <w:r>
        <w:rPr>
          <w:rFonts w:ascii="Lucida Sans Unicode"/>
        </w:rPr>
        <w:t>also</w:t>
      </w:r>
      <w:r>
        <w:rPr>
          <w:rFonts w:ascii="Lucida Sans Unicode"/>
          <w:spacing w:val="10"/>
        </w:rPr>
        <w:t> </w:t>
      </w:r>
      <w:r>
        <w:rPr>
          <w:rFonts w:ascii="Lucida Sans Unicode"/>
        </w:rPr>
        <w:t>specific</w:t>
      </w:r>
      <w:r>
        <w:rPr>
          <w:rFonts w:ascii="Lucida Sans Unicode"/>
          <w:spacing w:val="10"/>
        </w:rPr>
        <w:t> </w:t>
      </w:r>
      <w:r>
        <w:rPr>
          <w:rFonts w:ascii="Lucida Sans Unicode"/>
        </w:rPr>
        <w:t>safeguards</w:t>
      </w:r>
      <w:r>
        <w:rPr>
          <w:rFonts w:ascii="Lucida Sans Unicode"/>
          <w:spacing w:val="10"/>
        </w:rPr>
        <w:t> </w:t>
      </w:r>
      <w:r>
        <w:rPr>
          <w:rFonts w:ascii="Lucida Sans Unicode"/>
        </w:rPr>
        <w:t>relating</w:t>
      </w:r>
      <w:r>
        <w:rPr>
          <w:rFonts w:ascii="Lucida Sans Unicode"/>
          <w:spacing w:val="10"/>
        </w:rPr>
        <w:t> </w:t>
      </w:r>
      <w:r>
        <w:rPr>
          <w:rFonts w:ascii="Lucida Sans Unicode"/>
          <w:spacing w:val="-5"/>
        </w:rPr>
        <w:t>to</w:t>
      </w:r>
    </w:p>
    <w:p>
      <w:pPr>
        <w:pStyle w:val="BodyText"/>
        <w:spacing w:line="266" w:lineRule="auto"/>
        <w:ind w:right="120"/>
      </w:pPr>
      <w:r>
        <w:rPr>
          <w:w w:val="115"/>
        </w:rPr>
        <w:t>the incorporation of the European Convention on Human Rights </w:t>
      </w:r>
      <w:r>
        <w:rPr>
          <w:spacing w:val="-2"/>
          <w:w w:val="115"/>
        </w:rPr>
        <w:t>(ECHR)</w:t>
      </w:r>
      <w:r>
        <w:rPr>
          <w:spacing w:val="-18"/>
          <w:w w:val="115"/>
        </w:rPr>
        <w:t> </w:t>
      </w:r>
      <w:r>
        <w:rPr>
          <w:spacing w:val="-2"/>
          <w:w w:val="115"/>
        </w:rPr>
        <w:t>within</w:t>
      </w:r>
      <w:r>
        <w:rPr>
          <w:spacing w:val="-17"/>
          <w:w w:val="115"/>
        </w:rPr>
        <w:t> </w:t>
      </w:r>
      <w:r>
        <w:rPr>
          <w:spacing w:val="-2"/>
          <w:w w:val="115"/>
        </w:rPr>
        <w:t>UK</w:t>
      </w:r>
      <w:r>
        <w:rPr>
          <w:spacing w:val="-17"/>
          <w:w w:val="115"/>
        </w:rPr>
        <w:t> </w:t>
      </w:r>
      <w:r>
        <w:rPr>
          <w:spacing w:val="-2"/>
          <w:w w:val="115"/>
        </w:rPr>
        <w:t>law,</w:t>
      </w:r>
      <w:r>
        <w:rPr>
          <w:spacing w:val="-17"/>
          <w:w w:val="115"/>
        </w:rPr>
        <w:t> </w:t>
      </w:r>
      <w:r>
        <w:rPr>
          <w:spacing w:val="-2"/>
          <w:w w:val="115"/>
        </w:rPr>
        <w:t>the</w:t>
      </w:r>
      <w:r>
        <w:rPr>
          <w:spacing w:val="-17"/>
          <w:w w:val="115"/>
        </w:rPr>
        <w:t> </w:t>
      </w:r>
      <w:r>
        <w:rPr>
          <w:spacing w:val="-2"/>
          <w:w w:val="115"/>
        </w:rPr>
        <w:t>provision </w:t>
      </w:r>
      <w:r>
        <w:rPr>
          <w:w w:val="115"/>
        </w:rPr>
        <w:t>in domestic law of remedies for </w:t>
      </w:r>
      <w:r>
        <w:rPr>
          <w:w w:val="110"/>
        </w:rPr>
        <w:t>breaches</w:t>
      </w:r>
      <w:r>
        <w:rPr>
          <w:spacing w:val="-5"/>
          <w:w w:val="110"/>
        </w:rPr>
        <w:t> </w:t>
      </w:r>
      <w:r>
        <w:rPr>
          <w:w w:val="110"/>
        </w:rPr>
        <w:t>of</w:t>
      </w:r>
      <w:r>
        <w:rPr>
          <w:spacing w:val="-5"/>
          <w:w w:val="110"/>
        </w:rPr>
        <w:t> </w:t>
      </w:r>
      <w:r>
        <w:rPr>
          <w:w w:val="110"/>
        </w:rPr>
        <w:t>the</w:t>
      </w:r>
      <w:r>
        <w:rPr>
          <w:spacing w:val="-5"/>
          <w:w w:val="110"/>
        </w:rPr>
        <w:t> </w:t>
      </w:r>
      <w:r>
        <w:rPr>
          <w:w w:val="110"/>
        </w:rPr>
        <w:t>ECHR,</w:t>
      </w:r>
      <w:r>
        <w:rPr>
          <w:spacing w:val="-5"/>
          <w:w w:val="110"/>
        </w:rPr>
        <w:t> </w:t>
      </w:r>
      <w:r>
        <w:rPr>
          <w:w w:val="110"/>
        </w:rPr>
        <w:t>the</w:t>
      </w:r>
      <w:r>
        <w:rPr>
          <w:spacing w:val="-5"/>
          <w:w w:val="110"/>
        </w:rPr>
        <w:t> </w:t>
      </w:r>
      <w:r>
        <w:rPr>
          <w:w w:val="110"/>
        </w:rPr>
        <w:t>provision </w:t>
      </w:r>
      <w:r>
        <w:rPr>
          <w:w w:val="115"/>
        </w:rPr>
        <w:t>of</w:t>
      </w:r>
      <w:r>
        <w:rPr>
          <w:spacing w:val="-20"/>
          <w:w w:val="115"/>
        </w:rPr>
        <w:t> </w:t>
      </w:r>
      <w:r>
        <w:rPr>
          <w:w w:val="115"/>
        </w:rPr>
        <w:t>human</w:t>
      </w:r>
      <w:r>
        <w:rPr>
          <w:spacing w:val="-19"/>
          <w:w w:val="115"/>
        </w:rPr>
        <w:t> </w:t>
      </w:r>
      <w:r>
        <w:rPr>
          <w:w w:val="115"/>
        </w:rPr>
        <w:t>rights</w:t>
      </w:r>
      <w:r>
        <w:rPr>
          <w:spacing w:val="-19"/>
          <w:w w:val="115"/>
        </w:rPr>
        <w:t> </w:t>
      </w:r>
      <w:r>
        <w:rPr>
          <w:w w:val="115"/>
        </w:rPr>
        <w:t>and</w:t>
      </w:r>
      <w:r>
        <w:rPr>
          <w:spacing w:val="-19"/>
          <w:w w:val="115"/>
        </w:rPr>
        <w:t> </w:t>
      </w:r>
      <w:r>
        <w:rPr>
          <w:w w:val="115"/>
        </w:rPr>
        <w:t>equality</w:t>
      </w:r>
      <w:r>
        <w:rPr>
          <w:spacing w:val="-19"/>
          <w:w w:val="115"/>
        </w:rPr>
        <w:t> </w:t>
      </w:r>
      <w:r>
        <w:rPr>
          <w:w w:val="115"/>
        </w:rPr>
        <w:t>bodies in Northern Ireland and Ireland</w:t>
      </w:r>
    </w:p>
    <w:p>
      <w:pPr>
        <w:pStyle w:val="BodyText"/>
        <w:spacing w:line="266" w:lineRule="auto"/>
        <w:ind w:right="18"/>
      </w:pPr>
      <w:r>
        <w:rPr>
          <w:w w:val="115"/>
        </w:rPr>
        <w:t>(the NIHRC and ECNI for Northern </w:t>
      </w:r>
      <w:r>
        <w:rPr>
          <w:w w:val="110"/>
        </w:rPr>
        <w:t>Ireland</w:t>
      </w:r>
      <w:r>
        <w:rPr>
          <w:spacing w:val="-7"/>
          <w:w w:val="110"/>
        </w:rPr>
        <w:t> </w:t>
      </w:r>
      <w:r>
        <w:rPr>
          <w:w w:val="110"/>
        </w:rPr>
        <w:t>and</w:t>
      </w:r>
      <w:r>
        <w:rPr>
          <w:spacing w:val="-7"/>
          <w:w w:val="110"/>
        </w:rPr>
        <w:t> </w:t>
      </w:r>
      <w:r>
        <w:rPr>
          <w:w w:val="110"/>
        </w:rPr>
        <w:t>the</w:t>
      </w:r>
      <w:r>
        <w:rPr>
          <w:spacing w:val="-7"/>
          <w:w w:val="110"/>
        </w:rPr>
        <w:t> </w:t>
      </w:r>
      <w:r>
        <w:rPr>
          <w:w w:val="110"/>
        </w:rPr>
        <w:t>IHREC</w:t>
      </w:r>
      <w:r>
        <w:rPr>
          <w:spacing w:val="-7"/>
          <w:w w:val="110"/>
        </w:rPr>
        <w:t> </w:t>
      </w:r>
      <w:r>
        <w:rPr>
          <w:w w:val="110"/>
        </w:rPr>
        <w:t>in</w:t>
      </w:r>
      <w:r>
        <w:rPr>
          <w:spacing w:val="-7"/>
          <w:w w:val="110"/>
        </w:rPr>
        <w:t> </w:t>
      </w:r>
      <w:r>
        <w:rPr>
          <w:w w:val="110"/>
        </w:rPr>
        <w:t>Ireland)</w:t>
      </w:r>
      <w:r>
        <w:rPr>
          <w:spacing w:val="-7"/>
          <w:w w:val="110"/>
        </w:rPr>
        <w:t> </w:t>
      </w:r>
      <w:r>
        <w:rPr>
          <w:w w:val="110"/>
        </w:rPr>
        <w:t>and </w:t>
      </w:r>
      <w:r>
        <w:rPr>
          <w:w w:val="115"/>
        </w:rPr>
        <w:t>the rights and needs of victims of violence. Further provisions relating to economic, social and cultural issues include provisions relating to</w:t>
      </w:r>
    </w:p>
    <w:p>
      <w:pPr>
        <w:pStyle w:val="BodyText"/>
        <w:spacing w:line="223" w:lineRule="auto"/>
      </w:pPr>
      <w:r>
        <w:rPr>
          <w:rFonts w:ascii="Lucida Sans Unicode" w:hAnsi="Lucida Sans Unicode"/>
        </w:rPr>
        <w:t>the Irish language, Ulster-Scots and </w:t>
      </w:r>
      <w:r>
        <w:rPr>
          <w:w w:val="110"/>
        </w:rPr>
        <w:t>other languages ‘of the various </w:t>
      </w:r>
      <w:r>
        <w:rPr>
          <w:w w:val="110"/>
        </w:rPr>
        <w:t>ethnic</w:t>
      </w:r>
    </w:p>
    <w:p>
      <w:pPr>
        <w:pStyle w:val="BodyText"/>
        <w:spacing w:line="266" w:lineRule="auto" w:before="14"/>
        <w:ind w:right="18"/>
      </w:pPr>
      <w:r>
        <w:rPr>
          <w:w w:val="110"/>
        </w:rPr>
        <w:t>communities, all of which are part of the cultural wealth of the island of Ireland’. Additional provisions </w:t>
      </w:r>
      <w:r>
        <w:rPr>
          <w:w w:val="110"/>
        </w:rPr>
        <w:t>relating to cultural issues specify the need for mutual respect in the ‘use of symbols and emblems for public purposes’.</w:t>
      </w:r>
      <w:r>
        <w:rPr>
          <w:w w:val="110"/>
          <w:vertAlign w:val="superscript"/>
        </w:rPr>
        <w:t>159</w:t>
      </w:r>
    </w:p>
    <w:p>
      <w:pPr>
        <w:pStyle w:val="BodyText"/>
        <w:spacing w:line="304" w:lineRule="exact" w:before="54"/>
        <w:ind w:right="259"/>
      </w:pPr>
      <w:r>
        <w:rPr/>
        <w:br w:type="column"/>
      </w:r>
      <w:r>
        <w:rPr>
          <w:w w:val="110"/>
        </w:rPr>
        <w:t>There are three main reasons for emphasising these elements </w:t>
      </w:r>
      <w:r>
        <w:rPr>
          <w:w w:val="110"/>
        </w:rPr>
        <w:t>together with the substantive rights contained </w:t>
      </w:r>
      <w:r>
        <w:rPr>
          <w:rFonts w:ascii="Lucida Sans Unicode"/>
          <w:w w:val="110"/>
        </w:rPr>
        <w:t>in</w:t>
      </w:r>
      <w:r>
        <w:rPr>
          <w:rFonts w:ascii="Lucida Sans Unicode"/>
          <w:spacing w:val="-19"/>
          <w:w w:val="110"/>
        </w:rPr>
        <w:t> </w:t>
      </w:r>
      <w:r>
        <w:rPr>
          <w:rFonts w:ascii="Lucida Sans Unicode"/>
          <w:w w:val="110"/>
        </w:rPr>
        <w:t>the</w:t>
      </w:r>
      <w:r>
        <w:rPr>
          <w:rFonts w:ascii="Lucida Sans Unicode"/>
          <w:spacing w:val="-19"/>
          <w:w w:val="110"/>
        </w:rPr>
        <w:t> </w:t>
      </w:r>
      <w:r>
        <w:rPr>
          <w:rFonts w:ascii="Lucida Sans Unicode"/>
          <w:w w:val="110"/>
        </w:rPr>
        <w:t>RSEO</w:t>
      </w:r>
      <w:r>
        <w:rPr>
          <w:rFonts w:ascii="Lucida Sans Unicode"/>
          <w:spacing w:val="-19"/>
          <w:w w:val="110"/>
        </w:rPr>
        <w:t> </w:t>
      </w:r>
      <w:r>
        <w:rPr>
          <w:rFonts w:ascii="Lucida Sans Unicode"/>
          <w:w w:val="110"/>
        </w:rPr>
        <w:t>section.</w:t>
      </w:r>
      <w:r>
        <w:rPr>
          <w:rFonts w:ascii="Lucida Sans Unicode"/>
          <w:spacing w:val="-19"/>
          <w:w w:val="110"/>
        </w:rPr>
        <w:t> </w:t>
      </w:r>
      <w:r>
        <w:rPr>
          <w:rFonts w:ascii="Lucida Sans Unicode"/>
          <w:w w:val="110"/>
        </w:rPr>
        <w:t>First,</w:t>
      </w:r>
      <w:r>
        <w:rPr>
          <w:rFonts w:ascii="Lucida Sans Unicode"/>
          <w:spacing w:val="-19"/>
          <w:w w:val="110"/>
        </w:rPr>
        <w:t> </w:t>
      </w:r>
      <w:r>
        <w:rPr>
          <w:rFonts w:ascii="Lucida Sans Unicode"/>
          <w:w w:val="110"/>
        </w:rPr>
        <w:t>these </w:t>
      </w:r>
      <w:r>
        <w:rPr>
          <w:w w:val="110"/>
        </w:rPr>
        <w:t>elements</w:t>
      </w:r>
      <w:r>
        <w:rPr>
          <w:spacing w:val="40"/>
          <w:w w:val="110"/>
        </w:rPr>
        <w:t> </w:t>
      </w:r>
      <w:r>
        <w:rPr>
          <w:w w:val="110"/>
        </w:rPr>
        <w:t>are</w:t>
      </w:r>
      <w:r>
        <w:rPr>
          <w:spacing w:val="40"/>
          <w:w w:val="110"/>
        </w:rPr>
        <w:t> </w:t>
      </w:r>
      <w:r>
        <w:rPr>
          <w:w w:val="110"/>
        </w:rPr>
        <w:t>also</w:t>
      </w:r>
      <w:r>
        <w:rPr>
          <w:spacing w:val="40"/>
          <w:w w:val="110"/>
        </w:rPr>
        <w:t> </w:t>
      </w:r>
      <w:r>
        <w:rPr>
          <w:w w:val="110"/>
        </w:rPr>
        <w:t>captured</w:t>
      </w:r>
      <w:r>
        <w:rPr>
          <w:spacing w:val="40"/>
          <w:w w:val="110"/>
        </w:rPr>
        <w:t> </w:t>
      </w:r>
      <w:r>
        <w:rPr>
          <w:w w:val="110"/>
        </w:rPr>
        <w:t>within </w:t>
      </w:r>
      <w:r>
        <w:rPr>
          <w:rFonts w:ascii="Lucida Sans Unicode"/>
        </w:rPr>
        <w:t>the sweep of Article 2, which forbids </w:t>
      </w:r>
      <w:r>
        <w:rPr>
          <w:w w:val="110"/>
        </w:rPr>
        <w:t>diminution in rights, </w:t>
      </w:r>
      <w:r>
        <w:rPr>
          <w:rFonts w:ascii="Verdana"/>
          <w:i/>
          <w:w w:val="110"/>
        </w:rPr>
        <w:t>safeguards</w:t>
      </w:r>
      <w:r>
        <w:rPr>
          <w:rFonts w:ascii="Verdana"/>
          <w:i/>
          <w:spacing w:val="-5"/>
          <w:w w:val="110"/>
        </w:rPr>
        <w:t> </w:t>
      </w:r>
      <w:r>
        <w:rPr>
          <w:rFonts w:ascii="Verdana"/>
          <w:i/>
          <w:w w:val="110"/>
        </w:rPr>
        <w:t>and</w:t>
      </w:r>
      <w:r>
        <w:rPr>
          <w:rFonts w:ascii="Verdana"/>
          <w:i/>
          <w:w w:val="110"/>
        </w:rPr>
        <w:t> equality</w:t>
      </w:r>
      <w:r>
        <w:rPr>
          <w:rFonts w:ascii="Verdana"/>
          <w:i/>
          <w:spacing w:val="-24"/>
          <w:w w:val="110"/>
        </w:rPr>
        <w:t> </w:t>
      </w:r>
      <w:r>
        <w:rPr>
          <w:rFonts w:ascii="Verdana"/>
          <w:i/>
          <w:w w:val="110"/>
        </w:rPr>
        <w:t>of</w:t>
      </w:r>
      <w:r>
        <w:rPr>
          <w:rFonts w:ascii="Verdana"/>
          <w:i/>
          <w:spacing w:val="-23"/>
          <w:w w:val="110"/>
        </w:rPr>
        <w:t> </w:t>
      </w:r>
      <w:r>
        <w:rPr>
          <w:rFonts w:ascii="Verdana"/>
          <w:i/>
          <w:w w:val="110"/>
        </w:rPr>
        <w:t>opportunity</w:t>
      </w:r>
      <w:r>
        <w:rPr>
          <w:rFonts w:ascii="Verdana"/>
          <w:i/>
          <w:spacing w:val="-23"/>
          <w:w w:val="110"/>
        </w:rPr>
        <w:t> </w:t>
      </w:r>
      <w:r>
        <w:rPr>
          <w:w w:val="110"/>
        </w:rPr>
        <w:t>arising</w:t>
      </w:r>
      <w:r>
        <w:rPr>
          <w:spacing w:val="-18"/>
          <w:w w:val="110"/>
        </w:rPr>
        <w:t> </w:t>
      </w:r>
      <w:r>
        <w:rPr>
          <w:w w:val="110"/>
        </w:rPr>
        <w:t>out</w:t>
      </w:r>
    </w:p>
    <w:p>
      <w:pPr>
        <w:pStyle w:val="BodyText"/>
        <w:spacing w:line="220" w:lineRule="auto" w:before="1"/>
        <w:ind w:right="533"/>
      </w:pPr>
      <w:r>
        <w:rPr>
          <w:rFonts w:ascii="Lucida Sans Unicode"/>
        </w:rPr>
        <w:t>of the RSEO section. Second, </w:t>
      </w:r>
      <w:r>
        <w:rPr>
          <w:rFonts w:ascii="Lucida Sans Unicode"/>
        </w:rPr>
        <w:t>many </w:t>
      </w:r>
      <w:r>
        <w:rPr>
          <w:w w:val="110"/>
        </w:rPr>
        <w:t>of these elements are drafted in</w:t>
      </w:r>
    </w:p>
    <w:p>
      <w:pPr>
        <w:pStyle w:val="BodyText"/>
        <w:spacing w:line="304" w:lineRule="exact" w:before="14"/>
        <w:ind w:right="142"/>
      </w:pPr>
      <w:r>
        <w:rPr>
          <w:w w:val="110"/>
        </w:rPr>
        <w:t>aspirational terms rather than with </w:t>
      </w:r>
      <w:r>
        <w:rPr>
          <w:w w:val="110"/>
        </w:rPr>
        <w:t>the precision typically required for legal effect but are nonetheless made part</w:t>
      </w:r>
      <w:r>
        <w:rPr>
          <w:spacing w:val="40"/>
          <w:w w:val="110"/>
        </w:rPr>
        <w:t> </w:t>
      </w:r>
      <w:r>
        <w:rPr>
          <w:w w:val="110"/>
        </w:rPr>
        <w:t>of the basis for the </w:t>
      </w:r>
      <w:r>
        <w:rPr>
          <w:rFonts w:ascii="Verdana"/>
          <w:i/>
          <w:w w:val="110"/>
        </w:rPr>
        <w:t>legal </w:t>
      </w:r>
      <w:r>
        <w:rPr>
          <w:w w:val="110"/>
        </w:rPr>
        <w:t>obligation of </w:t>
      </w:r>
      <w:r>
        <w:rPr>
          <w:rFonts w:ascii="Lucida Sans Unicode"/>
        </w:rPr>
        <w:t>non-diminution within Article 2. While </w:t>
      </w:r>
      <w:r>
        <w:rPr>
          <w:w w:val="110"/>
        </w:rPr>
        <w:t>the legally enforceable content of</w:t>
      </w:r>
      <w:r>
        <w:rPr>
          <w:spacing w:val="40"/>
          <w:w w:val="110"/>
        </w:rPr>
        <w:t> </w:t>
      </w:r>
      <w:r>
        <w:rPr>
          <w:w w:val="110"/>
        </w:rPr>
        <w:t>these elements may be a matter for future jurisprudence in the Northern Ireland courts (and possibly the UK </w:t>
      </w:r>
      <w:r>
        <w:rPr>
          <w:rFonts w:ascii="Lucida Sans Unicode"/>
          <w:spacing w:val="-2"/>
          <w:w w:val="110"/>
        </w:rPr>
        <w:t>Supreme</w:t>
      </w:r>
      <w:r>
        <w:rPr>
          <w:rFonts w:ascii="Lucida Sans Unicode"/>
          <w:spacing w:val="-18"/>
          <w:w w:val="110"/>
        </w:rPr>
        <w:t> </w:t>
      </w:r>
      <w:r>
        <w:rPr>
          <w:rFonts w:ascii="Lucida Sans Unicode"/>
          <w:spacing w:val="-2"/>
          <w:w w:val="110"/>
        </w:rPr>
        <w:t>Court),</w:t>
      </w:r>
      <w:r>
        <w:rPr>
          <w:rFonts w:ascii="Lucida Sans Unicode"/>
          <w:spacing w:val="-18"/>
          <w:w w:val="110"/>
        </w:rPr>
        <w:t> </w:t>
      </w:r>
      <w:r>
        <w:rPr>
          <w:rFonts w:ascii="Lucida Sans Unicode"/>
          <w:spacing w:val="-2"/>
          <w:w w:val="110"/>
        </w:rPr>
        <w:t>it</w:t>
      </w:r>
      <w:r>
        <w:rPr>
          <w:rFonts w:ascii="Lucida Sans Unicode"/>
          <w:spacing w:val="-18"/>
          <w:w w:val="110"/>
        </w:rPr>
        <w:t> </w:t>
      </w:r>
      <w:r>
        <w:rPr>
          <w:rFonts w:ascii="Lucida Sans Unicode"/>
          <w:spacing w:val="-2"/>
          <w:w w:val="110"/>
        </w:rPr>
        <w:t>is</w:t>
      </w:r>
      <w:r>
        <w:rPr>
          <w:rFonts w:ascii="Lucida Sans Unicode"/>
          <w:spacing w:val="-18"/>
          <w:w w:val="110"/>
        </w:rPr>
        <w:t> </w:t>
      </w:r>
      <w:r>
        <w:rPr>
          <w:rFonts w:ascii="Lucida Sans Unicode"/>
          <w:spacing w:val="-2"/>
          <w:w w:val="110"/>
        </w:rPr>
        <w:t>important</w:t>
      </w:r>
      <w:r>
        <w:rPr>
          <w:rFonts w:ascii="Lucida Sans Unicode"/>
          <w:spacing w:val="-18"/>
          <w:w w:val="110"/>
        </w:rPr>
        <w:t> </w:t>
      </w:r>
      <w:r>
        <w:rPr>
          <w:rFonts w:ascii="Lucida Sans Unicode"/>
          <w:spacing w:val="-2"/>
          <w:w w:val="110"/>
        </w:rPr>
        <w:t>to </w:t>
      </w:r>
      <w:r>
        <w:rPr>
          <w:w w:val="110"/>
        </w:rPr>
        <w:t>understand how these elements could </w:t>
      </w:r>
      <w:r>
        <w:rPr>
          <w:rFonts w:ascii="Lucida Sans Unicode"/>
        </w:rPr>
        <w:t>have operated before 31 December 2020 in order to determine how they </w:t>
      </w:r>
      <w:r>
        <w:rPr>
          <w:w w:val="110"/>
        </w:rPr>
        <w:t>might be legally cognisable for the </w:t>
      </w:r>
      <w:r>
        <w:rPr>
          <w:rFonts w:ascii="Lucida Sans Unicode"/>
        </w:rPr>
        <w:t>purposes of Article 2. Finally, and </w:t>
      </w:r>
      <w:r>
        <w:rPr>
          <w:w w:val="110"/>
        </w:rPr>
        <w:t>related to the second reason, until the Windsor Framework made express reference to the substantive rights, safeguards and equality provisions in </w:t>
      </w:r>
      <w:r>
        <w:rPr>
          <w:rFonts w:ascii="Lucida Sans Unicode"/>
        </w:rPr>
        <w:t>the RSEO section, they had no legally </w:t>
      </w:r>
      <w:r>
        <w:rPr>
          <w:w w:val="110"/>
        </w:rPr>
        <w:t>cognisable relevance in domestic</w:t>
      </w:r>
    </w:p>
    <w:p>
      <w:pPr>
        <w:pStyle w:val="BodyText"/>
        <w:spacing w:line="304" w:lineRule="exact"/>
        <w:ind w:right="118"/>
      </w:pPr>
      <w:r>
        <w:rPr>
          <w:w w:val="115"/>
        </w:rPr>
        <w:t>law. The position, prior to the coming into force of the Windsor Framework, was (and remains) governed by the dualist orthodoxy which sustains </w:t>
      </w:r>
      <w:r>
        <w:rPr>
          <w:spacing w:val="-2"/>
          <w:w w:val="115"/>
        </w:rPr>
        <w:t>constitutional</w:t>
      </w:r>
      <w:r>
        <w:rPr>
          <w:spacing w:val="-18"/>
          <w:w w:val="115"/>
        </w:rPr>
        <w:t> </w:t>
      </w:r>
      <w:r>
        <w:rPr>
          <w:spacing w:val="-2"/>
          <w:w w:val="115"/>
        </w:rPr>
        <w:t>arrangements</w:t>
      </w:r>
      <w:r>
        <w:rPr>
          <w:spacing w:val="-17"/>
          <w:w w:val="115"/>
        </w:rPr>
        <w:t> </w:t>
      </w:r>
      <w:r>
        <w:rPr>
          <w:spacing w:val="-2"/>
          <w:w w:val="115"/>
        </w:rPr>
        <w:t>in</w:t>
      </w:r>
      <w:r>
        <w:rPr>
          <w:spacing w:val="-17"/>
          <w:w w:val="115"/>
        </w:rPr>
        <w:t> </w:t>
      </w:r>
      <w:r>
        <w:rPr>
          <w:spacing w:val="-2"/>
          <w:w w:val="115"/>
        </w:rPr>
        <w:t>the</w:t>
      </w:r>
      <w:r>
        <w:rPr>
          <w:spacing w:val="-17"/>
          <w:w w:val="115"/>
        </w:rPr>
        <w:t> </w:t>
      </w:r>
      <w:r>
        <w:rPr>
          <w:spacing w:val="-2"/>
          <w:w w:val="115"/>
        </w:rPr>
        <w:t>UK, </w:t>
      </w:r>
      <w:r>
        <w:rPr>
          <w:w w:val="115"/>
        </w:rPr>
        <w:t>whereby</w:t>
      </w:r>
      <w:r>
        <w:rPr>
          <w:spacing w:val="-1"/>
          <w:w w:val="115"/>
        </w:rPr>
        <w:t> </w:t>
      </w:r>
      <w:r>
        <w:rPr>
          <w:w w:val="115"/>
        </w:rPr>
        <w:t>unincorporated</w:t>
      </w:r>
      <w:r>
        <w:rPr>
          <w:spacing w:val="-1"/>
          <w:w w:val="115"/>
        </w:rPr>
        <w:t> </w:t>
      </w:r>
      <w:r>
        <w:rPr>
          <w:w w:val="115"/>
        </w:rPr>
        <w:t>international law</w:t>
      </w:r>
      <w:r>
        <w:rPr>
          <w:spacing w:val="-18"/>
          <w:w w:val="115"/>
        </w:rPr>
        <w:t> </w:t>
      </w:r>
      <w:r>
        <w:rPr>
          <w:w w:val="115"/>
        </w:rPr>
        <w:t>has</w:t>
      </w:r>
      <w:r>
        <w:rPr>
          <w:spacing w:val="-18"/>
          <w:w w:val="115"/>
        </w:rPr>
        <w:t> </w:t>
      </w:r>
      <w:r>
        <w:rPr>
          <w:w w:val="115"/>
        </w:rPr>
        <w:t>no</w:t>
      </w:r>
      <w:r>
        <w:rPr>
          <w:spacing w:val="-18"/>
          <w:w w:val="115"/>
        </w:rPr>
        <w:t> </w:t>
      </w:r>
      <w:r>
        <w:rPr>
          <w:w w:val="115"/>
        </w:rPr>
        <w:t>legal</w:t>
      </w:r>
      <w:r>
        <w:rPr>
          <w:spacing w:val="-18"/>
          <w:w w:val="115"/>
        </w:rPr>
        <w:t> </w:t>
      </w:r>
      <w:r>
        <w:rPr>
          <w:w w:val="115"/>
        </w:rPr>
        <w:t>effect</w:t>
      </w:r>
      <w:r>
        <w:rPr>
          <w:spacing w:val="-18"/>
          <w:w w:val="115"/>
        </w:rPr>
        <w:t> </w:t>
      </w:r>
      <w:r>
        <w:rPr>
          <w:w w:val="115"/>
        </w:rPr>
        <w:t>in</w:t>
      </w:r>
      <w:r>
        <w:rPr>
          <w:spacing w:val="-18"/>
          <w:w w:val="115"/>
        </w:rPr>
        <w:t> </w:t>
      </w:r>
      <w:r>
        <w:rPr>
          <w:w w:val="115"/>
        </w:rPr>
        <w:t>the</w:t>
      </w:r>
      <w:r>
        <w:rPr>
          <w:spacing w:val="-18"/>
          <w:w w:val="115"/>
        </w:rPr>
        <w:t> </w:t>
      </w:r>
      <w:r>
        <w:rPr>
          <w:w w:val="115"/>
        </w:rPr>
        <w:t>domestic </w:t>
      </w:r>
      <w:r>
        <w:rPr>
          <w:spacing w:val="-2"/>
          <w:w w:val="115"/>
        </w:rPr>
        <w:t>legal</w:t>
      </w:r>
      <w:r>
        <w:rPr>
          <w:spacing w:val="-18"/>
          <w:w w:val="115"/>
        </w:rPr>
        <w:t> </w:t>
      </w:r>
      <w:r>
        <w:rPr>
          <w:spacing w:val="-2"/>
          <w:w w:val="115"/>
        </w:rPr>
        <w:t>order.</w:t>
      </w:r>
      <w:r>
        <w:rPr>
          <w:rFonts w:ascii="Lucida Sans Unicode"/>
          <w:spacing w:val="-2"/>
          <w:w w:val="115"/>
          <w:vertAlign w:val="superscript"/>
        </w:rPr>
        <w:t>160</w:t>
      </w:r>
      <w:r>
        <w:rPr>
          <w:rFonts w:ascii="Lucida Sans Unicode"/>
          <w:spacing w:val="-19"/>
          <w:w w:val="115"/>
          <w:vertAlign w:val="baseline"/>
        </w:rPr>
        <w:t> </w:t>
      </w:r>
      <w:r>
        <w:rPr>
          <w:spacing w:val="-2"/>
          <w:w w:val="115"/>
          <w:vertAlign w:val="baseline"/>
        </w:rPr>
        <w:t>The</w:t>
      </w:r>
      <w:r>
        <w:rPr>
          <w:spacing w:val="-18"/>
          <w:w w:val="115"/>
          <w:vertAlign w:val="baseline"/>
        </w:rPr>
        <w:t> </w:t>
      </w:r>
      <w:r>
        <w:rPr>
          <w:spacing w:val="-2"/>
          <w:w w:val="115"/>
          <w:vertAlign w:val="baseline"/>
        </w:rPr>
        <w:t>substantive</w:t>
      </w:r>
    </w:p>
    <w:p>
      <w:pPr>
        <w:pStyle w:val="BodyText"/>
        <w:spacing w:line="304" w:lineRule="exact"/>
        <w:ind w:right="161"/>
      </w:pPr>
      <w:r>
        <w:rPr>
          <w:rFonts w:ascii="Lucida Sans Unicode"/>
          <w:w w:val="110"/>
        </w:rPr>
        <w:t>rights</w:t>
      </w:r>
      <w:r>
        <w:rPr>
          <w:rFonts w:ascii="Lucida Sans Unicode"/>
          <w:spacing w:val="-21"/>
          <w:w w:val="110"/>
        </w:rPr>
        <w:t> </w:t>
      </w:r>
      <w:r>
        <w:rPr>
          <w:rFonts w:ascii="Lucida Sans Unicode"/>
          <w:w w:val="110"/>
        </w:rPr>
        <w:t>in</w:t>
      </w:r>
      <w:r>
        <w:rPr>
          <w:rFonts w:ascii="Lucida Sans Unicode"/>
          <w:spacing w:val="-21"/>
          <w:w w:val="110"/>
        </w:rPr>
        <w:t> </w:t>
      </w:r>
      <w:r>
        <w:rPr>
          <w:rFonts w:ascii="Lucida Sans Unicode"/>
          <w:w w:val="110"/>
        </w:rPr>
        <w:t>the</w:t>
      </w:r>
      <w:r>
        <w:rPr>
          <w:rFonts w:ascii="Lucida Sans Unicode"/>
          <w:spacing w:val="-21"/>
          <w:w w:val="110"/>
        </w:rPr>
        <w:t> </w:t>
      </w:r>
      <w:r>
        <w:rPr>
          <w:rFonts w:ascii="Lucida Sans Unicode"/>
          <w:w w:val="110"/>
        </w:rPr>
        <w:t>RSEO</w:t>
      </w:r>
      <w:r>
        <w:rPr>
          <w:rFonts w:ascii="Lucida Sans Unicode"/>
          <w:spacing w:val="-21"/>
          <w:w w:val="110"/>
        </w:rPr>
        <w:t> </w:t>
      </w:r>
      <w:r>
        <w:rPr>
          <w:rFonts w:ascii="Lucida Sans Unicode"/>
          <w:w w:val="110"/>
        </w:rPr>
        <w:t>section,</w:t>
      </w:r>
      <w:r>
        <w:rPr>
          <w:rFonts w:ascii="Lucida Sans Unicode"/>
          <w:spacing w:val="-21"/>
          <w:w w:val="110"/>
        </w:rPr>
        <w:t> </w:t>
      </w:r>
      <w:r>
        <w:rPr>
          <w:rFonts w:ascii="Lucida Sans Unicode"/>
          <w:w w:val="110"/>
        </w:rPr>
        <w:t>it</w:t>
      </w:r>
      <w:r>
        <w:rPr>
          <w:rFonts w:ascii="Lucida Sans Unicode"/>
          <w:spacing w:val="-21"/>
          <w:w w:val="110"/>
        </w:rPr>
        <w:t> </w:t>
      </w:r>
      <w:r>
        <w:rPr>
          <w:rFonts w:ascii="Lucida Sans Unicode"/>
          <w:w w:val="110"/>
        </w:rPr>
        <w:t>has</w:t>
      </w:r>
      <w:r>
        <w:rPr>
          <w:rFonts w:ascii="Lucida Sans Unicode"/>
          <w:spacing w:val="-21"/>
          <w:w w:val="110"/>
        </w:rPr>
        <w:t> </w:t>
      </w:r>
      <w:r>
        <w:rPr>
          <w:rFonts w:ascii="Lucida Sans Unicode"/>
          <w:w w:val="110"/>
        </w:rPr>
        <w:t>to </w:t>
      </w:r>
      <w:r>
        <w:rPr>
          <w:w w:val="110"/>
        </w:rPr>
        <w:t>be acknowledged, have not been incorporated</w:t>
      </w:r>
      <w:r>
        <w:rPr>
          <w:spacing w:val="-3"/>
          <w:w w:val="110"/>
        </w:rPr>
        <w:t> </w:t>
      </w:r>
      <w:r>
        <w:rPr>
          <w:rFonts w:ascii="Verdana"/>
          <w:i/>
          <w:w w:val="110"/>
        </w:rPr>
        <w:t>as</w:t>
      </w:r>
      <w:r>
        <w:rPr>
          <w:rFonts w:ascii="Verdana"/>
          <w:i/>
          <w:spacing w:val="-23"/>
          <w:w w:val="110"/>
        </w:rPr>
        <w:t> </w:t>
      </w:r>
      <w:r>
        <w:rPr>
          <w:rFonts w:ascii="Verdana"/>
          <w:i/>
          <w:w w:val="110"/>
        </w:rPr>
        <w:t>such</w:t>
      </w:r>
      <w:r>
        <w:rPr>
          <w:rFonts w:ascii="Verdana"/>
          <w:i/>
          <w:spacing w:val="-23"/>
          <w:w w:val="110"/>
        </w:rPr>
        <w:t> </w:t>
      </w:r>
      <w:r>
        <w:rPr>
          <w:w w:val="110"/>
        </w:rPr>
        <w:t>by</w:t>
      </w:r>
      <w:r>
        <w:rPr>
          <w:spacing w:val="-3"/>
          <w:w w:val="110"/>
        </w:rPr>
        <w:t> </w:t>
      </w:r>
      <w:r>
        <w:rPr>
          <w:w w:val="110"/>
        </w:rPr>
        <w:t>any</w:t>
      </w:r>
      <w:r>
        <w:rPr>
          <w:spacing w:val="-3"/>
          <w:w w:val="110"/>
        </w:rPr>
        <w:t> </w:t>
      </w:r>
      <w:r>
        <w:rPr>
          <w:w w:val="110"/>
        </w:rPr>
        <w:t>domestic </w:t>
      </w:r>
      <w:r>
        <w:rPr>
          <w:spacing w:val="-2"/>
          <w:w w:val="110"/>
        </w:rPr>
        <w:t>statute.</w:t>
      </w:r>
    </w:p>
    <w:p>
      <w:pPr>
        <w:spacing w:after="0" w:line="304" w:lineRule="exact"/>
        <w:sectPr>
          <w:type w:val="continuous"/>
          <w:pgSz w:w="11910" w:h="16840"/>
          <w:pgMar w:header="568" w:footer="580" w:top="0" w:bottom="280" w:left="1020" w:right="1020"/>
          <w:cols w:num="2" w:equalWidth="0">
            <w:col w:w="4690" w:space="356"/>
            <w:col w:w="4824"/>
          </w:cols>
        </w:sectPr>
      </w:pPr>
    </w:p>
    <w:p>
      <w:pPr>
        <w:pStyle w:val="BodyText"/>
        <w:spacing w:before="5"/>
        <w:ind w:left="0"/>
        <w:rPr>
          <w:sz w:val="14"/>
        </w:rPr>
      </w:pPr>
    </w:p>
    <w:p>
      <w:pPr>
        <w:pStyle w:val="BodyText"/>
        <w:spacing w:line="20" w:lineRule="exact"/>
        <w:rPr>
          <w:sz w:val="2"/>
        </w:rPr>
      </w:pPr>
      <w:r>
        <w:rPr>
          <w:sz w:val="2"/>
        </w:rPr>
        <mc:AlternateContent>
          <mc:Choice Requires="wps">
            <w:drawing>
              <wp:inline distT="0" distB="0" distL="0" distR="0">
                <wp:extent cx="6120130" cy="6350"/>
                <wp:effectExtent l="9525" t="0" r="0" b="3175"/>
                <wp:docPr id="121" name="Group 121"/>
                <wp:cNvGraphicFramePr>
                  <a:graphicFrameLocks/>
                </wp:cNvGraphicFramePr>
                <a:graphic>
                  <a:graphicData uri="http://schemas.microsoft.com/office/word/2010/wordprocessingGroup">
                    <wpg:wgp>
                      <wpg:cNvPr id="121" name="Group 121"/>
                      <wpg:cNvGrpSpPr/>
                      <wpg:grpSpPr>
                        <a:xfrm>
                          <a:off x="0" y="0"/>
                          <a:ext cx="6120130" cy="6350"/>
                          <a:chExt cx="6120130" cy="6350"/>
                        </a:xfrm>
                      </wpg:grpSpPr>
                      <wps:wsp>
                        <wps:cNvPr id="122" name="Graphic 122"/>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79"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5" w:val="left" w:leader="none"/>
        </w:tabs>
        <w:spacing w:line="223" w:lineRule="exact" w:before="61" w:after="0"/>
        <w:ind w:left="565" w:right="0" w:hanging="452"/>
        <w:jc w:val="left"/>
        <w:rPr>
          <w:rFonts w:ascii="Arial"/>
          <w:sz w:val="16"/>
        </w:rPr>
      </w:pPr>
      <w:r>
        <w:rPr>
          <w:sz w:val="16"/>
        </w:rPr>
        <w:t>Belfast</w:t>
      </w:r>
      <w:r>
        <w:rPr>
          <w:spacing w:val="15"/>
          <w:sz w:val="16"/>
        </w:rPr>
        <w:t> </w:t>
      </w:r>
      <w:r>
        <w:rPr>
          <w:sz w:val="16"/>
        </w:rPr>
        <w:t>(Good</w:t>
      </w:r>
      <w:r>
        <w:rPr>
          <w:spacing w:val="15"/>
          <w:sz w:val="16"/>
        </w:rPr>
        <w:t> </w:t>
      </w:r>
      <w:r>
        <w:rPr>
          <w:sz w:val="16"/>
        </w:rPr>
        <w:t>Friday)</w:t>
      </w:r>
      <w:r>
        <w:rPr>
          <w:spacing w:val="16"/>
          <w:sz w:val="16"/>
        </w:rPr>
        <w:t> </w:t>
      </w:r>
      <w:r>
        <w:rPr>
          <w:sz w:val="16"/>
        </w:rPr>
        <w:t>Agreement,</w:t>
      </w:r>
      <w:r>
        <w:rPr>
          <w:spacing w:val="15"/>
          <w:sz w:val="16"/>
        </w:rPr>
        <w:t> </w:t>
      </w:r>
      <w:r>
        <w:rPr>
          <w:sz w:val="16"/>
        </w:rPr>
        <w:t>Rights,</w:t>
      </w:r>
      <w:r>
        <w:rPr>
          <w:spacing w:val="16"/>
          <w:sz w:val="16"/>
        </w:rPr>
        <w:t> </w:t>
      </w:r>
      <w:r>
        <w:rPr>
          <w:sz w:val="16"/>
        </w:rPr>
        <w:t>Safeguards</w:t>
      </w:r>
      <w:r>
        <w:rPr>
          <w:spacing w:val="15"/>
          <w:sz w:val="16"/>
        </w:rPr>
        <w:t> </w:t>
      </w:r>
      <w:r>
        <w:rPr>
          <w:sz w:val="16"/>
        </w:rPr>
        <w:t>and</w:t>
      </w:r>
      <w:r>
        <w:rPr>
          <w:spacing w:val="16"/>
          <w:sz w:val="16"/>
        </w:rPr>
        <w:t> </w:t>
      </w:r>
      <w:r>
        <w:rPr>
          <w:sz w:val="16"/>
        </w:rPr>
        <w:t>Equality</w:t>
      </w:r>
      <w:r>
        <w:rPr>
          <w:spacing w:val="15"/>
          <w:sz w:val="16"/>
        </w:rPr>
        <w:t> </w:t>
      </w:r>
      <w:r>
        <w:rPr>
          <w:sz w:val="16"/>
        </w:rPr>
        <w:t>of</w:t>
      </w:r>
      <w:r>
        <w:rPr>
          <w:spacing w:val="16"/>
          <w:sz w:val="16"/>
        </w:rPr>
        <w:t> </w:t>
      </w:r>
      <w:r>
        <w:rPr>
          <w:sz w:val="16"/>
        </w:rPr>
        <w:t>Opportunity,</w:t>
      </w:r>
      <w:r>
        <w:rPr>
          <w:spacing w:val="15"/>
          <w:sz w:val="16"/>
        </w:rPr>
        <w:t> </w:t>
      </w:r>
      <w:r>
        <w:rPr>
          <w:sz w:val="16"/>
        </w:rPr>
        <w:t>16-</w:t>
      </w:r>
      <w:r>
        <w:rPr>
          <w:spacing w:val="-5"/>
          <w:sz w:val="16"/>
        </w:rPr>
        <w:t>20.</w:t>
      </w:r>
    </w:p>
    <w:p>
      <w:pPr>
        <w:pStyle w:val="ListParagraph"/>
        <w:numPr>
          <w:ilvl w:val="0"/>
          <w:numId w:val="6"/>
        </w:numPr>
        <w:tabs>
          <w:tab w:pos="565" w:val="left" w:leader="none"/>
          <w:tab w:pos="567" w:val="left" w:leader="none"/>
        </w:tabs>
        <w:spacing w:line="194" w:lineRule="auto" w:before="10" w:after="0"/>
        <w:ind w:left="567" w:right="306" w:hanging="454"/>
        <w:jc w:val="left"/>
        <w:rPr>
          <w:sz w:val="16"/>
        </w:rPr>
      </w:pPr>
      <w:r>
        <w:rPr>
          <w:sz w:val="16"/>
        </w:rPr>
        <w:t>See </w:t>
      </w:r>
      <w:r>
        <w:rPr>
          <w:rFonts w:ascii="Verdana"/>
          <w:i/>
          <w:sz w:val="16"/>
        </w:rPr>
        <w:t>JH</w:t>
      </w:r>
      <w:r>
        <w:rPr>
          <w:rFonts w:ascii="Verdana"/>
          <w:i/>
          <w:spacing w:val="-1"/>
          <w:sz w:val="16"/>
        </w:rPr>
        <w:t> </w:t>
      </w:r>
      <w:r>
        <w:rPr>
          <w:rFonts w:ascii="Verdana"/>
          <w:i/>
          <w:sz w:val="16"/>
        </w:rPr>
        <w:t>Rayner</w:t>
      </w:r>
      <w:r>
        <w:rPr>
          <w:rFonts w:ascii="Verdana"/>
          <w:i/>
          <w:spacing w:val="-1"/>
          <w:sz w:val="16"/>
        </w:rPr>
        <w:t> </w:t>
      </w:r>
      <w:r>
        <w:rPr>
          <w:rFonts w:ascii="Verdana"/>
          <w:i/>
          <w:sz w:val="16"/>
        </w:rPr>
        <w:t>Ltd.</w:t>
      </w:r>
      <w:r>
        <w:rPr>
          <w:rFonts w:ascii="Verdana"/>
          <w:i/>
          <w:spacing w:val="-1"/>
          <w:sz w:val="16"/>
        </w:rPr>
        <w:t> </w:t>
      </w:r>
      <w:r>
        <w:rPr>
          <w:rFonts w:ascii="Verdana"/>
          <w:i/>
          <w:sz w:val="16"/>
        </w:rPr>
        <w:t>v</w:t>
      </w:r>
      <w:r>
        <w:rPr>
          <w:rFonts w:ascii="Verdana"/>
          <w:i/>
          <w:spacing w:val="-1"/>
          <w:sz w:val="16"/>
        </w:rPr>
        <w:t> </w:t>
      </w:r>
      <w:r>
        <w:rPr>
          <w:rFonts w:ascii="Verdana"/>
          <w:i/>
          <w:sz w:val="16"/>
        </w:rPr>
        <w:t>Department</w:t>
      </w:r>
      <w:r>
        <w:rPr>
          <w:rFonts w:ascii="Verdana"/>
          <w:i/>
          <w:spacing w:val="-1"/>
          <w:sz w:val="16"/>
        </w:rPr>
        <w:t> </w:t>
      </w:r>
      <w:r>
        <w:rPr>
          <w:rFonts w:ascii="Verdana"/>
          <w:i/>
          <w:sz w:val="16"/>
        </w:rPr>
        <w:t>of</w:t>
      </w:r>
      <w:r>
        <w:rPr>
          <w:rFonts w:ascii="Verdana"/>
          <w:i/>
          <w:spacing w:val="-1"/>
          <w:sz w:val="16"/>
        </w:rPr>
        <w:t> </w:t>
      </w:r>
      <w:r>
        <w:rPr>
          <w:rFonts w:ascii="Verdana"/>
          <w:i/>
          <w:sz w:val="16"/>
        </w:rPr>
        <w:t>Trade</w:t>
      </w:r>
      <w:r>
        <w:rPr>
          <w:rFonts w:ascii="Verdana"/>
          <w:i/>
          <w:spacing w:val="-1"/>
          <w:sz w:val="16"/>
        </w:rPr>
        <w:t> </w:t>
      </w:r>
      <w:r>
        <w:rPr>
          <w:sz w:val="16"/>
        </w:rPr>
        <w:t>[1990] 2 AC 418 (HL), 500B per Lord Oliver of Aylmerton. For a recent </w:t>
      </w:r>
      <w:r>
        <w:rPr>
          <w:rFonts w:ascii="Arial"/>
          <w:sz w:val="16"/>
        </w:rPr>
        <w:t>endorsement</w:t>
      </w:r>
      <w:r>
        <w:rPr>
          <w:rFonts w:ascii="Arial"/>
          <w:spacing w:val="23"/>
          <w:sz w:val="16"/>
        </w:rPr>
        <w:t> </w:t>
      </w:r>
      <w:r>
        <w:rPr>
          <w:rFonts w:ascii="Arial"/>
          <w:sz w:val="16"/>
        </w:rPr>
        <w:t>of</w:t>
      </w:r>
      <w:r>
        <w:rPr>
          <w:rFonts w:ascii="Arial"/>
          <w:spacing w:val="23"/>
          <w:sz w:val="16"/>
        </w:rPr>
        <w:t> </w:t>
      </w:r>
      <w:r>
        <w:rPr>
          <w:rFonts w:ascii="Arial"/>
          <w:sz w:val="16"/>
        </w:rPr>
        <w:t>this</w:t>
      </w:r>
      <w:r>
        <w:rPr>
          <w:rFonts w:ascii="Arial"/>
          <w:spacing w:val="23"/>
          <w:sz w:val="16"/>
        </w:rPr>
        <w:t> </w:t>
      </w:r>
      <w:r>
        <w:rPr>
          <w:rFonts w:ascii="Arial"/>
          <w:sz w:val="16"/>
        </w:rPr>
        <w:t>position,</w:t>
      </w:r>
      <w:r>
        <w:rPr>
          <w:rFonts w:ascii="Arial"/>
          <w:spacing w:val="23"/>
          <w:sz w:val="16"/>
        </w:rPr>
        <w:t> </w:t>
      </w:r>
      <w:r>
        <w:rPr>
          <w:rFonts w:ascii="Arial"/>
          <w:sz w:val="16"/>
        </w:rPr>
        <w:t>see</w:t>
      </w:r>
      <w:r>
        <w:rPr>
          <w:rFonts w:ascii="Arial"/>
          <w:spacing w:val="23"/>
          <w:sz w:val="16"/>
        </w:rPr>
        <w:t> </w:t>
      </w:r>
      <w:r>
        <w:rPr>
          <w:rFonts w:ascii="Verdana"/>
          <w:i/>
          <w:sz w:val="16"/>
        </w:rPr>
        <w:t>R (SC, CB and ors) v Work and Pensions Secretary </w:t>
      </w:r>
      <w:r>
        <w:rPr>
          <w:sz w:val="16"/>
        </w:rPr>
        <w:t>[2021] UKSC 26, [2022] AC 223, para 77 per Lord Reed.</w:t>
      </w:r>
    </w:p>
    <w:p>
      <w:pPr>
        <w:spacing w:after="0" w:line="194" w:lineRule="auto"/>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273" w:lineRule="auto" w:before="72"/>
        <w:ind w:right="278"/>
      </w:pPr>
      <w:r>
        <w:rPr>
          <w:w w:val="110"/>
        </w:rPr>
        <w:t>This overarching position, however, yields in circumstances where the UK</w:t>
      </w:r>
      <w:r>
        <w:rPr>
          <w:spacing w:val="-3"/>
          <w:w w:val="110"/>
        </w:rPr>
        <w:t> </w:t>
      </w:r>
      <w:r>
        <w:rPr>
          <w:w w:val="110"/>
        </w:rPr>
        <w:t>Parliament</w:t>
      </w:r>
      <w:r>
        <w:rPr>
          <w:spacing w:val="-3"/>
          <w:w w:val="110"/>
        </w:rPr>
        <w:t> </w:t>
      </w:r>
      <w:r>
        <w:rPr>
          <w:w w:val="110"/>
        </w:rPr>
        <w:t>has</w:t>
      </w:r>
      <w:r>
        <w:rPr>
          <w:spacing w:val="-3"/>
          <w:w w:val="110"/>
        </w:rPr>
        <w:t> </w:t>
      </w:r>
      <w:r>
        <w:rPr>
          <w:w w:val="110"/>
        </w:rPr>
        <w:t>enacted</w:t>
      </w:r>
      <w:r>
        <w:rPr>
          <w:spacing w:val="-3"/>
          <w:w w:val="110"/>
        </w:rPr>
        <w:t> </w:t>
      </w:r>
      <w:r>
        <w:rPr>
          <w:w w:val="110"/>
        </w:rPr>
        <w:t>statutory provisions</w:t>
      </w:r>
      <w:r>
        <w:rPr>
          <w:spacing w:val="10"/>
          <w:w w:val="110"/>
        </w:rPr>
        <w:t> </w:t>
      </w:r>
      <w:r>
        <w:rPr>
          <w:w w:val="110"/>
        </w:rPr>
        <w:t>intended</w:t>
      </w:r>
      <w:r>
        <w:rPr>
          <w:spacing w:val="10"/>
          <w:w w:val="110"/>
        </w:rPr>
        <w:t> </w:t>
      </w:r>
      <w:r>
        <w:rPr>
          <w:w w:val="110"/>
        </w:rPr>
        <w:t>to</w:t>
      </w:r>
      <w:r>
        <w:rPr>
          <w:spacing w:val="11"/>
          <w:w w:val="110"/>
        </w:rPr>
        <w:t> </w:t>
      </w:r>
      <w:r>
        <w:rPr>
          <w:w w:val="110"/>
        </w:rPr>
        <w:t>discharge</w:t>
      </w:r>
      <w:r>
        <w:rPr>
          <w:spacing w:val="10"/>
          <w:w w:val="110"/>
        </w:rPr>
        <w:t> </w:t>
      </w:r>
      <w:r>
        <w:rPr>
          <w:spacing w:val="-5"/>
          <w:w w:val="110"/>
        </w:rPr>
        <w:t>the</w:t>
      </w:r>
    </w:p>
    <w:p>
      <w:pPr>
        <w:pStyle w:val="BodyText"/>
        <w:spacing w:line="273" w:lineRule="auto" w:before="4"/>
      </w:pPr>
      <w:r>
        <w:rPr>
          <w:w w:val="110"/>
        </w:rPr>
        <w:t>UK’s obligations under an </w:t>
      </w:r>
      <w:r>
        <w:rPr>
          <w:w w:val="110"/>
        </w:rPr>
        <w:t>international </w:t>
      </w:r>
      <w:r>
        <w:rPr>
          <w:w w:val="115"/>
        </w:rPr>
        <w:t>agreement without incorporating the agreement</w:t>
      </w:r>
      <w:r>
        <w:rPr>
          <w:spacing w:val="-2"/>
          <w:w w:val="115"/>
        </w:rPr>
        <w:t> </w:t>
      </w:r>
      <w:r>
        <w:rPr>
          <w:w w:val="115"/>
        </w:rPr>
        <w:t>itself.</w:t>
      </w:r>
      <w:r>
        <w:rPr>
          <w:spacing w:val="-2"/>
          <w:w w:val="115"/>
        </w:rPr>
        <w:t> </w:t>
      </w:r>
      <w:r>
        <w:rPr>
          <w:w w:val="115"/>
        </w:rPr>
        <w:t>In</w:t>
      </w:r>
      <w:r>
        <w:rPr>
          <w:spacing w:val="-2"/>
          <w:w w:val="115"/>
        </w:rPr>
        <w:t> </w:t>
      </w:r>
      <w:r>
        <w:rPr>
          <w:w w:val="115"/>
        </w:rPr>
        <w:t>other</w:t>
      </w:r>
      <w:r>
        <w:rPr>
          <w:spacing w:val="-2"/>
          <w:w w:val="115"/>
        </w:rPr>
        <w:t> </w:t>
      </w:r>
      <w:r>
        <w:rPr>
          <w:w w:val="115"/>
        </w:rPr>
        <w:t>words,</w:t>
      </w:r>
      <w:r>
        <w:rPr>
          <w:spacing w:val="-2"/>
          <w:w w:val="115"/>
        </w:rPr>
        <w:t> </w:t>
      </w:r>
      <w:r>
        <w:rPr>
          <w:w w:val="115"/>
        </w:rPr>
        <w:t>a strictly unincorporated international agreement</w:t>
      </w:r>
      <w:r>
        <w:rPr>
          <w:spacing w:val="-10"/>
          <w:w w:val="115"/>
        </w:rPr>
        <w:t> </w:t>
      </w:r>
      <w:r>
        <w:rPr>
          <w:w w:val="115"/>
        </w:rPr>
        <w:t>may</w:t>
      </w:r>
      <w:r>
        <w:rPr>
          <w:spacing w:val="-10"/>
          <w:w w:val="115"/>
        </w:rPr>
        <w:t> </w:t>
      </w:r>
      <w:r>
        <w:rPr>
          <w:w w:val="115"/>
        </w:rPr>
        <w:t>nevertheless</w:t>
      </w:r>
      <w:r>
        <w:rPr>
          <w:spacing w:val="-10"/>
          <w:w w:val="115"/>
        </w:rPr>
        <w:t> </w:t>
      </w:r>
      <w:r>
        <w:rPr>
          <w:w w:val="115"/>
        </w:rPr>
        <w:t>be legally cognisable in domestic</w:t>
      </w:r>
    </w:p>
    <w:p>
      <w:pPr>
        <w:pStyle w:val="BodyText"/>
        <w:spacing w:line="273" w:lineRule="auto" w:before="5"/>
        <w:ind w:right="391"/>
      </w:pPr>
      <w:r>
        <w:rPr>
          <w:w w:val="115"/>
        </w:rPr>
        <w:t>courts where the statute enacted to discharge obligations arising under that agreement must be interpreted having regard to the </w:t>
      </w:r>
      <w:r>
        <w:rPr>
          <w:w w:val="110"/>
        </w:rPr>
        <w:t>contents</w:t>
      </w:r>
      <w:r>
        <w:rPr>
          <w:spacing w:val="5"/>
          <w:w w:val="110"/>
        </w:rPr>
        <w:t> </w:t>
      </w:r>
      <w:r>
        <w:rPr>
          <w:w w:val="110"/>
        </w:rPr>
        <w:t>of</w:t>
      </w:r>
      <w:r>
        <w:rPr>
          <w:spacing w:val="6"/>
          <w:w w:val="110"/>
        </w:rPr>
        <w:t> </w:t>
      </w:r>
      <w:r>
        <w:rPr>
          <w:w w:val="110"/>
        </w:rPr>
        <w:t>that</w:t>
      </w:r>
      <w:r>
        <w:rPr>
          <w:spacing w:val="6"/>
          <w:w w:val="110"/>
        </w:rPr>
        <w:t> </w:t>
      </w:r>
      <w:r>
        <w:rPr>
          <w:w w:val="110"/>
        </w:rPr>
        <w:t>agreement,</w:t>
      </w:r>
      <w:r>
        <w:rPr>
          <w:spacing w:val="6"/>
          <w:w w:val="110"/>
        </w:rPr>
        <w:t> </w:t>
      </w:r>
      <w:r>
        <w:rPr>
          <w:w w:val="110"/>
        </w:rPr>
        <w:t>even</w:t>
      </w:r>
      <w:r>
        <w:rPr>
          <w:spacing w:val="6"/>
          <w:w w:val="110"/>
        </w:rPr>
        <w:t> </w:t>
      </w:r>
      <w:r>
        <w:rPr>
          <w:spacing w:val="-5"/>
          <w:w w:val="110"/>
        </w:rPr>
        <w:t>if</w:t>
      </w:r>
    </w:p>
    <w:p>
      <w:pPr>
        <w:pStyle w:val="BodyText"/>
        <w:spacing w:line="328" w:lineRule="exact"/>
        <w:rPr>
          <w:rFonts w:ascii="Lucida Sans Unicode"/>
        </w:rPr>
      </w:pPr>
      <w:r>
        <w:rPr>
          <w:rFonts w:ascii="Lucida Sans Unicode"/>
        </w:rPr>
        <w:t>those</w:t>
      </w:r>
      <w:r>
        <w:rPr>
          <w:rFonts w:ascii="Lucida Sans Unicode"/>
          <w:spacing w:val="4"/>
        </w:rPr>
        <w:t> </w:t>
      </w:r>
      <w:r>
        <w:rPr>
          <w:rFonts w:ascii="Lucida Sans Unicode"/>
        </w:rPr>
        <w:t>contents</w:t>
      </w:r>
      <w:r>
        <w:rPr>
          <w:rFonts w:ascii="Lucida Sans Unicode"/>
          <w:spacing w:val="5"/>
        </w:rPr>
        <w:t> </w:t>
      </w:r>
      <w:r>
        <w:rPr>
          <w:rFonts w:ascii="Lucida Sans Unicode"/>
        </w:rPr>
        <w:t>have</w:t>
      </w:r>
      <w:r>
        <w:rPr>
          <w:rFonts w:ascii="Lucida Sans Unicode"/>
          <w:spacing w:val="5"/>
        </w:rPr>
        <w:t> </w:t>
      </w:r>
      <w:r>
        <w:rPr>
          <w:rFonts w:ascii="Lucida Sans Unicode"/>
        </w:rPr>
        <w:t>not</w:t>
      </w:r>
      <w:r>
        <w:rPr>
          <w:rFonts w:ascii="Lucida Sans Unicode"/>
          <w:spacing w:val="5"/>
        </w:rPr>
        <w:t> </w:t>
      </w:r>
      <w:r>
        <w:rPr>
          <w:rFonts w:ascii="Lucida Sans Unicode"/>
          <w:spacing w:val="-2"/>
        </w:rPr>
        <w:t>specifically</w:t>
      </w:r>
    </w:p>
    <w:p>
      <w:pPr>
        <w:pStyle w:val="BodyText"/>
        <w:spacing w:line="273" w:lineRule="auto"/>
        <w:ind w:right="165"/>
      </w:pPr>
      <w:r>
        <w:rPr>
          <w:w w:val="115"/>
        </w:rPr>
        <w:t>been incorporated by the statute in </w:t>
      </w:r>
      <w:r>
        <w:rPr>
          <w:spacing w:val="-2"/>
          <w:w w:val="110"/>
        </w:rPr>
        <w:t>question.</w:t>
      </w:r>
      <w:r>
        <w:rPr>
          <w:spacing w:val="-2"/>
          <w:w w:val="110"/>
          <w:vertAlign w:val="superscript"/>
        </w:rPr>
        <w:t>161</w:t>
      </w:r>
      <w:r>
        <w:rPr>
          <w:spacing w:val="-17"/>
          <w:w w:val="110"/>
          <w:vertAlign w:val="baseline"/>
        </w:rPr>
        <w:t> </w:t>
      </w:r>
      <w:r>
        <w:rPr>
          <w:spacing w:val="-2"/>
          <w:w w:val="110"/>
          <w:vertAlign w:val="baseline"/>
        </w:rPr>
        <w:t>The</w:t>
      </w:r>
      <w:r>
        <w:rPr>
          <w:spacing w:val="-16"/>
          <w:w w:val="110"/>
          <w:vertAlign w:val="baseline"/>
        </w:rPr>
        <w:t> </w:t>
      </w:r>
      <w:r>
        <w:rPr>
          <w:spacing w:val="-2"/>
          <w:w w:val="110"/>
          <w:vertAlign w:val="baseline"/>
        </w:rPr>
        <w:t>Belfast</w:t>
      </w:r>
      <w:r>
        <w:rPr>
          <w:spacing w:val="-17"/>
          <w:w w:val="110"/>
          <w:vertAlign w:val="baseline"/>
        </w:rPr>
        <w:t> </w:t>
      </w:r>
      <w:r>
        <w:rPr>
          <w:spacing w:val="-2"/>
          <w:w w:val="110"/>
          <w:vertAlign w:val="baseline"/>
        </w:rPr>
        <w:t>(Good</w:t>
      </w:r>
      <w:r>
        <w:rPr>
          <w:spacing w:val="-16"/>
          <w:w w:val="110"/>
          <w:vertAlign w:val="baseline"/>
        </w:rPr>
        <w:t> </w:t>
      </w:r>
      <w:r>
        <w:rPr>
          <w:spacing w:val="-2"/>
          <w:w w:val="110"/>
          <w:vertAlign w:val="baseline"/>
        </w:rPr>
        <w:t>Friday) </w:t>
      </w:r>
      <w:r>
        <w:rPr>
          <w:w w:val="110"/>
          <w:vertAlign w:val="baseline"/>
        </w:rPr>
        <w:t>Agreement is a paradigm example of </w:t>
      </w:r>
      <w:r>
        <w:rPr>
          <w:w w:val="115"/>
          <w:vertAlign w:val="baseline"/>
        </w:rPr>
        <w:t>this</w:t>
      </w:r>
      <w:r>
        <w:rPr>
          <w:spacing w:val="-8"/>
          <w:w w:val="115"/>
          <w:vertAlign w:val="baseline"/>
        </w:rPr>
        <w:t> </w:t>
      </w:r>
      <w:r>
        <w:rPr>
          <w:w w:val="115"/>
          <w:vertAlign w:val="baseline"/>
        </w:rPr>
        <w:t>kind</w:t>
      </w:r>
      <w:r>
        <w:rPr>
          <w:spacing w:val="-8"/>
          <w:w w:val="115"/>
          <w:vertAlign w:val="baseline"/>
        </w:rPr>
        <w:t> </w:t>
      </w:r>
      <w:r>
        <w:rPr>
          <w:w w:val="115"/>
          <w:vertAlign w:val="baseline"/>
        </w:rPr>
        <w:t>of</w:t>
      </w:r>
      <w:r>
        <w:rPr>
          <w:spacing w:val="-8"/>
          <w:w w:val="115"/>
          <w:vertAlign w:val="baseline"/>
        </w:rPr>
        <w:t> </w:t>
      </w:r>
      <w:r>
        <w:rPr>
          <w:w w:val="115"/>
          <w:vertAlign w:val="baseline"/>
        </w:rPr>
        <w:t>international</w:t>
      </w:r>
      <w:r>
        <w:rPr>
          <w:spacing w:val="-8"/>
          <w:w w:val="115"/>
          <w:vertAlign w:val="baseline"/>
        </w:rPr>
        <w:t> </w:t>
      </w:r>
      <w:r>
        <w:rPr>
          <w:w w:val="115"/>
          <w:vertAlign w:val="baseline"/>
        </w:rPr>
        <w:t>agreement. </w:t>
      </w:r>
      <w:r>
        <w:rPr>
          <w:spacing w:val="-2"/>
          <w:w w:val="115"/>
          <w:vertAlign w:val="baseline"/>
        </w:rPr>
        <w:t>Explicit</w:t>
      </w:r>
      <w:r>
        <w:rPr>
          <w:spacing w:val="-11"/>
          <w:w w:val="115"/>
          <w:vertAlign w:val="baseline"/>
        </w:rPr>
        <w:t> </w:t>
      </w:r>
      <w:r>
        <w:rPr>
          <w:spacing w:val="-2"/>
          <w:w w:val="115"/>
          <w:vertAlign w:val="baseline"/>
        </w:rPr>
        <w:t>references</w:t>
      </w:r>
      <w:r>
        <w:rPr>
          <w:spacing w:val="-11"/>
          <w:w w:val="115"/>
          <w:vertAlign w:val="baseline"/>
        </w:rPr>
        <w:t> </w:t>
      </w:r>
      <w:r>
        <w:rPr>
          <w:spacing w:val="-2"/>
          <w:w w:val="115"/>
          <w:vertAlign w:val="baseline"/>
        </w:rPr>
        <w:t>to</w:t>
      </w:r>
      <w:r>
        <w:rPr>
          <w:spacing w:val="-11"/>
          <w:w w:val="115"/>
          <w:vertAlign w:val="baseline"/>
        </w:rPr>
        <w:t> </w:t>
      </w:r>
      <w:r>
        <w:rPr>
          <w:spacing w:val="-2"/>
          <w:w w:val="115"/>
          <w:vertAlign w:val="baseline"/>
        </w:rPr>
        <w:t>the</w:t>
      </w:r>
      <w:r>
        <w:rPr>
          <w:spacing w:val="-11"/>
          <w:w w:val="115"/>
          <w:vertAlign w:val="baseline"/>
        </w:rPr>
        <w:t> </w:t>
      </w:r>
      <w:r>
        <w:rPr>
          <w:spacing w:val="-2"/>
          <w:w w:val="115"/>
          <w:vertAlign w:val="baseline"/>
        </w:rPr>
        <w:t>Agreement </w:t>
      </w:r>
      <w:r>
        <w:rPr>
          <w:w w:val="115"/>
          <w:vertAlign w:val="baseline"/>
        </w:rPr>
        <w:t>abound in the Northern Ireland Act</w:t>
      </w:r>
    </w:p>
    <w:p>
      <w:pPr>
        <w:pStyle w:val="BodyText"/>
        <w:spacing w:line="329" w:lineRule="exact"/>
      </w:pPr>
      <w:r>
        <w:rPr>
          <w:rFonts w:ascii="Lucida Sans Unicode"/>
        </w:rPr>
        <w:t>1998,</w:t>
      </w:r>
      <w:r>
        <w:rPr>
          <w:rFonts w:ascii="Lucida Sans Unicode"/>
          <w:vertAlign w:val="superscript"/>
        </w:rPr>
        <w:t>162</w:t>
      </w:r>
      <w:r>
        <w:rPr>
          <w:rFonts w:ascii="Lucida Sans Unicode"/>
          <w:spacing w:val="7"/>
          <w:vertAlign w:val="baseline"/>
        </w:rPr>
        <w:t> </w:t>
      </w:r>
      <w:r>
        <w:rPr>
          <w:vertAlign w:val="baseline"/>
        </w:rPr>
        <w:t>and</w:t>
      </w:r>
      <w:r>
        <w:rPr>
          <w:spacing w:val="15"/>
          <w:vertAlign w:val="baseline"/>
        </w:rPr>
        <w:t> </w:t>
      </w:r>
      <w:r>
        <w:rPr>
          <w:vertAlign w:val="baseline"/>
        </w:rPr>
        <w:t>the</w:t>
      </w:r>
      <w:r>
        <w:rPr>
          <w:spacing w:val="16"/>
          <w:vertAlign w:val="baseline"/>
        </w:rPr>
        <w:t> </w:t>
      </w:r>
      <w:r>
        <w:rPr>
          <w:vertAlign w:val="baseline"/>
        </w:rPr>
        <w:t>Agreement</w:t>
      </w:r>
      <w:r>
        <w:rPr>
          <w:spacing w:val="16"/>
          <w:vertAlign w:val="baseline"/>
        </w:rPr>
        <w:t> </w:t>
      </w:r>
      <w:r>
        <w:rPr>
          <w:spacing w:val="-2"/>
          <w:vertAlign w:val="baseline"/>
        </w:rPr>
        <w:t>itself</w:t>
      </w:r>
    </w:p>
    <w:p>
      <w:pPr>
        <w:pStyle w:val="BodyText"/>
        <w:spacing w:line="256" w:lineRule="auto"/>
      </w:pPr>
      <w:r>
        <w:rPr>
          <w:w w:val="115"/>
        </w:rPr>
        <w:t>is a generally accepted part of the interpretational backdrop to the </w:t>
      </w:r>
      <w:r>
        <w:rPr/>
        <w:t>Northern</w:t>
      </w:r>
      <w:r>
        <w:rPr>
          <w:spacing w:val="40"/>
        </w:rPr>
        <w:t> </w:t>
      </w:r>
      <w:r>
        <w:rPr/>
        <w:t>Ireland</w:t>
      </w:r>
      <w:r>
        <w:rPr>
          <w:spacing w:val="40"/>
        </w:rPr>
        <w:t> </w:t>
      </w:r>
      <w:r>
        <w:rPr/>
        <w:t>Act.</w:t>
      </w:r>
      <w:r>
        <w:rPr>
          <w:rFonts w:ascii="Lucida Sans Unicode"/>
          <w:vertAlign w:val="superscript"/>
        </w:rPr>
        <w:t>163</w:t>
      </w:r>
      <w:r>
        <w:rPr>
          <w:rFonts w:ascii="Lucida Sans Unicode"/>
          <w:spacing w:val="40"/>
          <w:vertAlign w:val="baseline"/>
        </w:rPr>
        <w:t> </w:t>
      </w:r>
      <w:r>
        <w:rPr>
          <w:vertAlign w:val="baseline"/>
        </w:rPr>
        <w:t>Nevertheless,</w:t>
      </w:r>
    </w:p>
    <w:p>
      <w:pPr>
        <w:pStyle w:val="BodyText"/>
        <w:spacing w:line="237" w:lineRule="exact"/>
      </w:pPr>
      <w:r>
        <w:rPr>
          <w:w w:val="110"/>
        </w:rPr>
        <w:t>as</w:t>
      </w:r>
      <w:r>
        <w:rPr>
          <w:spacing w:val="-5"/>
          <w:w w:val="110"/>
        </w:rPr>
        <w:t> </w:t>
      </w:r>
      <w:r>
        <w:rPr>
          <w:w w:val="110"/>
        </w:rPr>
        <w:t>stated</w:t>
      </w:r>
      <w:r>
        <w:rPr>
          <w:spacing w:val="-4"/>
          <w:w w:val="110"/>
        </w:rPr>
        <w:t> </w:t>
      </w:r>
      <w:r>
        <w:rPr>
          <w:w w:val="110"/>
        </w:rPr>
        <w:t>above,</w:t>
      </w:r>
      <w:r>
        <w:rPr>
          <w:spacing w:val="-5"/>
          <w:w w:val="110"/>
        </w:rPr>
        <w:t> </w:t>
      </w:r>
      <w:r>
        <w:rPr>
          <w:w w:val="110"/>
        </w:rPr>
        <w:t>almost</w:t>
      </w:r>
      <w:r>
        <w:rPr>
          <w:spacing w:val="-4"/>
          <w:w w:val="110"/>
        </w:rPr>
        <w:t> </w:t>
      </w:r>
      <w:r>
        <w:rPr>
          <w:w w:val="110"/>
        </w:rPr>
        <w:t>none</w:t>
      </w:r>
      <w:r>
        <w:rPr>
          <w:spacing w:val="-5"/>
          <w:w w:val="110"/>
        </w:rPr>
        <w:t> </w:t>
      </w:r>
      <w:r>
        <w:rPr>
          <w:w w:val="110"/>
        </w:rPr>
        <w:t>of</w:t>
      </w:r>
      <w:r>
        <w:rPr>
          <w:spacing w:val="-4"/>
          <w:w w:val="110"/>
        </w:rPr>
        <w:t> </w:t>
      </w:r>
      <w:r>
        <w:rPr>
          <w:spacing w:val="-5"/>
          <w:w w:val="110"/>
        </w:rPr>
        <w:t>the</w:t>
      </w:r>
    </w:p>
    <w:p>
      <w:pPr>
        <w:pStyle w:val="BodyText"/>
        <w:spacing w:line="316" w:lineRule="exact"/>
        <w:ind w:right="165"/>
      </w:pPr>
      <w:r>
        <w:rPr>
          <w:w w:val="115"/>
        </w:rPr>
        <w:t>substantive</w:t>
      </w:r>
      <w:r>
        <w:rPr>
          <w:spacing w:val="-6"/>
          <w:w w:val="115"/>
        </w:rPr>
        <w:t> </w:t>
      </w:r>
      <w:r>
        <w:rPr>
          <w:w w:val="115"/>
        </w:rPr>
        <w:t>rights,</w:t>
      </w:r>
      <w:r>
        <w:rPr>
          <w:spacing w:val="-6"/>
          <w:w w:val="115"/>
        </w:rPr>
        <w:t> </w:t>
      </w:r>
      <w:r>
        <w:rPr>
          <w:w w:val="115"/>
        </w:rPr>
        <w:t>safeguards</w:t>
      </w:r>
      <w:r>
        <w:rPr>
          <w:spacing w:val="-6"/>
          <w:w w:val="115"/>
        </w:rPr>
        <w:t> </w:t>
      </w:r>
      <w:r>
        <w:rPr>
          <w:w w:val="115"/>
        </w:rPr>
        <w:t>and </w:t>
      </w:r>
      <w:r>
        <w:rPr>
          <w:rFonts w:ascii="Lucida Sans Unicode" w:hAnsi="Lucida Sans Unicode"/>
          <w:w w:val="110"/>
        </w:rPr>
        <w:t>equality</w:t>
      </w:r>
      <w:r>
        <w:rPr>
          <w:rFonts w:ascii="Lucida Sans Unicode" w:hAnsi="Lucida Sans Unicode"/>
          <w:spacing w:val="-21"/>
          <w:w w:val="110"/>
        </w:rPr>
        <w:t> </w:t>
      </w:r>
      <w:r>
        <w:rPr>
          <w:rFonts w:ascii="Lucida Sans Unicode" w:hAnsi="Lucida Sans Unicode"/>
          <w:w w:val="110"/>
        </w:rPr>
        <w:t>provisions</w:t>
      </w:r>
      <w:r>
        <w:rPr>
          <w:rFonts w:ascii="Lucida Sans Unicode" w:hAnsi="Lucida Sans Unicode"/>
          <w:spacing w:val="-21"/>
          <w:w w:val="110"/>
        </w:rPr>
        <w:t> </w:t>
      </w:r>
      <w:r>
        <w:rPr>
          <w:rFonts w:ascii="Lucida Sans Unicode" w:hAnsi="Lucida Sans Unicode"/>
          <w:w w:val="110"/>
        </w:rPr>
        <w:t>of</w:t>
      </w:r>
      <w:r>
        <w:rPr>
          <w:rFonts w:ascii="Lucida Sans Unicode" w:hAnsi="Lucida Sans Unicode"/>
          <w:spacing w:val="-21"/>
          <w:w w:val="110"/>
        </w:rPr>
        <w:t> </w:t>
      </w:r>
      <w:r>
        <w:rPr>
          <w:rFonts w:ascii="Lucida Sans Unicode" w:hAnsi="Lucida Sans Unicode"/>
          <w:w w:val="110"/>
        </w:rPr>
        <w:t>the</w:t>
      </w:r>
      <w:r>
        <w:rPr>
          <w:rFonts w:ascii="Lucida Sans Unicode" w:hAnsi="Lucida Sans Unicode"/>
          <w:spacing w:val="-21"/>
          <w:w w:val="110"/>
        </w:rPr>
        <w:t> </w:t>
      </w:r>
      <w:r>
        <w:rPr>
          <w:rFonts w:ascii="Lucida Sans Unicode" w:hAnsi="Lucida Sans Unicode"/>
          <w:w w:val="110"/>
        </w:rPr>
        <w:t>RSEO </w:t>
      </w:r>
      <w:r>
        <w:rPr>
          <w:spacing w:val="-2"/>
          <w:w w:val="115"/>
        </w:rPr>
        <w:t>section</w:t>
      </w:r>
      <w:r>
        <w:rPr>
          <w:spacing w:val="-16"/>
          <w:w w:val="115"/>
        </w:rPr>
        <w:t> </w:t>
      </w:r>
      <w:r>
        <w:rPr>
          <w:spacing w:val="-2"/>
          <w:w w:val="115"/>
        </w:rPr>
        <w:t>of</w:t>
      </w:r>
      <w:r>
        <w:rPr>
          <w:spacing w:val="-16"/>
          <w:w w:val="115"/>
        </w:rPr>
        <w:t> </w:t>
      </w:r>
      <w:r>
        <w:rPr>
          <w:spacing w:val="-2"/>
          <w:w w:val="115"/>
        </w:rPr>
        <w:t>the</w:t>
      </w:r>
      <w:r>
        <w:rPr>
          <w:spacing w:val="-16"/>
          <w:w w:val="115"/>
        </w:rPr>
        <w:t> </w:t>
      </w:r>
      <w:r>
        <w:rPr>
          <w:spacing w:val="-2"/>
          <w:w w:val="115"/>
        </w:rPr>
        <w:t>Belfast</w:t>
      </w:r>
      <w:r>
        <w:rPr>
          <w:spacing w:val="-16"/>
          <w:w w:val="115"/>
        </w:rPr>
        <w:t> </w:t>
      </w:r>
      <w:r>
        <w:rPr>
          <w:spacing w:val="-2"/>
          <w:w w:val="115"/>
        </w:rPr>
        <w:t>(Good</w:t>
      </w:r>
      <w:r>
        <w:rPr>
          <w:spacing w:val="-16"/>
          <w:w w:val="115"/>
        </w:rPr>
        <w:t> </w:t>
      </w:r>
      <w:r>
        <w:rPr>
          <w:spacing w:val="-2"/>
          <w:w w:val="115"/>
        </w:rPr>
        <w:t>Friday) </w:t>
      </w:r>
      <w:r>
        <w:rPr>
          <w:w w:val="115"/>
        </w:rPr>
        <w:t>Agreement was made part of domestic</w:t>
      </w:r>
      <w:r>
        <w:rPr>
          <w:spacing w:val="-19"/>
          <w:w w:val="115"/>
        </w:rPr>
        <w:t> </w:t>
      </w:r>
      <w:r>
        <w:rPr>
          <w:w w:val="115"/>
        </w:rPr>
        <w:t>law</w:t>
      </w:r>
      <w:r>
        <w:rPr>
          <w:spacing w:val="-19"/>
          <w:w w:val="115"/>
        </w:rPr>
        <w:t> </w:t>
      </w:r>
      <w:r>
        <w:rPr>
          <w:w w:val="115"/>
        </w:rPr>
        <w:t>–</w:t>
      </w:r>
      <w:r>
        <w:rPr>
          <w:spacing w:val="-19"/>
          <w:w w:val="115"/>
        </w:rPr>
        <w:t> </w:t>
      </w:r>
      <w:r>
        <w:rPr>
          <w:w w:val="115"/>
        </w:rPr>
        <w:t>whether</w:t>
      </w:r>
      <w:r>
        <w:rPr>
          <w:spacing w:val="-19"/>
          <w:w w:val="115"/>
        </w:rPr>
        <w:t> </w:t>
      </w:r>
      <w:r>
        <w:rPr>
          <w:w w:val="115"/>
        </w:rPr>
        <w:t>by</w:t>
      </w:r>
      <w:r>
        <w:rPr>
          <w:spacing w:val="-19"/>
          <w:w w:val="115"/>
        </w:rPr>
        <w:t> </w:t>
      </w:r>
      <w:r>
        <w:rPr>
          <w:w w:val="115"/>
        </w:rPr>
        <w:t>express incorporation or by any statutory provision intended to achieve its </w:t>
      </w:r>
      <w:r>
        <w:rPr>
          <w:spacing w:val="-2"/>
          <w:w w:val="115"/>
        </w:rPr>
        <w:t>aims.</w:t>
      </w:r>
      <w:r>
        <w:rPr>
          <w:rFonts w:ascii="Lucida Sans Unicode" w:hAnsi="Lucida Sans Unicode"/>
          <w:spacing w:val="-2"/>
          <w:w w:val="115"/>
          <w:vertAlign w:val="superscript"/>
        </w:rPr>
        <w:t>164</w:t>
      </w:r>
      <w:r>
        <w:rPr>
          <w:rFonts w:ascii="Lucida Sans Unicode" w:hAnsi="Lucida Sans Unicode"/>
          <w:spacing w:val="-20"/>
          <w:w w:val="115"/>
          <w:vertAlign w:val="baseline"/>
        </w:rPr>
        <w:t> </w:t>
      </w:r>
      <w:r>
        <w:rPr>
          <w:spacing w:val="-2"/>
          <w:w w:val="115"/>
          <w:vertAlign w:val="baseline"/>
        </w:rPr>
        <w:t>It</w:t>
      </w:r>
      <w:r>
        <w:rPr>
          <w:spacing w:val="-17"/>
          <w:w w:val="115"/>
          <w:vertAlign w:val="baseline"/>
        </w:rPr>
        <w:t> </w:t>
      </w:r>
      <w:r>
        <w:rPr>
          <w:spacing w:val="-2"/>
          <w:w w:val="115"/>
          <w:vertAlign w:val="baseline"/>
        </w:rPr>
        <w:t>is</w:t>
      </w:r>
      <w:r>
        <w:rPr>
          <w:spacing w:val="-15"/>
          <w:w w:val="115"/>
          <w:vertAlign w:val="baseline"/>
        </w:rPr>
        <w:t> </w:t>
      </w:r>
      <w:r>
        <w:rPr>
          <w:spacing w:val="-2"/>
          <w:w w:val="115"/>
          <w:vertAlign w:val="baseline"/>
        </w:rPr>
        <w:t>arguable</w:t>
      </w:r>
      <w:r>
        <w:rPr>
          <w:spacing w:val="-14"/>
          <w:w w:val="115"/>
          <w:vertAlign w:val="baseline"/>
        </w:rPr>
        <w:t> </w:t>
      </w:r>
      <w:r>
        <w:rPr>
          <w:spacing w:val="-2"/>
          <w:w w:val="115"/>
          <w:vertAlign w:val="baseline"/>
        </w:rPr>
        <w:t>that</w:t>
      </w:r>
      <w:r>
        <w:rPr>
          <w:spacing w:val="-14"/>
          <w:w w:val="115"/>
          <w:vertAlign w:val="baseline"/>
        </w:rPr>
        <w:t> </w:t>
      </w:r>
      <w:r>
        <w:rPr>
          <w:spacing w:val="-2"/>
          <w:w w:val="115"/>
          <w:vertAlign w:val="baseline"/>
        </w:rPr>
        <w:t>the</w:t>
      </w:r>
      <w:r>
        <w:rPr>
          <w:spacing w:val="-14"/>
          <w:w w:val="115"/>
          <w:vertAlign w:val="baseline"/>
        </w:rPr>
        <w:t> </w:t>
      </w:r>
      <w:r>
        <w:rPr>
          <w:spacing w:val="-2"/>
          <w:w w:val="115"/>
          <w:vertAlign w:val="baseline"/>
        </w:rPr>
        <w:t>HRA</w:t>
      </w:r>
    </w:p>
    <w:p>
      <w:pPr>
        <w:pStyle w:val="BodyText"/>
        <w:spacing w:line="316" w:lineRule="exact" w:before="44"/>
        <w:ind w:right="259"/>
      </w:pPr>
      <w:r>
        <w:rPr/>
        <w:br w:type="column"/>
      </w:r>
      <w:r>
        <w:rPr>
          <w:w w:val="110"/>
        </w:rPr>
        <w:t>relates directly to the obligation under </w:t>
      </w:r>
      <w:r>
        <w:rPr>
          <w:rFonts w:ascii="Lucida Sans Unicode"/>
          <w:w w:val="110"/>
        </w:rPr>
        <w:t>the</w:t>
      </w:r>
      <w:r>
        <w:rPr>
          <w:rFonts w:ascii="Lucida Sans Unicode"/>
          <w:spacing w:val="-21"/>
          <w:w w:val="110"/>
        </w:rPr>
        <w:t> </w:t>
      </w:r>
      <w:r>
        <w:rPr>
          <w:rFonts w:ascii="Lucida Sans Unicode"/>
          <w:w w:val="110"/>
        </w:rPr>
        <w:t>RSEO</w:t>
      </w:r>
      <w:r>
        <w:rPr>
          <w:rFonts w:ascii="Lucida Sans Unicode"/>
          <w:spacing w:val="-21"/>
          <w:w w:val="110"/>
        </w:rPr>
        <w:t> </w:t>
      </w:r>
      <w:r>
        <w:rPr>
          <w:rFonts w:ascii="Lucida Sans Unicode"/>
          <w:w w:val="110"/>
        </w:rPr>
        <w:t>section</w:t>
      </w:r>
      <w:r>
        <w:rPr>
          <w:rFonts w:ascii="Lucida Sans Unicode"/>
          <w:spacing w:val="-21"/>
          <w:w w:val="110"/>
        </w:rPr>
        <w:t> </w:t>
      </w:r>
      <w:r>
        <w:rPr>
          <w:rFonts w:ascii="Lucida Sans Unicode"/>
          <w:w w:val="110"/>
        </w:rPr>
        <w:t>mandating</w:t>
      </w:r>
      <w:r>
        <w:rPr>
          <w:rFonts w:ascii="Lucida Sans Unicode"/>
          <w:spacing w:val="-21"/>
          <w:w w:val="110"/>
        </w:rPr>
        <w:t> </w:t>
      </w:r>
      <w:r>
        <w:rPr>
          <w:rFonts w:ascii="Lucida Sans Unicode"/>
          <w:w w:val="110"/>
        </w:rPr>
        <w:t>the </w:t>
      </w:r>
      <w:r>
        <w:rPr>
          <w:w w:val="110"/>
        </w:rPr>
        <w:t>incorporation of the ECHR,</w:t>
      </w:r>
      <w:r>
        <w:rPr>
          <w:w w:val="110"/>
          <w:vertAlign w:val="superscript"/>
        </w:rPr>
        <w:t>165</w:t>
      </w:r>
      <w:r>
        <w:rPr>
          <w:w w:val="110"/>
          <w:vertAlign w:val="baseline"/>
        </w:rPr>
        <w:t> but this argument is as yet unsupported by</w:t>
      </w:r>
      <w:r>
        <w:rPr>
          <w:spacing w:val="40"/>
          <w:w w:val="110"/>
          <w:vertAlign w:val="baseline"/>
        </w:rPr>
        <w:t> </w:t>
      </w:r>
      <w:r>
        <w:rPr>
          <w:w w:val="110"/>
          <w:vertAlign w:val="baseline"/>
        </w:rPr>
        <w:t>any judicial authority.</w:t>
      </w:r>
    </w:p>
    <w:p>
      <w:pPr>
        <w:pStyle w:val="BodyText"/>
        <w:spacing w:before="24"/>
        <w:ind w:left="0"/>
      </w:pPr>
    </w:p>
    <w:p>
      <w:pPr>
        <w:pStyle w:val="BodyText"/>
        <w:spacing w:line="316" w:lineRule="exact"/>
        <w:ind w:right="440"/>
        <w:rPr>
          <w:rFonts w:ascii="Lucida Sans Unicode"/>
        </w:rPr>
      </w:pPr>
      <w:r>
        <w:rPr>
          <w:w w:val="110"/>
        </w:rPr>
        <w:t>The Windsor Framework, however, has substantially altered the pre- existing position by making express </w:t>
      </w:r>
      <w:r>
        <w:rPr>
          <w:rFonts w:ascii="Lucida Sans Unicode"/>
        </w:rPr>
        <w:t>reference to the RSEO section. </w:t>
      </w:r>
      <w:r>
        <w:rPr>
          <w:rFonts w:ascii="Lucida Sans Unicode"/>
        </w:rPr>
        <w:t>Even </w:t>
      </w:r>
      <w:r>
        <w:rPr>
          <w:w w:val="110"/>
        </w:rPr>
        <w:t>though the content of this section has not been incorporated by any UK statute, in incorporating the Withdrawal Agreement and the Windsor Framework, section 7A EUWA</w:t>
      </w:r>
      <w:r>
        <w:rPr>
          <w:spacing w:val="-2"/>
          <w:w w:val="110"/>
        </w:rPr>
        <w:t> </w:t>
      </w:r>
      <w:r>
        <w:rPr>
          <w:w w:val="110"/>
        </w:rPr>
        <w:t>has</w:t>
      </w:r>
      <w:r>
        <w:rPr>
          <w:spacing w:val="-2"/>
          <w:w w:val="110"/>
        </w:rPr>
        <w:t> </w:t>
      </w:r>
      <w:r>
        <w:rPr>
          <w:w w:val="110"/>
        </w:rPr>
        <w:t>given</w:t>
      </w:r>
      <w:r>
        <w:rPr>
          <w:spacing w:val="-2"/>
          <w:w w:val="110"/>
        </w:rPr>
        <w:t> </w:t>
      </w:r>
      <w:r>
        <w:rPr>
          <w:w w:val="110"/>
        </w:rPr>
        <w:t>a</w:t>
      </w:r>
      <w:r>
        <w:rPr>
          <w:spacing w:val="-2"/>
          <w:w w:val="110"/>
        </w:rPr>
        <w:t> </w:t>
      </w:r>
      <w:r>
        <w:rPr>
          <w:w w:val="110"/>
        </w:rPr>
        <w:t>measure</w:t>
      </w:r>
      <w:r>
        <w:rPr>
          <w:spacing w:val="-2"/>
          <w:w w:val="110"/>
        </w:rPr>
        <w:t> </w:t>
      </w:r>
      <w:r>
        <w:rPr>
          <w:w w:val="110"/>
        </w:rPr>
        <w:t>of</w:t>
      </w:r>
      <w:r>
        <w:rPr>
          <w:spacing w:val="-2"/>
          <w:w w:val="110"/>
        </w:rPr>
        <w:t> </w:t>
      </w:r>
      <w:r>
        <w:rPr>
          <w:w w:val="110"/>
        </w:rPr>
        <w:t>legal </w:t>
      </w:r>
      <w:r>
        <w:rPr>
          <w:rFonts w:ascii="Lucida Sans Unicode"/>
          <w:w w:val="110"/>
        </w:rPr>
        <w:t>effect</w:t>
      </w:r>
      <w:r>
        <w:rPr>
          <w:rFonts w:ascii="Lucida Sans Unicode"/>
          <w:spacing w:val="-18"/>
          <w:w w:val="110"/>
        </w:rPr>
        <w:t> </w:t>
      </w:r>
      <w:r>
        <w:rPr>
          <w:rFonts w:ascii="Lucida Sans Unicode"/>
          <w:w w:val="110"/>
        </w:rPr>
        <w:t>to</w:t>
      </w:r>
      <w:r>
        <w:rPr>
          <w:rFonts w:ascii="Lucida Sans Unicode"/>
          <w:spacing w:val="-18"/>
          <w:w w:val="110"/>
        </w:rPr>
        <w:t> </w:t>
      </w:r>
      <w:r>
        <w:rPr>
          <w:rFonts w:ascii="Lucida Sans Unicode"/>
          <w:w w:val="110"/>
        </w:rPr>
        <w:t>the</w:t>
      </w:r>
      <w:r>
        <w:rPr>
          <w:rFonts w:ascii="Lucida Sans Unicode"/>
          <w:spacing w:val="-18"/>
          <w:w w:val="110"/>
        </w:rPr>
        <w:t> </w:t>
      </w:r>
      <w:r>
        <w:rPr>
          <w:rFonts w:ascii="Lucida Sans Unicode"/>
          <w:w w:val="110"/>
        </w:rPr>
        <w:t>entire</w:t>
      </w:r>
      <w:r>
        <w:rPr>
          <w:rFonts w:ascii="Lucida Sans Unicode"/>
          <w:spacing w:val="-18"/>
          <w:w w:val="110"/>
        </w:rPr>
        <w:t> </w:t>
      </w:r>
      <w:r>
        <w:rPr>
          <w:rFonts w:ascii="Lucida Sans Unicode"/>
          <w:w w:val="110"/>
        </w:rPr>
        <w:t>RSEO</w:t>
      </w:r>
      <w:r>
        <w:rPr>
          <w:rFonts w:ascii="Lucida Sans Unicode"/>
          <w:spacing w:val="-18"/>
          <w:w w:val="110"/>
        </w:rPr>
        <w:t> </w:t>
      </w:r>
      <w:r>
        <w:rPr>
          <w:rFonts w:ascii="Lucida Sans Unicode"/>
          <w:w w:val="110"/>
        </w:rPr>
        <w:t>section</w:t>
      </w:r>
    </w:p>
    <w:p>
      <w:pPr>
        <w:pStyle w:val="BodyText"/>
        <w:spacing w:line="276" w:lineRule="auto" w:before="28"/>
        <w:ind w:right="242"/>
      </w:pPr>
      <w:r>
        <w:rPr>
          <w:w w:val="110"/>
        </w:rPr>
        <w:t>(this effect is covered in greater detail below). It is, for example, clear in</w:t>
      </w:r>
    </w:p>
    <w:p>
      <w:pPr>
        <w:pStyle w:val="BodyText"/>
        <w:spacing w:line="235" w:lineRule="auto" w:before="2"/>
        <w:ind w:right="393"/>
      </w:pPr>
      <w:r>
        <w:rPr>
          <w:w w:val="105"/>
        </w:rPr>
        <w:t>our</w:t>
      </w:r>
      <w:r>
        <w:rPr>
          <w:spacing w:val="40"/>
          <w:w w:val="105"/>
        </w:rPr>
        <w:t> </w:t>
      </w:r>
      <w:r>
        <w:rPr>
          <w:w w:val="105"/>
        </w:rPr>
        <w:t>view</w:t>
      </w:r>
      <w:r>
        <w:rPr>
          <w:spacing w:val="40"/>
          <w:w w:val="105"/>
        </w:rPr>
        <w:t> </w:t>
      </w:r>
      <w:r>
        <w:rPr>
          <w:w w:val="105"/>
        </w:rPr>
        <w:t>that,</w:t>
      </w:r>
      <w:r>
        <w:rPr>
          <w:spacing w:val="40"/>
          <w:w w:val="105"/>
        </w:rPr>
        <w:t> </w:t>
      </w:r>
      <w:r>
        <w:rPr>
          <w:w w:val="105"/>
        </w:rPr>
        <w:t>from</w:t>
      </w:r>
      <w:r>
        <w:rPr>
          <w:spacing w:val="40"/>
          <w:w w:val="105"/>
        </w:rPr>
        <w:t> </w:t>
      </w:r>
      <w:r>
        <w:rPr>
          <w:w w:val="105"/>
        </w:rPr>
        <w:t>the</w:t>
      </w:r>
      <w:r>
        <w:rPr>
          <w:spacing w:val="40"/>
          <w:w w:val="105"/>
        </w:rPr>
        <w:t> </w:t>
      </w:r>
      <w:r>
        <w:rPr>
          <w:w w:val="105"/>
        </w:rPr>
        <w:t>perspective</w:t>
      </w:r>
      <w:r>
        <w:rPr>
          <w:spacing w:val="80"/>
          <w:w w:val="150"/>
        </w:rPr>
        <w:t> </w:t>
      </w:r>
      <w:r>
        <w:rPr>
          <w:rFonts w:ascii="Lucida Sans Unicode"/>
          <w:w w:val="105"/>
        </w:rPr>
        <w:t>of EU law, Article 2 of the Windsor </w:t>
      </w:r>
      <w:r>
        <w:rPr>
          <w:w w:val="105"/>
        </w:rPr>
        <w:t>Framework</w:t>
      </w:r>
      <w:r>
        <w:rPr>
          <w:spacing w:val="40"/>
          <w:w w:val="105"/>
        </w:rPr>
        <w:t> </w:t>
      </w:r>
      <w:r>
        <w:rPr>
          <w:w w:val="105"/>
        </w:rPr>
        <w:t>(which</w:t>
      </w:r>
      <w:r>
        <w:rPr>
          <w:spacing w:val="40"/>
          <w:w w:val="105"/>
        </w:rPr>
        <w:t> </w:t>
      </w:r>
      <w:r>
        <w:rPr>
          <w:w w:val="105"/>
        </w:rPr>
        <w:t>is</w:t>
      </w:r>
      <w:r>
        <w:rPr>
          <w:spacing w:val="40"/>
          <w:w w:val="105"/>
        </w:rPr>
        <w:t> </w:t>
      </w:r>
      <w:r>
        <w:rPr>
          <w:w w:val="105"/>
        </w:rPr>
        <w:t>incorporated</w:t>
      </w:r>
      <w:r>
        <w:rPr>
          <w:spacing w:val="40"/>
          <w:w w:val="105"/>
        </w:rPr>
        <w:t> </w:t>
      </w:r>
      <w:r>
        <w:rPr>
          <w:w w:val="105"/>
        </w:rPr>
        <w:t>by</w:t>
      </w:r>
    </w:p>
    <w:p>
      <w:pPr>
        <w:pStyle w:val="BodyText"/>
        <w:spacing w:line="276" w:lineRule="auto" w:before="41"/>
        <w:ind w:right="118"/>
      </w:pPr>
      <w:r>
        <w:rPr>
          <w:w w:val="115"/>
        </w:rPr>
        <w:t>section 7A EUWA) has direct effect. </w:t>
      </w:r>
      <w:r>
        <w:rPr>
          <w:w w:val="110"/>
        </w:rPr>
        <w:t>This is because it meets the conditions </w:t>
      </w:r>
      <w:r>
        <w:rPr>
          <w:w w:val="115"/>
        </w:rPr>
        <w:t>for direct effect: it creates a precise obligation (non-diminution), it is clear </w:t>
      </w:r>
      <w:r>
        <w:rPr>
          <w:spacing w:val="-2"/>
          <w:w w:val="115"/>
        </w:rPr>
        <w:t>in</w:t>
      </w:r>
      <w:r>
        <w:rPr>
          <w:spacing w:val="-18"/>
          <w:w w:val="115"/>
        </w:rPr>
        <w:t> </w:t>
      </w:r>
      <w:r>
        <w:rPr>
          <w:spacing w:val="-2"/>
          <w:w w:val="115"/>
        </w:rPr>
        <w:t>its</w:t>
      </w:r>
      <w:r>
        <w:rPr>
          <w:spacing w:val="-17"/>
          <w:w w:val="115"/>
        </w:rPr>
        <w:t> </w:t>
      </w:r>
      <w:r>
        <w:rPr>
          <w:spacing w:val="-2"/>
          <w:w w:val="115"/>
        </w:rPr>
        <w:t>scope</w:t>
      </w:r>
      <w:r>
        <w:rPr>
          <w:spacing w:val="-17"/>
          <w:w w:val="115"/>
        </w:rPr>
        <w:t> </w:t>
      </w:r>
      <w:r>
        <w:rPr>
          <w:spacing w:val="-2"/>
          <w:w w:val="115"/>
        </w:rPr>
        <w:t>(non-diminution</w:t>
      </w:r>
      <w:r>
        <w:rPr>
          <w:spacing w:val="-17"/>
          <w:w w:val="115"/>
        </w:rPr>
        <w:t> </w:t>
      </w:r>
      <w:r>
        <w:rPr>
          <w:spacing w:val="-2"/>
          <w:w w:val="115"/>
        </w:rPr>
        <w:t>as</w:t>
      </w:r>
      <w:r>
        <w:rPr>
          <w:spacing w:val="-17"/>
          <w:w w:val="115"/>
        </w:rPr>
        <w:t> </w:t>
      </w:r>
      <w:r>
        <w:rPr>
          <w:spacing w:val="-2"/>
          <w:w w:val="115"/>
        </w:rPr>
        <w:t>a</w:t>
      </w:r>
      <w:r>
        <w:rPr>
          <w:spacing w:val="-18"/>
          <w:w w:val="115"/>
        </w:rPr>
        <w:t> </w:t>
      </w:r>
      <w:r>
        <w:rPr>
          <w:spacing w:val="-2"/>
          <w:w w:val="115"/>
        </w:rPr>
        <w:t>result </w:t>
      </w:r>
      <w:r>
        <w:rPr>
          <w:w w:val="115"/>
        </w:rPr>
        <w:t>of Brexit) and it is unconditional, in</w:t>
      </w:r>
    </w:p>
    <w:p>
      <w:pPr>
        <w:pStyle w:val="BodyText"/>
        <w:spacing w:line="264" w:lineRule="auto"/>
        <w:ind w:right="533"/>
        <w:rPr>
          <w:rFonts w:ascii="Lucida Sans Unicode"/>
        </w:rPr>
      </w:pPr>
      <w:r>
        <w:rPr>
          <w:w w:val="110"/>
        </w:rPr>
        <w:t>the sense that it does not require the adoption of further measures </w:t>
      </w:r>
      <w:r>
        <w:rPr>
          <w:w w:val="110"/>
        </w:rPr>
        <w:t>to make it effective.</w:t>
      </w:r>
      <w:r>
        <w:rPr>
          <w:w w:val="110"/>
          <w:vertAlign w:val="superscript"/>
        </w:rPr>
        <w:t>166</w:t>
      </w:r>
      <w:r>
        <w:rPr>
          <w:w w:val="110"/>
          <w:vertAlign w:val="baseline"/>
        </w:rPr>
        <w:t> Moreover, the </w:t>
      </w:r>
      <w:r>
        <w:rPr>
          <w:rFonts w:ascii="Lucida Sans Unicode"/>
          <w:vertAlign w:val="baseline"/>
        </w:rPr>
        <w:t>jurisprudence on Article 2 thus far</w:t>
      </w:r>
    </w:p>
    <w:p>
      <w:pPr>
        <w:pStyle w:val="BodyText"/>
        <w:spacing w:line="224" w:lineRule="exact"/>
      </w:pPr>
      <w:r>
        <w:rPr>
          <w:w w:val="110"/>
        </w:rPr>
        <w:t>has</w:t>
      </w:r>
      <w:r>
        <w:rPr>
          <w:spacing w:val="-14"/>
          <w:w w:val="110"/>
        </w:rPr>
        <w:t> </w:t>
      </w:r>
      <w:r>
        <w:rPr>
          <w:w w:val="110"/>
        </w:rPr>
        <w:t>essentially</w:t>
      </w:r>
      <w:r>
        <w:rPr>
          <w:spacing w:val="-14"/>
          <w:w w:val="110"/>
        </w:rPr>
        <w:t> </w:t>
      </w:r>
      <w:r>
        <w:rPr>
          <w:w w:val="110"/>
        </w:rPr>
        <w:t>been</w:t>
      </w:r>
      <w:r>
        <w:rPr>
          <w:spacing w:val="-13"/>
          <w:w w:val="110"/>
        </w:rPr>
        <w:t> </w:t>
      </w:r>
      <w:r>
        <w:rPr>
          <w:w w:val="110"/>
        </w:rPr>
        <w:t>based</w:t>
      </w:r>
      <w:r>
        <w:rPr>
          <w:spacing w:val="-14"/>
          <w:w w:val="110"/>
        </w:rPr>
        <w:t> </w:t>
      </w:r>
      <w:r>
        <w:rPr>
          <w:w w:val="110"/>
        </w:rPr>
        <w:t>on</w:t>
      </w:r>
      <w:r>
        <w:rPr>
          <w:spacing w:val="-14"/>
          <w:w w:val="110"/>
        </w:rPr>
        <w:t> </w:t>
      </w:r>
      <w:r>
        <w:rPr>
          <w:spacing w:val="-5"/>
          <w:w w:val="110"/>
        </w:rPr>
        <w:t>the</w:t>
      </w:r>
    </w:p>
    <w:p>
      <w:pPr>
        <w:pStyle w:val="BodyText"/>
        <w:spacing w:line="276" w:lineRule="auto" w:before="32"/>
        <w:ind w:right="498"/>
      </w:pPr>
      <w:r>
        <w:rPr>
          <w:w w:val="110"/>
        </w:rPr>
        <w:t>provision’s direct effect (we cover these</w:t>
      </w:r>
      <w:r>
        <w:rPr>
          <w:spacing w:val="-19"/>
          <w:w w:val="110"/>
        </w:rPr>
        <w:t> </w:t>
      </w:r>
      <w:r>
        <w:rPr>
          <w:w w:val="110"/>
        </w:rPr>
        <w:t>cases</w:t>
      </w:r>
      <w:r>
        <w:rPr>
          <w:spacing w:val="-18"/>
          <w:w w:val="110"/>
        </w:rPr>
        <w:t> </w:t>
      </w:r>
      <w:r>
        <w:rPr>
          <w:w w:val="110"/>
        </w:rPr>
        <w:t>in</w:t>
      </w:r>
      <w:r>
        <w:rPr>
          <w:spacing w:val="-19"/>
          <w:w w:val="110"/>
        </w:rPr>
        <w:t> </w:t>
      </w:r>
      <w:r>
        <w:rPr>
          <w:w w:val="110"/>
        </w:rPr>
        <w:t>more</w:t>
      </w:r>
      <w:r>
        <w:rPr>
          <w:spacing w:val="-18"/>
          <w:w w:val="110"/>
        </w:rPr>
        <w:t> </w:t>
      </w:r>
      <w:r>
        <w:rPr>
          <w:w w:val="110"/>
        </w:rPr>
        <w:t>detail</w:t>
      </w:r>
      <w:r>
        <w:rPr>
          <w:spacing w:val="-18"/>
          <w:w w:val="110"/>
        </w:rPr>
        <w:t> </w:t>
      </w:r>
      <w:r>
        <w:rPr>
          <w:w w:val="110"/>
        </w:rPr>
        <w:t>below).</w:t>
      </w:r>
      <w:r>
        <w:rPr>
          <w:w w:val="110"/>
          <w:vertAlign w:val="superscript"/>
        </w:rPr>
        <w:t>167</w:t>
      </w:r>
    </w:p>
    <w:p>
      <w:pPr>
        <w:spacing w:after="0" w:line="276" w:lineRule="auto"/>
        <w:sectPr>
          <w:type w:val="continuous"/>
          <w:pgSz w:w="11910" w:h="16840"/>
          <w:pgMar w:header="568" w:footer="580" w:top="0" w:bottom="280" w:left="1020" w:right="1020"/>
          <w:cols w:num="2" w:equalWidth="0">
            <w:col w:w="4719" w:space="327"/>
            <w:col w:w="4824"/>
          </w:cols>
        </w:sectPr>
      </w:pPr>
    </w:p>
    <w:p>
      <w:pPr>
        <w:pStyle w:val="BodyText"/>
        <w:ind w:left="0"/>
        <w:rPr>
          <w:sz w:val="13"/>
        </w:rPr>
      </w:pPr>
    </w:p>
    <w:p>
      <w:pPr>
        <w:pStyle w:val="BodyText"/>
        <w:spacing w:line="20" w:lineRule="exact"/>
        <w:rPr>
          <w:sz w:val="2"/>
        </w:rPr>
      </w:pPr>
      <w:r>
        <w:rPr>
          <w:sz w:val="2"/>
        </w:rPr>
        <mc:AlternateContent>
          <mc:Choice Requires="wps">
            <w:drawing>
              <wp:inline distT="0" distB="0" distL="0" distR="0">
                <wp:extent cx="6120130" cy="6350"/>
                <wp:effectExtent l="9525" t="0" r="0" b="3175"/>
                <wp:docPr id="123" name="Group 123"/>
                <wp:cNvGraphicFramePr>
                  <a:graphicFrameLocks/>
                </wp:cNvGraphicFramePr>
                <a:graphic>
                  <a:graphicData uri="http://schemas.microsoft.com/office/word/2010/wordprocessingGroup">
                    <wpg:wgp>
                      <wpg:cNvPr id="123" name="Group 123"/>
                      <wpg:cNvGrpSpPr/>
                      <wpg:grpSpPr>
                        <a:xfrm>
                          <a:off x="0" y="0"/>
                          <a:ext cx="6120130" cy="6350"/>
                          <a:chExt cx="6120130" cy="6350"/>
                        </a:xfrm>
                      </wpg:grpSpPr>
                      <wps:wsp>
                        <wps:cNvPr id="124" name="Graphic 124"/>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80"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5" w:val="left" w:leader="none"/>
        </w:tabs>
        <w:spacing w:line="223" w:lineRule="exact" w:before="61" w:after="0"/>
        <w:ind w:left="565" w:right="0" w:hanging="452"/>
        <w:jc w:val="both"/>
        <w:rPr>
          <w:rFonts w:ascii="Arial"/>
          <w:sz w:val="16"/>
        </w:rPr>
      </w:pPr>
      <w:r>
        <w:rPr>
          <w:rFonts w:ascii="Verdana"/>
          <w:i/>
          <w:sz w:val="16"/>
        </w:rPr>
        <w:t>JH</w:t>
      </w:r>
      <w:r>
        <w:rPr>
          <w:rFonts w:ascii="Verdana"/>
          <w:i/>
          <w:spacing w:val="-2"/>
          <w:sz w:val="16"/>
        </w:rPr>
        <w:t> </w:t>
      </w:r>
      <w:r>
        <w:rPr>
          <w:rFonts w:ascii="Verdana"/>
          <w:i/>
          <w:sz w:val="16"/>
        </w:rPr>
        <w:t>Rayner</w:t>
      </w:r>
      <w:r>
        <w:rPr>
          <w:rFonts w:ascii="Verdana"/>
          <w:i/>
          <w:spacing w:val="-2"/>
          <w:sz w:val="16"/>
        </w:rPr>
        <w:t> </w:t>
      </w:r>
      <w:r>
        <w:rPr>
          <w:sz w:val="16"/>
        </w:rPr>
        <w:t>(n</w:t>
      </w:r>
      <w:r>
        <w:rPr>
          <w:spacing w:val="4"/>
          <w:sz w:val="16"/>
        </w:rPr>
        <w:t> </w:t>
      </w:r>
      <w:r>
        <w:rPr>
          <w:sz w:val="16"/>
        </w:rPr>
        <w:t>160),</w:t>
      </w:r>
      <w:r>
        <w:rPr>
          <w:spacing w:val="4"/>
          <w:sz w:val="16"/>
        </w:rPr>
        <w:t> </w:t>
      </w:r>
      <w:r>
        <w:rPr>
          <w:sz w:val="16"/>
        </w:rPr>
        <w:t>500E,</w:t>
      </w:r>
      <w:r>
        <w:rPr>
          <w:spacing w:val="4"/>
          <w:sz w:val="16"/>
        </w:rPr>
        <w:t> </w:t>
      </w:r>
      <w:r>
        <w:rPr>
          <w:sz w:val="16"/>
        </w:rPr>
        <w:t>per</w:t>
      </w:r>
      <w:r>
        <w:rPr>
          <w:spacing w:val="4"/>
          <w:sz w:val="16"/>
        </w:rPr>
        <w:t> </w:t>
      </w:r>
      <w:r>
        <w:rPr>
          <w:sz w:val="16"/>
        </w:rPr>
        <w:t>Lord</w:t>
      </w:r>
      <w:r>
        <w:rPr>
          <w:spacing w:val="4"/>
          <w:sz w:val="16"/>
        </w:rPr>
        <w:t> </w:t>
      </w:r>
      <w:r>
        <w:rPr>
          <w:sz w:val="16"/>
        </w:rPr>
        <w:t>Oliver</w:t>
      </w:r>
      <w:r>
        <w:rPr>
          <w:spacing w:val="4"/>
          <w:sz w:val="16"/>
        </w:rPr>
        <w:t> </w:t>
      </w:r>
      <w:r>
        <w:rPr>
          <w:sz w:val="16"/>
        </w:rPr>
        <w:t>of</w:t>
      </w:r>
      <w:r>
        <w:rPr>
          <w:spacing w:val="5"/>
          <w:sz w:val="16"/>
        </w:rPr>
        <w:t> </w:t>
      </w:r>
      <w:r>
        <w:rPr>
          <w:spacing w:val="-2"/>
          <w:sz w:val="16"/>
        </w:rPr>
        <w:t>Aylmerton.</w:t>
      </w:r>
    </w:p>
    <w:p>
      <w:pPr>
        <w:pStyle w:val="ListParagraph"/>
        <w:numPr>
          <w:ilvl w:val="0"/>
          <w:numId w:val="6"/>
        </w:numPr>
        <w:tabs>
          <w:tab w:pos="567" w:val="left" w:leader="none"/>
        </w:tabs>
        <w:spacing w:line="206" w:lineRule="auto" w:before="2" w:after="0"/>
        <w:ind w:left="567" w:right="766" w:hanging="454"/>
        <w:jc w:val="both"/>
        <w:rPr>
          <w:sz w:val="16"/>
        </w:rPr>
      </w:pPr>
      <w:r>
        <w:rPr>
          <w:spacing w:val="-2"/>
          <w:w w:val="105"/>
          <w:sz w:val="16"/>
        </w:rPr>
        <w:t>For</w:t>
      </w:r>
      <w:r>
        <w:rPr>
          <w:spacing w:val="-4"/>
          <w:w w:val="105"/>
          <w:sz w:val="16"/>
        </w:rPr>
        <w:t> </w:t>
      </w:r>
      <w:r>
        <w:rPr>
          <w:spacing w:val="-2"/>
          <w:w w:val="105"/>
          <w:sz w:val="16"/>
        </w:rPr>
        <w:t>example,</w:t>
      </w:r>
      <w:r>
        <w:rPr>
          <w:spacing w:val="-4"/>
          <w:w w:val="105"/>
          <w:sz w:val="16"/>
        </w:rPr>
        <w:t> </w:t>
      </w:r>
      <w:r>
        <w:rPr>
          <w:spacing w:val="-2"/>
          <w:w w:val="105"/>
          <w:sz w:val="16"/>
        </w:rPr>
        <w:t>section</w:t>
      </w:r>
      <w:r>
        <w:rPr>
          <w:spacing w:val="-4"/>
          <w:w w:val="105"/>
          <w:sz w:val="16"/>
        </w:rPr>
        <w:t> </w:t>
      </w:r>
      <w:r>
        <w:rPr>
          <w:spacing w:val="-2"/>
          <w:w w:val="105"/>
          <w:sz w:val="16"/>
        </w:rPr>
        <w:t>20(3)</w:t>
      </w:r>
      <w:r>
        <w:rPr>
          <w:spacing w:val="-4"/>
          <w:w w:val="105"/>
          <w:sz w:val="16"/>
        </w:rPr>
        <w:t> </w:t>
      </w:r>
      <w:r>
        <w:rPr>
          <w:spacing w:val="-2"/>
          <w:w w:val="105"/>
          <w:sz w:val="16"/>
        </w:rPr>
        <w:t>(functions</w:t>
      </w:r>
      <w:r>
        <w:rPr>
          <w:spacing w:val="-4"/>
          <w:w w:val="105"/>
          <w:sz w:val="16"/>
        </w:rPr>
        <w:t> </w:t>
      </w:r>
      <w:r>
        <w:rPr>
          <w:spacing w:val="-2"/>
          <w:w w:val="105"/>
          <w:sz w:val="16"/>
        </w:rPr>
        <w:t>of</w:t>
      </w:r>
      <w:r>
        <w:rPr>
          <w:spacing w:val="-4"/>
          <w:w w:val="105"/>
          <w:sz w:val="16"/>
        </w:rPr>
        <w:t> </w:t>
      </w:r>
      <w:r>
        <w:rPr>
          <w:spacing w:val="-2"/>
          <w:w w:val="105"/>
          <w:sz w:val="16"/>
        </w:rPr>
        <w:t>the</w:t>
      </w:r>
      <w:r>
        <w:rPr>
          <w:spacing w:val="-4"/>
          <w:w w:val="105"/>
          <w:sz w:val="16"/>
        </w:rPr>
        <w:t> </w:t>
      </w:r>
      <w:r>
        <w:rPr>
          <w:spacing w:val="-2"/>
          <w:w w:val="105"/>
          <w:sz w:val="16"/>
        </w:rPr>
        <w:t>Northern</w:t>
      </w:r>
      <w:r>
        <w:rPr>
          <w:spacing w:val="-4"/>
          <w:w w:val="105"/>
          <w:sz w:val="16"/>
        </w:rPr>
        <w:t> </w:t>
      </w:r>
      <w:r>
        <w:rPr>
          <w:spacing w:val="-2"/>
          <w:w w:val="105"/>
          <w:sz w:val="16"/>
        </w:rPr>
        <w:t>Ireland</w:t>
      </w:r>
      <w:r>
        <w:rPr>
          <w:spacing w:val="-4"/>
          <w:w w:val="105"/>
          <w:sz w:val="16"/>
        </w:rPr>
        <w:t> </w:t>
      </w:r>
      <w:r>
        <w:rPr>
          <w:spacing w:val="-2"/>
          <w:w w:val="105"/>
          <w:sz w:val="16"/>
        </w:rPr>
        <w:t>Executive</w:t>
      </w:r>
      <w:r>
        <w:rPr>
          <w:spacing w:val="-4"/>
          <w:w w:val="105"/>
          <w:sz w:val="16"/>
        </w:rPr>
        <w:t> </w:t>
      </w:r>
      <w:r>
        <w:rPr>
          <w:spacing w:val="-2"/>
          <w:w w:val="105"/>
          <w:sz w:val="16"/>
        </w:rPr>
        <w:t>Committee),</w:t>
      </w:r>
      <w:r>
        <w:rPr>
          <w:spacing w:val="-4"/>
          <w:w w:val="105"/>
          <w:sz w:val="16"/>
        </w:rPr>
        <w:t> </w:t>
      </w:r>
      <w:r>
        <w:rPr>
          <w:spacing w:val="-2"/>
          <w:w w:val="105"/>
          <w:sz w:val="16"/>
        </w:rPr>
        <w:t>section</w:t>
      </w:r>
      <w:r>
        <w:rPr>
          <w:spacing w:val="-4"/>
          <w:w w:val="105"/>
          <w:sz w:val="16"/>
        </w:rPr>
        <w:t> </w:t>
      </w:r>
      <w:r>
        <w:rPr>
          <w:spacing w:val="-2"/>
          <w:w w:val="105"/>
          <w:sz w:val="16"/>
        </w:rPr>
        <w:t>52A(7)</w:t>
      </w:r>
      <w:r>
        <w:rPr>
          <w:spacing w:val="-4"/>
          <w:w w:val="105"/>
          <w:sz w:val="16"/>
        </w:rPr>
        <w:t> </w:t>
      </w:r>
      <w:r>
        <w:rPr>
          <w:spacing w:val="-2"/>
          <w:w w:val="105"/>
          <w:sz w:val="16"/>
        </w:rPr>
        <w:t>(cross- </w:t>
      </w:r>
      <w:r>
        <w:rPr>
          <w:sz w:val="16"/>
        </w:rPr>
        <w:t>community participation in the North-South Ministerial Council and the British-Irish Council) and section 55 </w:t>
      </w:r>
      <w:r>
        <w:rPr>
          <w:rFonts w:ascii="Arial"/>
          <w:w w:val="105"/>
          <w:sz w:val="16"/>
        </w:rPr>
        <w:t>(implementation</w:t>
      </w:r>
      <w:r>
        <w:rPr>
          <w:rFonts w:ascii="Arial"/>
          <w:spacing w:val="40"/>
          <w:w w:val="105"/>
          <w:sz w:val="16"/>
        </w:rPr>
        <w:t> </w:t>
      </w:r>
      <w:r>
        <w:rPr>
          <w:rFonts w:ascii="Arial"/>
          <w:w w:val="105"/>
          <w:sz w:val="16"/>
        </w:rPr>
        <w:t>bodies</w:t>
      </w:r>
      <w:r>
        <w:rPr>
          <w:rFonts w:ascii="Arial"/>
          <w:spacing w:val="40"/>
          <w:w w:val="105"/>
          <w:sz w:val="16"/>
        </w:rPr>
        <w:t> </w:t>
      </w:r>
      <w:r>
        <w:rPr>
          <w:rFonts w:ascii="Arial"/>
          <w:w w:val="105"/>
          <w:sz w:val="16"/>
        </w:rPr>
        <w:t>established</w:t>
      </w:r>
      <w:r>
        <w:rPr>
          <w:rFonts w:ascii="Arial"/>
          <w:spacing w:val="40"/>
          <w:w w:val="105"/>
          <w:sz w:val="16"/>
        </w:rPr>
        <w:t> </w:t>
      </w:r>
      <w:r>
        <w:rPr>
          <w:rFonts w:ascii="Arial"/>
          <w:w w:val="105"/>
          <w:sz w:val="16"/>
        </w:rPr>
        <w:t>under</w:t>
      </w:r>
      <w:r>
        <w:rPr>
          <w:rFonts w:ascii="Arial"/>
          <w:spacing w:val="40"/>
          <w:w w:val="105"/>
          <w:sz w:val="16"/>
        </w:rPr>
        <w:t> </w:t>
      </w:r>
      <w:r>
        <w:rPr>
          <w:rFonts w:ascii="Arial"/>
          <w:w w:val="105"/>
          <w:sz w:val="16"/>
        </w:rPr>
        <w:t>the</w:t>
      </w:r>
      <w:r>
        <w:rPr>
          <w:rFonts w:ascii="Arial"/>
          <w:spacing w:val="40"/>
          <w:w w:val="105"/>
          <w:sz w:val="16"/>
        </w:rPr>
        <w:t> </w:t>
      </w:r>
      <w:r>
        <w:rPr>
          <w:rFonts w:ascii="Arial"/>
          <w:w w:val="105"/>
          <w:sz w:val="16"/>
        </w:rPr>
        <w:t>Belfast</w:t>
      </w:r>
      <w:r>
        <w:rPr>
          <w:rFonts w:ascii="Arial"/>
          <w:spacing w:val="40"/>
          <w:w w:val="105"/>
          <w:sz w:val="16"/>
        </w:rPr>
        <w:t> </w:t>
      </w:r>
      <w:r>
        <w:rPr>
          <w:rFonts w:ascii="Arial"/>
          <w:w w:val="105"/>
          <w:sz w:val="16"/>
        </w:rPr>
        <w:t>(Good</w:t>
      </w:r>
      <w:r>
        <w:rPr>
          <w:rFonts w:ascii="Arial"/>
          <w:spacing w:val="40"/>
          <w:w w:val="105"/>
          <w:sz w:val="16"/>
        </w:rPr>
        <w:t> </w:t>
      </w:r>
      <w:r>
        <w:rPr>
          <w:rFonts w:ascii="Arial"/>
          <w:w w:val="105"/>
          <w:sz w:val="16"/>
        </w:rPr>
        <w:t>Friday)</w:t>
      </w:r>
      <w:r>
        <w:rPr>
          <w:rFonts w:ascii="Arial"/>
          <w:spacing w:val="40"/>
          <w:w w:val="105"/>
          <w:sz w:val="16"/>
        </w:rPr>
        <w:t> </w:t>
      </w:r>
      <w:r>
        <w:rPr>
          <w:rFonts w:ascii="Arial"/>
          <w:w w:val="105"/>
          <w:sz w:val="16"/>
        </w:rPr>
        <w:t>Agreement).</w:t>
      </w:r>
    </w:p>
    <w:p>
      <w:pPr>
        <w:pStyle w:val="ListParagraph"/>
        <w:numPr>
          <w:ilvl w:val="0"/>
          <w:numId w:val="6"/>
        </w:numPr>
        <w:tabs>
          <w:tab w:pos="565" w:val="left" w:leader="none"/>
          <w:tab w:pos="567" w:val="left" w:leader="none"/>
        </w:tabs>
        <w:spacing w:line="218" w:lineRule="auto" w:before="10" w:after="0"/>
        <w:ind w:left="567" w:right="265" w:hanging="454"/>
        <w:jc w:val="left"/>
        <w:rPr>
          <w:sz w:val="16"/>
        </w:rPr>
      </w:pPr>
      <w:r>
        <w:rPr>
          <w:sz w:val="16"/>
        </w:rPr>
        <w:t>See </w:t>
      </w:r>
      <w:r>
        <w:rPr>
          <w:rFonts w:ascii="Verdana"/>
          <w:i/>
          <w:sz w:val="16"/>
        </w:rPr>
        <w:t>Robinson</w:t>
      </w:r>
      <w:r>
        <w:rPr>
          <w:rFonts w:ascii="Verdana"/>
          <w:i/>
          <w:spacing w:val="-5"/>
          <w:sz w:val="16"/>
        </w:rPr>
        <w:t> </w:t>
      </w:r>
      <w:r>
        <w:rPr>
          <w:rFonts w:ascii="Verdana"/>
          <w:i/>
          <w:sz w:val="16"/>
        </w:rPr>
        <w:t>v</w:t>
      </w:r>
      <w:r>
        <w:rPr>
          <w:rFonts w:ascii="Verdana"/>
          <w:i/>
          <w:spacing w:val="-5"/>
          <w:sz w:val="16"/>
        </w:rPr>
        <w:t> </w:t>
      </w:r>
      <w:r>
        <w:rPr>
          <w:rFonts w:ascii="Verdana"/>
          <w:i/>
          <w:sz w:val="16"/>
        </w:rPr>
        <w:t>Northern</w:t>
      </w:r>
      <w:r>
        <w:rPr>
          <w:rFonts w:ascii="Verdana"/>
          <w:i/>
          <w:spacing w:val="-5"/>
          <w:sz w:val="16"/>
        </w:rPr>
        <w:t> </w:t>
      </w:r>
      <w:r>
        <w:rPr>
          <w:rFonts w:ascii="Verdana"/>
          <w:i/>
          <w:sz w:val="16"/>
        </w:rPr>
        <w:t>Ireland</w:t>
      </w:r>
      <w:r>
        <w:rPr>
          <w:rFonts w:ascii="Verdana"/>
          <w:i/>
          <w:spacing w:val="-5"/>
          <w:sz w:val="16"/>
        </w:rPr>
        <w:t> </w:t>
      </w:r>
      <w:r>
        <w:rPr>
          <w:rFonts w:ascii="Verdana"/>
          <w:i/>
          <w:sz w:val="16"/>
        </w:rPr>
        <w:t>Secretary</w:t>
      </w:r>
      <w:r>
        <w:rPr>
          <w:rFonts w:ascii="Verdana"/>
          <w:i/>
          <w:spacing w:val="-5"/>
          <w:sz w:val="16"/>
        </w:rPr>
        <w:t> </w:t>
      </w:r>
      <w:r>
        <w:rPr>
          <w:sz w:val="16"/>
        </w:rPr>
        <w:t>[2002] UKHL 32, [2002] NI 390, para </w:t>
      </w:r>
      <w:r>
        <w:rPr>
          <w:w w:val="95"/>
          <w:sz w:val="16"/>
        </w:rPr>
        <w:t>11 </w:t>
      </w:r>
      <w:r>
        <w:rPr>
          <w:sz w:val="16"/>
        </w:rPr>
        <w:t>per Lord Bingham and para 25 </w:t>
      </w:r>
      <w:r>
        <w:rPr>
          <w:rFonts w:ascii="Arial"/>
          <w:sz w:val="16"/>
        </w:rPr>
        <w:t>per Lord Hoffmann.</w:t>
      </w:r>
    </w:p>
    <w:p>
      <w:pPr>
        <w:pStyle w:val="ListParagraph"/>
        <w:numPr>
          <w:ilvl w:val="0"/>
          <w:numId w:val="6"/>
        </w:numPr>
        <w:tabs>
          <w:tab w:pos="565" w:val="left" w:leader="none"/>
          <w:tab w:pos="567" w:val="left" w:leader="none"/>
        </w:tabs>
        <w:spacing w:line="194" w:lineRule="auto" w:before="26" w:after="0"/>
        <w:ind w:left="567" w:right="119" w:hanging="454"/>
        <w:jc w:val="left"/>
        <w:rPr>
          <w:sz w:val="16"/>
        </w:rPr>
      </w:pPr>
      <w:r>
        <w:rPr>
          <w:sz w:val="16"/>
        </w:rPr>
        <w:t>Certain other provisions of the RSEO section, for example those relating to the Northern Ireland Human Rights Commission and the Equality Commission for Northern Ireland, were incorporated. See B(GF)A, RSEO, para 5-6 and</w:t>
      </w:r>
      <w:r>
        <w:rPr>
          <w:spacing w:val="40"/>
          <w:sz w:val="16"/>
        </w:rPr>
        <w:t> </w:t>
      </w:r>
      <w:r>
        <w:rPr>
          <w:sz w:val="16"/>
        </w:rPr>
        <w:t>the Northern Ireland Act 1998, ss 68 and 73.</w:t>
      </w:r>
    </w:p>
    <w:p>
      <w:pPr>
        <w:pStyle w:val="ListParagraph"/>
        <w:numPr>
          <w:ilvl w:val="0"/>
          <w:numId w:val="6"/>
        </w:numPr>
        <w:tabs>
          <w:tab w:pos="567" w:val="left" w:leader="none"/>
        </w:tabs>
        <w:spacing w:line="206" w:lineRule="auto" w:before="0" w:after="0"/>
        <w:ind w:left="567" w:right="328" w:hanging="454"/>
        <w:jc w:val="left"/>
        <w:rPr>
          <w:rFonts w:ascii="Arial" w:hAnsi="Arial"/>
          <w:sz w:val="16"/>
        </w:rPr>
      </w:pPr>
      <w:r>
        <w:rPr>
          <w:sz w:val="16"/>
        </w:rPr>
        <w:t>See e.g. Caoilfhionn Gallagher KC, Angela Patrick and Katie O’Byrne, </w:t>
      </w:r>
      <w:hyperlink r:id="rId40">
        <w:r>
          <w:rPr>
            <w:rFonts w:ascii="Verdana" w:hAnsi="Verdana"/>
            <w:i/>
            <w:color w:val="77328A"/>
            <w:sz w:val="16"/>
            <w:u w:val="single" w:color="77328A"/>
          </w:rPr>
          <w:t>Report</w:t>
        </w:r>
        <w:r>
          <w:rPr>
            <w:rFonts w:ascii="Verdana" w:hAnsi="Verdana"/>
            <w:i/>
            <w:color w:val="77328A"/>
            <w:spacing w:val="-2"/>
            <w:sz w:val="16"/>
            <w:u w:val="single" w:color="77328A"/>
          </w:rPr>
          <w:t> </w:t>
        </w:r>
        <w:r>
          <w:rPr>
            <w:rFonts w:ascii="Verdana" w:hAnsi="Verdana"/>
            <w:i/>
            <w:color w:val="77328A"/>
            <w:sz w:val="16"/>
            <w:u w:val="single" w:color="77328A"/>
          </w:rPr>
          <w:t>on</w:t>
        </w:r>
        <w:r>
          <w:rPr>
            <w:rFonts w:ascii="Verdana" w:hAnsi="Verdana"/>
            <w:i/>
            <w:color w:val="77328A"/>
            <w:spacing w:val="-3"/>
            <w:sz w:val="16"/>
            <w:u w:val="single" w:color="77328A"/>
          </w:rPr>
          <w:t> </w:t>
        </w:r>
        <w:r>
          <w:rPr>
            <w:rFonts w:ascii="Verdana" w:hAnsi="Verdana"/>
            <w:i/>
            <w:color w:val="77328A"/>
            <w:sz w:val="16"/>
            <w:u w:val="single" w:color="77328A"/>
          </w:rPr>
          <w:t>Human</w:t>
        </w:r>
        <w:r>
          <w:rPr>
            <w:rFonts w:ascii="Verdana" w:hAnsi="Verdana"/>
            <w:i/>
            <w:color w:val="77328A"/>
            <w:spacing w:val="-2"/>
            <w:sz w:val="16"/>
            <w:u w:val="single" w:color="77328A"/>
          </w:rPr>
          <w:t> </w:t>
        </w:r>
        <w:r>
          <w:rPr>
            <w:rFonts w:ascii="Verdana" w:hAnsi="Verdana"/>
            <w:i/>
            <w:color w:val="77328A"/>
            <w:sz w:val="16"/>
            <w:u w:val="single" w:color="77328A"/>
          </w:rPr>
          <w:t>Rights</w:t>
        </w:r>
        <w:r>
          <w:rPr>
            <w:rFonts w:ascii="Verdana" w:hAnsi="Verdana"/>
            <w:i/>
            <w:color w:val="77328A"/>
            <w:spacing w:val="-3"/>
            <w:sz w:val="16"/>
            <w:u w:val="single" w:color="77328A"/>
          </w:rPr>
          <w:t> </w:t>
        </w:r>
        <w:r>
          <w:rPr>
            <w:rFonts w:ascii="Verdana" w:hAnsi="Verdana"/>
            <w:i/>
            <w:color w:val="77328A"/>
            <w:sz w:val="16"/>
            <w:u w:val="single" w:color="77328A"/>
          </w:rPr>
          <w:t>Implications</w:t>
        </w:r>
        <w:r>
          <w:rPr>
            <w:rFonts w:ascii="Verdana" w:hAnsi="Verdana"/>
            <w:i/>
            <w:color w:val="77328A"/>
            <w:spacing w:val="-2"/>
            <w:sz w:val="16"/>
            <w:u w:val="single" w:color="77328A"/>
          </w:rPr>
          <w:t> </w:t>
        </w:r>
        <w:r>
          <w:rPr>
            <w:rFonts w:ascii="Verdana" w:hAnsi="Verdana"/>
            <w:i/>
            <w:color w:val="77328A"/>
            <w:sz w:val="16"/>
            <w:u w:val="single" w:color="77328A"/>
          </w:rPr>
          <w:t>of</w:t>
        </w:r>
        <w:r>
          <w:rPr>
            <w:rFonts w:ascii="Verdana" w:hAnsi="Verdana"/>
            <w:i/>
            <w:color w:val="77328A"/>
            <w:spacing w:val="-3"/>
            <w:sz w:val="16"/>
            <w:u w:val="single" w:color="77328A"/>
          </w:rPr>
          <w:t> </w:t>
        </w:r>
        <w:r>
          <w:rPr>
            <w:rFonts w:ascii="Verdana" w:hAnsi="Verdana"/>
            <w:i/>
            <w:color w:val="77328A"/>
            <w:sz w:val="16"/>
            <w:u w:val="single" w:color="77328A"/>
          </w:rPr>
          <w:t>UK</w:t>
        </w:r>
        <w:r>
          <w:rPr>
            <w:rFonts w:ascii="Verdana" w:hAnsi="Verdana"/>
            <w:i/>
            <w:color w:val="77328A"/>
            <w:spacing w:val="-2"/>
            <w:sz w:val="16"/>
            <w:u w:val="single" w:color="77328A"/>
          </w:rPr>
          <w:t> </w:t>
        </w:r>
      </w:hyperlink>
      <w:r>
        <w:rPr>
          <w:rFonts w:ascii="Verdana" w:hAnsi="Verdana"/>
          <w:i/>
          <w:color w:val="77328A"/>
          <w:spacing w:val="-2"/>
          <w:sz w:val="16"/>
          <w:u w:val="none"/>
        </w:rPr>
        <w:t> </w:t>
      </w:r>
      <w:hyperlink r:id="rId40">
        <w:r>
          <w:rPr>
            <w:rFonts w:ascii="Verdana" w:hAnsi="Verdana"/>
            <w:i/>
            <w:color w:val="77328A"/>
            <w:sz w:val="16"/>
            <w:u w:val="single" w:color="77328A"/>
          </w:rPr>
          <w:t>withdrawal</w:t>
        </w:r>
        <w:r>
          <w:rPr>
            <w:rFonts w:ascii="Verdana" w:hAnsi="Verdana"/>
            <w:i/>
            <w:color w:val="77328A"/>
            <w:spacing w:val="-5"/>
            <w:sz w:val="16"/>
            <w:u w:val="single" w:color="77328A"/>
          </w:rPr>
          <w:t> </w:t>
        </w:r>
        <w:r>
          <w:rPr>
            <w:rFonts w:ascii="Verdana" w:hAnsi="Verdana"/>
            <w:i/>
            <w:color w:val="77328A"/>
            <w:sz w:val="16"/>
            <w:u w:val="single" w:color="77328A"/>
          </w:rPr>
          <w:t>from</w:t>
        </w:r>
        <w:r>
          <w:rPr>
            <w:rFonts w:ascii="Verdana" w:hAnsi="Verdana"/>
            <w:i/>
            <w:color w:val="77328A"/>
            <w:spacing w:val="-5"/>
            <w:sz w:val="16"/>
            <w:u w:val="single" w:color="77328A"/>
          </w:rPr>
          <w:t> </w:t>
        </w:r>
        <w:r>
          <w:rPr>
            <w:rFonts w:ascii="Verdana" w:hAnsi="Verdana"/>
            <w:i/>
            <w:color w:val="77328A"/>
            <w:sz w:val="16"/>
            <w:u w:val="single" w:color="77328A"/>
          </w:rPr>
          <w:t>the</w:t>
        </w:r>
        <w:r>
          <w:rPr>
            <w:rFonts w:ascii="Verdana" w:hAnsi="Verdana"/>
            <w:i/>
            <w:color w:val="77328A"/>
            <w:spacing w:val="-5"/>
            <w:sz w:val="16"/>
            <w:u w:val="single" w:color="77328A"/>
          </w:rPr>
          <w:t> </w:t>
        </w:r>
        <w:r>
          <w:rPr>
            <w:rFonts w:ascii="Verdana" w:hAnsi="Verdana"/>
            <w:i/>
            <w:color w:val="77328A"/>
            <w:sz w:val="16"/>
            <w:u w:val="single" w:color="77328A"/>
          </w:rPr>
          <w:t>EU:</w:t>
        </w:r>
        <w:r>
          <w:rPr>
            <w:rFonts w:ascii="Verdana" w:hAnsi="Verdana"/>
            <w:i/>
            <w:color w:val="77328A"/>
            <w:spacing w:val="-5"/>
            <w:sz w:val="16"/>
            <w:u w:val="single" w:color="77328A"/>
          </w:rPr>
          <w:t> </w:t>
        </w:r>
        <w:r>
          <w:rPr>
            <w:rFonts w:ascii="Verdana" w:hAnsi="Verdana"/>
            <w:i/>
            <w:color w:val="77328A"/>
            <w:sz w:val="16"/>
            <w:u w:val="single" w:color="77328A"/>
          </w:rPr>
          <w:t>an</w:t>
        </w:r>
        <w:r>
          <w:rPr>
            <w:rFonts w:ascii="Verdana" w:hAnsi="Verdana"/>
            <w:i/>
            <w:color w:val="77328A"/>
            <w:spacing w:val="-5"/>
            <w:sz w:val="16"/>
            <w:u w:val="single" w:color="77328A"/>
          </w:rPr>
          <w:t> </w:t>
        </w:r>
        <w:r>
          <w:rPr>
            <w:rFonts w:ascii="Verdana" w:hAnsi="Verdana"/>
            <w:i/>
            <w:color w:val="77328A"/>
            <w:sz w:val="16"/>
            <w:u w:val="single" w:color="77328A"/>
          </w:rPr>
          <w:t>independent</w:t>
        </w:r>
        <w:r>
          <w:rPr>
            <w:rFonts w:ascii="Verdana" w:hAnsi="Verdana"/>
            <w:i/>
            <w:color w:val="77328A"/>
            <w:spacing w:val="-5"/>
            <w:sz w:val="16"/>
            <w:u w:val="single" w:color="77328A"/>
          </w:rPr>
          <w:t> </w:t>
        </w:r>
        <w:r>
          <w:rPr>
            <w:rFonts w:ascii="Verdana" w:hAnsi="Verdana"/>
            <w:i/>
            <w:color w:val="77328A"/>
            <w:sz w:val="16"/>
            <w:u w:val="single" w:color="77328A"/>
          </w:rPr>
          <w:t>legal</w:t>
        </w:r>
        <w:r>
          <w:rPr>
            <w:rFonts w:ascii="Verdana" w:hAnsi="Verdana"/>
            <w:i/>
            <w:color w:val="77328A"/>
            <w:spacing w:val="-5"/>
            <w:sz w:val="16"/>
            <w:u w:val="single" w:color="77328A"/>
          </w:rPr>
          <w:t> </w:t>
        </w:r>
        <w:r>
          <w:rPr>
            <w:rFonts w:ascii="Verdana" w:hAnsi="Verdana"/>
            <w:i/>
            <w:color w:val="77328A"/>
            <w:sz w:val="16"/>
            <w:u w:val="single" w:color="77328A"/>
          </w:rPr>
          <w:t>opinion</w:t>
        </w:r>
        <w:r>
          <w:rPr>
            <w:rFonts w:ascii="Verdana" w:hAnsi="Verdana"/>
            <w:i/>
            <w:color w:val="77328A"/>
            <w:spacing w:val="-5"/>
            <w:sz w:val="16"/>
            <w:u w:val="single" w:color="77328A"/>
          </w:rPr>
          <w:t> </w:t>
        </w:r>
        <w:r>
          <w:rPr>
            <w:rFonts w:ascii="Verdana" w:hAnsi="Verdana"/>
            <w:i/>
            <w:color w:val="77328A"/>
            <w:sz w:val="16"/>
            <w:u w:val="single" w:color="77328A"/>
          </w:rPr>
          <w:t>commissioned</w:t>
        </w:r>
        <w:r>
          <w:rPr>
            <w:rFonts w:ascii="Verdana" w:hAnsi="Verdana"/>
            <w:i/>
            <w:color w:val="77328A"/>
            <w:spacing w:val="-5"/>
            <w:sz w:val="16"/>
            <w:u w:val="single" w:color="77328A"/>
          </w:rPr>
          <w:t> </w:t>
        </w:r>
        <w:r>
          <w:rPr>
            <w:rFonts w:ascii="Verdana" w:hAnsi="Verdana"/>
            <w:i/>
            <w:color w:val="77328A"/>
            <w:sz w:val="16"/>
            <w:u w:val="single" w:color="77328A"/>
          </w:rPr>
          <w:t>by</w:t>
        </w:r>
        <w:r>
          <w:rPr>
            <w:rFonts w:ascii="Verdana" w:hAnsi="Verdana"/>
            <w:i/>
            <w:color w:val="77328A"/>
            <w:spacing w:val="-5"/>
            <w:sz w:val="16"/>
            <w:u w:val="single" w:color="77328A"/>
          </w:rPr>
          <w:t> </w:t>
        </w:r>
        <w:r>
          <w:rPr>
            <w:rFonts w:ascii="Verdana" w:hAnsi="Verdana"/>
            <w:i/>
            <w:color w:val="77328A"/>
            <w:sz w:val="16"/>
            <w:u w:val="single" w:color="77328A"/>
          </w:rPr>
          <w:t>the</w:t>
        </w:r>
        <w:r>
          <w:rPr>
            <w:rFonts w:ascii="Verdana" w:hAnsi="Verdana"/>
            <w:i/>
            <w:color w:val="77328A"/>
            <w:spacing w:val="-5"/>
            <w:sz w:val="16"/>
            <w:u w:val="single" w:color="77328A"/>
          </w:rPr>
          <w:t> </w:t>
        </w:r>
        <w:r>
          <w:rPr>
            <w:rFonts w:ascii="Verdana" w:hAnsi="Verdana"/>
            <w:i/>
            <w:color w:val="77328A"/>
            <w:sz w:val="16"/>
            <w:u w:val="single" w:color="77328A"/>
          </w:rPr>
          <w:t>European</w:t>
        </w:r>
        <w:r>
          <w:rPr>
            <w:rFonts w:ascii="Verdana" w:hAnsi="Verdana"/>
            <w:i/>
            <w:color w:val="77328A"/>
            <w:spacing w:val="-5"/>
            <w:sz w:val="16"/>
            <w:u w:val="single" w:color="77328A"/>
          </w:rPr>
          <w:t> </w:t>
        </w:r>
        <w:r>
          <w:rPr>
            <w:rFonts w:ascii="Verdana" w:hAnsi="Verdana"/>
            <w:i/>
            <w:color w:val="77328A"/>
            <w:sz w:val="16"/>
            <w:u w:val="single" w:color="77328A"/>
          </w:rPr>
          <w:t>United</w:t>
        </w:r>
        <w:r>
          <w:rPr>
            <w:rFonts w:ascii="Verdana" w:hAnsi="Verdana"/>
            <w:i/>
            <w:color w:val="77328A"/>
            <w:spacing w:val="-5"/>
            <w:sz w:val="16"/>
            <w:u w:val="single" w:color="77328A"/>
          </w:rPr>
          <w:t> </w:t>
        </w:r>
        <w:r>
          <w:rPr>
            <w:rFonts w:ascii="Verdana" w:hAnsi="Verdana"/>
            <w:i/>
            <w:color w:val="77328A"/>
            <w:sz w:val="16"/>
            <w:u w:val="single" w:color="77328A"/>
          </w:rPr>
          <w:t>Left/Nordic</w:t>
        </w:r>
        <w:r>
          <w:rPr>
            <w:rFonts w:ascii="Verdana" w:hAnsi="Verdana"/>
            <w:i/>
            <w:color w:val="77328A"/>
            <w:spacing w:val="-5"/>
            <w:sz w:val="16"/>
            <w:u w:val="single" w:color="77328A"/>
          </w:rPr>
          <w:t> </w:t>
        </w:r>
        <w:r>
          <w:rPr>
            <w:rFonts w:ascii="Verdana" w:hAnsi="Verdana"/>
            <w:i/>
            <w:color w:val="77328A"/>
            <w:sz w:val="16"/>
            <w:u w:val="single" w:color="77328A"/>
          </w:rPr>
          <w:t>Green</w:t>
        </w:r>
        <w:r>
          <w:rPr>
            <w:rFonts w:ascii="Verdana" w:hAnsi="Verdana"/>
            <w:i/>
            <w:color w:val="77328A"/>
            <w:spacing w:val="40"/>
            <w:sz w:val="16"/>
            <w:u w:val="single" w:color="77328A"/>
          </w:rPr>
          <w:t> </w:t>
        </w:r>
      </w:hyperlink>
    </w:p>
    <w:p>
      <w:pPr>
        <w:spacing w:line="220" w:lineRule="exact" w:before="0"/>
        <w:ind w:left="567" w:right="0" w:firstLine="0"/>
        <w:jc w:val="left"/>
        <w:rPr>
          <w:rFonts w:ascii="Lucida Sans Unicode"/>
          <w:sz w:val="16"/>
        </w:rPr>
      </w:pPr>
      <w:hyperlink r:id="rId40">
        <w:r>
          <w:rPr>
            <w:rFonts w:ascii="Verdana"/>
            <w:i/>
            <w:color w:val="77328A"/>
            <w:sz w:val="16"/>
            <w:u w:val="single" w:color="77328A"/>
          </w:rPr>
          <w:t>Left</w:t>
        </w:r>
        <w:r>
          <w:rPr>
            <w:rFonts w:ascii="Verdana"/>
            <w:i/>
            <w:color w:val="77328A"/>
            <w:spacing w:val="-8"/>
            <w:sz w:val="16"/>
            <w:u w:val="single" w:color="77328A"/>
          </w:rPr>
          <w:t> </w:t>
        </w:r>
        <w:r>
          <w:rPr>
            <w:rFonts w:ascii="Verdana"/>
            <w:i/>
            <w:color w:val="77328A"/>
            <w:sz w:val="16"/>
            <w:u w:val="single" w:color="77328A"/>
          </w:rPr>
          <w:t>(GUE/NGL)</w:t>
        </w:r>
        <w:r>
          <w:rPr>
            <w:rFonts w:ascii="Verdana"/>
            <w:i/>
            <w:color w:val="77328A"/>
            <w:spacing w:val="-8"/>
            <w:sz w:val="16"/>
            <w:u w:val="single" w:color="77328A"/>
          </w:rPr>
          <w:t> </w:t>
        </w:r>
        <w:r>
          <w:rPr>
            <w:rFonts w:ascii="Verdana"/>
            <w:i/>
            <w:color w:val="77328A"/>
            <w:sz w:val="16"/>
            <w:u w:val="single" w:color="77328A"/>
          </w:rPr>
          <w:t>Group</w:t>
        </w:r>
        <w:r>
          <w:rPr>
            <w:rFonts w:ascii="Verdana"/>
            <w:i/>
            <w:color w:val="77328A"/>
            <w:spacing w:val="-8"/>
            <w:sz w:val="16"/>
            <w:u w:val="single" w:color="77328A"/>
          </w:rPr>
          <w:t> </w:t>
        </w:r>
        <w:r>
          <w:rPr>
            <w:rFonts w:ascii="Verdana"/>
            <w:i/>
            <w:color w:val="77328A"/>
            <w:sz w:val="16"/>
            <w:u w:val="single" w:color="77328A"/>
          </w:rPr>
          <w:t>of</w:t>
        </w:r>
        <w:r>
          <w:rPr>
            <w:rFonts w:ascii="Verdana"/>
            <w:i/>
            <w:color w:val="77328A"/>
            <w:spacing w:val="-7"/>
            <w:sz w:val="16"/>
            <w:u w:val="single" w:color="77328A"/>
          </w:rPr>
          <w:t> </w:t>
        </w:r>
        <w:r>
          <w:rPr>
            <w:rFonts w:ascii="Verdana"/>
            <w:i/>
            <w:color w:val="77328A"/>
            <w:sz w:val="16"/>
            <w:u w:val="single" w:color="77328A"/>
          </w:rPr>
          <w:t>the</w:t>
        </w:r>
        <w:r>
          <w:rPr>
            <w:rFonts w:ascii="Verdana"/>
            <w:i/>
            <w:color w:val="77328A"/>
            <w:spacing w:val="-8"/>
            <w:sz w:val="16"/>
            <w:u w:val="single" w:color="77328A"/>
          </w:rPr>
          <w:t> </w:t>
        </w:r>
        <w:r>
          <w:rPr>
            <w:rFonts w:ascii="Verdana"/>
            <w:i/>
            <w:color w:val="77328A"/>
            <w:sz w:val="16"/>
            <w:u w:val="single" w:color="77328A"/>
          </w:rPr>
          <w:t>European</w:t>
        </w:r>
        <w:r>
          <w:rPr>
            <w:rFonts w:ascii="Verdana"/>
            <w:i/>
            <w:color w:val="77328A"/>
            <w:spacing w:val="-8"/>
            <w:sz w:val="16"/>
            <w:u w:val="single" w:color="77328A"/>
          </w:rPr>
          <w:t> </w:t>
        </w:r>
        <w:r>
          <w:rPr>
            <w:rFonts w:ascii="Verdana"/>
            <w:i/>
            <w:color w:val="77328A"/>
            <w:sz w:val="16"/>
            <w:u w:val="single" w:color="77328A"/>
          </w:rPr>
          <w:t>Parliament</w:t>
        </w:r>
      </w:hyperlink>
      <w:r>
        <w:rPr>
          <w:rFonts w:ascii="Verdana"/>
          <w:i/>
          <w:color w:val="77328A"/>
          <w:spacing w:val="-7"/>
          <w:sz w:val="16"/>
          <w:u w:val="none"/>
        </w:rPr>
        <w:t> </w:t>
      </w:r>
      <w:r>
        <w:rPr>
          <w:rFonts w:ascii="Lucida Sans Unicode"/>
          <w:sz w:val="16"/>
          <w:u w:val="none"/>
        </w:rPr>
        <w:t>(2</w:t>
      </w:r>
      <w:r>
        <w:rPr>
          <w:rFonts w:ascii="Lucida Sans Unicode"/>
          <w:spacing w:val="-2"/>
          <w:sz w:val="16"/>
          <w:u w:val="none"/>
        </w:rPr>
        <w:t> </w:t>
      </w:r>
      <w:r>
        <w:rPr>
          <w:rFonts w:ascii="Lucida Sans Unicode"/>
          <w:sz w:val="16"/>
          <w:u w:val="none"/>
        </w:rPr>
        <w:t>March</w:t>
      </w:r>
      <w:r>
        <w:rPr>
          <w:rFonts w:ascii="Lucida Sans Unicode"/>
          <w:spacing w:val="-2"/>
          <w:sz w:val="16"/>
          <w:u w:val="none"/>
        </w:rPr>
        <w:t> </w:t>
      </w:r>
      <w:r>
        <w:rPr>
          <w:rFonts w:ascii="Lucida Sans Unicode"/>
          <w:sz w:val="16"/>
          <w:u w:val="none"/>
        </w:rPr>
        <w:t>2018)</w:t>
      </w:r>
      <w:r>
        <w:rPr>
          <w:rFonts w:ascii="Lucida Sans Unicode"/>
          <w:spacing w:val="-2"/>
          <w:sz w:val="16"/>
          <w:u w:val="none"/>
        </w:rPr>
        <w:t> </w:t>
      </w:r>
      <w:r>
        <w:rPr>
          <w:rFonts w:ascii="Lucida Sans Unicode"/>
          <w:sz w:val="16"/>
          <w:u w:val="none"/>
        </w:rPr>
        <w:t>para</w:t>
      </w:r>
      <w:r>
        <w:rPr>
          <w:rFonts w:ascii="Lucida Sans Unicode"/>
          <w:spacing w:val="-1"/>
          <w:sz w:val="16"/>
          <w:u w:val="none"/>
        </w:rPr>
        <w:t> </w:t>
      </w:r>
      <w:r>
        <w:rPr>
          <w:rFonts w:ascii="Lucida Sans Unicode"/>
          <w:spacing w:val="-2"/>
          <w:sz w:val="16"/>
          <w:u w:val="none"/>
        </w:rPr>
        <w:t>3.11.</w:t>
      </w:r>
    </w:p>
    <w:p>
      <w:pPr>
        <w:pStyle w:val="ListParagraph"/>
        <w:numPr>
          <w:ilvl w:val="0"/>
          <w:numId w:val="6"/>
        </w:numPr>
        <w:tabs>
          <w:tab w:pos="566" w:val="left" w:leader="none"/>
        </w:tabs>
        <w:spacing w:line="200" w:lineRule="exact" w:before="0" w:after="0"/>
        <w:ind w:left="566" w:right="0" w:hanging="453"/>
        <w:jc w:val="both"/>
        <w:rPr>
          <w:rFonts w:ascii="Arial"/>
          <w:sz w:val="16"/>
        </w:rPr>
      </w:pPr>
      <w:r>
        <w:rPr>
          <w:sz w:val="16"/>
        </w:rPr>
        <w:t>See</w:t>
      </w:r>
      <w:r>
        <w:rPr>
          <w:spacing w:val="-2"/>
          <w:sz w:val="16"/>
        </w:rPr>
        <w:t> </w:t>
      </w:r>
      <w:r>
        <w:rPr>
          <w:sz w:val="16"/>
        </w:rPr>
        <w:t>e.g.</w:t>
      </w:r>
      <w:r>
        <w:rPr>
          <w:spacing w:val="-2"/>
          <w:sz w:val="16"/>
        </w:rPr>
        <w:t> </w:t>
      </w:r>
      <w:r>
        <w:rPr>
          <w:rFonts w:ascii="Verdana"/>
          <w:i/>
          <w:sz w:val="16"/>
        </w:rPr>
        <w:t>van</w:t>
      </w:r>
      <w:r>
        <w:rPr>
          <w:rFonts w:ascii="Verdana"/>
          <w:i/>
          <w:spacing w:val="-7"/>
          <w:sz w:val="16"/>
        </w:rPr>
        <w:t> </w:t>
      </w:r>
      <w:r>
        <w:rPr>
          <w:rFonts w:ascii="Verdana"/>
          <w:i/>
          <w:sz w:val="16"/>
        </w:rPr>
        <w:t>Duyn</w:t>
      </w:r>
      <w:r>
        <w:rPr>
          <w:rFonts w:ascii="Verdana"/>
          <w:i/>
          <w:spacing w:val="-8"/>
          <w:sz w:val="16"/>
        </w:rPr>
        <w:t> </w:t>
      </w:r>
      <w:r>
        <w:rPr>
          <w:sz w:val="16"/>
        </w:rPr>
        <w:t>(n</w:t>
      </w:r>
      <w:r>
        <w:rPr>
          <w:spacing w:val="-2"/>
          <w:sz w:val="16"/>
        </w:rPr>
        <w:t> </w:t>
      </w:r>
      <w:r>
        <w:rPr>
          <w:spacing w:val="-4"/>
          <w:sz w:val="16"/>
        </w:rPr>
        <w:t>48).</w:t>
      </w:r>
    </w:p>
    <w:p>
      <w:pPr>
        <w:pStyle w:val="ListParagraph"/>
        <w:numPr>
          <w:ilvl w:val="0"/>
          <w:numId w:val="6"/>
        </w:numPr>
        <w:tabs>
          <w:tab w:pos="567" w:val="left" w:leader="none"/>
        </w:tabs>
        <w:spacing w:line="223" w:lineRule="exact" w:before="0" w:after="0"/>
        <w:ind w:left="567" w:right="0" w:hanging="454"/>
        <w:jc w:val="left"/>
        <w:rPr>
          <w:rFonts w:ascii="Arial"/>
          <w:sz w:val="16"/>
        </w:rPr>
      </w:pPr>
      <w:r>
        <w:rPr>
          <w:rFonts w:ascii="Verdana"/>
          <w:i/>
          <w:sz w:val="16"/>
        </w:rPr>
        <w:t>Angesom</w:t>
      </w:r>
      <w:r>
        <w:rPr>
          <w:rFonts w:ascii="Verdana"/>
          <w:i/>
          <w:spacing w:val="-7"/>
          <w:sz w:val="16"/>
        </w:rPr>
        <w:t> </w:t>
      </w:r>
      <w:r>
        <w:rPr>
          <w:sz w:val="16"/>
        </w:rPr>
        <w:t>(n 33),</w:t>
      </w:r>
      <w:r>
        <w:rPr>
          <w:spacing w:val="-1"/>
          <w:sz w:val="16"/>
        </w:rPr>
        <w:t> </w:t>
      </w:r>
      <w:r>
        <w:rPr>
          <w:sz w:val="16"/>
        </w:rPr>
        <w:t>para 91, per</w:t>
      </w:r>
      <w:r>
        <w:rPr>
          <w:spacing w:val="-1"/>
          <w:sz w:val="16"/>
        </w:rPr>
        <w:t> </w:t>
      </w:r>
      <w:r>
        <w:rPr>
          <w:sz w:val="16"/>
        </w:rPr>
        <w:t>Colton J; </w:t>
      </w:r>
      <w:r>
        <w:rPr>
          <w:rFonts w:ascii="Verdana"/>
          <w:i/>
          <w:sz w:val="16"/>
        </w:rPr>
        <w:t>SPUC</w:t>
      </w:r>
      <w:r>
        <w:rPr>
          <w:rFonts w:ascii="Verdana"/>
          <w:i/>
          <w:spacing w:val="-7"/>
          <w:sz w:val="16"/>
        </w:rPr>
        <w:t> </w:t>
      </w:r>
      <w:r>
        <w:rPr>
          <w:sz w:val="16"/>
        </w:rPr>
        <w:t>(n 43), para</w:t>
      </w:r>
      <w:r>
        <w:rPr>
          <w:spacing w:val="-1"/>
          <w:sz w:val="16"/>
        </w:rPr>
        <w:t> </w:t>
      </w:r>
      <w:r>
        <w:rPr>
          <w:sz w:val="16"/>
        </w:rPr>
        <w:t>77, per Colton</w:t>
      </w:r>
      <w:r>
        <w:rPr>
          <w:spacing w:val="-1"/>
          <w:sz w:val="16"/>
        </w:rPr>
        <w:t> </w:t>
      </w:r>
      <w:r>
        <w:rPr>
          <w:spacing w:val="-5"/>
          <w:sz w:val="16"/>
        </w:rPr>
        <w:t>J.</w:t>
      </w:r>
    </w:p>
    <w:p>
      <w:pPr>
        <w:spacing w:after="0" w:line="223" w:lineRule="exact"/>
        <w:jc w:val="left"/>
        <w:rPr>
          <w:rFonts w:ascii="Arial"/>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312" w:lineRule="exact" w:before="48"/>
        <w:ind w:right="48"/>
      </w:pPr>
      <w:bookmarkStart w:name="b. The enforcement of the non-diminution" w:id="44"/>
      <w:bookmarkEnd w:id="44"/>
      <w:r>
        <w:rPr/>
      </w:r>
      <w:bookmarkStart w:name="_bookmark18" w:id="45"/>
      <w:bookmarkEnd w:id="45"/>
      <w:r>
        <w:rPr/>
      </w:r>
      <w:r>
        <w:rPr>
          <w:w w:val="115"/>
        </w:rPr>
        <w:t>It</w:t>
      </w:r>
      <w:r>
        <w:rPr>
          <w:spacing w:val="-18"/>
          <w:w w:val="115"/>
        </w:rPr>
        <w:t> </w:t>
      </w:r>
      <w:r>
        <w:rPr>
          <w:w w:val="115"/>
        </w:rPr>
        <w:t>is</w:t>
      </w:r>
      <w:r>
        <w:rPr>
          <w:spacing w:val="-18"/>
          <w:w w:val="115"/>
        </w:rPr>
        <w:t> </w:t>
      </w:r>
      <w:r>
        <w:rPr>
          <w:w w:val="115"/>
        </w:rPr>
        <w:t>important,</w:t>
      </w:r>
      <w:r>
        <w:rPr>
          <w:spacing w:val="-18"/>
          <w:w w:val="115"/>
        </w:rPr>
        <w:t> </w:t>
      </w:r>
      <w:r>
        <w:rPr>
          <w:w w:val="115"/>
        </w:rPr>
        <w:t>therefore,</w:t>
      </w:r>
      <w:r>
        <w:rPr>
          <w:spacing w:val="-18"/>
          <w:w w:val="115"/>
        </w:rPr>
        <w:t> </w:t>
      </w:r>
      <w:r>
        <w:rPr>
          <w:w w:val="115"/>
        </w:rPr>
        <w:t>to</w:t>
      </w:r>
      <w:r>
        <w:rPr>
          <w:spacing w:val="-18"/>
          <w:w w:val="115"/>
        </w:rPr>
        <w:t> </w:t>
      </w:r>
      <w:r>
        <w:rPr>
          <w:w w:val="115"/>
        </w:rPr>
        <w:t>remember that the question of Charter applicability pertains not only to the </w:t>
      </w:r>
      <w:r>
        <w:rPr>
          <w:rFonts w:ascii="Lucida Sans Unicode"/>
          <w:w w:val="110"/>
        </w:rPr>
        <w:t>rights</w:t>
      </w:r>
      <w:r>
        <w:rPr>
          <w:rFonts w:ascii="Lucida Sans Unicode"/>
          <w:spacing w:val="-21"/>
          <w:w w:val="110"/>
        </w:rPr>
        <w:t> </w:t>
      </w:r>
      <w:r>
        <w:rPr>
          <w:rFonts w:ascii="Lucida Sans Unicode"/>
          <w:w w:val="110"/>
        </w:rPr>
        <w:t>within</w:t>
      </w:r>
      <w:r>
        <w:rPr>
          <w:rFonts w:ascii="Lucida Sans Unicode"/>
          <w:spacing w:val="-21"/>
          <w:w w:val="110"/>
        </w:rPr>
        <w:t> </w:t>
      </w:r>
      <w:r>
        <w:rPr>
          <w:rFonts w:ascii="Lucida Sans Unicode"/>
          <w:w w:val="110"/>
        </w:rPr>
        <w:t>the</w:t>
      </w:r>
      <w:r>
        <w:rPr>
          <w:rFonts w:ascii="Lucida Sans Unicode"/>
          <w:spacing w:val="-21"/>
          <w:w w:val="110"/>
        </w:rPr>
        <w:t> </w:t>
      </w:r>
      <w:r>
        <w:rPr>
          <w:rFonts w:ascii="Lucida Sans Unicode"/>
          <w:w w:val="110"/>
        </w:rPr>
        <w:t>RSEO</w:t>
      </w:r>
      <w:r>
        <w:rPr>
          <w:rFonts w:ascii="Lucida Sans Unicode"/>
          <w:spacing w:val="-21"/>
          <w:w w:val="110"/>
        </w:rPr>
        <w:t> </w:t>
      </w:r>
      <w:r>
        <w:rPr>
          <w:rFonts w:ascii="Lucida Sans Unicode"/>
          <w:w w:val="110"/>
        </w:rPr>
        <w:t>section,</w:t>
      </w:r>
      <w:r>
        <w:rPr>
          <w:rFonts w:ascii="Lucida Sans Unicode"/>
          <w:spacing w:val="-21"/>
          <w:w w:val="110"/>
        </w:rPr>
        <w:t> </w:t>
      </w:r>
      <w:r>
        <w:rPr>
          <w:rFonts w:ascii="Lucida Sans Unicode"/>
          <w:w w:val="110"/>
        </w:rPr>
        <w:t>but </w:t>
      </w:r>
      <w:r>
        <w:rPr>
          <w:w w:val="115"/>
        </w:rPr>
        <w:t>also to every safeguard and every provision relating to the economic, social and cultural issues contained within that section, so long as any</w:t>
      </w:r>
    </w:p>
    <w:p>
      <w:pPr>
        <w:pStyle w:val="BodyText"/>
        <w:spacing w:line="271" w:lineRule="auto" w:before="32"/>
        <w:ind w:right="671"/>
      </w:pPr>
      <w:r>
        <w:rPr>
          <w:spacing w:val="-2"/>
          <w:w w:val="115"/>
        </w:rPr>
        <w:t>of</w:t>
      </w:r>
      <w:r>
        <w:rPr>
          <w:spacing w:val="-18"/>
          <w:w w:val="115"/>
        </w:rPr>
        <w:t> </w:t>
      </w:r>
      <w:r>
        <w:rPr>
          <w:spacing w:val="-2"/>
          <w:w w:val="115"/>
        </w:rPr>
        <w:t>these</w:t>
      </w:r>
      <w:r>
        <w:rPr>
          <w:spacing w:val="-17"/>
          <w:w w:val="115"/>
        </w:rPr>
        <w:t> </w:t>
      </w:r>
      <w:r>
        <w:rPr>
          <w:spacing w:val="-2"/>
          <w:w w:val="115"/>
        </w:rPr>
        <w:t>provisions</w:t>
      </w:r>
      <w:r>
        <w:rPr>
          <w:spacing w:val="-17"/>
          <w:w w:val="115"/>
        </w:rPr>
        <w:t> </w:t>
      </w:r>
      <w:r>
        <w:rPr>
          <w:spacing w:val="-2"/>
          <w:w w:val="115"/>
        </w:rPr>
        <w:t>can</w:t>
      </w:r>
      <w:r>
        <w:rPr>
          <w:spacing w:val="-17"/>
          <w:w w:val="115"/>
        </w:rPr>
        <w:t> </w:t>
      </w:r>
      <w:r>
        <w:rPr>
          <w:spacing w:val="-2"/>
          <w:w w:val="115"/>
        </w:rPr>
        <w:t>be</w:t>
      </w:r>
      <w:r>
        <w:rPr>
          <w:spacing w:val="-17"/>
          <w:w w:val="115"/>
        </w:rPr>
        <w:t> </w:t>
      </w:r>
      <w:r>
        <w:rPr>
          <w:spacing w:val="-2"/>
          <w:w w:val="115"/>
        </w:rPr>
        <w:t>shown </w:t>
      </w:r>
      <w:r>
        <w:rPr>
          <w:w w:val="115"/>
        </w:rPr>
        <w:t>to have been underpinned by a</w:t>
      </w:r>
    </w:p>
    <w:p>
      <w:pPr>
        <w:pStyle w:val="BodyText"/>
        <w:spacing w:line="204" w:lineRule="auto" w:before="3"/>
        <w:ind w:right="48"/>
        <w:rPr>
          <w:rFonts w:ascii="Lucida Sans Unicode"/>
        </w:rPr>
      </w:pPr>
      <w:r>
        <w:rPr>
          <w:rFonts w:ascii="Lucida Sans Unicode"/>
        </w:rPr>
        <w:t>relevant</w:t>
      </w:r>
      <w:r>
        <w:rPr>
          <w:rFonts w:ascii="Lucida Sans Unicode"/>
          <w:spacing w:val="-1"/>
        </w:rPr>
        <w:t> </w:t>
      </w:r>
      <w:r>
        <w:rPr>
          <w:rFonts w:ascii="Lucida Sans Unicode"/>
        </w:rPr>
        <w:t>provision</w:t>
      </w:r>
      <w:r>
        <w:rPr>
          <w:rFonts w:ascii="Lucida Sans Unicode"/>
          <w:spacing w:val="-1"/>
        </w:rPr>
        <w:t> </w:t>
      </w:r>
      <w:r>
        <w:rPr>
          <w:rFonts w:ascii="Lucida Sans Unicode"/>
        </w:rPr>
        <w:t>of</w:t>
      </w:r>
      <w:r>
        <w:rPr>
          <w:rFonts w:ascii="Lucida Sans Unicode"/>
          <w:spacing w:val="-1"/>
        </w:rPr>
        <w:t> </w:t>
      </w:r>
      <w:r>
        <w:rPr>
          <w:rFonts w:ascii="Lucida Sans Unicode"/>
        </w:rPr>
        <w:t>EU</w:t>
      </w:r>
      <w:r>
        <w:rPr>
          <w:rFonts w:ascii="Lucida Sans Unicode"/>
          <w:spacing w:val="-1"/>
        </w:rPr>
        <w:t> </w:t>
      </w:r>
      <w:r>
        <w:rPr>
          <w:rFonts w:ascii="Lucida Sans Unicode"/>
        </w:rPr>
        <w:t>law</w:t>
      </w:r>
      <w:r>
        <w:rPr>
          <w:rFonts w:ascii="Lucida Sans Unicode"/>
          <w:spacing w:val="-1"/>
        </w:rPr>
        <w:t> </w:t>
      </w:r>
      <w:r>
        <w:rPr>
          <w:rFonts w:ascii="Lucida Sans Unicode"/>
        </w:rPr>
        <w:t>before</w:t>
      </w:r>
      <w:r>
        <w:rPr>
          <w:rFonts w:ascii="Lucida Sans Unicode"/>
          <w:spacing w:val="-1"/>
        </w:rPr>
        <w:t> </w:t>
      </w:r>
      <w:r>
        <w:rPr>
          <w:rFonts w:ascii="Lucida Sans Unicode"/>
        </w:rPr>
        <w:t>31 December 2020.</w:t>
      </w:r>
      <w:r>
        <w:rPr>
          <w:rFonts w:ascii="Lucida Sans Unicode"/>
          <w:vertAlign w:val="superscript"/>
        </w:rPr>
        <w:t>168</w:t>
      </w:r>
    </w:p>
    <w:p>
      <w:pPr>
        <w:pStyle w:val="ListParagraph"/>
        <w:numPr>
          <w:ilvl w:val="1"/>
          <w:numId w:val="9"/>
        </w:numPr>
        <w:tabs>
          <w:tab w:pos="411" w:val="left" w:leader="none"/>
        </w:tabs>
        <w:spacing w:line="266" w:lineRule="auto" w:before="283" w:after="0"/>
        <w:ind w:left="113" w:right="1190" w:firstLine="0"/>
        <w:jc w:val="left"/>
        <w:rPr>
          <w:rFonts w:ascii="Arial"/>
          <w:sz w:val="24"/>
        </w:rPr>
      </w:pPr>
      <w:r>
        <w:rPr>
          <w:rFonts w:ascii="Tahoma"/>
          <w:b/>
          <w:color w:val="77328A"/>
          <w:w w:val="105"/>
          <w:sz w:val="24"/>
        </w:rPr>
        <w:t>The enforcement of the </w:t>
      </w:r>
      <w:r>
        <w:rPr>
          <w:rFonts w:ascii="Tahoma"/>
          <w:b/>
          <w:color w:val="77328A"/>
          <w:sz w:val="24"/>
        </w:rPr>
        <w:t>non-diminution</w:t>
      </w:r>
      <w:r>
        <w:rPr>
          <w:rFonts w:ascii="Tahoma"/>
          <w:b/>
          <w:color w:val="77328A"/>
          <w:spacing w:val="-18"/>
          <w:sz w:val="24"/>
        </w:rPr>
        <w:t> </w:t>
      </w:r>
      <w:r>
        <w:rPr>
          <w:rFonts w:ascii="Tahoma"/>
          <w:b/>
          <w:color w:val="77328A"/>
          <w:sz w:val="24"/>
        </w:rPr>
        <w:t>requirement </w:t>
      </w:r>
      <w:r>
        <w:rPr>
          <w:rFonts w:ascii="Arial"/>
          <w:w w:val="105"/>
          <w:sz w:val="24"/>
        </w:rPr>
        <w:t>The</w:t>
      </w:r>
      <w:r>
        <w:rPr>
          <w:rFonts w:ascii="Arial"/>
          <w:spacing w:val="45"/>
          <w:w w:val="105"/>
          <w:sz w:val="24"/>
        </w:rPr>
        <w:t> </w:t>
      </w:r>
      <w:r>
        <w:rPr>
          <w:rFonts w:ascii="Arial"/>
          <w:w w:val="105"/>
          <w:sz w:val="24"/>
        </w:rPr>
        <w:t>enforcement</w:t>
      </w:r>
      <w:r>
        <w:rPr>
          <w:rFonts w:ascii="Arial"/>
          <w:spacing w:val="46"/>
          <w:w w:val="105"/>
          <w:sz w:val="24"/>
        </w:rPr>
        <w:t> </w:t>
      </w:r>
      <w:r>
        <w:rPr>
          <w:rFonts w:ascii="Arial"/>
          <w:w w:val="105"/>
          <w:sz w:val="24"/>
        </w:rPr>
        <w:t>of</w:t>
      </w:r>
      <w:r>
        <w:rPr>
          <w:rFonts w:ascii="Arial"/>
          <w:spacing w:val="46"/>
          <w:w w:val="105"/>
          <w:sz w:val="24"/>
        </w:rPr>
        <w:t> </w:t>
      </w:r>
      <w:r>
        <w:rPr>
          <w:rFonts w:ascii="Arial"/>
          <w:w w:val="105"/>
          <w:sz w:val="24"/>
        </w:rPr>
        <w:t>the</w:t>
      </w:r>
      <w:r>
        <w:rPr>
          <w:rFonts w:ascii="Arial"/>
          <w:spacing w:val="46"/>
          <w:w w:val="105"/>
          <w:sz w:val="24"/>
        </w:rPr>
        <w:t> </w:t>
      </w:r>
      <w:r>
        <w:rPr>
          <w:rFonts w:ascii="Arial"/>
          <w:spacing w:val="-4"/>
          <w:w w:val="105"/>
          <w:sz w:val="24"/>
        </w:rPr>
        <w:t>non-</w:t>
      </w:r>
    </w:p>
    <w:p>
      <w:pPr>
        <w:pStyle w:val="BodyText"/>
        <w:spacing w:line="232" w:lineRule="auto" w:before="11"/>
        <w:ind w:right="197"/>
        <w:jc w:val="both"/>
      </w:pPr>
      <w:r>
        <w:rPr>
          <w:w w:val="110"/>
        </w:rPr>
        <w:t>diminution requirement under Article</w:t>
      </w:r>
      <w:r>
        <w:rPr>
          <w:spacing w:val="40"/>
          <w:w w:val="110"/>
        </w:rPr>
        <w:t> </w:t>
      </w:r>
      <w:r>
        <w:rPr>
          <w:rFonts w:ascii="Lucida Sans Unicode"/>
        </w:rPr>
        <w:t>2 of the Windsor Framework </w:t>
      </w:r>
      <w:r>
        <w:rPr>
          <w:rFonts w:ascii="Lucida Sans Unicode"/>
        </w:rPr>
        <w:t>involves </w:t>
      </w:r>
      <w:r>
        <w:rPr>
          <w:w w:val="110"/>
        </w:rPr>
        <w:t>a somewhat complex trigger. This</w:t>
      </w:r>
    </w:p>
    <w:p>
      <w:pPr>
        <w:spacing w:line="264" w:lineRule="auto" w:before="39"/>
        <w:ind w:left="113" w:right="298" w:firstLine="0"/>
        <w:jc w:val="left"/>
        <w:rPr>
          <w:sz w:val="24"/>
        </w:rPr>
      </w:pPr>
      <w:r>
        <w:rPr>
          <w:w w:val="110"/>
          <w:sz w:val="24"/>
        </w:rPr>
        <w:t>trigger was explored in detail by </w:t>
      </w:r>
      <w:r>
        <w:rPr>
          <w:w w:val="110"/>
          <w:sz w:val="24"/>
        </w:rPr>
        <w:t>the Court of Appeal in Northern Ireland, </w:t>
      </w:r>
      <w:r>
        <w:rPr>
          <w:sz w:val="24"/>
        </w:rPr>
        <w:t>in </w:t>
      </w:r>
      <w:r>
        <w:rPr>
          <w:rFonts w:ascii="Verdana" w:hAnsi="Verdana"/>
          <w:i/>
          <w:sz w:val="24"/>
        </w:rPr>
        <w:t>SPUC’s application for judicial</w:t>
      </w:r>
      <w:r>
        <w:rPr>
          <w:rFonts w:ascii="Verdana" w:hAnsi="Verdana"/>
          <w:i/>
          <w:sz w:val="24"/>
        </w:rPr>
        <w:t> </w:t>
      </w:r>
      <w:r>
        <w:rPr>
          <w:rFonts w:ascii="Verdana" w:hAnsi="Verdana"/>
          <w:i/>
          <w:w w:val="110"/>
          <w:sz w:val="24"/>
        </w:rPr>
        <w:t>review</w:t>
      </w:r>
      <w:r>
        <w:rPr>
          <w:w w:val="110"/>
          <w:sz w:val="24"/>
        </w:rPr>
        <w:t>.</w:t>
      </w:r>
      <w:r>
        <w:rPr>
          <w:w w:val="110"/>
          <w:sz w:val="24"/>
          <w:vertAlign w:val="superscript"/>
        </w:rPr>
        <w:t>169</w:t>
      </w:r>
      <w:r>
        <w:rPr>
          <w:spacing w:val="-5"/>
          <w:w w:val="110"/>
          <w:sz w:val="24"/>
          <w:vertAlign w:val="baseline"/>
        </w:rPr>
        <w:t> </w:t>
      </w:r>
      <w:r>
        <w:rPr>
          <w:w w:val="110"/>
          <w:sz w:val="24"/>
          <w:vertAlign w:val="baseline"/>
        </w:rPr>
        <w:t>In</w:t>
      </w:r>
      <w:r>
        <w:rPr>
          <w:spacing w:val="-5"/>
          <w:w w:val="110"/>
          <w:sz w:val="24"/>
          <w:vertAlign w:val="baseline"/>
        </w:rPr>
        <w:t> </w:t>
      </w:r>
      <w:r>
        <w:rPr>
          <w:rFonts w:ascii="Verdana" w:hAnsi="Verdana"/>
          <w:i/>
          <w:w w:val="110"/>
          <w:sz w:val="24"/>
          <w:vertAlign w:val="baseline"/>
        </w:rPr>
        <w:t>SPUC</w:t>
      </w:r>
      <w:r>
        <w:rPr>
          <w:w w:val="110"/>
          <w:sz w:val="24"/>
          <w:vertAlign w:val="baseline"/>
        </w:rPr>
        <w:t>,</w:t>
      </w:r>
      <w:r>
        <w:rPr>
          <w:spacing w:val="-5"/>
          <w:w w:val="110"/>
          <w:sz w:val="24"/>
          <w:vertAlign w:val="baseline"/>
        </w:rPr>
        <w:t> </w:t>
      </w:r>
      <w:r>
        <w:rPr>
          <w:w w:val="110"/>
          <w:sz w:val="24"/>
          <w:vertAlign w:val="baseline"/>
        </w:rPr>
        <w:t>the</w:t>
      </w:r>
      <w:r>
        <w:rPr>
          <w:spacing w:val="-5"/>
          <w:w w:val="110"/>
          <w:sz w:val="24"/>
          <w:vertAlign w:val="baseline"/>
        </w:rPr>
        <w:t> </w:t>
      </w:r>
      <w:r>
        <w:rPr>
          <w:w w:val="110"/>
          <w:sz w:val="24"/>
          <w:vertAlign w:val="baseline"/>
        </w:rPr>
        <w:t>Court</w:t>
      </w:r>
      <w:r>
        <w:rPr>
          <w:spacing w:val="-5"/>
          <w:w w:val="110"/>
          <w:sz w:val="24"/>
          <w:vertAlign w:val="baseline"/>
        </w:rPr>
        <w:t> </w:t>
      </w:r>
      <w:r>
        <w:rPr>
          <w:w w:val="110"/>
          <w:sz w:val="24"/>
          <w:vertAlign w:val="baseline"/>
        </w:rPr>
        <w:t>of Appeal set out a six-stage test:</w:t>
      </w:r>
    </w:p>
    <w:p>
      <w:pPr>
        <w:pStyle w:val="BodyText"/>
        <w:spacing w:before="11"/>
        <w:ind w:left="0"/>
      </w:pPr>
    </w:p>
    <w:p>
      <w:pPr>
        <w:pStyle w:val="ListParagraph"/>
        <w:numPr>
          <w:ilvl w:val="0"/>
          <w:numId w:val="10"/>
        </w:numPr>
        <w:tabs>
          <w:tab w:pos="680" w:val="left" w:leader="none"/>
        </w:tabs>
        <w:spacing w:line="312" w:lineRule="exact" w:before="0" w:after="0"/>
        <w:ind w:left="680" w:right="38" w:hanging="567"/>
        <w:jc w:val="left"/>
        <w:rPr>
          <w:rFonts w:ascii="Arial"/>
          <w:sz w:val="24"/>
        </w:rPr>
      </w:pPr>
      <w:r>
        <w:rPr>
          <w:rFonts w:ascii="Arial"/>
          <w:w w:val="110"/>
          <w:sz w:val="24"/>
        </w:rPr>
        <w:t>A</w:t>
      </w:r>
      <w:r>
        <w:rPr>
          <w:rFonts w:ascii="Arial"/>
          <w:spacing w:val="59"/>
          <w:w w:val="110"/>
          <w:sz w:val="24"/>
        </w:rPr>
        <w:t> </w:t>
      </w:r>
      <w:r>
        <w:rPr>
          <w:rFonts w:ascii="Arial"/>
          <w:w w:val="110"/>
          <w:sz w:val="24"/>
        </w:rPr>
        <w:t>right</w:t>
      </w:r>
      <w:r>
        <w:rPr>
          <w:rFonts w:ascii="Arial"/>
          <w:spacing w:val="59"/>
          <w:w w:val="110"/>
          <w:sz w:val="24"/>
        </w:rPr>
        <w:t> </w:t>
      </w:r>
      <w:r>
        <w:rPr>
          <w:rFonts w:ascii="Arial"/>
          <w:w w:val="110"/>
          <w:sz w:val="24"/>
        </w:rPr>
        <w:t>(or</w:t>
      </w:r>
      <w:r>
        <w:rPr>
          <w:rFonts w:ascii="Arial"/>
          <w:spacing w:val="59"/>
          <w:w w:val="110"/>
          <w:sz w:val="24"/>
        </w:rPr>
        <w:t> </w:t>
      </w:r>
      <w:r>
        <w:rPr>
          <w:rFonts w:ascii="Arial"/>
          <w:w w:val="110"/>
          <w:sz w:val="24"/>
        </w:rPr>
        <w:t>equality</w:t>
      </w:r>
      <w:r>
        <w:rPr>
          <w:rFonts w:ascii="Arial"/>
          <w:spacing w:val="59"/>
          <w:w w:val="110"/>
          <w:sz w:val="24"/>
        </w:rPr>
        <w:t> </w:t>
      </w:r>
      <w:r>
        <w:rPr>
          <w:rFonts w:ascii="Arial"/>
          <w:w w:val="110"/>
          <w:sz w:val="24"/>
        </w:rPr>
        <w:t>of</w:t>
      </w:r>
      <w:r>
        <w:rPr>
          <w:rFonts w:ascii="Arial"/>
          <w:spacing w:val="40"/>
          <w:w w:val="110"/>
          <w:sz w:val="24"/>
        </w:rPr>
        <w:t> </w:t>
      </w:r>
      <w:r>
        <w:rPr>
          <w:rFonts w:ascii="Arial"/>
          <w:w w:val="110"/>
          <w:sz w:val="24"/>
        </w:rPr>
        <w:t>opportunity</w:t>
      </w:r>
      <w:r>
        <w:rPr>
          <w:rFonts w:ascii="Arial"/>
          <w:spacing w:val="40"/>
          <w:w w:val="110"/>
          <w:sz w:val="24"/>
        </w:rPr>
        <w:t> </w:t>
      </w:r>
      <w:r>
        <w:rPr>
          <w:rFonts w:ascii="Arial"/>
          <w:w w:val="110"/>
          <w:sz w:val="24"/>
        </w:rPr>
        <w:t>protection)</w:t>
      </w:r>
      <w:r>
        <w:rPr>
          <w:rFonts w:ascii="Arial"/>
          <w:spacing w:val="40"/>
          <w:w w:val="110"/>
          <w:sz w:val="24"/>
        </w:rPr>
        <w:t> </w:t>
      </w:r>
      <w:r>
        <w:rPr>
          <w:rFonts w:ascii="Arial"/>
          <w:w w:val="110"/>
          <w:sz w:val="24"/>
        </w:rPr>
        <w:t>included</w:t>
      </w:r>
      <w:r>
        <w:rPr>
          <w:rFonts w:ascii="Arial"/>
          <w:spacing w:val="40"/>
          <w:w w:val="110"/>
          <w:sz w:val="24"/>
        </w:rPr>
        <w:t> </w:t>
      </w:r>
      <w:r>
        <w:rPr>
          <w:rFonts w:ascii="Arial"/>
          <w:w w:val="110"/>
          <w:sz w:val="24"/>
        </w:rPr>
        <w:t>in the relevant part of the </w:t>
      </w:r>
      <w:r>
        <w:rPr>
          <w:rFonts w:ascii="Arial"/>
          <w:w w:val="110"/>
          <w:sz w:val="24"/>
        </w:rPr>
        <w:t>Belfast/ </w:t>
      </w:r>
      <w:r>
        <w:rPr>
          <w:sz w:val="24"/>
        </w:rPr>
        <w:t>Good Friday 1998 Agreement is </w:t>
      </w:r>
      <w:r>
        <w:rPr>
          <w:rFonts w:ascii="Arial"/>
          <w:spacing w:val="-2"/>
          <w:w w:val="110"/>
          <w:sz w:val="24"/>
        </w:rPr>
        <w:t>engaged.</w:t>
      </w:r>
    </w:p>
    <w:p>
      <w:pPr>
        <w:pStyle w:val="ListParagraph"/>
        <w:numPr>
          <w:ilvl w:val="0"/>
          <w:numId w:val="10"/>
        </w:numPr>
        <w:tabs>
          <w:tab w:pos="680" w:val="left" w:leader="none"/>
        </w:tabs>
        <w:spacing w:line="312" w:lineRule="exact" w:before="5" w:after="0"/>
        <w:ind w:left="680" w:right="38" w:hanging="567"/>
        <w:jc w:val="left"/>
        <w:rPr>
          <w:sz w:val="24"/>
        </w:rPr>
      </w:pPr>
      <w:r>
        <w:rPr>
          <w:rFonts w:ascii="Arial"/>
          <w:w w:val="110"/>
          <w:sz w:val="24"/>
        </w:rPr>
        <w:t>That right was given effect (in whole or in part) in Northern </w:t>
      </w:r>
      <w:r>
        <w:rPr>
          <w:sz w:val="24"/>
        </w:rPr>
        <w:t>Ireland,</w:t>
      </w:r>
      <w:r>
        <w:rPr>
          <w:spacing w:val="-10"/>
          <w:sz w:val="24"/>
        </w:rPr>
        <w:t> </w:t>
      </w:r>
      <w:r>
        <w:rPr>
          <w:sz w:val="24"/>
        </w:rPr>
        <w:t>on</w:t>
      </w:r>
      <w:r>
        <w:rPr>
          <w:spacing w:val="-10"/>
          <w:sz w:val="24"/>
        </w:rPr>
        <w:t> </w:t>
      </w:r>
      <w:r>
        <w:rPr>
          <w:sz w:val="24"/>
        </w:rPr>
        <w:t>or</w:t>
      </w:r>
      <w:r>
        <w:rPr>
          <w:spacing w:val="-10"/>
          <w:sz w:val="24"/>
        </w:rPr>
        <w:t> </w:t>
      </w:r>
      <w:r>
        <w:rPr>
          <w:sz w:val="24"/>
        </w:rPr>
        <w:t>before</w:t>
      </w:r>
      <w:r>
        <w:rPr>
          <w:spacing w:val="-10"/>
          <w:sz w:val="24"/>
        </w:rPr>
        <w:t> </w:t>
      </w:r>
      <w:r>
        <w:rPr>
          <w:sz w:val="24"/>
        </w:rPr>
        <w:t>31</w:t>
      </w:r>
      <w:r>
        <w:rPr>
          <w:spacing w:val="-10"/>
          <w:sz w:val="24"/>
        </w:rPr>
        <w:t> </w:t>
      </w:r>
      <w:r>
        <w:rPr>
          <w:sz w:val="24"/>
        </w:rPr>
        <w:t>December </w:t>
      </w:r>
      <w:r>
        <w:rPr>
          <w:spacing w:val="-2"/>
          <w:w w:val="110"/>
          <w:sz w:val="24"/>
        </w:rPr>
        <w:t>2020.</w:t>
      </w:r>
    </w:p>
    <w:p>
      <w:pPr>
        <w:pStyle w:val="ListParagraph"/>
        <w:numPr>
          <w:ilvl w:val="0"/>
          <w:numId w:val="10"/>
        </w:numPr>
        <w:tabs>
          <w:tab w:pos="680" w:val="left" w:leader="none"/>
        </w:tabs>
        <w:spacing w:line="271" w:lineRule="auto" w:before="28" w:after="0"/>
        <w:ind w:left="680" w:right="489" w:hanging="567"/>
        <w:jc w:val="left"/>
        <w:rPr>
          <w:rFonts w:ascii="Arial"/>
          <w:sz w:val="24"/>
        </w:rPr>
      </w:pPr>
      <w:r>
        <w:rPr>
          <w:rFonts w:ascii="Arial"/>
          <w:w w:val="110"/>
          <w:sz w:val="24"/>
        </w:rPr>
        <w:t>That Northern Ireland law </w:t>
      </w:r>
      <w:r>
        <w:rPr>
          <w:rFonts w:ascii="Arial"/>
          <w:w w:val="110"/>
          <w:sz w:val="24"/>
        </w:rPr>
        <w:t>was underpinned by EU law.</w:t>
      </w:r>
    </w:p>
    <w:p>
      <w:pPr>
        <w:pStyle w:val="ListParagraph"/>
        <w:numPr>
          <w:ilvl w:val="0"/>
          <w:numId w:val="10"/>
        </w:numPr>
        <w:tabs>
          <w:tab w:pos="680" w:val="left" w:leader="none"/>
        </w:tabs>
        <w:spacing w:line="280" w:lineRule="auto" w:before="72" w:after="0"/>
        <w:ind w:left="680" w:right="574" w:hanging="567"/>
        <w:jc w:val="left"/>
        <w:rPr>
          <w:rFonts w:ascii="Arial"/>
          <w:sz w:val="24"/>
        </w:rPr>
      </w:pPr>
      <w:r>
        <w:rPr/>
        <w:br w:type="column"/>
      </w:r>
      <w:r>
        <w:rPr>
          <w:rFonts w:ascii="Arial"/>
          <w:w w:val="115"/>
          <w:sz w:val="24"/>
        </w:rPr>
        <w:t>That underpinning has been removed, in whole or in part, following</w:t>
      </w:r>
      <w:r>
        <w:rPr>
          <w:rFonts w:ascii="Arial"/>
          <w:spacing w:val="-5"/>
          <w:w w:val="115"/>
          <w:sz w:val="24"/>
        </w:rPr>
        <w:t> </w:t>
      </w:r>
      <w:r>
        <w:rPr>
          <w:rFonts w:ascii="Arial"/>
          <w:w w:val="115"/>
          <w:sz w:val="24"/>
        </w:rPr>
        <w:t>withdrawal</w:t>
      </w:r>
      <w:r>
        <w:rPr>
          <w:rFonts w:ascii="Arial"/>
          <w:spacing w:val="-5"/>
          <w:w w:val="115"/>
          <w:sz w:val="24"/>
        </w:rPr>
        <w:t> </w:t>
      </w:r>
      <w:r>
        <w:rPr>
          <w:rFonts w:ascii="Arial"/>
          <w:w w:val="115"/>
          <w:sz w:val="24"/>
        </w:rPr>
        <w:t>from</w:t>
      </w:r>
      <w:r>
        <w:rPr>
          <w:rFonts w:ascii="Arial"/>
          <w:spacing w:val="-5"/>
          <w:w w:val="115"/>
          <w:sz w:val="24"/>
        </w:rPr>
        <w:t> </w:t>
      </w:r>
      <w:r>
        <w:rPr>
          <w:rFonts w:ascii="Arial"/>
          <w:w w:val="115"/>
          <w:sz w:val="24"/>
        </w:rPr>
        <w:t>the </w:t>
      </w:r>
      <w:r>
        <w:rPr>
          <w:rFonts w:ascii="Arial"/>
          <w:spacing w:val="-4"/>
          <w:w w:val="115"/>
          <w:sz w:val="24"/>
        </w:rPr>
        <w:t>EU.</w:t>
      </w:r>
    </w:p>
    <w:p>
      <w:pPr>
        <w:pStyle w:val="ListParagraph"/>
        <w:numPr>
          <w:ilvl w:val="0"/>
          <w:numId w:val="10"/>
        </w:numPr>
        <w:tabs>
          <w:tab w:pos="680" w:val="left" w:leader="none"/>
        </w:tabs>
        <w:spacing w:line="280" w:lineRule="auto" w:before="0" w:after="0"/>
        <w:ind w:left="680" w:right="306" w:hanging="567"/>
        <w:jc w:val="left"/>
        <w:rPr>
          <w:rFonts w:ascii="Arial"/>
          <w:sz w:val="24"/>
        </w:rPr>
      </w:pPr>
      <w:r>
        <w:rPr>
          <w:rFonts w:ascii="Arial"/>
          <w:w w:val="110"/>
          <w:sz w:val="24"/>
        </w:rPr>
        <w:t>This has resulted in a </w:t>
      </w:r>
      <w:r>
        <w:rPr>
          <w:rFonts w:ascii="Arial"/>
          <w:w w:val="110"/>
          <w:sz w:val="24"/>
        </w:rPr>
        <w:t>diminution in enjoyment of this right; and</w:t>
      </w:r>
    </w:p>
    <w:p>
      <w:pPr>
        <w:pStyle w:val="ListParagraph"/>
        <w:numPr>
          <w:ilvl w:val="0"/>
          <w:numId w:val="10"/>
        </w:numPr>
        <w:tabs>
          <w:tab w:pos="680" w:val="left" w:leader="none"/>
        </w:tabs>
        <w:spacing w:line="264" w:lineRule="auto" w:before="0" w:after="0"/>
        <w:ind w:left="680" w:right="200" w:hanging="567"/>
        <w:jc w:val="left"/>
        <w:rPr>
          <w:sz w:val="24"/>
        </w:rPr>
      </w:pPr>
      <w:r>
        <w:rPr>
          <w:rFonts w:ascii="Arial"/>
          <w:w w:val="110"/>
          <w:sz w:val="24"/>
        </w:rPr>
        <w:t>This diminution would not have occurred had the UK remained </w:t>
      </w:r>
      <w:r>
        <w:rPr>
          <w:rFonts w:ascii="Arial"/>
          <w:w w:val="110"/>
          <w:sz w:val="24"/>
        </w:rPr>
        <w:t>in the EU.</w:t>
      </w:r>
      <w:r>
        <w:rPr>
          <w:w w:val="110"/>
          <w:sz w:val="24"/>
          <w:vertAlign w:val="superscript"/>
        </w:rPr>
        <w:t>170</w:t>
      </w:r>
    </w:p>
    <w:p>
      <w:pPr>
        <w:pStyle w:val="BodyText"/>
        <w:spacing w:line="322" w:lineRule="exact" w:before="216"/>
        <w:ind w:right="356"/>
      </w:pPr>
      <w:r>
        <w:rPr>
          <w:rFonts w:ascii="Lucida Sans Unicode"/>
          <w:w w:val="110"/>
        </w:rPr>
        <w:t>The</w:t>
      </w:r>
      <w:r>
        <w:rPr>
          <w:rFonts w:ascii="Lucida Sans Unicode"/>
          <w:spacing w:val="-21"/>
          <w:w w:val="110"/>
        </w:rPr>
        <w:t> </w:t>
      </w:r>
      <w:r>
        <w:rPr>
          <w:rFonts w:ascii="Lucida Sans Unicode"/>
          <w:w w:val="110"/>
        </w:rPr>
        <w:t>operation</w:t>
      </w:r>
      <w:r>
        <w:rPr>
          <w:rFonts w:ascii="Lucida Sans Unicode"/>
          <w:spacing w:val="-21"/>
          <w:w w:val="110"/>
        </w:rPr>
        <w:t> </w:t>
      </w:r>
      <w:r>
        <w:rPr>
          <w:rFonts w:ascii="Lucida Sans Unicode"/>
          <w:w w:val="110"/>
        </w:rPr>
        <w:t>of</w:t>
      </w:r>
      <w:r>
        <w:rPr>
          <w:rFonts w:ascii="Lucida Sans Unicode"/>
          <w:spacing w:val="-21"/>
          <w:w w:val="110"/>
        </w:rPr>
        <w:t> </w:t>
      </w:r>
      <w:r>
        <w:rPr>
          <w:rFonts w:ascii="Lucida Sans Unicode"/>
          <w:w w:val="110"/>
        </w:rPr>
        <w:t>Article</w:t>
      </w:r>
      <w:r>
        <w:rPr>
          <w:rFonts w:ascii="Lucida Sans Unicode"/>
          <w:spacing w:val="-21"/>
          <w:w w:val="110"/>
        </w:rPr>
        <w:t> </w:t>
      </w:r>
      <w:r>
        <w:rPr>
          <w:rFonts w:ascii="Lucida Sans Unicode"/>
          <w:w w:val="110"/>
        </w:rPr>
        <w:t>2</w:t>
      </w:r>
      <w:r>
        <w:rPr>
          <w:rFonts w:ascii="Lucida Sans Unicode"/>
          <w:spacing w:val="-21"/>
          <w:w w:val="110"/>
        </w:rPr>
        <w:t> </w:t>
      </w:r>
      <w:r>
        <w:rPr>
          <w:rFonts w:ascii="Lucida Sans Unicode"/>
          <w:w w:val="110"/>
        </w:rPr>
        <w:t>of</w:t>
      </w:r>
      <w:r>
        <w:rPr>
          <w:rFonts w:ascii="Lucida Sans Unicode"/>
          <w:spacing w:val="-21"/>
          <w:w w:val="110"/>
        </w:rPr>
        <w:t> </w:t>
      </w:r>
      <w:r>
        <w:rPr>
          <w:rFonts w:ascii="Lucida Sans Unicode"/>
          <w:w w:val="110"/>
        </w:rPr>
        <w:t>the </w:t>
      </w:r>
      <w:r>
        <w:rPr>
          <w:w w:val="110"/>
        </w:rPr>
        <w:t>Windsor Framework is complicated by the fact that the Northern Ireland legal order comprises subjects </w:t>
      </w:r>
      <w:r>
        <w:rPr>
          <w:w w:val="110"/>
        </w:rPr>
        <w:t>which are devolved to the Northern Ireland Assembly,</w:t>
      </w:r>
      <w:r>
        <w:rPr>
          <w:w w:val="110"/>
          <w:vertAlign w:val="superscript"/>
        </w:rPr>
        <w:t>171</w:t>
      </w:r>
      <w:r>
        <w:rPr>
          <w:w w:val="110"/>
          <w:vertAlign w:val="baseline"/>
        </w:rPr>
        <w:t> reserved for future devolution to the Northern Ireland Assembly</w:t>
      </w:r>
      <w:r>
        <w:rPr>
          <w:rFonts w:ascii="Lucida Sans Unicode"/>
          <w:w w:val="110"/>
          <w:vertAlign w:val="superscript"/>
        </w:rPr>
        <w:t>172</w:t>
      </w:r>
      <w:r>
        <w:rPr>
          <w:rFonts w:ascii="Lucida Sans Unicode"/>
          <w:w w:val="110"/>
          <w:vertAlign w:val="baseline"/>
        </w:rPr>
        <w:t> </w:t>
      </w:r>
      <w:r>
        <w:rPr>
          <w:w w:val="110"/>
          <w:vertAlign w:val="baseline"/>
        </w:rPr>
        <w:t>or explicitly reserved</w:t>
      </w:r>
    </w:p>
    <w:p>
      <w:pPr>
        <w:pStyle w:val="BodyText"/>
        <w:spacing w:line="322" w:lineRule="exact"/>
        <w:ind w:right="170"/>
      </w:pPr>
      <w:r>
        <w:rPr>
          <w:w w:val="115"/>
        </w:rPr>
        <w:t>to the UK Government (excepted matters).</w:t>
      </w:r>
      <w:r>
        <w:rPr>
          <w:rFonts w:ascii="Lucida Sans Unicode"/>
          <w:w w:val="115"/>
          <w:vertAlign w:val="superscript"/>
        </w:rPr>
        <w:t>173</w:t>
      </w:r>
      <w:r>
        <w:rPr>
          <w:rFonts w:ascii="Lucida Sans Unicode"/>
          <w:spacing w:val="-21"/>
          <w:w w:val="115"/>
          <w:vertAlign w:val="baseline"/>
        </w:rPr>
        <w:t> </w:t>
      </w:r>
      <w:r>
        <w:rPr>
          <w:w w:val="115"/>
          <w:vertAlign w:val="baseline"/>
        </w:rPr>
        <w:t>This</w:t>
      </w:r>
      <w:r>
        <w:rPr>
          <w:spacing w:val="-11"/>
          <w:w w:val="115"/>
          <w:vertAlign w:val="baseline"/>
        </w:rPr>
        <w:t> </w:t>
      </w:r>
      <w:r>
        <w:rPr>
          <w:w w:val="115"/>
          <w:vertAlign w:val="baseline"/>
        </w:rPr>
        <w:t>is</w:t>
      </w:r>
      <w:r>
        <w:rPr>
          <w:spacing w:val="-11"/>
          <w:w w:val="115"/>
          <w:vertAlign w:val="baseline"/>
        </w:rPr>
        <w:t> </w:t>
      </w:r>
      <w:r>
        <w:rPr>
          <w:w w:val="115"/>
          <w:vertAlign w:val="baseline"/>
        </w:rPr>
        <w:t>in</w:t>
      </w:r>
      <w:r>
        <w:rPr>
          <w:spacing w:val="-11"/>
          <w:w w:val="115"/>
          <w:vertAlign w:val="baseline"/>
        </w:rPr>
        <w:t> </w:t>
      </w:r>
      <w:r>
        <w:rPr>
          <w:w w:val="115"/>
          <w:vertAlign w:val="baseline"/>
        </w:rPr>
        <w:t>addition</w:t>
      </w:r>
      <w:r>
        <w:rPr>
          <w:spacing w:val="-11"/>
          <w:w w:val="115"/>
          <w:vertAlign w:val="baseline"/>
        </w:rPr>
        <w:t> </w:t>
      </w:r>
      <w:r>
        <w:rPr>
          <w:w w:val="115"/>
          <w:vertAlign w:val="baseline"/>
        </w:rPr>
        <w:t>to certain statutes enacted by the UK Parliament with which the devolved authorities</w:t>
      </w:r>
      <w:r>
        <w:rPr>
          <w:spacing w:val="-20"/>
          <w:w w:val="115"/>
          <w:vertAlign w:val="baseline"/>
        </w:rPr>
        <w:t> </w:t>
      </w:r>
      <w:r>
        <w:rPr>
          <w:w w:val="115"/>
          <w:vertAlign w:val="baseline"/>
        </w:rPr>
        <w:t>in</w:t>
      </w:r>
      <w:r>
        <w:rPr>
          <w:spacing w:val="-19"/>
          <w:w w:val="115"/>
          <w:vertAlign w:val="baseline"/>
        </w:rPr>
        <w:t> </w:t>
      </w:r>
      <w:r>
        <w:rPr>
          <w:w w:val="115"/>
          <w:vertAlign w:val="baseline"/>
        </w:rPr>
        <w:t>Northern</w:t>
      </w:r>
      <w:r>
        <w:rPr>
          <w:spacing w:val="-19"/>
          <w:w w:val="115"/>
          <w:vertAlign w:val="baseline"/>
        </w:rPr>
        <w:t> </w:t>
      </w:r>
      <w:r>
        <w:rPr>
          <w:w w:val="115"/>
          <w:vertAlign w:val="baseline"/>
        </w:rPr>
        <w:t>Ireland</w:t>
      </w:r>
      <w:r>
        <w:rPr>
          <w:spacing w:val="-19"/>
          <w:w w:val="115"/>
          <w:vertAlign w:val="baseline"/>
        </w:rPr>
        <w:t> </w:t>
      </w:r>
      <w:r>
        <w:rPr>
          <w:w w:val="115"/>
          <w:vertAlign w:val="baseline"/>
        </w:rPr>
        <w:t>cannot </w:t>
      </w:r>
      <w:r>
        <w:rPr>
          <w:spacing w:val="-2"/>
          <w:w w:val="115"/>
          <w:vertAlign w:val="baseline"/>
        </w:rPr>
        <w:t>interfere.</w:t>
      </w:r>
      <w:r>
        <w:rPr>
          <w:rFonts w:ascii="Lucida Sans Unicode"/>
          <w:spacing w:val="-2"/>
          <w:w w:val="115"/>
          <w:vertAlign w:val="superscript"/>
        </w:rPr>
        <w:t>174</w:t>
      </w:r>
      <w:r>
        <w:rPr>
          <w:rFonts w:ascii="Lucida Sans Unicode"/>
          <w:spacing w:val="-18"/>
          <w:w w:val="115"/>
          <w:vertAlign w:val="baseline"/>
        </w:rPr>
        <w:t> </w:t>
      </w:r>
      <w:r>
        <w:rPr>
          <w:spacing w:val="-2"/>
          <w:w w:val="115"/>
          <w:vertAlign w:val="baseline"/>
        </w:rPr>
        <w:t>Thus,</w:t>
      </w:r>
      <w:r>
        <w:rPr>
          <w:spacing w:val="-7"/>
          <w:w w:val="115"/>
          <w:vertAlign w:val="baseline"/>
        </w:rPr>
        <w:t> </w:t>
      </w:r>
      <w:r>
        <w:rPr>
          <w:spacing w:val="-2"/>
          <w:w w:val="115"/>
          <w:vertAlign w:val="baseline"/>
        </w:rPr>
        <w:t>responsibility</w:t>
      </w:r>
      <w:r>
        <w:rPr>
          <w:spacing w:val="-7"/>
          <w:w w:val="115"/>
          <w:vertAlign w:val="baseline"/>
        </w:rPr>
        <w:t> </w:t>
      </w:r>
      <w:r>
        <w:rPr>
          <w:spacing w:val="-2"/>
          <w:w w:val="115"/>
          <w:vertAlign w:val="baseline"/>
        </w:rPr>
        <w:t>for </w:t>
      </w:r>
      <w:r>
        <w:rPr>
          <w:rFonts w:ascii="Lucida Sans Unicode"/>
          <w:w w:val="110"/>
          <w:vertAlign w:val="baseline"/>
        </w:rPr>
        <w:t>compliance</w:t>
      </w:r>
      <w:r>
        <w:rPr>
          <w:rFonts w:ascii="Lucida Sans Unicode"/>
          <w:spacing w:val="-21"/>
          <w:w w:val="110"/>
          <w:vertAlign w:val="baseline"/>
        </w:rPr>
        <w:t> </w:t>
      </w:r>
      <w:r>
        <w:rPr>
          <w:rFonts w:ascii="Lucida Sans Unicode"/>
          <w:w w:val="110"/>
          <w:vertAlign w:val="baseline"/>
        </w:rPr>
        <w:t>with</w:t>
      </w:r>
      <w:r>
        <w:rPr>
          <w:rFonts w:ascii="Lucida Sans Unicode"/>
          <w:spacing w:val="-21"/>
          <w:w w:val="110"/>
          <w:vertAlign w:val="baseline"/>
        </w:rPr>
        <w:t> </w:t>
      </w:r>
      <w:r>
        <w:rPr>
          <w:rFonts w:ascii="Lucida Sans Unicode"/>
          <w:w w:val="110"/>
          <w:vertAlign w:val="baseline"/>
        </w:rPr>
        <w:t>Article</w:t>
      </w:r>
      <w:r>
        <w:rPr>
          <w:rFonts w:ascii="Lucida Sans Unicode"/>
          <w:spacing w:val="-21"/>
          <w:w w:val="110"/>
          <w:vertAlign w:val="baseline"/>
        </w:rPr>
        <w:t> </w:t>
      </w:r>
      <w:r>
        <w:rPr>
          <w:rFonts w:ascii="Lucida Sans Unicode"/>
          <w:w w:val="110"/>
          <w:vertAlign w:val="baseline"/>
        </w:rPr>
        <w:t>2</w:t>
      </w:r>
      <w:r>
        <w:rPr>
          <w:rFonts w:ascii="Lucida Sans Unicode"/>
          <w:spacing w:val="-21"/>
          <w:w w:val="110"/>
          <w:vertAlign w:val="baseline"/>
        </w:rPr>
        <w:t> </w:t>
      </w:r>
      <w:r>
        <w:rPr>
          <w:rFonts w:ascii="Lucida Sans Unicode"/>
          <w:w w:val="110"/>
          <w:vertAlign w:val="baseline"/>
        </w:rPr>
        <w:t>of</w:t>
      </w:r>
      <w:r>
        <w:rPr>
          <w:rFonts w:ascii="Lucida Sans Unicode"/>
          <w:spacing w:val="-21"/>
          <w:w w:val="110"/>
          <w:vertAlign w:val="baseline"/>
        </w:rPr>
        <w:t> </w:t>
      </w:r>
      <w:r>
        <w:rPr>
          <w:rFonts w:ascii="Lucida Sans Unicode"/>
          <w:w w:val="110"/>
          <w:vertAlign w:val="baseline"/>
        </w:rPr>
        <w:t>the </w:t>
      </w:r>
      <w:r>
        <w:rPr>
          <w:w w:val="115"/>
          <w:vertAlign w:val="baseline"/>
        </w:rPr>
        <w:t>Windsor Framework is shared by devolved and central authorities.</w:t>
      </w:r>
    </w:p>
    <w:p>
      <w:pPr>
        <w:pStyle w:val="BodyText"/>
        <w:spacing w:line="273" w:lineRule="auto" w:before="33"/>
        <w:ind w:right="376"/>
      </w:pPr>
      <w:r>
        <w:rPr>
          <w:w w:val="110"/>
        </w:rPr>
        <w:t>This is most clearly illustrated in areas which are the domain of the UK</w:t>
      </w:r>
      <w:r>
        <w:rPr>
          <w:spacing w:val="-2"/>
          <w:w w:val="110"/>
        </w:rPr>
        <w:t> </w:t>
      </w:r>
      <w:r>
        <w:rPr>
          <w:w w:val="110"/>
        </w:rPr>
        <w:t>Government</w:t>
      </w:r>
      <w:r>
        <w:rPr>
          <w:spacing w:val="-2"/>
          <w:w w:val="110"/>
        </w:rPr>
        <w:t> </w:t>
      </w:r>
      <w:r>
        <w:rPr>
          <w:rFonts w:ascii="Verdana"/>
          <w:i/>
          <w:w w:val="110"/>
        </w:rPr>
        <w:t>par</w:t>
      </w:r>
      <w:r>
        <w:rPr>
          <w:rFonts w:ascii="Verdana"/>
          <w:i/>
          <w:spacing w:val="-22"/>
          <w:w w:val="110"/>
        </w:rPr>
        <w:t> </w:t>
      </w:r>
      <w:r>
        <w:rPr>
          <w:rFonts w:ascii="Verdana"/>
          <w:i/>
          <w:w w:val="110"/>
        </w:rPr>
        <w:t>excellence</w:t>
      </w:r>
      <w:r>
        <w:rPr>
          <w:w w:val="110"/>
        </w:rPr>
        <w:t>,</w:t>
      </w:r>
      <w:r>
        <w:rPr>
          <w:spacing w:val="-2"/>
          <w:w w:val="110"/>
        </w:rPr>
        <w:t> </w:t>
      </w:r>
      <w:r>
        <w:rPr>
          <w:w w:val="110"/>
        </w:rPr>
        <w:t>for example matters of immigration </w:t>
      </w:r>
      <w:r>
        <w:rPr>
          <w:w w:val="110"/>
        </w:rPr>
        <w:t>and</w:t>
      </w:r>
    </w:p>
    <w:p>
      <w:pPr>
        <w:pStyle w:val="BodyText"/>
        <w:spacing w:line="264" w:lineRule="auto" w:before="12"/>
        <w:rPr>
          <w:rFonts w:ascii="Lucida Sans Unicode"/>
        </w:rPr>
      </w:pPr>
      <w:r>
        <w:rPr>
          <w:spacing w:val="-2"/>
          <w:w w:val="115"/>
        </w:rPr>
        <w:t>asylum,</w:t>
      </w:r>
      <w:r>
        <w:rPr>
          <w:spacing w:val="-18"/>
          <w:w w:val="115"/>
        </w:rPr>
        <w:t> </w:t>
      </w:r>
      <w:r>
        <w:rPr>
          <w:spacing w:val="-2"/>
          <w:w w:val="115"/>
        </w:rPr>
        <w:t>where</w:t>
      </w:r>
      <w:r>
        <w:rPr>
          <w:spacing w:val="-17"/>
          <w:w w:val="115"/>
        </w:rPr>
        <w:t> </w:t>
      </w:r>
      <w:r>
        <w:rPr>
          <w:spacing w:val="-2"/>
          <w:w w:val="115"/>
        </w:rPr>
        <w:t>rights</w:t>
      </w:r>
      <w:r>
        <w:rPr>
          <w:spacing w:val="-17"/>
          <w:w w:val="115"/>
        </w:rPr>
        <w:t> </w:t>
      </w:r>
      <w:r>
        <w:rPr>
          <w:spacing w:val="-2"/>
          <w:w w:val="115"/>
        </w:rPr>
        <w:t>relevant</w:t>
      </w:r>
      <w:r>
        <w:rPr>
          <w:spacing w:val="-17"/>
          <w:w w:val="115"/>
        </w:rPr>
        <w:t> </w:t>
      </w:r>
      <w:r>
        <w:rPr>
          <w:spacing w:val="-2"/>
          <w:w w:val="115"/>
        </w:rPr>
        <w:t>to</w:t>
      </w:r>
      <w:r>
        <w:rPr>
          <w:spacing w:val="-17"/>
          <w:w w:val="115"/>
        </w:rPr>
        <w:t> </w:t>
      </w:r>
      <w:r>
        <w:rPr>
          <w:spacing w:val="-2"/>
          <w:w w:val="115"/>
        </w:rPr>
        <w:t>these </w:t>
      </w:r>
      <w:r>
        <w:rPr>
          <w:w w:val="115"/>
        </w:rPr>
        <w:t>areas can arguably be located within </w:t>
      </w:r>
      <w:r>
        <w:rPr>
          <w:rFonts w:ascii="Lucida Sans Unicode"/>
          <w:w w:val="110"/>
        </w:rPr>
        <w:t>the</w:t>
      </w:r>
      <w:r>
        <w:rPr>
          <w:rFonts w:ascii="Lucida Sans Unicode"/>
          <w:spacing w:val="-10"/>
          <w:w w:val="110"/>
        </w:rPr>
        <w:t> </w:t>
      </w:r>
      <w:r>
        <w:rPr>
          <w:rFonts w:ascii="Lucida Sans Unicode"/>
          <w:w w:val="110"/>
        </w:rPr>
        <w:t>RSEO</w:t>
      </w:r>
      <w:r>
        <w:rPr>
          <w:rFonts w:ascii="Lucida Sans Unicode"/>
          <w:spacing w:val="-10"/>
          <w:w w:val="110"/>
        </w:rPr>
        <w:t> </w:t>
      </w:r>
      <w:r>
        <w:rPr>
          <w:rFonts w:ascii="Lucida Sans Unicode"/>
          <w:w w:val="110"/>
        </w:rPr>
        <w:t>section</w:t>
      </w:r>
      <w:r>
        <w:rPr>
          <w:rFonts w:ascii="Lucida Sans Unicode"/>
          <w:spacing w:val="-10"/>
          <w:w w:val="110"/>
        </w:rPr>
        <w:t> </w:t>
      </w:r>
      <w:r>
        <w:rPr>
          <w:rFonts w:ascii="Lucida Sans Unicode"/>
          <w:w w:val="110"/>
        </w:rPr>
        <w:t>and</w:t>
      </w:r>
      <w:r>
        <w:rPr>
          <w:rFonts w:ascii="Lucida Sans Unicode"/>
          <w:spacing w:val="-10"/>
          <w:w w:val="110"/>
        </w:rPr>
        <w:t> </w:t>
      </w:r>
      <w:r>
        <w:rPr>
          <w:rFonts w:ascii="Lucida Sans Unicode"/>
          <w:w w:val="110"/>
        </w:rPr>
        <w:t>related</w:t>
      </w:r>
      <w:r>
        <w:rPr>
          <w:rFonts w:ascii="Lucida Sans Unicode"/>
          <w:spacing w:val="-10"/>
          <w:w w:val="110"/>
        </w:rPr>
        <w:t> </w:t>
      </w:r>
      <w:r>
        <w:rPr>
          <w:rFonts w:ascii="Lucida Sans Unicode"/>
          <w:w w:val="110"/>
        </w:rPr>
        <w:t>to</w:t>
      </w:r>
    </w:p>
    <w:p>
      <w:pPr>
        <w:pStyle w:val="BodyText"/>
        <w:spacing w:line="229" w:lineRule="exact"/>
      </w:pPr>
      <w:r>
        <w:rPr>
          <w:w w:val="105"/>
        </w:rPr>
        <w:t>relevant</w:t>
      </w:r>
      <w:r>
        <w:rPr>
          <w:spacing w:val="22"/>
          <w:w w:val="105"/>
        </w:rPr>
        <w:t> </w:t>
      </w:r>
      <w:r>
        <w:rPr>
          <w:w w:val="105"/>
        </w:rPr>
        <w:t>EU</w:t>
      </w:r>
      <w:r>
        <w:rPr>
          <w:spacing w:val="23"/>
          <w:w w:val="105"/>
        </w:rPr>
        <w:t> </w:t>
      </w:r>
      <w:r>
        <w:rPr>
          <w:spacing w:val="-2"/>
          <w:w w:val="105"/>
        </w:rPr>
        <w:t>law.</w:t>
      </w:r>
      <w:r>
        <w:rPr>
          <w:spacing w:val="-2"/>
          <w:w w:val="105"/>
          <w:vertAlign w:val="superscript"/>
        </w:rPr>
        <w:t>175</w:t>
      </w:r>
    </w:p>
    <w:p>
      <w:pPr>
        <w:spacing w:after="0" w:line="229" w:lineRule="exact"/>
        <w:sectPr>
          <w:type w:val="continuous"/>
          <w:pgSz w:w="11910" w:h="16840"/>
          <w:pgMar w:header="568" w:footer="580" w:top="0" w:bottom="280" w:left="1020" w:right="1020"/>
          <w:cols w:num="2" w:equalWidth="0">
            <w:col w:w="4746" w:space="299"/>
            <w:col w:w="4825"/>
          </w:cols>
        </w:sectPr>
      </w:pPr>
    </w:p>
    <w:p>
      <w:pPr>
        <w:pStyle w:val="BodyText"/>
        <w:spacing w:before="8" w:after="1"/>
        <w:ind w:left="0"/>
        <w:rPr>
          <w:sz w:val="13"/>
        </w:rPr>
      </w:pPr>
    </w:p>
    <w:p>
      <w:pPr>
        <w:pStyle w:val="BodyText"/>
        <w:spacing w:line="20" w:lineRule="exact"/>
        <w:rPr>
          <w:sz w:val="2"/>
        </w:rPr>
      </w:pPr>
      <w:r>
        <w:rPr>
          <w:sz w:val="2"/>
        </w:rPr>
        <mc:AlternateContent>
          <mc:Choice Requires="wps">
            <w:drawing>
              <wp:inline distT="0" distB="0" distL="0" distR="0">
                <wp:extent cx="6120130" cy="6350"/>
                <wp:effectExtent l="9525" t="0" r="0" b="3175"/>
                <wp:docPr id="125" name="Group 125"/>
                <wp:cNvGraphicFramePr>
                  <a:graphicFrameLocks/>
                </wp:cNvGraphicFramePr>
                <a:graphic>
                  <a:graphicData uri="http://schemas.microsoft.com/office/word/2010/wordprocessingGroup">
                    <wpg:wgp>
                      <wpg:cNvPr id="125" name="Group 125"/>
                      <wpg:cNvGrpSpPr/>
                      <wpg:grpSpPr>
                        <a:xfrm>
                          <a:off x="0" y="0"/>
                          <a:ext cx="6120130" cy="6350"/>
                          <a:chExt cx="6120130" cy="6350"/>
                        </a:xfrm>
                      </wpg:grpSpPr>
                      <wps:wsp>
                        <wps:cNvPr id="126" name="Graphic 126"/>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81"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7" w:val="left" w:leader="none"/>
        </w:tabs>
        <w:spacing w:line="194" w:lineRule="auto" w:before="94" w:after="0"/>
        <w:ind w:left="567" w:right="365" w:hanging="454"/>
        <w:jc w:val="left"/>
        <w:rPr>
          <w:sz w:val="16"/>
        </w:rPr>
      </w:pPr>
      <w:r>
        <w:rPr>
          <w:rFonts w:ascii="Arial" w:hAnsi="Arial"/>
          <w:w w:val="105"/>
          <w:sz w:val="16"/>
        </w:rPr>
        <w:t>For</w:t>
      </w:r>
      <w:r>
        <w:rPr>
          <w:rFonts w:ascii="Arial" w:hAnsi="Arial"/>
          <w:spacing w:val="27"/>
          <w:w w:val="105"/>
          <w:sz w:val="16"/>
        </w:rPr>
        <w:t> </w:t>
      </w:r>
      <w:r>
        <w:rPr>
          <w:rFonts w:ascii="Arial" w:hAnsi="Arial"/>
          <w:w w:val="105"/>
          <w:sz w:val="16"/>
        </w:rPr>
        <w:t>some</w:t>
      </w:r>
      <w:r>
        <w:rPr>
          <w:rFonts w:ascii="Arial" w:hAnsi="Arial"/>
          <w:spacing w:val="27"/>
          <w:w w:val="105"/>
          <w:sz w:val="16"/>
        </w:rPr>
        <w:t> </w:t>
      </w:r>
      <w:r>
        <w:rPr>
          <w:rFonts w:ascii="Arial" w:hAnsi="Arial"/>
          <w:w w:val="105"/>
          <w:sz w:val="16"/>
        </w:rPr>
        <w:t>examples</w:t>
      </w:r>
      <w:r>
        <w:rPr>
          <w:rFonts w:ascii="Arial" w:hAnsi="Arial"/>
          <w:spacing w:val="27"/>
          <w:w w:val="105"/>
          <w:sz w:val="16"/>
        </w:rPr>
        <w:t> </w:t>
      </w:r>
      <w:r>
        <w:rPr>
          <w:rFonts w:ascii="Arial" w:hAnsi="Arial"/>
          <w:w w:val="105"/>
          <w:sz w:val="16"/>
        </w:rPr>
        <w:t>see</w:t>
      </w:r>
      <w:r>
        <w:rPr>
          <w:rFonts w:ascii="Arial" w:hAnsi="Arial"/>
          <w:spacing w:val="27"/>
          <w:w w:val="105"/>
          <w:sz w:val="16"/>
        </w:rPr>
        <w:t> </w:t>
      </w:r>
      <w:r>
        <w:rPr>
          <w:rFonts w:ascii="Arial" w:hAnsi="Arial"/>
          <w:w w:val="105"/>
          <w:sz w:val="16"/>
        </w:rPr>
        <w:t>Christopher</w:t>
      </w:r>
      <w:r>
        <w:rPr>
          <w:rFonts w:ascii="Arial" w:hAnsi="Arial"/>
          <w:spacing w:val="27"/>
          <w:w w:val="105"/>
          <w:sz w:val="16"/>
        </w:rPr>
        <w:t> </w:t>
      </w:r>
      <w:r>
        <w:rPr>
          <w:rFonts w:ascii="Arial" w:hAnsi="Arial"/>
          <w:w w:val="105"/>
          <w:sz w:val="16"/>
        </w:rPr>
        <w:t>McCrudden,</w:t>
      </w:r>
      <w:r>
        <w:rPr>
          <w:rFonts w:ascii="Arial" w:hAnsi="Arial"/>
          <w:spacing w:val="27"/>
          <w:w w:val="105"/>
          <w:sz w:val="16"/>
        </w:rPr>
        <w:t> </w:t>
      </w:r>
      <w:r>
        <w:rPr>
          <w:rFonts w:ascii="Arial" w:hAnsi="Arial"/>
          <w:w w:val="105"/>
          <w:sz w:val="16"/>
        </w:rPr>
        <w:t>‘Human</w:t>
      </w:r>
      <w:r>
        <w:rPr>
          <w:rFonts w:ascii="Arial" w:hAnsi="Arial"/>
          <w:spacing w:val="27"/>
          <w:w w:val="105"/>
          <w:sz w:val="16"/>
        </w:rPr>
        <w:t> </w:t>
      </w:r>
      <w:r>
        <w:rPr>
          <w:rFonts w:ascii="Arial" w:hAnsi="Arial"/>
          <w:w w:val="105"/>
          <w:sz w:val="16"/>
        </w:rPr>
        <w:t>Rights</w:t>
      </w:r>
      <w:r>
        <w:rPr>
          <w:rFonts w:ascii="Arial" w:hAnsi="Arial"/>
          <w:spacing w:val="27"/>
          <w:w w:val="105"/>
          <w:sz w:val="16"/>
        </w:rPr>
        <w:t> </w:t>
      </w:r>
      <w:r>
        <w:rPr>
          <w:rFonts w:ascii="Arial" w:hAnsi="Arial"/>
          <w:w w:val="105"/>
          <w:sz w:val="16"/>
        </w:rPr>
        <w:t>and</w:t>
      </w:r>
      <w:r>
        <w:rPr>
          <w:rFonts w:ascii="Arial" w:hAnsi="Arial"/>
          <w:spacing w:val="27"/>
          <w:w w:val="105"/>
          <w:sz w:val="16"/>
        </w:rPr>
        <w:t> </w:t>
      </w:r>
      <w:r>
        <w:rPr>
          <w:rFonts w:ascii="Arial" w:hAnsi="Arial"/>
          <w:w w:val="105"/>
          <w:sz w:val="16"/>
        </w:rPr>
        <w:t>Equality’</w:t>
      </w:r>
      <w:r>
        <w:rPr>
          <w:rFonts w:ascii="Arial" w:hAnsi="Arial"/>
          <w:spacing w:val="27"/>
          <w:w w:val="105"/>
          <w:sz w:val="16"/>
        </w:rPr>
        <w:t> </w:t>
      </w:r>
      <w:r>
        <w:rPr>
          <w:rFonts w:ascii="Arial" w:hAnsi="Arial"/>
          <w:w w:val="105"/>
          <w:sz w:val="16"/>
        </w:rPr>
        <w:t>in</w:t>
      </w:r>
      <w:r>
        <w:rPr>
          <w:rFonts w:ascii="Arial" w:hAnsi="Arial"/>
          <w:spacing w:val="27"/>
          <w:w w:val="105"/>
          <w:sz w:val="16"/>
        </w:rPr>
        <w:t> </w:t>
      </w:r>
      <w:r>
        <w:rPr>
          <w:rFonts w:ascii="Arial" w:hAnsi="Arial"/>
          <w:w w:val="105"/>
          <w:sz w:val="16"/>
        </w:rPr>
        <w:t>Christopher</w:t>
      </w:r>
      <w:r>
        <w:rPr>
          <w:rFonts w:ascii="Arial" w:hAnsi="Arial"/>
          <w:spacing w:val="27"/>
          <w:w w:val="105"/>
          <w:sz w:val="16"/>
        </w:rPr>
        <w:t> </w:t>
      </w:r>
      <w:r>
        <w:rPr>
          <w:rFonts w:ascii="Arial" w:hAnsi="Arial"/>
          <w:w w:val="105"/>
          <w:sz w:val="16"/>
        </w:rPr>
        <w:t>McCrudden,</w:t>
      </w:r>
      <w:r>
        <w:rPr>
          <w:rFonts w:ascii="Arial" w:hAnsi="Arial"/>
          <w:spacing w:val="27"/>
          <w:w w:val="105"/>
          <w:sz w:val="16"/>
        </w:rPr>
        <w:t> </w:t>
      </w:r>
      <w:r>
        <w:rPr>
          <w:rFonts w:ascii="Arial" w:hAnsi="Arial"/>
          <w:w w:val="105"/>
          <w:sz w:val="16"/>
        </w:rPr>
        <w:t>ed,</w:t>
      </w:r>
      <w:r>
        <w:rPr>
          <w:rFonts w:ascii="Arial" w:hAnsi="Arial"/>
          <w:spacing w:val="27"/>
          <w:w w:val="105"/>
          <w:sz w:val="16"/>
        </w:rPr>
        <w:t> </w:t>
      </w:r>
      <w:r>
        <w:rPr>
          <w:rFonts w:ascii="Verdana" w:hAnsi="Verdana"/>
          <w:i/>
          <w:w w:val="105"/>
          <w:sz w:val="16"/>
        </w:rPr>
        <w:t>The</w:t>
      </w:r>
      <w:r>
        <w:rPr>
          <w:rFonts w:ascii="Verdana" w:hAnsi="Verdana"/>
          <w:i/>
          <w:w w:val="105"/>
          <w:sz w:val="16"/>
        </w:rPr>
        <w:t> </w:t>
      </w:r>
      <w:r>
        <w:rPr>
          <w:rFonts w:ascii="Verdana" w:hAnsi="Verdana"/>
          <w:i/>
          <w:sz w:val="16"/>
        </w:rPr>
        <w:t>Law and Practice of the Ireland-Northern Ireland Protocol </w:t>
      </w:r>
      <w:r>
        <w:rPr>
          <w:sz w:val="16"/>
        </w:rPr>
        <w:t>(CUP 2022), 143.</w:t>
      </w:r>
    </w:p>
    <w:p>
      <w:pPr>
        <w:pStyle w:val="ListParagraph"/>
        <w:numPr>
          <w:ilvl w:val="0"/>
          <w:numId w:val="6"/>
        </w:numPr>
        <w:tabs>
          <w:tab w:pos="566" w:val="left" w:leader="none"/>
        </w:tabs>
        <w:spacing w:line="191" w:lineRule="exact" w:before="0" w:after="0"/>
        <w:ind w:left="566" w:right="0" w:hanging="453"/>
        <w:jc w:val="left"/>
        <w:rPr>
          <w:rFonts w:ascii="Arial"/>
          <w:sz w:val="16"/>
        </w:rPr>
      </w:pPr>
      <w:r>
        <w:rPr>
          <w:rFonts w:ascii="Verdana"/>
          <w:i/>
          <w:spacing w:val="-2"/>
          <w:w w:val="105"/>
          <w:sz w:val="16"/>
        </w:rPr>
        <w:t>Re</w:t>
      </w:r>
      <w:r>
        <w:rPr>
          <w:rFonts w:ascii="Verdana"/>
          <w:i/>
          <w:spacing w:val="-12"/>
          <w:w w:val="105"/>
          <w:sz w:val="16"/>
        </w:rPr>
        <w:t> </w:t>
      </w:r>
      <w:r>
        <w:rPr>
          <w:rFonts w:ascii="Verdana"/>
          <w:i/>
          <w:spacing w:val="-2"/>
          <w:w w:val="105"/>
          <w:sz w:val="16"/>
        </w:rPr>
        <w:t>SPUC</w:t>
      </w:r>
      <w:r>
        <w:rPr>
          <w:rFonts w:ascii="Verdana"/>
          <w:i/>
          <w:spacing w:val="-12"/>
          <w:w w:val="105"/>
          <w:sz w:val="16"/>
        </w:rPr>
        <w:t> </w:t>
      </w:r>
      <w:r>
        <w:rPr>
          <w:spacing w:val="-2"/>
          <w:w w:val="105"/>
          <w:sz w:val="16"/>
        </w:rPr>
        <w:t>[2023]</w:t>
      </w:r>
      <w:r>
        <w:rPr>
          <w:spacing w:val="-5"/>
          <w:w w:val="105"/>
          <w:sz w:val="16"/>
        </w:rPr>
        <w:t> </w:t>
      </w:r>
      <w:r>
        <w:rPr>
          <w:spacing w:val="-2"/>
          <w:w w:val="105"/>
          <w:sz w:val="16"/>
        </w:rPr>
        <w:t>NICA</w:t>
      </w:r>
      <w:r>
        <w:rPr>
          <w:spacing w:val="-6"/>
          <w:w w:val="105"/>
          <w:sz w:val="16"/>
        </w:rPr>
        <w:t> </w:t>
      </w:r>
      <w:r>
        <w:rPr>
          <w:spacing w:val="-2"/>
          <w:w w:val="105"/>
          <w:sz w:val="16"/>
        </w:rPr>
        <w:t>35.</w:t>
      </w:r>
      <w:r>
        <w:rPr>
          <w:spacing w:val="-5"/>
          <w:w w:val="105"/>
          <w:sz w:val="16"/>
        </w:rPr>
        <w:t> </w:t>
      </w:r>
      <w:r>
        <w:rPr>
          <w:spacing w:val="-2"/>
          <w:w w:val="105"/>
          <w:sz w:val="16"/>
        </w:rPr>
        <w:t>Note</w:t>
      </w:r>
      <w:r>
        <w:rPr>
          <w:spacing w:val="-6"/>
          <w:w w:val="105"/>
          <w:sz w:val="16"/>
        </w:rPr>
        <w:t> </w:t>
      </w:r>
      <w:r>
        <w:rPr>
          <w:spacing w:val="-2"/>
          <w:w w:val="105"/>
          <w:sz w:val="16"/>
        </w:rPr>
        <w:t>that</w:t>
      </w:r>
      <w:r>
        <w:rPr>
          <w:spacing w:val="-5"/>
          <w:w w:val="105"/>
          <w:sz w:val="16"/>
        </w:rPr>
        <w:t> </w:t>
      </w:r>
      <w:r>
        <w:rPr>
          <w:spacing w:val="-2"/>
          <w:w w:val="105"/>
          <w:sz w:val="16"/>
        </w:rPr>
        <w:t>this</w:t>
      </w:r>
      <w:r>
        <w:rPr>
          <w:spacing w:val="-6"/>
          <w:w w:val="105"/>
          <w:sz w:val="16"/>
        </w:rPr>
        <w:t> </w:t>
      </w:r>
      <w:r>
        <w:rPr>
          <w:spacing w:val="-2"/>
          <w:w w:val="105"/>
          <w:sz w:val="16"/>
        </w:rPr>
        <w:t>is</w:t>
      </w:r>
      <w:r>
        <w:rPr>
          <w:spacing w:val="-5"/>
          <w:w w:val="105"/>
          <w:sz w:val="16"/>
        </w:rPr>
        <w:t> </w:t>
      </w:r>
      <w:r>
        <w:rPr>
          <w:spacing w:val="-2"/>
          <w:w w:val="105"/>
          <w:sz w:val="16"/>
        </w:rPr>
        <w:t>the</w:t>
      </w:r>
      <w:r>
        <w:rPr>
          <w:spacing w:val="-5"/>
          <w:w w:val="105"/>
          <w:sz w:val="16"/>
        </w:rPr>
        <w:t> </w:t>
      </w:r>
      <w:r>
        <w:rPr>
          <w:spacing w:val="-2"/>
          <w:w w:val="105"/>
          <w:sz w:val="16"/>
        </w:rPr>
        <w:t>appeal</w:t>
      </w:r>
      <w:r>
        <w:rPr>
          <w:spacing w:val="-6"/>
          <w:w w:val="105"/>
          <w:sz w:val="16"/>
        </w:rPr>
        <w:t> </w:t>
      </w:r>
      <w:r>
        <w:rPr>
          <w:spacing w:val="-2"/>
          <w:w w:val="105"/>
          <w:sz w:val="16"/>
        </w:rPr>
        <w:t>of</w:t>
      </w:r>
      <w:r>
        <w:rPr>
          <w:spacing w:val="-5"/>
          <w:w w:val="105"/>
          <w:sz w:val="16"/>
        </w:rPr>
        <w:t> </w:t>
      </w:r>
      <w:r>
        <w:rPr>
          <w:spacing w:val="-2"/>
          <w:w w:val="105"/>
          <w:sz w:val="16"/>
        </w:rPr>
        <w:t>the</w:t>
      </w:r>
      <w:r>
        <w:rPr>
          <w:spacing w:val="-6"/>
          <w:w w:val="105"/>
          <w:sz w:val="16"/>
        </w:rPr>
        <w:t> </w:t>
      </w:r>
      <w:r>
        <w:rPr>
          <w:spacing w:val="-2"/>
          <w:w w:val="105"/>
          <w:sz w:val="16"/>
        </w:rPr>
        <w:t>decision</w:t>
      </w:r>
      <w:r>
        <w:rPr>
          <w:spacing w:val="-5"/>
          <w:w w:val="105"/>
          <w:sz w:val="16"/>
        </w:rPr>
        <w:t> </w:t>
      </w:r>
      <w:r>
        <w:rPr>
          <w:spacing w:val="-2"/>
          <w:w w:val="105"/>
          <w:sz w:val="16"/>
        </w:rPr>
        <w:t>in</w:t>
      </w:r>
      <w:r>
        <w:rPr>
          <w:spacing w:val="-6"/>
          <w:w w:val="105"/>
          <w:sz w:val="16"/>
        </w:rPr>
        <w:t> </w:t>
      </w:r>
      <w:r>
        <w:rPr>
          <w:rFonts w:ascii="Verdana"/>
          <w:i/>
          <w:spacing w:val="-2"/>
          <w:w w:val="105"/>
          <w:sz w:val="16"/>
        </w:rPr>
        <w:t>SPUC</w:t>
      </w:r>
      <w:r>
        <w:rPr>
          <w:rFonts w:ascii="Verdana"/>
          <w:i/>
          <w:spacing w:val="-11"/>
          <w:w w:val="105"/>
          <w:sz w:val="16"/>
        </w:rPr>
        <w:t> </w:t>
      </w:r>
      <w:r>
        <w:rPr>
          <w:spacing w:val="-2"/>
          <w:w w:val="105"/>
          <w:sz w:val="16"/>
        </w:rPr>
        <w:t>referenced</w:t>
      </w:r>
      <w:r>
        <w:rPr>
          <w:spacing w:val="-6"/>
          <w:w w:val="105"/>
          <w:sz w:val="16"/>
        </w:rPr>
        <w:t> </w:t>
      </w:r>
      <w:r>
        <w:rPr>
          <w:spacing w:val="-2"/>
          <w:w w:val="105"/>
          <w:sz w:val="16"/>
        </w:rPr>
        <w:t>in</w:t>
      </w:r>
      <w:r>
        <w:rPr>
          <w:spacing w:val="-5"/>
          <w:w w:val="105"/>
          <w:sz w:val="16"/>
        </w:rPr>
        <w:t> </w:t>
      </w:r>
      <w:r>
        <w:rPr>
          <w:spacing w:val="-2"/>
          <w:w w:val="105"/>
          <w:sz w:val="16"/>
        </w:rPr>
        <w:t>(n</w:t>
      </w:r>
      <w:r>
        <w:rPr>
          <w:spacing w:val="-6"/>
          <w:w w:val="105"/>
          <w:sz w:val="16"/>
        </w:rPr>
        <w:t> </w:t>
      </w:r>
      <w:r>
        <w:rPr>
          <w:spacing w:val="-2"/>
          <w:w w:val="105"/>
          <w:sz w:val="16"/>
        </w:rPr>
        <w:t>43)</w:t>
      </w:r>
      <w:r>
        <w:rPr>
          <w:spacing w:val="-5"/>
          <w:w w:val="105"/>
          <w:sz w:val="16"/>
        </w:rPr>
        <w:t> </w:t>
      </w:r>
      <w:r>
        <w:rPr>
          <w:spacing w:val="-2"/>
          <w:w w:val="105"/>
          <w:sz w:val="16"/>
        </w:rPr>
        <w:t>above.</w:t>
      </w:r>
    </w:p>
    <w:p>
      <w:pPr>
        <w:pStyle w:val="ListParagraph"/>
        <w:numPr>
          <w:ilvl w:val="0"/>
          <w:numId w:val="6"/>
        </w:numPr>
        <w:tabs>
          <w:tab w:pos="565" w:val="left" w:leader="none"/>
          <w:tab w:pos="567" w:val="left" w:leader="none"/>
        </w:tabs>
        <w:spacing w:line="206" w:lineRule="auto" w:before="2" w:after="0"/>
        <w:ind w:left="567" w:right="516" w:hanging="454"/>
        <w:jc w:val="left"/>
        <w:rPr>
          <w:sz w:val="16"/>
        </w:rPr>
      </w:pPr>
      <w:r>
        <w:rPr>
          <w:rFonts w:ascii="Verdana" w:hAnsi="Verdana"/>
          <w:i/>
          <w:w w:val="105"/>
          <w:sz w:val="16"/>
        </w:rPr>
        <w:t>Re</w:t>
      </w:r>
      <w:r>
        <w:rPr>
          <w:rFonts w:ascii="Verdana" w:hAnsi="Verdana"/>
          <w:i/>
          <w:spacing w:val="-15"/>
          <w:w w:val="105"/>
          <w:sz w:val="16"/>
        </w:rPr>
        <w:t> </w:t>
      </w:r>
      <w:r>
        <w:rPr>
          <w:rFonts w:ascii="Verdana" w:hAnsi="Verdana"/>
          <w:i/>
          <w:w w:val="105"/>
          <w:sz w:val="16"/>
        </w:rPr>
        <w:t>SPUC</w:t>
      </w:r>
      <w:r>
        <w:rPr>
          <w:w w:val="105"/>
          <w:sz w:val="16"/>
        </w:rPr>
        <w:t>,</w:t>
      </w:r>
      <w:r>
        <w:rPr>
          <w:spacing w:val="-14"/>
          <w:w w:val="105"/>
          <w:sz w:val="16"/>
        </w:rPr>
        <w:t> </w:t>
      </w:r>
      <w:r>
        <w:rPr>
          <w:w w:val="105"/>
          <w:sz w:val="16"/>
        </w:rPr>
        <w:t>[2023]</w:t>
      </w:r>
      <w:r>
        <w:rPr>
          <w:spacing w:val="-13"/>
          <w:w w:val="105"/>
          <w:sz w:val="16"/>
        </w:rPr>
        <w:t> </w:t>
      </w:r>
      <w:r>
        <w:rPr>
          <w:w w:val="105"/>
          <w:sz w:val="16"/>
        </w:rPr>
        <w:t>NICA</w:t>
      </w:r>
      <w:r>
        <w:rPr>
          <w:spacing w:val="-13"/>
          <w:w w:val="105"/>
          <w:sz w:val="16"/>
        </w:rPr>
        <w:t> </w:t>
      </w:r>
      <w:r>
        <w:rPr>
          <w:w w:val="105"/>
          <w:sz w:val="16"/>
        </w:rPr>
        <w:t>35,</w:t>
      </w:r>
      <w:r>
        <w:rPr>
          <w:spacing w:val="-13"/>
          <w:w w:val="105"/>
          <w:sz w:val="16"/>
        </w:rPr>
        <w:t> </w:t>
      </w:r>
      <w:r>
        <w:rPr>
          <w:w w:val="105"/>
          <w:sz w:val="16"/>
        </w:rPr>
        <w:t>para</w:t>
      </w:r>
      <w:r>
        <w:rPr>
          <w:spacing w:val="-14"/>
          <w:w w:val="105"/>
          <w:sz w:val="16"/>
        </w:rPr>
        <w:t> </w:t>
      </w:r>
      <w:r>
        <w:rPr>
          <w:w w:val="105"/>
          <w:sz w:val="16"/>
        </w:rPr>
        <w:t>54]</w:t>
      </w:r>
      <w:r>
        <w:rPr>
          <w:spacing w:val="-13"/>
          <w:w w:val="105"/>
          <w:sz w:val="16"/>
        </w:rPr>
        <w:t> </w:t>
      </w:r>
      <w:r>
        <w:rPr>
          <w:w w:val="105"/>
          <w:sz w:val="16"/>
        </w:rPr>
        <w:t>per</w:t>
      </w:r>
      <w:r>
        <w:rPr>
          <w:spacing w:val="-13"/>
          <w:w w:val="105"/>
          <w:sz w:val="16"/>
        </w:rPr>
        <w:t> </w:t>
      </w:r>
      <w:r>
        <w:rPr>
          <w:w w:val="105"/>
          <w:sz w:val="16"/>
        </w:rPr>
        <w:t>Keegan</w:t>
      </w:r>
      <w:r>
        <w:rPr>
          <w:spacing w:val="-14"/>
          <w:w w:val="105"/>
          <w:sz w:val="16"/>
        </w:rPr>
        <w:t> </w:t>
      </w:r>
      <w:r>
        <w:rPr>
          <w:w w:val="105"/>
          <w:sz w:val="16"/>
        </w:rPr>
        <w:t>LCJ.</w:t>
      </w:r>
      <w:r>
        <w:rPr>
          <w:spacing w:val="-13"/>
          <w:w w:val="105"/>
          <w:sz w:val="16"/>
        </w:rPr>
        <w:t> </w:t>
      </w:r>
      <w:r>
        <w:rPr>
          <w:w w:val="105"/>
          <w:sz w:val="16"/>
        </w:rPr>
        <w:t>Note</w:t>
      </w:r>
      <w:r>
        <w:rPr>
          <w:spacing w:val="-13"/>
          <w:w w:val="105"/>
          <w:sz w:val="16"/>
        </w:rPr>
        <w:t> </w:t>
      </w:r>
      <w:r>
        <w:rPr>
          <w:w w:val="105"/>
          <w:sz w:val="16"/>
        </w:rPr>
        <w:t>that</w:t>
      </w:r>
      <w:r>
        <w:rPr>
          <w:spacing w:val="-13"/>
          <w:w w:val="105"/>
          <w:sz w:val="16"/>
        </w:rPr>
        <w:t> </w:t>
      </w:r>
      <w:r>
        <w:rPr>
          <w:w w:val="105"/>
          <w:sz w:val="16"/>
        </w:rPr>
        <w:t>this</w:t>
      </w:r>
      <w:r>
        <w:rPr>
          <w:spacing w:val="-14"/>
          <w:w w:val="105"/>
          <w:sz w:val="16"/>
        </w:rPr>
        <w:t> </w:t>
      </w:r>
      <w:r>
        <w:rPr>
          <w:w w:val="105"/>
          <w:sz w:val="16"/>
        </w:rPr>
        <w:t>trigger</w:t>
      </w:r>
      <w:r>
        <w:rPr>
          <w:spacing w:val="-13"/>
          <w:w w:val="105"/>
          <w:sz w:val="16"/>
        </w:rPr>
        <w:t> </w:t>
      </w:r>
      <w:r>
        <w:rPr>
          <w:w w:val="105"/>
          <w:sz w:val="16"/>
        </w:rPr>
        <w:t>expands</w:t>
      </w:r>
      <w:r>
        <w:rPr>
          <w:spacing w:val="-13"/>
          <w:w w:val="105"/>
          <w:sz w:val="16"/>
        </w:rPr>
        <w:t> </w:t>
      </w:r>
      <w:r>
        <w:rPr>
          <w:w w:val="105"/>
          <w:sz w:val="16"/>
        </w:rPr>
        <w:t>upon</w:t>
      </w:r>
      <w:r>
        <w:rPr>
          <w:spacing w:val="-13"/>
          <w:w w:val="105"/>
          <w:sz w:val="16"/>
        </w:rPr>
        <w:t> </w:t>
      </w:r>
      <w:r>
        <w:rPr>
          <w:w w:val="105"/>
          <w:sz w:val="16"/>
        </w:rPr>
        <w:t>the</w:t>
      </w:r>
      <w:r>
        <w:rPr>
          <w:spacing w:val="-13"/>
          <w:w w:val="105"/>
          <w:sz w:val="16"/>
        </w:rPr>
        <w:t> </w:t>
      </w:r>
      <w:r>
        <w:rPr>
          <w:w w:val="105"/>
          <w:sz w:val="16"/>
        </w:rPr>
        <w:t>UK</w:t>
      </w:r>
      <w:r>
        <w:rPr>
          <w:spacing w:val="-13"/>
          <w:w w:val="105"/>
          <w:sz w:val="16"/>
        </w:rPr>
        <w:t> </w:t>
      </w:r>
      <w:r>
        <w:rPr>
          <w:w w:val="105"/>
          <w:sz w:val="16"/>
        </w:rPr>
        <w:t>Government’s </w:t>
      </w:r>
      <w:r>
        <w:rPr>
          <w:rFonts w:ascii="Arial" w:hAnsi="Arial"/>
          <w:sz w:val="16"/>
        </w:rPr>
        <w:t>own position as set out in </w:t>
      </w:r>
      <w:hyperlink r:id="rId37">
        <w:r>
          <w:rPr>
            <w:rFonts w:ascii="Verdana" w:hAnsi="Verdana"/>
            <w:i/>
            <w:color w:val="77328A"/>
            <w:sz w:val="16"/>
            <w:u w:val="single" w:color="77328A"/>
          </w:rPr>
          <w:t>UK Government commitment to ‘no diminution of rights, safeguards and equality of </w:t>
        </w:r>
      </w:hyperlink>
      <w:r>
        <w:rPr>
          <w:rFonts w:ascii="Verdana" w:hAnsi="Verdana"/>
          <w:i/>
          <w:color w:val="77328A"/>
          <w:sz w:val="16"/>
          <w:u w:val="none"/>
        </w:rPr>
        <w:t> </w:t>
      </w:r>
      <w:hyperlink r:id="rId37">
        <w:r>
          <w:rPr>
            <w:rFonts w:ascii="Verdana" w:hAnsi="Verdana"/>
            <w:i/>
            <w:color w:val="77328A"/>
            <w:sz w:val="16"/>
            <w:u w:val="single" w:color="77328A"/>
          </w:rPr>
          <w:t>opportunity’</w:t>
        </w:r>
        <w:r>
          <w:rPr>
            <w:rFonts w:ascii="Verdana" w:hAnsi="Verdana"/>
            <w:i/>
            <w:color w:val="77328A"/>
            <w:spacing w:val="-12"/>
            <w:sz w:val="16"/>
            <w:u w:val="single" w:color="77328A"/>
          </w:rPr>
          <w:t> </w:t>
        </w:r>
        <w:r>
          <w:rPr>
            <w:rFonts w:ascii="Verdana" w:hAnsi="Verdana"/>
            <w:i/>
            <w:color w:val="77328A"/>
            <w:sz w:val="16"/>
            <w:u w:val="single" w:color="77328A"/>
          </w:rPr>
          <w:t>in</w:t>
        </w:r>
        <w:r>
          <w:rPr>
            <w:rFonts w:ascii="Verdana" w:hAnsi="Verdana"/>
            <w:i/>
            <w:color w:val="77328A"/>
            <w:spacing w:val="-12"/>
            <w:sz w:val="16"/>
            <w:u w:val="single" w:color="77328A"/>
          </w:rPr>
          <w:t> </w:t>
        </w:r>
        <w:r>
          <w:rPr>
            <w:rFonts w:ascii="Verdana" w:hAnsi="Verdana"/>
            <w:i/>
            <w:color w:val="77328A"/>
            <w:sz w:val="16"/>
            <w:u w:val="single" w:color="77328A"/>
          </w:rPr>
          <w:t>Northern</w:t>
        </w:r>
        <w:r>
          <w:rPr>
            <w:rFonts w:ascii="Verdana" w:hAnsi="Verdana"/>
            <w:i/>
            <w:color w:val="77328A"/>
            <w:spacing w:val="-12"/>
            <w:sz w:val="16"/>
            <w:u w:val="single" w:color="77328A"/>
          </w:rPr>
          <w:t> </w:t>
        </w:r>
        <w:r>
          <w:rPr>
            <w:rFonts w:ascii="Verdana" w:hAnsi="Verdana"/>
            <w:i/>
            <w:color w:val="77328A"/>
            <w:sz w:val="16"/>
            <w:u w:val="single" w:color="77328A"/>
          </w:rPr>
          <w:t>Ireland:</w:t>
        </w:r>
        <w:r>
          <w:rPr>
            <w:rFonts w:ascii="Verdana" w:hAnsi="Verdana"/>
            <w:i/>
            <w:color w:val="77328A"/>
            <w:spacing w:val="-12"/>
            <w:sz w:val="16"/>
            <w:u w:val="single" w:color="77328A"/>
          </w:rPr>
          <w:t> </w:t>
        </w:r>
        <w:r>
          <w:rPr>
            <w:rFonts w:ascii="Verdana" w:hAnsi="Verdana"/>
            <w:i/>
            <w:color w:val="77328A"/>
            <w:sz w:val="16"/>
            <w:u w:val="single" w:color="77328A"/>
          </w:rPr>
          <w:t>What</w:t>
        </w:r>
        <w:r>
          <w:rPr>
            <w:rFonts w:ascii="Verdana" w:hAnsi="Verdana"/>
            <w:i/>
            <w:color w:val="77328A"/>
            <w:spacing w:val="-12"/>
            <w:sz w:val="16"/>
            <w:u w:val="single" w:color="77328A"/>
          </w:rPr>
          <w:t> </w:t>
        </w:r>
        <w:r>
          <w:rPr>
            <w:rFonts w:ascii="Verdana" w:hAnsi="Verdana"/>
            <w:i/>
            <w:color w:val="77328A"/>
            <w:sz w:val="16"/>
            <w:u w:val="single" w:color="77328A"/>
          </w:rPr>
          <w:t>does</w:t>
        </w:r>
        <w:r>
          <w:rPr>
            <w:rFonts w:ascii="Verdana" w:hAnsi="Verdana"/>
            <w:i/>
            <w:color w:val="77328A"/>
            <w:spacing w:val="-12"/>
            <w:sz w:val="16"/>
            <w:u w:val="single" w:color="77328A"/>
          </w:rPr>
          <w:t> </w:t>
        </w:r>
        <w:r>
          <w:rPr>
            <w:rFonts w:ascii="Verdana" w:hAnsi="Verdana"/>
            <w:i/>
            <w:color w:val="77328A"/>
            <w:sz w:val="16"/>
            <w:u w:val="single" w:color="77328A"/>
          </w:rPr>
          <w:t>it</w:t>
        </w:r>
        <w:r>
          <w:rPr>
            <w:rFonts w:ascii="Verdana" w:hAnsi="Verdana"/>
            <w:i/>
            <w:color w:val="77328A"/>
            <w:spacing w:val="-12"/>
            <w:sz w:val="16"/>
            <w:u w:val="single" w:color="77328A"/>
          </w:rPr>
          <w:t> </w:t>
        </w:r>
        <w:r>
          <w:rPr>
            <w:rFonts w:ascii="Verdana" w:hAnsi="Verdana"/>
            <w:i/>
            <w:color w:val="77328A"/>
            <w:sz w:val="16"/>
            <w:u w:val="single" w:color="77328A"/>
          </w:rPr>
          <w:t>mean</w:t>
        </w:r>
        <w:r>
          <w:rPr>
            <w:rFonts w:ascii="Verdana" w:hAnsi="Verdana"/>
            <w:i/>
            <w:color w:val="77328A"/>
            <w:spacing w:val="-12"/>
            <w:sz w:val="16"/>
            <w:u w:val="single" w:color="77328A"/>
          </w:rPr>
          <w:t> </w:t>
        </w:r>
        <w:r>
          <w:rPr>
            <w:rFonts w:ascii="Verdana" w:hAnsi="Verdana"/>
            <w:i/>
            <w:color w:val="77328A"/>
            <w:sz w:val="16"/>
            <w:u w:val="single" w:color="77328A"/>
          </w:rPr>
          <w:t>and</w:t>
        </w:r>
        <w:r>
          <w:rPr>
            <w:rFonts w:ascii="Verdana" w:hAnsi="Verdana"/>
            <w:i/>
            <w:color w:val="77328A"/>
            <w:spacing w:val="-12"/>
            <w:sz w:val="16"/>
            <w:u w:val="single" w:color="77328A"/>
          </w:rPr>
          <w:t> </w:t>
        </w:r>
        <w:r>
          <w:rPr>
            <w:rFonts w:ascii="Verdana" w:hAnsi="Verdana"/>
            <w:i/>
            <w:color w:val="77328A"/>
            <w:sz w:val="16"/>
            <w:u w:val="single" w:color="77328A"/>
          </w:rPr>
          <w:t>how</w:t>
        </w:r>
        <w:r>
          <w:rPr>
            <w:rFonts w:ascii="Verdana" w:hAnsi="Verdana"/>
            <w:i/>
            <w:color w:val="77328A"/>
            <w:spacing w:val="-12"/>
            <w:sz w:val="16"/>
            <w:u w:val="single" w:color="77328A"/>
          </w:rPr>
          <w:t> </w:t>
        </w:r>
        <w:r>
          <w:rPr>
            <w:rFonts w:ascii="Verdana" w:hAnsi="Verdana"/>
            <w:i/>
            <w:color w:val="77328A"/>
            <w:sz w:val="16"/>
            <w:u w:val="single" w:color="77328A"/>
          </w:rPr>
          <w:t>will</w:t>
        </w:r>
        <w:r>
          <w:rPr>
            <w:rFonts w:ascii="Verdana" w:hAnsi="Verdana"/>
            <w:i/>
            <w:color w:val="77328A"/>
            <w:spacing w:val="-12"/>
            <w:sz w:val="16"/>
            <w:u w:val="single" w:color="77328A"/>
          </w:rPr>
          <w:t> </w:t>
        </w:r>
        <w:r>
          <w:rPr>
            <w:rFonts w:ascii="Verdana" w:hAnsi="Verdana"/>
            <w:i/>
            <w:color w:val="77328A"/>
            <w:sz w:val="16"/>
            <w:u w:val="single" w:color="77328A"/>
          </w:rPr>
          <w:t>it</w:t>
        </w:r>
        <w:r>
          <w:rPr>
            <w:rFonts w:ascii="Verdana" w:hAnsi="Verdana"/>
            <w:i/>
            <w:color w:val="77328A"/>
            <w:spacing w:val="-12"/>
            <w:sz w:val="16"/>
            <w:u w:val="single" w:color="77328A"/>
          </w:rPr>
          <w:t> </w:t>
        </w:r>
        <w:r>
          <w:rPr>
            <w:rFonts w:ascii="Verdana" w:hAnsi="Verdana"/>
            <w:i/>
            <w:color w:val="77328A"/>
            <w:sz w:val="16"/>
            <w:u w:val="single" w:color="77328A"/>
          </w:rPr>
          <w:t>be</w:t>
        </w:r>
        <w:r>
          <w:rPr>
            <w:rFonts w:ascii="Verdana" w:hAnsi="Verdana"/>
            <w:i/>
            <w:color w:val="77328A"/>
            <w:spacing w:val="-12"/>
            <w:sz w:val="16"/>
            <w:u w:val="single" w:color="77328A"/>
          </w:rPr>
          <w:t> </w:t>
        </w:r>
        <w:r>
          <w:rPr>
            <w:rFonts w:ascii="Verdana" w:hAnsi="Verdana"/>
            <w:i/>
            <w:color w:val="77328A"/>
            <w:sz w:val="16"/>
            <w:u w:val="single" w:color="77328A"/>
          </w:rPr>
          <w:t>implemented?</w:t>
        </w:r>
      </w:hyperlink>
      <w:r>
        <w:rPr>
          <w:sz w:val="16"/>
          <w:u w:val="none"/>
        </w:rPr>
        <w:t>,</w:t>
      </w:r>
      <w:r>
        <w:rPr>
          <w:spacing w:val="-6"/>
          <w:sz w:val="16"/>
          <w:u w:val="none"/>
        </w:rPr>
        <w:t> </w:t>
      </w:r>
      <w:r>
        <w:rPr>
          <w:sz w:val="16"/>
          <w:u w:val="none"/>
        </w:rPr>
        <w:t>para</w:t>
      </w:r>
      <w:r>
        <w:rPr>
          <w:spacing w:val="-6"/>
          <w:sz w:val="16"/>
          <w:u w:val="none"/>
        </w:rPr>
        <w:t> </w:t>
      </w:r>
      <w:r>
        <w:rPr>
          <w:sz w:val="16"/>
          <w:u w:val="none"/>
        </w:rPr>
        <w:t>10.</w:t>
      </w:r>
      <w:r>
        <w:rPr>
          <w:spacing w:val="-6"/>
          <w:sz w:val="16"/>
          <w:u w:val="none"/>
        </w:rPr>
        <w:t> </w:t>
      </w:r>
      <w:r>
        <w:rPr>
          <w:sz w:val="16"/>
          <w:u w:val="none"/>
        </w:rPr>
        <w:t>NB:</w:t>
      </w:r>
      <w:r>
        <w:rPr>
          <w:spacing w:val="-6"/>
          <w:sz w:val="16"/>
          <w:u w:val="none"/>
        </w:rPr>
        <w:t> </w:t>
      </w:r>
      <w:r>
        <w:rPr>
          <w:sz w:val="16"/>
          <w:u w:val="none"/>
        </w:rPr>
        <w:t>In</w:t>
      </w:r>
      <w:r>
        <w:rPr>
          <w:spacing w:val="-6"/>
          <w:sz w:val="16"/>
          <w:u w:val="none"/>
        </w:rPr>
        <w:t> </w:t>
      </w:r>
      <w:r>
        <w:rPr>
          <w:rFonts w:ascii="Verdana" w:hAnsi="Verdana"/>
          <w:i/>
          <w:sz w:val="16"/>
          <w:u w:val="none"/>
        </w:rPr>
        <w:t>Angesom</w:t>
      </w:r>
      <w:r>
        <w:rPr>
          <w:rFonts w:ascii="Verdana" w:hAnsi="Verdana"/>
          <w:i/>
          <w:sz w:val="16"/>
          <w:u w:val="none"/>
        </w:rPr>
        <w:t> </w:t>
      </w:r>
      <w:r>
        <w:rPr>
          <w:w w:val="105"/>
          <w:sz w:val="16"/>
          <w:u w:val="none"/>
        </w:rPr>
        <w:t>(n</w:t>
      </w:r>
      <w:r>
        <w:rPr>
          <w:spacing w:val="-7"/>
          <w:w w:val="105"/>
          <w:sz w:val="16"/>
          <w:u w:val="none"/>
        </w:rPr>
        <w:t> </w:t>
      </w:r>
      <w:r>
        <w:rPr>
          <w:w w:val="105"/>
          <w:sz w:val="16"/>
          <w:u w:val="none"/>
        </w:rPr>
        <w:t>33),</w:t>
      </w:r>
      <w:r>
        <w:rPr>
          <w:spacing w:val="-7"/>
          <w:w w:val="105"/>
          <w:sz w:val="16"/>
          <w:u w:val="none"/>
        </w:rPr>
        <w:t> </w:t>
      </w:r>
      <w:r>
        <w:rPr>
          <w:w w:val="105"/>
          <w:sz w:val="16"/>
          <w:u w:val="none"/>
        </w:rPr>
        <w:t>para</w:t>
      </w:r>
      <w:r>
        <w:rPr>
          <w:spacing w:val="-7"/>
          <w:w w:val="105"/>
          <w:sz w:val="16"/>
          <w:u w:val="none"/>
        </w:rPr>
        <w:t> </w:t>
      </w:r>
      <w:r>
        <w:rPr>
          <w:w w:val="105"/>
          <w:sz w:val="16"/>
          <w:u w:val="none"/>
        </w:rPr>
        <w:t>86,</w:t>
      </w:r>
      <w:r>
        <w:rPr>
          <w:spacing w:val="-7"/>
          <w:w w:val="105"/>
          <w:sz w:val="16"/>
          <w:u w:val="none"/>
        </w:rPr>
        <w:t> </w:t>
      </w:r>
      <w:r>
        <w:rPr>
          <w:w w:val="105"/>
          <w:sz w:val="16"/>
          <w:u w:val="none"/>
        </w:rPr>
        <w:t>per</w:t>
      </w:r>
      <w:r>
        <w:rPr>
          <w:spacing w:val="-7"/>
          <w:w w:val="105"/>
          <w:sz w:val="16"/>
          <w:u w:val="none"/>
        </w:rPr>
        <w:t> </w:t>
      </w:r>
      <w:r>
        <w:rPr>
          <w:w w:val="105"/>
          <w:sz w:val="16"/>
          <w:u w:val="none"/>
        </w:rPr>
        <w:t>Colton</w:t>
      </w:r>
      <w:r>
        <w:rPr>
          <w:spacing w:val="-7"/>
          <w:w w:val="105"/>
          <w:sz w:val="16"/>
          <w:u w:val="none"/>
        </w:rPr>
        <w:t> </w:t>
      </w:r>
      <w:r>
        <w:rPr>
          <w:w w:val="105"/>
          <w:sz w:val="16"/>
          <w:u w:val="none"/>
        </w:rPr>
        <w:t>J,</w:t>
      </w:r>
      <w:r>
        <w:rPr>
          <w:spacing w:val="-7"/>
          <w:w w:val="105"/>
          <w:sz w:val="16"/>
          <w:u w:val="none"/>
        </w:rPr>
        <w:t> </w:t>
      </w:r>
      <w:r>
        <w:rPr>
          <w:w w:val="105"/>
          <w:sz w:val="16"/>
          <w:u w:val="none"/>
        </w:rPr>
        <w:t>the</w:t>
      </w:r>
      <w:r>
        <w:rPr>
          <w:spacing w:val="-7"/>
          <w:w w:val="105"/>
          <w:sz w:val="16"/>
          <w:u w:val="none"/>
        </w:rPr>
        <w:t> </w:t>
      </w:r>
      <w:r>
        <w:rPr>
          <w:w w:val="105"/>
          <w:sz w:val="16"/>
          <w:u w:val="none"/>
        </w:rPr>
        <w:t>above</w:t>
      </w:r>
      <w:r>
        <w:rPr>
          <w:spacing w:val="-7"/>
          <w:w w:val="105"/>
          <w:sz w:val="16"/>
          <w:u w:val="none"/>
        </w:rPr>
        <w:t> </w:t>
      </w:r>
      <w:r>
        <w:rPr>
          <w:w w:val="105"/>
          <w:sz w:val="16"/>
          <w:u w:val="none"/>
        </w:rPr>
        <w:t>test</w:t>
      </w:r>
      <w:r>
        <w:rPr>
          <w:spacing w:val="-7"/>
          <w:w w:val="105"/>
          <w:sz w:val="16"/>
          <w:u w:val="none"/>
        </w:rPr>
        <w:t> </w:t>
      </w:r>
      <w:r>
        <w:rPr>
          <w:w w:val="105"/>
          <w:sz w:val="16"/>
          <w:u w:val="none"/>
        </w:rPr>
        <w:t>was</w:t>
      </w:r>
      <w:r>
        <w:rPr>
          <w:spacing w:val="-7"/>
          <w:w w:val="105"/>
          <w:sz w:val="16"/>
          <w:u w:val="none"/>
        </w:rPr>
        <w:t> </w:t>
      </w:r>
      <w:r>
        <w:rPr>
          <w:w w:val="105"/>
          <w:sz w:val="16"/>
          <w:u w:val="none"/>
        </w:rPr>
        <w:t>slightly</w:t>
      </w:r>
      <w:r>
        <w:rPr>
          <w:spacing w:val="-7"/>
          <w:w w:val="105"/>
          <w:sz w:val="16"/>
          <w:u w:val="none"/>
        </w:rPr>
        <w:t> </w:t>
      </w:r>
      <w:r>
        <w:rPr>
          <w:w w:val="105"/>
          <w:sz w:val="16"/>
          <w:u w:val="none"/>
        </w:rPr>
        <w:t>revised.</w:t>
      </w:r>
      <w:r>
        <w:rPr>
          <w:spacing w:val="-7"/>
          <w:w w:val="105"/>
          <w:sz w:val="16"/>
          <w:u w:val="none"/>
        </w:rPr>
        <w:t> </w:t>
      </w:r>
      <w:r>
        <w:rPr>
          <w:w w:val="105"/>
          <w:sz w:val="16"/>
          <w:u w:val="none"/>
        </w:rPr>
        <w:t>However,</w:t>
      </w:r>
      <w:r>
        <w:rPr>
          <w:spacing w:val="-7"/>
          <w:w w:val="105"/>
          <w:sz w:val="16"/>
          <w:u w:val="none"/>
        </w:rPr>
        <w:t> </w:t>
      </w:r>
      <w:r>
        <w:rPr>
          <w:w w:val="105"/>
          <w:sz w:val="16"/>
          <w:u w:val="none"/>
        </w:rPr>
        <w:t>in</w:t>
      </w:r>
      <w:r>
        <w:rPr>
          <w:spacing w:val="-7"/>
          <w:w w:val="105"/>
          <w:sz w:val="16"/>
          <w:u w:val="none"/>
        </w:rPr>
        <w:t> </w:t>
      </w:r>
      <w:r>
        <w:rPr>
          <w:rFonts w:ascii="Verdana" w:hAnsi="Verdana"/>
          <w:i/>
          <w:w w:val="105"/>
          <w:sz w:val="16"/>
          <w:u w:val="none"/>
        </w:rPr>
        <w:t>Dillon</w:t>
      </w:r>
      <w:r>
        <w:rPr>
          <w:rFonts w:ascii="Verdana" w:hAnsi="Verdana"/>
          <w:i/>
          <w:spacing w:val="-13"/>
          <w:w w:val="105"/>
          <w:sz w:val="16"/>
          <w:u w:val="none"/>
        </w:rPr>
        <w:t> </w:t>
      </w:r>
      <w:r>
        <w:rPr>
          <w:rFonts w:ascii="Arial" w:hAnsi="Arial"/>
          <w:w w:val="105"/>
          <w:sz w:val="16"/>
          <w:u w:val="none"/>
        </w:rPr>
        <w:t>(n</w:t>
      </w:r>
      <w:r>
        <w:rPr>
          <w:rFonts w:ascii="Arial" w:hAnsi="Arial"/>
          <w:spacing w:val="-1"/>
          <w:w w:val="105"/>
          <w:sz w:val="16"/>
          <w:u w:val="none"/>
        </w:rPr>
        <w:t> </w:t>
      </w:r>
      <w:r>
        <w:rPr>
          <w:rFonts w:ascii="Arial" w:hAnsi="Arial"/>
          <w:w w:val="105"/>
          <w:sz w:val="16"/>
          <w:u w:val="none"/>
        </w:rPr>
        <w:t>155),</w:t>
      </w:r>
      <w:r>
        <w:rPr>
          <w:rFonts w:ascii="Arial" w:hAnsi="Arial"/>
          <w:spacing w:val="-1"/>
          <w:w w:val="105"/>
          <w:sz w:val="16"/>
          <w:u w:val="none"/>
        </w:rPr>
        <w:t> </w:t>
      </w:r>
      <w:r>
        <w:rPr>
          <w:rFonts w:ascii="Arial" w:hAnsi="Arial"/>
          <w:w w:val="105"/>
          <w:sz w:val="16"/>
          <w:u w:val="none"/>
        </w:rPr>
        <w:t>the</w:t>
      </w:r>
      <w:r>
        <w:rPr>
          <w:rFonts w:ascii="Arial" w:hAnsi="Arial"/>
          <w:spacing w:val="-1"/>
          <w:w w:val="105"/>
          <w:sz w:val="16"/>
          <w:u w:val="none"/>
        </w:rPr>
        <w:t> </w:t>
      </w:r>
      <w:r>
        <w:rPr>
          <w:rFonts w:ascii="Verdana" w:hAnsi="Verdana"/>
          <w:i/>
          <w:w w:val="105"/>
          <w:sz w:val="16"/>
          <w:u w:val="none"/>
        </w:rPr>
        <w:t>SPUC</w:t>
      </w:r>
      <w:r>
        <w:rPr>
          <w:rFonts w:ascii="Verdana" w:hAnsi="Verdana"/>
          <w:i/>
          <w:spacing w:val="-13"/>
          <w:w w:val="105"/>
          <w:sz w:val="16"/>
          <w:u w:val="none"/>
        </w:rPr>
        <w:t> </w:t>
      </w:r>
      <w:r>
        <w:rPr>
          <w:rFonts w:ascii="Arial" w:hAnsi="Arial"/>
          <w:w w:val="105"/>
          <w:sz w:val="16"/>
          <w:u w:val="none"/>
        </w:rPr>
        <w:t>test</w:t>
      </w:r>
      <w:r>
        <w:rPr>
          <w:rFonts w:ascii="Arial" w:hAnsi="Arial"/>
          <w:spacing w:val="-1"/>
          <w:w w:val="105"/>
          <w:sz w:val="16"/>
          <w:u w:val="none"/>
        </w:rPr>
        <w:t> </w:t>
      </w:r>
      <w:r>
        <w:rPr>
          <w:rFonts w:ascii="Arial" w:hAnsi="Arial"/>
          <w:w w:val="105"/>
          <w:sz w:val="16"/>
          <w:u w:val="none"/>
        </w:rPr>
        <w:t>was </w:t>
      </w:r>
      <w:r>
        <w:rPr>
          <w:w w:val="105"/>
          <w:sz w:val="16"/>
          <w:u w:val="none"/>
        </w:rPr>
        <w:t>affirmed as it is of higher authority.</w:t>
      </w:r>
    </w:p>
    <w:p>
      <w:pPr>
        <w:pStyle w:val="ListParagraph"/>
        <w:numPr>
          <w:ilvl w:val="0"/>
          <w:numId w:val="6"/>
        </w:numPr>
        <w:tabs>
          <w:tab w:pos="567" w:val="left" w:leader="none"/>
        </w:tabs>
        <w:spacing w:line="185" w:lineRule="exact" w:before="0" w:after="0"/>
        <w:ind w:left="567" w:right="0" w:hanging="454"/>
        <w:jc w:val="left"/>
        <w:rPr>
          <w:rFonts w:ascii="Arial" w:hAnsi="Arial"/>
          <w:sz w:val="16"/>
        </w:rPr>
      </w:pPr>
      <w:r>
        <w:rPr>
          <w:sz w:val="16"/>
        </w:rPr>
        <w:t>Northern</w:t>
      </w:r>
      <w:r>
        <w:rPr>
          <w:spacing w:val="-4"/>
          <w:sz w:val="16"/>
        </w:rPr>
        <w:t> </w:t>
      </w:r>
      <w:r>
        <w:rPr>
          <w:sz w:val="16"/>
        </w:rPr>
        <w:t>Ireland</w:t>
      </w:r>
      <w:r>
        <w:rPr>
          <w:spacing w:val="-4"/>
          <w:sz w:val="16"/>
        </w:rPr>
        <w:t> </w:t>
      </w:r>
      <w:r>
        <w:rPr>
          <w:sz w:val="16"/>
        </w:rPr>
        <w:t>Act</w:t>
      </w:r>
      <w:r>
        <w:rPr>
          <w:spacing w:val="-3"/>
          <w:sz w:val="16"/>
        </w:rPr>
        <w:t> </w:t>
      </w:r>
      <w:r>
        <w:rPr>
          <w:sz w:val="16"/>
        </w:rPr>
        <w:t>1998,</w:t>
      </w:r>
      <w:r>
        <w:rPr>
          <w:spacing w:val="-4"/>
          <w:sz w:val="16"/>
        </w:rPr>
        <w:t> </w:t>
      </w:r>
      <w:r>
        <w:rPr>
          <w:sz w:val="16"/>
        </w:rPr>
        <w:t>s</w:t>
      </w:r>
      <w:r>
        <w:rPr>
          <w:spacing w:val="-4"/>
          <w:sz w:val="16"/>
        </w:rPr>
        <w:t> </w:t>
      </w:r>
      <w:r>
        <w:rPr>
          <w:sz w:val="16"/>
        </w:rPr>
        <w:t>4(1)</w:t>
      </w:r>
      <w:r>
        <w:rPr>
          <w:spacing w:val="-3"/>
          <w:sz w:val="16"/>
        </w:rPr>
        <w:t> </w:t>
      </w:r>
      <w:r>
        <w:rPr>
          <w:sz w:val="16"/>
        </w:rPr>
        <w:t>(‘transferred</w:t>
      </w:r>
      <w:r>
        <w:rPr>
          <w:spacing w:val="-4"/>
          <w:sz w:val="16"/>
        </w:rPr>
        <w:t> </w:t>
      </w:r>
      <w:r>
        <w:rPr>
          <w:spacing w:val="-2"/>
          <w:sz w:val="16"/>
        </w:rPr>
        <w:t>matter’).</w:t>
      </w:r>
    </w:p>
    <w:p>
      <w:pPr>
        <w:pStyle w:val="ListParagraph"/>
        <w:numPr>
          <w:ilvl w:val="0"/>
          <w:numId w:val="6"/>
        </w:numPr>
        <w:tabs>
          <w:tab w:pos="567" w:val="left" w:leader="none"/>
        </w:tabs>
        <w:spacing w:line="200" w:lineRule="exact" w:before="0" w:after="0"/>
        <w:ind w:left="567" w:right="0" w:hanging="454"/>
        <w:jc w:val="left"/>
        <w:rPr>
          <w:sz w:val="16"/>
        </w:rPr>
      </w:pPr>
      <w:r>
        <w:rPr>
          <w:rFonts w:ascii="Verdana"/>
          <w:i/>
          <w:spacing w:val="-4"/>
          <w:sz w:val="16"/>
        </w:rPr>
        <w:t>Ibid</w:t>
      </w:r>
      <w:r>
        <w:rPr>
          <w:spacing w:val="-4"/>
          <w:sz w:val="16"/>
        </w:rPr>
        <w:t>., sch. </w:t>
      </w:r>
      <w:r>
        <w:rPr>
          <w:spacing w:val="-5"/>
          <w:sz w:val="16"/>
        </w:rPr>
        <w:t>3.</w:t>
      </w:r>
    </w:p>
    <w:p>
      <w:pPr>
        <w:pStyle w:val="ListParagraph"/>
        <w:numPr>
          <w:ilvl w:val="0"/>
          <w:numId w:val="6"/>
        </w:numPr>
        <w:tabs>
          <w:tab w:pos="567" w:val="left" w:leader="none"/>
        </w:tabs>
        <w:spacing w:line="200" w:lineRule="exact" w:before="0" w:after="0"/>
        <w:ind w:left="567" w:right="0" w:hanging="454"/>
        <w:jc w:val="left"/>
        <w:rPr>
          <w:sz w:val="16"/>
        </w:rPr>
      </w:pPr>
      <w:r>
        <w:rPr>
          <w:rFonts w:ascii="Verdana"/>
          <w:i/>
          <w:spacing w:val="-4"/>
          <w:sz w:val="16"/>
        </w:rPr>
        <w:t>Ibid</w:t>
      </w:r>
      <w:r>
        <w:rPr>
          <w:spacing w:val="-4"/>
          <w:sz w:val="16"/>
        </w:rPr>
        <w:t>., sch. </w:t>
      </w:r>
      <w:r>
        <w:rPr>
          <w:spacing w:val="-5"/>
          <w:sz w:val="16"/>
        </w:rPr>
        <w:t>2.</w:t>
      </w:r>
    </w:p>
    <w:p>
      <w:pPr>
        <w:pStyle w:val="ListParagraph"/>
        <w:numPr>
          <w:ilvl w:val="0"/>
          <w:numId w:val="6"/>
        </w:numPr>
        <w:tabs>
          <w:tab w:pos="567" w:val="left" w:leader="none"/>
        </w:tabs>
        <w:spacing w:line="207" w:lineRule="exact" w:before="0" w:after="0"/>
        <w:ind w:left="567" w:right="0" w:hanging="454"/>
        <w:jc w:val="left"/>
        <w:rPr>
          <w:sz w:val="16"/>
        </w:rPr>
      </w:pPr>
      <w:r>
        <w:rPr>
          <w:rFonts w:ascii="Verdana"/>
          <w:i/>
          <w:sz w:val="16"/>
        </w:rPr>
        <w:t>Ibid</w:t>
      </w:r>
      <w:r>
        <w:rPr>
          <w:rFonts w:ascii="Arial"/>
          <w:sz w:val="16"/>
        </w:rPr>
        <w:t>.,</w:t>
      </w:r>
      <w:r>
        <w:rPr>
          <w:rFonts w:ascii="Arial"/>
          <w:spacing w:val="-9"/>
          <w:sz w:val="16"/>
        </w:rPr>
        <w:t> </w:t>
      </w:r>
      <w:r>
        <w:rPr>
          <w:rFonts w:ascii="Arial"/>
          <w:sz w:val="16"/>
        </w:rPr>
        <w:t>s</w:t>
      </w:r>
      <w:r>
        <w:rPr>
          <w:rFonts w:ascii="Arial"/>
          <w:spacing w:val="-9"/>
          <w:sz w:val="16"/>
        </w:rPr>
        <w:t> </w:t>
      </w:r>
      <w:r>
        <w:rPr>
          <w:rFonts w:ascii="Arial"/>
          <w:spacing w:val="-5"/>
          <w:sz w:val="16"/>
        </w:rPr>
        <w:t>7.</w:t>
      </w:r>
    </w:p>
    <w:p>
      <w:pPr>
        <w:pStyle w:val="ListParagraph"/>
        <w:numPr>
          <w:ilvl w:val="0"/>
          <w:numId w:val="6"/>
        </w:numPr>
        <w:tabs>
          <w:tab w:pos="567" w:val="left" w:leader="none"/>
        </w:tabs>
        <w:spacing w:line="179" w:lineRule="exact" w:before="0" w:after="0"/>
        <w:ind w:left="567" w:right="0" w:hanging="454"/>
        <w:jc w:val="left"/>
        <w:rPr>
          <w:rFonts w:ascii="Arial"/>
          <w:sz w:val="16"/>
        </w:rPr>
      </w:pPr>
      <w:r>
        <w:rPr>
          <w:rFonts w:ascii="Arial"/>
          <w:w w:val="110"/>
          <w:sz w:val="16"/>
        </w:rPr>
        <w:t>Craig</w:t>
      </w:r>
      <w:r>
        <w:rPr>
          <w:rFonts w:ascii="Arial"/>
          <w:spacing w:val="-7"/>
          <w:w w:val="110"/>
          <w:sz w:val="16"/>
        </w:rPr>
        <w:t> </w:t>
      </w:r>
      <w:r>
        <w:rPr>
          <w:rFonts w:ascii="Verdana"/>
          <w:i/>
          <w:w w:val="110"/>
          <w:sz w:val="16"/>
        </w:rPr>
        <w:t>et</w:t>
      </w:r>
      <w:r>
        <w:rPr>
          <w:rFonts w:ascii="Verdana"/>
          <w:i/>
          <w:spacing w:val="-15"/>
          <w:w w:val="110"/>
          <w:sz w:val="16"/>
        </w:rPr>
        <w:t> </w:t>
      </w:r>
      <w:r>
        <w:rPr>
          <w:rFonts w:ascii="Verdana"/>
          <w:i/>
          <w:w w:val="110"/>
          <w:sz w:val="16"/>
        </w:rPr>
        <w:t>al</w:t>
      </w:r>
      <w:r>
        <w:rPr>
          <w:rFonts w:ascii="Verdana"/>
          <w:i/>
          <w:spacing w:val="-16"/>
          <w:w w:val="110"/>
          <w:sz w:val="16"/>
        </w:rPr>
        <w:t> </w:t>
      </w:r>
      <w:r>
        <w:rPr>
          <w:rFonts w:ascii="Arial"/>
          <w:w w:val="110"/>
          <w:sz w:val="16"/>
        </w:rPr>
        <w:t>(n</w:t>
      </w:r>
      <w:r>
        <w:rPr>
          <w:rFonts w:ascii="Arial"/>
          <w:spacing w:val="-3"/>
          <w:w w:val="110"/>
          <w:sz w:val="16"/>
        </w:rPr>
        <w:t> </w:t>
      </w:r>
      <w:r>
        <w:rPr>
          <w:rFonts w:ascii="Arial"/>
          <w:w w:val="110"/>
          <w:sz w:val="16"/>
        </w:rPr>
        <w:t>5),</w:t>
      </w:r>
      <w:r>
        <w:rPr>
          <w:rFonts w:ascii="Arial"/>
          <w:spacing w:val="-4"/>
          <w:w w:val="110"/>
          <w:sz w:val="16"/>
        </w:rPr>
        <w:t> </w:t>
      </w:r>
      <w:r>
        <w:rPr>
          <w:rFonts w:ascii="Arial"/>
          <w:w w:val="110"/>
          <w:sz w:val="16"/>
        </w:rPr>
        <w:t>96-</w:t>
      </w:r>
      <w:r>
        <w:rPr>
          <w:rFonts w:ascii="Arial"/>
          <w:spacing w:val="-5"/>
          <w:w w:val="110"/>
          <w:sz w:val="16"/>
        </w:rPr>
        <w:t>97.</w:t>
      </w:r>
    </w:p>
    <w:p>
      <w:pPr>
        <w:spacing w:after="0" w:line="179" w:lineRule="exact"/>
        <w:jc w:val="left"/>
        <w:rPr>
          <w:rFonts w:ascii="Arial"/>
          <w:sz w:val="16"/>
        </w:rPr>
        <w:sectPr>
          <w:type w:val="continuous"/>
          <w:pgSz w:w="11910" w:h="16840"/>
          <w:pgMar w:header="568" w:footer="580" w:top="0" w:bottom="280" w:left="1020" w:right="1020"/>
        </w:sectPr>
      </w:pPr>
    </w:p>
    <w:p>
      <w:pPr>
        <w:pStyle w:val="BodyText"/>
        <w:ind w:left="0"/>
        <w:rPr>
          <w:sz w:val="20"/>
        </w:rPr>
      </w:pPr>
    </w:p>
    <w:p>
      <w:pPr>
        <w:pStyle w:val="BodyText"/>
        <w:ind w:left="0"/>
        <w:rPr>
          <w:sz w:val="20"/>
        </w:rPr>
      </w:pPr>
    </w:p>
    <w:p>
      <w:pPr>
        <w:pStyle w:val="BodyText"/>
        <w:spacing w:before="48"/>
        <w:ind w:left="0"/>
        <w:rPr>
          <w:sz w:val="20"/>
        </w:rPr>
      </w:pPr>
    </w:p>
    <w:p>
      <w:pPr>
        <w:spacing w:after="0"/>
        <w:rPr>
          <w:sz w:val="20"/>
        </w:rPr>
        <w:sectPr>
          <w:pgSz w:w="11910" w:h="16840"/>
          <w:pgMar w:header="568" w:footer="580" w:top="840" w:bottom="780" w:left="1020" w:right="1020"/>
        </w:sectPr>
      </w:pPr>
    </w:p>
    <w:p>
      <w:pPr>
        <w:pStyle w:val="BodyText"/>
        <w:spacing w:line="318" w:lineRule="exact" w:before="42"/>
        <w:ind w:right="333"/>
      </w:pPr>
      <w:bookmarkStart w:name="c. The relationship between Article 4 WA" w:id="46"/>
      <w:bookmarkEnd w:id="46"/>
      <w:r>
        <w:rPr/>
      </w:r>
      <w:bookmarkStart w:name="_bookmark19" w:id="47"/>
      <w:bookmarkEnd w:id="47"/>
      <w:r>
        <w:rPr/>
      </w:r>
      <w:r>
        <w:rPr>
          <w:w w:val="110"/>
        </w:rPr>
        <w:t>An example of this is the Illegal </w:t>
      </w:r>
      <w:r>
        <w:rPr>
          <w:rFonts w:ascii="Lucida Sans Unicode"/>
          <w:spacing w:val="-2"/>
          <w:w w:val="110"/>
        </w:rPr>
        <w:t>Migration</w:t>
      </w:r>
      <w:r>
        <w:rPr>
          <w:rFonts w:ascii="Lucida Sans Unicode"/>
          <w:spacing w:val="-19"/>
          <w:w w:val="110"/>
        </w:rPr>
        <w:t> </w:t>
      </w:r>
      <w:r>
        <w:rPr>
          <w:rFonts w:ascii="Lucida Sans Unicode"/>
          <w:spacing w:val="-2"/>
          <w:w w:val="110"/>
        </w:rPr>
        <w:t>Act</w:t>
      </w:r>
      <w:r>
        <w:rPr>
          <w:rFonts w:ascii="Lucida Sans Unicode"/>
          <w:spacing w:val="-19"/>
          <w:w w:val="110"/>
        </w:rPr>
        <w:t> </w:t>
      </w:r>
      <w:r>
        <w:rPr>
          <w:rFonts w:ascii="Lucida Sans Unicode"/>
          <w:spacing w:val="-2"/>
          <w:w w:val="110"/>
        </w:rPr>
        <w:t>2023.</w:t>
      </w:r>
      <w:r>
        <w:rPr>
          <w:rFonts w:ascii="Lucida Sans Unicode"/>
          <w:spacing w:val="-19"/>
          <w:w w:val="110"/>
        </w:rPr>
        <w:t> </w:t>
      </w:r>
      <w:r>
        <w:rPr>
          <w:rFonts w:ascii="Lucida Sans Unicode"/>
          <w:spacing w:val="-2"/>
          <w:w w:val="110"/>
        </w:rPr>
        <w:t>Section</w:t>
      </w:r>
      <w:r>
        <w:rPr>
          <w:rFonts w:ascii="Lucida Sans Unicode"/>
          <w:spacing w:val="-19"/>
          <w:w w:val="110"/>
        </w:rPr>
        <w:t> </w:t>
      </w:r>
      <w:r>
        <w:rPr>
          <w:rFonts w:ascii="Lucida Sans Unicode"/>
          <w:spacing w:val="-2"/>
          <w:w w:val="110"/>
        </w:rPr>
        <w:t>5</w:t>
      </w:r>
      <w:r>
        <w:rPr>
          <w:rFonts w:ascii="Lucida Sans Unicode"/>
          <w:spacing w:val="-19"/>
          <w:w w:val="110"/>
        </w:rPr>
        <w:t> </w:t>
      </w:r>
      <w:r>
        <w:rPr>
          <w:rFonts w:ascii="Lucida Sans Unicode"/>
          <w:spacing w:val="-2"/>
          <w:w w:val="110"/>
        </w:rPr>
        <w:t>of </w:t>
      </w:r>
      <w:r>
        <w:rPr>
          <w:rFonts w:ascii="Lucida Sans Unicode"/>
        </w:rPr>
        <w:t>this Act obligates the Secretary of </w:t>
      </w:r>
      <w:r>
        <w:rPr>
          <w:rFonts w:ascii="Lucida Sans Unicode"/>
          <w:spacing w:val="-2"/>
          <w:w w:val="110"/>
        </w:rPr>
        <w:t>State</w:t>
      </w:r>
      <w:r>
        <w:rPr>
          <w:rFonts w:ascii="Lucida Sans Unicode"/>
          <w:spacing w:val="-19"/>
          <w:w w:val="110"/>
        </w:rPr>
        <w:t> </w:t>
      </w:r>
      <w:r>
        <w:rPr>
          <w:rFonts w:ascii="Lucida Sans Unicode"/>
          <w:spacing w:val="-2"/>
          <w:w w:val="110"/>
        </w:rPr>
        <w:t>to</w:t>
      </w:r>
      <w:r>
        <w:rPr>
          <w:rFonts w:ascii="Lucida Sans Unicode"/>
          <w:spacing w:val="-19"/>
          <w:w w:val="110"/>
        </w:rPr>
        <w:t> </w:t>
      </w:r>
      <w:r>
        <w:rPr>
          <w:rFonts w:ascii="Lucida Sans Unicode"/>
          <w:spacing w:val="-2"/>
          <w:w w:val="110"/>
        </w:rPr>
        <w:t>disregard</w:t>
      </w:r>
      <w:r>
        <w:rPr>
          <w:rFonts w:ascii="Lucida Sans Unicode"/>
          <w:spacing w:val="-19"/>
          <w:w w:val="110"/>
        </w:rPr>
        <w:t> </w:t>
      </w:r>
      <w:r>
        <w:rPr>
          <w:rFonts w:ascii="Lucida Sans Unicode"/>
          <w:spacing w:val="-2"/>
          <w:w w:val="110"/>
        </w:rPr>
        <w:t>human</w:t>
      </w:r>
      <w:r>
        <w:rPr>
          <w:rFonts w:ascii="Lucida Sans Unicode"/>
          <w:spacing w:val="-19"/>
          <w:w w:val="110"/>
        </w:rPr>
        <w:t> </w:t>
      </w:r>
      <w:r>
        <w:rPr>
          <w:rFonts w:ascii="Lucida Sans Unicode"/>
          <w:spacing w:val="-2"/>
          <w:w w:val="110"/>
        </w:rPr>
        <w:t>rights </w:t>
      </w:r>
      <w:r>
        <w:rPr>
          <w:w w:val="110"/>
        </w:rPr>
        <w:t>claims made by individuals who have arrived in the UK in breach </w:t>
      </w:r>
      <w:r>
        <w:rPr>
          <w:w w:val="110"/>
        </w:rPr>
        <w:t>of</w:t>
      </w:r>
    </w:p>
    <w:p>
      <w:pPr>
        <w:pStyle w:val="BodyText"/>
        <w:spacing w:line="276" w:lineRule="auto" w:before="33"/>
      </w:pPr>
      <w:r>
        <w:rPr>
          <w:spacing w:val="-2"/>
          <w:w w:val="115"/>
        </w:rPr>
        <w:t>immigration</w:t>
      </w:r>
      <w:r>
        <w:rPr>
          <w:spacing w:val="-13"/>
          <w:w w:val="115"/>
        </w:rPr>
        <w:t> </w:t>
      </w:r>
      <w:r>
        <w:rPr>
          <w:spacing w:val="-2"/>
          <w:w w:val="115"/>
        </w:rPr>
        <w:t>law</w:t>
      </w:r>
      <w:r>
        <w:rPr>
          <w:spacing w:val="-14"/>
          <w:w w:val="115"/>
        </w:rPr>
        <w:t> </w:t>
      </w:r>
      <w:r>
        <w:rPr>
          <w:spacing w:val="-2"/>
          <w:w w:val="115"/>
        </w:rPr>
        <w:t>and</w:t>
      </w:r>
      <w:r>
        <w:rPr>
          <w:spacing w:val="-13"/>
          <w:w w:val="115"/>
        </w:rPr>
        <w:t> </w:t>
      </w:r>
      <w:r>
        <w:rPr>
          <w:spacing w:val="-2"/>
          <w:w w:val="115"/>
        </w:rPr>
        <w:t>who</w:t>
      </w:r>
      <w:r>
        <w:rPr>
          <w:spacing w:val="-14"/>
          <w:w w:val="115"/>
        </w:rPr>
        <w:t> </w:t>
      </w:r>
      <w:r>
        <w:rPr>
          <w:spacing w:val="-2"/>
          <w:w w:val="115"/>
        </w:rPr>
        <w:t>have</w:t>
      </w:r>
      <w:r>
        <w:rPr>
          <w:spacing w:val="-13"/>
          <w:w w:val="115"/>
        </w:rPr>
        <w:t> </w:t>
      </w:r>
      <w:r>
        <w:rPr>
          <w:spacing w:val="-2"/>
          <w:w w:val="115"/>
        </w:rPr>
        <w:t>arrived </w:t>
      </w:r>
      <w:r>
        <w:rPr>
          <w:w w:val="115"/>
        </w:rPr>
        <w:t>from a country where their life or liberty are not at risk due to certain listed characteristics (this country</w:t>
      </w:r>
    </w:p>
    <w:p>
      <w:pPr>
        <w:pStyle w:val="BodyText"/>
        <w:spacing w:line="261" w:lineRule="auto" w:before="5"/>
        <w:ind w:right="333"/>
        <w:rPr>
          <w:rFonts w:ascii="Lucida Sans Unicode" w:hAnsi="Lucida Sans Unicode"/>
        </w:rPr>
      </w:pPr>
      <w:r>
        <w:rPr>
          <w:w w:val="110"/>
        </w:rPr>
        <w:t>is not necessarily their country of origin).</w:t>
      </w:r>
      <w:r>
        <w:rPr>
          <w:w w:val="110"/>
          <w:vertAlign w:val="superscript"/>
        </w:rPr>
        <w:t>176</w:t>
      </w:r>
      <w:r>
        <w:rPr>
          <w:spacing w:val="-5"/>
          <w:w w:val="110"/>
          <w:vertAlign w:val="baseline"/>
        </w:rPr>
        <w:t> </w:t>
      </w:r>
      <w:r>
        <w:rPr>
          <w:w w:val="110"/>
          <w:vertAlign w:val="baseline"/>
        </w:rPr>
        <w:t>A</w:t>
      </w:r>
      <w:r>
        <w:rPr>
          <w:spacing w:val="-5"/>
          <w:w w:val="110"/>
          <w:vertAlign w:val="baseline"/>
        </w:rPr>
        <w:t> </w:t>
      </w:r>
      <w:r>
        <w:rPr>
          <w:w w:val="110"/>
          <w:vertAlign w:val="baseline"/>
        </w:rPr>
        <w:t>‘human</w:t>
      </w:r>
      <w:r>
        <w:rPr>
          <w:spacing w:val="-5"/>
          <w:w w:val="110"/>
          <w:vertAlign w:val="baseline"/>
        </w:rPr>
        <w:t> </w:t>
      </w:r>
      <w:r>
        <w:rPr>
          <w:w w:val="110"/>
          <w:vertAlign w:val="baseline"/>
        </w:rPr>
        <w:t>rights</w:t>
      </w:r>
      <w:r>
        <w:rPr>
          <w:spacing w:val="-5"/>
          <w:w w:val="110"/>
          <w:vertAlign w:val="baseline"/>
        </w:rPr>
        <w:t> </w:t>
      </w:r>
      <w:r>
        <w:rPr>
          <w:w w:val="110"/>
          <w:vertAlign w:val="baseline"/>
        </w:rPr>
        <w:t>claim’</w:t>
      </w:r>
      <w:r>
        <w:rPr>
          <w:spacing w:val="-5"/>
          <w:w w:val="110"/>
          <w:vertAlign w:val="baseline"/>
        </w:rPr>
        <w:t> </w:t>
      </w:r>
      <w:r>
        <w:rPr>
          <w:w w:val="110"/>
          <w:vertAlign w:val="baseline"/>
        </w:rPr>
        <w:t>is </w:t>
      </w:r>
      <w:r>
        <w:rPr>
          <w:rFonts w:ascii="Lucida Sans Unicode" w:hAnsi="Lucida Sans Unicode"/>
          <w:vertAlign w:val="baseline"/>
        </w:rPr>
        <w:t>defined as a claim that removing</w:t>
      </w:r>
    </w:p>
    <w:p>
      <w:pPr>
        <w:pStyle w:val="BodyText"/>
        <w:spacing w:line="228" w:lineRule="exact"/>
      </w:pPr>
      <w:r>
        <w:rPr>
          <w:w w:val="110"/>
        </w:rPr>
        <w:t>the</w:t>
      </w:r>
      <w:r>
        <w:rPr>
          <w:spacing w:val="14"/>
          <w:w w:val="110"/>
        </w:rPr>
        <w:t> </w:t>
      </w:r>
      <w:r>
        <w:rPr>
          <w:w w:val="110"/>
        </w:rPr>
        <w:t>person</w:t>
      </w:r>
      <w:r>
        <w:rPr>
          <w:spacing w:val="14"/>
          <w:w w:val="110"/>
        </w:rPr>
        <w:t> </w:t>
      </w:r>
      <w:r>
        <w:rPr>
          <w:w w:val="110"/>
        </w:rPr>
        <w:t>making</w:t>
      </w:r>
      <w:r>
        <w:rPr>
          <w:spacing w:val="14"/>
          <w:w w:val="110"/>
        </w:rPr>
        <w:t> </w:t>
      </w:r>
      <w:r>
        <w:rPr>
          <w:w w:val="110"/>
        </w:rPr>
        <w:t>the</w:t>
      </w:r>
      <w:r>
        <w:rPr>
          <w:spacing w:val="14"/>
          <w:w w:val="110"/>
        </w:rPr>
        <w:t> </w:t>
      </w:r>
      <w:r>
        <w:rPr>
          <w:w w:val="110"/>
        </w:rPr>
        <w:t>claim</w:t>
      </w:r>
      <w:r>
        <w:rPr>
          <w:spacing w:val="14"/>
          <w:w w:val="110"/>
        </w:rPr>
        <w:t> </w:t>
      </w:r>
      <w:r>
        <w:rPr>
          <w:w w:val="110"/>
        </w:rPr>
        <w:t>to</w:t>
      </w:r>
      <w:r>
        <w:rPr>
          <w:spacing w:val="14"/>
          <w:w w:val="110"/>
        </w:rPr>
        <w:t> </w:t>
      </w:r>
      <w:r>
        <w:rPr>
          <w:spacing w:val="-10"/>
          <w:w w:val="110"/>
        </w:rPr>
        <w:t>a</w:t>
      </w:r>
    </w:p>
    <w:p>
      <w:pPr>
        <w:pStyle w:val="BodyText"/>
        <w:spacing w:line="318" w:lineRule="exact" w:before="14"/>
        <w:ind w:right="152"/>
      </w:pPr>
      <w:r>
        <w:rPr>
          <w:w w:val="110"/>
        </w:rPr>
        <w:t>country of which they are a national</w:t>
      </w:r>
      <w:r>
        <w:rPr>
          <w:spacing w:val="40"/>
          <w:w w:val="110"/>
        </w:rPr>
        <w:t> </w:t>
      </w:r>
      <w:r>
        <w:rPr>
          <w:w w:val="110"/>
        </w:rPr>
        <w:t>or a citizen, or from which they have obtained a travel document, would</w:t>
      </w:r>
      <w:r>
        <w:rPr>
          <w:spacing w:val="80"/>
          <w:w w:val="150"/>
        </w:rPr>
        <w:t> </w:t>
      </w:r>
      <w:r>
        <w:rPr>
          <w:w w:val="110"/>
        </w:rPr>
        <w:t>be unlawful under section 6 of the HRA (the duty on public authorities not to act contrary to the ECHR).</w:t>
      </w:r>
      <w:r>
        <w:rPr>
          <w:w w:val="110"/>
          <w:vertAlign w:val="superscript"/>
        </w:rPr>
        <w:t>177</w:t>
      </w:r>
      <w:r>
        <w:rPr>
          <w:w w:val="110"/>
          <w:vertAlign w:val="baseline"/>
        </w:rPr>
        <w:t> Disregarding such claims in Northern Ireland would leave people without the safeguard of having remedies to breaches of ECHR rights in Northern Ireland courts – in direct breach of</w:t>
      </w:r>
      <w:r>
        <w:rPr>
          <w:spacing w:val="40"/>
          <w:w w:val="110"/>
          <w:vertAlign w:val="baseline"/>
        </w:rPr>
        <w:t> </w:t>
      </w:r>
      <w:r>
        <w:rPr>
          <w:rFonts w:ascii="Lucida Sans Unicode" w:hAnsi="Lucida Sans Unicode"/>
          <w:vertAlign w:val="baseline"/>
        </w:rPr>
        <w:t>the</w:t>
      </w:r>
      <w:r>
        <w:rPr>
          <w:rFonts w:ascii="Lucida Sans Unicode" w:hAnsi="Lucida Sans Unicode"/>
          <w:spacing w:val="-4"/>
          <w:vertAlign w:val="baseline"/>
        </w:rPr>
        <w:t> </w:t>
      </w:r>
      <w:r>
        <w:rPr>
          <w:rFonts w:ascii="Lucida Sans Unicode" w:hAnsi="Lucida Sans Unicode"/>
          <w:vertAlign w:val="baseline"/>
        </w:rPr>
        <w:t>relevant</w:t>
      </w:r>
      <w:r>
        <w:rPr>
          <w:rFonts w:ascii="Lucida Sans Unicode" w:hAnsi="Lucida Sans Unicode"/>
          <w:spacing w:val="-4"/>
          <w:vertAlign w:val="baseline"/>
        </w:rPr>
        <w:t> </w:t>
      </w:r>
      <w:r>
        <w:rPr>
          <w:rFonts w:ascii="Lucida Sans Unicode" w:hAnsi="Lucida Sans Unicode"/>
          <w:vertAlign w:val="baseline"/>
        </w:rPr>
        <w:t>safeguard</w:t>
      </w:r>
      <w:r>
        <w:rPr>
          <w:rFonts w:ascii="Lucida Sans Unicode" w:hAnsi="Lucida Sans Unicode"/>
          <w:spacing w:val="-4"/>
          <w:vertAlign w:val="baseline"/>
        </w:rPr>
        <w:t> </w:t>
      </w:r>
      <w:r>
        <w:rPr>
          <w:rFonts w:ascii="Lucida Sans Unicode" w:hAnsi="Lucida Sans Unicode"/>
          <w:vertAlign w:val="baseline"/>
        </w:rPr>
        <w:t>in</w:t>
      </w:r>
      <w:r>
        <w:rPr>
          <w:rFonts w:ascii="Lucida Sans Unicode" w:hAnsi="Lucida Sans Unicode"/>
          <w:spacing w:val="-4"/>
          <w:vertAlign w:val="baseline"/>
        </w:rPr>
        <w:t> </w:t>
      </w:r>
      <w:r>
        <w:rPr>
          <w:rFonts w:ascii="Lucida Sans Unicode" w:hAnsi="Lucida Sans Unicode"/>
          <w:vertAlign w:val="baseline"/>
        </w:rPr>
        <w:t>the</w:t>
      </w:r>
      <w:r>
        <w:rPr>
          <w:rFonts w:ascii="Lucida Sans Unicode" w:hAnsi="Lucida Sans Unicode"/>
          <w:spacing w:val="-4"/>
          <w:vertAlign w:val="baseline"/>
        </w:rPr>
        <w:t> </w:t>
      </w:r>
      <w:r>
        <w:rPr>
          <w:rFonts w:ascii="Lucida Sans Unicode" w:hAnsi="Lucida Sans Unicode"/>
          <w:vertAlign w:val="baseline"/>
        </w:rPr>
        <w:t>RSEO.</w:t>
      </w:r>
      <w:r>
        <w:rPr>
          <w:rFonts w:ascii="Lucida Sans Unicode" w:hAnsi="Lucida Sans Unicode"/>
          <w:vertAlign w:val="superscript"/>
        </w:rPr>
        <w:t>178</w:t>
      </w:r>
      <w:r>
        <w:rPr>
          <w:rFonts w:ascii="Lucida Sans Unicode" w:hAnsi="Lucida Sans Unicode"/>
          <w:vertAlign w:val="baseline"/>
        </w:rPr>
        <w:t> </w:t>
      </w:r>
      <w:r>
        <w:rPr>
          <w:w w:val="110"/>
          <w:vertAlign w:val="baseline"/>
        </w:rPr>
        <w:t>The relevant EU laws underpinning this safeguard in an asylum context includes (pre-Brexit) the principle of </w:t>
      </w:r>
      <w:r>
        <w:rPr>
          <w:rFonts w:ascii="Verdana" w:hAnsi="Verdana"/>
          <w:i/>
          <w:vertAlign w:val="baseline"/>
        </w:rPr>
        <w:t>non-refoulement </w:t>
      </w:r>
      <w:r>
        <w:rPr>
          <w:vertAlign w:val="baseline"/>
        </w:rPr>
        <w:t>in the Treaties,</w:t>
      </w:r>
      <w:r>
        <w:rPr>
          <w:vertAlign w:val="superscript"/>
        </w:rPr>
        <w:t>179</w:t>
      </w:r>
    </w:p>
    <w:p>
      <w:pPr>
        <w:pStyle w:val="BodyText"/>
        <w:spacing w:line="318" w:lineRule="exact" w:before="9"/>
        <w:ind w:right="274"/>
      </w:pPr>
      <w:r>
        <w:rPr>
          <w:w w:val="115"/>
        </w:rPr>
        <w:t>the Dublin III Regulation which </w:t>
      </w:r>
      <w:r>
        <w:rPr>
          <w:spacing w:val="-2"/>
          <w:w w:val="115"/>
        </w:rPr>
        <w:t>concerned</w:t>
      </w:r>
      <w:r>
        <w:rPr>
          <w:spacing w:val="-18"/>
          <w:w w:val="115"/>
        </w:rPr>
        <w:t> </w:t>
      </w:r>
      <w:r>
        <w:rPr>
          <w:spacing w:val="-2"/>
          <w:w w:val="115"/>
        </w:rPr>
        <w:t>the</w:t>
      </w:r>
      <w:r>
        <w:rPr>
          <w:spacing w:val="-17"/>
          <w:w w:val="115"/>
        </w:rPr>
        <w:t> </w:t>
      </w:r>
      <w:r>
        <w:rPr>
          <w:spacing w:val="-2"/>
          <w:w w:val="115"/>
        </w:rPr>
        <w:t>processing</w:t>
      </w:r>
      <w:r>
        <w:rPr>
          <w:spacing w:val="-17"/>
          <w:w w:val="115"/>
        </w:rPr>
        <w:t> </w:t>
      </w:r>
      <w:r>
        <w:rPr>
          <w:spacing w:val="-2"/>
          <w:w w:val="115"/>
        </w:rPr>
        <w:t>of</w:t>
      </w:r>
      <w:r>
        <w:rPr>
          <w:spacing w:val="-17"/>
          <w:w w:val="115"/>
        </w:rPr>
        <w:t> </w:t>
      </w:r>
      <w:r>
        <w:rPr>
          <w:spacing w:val="-2"/>
          <w:w w:val="115"/>
        </w:rPr>
        <w:t>asylum </w:t>
      </w:r>
      <w:r>
        <w:rPr>
          <w:w w:val="115"/>
        </w:rPr>
        <w:t>claims</w:t>
      </w:r>
      <w:r>
        <w:rPr>
          <w:spacing w:val="-4"/>
          <w:w w:val="115"/>
        </w:rPr>
        <w:t> </w:t>
      </w:r>
      <w:r>
        <w:rPr>
          <w:w w:val="115"/>
        </w:rPr>
        <w:t>in</w:t>
      </w:r>
      <w:r>
        <w:rPr>
          <w:spacing w:val="-4"/>
          <w:w w:val="115"/>
        </w:rPr>
        <w:t> </w:t>
      </w:r>
      <w:r>
        <w:rPr>
          <w:w w:val="115"/>
        </w:rPr>
        <w:t>the</w:t>
      </w:r>
      <w:r>
        <w:rPr>
          <w:spacing w:val="-4"/>
          <w:w w:val="115"/>
        </w:rPr>
        <w:t> </w:t>
      </w:r>
      <w:r>
        <w:rPr>
          <w:w w:val="115"/>
        </w:rPr>
        <w:t>EU</w:t>
      </w:r>
      <w:r>
        <w:rPr>
          <w:rFonts w:ascii="Lucida Sans Unicode"/>
          <w:w w:val="115"/>
          <w:vertAlign w:val="superscript"/>
        </w:rPr>
        <w:t>180</w:t>
      </w:r>
      <w:r>
        <w:rPr>
          <w:rFonts w:ascii="Lucida Sans Unicode"/>
          <w:spacing w:val="-15"/>
          <w:w w:val="115"/>
          <w:vertAlign w:val="baseline"/>
        </w:rPr>
        <w:t> </w:t>
      </w:r>
      <w:r>
        <w:rPr>
          <w:w w:val="115"/>
          <w:vertAlign w:val="baseline"/>
        </w:rPr>
        <w:t>and</w:t>
      </w:r>
      <w:r>
        <w:rPr>
          <w:spacing w:val="-4"/>
          <w:w w:val="115"/>
          <w:vertAlign w:val="baseline"/>
        </w:rPr>
        <w:t> </w:t>
      </w:r>
      <w:r>
        <w:rPr>
          <w:w w:val="115"/>
          <w:vertAlign w:val="baseline"/>
        </w:rPr>
        <w:t>the</w:t>
      </w:r>
      <w:r>
        <w:rPr>
          <w:spacing w:val="-4"/>
          <w:w w:val="115"/>
          <w:vertAlign w:val="baseline"/>
        </w:rPr>
        <w:t> </w:t>
      </w:r>
      <w:r>
        <w:rPr>
          <w:w w:val="115"/>
          <w:vertAlign w:val="baseline"/>
        </w:rPr>
        <w:t>right</w:t>
      </w:r>
      <w:r>
        <w:rPr>
          <w:spacing w:val="-4"/>
          <w:w w:val="115"/>
          <w:vertAlign w:val="baseline"/>
        </w:rPr>
        <w:t> </w:t>
      </w:r>
      <w:r>
        <w:rPr>
          <w:w w:val="115"/>
          <w:vertAlign w:val="baseline"/>
        </w:rPr>
        <w:t>to </w:t>
      </w:r>
      <w:r>
        <w:rPr>
          <w:w w:val="110"/>
          <w:vertAlign w:val="baseline"/>
        </w:rPr>
        <w:t>asylum</w:t>
      </w:r>
      <w:r>
        <w:rPr>
          <w:spacing w:val="-7"/>
          <w:w w:val="110"/>
          <w:vertAlign w:val="baseline"/>
        </w:rPr>
        <w:t> </w:t>
      </w:r>
      <w:r>
        <w:rPr>
          <w:w w:val="110"/>
          <w:vertAlign w:val="baseline"/>
        </w:rPr>
        <w:t>under</w:t>
      </w:r>
      <w:r>
        <w:rPr>
          <w:spacing w:val="-7"/>
          <w:w w:val="110"/>
          <w:vertAlign w:val="baseline"/>
        </w:rPr>
        <w:t> </w:t>
      </w:r>
      <w:r>
        <w:rPr>
          <w:w w:val="110"/>
          <w:vertAlign w:val="baseline"/>
        </w:rPr>
        <w:t>the</w:t>
      </w:r>
      <w:r>
        <w:rPr>
          <w:spacing w:val="-7"/>
          <w:w w:val="110"/>
          <w:vertAlign w:val="baseline"/>
        </w:rPr>
        <w:t> </w:t>
      </w:r>
      <w:r>
        <w:rPr>
          <w:w w:val="110"/>
          <w:vertAlign w:val="baseline"/>
        </w:rPr>
        <w:t>Charter.</w:t>
      </w:r>
      <w:r>
        <w:rPr>
          <w:rFonts w:ascii="Lucida Sans Unicode"/>
          <w:w w:val="110"/>
          <w:vertAlign w:val="superscript"/>
        </w:rPr>
        <w:t>181</w:t>
      </w:r>
      <w:r>
        <w:rPr>
          <w:rFonts w:ascii="Lucida Sans Unicode"/>
          <w:spacing w:val="-17"/>
          <w:w w:val="110"/>
          <w:vertAlign w:val="baseline"/>
        </w:rPr>
        <w:t> </w:t>
      </w:r>
      <w:r>
        <w:rPr>
          <w:w w:val="110"/>
          <w:vertAlign w:val="baseline"/>
        </w:rPr>
        <w:t>But</w:t>
      </w:r>
      <w:r>
        <w:rPr>
          <w:spacing w:val="-7"/>
          <w:w w:val="110"/>
          <w:vertAlign w:val="baseline"/>
        </w:rPr>
        <w:t> </w:t>
      </w:r>
      <w:r>
        <w:rPr>
          <w:w w:val="110"/>
          <w:vertAlign w:val="baseline"/>
        </w:rPr>
        <w:t>the </w:t>
      </w:r>
      <w:r>
        <w:rPr>
          <w:w w:val="115"/>
          <w:vertAlign w:val="baseline"/>
        </w:rPr>
        <w:t>responsibility for this breach would not</w:t>
      </w:r>
      <w:r>
        <w:rPr>
          <w:spacing w:val="-4"/>
          <w:w w:val="115"/>
          <w:vertAlign w:val="baseline"/>
        </w:rPr>
        <w:t> </w:t>
      </w:r>
      <w:r>
        <w:rPr>
          <w:w w:val="115"/>
          <w:vertAlign w:val="baseline"/>
        </w:rPr>
        <w:t>lie</w:t>
      </w:r>
      <w:r>
        <w:rPr>
          <w:spacing w:val="-4"/>
          <w:w w:val="115"/>
          <w:vertAlign w:val="baseline"/>
        </w:rPr>
        <w:t> </w:t>
      </w:r>
      <w:r>
        <w:rPr>
          <w:w w:val="115"/>
          <w:vertAlign w:val="baseline"/>
        </w:rPr>
        <w:t>with</w:t>
      </w:r>
      <w:r>
        <w:rPr>
          <w:spacing w:val="-4"/>
          <w:w w:val="115"/>
          <w:vertAlign w:val="baseline"/>
        </w:rPr>
        <w:t> </w:t>
      </w:r>
      <w:r>
        <w:rPr>
          <w:w w:val="115"/>
          <w:vertAlign w:val="baseline"/>
        </w:rPr>
        <w:t>devolved</w:t>
      </w:r>
      <w:r>
        <w:rPr>
          <w:spacing w:val="-4"/>
          <w:w w:val="115"/>
          <w:vertAlign w:val="baseline"/>
        </w:rPr>
        <w:t> </w:t>
      </w:r>
      <w:r>
        <w:rPr>
          <w:w w:val="115"/>
          <w:vertAlign w:val="baseline"/>
        </w:rPr>
        <w:t>authorities,</w:t>
      </w:r>
      <w:r>
        <w:rPr>
          <w:spacing w:val="-4"/>
          <w:w w:val="115"/>
          <w:vertAlign w:val="baseline"/>
        </w:rPr>
        <w:t> </w:t>
      </w:r>
      <w:r>
        <w:rPr>
          <w:w w:val="115"/>
          <w:vertAlign w:val="baseline"/>
        </w:rPr>
        <w:t>as devolved</w:t>
      </w:r>
      <w:r>
        <w:rPr>
          <w:spacing w:val="-20"/>
          <w:w w:val="115"/>
          <w:vertAlign w:val="baseline"/>
        </w:rPr>
        <w:t> </w:t>
      </w:r>
      <w:r>
        <w:rPr>
          <w:w w:val="115"/>
          <w:vertAlign w:val="baseline"/>
        </w:rPr>
        <w:t>authorities</w:t>
      </w:r>
      <w:r>
        <w:rPr>
          <w:spacing w:val="-19"/>
          <w:w w:val="115"/>
          <w:vertAlign w:val="baseline"/>
        </w:rPr>
        <w:t> </w:t>
      </w:r>
      <w:r>
        <w:rPr>
          <w:w w:val="115"/>
          <w:vertAlign w:val="baseline"/>
        </w:rPr>
        <w:t>have</w:t>
      </w:r>
      <w:r>
        <w:rPr>
          <w:spacing w:val="-19"/>
          <w:w w:val="115"/>
          <w:vertAlign w:val="baseline"/>
        </w:rPr>
        <w:t> </w:t>
      </w:r>
      <w:r>
        <w:rPr>
          <w:w w:val="115"/>
          <w:vertAlign w:val="baseline"/>
        </w:rPr>
        <w:t>no</w:t>
      </w:r>
      <w:r>
        <w:rPr>
          <w:spacing w:val="-19"/>
          <w:w w:val="115"/>
          <w:vertAlign w:val="baseline"/>
        </w:rPr>
        <w:t> </w:t>
      </w:r>
      <w:r>
        <w:rPr>
          <w:w w:val="115"/>
          <w:vertAlign w:val="baseline"/>
        </w:rPr>
        <w:t>power</w:t>
      </w:r>
    </w:p>
    <w:p>
      <w:pPr>
        <w:pStyle w:val="BodyText"/>
        <w:spacing w:before="72"/>
      </w:pPr>
      <w:r>
        <w:rPr/>
        <w:br w:type="column"/>
      </w:r>
      <w:r>
        <w:rPr>
          <w:w w:val="110"/>
        </w:rPr>
        <w:t>over</w:t>
      </w:r>
      <w:r>
        <w:rPr>
          <w:spacing w:val="14"/>
          <w:w w:val="110"/>
        </w:rPr>
        <w:t> </w:t>
      </w:r>
      <w:r>
        <w:rPr>
          <w:w w:val="110"/>
        </w:rPr>
        <w:t>immigration</w:t>
      </w:r>
      <w:r>
        <w:rPr>
          <w:spacing w:val="14"/>
          <w:w w:val="110"/>
        </w:rPr>
        <w:t> </w:t>
      </w:r>
      <w:r>
        <w:rPr>
          <w:w w:val="110"/>
        </w:rPr>
        <w:t>and</w:t>
      </w:r>
      <w:r>
        <w:rPr>
          <w:spacing w:val="14"/>
          <w:w w:val="110"/>
        </w:rPr>
        <w:t> </w:t>
      </w:r>
      <w:r>
        <w:rPr>
          <w:w w:val="110"/>
        </w:rPr>
        <w:t>asylum</w:t>
      </w:r>
      <w:r>
        <w:rPr>
          <w:spacing w:val="14"/>
          <w:w w:val="110"/>
        </w:rPr>
        <w:t> </w:t>
      </w:r>
      <w:r>
        <w:rPr>
          <w:spacing w:val="-2"/>
          <w:w w:val="110"/>
        </w:rPr>
        <w:t>matters.</w:t>
      </w:r>
    </w:p>
    <w:p>
      <w:pPr>
        <w:pStyle w:val="BodyText"/>
        <w:spacing w:line="254" w:lineRule="auto" w:before="34"/>
        <w:ind w:right="487"/>
        <w:rPr>
          <w:rFonts w:ascii="Lucida Sans Unicode"/>
        </w:rPr>
      </w:pPr>
      <w:r>
        <w:rPr>
          <w:w w:val="110"/>
        </w:rPr>
        <w:t>Thus, this is a case where liability for a breach in Northern Ireland </w:t>
      </w:r>
      <w:r>
        <w:rPr>
          <w:w w:val="110"/>
        </w:rPr>
        <w:t>law </w:t>
      </w:r>
      <w:r>
        <w:rPr>
          <w:rFonts w:ascii="Lucida Sans Unicode"/>
          <w:w w:val="110"/>
        </w:rPr>
        <w:t>(as</w:t>
      </w:r>
      <w:r>
        <w:rPr>
          <w:rFonts w:ascii="Lucida Sans Unicode"/>
          <w:spacing w:val="-15"/>
          <w:w w:val="110"/>
        </w:rPr>
        <w:t> </w:t>
      </w:r>
      <w:r>
        <w:rPr>
          <w:rFonts w:ascii="Lucida Sans Unicode"/>
          <w:w w:val="110"/>
        </w:rPr>
        <w:t>now</w:t>
      </w:r>
      <w:r>
        <w:rPr>
          <w:rFonts w:ascii="Lucida Sans Unicode"/>
          <w:spacing w:val="-15"/>
          <w:w w:val="110"/>
        </w:rPr>
        <w:t> </w:t>
      </w:r>
      <w:r>
        <w:rPr>
          <w:rFonts w:ascii="Lucida Sans Unicode"/>
          <w:w w:val="110"/>
        </w:rPr>
        <w:t>modified</w:t>
      </w:r>
      <w:r>
        <w:rPr>
          <w:rFonts w:ascii="Lucida Sans Unicode"/>
          <w:spacing w:val="-15"/>
          <w:w w:val="110"/>
        </w:rPr>
        <w:t> </w:t>
      </w:r>
      <w:r>
        <w:rPr>
          <w:rFonts w:ascii="Lucida Sans Unicode"/>
          <w:w w:val="110"/>
        </w:rPr>
        <w:t>by</w:t>
      </w:r>
      <w:r>
        <w:rPr>
          <w:rFonts w:ascii="Lucida Sans Unicode"/>
          <w:spacing w:val="-15"/>
          <w:w w:val="110"/>
        </w:rPr>
        <w:t> </w:t>
      </w:r>
      <w:r>
        <w:rPr>
          <w:rFonts w:ascii="Lucida Sans Unicode"/>
          <w:w w:val="110"/>
        </w:rPr>
        <w:t>the</w:t>
      </w:r>
      <w:r>
        <w:rPr>
          <w:rFonts w:ascii="Lucida Sans Unicode"/>
          <w:spacing w:val="-15"/>
          <w:w w:val="110"/>
        </w:rPr>
        <w:t> </w:t>
      </w:r>
      <w:r>
        <w:rPr>
          <w:rFonts w:ascii="Lucida Sans Unicode"/>
          <w:w w:val="110"/>
        </w:rPr>
        <w:t>Windsor</w:t>
      </w:r>
    </w:p>
    <w:p>
      <w:pPr>
        <w:pStyle w:val="BodyText"/>
        <w:spacing w:line="231" w:lineRule="exact"/>
        <w:rPr>
          <w:rFonts w:ascii="Verdana"/>
          <w:i/>
        </w:rPr>
      </w:pPr>
      <w:r>
        <w:rPr>
          <w:w w:val="110"/>
        </w:rPr>
        <w:t>Framework)</w:t>
      </w:r>
      <w:r>
        <w:rPr>
          <w:spacing w:val="17"/>
          <w:w w:val="110"/>
        </w:rPr>
        <w:t> </w:t>
      </w:r>
      <w:r>
        <w:rPr>
          <w:w w:val="110"/>
        </w:rPr>
        <w:t>would</w:t>
      </w:r>
      <w:r>
        <w:rPr>
          <w:spacing w:val="18"/>
          <w:w w:val="110"/>
        </w:rPr>
        <w:t> </w:t>
      </w:r>
      <w:r>
        <w:rPr>
          <w:w w:val="110"/>
        </w:rPr>
        <w:t>lie</w:t>
      </w:r>
      <w:r>
        <w:rPr>
          <w:spacing w:val="18"/>
          <w:w w:val="110"/>
        </w:rPr>
        <w:t> </w:t>
      </w:r>
      <w:r>
        <w:rPr>
          <w:w w:val="110"/>
        </w:rPr>
        <w:t>with</w:t>
      </w:r>
      <w:r>
        <w:rPr>
          <w:spacing w:val="18"/>
          <w:w w:val="110"/>
        </w:rPr>
        <w:t> </w:t>
      </w:r>
      <w:r>
        <w:rPr>
          <w:w w:val="110"/>
        </w:rPr>
        <w:t>UK</w:t>
      </w:r>
      <w:r>
        <w:rPr>
          <w:spacing w:val="18"/>
          <w:w w:val="110"/>
        </w:rPr>
        <w:t> </w:t>
      </w:r>
      <w:r>
        <w:rPr>
          <w:rFonts w:ascii="Verdana"/>
          <w:i/>
          <w:spacing w:val="-2"/>
          <w:w w:val="110"/>
        </w:rPr>
        <w:t>central</w:t>
      </w:r>
    </w:p>
    <w:p>
      <w:pPr>
        <w:pStyle w:val="BodyText"/>
        <w:spacing w:line="310" w:lineRule="exact" w:before="11"/>
        <w:ind w:right="178"/>
      </w:pPr>
      <w:r>
        <w:rPr>
          <w:w w:val="110"/>
        </w:rPr>
        <w:t>authorities – in this case, the Home </w:t>
      </w:r>
      <w:r>
        <w:rPr>
          <w:rFonts w:ascii="Lucida Sans Unicode" w:hAnsi="Lucida Sans Unicode"/>
        </w:rPr>
        <w:t>Secretary.</w:t>
      </w:r>
      <w:r>
        <w:rPr>
          <w:rFonts w:ascii="Lucida Sans Unicode" w:hAnsi="Lucida Sans Unicode"/>
          <w:vertAlign w:val="superscript"/>
        </w:rPr>
        <w:t>182</w:t>
      </w:r>
      <w:r>
        <w:rPr>
          <w:rFonts w:ascii="Lucida Sans Unicode" w:hAnsi="Lucida Sans Unicode"/>
          <w:vertAlign w:val="baseline"/>
        </w:rPr>
        <w:t> Hence Article 2 has the </w:t>
      </w:r>
      <w:r>
        <w:rPr>
          <w:w w:val="110"/>
          <w:vertAlign w:val="baseline"/>
        </w:rPr>
        <w:t>potential of resulting in enforceable rights against devolved bodies as </w:t>
      </w:r>
      <w:r>
        <w:rPr>
          <w:w w:val="110"/>
          <w:vertAlign w:val="baseline"/>
        </w:rPr>
        <w:t>well as against central UK authorities.</w:t>
      </w:r>
    </w:p>
    <w:p>
      <w:pPr>
        <w:pStyle w:val="BodyText"/>
        <w:spacing w:before="33"/>
        <w:ind w:left="0"/>
      </w:pPr>
    </w:p>
    <w:p>
      <w:pPr>
        <w:pStyle w:val="Heading4"/>
        <w:numPr>
          <w:ilvl w:val="1"/>
          <w:numId w:val="9"/>
        </w:numPr>
        <w:tabs>
          <w:tab w:pos="390" w:val="left" w:leader="none"/>
        </w:tabs>
        <w:spacing w:line="256" w:lineRule="auto" w:before="1" w:after="0"/>
        <w:ind w:left="113" w:right="443" w:firstLine="0"/>
        <w:jc w:val="left"/>
      </w:pPr>
      <w:r>
        <w:rPr>
          <w:color w:val="77328A"/>
        </w:rPr>
        <w:t>The relationship between </w:t>
      </w:r>
      <w:r>
        <w:rPr>
          <w:color w:val="77328A"/>
        </w:rPr>
        <w:t>Article 4 WA and Article 2 Windsor </w:t>
      </w:r>
      <w:r>
        <w:rPr>
          <w:color w:val="77328A"/>
          <w:spacing w:val="-2"/>
        </w:rPr>
        <w:t>Framework</w:t>
      </w:r>
    </w:p>
    <w:p>
      <w:pPr>
        <w:pStyle w:val="BodyText"/>
        <w:spacing w:line="254" w:lineRule="auto" w:before="16"/>
        <w:ind w:right="266"/>
        <w:rPr>
          <w:rFonts w:ascii="Lucida Sans Unicode" w:hAnsi="Lucida Sans Unicode"/>
        </w:rPr>
      </w:pPr>
      <w:r>
        <w:rPr>
          <w:w w:val="110"/>
        </w:rPr>
        <w:t>There is – at least in theory – a question mark over the </w:t>
      </w:r>
      <w:r>
        <w:rPr>
          <w:w w:val="110"/>
        </w:rPr>
        <w:t>relationship </w:t>
      </w:r>
      <w:r>
        <w:rPr>
          <w:rFonts w:ascii="Lucida Sans Unicode" w:hAnsi="Lucida Sans Unicode"/>
          <w:w w:val="110"/>
        </w:rPr>
        <w:t>between</w:t>
      </w:r>
      <w:r>
        <w:rPr>
          <w:rFonts w:ascii="Lucida Sans Unicode" w:hAnsi="Lucida Sans Unicode"/>
          <w:spacing w:val="-5"/>
          <w:w w:val="110"/>
        </w:rPr>
        <w:t> </w:t>
      </w:r>
      <w:r>
        <w:rPr>
          <w:rFonts w:ascii="Lucida Sans Unicode" w:hAnsi="Lucida Sans Unicode"/>
          <w:w w:val="110"/>
        </w:rPr>
        <w:t>Article</w:t>
      </w:r>
      <w:r>
        <w:rPr>
          <w:rFonts w:ascii="Lucida Sans Unicode" w:hAnsi="Lucida Sans Unicode"/>
          <w:spacing w:val="-5"/>
          <w:w w:val="110"/>
        </w:rPr>
        <w:t> </w:t>
      </w:r>
      <w:r>
        <w:rPr>
          <w:rFonts w:ascii="Lucida Sans Unicode" w:hAnsi="Lucida Sans Unicode"/>
          <w:w w:val="110"/>
        </w:rPr>
        <w:t>4</w:t>
      </w:r>
      <w:r>
        <w:rPr>
          <w:rFonts w:ascii="Lucida Sans Unicode" w:hAnsi="Lucida Sans Unicode"/>
          <w:spacing w:val="-5"/>
          <w:w w:val="110"/>
        </w:rPr>
        <w:t> </w:t>
      </w:r>
      <w:r>
        <w:rPr>
          <w:rFonts w:ascii="Lucida Sans Unicode" w:hAnsi="Lucida Sans Unicode"/>
          <w:w w:val="110"/>
        </w:rPr>
        <w:t>WA</w:t>
      </w:r>
      <w:r>
        <w:rPr>
          <w:rFonts w:ascii="Lucida Sans Unicode" w:hAnsi="Lucida Sans Unicode"/>
          <w:spacing w:val="-5"/>
          <w:w w:val="110"/>
        </w:rPr>
        <w:t> </w:t>
      </w:r>
      <w:r>
        <w:rPr>
          <w:rFonts w:ascii="Lucida Sans Unicode" w:hAnsi="Lucida Sans Unicode"/>
          <w:w w:val="110"/>
        </w:rPr>
        <w:t>and</w:t>
      </w:r>
      <w:r>
        <w:rPr>
          <w:rFonts w:ascii="Lucida Sans Unicode" w:hAnsi="Lucida Sans Unicode"/>
          <w:spacing w:val="-5"/>
          <w:w w:val="110"/>
        </w:rPr>
        <w:t> </w:t>
      </w:r>
      <w:r>
        <w:rPr>
          <w:rFonts w:ascii="Lucida Sans Unicode" w:hAnsi="Lucida Sans Unicode"/>
          <w:w w:val="110"/>
        </w:rPr>
        <w:t>Article</w:t>
      </w:r>
    </w:p>
    <w:p>
      <w:pPr>
        <w:pStyle w:val="BodyText"/>
        <w:spacing w:line="275" w:lineRule="exact"/>
        <w:rPr>
          <w:rFonts w:ascii="Lucida Sans Unicode"/>
        </w:rPr>
      </w:pPr>
      <w:r>
        <w:rPr>
          <w:rFonts w:ascii="Lucida Sans Unicode"/>
          <w:w w:val="105"/>
        </w:rPr>
        <w:t>2</w:t>
      </w:r>
      <w:r>
        <w:rPr>
          <w:rFonts w:ascii="Lucida Sans Unicode"/>
          <w:spacing w:val="-17"/>
          <w:w w:val="105"/>
        </w:rPr>
        <w:t> </w:t>
      </w:r>
      <w:r>
        <w:rPr>
          <w:rFonts w:ascii="Lucida Sans Unicode"/>
          <w:w w:val="105"/>
        </w:rPr>
        <w:t>of</w:t>
      </w:r>
      <w:r>
        <w:rPr>
          <w:rFonts w:ascii="Lucida Sans Unicode"/>
          <w:spacing w:val="-16"/>
          <w:w w:val="105"/>
        </w:rPr>
        <w:t> </w:t>
      </w:r>
      <w:r>
        <w:rPr>
          <w:rFonts w:ascii="Lucida Sans Unicode"/>
          <w:w w:val="105"/>
        </w:rPr>
        <w:t>the</w:t>
      </w:r>
      <w:r>
        <w:rPr>
          <w:rFonts w:ascii="Lucida Sans Unicode"/>
          <w:spacing w:val="-16"/>
          <w:w w:val="105"/>
        </w:rPr>
        <w:t> </w:t>
      </w:r>
      <w:r>
        <w:rPr>
          <w:rFonts w:ascii="Lucida Sans Unicode"/>
          <w:w w:val="105"/>
        </w:rPr>
        <w:t>Windsor</w:t>
      </w:r>
      <w:r>
        <w:rPr>
          <w:rFonts w:ascii="Lucida Sans Unicode"/>
          <w:spacing w:val="-16"/>
          <w:w w:val="105"/>
        </w:rPr>
        <w:t> </w:t>
      </w:r>
      <w:r>
        <w:rPr>
          <w:rFonts w:ascii="Lucida Sans Unicode"/>
          <w:w w:val="105"/>
        </w:rPr>
        <w:t>Framework</w:t>
      </w:r>
      <w:r>
        <w:rPr>
          <w:rFonts w:ascii="Lucida Sans Unicode"/>
          <w:spacing w:val="-16"/>
          <w:w w:val="105"/>
        </w:rPr>
        <w:t> </w:t>
      </w:r>
      <w:r>
        <w:rPr>
          <w:rFonts w:ascii="Lucida Sans Unicode"/>
          <w:spacing w:val="-2"/>
          <w:w w:val="105"/>
        </w:rPr>
        <w:t>where</w:t>
      </w:r>
    </w:p>
    <w:p>
      <w:pPr>
        <w:pStyle w:val="BodyText"/>
        <w:spacing w:line="268" w:lineRule="auto"/>
      </w:pPr>
      <w:r>
        <w:rPr>
          <w:w w:val="110"/>
        </w:rPr>
        <w:t>the Annex </w:t>
      </w:r>
      <w:r>
        <w:rPr/>
        <w:t>1 </w:t>
      </w:r>
      <w:r>
        <w:rPr>
          <w:w w:val="110"/>
        </w:rPr>
        <w:t>Directives are concerned. Unlike other provisions of the </w:t>
      </w:r>
      <w:r>
        <w:rPr>
          <w:w w:val="110"/>
        </w:rPr>
        <w:t>Windsor Framework, such as Articles 5 and</w:t>
      </w:r>
    </w:p>
    <w:p>
      <w:pPr>
        <w:pStyle w:val="BodyText"/>
        <w:spacing w:line="201" w:lineRule="auto"/>
        <w:rPr>
          <w:rFonts w:ascii="Lucida Sans Unicode"/>
        </w:rPr>
      </w:pPr>
      <w:r>
        <w:rPr>
          <w:rFonts w:ascii="Lucida Sans Unicode"/>
          <w:w w:val="105"/>
        </w:rPr>
        <w:t>8</w:t>
      </w:r>
      <w:r>
        <w:rPr>
          <w:rFonts w:ascii="Lucida Sans Unicode"/>
          <w:spacing w:val="-3"/>
          <w:w w:val="105"/>
        </w:rPr>
        <w:t> </w:t>
      </w:r>
      <w:r>
        <w:rPr>
          <w:rFonts w:ascii="Lucida Sans Unicode"/>
          <w:w w:val="105"/>
        </w:rPr>
        <w:t>(referring</w:t>
      </w:r>
      <w:r>
        <w:rPr>
          <w:rFonts w:ascii="Lucida Sans Unicode"/>
          <w:spacing w:val="-3"/>
          <w:w w:val="105"/>
        </w:rPr>
        <w:t> </w:t>
      </w:r>
      <w:r>
        <w:rPr>
          <w:rFonts w:ascii="Lucida Sans Unicode"/>
          <w:w w:val="105"/>
        </w:rPr>
        <w:t>to</w:t>
      </w:r>
      <w:r>
        <w:rPr>
          <w:rFonts w:ascii="Lucida Sans Unicode"/>
          <w:spacing w:val="-3"/>
          <w:w w:val="105"/>
        </w:rPr>
        <w:t> </w:t>
      </w:r>
      <w:r>
        <w:rPr>
          <w:rFonts w:ascii="Lucida Sans Unicode"/>
          <w:w w:val="105"/>
        </w:rPr>
        <w:t>Annexes</w:t>
      </w:r>
      <w:r>
        <w:rPr>
          <w:rFonts w:ascii="Lucida Sans Unicode"/>
          <w:spacing w:val="-3"/>
          <w:w w:val="105"/>
        </w:rPr>
        <w:t> </w:t>
      </w:r>
      <w:r>
        <w:rPr>
          <w:rFonts w:ascii="Lucida Sans Unicode"/>
          <w:w w:val="105"/>
        </w:rPr>
        <w:t>2</w:t>
      </w:r>
      <w:r>
        <w:rPr>
          <w:rFonts w:ascii="Lucida Sans Unicode"/>
          <w:spacing w:val="-3"/>
          <w:w w:val="105"/>
        </w:rPr>
        <w:t> </w:t>
      </w:r>
      <w:r>
        <w:rPr>
          <w:rFonts w:ascii="Lucida Sans Unicode"/>
          <w:w w:val="105"/>
        </w:rPr>
        <w:t>and</w:t>
      </w:r>
      <w:r>
        <w:rPr>
          <w:rFonts w:ascii="Lucida Sans Unicode"/>
          <w:spacing w:val="-3"/>
          <w:w w:val="105"/>
        </w:rPr>
        <w:t> </w:t>
      </w:r>
      <w:r>
        <w:rPr>
          <w:rFonts w:ascii="Lucida Sans Unicode"/>
          <w:w w:val="105"/>
        </w:rPr>
        <w:t>3, respectively),</w:t>
      </w:r>
      <w:r>
        <w:rPr>
          <w:rFonts w:ascii="Lucida Sans Unicode"/>
          <w:spacing w:val="-20"/>
          <w:w w:val="105"/>
        </w:rPr>
        <w:t> </w:t>
      </w:r>
      <w:r>
        <w:rPr>
          <w:rFonts w:ascii="Lucida Sans Unicode"/>
          <w:w w:val="105"/>
        </w:rPr>
        <w:t>Article</w:t>
      </w:r>
      <w:r>
        <w:rPr>
          <w:rFonts w:ascii="Lucida Sans Unicode"/>
          <w:spacing w:val="-20"/>
          <w:w w:val="105"/>
        </w:rPr>
        <w:t> </w:t>
      </w:r>
      <w:r>
        <w:rPr>
          <w:rFonts w:ascii="Lucida Sans Unicode"/>
          <w:w w:val="105"/>
        </w:rPr>
        <w:t>2</w:t>
      </w:r>
      <w:r>
        <w:rPr>
          <w:rFonts w:ascii="Lucida Sans Unicode"/>
          <w:spacing w:val="-20"/>
          <w:w w:val="105"/>
        </w:rPr>
        <w:t> </w:t>
      </w:r>
      <w:r>
        <w:rPr>
          <w:rFonts w:ascii="Lucida Sans Unicode"/>
          <w:w w:val="105"/>
        </w:rPr>
        <w:t>does</w:t>
      </w:r>
      <w:r>
        <w:rPr>
          <w:rFonts w:ascii="Lucida Sans Unicode"/>
          <w:spacing w:val="-20"/>
          <w:w w:val="105"/>
        </w:rPr>
        <w:t> </w:t>
      </w:r>
      <w:r>
        <w:rPr>
          <w:rFonts w:ascii="Lucida Sans Unicode"/>
          <w:w w:val="105"/>
        </w:rPr>
        <w:t>not</w:t>
      </w:r>
      <w:r>
        <w:rPr>
          <w:rFonts w:ascii="Lucida Sans Unicode"/>
          <w:spacing w:val="-20"/>
          <w:w w:val="105"/>
        </w:rPr>
        <w:t> </w:t>
      </w:r>
      <w:r>
        <w:rPr>
          <w:rFonts w:ascii="Lucida Sans Unicode"/>
          <w:w w:val="105"/>
        </w:rPr>
        <w:t>stat</w:t>
      </w:r>
      <w:r>
        <w:rPr>
          <w:rFonts w:ascii="Lucida Sans Unicode"/>
          <w:w w:val="105"/>
        </w:rPr>
        <w:t>e</w:t>
      </w:r>
    </w:p>
    <w:p>
      <w:pPr>
        <w:pStyle w:val="BodyText"/>
        <w:spacing w:line="259" w:lineRule="auto"/>
        <w:ind w:right="403"/>
        <w:jc w:val="both"/>
        <w:rPr>
          <w:rFonts w:ascii="Lucida Sans Unicode" w:hAnsi="Lucida Sans Unicode"/>
        </w:rPr>
      </w:pPr>
      <w:r>
        <w:rPr>
          <w:w w:val="110"/>
        </w:rPr>
        <w:t>that Annex </w:t>
      </w:r>
      <w:r>
        <w:rPr/>
        <w:t>1 </w:t>
      </w:r>
      <w:r>
        <w:rPr>
          <w:w w:val="110"/>
        </w:rPr>
        <w:t>measures “’shall apply’ or are ‘made applicable’. On a strict reading therefore one can conclude </w:t>
      </w:r>
      <w:r>
        <w:rPr>
          <w:rFonts w:ascii="Lucida Sans Unicode" w:hAnsi="Lucida Sans Unicode"/>
        </w:rPr>
        <w:t>that</w:t>
      </w:r>
      <w:r>
        <w:rPr>
          <w:rFonts w:ascii="Lucida Sans Unicode" w:hAnsi="Lucida Sans Unicode"/>
          <w:spacing w:val="15"/>
        </w:rPr>
        <w:t> </w:t>
      </w:r>
      <w:r>
        <w:rPr>
          <w:rFonts w:ascii="Lucida Sans Unicode" w:hAnsi="Lucida Sans Unicode"/>
        </w:rPr>
        <w:t>Article</w:t>
      </w:r>
      <w:r>
        <w:rPr>
          <w:rFonts w:ascii="Lucida Sans Unicode" w:hAnsi="Lucida Sans Unicode"/>
          <w:spacing w:val="15"/>
        </w:rPr>
        <w:t> </w:t>
      </w:r>
      <w:r>
        <w:rPr>
          <w:rFonts w:ascii="Lucida Sans Unicode" w:hAnsi="Lucida Sans Unicode"/>
        </w:rPr>
        <w:t>4</w:t>
      </w:r>
      <w:r>
        <w:rPr>
          <w:rFonts w:ascii="Lucida Sans Unicode" w:hAnsi="Lucida Sans Unicode"/>
          <w:spacing w:val="16"/>
        </w:rPr>
        <w:t> </w:t>
      </w:r>
      <w:r>
        <w:rPr>
          <w:rFonts w:ascii="Lucida Sans Unicode" w:hAnsi="Lucida Sans Unicode"/>
        </w:rPr>
        <w:t>(1)</w:t>
      </w:r>
      <w:r>
        <w:rPr>
          <w:rFonts w:ascii="Lucida Sans Unicode" w:hAnsi="Lucida Sans Unicode"/>
          <w:spacing w:val="15"/>
        </w:rPr>
        <w:t> </w:t>
      </w:r>
      <w:r>
        <w:rPr>
          <w:rFonts w:ascii="Lucida Sans Unicode" w:hAnsi="Lucida Sans Unicode"/>
        </w:rPr>
        <w:t>WA</w:t>
      </w:r>
      <w:r>
        <w:rPr>
          <w:rFonts w:ascii="Lucida Sans Unicode" w:hAnsi="Lucida Sans Unicode"/>
          <w:spacing w:val="16"/>
        </w:rPr>
        <w:t> </w:t>
      </w:r>
      <w:r>
        <w:rPr>
          <w:rFonts w:ascii="Lucida Sans Unicode" w:hAnsi="Lucida Sans Unicode"/>
        </w:rPr>
        <w:t>does</w:t>
      </w:r>
      <w:r>
        <w:rPr>
          <w:rFonts w:ascii="Lucida Sans Unicode" w:hAnsi="Lucida Sans Unicode"/>
          <w:spacing w:val="15"/>
        </w:rPr>
        <w:t> </w:t>
      </w:r>
      <w:r>
        <w:rPr>
          <w:rFonts w:ascii="Lucida Sans Unicode" w:hAnsi="Lucida Sans Unicode"/>
        </w:rPr>
        <w:t>not</w:t>
      </w:r>
      <w:r>
        <w:rPr>
          <w:rFonts w:ascii="Lucida Sans Unicode" w:hAnsi="Lucida Sans Unicode"/>
          <w:spacing w:val="16"/>
        </w:rPr>
        <w:t> </w:t>
      </w:r>
      <w:r>
        <w:rPr>
          <w:rFonts w:ascii="Lucida Sans Unicode" w:hAnsi="Lucida Sans Unicode"/>
          <w:spacing w:val="-2"/>
        </w:rPr>
        <w:t>apply</w:t>
      </w:r>
    </w:p>
    <w:p>
      <w:pPr>
        <w:pStyle w:val="BodyText"/>
        <w:spacing w:line="225" w:lineRule="exact"/>
        <w:jc w:val="both"/>
      </w:pPr>
      <w:r>
        <w:rPr>
          <w:w w:val="110"/>
        </w:rPr>
        <w:t>to</w:t>
      </w:r>
      <w:r>
        <w:rPr>
          <w:spacing w:val="-5"/>
          <w:w w:val="110"/>
        </w:rPr>
        <w:t> </w:t>
      </w:r>
      <w:r>
        <w:rPr>
          <w:w w:val="110"/>
        </w:rPr>
        <w:t>the</w:t>
      </w:r>
      <w:r>
        <w:rPr>
          <w:spacing w:val="-5"/>
          <w:w w:val="110"/>
        </w:rPr>
        <w:t> </w:t>
      </w:r>
      <w:r>
        <w:rPr>
          <w:w w:val="110"/>
        </w:rPr>
        <w:t>Annex</w:t>
      </w:r>
      <w:r>
        <w:rPr>
          <w:spacing w:val="-5"/>
          <w:w w:val="110"/>
        </w:rPr>
        <w:t> </w:t>
      </w:r>
      <w:r>
        <w:rPr/>
        <w:t>1</w:t>
      </w:r>
      <w:r>
        <w:rPr>
          <w:spacing w:val="-5"/>
          <w:w w:val="110"/>
        </w:rPr>
        <w:t> </w:t>
      </w:r>
      <w:r>
        <w:rPr>
          <w:w w:val="110"/>
        </w:rPr>
        <w:t>Directives.</w:t>
      </w:r>
      <w:r>
        <w:rPr>
          <w:spacing w:val="-5"/>
          <w:w w:val="110"/>
        </w:rPr>
        <w:t> </w:t>
      </w:r>
      <w:r>
        <w:rPr>
          <w:w w:val="110"/>
        </w:rPr>
        <w:t>The</w:t>
      </w:r>
      <w:r>
        <w:rPr>
          <w:spacing w:val="-5"/>
          <w:w w:val="110"/>
        </w:rPr>
        <w:t> UK</w:t>
      </w:r>
    </w:p>
    <w:p>
      <w:pPr>
        <w:pStyle w:val="BodyText"/>
        <w:spacing w:line="268" w:lineRule="auto" w:before="28"/>
        <w:ind w:right="671"/>
      </w:pPr>
      <w:r>
        <w:rPr>
          <w:w w:val="110"/>
        </w:rPr>
        <w:t>Government and Daniel Denman (a UK government lawyer writing</w:t>
      </w:r>
      <w:r>
        <w:rPr>
          <w:spacing w:val="80"/>
          <w:w w:val="110"/>
        </w:rPr>
        <w:t> </w:t>
      </w:r>
      <w:r>
        <w:rPr>
          <w:w w:val="110"/>
        </w:rPr>
        <w:t>in a private capacity), for </w:t>
      </w:r>
      <w:r>
        <w:rPr>
          <w:w w:val="110"/>
        </w:rPr>
        <w:t>instance,</w:t>
      </w:r>
    </w:p>
    <w:p>
      <w:pPr>
        <w:pStyle w:val="BodyText"/>
        <w:spacing w:line="230" w:lineRule="auto" w:before="13"/>
        <w:ind w:right="299"/>
      </w:pPr>
      <w:r>
        <w:rPr>
          <w:w w:val="105"/>
        </w:rPr>
        <w:t>have expressed the view that ‘Article</w:t>
      </w:r>
      <w:r>
        <w:rPr>
          <w:spacing w:val="40"/>
          <w:w w:val="105"/>
        </w:rPr>
        <w:t> </w:t>
      </w:r>
      <w:r>
        <w:rPr>
          <w:rFonts w:ascii="Lucida Sans Unicode" w:hAnsi="Lucida Sans Unicode"/>
          <w:w w:val="105"/>
        </w:rPr>
        <w:t>2(1)</w:t>
      </w:r>
      <w:r>
        <w:rPr>
          <w:rFonts w:ascii="Lucida Sans Unicode" w:hAnsi="Lucida Sans Unicode"/>
          <w:spacing w:val="-7"/>
          <w:w w:val="105"/>
        </w:rPr>
        <w:t> </w:t>
      </w:r>
      <w:r>
        <w:rPr>
          <w:rFonts w:ascii="Lucida Sans Unicode" w:hAnsi="Lucida Sans Unicode"/>
          <w:w w:val="105"/>
        </w:rPr>
        <w:t>does</w:t>
      </w:r>
      <w:r>
        <w:rPr>
          <w:rFonts w:ascii="Lucida Sans Unicode" w:hAnsi="Lucida Sans Unicode"/>
          <w:spacing w:val="-7"/>
          <w:w w:val="105"/>
        </w:rPr>
        <w:t> </w:t>
      </w:r>
      <w:r>
        <w:rPr>
          <w:rFonts w:ascii="Lucida Sans Unicode" w:hAnsi="Lucida Sans Unicode"/>
          <w:w w:val="105"/>
        </w:rPr>
        <w:t>not</w:t>
      </w:r>
      <w:r>
        <w:rPr>
          <w:rFonts w:ascii="Lucida Sans Unicode" w:hAnsi="Lucida Sans Unicode"/>
          <w:spacing w:val="-7"/>
          <w:w w:val="105"/>
        </w:rPr>
        <w:t> </w:t>
      </w:r>
      <w:r>
        <w:rPr>
          <w:rFonts w:ascii="Lucida Sans Unicode" w:hAnsi="Lucida Sans Unicode"/>
          <w:w w:val="105"/>
        </w:rPr>
        <w:t>mean</w:t>
      </w:r>
      <w:r>
        <w:rPr>
          <w:rFonts w:ascii="Lucida Sans Unicode" w:hAnsi="Lucida Sans Unicode"/>
          <w:spacing w:val="-7"/>
          <w:w w:val="105"/>
        </w:rPr>
        <w:t> </w:t>
      </w:r>
      <w:r>
        <w:rPr>
          <w:rFonts w:ascii="Lucida Sans Unicode" w:hAnsi="Lucida Sans Unicode"/>
          <w:w w:val="105"/>
        </w:rPr>
        <w:t>as</w:t>
      </w:r>
      <w:r>
        <w:rPr>
          <w:rFonts w:ascii="Lucida Sans Unicode" w:hAnsi="Lucida Sans Unicode"/>
          <w:spacing w:val="-7"/>
          <w:w w:val="105"/>
        </w:rPr>
        <w:t> </w:t>
      </w:r>
      <w:r>
        <w:rPr>
          <w:rFonts w:ascii="Lucida Sans Unicode" w:hAnsi="Lucida Sans Unicode"/>
          <w:w w:val="105"/>
        </w:rPr>
        <w:t>such</w:t>
      </w:r>
      <w:r>
        <w:rPr>
          <w:rFonts w:ascii="Lucida Sans Unicode" w:hAnsi="Lucida Sans Unicode"/>
          <w:spacing w:val="-7"/>
          <w:w w:val="105"/>
        </w:rPr>
        <w:t> </w:t>
      </w:r>
      <w:r>
        <w:rPr>
          <w:rFonts w:ascii="Lucida Sans Unicode" w:hAnsi="Lucida Sans Unicode"/>
          <w:w w:val="105"/>
        </w:rPr>
        <w:t>that</w:t>
      </w:r>
      <w:r>
        <w:rPr>
          <w:rFonts w:ascii="Lucida Sans Unicode" w:hAnsi="Lucida Sans Unicode"/>
          <w:spacing w:val="-7"/>
          <w:w w:val="105"/>
        </w:rPr>
        <w:t> </w:t>
      </w:r>
      <w:r>
        <w:rPr>
          <w:rFonts w:ascii="Lucida Sans Unicode" w:hAnsi="Lucida Sans Unicode"/>
          <w:w w:val="105"/>
        </w:rPr>
        <w:t>the </w:t>
      </w:r>
      <w:r>
        <w:rPr/>
        <w:t>provisions</w:t>
      </w:r>
      <w:r>
        <w:rPr>
          <w:spacing w:val="59"/>
        </w:rPr>
        <w:t> </w:t>
      </w:r>
      <w:r>
        <w:rPr/>
        <w:t>of</w:t>
      </w:r>
      <w:r>
        <w:rPr>
          <w:spacing w:val="59"/>
        </w:rPr>
        <w:t> </w:t>
      </w:r>
      <w:r>
        <w:rPr/>
        <w:t>EU</w:t>
      </w:r>
      <w:r>
        <w:rPr>
          <w:spacing w:val="60"/>
        </w:rPr>
        <w:t> </w:t>
      </w:r>
      <w:r>
        <w:rPr/>
        <w:t>law</w:t>
      </w:r>
      <w:r>
        <w:rPr>
          <w:spacing w:val="59"/>
        </w:rPr>
        <w:t> </w:t>
      </w:r>
      <w:r>
        <w:rPr/>
        <w:t>listed</w:t>
      </w:r>
      <w:r>
        <w:rPr>
          <w:spacing w:val="60"/>
        </w:rPr>
        <w:t> </w:t>
      </w:r>
      <w:r>
        <w:rPr/>
        <w:t>in</w:t>
      </w:r>
      <w:r>
        <w:rPr>
          <w:spacing w:val="59"/>
        </w:rPr>
        <w:t> </w:t>
      </w:r>
      <w:r>
        <w:rPr/>
        <w:t>Annex</w:t>
      </w:r>
      <w:r>
        <w:rPr>
          <w:spacing w:val="60"/>
        </w:rPr>
        <w:t> </w:t>
      </w:r>
      <w:r>
        <w:rPr>
          <w:spacing w:val="-25"/>
        </w:rPr>
        <w:t>1</w:t>
      </w:r>
    </w:p>
    <w:p>
      <w:pPr>
        <w:pStyle w:val="BodyText"/>
        <w:spacing w:line="310" w:lineRule="exact" w:before="15"/>
        <w:ind w:right="170"/>
      </w:pPr>
      <w:r>
        <w:rPr>
          <w:w w:val="110"/>
        </w:rPr>
        <w:t>have application in Northern Ireland. The only enforceable obligation in </w:t>
      </w:r>
      <w:r>
        <w:rPr>
          <w:rFonts w:ascii="Lucida Sans Unicode"/>
        </w:rPr>
        <w:t>Article</w:t>
      </w:r>
      <w:r>
        <w:rPr>
          <w:rFonts w:ascii="Lucida Sans Unicode"/>
          <w:spacing w:val="-1"/>
        </w:rPr>
        <w:t> </w:t>
      </w:r>
      <w:r>
        <w:rPr>
          <w:rFonts w:ascii="Lucida Sans Unicode"/>
        </w:rPr>
        <w:t>2</w:t>
      </w:r>
      <w:r>
        <w:rPr>
          <w:rFonts w:ascii="Lucida Sans Unicode"/>
          <w:spacing w:val="-1"/>
        </w:rPr>
        <w:t> </w:t>
      </w:r>
      <w:r>
        <w:rPr>
          <w:rFonts w:ascii="Lucida Sans Unicode"/>
        </w:rPr>
        <w:t>(1)</w:t>
      </w:r>
      <w:r>
        <w:rPr>
          <w:rFonts w:ascii="Lucida Sans Unicode"/>
          <w:spacing w:val="-1"/>
        </w:rPr>
        <w:t> </w:t>
      </w:r>
      <w:r>
        <w:rPr>
          <w:rFonts w:ascii="Lucida Sans Unicode"/>
        </w:rPr>
        <w:t>is</w:t>
      </w:r>
      <w:r>
        <w:rPr>
          <w:rFonts w:ascii="Lucida Sans Unicode"/>
          <w:spacing w:val="-1"/>
        </w:rPr>
        <w:t> </w:t>
      </w:r>
      <w:r>
        <w:rPr>
          <w:rFonts w:ascii="Lucida Sans Unicode"/>
        </w:rPr>
        <w:t>that</w:t>
      </w:r>
      <w:r>
        <w:rPr>
          <w:rFonts w:ascii="Lucida Sans Unicode"/>
          <w:spacing w:val="-1"/>
        </w:rPr>
        <w:t> </w:t>
      </w:r>
      <w:r>
        <w:rPr>
          <w:rFonts w:ascii="Lucida Sans Unicode"/>
        </w:rPr>
        <w:t>those</w:t>
      </w:r>
      <w:r>
        <w:rPr>
          <w:rFonts w:ascii="Lucida Sans Unicode"/>
          <w:spacing w:val="-1"/>
        </w:rPr>
        <w:t> </w:t>
      </w:r>
      <w:r>
        <w:rPr>
          <w:rFonts w:ascii="Lucida Sans Unicode"/>
        </w:rPr>
        <w:t>rights</w:t>
      </w:r>
      <w:r>
        <w:rPr>
          <w:rFonts w:ascii="Lucida Sans Unicode"/>
          <w:spacing w:val="-1"/>
        </w:rPr>
        <w:t> </w:t>
      </w:r>
      <w:r>
        <w:rPr>
          <w:rFonts w:ascii="Lucida Sans Unicode"/>
        </w:rPr>
        <w:t>should </w:t>
      </w:r>
      <w:r>
        <w:rPr>
          <w:w w:val="110"/>
        </w:rPr>
        <w:t>not be diminished as a result of the</w:t>
      </w:r>
    </w:p>
    <w:p>
      <w:pPr>
        <w:spacing w:after="0" w:line="310" w:lineRule="exact"/>
        <w:sectPr>
          <w:type w:val="continuous"/>
          <w:pgSz w:w="11910" w:h="16840"/>
          <w:pgMar w:header="568" w:footer="580" w:top="0" w:bottom="280" w:left="1020" w:right="1020"/>
          <w:cols w:num="2" w:equalWidth="0">
            <w:col w:w="4697" w:space="348"/>
            <w:col w:w="4825"/>
          </w:cols>
        </w:sectPr>
      </w:pPr>
    </w:p>
    <w:p>
      <w:pPr>
        <w:pStyle w:val="BodyText"/>
        <w:spacing w:before="10"/>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127" name="Group 127"/>
                <wp:cNvGraphicFramePr>
                  <a:graphicFrameLocks/>
                </wp:cNvGraphicFramePr>
                <a:graphic>
                  <a:graphicData uri="http://schemas.microsoft.com/office/word/2010/wordprocessingGroup">
                    <wpg:wgp>
                      <wpg:cNvPr id="127" name="Group 127"/>
                      <wpg:cNvGrpSpPr/>
                      <wpg:grpSpPr>
                        <a:xfrm>
                          <a:off x="0" y="0"/>
                          <a:ext cx="6120130" cy="6350"/>
                          <a:chExt cx="6120130" cy="6350"/>
                        </a:xfrm>
                      </wpg:grpSpPr>
                      <wps:wsp>
                        <wps:cNvPr id="128" name="Graphic 128"/>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82"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7" w:val="left" w:leader="none"/>
        </w:tabs>
        <w:spacing w:line="230" w:lineRule="exact" w:before="61" w:after="0"/>
        <w:ind w:left="567" w:right="0" w:hanging="454"/>
        <w:jc w:val="left"/>
        <w:rPr>
          <w:rFonts w:ascii="Arial"/>
          <w:sz w:val="16"/>
        </w:rPr>
      </w:pPr>
      <w:r>
        <w:rPr>
          <w:sz w:val="16"/>
        </w:rPr>
        <w:t>Illegal</w:t>
      </w:r>
      <w:r>
        <w:rPr>
          <w:spacing w:val="-3"/>
          <w:sz w:val="16"/>
        </w:rPr>
        <w:t> </w:t>
      </w:r>
      <w:r>
        <w:rPr>
          <w:sz w:val="16"/>
        </w:rPr>
        <w:t>Migration</w:t>
      </w:r>
      <w:r>
        <w:rPr>
          <w:spacing w:val="-3"/>
          <w:sz w:val="16"/>
        </w:rPr>
        <w:t> </w:t>
      </w:r>
      <w:r>
        <w:rPr>
          <w:sz w:val="16"/>
        </w:rPr>
        <w:t>Act</w:t>
      </w:r>
      <w:r>
        <w:rPr>
          <w:spacing w:val="-3"/>
          <w:sz w:val="16"/>
        </w:rPr>
        <w:t> </w:t>
      </w:r>
      <w:r>
        <w:rPr>
          <w:sz w:val="16"/>
        </w:rPr>
        <w:t>2023,</w:t>
      </w:r>
      <w:r>
        <w:rPr>
          <w:spacing w:val="-3"/>
          <w:sz w:val="16"/>
        </w:rPr>
        <w:t> </w:t>
      </w:r>
      <w:r>
        <w:rPr>
          <w:sz w:val="16"/>
        </w:rPr>
        <w:t>s</w:t>
      </w:r>
      <w:r>
        <w:rPr>
          <w:spacing w:val="-3"/>
          <w:sz w:val="16"/>
        </w:rPr>
        <w:t> </w:t>
      </w:r>
      <w:r>
        <w:rPr>
          <w:sz w:val="16"/>
        </w:rPr>
        <w:t>5(1),</w:t>
      </w:r>
      <w:r>
        <w:rPr>
          <w:spacing w:val="-3"/>
          <w:sz w:val="16"/>
        </w:rPr>
        <w:t> </w:t>
      </w:r>
      <w:r>
        <w:rPr>
          <w:sz w:val="16"/>
        </w:rPr>
        <w:t>read</w:t>
      </w:r>
      <w:r>
        <w:rPr>
          <w:spacing w:val="-3"/>
          <w:sz w:val="16"/>
        </w:rPr>
        <w:t> </w:t>
      </w:r>
      <w:r>
        <w:rPr>
          <w:sz w:val="16"/>
        </w:rPr>
        <w:t>with</w:t>
      </w:r>
      <w:r>
        <w:rPr>
          <w:spacing w:val="-3"/>
          <w:sz w:val="16"/>
        </w:rPr>
        <w:t> </w:t>
      </w:r>
      <w:r>
        <w:rPr>
          <w:sz w:val="16"/>
        </w:rPr>
        <w:t>s</w:t>
      </w:r>
      <w:r>
        <w:rPr>
          <w:spacing w:val="-3"/>
          <w:sz w:val="16"/>
        </w:rPr>
        <w:t> </w:t>
      </w:r>
      <w:r>
        <w:rPr>
          <w:spacing w:val="-2"/>
          <w:sz w:val="16"/>
        </w:rPr>
        <w:t>2(1).</w:t>
      </w:r>
    </w:p>
    <w:p>
      <w:pPr>
        <w:pStyle w:val="ListParagraph"/>
        <w:numPr>
          <w:ilvl w:val="0"/>
          <w:numId w:val="6"/>
        </w:numPr>
        <w:tabs>
          <w:tab w:pos="567" w:val="left" w:leader="none"/>
        </w:tabs>
        <w:spacing w:line="174" w:lineRule="exact" w:before="0" w:after="0"/>
        <w:ind w:left="567" w:right="0" w:hanging="454"/>
        <w:jc w:val="left"/>
        <w:rPr>
          <w:rFonts w:ascii="Arial"/>
          <w:sz w:val="16"/>
        </w:rPr>
      </w:pPr>
      <w:r>
        <w:rPr>
          <w:rFonts w:ascii="Verdana"/>
          <w:i/>
          <w:sz w:val="16"/>
        </w:rPr>
        <w:t>Ibid</w:t>
      </w:r>
      <w:r>
        <w:rPr>
          <w:rFonts w:ascii="Arial"/>
          <w:sz w:val="16"/>
        </w:rPr>
        <w:t>.,</w:t>
      </w:r>
      <w:r>
        <w:rPr>
          <w:rFonts w:ascii="Arial"/>
          <w:spacing w:val="-9"/>
          <w:sz w:val="16"/>
        </w:rPr>
        <w:t> </w:t>
      </w:r>
      <w:r>
        <w:rPr>
          <w:rFonts w:ascii="Arial"/>
          <w:sz w:val="16"/>
        </w:rPr>
        <w:t>s</w:t>
      </w:r>
      <w:r>
        <w:rPr>
          <w:rFonts w:ascii="Arial"/>
          <w:spacing w:val="-9"/>
          <w:sz w:val="16"/>
        </w:rPr>
        <w:t> </w:t>
      </w:r>
      <w:r>
        <w:rPr>
          <w:rFonts w:ascii="Arial"/>
          <w:spacing w:val="-2"/>
          <w:sz w:val="16"/>
        </w:rPr>
        <w:t>5(5).</w:t>
      </w:r>
    </w:p>
    <w:p>
      <w:pPr>
        <w:pStyle w:val="ListParagraph"/>
        <w:numPr>
          <w:ilvl w:val="0"/>
          <w:numId w:val="6"/>
        </w:numPr>
        <w:tabs>
          <w:tab w:pos="567" w:val="left" w:leader="none"/>
        </w:tabs>
        <w:spacing w:line="218" w:lineRule="exact" w:before="0" w:after="0"/>
        <w:ind w:left="567" w:right="0" w:hanging="454"/>
        <w:jc w:val="left"/>
        <w:rPr>
          <w:sz w:val="16"/>
        </w:rPr>
      </w:pPr>
      <w:r>
        <w:rPr>
          <w:w w:val="105"/>
          <w:sz w:val="16"/>
        </w:rPr>
        <w:t>Belfast</w:t>
      </w:r>
      <w:r>
        <w:rPr>
          <w:spacing w:val="-4"/>
          <w:w w:val="105"/>
          <w:sz w:val="16"/>
        </w:rPr>
        <w:t> </w:t>
      </w:r>
      <w:r>
        <w:rPr>
          <w:w w:val="105"/>
          <w:sz w:val="16"/>
        </w:rPr>
        <w:t>(Good</w:t>
      </w:r>
      <w:r>
        <w:rPr>
          <w:spacing w:val="-3"/>
          <w:w w:val="105"/>
          <w:sz w:val="16"/>
        </w:rPr>
        <w:t> </w:t>
      </w:r>
      <w:r>
        <w:rPr>
          <w:w w:val="105"/>
          <w:sz w:val="16"/>
        </w:rPr>
        <w:t>Friday)</w:t>
      </w:r>
      <w:r>
        <w:rPr>
          <w:spacing w:val="-3"/>
          <w:w w:val="105"/>
          <w:sz w:val="16"/>
        </w:rPr>
        <w:t> </w:t>
      </w:r>
      <w:r>
        <w:rPr>
          <w:w w:val="105"/>
          <w:sz w:val="16"/>
        </w:rPr>
        <w:t>Agreement,</w:t>
      </w:r>
      <w:r>
        <w:rPr>
          <w:spacing w:val="-3"/>
          <w:w w:val="105"/>
          <w:sz w:val="16"/>
        </w:rPr>
        <w:t> </w:t>
      </w:r>
      <w:r>
        <w:rPr>
          <w:w w:val="105"/>
          <w:sz w:val="16"/>
        </w:rPr>
        <w:t>RSEO,</w:t>
      </w:r>
      <w:r>
        <w:rPr>
          <w:spacing w:val="-3"/>
          <w:w w:val="105"/>
          <w:sz w:val="16"/>
        </w:rPr>
        <w:t> </w:t>
      </w:r>
      <w:r>
        <w:rPr>
          <w:w w:val="105"/>
          <w:sz w:val="16"/>
        </w:rPr>
        <w:t>para</w:t>
      </w:r>
      <w:r>
        <w:rPr>
          <w:spacing w:val="-3"/>
          <w:w w:val="105"/>
          <w:sz w:val="16"/>
        </w:rPr>
        <w:t> </w:t>
      </w:r>
      <w:r>
        <w:rPr>
          <w:spacing w:val="-5"/>
          <w:w w:val="105"/>
          <w:sz w:val="16"/>
        </w:rPr>
        <w:t>2.</w:t>
      </w:r>
    </w:p>
    <w:p>
      <w:pPr>
        <w:pStyle w:val="ListParagraph"/>
        <w:numPr>
          <w:ilvl w:val="0"/>
          <w:numId w:val="6"/>
        </w:numPr>
        <w:tabs>
          <w:tab w:pos="565" w:val="left" w:leader="none"/>
        </w:tabs>
        <w:spacing w:line="200" w:lineRule="exact" w:before="0" w:after="0"/>
        <w:ind w:left="565" w:right="0" w:hanging="452"/>
        <w:jc w:val="left"/>
        <w:rPr>
          <w:rFonts w:ascii="Arial"/>
          <w:sz w:val="16"/>
        </w:rPr>
      </w:pPr>
      <w:r>
        <w:rPr>
          <w:sz w:val="16"/>
        </w:rPr>
        <w:t>Article</w:t>
      </w:r>
      <w:r>
        <w:rPr>
          <w:spacing w:val="4"/>
          <w:sz w:val="16"/>
        </w:rPr>
        <w:t> </w:t>
      </w:r>
      <w:r>
        <w:rPr>
          <w:sz w:val="16"/>
        </w:rPr>
        <w:t>78(1)</w:t>
      </w:r>
      <w:r>
        <w:rPr>
          <w:spacing w:val="5"/>
          <w:sz w:val="16"/>
        </w:rPr>
        <w:t> </w:t>
      </w:r>
      <w:r>
        <w:rPr>
          <w:sz w:val="16"/>
        </w:rPr>
        <w:t>TFEU;</w:t>
      </w:r>
      <w:r>
        <w:rPr>
          <w:spacing w:val="5"/>
          <w:sz w:val="16"/>
        </w:rPr>
        <w:t> </w:t>
      </w:r>
      <w:r>
        <w:rPr>
          <w:sz w:val="16"/>
        </w:rPr>
        <w:t>substantively</w:t>
      </w:r>
      <w:r>
        <w:rPr>
          <w:spacing w:val="5"/>
          <w:sz w:val="16"/>
        </w:rPr>
        <w:t> </w:t>
      </w:r>
      <w:r>
        <w:rPr>
          <w:sz w:val="16"/>
        </w:rPr>
        <w:t>also</w:t>
      </w:r>
      <w:r>
        <w:rPr>
          <w:spacing w:val="5"/>
          <w:sz w:val="16"/>
        </w:rPr>
        <w:t> </w:t>
      </w:r>
      <w:r>
        <w:rPr>
          <w:sz w:val="16"/>
        </w:rPr>
        <w:t>found</w:t>
      </w:r>
      <w:r>
        <w:rPr>
          <w:spacing w:val="5"/>
          <w:sz w:val="16"/>
        </w:rPr>
        <w:t> </w:t>
      </w:r>
      <w:r>
        <w:rPr>
          <w:sz w:val="16"/>
        </w:rPr>
        <w:t>in</w:t>
      </w:r>
      <w:r>
        <w:rPr>
          <w:spacing w:val="5"/>
          <w:sz w:val="16"/>
        </w:rPr>
        <w:t> </w:t>
      </w:r>
      <w:r>
        <w:rPr>
          <w:sz w:val="16"/>
        </w:rPr>
        <w:t>Article</w:t>
      </w:r>
      <w:r>
        <w:rPr>
          <w:spacing w:val="5"/>
          <w:sz w:val="16"/>
        </w:rPr>
        <w:t> </w:t>
      </w:r>
      <w:r>
        <w:rPr>
          <w:sz w:val="16"/>
        </w:rPr>
        <w:t>19</w:t>
      </w:r>
      <w:r>
        <w:rPr>
          <w:spacing w:val="5"/>
          <w:sz w:val="16"/>
        </w:rPr>
        <w:t> </w:t>
      </w:r>
      <w:r>
        <w:rPr>
          <w:sz w:val="16"/>
        </w:rPr>
        <w:t>(2)</w:t>
      </w:r>
      <w:r>
        <w:rPr>
          <w:spacing w:val="5"/>
          <w:sz w:val="16"/>
        </w:rPr>
        <w:t> </w:t>
      </w:r>
      <w:r>
        <w:rPr>
          <w:spacing w:val="-4"/>
          <w:sz w:val="16"/>
        </w:rPr>
        <w:t>CFR.</w:t>
      </w:r>
    </w:p>
    <w:p>
      <w:pPr>
        <w:pStyle w:val="ListParagraph"/>
        <w:numPr>
          <w:ilvl w:val="0"/>
          <w:numId w:val="6"/>
        </w:numPr>
        <w:tabs>
          <w:tab w:pos="565" w:val="left" w:leader="none"/>
          <w:tab w:pos="567" w:val="left" w:leader="none"/>
        </w:tabs>
        <w:spacing w:line="194" w:lineRule="auto" w:before="10" w:after="0"/>
        <w:ind w:left="567" w:right="146" w:hanging="454"/>
        <w:jc w:val="left"/>
        <w:rPr>
          <w:sz w:val="16"/>
        </w:rPr>
      </w:pPr>
      <w:r>
        <w:rPr>
          <w:sz w:val="16"/>
        </w:rPr>
        <w:t>Regulation (EU) 604/2013 of 26 June 2013 establishing the criteria and mechanisms for determining the Member State responsible for examining an application for international protection lodged in one of the Member States by a third-country national or a stateless person (recast) [2013] </w:t>
      </w:r>
      <w:r>
        <w:rPr>
          <w:w w:val="115"/>
          <w:sz w:val="16"/>
        </w:rPr>
        <w:t>OJ </w:t>
      </w:r>
      <w:r>
        <w:rPr>
          <w:sz w:val="16"/>
        </w:rPr>
        <w:t>L 180/31.</w:t>
      </w:r>
    </w:p>
    <w:p>
      <w:pPr>
        <w:pStyle w:val="ListParagraph"/>
        <w:numPr>
          <w:ilvl w:val="0"/>
          <w:numId w:val="6"/>
        </w:numPr>
        <w:tabs>
          <w:tab w:pos="567" w:val="left" w:leader="none"/>
        </w:tabs>
        <w:spacing w:line="192" w:lineRule="exact" w:before="0" w:after="0"/>
        <w:ind w:left="567" w:right="0" w:hanging="454"/>
        <w:jc w:val="left"/>
        <w:rPr>
          <w:sz w:val="16"/>
        </w:rPr>
      </w:pPr>
      <w:r>
        <w:rPr>
          <w:spacing w:val="-2"/>
          <w:sz w:val="16"/>
        </w:rPr>
        <w:t>Article</w:t>
      </w:r>
      <w:r>
        <w:rPr>
          <w:spacing w:val="-4"/>
          <w:sz w:val="16"/>
        </w:rPr>
        <w:t> </w:t>
      </w:r>
      <w:r>
        <w:rPr>
          <w:spacing w:val="-2"/>
          <w:sz w:val="16"/>
        </w:rPr>
        <w:t>18</w:t>
      </w:r>
      <w:r>
        <w:rPr>
          <w:spacing w:val="-4"/>
          <w:sz w:val="16"/>
        </w:rPr>
        <w:t> CFR.</w:t>
      </w:r>
    </w:p>
    <w:p>
      <w:pPr>
        <w:pStyle w:val="ListParagraph"/>
        <w:numPr>
          <w:ilvl w:val="0"/>
          <w:numId w:val="6"/>
        </w:numPr>
        <w:tabs>
          <w:tab w:pos="567" w:val="left" w:leader="none"/>
        </w:tabs>
        <w:spacing w:line="194" w:lineRule="auto" w:before="11" w:after="0"/>
        <w:ind w:left="567" w:right="257" w:hanging="454"/>
        <w:jc w:val="left"/>
        <w:rPr>
          <w:sz w:val="16"/>
        </w:rPr>
      </w:pPr>
      <w:r>
        <w:rPr>
          <w:sz w:val="16"/>
        </w:rPr>
        <w:t>See also Anurag Deb and Colin Murray, ‘Article 2 of the Ireland/Northern Ireland Protocol: A new frontier in human rights law?’ [2023] European Human Rights Law Review, 608.</w:t>
      </w:r>
    </w:p>
    <w:p>
      <w:pPr>
        <w:spacing w:after="0" w:line="194" w:lineRule="auto"/>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310" w:lineRule="exact" w:before="49"/>
        <w:ind w:right="197"/>
        <w:rPr>
          <w:rFonts w:ascii="Lucida Sans Unicode" w:hAnsi="Lucida Sans Unicode"/>
        </w:rPr>
      </w:pPr>
      <w:r>
        <w:rPr>
          <w:w w:val="110"/>
        </w:rPr>
        <w:t>UK’s withdrawal from the EU.’</w:t>
      </w:r>
      <w:r>
        <w:rPr>
          <w:rFonts w:ascii="Lucida Sans Unicode" w:hAnsi="Lucida Sans Unicode"/>
          <w:w w:val="110"/>
          <w:vertAlign w:val="superscript"/>
        </w:rPr>
        <w:t>183</w:t>
      </w:r>
      <w:r>
        <w:rPr>
          <w:rFonts w:ascii="Lucida Sans Unicode" w:hAnsi="Lucida Sans Unicode"/>
          <w:w w:val="110"/>
          <w:vertAlign w:val="baseline"/>
        </w:rPr>
        <w:t> </w:t>
      </w:r>
      <w:r>
        <w:rPr>
          <w:w w:val="110"/>
          <w:vertAlign w:val="baseline"/>
        </w:rPr>
        <w:t>Further, one might even argue that the Annex </w:t>
      </w:r>
      <w:r>
        <w:rPr>
          <w:vertAlign w:val="baseline"/>
        </w:rPr>
        <w:t>1 </w:t>
      </w:r>
      <w:r>
        <w:rPr>
          <w:w w:val="110"/>
          <w:vertAlign w:val="baseline"/>
        </w:rPr>
        <w:t>Directives therefore do not themselves have the legal </w:t>
      </w:r>
      <w:r>
        <w:rPr>
          <w:w w:val="110"/>
          <w:vertAlign w:val="baseline"/>
        </w:rPr>
        <w:t>effects of EU law.</w:t>
      </w:r>
      <w:r>
        <w:rPr>
          <w:rFonts w:ascii="Lucida Sans Unicode" w:hAnsi="Lucida Sans Unicode"/>
          <w:w w:val="110"/>
          <w:vertAlign w:val="superscript"/>
        </w:rPr>
        <w:t>184</w:t>
      </w:r>
    </w:p>
    <w:p>
      <w:pPr>
        <w:pStyle w:val="BodyText"/>
        <w:spacing w:line="310" w:lineRule="exact" w:before="300"/>
        <w:ind w:right="165"/>
      </w:pPr>
      <w:r>
        <w:rPr>
          <w:w w:val="110"/>
        </w:rPr>
        <w:t>However, this does not mean that </w:t>
      </w:r>
      <w:r>
        <w:rPr>
          <w:rFonts w:ascii="Lucida Sans Unicode" w:hAnsi="Lucida Sans Unicode"/>
          <w:w w:val="110"/>
        </w:rPr>
        <w:t>Article</w:t>
      </w:r>
      <w:r>
        <w:rPr>
          <w:rFonts w:ascii="Lucida Sans Unicode" w:hAnsi="Lucida Sans Unicode"/>
          <w:spacing w:val="-21"/>
          <w:w w:val="110"/>
        </w:rPr>
        <w:t> </w:t>
      </w:r>
      <w:r>
        <w:rPr>
          <w:rFonts w:ascii="Lucida Sans Unicode" w:hAnsi="Lucida Sans Unicode"/>
          <w:w w:val="110"/>
        </w:rPr>
        <w:t>2</w:t>
      </w:r>
      <w:r>
        <w:rPr>
          <w:rFonts w:ascii="Lucida Sans Unicode" w:hAnsi="Lucida Sans Unicode"/>
          <w:spacing w:val="-21"/>
          <w:w w:val="110"/>
        </w:rPr>
        <w:t> </w:t>
      </w:r>
      <w:r>
        <w:rPr>
          <w:rFonts w:ascii="Lucida Sans Unicode" w:hAnsi="Lucida Sans Unicode"/>
          <w:w w:val="110"/>
        </w:rPr>
        <w:t>Windsor</w:t>
      </w:r>
      <w:r>
        <w:rPr>
          <w:rFonts w:ascii="Lucida Sans Unicode" w:hAnsi="Lucida Sans Unicode"/>
          <w:spacing w:val="-21"/>
          <w:w w:val="110"/>
        </w:rPr>
        <w:t> </w:t>
      </w:r>
      <w:r>
        <w:rPr>
          <w:rFonts w:ascii="Lucida Sans Unicode" w:hAnsi="Lucida Sans Unicode"/>
          <w:w w:val="110"/>
        </w:rPr>
        <w:t>Framework</w:t>
      </w:r>
      <w:r>
        <w:rPr>
          <w:rFonts w:ascii="Lucida Sans Unicode" w:hAnsi="Lucida Sans Unicode"/>
          <w:spacing w:val="-21"/>
          <w:w w:val="110"/>
        </w:rPr>
        <w:t> </w:t>
      </w:r>
      <w:r>
        <w:rPr>
          <w:rFonts w:ascii="Lucida Sans Unicode" w:hAnsi="Lucida Sans Unicode"/>
          <w:w w:val="110"/>
        </w:rPr>
        <w:t>does </w:t>
      </w:r>
      <w:r>
        <w:rPr>
          <w:w w:val="110"/>
        </w:rPr>
        <w:t>not have those effects. It has now been settled through litigation that </w:t>
      </w:r>
      <w:r>
        <w:rPr>
          <w:rFonts w:ascii="Lucida Sans Unicode" w:hAnsi="Lucida Sans Unicode"/>
        </w:rPr>
        <w:t>Article 2 (1) Windsor Framework </w:t>
      </w:r>
      <w:r>
        <w:rPr>
          <w:rFonts w:ascii="Lucida Sans Unicode" w:hAnsi="Lucida Sans Unicode"/>
        </w:rPr>
        <w:t>has </w:t>
      </w:r>
      <w:r>
        <w:rPr>
          <w:w w:val="110"/>
        </w:rPr>
        <w:t>direct effect within the meaning of </w:t>
      </w:r>
      <w:r>
        <w:rPr>
          <w:rFonts w:ascii="Lucida Sans Unicode" w:hAnsi="Lucida Sans Unicode"/>
        </w:rPr>
        <w:t>Article 4(1) WA.</w:t>
      </w:r>
      <w:r>
        <w:rPr>
          <w:rFonts w:ascii="Lucida Sans Unicode" w:hAnsi="Lucida Sans Unicode"/>
          <w:vertAlign w:val="superscript"/>
        </w:rPr>
        <w:t>185</w:t>
      </w:r>
      <w:r>
        <w:rPr>
          <w:rFonts w:ascii="Lucida Sans Unicode" w:hAnsi="Lucida Sans Unicode"/>
          <w:vertAlign w:val="baseline"/>
        </w:rPr>
        <w:t> As the first sub- </w:t>
      </w:r>
      <w:r>
        <w:rPr>
          <w:rFonts w:ascii="Lucida Sans Unicode" w:hAnsi="Lucida Sans Unicode"/>
          <w:w w:val="110"/>
          <w:vertAlign w:val="baseline"/>
        </w:rPr>
        <w:t>paragraph</w:t>
      </w:r>
      <w:r>
        <w:rPr>
          <w:rFonts w:ascii="Lucida Sans Unicode" w:hAnsi="Lucida Sans Unicode"/>
          <w:spacing w:val="-20"/>
          <w:w w:val="110"/>
          <w:vertAlign w:val="baseline"/>
        </w:rPr>
        <w:t> </w:t>
      </w:r>
      <w:r>
        <w:rPr>
          <w:rFonts w:ascii="Lucida Sans Unicode" w:hAnsi="Lucida Sans Unicode"/>
          <w:w w:val="110"/>
          <w:vertAlign w:val="baseline"/>
        </w:rPr>
        <w:t>of</w:t>
      </w:r>
      <w:r>
        <w:rPr>
          <w:rFonts w:ascii="Lucida Sans Unicode" w:hAnsi="Lucida Sans Unicode"/>
          <w:spacing w:val="-20"/>
          <w:w w:val="110"/>
          <w:vertAlign w:val="baseline"/>
        </w:rPr>
        <w:t> </w:t>
      </w:r>
      <w:r>
        <w:rPr>
          <w:rFonts w:ascii="Lucida Sans Unicode" w:hAnsi="Lucida Sans Unicode"/>
          <w:w w:val="110"/>
          <w:vertAlign w:val="baseline"/>
        </w:rPr>
        <w:t>Article</w:t>
      </w:r>
      <w:r>
        <w:rPr>
          <w:rFonts w:ascii="Lucida Sans Unicode" w:hAnsi="Lucida Sans Unicode"/>
          <w:spacing w:val="-20"/>
          <w:w w:val="110"/>
          <w:vertAlign w:val="baseline"/>
        </w:rPr>
        <w:t> </w:t>
      </w:r>
      <w:r>
        <w:rPr>
          <w:rFonts w:ascii="Lucida Sans Unicode" w:hAnsi="Lucida Sans Unicode"/>
          <w:w w:val="110"/>
          <w:vertAlign w:val="baseline"/>
        </w:rPr>
        <w:t>4</w:t>
      </w:r>
      <w:r>
        <w:rPr>
          <w:rFonts w:ascii="Lucida Sans Unicode" w:hAnsi="Lucida Sans Unicode"/>
          <w:spacing w:val="-20"/>
          <w:w w:val="110"/>
          <w:vertAlign w:val="baseline"/>
        </w:rPr>
        <w:t> </w:t>
      </w:r>
      <w:r>
        <w:rPr>
          <w:rFonts w:ascii="Lucida Sans Unicode" w:hAnsi="Lucida Sans Unicode"/>
          <w:w w:val="110"/>
          <w:vertAlign w:val="baseline"/>
        </w:rPr>
        <w:t>(1)</w:t>
      </w:r>
      <w:r>
        <w:rPr>
          <w:rFonts w:ascii="Lucida Sans Unicode" w:hAnsi="Lucida Sans Unicode"/>
          <w:spacing w:val="-20"/>
          <w:w w:val="110"/>
          <w:vertAlign w:val="baseline"/>
        </w:rPr>
        <w:t> </w:t>
      </w:r>
      <w:r>
        <w:rPr>
          <w:rFonts w:ascii="Lucida Sans Unicode" w:hAnsi="Lucida Sans Unicode"/>
          <w:w w:val="110"/>
          <w:vertAlign w:val="baseline"/>
        </w:rPr>
        <w:t>WA</w:t>
      </w:r>
      <w:r>
        <w:rPr>
          <w:rFonts w:ascii="Lucida Sans Unicode" w:hAnsi="Lucida Sans Unicode"/>
          <w:spacing w:val="-20"/>
          <w:w w:val="110"/>
          <w:vertAlign w:val="baseline"/>
        </w:rPr>
        <w:t> </w:t>
      </w:r>
      <w:r>
        <w:rPr>
          <w:rFonts w:ascii="Lucida Sans Unicode" w:hAnsi="Lucida Sans Unicode"/>
          <w:w w:val="110"/>
          <w:vertAlign w:val="baseline"/>
        </w:rPr>
        <w:t>puts </w:t>
      </w:r>
      <w:r>
        <w:rPr>
          <w:w w:val="110"/>
          <w:vertAlign w:val="baseline"/>
        </w:rPr>
        <w:t>it, the ‘provisions of this Agreement</w:t>
      </w:r>
    </w:p>
    <w:p>
      <w:pPr>
        <w:pStyle w:val="BodyText"/>
        <w:spacing w:line="310" w:lineRule="exact"/>
        <w:ind w:right="71"/>
      </w:pPr>
      <w:r>
        <w:rPr>
          <w:rFonts w:ascii="Lucida Sans Unicode" w:hAnsi="Lucida Sans Unicode"/>
        </w:rPr>
        <w:t>[…] shall produce in respect of and in </w:t>
      </w:r>
      <w:r>
        <w:rPr>
          <w:w w:val="110"/>
        </w:rPr>
        <w:t>the United Kingdom the same legal effects as those which they produce within the Union and its Member </w:t>
      </w:r>
      <w:r>
        <w:rPr>
          <w:rFonts w:ascii="Lucida Sans Unicode" w:hAnsi="Lucida Sans Unicode"/>
        </w:rPr>
        <w:t>States’. The second sub-paragraph of </w:t>
      </w:r>
      <w:r>
        <w:rPr>
          <w:rFonts w:ascii="Lucida Sans Unicode" w:hAnsi="Lucida Sans Unicode"/>
          <w:w w:val="110"/>
        </w:rPr>
        <w:t>Article</w:t>
      </w:r>
      <w:r>
        <w:rPr>
          <w:rFonts w:ascii="Lucida Sans Unicode" w:hAnsi="Lucida Sans Unicode"/>
          <w:spacing w:val="-21"/>
          <w:w w:val="110"/>
        </w:rPr>
        <w:t> </w:t>
      </w:r>
      <w:r>
        <w:rPr>
          <w:rFonts w:ascii="Lucida Sans Unicode" w:hAnsi="Lucida Sans Unicode"/>
          <w:w w:val="110"/>
        </w:rPr>
        <w:t>4</w:t>
      </w:r>
      <w:r>
        <w:rPr>
          <w:rFonts w:ascii="Lucida Sans Unicode" w:hAnsi="Lucida Sans Unicode"/>
          <w:spacing w:val="-21"/>
          <w:w w:val="110"/>
        </w:rPr>
        <w:t> </w:t>
      </w:r>
      <w:r>
        <w:rPr>
          <w:rFonts w:ascii="Lucida Sans Unicode" w:hAnsi="Lucida Sans Unicode"/>
          <w:w w:val="110"/>
        </w:rPr>
        <w:t>(1)</w:t>
      </w:r>
      <w:r>
        <w:rPr>
          <w:rFonts w:ascii="Lucida Sans Unicode" w:hAnsi="Lucida Sans Unicode"/>
          <w:spacing w:val="-21"/>
          <w:w w:val="110"/>
        </w:rPr>
        <w:t> </w:t>
      </w:r>
      <w:r>
        <w:rPr>
          <w:rFonts w:ascii="Lucida Sans Unicode" w:hAnsi="Lucida Sans Unicode"/>
          <w:w w:val="110"/>
        </w:rPr>
        <w:t>WA</w:t>
      </w:r>
      <w:r>
        <w:rPr>
          <w:rFonts w:ascii="Lucida Sans Unicode" w:hAnsi="Lucida Sans Unicode"/>
          <w:spacing w:val="-21"/>
          <w:w w:val="110"/>
        </w:rPr>
        <w:t> </w:t>
      </w:r>
      <w:r>
        <w:rPr>
          <w:rFonts w:ascii="Lucida Sans Unicode" w:hAnsi="Lucida Sans Unicode"/>
          <w:w w:val="110"/>
        </w:rPr>
        <w:t>then</w:t>
      </w:r>
      <w:r>
        <w:rPr>
          <w:rFonts w:ascii="Lucida Sans Unicode" w:hAnsi="Lucida Sans Unicode"/>
          <w:spacing w:val="-21"/>
          <w:w w:val="110"/>
        </w:rPr>
        <w:t> </w:t>
      </w:r>
      <w:r>
        <w:rPr>
          <w:rFonts w:ascii="Lucida Sans Unicode" w:hAnsi="Lucida Sans Unicode"/>
          <w:w w:val="110"/>
        </w:rPr>
        <w:t>confirms</w:t>
      </w:r>
      <w:r>
        <w:rPr>
          <w:rFonts w:ascii="Lucida Sans Unicode" w:hAnsi="Lucida Sans Unicode"/>
          <w:spacing w:val="-21"/>
          <w:w w:val="110"/>
        </w:rPr>
        <w:t> </w:t>
      </w:r>
      <w:r>
        <w:rPr>
          <w:rFonts w:ascii="Lucida Sans Unicode" w:hAnsi="Lucida Sans Unicode"/>
          <w:w w:val="110"/>
        </w:rPr>
        <w:t>that </w:t>
      </w:r>
      <w:r>
        <w:rPr>
          <w:rFonts w:ascii="Lucida Sans Unicode" w:hAnsi="Lucida Sans Unicode"/>
        </w:rPr>
        <w:t>‘[a]ccordingly, legal or natural </w:t>
      </w:r>
      <w:r>
        <w:rPr>
          <w:rFonts w:ascii="Lucida Sans Unicode" w:hAnsi="Lucida Sans Unicode"/>
        </w:rPr>
        <w:t>persons </w:t>
      </w:r>
      <w:r>
        <w:rPr>
          <w:w w:val="110"/>
        </w:rPr>
        <w:t>shall in particular be able to rely directly</w:t>
      </w:r>
      <w:r>
        <w:rPr>
          <w:spacing w:val="40"/>
          <w:w w:val="110"/>
        </w:rPr>
        <w:t> </w:t>
      </w:r>
      <w:r>
        <w:rPr>
          <w:w w:val="110"/>
        </w:rPr>
        <w:t>on</w:t>
      </w:r>
      <w:r>
        <w:rPr>
          <w:spacing w:val="40"/>
          <w:w w:val="110"/>
        </w:rPr>
        <w:t> </w:t>
      </w:r>
      <w:r>
        <w:rPr>
          <w:w w:val="110"/>
        </w:rPr>
        <w:t>the</w:t>
      </w:r>
      <w:r>
        <w:rPr>
          <w:spacing w:val="40"/>
          <w:w w:val="110"/>
        </w:rPr>
        <w:t> </w:t>
      </w:r>
      <w:r>
        <w:rPr>
          <w:w w:val="110"/>
        </w:rPr>
        <w:t>provisions</w:t>
      </w:r>
      <w:r>
        <w:rPr>
          <w:spacing w:val="40"/>
          <w:w w:val="110"/>
        </w:rPr>
        <w:t> </w:t>
      </w:r>
      <w:r>
        <w:rPr>
          <w:w w:val="110"/>
        </w:rPr>
        <w:t>contained</w:t>
      </w:r>
      <w:r>
        <w:rPr>
          <w:spacing w:val="40"/>
          <w:w w:val="110"/>
        </w:rPr>
        <w:t> </w:t>
      </w:r>
      <w:r>
        <w:rPr>
          <w:w w:val="110"/>
        </w:rPr>
        <w:t>or referred to in this Agreement which meet the conditions for direct effect </w:t>
      </w:r>
      <w:r>
        <w:rPr>
          <w:rFonts w:ascii="Lucida Sans Unicode" w:hAnsi="Lucida Sans Unicode"/>
          <w:w w:val="110"/>
        </w:rPr>
        <w:t>under</w:t>
      </w:r>
      <w:r>
        <w:rPr>
          <w:rFonts w:ascii="Lucida Sans Unicode" w:hAnsi="Lucida Sans Unicode"/>
          <w:spacing w:val="-21"/>
          <w:w w:val="110"/>
        </w:rPr>
        <w:t> </w:t>
      </w:r>
      <w:r>
        <w:rPr>
          <w:rFonts w:ascii="Lucida Sans Unicode" w:hAnsi="Lucida Sans Unicode"/>
          <w:w w:val="110"/>
        </w:rPr>
        <w:t>Union</w:t>
      </w:r>
      <w:r>
        <w:rPr>
          <w:rFonts w:ascii="Lucida Sans Unicode" w:hAnsi="Lucida Sans Unicode"/>
          <w:spacing w:val="-21"/>
          <w:w w:val="110"/>
        </w:rPr>
        <w:t> </w:t>
      </w:r>
      <w:r>
        <w:rPr>
          <w:rFonts w:ascii="Lucida Sans Unicode" w:hAnsi="Lucida Sans Unicode"/>
          <w:w w:val="110"/>
        </w:rPr>
        <w:t>law’.</w:t>
      </w:r>
      <w:r>
        <w:rPr>
          <w:rFonts w:ascii="Lucida Sans Unicode" w:hAnsi="Lucida Sans Unicode"/>
          <w:spacing w:val="-21"/>
          <w:w w:val="110"/>
        </w:rPr>
        <w:t> </w:t>
      </w:r>
      <w:r>
        <w:rPr>
          <w:rFonts w:ascii="Lucida Sans Unicode" w:hAnsi="Lucida Sans Unicode"/>
          <w:w w:val="110"/>
        </w:rPr>
        <w:t>And</w:t>
      </w:r>
      <w:r>
        <w:rPr>
          <w:rFonts w:ascii="Lucida Sans Unicode" w:hAnsi="Lucida Sans Unicode"/>
          <w:spacing w:val="-21"/>
          <w:w w:val="110"/>
        </w:rPr>
        <w:t> </w:t>
      </w:r>
      <w:r>
        <w:rPr>
          <w:rFonts w:ascii="Lucida Sans Unicode" w:hAnsi="Lucida Sans Unicode"/>
          <w:w w:val="110"/>
        </w:rPr>
        <w:t>Article</w:t>
      </w:r>
      <w:r>
        <w:rPr>
          <w:rFonts w:ascii="Lucida Sans Unicode" w:hAnsi="Lucida Sans Unicode"/>
          <w:spacing w:val="-21"/>
          <w:w w:val="110"/>
        </w:rPr>
        <w:t> </w:t>
      </w:r>
      <w:r>
        <w:rPr>
          <w:rFonts w:ascii="Lucida Sans Unicode" w:hAnsi="Lucida Sans Unicode"/>
          <w:w w:val="110"/>
        </w:rPr>
        <w:t>4</w:t>
      </w:r>
      <w:r>
        <w:rPr>
          <w:rFonts w:ascii="Lucida Sans Unicode" w:hAnsi="Lucida Sans Unicode"/>
          <w:spacing w:val="-21"/>
          <w:w w:val="110"/>
        </w:rPr>
        <w:t> </w:t>
      </w:r>
      <w:r>
        <w:rPr>
          <w:rFonts w:ascii="Lucida Sans Unicode" w:hAnsi="Lucida Sans Unicode"/>
          <w:w w:val="110"/>
        </w:rPr>
        <w:t>(3) </w:t>
      </w:r>
      <w:r>
        <w:rPr>
          <w:w w:val="110"/>
        </w:rPr>
        <w:t>WA stipulates that ‘the provisions of this Agreement referring to Union law</w:t>
      </w:r>
    </w:p>
    <w:p>
      <w:pPr>
        <w:pStyle w:val="BodyText"/>
        <w:spacing w:line="268" w:lineRule="auto" w:before="72"/>
        <w:ind w:right="317"/>
      </w:pPr>
      <w:r>
        <w:rPr/>
        <w:br w:type="column"/>
      </w:r>
      <w:r>
        <w:rPr>
          <w:w w:val="115"/>
        </w:rPr>
        <w:t>or</w:t>
      </w:r>
      <w:r>
        <w:rPr>
          <w:spacing w:val="-15"/>
          <w:w w:val="115"/>
        </w:rPr>
        <w:t> </w:t>
      </w:r>
      <w:r>
        <w:rPr>
          <w:w w:val="115"/>
        </w:rPr>
        <w:t>to</w:t>
      </w:r>
      <w:r>
        <w:rPr>
          <w:spacing w:val="-15"/>
          <w:w w:val="115"/>
        </w:rPr>
        <w:t> </w:t>
      </w:r>
      <w:r>
        <w:rPr>
          <w:w w:val="115"/>
        </w:rPr>
        <w:t>concepts</w:t>
      </w:r>
      <w:r>
        <w:rPr>
          <w:spacing w:val="-15"/>
          <w:w w:val="115"/>
        </w:rPr>
        <w:t> </w:t>
      </w:r>
      <w:r>
        <w:rPr>
          <w:w w:val="115"/>
        </w:rPr>
        <w:t>or</w:t>
      </w:r>
      <w:r>
        <w:rPr>
          <w:spacing w:val="-15"/>
          <w:w w:val="115"/>
        </w:rPr>
        <w:t> </w:t>
      </w:r>
      <w:r>
        <w:rPr>
          <w:w w:val="115"/>
        </w:rPr>
        <w:t>provisions</w:t>
      </w:r>
      <w:r>
        <w:rPr>
          <w:spacing w:val="-15"/>
          <w:w w:val="115"/>
        </w:rPr>
        <w:t> </w:t>
      </w:r>
      <w:r>
        <w:rPr>
          <w:w w:val="115"/>
        </w:rPr>
        <w:t>thereof shall be interpreted and applied</w:t>
      </w:r>
    </w:p>
    <w:p>
      <w:pPr>
        <w:pStyle w:val="BodyText"/>
        <w:spacing w:line="268" w:lineRule="auto" w:before="2"/>
        <w:ind w:right="440"/>
      </w:pPr>
      <w:r>
        <w:rPr>
          <w:w w:val="115"/>
        </w:rPr>
        <w:t>in accordance with the methods and general principles of Union law’. Importantly, these latter two provisions</w:t>
      </w:r>
      <w:r>
        <w:rPr>
          <w:spacing w:val="-20"/>
          <w:w w:val="115"/>
        </w:rPr>
        <w:t> </w:t>
      </w:r>
      <w:r>
        <w:rPr>
          <w:w w:val="115"/>
        </w:rPr>
        <w:t>do</w:t>
      </w:r>
      <w:r>
        <w:rPr>
          <w:spacing w:val="-19"/>
          <w:w w:val="115"/>
        </w:rPr>
        <w:t> </w:t>
      </w:r>
      <w:r>
        <w:rPr>
          <w:w w:val="115"/>
        </w:rPr>
        <w:t>not</w:t>
      </w:r>
      <w:r>
        <w:rPr>
          <w:spacing w:val="-19"/>
          <w:w w:val="115"/>
        </w:rPr>
        <w:t> </w:t>
      </w:r>
      <w:r>
        <w:rPr>
          <w:w w:val="115"/>
        </w:rPr>
        <w:t>require</w:t>
      </w:r>
      <w:r>
        <w:rPr>
          <w:spacing w:val="-19"/>
          <w:w w:val="115"/>
        </w:rPr>
        <w:t> </w:t>
      </w:r>
      <w:r>
        <w:rPr>
          <w:w w:val="115"/>
        </w:rPr>
        <w:t>the</w:t>
      </w:r>
      <w:r>
        <w:rPr>
          <w:spacing w:val="-19"/>
          <w:w w:val="115"/>
        </w:rPr>
        <w:t> </w:t>
      </w:r>
      <w:r>
        <w:rPr>
          <w:w w:val="115"/>
        </w:rPr>
        <w:t>Union law</w:t>
      </w:r>
      <w:r>
        <w:rPr>
          <w:spacing w:val="-20"/>
          <w:w w:val="115"/>
        </w:rPr>
        <w:t> </w:t>
      </w:r>
      <w:r>
        <w:rPr>
          <w:w w:val="115"/>
        </w:rPr>
        <w:t>concerned</w:t>
      </w:r>
      <w:r>
        <w:rPr>
          <w:spacing w:val="-19"/>
          <w:w w:val="115"/>
        </w:rPr>
        <w:t> </w:t>
      </w:r>
      <w:r>
        <w:rPr>
          <w:w w:val="115"/>
        </w:rPr>
        <w:t>to</w:t>
      </w:r>
      <w:r>
        <w:rPr>
          <w:spacing w:val="-19"/>
          <w:w w:val="115"/>
        </w:rPr>
        <w:t> </w:t>
      </w:r>
      <w:r>
        <w:rPr>
          <w:w w:val="115"/>
        </w:rPr>
        <w:t>have</w:t>
      </w:r>
      <w:r>
        <w:rPr>
          <w:spacing w:val="-19"/>
          <w:w w:val="115"/>
        </w:rPr>
        <w:t> </w:t>
      </w:r>
      <w:r>
        <w:rPr>
          <w:w w:val="115"/>
        </w:rPr>
        <w:t>been</w:t>
      </w:r>
      <w:r>
        <w:rPr>
          <w:spacing w:val="-19"/>
          <w:w w:val="115"/>
        </w:rPr>
        <w:t> </w:t>
      </w:r>
      <w:r>
        <w:rPr>
          <w:w w:val="115"/>
        </w:rPr>
        <w:t>‘made</w:t>
      </w:r>
    </w:p>
    <w:p>
      <w:pPr>
        <w:pStyle w:val="BodyText"/>
        <w:spacing w:line="252" w:lineRule="auto" w:before="4"/>
        <w:ind w:right="242"/>
        <w:rPr>
          <w:rFonts w:ascii="Lucida Sans Unicode" w:hAnsi="Lucida Sans Unicode"/>
        </w:rPr>
      </w:pPr>
      <w:r>
        <w:rPr>
          <w:w w:val="110"/>
        </w:rPr>
        <w:t>applicable’ by the WA – which it </w:t>
      </w:r>
      <w:r>
        <w:rPr>
          <w:w w:val="110"/>
        </w:rPr>
        <w:t>could be argued the Annex </w:t>
      </w:r>
      <w:r>
        <w:rPr/>
        <w:t>1 </w:t>
      </w:r>
      <w:r>
        <w:rPr>
          <w:w w:val="110"/>
        </w:rPr>
        <w:t>Directives are </w:t>
      </w:r>
      <w:r>
        <w:rPr>
          <w:rFonts w:ascii="Lucida Sans Unicode" w:hAnsi="Lucida Sans Unicode"/>
        </w:rPr>
        <w:t>not – but it suffices that Union law is</w:t>
      </w:r>
    </w:p>
    <w:p>
      <w:pPr>
        <w:pStyle w:val="BodyText"/>
        <w:spacing w:line="239" w:lineRule="exact"/>
      </w:pPr>
      <w:r>
        <w:rPr>
          <w:w w:val="115"/>
        </w:rPr>
        <w:t>referred</w:t>
      </w:r>
      <w:r>
        <w:rPr>
          <w:spacing w:val="-14"/>
          <w:w w:val="115"/>
        </w:rPr>
        <w:t> </w:t>
      </w:r>
      <w:r>
        <w:rPr>
          <w:w w:val="115"/>
        </w:rPr>
        <w:t>to,</w:t>
      </w:r>
      <w:r>
        <w:rPr>
          <w:spacing w:val="-13"/>
          <w:w w:val="115"/>
        </w:rPr>
        <w:t> </w:t>
      </w:r>
      <w:r>
        <w:rPr>
          <w:w w:val="115"/>
        </w:rPr>
        <w:t>which</w:t>
      </w:r>
      <w:r>
        <w:rPr>
          <w:spacing w:val="-13"/>
          <w:w w:val="115"/>
        </w:rPr>
        <w:t> </w:t>
      </w:r>
      <w:r>
        <w:rPr>
          <w:w w:val="115"/>
        </w:rPr>
        <w:t>is</w:t>
      </w:r>
      <w:r>
        <w:rPr>
          <w:spacing w:val="-13"/>
          <w:w w:val="115"/>
        </w:rPr>
        <w:t> </w:t>
      </w:r>
      <w:r>
        <w:rPr>
          <w:w w:val="115"/>
        </w:rPr>
        <w:t>certainly</w:t>
      </w:r>
      <w:r>
        <w:rPr>
          <w:spacing w:val="-14"/>
          <w:w w:val="115"/>
        </w:rPr>
        <w:t> </w:t>
      </w:r>
      <w:r>
        <w:rPr>
          <w:w w:val="115"/>
        </w:rPr>
        <w:t>true</w:t>
      </w:r>
      <w:r>
        <w:rPr>
          <w:spacing w:val="-13"/>
          <w:w w:val="115"/>
        </w:rPr>
        <w:t> </w:t>
      </w:r>
      <w:r>
        <w:rPr>
          <w:spacing w:val="-5"/>
          <w:w w:val="115"/>
        </w:rPr>
        <w:t>of</w:t>
      </w:r>
    </w:p>
    <w:p>
      <w:pPr>
        <w:pStyle w:val="BodyText"/>
        <w:spacing w:before="34"/>
      </w:pPr>
      <w:r>
        <w:rPr/>
        <w:t>the</w:t>
      </w:r>
      <w:r>
        <w:rPr>
          <w:spacing w:val="29"/>
        </w:rPr>
        <w:t> </w:t>
      </w:r>
      <w:r>
        <w:rPr/>
        <w:t>Annex</w:t>
      </w:r>
      <w:r>
        <w:rPr>
          <w:spacing w:val="29"/>
        </w:rPr>
        <w:t> </w:t>
      </w:r>
      <w:r>
        <w:rPr/>
        <w:t>1</w:t>
      </w:r>
      <w:r>
        <w:rPr>
          <w:spacing w:val="29"/>
        </w:rPr>
        <w:t> </w:t>
      </w:r>
      <w:r>
        <w:rPr>
          <w:spacing w:val="-2"/>
        </w:rPr>
        <w:t>Directives.</w:t>
      </w:r>
    </w:p>
    <w:p>
      <w:pPr>
        <w:pStyle w:val="BodyText"/>
        <w:spacing w:before="58"/>
        <w:ind w:left="0"/>
      </w:pPr>
    </w:p>
    <w:p>
      <w:pPr>
        <w:pStyle w:val="BodyText"/>
        <w:spacing w:line="268" w:lineRule="auto"/>
        <w:ind w:right="451"/>
      </w:pPr>
      <w:r>
        <w:rPr>
          <w:w w:val="110"/>
        </w:rPr>
        <w:t>Despite</w:t>
      </w:r>
      <w:r>
        <w:rPr>
          <w:spacing w:val="40"/>
          <w:w w:val="110"/>
        </w:rPr>
        <w:t> </w:t>
      </w:r>
      <w:r>
        <w:rPr>
          <w:w w:val="110"/>
        </w:rPr>
        <w:t>this</w:t>
      </w:r>
      <w:r>
        <w:rPr>
          <w:spacing w:val="40"/>
          <w:w w:val="110"/>
        </w:rPr>
        <w:t> </w:t>
      </w:r>
      <w:r>
        <w:rPr>
          <w:w w:val="110"/>
        </w:rPr>
        <w:t>ambiguity</w:t>
      </w:r>
      <w:r>
        <w:rPr>
          <w:spacing w:val="40"/>
          <w:w w:val="110"/>
        </w:rPr>
        <w:t> </w:t>
      </w:r>
      <w:r>
        <w:rPr>
          <w:w w:val="110"/>
        </w:rPr>
        <w:t>in</w:t>
      </w:r>
      <w:r>
        <w:rPr>
          <w:spacing w:val="40"/>
          <w:w w:val="110"/>
        </w:rPr>
        <w:t> </w:t>
      </w:r>
      <w:r>
        <w:rPr>
          <w:w w:val="110"/>
        </w:rPr>
        <w:t>the</w:t>
      </w:r>
      <w:r>
        <w:rPr>
          <w:spacing w:val="40"/>
          <w:w w:val="110"/>
        </w:rPr>
        <w:t> </w:t>
      </w:r>
      <w:r>
        <w:rPr>
          <w:w w:val="110"/>
        </w:rPr>
        <w:t>WA as</w:t>
      </w:r>
      <w:r>
        <w:rPr>
          <w:spacing w:val="-3"/>
          <w:w w:val="110"/>
        </w:rPr>
        <w:t> </w:t>
      </w:r>
      <w:r>
        <w:rPr>
          <w:w w:val="110"/>
        </w:rPr>
        <w:t>regards</w:t>
      </w:r>
      <w:r>
        <w:rPr>
          <w:spacing w:val="-3"/>
          <w:w w:val="110"/>
        </w:rPr>
        <w:t> </w:t>
      </w:r>
      <w:r>
        <w:rPr>
          <w:w w:val="110"/>
        </w:rPr>
        <w:t>the</w:t>
      </w:r>
      <w:r>
        <w:rPr>
          <w:spacing w:val="-3"/>
          <w:w w:val="110"/>
        </w:rPr>
        <w:t> </w:t>
      </w:r>
      <w:r>
        <w:rPr>
          <w:w w:val="110"/>
        </w:rPr>
        <w:t>status</w:t>
      </w:r>
      <w:r>
        <w:rPr>
          <w:spacing w:val="-3"/>
          <w:w w:val="110"/>
        </w:rPr>
        <w:t> </w:t>
      </w:r>
      <w:r>
        <w:rPr>
          <w:w w:val="110"/>
        </w:rPr>
        <w:t>of</w:t>
      </w:r>
      <w:r>
        <w:rPr>
          <w:spacing w:val="-3"/>
          <w:w w:val="110"/>
        </w:rPr>
        <w:t> </w:t>
      </w:r>
      <w:r>
        <w:rPr>
          <w:w w:val="110"/>
        </w:rPr>
        <w:t>the</w:t>
      </w:r>
      <w:r>
        <w:rPr>
          <w:spacing w:val="-3"/>
          <w:w w:val="110"/>
        </w:rPr>
        <w:t> </w:t>
      </w:r>
      <w:r>
        <w:rPr>
          <w:w w:val="110"/>
        </w:rPr>
        <w:t>Annex</w:t>
      </w:r>
      <w:r>
        <w:rPr>
          <w:spacing w:val="-3"/>
          <w:w w:val="110"/>
        </w:rPr>
        <w:t> </w:t>
      </w:r>
      <w:r>
        <w:rPr/>
        <w:t>1</w:t>
      </w:r>
    </w:p>
    <w:p>
      <w:pPr>
        <w:pStyle w:val="BodyText"/>
        <w:spacing w:line="268" w:lineRule="auto" w:before="2"/>
        <w:ind w:right="151"/>
      </w:pPr>
      <w:r>
        <w:rPr>
          <w:w w:val="110"/>
        </w:rPr>
        <w:t>Directives,</w:t>
      </w:r>
      <w:r>
        <w:rPr>
          <w:spacing w:val="-18"/>
          <w:w w:val="110"/>
        </w:rPr>
        <w:t> </w:t>
      </w:r>
      <w:r>
        <w:rPr>
          <w:w w:val="110"/>
        </w:rPr>
        <w:t>however,</w:t>
      </w:r>
      <w:r>
        <w:rPr>
          <w:spacing w:val="-18"/>
          <w:w w:val="110"/>
        </w:rPr>
        <w:t> </w:t>
      </w:r>
      <w:r>
        <w:rPr>
          <w:w w:val="110"/>
        </w:rPr>
        <w:t>the</w:t>
      </w:r>
      <w:r>
        <w:rPr>
          <w:spacing w:val="-18"/>
          <w:w w:val="110"/>
        </w:rPr>
        <w:t> </w:t>
      </w:r>
      <w:r>
        <w:rPr>
          <w:w w:val="110"/>
        </w:rPr>
        <w:t>consequences of any distinction drawn between measures made applicable and measures merely referenced in the</w:t>
      </w:r>
      <w:r>
        <w:rPr>
          <w:spacing w:val="80"/>
          <w:w w:val="110"/>
        </w:rPr>
        <w:t> </w:t>
      </w:r>
      <w:r>
        <w:rPr>
          <w:w w:val="110"/>
        </w:rPr>
        <w:t>WA are largely academic. This follows from the fact that, even if the Annex </w:t>
      </w:r>
      <w:r>
        <w:rPr/>
        <w:t>1 </w:t>
      </w:r>
      <w:r>
        <w:rPr>
          <w:w w:val="110"/>
        </w:rPr>
        <w:t>Directives themselves are not directly</w:t>
      </w:r>
    </w:p>
    <w:p>
      <w:pPr>
        <w:pStyle w:val="BodyText"/>
        <w:spacing w:line="327" w:lineRule="exact"/>
        <w:rPr>
          <w:rFonts w:ascii="Lucida Sans Unicode"/>
        </w:rPr>
      </w:pPr>
      <w:r>
        <w:rPr>
          <w:rFonts w:ascii="Lucida Sans Unicode"/>
          <w:spacing w:val="-2"/>
          <w:w w:val="105"/>
        </w:rPr>
        <w:t>effective</w:t>
      </w:r>
      <w:r>
        <w:rPr>
          <w:rFonts w:ascii="Lucida Sans Unicode"/>
          <w:spacing w:val="-13"/>
          <w:w w:val="105"/>
        </w:rPr>
        <w:t> </w:t>
      </w:r>
      <w:r>
        <w:rPr>
          <w:rFonts w:ascii="Lucida Sans Unicode"/>
          <w:spacing w:val="-2"/>
          <w:w w:val="105"/>
        </w:rPr>
        <w:t>within</w:t>
      </w:r>
      <w:r>
        <w:rPr>
          <w:rFonts w:ascii="Lucida Sans Unicode"/>
          <w:spacing w:val="-12"/>
          <w:w w:val="105"/>
        </w:rPr>
        <w:t> </w:t>
      </w:r>
      <w:r>
        <w:rPr>
          <w:rFonts w:ascii="Lucida Sans Unicode"/>
          <w:spacing w:val="-2"/>
          <w:w w:val="105"/>
        </w:rPr>
        <w:t>NI</w:t>
      </w:r>
      <w:r>
        <w:rPr>
          <w:rFonts w:ascii="Lucida Sans Unicode"/>
          <w:spacing w:val="-13"/>
          <w:w w:val="105"/>
        </w:rPr>
        <w:t> </w:t>
      </w:r>
      <w:r>
        <w:rPr>
          <w:rFonts w:ascii="Lucida Sans Unicode"/>
          <w:spacing w:val="-2"/>
          <w:w w:val="105"/>
        </w:rPr>
        <w:t>law,</w:t>
      </w:r>
      <w:r>
        <w:rPr>
          <w:rFonts w:ascii="Lucida Sans Unicode"/>
          <w:spacing w:val="-12"/>
          <w:w w:val="105"/>
        </w:rPr>
        <w:t> </w:t>
      </w:r>
      <w:r>
        <w:rPr>
          <w:rFonts w:ascii="Lucida Sans Unicode"/>
          <w:spacing w:val="-2"/>
          <w:w w:val="105"/>
        </w:rPr>
        <w:t>Article</w:t>
      </w:r>
      <w:r>
        <w:rPr>
          <w:rFonts w:ascii="Lucida Sans Unicode"/>
          <w:spacing w:val="-12"/>
          <w:w w:val="105"/>
        </w:rPr>
        <w:t> </w:t>
      </w:r>
      <w:r>
        <w:rPr>
          <w:rFonts w:ascii="Lucida Sans Unicode"/>
          <w:spacing w:val="-10"/>
          <w:w w:val="105"/>
        </w:rPr>
        <w:t>2</w:t>
      </w:r>
    </w:p>
    <w:p>
      <w:pPr>
        <w:pStyle w:val="BodyText"/>
        <w:spacing w:line="230" w:lineRule="auto"/>
        <w:ind w:right="318"/>
      </w:pPr>
      <w:r>
        <w:rPr>
          <w:w w:val="110"/>
        </w:rPr>
        <w:t>Windsor Framework does have </w:t>
      </w:r>
      <w:r>
        <w:rPr>
          <w:w w:val="110"/>
        </w:rPr>
        <w:t>direct </w:t>
      </w:r>
      <w:r>
        <w:rPr>
          <w:rFonts w:ascii="Lucida Sans Unicode" w:hAnsi="Lucida Sans Unicode"/>
        </w:rPr>
        <w:t>effect. It follows from Article 4 (1)</w:t>
      </w:r>
      <w:r>
        <w:rPr>
          <w:rFonts w:ascii="Lucida Sans Unicode" w:hAnsi="Lucida Sans Unicode"/>
          <w:spacing w:val="80"/>
          <w:w w:val="110"/>
        </w:rPr>
        <w:t> </w:t>
      </w:r>
      <w:r>
        <w:rPr>
          <w:w w:val="110"/>
        </w:rPr>
        <w:t>WA that EU law remedies – notably </w:t>
      </w:r>
      <w:r>
        <w:rPr>
          <w:rFonts w:ascii="Lucida Sans Unicode" w:hAnsi="Lucida Sans Unicode"/>
        </w:rPr>
        <w:t>the remedy of disapplication flowing </w:t>
      </w:r>
      <w:r>
        <w:rPr>
          <w:w w:val="110"/>
        </w:rPr>
        <w:t>from the principle of primacy – apply</w:t>
      </w:r>
    </w:p>
    <w:p>
      <w:pPr>
        <w:pStyle w:val="BodyText"/>
        <w:spacing w:before="37"/>
      </w:pPr>
      <w:r>
        <w:rPr>
          <w:w w:val="115"/>
        </w:rPr>
        <w:t>if</w:t>
      </w:r>
      <w:r>
        <w:rPr>
          <w:spacing w:val="-6"/>
          <w:w w:val="115"/>
        </w:rPr>
        <w:t> </w:t>
      </w:r>
      <w:r>
        <w:rPr>
          <w:w w:val="115"/>
        </w:rPr>
        <w:t>the</w:t>
      </w:r>
      <w:r>
        <w:rPr>
          <w:spacing w:val="-6"/>
          <w:w w:val="115"/>
        </w:rPr>
        <w:t> </w:t>
      </w:r>
      <w:r>
        <w:rPr>
          <w:w w:val="115"/>
        </w:rPr>
        <w:t>UK</w:t>
      </w:r>
      <w:r>
        <w:rPr>
          <w:spacing w:val="-6"/>
          <w:w w:val="115"/>
        </w:rPr>
        <w:t> </w:t>
      </w:r>
      <w:r>
        <w:rPr>
          <w:w w:val="115"/>
        </w:rPr>
        <w:t>does</w:t>
      </w:r>
      <w:r>
        <w:rPr>
          <w:spacing w:val="-6"/>
          <w:w w:val="115"/>
        </w:rPr>
        <w:t> </w:t>
      </w:r>
      <w:r>
        <w:rPr>
          <w:w w:val="115"/>
        </w:rPr>
        <w:t>not</w:t>
      </w:r>
      <w:r>
        <w:rPr>
          <w:spacing w:val="-6"/>
          <w:w w:val="115"/>
        </w:rPr>
        <w:t> </w:t>
      </w:r>
      <w:r>
        <w:rPr>
          <w:w w:val="115"/>
        </w:rPr>
        <w:t>comply</w:t>
      </w:r>
      <w:r>
        <w:rPr>
          <w:spacing w:val="-6"/>
          <w:w w:val="115"/>
        </w:rPr>
        <w:t> </w:t>
      </w:r>
      <w:r>
        <w:rPr>
          <w:w w:val="115"/>
        </w:rPr>
        <w:t>with</w:t>
      </w:r>
      <w:r>
        <w:rPr>
          <w:spacing w:val="-6"/>
          <w:w w:val="115"/>
        </w:rPr>
        <w:t> </w:t>
      </w:r>
      <w:r>
        <w:rPr>
          <w:spacing w:val="-5"/>
          <w:w w:val="115"/>
        </w:rPr>
        <w:t>the</w:t>
      </w:r>
    </w:p>
    <w:p>
      <w:pPr>
        <w:spacing w:after="0"/>
        <w:sectPr>
          <w:type w:val="continuous"/>
          <w:pgSz w:w="11910" w:h="16840"/>
          <w:pgMar w:header="568" w:footer="580" w:top="0" w:bottom="280" w:left="1020" w:right="1020"/>
          <w:cols w:num="2" w:equalWidth="0">
            <w:col w:w="4719" w:space="327"/>
            <w:col w:w="4824"/>
          </w:cols>
        </w:sectPr>
      </w:pPr>
    </w:p>
    <w:p>
      <w:pPr>
        <w:pStyle w:val="BodyText"/>
        <w:spacing w:before="209"/>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129" name="Group 129"/>
                <wp:cNvGraphicFramePr>
                  <a:graphicFrameLocks/>
                </wp:cNvGraphicFramePr>
                <a:graphic>
                  <a:graphicData uri="http://schemas.microsoft.com/office/word/2010/wordprocessingGroup">
                    <wpg:wgp>
                      <wpg:cNvPr id="129" name="Group 129"/>
                      <wpg:cNvGrpSpPr/>
                      <wpg:grpSpPr>
                        <a:xfrm>
                          <a:off x="0" y="0"/>
                          <a:ext cx="6120130" cy="6350"/>
                          <a:chExt cx="6120130" cy="6350"/>
                        </a:xfrm>
                      </wpg:grpSpPr>
                      <wps:wsp>
                        <wps:cNvPr id="130" name="Graphic 130"/>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83"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5" w:val="left" w:leader="none"/>
          <w:tab w:pos="567" w:val="left" w:leader="none"/>
        </w:tabs>
        <w:spacing w:line="194" w:lineRule="auto" w:before="94" w:after="0"/>
        <w:ind w:left="567" w:right="652" w:hanging="454"/>
        <w:jc w:val="left"/>
        <w:rPr>
          <w:sz w:val="16"/>
        </w:rPr>
      </w:pPr>
      <w:r>
        <w:rPr>
          <w:sz w:val="16"/>
        </w:rPr>
        <w:t>UK Government explainer (n 129), para 16; quote from Daniel Denman, ‘Article 2 Protocol on Ireland/Northern Ireland’ in: Thomas Liefländer; Manuel Kellerbauer; Eugenia Dumitiru-Segnana (eds.), The UK-EU Withdrawal Agreement: A Commentary, OUP 2022, para 8.17.</w:t>
      </w:r>
    </w:p>
    <w:p>
      <w:pPr>
        <w:pStyle w:val="ListParagraph"/>
        <w:numPr>
          <w:ilvl w:val="0"/>
          <w:numId w:val="6"/>
        </w:numPr>
        <w:tabs>
          <w:tab w:pos="565" w:val="left" w:leader="none"/>
          <w:tab w:pos="567" w:val="left" w:leader="none"/>
        </w:tabs>
        <w:spacing w:line="206" w:lineRule="auto" w:before="0" w:after="0"/>
        <w:ind w:left="567" w:right="360" w:hanging="454"/>
        <w:jc w:val="left"/>
        <w:rPr>
          <w:sz w:val="16"/>
        </w:rPr>
      </w:pPr>
      <w:r>
        <w:rPr>
          <w:spacing w:val="-2"/>
          <w:w w:val="105"/>
          <w:sz w:val="16"/>
        </w:rPr>
        <w:t>There</w:t>
      </w:r>
      <w:r>
        <w:rPr>
          <w:spacing w:val="-5"/>
          <w:w w:val="105"/>
          <w:sz w:val="16"/>
        </w:rPr>
        <w:t> </w:t>
      </w:r>
      <w:r>
        <w:rPr>
          <w:spacing w:val="-2"/>
          <w:w w:val="105"/>
          <w:sz w:val="16"/>
        </w:rPr>
        <w:t>is</w:t>
      </w:r>
      <w:r>
        <w:rPr>
          <w:spacing w:val="-5"/>
          <w:w w:val="105"/>
          <w:sz w:val="16"/>
        </w:rPr>
        <w:t> </w:t>
      </w:r>
      <w:r>
        <w:rPr>
          <w:spacing w:val="-2"/>
          <w:w w:val="105"/>
          <w:sz w:val="16"/>
        </w:rPr>
        <w:t>a</w:t>
      </w:r>
      <w:r>
        <w:rPr>
          <w:spacing w:val="-5"/>
          <w:w w:val="105"/>
          <w:sz w:val="16"/>
        </w:rPr>
        <w:t> </w:t>
      </w:r>
      <w:r>
        <w:rPr>
          <w:spacing w:val="-2"/>
          <w:w w:val="105"/>
          <w:sz w:val="16"/>
        </w:rPr>
        <w:t>further</w:t>
      </w:r>
      <w:r>
        <w:rPr>
          <w:spacing w:val="-5"/>
          <w:w w:val="105"/>
          <w:sz w:val="16"/>
        </w:rPr>
        <w:t> </w:t>
      </w:r>
      <w:r>
        <w:rPr>
          <w:spacing w:val="-2"/>
          <w:w w:val="105"/>
          <w:sz w:val="16"/>
        </w:rPr>
        <w:t>difference</w:t>
      </w:r>
      <w:r>
        <w:rPr>
          <w:spacing w:val="-5"/>
          <w:w w:val="105"/>
          <w:sz w:val="16"/>
        </w:rPr>
        <w:t> </w:t>
      </w:r>
      <w:r>
        <w:rPr>
          <w:spacing w:val="-2"/>
          <w:w w:val="105"/>
          <w:sz w:val="16"/>
        </w:rPr>
        <w:t>flowing</w:t>
      </w:r>
      <w:r>
        <w:rPr>
          <w:spacing w:val="-5"/>
          <w:w w:val="105"/>
          <w:sz w:val="16"/>
        </w:rPr>
        <w:t> </w:t>
      </w:r>
      <w:r>
        <w:rPr>
          <w:spacing w:val="-2"/>
          <w:w w:val="105"/>
          <w:sz w:val="16"/>
        </w:rPr>
        <w:t>from</w:t>
      </w:r>
      <w:r>
        <w:rPr>
          <w:spacing w:val="-5"/>
          <w:w w:val="105"/>
          <w:sz w:val="16"/>
        </w:rPr>
        <w:t> </w:t>
      </w:r>
      <w:r>
        <w:rPr>
          <w:spacing w:val="-2"/>
          <w:w w:val="105"/>
          <w:sz w:val="16"/>
        </w:rPr>
        <w:t>Article</w:t>
      </w:r>
      <w:r>
        <w:rPr>
          <w:spacing w:val="-5"/>
          <w:w w:val="105"/>
          <w:sz w:val="16"/>
        </w:rPr>
        <w:t> </w:t>
      </w:r>
      <w:r>
        <w:rPr>
          <w:spacing w:val="-2"/>
          <w:w w:val="105"/>
          <w:sz w:val="16"/>
        </w:rPr>
        <w:t>12</w:t>
      </w:r>
      <w:r>
        <w:rPr>
          <w:spacing w:val="-5"/>
          <w:w w:val="105"/>
          <w:sz w:val="16"/>
        </w:rPr>
        <w:t> </w:t>
      </w:r>
      <w:r>
        <w:rPr>
          <w:spacing w:val="-2"/>
          <w:w w:val="105"/>
          <w:sz w:val="16"/>
        </w:rPr>
        <w:t>(4)</w:t>
      </w:r>
      <w:r>
        <w:rPr>
          <w:spacing w:val="-5"/>
          <w:w w:val="105"/>
          <w:sz w:val="16"/>
        </w:rPr>
        <w:t> </w:t>
      </w:r>
      <w:r>
        <w:rPr>
          <w:spacing w:val="-2"/>
          <w:w w:val="105"/>
          <w:sz w:val="16"/>
        </w:rPr>
        <w:t>Windsor</w:t>
      </w:r>
      <w:r>
        <w:rPr>
          <w:spacing w:val="-5"/>
          <w:w w:val="105"/>
          <w:sz w:val="16"/>
        </w:rPr>
        <w:t> </w:t>
      </w:r>
      <w:r>
        <w:rPr>
          <w:spacing w:val="-2"/>
          <w:w w:val="105"/>
          <w:sz w:val="16"/>
        </w:rPr>
        <w:t>Framework,</w:t>
      </w:r>
      <w:r>
        <w:rPr>
          <w:spacing w:val="-5"/>
          <w:w w:val="105"/>
          <w:sz w:val="16"/>
        </w:rPr>
        <w:t> </w:t>
      </w:r>
      <w:r>
        <w:rPr>
          <w:spacing w:val="-2"/>
          <w:w w:val="105"/>
          <w:sz w:val="16"/>
        </w:rPr>
        <w:t>which</w:t>
      </w:r>
      <w:r>
        <w:rPr>
          <w:spacing w:val="-5"/>
          <w:w w:val="105"/>
          <w:sz w:val="16"/>
        </w:rPr>
        <w:t> </w:t>
      </w:r>
      <w:r>
        <w:rPr>
          <w:spacing w:val="-2"/>
          <w:w w:val="105"/>
          <w:sz w:val="16"/>
        </w:rPr>
        <w:t>gives</w:t>
      </w:r>
      <w:r>
        <w:rPr>
          <w:spacing w:val="-5"/>
          <w:w w:val="105"/>
          <w:sz w:val="16"/>
        </w:rPr>
        <w:t> </w:t>
      </w:r>
      <w:r>
        <w:rPr>
          <w:spacing w:val="-2"/>
          <w:w w:val="105"/>
          <w:sz w:val="16"/>
        </w:rPr>
        <w:t>the</w:t>
      </w:r>
      <w:r>
        <w:rPr>
          <w:spacing w:val="-5"/>
          <w:w w:val="105"/>
          <w:sz w:val="16"/>
        </w:rPr>
        <w:t> </w:t>
      </w:r>
      <w:r>
        <w:rPr>
          <w:spacing w:val="-2"/>
          <w:w w:val="105"/>
          <w:sz w:val="16"/>
        </w:rPr>
        <w:t>EU</w:t>
      </w:r>
      <w:r>
        <w:rPr>
          <w:spacing w:val="-5"/>
          <w:w w:val="105"/>
          <w:sz w:val="16"/>
        </w:rPr>
        <w:t> </w:t>
      </w:r>
      <w:r>
        <w:rPr>
          <w:spacing w:val="-2"/>
          <w:w w:val="105"/>
          <w:sz w:val="16"/>
        </w:rPr>
        <w:t>institutions</w:t>
      </w:r>
      <w:r>
        <w:rPr>
          <w:spacing w:val="-5"/>
          <w:w w:val="105"/>
          <w:sz w:val="16"/>
        </w:rPr>
        <w:t> </w:t>
      </w:r>
      <w:r>
        <w:rPr>
          <w:spacing w:val="-2"/>
          <w:w w:val="105"/>
          <w:sz w:val="16"/>
        </w:rPr>
        <w:t>(etc) </w:t>
      </w:r>
      <w:r>
        <w:rPr>
          <w:w w:val="105"/>
          <w:sz w:val="16"/>
        </w:rPr>
        <w:t>their</w:t>
      </w:r>
      <w:r>
        <w:rPr>
          <w:spacing w:val="-3"/>
          <w:w w:val="105"/>
          <w:sz w:val="16"/>
        </w:rPr>
        <w:t> </w:t>
      </w:r>
      <w:r>
        <w:rPr>
          <w:w w:val="105"/>
          <w:sz w:val="16"/>
        </w:rPr>
        <w:t>EU</w:t>
      </w:r>
      <w:r>
        <w:rPr>
          <w:spacing w:val="-3"/>
          <w:w w:val="105"/>
          <w:sz w:val="16"/>
        </w:rPr>
        <w:t> </w:t>
      </w:r>
      <w:r>
        <w:rPr>
          <w:w w:val="105"/>
          <w:sz w:val="16"/>
        </w:rPr>
        <w:t>law</w:t>
      </w:r>
      <w:r>
        <w:rPr>
          <w:spacing w:val="-3"/>
          <w:w w:val="105"/>
          <w:sz w:val="16"/>
        </w:rPr>
        <w:t> </w:t>
      </w:r>
      <w:r>
        <w:rPr>
          <w:w w:val="105"/>
          <w:sz w:val="16"/>
        </w:rPr>
        <w:t>powers</w:t>
      </w:r>
      <w:r>
        <w:rPr>
          <w:spacing w:val="-3"/>
          <w:w w:val="105"/>
          <w:sz w:val="16"/>
        </w:rPr>
        <w:t> </w:t>
      </w:r>
      <w:r>
        <w:rPr>
          <w:w w:val="105"/>
          <w:sz w:val="16"/>
        </w:rPr>
        <w:t>with</w:t>
      </w:r>
      <w:r>
        <w:rPr>
          <w:spacing w:val="-3"/>
          <w:w w:val="105"/>
          <w:sz w:val="16"/>
        </w:rPr>
        <w:t> </w:t>
      </w:r>
      <w:r>
        <w:rPr>
          <w:w w:val="105"/>
          <w:sz w:val="16"/>
        </w:rPr>
        <w:t>regard</w:t>
      </w:r>
      <w:r>
        <w:rPr>
          <w:spacing w:val="-3"/>
          <w:w w:val="105"/>
          <w:sz w:val="16"/>
        </w:rPr>
        <w:t> </w:t>
      </w:r>
      <w:r>
        <w:rPr>
          <w:w w:val="105"/>
          <w:sz w:val="16"/>
        </w:rPr>
        <w:t>to</w:t>
      </w:r>
      <w:r>
        <w:rPr>
          <w:spacing w:val="-3"/>
          <w:w w:val="105"/>
          <w:sz w:val="16"/>
        </w:rPr>
        <w:t> </w:t>
      </w:r>
      <w:r>
        <w:rPr>
          <w:w w:val="105"/>
          <w:sz w:val="16"/>
        </w:rPr>
        <w:t>Articles</w:t>
      </w:r>
      <w:r>
        <w:rPr>
          <w:spacing w:val="-3"/>
          <w:w w:val="105"/>
          <w:sz w:val="16"/>
        </w:rPr>
        <w:t> </w:t>
      </w:r>
      <w:r>
        <w:rPr>
          <w:w w:val="105"/>
          <w:sz w:val="16"/>
        </w:rPr>
        <w:t>5</w:t>
      </w:r>
      <w:r>
        <w:rPr>
          <w:spacing w:val="-3"/>
          <w:w w:val="105"/>
          <w:sz w:val="16"/>
        </w:rPr>
        <w:t> </w:t>
      </w:r>
      <w:r>
        <w:rPr>
          <w:w w:val="105"/>
          <w:sz w:val="16"/>
        </w:rPr>
        <w:t>and</w:t>
      </w:r>
      <w:r>
        <w:rPr>
          <w:spacing w:val="-3"/>
          <w:w w:val="105"/>
          <w:sz w:val="16"/>
        </w:rPr>
        <w:t> </w:t>
      </w:r>
      <w:r>
        <w:rPr>
          <w:w w:val="105"/>
          <w:sz w:val="16"/>
        </w:rPr>
        <w:t>7</w:t>
      </w:r>
      <w:r>
        <w:rPr>
          <w:spacing w:val="-3"/>
          <w:w w:val="105"/>
          <w:sz w:val="16"/>
        </w:rPr>
        <w:t> </w:t>
      </w:r>
      <w:r>
        <w:rPr>
          <w:w w:val="105"/>
          <w:sz w:val="16"/>
        </w:rPr>
        <w:t>to</w:t>
      </w:r>
      <w:r>
        <w:rPr>
          <w:spacing w:val="-3"/>
          <w:w w:val="105"/>
          <w:sz w:val="16"/>
        </w:rPr>
        <w:t> </w:t>
      </w:r>
      <w:r>
        <w:rPr>
          <w:w w:val="105"/>
          <w:sz w:val="16"/>
        </w:rPr>
        <w:t>10</w:t>
      </w:r>
      <w:r>
        <w:rPr>
          <w:spacing w:val="-3"/>
          <w:w w:val="105"/>
          <w:sz w:val="16"/>
        </w:rPr>
        <w:t> </w:t>
      </w:r>
      <w:r>
        <w:rPr>
          <w:w w:val="105"/>
          <w:sz w:val="16"/>
        </w:rPr>
        <w:t>Windsor</w:t>
      </w:r>
      <w:r>
        <w:rPr>
          <w:spacing w:val="-3"/>
          <w:w w:val="105"/>
          <w:sz w:val="16"/>
        </w:rPr>
        <w:t> </w:t>
      </w:r>
      <w:r>
        <w:rPr>
          <w:w w:val="105"/>
          <w:sz w:val="16"/>
        </w:rPr>
        <w:t>Framework.</w:t>
      </w:r>
      <w:r>
        <w:rPr>
          <w:spacing w:val="-3"/>
          <w:w w:val="105"/>
          <w:sz w:val="16"/>
        </w:rPr>
        <w:t> </w:t>
      </w:r>
      <w:r>
        <w:rPr>
          <w:w w:val="105"/>
          <w:sz w:val="16"/>
        </w:rPr>
        <w:t>Notably</w:t>
      </w:r>
      <w:r>
        <w:rPr>
          <w:spacing w:val="-3"/>
          <w:w w:val="105"/>
          <w:sz w:val="16"/>
        </w:rPr>
        <w:t> </w:t>
      </w:r>
      <w:r>
        <w:rPr>
          <w:w w:val="105"/>
          <w:sz w:val="16"/>
        </w:rPr>
        <w:t>the</w:t>
      </w:r>
      <w:r>
        <w:rPr>
          <w:spacing w:val="-3"/>
          <w:w w:val="105"/>
          <w:sz w:val="16"/>
        </w:rPr>
        <w:t> </w:t>
      </w:r>
      <w:r>
        <w:rPr>
          <w:w w:val="105"/>
          <w:sz w:val="16"/>
        </w:rPr>
        <w:t>Court</w:t>
      </w:r>
      <w:r>
        <w:rPr>
          <w:spacing w:val="-3"/>
          <w:w w:val="105"/>
          <w:sz w:val="16"/>
        </w:rPr>
        <w:t> </w:t>
      </w:r>
      <w:r>
        <w:rPr>
          <w:w w:val="105"/>
          <w:sz w:val="16"/>
        </w:rPr>
        <w:t>of</w:t>
      </w:r>
      <w:r>
        <w:rPr>
          <w:spacing w:val="-3"/>
          <w:w w:val="105"/>
          <w:sz w:val="16"/>
        </w:rPr>
        <w:t> </w:t>
      </w:r>
      <w:r>
        <w:rPr>
          <w:w w:val="105"/>
          <w:sz w:val="16"/>
        </w:rPr>
        <w:t>Justice</w:t>
      </w:r>
      <w:r>
        <w:rPr>
          <w:spacing w:val="-3"/>
          <w:w w:val="105"/>
          <w:sz w:val="16"/>
        </w:rPr>
        <w:t> </w:t>
      </w:r>
      <w:r>
        <w:rPr>
          <w:w w:val="105"/>
          <w:sz w:val="16"/>
        </w:rPr>
        <w:t>is </w:t>
      </w:r>
      <w:r>
        <w:rPr>
          <w:rFonts w:ascii="Arial"/>
          <w:w w:val="105"/>
          <w:sz w:val="16"/>
        </w:rPr>
        <w:t>given</w:t>
      </w:r>
      <w:r>
        <w:rPr>
          <w:rFonts w:ascii="Arial"/>
          <w:spacing w:val="40"/>
          <w:w w:val="105"/>
          <w:sz w:val="16"/>
        </w:rPr>
        <w:t> </w:t>
      </w:r>
      <w:r>
        <w:rPr>
          <w:rFonts w:ascii="Arial"/>
          <w:w w:val="105"/>
          <w:sz w:val="16"/>
        </w:rPr>
        <w:t>jurisdiction</w:t>
      </w:r>
      <w:r>
        <w:rPr>
          <w:rFonts w:ascii="Arial"/>
          <w:spacing w:val="40"/>
          <w:w w:val="105"/>
          <w:sz w:val="16"/>
        </w:rPr>
        <w:t> </w:t>
      </w:r>
      <w:r>
        <w:rPr>
          <w:rFonts w:ascii="Arial"/>
          <w:w w:val="105"/>
          <w:sz w:val="16"/>
        </w:rPr>
        <w:t>to</w:t>
      </w:r>
      <w:r>
        <w:rPr>
          <w:rFonts w:ascii="Arial"/>
          <w:spacing w:val="40"/>
          <w:w w:val="105"/>
          <w:sz w:val="16"/>
        </w:rPr>
        <w:t> </w:t>
      </w:r>
      <w:r>
        <w:rPr>
          <w:rFonts w:ascii="Arial"/>
          <w:w w:val="105"/>
          <w:sz w:val="16"/>
        </w:rPr>
        <w:t>hear</w:t>
      </w:r>
      <w:r>
        <w:rPr>
          <w:rFonts w:ascii="Arial"/>
          <w:spacing w:val="40"/>
          <w:w w:val="105"/>
          <w:sz w:val="16"/>
        </w:rPr>
        <w:t> </w:t>
      </w:r>
      <w:r>
        <w:rPr>
          <w:rFonts w:ascii="Arial"/>
          <w:w w:val="105"/>
          <w:sz w:val="16"/>
        </w:rPr>
        <w:t>preliminary</w:t>
      </w:r>
      <w:r>
        <w:rPr>
          <w:rFonts w:ascii="Arial"/>
          <w:spacing w:val="40"/>
          <w:w w:val="105"/>
          <w:sz w:val="16"/>
        </w:rPr>
        <w:t> </w:t>
      </w:r>
      <w:r>
        <w:rPr>
          <w:rFonts w:ascii="Arial"/>
          <w:w w:val="105"/>
          <w:sz w:val="16"/>
        </w:rPr>
        <w:t>references</w:t>
      </w:r>
      <w:r>
        <w:rPr>
          <w:rFonts w:ascii="Arial"/>
          <w:spacing w:val="40"/>
          <w:w w:val="105"/>
          <w:sz w:val="16"/>
        </w:rPr>
        <w:t> </w:t>
      </w:r>
      <w:r>
        <w:rPr>
          <w:rFonts w:ascii="Arial"/>
          <w:w w:val="105"/>
          <w:sz w:val="16"/>
        </w:rPr>
        <w:t>on</w:t>
      </w:r>
      <w:r>
        <w:rPr>
          <w:rFonts w:ascii="Arial"/>
          <w:spacing w:val="40"/>
          <w:w w:val="105"/>
          <w:sz w:val="16"/>
        </w:rPr>
        <w:t> </w:t>
      </w:r>
      <w:r>
        <w:rPr>
          <w:rFonts w:ascii="Arial"/>
          <w:w w:val="105"/>
          <w:sz w:val="16"/>
        </w:rPr>
        <w:t>these;</w:t>
      </w:r>
      <w:r>
        <w:rPr>
          <w:rFonts w:ascii="Arial"/>
          <w:spacing w:val="40"/>
          <w:w w:val="105"/>
          <w:sz w:val="16"/>
        </w:rPr>
        <w:t> </w:t>
      </w:r>
      <w:r>
        <w:rPr>
          <w:rFonts w:ascii="Arial"/>
          <w:w w:val="105"/>
          <w:sz w:val="16"/>
        </w:rPr>
        <w:t>and</w:t>
      </w:r>
      <w:r>
        <w:rPr>
          <w:rFonts w:ascii="Arial"/>
          <w:spacing w:val="40"/>
          <w:w w:val="105"/>
          <w:sz w:val="16"/>
        </w:rPr>
        <w:t> </w:t>
      </w:r>
      <w:r>
        <w:rPr>
          <w:rFonts w:ascii="Arial"/>
          <w:w w:val="105"/>
          <w:sz w:val="16"/>
        </w:rPr>
        <w:t>the</w:t>
      </w:r>
      <w:r>
        <w:rPr>
          <w:rFonts w:ascii="Arial"/>
          <w:spacing w:val="40"/>
          <w:w w:val="105"/>
          <w:sz w:val="16"/>
        </w:rPr>
        <w:t> </w:t>
      </w:r>
      <w:r>
        <w:rPr>
          <w:rFonts w:ascii="Arial"/>
          <w:w w:val="105"/>
          <w:sz w:val="16"/>
        </w:rPr>
        <w:t>Commission</w:t>
      </w:r>
      <w:r>
        <w:rPr>
          <w:rFonts w:ascii="Arial"/>
          <w:spacing w:val="40"/>
          <w:w w:val="105"/>
          <w:sz w:val="16"/>
        </w:rPr>
        <w:t> </w:t>
      </w:r>
      <w:r>
        <w:rPr>
          <w:rFonts w:ascii="Arial"/>
          <w:w w:val="105"/>
          <w:sz w:val="16"/>
        </w:rPr>
        <w:t>has</w:t>
      </w:r>
      <w:r>
        <w:rPr>
          <w:rFonts w:ascii="Arial"/>
          <w:spacing w:val="40"/>
          <w:w w:val="105"/>
          <w:sz w:val="16"/>
        </w:rPr>
        <w:t> </w:t>
      </w:r>
      <w:r>
        <w:rPr>
          <w:rFonts w:ascii="Arial"/>
          <w:w w:val="105"/>
          <w:sz w:val="16"/>
        </w:rPr>
        <w:t>enforcement</w:t>
      </w:r>
      <w:r>
        <w:rPr>
          <w:rFonts w:ascii="Arial"/>
          <w:spacing w:val="40"/>
          <w:w w:val="105"/>
          <w:sz w:val="16"/>
        </w:rPr>
        <w:t> </w:t>
      </w:r>
      <w:r>
        <w:rPr>
          <w:rFonts w:ascii="Arial"/>
          <w:w w:val="105"/>
          <w:sz w:val="16"/>
        </w:rPr>
        <w:t>powers</w:t>
      </w:r>
      <w:r>
        <w:rPr>
          <w:rFonts w:ascii="Arial"/>
          <w:spacing w:val="40"/>
          <w:w w:val="105"/>
          <w:sz w:val="16"/>
        </w:rPr>
        <w:t> </w:t>
      </w:r>
      <w:r>
        <w:rPr>
          <w:rFonts w:ascii="Arial"/>
          <w:w w:val="105"/>
          <w:sz w:val="16"/>
        </w:rPr>
        <w:t>(Article</w:t>
      </w:r>
    </w:p>
    <w:p>
      <w:pPr>
        <w:spacing w:line="235" w:lineRule="auto" w:before="0"/>
        <w:ind w:left="567" w:right="141" w:firstLine="0"/>
        <w:jc w:val="left"/>
        <w:rPr>
          <w:rFonts w:ascii="Lucida Sans Unicode"/>
          <w:sz w:val="16"/>
        </w:rPr>
      </w:pPr>
      <w:r>
        <w:rPr>
          <w:rFonts w:ascii="Lucida Sans Unicode"/>
          <w:sz w:val="16"/>
        </w:rPr>
        <w:t>258 TFEU) in their regard. No mention is made of Article 2 Windsor Framework in this respect, which means in </w:t>
      </w:r>
      <w:r>
        <w:rPr>
          <w:w w:val="110"/>
          <w:sz w:val="16"/>
        </w:rPr>
        <w:t>particular</w:t>
      </w:r>
      <w:r>
        <w:rPr>
          <w:spacing w:val="17"/>
          <w:w w:val="110"/>
          <w:sz w:val="16"/>
        </w:rPr>
        <w:t> </w:t>
      </w:r>
      <w:r>
        <w:rPr>
          <w:w w:val="110"/>
          <w:sz w:val="16"/>
        </w:rPr>
        <w:t>that</w:t>
      </w:r>
      <w:r>
        <w:rPr>
          <w:spacing w:val="17"/>
          <w:w w:val="110"/>
          <w:sz w:val="16"/>
        </w:rPr>
        <w:t> </w:t>
      </w:r>
      <w:r>
        <w:rPr>
          <w:w w:val="110"/>
          <w:sz w:val="16"/>
        </w:rPr>
        <w:t>there</w:t>
      </w:r>
      <w:r>
        <w:rPr>
          <w:spacing w:val="17"/>
          <w:w w:val="110"/>
          <w:sz w:val="16"/>
        </w:rPr>
        <w:t> </w:t>
      </w:r>
      <w:r>
        <w:rPr>
          <w:w w:val="110"/>
          <w:sz w:val="16"/>
        </w:rPr>
        <w:t>is</w:t>
      </w:r>
      <w:r>
        <w:rPr>
          <w:spacing w:val="17"/>
          <w:w w:val="110"/>
          <w:sz w:val="16"/>
        </w:rPr>
        <w:t> </w:t>
      </w:r>
      <w:r>
        <w:rPr>
          <w:w w:val="110"/>
          <w:sz w:val="16"/>
        </w:rPr>
        <w:t>no</w:t>
      </w:r>
      <w:r>
        <w:rPr>
          <w:spacing w:val="17"/>
          <w:w w:val="110"/>
          <w:sz w:val="16"/>
        </w:rPr>
        <w:t> </w:t>
      </w:r>
      <w:r>
        <w:rPr>
          <w:w w:val="110"/>
          <w:sz w:val="16"/>
        </w:rPr>
        <w:t>preliminary</w:t>
      </w:r>
      <w:r>
        <w:rPr>
          <w:spacing w:val="17"/>
          <w:w w:val="110"/>
          <w:sz w:val="16"/>
        </w:rPr>
        <w:t> </w:t>
      </w:r>
      <w:r>
        <w:rPr>
          <w:w w:val="110"/>
          <w:sz w:val="16"/>
        </w:rPr>
        <w:t>reference</w:t>
      </w:r>
      <w:r>
        <w:rPr>
          <w:spacing w:val="17"/>
          <w:w w:val="110"/>
          <w:sz w:val="16"/>
        </w:rPr>
        <w:t> </w:t>
      </w:r>
      <w:r>
        <w:rPr>
          <w:w w:val="110"/>
          <w:sz w:val="16"/>
        </w:rPr>
        <w:t>possible</w:t>
      </w:r>
      <w:r>
        <w:rPr>
          <w:spacing w:val="17"/>
          <w:w w:val="110"/>
          <w:sz w:val="16"/>
        </w:rPr>
        <w:t> </w:t>
      </w:r>
      <w:r>
        <w:rPr>
          <w:w w:val="110"/>
          <w:sz w:val="16"/>
        </w:rPr>
        <w:t>from</w:t>
      </w:r>
      <w:r>
        <w:rPr>
          <w:spacing w:val="17"/>
          <w:w w:val="110"/>
          <w:sz w:val="16"/>
        </w:rPr>
        <w:t> </w:t>
      </w:r>
      <w:r>
        <w:rPr>
          <w:w w:val="110"/>
          <w:sz w:val="16"/>
        </w:rPr>
        <w:t>the</w:t>
      </w:r>
      <w:r>
        <w:rPr>
          <w:spacing w:val="17"/>
          <w:w w:val="110"/>
          <w:sz w:val="16"/>
        </w:rPr>
        <w:t> </w:t>
      </w:r>
      <w:r>
        <w:rPr>
          <w:w w:val="110"/>
          <w:sz w:val="16"/>
        </w:rPr>
        <w:t>Northern</w:t>
      </w:r>
      <w:r>
        <w:rPr>
          <w:spacing w:val="17"/>
          <w:w w:val="110"/>
          <w:sz w:val="16"/>
        </w:rPr>
        <w:t> </w:t>
      </w:r>
      <w:r>
        <w:rPr>
          <w:w w:val="110"/>
          <w:sz w:val="16"/>
        </w:rPr>
        <w:t>Ireland</w:t>
      </w:r>
      <w:r>
        <w:rPr>
          <w:spacing w:val="17"/>
          <w:w w:val="110"/>
          <w:sz w:val="16"/>
        </w:rPr>
        <w:t> </w:t>
      </w:r>
      <w:r>
        <w:rPr>
          <w:w w:val="110"/>
          <w:sz w:val="16"/>
        </w:rPr>
        <w:t>courts</w:t>
      </w:r>
      <w:r>
        <w:rPr>
          <w:spacing w:val="17"/>
          <w:w w:val="110"/>
          <w:sz w:val="16"/>
        </w:rPr>
        <w:t> </w:t>
      </w:r>
      <w:r>
        <w:rPr>
          <w:w w:val="110"/>
          <w:sz w:val="16"/>
        </w:rPr>
        <w:t>to</w:t>
      </w:r>
      <w:r>
        <w:rPr>
          <w:spacing w:val="17"/>
          <w:w w:val="110"/>
          <w:sz w:val="16"/>
        </w:rPr>
        <w:t> </w:t>
      </w:r>
      <w:r>
        <w:rPr>
          <w:w w:val="110"/>
          <w:sz w:val="16"/>
        </w:rPr>
        <w:t>the</w:t>
      </w:r>
      <w:r>
        <w:rPr>
          <w:spacing w:val="17"/>
          <w:w w:val="110"/>
          <w:sz w:val="16"/>
        </w:rPr>
        <w:t> </w:t>
      </w:r>
      <w:r>
        <w:rPr>
          <w:w w:val="110"/>
          <w:sz w:val="16"/>
        </w:rPr>
        <w:t>CJEU</w:t>
      </w:r>
      <w:r>
        <w:rPr>
          <w:spacing w:val="17"/>
          <w:w w:val="110"/>
          <w:sz w:val="16"/>
        </w:rPr>
        <w:t> </w:t>
      </w:r>
      <w:r>
        <w:rPr>
          <w:w w:val="110"/>
          <w:sz w:val="16"/>
        </w:rPr>
        <w:t>with</w:t>
      </w:r>
      <w:r>
        <w:rPr>
          <w:spacing w:val="17"/>
          <w:w w:val="110"/>
          <w:sz w:val="16"/>
        </w:rPr>
        <w:t> </w:t>
      </w:r>
      <w:r>
        <w:rPr>
          <w:w w:val="110"/>
          <w:sz w:val="16"/>
        </w:rPr>
        <w:t>regard to</w:t>
      </w:r>
      <w:r>
        <w:rPr>
          <w:spacing w:val="17"/>
          <w:w w:val="110"/>
          <w:sz w:val="16"/>
        </w:rPr>
        <w:t> </w:t>
      </w:r>
      <w:r>
        <w:rPr>
          <w:w w:val="110"/>
          <w:sz w:val="16"/>
        </w:rPr>
        <w:t>the</w:t>
      </w:r>
      <w:r>
        <w:rPr>
          <w:spacing w:val="17"/>
          <w:w w:val="110"/>
          <w:sz w:val="16"/>
        </w:rPr>
        <w:t> </w:t>
      </w:r>
      <w:r>
        <w:rPr>
          <w:w w:val="110"/>
          <w:sz w:val="16"/>
        </w:rPr>
        <w:t>Annex</w:t>
      </w:r>
      <w:r>
        <w:rPr>
          <w:spacing w:val="17"/>
          <w:w w:val="110"/>
          <w:sz w:val="16"/>
        </w:rPr>
        <w:t> </w:t>
      </w:r>
      <w:r>
        <w:rPr>
          <w:sz w:val="16"/>
        </w:rPr>
        <w:t>1</w:t>
      </w:r>
      <w:r>
        <w:rPr>
          <w:spacing w:val="17"/>
          <w:w w:val="110"/>
          <w:sz w:val="16"/>
        </w:rPr>
        <w:t> </w:t>
      </w:r>
      <w:r>
        <w:rPr>
          <w:w w:val="110"/>
          <w:sz w:val="16"/>
        </w:rPr>
        <w:t>Directives.</w:t>
      </w:r>
      <w:r>
        <w:rPr>
          <w:spacing w:val="17"/>
          <w:w w:val="110"/>
          <w:sz w:val="16"/>
        </w:rPr>
        <w:t> </w:t>
      </w:r>
      <w:r>
        <w:rPr>
          <w:w w:val="110"/>
          <w:sz w:val="16"/>
        </w:rPr>
        <w:t>The</w:t>
      </w:r>
      <w:r>
        <w:rPr>
          <w:spacing w:val="17"/>
          <w:w w:val="110"/>
          <w:sz w:val="16"/>
        </w:rPr>
        <w:t> </w:t>
      </w:r>
      <w:r>
        <w:rPr>
          <w:w w:val="110"/>
          <w:sz w:val="16"/>
        </w:rPr>
        <w:t>fact</w:t>
      </w:r>
      <w:r>
        <w:rPr>
          <w:spacing w:val="17"/>
          <w:w w:val="110"/>
          <w:sz w:val="16"/>
        </w:rPr>
        <w:t> </w:t>
      </w:r>
      <w:r>
        <w:rPr>
          <w:w w:val="110"/>
          <w:sz w:val="16"/>
        </w:rPr>
        <w:t>that</w:t>
      </w:r>
      <w:r>
        <w:rPr>
          <w:spacing w:val="17"/>
          <w:w w:val="110"/>
          <w:sz w:val="16"/>
        </w:rPr>
        <w:t> </w:t>
      </w:r>
      <w:r>
        <w:rPr>
          <w:w w:val="110"/>
          <w:sz w:val="16"/>
        </w:rPr>
        <w:t>there</w:t>
      </w:r>
      <w:r>
        <w:rPr>
          <w:spacing w:val="17"/>
          <w:w w:val="110"/>
          <w:sz w:val="16"/>
        </w:rPr>
        <w:t> </w:t>
      </w:r>
      <w:r>
        <w:rPr>
          <w:w w:val="110"/>
          <w:sz w:val="16"/>
        </w:rPr>
        <w:t>is</w:t>
      </w:r>
      <w:r>
        <w:rPr>
          <w:spacing w:val="17"/>
          <w:w w:val="110"/>
          <w:sz w:val="16"/>
        </w:rPr>
        <w:t> </w:t>
      </w:r>
      <w:r>
        <w:rPr>
          <w:w w:val="110"/>
          <w:sz w:val="16"/>
        </w:rPr>
        <w:t>no</w:t>
      </w:r>
      <w:r>
        <w:rPr>
          <w:spacing w:val="17"/>
          <w:w w:val="110"/>
          <w:sz w:val="16"/>
        </w:rPr>
        <w:t> </w:t>
      </w:r>
      <w:r>
        <w:rPr>
          <w:w w:val="110"/>
          <w:sz w:val="16"/>
        </w:rPr>
        <w:t>option</w:t>
      </w:r>
      <w:r>
        <w:rPr>
          <w:spacing w:val="17"/>
          <w:w w:val="110"/>
          <w:sz w:val="16"/>
        </w:rPr>
        <w:t> </w:t>
      </w:r>
      <w:r>
        <w:rPr>
          <w:w w:val="110"/>
          <w:sz w:val="16"/>
        </w:rPr>
        <w:t>of</w:t>
      </w:r>
      <w:r>
        <w:rPr>
          <w:spacing w:val="17"/>
          <w:w w:val="110"/>
          <w:sz w:val="16"/>
        </w:rPr>
        <w:t> </w:t>
      </w:r>
      <w:r>
        <w:rPr>
          <w:w w:val="110"/>
          <w:sz w:val="16"/>
        </w:rPr>
        <w:t>a</w:t>
      </w:r>
      <w:r>
        <w:rPr>
          <w:spacing w:val="17"/>
          <w:w w:val="110"/>
          <w:sz w:val="16"/>
        </w:rPr>
        <w:t> </w:t>
      </w:r>
      <w:r>
        <w:rPr>
          <w:w w:val="110"/>
          <w:sz w:val="16"/>
        </w:rPr>
        <w:t>preliminary</w:t>
      </w:r>
      <w:r>
        <w:rPr>
          <w:spacing w:val="17"/>
          <w:w w:val="110"/>
          <w:sz w:val="16"/>
        </w:rPr>
        <w:t> </w:t>
      </w:r>
      <w:r>
        <w:rPr>
          <w:w w:val="110"/>
          <w:sz w:val="16"/>
        </w:rPr>
        <w:t>reference</w:t>
      </w:r>
      <w:r>
        <w:rPr>
          <w:spacing w:val="17"/>
          <w:w w:val="110"/>
          <w:sz w:val="16"/>
        </w:rPr>
        <w:t> </w:t>
      </w:r>
      <w:r>
        <w:rPr>
          <w:w w:val="110"/>
          <w:sz w:val="16"/>
        </w:rPr>
        <w:t>from</w:t>
      </w:r>
      <w:r>
        <w:rPr>
          <w:spacing w:val="17"/>
          <w:w w:val="110"/>
          <w:sz w:val="16"/>
        </w:rPr>
        <w:t> </w:t>
      </w:r>
      <w:r>
        <w:rPr>
          <w:w w:val="110"/>
          <w:sz w:val="16"/>
        </w:rPr>
        <w:t>the</w:t>
      </w:r>
      <w:r>
        <w:rPr>
          <w:spacing w:val="17"/>
          <w:w w:val="110"/>
          <w:sz w:val="16"/>
        </w:rPr>
        <w:t> </w:t>
      </w:r>
      <w:r>
        <w:rPr>
          <w:w w:val="110"/>
          <w:sz w:val="16"/>
        </w:rPr>
        <w:t>NI</w:t>
      </w:r>
      <w:r>
        <w:rPr>
          <w:spacing w:val="17"/>
          <w:w w:val="110"/>
          <w:sz w:val="16"/>
        </w:rPr>
        <w:t> </w:t>
      </w:r>
      <w:r>
        <w:rPr>
          <w:w w:val="110"/>
          <w:sz w:val="16"/>
        </w:rPr>
        <w:t>courts</w:t>
      </w:r>
      <w:r>
        <w:rPr>
          <w:spacing w:val="17"/>
          <w:w w:val="110"/>
          <w:sz w:val="16"/>
        </w:rPr>
        <w:t> </w:t>
      </w:r>
      <w:r>
        <w:rPr>
          <w:w w:val="110"/>
          <w:sz w:val="16"/>
        </w:rPr>
        <w:t>regarding </w:t>
      </w:r>
      <w:r>
        <w:rPr>
          <w:rFonts w:ascii="Lucida Sans Unicode"/>
          <w:sz w:val="16"/>
        </w:rPr>
        <w:t>the</w:t>
      </w:r>
      <w:r>
        <w:rPr>
          <w:rFonts w:ascii="Lucida Sans Unicode"/>
          <w:spacing w:val="9"/>
          <w:sz w:val="16"/>
        </w:rPr>
        <w:t> </w:t>
      </w:r>
      <w:r>
        <w:rPr>
          <w:rFonts w:ascii="Lucida Sans Unicode"/>
          <w:sz w:val="16"/>
        </w:rPr>
        <w:t>EU</w:t>
      </w:r>
      <w:r>
        <w:rPr>
          <w:rFonts w:ascii="Lucida Sans Unicode"/>
          <w:spacing w:val="9"/>
          <w:sz w:val="16"/>
        </w:rPr>
        <w:t> </w:t>
      </w:r>
      <w:r>
        <w:rPr>
          <w:rFonts w:ascii="Lucida Sans Unicode"/>
          <w:sz w:val="16"/>
        </w:rPr>
        <w:t>law</w:t>
      </w:r>
      <w:r>
        <w:rPr>
          <w:rFonts w:ascii="Lucida Sans Unicode"/>
          <w:spacing w:val="9"/>
          <w:sz w:val="16"/>
        </w:rPr>
        <w:t> </w:t>
      </w:r>
      <w:r>
        <w:rPr>
          <w:rFonts w:ascii="Lucida Sans Unicode"/>
          <w:sz w:val="16"/>
        </w:rPr>
        <w:t>obligations</w:t>
      </w:r>
      <w:r>
        <w:rPr>
          <w:rFonts w:ascii="Lucida Sans Unicode"/>
          <w:spacing w:val="9"/>
          <w:sz w:val="16"/>
        </w:rPr>
        <w:t> </w:t>
      </w:r>
      <w:r>
        <w:rPr>
          <w:rFonts w:ascii="Lucida Sans Unicode"/>
          <w:sz w:val="16"/>
        </w:rPr>
        <w:t>underpinning</w:t>
      </w:r>
      <w:r>
        <w:rPr>
          <w:rFonts w:ascii="Lucida Sans Unicode"/>
          <w:spacing w:val="9"/>
          <w:sz w:val="16"/>
        </w:rPr>
        <w:t> </w:t>
      </w:r>
      <w:r>
        <w:rPr>
          <w:rFonts w:ascii="Lucida Sans Unicode"/>
          <w:sz w:val="16"/>
        </w:rPr>
        <w:t>Article</w:t>
      </w:r>
      <w:r>
        <w:rPr>
          <w:rFonts w:ascii="Lucida Sans Unicode"/>
          <w:spacing w:val="9"/>
          <w:sz w:val="16"/>
        </w:rPr>
        <w:t> </w:t>
      </w:r>
      <w:r>
        <w:rPr>
          <w:rFonts w:ascii="Lucida Sans Unicode"/>
          <w:sz w:val="16"/>
        </w:rPr>
        <w:t>2</w:t>
      </w:r>
      <w:r>
        <w:rPr>
          <w:rFonts w:ascii="Lucida Sans Unicode"/>
          <w:spacing w:val="9"/>
          <w:sz w:val="16"/>
        </w:rPr>
        <w:t> </w:t>
      </w:r>
      <w:r>
        <w:rPr>
          <w:rFonts w:ascii="Lucida Sans Unicode"/>
          <w:sz w:val="16"/>
        </w:rPr>
        <w:t>WF</w:t>
      </w:r>
      <w:r>
        <w:rPr>
          <w:rFonts w:ascii="Lucida Sans Unicode"/>
          <w:spacing w:val="9"/>
          <w:sz w:val="16"/>
        </w:rPr>
        <w:t> </w:t>
      </w:r>
      <w:r>
        <w:rPr>
          <w:rFonts w:ascii="Lucida Sans Unicode"/>
          <w:sz w:val="16"/>
        </w:rPr>
        <w:t>does</w:t>
      </w:r>
      <w:r>
        <w:rPr>
          <w:rFonts w:ascii="Lucida Sans Unicode"/>
          <w:spacing w:val="9"/>
          <w:sz w:val="16"/>
        </w:rPr>
        <w:t> </w:t>
      </w:r>
      <w:r>
        <w:rPr>
          <w:rFonts w:ascii="Lucida Sans Unicode"/>
          <w:sz w:val="16"/>
        </w:rPr>
        <w:t>not</w:t>
      </w:r>
      <w:r>
        <w:rPr>
          <w:rFonts w:ascii="Lucida Sans Unicode"/>
          <w:spacing w:val="9"/>
          <w:sz w:val="16"/>
        </w:rPr>
        <w:t> </w:t>
      </w:r>
      <w:r>
        <w:rPr>
          <w:rFonts w:ascii="Lucida Sans Unicode"/>
          <w:sz w:val="16"/>
        </w:rPr>
        <w:t>mean</w:t>
      </w:r>
      <w:r>
        <w:rPr>
          <w:rFonts w:ascii="Lucida Sans Unicode"/>
          <w:spacing w:val="9"/>
          <w:sz w:val="16"/>
        </w:rPr>
        <w:t> </w:t>
      </w:r>
      <w:r>
        <w:rPr>
          <w:rFonts w:ascii="Lucida Sans Unicode"/>
          <w:sz w:val="16"/>
        </w:rPr>
        <w:t>that</w:t>
      </w:r>
      <w:r>
        <w:rPr>
          <w:rFonts w:ascii="Lucida Sans Unicode"/>
          <w:spacing w:val="9"/>
          <w:sz w:val="16"/>
        </w:rPr>
        <w:t> </w:t>
      </w:r>
      <w:r>
        <w:rPr>
          <w:rFonts w:ascii="Lucida Sans Unicode"/>
          <w:sz w:val="16"/>
        </w:rPr>
        <w:t>that</w:t>
      </w:r>
      <w:r>
        <w:rPr>
          <w:rFonts w:ascii="Lucida Sans Unicode"/>
          <w:spacing w:val="9"/>
          <w:sz w:val="16"/>
        </w:rPr>
        <w:t> </w:t>
      </w:r>
      <w:r>
        <w:rPr>
          <w:rFonts w:ascii="Lucida Sans Unicode"/>
          <w:sz w:val="16"/>
        </w:rPr>
        <w:t>these</w:t>
      </w:r>
      <w:r>
        <w:rPr>
          <w:rFonts w:ascii="Lucida Sans Unicode"/>
          <w:spacing w:val="9"/>
          <w:sz w:val="16"/>
        </w:rPr>
        <w:t> </w:t>
      </w:r>
      <w:r>
        <w:rPr>
          <w:rFonts w:ascii="Lucida Sans Unicode"/>
          <w:sz w:val="16"/>
        </w:rPr>
        <w:t>are</w:t>
      </w:r>
      <w:r>
        <w:rPr>
          <w:rFonts w:ascii="Lucida Sans Unicode"/>
          <w:spacing w:val="9"/>
          <w:sz w:val="16"/>
        </w:rPr>
        <w:t> </w:t>
      </w:r>
      <w:r>
        <w:rPr>
          <w:rFonts w:ascii="Lucida Sans Unicode"/>
          <w:sz w:val="16"/>
        </w:rPr>
        <w:t>not</w:t>
      </w:r>
      <w:r>
        <w:rPr>
          <w:rFonts w:ascii="Lucida Sans Unicode"/>
          <w:spacing w:val="9"/>
          <w:sz w:val="16"/>
        </w:rPr>
        <w:t> </w:t>
      </w:r>
      <w:r>
        <w:rPr>
          <w:rFonts w:ascii="Lucida Sans Unicode"/>
          <w:sz w:val="16"/>
        </w:rPr>
        <w:t>of</w:t>
      </w:r>
      <w:r>
        <w:rPr>
          <w:rFonts w:ascii="Lucida Sans Unicode"/>
          <w:spacing w:val="9"/>
          <w:sz w:val="16"/>
        </w:rPr>
        <w:t> </w:t>
      </w:r>
      <w:r>
        <w:rPr>
          <w:rFonts w:ascii="Lucida Sans Unicode"/>
          <w:sz w:val="16"/>
        </w:rPr>
        <w:t>an</w:t>
      </w:r>
      <w:r>
        <w:rPr>
          <w:rFonts w:ascii="Lucida Sans Unicode"/>
          <w:spacing w:val="9"/>
          <w:sz w:val="16"/>
        </w:rPr>
        <w:t> </w:t>
      </w:r>
      <w:r>
        <w:rPr>
          <w:rFonts w:ascii="Lucida Sans Unicode"/>
          <w:sz w:val="16"/>
        </w:rPr>
        <w:t>EU</w:t>
      </w:r>
      <w:r>
        <w:rPr>
          <w:rFonts w:ascii="Lucida Sans Unicode"/>
          <w:spacing w:val="9"/>
          <w:sz w:val="16"/>
        </w:rPr>
        <w:t> </w:t>
      </w:r>
      <w:r>
        <w:rPr>
          <w:rFonts w:ascii="Lucida Sans Unicode"/>
          <w:sz w:val="16"/>
        </w:rPr>
        <w:t>law</w:t>
      </w:r>
      <w:r>
        <w:rPr>
          <w:rFonts w:ascii="Lucida Sans Unicode"/>
          <w:spacing w:val="9"/>
          <w:sz w:val="16"/>
        </w:rPr>
        <w:t> </w:t>
      </w:r>
      <w:r>
        <w:rPr>
          <w:rFonts w:ascii="Lucida Sans Unicode"/>
          <w:sz w:val="16"/>
        </w:rPr>
        <w:t>nature</w:t>
      </w:r>
      <w:r>
        <w:rPr>
          <w:rFonts w:ascii="Lucida Sans Unicode"/>
          <w:spacing w:val="9"/>
          <w:sz w:val="16"/>
        </w:rPr>
        <w:t> </w:t>
      </w:r>
      <w:r>
        <w:rPr>
          <w:rFonts w:ascii="Lucida Sans Unicode"/>
          <w:sz w:val="16"/>
        </w:rPr>
        <w:t>either.</w:t>
      </w:r>
    </w:p>
    <w:p>
      <w:pPr>
        <w:spacing w:line="177" w:lineRule="exact" w:before="0"/>
        <w:ind w:left="567" w:right="0" w:firstLine="0"/>
        <w:jc w:val="left"/>
        <w:rPr>
          <w:rFonts w:ascii="Lucida Sans Unicode" w:hAnsi="Lucida Sans Unicode"/>
          <w:sz w:val="16"/>
        </w:rPr>
      </w:pPr>
      <w:r>
        <w:rPr>
          <w:rFonts w:ascii="Lucida Sans Unicode" w:hAnsi="Lucida Sans Unicode"/>
          <w:w w:val="105"/>
          <w:sz w:val="16"/>
        </w:rPr>
        <w:t>A</w:t>
      </w:r>
      <w:r>
        <w:rPr>
          <w:rFonts w:ascii="Lucida Sans Unicode" w:hAnsi="Lucida Sans Unicode"/>
          <w:spacing w:val="-5"/>
          <w:w w:val="105"/>
          <w:sz w:val="16"/>
        </w:rPr>
        <w:t> </w:t>
      </w:r>
      <w:r>
        <w:rPr>
          <w:rFonts w:ascii="Lucida Sans Unicode" w:hAnsi="Lucida Sans Unicode"/>
          <w:w w:val="105"/>
          <w:sz w:val="16"/>
        </w:rPr>
        <w:t>useful</w:t>
      </w:r>
      <w:r>
        <w:rPr>
          <w:rFonts w:ascii="Lucida Sans Unicode" w:hAnsi="Lucida Sans Unicode"/>
          <w:spacing w:val="-5"/>
          <w:w w:val="105"/>
          <w:sz w:val="16"/>
        </w:rPr>
        <w:t> </w:t>
      </w:r>
      <w:r>
        <w:rPr>
          <w:rFonts w:ascii="Lucida Sans Unicode" w:hAnsi="Lucida Sans Unicode"/>
          <w:w w:val="105"/>
          <w:sz w:val="16"/>
        </w:rPr>
        <w:t>analogy</w:t>
      </w:r>
      <w:r>
        <w:rPr>
          <w:rFonts w:ascii="Lucida Sans Unicode" w:hAnsi="Lucida Sans Unicode"/>
          <w:spacing w:val="-5"/>
          <w:w w:val="105"/>
          <w:sz w:val="16"/>
        </w:rPr>
        <w:t> </w:t>
      </w:r>
      <w:r>
        <w:rPr>
          <w:rFonts w:ascii="Lucida Sans Unicode" w:hAnsi="Lucida Sans Unicode"/>
          <w:w w:val="105"/>
          <w:sz w:val="16"/>
        </w:rPr>
        <w:t>can</w:t>
      </w:r>
      <w:r>
        <w:rPr>
          <w:rFonts w:ascii="Lucida Sans Unicode" w:hAnsi="Lucida Sans Unicode"/>
          <w:spacing w:val="-4"/>
          <w:w w:val="105"/>
          <w:sz w:val="16"/>
        </w:rPr>
        <w:t> </w:t>
      </w:r>
      <w:r>
        <w:rPr>
          <w:rFonts w:ascii="Lucida Sans Unicode" w:hAnsi="Lucida Sans Unicode"/>
          <w:w w:val="105"/>
          <w:sz w:val="16"/>
        </w:rPr>
        <w:t>be</w:t>
      </w:r>
      <w:r>
        <w:rPr>
          <w:rFonts w:ascii="Lucida Sans Unicode" w:hAnsi="Lucida Sans Unicode"/>
          <w:spacing w:val="-5"/>
          <w:w w:val="105"/>
          <w:sz w:val="16"/>
        </w:rPr>
        <w:t> </w:t>
      </w:r>
      <w:r>
        <w:rPr>
          <w:rFonts w:ascii="Lucida Sans Unicode" w:hAnsi="Lucida Sans Unicode"/>
          <w:w w:val="105"/>
          <w:sz w:val="16"/>
        </w:rPr>
        <w:t>made</w:t>
      </w:r>
      <w:r>
        <w:rPr>
          <w:rFonts w:ascii="Lucida Sans Unicode" w:hAnsi="Lucida Sans Unicode"/>
          <w:spacing w:val="-5"/>
          <w:w w:val="105"/>
          <w:sz w:val="16"/>
        </w:rPr>
        <w:t> </w:t>
      </w:r>
      <w:r>
        <w:rPr>
          <w:rFonts w:ascii="Lucida Sans Unicode" w:hAnsi="Lucida Sans Unicode"/>
          <w:w w:val="105"/>
          <w:sz w:val="16"/>
        </w:rPr>
        <w:t>here</w:t>
      </w:r>
      <w:r>
        <w:rPr>
          <w:rFonts w:ascii="Lucida Sans Unicode" w:hAnsi="Lucida Sans Unicode"/>
          <w:spacing w:val="-5"/>
          <w:w w:val="105"/>
          <w:sz w:val="16"/>
        </w:rPr>
        <w:t> </w:t>
      </w:r>
      <w:r>
        <w:rPr>
          <w:rFonts w:ascii="Lucida Sans Unicode" w:hAnsi="Lucida Sans Unicode"/>
          <w:w w:val="105"/>
          <w:sz w:val="16"/>
        </w:rPr>
        <w:t>with</w:t>
      </w:r>
      <w:r>
        <w:rPr>
          <w:rFonts w:ascii="Lucida Sans Unicode" w:hAnsi="Lucida Sans Unicode"/>
          <w:spacing w:val="-4"/>
          <w:w w:val="105"/>
          <w:sz w:val="16"/>
        </w:rPr>
        <w:t> </w:t>
      </w:r>
      <w:r>
        <w:rPr>
          <w:rFonts w:ascii="Lucida Sans Unicode" w:hAnsi="Lucida Sans Unicode"/>
          <w:w w:val="105"/>
          <w:sz w:val="16"/>
        </w:rPr>
        <w:t>the</w:t>
      </w:r>
      <w:r>
        <w:rPr>
          <w:rFonts w:ascii="Lucida Sans Unicode" w:hAnsi="Lucida Sans Unicode"/>
          <w:spacing w:val="-5"/>
          <w:w w:val="105"/>
          <w:sz w:val="16"/>
        </w:rPr>
        <w:t> </w:t>
      </w:r>
      <w:r>
        <w:rPr>
          <w:rFonts w:ascii="Lucida Sans Unicode" w:hAnsi="Lucida Sans Unicode"/>
          <w:w w:val="105"/>
          <w:sz w:val="16"/>
        </w:rPr>
        <w:t>EU’s</w:t>
      </w:r>
      <w:r>
        <w:rPr>
          <w:rFonts w:ascii="Lucida Sans Unicode" w:hAnsi="Lucida Sans Unicode"/>
          <w:spacing w:val="-5"/>
          <w:w w:val="105"/>
          <w:sz w:val="16"/>
        </w:rPr>
        <w:t> </w:t>
      </w:r>
      <w:r>
        <w:rPr>
          <w:rFonts w:ascii="Lucida Sans Unicode" w:hAnsi="Lucida Sans Unicode"/>
          <w:w w:val="105"/>
          <w:sz w:val="16"/>
        </w:rPr>
        <w:t>Area</w:t>
      </w:r>
      <w:r>
        <w:rPr>
          <w:rFonts w:ascii="Lucida Sans Unicode" w:hAnsi="Lucida Sans Unicode"/>
          <w:spacing w:val="-5"/>
          <w:w w:val="105"/>
          <w:sz w:val="16"/>
        </w:rPr>
        <w:t> </w:t>
      </w:r>
      <w:r>
        <w:rPr>
          <w:rFonts w:ascii="Lucida Sans Unicode" w:hAnsi="Lucida Sans Unicode"/>
          <w:w w:val="105"/>
          <w:sz w:val="16"/>
        </w:rPr>
        <w:t>of</w:t>
      </w:r>
      <w:r>
        <w:rPr>
          <w:rFonts w:ascii="Lucida Sans Unicode" w:hAnsi="Lucida Sans Unicode"/>
          <w:spacing w:val="-4"/>
          <w:w w:val="105"/>
          <w:sz w:val="16"/>
        </w:rPr>
        <w:t> </w:t>
      </w:r>
      <w:r>
        <w:rPr>
          <w:rFonts w:ascii="Lucida Sans Unicode" w:hAnsi="Lucida Sans Unicode"/>
          <w:w w:val="105"/>
          <w:sz w:val="16"/>
        </w:rPr>
        <w:t>Freedom,</w:t>
      </w:r>
      <w:r>
        <w:rPr>
          <w:rFonts w:ascii="Lucida Sans Unicode" w:hAnsi="Lucida Sans Unicode"/>
          <w:spacing w:val="-5"/>
          <w:w w:val="105"/>
          <w:sz w:val="16"/>
        </w:rPr>
        <w:t> </w:t>
      </w:r>
      <w:r>
        <w:rPr>
          <w:rFonts w:ascii="Lucida Sans Unicode" w:hAnsi="Lucida Sans Unicode"/>
          <w:w w:val="105"/>
          <w:sz w:val="16"/>
        </w:rPr>
        <w:t>Security</w:t>
      </w:r>
      <w:r>
        <w:rPr>
          <w:rFonts w:ascii="Lucida Sans Unicode" w:hAnsi="Lucida Sans Unicode"/>
          <w:spacing w:val="-5"/>
          <w:w w:val="105"/>
          <w:sz w:val="16"/>
        </w:rPr>
        <w:t> </w:t>
      </w:r>
      <w:r>
        <w:rPr>
          <w:rFonts w:ascii="Lucida Sans Unicode" w:hAnsi="Lucida Sans Unicode"/>
          <w:w w:val="105"/>
          <w:sz w:val="16"/>
        </w:rPr>
        <w:t>and</w:t>
      </w:r>
      <w:r>
        <w:rPr>
          <w:rFonts w:ascii="Lucida Sans Unicode" w:hAnsi="Lucida Sans Unicode"/>
          <w:spacing w:val="-4"/>
          <w:w w:val="105"/>
          <w:sz w:val="16"/>
        </w:rPr>
        <w:t> </w:t>
      </w:r>
      <w:r>
        <w:rPr>
          <w:rFonts w:ascii="Lucida Sans Unicode" w:hAnsi="Lucida Sans Unicode"/>
          <w:w w:val="105"/>
          <w:sz w:val="16"/>
        </w:rPr>
        <w:t>Justice</w:t>
      </w:r>
      <w:r>
        <w:rPr>
          <w:rFonts w:ascii="Lucida Sans Unicode" w:hAnsi="Lucida Sans Unicode"/>
          <w:spacing w:val="-5"/>
          <w:w w:val="105"/>
          <w:sz w:val="16"/>
        </w:rPr>
        <w:t> </w:t>
      </w:r>
      <w:r>
        <w:rPr>
          <w:rFonts w:ascii="Lucida Sans Unicode" w:hAnsi="Lucida Sans Unicode"/>
          <w:w w:val="105"/>
          <w:sz w:val="16"/>
        </w:rPr>
        <w:t>(AFSJ).</w:t>
      </w:r>
      <w:r>
        <w:rPr>
          <w:rFonts w:ascii="Lucida Sans Unicode" w:hAnsi="Lucida Sans Unicode"/>
          <w:spacing w:val="-5"/>
          <w:w w:val="105"/>
          <w:sz w:val="16"/>
        </w:rPr>
        <w:t> </w:t>
      </w:r>
      <w:r>
        <w:rPr>
          <w:rFonts w:ascii="Lucida Sans Unicode" w:hAnsi="Lucida Sans Unicode"/>
          <w:w w:val="105"/>
          <w:sz w:val="16"/>
        </w:rPr>
        <w:t>Until</w:t>
      </w:r>
      <w:r>
        <w:rPr>
          <w:rFonts w:ascii="Lucida Sans Unicode" w:hAnsi="Lucida Sans Unicode"/>
          <w:spacing w:val="-5"/>
          <w:w w:val="105"/>
          <w:sz w:val="16"/>
        </w:rPr>
        <w:t> </w:t>
      </w:r>
      <w:r>
        <w:rPr>
          <w:rFonts w:ascii="Lucida Sans Unicode" w:hAnsi="Lucida Sans Unicode"/>
          <w:w w:val="105"/>
          <w:sz w:val="16"/>
        </w:rPr>
        <w:t>the</w:t>
      </w:r>
      <w:r>
        <w:rPr>
          <w:rFonts w:ascii="Lucida Sans Unicode" w:hAnsi="Lucida Sans Unicode"/>
          <w:spacing w:val="-4"/>
          <w:w w:val="105"/>
          <w:sz w:val="16"/>
        </w:rPr>
        <w:t> </w:t>
      </w:r>
      <w:r>
        <w:rPr>
          <w:rFonts w:ascii="Lucida Sans Unicode" w:hAnsi="Lucida Sans Unicode"/>
          <w:spacing w:val="-2"/>
          <w:w w:val="105"/>
          <w:sz w:val="16"/>
        </w:rPr>
        <w:t>expiry</w:t>
      </w:r>
    </w:p>
    <w:p>
      <w:pPr>
        <w:spacing w:line="204" w:lineRule="auto" w:before="0"/>
        <w:ind w:left="567" w:right="43" w:firstLine="0"/>
        <w:jc w:val="left"/>
        <w:rPr>
          <w:rFonts w:ascii="Lucida Sans Unicode" w:hAnsi="Lucida Sans Unicode"/>
          <w:sz w:val="16"/>
        </w:rPr>
      </w:pPr>
      <w:r>
        <w:rPr>
          <w:rFonts w:ascii="Lucida Sans Unicode" w:hAnsi="Lucida Sans Unicode"/>
          <w:sz w:val="16"/>
        </w:rPr>
        <w:t>of</w:t>
      </w:r>
      <w:r>
        <w:rPr>
          <w:rFonts w:ascii="Lucida Sans Unicode" w:hAnsi="Lucida Sans Unicode"/>
          <w:spacing w:val="14"/>
          <w:sz w:val="16"/>
        </w:rPr>
        <w:t> </w:t>
      </w:r>
      <w:r>
        <w:rPr>
          <w:rFonts w:ascii="Lucida Sans Unicode" w:hAnsi="Lucida Sans Unicode"/>
          <w:sz w:val="16"/>
        </w:rPr>
        <w:t>a</w:t>
      </w:r>
      <w:r>
        <w:rPr>
          <w:rFonts w:ascii="Lucida Sans Unicode" w:hAnsi="Lucida Sans Unicode"/>
          <w:spacing w:val="14"/>
          <w:sz w:val="16"/>
        </w:rPr>
        <w:t> </w:t>
      </w:r>
      <w:r>
        <w:rPr>
          <w:rFonts w:ascii="Lucida Sans Unicode" w:hAnsi="Lucida Sans Unicode"/>
          <w:sz w:val="16"/>
        </w:rPr>
        <w:t>five-year</w:t>
      </w:r>
      <w:r>
        <w:rPr>
          <w:rFonts w:ascii="Lucida Sans Unicode" w:hAnsi="Lucida Sans Unicode"/>
          <w:spacing w:val="14"/>
          <w:sz w:val="16"/>
        </w:rPr>
        <w:t> </w:t>
      </w:r>
      <w:r>
        <w:rPr>
          <w:rFonts w:ascii="Lucida Sans Unicode" w:hAnsi="Lucida Sans Unicode"/>
          <w:sz w:val="16"/>
        </w:rPr>
        <w:t>period</w:t>
      </w:r>
      <w:r>
        <w:rPr>
          <w:rFonts w:ascii="Lucida Sans Unicode" w:hAnsi="Lucida Sans Unicode"/>
          <w:spacing w:val="14"/>
          <w:sz w:val="16"/>
        </w:rPr>
        <w:t> </w:t>
      </w:r>
      <w:r>
        <w:rPr>
          <w:rFonts w:ascii="Lucida Sans Unicode" w:hAnsi="Lucida Sans Unicode"/>
          <w:sz w:val="16"/>
        </w:rPr>
        <w:t>since</w:t>
      </w:r>
      <w:r>
        <w:rPr>
          <w:rFonts w:ascii="Lucida Sans Unicode" w:hAnsi="Lucida Sans Unicode"/>
          <w:spacing w:val="14"/>
          <w:sz w:val="16"/>
        </w:rPr>
        <w:t> </w:t>
      </w:r>
      <w:r>
        <w:rPr>
          <w:rFonts w:ascii="Lucida Sans Unicode" w:hAnsi="Lucida Sans Unicode"/>
          <w:sz w:val="16"/>
        </w:rPr>
        <w:t>the</w:t>
      </w:r>
      <w:r>
        <w:rPr>
          <w:rFonts w:ascii="Lucida Sans Unicode" w:hAnsi="Lucida Sans Unicode"/>
          <w:spacing w:val="14"/>
          <w:sz w:val="16"/>
        </w:rPr>
        <w:t> </w:t>
      </w:r>
      <w:r>
        <w:rPr>
          <w:rFonts w:ascii="Lucida Sans Unicode" w:hAnsi="Lucida Sans Unicode"/>
          <w:sz w:val="16"/>
        </w:rPr>
        <w:t>introduction</w:t>
      </w:r>
      <w:r>
        <w:rPr>
          <w:rFonts w:ascii="Lucida Sans Unicode" w:hAnsi="Lucida Sans Unicode"/>
          <w:spacing w:val="14"/>
          <w:sz w:val="16"/>
        </w:rPr>
        <w:t> </w:t>
      </w:r>
      <w:r>
        <w:rPr>
          <w:rFonts w:ascii="Lucida Sans Unicode" w:hAnsi="Lucida Sans Unicode"/>
          <w:sz w:val="16"/>
        </w:rPr>
        <w:t>of</w:t>
      </w:r>
      <w:r>
        <w:rPr>
          <w:rFonts w:ascii="Lucida Sans Unicode" w:hAnsi="Lucida Sans Unicode"/>
          <w:spacing w:val="14"/>
          <w:sz w:val="16"/>
        </w:rPr>
        <w:t> </w:t>
      </w:r>
      <w:r>
        <w:rPr>
          <w:rFonts w:ascii="Lucida Sans Unicode" w:hAnsi="Lucida Sans Unicode"/>
          <w:sz w:val="16"/>
        </w:rPr>
        <w:t>the</w:t>
      </w:r>
      <w:r>
        <w:rPr>
          <w:rFonts w:ascii="Lucida Sans Unicode" w:hAnsi="Lucida Sans Unicode"/>
          <w:spacing w:val="14"/>
          <w:sz w:val="16"/>
        </w:rPr>
        <w:t> </w:t>
      </w:r>
      <w:r>
        <w:rPr>
          <w:rFonts w:ascii="Lucida Sans Unicode" w:hAnsi="Lucida Sans Unicode"/>
          <w:sz w:val="16"/>
        </w:rPr>
        <w:t>Lisbon</w:t>
      </w:r>
      <w:r>
        <w:rPr>
          <w:rFonts w:ascii="Lucida Sans Unicode" w:hAnsi="Lucida Sans Unicode"/>
          <w:spacing w:val="14"/>
          <w:sz w:val="16"/>
        </w:rPr>
        <w:t> </w:t>
      </w:r>
      <w:r>
        <w:rPr>
          <w:rFonts w:ascii="Lucida Sans Unicode" w:hAnsi="Lucida Sans Unicode"/>
          <w:sz w:val="16"/>
        </w:rPr>
        <w:t>Treaty,</w:t>
      </w:r>
      <w:r>
        <w:rPr>
          <w:rFonts w:ascii="Lucida Sans Unicode" w:hAnsi="Lucida Sans Unicode"/>
          <w:spacing w:val="14"/>
          <w:sz w:val="16"/>
        </w:rPr>
        <w:t> </w:t>
      </w:r>
      <w:r>
        <w:rPr>
          <w:rFonts w:ascii="Lucida Sans Unicode" w:hAnsi="Lucida Sans Unicode"/>
          <w:sz w:val="16"/>
        </w:rPr>
        <w:t>Member</w:t>
      </w:r>
      <w:r>
        <w:rPr>
          <w:rFonts w:ascii="Lucida Sans Unicode" w:hAnsi="Lucida Sans Unicode"/>
          <w:spacing w:val="14"/>
          <w:sz w:val="16"/>
        </w:rPr>
        <w:t> </w:t>
      </w:r>
      <w:r>
        <w:rPr>
          <w:rFonts w:ascii="Lucida Sans Unicode" w:hAnsi="Lucida Sans Unicode"/>
          <w:sz w:val="16"/>
        </w:rPr>
        <w:t>States</w:t>
      </w:r>
      <w:r>
        <w:rPr>
          <w:rFonts w:ascii="Lucida Sans Unicode" w:hAnsi="Lucida Sans Unicode"/>
          <w:spacing w:val="14"/>
          <w:sz w:val="16"/>
        </w:rPr>
        <w:t> </w:t>
      </w:r>
      <w:r>
        <w:rPr>
          <w:rFonts w:ascii="Lucida Sans Unicode" w:hAnsi="Lucida Sans Unicode"/>
          <w:sz w:val="16"/>
        </w:rPr>
        <w:t>had</w:t>
      </w:r>
      <w:r>
        <w:rPr>
          <w:rFonts w:ascii="Lucida Sans Unicode" w:hAnsi="Lucida Sans Unicode"/>
          <w:spacing w:val="14"/>
          <w:sz w:val="16"/>
        </w:rPr>
        <w:t> </w:t>
      </w:r>
      <w:r>
        <w:rPr>
          <w:rFonts w:ascii="Lucida Sans Unicode" w:hAnsi="Lucida Sans Unicode"/>
          <w:sz w:val="16"/>
        </w:rPr>
        <w:t>to</w:t>
      </w:r>
      <w:r>
        <w:rPr>
          <w:rFonts w:ascii="Lucida Sans Unicode" w:hAnsi="Lucida Sans Unicode"/>
          <w:spacing w:val="14"/>
          <w:sz w:val="16"/>
        </w:rPr>
        <w:t> </w:t>
      </w:r>
      <w:r>
        <w:rPr>
          <w:rFonts w:ascii="Lucida Sans Unicode" w:hAnsi="Lucida Sans Unicode"/>
          <w:sz w:val="16"/>
        </w:rPr>
        <w:t>opt</w:t>
      </w:r>
      <w:r>
        <w:rPr>
          <w:rFonts w:ascii="Lucida Sans Unicode" w:hAnsi="Lucida Sans Unicode"/>
          <w:spacing w:val="14"/>
          <w:sz w:val="16"/>
        </w:rPr>
        <w:t> </w:t>
      </w:r>
      <w:r>
        <w:rPr>
          <w:rFonts w:ascii="Lucida Sans Unicode" w:hAnsi="Lucida Sans Unicode"/>
          <w:sz w:val="16"/>
        </w:rPr>
        <w:t>into</w:t>
      </w:r>
      <w:r>
        <w:rPr>
          <w:rFonts w:ascii="Lucida Sans Unicode" w:hAnsi="Lucida Sans Unicode"/>
          <w:spacing w:val="14"/>
          <w:sz w:val="16"/>
        </w:rPr>
        <w:t> </w:t>
      </w:r>
      <w:r>
        <w:rPr>
          <w:rFonts w:ascii="Lucida Sans Unicode" w:hAnsi="Lucida Sans Unicode"/>
          <w:sz w:val="16"/>
        </w:rPr>
        <w:t>the</w:t>
      </w:r>
      <w:r>
        <w:rPr>
          <w:rFonts w:ascii="Lucida Sans Unicode" w:hAnsi="Lucida Sans Unicode"/>
          <w:spacing w:val="14"/>
          <w:sz w:val="16"/>
        </w:rPr>
        <w:t> </w:t>
      </w:r>
      <w:r>
        <w:rPr>
          <w:rFonts w:ascii="Lucida Sans Unicode" w:hAnsi="Lucida Sans Unicode"/>
          <w:sz w:val="16"/>
        </w:rPr>
        <w:t>jurisdiction</w:t>
      </w:r>
      <w:r>
        <w:rPr>
          <w:rFonts w:ascii="Lucida Sans Unicode" w:hAnsi="Lucida Sans Unicode"/>
          <w:spacing w:val="14"/>
          <w:sz w:val="16"/>
        </w:rPr>
        <w:t> </w:t>
      </w:r>
      <w:r>
        <w:rPr>
          <w:rFonts w:ascii="Lucida Sans Unicode" w:hAnsi="Lucida Sans Unicode"/>
          <w:sz w:val="16"/>
        </w:rPr>
        <w:t>of the</w:t>
      </w:r>
      <w:r>
        <w:rPr>
          <w:rFonts w:ascii="Lucida Sans Unicode" w:hAnsi="Lucida Sans Unicode"/>
          <w:spacing w:val="27"/>
          <w:sz w:val="16"/>
        </w:rPr>
        <w:t> </w:t>
      </w:r>
      <w:r>
        <w:rPr>
          <w:rFonts w:ascii="Lucida Sans Unicode" w:hAnsi="Lucida Sans Unicode"/>
          <w:sz w:val="16"/>
        </w:rPr>
        <w:t>CJEU</w:t>
      </w:r>
      <w:r>
        <w:rPr>
          <w:rFonts w:ascii="Lucida Sans Unicode" w:hAnsi="Lucida Sans Unicode"/>
          <w:spacing w:val="27"/>
          <w:sz w:val="16"/>
        </w:rPr>
        <w:t> </w:t>
      </w:r>
      <w:r>
        <w:rPr>
          <w:rFonts w:ascii="Lucida Sans Unicode" w:hAnsi="Lucida Sans Unicode"/>
          <w:sz w:val="16"/>
        </w:rPr>
        <w:t>in</w:t>
      </w:r>
      <w:r>
        <w:rPr>
          <w:rFonts w:ascii="Lucida Sans Unicode" w:hAnsi="Lucida Sans Unicode"/>
          <w:spacing w:val="27"/>
          <w:sz w:val="16"/>
        </w:rPr>
        <w:t> </w:t>
      </w:r>
      <w:r>
        <w:rPr>
          <w:rFonts w:ascii="Lucida Sans Unicode" w:hAnsi="Lucida Sans Unicode"/>
          <w:sz w:val="16"/>
        </w:rPr>
        <w:t>regard</w:t>
      </w:r>
      <w:r>
        <w:rPr>
          <w:rFonts w:ascii="Lucida Sans Unicode" w:hAnsi="Lucida Sans Unicode"/>
          <w:spacing w:val="27"/>
          <w:sz w:val="16"/>
        </w:rPr>
        <w:t> </w:t>
      </w:r>
      <w:r>
        <w:rPr>
          <w:rFonts w:ascii="Lucida Sans Unicode" w:hAnsi="Lucida Sans Unicode"/>
          <w:sz w:val="16"/>
        </w:rPr>
        <w:t>of</w:t>
      </w:r>
      <w:r>
        <w:rPr>
          <w:rFonts w:ascii="Lucida Sans Unicode" w:hAnsi="Lucida Sans Unicode"/>
          <w:spacing w:val="27"/>
          <w:sz w:val="16"/>
        </w:rPr>
        <w:t> </w:t>
      </w:r>
      <w:r>
        <w:rPr>
          <w:rFonts w:ascii="Lucida Sans Unicode" w:hAnsi="Lucida Sans Unicode"/>
          <w:sz w:val="16"/>
        </w:rPr>
        <w:t>AFSJ</w:t>
      </w:r>
      <w:r>
        <w:rPr>
          <w:rFonts w:ascii="Lucida Sans Unicode" w:hAnsi="Lucida Sans Unicode"/>
          <w:spacing w:val="27"/>
          <w:sz w:val="16"/>
        </w:rPr>
        <w:t> </w:t>
      </w:r>
      <w:r>
        <w:rPr>
          <w:rFonts w:ascii="Lucida Sans Unicode" w:hAnsi="Lucida Sans Unicode"/>
          <w:sz w:val="16"/>
        </w:rPr>
        <w:t>measures,</w:t>
      </w:r>
      <w:r>
        <w:rPr>
          <w:rFonts w:ascii="Lucida Sans Unicode" w:hAnsi="Lucida Sans Unicode"/>
          <w:spacing w:val="27"/>
          <w:sz w:val="16"/>
        </w:rPr>
        <w:t> </w:t>
      </w:r>
      <w:r>
        <w:rPr>
          <w:rFonts w:ascii="Lucida Sans Unicode" w:hAnsi="Lucida Sans Unicode"/>
          <w:sz w:val="16"/>
        </w:rPr>
        <w:t>such</w:t>
      </w:r>
      <w:r>
        <w:rPr>
          <w:rFonts w:ascii="Lucida Sans Unicode" w:hAnsi="Lucida Sans Unicode"/>
          <w:spacing w:val="27"/>
          <w:sz w:val="16"/>
        </w:rPr>
        <w:t> </w:t>
      </w:r>
      <w:r>
        <w:rPr>
          <w:rFonts w:ascii="Lucida Sans Unicode" w:hAnsi="Lucida Sans Unicode"/>
          <w:sz w:val="16"/>
        </w:rPr>
        <w:t>as</w:t>
      </w:r>
      <w:r>
        <w:rPr>
          <w:rFonts w:ascii="Lucida Sans Unicode" w:hAnsi="Lucida Sans Unicode"/>
          <w:spacing w:val="27"/>
          <w:sz w:val="16"/>
        </w:rPr>
        <w:t> </w:t>
      </w:r>
      <w:r>
        <w:rPr>
          <w:rFonts w:ascii="Lucida Sans Unicode" w:hAnsi="Lucida Sans Unicode"/>
          <w:sz w:val="16"/>
        </w:rPr>
        <w:t>the</w:t>
      </w:r>
      <w:r>
        <w:rPr>
          <w:rFonts w:ascii="Lucida Sans Unicode" w:hAnsi="Lucida Sans Unicode"/>
          <w:spacing w:val="27"/>
          <w:sz w:val="16"/>
        </w:rPr>
        <w:t> </w:t>
      </w:r>
      <w:r>
        <w:rPr>
          <w:rFonts w:ascii="Lucida Sans Unicode" w:hAnsi="Lucida Sans Unicode"/>
          <w:sz w:val="16"/>
        </w:rPr>
        <w:t>European</w:t>
      </w:r>
      <w:r>
        <w:rPr>
          <w:rFonts w:ascii="Lucida Sans Unicode" w:hAnsi="Lucida Sans Unicode"/>
          <w:spacing w:val="27"/>
          <w:sz w:val="16"/>
        </w:rPr>
        <w:t> </w:t>
      </w:r>
      <w:r>
        <w:rPr>
          <w:rFonts w:ascii="Lucida Sans Unicode" w:hAnsi="Lucida Sans Unicode"/>
          <w:sz w:val="16"/>
        </w:rPr>
        <w:t>Arrest</w:t>
      </w:r>
      <w:r>
        <w:rPr>
          <w:rFonts w:ascii="Lucida Sans Unicode" w:hAnsi="Lucida Sans Unicode"/>
          <w:spacing w:val="27"/>
          <w:sz w:val="16"/>
        </w:rPr>
        <w:t> </w:t>
      </w:r>
      <w:r>
        <w:rPr>
          <w:rFonts w:ascii="Lucida Sans Unicode" w:hAnsi="Lucida Sans Unicode"/>
          <w:sz w:val="16"/>
        </w:rPr>
        <w:t>Warrant</w:t>
      </w:r>
      <w:r>
        <w:rPr>
          <w:rFonts w:ascii="Lucida Sans Unicode" w:hAnsi="Lucida Sans Unicode"/>
          <w:spacing w:val="27"/>
          <w:sz w:val="16"/>
        </w:rPr>
        <w:t> </w:t>
      </w:r>
      <w:r>
        <w:rPr>
          <w:rFonts w:ascii="Lucida Sans Unicode" w:hAnsi="Lucida Sans Unicode"/>
          <w:sz w:val="16"/>
        </w:rPr>
        <w:t>(see</w:t>
      </w:r>
      <w:r>
        <w:rPr>
          <w:rFonts w:ascii="Lucida Sans Unicode" w:hAnsi="Lucida Sans Unicode"/>
          <w:spacing w:val="27"/>
          <w:sz w:val="16"/>
        </w:rPr>
        <w:t> </w:t>
      </w:r>
      <w:r>
        <w:rPr>
          <w:rFonts w:ascii="Lucida Sans Unicode" w:hAnsi="Lucida Sans Unicode"/>
          <w:sz w:val="16"/>
        </w:rPr>
        <w:t>Article</w:t>
      </w:r>
      <w:r>
        <w:rPr>
          <w:rFonts w:ascii="Lucida Sans Unicode" w:hAnsi="Lucida Sans Unicode"/>
          <w:spacing w:val="27"/>
          <w:sz w:val="16"/>
        </w:rPr>
        <w:t> </w:t>
      </w:r>
      <w:r>
        <w:rPr>
          <w:rFonts w:ascii="Lucida Sans Unicode" w:hAnsi="Lucida Sans Unicode"/>
          <w:sz w:val="16"/>
        </w:rPr>
        <w:t>35</w:t>
      </w:r>
      <w:r>
        <w:rPr>
          <w:rFonts w:ascii="Lucida Sans Unicode" w:hAnsi="Lucida Sans Unicode"/>
          <w:spacing w:val="27"/>
          <w:sz w:val="16"/>
        </w:rPr>
        <w:t> </w:t>
      </w:r>
      <w:r>
        <w:rPr>
          <w:rFonts w:ascii="Lucida Sans Unicode" w:hAnsi="Lucida Sans Unicode"/>
          <w:sz w:val="16"/>
        </w:rPr>
        <w:t>Treaty</w:t>
      </w:r>
      <w:r>
        <w:rPr>
          <w:rFonts w:ascii="Lucida Sans Unicode" w:hAnsi="Lucida Sans Unicode"/>
          <w:spacing w:val="27"/>
          <w:sz w:val="16"/>
        </w:rPr>
        <w:t> </w:t>
      </w:r>
      <w:r>
        <w:rPr>
          <w:rFonts w:ascii="Lucida Sans Unicode" w:hAnsi="Lucida Sans Unicode"/>
          <w:sz w:val="16"/>
        </w:rPr>
        <w:t>on</w:t>
      </w:r>
      <w:r>
        <w:rPr>
          <w:rFonts w:ascii="Lucida Sans Unicode" w:hAnsi="Lucida Sans Unicode"/>
          <w:spacing w:val="27"/>
          <w:sz w:val="16"/>
        </w:rPr>
        <w:t> </w:t>
      </w:r>
      <w:r>
        <w:rPr>
          <w:rFonts w:ascii="Lucida Sans Unicode" w:hAnsi="Lucida Sans Unicode"/>
          <w:sz w:val="16"/>
        </w:rPr>
        <w:t>European Union,</w:t>
      </w:r>
      <w:r>
        <w:rPr>
          <w:rFonts w:ascii="Lucida Sans Unicode" w:hAnsi="Lucida Sans Unicode"/>
          <w:spacing w:val="15"/>
          <w:sz w:val="16"/>
        </w:rPr>
        <w:t> </w:t>
      </w:r>
      <w:r>
        <w:rPr>
          <w:rFonts w:ascii="Lucida Sans Unicode" w:hAnsi="Lucida Sans Unicode"/>
          <w:sz w:val="16"/>
        </w:rPr>
        <w:t>Nice</w:t>
      </w:r>
      <w:r>
        <w:rPr>
          <w:rFonts w:ascii="Lucida Sans Unicode" w:hAnsi="Lucida Sans Unicode"/>
          <w:spacing w:val="15"/>
          <w:sz w:val="16"/>
        </w:rPr>
        <w:t> </w:t>
      </w:r>
      <w:r>
        <w:rPr>
          <w:rFonts w:ascii="Lucida Sans Unicode" w:hAnsi="Lucida Sans Unicode"/>
          <w:sz w:val="16"/>
        </w:rPr>
        <w:t>version).</w:t>
      </w:r>
      <w:r>
        <w:rPr>
          <w:rFonts w:ascii="Lucida Sans Unicode" w:hAnsi="Lucida Sans Unicode"/>
          <w:spacing w:val="15"/>
          <w:sz w:val="16"/>
        </w:rPr>
        <w:t> </w:t>
      </w:r>
      <w:r>
        <w:rPr>
          <w:rFonts w:ascii="Lucida Sans Unicode" w:hAnsi="Lucida Sans Unicode"/>
          <w:sz w:val="16"/>
        </w:rPr>
        <w:t>Where</w:t>
      </w:r>
      <w:r>
        <w:rPr>
          <w:rFonts w:ascii="Lucida Sans Unicode" w:hAnsi="Lucida Sans Unicode"/>
          <w:spacing w:val="15"/>
          <w:sz w:val="16"/>
        </w:rPr>
        <w:t> </w:t>
      </w:r>
      <w:r>
        <w:rPr>
          <w:rFonts w:ascii="Lucida Sans Unicode" w:hAnsi="Lucida Sans Unicode"/>
          <w:sz w:val="16"/>
        </w:rPr>
        <w:t>a</w:t>
      </w:r>
      <w:r>
        <w:rPr>
          <w:rFonts w:ascii="Lucida Sans Unicode" w:hAnsi="Lucida Sans Unicode"/>
          <w:spacing w:val="15"/>
          <w:sz w:val="16"/>
        </w:rPr>
        <w:t> </w:t>
      </w:r>
      <w:r>
        <w:rPr>
          <w:rFonts w:ascii="Lucida Sans Unicode" w:hAnsi="Lucida Sans Unicode"/>
          <w:sz w:val="16"/>
        </w:rPr>
        <w:t>Member</w:t>
      </w:r>
      <w:r>
        <w:rPr>
          <w:rFonts w:ascii="Lucida Sans Unicode" w:hAnsi="Lucida Sans Unicode"/>
          <w:spacing w:val="15"/>
          <w:sz w:val="16"/>
        </w:rPr>
        <w:t> </w:t>
      </w:r>
      <w:r>
        <w:rPr>
          <w:rFonts w:ascii="Lucida Sans Unicode" w:hAnsi="Lucida Sans Unicode"/>
          <w:sz w:val="16"/>
        </w:rPr>
        <w:t>State</w:t>
      </w:r>
      <w:r>
        <w:rPr>
          <w:rFonts w:ascii="Lucida Sans Unicode" w:hAnsi="Lucida Sans Unicode"/>
          <w:spacing w:val="15"/>
          <w:sz w:val="16"/>
        </w:rPr>
        <w:t> </w:t>
      </w:r>
      <w:r>
        <w:rPr>
          <w:rFonts w:ascii="Lucida Sans Unicode" w:hAnsi="Lucida Sans Unicode"/>
          <w:sz w:val="16"/>
        </w:rPr>
        <w:t>had</w:t>
      </w:r>
      <w:r>
        <w:rPr>
          <w:rFonts w:ascii="Lucida Sans Unicode" w:hAnsi="Lucida Sans Unicode"/>
          <w:spacing w:val="15"/>
          <w:sz w:val="16"/>
        </w:rPr>
        <w:t> </w:t>
      </w:r>
      <w:r>
        <w:rPr>
          <w:rFonts w:ascii="Lucida Sans Unicode" w:hAnsi="Lucida Sans Unicode"/>
          <w:sz w:val="16"/>
        </w:rPr>
        <w:t>not</w:t>
      </w:r>
      <w:r>
        <w:rPr>
          <w:rFonts w:ascii="Lucida Sans Unicode" w:hAnsi="Lucida Sans Unicode"/>
          <w:spacing w:val="15"/>
          <w:sz w:val="16"/>
        </w:rPr>
        <w:t> </w:t>
      </w:r>
      <w:r>
        <w:rPr>
          <w:rFonts w:ascii="Lucida Sans Unicode" w:hAnsi="Lucida Sans Unicode"/>
          <w:sz w:val="16"/>
        </w:rPr>
        <w:t>done</w:t>
      </w:r>
      <w:r>
        <w:rPr>
          <w:rFonts w:ascii="Lucida Sans Unicode" w:hAnsi="Lucida Sans Unicode"/>
          <w:spacing w:val="15"/>
          <w:sz w:val="16"/>
        </w:rPr>
        <w:t> </w:t>
      </w:r>
      <w:r>
        <w:rPr>
          <w:rFonts w:ascii="Lucida Sans Unicode" w:hAnsi="Lucida Sans Unicode"/>
          <w:sz w:val="16"/>
        </w:rPr>
        <w:t>so</w:t>
      </w:r>
      <w:r>
        <w:rPr>
          <w:rFonts w:ascii="Lucida Sans Unicode" w:hAnsi="Lucida Sans Unicode"/>
          <w:spacing w:val="15"/>
          <w:sz w:val="16"/>
        </w:rPr>
        <w:t> </w:t>
      </w:r>
      <w:r>
        <w:rPr>
          <w:rFonts w:ascii="Lucida Sans Unicode" w:hAnsi="Lucida Sans Unicode"/>
          <w:sz w:val="16"/>
        </w:rPr>
        <w:t>–</w:t>
      </w:r>
      <w:r>
        <w:rPr>
          <w:rFonts w:ascii="Lucida Sans Unicode" w:hAnsi="Lucida Sans Unicode"/>
          <w:spacing w:val="15"/>
          <w:sz w:val="16"/>
        </w:rPr>
        <w:t> </w:t>
      </w:r>
      <w:r>
        <w:rPr>
          <w:rFonts w:ascii="Lucida Sans Unicode" w:hAnsi="Lucida Sans Unicode"/>
          <w:sz w:val="16"/>
        </w:rPr>
        <w:t>the</w:t>
      </w:r>
      <w:r>
        <w:rPr>
          <w:rFonts w:ascii="Lucida Sans Unicode" w:hAnsi="Lucida Sans Unicode"/>
          <w:spacing w:val="15"/>
          <w:sz w:val="16"/>
        </w:rPr>
        <w:t> </w:t>
      </w:r>
      <w:r>
        <w:rPr>
          <w:rFonts w:ascii="Lucida Sans Unicode" w:hAnsi="Lucida Sans Unicode"/>
          <w:sz w:val="16"/>
        </w:rPr>
        <w:t>UK</w:t>
      </w:r>
      <w:r>
        <w:rPr>
          <w:rFonts w:ascii="Lucida Sans Unicode" w:hAnsi="Lucida Sans Unicode"/>
          <w:spacing w:val="15"/>
          <w:sz w:val="16"/>
        </w:rPr>
        <w:t> </w:t>
      </w:r>
      <w:r>
        <w:rPr>
          <w:rFonts w:ascii="Lucida Sans Unicode" w:hAnsi="Lucida Sans Unicode"/>
          <w:sz w:val="16"/>
        </w:rPr>
        <w:t>being</w:t>
      </w:r>
      <w:r>
        <w:rPr>
          <w:rFonts w:ascii="Lucida Sans Unicode" w:hAnsi="Lucida Sans Unicode"/>
          <w:spacing w:val="15"/>
          <w:sz w:val="16"/>
        </w:rPr>
        <w:t> </w:t>
      </w:r>
      <w:r>
        <w:rPr>
          <w:rFonts w:ascii="Lucida Sans Unicode" w:hAnsi="Lucida Sans Unicode"/>
          <w:sz w:val="16"/>
        </w:rPr>
        <w:t>a</w:t>
      </w:r>
      <w:r>
        <w:rPr>
          <w:rFonts w:ascii="Lucida Sans Unicode" w:hAnsi="Lucida Sans Unicode"/>
          <w:spacing w:val="15"/>
          <w:sz w:val="16"/>
        </w:rPr>
        <w:t> </w:t>
      </w:r>
      <w:r>
        <w:rPr>
          <w:rFonts w:ascii="Lucida Sans Unicode" w:hAnsi="Lucida Sans Unicode"/>
          <w:sz w:val="16"/>
        </w:rPr>
        <w:t>case</w:t>
      </w:r>
      <w:r>
        <w:rPr>
          <w:rFonts w:ascii="Lucida Sans Unicode" w:hAnsi="Lucida Sans Unicode"/>
          <w:spacing w:val="15"/>
          <w:sz w:val="16"/>
        </w:rPr>
        <w:t> </w:t>
      </w:r>
      <w:r>
        <w:rPr>
          <w:rFonts w:ascii="Lucida Sans Unicode" w:hAnsi="Lucida Sans Unicode"/>
          <w:sz w:val="16"/>
        </w:rPr>
        <w:t>in</w:t>
      </w:r>
      <w:r>
        <w:rPr>
          <w:rFonts w:ascii="Lucida Sans Unicode" w:hAnsi="Lucida Sans Unicode"/>
          <w:spacing w:val="15"/>
          <w:sz w:val="16"/>
        </w:rPr>
        <w:t> </w:t>
      </w:r>
      <w:r>
        <w:rPr>
          <w:rFonts w:ascii="Lucida Sans Unicode" w:hAnsi="Lucida Sans Unicode"/>
          <w:sz w:val="16"/>
        </w:rPr>
        <w:t>point</w:t>
      </w:r>
      <w:r>
        <w:rPr>
          <w:rFonts w:ascii="Lucida Sans Unicode" w:hAnsi="Lucida Sans Unicode"/>
          <w:spacing w:val="15"/>
          <w:sz w:val="16"/>
        </w:rPr>
        <w:t> </w:t>
      </w:r>
      <w:r>
        <w:rPr>
          <w:rFonts w:ascii="Lucida Sans Unicode" w:hAnsi="Lucida Sans Unicode"/>
          <w:sz w:val="16"/>
        </w:rPr>
        <w:t>–</w:t>
      </w:r>
      <w:r>
        <w:rPr>
          <w:rFonts w:ascii="Lucida Sans Unicode" w:hAnsi="Lucida Sans Unicode"/>
          <w:spacing w:val="15"/>
          <w:sz w:val="16"/>
        </w:rPr>
        <w:t> </w:t>
      </w:r>
      <w:r>
        <w:rPr>
          <w:rFonts w:ascii="Lucida Sans Unicode" w:hAnsi="Lucida Sans Unicode"/>
          <w:sz w:val="16"/>
        </w:rPr>
        <w:t>the</w:t>
      </w:r>
      <w:r>
        <w:rPr>
          <w:rFonts w:ascii="Lucida Sans Unicode" w:hAnsi="Lucida Sans Unicode"/>
          <w:spacing w:val="15"/>
          <w:sz w:val="16"/>
        </w:rPr>
        <w:t> </w:t>
      </w:r>
      <w:r>
        <w:rPr>
          <w:rFonts w:ascii="Lucida Sans Unicode" w:hAnsi="Lucida Sans Unicode"/>
          <w:sz w:val="16"/>
        </w:rPr>
        <w:t>domestic</w:t>
      </w:r>
      <w:r>
        <w:rPr>
          <w:rFonts w:ascii="Lucida Sans Unicode" w:hAnsi="Lucida Sans Unicode"/>
          <w:spacing w:val="15"/>
          <w:sz w:val="16"/>
        </w:rPr>
        <w:t> </w:t>
      </w:r>
      <w:r>
        <w:rPr>
          <w:rFonts w:ascii="Lucida Sans Unicode" w:hAnsi="Lucida Sans Unicode"/>
          <w:sz w:val="16"/>
        </w:rPr>
        <w:t>courts had</w:t>
      </w:r>
      <w:r>
        <w:rPr>
          <w:rFonts w:ascii="Lucida Sans Unicode" w:hAnsi="Lucida Sans Unicode"/>
          <w:spacing w:val="21"/>
          <w:sz w:val="16"/>
        </w:rPr>
        <w:t> </w:t>
      </w:r>
      <w:r>
        <w:rPr>
          <w:rFonts w:ascii="Lucida Sans Unicode" w:hAnsi="Lucida Sans Unicode"/>
          <w:sz w:val="16"/>
        </w:rPr>
        <w:t>to</w:t>
      </w:r>
      <w:r>
        <w:rPr>
          <w:rFonts w:ascii="Lucida Sans Unicode" w:hAnsi="Lucida Sans Unicode"/>
          <w:spacing w:val="21"/>
          <w:sz w:val="16"/>
        </w:rPr>
        <w:t> </w:t>
      </w:r>
      <w:r>
        <w:rPr>
          <w:rFonts w:ascii="Lucida Sans Unicode" w:hAnsi="Lucida Sans Unicode"/>
          <w:sz w:val="16"/>
        </w:rPr>
        <w:t>interpret</w:t>
      </w:r>
      <w:r>
        <w:rPr>
          <w:rFonts w:ascii="Lucida Sans Unicode" w:hAnsi="Lucida Sans Unicode"/>
          <w:spacing w:val="21"/>
          <w:sz w:val="16"/>
        </w:rPr>
        <w:t> </w:t>
      </w:r>
      <w:r>
        <w:rPr>
          <w:rFonts w:ascii="Lucida Sans Unicode" w:hAnsi="Lucida Sans Unicode"/>
          <w:sz w:val="16"/>
        </w:rPr>
        <w:t>and</w:t>
      </w:r>
      <w:r>
        <w:rPr>
          <w:rFonts w:ascii="Lucida Sans Unicode" w:hAnsi="Lucida Sans Unicode"/>
          <w:spacing w:val="21"/>
          <w:sz w:val="16"/>
        </w:rPr>
        <w:t> </w:t>
      </w:r>
      <w:r>
        <w:rPr>
          <w:rFonts w:ascii="Lucida Sans Unicode" w:hAnsi="Lucida Sans Unicode"/>
          <w:sz w:val="16"/>
        </w:rPr>
        <w:t>apply</w:t>
      </w:r>
      <w:r>
        <w:rPr>
          <w:rFonts w:ascii="Lucida Sans Unicode" w:hAnsi="Lucida Sans Unicode"/>
          <w:spacing w:val="21"/>
          <w:sz w:val="16"/>
        </w:rPr>
        <w:t> </w:t>
      </w:r>
      <w:r>
        <w:rPr>
          <w:rFonts w:ascii="Lucida Sans Unicode" w:hAnsi="Lucida Sans Unicode"/>
          <w:sz w:val="16"/>
        </w:rPr>
        <w:t>AFSJ</w:t>
      </w:r>
      <w:r>
        <w:rPr>
          <w:rFonts w:ascii="Lucida Sans Unicode" w:hAnsi="Lucida Sans Unicode"/>
          <w:spacing w:val="21"/>
          <w:sz w:val="16"/>
        </w:rPr>
        <w:t> </w:t>
      </w:r>
      <w:r>
        <w:rPr>
          <w:rFonts w:ascii="Lucida Sans Unicode" w:hAnsi="Lucida Sans Unicode"/>
          <w:sz w:val="16"/>
        </w:rPr>
        <w:t>measures</w:t>
      </w:r>
      <w:r>
        <w:rPr>
          <w:rFonts w:ascii="Lucida Sans Unicode" w:hAnsi="Lucida Sans Unicode"/>
          <w:spacing w:val="21"/>
          <w:sz w:val="16"/>
        </w:rPr>
        <w:t> </w:t>
      </w:r>
      <w:r>
        <w:rPr>
          <w:rFonts w:ascii="Verdana" w:hAnsi="Verdana"/>
          <w:i/>
          <w:sz w:val="16"/>
        </w:rPr>
        <w:t>as EU law </w:t>
      </w:r>
      <w:r>
        <w:rPr>
          <w:sz w:val="16"/>
        </w:rPr>
        <w:t>off</w:t>
      </w:r>
      <w:r>
        <w:rPr>
          <w:spacing w:val="27"/>
          <w:sz w:val="16"/>
        </w:rPr>
        <w:t> </w:t>
      </w:r>
      <w:r>
        <w:rPr>
          <w:sz w:val="16"/>
        </w:rPr>
        <w:t>their</w:t>
      </w:r>
      <w:r>
        <w:rPr>
          <w:spacing w:val="27"/>
          <w:sz w:val="16"/>
        </w:rPr>
        <w:t> </w:t>
      </w:r>
      <w:r>
        <w:rPr>
          <w:sz w:val="16"/>
        </w:rPr>
        <w:t>own</w:t>
      </w:r>
      <w:r>
        <w:rPr>
          <w:spacing w:val="27"/>
          <w:sz w:val="16"/>
        </w:rPr>
        <w:t> </w:t>
      </w:r>
      <w:r>
        <w:rPr>
          <w:sz w:val="16"/>
        </w:rPr>
        <w:t>bat</w:t>
      </w:r>
      <w:r>
        <w:rPr>
          <w:spacing w:val="27"/>
          <w:sz w:val="16"/>
        </w:rPr>
        <w:t> </w:t>
      </w:r>
      <w:r>
        <w:rPr>
          <w:sz w:val="16"/>
        </w:rPr>
        <w:t>(as</w:t>
      </w:r>
      <w:r>
        <w:rPr>
          <w:spacing w:val="27"/>
          <w:sz w:val="16"/>
        </w:rPr>
        <w:t> </w:t>
      </w:r>
      <w:r>
        <w:rPr>
          <w:sz w:val="16"/>
        </w:rPr>
        <w:t>e.g.</w:t>
      </w:r>
      <w:r>
        <w:rPr>
          <w:spacing w:val="27"/>
          <w:sz w:val="16"/>
        </w:rPr>
        <w:t> </w:t>
      </w:r>
      <w:r>
        <w:rPr>
          <w:sz w:val="16"/>
        </w:rPr>
        <w:t>happened</w:t>
      </w:r>
      <w:r>
        <w:rPr>
          <w:spacing w:val="27"/>
          <w:sz w:val="16"/>
        </w:rPr>
        <w:t> </w:t>
      </w:r>
      <w:r>
        <w:rPr>
          <w:sz w:val="16"/>
        </w:rPr>
        <w:t>in</w:t>
      </w:r>
      <w:r>
        <w:rPr>
          <w:spacing w:val="27"/>
          <w:sz w:val="16"/>
        </w:rPr>
        <w:t> </w:t>
      </w:r>
      <w:r>
        <w:rPr>
          <w:rFonts w:ascii="Verdana" w:hAnsi="Verdana"/>
          <w:i/>
          <w:sz w:val="16"/>
        </w:rPr>
        <w:t>Assange v The Swedish</w:t>
      </w:r>
      <w:r>
        <w:rPr>
          <w:rFonts w:ascii="Verdana" w:hAnsi="Verdana"/>
          <w:i/>
          <w:sz w:val="16"/>
        </w:rPr>
        <w:t> Prosecution Authority </w:t>
      </w:r>
      <w:r>
        <w:rPr>
          <w:rFonts w:ascii="Lucida Sans Unicode" w:hAnsi="Lucida Sans Unicode"/>
          <w:sz w:val="16"/>
        </w:rPr>
        <w:t>[2012] UKSC 22. Moreover, there is the obligation of a preliminary reference to the CJEU </w:t>
      </w:r>
      <w:r>
        <w:rPr>
          <w:w w:val="110"/>
          <w:sz w:val="16"/>
        </w:rPr>
        <w:t>concerning Annex </w:t>
      </w:r>
      <w:r>
        <w:rPr>
          <w:w w:val="95"/>
          <w:sz w:val="16"/>
        </w:rPr>
        <w:t>1 </w:t>
      </w:r>
      <w:r>
        <w:rPr>
          <w:w w:val="110"/>
          <w:sz w:val="16"/>
        </w:rPr>
        <w:t>Directives in a dispute on a question of EU law before an arbitration panel set up under the WA, </w:t>
      </w:r>
      <w:r>
        <w:rPr>
          <w:rFonts w:ascii="Lucida Sans Unicode" w:hAnsi="Lucida Sans Unicode"/>
          <w:sz w:val="16"/>
        </w:rPr>
        <w:t>see Article 174 WA. It is therefore inaccurate to say that the CJEU has no jurisdiction over Annex 1 Directives.</w:t>
      </w:r>
    </w:p>
    <w:p>
      <w:pPr>
        <w:pStyle w:val="ListParagraph"/>
        <w:numPr>
          <w:ilvl w:val="0"/>
          <w:numId w:val="6"/>
        </w:numPr>
        <w:tabs>
          <w:tab w:pos="567" w:val="left" w:leader="none"/>
        </w:tabs>
        <w:spacing w:line="194" w:lineRule="auto" w:before="0" w:after="0"/>
        <w:ind w:left="567" w:right="155" w:hanging="454"/>
        <w:jc w:val="left"/>
        <w:rPr>
          <w:sz w:val="16"/>
        </w:rPr>
      </w:pPr>
      <w:r>
        <w:rPr>
          <w:sz w:val="16"/>
        </w:rPr>
        <w:t>See, in chronological order, </w:t>
      </w:r>
      <w:r>
        <w:rPr>
          <w:rFonts w:ascii="Verdana" w:hAnsi="Verdana"/>
          <w:i/>
          <w:sz w:val="16"/>
        </w:rPr>
        <w:t>Re</w:t>
      </w:r>
      <w:r>
        <w:rPr>
          <w:rFonts w:ascii="Verdana" w:hAnsi="Verdana"/>
          <w:i/>
          <w:spacing w:val="-3"/>
          <w:sz w:val="16"/>
        </w:rPr>
        <w:t> </w:t>
      </w:r>
      <w:r>
        <w:rPr>
          <w:rFonts w:ascii="Verdana" w:hAnsi="Verdana"/>
          <w:i/>
          <w:sz w:val="16"/>
        </w:rPr>
        <w:t>SPUC</w:t>
      </w:r>
      <w:r>
        <w:rPr>
          <w:rFonts w:ascii="Verdana" w:hAnsi="Verdana"/>
          <w:i/>
          <w:spacing w:val="-3"/>
          <w:sz w:val="16"/>
        </w:rPr>
        <w:t> </w:t>
      </w:r>
      <w:r>
        <w:rPr>
          <w:rFonts w:ascii="Verdana" w:hAnsi="Verdana"/>
          <w:i/>
          <w:sz w:val="16"/>
        </w:rPr>
        <w:t>Pro-life</w:t>
      </w:r>
      <w:r>
        <w:rPr>
          <w:rFonts w:ascii="Verdana" w:hAnsi="Verdana"/>
          <w:i/>
          <w:spacing w:val="-3"/>
          <w:sz w:val="16"/>
        </w:rPr>
        <w:t> </w:t>
      </w:r>
      <w:r>
        <w:rPr>
          <w:rFonts w:ascii="Verdana" w:hAnsi="Verdana"/>
          <w:i/>
          <w:sz w:val="16"/>
        </w:rPr>
        <w:t>Ltd’s</w:t>
      </w:r>
      <w:r>
        <w:rPr>
          <w:rFonts w:ascii="Verdana" w:hAnsi="Verdana"/>
          <w:i/>
          <w:spacing w:val="-3"/>
          <w:sz w:val="16"/>
        </w:rPr>
        <w:t> </w:t>
      </w:r>
      <w:r>
        <w:rPr>
          <w:rFonts w:ascii="Verdana" w:hAnsi="Verdana"/>
          <w:i/>
          <w:sz w:val="16"/>
        </w:rPr>
        <w:t>application</w:t>
      </w:r>
      <w:r>
        <w:rPr>
          <w:rFonts w:ascii="Verdana" w:hAnsi="Verdana"/>
          <w:i/>
          <w:spacing w:val="-3"/>
          <w:sz w:val="16"/>
        </w:rPr>
        <w:t> </w:t>
      </w:r>
      <w:r>
        <w:rPr>
          <w:rFonts w:ascii="Verdana" w:hAnsi="Verdana"/>
          <w:i/>
          <w:sz w:val="16"/>
        </w:rPr>
        <w:t>for</w:t>
      </w:r>
      <w:r>
        <w:rPr>
          <w:rFonts w:ascii="Verdana" w:hAnsi="Verdana"/>
          <w:i/>
          <w:spacing w:val="-3"/>
          <w:sz w:val="16"/>
        </w:rPr>
        <w:t> </w:t>
      </w:r>
      <w:r>
        <w:rPr>
          <w:rFonts w:ascii="Verdana" w:hAnsi="Verdana"/>
          <w:i/>
          <w:sz w:val="16"/>
        </w:rPr>
        <w:t>judicial</w:t>
      </w:r>
      <w:r>
        <w:rPr>
          <w:rFonts w:ascii="Verdana" w:hAnsi="Verdana"/>
          <w:i/>
          <w:spacing w:val="-3"/>
          <w:sz w:val="16"/>
        </w:rPr>
        <w:t> </w:t>
      </w:r>
      <w:r>
        <w:rPr>
          <w:rFonts w:ascii="Verdana" w:hAnsi="Verdana"/>
          <w:i/>
          <w:sz w:val="16"/>
        </w:rPr>
        <w:t>review</w:t>
      </w:r>
      <w:r>
        <w:rPr>
          <w:rFonts w:ascii="Verdana" w:hAnsi="Verdana"/>
          <w:i/>
          <w:spacing w:val="-3"/>
          <w:sz w:val="16"/>
        </w:rPr>
        <w:t> </w:t>
      </w:r>
      <w:r>
        <w:rPr>
          <w:sz w:val="16"/>
        </w:rPr>
        <w:t>[2022] NIQB 9, [77]; </w:t>
      </w:r>
      <w:r>
        <w:rPr>
          <w:rFonts w:ascii="Verdana" w:hAnsi="Verdana"/>
          <w:i/>
          <w:sz w:val="16"/>
        </w:rPr>
        <w:t>Re</w:t>
      </w:r>
      <w:r>
        <w:rPr>
          <w:rFonts w:ascii="Verdana" w:hAnsi="Verdana"/>
          <w:i/>
          <w:spacing w:val="-3"/>
          <w:sz w:val="16"/>
        </w:rPr>
        <w:t> </w:t>
      </w:r>
      <w:r>
        <w:rPr>
          <w:rFonts w:ascii="Verdana" w:hAnsi="Verdana"/>
          <w:i/>
          <w:sz w:val="16"/>
        </w:rPr>
        <w:t>SPUC</w:t>
      </w:r>
      <w:r>
        <w:rPr>
          <w:rFonts w:ascii="Verdana" w:hAnsi="Verdana"/>
          <w:i/>
          <w:spacing w:val="-3"/>
          <w:sz w:val="16"/>
        </w:rPr>
        <w:t> </w:t>
      </w:r>
      <w:r>
        <w:rPr>
          <w:rFonts w:ascii="Verdana" w:hAnsi="Verdana"/>
          <w:i/>
          <w:sz w:val="16"/>
        </w:rPr>
        <w:t>Pro-</w:t>
      </w:r>
      <w:r>
        <w:rPr>
          <w:rFonts w:ascii="Verdana" w:hAnsi="Verdana"/>
          <w:i/>
          <w:sz w:val="16"/>
        </w:rPr>
        <w:t> life</w:t>
      </w:r>
      <w:r>
        <w:rPr>
          <w:rFonts w:ascii="Verdana" w:hAnsi="Verdana"/>
          <w:i/>
          <w:spacing w:val="-1"/>
          <w:sz w:val="16"/>
        </w:rPr>
        <w:t> </w:t>
      </w:r>
      <w:r>
        <w:rPr>
          <w:rFonts w:ascii="Verdana" w:hAnsi="Verdana"/>
          <w:i/>
          <w:sz w:val="16"/>
        </w:rPr>
        <w:t>Ltd’s</w:t>
      </w:r>
      <w:r>
        <w:rPr>
          <w:rFonts w:ascii="Verdana" w:hAnsi="Verdana"/>
          <w:i/>
          <w:spacing w:val="-1"/>
          <w:sz w:val="16"/>
        </w:rPr>
        <w:t> </w:t>
      </w:r>
      <w:r>
        <w:rPr>
          <w:rFonts w:ascii="Verdana" w:hAnsi="Verdana"/>
          <w:i/>
          <w:sz w:val="16"/>
        </w:rPr>
        <w:t>application</w:t>
      </w:r>
      <w:r>
        <w:rPr>
          <w:rFonts w:ascii="Verdana" w:hAnsi="Verdana"/>
          <w:i/>
          <w:spacing w:val="-1"/>
          <w:sz w:val="16"/>
        </w:rPr>
        <w:t> </w:t>
      </w:r>
      <w:r>
        <w:rPr>
          <w:rFonts w:ascii="Verdana" w:hAnsi="Verdana"/>
          <w:i/>
          <w:sz w:val="16"/>
        </w:rPr>
        <w:t>for</w:t>
      </w:r>
      <w:r>
        <w:rPr>
          <w:rFonts w:ascii="Verdana" w:hAnsi="Verdana"/>
          <w:i/>
          <w:spacing w:val="-1"/>
          <w:sz w:val="16"/>
        </w:rPr>
        <w:t> </w:t>
      </w:r>
      <w:r>
        <w:rPr>
          <w:rFonts w:ascii="Verdana" w:hAnsi="Verdana"/>
          <w:i/>
          <w:sz w:val="16"/>
        </w:rPr>
        <w:t>judicial</w:t>
      </w:r>
      <w:r>
        <w:rPr>
          <w:rFonts w:ascii="Verdana" w:hAnsi="Verdana"/>
          <w:i/>
          <w:spacing w:val="-1"/>
          <w:sz w:val="16"/>
        </w:rPr>
        <w:t> </w:t>
      </w:r>
      <w:r>
        <w:rPr>
          <w:rFonts w:ascii="Verdana" w:hAnsi="Verdana"/>
          <w:i/>
          <w:sz w:val="16"/>
        </w:rPr>
        <w:t>review</w:t>
      </w:r>
      <w:r>
        <w:rPr>
          <w:rFonts w:ascii="Verdana" w:hAnsi="Verdana"/>
          <w:i/>
          <w:spacing w:val="-1"/>
          <w:sz w:val="16"/>
        </w:rPr>
        <w:t> </w:t>
      </w:r>
      <w:r>
        <w:rPr>
          <w:sz w:val="16"/>
        </w:rPr>
        <w:t>[2023] NICA 35, [53]-[55], which proceeds on the basis that Art 2 is directly</w:t>
      </w:r>
    </w:p>
    <w:p>
      <w:pPr>
        <w:spacing w:line="211" w:lineRule="auto" w:before="4"/>
        <w:ind w:left="567" w:right="141" w:firstLine="0"/>
        <w:jc w:val="left"/>
        <w:rPr>
          <w:rFonts w:ascii="Lucida Sans Unicode" w:hAnsi="Lucida Sans Unicode"/>
          <w:sz w:val="16"/>
        </w:rPr>
      </w:pPr>
      <w:r>
        <w:rPr>
          <w:w w:val="105"/>
          <w:sz w:val="16"/>
        </w:rPr>
        <w:t>effective,</w:t>
      </w:r>
      <w:r>
        <w:rPr>
          <w:spacing w:val="31"/>
          <w:w w:val="105"/>
          <w:sz w:val="16"/>
        </w:rPr>
        <w:t> </w:t>
      </w:r>
      <w:r>
        <w:rPr>
          <w:w w:val="105"/>
          <w:sz w:val="16"/>
        </w:rPr>
        <w:t>given</w:t>
      </w:r>
      <w:r>
        <w:rPr>
          <w:spacing w:val="31"/>
          <w:w w:val="105"/>
          <w:sz w:val="16"/>
        </w:rPr>
        <w:t> </w:t>
      </w:r>
      <w:r>
        <w:rPr>
          <w:w w:val="105"/>
          <w:sz w:val="16"/>
        </w:rPr>
        <w:t>that</w:t>
      </w:r>
      <w:r>
        <w:rPr>
          <w:spacing w:val="31"/>
          <w:w w:val="105"/>
          <w:sz w:val="16"/>
        </w:rPr>
        <w:t> </w:t>
      </w:r>
      <w:r>
        <w:rPr>
          <w:w w:val="105"/>
          <w:sz w:val="16"/>
        </w:rPr>
        <w:t>the</w:t>
      </w:r>
      <w:r>
        <w:rPr>
          <w:spacing w:val="31"/>
          <w:w w:val="105"/>
          <w:sz w:val="16"/>
        </w:rPr>
        <w:t> </w:t>
      </w:r>
      <w:r>
        <w:rPr>
          <w:w w:val="105"/>
          <w:sz w:val="16"/>
        </w:rPr>
        <w:t>Court</w:t>
      </w:r>
      <w:r>
        <w:rPr>
          <w:spacing w:val="31"/>
          <w:w w:val="105"/>
          <w:sz w:val="16"/>
        </w:rPr>
        <w:t> </w:t>
      </w:r>
      <w:r>
        <w:rPr>
          <w:w w:val="105"/>
          <w:sz w:val="16"/>
        </w:rPr>
        <w:t>of</w:t>
      </w:r>
      <w:r>
        <w:rPr>
          <w:spacing w:val="31"/>
          <w:w w:val="105"/>
          <w:sz w:val="16"/>
        </w:rPr>
        <w:t> </w:t>
      </w:r>
      <w:r>
        <w:rPr>
          <w:w w:val="105"/>
          <w:sz w:val="16"/>
        </w:rPr>
        <w:t>Appeal</w:t>
      </w:r>
      <w:r>
        <w:rPr>
          <w:spacing w:val="31"/>
          <w:w w:val="105"/>
          <w:sz w:val="16"/>
        </w:rPr>
        <w:t> </w:t>
      </w:r>
      <w:r>
        <w:rPr>
          <w:w w:val="105"/>
          <w:sz w:val="16"/>
        </w:rPr>
        <w:t>took</w:t>
      </w:r>
      <w:r>
        <w:rPr>
          <w:spacing w:val="31"/>
          <w:w w:val="105"/>
          <w:sz w:val="16"/>
        </w:rPr>
        <w:t> </w:t>
      </w:r>
      <w:r>
        <w:rPr>
          <w:w w:val="105"/>
          <w:sz w:val="16"/>
        </w:rPr>
        <w:t>no</w:t>
      </w:r>
      <w:r>
        <w:rPr>
          <w:spacing w:val="31"/>
          <w:w w:val="105"/>
          <w:sz w:val="16"/>
        </w:rPr>
        <w:t> </w:t>
      </w:r>
      <w:r>
        <w:rPr>
          <w:w w:val="105"/>
          <w:sz w:val="16"/>
        </w:rPr>
        <w:t>exception</w:t>
      </w:r>
      <w:r>
        <w:rPr>
          <w:spacing w:val="31"/>
          <w:w w:val="105"/>
          <w:sz w:val="16"/>
        </w:rPr>
        <w:t> </w:t>
      </w:r>
      <w:r>
        <w:rPr>
          <w:w w:val="105"/>
          <w:sz w:val="16"/>
        </w:rPr>
        <w:t>to</w:t>
      </w:r>
      <w:r>
        <w:rPr>
          <w:spacing w:val="31"/>
          <w:w w:val="105"/>
          <w:sz w:val="16"/>
        </w:rPr>
        <w:t> </w:t>
      </w:r>
      <w:r>
        <w:rPr>
          <w:w w:val="105"/>
          <w:sz w:val="16"/>
        </w:rPr>
        <w:t>Colton</w:t>
      </w:r>
      <w:r>
        <w:rPr>
          <w:spacing w:val="31"/>
          <w:w w:val="105"/>
          <w:sz w:val="16"/>
        </w:rPr>
        <w:t> </w:t>
      </w:r>
      <w:r>
        <w:rPr>
          <w:w w:val="105"/>
          <w:sz w:val="16"/>
        </w:rPr>
        <w:t>J’s</w:t>
      </w:r>
      <w:r>
        <w:rPr>
          <w:spacing w:val="31"/>
          <w:w w:val="105"/>
          <w:sz w:val="16"/>
        </w:rPr>
        <w:t> </w:t>
      </w:r>
      <w:r>
        <w:rPr>
          <w:w w:val="105"/>
          <w:sz w:val="16"/>
        </w:rPr>
        <w:t>exploration</w:t>
      </w:r>
      <w:r>
        <w:rPr>
          <w:spacing w:val="31"/>
          <w:w w:val="105"/>
          <w:sz w:val="16"/>
        </w:rPr>
        <w:t> </w:t>
      </w:r>
      <w:r>
        <w:rPr>
          <w:w w:val="105"/>
          <w:sz w:val="16"/>
        </w:rPr>
        <w:t>of</w:t>
      </w:r>
      <w:r>
        <w:rPr>
          <w:spacing w:val="31"/>
          <w:w w:val="105"/>
          <w:sz w:val="16"/>
        </w:rPr>
        <w:t> </w:t>
      </w:r>
      <w:r>
        <w:rPr>
          <w:w w:val="105"/>
          <w:sz w:val="16"/>
        </w:rPr>
        <w:t>this</w:t>
      </w:r>
      <w:r>
        <w:rPr>
          <w:spacing w:val="31"/>
          <w:w w:val="105"/>
          <w:sz w:val="16"/>
        </w:rPr>
        <w:t> </w:t>
      </w:r>
      <w:r>
        <w:rPr>
          <w:w w:val="105"/>
          <w:sz w:val="16"/>
        </w:rPr>
        <w:t>issue</w:t>
      </w:r>
      <w:r>
        <w:rPr>
          <w:spacing w:val="31"/>
          <w:w w:val="105"/>
          <w:sz w:val="16"/>
        </w:rPr>
        <w:t> </w:t>
      </w:r>
      <w:r>
        <w:rPr>
          <w:w w:val="105"/>
          <w:sz w:val="16"/>
        </w:rPr>
        <w:t>in</w:t>
      </w:r>
      <w:r>
        <w:rPr>
          <w:spacing w:val="31"/>
          <w:w w:val="105"/>
          <w:sz w:val="16"/>
        </w:rPr>
        <w:t> </w:t>
      </w:r>
      <w:r>
        <w:rPr>
          <w:w w:val="105"/>
          <w:sz w:val="16"/>
        </w:rPr>
        <w:t>the</w:t>
      </w:r>
      <w:r>
        <w:rPr>
          <w:spacing w:val="31"/>
          <w:w w:val="105"/>
          <w:sz w:val="16"/>
        </w:rPr>
        <w:t> </w:t>
      </w:r>
      <w:r>
        <w:rPr>
          <w:w w:val="105"/>
          <w:sz w:val="16"/>
        </w:rPr>
        <w:t>High</w:t>
      </w:r>
      <w:r>
        <w:rPr>
          <w:spacing w:val="31"/>
          <w:w w:val="105"/>
          <w:sz w:val="16"/>
        </w:rPr>
        <w:t> </w:t>
      </w:r>
      <w:r>
        <w:rPr>
          <w:w w:val="105"/>
          <w:sz w:val="16"/>
        </w:rPr>
        <w:t>Court; </w:t>
      </w:r>
      <w:r>
        <w:rPr>
          <w:rFonts w:ascii="Verdana" w:hAnsi="Verdana"/>
          <w:i/>
          <w:sz w:val="16"/>
        </w:rPr>
        <w:t>Re Angesom’s application for judicial review </w:t>
      </w:r>
      <w:r>
        <w:rPr>
          <w:rFonts w:ascii="Lucida Sans Unicode" w:hAnsi="Lucida Sans Unicode"/>
          <w:sz w:val="16"/>
        </w:rPr>
        <w:t>[2023] NIKB 102, [91]; </w:t>
      </w:r>
      <w:r>
        <w:rPr>
          <w:rFonts w:ascii="Verdana" w:hAnsi="Verdana"/>
          <w:i/>
          <w:sz w:val="16"/>
        </w:rPr>
        <w:t>Re JR295’s application for leave to apply for</w:t>
      </w:r>
      <w:r>
        <w:rPr>
          <w:rFonts w:ascii="Verdana" w:hAnsi="Verdana"/>
          <w:i/>
          <w:sz w:val="16"/>
        </w:rPr>
        <w:t> </w:t>
      </w:r>
      <w:r>
        <w:rPr>
          <w:rFonts w:ascii="Verdana" w:hAnsi="Verdana"/>
          <w:i/>
          <w:w w:val="105"/>
          <w:sz w:val="16"/>
        </w:rPr>
        <w:t>judicial</w:t>
      </w:r>
      <w:r>
        <w:rPr>
          <w:rFonts w:ascii="Verdana" w:hAnsi="Verdana"/>
          <w:i/>
          <w:spacing w:val="-15"/>
          <w:w w:val="105"/>
          <w:sz w:val="16"/>
        </w:rPr>
        <w:t> </w:t>
      </w:r>
      <w:r>
        <w:rPr>
          <w:rFonts w:ascii="Verdana" w:hAnsi="Verdana"/>
          <w:i/>
          <w:w w:val="105"/>
          <w:sz w:val="16"/>
        </w:rPr>
        <w:t>review</w:t>
      </w:r>
      <w:r>
        <w:rPr>
          <w:rFonts w:ascii="Verdana" w:hAnsi="Verdana"/>
          <w:i/>
          <w:spacing w:val="-15"/>
          <w:w w:val="105"/>
          <w:sz w:val="16"/>
        </w:rPr>
        <w:t> </w:t>
      </w:r>
      <w:r>
        <w:rPr>
          <w:rFonts w:ascii="Lucida Sans Unicode" w:hAnsi="Lucida Sans Unicode"/>
          <w:w w:val="105"/>
          <w:sz w:val="16"/>
        </w:rPr>
        <w:t>[2024]</w:t>
      </w:r>
      <w:r>
        <w:rPr>
          <w:rFonts w:ascii="Lucida Sans Unicode" w:hAnsi="Lucida Sans Unicode"/>
          <w:spacing w:val="-13"/>
          <w:w w:val="105"/>
          <w:sz w:val="16"/>
        </w:rPr>
        <w:t> </w:t>
      </w:r>
      <w:r>
        <w:rPr>
          <w:rFonts w:ascii="Lucida Sans Unicode" w:hAnsi="Lucida Sans Unicode"/>
          <w:w w:val="105"/>
          <w:sz w:val="16"/>
        </w:rPr>
        <w:t>NIKB</w:t>
      </w:r>
      <w:r>
        <w:rPr>
          <w:rFonts w:ascii="Lucida Sans Unicode" w:hAnsi="Lucida Sans Unicode"/>
          <w:spacing w:val="-14"/>
          <w:w w:val="105"/>
          <w:sz w:val="16"/>
        </w:rPr>
        <w:t> </w:t>
      </w:r>
      <w:r>
        <w:rPr>
          <w:rFonts w:ascii="Lucida Sans Unicode" w:hAnsi="Lucida Sans Unicode"/>
          <w:w w:val="105"/>
          <w:sz w:val="16"/>
        </w:rPr>
        <w:t>7,</w:t>
      </w:r>
      <w:r>
        <w:rPr>
          <w:rFonts w:ascii="Lucida Sans Unicode" w:hAnsi="Lucida Sans Unicode"/>
          <w:spacing w:val="-13"/>
          <w:w w:val="105"/>
          <w:sz w:val="16"/>
        </w:rPr>
        <w:t> </w:t>
      </w:r>
      <w:r>
        <w:rPr>
          <w:rFonts w:ascii="Lucida Sans Unicode" w:hAnsi="Lucida Sans Unicode"/>
          <w:w w:val="105"/>
          <w:sz w:val="16"/>
        </w:rPr>
        <w:t>[43];</w:t>
      </w:r>
      <w:r>
        <w:rPr>
          <w:rFonts w:ascii="Lucida Sans Unicode" w:hAnsi="Lucida Sans Unicode"/>
          <w:spacing w:val="-13"/>
          <w:w w:val="105"/>
          <w:sz w:val="16"/>
        </w:rPr>
        <w:t> </w:t>
      </w:r>
      <w:r>
        <w:rPr>
          <w:rFonts w:ascii="Verdana" w:hAnsi="Verdana"/>
          <w:i/>
          <w:w w:val="105"/>
          <w:sz w:val="16"/>
        </w:rPr>
        <w:t>Re</w:t>
      </w:r>
      <w:r>
        <w:rPr>
          <w:rFonts w:ascii="Verdana" w:hAnsi="Verdana"/>
          <w:i/>
          <w:spacing w:val="-15"/>
          <w:w w:val="105"/>
          <w:sz w:val="16"/>
        </w:rPr>
        <w:t> </w:t>
      </w:r>
      <w:r>
        <w:rPr>
          <w:rFonts w:ascii="Verdana" w:hAnsi="Verdana"/>
          <w:i/>
          <w:w w:val="105"/>
          <w:sz w:val="16"/>
        </w:rPr>
        <w:t>Dillon</w:t>
      </w:r>
      <w:r>
        <w:rPr>
          <w:rFonts w:ascii="Verdana" w:hAnsi="Verdana"/>
          <w:i/>
          <w:spacing w:val="-15"/>
          <w:w w:val="105"/>
          <w:sz w:val="16"/>
        </w:rPr>
        <w:t> </w:t>
      </w:r>
      <w:r>
        <w:rPr>
          <w:rFonts w:ascii="Lucida Sans Unicode" w:hAnsi="Lucida Sans Unicode"/>
          <w:w w:val="105"/>
          <w:sz w:val="16"/>
        </w:rPr>
        <w:t>(n</w:t>
      </w:r>
      <w:r>
        <w:rPr>
          <w:rFonts w:ascii="Lucida Sans Unicode" w:hAnsi="Lucida Sans Unicode"/>
          <w:spacing w:val="-13"/>
          <w:w w:val="105"/>
          <w:sz w:val="16"/>
        </w:rPr>
        <w:t> </w:t>
      </w:r>
      <w:r>
        <w:rPr>
          <w:rFonts w:ascii="Lucida Sans Unicode" w:hAnsi="Lucida Sans Unicode"/>
          <w:w w:val="105"/>
          <w:sz w:val="16"/>
        </w:rPr>
        <w:t>155),</w:t>
      </w:r>
      <w:r>
        <w:rPr>
          <w:rFonts w:ascii="Lucida Sans Unicode" w:hAnsi="Lucida Sans Unicode"/>
          <w:spacing w:val="-13"/>
          <w:w w:val="105"/>
          <w:sz w:val="16"/>
        </w:rPr>
        <w:t> </w:t>
      </w:r>
      <w:r>
        <w:rPr>
          <w:rFonts w:ascii="Lucida Sans Unicode" w:hAnsi="Lucida Sans Unicode"/>
          <w:w w:val="105"/>
          <w:sz w:val="16"/>
        </w:rPr>
        <w:t>[520]-[521].</w:t>
      </w:r>
    </w:p>
    <w:p>
      <w:pPr>
        <w:spacing w:after="0" w:line="211" w:lineRule="auto"/>
        <w:jc w:val="left"/>
        <w:rPr>
          <w:rFonts w:ascii="Lucida Sans Unicode" w:hAnsi="Lucida Sans Unicode"/>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218" w:lineRule="auto" w:before="92"/>
        <w:ind w:right="186"/>
        <w:jc w:val="both"/>
        <w:rPr>
          <w:rFonts w:ascii="Lucida Sans Unicode"/>
        </w:rPr>
      </w:pPr>
      <w:r>
        <w:rPr>
          <w:w w:val="110"/>
        </w:rPr>
        <w:t>non-diminution obligation contained </w:t>
      </w:r>
      <w:r>
        <w:rPr>
          <w:rFonts w:ascii="Lucida Sans Unicode"/>
        </w:rPr>
        <w:t>in Article 2 Windsor Framework. </w:t>
      </w:r>
      <w:r>
        <w:rPr>
          <w:rFonts w:ascii="Lucida Sans Unicode"/>
        </w:rPr>
        <w:t>This follows expressly from Article 4 (1)</w:t>
      </w:r>
    </w:p>
    <w:p>
      <w:pPr>
        <w:pStyle w:val="BodyText"/>
        <w:spacing w:line="308" w:lineRule="exact"/>
        <w:jc w:val="both"/>
        <w:rPr>
          <w:rFonts w:ascii="Lucida Sans Unicode"/>
        </w:rPr>
      </w:pPr>
      <w:r>
        <w:rPr>
          <w:rFonts w:ascii="Lucida Sans Unicode"/>
        </w:rPr>
        <w:t>(2)</w:t>
      </w:r>
      <w:r>
        <w:rPr>
          <w:rFonts w:ascii="Lucida Sans Unicode"/>
          <w:spacing w:val="22"/>
        </w:rPr>
        <w:t> </w:t>
      </w:r>
      <w:r>
        <w:rPr>
          <w:rFonts w:ascii="Lucida Sans Unicode"/>
        </w:rPr>
        <w:t>WA</w:t>
      </w:r>
      <w:r>
        <w:rPr>
          <w:rFonts w:ascii="Lucida Sans Unicode"/>
          <w:spacing w:val="22"/>
        </w:rPr>
        <w:t> </w:t>
      </w:r>
      <w:r>
        <w:rPr>
          <w:rFonts w:ascii="Lucida Sans Unicode"/>
        </w:rPr>
        <w:t>and</w:t>
      </w:r>
      <w:r>
        <w:rPr>
          <w:rFonts w:ascii="Lucida Sans Unicode"/>
          <w:spacing w:val="23"/>
        </w:rPr>
        <w:t> </w:t>
      </w:r>
      <w:r>
        <w:rPr>
          <w:rFonts w:ascii="Lucida Sans Unicode"/>
        </w:rPr>
        <w:t>has</w:t>
      </w:r>
      <w:r>
        <w:rPr>
          <w:rFonts w:ascii="Lucida Sans Unicode"/>
          <w:spacing w:val="22"/>
        </w:rPr>
        <w:t> </w:t>
      </w:r>
      <w:r>
        <w:rPr>
          <w:rFonts w:ascii="Lucida Sans Unicode"/>
        </w:rPr>
        <w:t>been</w:t>
      </w:r>
      <w:r>
        <w:rPr>
          <w:rFonts w:ascii="Lucida Sans Unicode"/>
          <w:spacing w:val="23"/>
        </w:rPr>
        <w:t> </w:t>
      </w:r>
      <w:r>
        <w:rPr>
          <w:rFonts w:ascii="Lucida Sans Unicode"/>
        </w:rPr>
        <w:t>given</w:t>
      </w:r>
      <w:r>
        <w:rPr>
          <w:rFonts w:ascii="Lucida Sans Unicode"/>
          <w:spacing w:val="22"/>
        </w:rPr>
        <w:t> </w:t>
      </w:r>
      <w:r>
        <w:rPr>
          <w:rFonts w:ascii="Lucida Sans Unicode"/>
        </w:rPr>
        <w:t>effect</w:t>
      </w:r>
      <w:r>
        <w:rPr>
          <w:rFonts w:ascii="Lucida Sans Unicode"/>
          <w:spacing w:val="23"/>
        </w:rPr>
        <w:t> </w:t>
      </w:r>
      <w:r>
        <w:rPr>
          <w:rFonts w:ascii="Lucida Sans Unicode"/>
          <w:spacing w:val="-5"/>
        </w:rPr>
        <w:t>in</w:t>
      </w:r>
    </w:p>
    <w:p>
      <w:pPr>
        <w:pStyle w:val="BodyText"/>
        <w:spacing w:line="237" w:lineRule="auto"/>
        <w:ind w:right="102"/>
        <w:rPr>
          <w:rFonts w:ascii="Lucida Sans Unicode"/>
        </w:rPr>
      </w:pPr>
      <w:r>
        <w:rPr>
          <w:w w:val="105"/>
        </w:rPr>
        <w:t>UK law by section 7A of the </w:t>
      </w:r>
      <w:r>
        <w:rPr>
          <w:w w:val="105"/>
        </w:rPr>
        <w:t>European</w:t>
      </w:r>
      <w:r>
        <w:rPr>
          <w:spacing w:val="40"/>
          <w:w w:val="105"/>
        </w:rPr>
        <w:t> </w:t>
      </w:r>
      <w:r>
        <w:rPr>
          <w:rFonts w:ascii="Lucida Sans Unicode"/>
          <w:w w:val="105"/>
        </w:rPr>
        <w:t>Union</w:t>
      </w:r>
      <w:r>
        <w:rPr>
          <w:rFonts w:ascii="Lucida Sans Unicode"/>
          <w:spacing w:val="-6"/>
          <w:w w:val="105"/>
        </w:rPr>
        <w:t> </w:t>
      </w:r>
      <w:r>
        <w:rPr>
          <w:rFonts w:ascii="Lucida Sans Unicode"/>
          <w:w w:val="105"/>
        </w:rPr>
        <w:t>(Withdrawal)</w:t>
      </w:r>
      <w:r>
        <w:rPr>
          <w:rFonts w:ascii="Lucida Sans Unicode"/>
          <w:spacing w:val="-6"/>
          <w:w w:val="105"/>
        </w:rPr>
        <w:t> </w:t>
      </w:r>
      <w:r>
        <w:rPr>
          <w:rFonts w:ascii="Lucida Sans Unicode"/>
          <w:w w:val="105"/>
        </w:rPr>
        <w:t>Act</w:t>
      </w:r>
      <w:r>
        <w:rPr>
          <w:rFonts w:ascii="Lucida Sans Unicode"/>
          <w:spacing w:val="-6"/>
          <w:w w:val="105"/>
        </w:rPr>
        <w:t> </w:t>
      </w:r>
      <w:r>
        <w:rPr>
          <w:rFonts w:ascii="Lucida Sans Unicode"/>
          <w:w w:val="105"/>
        </w:rPr>
        <w:t>2018.</w:t>
      </w:r>
      <w:r>
        <w:rPr>
          <w:rFonts w:ascii="Lucida Sans Unicode"/>
          <w:w w:val="105"/>
          <w:vertAlign w:val="superscript"/>
        </w:rPr>
        <w:t>186</w:t>
      </w:r>
    </w:p>
    <w:p>
      <w:pPr>
        <w:pStyle w:val="BodyText"/>
        <w:spacing w:line="310" w:lineRule="exact" w:before="249"/>
        <w:ind w:right="102"/>
      </w:pPr>
      <w:r>
        <w:rPr>
          <w:w w:val="110"/>
        </w:rPr>
        <w:t>A potential diminution can, therefore, be challenged before Northern</w:t>
      </w:r>
      <w:r>
        <w:rPr>
          <w:spacing w:val="80"/>
          <w:w w:val="110"/>
        </w:rPr>
        <w:t> </w:t>
      </w:r>
      <w:r>
        <w:rPr>
          <w:w w:val="110"/>
        </w:rPr>
        <w:t>Ireland courts with regard to any </w:t>
      </w:r>
      <w:r>
        <w:rPr>
          <w:rFonts w:ascii="Lucida Sans Unicode"/>
        </w:rPr>
        <w:t>measure caught by Article 2 Windsor </w:t>
      </w:r>
      <w:r>
        <w:rPr>
          <w:w w:val="110"/>
        </w:rPr>
        <w:t>Framework, whether it be a provision </w:t>
      </w:r>
      <w:r>
        <w:rPr>
          <w:rFonts w:ascii="Lucida Sans Unicode"/>
        </w:rPr>
        <w:t>specifically listed in Annex 1 to the </w:t>
      </w:r>
      <w:r>
        <w:rPr>
          <w:w w:val="110"/>
        </w:rPr>
        <w:t>Windsor Framework or any other provision of EU law that engages the </w:t>
      </w:r>
      <w:r>
        <w:rPr>
          <w:rFonts w:ascii="Lucida Sans Unicode"/>
        </w:rPr>
        <w:t>scope of the RSEO part of the </w:t>
      </w:r>
      <w:r>
        <w:rPr>
          <w:rFonts w:ascii="Lucida Sans Unicode"/>
        </w:rPr>
        <w:t>Belfast </w:t>
      </w:r>
      <w:r>
        <w:rPr>
          <w:w w:val="110"/>
        </w:rPr>
        <w:t>(Good Friday) Agreement.</w:t>
      </w:r>
      <w:r>
        <w:rPr>
          <w:rFonts w:ascii="Lucida Sans Unicode"/>
          <w:w w:val="110"/>
          <w:vertAlign w:val="superscript"/>
        </w:rPr>
        <w:t>187</w:t>
      </w:r>
      <w:r>
        <w:rPr>
          <w:rFonts w:ascii="Lucida Sans Unicode"/>
          <w:w w:val="110"/>
          <w:vertAlign w:val="baseline"/>
        </w:rPr>
        <w:t> </w:t>
      </w:r>
      <w:r>
        <w:rPr>
          <w:w w:val="110"/>
          <w:vertAlign w:val="baseline"/>
        </w:rPr>
        <w:t>This means that, at a minimum, there is an obligation of result to maintain the level of protection of rights captured </w:t>
      </w:r>
      <w:r>
        <w:rPr>
          <w:rFonts w:ascii="Lucida Sans Unicode"/>
          <w:spacing w:val="-2"/>
          <w:w w:val="110"/>
          <w:vertAlign w:val="baseline"/>
        </w:rPr>
        <w:t>by</w:t>
      </w:r>
      <w:r>
        <w:rPr>
          <w:rFonts w:ascii="Lucida Sans Unicode"/>
          <w:spacing w:val="-19"/>
          <w:w w:val="110"/>
          <w:vertAlign w:val="baseline"/>
        </w:rPr>
        <w:t> </w:t>
      </w:r>
      <w:r>
        <w:rPr>
          <w:rFonts w:ascii="Lucida Sans Unicode"/>
          <w:spacing w:val="-2"/>
          <w:w w:val="110"/>
          <w:vertAlign w:val="baseline"/>
        </w:rPr>
        <w:t>Article</w:t>
      </w:r>
      <w:r>
        <w:rPr>
          <w:rFonts w:ascii="Lucida Sans Unicode"/>
          <w:spacing w:val="-19"/>
          <w:w w:val="110"/>
          <w:vertAlign w:val="baseline"/>
        </w:rPr>
        <w:t> </w:t>
      </w:r>
      <w:r>
        <w:rPr>
          <w:rFonts w:ascii="Lucida Sans Unicode"/>
          <w:spacing w:val="-2"/>
          <w:w w:val="110"/>
          <w:vertAlign w:val="baseline"/>
        </w:rPr>
        <w:t>2.</w:t>
      </w:r>
      <w:r>
        <w:rPr>
          <w:rFonts w:ascii="Lucida Sans Unicode"/>
          <w:spacing w:val="-19"/>
          <w:w w:val="110"/>
          <w:vertAlign w:val="baseline"/>
        </w:rPr>
        <w:t> </w:t>
      </w:r>
      <w:r>
        <w:rPr>
          <w:rFonts w:ascii="Lucida Sans Unicode"/>
          <w:spacing w:val="-2"/>
          <w:w w:val="110"/>
          <w:vertAlign w:val="baseline"/>
        </w:rPr>
        <w:t>The</w:t>
      </w:r>
      <w:r>
        <w:rPr>
          <w:rFonts w:ascii="Lucida Sans Unicode"/>
          <w:spacing w:val="-19"/>
          <w:w w:val="110"/>
          <w:vertAlign w:val="baseline"/>
        </w:rPr>
        <w:t> </w:t>
      </w:r>
      <w:r>
        <w:rPr>
          <w:rFonts w:ascii="Lucida Sans Unicode"/>
          <w:spacing w:val="-2"/>
          <w:w w:val="110"/>
          <w:vertAlign w:val="baseline"/>
        </w:rPr>
        <w:t>relevant</w:t>
      </w:r>
      <w:r>
        <w:rPr>
          <w:rFonts w:ascii="Lucida Sans Unicode"/>
          <w:spacing w:val="-19"/>
          <w:w w:val="110"/>
          <w:vertAlign w:val="baseline"/>
        </w:rPr>
        <w:t> </w:t>
      </w:r>
      <w:r>
        <w:rPr>
          <w:rFonts w:ascii="Lucida Sans Unicode"/>
          <w:spacing w:val="-2"/>
          <w:w w:val="110"/>
          <w:vertAlign w:val="baseline"/>
        </w:rPr>
        <w:t>point</w:t>
      </w:r>
      <w:r>
        <w:rPr>
          <w:rFonts w:ascii="Lucida Sans Unicode"/>
          <w:spacing w:val="-19"/>
          <w:w w:val="110"/>
          <w:vertAlign w:val="baseline"/>
        </w:rPr>
        <w:t> </w:t>
      </w:r>
      <w:r>
        <w:rPr>
          <w:rFonts w:ascii="Lucida Sans Unicode"/>
          <w:spacing w:val="-2"/>
          <w:w w:val="110"/>
          <w:vertAlign w:val="baseline"/>
        </w:rPr>
        <w:t>in </w:t>
      </w:r>
      <w:r>
        <w:rPr>
          <w:w w:val="110"/>
          <w:vertAlign w:val="baseline"/>
        </w:rPr>
        <w:t>time here is the level of protection</w:t>
      </w:r>
    </w:p>
    <w:p>
      <w:pPr>
        <w:pStyle w:val="BodyText"/>
        <w:spacing w:before="23"/>
      </w:pPr>
      <w:r>
        <w:rPr>
          <w:spacing w:val="-2"/>
          <w:w w:val="115"/>
        </w:rPr>
        <w:t>as</w:t>
      </w:r>
      <w:r>
        <w:rPr>
          <w:spacing w:val="-11"/>
          <w:w w:val="115"/>
        </w:rPr>
        <w:t> </w:t>
      </w:r>
      <w:r>
        <w:rPr>
          <w:spacing w:val="-2"/>
          <w:w w:val="115"/>
        </w:rPr>
        <w:t>it</w:t>
      </w:r>
      <w:r>
        <w:rPr>
          <w:spacing w:val="-11"/>
          <w:w w:val="115"/>
        </w:rPr>
        <w:t> </w:t>
      </w:r>
      <w:r>
        <w:rPr>
          <w:spacing w:val="-2"/>
          <w:w w:val="115"/>
        </w:rPr>
        <w:t>was</w:t>
      </w:r>
      <w:r>
        <w:rPr>
          <w:spacing w:val="-11"/>
          <w:w w:val="115"/>
        </w:rPr>
        <w:t> </w:t>
      </w:r>
      <w:r>
        <w:rPr>
          <w:spacing w:val="-2"/>
          <w:w w:val="115"/>
        </w:rPr>
        <w:t>understood</w:t>
      </w:r>
      <w:r>
        <w:rPr>
          <w:spacing w:val="-10"/>
          <w:w w:val="115"/>
        </w:rPr>
        <w:t> </w:t>
      </w:r>
      <w:r>
        <w:rPr>
          <w:spacing w:val="-2"/>
          <w:w w:val="115"/>
        </w:rPr>
        <w:t>before</w:t>
      </w:r>
      <w:r>
        <w:rPr>
          <w:spacing w:val="-11"/>
          <w:w w:val="115"/>
        </w:rPr>
        <w:t> </w:t>
      </w:r>
      <w:r>
        <w:rPr>
          <w:spacing w:val="-2"/>
          <w:w w:val="115"/>
        </w:rPr>
        <w:t>Brexit,</w:t>
      </w:r>
    </w:p>
    <w:p>
      <w:pPr>
        <w:pStyle w:val="BodyText"/>
        <w:spacing w:line="310" w:lineRule="exact" w:before="11"/>
        <w:ind w:right="168"/>
        <w:rPr>
          <w:rFonts w:ascii="Lucida Sans Unicode" w:hAnsi="Lucida Sans Unicode"/>
        </w:rPr>
      </w:pPr>
      <w:r>
        <w:rPr>
          <w:w w:val="110"/>
        </w:rPr>
        <w:t>i.e. including at least equivalent enforcement mechanisms and remedies as those envisaged by EU law. For example, as Denman notes, if measures coming within the </w:t>
      </w:r>
      <w:r>
        <w:rPr>
          <w:w w:val="110"/>
        </w:rPr>
        <w:t>scope</w:t>
      </w:r>
      <w:r>
        <w:rPr>
          <w:w w:val="110"/>
        </w:rPr>
        <w:t> </w:t>
      </w:r>
      <w:r>
        <w:rPr>
          <w:rFonts w:ascii="Lucida Sans Unicode" w:hAnsi="Lucida Sans Unicode"/>
          <w:spacing w:val="-2"/>
          <w:w w:val="110"/>
        </w:rPr>
        <w:t>of</w:t>
      </w:r>
      <w:r>
        <w:rPr>
          <w:rFonts w:ascii="Lucida Sans Unicode" w:hAnsi="Lucida Sans Unicode"/>
          <w:spacing w:val="-18"/>
          <w:w w:val="110"/>
        </w:rPr>
        <w:t> </w:t>
      </w:r>
      <w:r>
        <w:rPr>
          <w:rFonts w:ascii="Lucida Sans Unicode" w:hAnsi="Lucida Sans Unicode"/>
          <w:spacing w:val="-2"/>
          <w:w w:val="110"/>
        </w:rPr>
        <w:t>Article</w:t>
      </w:r>
      <w:r>
        <w:rPr>
          <w:rFonts w:ascii="Lucida Sans Unicode" w:hAnsi="Lucida Sans Unicode"/>
          <w:spacing w:val="-18"/>
          <w:w w:val="110"/>
        </w:rPr>
        <w:t> </w:t>
      </w:r>
      <w:r>
        <w:rPr>
          <w:rFonts w:ascii="Lucida Sans Unicode" w:hAnsi="Lucida Sans Unicode"/>
          <w:spacing w:val="-2"/>
          <w:w w:val="110"/>
        </w:rPr>
        <w:t>2</w:t>
      </w:r>
      <w:r>
        <w:rPr>
          <w:rFonts w:ascii="Lucida Sans Unicode" w:hAnsi="Lucida Sans Unicode"/>
          <w:spacing w:val="-18"/>
          <w:w w:val="110"/>
        </w:rPr>
        <w:t> </w:t>
      </w:r>
      <w:r>
        <w:rPr>
          <w:rFonts w:ascii="Lucida Sans Unicode" w:hAnsi="Lucida Sans Unicode"/>
          <w:spacing w:val="-2"/>
          <w:w w:val="110"/>
        </w:rPr>
        <w:t>‘were</w:t>
      </w:r>
      <w:r>
        <w:rPr>
          <w:rFonts w:ascii="Lucida Sans Unicode" w:hAnsi="Lucida Sans Unicode"/>
          <w:spacing w:val="-18"/>
          <w:w w:val="110"/>
        </w:rPr>
        <w:t> </w:t>
      </w:r>
      <w:r>
        <w:rPr>
          <w:rFonts w:ascii="Lucida Sans Unicode" w:hAnsi="Lucida Sans Unicode"/>
          <w:spacing w:val="-2"/>
          <w:w w:val="110"/>
        </w:rPr>
        <w:t>no</w:t>
      </w:r>
      <w:r>
        <w:rPr>
          <w:rFonts w:ascii="Lucida Sans Unicode" w:hAnsi="Lucida Sans Unicode"/>
          <w:spacing w:val="-18"/>
          <w:w w:val="110"/>
        </w:rPr>
        <w:t> </w:t>
      </w:r>
      <w:r>
        <w:rPr>
          <w:rFonts w:ascii="Lucida Sans Unicode" w:hAnsi="Lucida Sans Unicode"/>
          <w:spacing w:val="-2"/>
          <w:w w:val="110"/>
        </w:rPr>
        <w:t>longer</w:t>
      </w:r>
      <w:r>
        <w:rPr>
          <w:rFonts w:ascii="Lucida Sans Unicode" w:hAnsi="Lucida Sans Unicode"/>
          <w:spacing w:val="-18"/>
          <w:w w:val="110"/>
        </w:rPr>
        <w:t> </w:t>
      </w:r>
      <w:r>
        <w:rPr>
          <w:rFonts w:ascii="Lucida Sans Unicode" w:hAnsi="Lucida Sans Unicode"/>
          <w:spacing w:val="-2"/>
          <w:w w:val="110"/>
        </w:rPr>
        <w:t>given</w:t>
      </w:r>
    </w:p>
    <w:p>
      <w:pPr>
        <w:pStyle w:val="BodyText"/>
        <w:spacing w:line="310" w:lineRule="exact"/>
        <w:ind w:right="38"/>
        <w:rPr>
          <w:rFonts w:ascii="Lucida Sans Unicode" w:hAnsi="Lucida Sans Unicode"/>
        </w:rPr>
      </w:pPr>
      <w:r>
        <w:rPr>
          <w:w w:val="110"/>
        </w:rPr>
        <w:t>effect in the law of Northern Ireland </w:t>
      </w:r>
      <w:r>
        <w:rPr>
          <w:w w:val="110"/>
        </w:rPr>
        <w:t>in a way that individuals could enforce, that would appear to be a diminution</w:t>
      </w:r>
      <w:r>
        <w:rPr>
          <w:spacing w:val="80"/>
          <w:w w:val="110"/>
        </w:rPr>
        <w:t> </w:t>
      </w:r>
      <w:r>
        <w:rPr>
          <w:w w:val="110"/>
        </w:rPr>
        <w:t>in the protection of those rights that resulted from the UK’s withdrawal</w:t>
      </w:r>
      <w:r>
        <w:rPr>
          <w:spacing w:val="80"/>
          <w:w w:val="110"/>
        </w:rPr>
        <w:t> </w:t>
      </w:r>
      <w:r>
        <w:rPr>
          <w:w w:val="110"/>
        </w:rPr>
        <w:t>from the EU.’</w:t>
      </w:r>
      <w:r>
        <w:rPr>
          <w:rFonts w:ascii="Lucida Sans Unicode" w:hAnsi="Lucida Sans Unicode"/>
          <w:w w:val="110"/>
          <w:vertAlign w:val="superscript"/>
        </w:rPr>
        <w:t>188</w:t>
      </w:r>
    </w:p>
    <w:p>
      <w:pPr>
        <w:pStyle w:val="BodyText"/>
        <w:spacing w:line="310" w:lineRule="exact" w:before="49"/>
        <w:ind w:right="496"/>
      </w:pPr>
      <w:r>
        <w:rPr/>
        <w:br w:type="column"/>
      </w:r>
      <w:r>
        <w:rPr>
          <w:w w:val="110"/>
        </w:rPr>
        <w:t>This ‘obligation of result’ reasoning </w:t>
      </w:r>
      <w:r>
        <w:rPr>
          <w:rFonts w:ascii="Lucida Sans Unicode" w:hAnsi="Lucida Sans Unicode"/>
        </w:rPr>
        <w:t>can be applied across Article 2 (1) </w:t>
      </w:r>
      <w:r>
        <w:rPr>
          <w:w w:val="110"/>
        </w:rPr>
        <w:t>Windsor Framework. It should be noted, however, that it is a more complex obligation when it comes</w:t>
      </w:r>
      <w:r>
        <w:rPr>
          <w:spacing w:val="40"/>
          <w:w w:val="110"/>
        </w:rPr>
        <w:t> </w:t>
      </w:r>
      <w:r>
        <w:rPr>
          <w:w w:val="110"/>
        </w:rPr>
        <w:t>to the six Directives enumerated in Annex </w:t>
      </w:r>
      <w:r>
        <w:rPr/>
        <w:t>1, </w:t>
      </w:r>
      <w:r>
        <w:rPr>
          <w:w w:val="110"/>
        </w:rPr>
        <w:t>because their observance engages a forward-looking aspect </w:t>
      </w:r>
      <w:r>
        <w:rPr>
          <w:rFonts w:ascii="Lucida Sans Unicode" w:hAnsi="Lucida Sans Unicode"/>
        </w:rPr>
        <w:t>beyond the static baseline of 31 </w:t>
      </w:r>
      <w:r>
        <w:rPr>
          <w:rFonts w:ascii="Lucida Sans Unicode" w:hAnsi="Lucida Sans Unicode"/>
          <w:w w:val="110"/>
        </w:rPr>
        <w:t>December</w:t>
      </w:r>
      <w:r>
        <w:rPr>
          <w:rFonts w:ascii="Lucida Sans Unicode" w:hAnsi="Lucida Sans Unicode"/>
          <w:spacing w:val="-15"/>
          <w:w w:val="110"/>
        </w:rPr>
        <w:t> </w:t>
      </w:r>
      <w:r>
        <w:rPr>
          <w:rFonts w:ascii="Lucida Sans Unicode" w:hAnsi="Lucida Sans Unicode"/>
          <w:w w:val="110"/>
        </w:rPr>
        <w:t>2020</w:t>
      </w:r>
      <w:r>
        <w:rPr>
          <w:rFonts w:ascii="Lucida Sans Unicode" w:hAnsi="Lucida Sans Unicode"/>
          <w:spacing w:val="-15"/>
          <w:w w:val="110"/>
        </w:rPr>
        <w:t> </w:t>
      </w:r>
      <w:r>
        <w:rPr>
          <w:rFonts w:ascii="Lucida Sans Unicode" w:hAnsi="Lucida Sans Unicode"/>
          <w:w w:val="110"/>
        </w:rPr>
        <w:t>(the</w:t>
      </w:r>
      <w:r>
        <w:rPr>
          <w:rFonts w:ascii="Lucida Sans Unicode" w:hAnsi="Lucida Sans Unicode"/>
          <w:spacing w:val="-15"/>
          <w:w w:val="110"/>
        </w:rPr>
        <w:t> </w:t>
      </w:r>
      <w:r>
        <w:rPr>
          <w:rFonts w:ascii="Lucida Sans Unicode" w:hAnsi="Lucida Sans Unicode"/>
          <w:w w:val="110"/>
        </w:rPr>
        <w:t>end</w:t>
      </w:r>
      <w:r>
        <w:rPr>
          <w:rFonts w:ascii="Lucida Sans Unicode" w:hAnsi="Lucida Sans Unicode"/>
          <w:spacing w:val="-15"/>
          <w:w w:val="110"/>
        </w:rPr>
        <w:t> </w:t>
      </w:r>
      <w:r>
        <w:rPr>
          <w:rFonts w:ascii="Lucida Sans Unicode" w:hAnsi="Lucida Sans Unicode"/>
          <w:w w:val="110"/>
        </w:rPr>
        <w:t>of</w:t>
      </w:r>
      <w:r>
        <w:rPr>
          <w:rFonts w:ascii="Lucida Sans Unicode" w:hAnsi="Lucida Sans Unicode"/>
          <w:spacing w:val="-15"/>
          <w:w w:val="110"/>
        </w:rPr>
        <w:t> </w:t>
      </w:r>
      <w:r>
        <w:rPr>
          <w:rFonts w:ascii="Lucida Sans Unicode" w:hAnsi="Lucida Sans Unicode"/>
          <w:w w:val="110"/>
        </w:rPr>
        <w:t>the </w:t>
      </w:r>
      <w:r>
        <w:rPr>
          <w:w w:val="110"/>
        </w:rPr>
        <w:t>Brexit implementation period). If these</w:t>
      </w:r>
      <w:r>
        <w:rPr>
          <w:spacing w:val="-14"/>
          <w:w w:val="110"/>
        </w:rPr>
        <w:t> </w:t>
      </w:r>
      <w:r>
        <w:rPr>
          <w:w w:val="110"/>
        </w:rPr>
        <w:t>measures</w:t>
      </w:r>
      <w:r>
        <w:rPr>
          <w:spacing w:val="-14"/>
          <w:w w:val="110"/>
        </w:rPr>
        <w:t> </w:t>
      </w:r>
      <w:r>
        <w:rPr>
          <w:w w:val="110"/>
        </w:rPr>
        <w:t>are</w:t>
      </w:r>
      <w:r>
        <w:rPr>
          <w:spacing w:val="-14"/>
          <w:w w:val="110"/>
        </w:rPr>
        <w:t> </w:t>
      </w:r>
      <w:r>
        <w:rPr>
          <w:w w:val="110"/>
        </w:rPr>
        <w:t>amended</w:t>
      </w:r>
      <w:r>
        <w:rPr>
          <w:spacing w:val="-14"/>
          <w:w w:val="110"/>
        </w:rPr>
        <w:t> </w:t>
      </w:r>
      <w:r>
        <w:rPr>
          <w:w w:val="110"/>
        </w:rPr>
        <w:t>at</w:t>
      </w:r>
      <w:r>
        <w:rPr>
          <w:spacing w:val="-14"/>
          <w:w w:val="110"/>
        </w:rPr>
        <w:t> </w:t>
      </w:r>
      <w:r>
        <w:rPr>
          <w:w w:val="110"/>
        </w:rPr>
        <w:t>EU level, there is dynamic alignment,</w:t>
      </w:r>
    </w:p>
    <w:p>
      <w:pPr>
        <w:pStyle w:val="BodyText"/>
        <w:spacing w:line="259" w:lineRule="auto" w:before="23"/>
        <w:ind w:right="161"/>
        <w:rPr>
          <w:rFonts w:ascii="Lucida Sans Unicode"/>
        </w:rPr>
      </w:pPr>
      <w:r>
        <w:rPr>
          <w:w w:val="110"/>
        </w:rPr>
        <w:t>i.e. the Windsor Framework is automatically updated to </w:t>
      </w:r>
      <w:r>
        <w:rPr>
          <w:w w:val="110"/>
        </w:rPr>
        <w:t>incorporat</w:t>
      </w:r>
      <w:r>
        <w:rPr>
          <w:w w:val="110"/>
        </w:rPr>
        <w:t>e</w:t>
      </w:r>
      <w:r>
        <w:rPr>
          <w:w w:val="110"/>
        </w:rPr>
        <w:t> those changes. This follows from </w:t>
      </w:r>
      <w:r>
        <w:rPr>
          <w:rFonts w:ascii="Lucida Sans Unicode"/>
          <w:w w:val="110"/>
        </w:rPr>
        <w:t>Article</w:t>
      </w:r>
      <w:r>
        <w:rPr>
          <w:rFonts w:ascii="Lucida Sans Unicode"/>
          <w:spacing w:val="-21"/>
          <w:w w:val="110"/>
        </w:rPr>
        <w:t> </w:t>
      </w:r>
      <w:r>
        <w:rPr>
          <w:rFonts w:ascii="Lucida Sans Unicode"/>
          <w:w w:val="105"/>
        </w:rPr>
        <w:t>13</w:t>
      </w:r>
      <w:r>
        <w:rPr>
          <w:rFonts w:ascii="Lucida Sans Unicode"/>
          <w:spacing w:val="-20"/>
          <w:w w:val="105"/>
        </w:rPr>
        <w:t> </w:t>
      </w:r>
      <w:r>
        <w:rPr>
          <w:rFonts w:ascii="Lucida Sans Unicode"/>
          <w:w w:val="110"/>
        </w:rPr>
        <w:t>(3)</w:t>
      </w:r>
      <w:r>
        <w:rPr>
          <w:rFonts w:ascii="Lucida Sans Unicode"/>
          <w:spacing w:val="-21"/>
          <w:w w:val="110"/>
        </w:rPr>
        <w:t> </w:t>
      </w:r>
      <w:r>
        <w:rPr>
          <w:rFonts w:ascii="Lucida Sans Unicode"/>
          <w:w w:val="110"/>
        </w:rPr>
        <w:t>Windsor</w:t>
      </w:r>
      <w:r>
        <w:rPr>
          <w:rFonts w:ascii="Lucida Sans Unicode"/>
          <w:spacing w:val="-21"/>
          <w:w w:val="110"/>
        </w:rPr>
        <w:t> </w:t>
      </w:r>
      <w:r>
        <w:rPr>
          <w:rFonts w:ascii="Lucida Sans Unicode"/>
          <w:w w:val="110"/>
        </w:rPr>
        <w:t>Framework</w:t>
      </w:r>
    </w:p>
    <w:p>
      <w:pPr>
        <w:pStyle w:val="BodyText"/>
        <w:spacing w:line="224" w:lineRule="exact"/>
      </w:pPr>
      <w:r>
        <w:rPr>
          <w:w w:val="115"/>
        </w:rPr>
        <w:t>on</w:t>
      </w:r>
      <w:r>
        <w:rPr>
          <w:spacing w:val="-17"/>
          <w:w w:val="115"/>
        </w:rPr>
        <w:t> </w:t>
      </w:r>
      <w:r>
        <w:rPr>
          <w:w w:val="115"/>
        </w:rPr>
        <w:t>dynamic</w:t>
      </w:r>
      <w:r>
        <w:rPr>
          <w:spacing w:val="-16"/>
          <w:w w:val="115"/>
        </w:rPr>
        <w:t> </w:t>
      </w:r>
      <w:r>
        <w:rPr>
          <w:w w:val="115"/>
        </w:rPr>
        <w:t>alignment</w:t>
      </w:r>
      <w:r>
        <w:rPr>
          <w:spacing w:val="-16"/>
          <w:w w:val="115"/>
        </w:rPr>
        <w:t> </w:t>
      </w:r>
      <w:r>
        <w:rPr>
          <w:spacing w:val="-2"/>
          <w:w w:val="115"/>
        </w:rPr>
        <w:t>(discussed</w:t>
      </w:r>
    </w:p>
    <w:p>
      <w:pPr>
        <w:pStyle w:val="BodyText"/>
        <w:spacing w:line="310" w:lineRule="exact" w:before="11"/>
        <w:ind w:right="359"/>
        <w:rPr>
          <w:rFonts w:ascii="Lucida Sans Unicode"/>
        </w:rPr>
      </w:pPr>
      <w:r>
        <w:rPr>
          <w:w w:val="110"/>
        </w:rPr>
        <w:t>in further detail in chapter 5 of the report). If this happens and there is no amendment of Northern Ireland law, this automatically means that Northern Ireland law falls foul of the non-diminution</w:t>
      </w:r>
      <w:r>
        <w:rPr>
          <w:spacing w:val="40"/>
          <w:w w:val="110"/>
        </w:rPr>
        <w:t> </w:t>
      </w:r>
      <w:r>
        <w:rPr>
          <w:w w:val="110"/>
        </w:rPr>
        <w:t>obligation</w:t>
      </w:r>
      <w:r>
        <w:rPr>
          <w:spacing w:val="40"/>
          <w:w w:val="110"/>
        </w:rPr>
        <w:t> </w:t>
      </w:r>
      <w:r>
        <w:rPr>
          <w:w w:val="110"/>
        </w:rPr>
        <w:t>in</w:t>
      </w:r>
      <w:r>
        <w:rPr>
          <w:spacing w:val="40"/>
          <w:w w:val="110"/>
        </w:rPr>
        <w:t> </w:t>
      </w:r>
      <w:r>
        <w:rPr>
          <w:w w:val="110"/>
        </w:rPr>
        <w:t>Article</w:t>
      </w:r>
      <w:r>
        <w:rPr>
          <w:spacing w:val="40"/>
          <w:w w:val="110"/>
        </w:rPr>
        <w:t> </w:t>
      </w:r>
      <w:r>
        <w:rPr>
          <w:rFonts w:ascii="Lucida Sans Unicode"/>
          <w:w w:val="110"/>
        </w:rPr>
        <w:t>2</w:t>
      </w:r>
      <w:r>
        <w:rPr>
          <w:rFonts w:ascii="Lucida Sans Unicode"/>
          <w:spacing w:val="-21"/>
          <w:w w:val="110"/>
        </w:rPr>
        <w:t> </w:t>
      </w:r>
      <w:r>
        <w:rPr>
          <w:rFonts w:ascii="Lucida Sans Unicode"/>
          <w:w w:val="110"/>
        </w:rPr>
        <w:t>Windsor</w:t>
      </w:r>
      <w:r>
        <w:rPr>
          <w:rFonts w:ascii="Lucida Sans Unicode"/>
          <w:spacing w:val="-21"/>
          <w:w w:val="110"/>
        </w:rPr>
        <w:t> </w:t>
      </w:r>
      <w:r>
        <w:rPr>
          <w:rFonts w:ascii="Lucida Sans Unicode"/>
          <w:w w:val="110"/>
        </w:rPr>
        <w:t>Framework.</w:t>
      </w:r>
      <w:r>
        <w:rPr>
          <w:rFonts w:ascii="Lucida Sans Unicode"/>
          <w:spacing w:val="-21"/>
          <w:w w:val="110"/>
        </w:rPr>
        <w:t> </w:t>
      </w:r>
      <w:r>
        <w:rPr>
          <w:rFonts w:ascii="Lucida Sans Unicode"/>
          <w:w w:val="110"/>
        </w:rPr>
        <w:t>As</w:t>
      </w:r>
      <w:r>
        <w:rPr>
          <w:rFonts w:ascii="Lucida Sans Unicode"/>
          <w:spacing w:val="-21"/>
          <w:w w:val="110"/>
        </w:rPr>
        <w:t> </w:t>
      </w:r>
      <w:r>
        <w:rPr>
          <w:rFonts w:ascii="Lucida Sans Unicode"/>
          <w:w w:val="110"/>
        </w:rPr>
        <w:t>noted </w:t>
      </w:r>
      <w:r>
        <w:rPr>
          <w:rFonts w:ascii="Lucida Sans Unicode"/>
        </w:rPr>
        <w:t>above, Article 2 Windsor </w:t>
      </w:r>
      <w:r>
        <w:rPr>
          <w:rFonts w:ascii="Lucida Sans Unicode"/>
        </w:rPr>
        <w:t>Framework</w:t>
      </w:r>
    </w:p>
    <w:p>
      <w:pPr>
        <w:pStyle w:val="BodyText"/>
        <w:spacing w:line="310" w:lineRule="exact"/>
        <w:ind w:right="150"/>
      </w:pPr>
      <w:r>
        <w:rPr>
          <w:w w:val="110"/>
        </w:rPr>
        <w:t>produces the ‘EU law effects’ of direct effect</w:t>
      </w:r>
      <w:r>
        <w:rPr>
          <w:spacing w:val="40"/>
          <w:w w:val="110"/>
        </w:rPr>
        <w:t> </w:t>
      </w:r>
      <w:r>
        <w:rPr>
          <w:w w:val="110"/>
        </w:rPr>
        <w:t>and</w:t>
      </w:r>
      <w:r>
        <w:rPr>
          <w:spacing w:val="40"/>
          <w:w w:val="110"/>
        </w:rPr>
        <w:t> </w:t>
      </w:r>
      <w:r>
        <w:rPr>
          <w:w w:val="110"/>
        </w:rPr>
        <w:t>primacy</w:t>
      </w:r>
      <w:r>
        <w:rPr>
          <w:spacing w:val="40"/>
          <w:w w:val="110"/>
        </w:rPr>
        <w:t> </w:t>
      </w:r>
      <w:r>
        <w:rPr>
          <w:w w:val="110"/>
        </w:rPr>
        <w:t>in</w:t>
      </w:r>
      <w:r>
        <w:rPr>
          <w:spacing w:val="40"/>
          <w:w w:val="110"/>
        </w:rPr>
        <w:t> </w:t>
      </w:r>
      <w:r>
        <w:rPr>
          <w:w w:val="110"/>
        </w:rPr>
        <w:t>accordance</w:t>
      </w:r>
      <w:r>
        <w:rPr>
          <w:spacing w:val="40"/>
          <w:w w:val="110"/>
        </w:rPr>
        <w:t> </w:t>
      </w:r>
      <w:r>
        <w:rPr>
          <w:rFonts w:ascii="Lucida Sans Unicode" w:hAnsi="Lucida Sans Unicode"/>
        </w:rPr>
        <w:t>with Article 4 WA. These remedies are </w:t>
      </w:r>
      <w:r>
        <w:rPr>
          <w:w w:val="110"/>
        </w:rPr>
        <w:t>‘recognised and available in domestic </w:t>
      </w:r>
      <w:r>
        <w:rPr>
          <w:rFonts w:ascii="Lucida Sans Unicode" w:hAnsi="Lucida Sans Unicode"/>
          <w:spacing w:val="-2"/>
          <w:w w:val="110"/>
        </w:rPr>
        <w:t>law’</w:t>
      </w:r>
      <w:r>
        <w:rPr>
          <w:rFonts w:ascii="Lucida Sans Unicode" w:hAnsi="Lucida Sans Unicode"/>
          <w:spacing w:val="-19"/>
          <w:w w:val="110"/>
        </w:rPr>
        <w:t> </w:t>
      </w:r>
      <w:r>
        <w:rPr>
          <w:rFonts w:ascii="Lucida Sans Unicode" w:hAnsi="Lucida Sans Unicode"/>
          <w:spacing w:val="-2"/>
          <w:w w:val="110"/>
        </w:rPr>
        <w:t>by</w:t>
      </w:r>
      <w:r>
        <w:rPr>
          <w:rFonts w:ascii="Lucida Sans Unicode" w:hAnsi="Lucida Sans Unicode"/>
          <w:spacing w:val="-19"/>
          <w:w w:val="110"/>
        </w:rPr>
        <w:t> </w:t>
      </w:r>
      <w:r>
        <w:rPr>
          <w:rFonts w:ascii="Lucida Sans Unicode" w:hAnsi="Lucida Sans Unicode"/>
          <w:spacing w:val="-2"/>
          <w:w w:val="110"/>
        </w:rPr>
        <w:t>virtue</w:t>
      </w:r>
      <w:r>
        <w:rPr>
          <w:rFonts w:ascii="Lucida Sans Unicode" w:hAnsi="Lucida Sans Unicode"/>
          <w:spacing w:val="-19"/>
          <w:w w:val="110"/>
        </w:rPr>
        <w:t> </w:t>
      </w:r>
      <w:r>
        <w:rPr>
          <w:rFonts w:ascii="Lucida Sans Unicode" w:hAnsi="Lucida Sans Unicode"/>
          <w:spacing w:val="-2"/>
          <w:w w:val="110"/>
        </w:rPr>
        <w:t>of</w:t>
      </w:r>
      <w:r>
        <w:rPr>
          <w:rFonts w:ascii="Lucida Sans Unicode" w:hAnsi="Lucida Sans Unicode"/>
          <w:spacing w:val="-19"/>
          <w:w w:val="110"/>
        </w:rPr>
        <w:t> </w:t>
      </w:r>
      <w:r>
        <w:rPr>
          <w:rFonts w:ascii="Lucida Sans Unicode" w:hAnsi="Lucida Sans Unicode"/>
          <w:spacing w:val="-2"/>
          <w:w w:val="110"/>
        </w:rPr>
        <w:t>section</w:t>
      </w:r>
      <w:r>
        <w:rPr>
          <w:rFonts w:ascii="Lucida Sans Unicode" w:hAnsi="Lucida Sans Unicode"/>
          <w:spacing w:val="-19"/>
          <w:w w:val="110"/>
        </w:rPr>
        <w:t> </w:t>
      </w:r>
      <w:r>
        <w:rPr>
          <w:rFonts w:ascii="Lucida Sans Unicode" w:hAnsi="Lucida Sans Unicode"/>
          <w:spacing w:val="-2"/>
          <w:w w:val="110"/>
        </w:rPr>
        <w:t>7A</w:t>
      </w:r>
      <w:r>
        <w:rPr>
          <w:rFonts w:ascii="Lucida Sans Unicode" w:hAnsi="Lucida Sans Unicode"/>
          <w:spacing w:val="-19"/>
          <w:w w:val="110"/>
        </w:rPr>
        <w:t> </w:t>
      </w:r>
      <w:r>
        <w:rPr>
          <w:rFonts w:ascii="Lucida Sans Unicode" w:hAnsi="Lucida Sans Unicode"/>
          <w:spacing w:val="-2"/>
          <w:w w:val="110"/>
        </w:rPr>
        <w:t>(2)</w:t>
      </w:r>
      <w:r>
        <w:rPr>
          <w:rFonts w:ascii="Lucida Sans Unicode" w:hAnsi="Lucida Sans Unicode"/>
          <w:spacing w:val="-19"/>
          <w:w w:val="110"/>
        </w:rPr>
        <w:t> </w:t>
      </w:r>
      <w:r>
        <w:rPr>
          <w:rFonts w:ascii="Lucida Sans Unicode" w:hAnsi="Lucida Sans Unicode"/>
          <w:spacing w:val="-2"/>
          <w:w w:val="110"/>
        </w:rPr>
        <w:t>EUWA </w:t>
      </w:r>
      <w:r>
        <w:rPr>
          <w:rFonts w:ascii="Lucida Sans Unicode" w:hAnsi="Lucida Sans Unicode"/>
        </w:rPr>
        <w:t>2018. This then has the practical</w:t>
      </w:r>
      <w:r>
        <w:rPr>
          <w:rFonts w:ascii="Lucida Sans Unicode" w:hAnsi="Lucida Sans Unicode"/>
          <w:spacing w:val="40"/>
          <w:w w:val="110"/>
        </w:rPr>
        <w:t> </w:t>
      </w:r>
      <w:r>
        <w:rPr>
          <w:w w:val="110"/>
        </w:rPr>
        <w:t>effect of rendering the amendment</w:t>
      </w:r>
    </w:p>
    <w:p>
      <w:pPr>
        <w:pStyle w:val="BodyText"/>
        <w:spacing w:line="268" w:lineRule="auto" w:before="23"/>
        <w:ind w:right="533"/>
      </w:pPr>
      <w:r>
        <w:rPr>
          <w:w w:val="110"/>
        </w:rPr>
        <w:t>of an Annex </w:t>
      </w:r>
      <w:r>
        <w:rPr/>
        <w:t>1 </w:t>
      </w:r>
      <w:r>
        <w:rPr>
          <w:w w:val="110"/>
        </w:rPr>
        <w:t>Directive applicable</w:t>
      </w:r>
      <w:r>
        <w:rPr>
          <w:spacing w:val="40"/>
          <w:w w:val="110"/>
        </w:rPr>
        <w:t> </w:t>
      </w:r>
      <w:r>
        <w:rPr>
          <w:w w:val="110"/>
        </w:rPr>
        <w:t>in Northern Ireland and thus part </w:t>
      </w:r>
      <w:r>
        <w:rPr>
          <w:w w:val="110"/>
        </w:rPr>
        <w:t>of Northern Ireland law.</w:t>
      </w:r>
    </w:p>
    <w:p>
      <w:pPr>
        <w:spacing w:after="0" w:line="268" w:lineRule="auto"/>
        <w:sectPr>
          <w:type w:val="continuous"/>
          <w:pgSz w:w="11910" w:h="16840"/>
          <w:pgMar w:header="568" w:footer="580" w:top="0" w:bottom="280" w:left="1020" w:right="1020"/>
          <w:cols w:num="2" w:equalWidth="0">
            <w:col w:w="4693" w:space="353"/>
            <w:col w:w="4824"/>
          </w:cols>
        </w:sectPr>
      </w:pPr>
    </w:p>
    <w:p>
      <w:pPr>
        <w:pStyle w:val="BodyText"/>
        <w:spacing w:before="9"/>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131" name="Group 131"/>
                <wp:cNvGraphicFramePr>
                  <a:graphicFrameLocks/>
                </wp:cNvGraphicFramePr>
                <a:graphic>
                  <a:graphicData uri="http://schemas.microsoft.com/office/word/2010/wordprocessingGroup">
                    <wpg:wgp>
                      <wpg:cNvPr id="131" name="Group 131"/>
                      <wpg:cNvGrpSpPr/>
                      <wpg:grpSpPr>
                        <a:xfrm>
                          <a:off x="0" y="0"/>
                          <a:ext cx="6120130" cy="6350"/>
                          <a:chExt cx="6120130" cy="6350"/>
                        </a:xfrm>
                      </wpg:grpSpPr>
                      <wps:wsp>
                        <wps:cNvPr id="132" name="Graphic 132"/>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84"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7" w:val="left" w:leader="none"/>
        </w:tabs>
        <w:spacing w:line="206" w:lineRule="auto" w:before="85" w:after="0"/>
        <w:ind w:left="567" w:right="449" w:hanging="454"/>
        <w:jc w:val="both"/>
        <w:rPr>
          <w:sz w:val="16"/>
        </w:rPr>
      </w:pPr>
      <w:r>
        <w:rPr>
          <w:rFonts w:ascii="Arial"/>
          <w:w w:val="110"/>
          <w:sz w:val="16"/>
        </w:rPr>
        <w:t>A</w:t>
      </w:r>
      <w:r>
        <w:rPr>
          <w:rFonts w:ascii="Arial"/>
          <w:spacing w:val="15"/>
          <w:w w:val="110"/>
          <w:sz w:val="16"/>
        </w:rPr>
        <w:t> </w:t>
      </w:r>
      <w:r>
        <w:rPr>
          <w:rFonts w:ascii="Arial"/>
          <w:w w:val="110"/>
          <w:sz w:val="16"/>
        </w:rPr>
        <w:t>(doctrinal</w:t>
      </w:r>
      <w:r>
        <w:rPr>
          <w:rFonts w:ascii="Arial"/>
          <w:spacing w:val="15"/>
          <w:w w:val="110"/>
          <w:sz w:val="16"/>
        </w:rPr>
        <w:t> </w:t>
      </w:r>
      <w:r>
        <w:rPr>
          <w:rFonts w:ascii="Arial"/>
          <w:w w:val="110"/>
          <w:sz w:val="16"/>
        </w:rPr>
        <w:t>legal)</w:t>
      </w:r>
      <w:r>
        <w:rPr>
          <w:rFonts w:ascii="Arial"/>
          <w:spacing w:val="15"/>
          <w:w w:val="110"/>
          <w:sz w:val="16"/>
        </w:rPr>
        <w:t> </w:t>
      </w:r>
      <w:r>
        <w:rPr>
          <w:rFonts w:ascii="Arial"/>
          <w:w w:val="110"/>
          <w:sz w:val="16"/>
        </w:rPr>
        <w:t>explanation</w:t>
      </w:r>
      <w:r>
        <w:rPr>
          <w:rFonts w:ascii="Arial"/>
          <w:spacing w:val="15"/>
          <w:w w:val="110"/>
          <w:sz w:val="16"/>
        </w:rPr>
        <w:t> </w:t>
      </w:r>
      <w:r>
        <w:rPr>
          <w:rFonts w:ascii="Arial"/>
          <w:w w:val="110"/>
          <w:sz w:val="16"/>
        </w:rPr>
        <w:t>for</w:t>
      </w:r>
      <w:r>
        <w:rPr>
          <w:rFonts w:ascii="Arial"/>
          <w:spacing w:val="15"/>
          <w:w w:val="110"/>
          <w:sz w:val="16"/>
        </w:rPr>
        <w:t> </w:t>
      </w:r>
      <w:r>
        <w:rPr>
          <w:rFonts w:ascii="Arial"/>
          <w:w w:val="110"/>
          <w:sz w:val="16"/>
        </w:rPr>
        <w:t>the</w:t>
      </w:r>
      <w:r>
        <w:rPr>
          <w:rFonts w:ascii="Arial"/>
          <w:spacing w:val="15"/>
          <w:w w:val="110"/>
          <w:sz w:val="16"/>
        </w:rPr>
        <w:t> </w:t>
      </w:r>
      <w:r>
        <w:rPr>
          <w:rFonts w:ascii="Arial"/>
          <w:w w:val="110"/>
          <w:sz w:val="16"/>
        </w:rPr>
        <w:t>difference</w:t>
      </w:r>
      <w:r>
        <w:rPr>
          <w:rFonts w:ascii="Arial"/>
          <w:spacing w:val="15"/>
          <w:w w:val="110"/>
          <w:sz w:val="16"/>
        </w:rPr>
        <w:t> </w:t>
      </w:r>
      <w:r>
        <w:rPr>
          <w:rFonts w:ascii="Arial"/>
          <w:w w:val="110"/>
          <w:sz w:val="16"/>
        </w:rPr>
        <w:t>in</w:t>
      </w:r>
      <w:r>
        <w:rPr>
          <w:rFonts w:ascii="Arial"/>
          <w:spacing w:val="15"/>
          <w:w w:val="110"/>
          <w:sz w:val="16"/>
        </w:rPr>
        <w:t> </w:t>
      </w:r>
      <w:r>
        <w:rPr>
          <w:rFonts w:ascii="Arial"/>
          <w:w w:val="110"/>
          <w:sz w:val="16"/>
        </w:rPr>
        <w:t>treatment</w:t>
      </w:r>
      <w:r>
        <w:rPr>
          <w:rFonts w:ascii="Arial"/>
          <w:spacing w:val="15"/>
          <w:w w:val="110"/>
          <w:sz w:val="16"/>
        </w:rPr>
        <w:t> </w:t>
      </w:r>
      <w:r>
        <w:rPr>
          <w:rFonts w:ascii="Arial"/>
          <w:w w:val="110"/>
          <w:sz w:val="16"/>
        </w:rPr>
        <w:t>between</w:t>
      </w:r>
      <w:r>
        <w:rPr>
          <w:rFonts w:ascii="Arial"/>
          <w:spacing w:val="15"/>
          <w:w w:val="110"/>
          <w:sz w:val="16"/>
        </w:rPr>
        <w:t> </w:t>
      </w:r>
      <w:r>
        <w:rPr>
          <w:rFonts w:ascii="Arial"/>
          <w:w w:val="110"/>
          <w:sz w:val="16"/>
        </w:rPr>
        <w:t>the</w:t>
      </w:r>
      <w:r>
        <w:rPr>
          <w:rFonts w:ascii="Arial"/>
          <w:spacing w:val="15"/>
          <w:w w:val="110"/>
          <w:sz w:val="16"/>
        </w:rPr>
        <w:t> </w:t>
      </w:r>
      <w:r>
        <w:rPr>
          <w:rFonts w:ascii="Arial"/>
          <w:w w:val="110"/>
          <w:sz w:val="16"/>
        </w:rPr>
        <w:t>directives</w:t>
      </w:r>
      <w:r>
        <w:rPr>
          <w:rFonts w:ascii="Arial"/>
          <w:spacing w:val="15"/>
          <w:w w:val="110"/>
          <w:sz w:val="16"/>
        </w:rPr>
        <w:t> </w:t>
      </w:r>
      <w:r>
        <w:rPr>
          <w:rFonts w:ascii="Arial"/>
          <w:w w:val="110"/>
          <w:sz w:val="16"/>
        </w:rPr>
        <w:t>referenced</w:t>
      </w:r>
      <w:r>
        <w:rPr>
          <w:rFonts w:ascii="Arial"/>
          <w:spacing w:val="15"/>
          <w:w w:val="110"/>
          <w:sz w:val="16"/>
        </w:rPr>
        <w:t> </w:t>
      </w:r>
      <w:r>
        <w:rPr>
          <w:rFonts w:ascii="Arial"/>
          <w:w w:val="110"/>
          <w:sz w:val="16"/>
        </w:rPr>
        <w:t>in</w:t>
      </w:r>
      <w:r>
        <w:rPr>
          <w:rFonts w:ascii="Arial"/>
          <w:spacing w:val="15"/>
          <w:w w:val="110"/>
          <w:sz w:val="16"/>
        </w:rPr>
        <w:t> </w:t>
      </w:r>
      <w:r>
        <w:rPr>
          <w:rFonts w:ascii="Arial"/>
          <w:w w:val="110"/>
          <w:sz w:val="16"/>
        </w:rPr>
        <w:t>Annex</w:t>
      </w:r>
      <w:r>
        <w:rPr>
          <w:rFonts w:ascii="Arial"/>
          <w:spacing w:val="15"/>
          <w:w w:val="110"/>
          <w:sz w:val="16"/>
        </w:rPr>
        <w:t> </w:t>
      </w:r>
      <w:r>
        <w:rPr>
          <w:rFonts w:ascii="Arial"/>
          <w:sz w:val="16"/>
        </w:rPr>
        <w:t>1</w:t>
      </w:r>
      <w:r>
        <w:rPr>
          <w:rFonts w:ascii="Arial"/>
          <w:spacing w:val="15"/>
          <w:w w:val="110"/>
          <w:sz w:val="16"/>
        </w:rPr>
        <w:t> </w:t>
      </w:r>
      <w:r>
        <w:rPr>
          <w:rFonts w:ascii="Arial"/>
          <w:w w:val="110"/>
          <w:sz w:val="16"/>
        </w:rPr>
        <w:t>and </w:t>
      </w:r>
      <w:r>
        <w:rPr>
          <w:sz w:val="16"/>
        </w:rPr>
        <w:t>EU measures referenced in Annexes 2-5 could be that other measures in the Windsor Framework, such as those </w:t>
      </w:r>
      <w:r>
        <w:rPr>
          <w:rFonts w:ascii="Arial"/>
          <w:w w:val="110"/>
          <w:sz w:val="16"/>
        </w:rPr>
        <w:t>concerning</w:t>
      </w:r>
      <w:r>
        <w:rPr>
          <w:rFonts w:ascii="Arial"/>
          <w:spacing w:val="24"/>
          <w:w w:val="110"/>
          <w:sz w:val="16"/>
        </w:rPr>
        <w:t> </w:t>
      </w:r>
      <w:r>
        <w:rPr>
          <w:rFonts w:ascii="Arial"/>
          <w:w w:val="110"/>
          <w:sz w:val="16"/>
        </w:rPr>
        <w:t>the</w:t>
      </w:r>
      <w:r>
        <w:rPr>
          <w:rFonts w:ascii="Arial"/>
          <w:spacing w:val="24"/>
          <w:w w:val="110"/>
          <w:sz w:val="16"/>
        </w:rPr>
        <w:t> </w:t>
      </w:r>
      <w:r>
        <w:rPr>
          <w:rFonts w:ascii="Arial"/>
          <w:w w:val="110"/>
          <w:sz w:val="16"/>
        </w:rPr>
        <w:t>free</w:t>
      </w:r>
      <w:r>
        <w:rPr>
          <w:rFonts w:ascii="Arial"/>
          <w:spacing w:val="24"/>
          <w:w w:val="110"/>
          <w:sz w:val="16"/>
        </w:rPr>
        <w:t> </w:t>
      </w:r>
      <w:r>
        <w:rPr>
          <w:rFonts w:ascii="Arial"/>
          <w:w w:val="110"/>
          <w:sz w:val="16"/>
        </w:rPr>
        <w:t>movement</w:t>
      </w:r>
      <w:r>
        <w:rPr>
          <w:rFonts w:ascii="Arial"/>
          <w:spacing w:val="24"/>
          <w:w w:val="110"/>
          <w:sz w:val="16"/>
        </w:rPr>
        <w:t> </w:t>
      </w:r>
      <w:r>
        <w:rPr>
          <w:rFonts w:ascii="Arial"/>
          <w:w w:val="110"/>
          <w:sz w:val="16"/>
        </w:rPr>
        <w:t>of</w:t>
      </w:r>
      <w:r>
        <w:rPr>
          <w:rFonts w:ascii="Arial"/>
          <w:spacing w:val="24"/>
          <w:w w:val="110"/>
          <w:sz w:val="16"/>
        </w:rPr>
        <w:t> </w:t>
      </w:r>
      <w:r>
        <w:rPr>
          <w:rFonts w:ascii="Arial"/>
          <w:w w:val="110"/>
          <w:sz w:val="16"/>
        </w:rPr>
        <w:t>goods,</w:t>
      </w:r>
      <w:r>
        <w:rPr>
          <w:rFonts w:ascii="Arial"/>
          <w:spacing w:val="24"/>
          <w:w w:val="110"/>
          <w:sz w:val="16"/>
        </w:rPr>
        <w:t> </w:t>
      </w:r>
      <w:r>
        <w:rPr>
          <w:rFonts w:ascii="Arial"/>
          <w:w w:val="110"/>
          <w:sz w:val="16"/>
        </w:rPr>
        <w:t>or</w:t>
      </w:r>
      <w:r>
        <w:rPr>
          <w:rFonts w:ascii="Arial"/>
          <w:spacing w:val="24"/>
          <w:w w:val="110"/>
          <w:sz w:val="16"/>
        </w:rPr>
        <w:t> </w:t>
      </w:r>
      <w:r>
        <w:rPr>
          <w:rFonts w:ascii="Arial"/>
          <w:w w:val="110"/>
          <w:sz w:val="16"/>
        </w:rPr>
        <w:t>indeed</w:t>
      </w:r>
      <w:r>
        <w:rPr>
          <w:rFonts w:ascii="Arial"/>
          <w:spacing w:val="24"/>
          <w:w w:val="110"/>
          <w:sz w:val="16"/>
        </w:rPr>
        <w:t> </w:t>
      </w:r>
      <w:r>
        <w:rPr>
          <w:rFonts w:ascii="Arial"/>
          <w:w w:val="110"/>
          <w:sz w:val="16"/>
        </w:rPr>
        <w:t>entire</w:t>
      </w:r>
      <w:r>
        <w:rPr>
          <w:rFonts w:ascii="Arial"/>
          <w:spacing w:val="24"/>
          <w:w w:val="110"/>
          <w:sz w:val="16"/>
        </w:rPr>
        <w:t> </w:t>
      </w:r>
      <w:r>
        <w:rPr>
          <w:rFonts w:ascii="Arial"/>
          <w:w w:val="110"/>
          <w:sz w:val="16"/>
        </w:rPr>
        <w:t>sections</w:t>
      </w:r>
      <w:r>
        <w:rPr>
          <w:rFonts w:ascii="Arial"/>
          <w:spacing w:val="24"/>
          <w:w w:val="110"/>
          <w:sz w:val="16"/>
        </w:rPr>
        <w:t> </w:t>
      </w:r>
      <w:r>
        <w:rPr>
          <w:rFonts w:ascii="Arial"/>
          <w:w w:val="110"/>
          <w:sz w:val="16"/>
        </w:rPr>
        <w:t>of</w:t>
      </w:r>
      <w:r>
        <w:rPr>
          <w:rFonts w:ascii="Arial"/>
          <w:spacing w:val="24"/>
          <w:w w:val="110"/>
          <w:sz w:val="16"/>
        </w:rPr>
        <w:t> </w:t>
      </w:r>
      <w:r>
        <w:rPr>
          <w:rFonts w:ascii="Arial"/>
          <w:w w:val="110"/>
          <w:sz w:val="16"/>
        </w:rPr>
        <w:t>the</w:t>
      </w:r>
      <w:r>
        <w:rPr>
          <w:rFonts w:ascii="Arial"/>
          <w:spacing w:val="24"/>
          <w:w w:val="110"/>
          <w:sz w:val="16"/>
        </w:rPr>
        <w:t> </w:t>
      </w:r>
      <w:r>
        <w:rPr>
          <w:rFonts w:ascii="Arial"/>
          <w:w w:val="110"/>
          <w:sz w:val="16"/>
        </w:rPr>
        <w:t>Withdrawal</w:t>
      </w:r>
      <w:r>
        <w:rPr>
          <w:rFonts w:ascii="Arial"/>
          <w:spacing w:val="24"/>
          <w:w w:val="110"/>
          <w:sz w:val="16"/>
        </w:rPr>
        <w:t> </w:t>
      </w:r>
      <w:r>
        <w:rPr>
          <w:rFonts w:ascii="Arial"/>
          <w:w w:val="110"/>
          <w:sz w:val="16"/>
        </w:rPr>
        <w:t>Agreement</w:t>
      </w:r>
      <w:r>
        <w:rPr>
          <w:rFonts w:ascii="Arial"/>
          <w:spacing w:val="24"/>
          <w:w w:val="110"/>
          <w:sz w:val="16"/>
        </w:rPr>
        <w:t> </w:t>
      </w:r>
      <w:r>
        <w:rPr>
          <w:rFonts w:ascii="Arial"/>
          <w:w w:val="110"/>
          <w:sz w:val="16"/>
        </w:rPr>
        <w:t>itself,</w:t>
      </w:r>
      <w:r>
        <w:rPr>
          <w:rFonts w:ascii="Arial"/>
          <w:spacing w:val="24"/>
          <w:w w:val="110"/>
          <w:sz w:val="16"/>
        </w:rPr>
        <w:t> </w:t>
      </w:r>
      <w:r>
        <w:rPr>
          <w:rFonts w:ascii="Arial"/>
          <w:w w:val="110"/>
          <w:sz w:val="16"/>
        </w:rPr>
        <w:t>such</w:t>
      </w:r>
    </w:p>
    <w:p>
      <w:pPr>
        <w:spacing w:line="249" w:lineRule="auto" w:before="20"/>
        <w:ind w:left="567" w:right="305" w:firstLine="0"/>
        <w:jc w:val="left"/>
        <w:rPr>
          <w:rFonts w:ascii="Lucida Sans Unicode"/>
          <w:sz w:val="16"/>
        </w:rPr>
      </w:pPr>
      <w:r>
        <w:rPr>
          <w:w w:val="110"/>
          <w:sz w:val="16"/>
        </w:rPr>
        <w:t>as the free movement of persons, required more explicit language to set up an agreeable legal framework that would</w:t>
      </w:r>
      <w:r>
        <w:rPr>
          <w:spacing w:val="16"/>
          <w:w w:val="110"/>
          <w:sz w:val="16"/>
        </w:rPr>
        <w:t> </w:t>
      </w:r>
      <w:r>
        <w:rPr>
          <w:w w:val="110"/>
          <w:sz w:val="16"/>
        </w:rPr>
        <w:t>not</w:t>
      </w:r>
      <w:r>
        <w:rPr>
          <w:spacing w:val="16"/>
          <w:w w:val="110"/>
          <w:sz w:val="16"/>
        </w:rPr>
        <w:t> </w:t>
      </w:r>
      <w:r>
        <w:rPr>
          <w:w w:val="110"/>
          <w:sz w:val="16"/>
        </w:rPr>
        <w:t>otherwise</w:t>
      </w:r>
      <w:r>
        <w:rPr>
          <w:spacing w:val="16"/>
          <w:w w:val="110"/>
          <w:sz w:val="16"/>
        </w:rPr>
        <w:t> </w:t>
      </w:r>
      <w:r>
        <w:rPr>
          <w:w w:val="110"/>
          <w:sz w:val="16"/>
        </w:rPr>
        <w:t>have</w:t>
      </w:r>
      <w:r>
        <w:rPr>
          <w:spacing w:val="16"/>
          <w:w w:val="110"/>
          <w:sz w:val="16"/>
        </w:rPr>
        <w:t> </w:t>
      </w:r>
      <w:r>
        <w:rPr>
          <w:w w:val="110"/>
          <w:sz w:val="16"/>
        </w:rPr>
        <w:t>existed</w:t>
      </w:r>
      <w:r>
        <w:rPr>
          <w:spacing w:val="16"/>
          <w:w w:val="110"/>
          <w:sz w:val="16"/>
        </w:rPr>
        <w:t> </w:t>
      </w:r>
      <w:r>
        <w:rPr>
          <w:w w:val="110"/>
          <w:sz w:val="16"/>
        </w:rPr>
        <w:t>in</w:t>
      </w:r>
      <w:r>
        <w:rPr>
          <w:spacing w:val="16"/>
          <w:w w:val="110"/>
          <w:sz w:val="16"/>
        </w:rPr>
        <w:t> </w:t>
      </w:r>
      <w:r>
        <w:rPr>
          <w:w w:val="110"/>
          <w:sz w:val="16"/>
        </w:rPr>
        <w:t>the</w:t>
      </w:r>
      <w:r>
        <w:rPr>
          <w:spacing w:val="16"/>
          <w:w w:val="110"/>
          <w:sz w:val="16"/>
        </w:rPr>
        <w:t> </w:t>
      </w:r>
      <w:r>
        <w:rPr>
          <w:w w:val="110"/>
          <w:sz w:val="16"/>
        </w:rPr>
        <w:t>UK</w:t>
      </w:r>
      <w:r>
        <w:rPr>
          <w:spacing w:val="16"/>
          <w:w w:val="110"/>
          <w:sz w:val="16"/>
        </w:rPr>
        <w:t> </w:t>
      </w:r>
      <w:r>
        <w:rPr>
          <w:w w:val="110"/>
          <w:sz w:val="16"/>
        </w:rPr>
        <w:t>following</w:t>
      </w:r>
      <w:r>
        <w:rPr>
          <w:spacing w:val="16"/>
          <w:w w:val="110"/>
          <w:sz w:val="16"/>
        </w:rPr>
        <w:t> </w:t>
      </w:r>
      <w:r>
        <w:rPr>
          <w:w w:val="110"/>
          <w:sz w:val="16"/>
        </w:rPr>
        <w:t>Brexit.</w:t>
      </w:r>
      <w:r>
        <w:rPr>
          <w:spacing w:val="16"/>
          <w:w w:val="110"/>
          <w:sz w:val="16"/>
        </w:rPr>
        <w:t> </w:t>
      </w:r>
      <w:r>
        <w:rPr>
          <w:w w:val="110"/>
          <w:sz w:val="16"/>
        </w:rPr>
        <w:t>By</w:t>
      </w:r>
      <w:r>
        <w:rPr>
          <w:spacing w:val="16"/>
          <w:w w:val="110"/>
          <w:sz w:val="16"/>
        </w:rPr>
        <w:t> </w:t>
      </w:r>
      <w:r>
        <w:rPr>
          <w:w w:val="110"/>
          <w:sz w:val="16"/>
        </w:rPr>
        <w:t>contrast,</w:t>
      </w:r>
      <w:r>
        <w:rPr>
          <w:spacing w:val="16"/>
          <w:w w:val="110"/>
          <w:sz w:val="16"/>
        </w:rPr>
        <w:t> </w:t>
      </w:r>
      <w:r>
        <w:rPr>
          <w:w w:val="110"/>
          <w:sz w:val="16"/>
        </w:rPr>
        <w:t>the</w:t>
      </w:r>
      <w:r>
        <w:rPr>
          <w:spacing w:val="16"/>
          <w:w w:val="110"/>
          <w:sz w:val="16"/>
        </w:rPr>
        <w:t> </w:t>
      </w:r>
      <w:r>
        <w:rPr>
          <w:w w:val="110"/>
          <w:sz w:val="16"/>
        </w:rPr>
        <w:t>Annex</w:t>
      </w:r>
      <w:r>
        <w:rPr>
          <w:spacing w:val="16"/>
          <w:w w:val="110"/>
          <w:sz w:val="16"/>
        </w:rPr>
        <w:t> </w:t>
      </w:r>
      <w:r>
        <w:rPr>
          <w:sz w:val="16"/>
        </w:rPr>
        <w:t>1</w:t>
      </w:r>
      <w:r>
        <w:rPr>
          <w:spacing w:val="16"/>
          <w:w w:val="110"/>
          <w:sz w:val="16"/>
        </w:rPr>
        <w:t> </w:t>
      </w:r>
      <w:r>
        <w:rPr>
          <w:w w:val="110"/>
          <w:sz w:val="16"/>
        </w:rPr>
        <w:t>directives</w:t>
      </w:r>
      <w:r>
        <w:rPr>
          <w:spacing w:val="16"/>
          <w:w w:val="110"/>
          <w:sz w:val="16"/>
        </w:rPr>
        <w:t> </w:t>
      </w:r>
      <w:r>
        <w:rPr>
          <w:w w:val="110"/>
          <w:sz w:val="16"/>
        </w:rPr>
        <w:t>had</w:t>
      </w:r>
      <w:r>
        <w:rPr>
          <w:spacing w:val="16"/>
          <w:w w:val="110"/>
          <w:sz w:val="16"/>
        </w:rPr>
        <w:t> </w:t>
      </w:r>
      <w:r>
        <w:rPr>
          <w:w w:val="110"/>
          <w:sz w:val="16"/>
        </w:rPr>
        <w:t>already</w:t>
      </w:r>
      <w:r>
        <w:rPr>
          <w:w w:val="110"/>
          <w:sz w:val="16"/>
        </w:rPr>
        <w:t> been</w:t>
      </w:r>
      <w:r>
        <w:rPr>
          <w:spacing w:val="20"/>
          <w:w w:val="110"/>
          <w:sz w:val="16"/>
        </w:rPr>
        <w:t> </w:t>
      </w:r>
      <w:r>
        <w:rPr>
          <w:w w:val="110"/>
          <w:sz w:val="16"/>
        </w:rPr>
        <w:t>implemented</w:t>
      </w:r>
      <w:r>
        <w:rPr>
          <w:spacing w:val="20"/>
          <w:w w:val="110"/>
          <w:sz w:val="16"/>
        </w:rPr>
        <w:t> </w:t>
      </w:r>
      <w:r>
        <w:rPr>
          <w:w w:val="110"/>
          <w:sz w:val="16"/>
        </w:rPr>
        <w:t>in</w:t>
      </w:r>
      <w:r>
        <w:rPr>
          <w:spacing w:val="20"/>
          <w:w w:val="110"/>
          <w:sz w:val="16"/>
        </w:rPr>
        <w:t> </w:t>
      </w:r>
      <w:r>
        <w:rPr>
          <w:w w:val="110"/>
          <w:sz w:val="16"/>
        </w:rPr>
        <w:t>domestic</w:t>
      </w:r>
      <w:r>
        <w:rPr>
          <w:spacing w:val="20"/>
          <w:w w:val="110"/>
          <w:sz w:val="16"/>
        </w:rPr>
        <w:t> </w:t>
      </w:r>
      <w:r>
        <w:rPr>
          <w:w w:val="110"/>
          <w:sz w:val="16"/>
        </w:rPr>
        <w:t>law</w:t>
      </w:r>
      <w:r>
        <w:rPr>
          <w:spacing w:val="20"/>
          <w:w w:val="110"/>
          <w:sz w:val="16"/>
        </w:rPr>
        <w:t> </w:t>
      </w:r>
      <w:r>
        <w:rPr>
          <w:w w:val="110"/>
          <w:sz w:val="16"/>
        </w:rPr>
        <w:t>and</w:t>
      </w:r>
      <w:r>
        <w:rPr>
          <w:spacing w:val="20"/>
          <w:w w:val="110"/>
          <w:sz w:val="16"/>
        </w:rPr>
        <w:t> </w:t>
      </w:r>
      <w:r>
        <w:rPr>
          <w:w w:val="110"/>
          <w:sz w:val="16"/>
        </w:rPr>
        <w:t>were</w:t>
      </w:r>
      <w:r>
        <w:rPr>
          <w:spacing w:val="20"/>
          <w:w w:val="110"/>
          <w:sz w:val="16"/>
        </w:rPr>
        <w:t> </w:t>
      </w:r>
      <w:r>
        <w:rPr>
          <w:w w:val="110"/>
          <w:sz w:val="16"/>
        </w:rPr>
        <w:t>not</w:t>
      </w:r>
      <w:r>
        <w:rPr>
          <w:spacing w:val="20"/>
          <w:w w:val="110"/>
          <w:sz w:val="16"/>
        </w:rPr>
        <w:t> </w:t>
      </w:r>
      <w:r>
        <w:rPr>
          <w:w w:val="110"/>
          <w:sz w:val="16"/>
        </w:rPr>
        <w:t>subject</w:t>
      </w:r>
      <w:r>
        <w:rPr>
          <w:spacing w:val="20"/>
          <w:w w:val="110"/>
          <w:sz w:val="16"/>
        </w:rPr>
        <w:t> </w:t>
      </w:r>
      <w:r>
        <w:rPr>
          <w:w w:val="110"/>
          <w:sz w:val="16"/>
        </w:rPr>
        <w:t>to</w:t>
      </w:r>
      <w:r>
        <w:rPr>
          <w:spacing w:val="20"/>
          <w:w w:val="110"/>
          <w:sz w:val="16"/>
        </w:rPr>
        <w:t> </w:t>
      </w:r>
      <w:r>
        <w:rPr>
          <w:w w:val="110"/>
          <w:sz w:val="16"/>
        </w:rPr>
        <w:t>immediate</w:t>
      </w:r>
      <w:r>
        <w:rPr>
          <w:spacing w:val="20"/>
          <w:w w:val="110"/>
          <w:sz w:val="16"/>
        </w:rPr>
        <w:t> </w:t>
      </w:r>
      <w:r>
        <w:rPr>
          <w:w w:val="110"/>
          <w:sz w:val="16"/>
        </w:rPr>
        <w:t>removal</w:t>
      </w:r>
      <w:r>
        <w:rPr>
          <w:spacing w:val="20"/>
          <w:w w:val="110"/>
          <w:sz w:val="16"/>
        </w:rPr>
        <w:t> </w:t>
      </w:r>
      <w:r>
        <w:rPr>
          <w:w w:val="110"/>
          <w:sz w:val="16"/>
        </w:rPr>
        <w:t>because</w:t>
      </w:r>
      <w:r>
        <w:rPr>
          <w:spacing w:val="20"/>
          <w:w w:val="110"/>
          <w:sz w:val="16"/>
        </w:rPr>
        <w:t> </w:t>
      </w:r>
      <w:r>
        <w:rPr>
          <w:w w:val="110"/>
          <w:sz w:val="16"/>
        </w:rPr>
        <w:t>of</w:t>
      </w:r>
      <w:r>
        <w:rPr>
          <w:spacing w:val="20"/>
          <w:w w:val="110"/>
          <w:sz w:val="16"/>
        </w:rPr>
        <w:t> </w:t>
      </w:r>
      <w:r>
        <w:rPr>
          <w:w w:val="110"/>
          <w:sz w:val="16"/>
        </w:rPr>
        <w:t>Brexit</w:t>
      </w:r>
      <w:r>
        <w:rPr>
          <w:spacing w:val="20"/>
          <w:w w:val="110"/>
          <w:sz w:val="16"/>
        </w:rPr>
        <w:t> </w:t>
      </w:r>
      <w:r>
        <w:rPr>
          <w:w w:val="110"/>
          <w:sz w:val="16"/>
        </w:rPr>
        <w:t>anywhere</w:t>
      </w:r>
      <w:r>
        <w:rPr>
          <w:spacing w:val="20"/>
          <w:w w:val="110"/>
          <w:sz w:val="16"/>
        </w:rPr>
        <w:t> </w:t>
      </w:r>
      <w:r>
        <w:rPr>
          <w:w w:val="110"/>
          <w:sz w:val="16"/>
        </w:rPr>
        <w:t>in </w:t>
      </w:r>
      <w:r>
        <w:rPr>
          <w:rFonts w:ascii="Lucida Sans Unicode"/>
          <w:sz w:val="16"/>
        </w:rPr>
        <w:t>the UK. Article 2 Windsor Framework merely served the purpose of safeguarding against the possibility of future</w:t>
      </w:r>
    </w:p>
    <w:p>
      <w:pPr>
        <w:spacing w:line="150" w:lineRule="exact" w:before="0"/>
        <w:ind w:left="567" w:right="0" w:firstLine="0"/>
        <w:jc w:val="left"/>
        <w:rPr>
          <w:sz w:val="16"/>
        </w:rPr>
      </w:pPr>
      <w:r>
        <w:rPr>
          <w:w w:val="110"/>
          <w:sz w:val="16"/>
        </w:rPr>
        <w:t>diminution</w:t>
      </w:r>
      <w:r>
        <w:rPr>
          <w:spacing w:val="7"/>
          <w:w w:val="110"/>
          <w:sz w:val="16"/>
        </w:rPr>
        <w:t> </w:t>
      </w:r>
      <w:r>
        <w:rPr>
          <w:w w:val="110"/>
          <w:sz w:val="16"/>
        </w:rPr>
        <w:t>in</w:t>
      </w:r>
      <w:r>
        <w:rPr>
          <w:spacing w:val="7"/>
          <w:w w:val="110"/>
          <w:sz w:val="16"/>
        </w:rPr>
        <w:t> </w:t>
      </w:r>
      <w:r>
        <w:rPr>
          <w:w w:val="110"/>
          <w:sz w:val="16"/>
        </w:rPr>
        <w:t>Northern</w:t>
      </w:r>
      <w:r>
        <w:rPr>
          <w:spacing w:val="7"/>
          <w:w w:val="110"/>
          <w:sz w:val="16"/>
        </w:rPr>
        <w:t> </w:t>
      </w:r>
      <w:r>
        <w:rPr>
          <w:w w:val="110"/>
          <w:sz w:val="16"/>
        </w:rPr>
        <w:t>Ireland,</w:t>
      </w:r>
      <w:r>
        <w:rPr>
          <w:spacing w:val="7"/>
          <w:w w:val="110"/>
          <w:sz w:val="16"/>
        </w:rPr>
        <w:t> </w:t>
      </w:r>
      <w:r>
        <w:rPr>
          <w:w w:val="110"/>
          <w:sz w:val="16"/>
        </w:rPr>
        <w:t>where</w:t>
      </w:r>
      <w:r>
        <w:rPr>
          <w:spacing w:val="7"/>
          <w:w w:val="110"/>
          <w:sz w:val="16"/>
        </w:rPr>
        <w:t> </w:t>
      </w:r>
      <w:r>
        <w:rPr>
          <w:w w:val="110"/>
          <w:sz w:val="16"/>
        </w:rPr>
        <w:t>the</w:t>
      </w:r>
      <w:r>
        <w:rPr>
          <w:spacing w:val="7"/>
          <w:w w:val="110"/>
          <w:sz w:val="16"/>
        </w:rPr>
        <w:t> </w:t>
      </w:r>
      <w:r>
        <w:rPr>
          <w:w w:val="110"/>
          <w:sz w:val="16"/>
        </w:rPr>
        <w:t>rights</w:t>
      </w:r>
      <w:r>
        <w:rPr>
          <w:spacing w:val="7"/>
          <w:w w:val="110"/>
          <w:sz w:val="16"/>
        </w:rPr>
        <w:t> </w:t>
      </w:r>
      <w:r>
        <w:rPr>
          <w:w w:val="110"/>
          <w:sz w:val="16"/>
        </w:rPr>
        <w:t>protected</w:t>
      </w:r>
      <w:r>
        <w:rPr>
          <w:spacing w:val="7"/>
          <w:w w:val="110"/>
          <w:sz w:val="16"/>
        </w:rPr>
        <w:t> </w:t>
      </w:r>
      <w:r>
        <w:rPr>
          <w:w w:val="110"/>
          <w:sz w:val="16"/>
        </w:rPr>
        <w:t>inter</w:t>
      </w:r>
      <w:r>
        <w:rPr>
          <w:spacing w:val="7"/>
          <w:w w:val="110"/>
          <w:sz w:val="16"/>
        </w:rPr>
        <w:t> </w:t>
      </w:r>
      <w:r>
        <w:rPr>
          <w:w w:val="110"/>
          <w:sz w:val="16"/>
        </w:rPr>
        <w:t>alia</w:t>
      </w:r>
      <w:r>
        <w:rPr>
          <w:spacing w:val="7"/>
          <w:w w:val="110"/>
          <w:sz w:val="16"/>
        </w:rPr>
        <w:t> </w:t>
      </w:r>
      <w:r>
        <w:rPr>
          <w:w w:val="110"/>
          <w:sz w:val="16"/>
        </w:rPr>
        <w:t>by</w:t>
      </w:r>
      <w:r>
        <w:rPr>
          <w:spacing w:val="7"/>
          <w:w w:val="110"/>
          <w:sz w:val="16"/>
        </w:rPr>
        <w:t> </w:t>
      </w:r>
      <w:r>
        <w:rPr>
          <w:w w:val="110"/>
          <w:sz w:val="16"/>
        </w:rPr>
        <w:t>EU</w:t>
      </w:r>
      <w:r>
        <w:rPr>
          <w:spacing w:val="7"/>
          <w:w w:val="110"/>
          <w:sz w:val="16"/>
        </w:rPr>
        <w:t> </w:t>
      </w:r>
      <w:r>
        <w:rPr>
          <w:w w:val="110"/>
          <w:sz w:val="16"/>
        </w:rPr>
        <w:t>law</w:t>
      </w:r>
      <w:r>
        <w:rPr>
          <w:spacing w:val="7"/>
          <w:w w:val="110"/>
          <w:sz w:val="16"/>
        </w:rPr>
        <w:t> </w:t>
      </w:r>
      <w:r>
        <w:rPr>
          <w:w w:val="110"/>
          <w:sz w:val="16"/>
        </w:rPr>
        <w:t>have</w:t>
      </w:r>
      <w:r>
        <w:rPr>
          <w:spacing w:val="7"/>
          <w:w w:val="110"/>
          <w:sz w:val="16"/>
        </w:rPr>
        <w:t> </w:t>
      </w:r>
      <w:r>
        <w:rPr>
          <w:w w:val="110"/>
          <w:sz w:val="16"/>
        </w:rPr>
        <w:t>had</w:t>
      </w:r>
      <w:r>
        <w:rPr>
          <w:spacing w:val="7"/>
          <w:w w:val="110"/>
          <w:sz w:val="16"/>
        </w:rPr>
        <w:t> </w:t>
      </w:r>
      <w:r>
        <w:rPr>
          <w:w w:val="110"/>
          <w:sz w:val="16"/>
        </w:rPr>
        <w:t>such</w:t>
      </w:r>
      <w:r>
        <w:rPr>
          <w:spacing w:val="7"/>
          <w:w w:val="110"/>
          <w:sz w:val="16"/>
        </w:rPr>
        <w:t> </w:t>
      </w:r>
      <w:r>
        <w:rPr>
          <w:w w:val="110"/>
          <w:sz w:val="16"/>
        </w:rPr>
        <w:t>considerable</w:t>
      </w:r>
      <w:r>
        <w:rPr>
          <w:spacing w:val="7"/>
          <w:w w:val="110"/>
          <w:sz w:val="16"/>
        </w:rPr>
        <w:t> </w:t>
      </w:r>
      <w:r>
        <w:rPr>
          <w:spacing w:val="-2"/>
          <w:w w:val="110"/>
          <w:sz w:val="16"/>
        </w:rPr>
        <w:t>historical</w:t>
      </w:r>
    </w:p>
    <w:p>
      <w:pPr>
        <w:spacing w:line="237" w:lineRule="auto" w:before="0"/>
        <w:ind w:left="567" w:right="227" w:firstLine="0"/>
        <w:jc w:val="left"/>
        <w:rPr>
          <w:sz w:val="16"/>
        </w:rPr>
      </w:pPr>
      <w:r>
        <w:rPr>
          <w:rFonts w:ascii="Lucida Sans Unicode" w:hAnsi="Lucida Sans Unicode"/>
          <w:sz w:val="16"/>
        </w:rPr>
        <w:t>and social significance. In other words, since Article 2 was not setting out a new legal framework, as opposed to </w:t>
      </w:r>
      <w:r>
        <w:rPr>
          <w:w w:val="110"/>
          <w:sz w:val="16"/>
        </w:rPr>
        <w:t>referring to rights that were already – and would continue to be – applicable in NI, there was no need for it to state</w:t>
      </w:r>
      <w:r>
        <w:rPr>
          <w:spacing w:val="40"/>
          <w:w w:val="110"/>
          <w:sz w:val="16"/>
        </w:rPr>
        <w:t> </w:t>
      </w:r>
      <w:r>
        <w:rPr>
          <w:w w:val="110"/>
          <w:sz w:val="16"/>
        </w:rPr>
        <w:t>that rights were ‘made applicable’ rather than simply referring to them in an Annex.</w:t>
      </w:r>
    </w:p>
    <w:p>
      <w:pPr>
        <w:pStyle w:val="ListParagraph"/>
        <w:numPr>
          <w:ilvl w:val="0"/>
          <w:numId w:val="6"/>
        </w:numPr>
        <w:tabs>
          <w:tab w:pos="567" w:val="left" w:leader="none"/>
        </w:tabs>
        <w:spacing w:line="213" w:lineRule="exact" w:before="0" w:after="0"/>
        <w:ind w:left="567" w:right="0" w:hanging="454"/>
        <w:jc w:val="left"/>
        <w:rPr>
          <w:sz w:val="16"/>
        </w:rPr>
      </w:pPr>
      <w:r>
        <w:rPr>
          <w:rFonts w:ascii="Arial"/>
          <w:w w:val="110"/>
          <w:sz w:val="16"/>
        </w:rPr>
        <w:t>For</w:t>
      </w:r>
      <w:r>
        <w:rPr>
          <w:rFonts w:ascii="Arial"/>
          <w:spacing w:val="-13"/>
          <w:w w:val="110"/>
          <w:sz w:val="16"/>
        </w:rPr>
        <w:t> </w:t>
      </w:r>
      <w:r>
        <w:rPr>
          <w:rFonts w:ascii="Arial"/>
          <w:w w:val="110"/>
          <w:sz w:val="16"/>
        </w:rPr>
        <w:t>examples</w:t>
      </w:r>
      <w:r>
        <w:rPr>
          <w:rFonts w:ascii="Arial"/>
          <w:spacing w:val="-12"/>
          <w:w w:val="110"/>
          <w:sz w:val="16"/>
        </w:rPr>
        <w:t> </w:t>
      </w:r>
      <w:r>
        <w:rPr>
          <w:rFonts w:ascii="Arial"/>
          <w:w w:val="110"/>
          <w:sz w:val="16"/>
        </w:rPr>
        <w:t>see</w:t>
      </w:r>
      <w:r>
        <w:rPr>
          <w:rFonts w:ascii="Arial"/>
          <w:spacing w:val="-11"/>
          <w:w w:val="110"/>
          <w:sz w:val="16"/>
        </w:rPr>
        <w:t> </w:t>
      </w:r>
      <w:r>
        <w:rPr>
          <w:rFonts w:ascii="Arial"/>
          <w:w w:val="110"/>
          <w:sz w:val="16"/>
        </w:rPr>
        <w:t>Craig</w:t>
      </w:r>
      <w:r>
        <w:rPr>
          <w:rFonts w:ascii="Arial"/>
          <w:spacing w:val="-8"/>
          <w:w w:val="110"/>
          <w:sz w:val="16"/>
        </w:rPr>
        <w:t> </w:t>
      </w:r>
      <w:r>
        <w:rPr>
          <w:rFonts w:ascii="Verdana"/>
          <w:i/>
          <w:w w:val="110"/>
          <w:sz w:val="16"/>
        </w:rPr>
        <w:t>et</w:t>
      </w:r>
      <w:r>
        <w:rPr>
          <w:rFonts w:ascii="Verdana"/>
          <w:i/>
          <w:spacing w:val="-16"/>
          <w:w w:val="110"/>
          <w:sz w:val="16"/>
        </w:rPr>
        <w:t> </w:t>
      </w:r>
      <w:r>
        <w:rPr>
          <w:rFonts w:ascii="Verdana"/>
          <w:i/>
          <w:w w:val="110"/>
          <w:sz w:val="16"/>
        </w:rPr>
        <w:t>al</w:t>
      </w:r>
      <w:r>
        <w:rPr>
          <w:rFonts w:ascii="Verdana"/>
          <w:i/>
          <w:spacing w:val="-15"/>
          <w:w w:val="110"/>
          <w:sz w:val="16"/>
        </w:rPr>
        <w:t> </w:t>
      </w:r>
      <w:r>
        <w:rPr>
          <w:rFonts w:ascii="Arial"/>
          <w:w w:val="110"/>
          <w:sz w:val="16"/>
        </w:rPr>
        <w:t>(n</w:t>
      </w:r>
      <w:r>
        <w:rPr>
          <w:rFonts w:ascii="Arial"/>
          <w:spacing w:val="-9"/>
          <w:w w:val="110"/>
          <w:sz w:val="16"/>
        </w:rPr>
        <w:t> </w:t>
      </w:r>
      <w:r>
        <w:rPr>
          <w:rFonts w:ascii="Arial"/>
          <w:spacing w:val="-5"/>
          <w:w w:val="110"/>
          <w:sz w:val="16"/>
        </w:rPr>
        <w:t>5).</w:t>
      </w:r>
    </w:p>
    <w:p>
      <w:pPr>
        <w:pStyle w:val="ListParagraph"/>
        <w:numPr>
          <w:ilvl w:val="0"/>
          <w:numId w:val="6"/>
        </w:numPr>
        <w:tabs>
          <w:tab w:pos="566" w:val="left" w:leader="none"/>
        </w:tabs>
        <w:spacing w:line="223" w:lineRule="exact" w:before="0" w:after="0"/>
        <w:ind w:left="566" w:right="0" w:hanging="453"/>
        <w:jc w:val="left"/>
        <w:rPr>
          <w:sz w:val="16"/>
        </w:rPr>
      </w:pPr>
      <w:r>
        <w:rPr>
          <w:spacing w:val="-2"/>
          <w:sz w:val="16"/>
        </w:rPr>
        <w:t>Denman</w:t>
      </w:r>
      <w:r>
        <w:rPr>
          <w:spacing w:val="-7"/>
          <w:sz w:val="16"/>
        </w:rPr>
        <w:t> </w:t>
      </w:r>
      <w:r>
        <w:rPr>
          <w:spacing w:val="-2"/>
          <w:sz w:val="16"/>
        </w:rPr>
        <w:t>(n</w:t>
      </w:r>
      <w:r>
        <w:rPr>
          <w:spacing w:val="-7"/>
          <w:sz w:val="16"/>
        </w:rPr>
        <w:t> </w:t>
      </w:r>
      <w:r>
        <w:rPr>
          <w:spacing w:val="-2"/>
          <w:sz w:val="16"/>
        </w:rPr>
        <w:t>183)</w:t>
      </w:r>
      <w:r>
        <w:rPr>
          <w:spacing w:val="-7"/>
          <w:sz w:val="16"/>
        </w:rPr>
        <w:t> </w:t>
      </w:r>
      <w:r>
        <w:rPr>
          <w:spacing w:val="-2"/>
          <w:sz w:val="16"/>
        </w:rPr>
        <w:t>para</w:t>
      </w:r>
      <w:r>
        <w:rPr>
          <w:spacing w:val="-7"/>
          <w:sz w:val="16"/>
        </w:rPr>
        <w:t> </w:t>
      </w:r>
      <w:r>
        <w:rPr>
          <w:spacing w:val="-2"/>
          <w:sz w:val="16"/>
        </w:rPr>
        <w:t>8.14,</w:t>
      </w:r>
      <w:r>
        <w:rPr>
          <w:spacing w:val="-6"/>
          <w:sz w:val="16"/>
        </w:rPr>
        <w:t> </w:t>
      </w:r>
      <w:r>
        <w:rPr>
          <w:spacing w:val="-2"/>
          <w:sz w:val="16"/>
        </w:rPr>
        <w:t>fn</w:t>
      </w:r>
      <w:r>
        <w:rPr>
          <w:spacing w:val="-7"/>
          <w:sz w:val="16"/>
        </w:rPr>
        <w:t> </w:t>
      </w:r>
      <w:r>
        <w:rPr>
          <w:spacing w:val="-5"/>
          <w:sz w:val="16"/>
        </w:rPr>
        <w:t>21.</w:t>
      </w:r>
    </w:p>
    <w:p>
      <w:pPr>
        <w:spacing w:after="0" w:line="223" w:lineRule="exact"/>
        <w:jc w:val="left"/>
        <w:rPr>
          <w:sz w:val="16"/>
        </w:rPr>
        <w:sectPr>
          <w:type w:val="continuous"/>
          <w:pgSz w:w="11910" w:h="16840"/>
          <w:pgMar w:header="568" w:footer="580" w:top="0" w:bottom="280" w:left="1020" w:right="1020"/>
        </w:sectPr>
      </w:pPr>
    </w:p>
    <w:p>
      <w:pPr>
        <w:pStyle w:val="BodyText"/>
        <w:ind w:left="0"/>
        <w:rPr>
          <w:rFonts w:ascii="Lucida Sans Unicode"/>
        </w:rPr>
      </w:pPr>
    </w:p>
    <w:p>
      <w:pPr>
        <w:pStyle w:val="BodyText"/>
        <w:spacing w:before="49"/>
        <w:ind w:left="0"/>
        <w:rPr>
          <w:rFonts w:ascii="Lucida Sans Unicode"/>
        </w:rPr>
      </w:pPr>
    </w:p>
    <w:p>
      <w:pPr>
        <w:pStyle w:val="BodyText"/>
        <w:spacing w:line="310" w:lineRule="exact"/>
        <w:ind w:right="5435"/>
      </w:pPr>
      <w:r>
        <w:rPr>
          <w:w w:val="110"/>
        </w:rPr>
        <w:t>This result is further backed up by the second sub-paragraph of </w:t>
      </w:r>
      <w:r>
        <w:rPr>
          <w:w w:val="110"/>
        </w:rPr>
        <w:t>Article </w:t>
      </w:r>
      <w:r>
        <w:rPr>
          <w:rFonts w:ascii="Lucida Sans Unicode" w:hAnsi="Lucida Sans Unicode"/>
        </w:rPr>
        <w:t>4 (1) WA, which provides that ‘legal or natural persons shall […] be able </w:t>
      </w:r>
      <w:r>
        <w:rPr>
          <w:w w:val="110"/>
        </w:rPr>
        <w:t>to rely directly on the provisions contained or referred to in this</w:t>
      </w:r>
    </w:p>
    <w:p>
      <w:pPr>
        <w:pStyle w:val="BodyText"/>
        <w:spacing w:line="268" w:lineRule="auto" w:before="23"/>
        <w:ind w:right="5095"/>
      </w:pPr>
      <w:r>
        <w:rPr>
          <w:w w:val="115"/>
        </w:rPr>
        <w:t>Agreement</w:t>
      </w:r>
      <w:r>
        <w:rPr>
          <w:spacing w:val="-19"/>
          <w:w w:val="115"/>
        </w:rPr>
        <w:t> </w:t>
      </w:r>
      <w:r>
        <w:rPr>
          <w:w w:val="115"/>
        </w:rPr>
        <w:t>which</w:t>
      </w:r>
      <w:r>
        <w:rPr>
          <w:spacing w:val="-19"/>
          <w:w w:val="115"/>
        </w:rPr>
        <w:t> </w:t>
      </w:r>
      <w:r>
        <w:rPr>
          <w:w w:val="115"/>
        </w:rPr>
        <w:t>meet</w:t>
      </w:r>
      <w:r>
        <w:rPr>
          <w:spacing w:val="-19"/>
          <w:w w:val="115"/>
        </w:rPr>
        <w:t> </w:t>
      </w:r>
      <w:r>
        <w:rPr>
          <w:w w:val="115"/>
        </w:rPr>
        <w:t>the</w:t>
      </w:r>
      <w:r>
        <w:rPr>
          <w:spacing w:val="-19"/>
          <w:w w:val="115"/>
        </w:rPr>
        <w:t> </w:t>
      </w:r>
      <w:r>
        <w:rPr>
          <w:w w:val="115"/>
        </w:rPr>
        <w:t>conditions for direct effect under Union law’.</w:t>
      </w:r>
    </w:p>
    <w:p>
      <w:pPr>
        <w:pStyle w:val="BodyText"/>
        <w:spacing w:before="26"/>
        <w:ind w:left="0"/>
      </w:pPr>
    </w:p>
    <w:p>
      <w:pPr>
        <w:pStyle w:val="BodyText"/>
        <w:spacing w:line="264" w:lineRule="auto"/>
        <w:ind w:right="5325"/>
      </w:pPr>
      <w:r>
        <w:rPr>
          <w:w w:val="110"/>
        </w:rPr>
        <w:t>In the end, regardless of the interpretive route employed (i.e., whether the Annex </w:t>
      </w:r>
      <w:r>
        <w:rPr/>
        <w:t>1 </w:t>
      </w:r>
      <w:r>
        <w:rPr>
          <w:w w:val="110"/>
        </w:rPr>
        <w:t>Directives </w:t>
      </w:r>
      <w:r>
        <w:rPr>
          <w:w w:val="110"/>
        </w:rPr>
        <w:t>apply </w:t>
      </w:r>
      <w:r>
        <w:rPr>
          <w:rFonts w:ascii="Verdana"/>
          <w:i/>
          <w:w w:val="110"/>
        </w:rPr>
        <w:t>as</w:t>
      </w:r>
      <w:r>
        <w:rPr>
          <w:rFonts w:ascii="Verdana"/>
          <w:i/>
          <w:spacing w:val="-2"/>
          <w:w w:val="110"/>
        </w:rPr>
        <w:t> </w:t>
      </w:r>
      <w:r>
        <w:rPr>
          <w:w w:val="110"/>
        </w:rPr>
        <w:t>EU law or simply as references</w:t>
      </w:r>
    </w:p>
    <w:p>
      <w:pPr>
        <w:pStyle w:val="BodyText"/>
        <w:spacing w:line="237" w:lineRule="auto" w:before="10"/>
        <w:ind w:right="5325"/>
        <w:rPr>
          <w:rFonts w:ascii="Lucida Sans Unicode"/>
        </w:rPr>
      </w:pPr>
      <w:r>
        <w:rPr>
          <w:w w:val="110"/>
        </w:rPr>
        <w:t>in the body of the directly </w:t>
      </w:r>
      <w:r>
        <w:rPr>
          <w:w w:val="110"/>
        </w:rPr>
        <w:t>effective </w:t>
      </w:r>
      <w:r>
        <w:rPr>
          <w:rFonts w:ascii="Lucida Sans Unicode"/>
          <w:w w:val="110"/>
        </w:rPr>
        <w:t>Article</w:t>
      </w:r>
      <w:r>
        <w:rPr>
          <w:rFonts w:ascii="Lucida Sans Unicode"/>
          <w:spacing w:val="-17"/>
          <w:w w:val="110"/>
        </w:rPr>
        <w:t> </w:t>
      </w:r>
      <w:r>
        <w:rPr>
          <w:rFonts w:ascii="Lucida Sans Unicode"/>
          <w:w w:val="110"/>
        </w:rPr>
        <w:t>2</w:t>
      </w:r>
      <w:r>
        <w:rPr>
          <w:rFonts w:ascii="Lucida Sans Unicode"/>
          <w:spacing w:val="-17"/>
          <w:w w:val="110"/>
        </w:rPr>
        <w:t> </w:t>
      </w:r>
      <w:r>
        <w:rPr>
          <w:rFonts w:ascii="Lucida Sans Unicode"/>
          <w:w w:val="110"/>
        </w:rPr>
        <w:t>Windsor</w:t>
      </w:r>
      <w:r>
        <w:rPr>
          <w:rFonts w:ascii="Lucida Sans Unicode"/>
          <w:spacing w:val="-17"/>
          <w:w w:val="110"/>
        </w:rPr>
        <w:t> </w:t>
      </w:r>
      <w:r>
        <w:rPr>
          <w:rFonts w:ascii="Lucida Sans Unicode"/>
          <w:w w:val="110"/>
        </w:rPr>
        <w:t>Framework),</w:t>
      </w:r>
    </w:p>
    <w:p>
      <w:pPr>
        <w:pStyle w:val="BodyText"/>
        <w:spacing w:line="255" w:lineRule="exact"/>
      </w:pPr>
      <w:r>
        <w:rPr>
          <w:w w:val="115"/>
        </w:rPr>
        <w:t>the</w:t>
      </w:r>
      <w:r>
        <w:rPr>
          <w:spacing w:val="-6"/>
          <w:w w:val="115"/>
        </w:rPr>
        <w:t> </w:t>
      </w:r>
      <w:r>
        <w:rPr>
          <w:w w:val="115"/>
        </w:rPr>
        <w:t>text</w:t>
      </w:r>
      <w:r>
        <w:rPr>
          <w:spacing w:val="-5"/>
          <w:w w:val="115"/>
        </w:rPr>
        <w:t> </w:t>
      </w:r>
      <w:r>
        <w:rPr>
          <w:w w:val="115"/>
        </w:rPr>
        <w:t>of</w:t>
      </w:r>
      <w:r>
        <w:rPr>
          <w:spacing w:val="-6"/>
          <w:w w:val="115"/>
        </w:rPr>
        <w:t> </w:t>
      </w:r>
      <w:r>
        <w:rPr>
          <w:w w:val="115"/>
        </w:rPr>
        <w:t>the</w:t>
      </w:r>
      <w:r>
        <w:rPr>
          <w:spacing w:val="-5"/>
          <w:w w:val="115"/>
        </w:rPr>
        <w:t> </w:t>
      </w:r>
      <w:r>
        <w:rPr>
          <w:w w:val="115"/>
        </w:rPr>
        <w:t>WA</w:t>
      </w:r>
      <w:r>
        <w:rPr>
          <w:spacing w:val="-5"/>
          <w:w w:val="115"/>
        </w:rPr>
        <w:t> </w:t>
      </w:r>
      <w:r>
        <w:rPr>
          <w:w w:val="115"/>
        </w:rPr>
        <w:t>and</w:t>
      </w:r>
      <w:r>
        <w:rPr>
          <w:spacing w:val="-6"/>
          <w:w w:val="115"/>
        </w:rPr>
        <w:t> </w:t>
      </w:r>
      <w:r>
        <w:rPr>
          <w:spacing w:val="-2"/>
          <w:w w:val="115"/>
        </w:rPr>
        <w:t>Windsor</w:t>
      </w:r>
    </w:p>
    <w:p>
      <w:pPr>
        <w:pStyle w:val="BodyText"/>
        <w:spacing w:line="310" w:lineRule="exact" w:before="11"/>
        <w:ind w:right="5608"/>
      </w:pPr>
      <w:r>
        <w:rPr>
          <w:w w:val="110"/>
        </w:rPr>
        <w:t>Framework yields two overriding consequences which are beyond </w:t>
      </w:r>
      <w:r>
        <w:rPr>
          <w:rFonts w:ascii="Lucida Sans Unicode"/>
        </w:rPr>
        <w:t>doubt: first, the Annex 1 directives </w:t>
      </w:r>
      <w:r>
        <w:rPr>
          <w:w w:val="110"/>
        </w:rPr>
        <w:t>may be relied upon in domestic litigation (whether it be as EU law</w:t>
      </w:r>
      <w:r>
        <w:rPr>
          <w:spacing w:val="80"/>
          <w:w w:val="150"/>
        </w:rPr>
        <w:t> </w:t>
      </w:r>
      <w:r>
        <w:rPr>
          <w:w w:val="110"/>
        </w:rPr>
        <w:t>or as a form of domestic </w:t>
      </w:r>
      <w:r>
        <w:rPr>
          <w:w w:val="110"/>
        </w:rPr>
        <w:t>replication</w:t>
      </w:r>
    </w:p>
    <w:p>
      <w:pPr>
        <w:pStyle w:val="BodyText"/>
        <w:spacing w:line="268" w:lineRule="auto" w:before="23"/>
        <w:ind w:right="5095"/>
      </w:pPr>
      <w:r>
        <w:rPr>
          <w:w w:val="110"/>
        </w:rPr>
        <w:t>thereof);</w:t>
      </w:r>
      <w:r>
        <w:rPr>
          <w:spacing w:val="-1"/>
          <w:w w:val="110"/>
        </w:rPr>
        <w:t> </w:t>
      </w:r>
      <w:r>
        <w:rPr>
          <w:w w:val="110"/>
        </w:rPr>
        <w:t>and</w:t>
      </w:r>
      <w:r>
        <w:rPr>
          <w:spacing w:val="-1"/>
          <w:w w:val="110"/>
        </w:rPr>
        <w:t> </w:t>
      </w:r>
      <w:r>
        <w:rPr>
          <w:w w:val="110"/>
        </w:rPr>
        <w:t>second,</w:t>
      </w:r>
      <w:r>
        <w:rPr>
          <w:spacing w:val="-1"/>
          <w:w w:val="110"/>
        </w:rPr>
        <w:t> </w:t>
      </w:r>
      <w:r>
        <w:rPr>
          <w:w w:val="110"/>
        </w:rPr>
        <w:t>EU</w:t>
      </w:r>
      <w:r>
        <w:rPr>
          <w:spacing w:val="-1"/>
          <w:w w:val="110"/>
        </w:rPr>
        <w:t> </w:t>
      </w:r>
      <w:r>
        <w:rPr>
          <w:w w:val="110"/>
        </w:rPr>
        <w:t>law</w:t>
      </w:r>
      <w:r>
        <w:rPr>
          <w:spacing w:val="-1"/>
          <w:w w:val="110"/>
        </w:rPr>
        <w:t> </w:t>
      </w:r>
      <w:r>
        <w:rPr>
          <w:w w:val="110"/>
        </w:rPr>
        <w:t>remedies </w:t>
      </w:r>
      <w:r>
        <w:rPr>
          <w:w w:val="115"/>
        </w:rPr>
        <w:t>such</w:t>
      </w:r>
      <w:r>
        <w:rPr>
          <w:spacing w:val="-15"/>
          <w:w w:val="115"/>
        </w:rPr>
        <w:t> </w:t>
      </w:r>
      <w:r>
        <w:rPr>
          <w:w w:val="115"/>
        </w:rPr>
        <w:t>as</w:t>
      </w:r>
      <w:r>
        <w:rPr>
          <w:spacing w:val="-15"/>
          <w:w w:val="115"/>
        </w:rPr>
        <w:t> </w:t>
      </w:r>
      <w:r>
        <w:rPr>
          <w:w w:val="115"/>
        </w:rPr>
        <w:t>disapplication</w:t>
      </w:r>
      <w:r>
        <w:rPr>
          <w:spacing w:val="-15"/>
          <w:w w:val="115"/>
        </w:rPr>
        <w:t> </w:t>
      </w:r>
      <w:r>
        <w:rPr>
          <w:w w:val="115"/>
        </w:rPr>
        <w:t>are</w:t>
      </w:r>
      <w:r>
        <w:rPr>
          <w:spacing w:val="-15"/>
          <w:w w:val="115"/>
        </w:rPr>
        <w:t> </w:t>
      </w:r>
      <w:r>
        <w:rPr>
          <w:w w:val="115"/>
        </w:rPr>
        <w:t>available</w:t>
      </w:r>
      <w:r>
        <w:rPr>
          <w:spacing w:val="-15"/>
          <w:w w:val="115"/>
        </w:rPr>
        <w:t> </w:t>
      </w:r>
      <w:r>
        <w:rPr>
          <w:w w:val="115"/>
        </w:rPr>
        <w:t>in respect</w:t>
      </w:r>
      <w:r>
        <w:rPr>
          <w:spacing w:val="-15"/>
          <w:w w:val="115"/>
        </w:rPr>
        <w:t> </w:t>
      </w:r>
      <w:r>
        <w:rPr>
          <w:w w:val="115"/>
        </w:rPr>
        <w:t>both</w:t>
      </w:r>
      <w:r>
        <w:rPr>
          <w:spacing w:val="-15"/>
          <w:w w:val="115"/>
        </w:rPr>
        <w:t> </w:t>
      </w:r>
      <w:r>
        <w:rPr>
          <w:w w:val="115"/>
        </w:rPr>
        <w:t>of</w:t>
      </w:r>
      <w:r>
        <w:rPr>
          <w:spacing w:val="-15"/>
          <w:w w:val="115"/>
        </w:rPr>
        <w:t> </w:t>
      </w:r>
      <w:r>
        <w:rPr>
          <w:w w:val="115"/>
        </w:rPr>
        <w:t>the</w:t>
      </w:r>
      <w:r>
        <w:rPr>
          <w:spacing w:val="-15"/>
          <w:w w:val="115"/>
        </w:rPr>
        <w:t> </w:t>
      </w:r>
      <w:r>
        <w:rPr>
          <w:w w:val="115"/>
        </w:rPr>
        <w:t>Annex</w:t>
      </w:r>
      <w:r>
        <w:rPr>
          <w:spacing w:val="-15"/>
          <w:w w:val="115"/>
        </w:rPr>
        <w:t> </w:t>
      </w:r>
      <w:r>
        <w:rPr/>
        <w:t>1</w:t>
      </w:r>
      <w:r>
        <w:rPr>
          <w:spacing w:val="-5"/>
        </w:rPr>
        <w:t> </w:t>
      </w:r>
      <w:r>
        <w:rPr>
          <w:w w:val="115"/>
        </w:rPr>
        <w:t>Directives and the non-diminution obligation more</w:t>
      </w:r>
      <w:r>
        <w:rPr>
          <w:spacing w:val="-6"/>
          <w:w w:val="115"/>
        </w:rPr>
        <w:t> </w:t>
      </w:r>
      <w:r>
        <w:rPr>
          <w:w w:val="115"/>
        </w:rPr>
        <w:t>generally.</w:t>
      </w:r>
      <w:r>
        <w:rPr>
          <w:spacing w:val="-6"/>
          <w:w w:val="115"/>
        </w:rPr>
        <w:t> </w:t>
      </w:r>
      <w:r>
        <w:rPr>
          <w:w w:val="115"/>
        </w:rPr>
        <w:t>As</w:t>
      </w:r>
      <w:r>
        <w:rPr>
          <w:spacing w:val="-6"/>
          <w:w w:val="115"/>
        </w:rPr>
        <w:t> </w:t>
      </w:r>
      <w:r>
        <w:rPr>
          <w:w w:val="115"/>
        </w:rPr>
        <w:t>the</w:t>
      </w:r>
      <w:r>
        <w:rPr>
          <w:spacing w:val="-6"/>
          <w:w w:val="115"/>
        </w:rPr>
        <w:t> </w:t>
      </w:r>
      <w:r>
        <w:rPr>
          <w:w w:val="115"/>
        </w:rPr>
        <w:t>saying</w:t>
      </w:r>
      <w:r>
        <w:rPr>
          <w:spacing w:val="-6"/>
          <w:w w:val="115"/>
        </w:rPr>
        <w:t> </w:t>
      </w:r>
      <w:r>
        <w:rPr>
          <w:w w:val="115"/>
        </w:rPr>
        <w:t>goes, ‘all roads lead to Rome’.</w:t>
      </w:r>
    </w:p>
    <w:p>
      <w:pPr>
        <w:spacing w:after="0" w:line="268" w:lineRule="auto"/>
        <w:sectPr>
          <w:pgSz w:w="11910" w:h="16840"/>
          <w:pgMar w:header="568" w:footer="580" w:top="840" w:bottom="780" w:left="1020" w:right="1020"/>
        </w:sectPr>
      </w:pPr>
    </w:p>
    <w:p>
      <w:pPr>
        <w:pStyle w:val="BodyText"/>
        <w:spacing w:before="44"/>
        <w:ind w:left="0"/>
        <w:rPr>
          <w:sz w:val="60"/>
        </w:rPr>
      </w:pPr>
    </w:p>
    <w:p>
      <w:pPr>
        <w:pStyle w:val="Heading1"/>
        <w:spacing w:line="680" w:lineRule="exact"/>
      </w:pPr>
      <w:bookmarkStart w:name="Chapter 3: The continued operability of " w:id="48"/>
      <w:bookmarkEnd w:id="48"/>
      <w:r>
        <w:rPr/>
      </w:r>
      <w:bookmarkStart w:name="1. Introductory remarks" w:id="49"/>
      <w:bookmarkEnd w:id="49"/>
      <w:r>
        <w:rPr/>
      </w:r>
      <w:bookmarkStart w:name="2.  Applicability of the Charter in Nort" w:id="50"/>
      <w:bookmarkEnd w:id="50"/>
      <w:r>
        <w:rPr/>
      </w:r>
      <w:bookmarkStart w:name="_bookmark20" w:id="51"/>
      <w:bookmarkEnd w:id="51"/>
      <w:r>
        <w:rPr/>
      </w:r>
      <w:r>
        <w:rPr>
          <w:color w:val="77328A"/>
          <w:w w:val="110"/>
        </w:rPr>
        <w:t>Chapter</w:t>
      </w:r>
      <w:r>
        <w:rPr>
          <w:color w:val="77328A"/>
          <w:spacing w:val="57"/>
          <w:w w:val="110"/>
        </w:rPr>
        <w:t> </w:t>
      </w:r>
      <w:r>
        <w:rPr>
          <w:color w:val="77328A"/>
          <w:spacing w:val="-5"/>
          <w:w w:val="110"/>
        </w:rPr>
        <w:t>3:</w:t>
      </w:r>
    </w:p>
    <w:p>
      <w:pPr>
        <w:spacing w:line="466" w:lineRule="exact" w:before="0"/>
        <w:ind w:left="113" w:right="0" w:firstLine="0"/>
        <w:jc w:val="left"/>
        <w:rPr>
          <w:rFonts w:ascii="Tahoma"/>
          <w:b/>
          <w:sz w:val="40"/>
        </w:rPr>
      </w:pPr>
      <w:r>
        <w:rPr>
          <w:rFonts w:ascii="Tahoma"/>
          <w:b/>
          <w:color w:val="77328A"/>
          <w:sz w:val="40"/>
        </w:rPr>
        <w:t>The</w:t>
      </w:r>
      <w:r>
        <w:rPr>
          <w:rFonts w:ascii="Tahoma"/>
          <w:b/>
          <w:color w:val="77328A"/>
          <w:spacing w:val="21"/>
          <w:sz w:val="40"/>
        </w:rPr>
        <w:t> </w:t>
      </w:r>
      <w:r>
        <w:rPr>
          <w:rFonts w:ascii="Tahoma"/>
          <w:b/>
          <w:color w:val="77328A"/>
          <w:sz w:val="40"/>
        </w:rPr>
        <w:t>continued</w:t>
      </w:r>
      <w:r>
        <w:rPr>
          <w:rFonts w:ascii="Tahoma"/>
          <w:b/>
          <w:color w:val="77328A"/>
          <w:spacing w:val="21"/>
          <w:sz w:val="40"/>
        </w:rPr>
        <w:t> </w:t>
      </w:r>
      <w:r>
        <w:rPr>
          <w:rFonts w:ascii="Tahoma"/>
          <w:b/>
          <w:color w:val="77328A"/>
          <w:sz w:val="40"/>
        </w:rPr>
        <w:t>operability</w:t>
      </w:r>
      <w:r>
        <w:rPr>
          <w:rFonts w:ascii="Tahoma"/>
          <w:b/>
          <w:color w:val="77328A"/>
          <w:spacing w:val="22"/>
          <w:sz w:val="40"/>
        </w:rPr>
        <w:t> </w:t>
      </w:r>
      <w:r>
        <w:rPr>
          <w:rFonts w:ascii="Tahoma"/>
          <w:b/>
          <w:color w:val="77328A"/>
          <w:sz w:val="40"/>
        </w:rPr>
        <w:t>of</w:t>
      </w:r>
      <w:r>
        <w:rPr>
          <w:rFonts w:ascii="Tahoma"/>
          <w:b/>
          <w:color w:val="77328A"/>
          <w:spacing w:val="21"/>
          <w:sz w:val="40"/>
        </w:rPr>
        <w:t> </w:t>
      </w:r>
      <w:r>
        <w:rPr>
          <w:rFonts w:ascii="Tahoma"/>
          <w:b/>
          <w:color w:val="77328A"/>
          <w:sz w:val="40"/>
        </w:rPr>
        <w:t>the</w:t>
      </w:r>
      <w:r>
        <w:rPr>
          <w:rFonts w:ascii="Tahoma"/>
          <w:b/>
          <w:color w:val="77328A"/>
          <w:spacing w:val="22"/>
          <w:sz w:val="40"/>
        </w:rPr>
        <w:t> </w:t>
      </w:r>
      <w:r>
        <w:rPr>
          <w:rFonts w:ascii="Tahoma"/>
          <w:b/>
          <w:color w:val="77328A"/>
          <w:spacing w:val="-2"/>
          <w:sz w:val="40"/>
        </w:rPr>
        <w:t>Charter</w:t>
      </w:r>
    </w:p>
    <w:p>
      <w:pPr>
        <w:spacing w:before="17"/>
        <w:ind w:left="113" w:right="0" w:firstLine="0"/>
        <w:jc w:val="left"/>
        <w:rPr>
          <w:rFonts w:ascii="Tahoma"/>
          <w:b/>
          <w:sz w:val="40"/>
        </w:rPr>
      </w:pPr>
      <w:r>
        <w:rPr>
          <w:rFonts w:ascii="Tahoma"/>
          <w:b/>
          <w:color w:val="77328A"/>
          <w:sz w:val="40"/>
        </w:rPr>
        <w:t>in</w:t>
      </w:r>
      <w:r>
        <w:rPr>
          <w:rFonts w:ascii="Tahoma"/>
          <w:b/>
          <w:color w:val="77328A"/>
          <w:spacing w:val="-9"/>
          <w:sz w:val="40"/>
        </w:rPr>
        <w:t> </w:t>
      </w:r>
      <w:r>
        <w:rPr>
          <w:rFonts w:ascii="Tahoma"/>
          <w:b/>
          <w:color w:val="77328A"/>
          <w:sz w:val="40"/>
        </w:rPr>
        <w:t>the</w:t>
      </w:r>
      <w:r>
        <w:rPr>
          <w:rFonts w:ascii="Tahoma"/>
          <w:b/>
          <w:color w:val="77328A"/>
          <w:spacing w:val="-8"/>
          <w:sz w:val="40"/>
        </w:rPr>
        <w:t> </w:t>
      </w:r>
      <w:r>
        <w:rPr>
          <w:rFonts w:ascii="Tahoma"/>
          <w:b/>
          <w:color w:val="77328A"/>
          <w:sz w:val="40"/>
        </w:rPr>
        <w:t>Northern</w:t>
      </w:r>
      <w:r>
        <w:rPr>
          <w:rFonts w:ascii="Tahoma"/>
          <w:b/>
          <w:color w:val="77328A"/>
          <w:spacing w:val="-8"/>
          <w:sz w:val="40"/>
        </w:rPr>
        <w:t> </w:t>
      </w:r>
      <w:r>
        <w:rPr>
          <w:rFonts w:ascii="Tahoma"/>
          <w:b/>
          <w:color w:val="77328A"/>
          <w:sz w:val="40"/>
        </w:rPr>
        <w:t>Ireland</w:t>
      </w:r>
      <w:r>
        <w:rPr>
          <w:rFonts w:ascii="Tahoma"/>
          <w:b/>
          <w:color w:val="77328A"/>
          <w:spacing w:val="-8"/>
          <w:sz w:val="40"/>
        </w:rPr>
        <w:t> </w:t>
      </w:r>
      <w:r>
        <w:rPr>
          <w:rFonts w:ascii="Tahoma"/>
          <w:b/>
          <w:color w:val="77328A"/>
          <w:sz w:val="40"/>
        </w:rPr>
        <w:t>legal</w:t>
      </w:r>
      <w:r>
        <w:rPr>
          <w:rFonts w:ascii="Tahoma"/>
          <w:b/>
          <w:color w:val="77328A"/>
          <w:spacing w:val="-8"/>
          <w:sz w:val="40"/>
        </w:rPr>
        <w:t> </w:t>
      </w:r>
      <w:r>
        <w:rPr>
          <w:rFonts w:ascii="Tahoma"/>
          <w:b/>
          <w:color w:val="77328A"/>
          <w:spacing w:val="-2"/>
          <w:sz w:val="40"/>
        </w:rPr>
        <w:t>order</w:t>
      </w:r>
    </w:p>
    <w:p>
      <w:pPr>
        <w:pStyle w:val="BodyText"/>
        <w:spacing w:before="130"/>
        <w:ind w:left="0"/>
        <w:rPr>
          <w:rFonts w:ascii="Tahoma"/>
          <w:b/>
          <w:sz w:val="20"/>
        </w:rPr>
      </w:pPr>
    </w:p>
    <w:p>
      <w:pPr>
        <w:spacing w:after="0"/>
        <w:rPr>
          <w:rFonts w:ascii="Tahoma"/>
          <w:sz w:val="20"/>
        </w:rPr>
        <w:sectPr>
          <w:pgSz w:w="11910" w:h="16840"/>
          <w:pgMar w:header="568" w:footer="580" w:top="840" w:bottom="780" w:left="1020" w:right="1020"/>
        </w:sectPr>
      </w:pPr>
    </w:p>
    <w:p>
      <w:pPr>
        <w:pStyle w:val="Heading3"/>
        <w:numPr>
          <w:ilvl w:val="0"/>
          <w:numId w:val="11"/>
        </w:numPr>
        <w:tabs>
          <w:tab w:pos="680" w:val="left" w:leader="none"/>
        </w:tabs>
        <w:spacing w:line="240" w:lineRule="auto" w:before="80" w:after="0"/>
        <w:ind w:left="680" w:right="0" w:hanging="567"/>
        <w:jc w:val="left"/>
      </w:pPr>
      <w:r>
        <w:rPr>
          <w:color w:val="77328A"/>
        </w:rPr>
        <w:t>Introductory</w:t>
      </w:r>
      <w:r>
        <w:rPr>
          <w:color w:val="77328A"/>
          <w:spacing w:val="-19"/>
        </w:rPr>
        <w:t> </w:t>
      </w:r>
      <w:r>
        <w:rPr>
          <w:color w:val="77328A"/>
          <w:spacing w:val="-2"/>
        </w:rPr>
        <w:t>remarks</w:t>
      </w:r>
    </w:p>
    <w:p>
      <w:pPr>
        <w:pStyle w:val="BodyText"/>
        <w:spacing w:line="268" w:lineRule="auto" w:before="193"/>
        <w:ind w:right="298"/>
      </w:pPr>
      <w:r>
        <w:rPr>
          <w:w w:val="115"/>
        </w:rPr>
        <w:t>When it comes to the applicability of the Charter in Northern Ireland </w:t>
      </w:r>
      <w:r>
        <w:rPr>
          <w:spacing w:val="-2"/>
          <w:w w:val="115"/>
        </w:rPr>
        <w:t>under</w:t>
      </w:r>
      <w:r>
        <w:rPr>
          <w:spacing w:val="-14"/>
          <w:w w:val="115"/>
        </w:rPr>
        <w:t> </w:t>
      </w:r>
      <w:r>
        <w:rPr>
          <w:spacing w:val="-2"/>
          <w:w w:val="115"/>
        </w:rPr>
        <w:t>the</w:t>
      </w:r>
      <w:r>
        <w:rPr>
          <w:spacing w:val="-14"/>
          <w:w w:val="115"/>
        </w:rPr>
        <w:t> </w:t>
      </w:r>
      <w:r>
        <w:rPr>
          <w:spacing w:val="-2"/>
          <w:w w:val="115"/>
        </w:rPr>
        <w:t>Windsor</w:t>
      </w:r>
      <w:r>
        <w:rPr>
          <w:spacing w:val="-14"/>
          <w:w w:val="115"/>
        </w:rPr>
        <w:t> </w:t>
      </w:r>
      <w:r>
        <w:rPr>
          <w:spacing w:val="-2"/>
          <w:w w:val="115"/>
        </w:rPr>
        <w:t>Framework,</w:t>
      </w:r>
      <w:r>
        <w:rPr>
          <w:spacing w:val="-14"/>
          <w:w w:val="115"/>
        </w:rPr>
        <w:t> </w:t>
      </w:r>
      <w:r>
        <w:rPr>
          <w:spacing w:val="-2"/>
          <w:w w:val="115"/>
        </w:rPr>
        <w:t>it</w:t>
      </w:r>
      <w:r>
        <w:rPr>
          <w:spacing w:val="-14"/>
          <w:w w:val="115"/>
        </w:rPr>
        <w:t> </w:t>
      </w:r>
      <w:r>
        <w:rPr>
          <w:spacing w:val="-2"/>
          <w:w w:val="115"/>
        </w:rPr>
        <w:t>is</w:t>
      </w:r>
    </w:p>
    <w:p>
      <w:pPr>
        <w:pStyle w:val="BodyText"/>
        <w:spacing w:line="259" w:lineRule="auto" w:before="3"/>
        <w:rPr>
          <w:rFonts w:ascii="Lucida Sans Unicode"/>
        </w:rPr>
      </w:pPr>
      <w:r>
        <w:rPr>
          <w:w w:val="110"/>
        </w:rPr>
        <w:t>important to distinguish two </w:t>
      </w:r>
      <w:r>
        <w:rPr>
          <w:w w:val="110"/>
        </w:rPr>
        <w:t>avenues through which the Charter can take effect in the Northern Ireland legal </w:t>
      </w:r>
      <w:r>
        <w:rPr>
          <w:rFonts w:ascii="Lucida Sans Unicode"/>
          <w:w w:val="110"/>
        </w:rPr>
        <w:t>order:</w:t>
      </w:r>
      <w:r>
        <w:rPr>
          <w:rFonts w:ascii="Lucida Sans Unicode"/>
          <w:spacing w:val="-21"/>
          <w:w w:val="110"/>
        </w:rPr>
        <w:t> </w:t>
      </w:r>
      <w:r>
        <w:rPr>
          <w:rFonts w:ascii="Lucida Sans Unicode"/>
          <w:w w:val="110"/>
        </w:rPr>
        <w:t>the</w:t>
      </w:r>
      <w:r>
        <w:rPr>
          <w:rFonts w:ascii="Lucida Sans Unicode"/>
          <w:spacing w:val="-21"/>
          <w:w w:val="110"/>
        </w:rPr>
        <w:t> </w:t>
      </w:r>
      <w:r>
        <w:rPr>
          <w:rFonts w:ascii="Lucida Sans Unicode"/>
          <w:w w:val="110"/>
        </w:rPr>
        <w:t>first</w:t>
      </w:r>
      <w:r>
        <w:rPr>
          <w:rFonts w:ascii="Lucida Sans Unicode"/>
          <w:spacing w:val="-21"/>
          <w:w w:val="110"/>
        </w:rPr>
        <w:t> </w:t>
      </w:r>
      <w:r>
        <w:rPr>
          <w:rFonts w:ascii="Lucida Sans Unicode"/>
          <w:w w:val="110"/>
        </w:rPr>
        <w:t>is</w:t>
      </w:r>
      <w:r>
        <w:rPr>
          <w:rFonts w:ascii="Lucida Sans Unicode"/>
          <w:spacing w:val="-21"/>
          <w:w w:val="110"/>
        </w:rPr>
        <w:t> </w:t>
      </w:r>
      <w:r>
        <w:rPr>
          <w:rFonts w:ascii="Lucida Sans Unicode"/>
          <w:w w:val="110"/>
        </w:rPr>
        <w:t>via</w:t>
      </w:r>
      <w:r>
        <w:rPr>
          <w:rFonts w:ascii="Lucida Sans Unicode"/>
          <w:spacing w:val="-21"/>
          <w:w w:val="110"/>
        </w:rPr>
        <w:t> </w:t>
      </w:r>
      <w:r>
        <w:rPr>
          <w:rFonts w:ascii="Lucida Sans Unicode"/>
          <w:w w:val="110"/>
        </w:rPr>
        <w:t>Article</w:t>
      </w:r>
      <w:r>
        <w:rPr>
          <w:rFonts w:ascii="Lucida Sans Unicode"/>
          <w:spacing w:val="-21"/>
          <w:w w:val="110"/>
        </w:rPr>
        <w:t> </w:t>
      </w:r>
      <w:r>
        <w:rPr>
          <w:rFonts w:ascii="Lucida Sans Unicode"/>
          <w:w w:val="110"/>
        </w:rPr>
        <w:t>4</w:t>
      </w:r>
      <w:r>
        <w:rPr>
          <w:rFonts w:ascii="Lucida Sans Unicode"/>
          <w:spacing w:val="-21"/>
          <w:w w:val="110"/>
        </w:rPr>
        <w:t> </w:t>
      </w:r>
      <w:r>
        <w:rPr>
          <w:rFonts w:ascii="Lucida Sans Unicode"/>
          <w:w w:val="110"/>
        </w:rPr>
        <w:t>WA,</w:t>
      </w:r>
    </w:p>
    <w:p>
      <w:pPr>
        <w:pStyle w:val="BodyText"/>
        <w:spacing w:line="268" w:lineRule="exact"/>
        <w:rPr>
          <w:rFonts w:ascii="Lucida Sans Unicode"/>
        </w:rPr>
      </w:pPr>
      <w:r>
        <w:rPr>
          <w:rFonts w:ascii="Lucida Sans Unicode"/>
        </w:rPr>
        <w:t>which</w:t>
      </w:r>
      <w:r>
        <w:rPr>
          <w:rFonts w:ascii="Lucida Sans Unicode"/>
          <w:spacing w:val="7"/>
        </w:rPr>
        <w:t> </w:t>
      </w:r>
      <w:r>
        <w:rPr>
          <w:rFonts w:ascii="Lucida Sans Unicode"/>
        </w:rPr>
        <w:t>provides</w:t>
      </w:r>
      <w:r>
        <w:rPr>
          <w:rFonts w:ascii="Lucida Sans Unicode"/>
          <w:spacing w:val="7"/>
        </w:rPr>
        <w:t> </w:t>
      </w:r>
      <w:r>
        <w:rPr>
          <w:rFonts w:ascii="Lucida Sans Unicode"/>
        </w:rPr>
        <w:t>in</w:t>
      </w:r>
      <w:r>
        <w:rPr>
          <w:rFonts w:ascii="Lucida Sans Unicode"/>
          <w:spacing w:val="8"/>
        </w:rPr>
        <w:t> </w:t>
      </w:r>
      <w:r>
        <w:rPr>
          <w:rFonts w:ascii="Lucida Sans Unicode"/>
        </w:rPr>
        <w:t>paragraph</w:t>
      </w:r>
      <w:r>
        <w:rPr>
          <w:rFonts w:ascii="Lucida Sans Unicode"/>
          <w:spacing w:val="7"/>
        </w:rPr>
        <w:t> </w:t>
      </w:r>
      <w:r>
        <w:rPr>
          <w:rFonts w:ascii="Lucida Sans Unicode"/>
        </w:rPr>
        <w:t>3</w:t>
      </w:r>
      <w:r>
        <w:rPr>
          <w:rFonts w:ascii="Lucida Sans Unicode"/>
          <w:spacing w:val="8"/>
        </w:rPr>
        <w:t> </w:t>
      </w:r>
      <w:r>
        <w:rPr>
          <w:rFonts w:ascii="Lucida Sans Unicode"/>
          <w:spacing w:val="-4"/>
        </w:rPr>
        <w:t>that</w:t>
      </w:r>
    </w:p>
    <w:p>
      <w:pPr>
        <w:pStyle w:val="BodyText"/>
        <w:spacing w:line="268" w:lineRule="auto"/>
        <w:ind w:right="726"/>
        <w:jc w:val="both"/>
      </w:pPr>
      <w:r>
        <w:rPr>
          <w:w w:val="115"/>
        </w:rPr>
        <w:t>Union</w:t>
      </w:r>
      <w:r>
        <w:rPr>
          <w:spacing w:val="-17"/>
          <w:w w:val="115"/>
        </w:rPr>
        <w:t> </w:t>
      </w:r>
      <w:r>
        <w:rPr>
          <w:w w:val="115"/>
        </w:rPr>
        <w:t>law</w:t>
      </w:r>
      <w:r>
        <w:rPr>
          <w:spacing w:val="-17"/>
          <w:w w:val="115"/>
        </w:rPr>
        <w:t> </w:t>
      </w:r>
      <w:r>
        <w:rPr>
          <w:w w:val="115"/>
        </w:rPr>
        <w:t>referred</w:t>
      </w:r>
      <w:r>
        <w:rPr>
          <w:spacing w:val="-17"/>
          <w:w w:val="115"/>
        </w:rPr>
        <w:t> </w:t>
      </w:r>
      <w:r>
        <w:rPr>
          <w:w w:val="115"/>
        </w:rPr>
        <w:t>to</w:t>
      </w:r>
      <w:r>
        <w:rPr>
          <w:spacing w:val="-17"/>
          <w:w w:val="115"/>
        </w:rPr>
        <w:t> </w:t>
      </w:r>
      <w:r>
        <w:rPr>
          <w:w w:val="115"/>
        </w:rPr>
        <w:t>by</w:t>
      </w:r>
      <w:r>
        <w:rPr>
          <w:spacing w:val="-17"/>
          <w:w w:val="115"/>
        </w:rPr>
        <w:t> </w:t>
      </w:r>
      <w:r>
        <w:rPr>
          <w:w w:val="115"/>
        </w:rPr>
        <w:t>the</w:t>
      </w:r>
      <w:r>
        <w:rPr>
          <w:spacing w:val="-17"/>
          <w:w w:val="115"/>
        </w:rPr>
        <w:t> </w:t>
      </w:r>
      <w:r>
        <w:rPr>
          <w:w w:val="115"/>
        </w:rPr>
        <w:t>WA shall</w:t>
      </w:r>
      <w:r>
        <w:rPr>
          <w:spacing w:val="-20"/>
          <w:w w:val="115"/>
        </w:rPr>
        <w:t> </w:t>
      </w:r>
      <w:r>
        <w:rPr>
          <w:w w:val="115"/>
        </w:rPr>
        <w:t>be</w:t>
      </w:r>
      <w:r>
        <w:rPr>
          <w:spacing w:val="-19"/>
          <w:w w:val="115"/>
        </w:rPr>
        <w:t> </w:t>
      </w:r>
      <w:r>
        <w:rPr>
          <w:w w:val="115"/>
        </w:rPr>
        <w:t>‘interpreted</w:t>
      </w:r>
      <w:r>
        <w:rPr>
          <w:spacing w:val="-19"/>
          <w:w w:val="115"/>
        </w:rPr>
        <w:t> </w:t>
      </w:r>
      <w:r>
        <w:rPr>
          <w:w w:val="115"/>
        </w:rPr>
        <w:t>and</w:t>
      </w:r>
      <w:r>
        <w:rPr>
          <w:spacing w:val="-19"/>
          <w:w w:val="115"/>
        </w:rPr>
        <w:t> </w:t>
      </w:r>
      <w:r>
        <w:rPr>
          <w:w w:val="115"/>
        </w:rPr>
        <w:t>applied in</w:t>
      </w:r>
      <w:r>
        <w:rPr>
          <w:spacing w:val="-18"/>
          <w:w w:val="115"/>
        </w:rPr>
        <w:t> </w:t>
      </w:r>
      <w:r>
        <w:rPr>
          <w:w w:val="115"/>
        </w:rPr>
        <w:t>accordance</w:t>
      </w:r>
      <w:r>
        <w:rPr>
          <w:spacing w:val="-18"/>
          <w:w w:val="115"/>
        </w:rPr>
        <w:t> </w:t>
      </w:r>
      <w:r>
        <w:rPr>
          <w:w w:val="115"/>
        </w:rPr>
        <w:t>with</w:t>
      </w:r>
      <w:r>
        <w:rPr>
          <w:spacing w:val="-18"/>
          <w:w w:val="115"/>
        </w:rPr>
        <w:t> </w:t>
      </w:r>
      <w:r>
        <w:rPr>
          <w:w w:val="115"/>
        </w:rPr>
        <w:t>the</w:t>
      </w:r>
      <w:r>
        <w:rPr>
          <w:spacing w:val="-18"/>
          <w:w w:val="115"/>
        </w:rPr>
        <w:t> </w:t>
      </w:r>
      <w:r>
        <w:rPr>
          <w:w w:val="115"/>
        </w:rPr>
        <w:t>methods and general principles of Union</w:t>
      </w:r>
    </w:p>
    <w:p>
      <w:pPr>
        <w:pStyle w:val="BodyText"/>
        <w:spacing w:line="324" w:lineRule="exact"/>
        <w:jc w:val="both"/>
      </w:pPr>
      <w:r>
        <w:rPr>
          <w:spacing w:val="-2"/>
          <w:w w:val="110"/>
        </w:rPr>
        <w:t>law’.</w:t>
      </w:r>
      <w:r>
        <w:rPr>
          <w:rFonts w:ascii="Lucida Sans Unicode" w:hAnsi="Lucida Sans Unicode"/>
          <w:spacing w:val="-2"/>
          <w:w w:val="110"/>
          <w:vertAlign w:val="superscript"/>
        </w:rPr>
        <w:t>189</w:t>
      </w:r>
      <w:r>
        <w:rPr>
          <w:rFonts w:ascii="Lucida Sans Unicode" w:hAnsi="Lucida Sans Unicode"/>
          <w:spacing w:val="-19"/>
          <w:w w:val="110"/>
          <w:vertAlign w:val="baseline"/>
        </w:rPr>
        <w:t> </w:t>
      </w:r>
      <w:r>
        <w:rPr>
          <w:spacing w:val="-2"/>
          <w:w w:val="110"/>
          <w:vertAlign w:val="baseline"/>
        </w:rPr>
        <w:t>Given</w:t>
      </w:r>
      <w:r>
        <w:rPr>
          <w:spacing w:val="-16"/>
          <w:w w:val="110"/>
          <w:vertAlign w:val="baseline"/>
        </w:rPr>
        <w:t> </w:t>
      </w:r>
      <w:r>
        <w:rPr>
          <w:spacing w:val="-2"/>
          <w:w w:val="110"/>
          <w:vertAlign w:val="baseline"/>
        </w:rPr>
        <w:t>that</w:t>
      </w:r>
      <w:r>
        <w:rPr>
          <w:spacing w:val="-12"/>
          <w:w w:val="110"/>
          <w:vertAlign w:val="baseline"/>
        </w:rPr>
        <w:t> </w:t>
      </w:r>
      <w:r>
        <w:rPr>
          <w:spacing w:val="-2"/>
          <w:w w:val="110"/>
          <w:vertAlign w:val="baseline"/>
        </w:rPr>
        <w:t>EU</w:t>
      </w:r>
      <w:r>
        <w:rPr>
          <w:spacing w:val="-12"/>
          <w:w w:val="110"/>
          <w:vertAlign w:val="baseline"/>
        </w:rPr>
        <w:t> </w:t>
      </w:r>
      <w:r>
        <w:rPr>
          <w:spacing w:val="-2"/>
          <w:w w:val="110"/>
          <w:vertAlign w:val="baseline"/>
        </w:rPr>
        <w:t>law</w:t>
      </w:r>
      <w:r>
        <w:rPr>
          <w:spacing w:val="-12"/>
          <w:w w:val="110"/>
          <w:vertAlign w:val="baseline"/>
        </w:rPr>
        <w:t> </w:t>
      </w:r>
      <w:r>
        <w:rPr>
          <w:spacing w:val="-2"/>
          <w:w w:val="110"/>
          <w:vertAlign w:val="baseline"/>
        </w:rPr>
        <w:t>must</w:t>
      </w:r>
      <w:r>
        <w:rPr>
          <w:spacing w:val="-12"/>
          <w:w w:val="110"/>
          <w:vertAlign w:val="baseline"/>
        </w:rPr>
        <w:t> </w:t>
      </w:r>
      <w:r>
        <w:rPr>
          <w:spacing w:val="-5"/>
          <w:w w:val="110"/>
          <w:vertAlign w:val="baseline"/>
        </w:rPr>
        <w:t>be</w:t>
      </w:r>
    </w:p>
    <w:p>
      <w:pPr>
        <w:pStyle w:val="BodyText"/>
        <w:spacing w:line="268" w:lineRule="auto"/>
      </w:pPr>
      <w:r>
        <w:rPr>
          <w:w w:val="110"/>
        </w:rPr>
        <w:t>interpreted and applied in </w:t>
      </w:r>
      <w:r>
        <w:rPr>
          <w:w w:val="110"/>
        </w:rPr>
        <w:t>accordance with the EU Charter, the Charter applies in Northern Ireland in so far</w:t>
      </w:r>
    </w:p>
    <w:p>
      <w:pPr>
        <w:pStyle w:val="BodyText"/>
        <w:spacing w:line="268" w:lineRule="auto"/>
        <w:ind w:right="297"/>
      </w:pPr>
      <w:r>
        <w:rPr>
          <w:spacing w:val="-2"/>
          <w:w w:val="115"/>
        </w:rPr>
        <w:t>as</w:t>
      </w:r>
      <w:r>
        <w:rPr>
          <w:spacing w:val="-18"/>
          <w:w w:val="115"/>
        </w:rPr>
        <w:t> </w:t>
      </w:r>
      <w:r>
        <w:rPr>
          <w:spacing w:val="-2"/>
          <w:w w:val="115"/>
        </w:rPr>
        <w:t>the</w:t>
      </w:r>
      <w:r>
        <w:rPr>
          <w:spacing w:val="-17"/>
          <w:w w:val="115"/>
        </w:rPr>
        <w:t> </w:t>
      </w:r>
      <w:r>
        <w:rPr>
          <w:spacing w:val="-2"/>
          <w:w w:val="115"/>
        </w:rPr>
        <w:t>Windsor</w:t>
      </w:r>
      <w:r>
        <w:rPr>
          <w:spacing w:val="-17"/>
          <w:w w:val="115"/>
        </w:rPr>
        <w:t> </w:t>
      </w:r>
      <w:r>
        <w:rPr>
          <w:spacing w:val="-2"/>
          <w:w w:val="115"/>
        </w:rPr>
        <w:t>Framework</w:t>
      </w:r>
      <w:r>
        <w:rPr>
          <w:spacing w:val="-17"/>
          <w:w w:val="115"/>
        </w:rPr>
        <w:t> </w:t>
      </w:r>
      <w:r>
        <w:rPr>
          <w:spacing w:val="-2"/>
          <w:w w:val="115"/>
        </w:rPr>
        <w:t>refers</w:t>
      </w:r>
      <w:r>
        <w:rPr>
          <w:spacing w:val="-17"/>
          <w:w w:val="115"/>
        </w:rPr>
        <w:t> </w:t>
      </w:r>
      <w:r>
        <w:rPr>
          <w:spacing w:val="-2"/>
          <w:w w:val="115"/>
        </w:rPr>
        <w:t>to </w:t>
      </w:r>
      <w:r>
        <w:rPr>
          <w:w w:val="115"/>
        </w:rPr>
        <w:t>provisions of Union law (notably those</w:t>
      </w:r>
      <w:r>
        <w:rPr>
          <w:spacing w:val="-18"/>
          <w:w w:val="115"/>
        </w:rPr>
        <w:t> </w:t>
      </w:r>
      <w:r>
        <w:rPr>
          <w:w w:val="115"/>
        </w:rPr>
        <w:t>in</w:t>
      </w:r>
      <w:r>
        <w:rPr>
          <w:spacing w:val="-18"/>
          <w:w w:val="115"/>
        </w:rPr>
        <w:t> </w:t>
      </w:r>
      <w:r>
        <w:rPr>
          <w:w w:val="115"/>
        </w:rPr>
        <w:t>Annexes</w:t>
      </w:r>
      <w:r>
        <w:rPr>
          <w:spacing w:val="-18"/>
          <w:w w:val="115"/>
        </w:rPr>
        <w:t> </w:t>
      </w:r>
      <w:r>
        <w:rPr>
          <w:w w:val="115"/>
        </w:rPr>
        <w:t>1-5).</w:t>
      </w:r>
      <w:r>
        <w:rPr>
          <w:spacing w:val="-18"/>
          <w:w w:val="115"/>
        </w:rPr>
        <w:t> </w:t>
      </w:r>
      <w:r>
        <w:rPr>
          <w:w w:val="115"/>
        </w:rPr>
        <w:t>The</w:t>
      </w:r>
      <w:r>
        <w:rPr>
          <w:spacing w:val="-18"/>
          <w:w w:val="115"/>
        </w:rPr>
        <w:t> </w:t>
      </w:r>
      <w:r>
        <w:rPr>
          <w:w w:val="115"/>
        </w:rPr>
        <w:t>second avenue through which the Charter applies in Northern Ireland is the non-diminution requirement under</w:t>
      </w:r>
    </w:p>
    <w:p>
      <w:pPr>
        <w:pStyle w:val="BodyText"/>
        <w:spacing w:line="326" w:lineRule="exact"/>
        <w:jc w:val="both"/>
        <w:rPr>
          <w:rFonts w:ascii="Lucida Sans Unicode"/>
        </w:rPr>
      </w:pPr>
      <w:r>
        <w:rPr>
          <w:rFonts w:ascii="Lucida Sans Unicode"/>
          <w:w w:val="105"/>
        </w:rPr>
        <w:t>Article</w:t>
      </w:r>
      <w:r>
        <w:rPr>
          <w:rFonts w:ascii="Lucida Sans Unicode"/>
          <w:spacing w:val="-11"/>
          <w:w w:val="105"/>
        </w:rPr>
        <w:t> </w:t>
      </w:r>
      <w:r>
        <w:rPr>
          <w:rFonts w:ascii="Lucida Sans Unicode"/>
          <w:w w:val="105"/>
        </w:rPr>
        <w:t>2</w:t>
      </w:r>
      <w:r>
        <w:rPr>
          <w:rFonts w:ascii="Lucida Sans Unicode"/>
          <w:spacing w:val="-10"/>
          <w:w w:val="105"/>
        </w:rPr>
        <w:t> </w:t>
      </w:r>
      <w:r>
        <w:rPr>
          <w:rFonts w:ascii="Lucida Sans Unicode"/>
          <w:w w:val="105"/>
        </w:rPr>
        <w:t>WF.</w:t>
      </w:r>
      <w:r>
        <w:rPr>
          <w:rFonts w:ascii="Lucida Sans Unicode"/>
          <w:spacing w:val="-11"/>
          <w:w w:val="105"/>
        </w:rPr>
        <w:t> </w:t>
      </w:r>
      <w:r>
        <w:rPr>
          <w:rFonts w:ascii="Lucida Sans Unicode"/>
          <w:w w:val="105"/>
        </w:rPr>
        <w:t>Under</w:t>
      </w:r>
      <w:r>
        <w:rPr>
          <w:rFonts w:ascii="Lucida Sans Unicode"/>
          <w:spacing w:val="-10"/>
          <w:w w:val="105"/>
        </w:rPr>
        <w:t> </w:t>
      </w:r>
      <w:r>
        <w:rPr>
          <w:rFonts w:ascii="Lucida Sans Unicode"/>
          <w:w w:val="105"/>
        </w:rPr>
        <w:t>Article</w:t>
      </w:r>
      <w:r>
        <w:rPr>
          <w:rFonts w:ascii="Lucida Sans Unicode"/>
          <w:spacing w:val="-10"/>
          <w:w w:val="105"/>
        </w:rPr>
        <w:t> </w:t>
      </w:r>
      <w:r>
        <w:rPr>
          <w:rFonts w:ascii="Lucida Sans Unicode"/>
          <w:w w:val="105"/>
        </w:rPr>
        <w:t>2</w:t>
      </w:r>
      <w:r>
        <w:rPr>
          <w:rFonts w:ascii="Lucida Sans Unicode"/>
          <w:spacing w:val="-11"/>
          <w:w w:val="105"/>
        </w:rPr>
        <w:t> </w:t>
      </w:r>
      <w:r>
        <w:rPr>
          <w:rFonts w:ascii="Lucida Sans Unicode"/>
          <w:spacing w:val="-5"/>
          <w:w w:val="105"/>
        </w:rPr>
        <w:t>WF,</w:t>
      </w:r>
    </w:p>
    <w:p>
      <w:pPr>
        <w:pStyle w:val="BodyText"/>
        <w:spacing w:line="266" w:lineRule="auto"/>
        <w:ind w:right="126"/>
      </w:pPr>
      <w:r>
        <w:rPr>
          <w:w w:val="110"/>
        </w:rPr>
        <w:t>the Charter becomes relevant </w:t>
      </w:r>
      <w:r>
        <w:rPr>
          <w:w w:val="110"/>
        </w:rPr>
        <w:t>based on the test set out in </w:t>
      </w:r>
      <w:r>
        <w:rPr>
          <w:rFonts w:ascii="Verdana"/>
          <w:i/>
          <w:w w:val="110"/>
        </w:rPr>
        <w:t>SPUC</w:t>
      </w:r>
      <w:r>
        <w:rPr>
          <w:w w:val="110"/>
        </w:rPr>
        <w:t>, as explained in the preceding chapter. This test may impact its overall operation and limits.</w:t>
      </w:r>
    </w:p>
    <w:p>
      <w:pPr>
        <w:pStyle w:val="Heading3"/>
        <w:numPr>
          <w:ilvl w:val="0"/>
          <w:numId w:val="11"/>
        </w:numPr>
        <w:tabs>
          <w:tab w:pos="680" w:val="left" w:leader="none"/>
        </w:tabs>
        <w:spacing w:line="252" w:lineRule="auto" w:before="80" w:after="0"/>
        <w:ind w:left="680" w:right="1169" w:hanging="567"/>
        <w:jc w:val="left"/>
      </w:pPr>
      <w:r>
        <w:rPr>
          <w:b w:val="0"/>
        </w:rPr>
        <w:br w:type="column"/>
      </w:r>
      <w:r>
        <w:rPr>
          <w:color w:val="77328A"/>
          <w:w w:val="105"/>
        </w:rPr>
        <w:t>Applicability</w:t>
      </w:r>
      <w:r>
        <w:rPr>
          <w:color w:val="77328A"/>
          <w:spacing w:val="-19"/>
          <w:w w:val="105"/>
        </w:rPr>
        <w:t> </w:t>
      </w:r>
      <w:r>
        <w:rPr>
          <w:color w:val="77328A"/>
          <w:w w:val="105"/>
        </w:rPr>
        <w:t>of</w:t>
      </w:r>
      <w:r>
        <w:rPr>
          <w:color w:val="77328A"/>
          <w:spacing w:val="-19"/>
          <w:w w:val="105"/>
        </w:rPr>
        <w:t> </w:t>
      </w:r>
      <w:r>
        <w:rPr>
          <w:color w:val="77328A"/>
          <w:w w:val="105"/>
        </w:rPr>
        <w:t>the </w:t>
      </w:r>
      <w:r>
        <w:rPr>
          <w:color w:val="77328A"/>
        </w:rPr>
        <w:t>Charter</w:t>
      </w:r>
      <w:r>
        <w:rPr>
          <w:color w:val="77328A"/>
          <w:spacing w:val="-11"/>
        </w:rPr>
        <w:t> </w:t>
      </w:r>
      <w:r>
        <w:rPr>
          <w:color w:val="77328A"/>
        </w:rPr>
        <w:t>in</w:t>
      </w:r>
      <w:r>
        <w:rPr>
          <w:color w:val="77328A"/>
          <w:spacing w:val="-11"/>
        </w:rPr>
        <w:t> </w:t>
      </w:r>
      <w:r>
        <w:rPr>
          <w:color w:val="77328A"/>
        </w:rPr>
        <w:t>Northern </w:t>
      </w:r>
      <w:r>
        <w:rPr>
          <w:color w:val="77328A"/>
          <w:w w:val="105"/>
        </w:rPr>
        <w:t>Ireland due to Article 4 WA</w:t>
      </w:r>
    </w:p>
    <w:p>
      <w:pPr>
        <w:pStyle w:val="BodyText"/>
        <w:spacing w:line="252" w:lineRule="auto" w:before="174"/>
        <w:ind w:right="266"/>
        <w:rPr>
          <w:rFonts w:ascii="Lucida Sans Unicode"/>
        </w:rPr>
      </w:pPr>
      <w:r>
        <w:rPr>
          <w:w w:val="110"/>
        </w:rPr>
        <w:t>Various provisions of the Windsor Framework make reference to </w:t>
      </w:r>
      <w:r>
        <w:rPr>
          <w:w w:val="110"/>
        </w:rPr>
        <w:t>Union </w:t>
      </w:r>
      <w:r>
        <w:rPr>
          <w:rFonts w:ascii="Lucida Sans Unicode"/>
        </w:rPr>
        <w:t>law or declare specific provisions</w:t>
      </w:r>
    </w:p>
    <w:p>
      <w:pPr>
        <w:pStyle w:val="BodyText"/>
        <w:spacing w:line="237" w:lineRule="exact"/>
      </w:pPr>
      <w:r>
        <w:rPr>
          <w:w w:val="115"/>
        </w:rPr>
        <w:t>of</w:t>
      </w:r>
      <w:r>
        <w:rPr>
          <w:spacing w:val="-17"/>
          <w:w w:val="115"/>
        </w:rPr>
        <w:t> </w:t>
      </w:r>
      <w:r>
        <w:rPr>
          <w:w w:val="115"/>
        </w:rPr>
        <w:t>Union</w:t>
      </w:r>
      <w:r>
        <w:rPr>
          <w:spacing w:val="-17"/>
          <w:w w:val="115"/>
        </w:rPr>
        <w:t> </w:t>
      </w:r>
      <w:r>
        <w:rPr>
          <w:w w:val="115"/>
        </w:rPr>
        <w:t>law</w:t>
      </w:r>
      <w:r>
        <w:rPr>
          <w:spacing w:val="-16"/>
          <w:w w:val="115"/>
        </w:rPr>
        <w:t> </w:t>
      </w:r>
      <w:r>
        <w:rPr>
          <w:w w:val="115"/>
        </w:rPr>
        <w:t>applicable</w:t>
      </w:r>
      <w:r>
        <w:rPr>
          <w:spacing w:val="-17"/>
          <w:w w:val="115"/>
        </w:rPr>
        <w:t> </w:t>
      </w:r>
      <w:r>
        <w:rPr>
          <w:w w:val="115"/>
        </w:rPr>
        <w:t>in</w:t>
      </w:r>
      <w:r>
        <w:rPr>
          <w:spacing w:val="-16"/>
          <w:w w:val="115"/>
        </w:rPr>
        <w:t> </w:t>
      </w:r>
      <w:r>
        <w:rPr>
          <w:spacing w:val="-2"/>
          <w:w w:val="115"/>
        </w:rPr>
        <w:t>Northern</w:t>
      </w:r>
    </w:p>
    <w:p>
      <w:pPr>
        <w:pStyle w:val="BodyText"/>
        <w:spacing w:line="310" w:lineRule="exact" w:before="13"/>
        <w:ind w:right="202"/>
      </w:pPr>
      <w:r>
        <w:rPr>
          <w:w w:val="105"/>
        </w:rPr>
        <w:t>Ireland.</w:t>
      </w:r>
      <w:r>
        <w:rPr>
          <w:rFonts w:ascii="Lucida Sans Unicode"/>
          <w:w w:val="105"/>
          <w:vertAlign w:val="superscript"/>
        </w:rPr>
        <w:t>190</w:t>
      </w:r>
      <w:r>
        <w:rPr>
          <w:rFonts w:ascii="Lucida Sans Unicode"/>
          <w:w w:val="105"/>
          <w:vertAlign w:val="baseline"/>
        </w:rPr>
        <w:t> </w:t>
      </w:r>
      <w:r>
        <w:rPr>
          <w:w w:val="105"/>
          <w:vertAlign w:val="baseline"/>
        </w:rPr>
        <w:t>One can broadly </w:t>
      </w:r>
      <w:r>
        <w:rPr>
          <w:w w:val="105"/>
          <w:vertAlign w:val="baseline"/>
        </w:rPr>
        <w:t>distinguish </w:t>
      </w:r>
      <w:r>
        <w:rPr>
          <w:rFonts w:ascii="Lucida Sans Unicode"/>
          <w:w w:val="105"/>
          <w:vertAlign w:val="baseline"/>
        </w:rPr>
        <w:t>three situations: first, the Windsor </w:t>
      </w:r>
      <w:r>
        <w:rPr>
          <w:w w:val="105"/>
          <w:vertAlign w:val="baseline"/>
        </w:rPr>
        <w:t>Framework declares applicable EU secondary</w:t>
      </w:r>
      <w:r>
        <w:rPr>
          <w:spacing w:val="40"/>
          <w:w w:val="105"/>
          <w:vertAlign w:val="baseline"/>
        </w:rPr>
        <w:t> </w:t>
      </w:r>
      <w:r>
        <w:rPr>
          <w:w w:val="105"/>
          <w:vertAlign w:val="baseline"/>
        </w:rPr>
        <w:t>law</w:t>
      </w:r>
      <w:r>
        <w:rPr>
          <w:spacing w:val="40"/>
          <w:w w:val="105"/>
          <w:vertAlign w:val="baseline"/>
        </w:rPr>
        <w:t> </w:t>
      </w:r>
      <w:r>
        <w:rPr>
          <w:w w:val="105"/>
          <w:vertAlign w:val="baseline"/>
        </w:rPr>
        <w:t>laid</w:t>
      </w:r>
      <w:r>
        <w:rPr>
          <w:spacing w:val="40"/>
          <w:w w:val="105"/>
          <w:vertAlign w:val="baseline"/>
        </w:rPr>
        <w:t> </w:t>
      </w:r>
      <w:r>
        <w:rPr>
          <w:w w:val="105"/>
          <w:vertAlign w:val="baseline"/>
        </w:rPr>
        <w:t>down</w:t>
      </w:r>
      <w:r>
        <w:rPr>
          <w:spacing w:val="40"/>
          <w:w w:val="105"/>
          <w:vertAlign w:val="baseline"/>
        </w:rPr>
        <w:t> </w:t>
      </w:r>
      <w:r>
        <w:rPr>
          <w:w w:val="105"/>
          <w:vertAlign w:val="baseline"/>
        </w:rPr>
        <w:t>in</w:t>
      </w:r>
      <w:r>
        <w:rPr>
          <w:spacing w:val="40"/>
          <w:w w:val="105"/>
          <w:vertAlign w:val="baseline"/>
        </w:rPr>
        <w:t> </w:t>
      </w:r>
      <w:r>
        <w:rPr>
          <w:w w:val="105"/>
          <w:vertAlign w:val="baseline"/>
        </w:rPr>
        <w:t>Annexes </w:t>
      </w:r>
      <w:r>
        <w:rPr>
          <w:rFonts w:ascii="Lucida Sans Unicode"/>
          <w:w w:val="105"/>
          <w:vertAlign w:val="baseline"/>
        </w:rPr>
        <w:t>2-5</w:t>
      </w:r>
      <w:r>
        <w:rPr>
          <w:rFonts w:ascii="Lucida Sans Unicode"/>
          <w:spacing w:val="-11"/>
          <w:w w:val="105"/>
          <w:vertAlign w:val="baseline"/>
        </w:rPr>
        <w:t> </w:t>
      </w:r>
      <w:r>
        <w:rPr>
          <w:rFonts w:ascii="Lucida Sans Unicode"/>
          <w:w w:val="105"/>
          <w:vertAlign w:val="baseline"/>
        </w:rPr>
        <w:t>of</w:t>
      </w:r>
      <w:r>
        <w:rPr>
          <w:rFonts w:ascii="Lucida Sans Unicode"/>
          <w:spacing w:val="-11"/>
          <w:w w:val="105"/>
          <w:vertAlign w:val="baseline"/>
        </w:rPr>
        <w:t> </w:t>
      </w:r>
      <w:r>
        <w:rPr>
          <w:rFonts w:ascii="Lucida Sans Unicode"/>
          <w:w w:val="105"/>
          <w:vertAlign w:val="baseline"/>
        </w:rPr>
        <w:t>the</w:t>
      </w:r>
      <w:r>
        <w:rPr>
          <w:rFonts w:ascii="Lucida Sans Unicode"/>
          <w:spacing w:val="-11"/>
          <w:w w:val="105"/>
          <w:vertAlign w:val="baseline"/>
        </w:rPr>
        <w:t> </w:t>
      </w:r>
      <w:r>
        <w:rPr>
          <w:rFonts w:ascii="Lucida Sans Unicode"/>
          <w:w w:val="105"/>
          <w:vertAlign w:val="baseline"/>
        </w:rPr>
        <w:t>Windsor</w:t>
      </w:r>
      <w:r>
        <w:rPr>
          <w:rFonts w:ascii="Lucida Sans Unicode"/>
          <w:spacing w:val="-11"/>
          <w:w w:val="105"/>
          <w:vertAlign w:val="baseline"/>
        </w:rPr>
        <w:t> </w:t>
      </w:r>
      <w:r>
        <w:rPr>
          <w:rFonts w:ascii="Lucida Sans Unicode"/>
          <w:w w:val="105"/>
          <w:vertAlign w:val="baseline"/>
        </w:rPr>
        <w:t>Framework</w:t>
      </w:r>
      <w:r>
        <w:rPr>
          <w:w w:val="105"/>
          <w:vertAlign w:val="superscript"/>
        </w:rPr>
        <w:t>191</w:t>
      </w:r>
      <w:r>
        <w:rPr>
          <w:w w:val="105"/>
          <w:vertAlign w:val="baseline"/>
        </w:rPr>
        <w:t> second, the Windsor Framework</w:t>
      </w:r>
      <w:r>
        <w:rPr>
          <w:spacing w:val="40"/>
          <w:w w:val="105"/>
          <w:vertAlign w:val="baseline"/>
        </w:rPr>
        <w:t> </w:t>
      </w:r>
      <w:r>
        <w:rPr>
          <w:w w:val="105"/>
          <w:vertAlign w:val="baseline"/>
        </w:rPr>
        <w:t>provision</w:t>
      </w:r>
      <w:r>
        <w:rPr>
          <w:spacing w:val="40"/>
          <w:w w:val="105"/>
          <w:vertAlign w:val="baseline"/>
        </w:rPr>
        <w:t> </w:t>
      </w:r>
      <w:r>
        <w:rPr>
          <w:w w:val="105"/>
          <w:vertAlign w:val="baseline"/>
        </w:rPr>
        <w:t>itself</w:t>
      </w:r>
      <w:r>
        <w:rPr>
          <w:spacing w:val="40"/>
          <w:w w:val="105"/>
          <w:vertAlign w:val="baseline"/>
        </w:rPr>
        <w:t> </w:t>
      </w:r>
      <w:r>
        <w:rPr>
          <w:w w:val="105"/>
          <w:vertAlign w:val="baseline"/>
        </w:rPr>
        <w:t>declares</w:t>
      </w:r>
      <w:r>
        <w:rPr>
          <w:spacing w:val="40"/>
          <w:w w:val="105"/>
          <w:vertAlign w:val="baseline"/>
        </w:rPr>
        <w:t> </w:t>
      </w:r>
      <w:r>
        <w:rPr>
          <w:w w:val="105"/>
          <w:vertAlign w:val="baseline"/>
        </w:rPr>
        <w:t>one</w:t>
      </w:r>
      <w:r>
        <w:rPr>
          <w:spacing w:val="40"/>
          <w:w w:val="105"/>
          <w:vertAlign w:val="baseline"/>
        </w:rPr>
        <w:t> </w:t>
      </w:r>
      <w:r>
        <w:rPr>
          <w:w w:val="105"/>
          <w:vertAlign w:val="baseline"/>
        </w:rPr>
        <w:t>or</w:t>
      </w:r>
      <w:r>
        <w:rPr>
          <w:spacing w:val="40"/>
          <w:w w:val="105"/>
          <w:vertAlign w:val="baseline"/>
        </w:rPr>
        <w:t> </w:t>
      </w:r>
      <w:r>
        <w:rPr>
          <w:w w:val="105"/>
          <w:vertAlign w:val="baseline"/>
        </w:rPr>
        <w:t>more</w:t>
      </w:r>
    </w:p>
    <w:p>
      <w:pPr>
        <w:pStyle w:val="BodyText"/>
        <w:spacing w:line="310" w:lineRule="exact"/>
        <w:rPr>
          <w:rFonts w:ascii="Lucida Sans Unicode" w:hAnsi="Lucida Sans Unicode"/>
        </w:rPr>
      </w:pPr>
      <w:r>
        <w:rPr>
          <w:w w:val="110"/>
        </w:rPr>
        <w:t>provisions of EU primary or secondary </w:t>
      </w:r>
      <w:r>
        <w:rPr>
          <w:rFonts w:ascii="Lucida Sans Unicode" w:hAnsi="Lucida Sans Unicode"/>
        </w:rPr>
        <w:t>law applicable, e.g. Articles 34 and 36 </w:t>
      </w:r>
      <w:r>
        <w:rPr>
          <w:w w:val="110"/>
        </w:rPr>
        <w:t>TFEU;</w:t>
      </w:r>
      <w:r>
        <w:rPr>
          <w:rFonts w:ascii="Lucida Sans Unicode" w:hAnsi="Lucida Sans Unicode"/>
          <w:w w:val="110"/>
          <w:vertAlign w:val="superscript"/>
        </w:rPr>
        <w:t>192</w:t>
      </w:r>
      <w:r>
        <w:rPr>
          <w:rFonts w:ascii="Lucida Sans Unicode" w:hAnsi="Lucida Sans Unicode"/>
          <w:spacing w:val="-21"/>
          <w:w w:val="110"/>
          <w:vertAlign w:val="baseline"/>
        </w:rPr>
        <w:t> </w:t>
      </w:r>
      <w:r>
        <w:rPr>
          <w:w w:val="110"/>
          <w:vertAlign w:val="baseline"/>
        </w:rPr>
        <w:t>third,</w:t>
      </w:r>
      <w:r>
        <w:rPr>
          <w:spacing w:val="-19"/>
          <w:w w:val="110"/>
          <w:vertAlign w:val="baseline"/>
        </w:rPr>
        <w:t> </w:t>
      </w:r>
      <w:r>
        <w:rPr>
          <w:w w:val="110"/>
          <w:vertAlign w:val="baseline"/>
        </w:rPr>
        <w:t>the</w:t>
      </w:r>
      <w:r>
        <w:rPr>
          <w:spacing w:val="-18"/>
          <w:w w:val="110"/>
          <w:vertAlign w:val="baseline"/>
        </w:rPr>
        <w:t> </w:t>
      </w:r>
      <w:r>
        <w:rPr>
          <w:w w:val="110"/>
          <w:vertAlign w:val="baseline"/>
        </w:rPr>
        <w:t>Windsor</w:t>
      </w:r>
      <w:r>
        <w:rPr>
          <w:spacing w:val="-18"/>
          <w:w w:val="110"/>
          <w:vertAlign w:val="baseline"/>
        </w:rPr>
        <w:t> </w:t>
      </w:r>
      <w:r>
        <w:rPr>
          <w:w w:val="110"/>
          <w:vertAlign w:val="baseline"/>
        </w:rPr>
        <w:t>Framework makes reference to ‘Union law’ or provisions of Union law more broadly without expressly declaring them applicable (on the relevance of this distinction see below).</w:t>
      </w:r>
      <w:r>
        <w:rPr>
          <w:rFonts w:ascii="Lucida Sans Unicode" w:hAnsi="Lucida Sans Unicode"/>
          <w:w w:val="110"/>
          <w:vertAlign w:val="superscript"/>
        </w:rPr>
        <w:t>193</w:t>
      </w:r>
    </w:p>
    <w:p>
      <w:pPr>
        <w:pStyle w:val="BodyText"/>
        <w:spacing w:line="201" w:lineRule="auto" w:before="327"/>
        <w:ind w:right="538"/>
        <w:rPr>
          <w:rFonts w:ascii="Lucida Sans Unicode" w:hAnsi="Lucida Sans Unicode"/>
        </w:rPr>
      </w:pPr>
      <w:r>
        <w:rPr>
          <w:rFonts w:ascii="Lucida Sans Unicode" w:hAnsi="Lucida Sans Unicode"/>
          <w:w w:val="105"/>
        </w:rPr>
        <w:t>According</w:t>
      </w:r>
      <w:r>
        <w:rPr>
          <w:rFonts w:ascii="Lucida Sans Unicode" w:hAnsi="Lucida Sans Unicode"/>
          <w:spacing w:val="-2"/>
          <w:w w:val="105"/>
        </w:rPr>
        <w:t> </w:t>
      </w:r>
      <w:r>
        <w:rPr>
          <w:rFonts w:ascii="Lucida Sans Unicode" w:hAnsi="Lucida Sans Unicode"/>
          <w:w w:val="105"/>
        </w:rPr>
        <w:t>to</w:t>
      </w:r>
      <w:r>
        <w:rPr>
          <w:rFonts w:ascii="Lucida Sans Unicode" w:hAnsi="Lucida Sans Unicode"/>
          <w:spacing w:val="-2"/>
          <w:w w:val="105"/>
        </w:rPr>
        <w:t> </w:t>
      </w:r>
      <w:r>
        <w:rPr>
          <w:rFonts w:ascii="Lucida Sans Unicode" w:hAnsi="Lucida Sans Unicode"/>
          <w:w w:val="105"/>
        </w:rPr>
        <w:t>Article</w:t>
      </w:r>
      <w:r>
        <w:rPr>
          <w:rFonts w:ascii="Lucida Sans Unicode" w:hAnsi="Lucida Sans Unicode"/>
          <w:spacing w:val="-2"/>
          <w:w w:val="105"/>
        </w:rPr>
        <w:t> </w:t>
      </w:r>
      <w:r>
        <w:rPr>
          <w:rFonts w:ascii="Lucida Sans Unicode" w:hAnsi="Lucida Sans Unicode"/>
          <w:w w:val="105"/>
        </w:rPr>
        <w:t>4</w:t>
      </w:r>
      <w:r>
        <w:rPr>
          <w:rFonts w:ascii="Lucida Sans Unicode" w:hAnsi="Lucida Sans Unicode"/>
          <w:spacing w:val="-2"/>
          <w:w w:val="105"/>
        </w:rPr>
        <w:t> </w:t>
      </w:r>
      <w:r>
        <w:rPr>
          <w:rFonts w:ascii="Lucida Sans Unicode" w:hAnsi="Lucida Sans Unicode"/>
          <w:w w:val="105"/>
        </w:rPr>
        <w:t>(3)</w:t>
      </w:r>
      <w:r>
        <w:rPr>
          <w:rFonts w:ascii="Lucida Sans Unicode" w:hAnsi="Lucida Sans Unicode"/>
          <w:spacing w:val="-2"/>
          <w:w w:val="105"/>
        </w:rPr>
        <w:t> </w:t>
      </w:r>
      <w:r>
        <w:rPr>
          <w:rFonts w:ascii="Lucida Sans Unicode" w:hAnsi="Lucida Sans Unicode"/>
          <w:w w:val="105"/>
        </w:rPr>
        <w:t>WA</w:t>
      </w:r>
      <w:r>
        <w:rPr>
          <w:rFonts w:ascii="Lucida Sans Unicode" w:hAnsi="Lucida Sans Unicode"/>
          <w:spacing w:val="-2"/>
          <w:w w:val="105"/>
        </w:rPr>
        <w:t> </w:t>
      </w:r>
      <w:r>
        <w:rPr>
          <w:rFonts w:ascii="Lucida Sans Unicode" w:hAnsi="Lucida Sans Unicode"/>
          <w:w w:val="105"/>
        </w:rPr>
        <w:t>the ‘provisions of [the WA, of which the</w:t>
      </w:r>
      <w:r>
        <w:rPr>
          <w:rFonts w:ascii="Lucida Sans Unicode" w:hAnsi="Lucida Sans Unicode"/>
          <w:spacing w:val="-10"/>
          <w:w w:val="105"/>
        </w:rPr>
        <w:t> </w:t>
      </w:r>
      <w:r>
        <w:rPr>
          <w:rFonts w:ascii="Lucida Sans Unicode" w:hAnsi="Lucida Sans Unicode"/>
          <w:w w:val="105"/>
        </w:rPr>
        <w:t>Windsor</w:t>
      </w:r>
      <w:r>
        <w:rPr>
          <w:rFonts w:ascii="Lucida Sans Unicode" w:hAnsi="Lucida Sans Unicode"/>
          <w:spacing w:val="-10"/>
          <w:w w:val="105"/>
        </w:rPr>
        <w:t> </w:t>
      </w:r>
      <w:r>
        <w:rPr>
          <w:rFonts w:ascii="Lucida Sans Unicode" w:hAnsi="Lucida Sans Unicode"/>
          <w:w w:val="105"/>
        </w:rPr>
        <w:t>Framework</w:t>
      </w:r>
      <w:r>
        <w:rPr>
          <w:rFonts w:ascii="Lucida Sans Unicode" w:hAnsi="Lucida Sans Unicode"/>
          <w:spacing w:val="-10"/>
          <w:w w:val="105"/>
        </w:rPr>
        <w:t> </w:t>
      </w:r>
      <w:r>
        <w:rPr>
          <w:rFonts w:ascii="Lucida Sans Unicode" w:hAnsi="Lucida Sans Unicode"/>
          <w:w w:val="105"/>
        </w:rPr>
        <w:t>is</w:t>
      </w:r>
      <w:r>
        <w:rPr>
          <w:rFonts w:ascii="Lucida Sans Unicode" w:hAnsi="Lucida Sans Unicode"/>
          <w:spacing w:val="-10"/>
          <w:w w:val="105"/>
        </w:rPr>
        <w:t> </w:t>
      </w:r>
      <w:r>
        <w:rPr>
          <w:rFonts w:ascii="Lucida Sans Unicode" w:hAnsi="Lucida Sans Unicode"/>
          <w:w w:val="105"/>
        </w:rPr>
        <w:t>a</w:t>
      </w:r>
      <w:r>
        <w:rPr>
          <w:rFonts w:ascii="Lucida Sans Unicode" w:hAnsi="Lucida Sans Unicode"/>
          <w:spacing w:val="-10"/>
          <w:w w:val="105"/>
        </w:rPr>
        <w:t> </w:t>
      </w:r>
      <w:r>
        <w:rPr>
          <w:rFonts w:ascii="Lucida Sans Unicode" w:hAnsi="Lucida Sans Unicode"/>
          <w:w w:val="105"/>
        </w:rPr>
        <w:t>part]</w:t>
      </w:r>
    </w:p>
    <w:p>
      <w:pPr>
        <w:pStyle w:val="BodyText"/>
        <w:spacing w:line="268" w:lineRule="auto"/>
        <w:ind w:right="116"/>
      </w:pPr>
      <w:r>
        <w:rPr>
          <w:w w:val="115"/>
        </w:rPr>
        <w:t>referring to Union law or to concepts or provisions thereof shall be </w:t>
      </w:r>
      <w:r>
        <w:rPr>
          <w:spacing w:val="-2"/>
          <w:w w:val="115"/>
        </w:rPr>
        <w:t>interpreted</w:t>
      </w:r>
      <w:r>
        <w:rPr>
          <w:spacing w:val="-12"/>
          <w:w w:val="115"/>
        </w:rPr>
        <w:t> </w:t>
      </w:r>
      <w:r>
        <w:rPr>
          <w:spacing w:val="-2"/>
          <w:w w:val="115"/>
        </w:rPr>
        <w:t>and</w:t>
      </w:r>
      <w:r>
        <w:rPr>
          <w:spacing w:val="-12"/>
          <w:w w:val="115"/>
        </w:rPr>
        <w:t> </w:t>
      </w:r>
      <w:r>
        <w:rPr>
          <w:spacing w:val="-2"/>
          <w:w w:val="115"/>
        </w:rPr>
        <w:t>applied</w:t>
      </w:r>
      <w:r>
        <w:rPr>
          <w:spacing w:val="-12"/>
          <w:w w:val="115"/>
        </w:rPr>
        <w:t> </w:t>
      </w:r>
      <w:r>
        <w:rPr>
          <w:spacing w:val="-2"/>
          <w:w w:val="115"/>
        </w:rPr>
        <w:t>in</w:t>
      </w:r>
      <w:r>
        <w:rPr>
          <w:spacing w:val="-12"/>
          <w:w w:val="115"/>
        </w:rPr>
        <w:t> </w:t>
      </w:r>
      <w:r>
        <w:rPr>
          <w:spacing w:val="-2"/>
          <w:w w:val="115"/>
        </w:rPr>
        <w:t>accordance </w:t>
      </w:r>
      <w:r>
        <w:rPr>
          <w:w w:val="115"/>
        </w:rPr>
        <w:t>with the methods and general principles of Union law’.</w:t>
      </w:r>
    </w:p>
    <w:p>
      <w:pPr>
        <w:spacing w:after="0" w:line="268" w:lineRule="auto"/>
        <w:sectPr>
          <w:type w:val="continuous"/>
          <w:pgSz w:w="11910" w:h="16840"/>
          <w:pgMar w:header="568" w:footer="580" w:top="0" w:bottom="280" w:left="1020" w:right="1020"/>
          <w:cols w:num="2" w:equalWidth="0">
            <w:col w:w="4691" w:space="354"/>
            <w:col w:w="4825"/>
          </w:cols>
        </w:sectPr>
      </w:pPr>
    </w:p>
    <w:p>
      <w:pPr>
        <w:pStyle w:val="BodyText"/>
        <w:spacing w:before="181"/>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133" name="Group 133"/>
                <wp:cNvGraphicFramePr>
                  <a:graphicFrameLocks/>
                </wp:cNvGraphicFramePr>
                <a:graphic>
                  <a:graphicData uri="http://schemas.microsoft.com/office/word/2010/wordprocessingGroup">
                    <wpg:wgp>
                      <wpg:cNvPr id="133" name="Group 133"/>
                      <wpg:cNvGrpSpPr/>
                      <wpg:grpSpPr>
                        <a:xfrm>
                          <a:off x="0" y="0"/>
                          <a:ext cx="6120130" cy="6350"/>
                          <a:chExt cx="6120130" cy="6350"/>
                        </a:xfrm>
                      </wpg:grpSpPr>
                      <wps:wsp>
                        <wps:cNvPr id="134" name="Graphic 134"/>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85"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6" w:val="left" w:leader="none"/>
        </w:tabs>
        <w:spacing w:line="223" w:lineRule="exact" w:before="61" w:after="0"/>
        <w:ind w:left="566" w:right="0" w:hanging="453"/>
        <w:jc w:val="left"/>
        <w:rPr>
          <w:sz w:val="16"/>
        </w:rPr>
      </w:pPr>
      <w:r>
        <w:rPr>
          <w:w w:val="105"/>
          <w:sz w:val="16"/>
        </w:rPr>
        <w:t>On</w:t>
      </w:r>
      <w:r>
        <w:rPr>
          <w:spacing w:val="-13"/>
          <w:w w:val="105"/>
          <w:sz w:val="16"/>
        </w:rPr>
        <w:t> </w:t>
      </w:r>
      <w:r>
        <w:rPr>
          <w:w w:val="105"/>
          <w:sz w:val="16"/>
        </w:rPr>
        <w:t>this</w:t>
      </w:r>
      <w:r>
        <w:rPr>
          <w:spacing w:val="-13"/>
          <w:w w:val="105"/>
          <w:sz w:val="16"/>
        </w:rPr>
        <w:t> </w:t>
      </w:r>
      <w:r>
        <w:rPr>
          <w:w w:val="105"/>
          <w:sz w:val="16"/>
        </w:rPr>
        <w:t>avenue</w:t>
      </w:r>
      <w:r>
        <w:rPr>
          <w:spacing w:val="-13"/>
          <w:w w:val="105"/>
          <w:sz w:val="16"/>
        </w:rPr>
        <w:t> </w:t>
      </w:r>
      <w:r>
        <w:rPr>
          <w:w w:val="105"/>
          <w:sz w:val="16"/>
        </w:rPr>
        <w:t>see</w:t>
      </w:r>
      <w:r>
        <w:rPr>
          <w:spacing w:val="-13"/>
          <w:w w:val="105"/>
          <w:sz w:val="16"/>
        </w:rPr>
        <w:t> </w:t>
      </w:r>
      <w:r>
        <w:rPr>
          <w:w w:val="105"/>
          <w:sz w:val="16"/>
        </w:rPr>
        <w:t>McCloskey</w:t>
      </w:r>
      <w:r>
        <w:rPr>
          <w:spacing w:val="-13"/>
          <w:w w:val="105"/>
          <w:sz w:val="16"/>
        </w:rPr>
        <w:t> </w:t>
      </w:r>
      <w:r>
        <w:rPr>
          <w:w w:val="105"/>
          <w:sz w:val="16"/>
        </w:rPr>
        <w:t>(n</w:t>
      </w:r>
      <w:r>
        <w:rPr>
          <w:spacing w:val="-13"/>
          <w:w w:val="105"/>
          <w:sz w:val="16"/>
        </w:rPr>
        <w:t> </w:t>
      </w:r>
      <w:r>
        <w:rPr>
          <w:w w:val="105"/>
          <w:sz w:val="16"/>
        </w:rPr>
        <w:t>6),</w:t>
      </w:r>
      <w:r>
        <w:rPr>
          <w:spacing w:val="-13"/>
          <w:w w:val="105"/>
          <w:sz w:val="16"/>
        </w:rPr>
        <w:t> </w:t>
      </w:r>
      <w:r>
        <w:rPr>
          <w:spacing w:val="-4"/>
          <w:w w:val="105"/>
          <w:sz w:val="16"/>
        </w:rPr>
        <w:t>164.</w:t>
      </w:r>
    </w:p>
    <w:p>
      <w:pPr>
        <w:pStyle w:val="ListParagraph"/>
        <w:numPr>
          <w:ilvl w:val="0"/>
          <w:numId w:val="6"/>
        </w:numPr>
        <w:tabs>
          <w:tab w:pos="565" w:val="left" w:leader="none"/>
        </w:tabs>
        <w:spacing w:line="200" w:lineRule="exact" w:before="0" w:after="0"/>
        <w:ind w:left="565" w:right="0" w:hanging="452"/>
        <w:jc w:val="left"/>
        <w:rPr>
          <w:sz w:val="16"/>
        </w:rPr>
      </w:pPr>
      <w:r>
        <w:rPr>
          <w:spacing w:val="-2"/>
          <w:sz w:val="16"/>
        </w:rPr>
        <w:t>Notably:</w:t>
      </w:r>
      <w:r>
        <w:rPr>
          <w:spacing w:val="-10"/>
          <w:sz w:val="16"/>
        </w:rPr>
        <w:t> </w:t>
      </w:r>
      <w:r>
        <w:rPr>
          <w:spacing w:val="-2"/>
          <w:sz w:val="16"/>
        </w:rPr>
        <w:t>Articles</w:t>
      </w:r>
      <w:r>
        <w:rPr>
          <w:spacing w:val="-9"/>
          <w:sz w:val="16"/>
        </w:rPr>
        <w:t> </w:t>
      </w:r>
      <w:r>
        <w:rPr>
          <w:spacing w:val="-2"/>
          <w:sz w:val="16"/>
        </w:rPr>
        <w:t>5</w:t>
      </w:r>
      <w:r>
        <w:rPr>
          <w:spacing w:val="-10"/>
          <w:sz w:val="16"/>
        </w:rPr>
        <w:t> </w:t>
      </w:r>
      <w:r>
        <w:rPr>
          <w:spacing w:val="-2"/>
          <w:sz w:val="16"/>
        </w:rPr>
        <w:t>(3</w:t>
      </w:r>
      <w:r>
        <w:rPr>
          <w:spacing w:val="-9"/>
          <w:sz w:val="16"/>
        </w:rPr>
        <w:t> </w:t>
      </w:r>
      <w:r>
        <w:rPr>
          <w:spacing w:val="-2"/>
          <w:sz w:val="16"/>
        </w:rPr>
        <w:t>to</w:t>
      </w:r>
      <w:r>
        <w:rPr>
          <w:spacing w:val="-9"/>
          <w:sz w:val="16"/>
        </w:rPr>
        <w:t> </w:t>
      </w:r>
      <w:r>
        <w:rPr>
          <w:spacing w:val="-2"/>
          <w:sz w:val="16"/>
        </w:rPr>
        <w:t>5);</w:t>
      </w:r>
      <w:r>
        <w:rPr>
          <w:spacing w:val="-10"/>
          <w:sz w:val="16"/>
        </w:rPr>
        <w:t> </w:t>
      </w:r>
      <w:r>
        <w:rPr>
          <w:spacing w:val="-2"/>
          <w:sz w:val="16"/>
        </w:rPr>
        <w:t>7</w:t>
      </w:r>
      <w:r>
        <w:rPr>
          <w:spacing w:val="-9"/>
          <w:sz w:val="16"/>
        </w:rPr>
        <w:t> </w:t>
      </w:r>
      <w:r>
        <w:rPr>
          <w:spacing w:val="-2"/>
          <w:sz w:val="16"/>
        </w:rPr>
        <w:t>(1);</w:t>
      </w:r>
      <w:r>
        <w:rPr>
          <w:spacing w:val="-9"/>
          <w:sz w:val="16"/>
        </w:rPr>
        <w:t> </w:t>
      </w:r>
      <w:r>
        <w:rPr>
          <w:spacing w:val="-2"/>
          <w:sz w:val="16"/>
        </w:rPr>
        <w:t>8</w:t>
      </w:r>
      <w:r>
        <w:rPr>
          <w:spacing w:val="-10"/>
          <w:sz w:val="16"/>
        </w:rPr>
        <w:t> </w:t>
      </w:r>
      <w:r>
        <w:rPr>
          <w:spacing w:val="-2"/>
          <w:sz w:val="16"/>
        </w:rPr>
        <w:t>(1);</w:t>
      </w:r>
      <w:r>
        <w:rPr>
          <w:spacing w:val="-9"/>
          <w:sz w:val="16"/>
        </w:rPr>
        <w:t> </w:t>
      </w:r>
      <w:r>
        <w:rPr>
          <w:spacing w:val="-2"/>
          <w:sz w:val="16"/>
        </w:rPr>
        <w:t>9</w:t>
      </w:r>
      <w:r>
        <w:rPr>
          <w:spacing w:val="-10"/>
          <w:sz w:val="16"/>
        </w:rPr>
        <w:t> </w:t>
      </w:r>
      <w:r>
        <w:rPr>
          <w:spacing w:val="-2"/>
          <w:sz w:val="16"/>
        </w:rPr>
        <w:t>(1);</w:t>
      </w:r>
      <w:r>
        <w:rPr>
          <w:spacing w:val="-9"/>
          <w:sz w:val="16"/>
        </w:rPr>
        <w:t> </w:t>
      </w:r>
      <w:r>
        <w:rPr>
          <w:spacing w:val="-2"/>
          <w:sz w:val="16"/>
        </w:rPr>
        <w:t>10</w:t>
      </w:r>
      <w:r>
        <w:rPr>
          <w:spacing w:val="-9"/>
          <w:sz w:val="16"/>
        </w:rPr>
        <w:t> </w:t>
      </w:r>
      <w:r>
        <w:rPr>
          <w:spacing w:val="-2"/>
          <w:sz w:val="16"/>
        </w:rPr>
        <w:t>(1);</w:t>
      </w:r>
      <w:r>
        <w:rPr>
          <w:spacing w:val="-10"/>
          <w:sz w:val="16"/>
        </w:rPr>
        <w:t> </w:t>
      </w:r>
      <w:r>
        <w:rPr>
          <w:spacing w:val="-2"/>
          <w:sz w:val="16"/>
        </w:rPr>
        <w:t>11</w:t>
      </w:r>
      <w:r>
        <w:rPr>
          <w:spacing w:val="-9"/>
          <w:sz w:val="16"/>
        </w:rPr>
        <w:t> </w:t>
      </w:r>
      <w:r>
        <w:rPr>
          <w:spacing w:val="-2"/>
          <w:sz w:val="16"/>
        </w:rPr>
        <w:t>(1);</w:t>
      </w:r>
      <w:r>
        <w:rPr>
          <w:spacing w:val="-9"/>
          <w:sz w:val="16"/>
        </w:rPr>
        <w:t> </w:t>
      </w:r>
      <w:r>
        <w:rPr>
          <w:spacing w:val="-2"/>
          <w:sz w:val="16"/>
        </w:rPr>
        <w:t>13</w:t>
      </w:r>
      <w:r>
        <w:rPr>
          <w:spacing w:val="-10"/>
          <w:sz w:val="16"/>
        </w:rPr>
        <w:t> </w:t>
      </w:r>
      <w:r>
        <w:rPr>
          <w:spacing w:val="-4"/>
          <w:sz w:val="16"/>
        </w:rPr>
        <w:t>(7).</w:t>
      </w:r>
    </w:p>
    <w:p>
      <w:pPr>
        <w:pStyle w:val="ListParagraph"/>
        <w:numPr>
          <w:ilvl w:val="0"/>
          <w:numId w:val="6"/>
        </w:numPr>
        <w:tabs>
          <w:tab w:pos="567" w:val="left" w:leader="none"/>
        </w:tabs>
        <w:spacing w:line="200" w:lineRule="exact" w:before="0" w:after="0"/>
        <w:ind w:left="567" w:right="0" w:hanging="454"/>
        <w:jc w:val="left"/>
        <w:rPr>
          <w:rFonts w:ascii="Arial"/>
          <w:sz w:val="16"/>
        </w:rPr>
      </w:pPr>
      <w:r>
        <w:rPr>
          <w:sz w:val="16"/>
        </w:rPr>
        <w:t>E.g.,</w:t>
      </w:r>
      <w:r>
        <w:rPr>
          <w:spacing w:val="1"/>
          <w:sz w:val="16"/>
        </w:rPr>
        <w:t> </w:t>
      </w:r>
      <w:r>
        <w:rPr>
          <w:sz w:val="16"/>
        </w:rPr>
        <w:t>Article</w:t>
      </w:r>
      <w:r>
        <w:rPr>
          <w:spacing w:val="1"/>
          <w:sz w:val="16"/>
        </w:rPr>
        <w:t> </w:t>
      </w:r>
      <w:r>
        <w:rPr>
          <w:sz w:val="16"/>
        </w:rPr>
        <w:t>8</w:t>
      </w:r>
      <w:r>
        <w:rPr>
          <w:spacing w:val="1"/>
          <w:sz w:val="16"/>
        </w:rPr>
        <w:t> </w:t>
      </w:r>
      <w:r>
        <w:rPr>
          <w:spacing w:val="-4"/>
          <w:sz w:val="16"/>
        </w:rPr>
        <w:t>(1).</w:t>
      </w:r>
    </w:p>
    <w:p>
      <w:pPr>
        <w:pStyle w:val="ListParagraph"/>
        <w:numPr>
          <w:ilvl w:val="0"/>
          <w:numId w:val="6"/>
        </w:numPr>
        <w:tabs>
          <w:tab w:pos="567" w:val="left" w:leader="none"/>
        </w:tabs>
        <w:spacing w:line="194" w:lineRule="auto" w:before="10" w:after="0"/>
        <w:ind w:left="567" w:right="579" w:hanging="454"/>
        <w:jc w:val="left"/>
        <w:rPr>
          <w:sz w:val="16"/>
        </w:rPr>
      </w:pPr>
      <w:r>
        <w:rPr>
          <w:rFonts w:ascii="Arial"/>
          <w:w w:val="105"/>
          <w:sz w:val="16"/>
        </w:rPr>
        <w:t>Relating</w:t>
      </w:r>
      <w:r>
        <w:rPr>
          <w:rFonts w:ascii="Arial"/>
          <w:spacing w:val="40"/>
          <w:w w:val="105"/>
          <w:sz w:val="16"/>
        </w:rPr>
        <w:t> </w:t>
      </w:r>
      <w:r>
        <w:rPr>
          <w:rFonts w:ascii="Arial"/>
          <w:w w:val="105"/>
          <w:sz w:val="16"/>
        </w:rPr>
        <w:t>to</w:t>
      </w:r>
      <w:r>
        <w:rPr>
          <w:rFonts w:ascii="Arial"/>
          <w:spacing w:val="40"/>
          <w:w w:val="105"/>
          <w:sz w:val="16"/>
        </w:rPr>
        <w:t> </w:t>
      </w:r>
      <w:r>
        <w:rPr>
          <w:rFonts w:ascii="Arial"/>
          <w:w w:val="105"/>
          <w:sz w:val="16"/>
        </w:rPr>
        <w:t>prohibition</w:t>
      </w:r>
      <w:r>
        <w:rPr>
          <w:rFonts w:ascii="Arial"/>
          <w:spacing w:val="40"/>
          <w:w w:val="105"/>
          <w:sz w:val="16"/>
        </w:rPr>
        <w:t> </w:t>
      </w:r>
      <w:r>
        <w:rPr>
          <w:rFonts w:ascii="Arial"/>
          <w:w w:val="105"/>
          <w:sz w:val="16"/>
        </w:rPr>
        <w:t>on</w:t>
      </w:r>
      <w:r>
        <w:rPr>
          <w:rFonts w:ascii="Arial"/>
          <w:spacing w:val="40"/>
          <w:w w:val="105"/>
          <w:sz w:val="16"/>
        </w:rPr>
        <w:t> </w:t>
      </w:r>
      <w:r>
        <w:rPr>
          <w:rFonts w:ascii="Arial"/>
          <w:w w:val="105"/>
          <w:sz w:val="16"/>
        </w:rPr>
        <w:t>quantitative</w:t>
      </w:r>
      <w:r>
        <w:rPr>
          <w:rFonts w:ascii="Arial"/>
          <w:spacing w:val="40"/>
          <w:w w:val="105"/>
          <w:sz w:val="16"/>
        </w:rPr>
        <w:t> </w:t>
      </w:r>
      <w:r>
        <w:rPr>
          <w:rFonts w:ascii="Arial"/>
          <w:w w:val="105"/>
          <w:sz w:val="16"/>
        </w:rPr>
        <w:t>restrictions</w:t>
      </w:r>
      <w:r>
        <w:rPr>
          <w:rFonts w:ascii="Arial"/>
          <w:spacing w:val="40"/>
          <w:w w:val="105"/>
          <w:sz w:val="16"/>
        </w:rPr>
        <w:t> </w:t>
      </w:r>
      <w:r>
        <w:rPr>
          <w:rFonts w:ascii="Arial"/>
          <w:w w:val="105"/>
          <w:sz w:val="16"/>
        </w:rPr>
        <w:t>and</w:t>
      </w:r>
      <w:r>
        <w:rPr>
          <w:rFonts w:ascii="Arial"/>
          <w:spacing w:val="40"/>
          <w:w w:val="105"/>
          <w:sz w:val="16"/>
        </w:rPr>
        <w:t> </w:t>
      </w:r>
      <w:r>
        <w:rPr>
          <w:rFonts w:ascii="Arial"/>
          <w:w w:val="105"/>
          <w:sz w:val="16"/>
        </w:rPr>
        <w:t>measures</w:t>
      </w:r>
      <w:r>
        <w:rPr>
          <w:rFonts w:ascii="Arial"/>
          <w:spacing w:val="40"/>
          <w:w w:val="105"/>
          <w:sz w:val="16"/>
        </w:rPr>
        <w:t> </w:t>
      </w:r>
      <w:r>
        <w:rPr>
          <w:rFonts w:ascii="Arial"/>
          <w:w w:val="105"/>
          <w:sz w:val="16"/>
        </w:rPr>
        <w:t>having</w:t>
      </w:r>
      <w:r>
        <w:rPr>
          <w:rFonts w:ascii="Arial"/>
          <w:spacing w:val="40"/>
          <w:w w:val="105"/>
          <w:sz w:val="16"/>
        </w:rPr>
        <w:t> </w:t>
      </w:r>
      <w:r>
        <w:rPr>
          <w:rFonts w:ascii="Arial"/>
          <w:w w:val="105"/>
          <w:sz w:val="16"/>
        </w:rPr>
        <w:t>equivalent</w:t>
      </w:r>
      <w:r>
        <w:rPr>
          <w:rFonts w:ascii="Arial"/>
          <w:spacing w:val="40"/>
          <w:w w:val="105"/>
          <w:sz w:val="16"/>
        </w:rPr>
        <w:t> </w:t>
      </w:r>
      <w:r>
        <w:rPr>
          <w:rFonts w:ascii="Arial"/>
          <w:w w:val="105"/>
          <w:sz w:val="16"/>
        </w:rPr>
        <w:t>effect</w:t>
      </w:r>
      <w:r>
        <w:rPr>
          <w:rFonts w:ascii="Arial"/>
          <w:spacing w:val="40"/>
          <w:w w:val="105"/>
          <w:sz w:val="16"/>
        </w:rPr>
        <w:t> </w:t>
      </w:r>
      <w:r>
        <w:rPr>
          <w:rFonts w:ascii="Arial"/>
          <w:w w:val="105"/>
          <w:sz w:val="16"/>
        </w:rPr>
        <w:t>on</w:t>
      </w:r>
      <w:r>
        <w:rPr>
          <w:rFonts w:ascii="Arial"/>
          <w:spacing w:val="40"/>
          <w:w w:val="105"/>
          <w:sz w:val="16"/>
        </w:rPr>
        <w:t> </w:t>
      </w:r>
      <w:r>
        <w:rPr>
          <w:rFonts w:ascii="Arial"/>
          <w:w w:val="105"/>
          <w:sz w:val="16"/>
        </w:rPr>
        <w:t>imports</w:t>
      </w:r>
      <w:r>
        <w:rPr>
          <w:rFonts w:ascii="Arial"/>
          <w:spacing w:val="40"/>
          <w:w w:val="105"/>
          <w:sz w:val="16"/>
        </w:rPr>
        <w:t> </w:t>
      </w:r>
      <w:r>
        <w:rPr>
          <w:rFonts w:ascii="Arial"/>
          <w:w w:val="105"/>
          <w:sz w:val="16"/>
        </w:rPr>
        <w:t>between </w:t>
      </w:r>
      <w:r>
        <w:rPr>
          <w:spacing w:val="-2"/>
          <w:w w:val="105"/>
          <w:sz w:val="16"/>
        </w:rPr>
        <w:t>Member</w:t>
      </w:r>
      <w:r>
        <w:rPr>
          <w:spacing w:val="-6"/>
          <w:w w:val="105"/>
          <w:sz w:val="16"/>
        </w:rPr>
        <w:t> </w:t>
      </w:r>
      <w:r>
        <w:rPr>
          <w:spacing w:val="-2"/>
          <w:w w:val="105"/>
          <w:sz w:val="16"/>
        </w:rPr>
        <w:t>States</w:t>
      </w:r>
      <w:r>
        <w:rPr>
          <w:spacing w:val="-6"/>
          <w:w w:val="105"/>
          <w:sz w:val="16"/>
        </w:rPr>
        <w:t> </w:t>
      </w:r>
      <w:r>
        <w:rPr>
          <w:spacing w:val="-2"/>
          <w:w w:val="105"/>
          <w:sz w:val="16"/>
        </w:rPr>
        <w:t>and</w:t>
      </w:r>
      <w:r>
        <w:rPr>
          <w:spacing w:val="-6"/>
          <w:w w:val="105"/>
          <w:sz w:val="16"/>
        </w:rPr>
        <w:t> </w:t>
      </w:r>
      <w:r>
        <w:rPr>
          <w:spacing w:val="-2"/>
          <w:w w:val="105"/>
          <w:sz w:val="16"/>
        </w:rPr>
        <w:t>exceptions</w:t>
      </w:r>
      <w:r>
        <w:rPr>
          <w:spacing w:val="-6"/>
          <w:w w:val="105"/>
          <w:sz w:val="16"/>
        </w:rPr>
        <w:t> </w:t>
      </w:r>
      <w:r>
        <w:rPr>
          <w:spacing w:val="-2"/>
          <w:w w:val="105"/>
          <w:sz w:val="16"/>
        </w:rPr>
        <w:t>respectively,</w:t>
      </w:r>
      <w:r>
        <w:rPr>
          <w:spacing w:val="-6"/>
          <w:w w:val="105"/>
          <w:sz w:val="16"/>
        </w:rPr>
        <w:t> </w:t>
      </w:r>
      <w:r>
        <w:rPr>
          <w:spacing w:val="-2"/>
          <w:w w:val="105"/>
          <w:sz w:val="16"/>
        </w:rPr>
        <w:t>referenced</w:t>
      </w:r>
      <w:r>
        <w:rPr>
          <w:spacing w:val="-6"/>
          <w:w w:val="105"/>
          <w:sz w:val="16"/>
        </w:rPr>
        <w:t> </w:t>
      </w:r>
      <w:r>
        <w:rPr>
          <w:spacing w:val="-2"/>
          <w:w w:val="105"/>
          <w:sz w:val="16"/>
        </w:rPr>
        <w:t>in</w:t>
      </w:r>
      <w:r>
        <w:rPr>
          <w:spacing w:val="-6"/>
          <w:w w:val="105"/>
          <w:sz w:val="16"/>
        </w:rPr>
        <w:t> </w:t>
      </w:r>
      <w:r>
        <w:rPr>
          <w:spacing w:val="-2"/>
          <w:w w:val="105"/>
          <w:sz w:val="16"/>
        </w:rPr>
        <w:t>Article</w:t>
      </w:r>
      <w:r>
        <w:rPr>
          <w:spacing w:val="-6"/>
          <w:w w:val="105"/>
          <w:sz w:val="16"/>
        </w:rPr>
        <w:t> </w:t>
      </w:r>
      <w:r>
        <w:rPr>
          <w:spacing w:val="-2"/>
          <w:w w:val="105"/>
          <w:sz w:val="16"/>
        </w:rPr>
        <w:t>7</w:t>
      </w:r>
      <w:r>
        <w:rPr>
          <w:spacing w:val="-6"/>
          <w:w w:val="105"/>
          <w:sz w:val="16"/>
        </w:rPr>
        <w:t> </w:t>
      </w:r>
      <w:r>
        <w:rPr>
          <w:spacing w:val="-2"/>
          <w:w w:val="105"/>
          <w:sz w:val="16"/>
        </w:rPr>
        <w:t>(1);</w:t>
      </w:r>
      <w:r>
        <w:rPr>
          <w:spacing w:val="-6"/>
          <w:w w:val="105"/>
          <w:sz w:val="16"/>
        </w:rPr>
        <w:t> </w:t>
      </w:r>
      <w:r>
        <w:rPr>
          <w:spacing w:val="-2"/>
          <w:w w:val="105"/>
          <w:sz w:val="16"/>
        </w:rPr>
        <w:t>but</w:t>
      </w:r>
      <w:r>
        <w:rPr>
          <w:spacing w:val="-6"/>
          <w:w w:val="105"/>
          <w:sz w:val="16"/>
        </w:rPr>
        <w:t> </w:t>
      </w:r>
      <w:r>
        <w:rPr>
          <w:spacing w:val="-2"/>
          <w:w w:val="105"/>
          <w:sz w:val="16"/>
        </w:rPr>
        <w:t>also</w:t>
      </w:r>
      <w:r>
        <w:rPr>
          <w:spacing w:val="-6"/>
          <w:w w:val="105"/>
          <w:sz w:val="16"/>
        </w:rPr>
        <w:t> </w:t>
      </w:r>
      <w:r>
        <w:rPr>
          <w:spacing w:val="-2"/>
          <w:w w:val="105"/>
          <w:sz w:val="16"/>
        </w:rPr>
        <w:t>the</w:t>
      </w:r>
      <w:r>
        <w:rPr>
          <w:spacing w:val="-6"/>
          <w:w w:val="105"/>
          <w:sz w:val="16"/>
        </w:rPr>
        <w:t> </w:t>
      </w:r>
      <w:r>
        <w:rPr>
          <w:spacing w:val="-2"/>
          <w:w w:val="105"/>
          <w:sz w:val="16"/>
        </w:rPr>
        <w:t>limitation</w:t>
      </w:r>
      <w:r>
        <w:rPr>
          <w:spacing w:val="-6"/>
          <w:w w:val="105"/>
          <w:sz w:val="16"/>
        </w:rPr>
        <w:t> </w:t>
      </w:r>
      <w:r>
        <w:rPr>
          <w:spacing w:val="-2"/>
          <w:w w:val="105"/>
          <w:sz w:val="16"/>
        </w:rPr>
        <w:t>in</w:t>
      </w:r>
      <w:r>
        <w:rPr>
          <w:spacing w:val="-6"/>
          <w:w w:val="105"/>
          <w:sz w:val="16"/>
        </w:rPr>
        <w:t> </w:t>
      </w:r>
      <w:r>
        <w:rPr>
          <w:spacing w:val="-2"/>
          <w:w w:val="105"/>
          <w:sz w:val="16"/>
        </w:rPr>
        <w:t>Article</w:t>
      </w:r>
      <w:r>
        <w:rPr>
          <w:spacing w:val="-6"/>
          <w:w w:val="105"/>
          <w:sz w:val="16"/>
        </w:rPr>
        <w:t> </w:t>
      </w:r>
      <w:r>
        <w:rPr>
          <w:spacing w:val="-2"/>
          <w:w w:val="105"/>
          <w:sz w:val="16"/>
        </w:rPr>
        <w:t>13</w:t>
      </w:r>
      <w:r>
        <w:rPr>
          <w:spacing w:val="-6"/>
          <w:w w:val="105"/>
          <w:sz w:val="16"/>
        </w:rPr>
        <w:t> </w:t>
      </w:r>
      <w:r>
        <w:rPr>
          <w:spacing w:val="-2"/>
          <w:w w:val="105"/>
          <w:sz w:val="16"/>
        </w:rPr>
        <w:t>(7).</w:t>
      </w:r>
    </w:p>
    <w:p>
      <w:pPr>
        <w:pStyle w:val="ListParagraph"/>
        <w:numPr>
          <w:ilvl w:val="0"/>
          <w:numId w:val="6"/>
        </w:numPr>
        <w:tabs>
          <w:tab w:pos="565" w:val="left" w:leader="none"/>
        </w:tabs>
        <w:spacing w:line="214" w:lineRule="exact" w:before="0" w:after="0"/>
        <w:ind w:left="565" w:right="0" w:hanging="452"/>
        <w:jc w:val="left"/>
        <w:rPr>
          <w:sz w:val="16"/>
        </w:rPr>
      </w:pPr>
      <w:r>
        <w:rPr>
          <w:rFonts w:ascii="Arial"/>
          <w:sz w:val="16"/>
        </w:rPr>
        <w:t>Article</w:t>
      </w:r>
      <w:r>
        <w:rPr>
          <w:rFonts w:ascii="Arial"/>
          <w:spacing w:val="10"/>
          <w:sz w:val="16"/>
        </w:rPr>
        <w:t> </w:t>
      </w:r>
      <w:r>
        <w:rPr>
          <w:rFonts w:ascii="Arial"/>
          <w:sz w:val="16"/>
        </w:rPr>
        <w:t>11</w:t>
      </w:r>
      <w:r>
        <w:rPr>
          <w:rFonts w:ascii="Arial"/>
          <w:spacing w:val="11"/>
          <w:sz w:val="16"/>
        </w:rPr>
        <w:t> </w:t>
      </w:r>
      <w:r>
        <w:rPr>
          <w:rFonts w:ascii="Arial"/>
          <w:spacing w:val="-4"/>
          <w:sz w:val="16"/>
        </w:rPr>
        <w:t>(1).</w:t>
      </w:r>
    </w:p>
    <w:p>
      <w:pPr>
        <w:spacing w:after="0" w:line="214" w:lineRule="exact"/>
        <w:jc w:val="left"/>
        <w:rPr>
          <w:sz w:val="16"/>
        </w:rPr>
        <w:sectPr>
          <w:type w:val="continuous"/>
          <w:pgSz w:w="11910" w:h="16840"/>
          <w:pgMar w:header="568" w:footer="580" w:top="0" w:bottom="280" w:left="1020" w:right="1020"/>
        </w:sectPr>
      </w:pPr>
    </w:p>
    <w:p>
      <w:pPr>
        <w:pStyle w:val="BodyText"/>
        <w:ind w:left="0"/>
        <w:rPr>
          <w:sz w:val="20"/>
        </w:rPr>
      </w:pPr>
    </w:p>
    <w:p>
      <w:pPr>
        <w:pStyle w:val="BodyText"/>
        <w:ind w:left="0"/>
        <w:rPr>
          <w:sz w:val="20"/>
        </w:rPr>
      </w:pPr>
    </w:p>
    <w:p>
      <w:pPr>
        <w:pStyle w:val="BodyText"/>
        <w:spacing w:before="48"/>
        <w:ind w:left="0"/>
        <w:rPr>
          <w:sz w:val="20"/>
        </w:rPr>
      </w:pPr>
    </w:p>
    <w:p>
      <w:pPr>
        <w:spacing w:after="0"/>
        <w:rPr>
          <w:sz w:val="20"/>
        </w:rPr>
        <w:sectPr>
          <w:pgSz w:w="11910" w:h="16840"/>
          <w:pgMar w:header="568" w:footer="580" w:top="840" w:bottom="780" w:left="1020" w:right="1020"/>
        </w:sectPr>
      </w:pPr>
    </w:p>
    <w:p>
      <w:pPr>
        <w:pStyle w:val="BodyText"/>
        <w:spacing w:line="252" w:lineRule="auto" w:before="72"/>
        <w:ind w:right="496"/>
        <w:rPr>
          <w:rFonts w:ascii="Lucida Sans Unicode" w:hAnsi="Lucida Sans Unicode"/>
        </w:rPr>
      </w:pPr>
      <w:r>
        <w:rPr>
          <w:w w:val="110"/>
        </w:rPr>
        <w:t>According to the CJEU, this means in particular that ‘every provision </w:t>
      </w:r>
      <w:r>
        <w:rPr>
          <w:w w:val="110"/>
        </w:rPr>
        <w:t>of </w:t>
      </w:r>
      <w:r>
        <w:rPr>
          <w:rFonts w:ascii="Lucida Sans Unicode" w:hAnsi="Lucida Sans Unicode"/>
          <w:w w:val="110"/>
        </w:rPr>
        <w:t>[Union]</w:t>
      </w:r>
      <w:r>
        <w:rPr>
          <w:rFonts w:ascii="Lucida Sans Unicode" w:hAnsi="Lucida Sans Unicode"/>
          <w:spacing w:val="-19"/>
          <w:w w:val="110"/>
        </w:rPr>
        <w:t> </w:t>
      </w:r>
      <w:r>
        <w:rPr>
          <w:rFonts w:ascii="Lucida Sans Unicode" w:hAnsi="Lucida Sans Unicode"/>
          <w:w w:val="110"/>
        </w:rPr>
        <w:t>law</w:t>
      </w:r>
      <w:r>
        <w:rPr>
          <w:rFonts w:ascii="Lucida Sans Unicode" w:hAnsi="Lucida Sans Unicode"/>
          <w:spacing w:val="-19"/>
          <w:w w:val="110"/>
        </w:rPr>
        <w:t> </w:t>
      </w:r>
      <w:r>
        <w:rPr>
          <w:rFonts w:ascii="Lucida Sans Unicode" w:hAnsi="Lucida Sans Unicode"/>
          <w:w w:val="110"/>
        </w:rPr>
        <w:t>must</w:t>
      </w:r>
      <w:r>
        <w:rPr>
          <w:rFonts w:ascii="Lucida Sans Unicode" w:hAnsi="Lucida Sans Unicode"/>
          <w:spacing w:val="-19"/>
          <w:w w:val="110"/>
        </w:rPr>
        <w:t> </w:t>
      </w:r>
      <w:r>
        <w:rPr>
          <w:rFonts w:ascii="Lucida Sans Unicode" w:hAnsi="Lucida Sans Unicode"/>
          <w:w w:val="110"/>
        </w:rPr>
        <w:t>be</w:t>
      </w:r>
      <w:r>
        <w:rPr>
          <w:rFonts w:ascii="Lucida Sans Unicode" w:hAnsi="Lucida Sans Unicode"/>
          <w:spacing w:val="-19"/>
          <w:w w:val="110"/>
        </w:rPr>
        <w:t> </w:t>
      </w:r>
      <w:r>
        <w:rPr>
          <w:rFonts w:ascii="Lucida Sans Unicode" w:hAnsi="Lucida Sans Unicode"/>
          <w:w w:val="110"/>
        </w:rPr>
        <w:t>placed</w:t>
      </w:r>
      <w:r>
        <w:rPr>
          <w:rFonts w:ascii="Lucida Sans Unicode" w:hAnsi="Lucida Sans Unicode"/>
          <w:spacing w:val="-19"/>
          <w:w w:val="110"/>
        </w:rPr>
        <w:t> </w:t>
      </w:r>
      <w:r>
        <w:rPr>
          <w:rFonts w:ascii="Lucida Sans Unicode" w:hAnsi="Lucida Sans Unicode"/>
          <w:w w:val="110"/>
        </w:rPr>
        <w:t>in</w:t>
      </w:r>
      <w:r>
        <w:rPr>
          <w:rFonts w:ascii="Lucida Sans Unicode" w:hAnsi="Lucida Sans Unicode"/>
          <w:spacing w:val="-19"/>
          <w:w w:val="110"/>
        </w:rPr>
        <w:t> </w:t>
      </w:r>
      <w:r>
        <w:rPr>
          <w:rFonts w:ascii="Lucida Sans Unicode" w:hAnsi="Lucida Sans Unicode"/>
          <w:w w:val="110"/>
        </w:rPr>
        <w:t>its </w:t>
      </w:r>
      <w:r>
        <w:rPr>
          <w:w w:val="110"/>
        </w:rPr>
        <w:t>context and interpreted in the light </w:t>
      </w:r>
      <w:r>
        <w:rPr>
          <w:rFonts w:ascii="Lucida Sans Unicode" w:hAnsi="Lucida Sans Unicode"/>
        </w:rPr>
        <w:t>of the provisions of [Union] law as</w:t>
      </w:r>
      <w:r>
        <w:rPr>
          <w:rFonts w:ascii="Lucida Sans Unicode" w:hAnsi="Lucida Sans Unicode"/>
          <w:spacing w:val="80"/>
          <w:w w:val="110"/>
        </w:rPr>
        <w:t> </w:t>
      </w:r>
      <w:r>
        <w:rPr>
          <w:w w:val="110"/>
        </w:rPr>
        <w:t>a whole, regard being had to the objectives</w:t>
      </w:r>
      <w:r>
        <w:rPr>
          <w:spacing w:val="40"/>
          <w:w w:val="110"/>
        </w:rPr>
        <w:t> </w:t>
      </w:r>
      <w:r>
        <w:rPr>
          <w:w w:val="110"/>
        </w:rPr>
        <w:t>thereof</w:t>
      </w:r>
      <w:r>
        <w:rPr>
          <w:spacing w:val="40"/>
          <w:w w:val="110"/>
        </w:rPr>
        <w:t> </w:t>
      </w:r>
      <w:r>
        <w:rPr>
          <w:w w:val="110"/>
        </w:rPr>
        <w:t>and</w:t>
      </w:r>
      <w:r>
        <w:rPr>
          <w:spacing w:val="40"/>
          <w:w w:val="110"/>
        </w:rPr>
        <w:t> </w:t>
      </w:r>
      <w:r>
        <w:rPr>
          <w:w w:val="110"/>
        </w:rPr>
        <w:t>to</w:t>
      </w:r>
      <w:r>
        <w:rPr>
          <w:spacing w:val="40"/>
          <w:w w:val="110"/>
        </w:rPr>
        <w:t> </w:t>
      </w:r>
      <w:r>
        <w:rPr>
          <w:w w:val="110"/>
        </w:rPr>
        <w:t>its</w:t>
      </w:r>
      <w:r>
        <w:rPr>
          <w:spacing w:val="40"/>
          <w:w w:val="110"/>
        </w:rPr>
        <w:t> </w:t>
      </w:r>
      <w:r>
        <w:rPr>
          <w:w w:val="110"/>
        </w:rPr>
        <w:t>state of evolution at the date on which</w:t>
      </w:r>
      <w:r>
        <w:rPr>
          <w:spacing w:val="80"/>
          <w:w w:val="110"/>
        </w:rPr>
        <w:t> </w:t>
      </w:r>
      <w:r>
        <w:rPr>
          <w:w w:val="110"/>
        </w:rPr>
        <w:t>the provision in question is to be </w:t>
      </w:r>
      <w:r>
        <w:rPr>
          <w:spacing w:val="-2"/>
          <w:w w:val="110"/>
        </w:rPr>
        <w:t>applied’.</w:t>
      </w:r>
      <w:r>
        <w:rPr>
          <w:rFonts w:ascii="Lucida Sans Unicode" w:hAnsi="Lucida Sans Unicode"/>
          <w:spacing w:val="-2"/>
          <w:w w:val="110"/>
          <w:vertAlign w:val="superscript"/>
        </w:rPr>
        <w:t>194</w:t>
      </w:r>
    </w:p>
    <w:p>
      <w:pPr>
        <w:pStyle w:val="BodyText"/>
        <w:spacing w:line="273" w:lineRule="auto" w:before="245"/>
        <w:ind w:right="16"/>
      </w:pPr>
      <w:r>
        <w:rPr>
          <w:w w:val="115"/>
        </w:rPr>
        <w:t>In other words, the provisions of Union law made applicable and/or referred</w:t>
      </w:r>
      <w:r>
        <w:rPr>
          <w:spacing w:val="-20"/>
          <w:w w:val="115"/>
        </w:rPr>
        <w:t> </w:t>
      </w:r>
      <w:r>
        <w:rPr>
          <w:w w:val="115"/>
        </w:rPr>
        <w:t>to</w:t>
      </w:r>
      <w:r>
        <w:rPr>
          <w:spacing w:val="-19"/>
          <w:w w:val="115"/>
        </w:rPr>
        <w:t> </w:t>
      </w:r>
      <w:r>
        <w:rPr>
          <w:w w:val="115"/>
        </w:rPr>
        <w:t>by</w:t>
      </w:r>
      <w:r>
        <w:rPr>
          <w:spacing w:val="-19"/>
          <w:w w:val="115"/>
        </w:rPr>
        <w:t> </w:t>
      </w:r>
      <w:r>
        <w:rPr>
          <w:w w:val="115"/>
        </w:rPr>
        <w:t>the</w:t>
      </w:r>
      <w:r>
        <w:rPr>
          <w:spacing w:val="-19"/>
          <w:w w:val="115"/>
        </w:rPr>
        <w:t> </w:t>
      </w:r>
      <w:r>
        <w:rPr>
          <w:w w:val="115"/>
        </w:rPr>
        <w:t>Windsor</w:t>
      </w:r>
      <w:r>
        <w:rPr>
          <w:spacing w:val="-19"/>
          <w:w w:val="115"/>
        </w:rPr>
        <w:t> </w:t>
      </w:r>
      <w:r>
        <w:rPr>
          <w:w w:val="115"/>
        </w:rPr>
        <w:t>Framework must be interpreted and applied</w:t>
      </w:r>
    </w:p>
    <w:p>
      <w:pPr>
        <w:pStyle w:val="BodyText"/>
        <w:spacing w:line="256" w:lineRule="auto"/>
        <w:ind w:right="17"/>
        <w:rPr>
          <w:rFonts w:ascii="Lucida Sans Unicode"/>
        </w:rPr>
      </w:pPr>
      <w:r>
        <w:rPr>
          <w:w w:val="110"/>
        </w:rPr>
        <w:t>in the same way as they would </w:t>
      </w:r>
      <w:r>
        <w:rPr>
          <w:w w:val="110"/>
        </w:rPr>
        <w:t>be interpreted and applied in an EU </w:t>
      </w:r>
      <w:r>
        <w:rPr>
          <w:rFonts w:ascii="Lucida Sans Unicode"/>
          <w:spacing w:val="-2"/>
          <w:w w:val="110"/>
        </w:rPr>
        <w:t>Member</w:t>
      </w:r>
      <w:r>
        <w:rPr>
          <w:rFonts w:ascii="Lucida Sans Unicode"/>
          <w:spacing w:val="-19"/>
          <w:w w:val="110"/>
        </w:rPr>
        <w:t> </w:t>
      </w:r>
      <w:r>
        <w:rPr>
          <w:rFonts w:ascii="Lucida Sans Unicode"/>
          <w:spacing w:val="-2"/>
          <w:w w:val="110"/>
        </w:rPr>
        <w:t>State.</w:t>
      </w:r>
      <w:r>
        <w:rPr>
          <w:rFonts w:ascii="Lucida Sans Unicode"/>
          <w:spacing w:val="-18"/>
          <w:w w:val="110"/>
        </w:rPr>
        <w:t> </w:t>
      </w:r>
      <w:r>
        <w:rPr>
          <w:rFonts w:ascii="Lucida Sans Unicode"/>
          <w:spacing w:val="-2"/>
          <w:w w:val="110"/>
        </w:rPr>
        <w:t>As</w:t>
      </w:r>
      <w:r>
        <w:rPr>
          <w:rFonts w:ascii="Lucida Sans Unicode"/>
          <w:spacing w:val="-19"/>
          <w:w w:val="110"/>
        </w:rPr>
        <w:t> </w:t>
      </w:r>
      <w:r>
        <w:rPr>
          <w:rFonts w:ascii="Lucida Sans Unicode"/>
          <w:spacing w:val="-2"/>
          <w:w w:val="110"/>
        </w:rPr>
        <w:t>discussed</w:t>
      </w:r>
      <w:r>
        <w:rPr>
          <w:rFonts w:ascii="Lucida Sans Unicode"/>
          <w:spacing w:val="-18"/>
          <w:w w:val="110"/>
        </w:rPr>
        <w:t> </w:t>
      </w:r>
      <w:r>
        <w:rPr>
          <w:rFonts w:ascii="Lucida Sans Unicode"/>
          <w:spacing w:val="-2"/>
          <w:w w:val="110"/>
        </w:rPr>
        <w:t>in</w:t>
      </w:r>
    </w:p>
    <w:p>
      <w:pPr>
        <w:pStyle w:val="BodyText"/>
        <w:spacing w:line="231" w:lineRule="exact"/>
      </w:pPr>
      <w:r>
        <w:rPr>
          <w:w w:val="110"/>
        </w:rPr>
        <w:t>section 5</w:t>
      </w:r>
      <w:r>
        <w:rPr>
          <w:spacing w:val="1"/>
          <w:w w:val="110"/>
        </w:rPr>
        <w:t> </w:t>
      </w:r>
      <w:r>
        <w:rPr>
          <w:w w:val="110"/>
        </w:rPr>
        <w:t>of Chapter</w:t>
      </w:r>
      <w:r>
        <w:rPr>
          <w:spacing w:val="1"/>
          <w:w w:val="110"/>
        </w:rPr>
        <w:t> </w:t>
      </w:r>
      <w:r>
        <w:rPr/>
        <w:t>1</w:t>
      </w:r>
      <w:r>
        <w:rPr>
          <w:spacing w:val="1"/>
          <w:w w:val="110"/>
        </w:rPr>
        <w:t> </w:t>
      </w:r>
      <w:r>
        <w:rPr>
          <w:w w:val="110"/>
        </w:rPr>
        <w:t>and </w:t>
      </w:r>
      <w:r>
        <w:rPr>
          <w:spacing w:val="-2"/>
          <w:w w:val="110"/>
        </w:rPr>
        <w:t>succinctly</w:t>
      </w:r>
    </w:p>
    <w:p>
      <w:pPr>
        <w:pStyle w:val="BodyText"/>
        <w:spacing w:line="273" w:lineRule="auto" w:before="34"/>
        <w:ind w:right="404"/>
      </w:pPr>
      <w:r>
        <w:rPr>
          <w:w w:val="115"/>
        </w:rPr>
        <w:t>put</w:t>
      </w:r>
      <w:r>
        <w:rPr>
          <w:spacing w:val="-20"/>
          <w:w w:val="115"/>
        </w:rPr>
        <w:t> </w:t>
      </w:r>
      <w:r>
        <w:rPr>
          <w:w w:val="115"/>
        </w:rPr>
        <w:t>by</w:t>
      </w:r>
      <w:r>
        <w:rPr>
          <w:spacing w:val="-19"/>
          <w:w w:val="115"/>
        </w:rPr>
        <w:t> </w:t>
      </w:r>
      <w:r>
        <w:rPr>
          <w:w w:val="115"/>
        </w:rPr>
        <w:t>the</w:t>
      </w:r>
      <w:r>
        <w:rPr>
          <w:spacing w:val="-19"/>
          <w:w w:val="115"/>
        </w:rPr>
        <w:t> </w:t>
      </w:r>
      <w:r>
        <w:rPr>
          <w:w w:val="115"/>
        </w:rPr>
        <w:t>CJEU,</w:t>
      </w:r>
      <w:r>
        <w:rPr>
          <w:spacing w:val="-19"/>
          <w:w w:val="115"/>
        </w:rPr>
        <w:t> </w:t>
      </w:r>
      <w:r>
        <w:rPr>
          <w:w w:val="115"/>
        </w:rPr>
        <w:t>the</w:t>
      </w:r>
      <w:r>
        <w:rPr>
          <w:spacing w:val="-19"/>
          <w:w w:val="115"/>
        </w:rPr>
        <w:t> </w:t>
      </w:r>
      <w:r>
        <w:rPr>
          <w:w w:val="115"/>
        </w:rPr>
        <w:t>‘applicability of European Union law entails</w:t>
      </w:r>
    </w:p>
    <w:p>
      <w:pPr>
        <w:pStyle w:val="BodyText"/>
        <w:spacing w:line="273" w:lineRule="auto"/>
        <w:ind w:right="17"/>
      </w:pPr>
      <w:r>
        <w:rPr>
          <w:w w:val="115"/>
        </w:rPr>
        <w:t>applicability</w:t>
      </w:r>
      <w:r>
        <w:rPr>
          <w:spacing w:val="-8"/>
          <w:w w:val="115"/>
        </w:rPr>
        <w:t> </w:t>
      </w:r>
      <w:r>
        <w:rPr>
          <w:w w:val="115"/>
        </w:rPr>
        <w:t>of</w:t>
      </w:r>
      <w:r>
        <w:rPr>
          <w:spacing w:val="-8"/>
          <w:w w:val="115"/>
        </w:rPr>
        <w:t> </w:t>
      </w:r>
      <w:r>
        <w:rPr>
          <w:w w:val="115"/>
        </w:rPr>
        <w:t>the</w:t>
      </w:r>
      <w:r>
        <w:rPr>
          <w:spacing w:val="-8"/>
          <w:w w:val="115"/>
        </w:rPr>
        <w:t> </w:t>
      </w:r>
      <w:r>
        <w:rPr>
          <w:w w:val="115"/>
        </w:rPr>
        <w:t>fundamental</w:t>
      </w:r>
      <w:r>
        <w:rPr>
          <w:spacing w:val="-8"/>
          <w:w w:val="115"/>
        </w:rPr>
        <w:t> </w:t>
      </w:r>
      <w:r>
        <w:rPr>
          <w:w w:val="115"/>
        </w:rPr>
        <w:t>rights guaranteed</w:t>
      </w:r>
      <w:r>
        <w:rPr>
          <w:spacing w:val="-20"/>
          <w:w w:val="115"/>
        </w:rPr>
        <w:t> </w:t>
      </w:r>
      <w:r>
        <w:rPr>
          <w:w w:val="115"/>
        </w:rPr>
        <w:t>by</w:t>
      </w:r>
      <w:r>
        <w:rPr>
          <w:spacing w:val="-19"/>
          <w:w w:val="115"/>
        </w:rPr>
        <w:t> </w:t>
      </w:r>
      <w:r>
        <w:rPr>
          <w:w w:val="115"/>
        </w:rPr>
        <w:t>the</w:t>
      </w:r>
      <w:r>
        <w:rPr>
          <w:spacing w:val="-19"/>
          <w:w w:val="115"/>
        </w:rPr>
        <w:t> </w:t>
      </w:r>
      <w:r>
        <w:rPr>
          <w:w w:val="115"/>
        </w:rPr>
        <w:t>Charter.’</w:t>
      </w:r>
      <w:r>
        <w:rPr>
          <w:w w:val="115"/>
          <w:vertAlign w:val="superscript"/>
        </w:rPr>
        <w:t>195</w:t>
      </w:r>
      <w:r>
        <w:rPr>
          <w:spacing w:val="-19"/>
          <w:w w:val="115"/>
          <w:vertAlign w:val="baseline"/>
        </w:rPr>
        <w:t> </w:t>
      </w:r>
      <w:r>
        <w:rPr>
          <w:w w:val="115"/>
          <w:vertAlign w:val="baseline"/>
        </w:rPr>
        <w:t>The reference to the ‘general principles</w:t>
      </w:r>
    </w:p>
    <w:p>
      <w:pPr>
        <w:pStyle w:val="BodyText"/>
        <w:spacing w:line="204" w:lineRule="auto"/>
        <w:ind w:right="17"/>
        <w:rPr>
          <w:rFonts w:ascii="Lucida Sans Unicode" w:hAnsi="Lucida Sans Unicode"/>
        </w:rPr>
      </w:pPr>
      <w:r>
        <w:rPr>
          <w:rFonts w:ascii="Lucida Sans Unicode" w:hAnsi="Lucida Sans Unicode"/>
          <w:w w:val="105"/>
        </w:rPr>
        <w:t>of Union law’ in Article 4 (3) WA </w:t>
      </w:r>
      <w:r>
        <w:rPr>
          <w:rFonts w:ascii="Lucida Sans Unicode" w:hAnsi="Lucida Sans Unicode"/>
        </w:rPr>
        <w:t>confirms</w:t>
      </w:r>
      <w:r>
        <w:rPr>
          <w:rFonts w:ascii="Lucida Sans Unicode" w:hAnsi="Lucida Sans Unicode"/>
          <w:spacing w:val="-4"/>
        </w:rPr>
        <w:t> </w:t>
      </w:r>
      <w:r>
        <w:rPr>
          <w:rFonts w:ascii="Lucida Sans Unicode" w:hAnsi="Lucida Sans Unicode"/>
        </w:rPr>
        <w:t>this:</w:t>
      </w:r>
      <w:r>
        <w:rPr>
          <w:rFonts w:ascii="Lucida Sans Unicode" w:hAnsi="Lucida Sans Unicode"/>
          <w:spacing w:val="-4"/>
        </w:rPr>
        <w:t> </w:t>
      </w:r>
      <w:r>
        <w:rPr>
          <w:rFonts w:ascii="Lucida Sans Unicode" w:hAnsi="Lucida Sans Unicode"/>
        </w:rPr>
        <w:t>after</w:t>
      </w:r>
      <w:r>
        <w:rPr>
          <w:rFonts w:ascii="Lucida Sans Unicode" w:hAnsi="Lucida Sans Unicode"/>
          <w:spacing w:val="-4"/>
        </w:rPr>
        <w:t> </w:t>
      </w:r>
      <w:r>
        <w:rPr>
          <w:rFonts w:ascii="Lucida Sans Unicode" w:hAnsi="Lucida Sans Unicode"/>
        </w:rPr>
        <w:t>all,</w:t>
      </w:r>
      <w:r>
        <w:rPr>
          <w:rFonts w:ascii="Lucida Sans Unicode" w:hAnsi="Lucida Sans Unicode"/>
          <w:spacing w:val="-4"/>
        </w:rPr>
        <w:t> </w:t>
      </w:r>
      <w:r>
        <w:rPr>
          <w:rFonts w:ascii="Lucida Sans Unicode" w:hAnsi="Lucida Sans Unicode"/>
        </w:rPr>
        <w:t>they</w:t>
      </w:r>
      <w:r>
        <w:rPr>
          <w:rFonts w:ascii="Lucida Sans Unicode" w:hAnsi="Lucida Sans Unicode"/>
          <w:spacing w:val="-4"/>
        </w:rPr>
        <w:t> </w:t>
      </w:r>
      <w:r>
        <w:rPr>
          <w:rFonts w:ascii="Lucida Sans Unicode" w:hAnsi="Lucida Sans Unicode"/>
          <w:spacing w:val="-2"/>
        </w:rPr>
        <w:t>guarantee</w:t>
      </w:r>
    </w:p>
    <w:p>
      <w:pPr>
        <w:pStyle w:val="BodyText"/>
        <w:spacing w:line="273" w:lineRule="auto"/>
        <w:ind w:right="247"/>
        <w:jc w:val="both"/>
      </w:pPr>
      <w:r>
        <w:rPr>
          <w:w w:val="110"/>
        </w:rPr>
        <w:t>– broadly speaking – the same rights as the Charter and apply in the </w:t>
      </w:r>
      <w:r>
        <w:rPr>
          <w:w w:val="110"/>
        </w:rPr>
        <w:t>same</w:t>
      </w:r>
      <w:r>
        <w:rPr>
          <w:w w:val="110"/>
        </w:rPr>
        <w:t> situations as the Charter.</w:t>
      </w:r>
      <w:r>
        <w:rPr>
          <w:w w:val="110"/>
          <w:vertAlign w:val="superscript"/>
        </w:rPr>
        <w:t>196</w:t>
      </w:r>
    </w:p>
    <w:p>
      <w:pPr>
        <w:pStyle w:val="BodyText"/>
        <w:spacing w:before="15"/>
        <w:ind w:left="0"/>
      </w:pPr>
    </w:p>
    <w:p>
      <w:pPr>
        <w:pStyle w:val="BodyText"/>
        <w:spacing w:line="273" w:lineRule="auto"/>
        <w:ind w:right="170"/>
        <w:jc w:val="both"/>
      </w:pPr>
      <w:r>
        <w:rPr>
          <w:w w:val="115"/>
        </w:rPr>
        <w:t>One</w:t>
      </w:r>
      <w:r>
        <w:rPr>
          <w:spacing w:val="-19"/>
          <w:w w:val="115"/>
        </w:rPr>
        <w:t> </w:t>
      </w:r>
      <w:r>
        <w:rPr>
          <w:w w:val="115"/>
        </w:rPr>
        <w:t>can</w:t>
      </w:r>
      <w:r>
        <w:rPr>
          <w:spacing w:val="-19"/>
          <w:w w:val="115"/>
        </w:rPr>
        <w:t> </w:t>
      </w:r>
      <w:r>
        <w:rPr>
          <w:w w:val="115"/>
        </w:rPr>
        <w:t>distinguish</w:t>
      </w:r>
      <w:r>
        <w:rPr>
          <w:spacing w:val="-19"/>
          <w:w w:val="115"/>
        </w:rPr>
        <w:t> </w:t>
      </w:r>
      <w:r>
        <w:rPr>
          <w:w w:val="115"/>
        </w:rPr>
        <w:t>four</w:t>
      </w:r>
      <w:r>
        <w:rPr>
          <w:spacing w:val="-19"/>
          <w:w w:val="115"/>
        </w:rPr>
        <w:t> </w:t>
      </w:r>
      <w:r>
        <w:rPr>
          <w:w w:val="115"/>
        </w:rPr>
        <w:t>situations</w:t>
      </w:r>
      <w:r>
        <w:rPr>
          <w:spacing w:val="-19"/>
          <w:w w:val="115"/>
        </w:rPr>
        <w:t> </w:t>
      </w:r>
      <w:r>
        <w:rPr>
          <w:w w:val="115"/>
        </w:rPr>
        <w:t>in </w:t>
      </w:r>
      <w:r>
        <w:rPr>
          <w:spacing w:val="-2"/>
          <w:w w:val="115"/>
        </w:rPr>
        <w:t>which</w:t>
      </w:r>
      <w:r>
        <w:rPr>
          <w:spacing w:val="-16"/>
          <w:w w:val="115"/>
        </w:rPr>
        <w:t> </w:t>
      </w:r>
      <w:r>
        <w:rPr>
          <w:spacing w:val="-2"/>
          <w:w w:val="115"/>
        </w:rPr>
        <w:t>the</w:t>
      </w:r>
      <w:r>
        <w:rPr>
          <w:spacing w:val="-16"/>
          <w:w w:val="115"/>
        </w:rPr>
        <w:t> </w:t>
      </w:r>
      <w:r>
        <w:rPr>
          <w:spacing w:val="-2"/>
          <w:w w:val="115"/>
        </w:rPr>
        <w:t>Charter</w:t>
      </w:r>
      <w:r>
        <w:rPr>
          <w:spacing w:val="-16"/>
          <w:w w:val="115"/>
        </w:rPr>
        <w:t> </w:t>
      </w:r>
      <w:r>
        <w:rPr>
          <w:spacing w:val="-2"/>
          <w:w w:val="115"/>
        </w:rPr>
        <w:t>may</w:t>
      </w:r>
      <w:r>
        <w:rPr>
          <w:spacing w:val="-16"/>
          <w:w w:val="115"/>
        </w:rPr>
        <w:t> </w:t>
      </w:r>
      <w:r>
        <w:rPr>
          <w:spacing w:val="-2"/>
          <w:w w:val="115"/>
        </w:rPr>
        <w:t>have</w:t>
      </w:r>
      <w:r>
        <w:rPr>
          <w:spacing w:val="-16"/>
          <w:w w:val="115"/>
        </w:rPr>
        <w:t> </w:t>
      </w:r>
      <w:r>
        <w:rPr>
          <w:spacing w:val="-2"/>
          <w:w w:val="115"/>
        </w:rPr>
        <w:t>an</w:t>
      </w:r>
      <w:r>
        <w:rPr>
          <w:spacing w:val="-16"/>
          <w:w w:val="115"/>
        </w:rPr>
        <w:t> </w:t>
      </w:r>
      <w:r>
        <w:rPr>
          <w:spacing w:val="-2"/>
          <w:w w:val="115"/>
        </w:rPr>
        <w:t>effect </w:t>
      </w:r>
      <w:r>
        <w:rPr>
          <w:w w:val="115"/>
        </w:rPr>
        <w:t>in the Northern Ireland legal order</w:t>
      </w:r>
    </w:p>
    <w:p>
      <w:pPr>
        <w:pStyle w:val="BodyText"/>
        <w:spacing w:line="319" w:lineRule="exact"/>
        <w:jc w:val="both"/>
        <w:rPr>
          <w:rFonts w:ascii="Lucida Sans Unicode"/>
        </w:rPr>
      </w:pPr>
      <w:r>
        <w:rPr>
          <w:rFonts w:ascii="Lucida Sans Unicode"/>
          <w:w w:val="105"/>
        </w:rPr>
        <w:t>by</w:t>
      </w:r>
      <w:r>
        <w:rPr>
          <w:rFonts w:ascii="Lucida Sans Unicode"/>
          <w:spacing w:val="-11"/>
          <w:w w:val="105"/>
        </w:rPr>
        <w:t> </w:t>
      </w:r>
      <w:r>
        <w:rPr>
          <w:rFonts w:ascii="Lucida Sans Unicode"/>
          <w:w w:val="105"/>
        </w:rPr>
        <w:t>virtue</w:t>
      </w:r>
      <w:r>
        <w:rPr>
          <w:rFonts w:ascii="Lucida Sans Unicode"/>
          <w:spacing w:val="-11"/>
          <w:w w:val="105"/>
        </w:rPr>
        <w:t> </w:t>
      </w:r>
      <w:r>
        <w:rPr>
          <w:rFonts w:ascii="Lucida Sans Unicode"/>
          <w:w w:val="105"/>
        </w:rPr>
        <w:t>of</w:t>
      </w:r>
      <w:r>
        <w:rPr>
          <w:rFonts w:ascii="Lucida Sans Unicode"/>
          <w:spacing w:val="-10"/>
          <w:w w:val="105"/>
        </w:rPr>
        <w:t> </w:t>
      </w:r>
      <w:r>
        <w:rPr>
          <w:rFonts w:ascii="Lucida Sans Unicode"/>
          <w:w w:val="105"/>
        </w:rPr>
        <w:t>Article</w:t>
      </w:r>
      <w:r>
        <w:rPr>
          <w:rFonts w:ascii="Lucida Sans Unicode"/>
          <w:spacing w:val="-11"/>
          <w:w w:val="105"/>
        </w:rPr>
        <w:t> </w:t>
      </w:r>
      <w:r>
        <w:rPr>
          <w:rFonts w:ascii="Lucida Sans Unicode"/>
          <w:w w:val="105"/>
        </w:rPr>
        <w:t>4</w:t>
      </w:r>
      <w:r>
        <w:rPr>
          <w:rFonts w:ascii="Lucida Sans Unicode"/>
          <w:spacing w:val="-10"/>
          <w:w w:val="105"/>
        </w:rPr>
        <w:t> </w:t>
      </w:r>
      <w:r>
        <w:rPr>
          <w:rFonts w:ascii="Lucida Sans Unicode"/>
          <w:w w:val="105"/>
        </w:rPr>
        <w:t>WA.</w:t>
      </w:r>
      <w:r>
        <w:rPr>
          <w:rFonts w:ascii="Lucida Sans Unicode"/>
          <w:spacing w:val="-11"/>
          <w:w w:val="105"/>
        </w:rPr>
        <w:t> </w:t>
      </w:r>
      <w:r>
        <w:rPr>
          <w:rFonts w:ascii="Lucida Sans Unicode"/>
          <w:w w:val="105"/>
        </w:rPr>
        <w:t>First,</w:t>
      </w:r>
      <w:r>
        <w:rPr>
          <w:rFonts w:ascii="Lucida Sans Unicode"/>
          <w:spacing w:val="-11"/>
          <w:w w:val="105"/>
        </w:rPr>
        <w:t> </w:t>
      </w:r>
      <w:r>
        <w:rPr>
          <w:rFonts w:ascii="Lucida Sans Unicode"/>
          <w:spacing w:val="-5"/>
          <w:w w:val="105"/>
        </w:rPr>
        <w:t>the</w:t>
      </w:r>
    </w:p>
    <w:p>
      <w:pPr>
        <w:pStyle w:val="BodyText"/>
        <w:spacing w:line="256" w:lineRule="auto"/>
        <w:ind w:right="198"/>
        <w:rPr>
          <w:rFonts w:ascii="Lucida Sans Unicode"/>
        </w:rPr>
      </w:pPr>
      <w:r>
        <w:rPr>
          <w:w w:val="110"/>
        </w:rPr>
        <w:t>Charter may be used to interpret the provisions of Union law covered by </w:t>
      </w:r>
      <w:r>
        <w:rPr>
          <w:rFonts w:ascii="Lucida Sans Unicode"/>
        </w:rPr>
        <w:t>the Windsor Framework. Second, </w:t>
      </w:r>
      <w:r>
        <w:rPr>
          <w:rFonts w:ascii="Lucida Sans Unicode"/>
        </w:rPr>
        <w:t>the</w:t>
      </w:r>
    </w:p>
    <w:p>
      <w:pPr>
        <w:pStyle w:val="BodyText"/>
        <w:spacing w:line="231" w:lineRule="exact"/>
      </w:pPr>
      <w:r>
        <w:rPr>
          <w:w w:val="110"/>
        </w:rPr>
        <w:t>Charter</w:t>
      </w:r>
      <w:r>
        <w:rPr>
          <w:spacing w:val="6"/>
          <w:w w:val="110"/>
        </w:rPr>
        <w:t> </w:t>
      </w:r>
      <w:r>
        <w:rPr>
          <w:w w:val="110"/>
        </w:rPr>
        <w:t>may</w:t>
      </w:r>
      <w:r>
        <w:rPr>
          <w:spacing w:val="7"/>
          <w:w w:val="110"/>
        </w:rPr>
        <w:t> </w:t>
      </w:r>
      <w:r>
        <w:rPr>
          <w:w w:val="110"/>
        </w:rPr>
        <w:t>be</w:t>
      </w:r>
      <w:r>
        <w:rPr>
          <w:spacing w:val="7"/>
          <w:w w:val="110"/>
        </w:rPr>
        <w:t> </w:t>
      </w:r>
      <w:r>
        <w:rPr>
          <w:w w:val="110"/>
        </w:rPr>
        <w:t>invoked</w:t>
      </w:r>
      <w:r>
        <w:rPr>
          <w:spacing w:val="7"/>
          <w:w w:val="110"/>
        </w:rPr>
        <w:t> </w:t>
      </w:r>
      <w:r>
        <w:rPr>
          <w:w w:val="110"/>
        </w:rPr>
        <w:t>where</w:t>
      </w:r>
      <w:r>
        <w:rPr>
          <w:spacing w:val="7"/>
          <w:w w:val="110"/>
        </w:rPr>
        <w:t> </w:t>
      </w:r>
      <w:r>
        <w:rPr>
          <w:spacing w:val="-4"/>
          <w:w w:val="110"/>
        </w:rPr>
        <w:t>such</w:t>
      </w:r>
    </w:p>
    <w:p>
      <w:pPr>
        <w:pStyle w:val="BodyText"/>
        <w:spacing w:line="273" w:lineRule="auto" w:before="30"/>
        <w:ind w:right="198"/>
      </w:pPr>
      <w:r>
        <w:rPr>
          <w:w w:val="115"/>
        </w:rPr>
        <w:t>provisions are ‘applied’ in Northern </w:t>
      </w:r>
      <w:r>
        <w:rPr>
          <w:spacing w:val="-2"/>
          <w:w w:val="115"/>
        </w:rPr>
        <w:t>Ireland,</w:t>
      </w:r>
      <w:r>
        <w:rPr>
          <w:spacing w:val="-18"/>
          <w:w w:val="115"/>
        </w:rPr>
        <w:t> </w:t>
      </w:r>
      <w:r>
        <w:rPr>
          <w:spacing w:val="-2"/>
          <w:w w:val="115"/>
        </w:rPr>
        <w:t>i.e.</w:t>
      </w:r>
      <w:r>
        <w:rPr>
          <w:spacing w:val="-17"/>
          <w:w w:val="115"/>
        </w:rPr>
        <w:t> </w:t>
      </w:r>
      <w:r>
        <w:rPr>
          <w:spacing w:val="-2"/>
          <w:w w:val="115"/>
        </w:rPr>
        <w:t>beyond</w:t>
      </w:r>
      <w:r>
        <w:rPr>
          <w:spacing w:val="-17"/>
          <w:w w:val="115"/>
        </w:rPr>
        <w:t> </w:t>
      </w:r>
      <w:r>
        <w:rPr>
          <w:spacing w:val="-2"/>
          <w:w w:val="115"/>
        </w:rPr>
        <w:t>the</w:t>
      </w:r>
      <w:r>
        <w:rPr>
          <w:spacing w:val="-17"/>
          <w:w w:val="115"/>
        </w:rPr>
        <w:t> </w:t>
      </w:r>
      <w:r>
        <w:rPr>
          <w:spacing w:val="-2"/>
          <w:w w:val="115"/>
        </w:rPr>
        <w:t>interpretation </w:t>
      </w:r>
      <w:r>
        <w:rPr>
          <w:w w:val="110"/>
        </w:rPr>
        <w:t>of</w:t>
      </w:r>
      <w:r>
        <w:rPr>
          <w:spacing w:val="3"/>
          <w:w w:val="110"/>
        </w:rPr>
        <w:t> </w:t>
      </w:r>
      <w:r>
        <w:rPr>
          <w:w w:val="110"/>
        </w:rPr>
        <w:t>the</w:t>
      </w:r>
      <w:r>
        <w:rPr>
          <w:spacing w:val="4"/>
          <w:w w:val="110"/>
        </w:rPr>
        <w:t> </w:t>
      </w:r>
      <w:r>
        <w:rPr>
          <w:w w:val="110"/>
        </w:rPr>
        <w:t>provisions</w:t>
      </w:r>
      <w:r>
        <w:rPr>
          <w:spacing w:val="4"/>
          <w:w w:val="110"/>
        </w:rPr>
        <w:t> </w:t>
      </w:r>
      <w:r>
        <w:rPr>
          <w:w w:val="110"/>
        </w:rPr>
        <w:t>themselves,</w:t>
      </w:r>
      <w:r>
        <w:rPr>
          <w:spacing w:val="4"/>
          <w:w w:val="110"/>
        </w:rPr>
        <w:t> </w:t>
      </w:r>
      <w:r>
        <w:rPr>
          <w:w w:val="110"/>
        </w:rPr>
        <w:t>so</w:t>
      </w:r>
      <w:r>
        <w:rPr>
          <w:spacing w:val="4"/>
          <w:w w:val="110"/>
        </w:rPr>
        <w:t> </w:t>
      </w:r>
      <w:r>
        <w:rPr>
          <w:spacing w:val="-4"/>
          <w:w w:val="110"/>
        </w:rPr>
        <w:t>that</w:t>
      </w:r>
    </w:p>
    <w:p>
      <w:pPr>
        <w:pStyle w:val="BodyText"/>
        <w:spacing w:line="271" w:lineRule="auto" w:before="72"/>
        <w:ind w:right="225"/>
      </w:pPr>
      <w:r>
        <w:rPr/>
        <w:br w:type="column"/>
      </w:r>
      <w:r>
        <w:rPr>
          <w:w w:val="115"/>
        </w:rPr>
        <w:t>the Charter may notably be used to inform</w:t>
      </w:r>
      <w:r>
        <w:rPr>
          <w:spacing w:val="-16"/>
          <w:w w:val="115"/>
        </w:rPr>
        <w:t> </w:t>
      </w:r>
      <w:r>
        <w:rPr>
          <w:w w:val="115"/>
        </w:rPr>
        <w:t>the</w:t>
      </w:r>
      <w:r>
        <w:rPr>
          <w:spacing w:val="-16"/>
          <w:w w:val="115"/>
        </w:rPr>
        <w:t> </w:t>
      </w:r>
      <w:r>
        <w:rPr>
          <w:w w:val="115"/>
        </w:rPr>
        <w:t>way</w:t>
      </w:r>
      <w:r>
        <w:rPr>
          <w:spacing w:val="-16"/>
          <w:w w:val="115"/>
        </w:rPr>
        <w:t> </w:t>
      </w:r>
      <w:r>
        <w:rPr>
          <w:w w:val="115"/>
        </w:rPr>
        <w:t>they</w:t>
      </w:r>
      <w:r>
        <w:rPr>
          <w:spacing w:val="-16"/>
          <w:w w:val="115"/>
        </w:rPr>
        <w:t> </w:t>
      </w:r>
      <w:r>
        <w:rPr>
          <w:w w:val="115"/>
        </w:rPr>
        <w:t>are</w:t>
      </w:r>
      <w:r>
        <w:rPr>
          <w:spacing w:val="-16"/>
          <w:w w:val="115"/>
        </w:rPr>
        <w:t> </w:t>
      </w:r>
      <w:r>
        <w:rPr>
          <w:w w:val="115"/>
        </w:rPr>
        <w:t>implemented and enforced; third, the Charter may be invoked to challenge the validity </w:t>
      </w:r>
      <w:r>
        <w:rPr>
          <w:w w:val="110"/>
        </w:rPr>
        <w:t>of EU secondary law made </w:t>
      </w:r>
      <w:r>
        <w:rPr>
          <w:w w:val="110"/>
        </w:rPr>
        <w:t>applicable </w:t>
      </w:r>
      <w:r>
        <w:rPr>
          <w:w w:val="115"/>
        </w:rPr>
        <w:t>or referenced by the Windsor </w:t>
      </w:r>
      <w:r>
        <w:rPr>
          <w:spacing w:val="-2"/>
          <w:w w:val="115"/>
        </w:rPr>
        <w:t>Framework;</w:t>
      </w:r>
      <w:r>
        <w:rPr>
          <w:spacing w:val="-16"/>
          <w:w w:val="115"/>
        </w:rPr>
        <w:t> </w:t>
      </w:r>
      <w:r>
        <w:rPr>
          <w:spacing w:val="-2"/>
          <w:w w:val="115"/>
        </w:rPr>
        <w:t>and</w:t>
      </w:r>
      <w:r>
        <w:rPr>
          <w:spacing w:val="-16"/>
          <w:w w:val="115"/>
        </w:rPr>
        <w:t> </w:t>
      </w:r>
      <w:r>
        <w:rPr>
          <w:spacing w:val="-2"/>
          <w:w w:val="115"/>
        </w:rPr>
        <w:t>fourth,</w:t>
      </w:r>
      <w:r>
        <w:rPr>
          <w:spacing w:val="-16"/>
          <w:w w:val="115"/>
        </w:rPr>
        <w:t> </w:t>
      </w:r>
      <w:r>
        <w:rPr>
          <w:spacing w:val="-2"/>
          <w:w w:val="115"/>
        </w:rPr>
        <w:t>the</w:t>
      </w:r>
      <w:r>
        <w:rPr>
          <w:spacing w:val="-16"/>
          <w:w w:val="115"/>
        </w:rPr>
        <w:t> </w:t>
      </w:r>
      <w:r>
        <w:rPr>
          <w:spacing w:val="-2"/>
          <w:w w:val="115"/>
        </w:rPr>
        <w:t>Charter</w:t>
      </w:r>
      <w:r>
        <w:rPr>
          <w:spacing w:val="-16"/>
          <w:w w:val="115"/>
        </w:rPr>
        <w:t> </w:t>
      </w:r>
      <w:r>
        <w:rPr>
          <w:spacing w:val="-2"/>
          <w:w w:val="115"/>
        </w:rPr>
        <w:t>is </w:t>
      </w:r>
      <w:r>
        <w:rPr>
          <w:w w:val="115"/>
        </w:rPr>
        <w:t>relevant</w:t>
      </w:r>
      <w:r>
        <w:rPr>
          <w:spacing w:val="-17"/>
          <w:w w:val="115"/>
        </w:rPr>
        <w:t> </w:t>
      </w:r>
      <w:r>
        <w:rPr>
          <w:w w:val="115"/>
        </w:rPr>
        <w:t>when</w:t>
      </w:r>
      <w:r>
        <w:rPr>
          <w:spacing w:val="-17"/>
          <w:w w:val="115"/>
        </w:rPr>
        <w:t> </w:t>
      </w:r>
      <w:r>
        <w:rPr>
          <w:w w:val="115"/>
        </w:rPr>
        <w:t>interpreting</w:t>
      </w:r>
      <w:r>
        <w:rPr>
          <w:spacing w:val="-17"/>
          <w:w w:val="115"/>
        </w:rPr>
        <w:t> </w:t>
      </w:r>
      <w:r>
        <w:rPr>
          <w:w w:val="115"/>
        </w:rPr>
        <w:t>provisions of the Withdrawal Agreement and Windsor Framework themselves.</w:t>
      </w:r>
    </w:p>
    <w:p>
      <w:pPr>
        <w:pStyle w:val="BodyText"/>
        <w:spacing w:before="37"/>
        <w:ind w:left="0"/>
      </w:pPr>
    </w:p>
    <w:p>
      <w:pPr>
        <w:pStyle w:val="BodyText"/>
        <w:spacing w:line="249" w:lineRule="auto"/>
      </w:pPr>
      <w:r>
        <w:rPr>
          <w:w w:val="115"/>
        </w:rPr>
        <w:t>In relation to the third of these situations, the Charter may be of </w:t>
      </w:r>
      <w:r>
        <w:rPr>
          <w:rFonts w:ascii="Lucida Sans Unicode"/>
          <w:spacing w:val="-2"/>
          <w:w w:val="110"/>
        </w:rPr>
        <w:t>relevance</w:t>
      </w:r>
      <w:r>
        <w:rPr>
          <w:rFonts w:ascii="Lucida Sans Unicode"/>
          <w:spacing w:val="-18"/>
          <w:w w:val="110"/>
        </w:rPr>
        <w:t> </w:t>
      </w:r>
      <w:r>
        <w:rPr>
          <w:rFonts w:ascii="Lucida Sans Unicode"/>
          <w:spacing w:val="-2"/>
          <w:w w:val="110"/>
        </w:rPr>
        <w:t>in</w:t>
      </w:r>
      <w:r>
        <w:rPr>
          <w:rFonts w:ascii="Lucida Sans Unicode"/>
          <w:spacing w:val="-18"/>
          <w:w w:val="110"/>
        </w:rPr>
        <w:t> </w:t>
      </w:r>
      <w:r>
        <w:rPr>
          <w:rFonts w:ascii="Lucida Sans Unicode"/>
          <w:spacing w:val="-2"/>
          <w:w w:val="110"/>
        </w:rPr>
        <w:t>the</w:t>
      </w:r>
      <w:r>
        <w:rPr>
          <w:rFonts w:ascii="Lucida Sans Unicode"/>
          <w:spacing w:val="-18"/>
          <w:w w:val="110"/>
        </w:rPr>
        <w:t> </w:t>
      </w:r>
      <w:r>
        <w:rPr>
          <w:rFonts w:ascii="Lucida Sans Unicode"/>
          <w:spacing w:val="-2"/>
          <w:w w:val="110"/>
        </w:rPr>
        <w:t>context</w:t>
      </w:r>
      <w:r>
        <w:rPr>
          <w:rFonts w:ascii="Lucida Sans Unicode"/>
          <w:spacing w:val="-18"/>
          <w:w w:val="110"/>
        </w:rPr>
        <w:t> </w:t>
      </w:r>
      <w:r>
        <w:rPr>
          <w:rFonts w:ascii="Lucida Sans Unicode"/>
          <w:spacing w:val="-2"/>
          <w:w w:val="110"/>
        </w:rPr>
        <w:t>of</w:t>
      </w:r>
      <w:r>
        <w:rPr>
          <w:rFonts w:ascii="Lucida Sans Unicode"/>
          <w:spacing w:val="-18"/>
          <w:w w:val="110"/>
        </w:rPr>
        <w:t> </w:t>
      </w:r>
      <w:r>
        <w:rPr>
          <w:rFonts w:ascii="Lucida Sans Unicode"/>
          <w:spacing w:val="-2"/>
          <w:w w:val="110"/>
        </w:rPr>
        <w:t>Article</w:t>
      </w:r>
      <w:r>
        <w:rPr>
          <w:rFonts w:ascii="Lucida Sans Unicode"/>
          <w:spacing w:val="-18"/>
          <w:w w:val="110"/>
        </w:rPr>
        <w:t> </w:t>
      </w:r>
      <w:r>
        <w:rPr>
          <w:rFonts w:ascii="Lucida Sans Unicode"/>
          <w:spacing w:val="-2"/>
          <w:w w:val="110"/>
        </w:rPr>
        <w:t>4 </w:t>
      </w:r>
      <w:r>
        <w:rPr>
          <w:w w:val="115"/>
        </w:rPr>
        <w:t>WA</w:t>
      </w:r>
      <w:r>
        <w:rPr>
          <w:spacing w:val="-3"/>
          <w:w w:val="115"/>
        </w:rPr>
        <w:t> </w:t>
      </w:r>
      <w:r>
        <w:rPr>
          <w:w w:val="115"/>
        </w:rPr>
        <w:t>challenges</w:t>
      </w:r>
      <w:r>
        <w:rPr>
          <w:spacing w:val="-3"/>
          <w:w w:val="115"/>
        </w:rPr>
        <w:t> </w:t>
      </w:r>
      <w:r>
        <w:rPr>
          <w:w w:val="115"/>
        </w:rPr>
        <w:t>to</w:t>
      </w:r>
      <w:r>
        <w:rPr>
          <w:spacing w:val="-3"/>
          <w:w w:val="115"/>
        </w:rPr>
        <w:t> </w:t>
      </w:r>
      <w:r>
        <w:rPr>
          <w:w w:val="115"/>
        </w:rPr>
        <w:t>new</w:t>
      </w:r>
      <w:r>
        <w:rPr>
          <w:spacing w:val="-3"/>
          <w:w w:val="115"/>
        </w:rPr>
        <w:t> </w:t>
      </w:r>
      <w:r>
        <w:rPr>
          <w:w w:val="115"/>
        </w:rPr>
        <w:t>EU</w:t>
      </w:r>
      <w:r>
        <w:rPr>
          <w:spacing w:val="-3"/>
          <w:w w:val="115"/>
        </w:rPr>
        <w:t> </w:t>
      </w:r>
      <w:r>
        <w:rPr>
          <w:w w:val="115"/>
        </w:rPr>
        <w:t>secondary law</w:t>
      </w:r>
      <w:r>
        <w:rPr>
          <w:spacing w:val="-15"/>
          <w:w w:val="115"/>
        </w:rPr>
        <w:t> </w:t>
      </w:r>
      <w:r>
        <w:rPr>
          <w:w w:val="115"/>
        </w:rPr>
        <w:t>with</w:t>
      </w:r>
      <w:r>
        <w:rPr>
          <w:spacing w:val="-15"/>
          <w:w w:val="115"/>
        </w:rPr>
        <w:t> </w:t>
      </w:r>
      <w:r>
        <w:rPr>
          <w:w w:val="115"/>
        </w:rPr>
        <w:t>which</w:t>
      </w:r>
      <w:r>
        <w:rPr>
          <w:spacing w:val="-15"/>
          <w:w w:val="115"/>
        </w:rPr>
        <w:t> </w:t>
      </w:r>
      <w:r>
        <w:rPr>
          <w:w w:val="115"/>
        </w:rPr>
        <w:t>Northern</w:t>
      </w:r>
      <w:r>
        <w:rPr>
          <w:spacing w:val="-15"/>
          <w:w w:val="115"/>
        </w:rPr>
        <w:t> </w:t>
      </w:r>
      <w:r>
        <w:rPr>
          <w:w w:val="115"/>
        </w:rPr>
        <w:t>Ireland</w:t>
      </w:r>
      <w:r>
        <w:rPr>
          <w:spacing w:val="-16"/>
          <w:w w:val="115"/>
        </w:rPr>
        <w:t> </w:t>
      </w:r>
      <w:r>
        <w:rPr>
          <w:w w:val="115"/>
        </w:rPr>
        <w:t>would be dynamically aligned according to </w:t>
      </w:r>
      <w:r>
        <w:rPr>
          <w:rFonts w:ascii="Lucida Sans Unicode"/>
          <w:w w:val="110"/>
        </w:rPr>
        <w:t>Article</w:t>
      </w:r>
      <w:r>
        <w:rPr>
          <w:rFonts w:ascii="Lucida Sans Unicode"/>
          <w:spacing w:val="-13"/>
          <w:w w:val="110"/>
        </w:rPr>
        <w:t> </w:t>
      </w:r>
      <w:r>
        <w:rPr>
          <w:rFonts w:ascii="Lucida Sans Unicode"/>
          <w:w w:val="105"/>
        </w:rPr>
        <w:t>13</w:t>
      </w:r>
      <w:r>
        <w:rPr>
          <w:rFonts w:ascii="Lucida Sans Unicode"/>
          <w:spacing w:val="-9"/>
          <w:w w:val="105"/>
        </w:rPr>
        <w:t> </w:t>
      </w:r>
      <w:r>
        <w:rPr>
          <w:rFonts w:ascii="Lucida Sans Unicode"/>
          <w:w w:val="110"/>
        </w:rPr>
        <w:t>(3)</w:t>
      </w:r>
      <w:r>
        <w:rPr>
          <w:rFonts w:ascii="Lucida Sans Unicode"/>
          <w:spacing w:val="-13"/>
          <w:w w:val="110"/>
        </w:rPr>
        <w:t> </w:t>
      </w:r>
      <w:r>
        <w:rPr>
          <w:rFonts w:ascii="Lucida Sans Unicode"/>
          <w:w w:val="110"/>
        </w:rPr>
        <w:t>WF.</w:t>
      </w:r>
      <w:r>
        <w:rPr>
          <w:rFonts w:ascii="Lucida Sans Unicode"/>
          <w:spacing w:val="-13"/>
          <w:w w:val="110"/>
        </w:rPr>
        <w:t> </w:t>
      </w:r>
      <w:r>
        <w:rPr>
          <w:rFonts w:ascii="Lucida Sans Unicode"/>
          <w:w w:val="110"/>
        </w:rPr>
        <w:t>All</w:t>
      </w:r>
      <w:r>
        <w:rPr>
          <w:rFonts w:ascii="Lucida Sans Unicode"/>
          <w:spacing w:val="-13"/>
          <w:w w:val="110"/>
        </w:rPr>
        <w:t> </w:t>
      </w:r>
      <w:r>
        <w:rPr>
          <w:rFonts w:ascii="Lucida Sans Unicode"/>
          <w:w w:val="110"/>
        </w:rPr>
        <w:t>EU</w:t>
      </w:r>
      <w:r>
        <w:rPr>
          <w:rFonts w:ascii="Lucida Sans Unicode"/>
          <w:spacing w:val="-13"/>
          <w:w w:val="110"/>
        </w:rPr>
        <w:t> </w:t>
      </w:r>
      <w:r>
        <w:rPr>
          <w:rFonts w:ascii="Lucida Sans Unicode"/>
          <w:w w:val="110"/>
        </w:rPr>
        <w:t>secondary </w:t>
      </w:r>
      <w:r>
        <w:rPr>
          <w:w w:val="115"/>
        </w:rPr>
        <w:t>law must be Charter-compliant to</w:t>
      </w:r>
    </w:p>
    <w:p>
      <w:pPr>
        <w:pStyle w:val="BodyText"/>
        <w:spacing w:line="339" w:lineRule="exact"/>
        <w:rPr>
          <w:rFonts w:ascii="Lucida Sans Unicode"/>
        </w:rPr>
      </w:pPr>
      <w:r>
        <w:rPr>
          <w:rFonts w:ascii="Lucida Sans Unicode"/>
          <w:w w:val="105"/>
        </w:rPr>
        <w:t>be</w:t>
      </w:r>
      <w:r>
        <w:rPr>
          <w:rFonts w:ascii="Lucida Sans Unicode"/>
          <w:spacing w:val="-11"/>
          <w:w w:val="105"/>
        </w:rPr>
        <w:t> </w:t>
      </w:r>
      <w:r>
        <w:rPr>
          <w:rFonts w:ascii="Lucida Sans Unicode"/>
          <w:w w:val="105"/>
        </w:rPr>
        <w:t>valid.</w:t>
      </w:r>
      <w:r>
        <w:rPr>
          <w:rFonts w:ascii="Lucida Sans Unicode"/>
          <w:spacing w:val="-10"/>
          <w:w w:val="105"/>
        </w:rPr>
        <w:t> </w:t>
      </w:r>
      <w:r>
        <w:rPr>
          <w:rFonts w:ascii="Lucida Sans Unicode"/>
          <w:w w:val="105"/>
        </w:rPr>
        <w:t>Article</w:t>
      </w:r>
      <w:r>
        <w:rPr>
          <w:rFonts w:ascii="Lucida Sans Unicode"/>
          <w:spacing w:val="-10"/>
          <w:w w:val="105"/>
        </w:rPr>
        <w:t> </w:t>
      </w:r>
      <w:r>
        <w:rPr>
          <w:rFonts w:ascii="Lucida Sans Unicode"/>
          <w:w w:val="105"/>
        </w:rPr>
        <w:t>12</w:t>
      </w:r>
      <w:r>
        <w:rPr>
          <w:rFonts w:ascii="Lucida Sans Unicode"/>
          <w:spacing w:val="-10"/>
          <w:w w:val="105"/>
        </w:rPr>
        <w:t> </w:t>
      </w:r>
      <w:r>
        <w:rPr>
          <w:rFonts w:ascii="Lucida Sans Unicode"/>
          <w:w w:val="105"/>
        </w:rPr>
        <w:t>(4)</w:t>
      </w:r>
      <w:r>
        <w:rPr>
          <w:rFonts w:ascii="Lucida Sans Unicode"/>
          <w:spacing w:val="-10"/>
          <w:w w:val="105"/>
        </w:rPr>
        <w:t> </w:t>
      </w:r>
      <w:r>
        <w:rPr>
          <w:rFonts w:ascii="Lucida Sans Unicode"/>
          <w:w w:val="105"/>
        </w:rPr>
        <w:t>WF</w:t>
      </w:r>
      <w:r>
        <w:rPr>
          <w:rFonts w:ascii="Lucida Sans Unicode"/>
          <w:spacing w:val="-10"/>
          <w:w w:val="105"/>
        </w:rPr>
        <w:t> </w:t>
      </w:r>
      <w:r>
        <w:rPr>
          <w:rFonts w:ascii="Lucida Sans Unicode"/>
          <w:spacing w:val="-2"/>
          <w:w w:val="105"/>
        </w:rPr>
        <w:t>decrees</w:t>
      </w:r>
    </w:p>
    <w:p>
      <w:pPr>
        <w:pStyle w:val="BodyText"/>
        <w:spacing w:line="256" w:lineRule="auto"/>
        <w:ind w:right="367"/>
        <w:rPr>
          <w:rFonts w:ascii="Lucida Sans Unicode"/>
        </w:rPr>
      </w:pPr>
      <w:r>
        <w:rPr>
          <w:w w:val="110"/>
        </w:rPr>
        <w:t>that the CJEU continues to have jurisdiction as regards Articles 5 </w:t>
      </w:r>
      <w:r>
        <w:rPr>
          <w:w w:val="110"/>
        </w:rPr>
        <w:t>and </w:t>
      </w:r>
      <w:r>
        <w:rPr>
          <w:rFonts w:ascii="Lucida Sans Unicode"/>
        </w:rPr>
        <w:t>7-10 Windsor Framework and thus</w:t>
      </w:r>
    </w:p>
    <w:p>
      <w:pPr>
        <w:pStyle w:val="BodyText"/>
        <w:spacing w:line="230" w:lineRule="exact"/>
      </w:pPr>
      <w:r>
        <w:rPr>
          <w:w w:val="110"/>
        </w:rPr>
        <w:t>over</w:t>
      </w:r>
      <w:r>
        <w:rPr>
          <w:spacing w:val="6"/>
          <w:w w:val="110"/>
        </w:rPr>
        <w:t> </w:t>
      </w:r>
      <w:r>
        <w:rPr>
          <w:w w:val="110"/>
        </w:rPr>
        <w:t>EU</w:t>
      </w:r>
      <w:r>
        <w:rPr>
          <w:spacing w:val="6"/>
          <w:w w:val="110"/>
        </w:rPr>
        <w:t> </w:t>
      </w:r>
      <w:r>
        <w:rPr>
          <w:w w:val="110"/>
        </w:rPr>
        <w:t>secondary</w:t>
      </w:r>
      <w:r>
        <w:rPr>
          <w:spacing w:val="7"/>
          <w:w w:val="110"/>
        </w:rPr>
        <w:t> </w:t>
      </w:r>
      <w:r>
        <w:rPr>
          <w:w w:val="110"/>
        </w:rPr>
        <w:t>law</w:t>
      </w:r>
      <w:r>
        <w:rPr>
          <w:spacing w:val="6"/>
          <w:w w:val="110"/>
        </w:rPr>
        <w:t> </w:t>
      </w:r>
      <w:r>
        <w:rPr>
          <w:w w:val="110"/>
        </w:rPr>
        <w:t>mentioned</w:t>
      </w:r>
      <w:r>
        <w:rPr>
          <w:spacing w:val="6"/>
          <w:w w:val="110"/>
        </w:rPr>
        <w:t> </w:t>
      </w:r>
      <w:r>
        <w:rPr>
          <w:spacing w:val="-5"/>
          <w:w w:val="110"/>
        </w:rPr>
        <w:t>in</w:t>
      </w:r>
    </w:p>
    <w:p>
      <w:pPr>
        <w:pStyle w:val="BodyText"/>
        <w:spacing w:line="314" w:lineRule="exact" w:before="3"/>
        <w:ind w:right="361"/>
        <w:rPr>
          <w:rFonts w:ascii="Lucida Sans Unicode" w:hAnsi="Lucida Sans Unicode"/>
        </w:rPr>
      </w:pPr>
      <w:r>
        <w:rPr>
          <w:rFonts w:ascii="Lucida Sans Unicode" w:hAnsi="Lucida Sans Unicode"/>
          <w:w w:val="105"/>
        </w:rPr>
        <w:t>Annexes</w:t>
      </w:r>
      <w:r>
        <w:rPr>
          <w:rFonts w:ascii="Lucida Sans Unicode" w:hAnsi="Lucida Sans Unicode"/>
          <w:spacing w:val="-20"/>
          <w:w w:val="105"/>
        </w:rPr>
        <w:t> </w:t>
      </w:r>
      <w:r>
        <w:rPr>
          <w:rFonts w:ascii="Lucida Sans Unicode" w:hAnsi="Lucida Sans Unicode"/>
          <w:w w:val="105"/>
        </w:rPr>
        <w:t>2-5.</w:t>
      </w:r>
      <w:r>
        <w:rPr>
          <w:rFonts w:ascii="Lucida Sans Unicode" w:hAnsi="Lucida Sans Unicode"/>
          <w:spacing w:val="-20"/>
          <w:w w:val="105"/>
        </w:rPr>
        <w:t> </w:t>
      </w:r>
      <w:r>
        <w:rPr>
          <w:rFonts w:ascii="Lucida Sans Unicode" w:hAnsi="Lucida Sans Unicode"/>
          <w:w w:val="105"/>
        </w:rPr>
        <w:t>Article</w:t>
      </w:r>
      <w:r>
        <w:rPr>
          <w:rFonts w:ascii="Lucida Sans Unicode" w:hAnsi="Lucida Sans Unicode"/>
          <w:spacing w:val="-20"/>
          <w:w w:val="105"/>
        </w:rPr>
        <w:t> </w:t>
      </w:r>
      <w:r>
        <w:rPr>
          <w:rFonts w:ascii="Lucida Sans Unicode" w:hAnsi="Lucida Sans Unicode"/>
          <w:w w:val="105"/>
        </w:rPr>
        <w:t>12</w:t>
      </w:r>
      <w:r>
        <w:rPr>
          <w:rFonts w:ascii="Lucida Sans Unicode" w:hAnsi="Lucida Sans Unicode"/>
          <w:spacing w:val="-20"/>
          <w:w w:val="105"/>
        </w:rPr>
        <w:t> </w:t>
      </w:r>
      <w:r>
        <w:rPr>
          <w:rFonts w:ascii="Lucida Sans Unicode" w:hAnsi="Lucida Sans Unicode"/>
          <w:w w:val="105"/>
        </w:rPr>
        <w:t>(4)</w:t>
      </w:r>
      <w:r>
        <w:rPr>
          <w:rFonts w:ascii="Lucida Sans Unicode" w:hAnsi="Lucida Sans Unicode"/>
          <w:spacing w:val="-20"/>
          <w:w w:val="105"/>
        </w:rPr>
        <w:t> </w:t>
      </w:r>
      <w:r>
        <w:rPr>
          <w:rFonts w:ascii="Lucida Sans Unicode" w:hAnsi="Lucida Sans Unicode"/>
          <w:w w:val="105"/>
        </w:rPr>
        <w:t>Windsor </w:t>
      </w:r>
      <w:r>
        <w:rPr>
          <w:w w:val="105"/>
        </w:rPr>
        <w:t>Framework makes express </w:t>
      </w:r>
      <w:r>
        <w:rPr>
          <w:w w:val="105"/>
        </w:rPr>
        <w:t>reference to the CJEU’s jurisdiction over preliminary references from national</w:t>
      </w:r>
      <w:r>
        <w:rPr>
          <w:spacing w:val="80"/>
          <w:w w:val="105"/>
        </w:rPr>
        <w:t> </w:t>
      </w:r>
      <w:r>
        <w:rPr>
          <w:rFonts w:ascii="Lucida Sans Unicode" w:hAnsi="Lucida Sans Unicode"/>
          <w:w w:val="105"/>
        </w:rPr>
        <w:t>courts.</w:t>
      </w:r>
      <w:r>
        <w:rPr>
          <w:rFonts w:ascii="Lucida Sans Unicode" w:hAnsi="Lucida Sans Unicode"/>
          <w:spacing w:val="-3"/>
          <w:w w:val="105"/>
        </w:rPr>
        <w:t> </w:t>
      </w:r>
      <w:r>
        <w:rPr>
          <w:rFonts w:ascii="Lucida Sans Unicode" w:hAnsi="Lucida Sans Unicode"/>
          <w:w w:val="105"/>
        </w:rPr>
        <w:t>According</w:t>
      </w:r>
      <w:r>
        <w:rPr>
          <w:rFonts w:ascii="Lucida Sans Unicode" w:hAnsi="Lucida Sans Unicode"/>
          <w:spacing w:val="-3"/>
          <w:w w:val="105"/>
        </w:rPr>
        <w:t> </w:t>
      </w:r>
      <w:r>
        <w:rPr>
          <w:rFonts w:ascii="Lucida Sans Unicode" w:hAnsi="Lucida Sans Unicode"/>
          <w:w w:val="105"/>
        </w:rPr>
        <w:t>to</w:t>
      </w:r>
      <w:r>
        <w:rPr>
          <w:rFonts w:ascii="Lucida Sans Unicode" w:hAnsi="Lucida Sans Unicode"/>
          <w:spacing w:val="-3"/>
          <w:w w:val="105"/>
        </w:rPr>
        <w:t> </w:t>
      </w:r>
      <w:r>
        <w:rPr>
          <w:rFonts w:ascii="Lucida Sans Unicode" w:hAnsi="Lucida Sans Unicode"/>
          <w:w w:val="105"/>
        </w:rPr>
        <w:t>Article</w:t>
      </w:r>
      <w:r>
        <w:rPr>
          <w:rFonts w:ascii="Lucida Sans Unicode" w:hAnsi="Lucida Sans Unicode"/>
          <w:spacing w:val="-3"/>
          <w:w w:val="105"/>
        </w:rPr>
        <w:t> </w:t>
      </w:r>
      <w:r>
        <w:rPr>
          <w:rFonts w:ascii="Lucida Sans Unicode" w:hAnsi="Lucida Sans Unicode"/>
          <w:w w:val="105"/>
        </w:rPr>
        <w:t>267</w:t>
      </w:r>
      <w:r>
        <w:rPr>
          <w:rFonts w:ascii="Lucida Sans Unicode" w:hAnsi="Lucida Sans Unicode"/>
          <w:spacing w:val="-3"/>
          <w:w w:val="105"/>
        </w:rPr>
        <w:t> </w:t>
      </w:r>
      <w:r>
        <w:rPr>
          <w:rFonts w:ascii="Lucida Sans Unicode" w:hAnsi="Lucida Sans Unicode"/>
          <w:w w:val="105"/>
        </w:rPr>
        <w:t>(1)</w:t>
      </w:r>
    </w:p>
    <w:p>
      <w:pPr>
        <w:pStyle w:val="BodyText"/>
        <w:spacing w:line="271" w:lineRule="auto" w:before="22"/>
        <w:ind w:right="343"/>
        <w:jc w:val="both"/>
      </w:pPr>
      <w:r>
        <w:rPr>
          <w:spacing w:val="-2"/>
          <w:w w:val="115"/>
        </w:rPr>
        <w:t>(b)</w:t>
      </w:r>
      <w:r>
        <w:rPr>
          <w:spacing w:val="-18"/>
          <w:w w:val="115"/>
        </w:rPr>
        <w:t> </w:t>
      </w:r>
      <w:r>
        <w:rPr>
          <w:spacing w:val="-2"/>
          <w:w w:val="115"/>
        </w:rPr>
        <w:t>TFEU</w:t>
      </w:r>
      <w:r>
        <w:rPr>
          <w:spacing w:val="-17"/>
          <w:w w:val="115"/>
        </w:rPr>
        <w:t> </w:t>
      </w:r>
      <w:r>
        <w:rPr>
          <w:spacing w:val="-2"/>
          <w:w w:val="115"/>
        </w:rPr>
        <w:t>preliminary</w:t>
      </w:r>
      <w:r>
        <w:rPr>
          <w:spacing w:val="-17"/>
          <w:w w:val="115"/>
        </w:rPr>
        <w:t> </w:t>
      </w:r>
      <w:r>
        <w:rPr>
          <w:spacing w:val="-2"/>
          <w:w w:val="115"/>
        </w:rPr>
        <w:t>references</w:t>
      </w:r>
      <w:r>
        <w:rPr>
          <w:spacing w:val="-17"/>
          <w:w w:val="115"/>
        </w:rPr>
        <w:t> </w:t>
      </w:r>
      <w:r>
        <w:rPr>
          <w:spacing w:val="-2"/>
          <w:w w:val="115"/>
        </w:rPr>
        <w:t>can </w:t>
      </w:r>
      <w:r>
        <w:rPr>
          <w:w w:val="115"/>
        </w:rPr>
        <w:t>be</w:t>
      </w:r>
      <w:r>
        <w:rPr>
          <w:spacing w:val="-20"/>
          <w:w w:val="115"/>
        </w:rPr>
        <w:t> </w:t>
      </w:r>
      <w:r>
        <w:rPr>
          <w:w w:val="115"/>
        </w:rPr>
        <w:t>requested</w:t>
      </w:r>
      <w:r>
        <w:rPr>
          <w:spacing w:val="-19"/>
          <w:w w:val="115"/>
        </w:rPr>
        <w:t> </w:t>
      </w:r>
      <w:r>
        <w:rPr>
          <w:w w:val="115"/>
        </w:rPr>
        <w:t>concerning</w:t>
      </w:r>
      <w:r>
        <w:rPr>
          <w:spacing w:val="-19"/>
          <w:w w:val="115"/>
        </w:rPr>
        <w:t> </w:t>
      </w:r>
      <w:r>
        <w:rPr>
          <w:w w:val="115"/>
        </w:rPr>
        <w:t>the</w:t>
      </w:r>
      <w:r>
        <w:rPr>
          <w:spacing w:val="-19"/>
          <w:w w:val="115"/>
        </w:rPr>
        <w:t> </w:t>
      </w:r>
      <w:r>
        <w:rPr>
          <w:w w:val="115"/>
        </w:rPr>
        <w:t>validity</w:t>
      </w:r>
      <w:r>
        <w:rPr>
          <w:w w:val="115"/>
        </w:rPr>
        <w:t> and interpretation of the acts of the</w:t>
      </w:r>
    </w:p>
    <w:p>
      <w:pPr>
        <w:pStyle w:val="BodyText"/>
        <w:spacing w:line="204" w:lineRule="auto" w:before="6"/>
        <w:ind w:right="147"/>
        <w:rPr>
          <w:rFonts w:ascii="Lucida Sans Unicode" w:hAnsi="Lucida Sans Unicode"/>
        </w:rPr>
      </w:pPr>
      <w:r>
        <w:rPr>
          <w:rFonts w:ascii="Lucida Sans Unicode" w:hAnsi="Lucida Sans Unicode"/>
        </w:rPr>
        <w:t>institutions […] of the Union. Given that Article 12 (4) Windsor </w:t>
      </w:r>
      <w:r>
        <w:rPr>
          <w:rFonts w:ascii="Lucida Sans Unicode" w:hAnsi="Lucida Sans Unicode"/>
        </w:rPr>
        <w:t>Framework</w:t>
      </w:r>
    </w:p>
    <w:p>
      <w:pPr>
        <w:pStyle w:val="BodyText"/>
        <w:spacing w:line="216" w:lineRule="auto"/>
        <w:ind w:right="242"/>
      </w:pPr>
      <w:r>
        <w:rPr>
          <w:rFonts w:ascii="Lucida Sans Unicode"/>
          <w:spacing w:val="-2"/>
          <w:w w:val="110"/>
        </w:rPr>
        <w:t>makes</w:t>
      </w:r>
      <w:r>
        <w:rPr>
          <w:rFonts w:ascii="Lucida Sans Unicode"/>
          <w:spacing w:val="-19"/>
          <w:w w:val="110"/>
        </w:rPr>
        <w:t> </w:t>
      </w:r>
      <w:r>
        <w:rPr>
          <w:rFonts w:ascii="Lucida Sans Unicode"/>
          <w:spacing w:val="-2"/>
          <w:w w:val="110"/>
        </w:rPr>
        <w:t>reference</w:t>
      </w:r>
      <w:r>
        <w:rPr>
          <w:rFonts w:ascii="Lucida Sans Unicode"/>
          <w:spacing w:val="-19"/>
          <w:w w:val="110"/>
        </w:rPr>
        <w:t> </w:t>
      </w:r>
      <w:r>
        <w:rPr>
          <w:rFonts w:ascii="Lucida Sans Unicode"/>
          <w:spacing w:val="-2"/>
          <w:w w:val="110"/>
        </w:rPr>
        <w:t>to</w:t>
      </w:r>
      <w:r>
        <w:rPr>
          <w:rFonts w:ascii="Lucida Sans Unicode"/>
          <w:spacing w:val="-19"/>
          <w:w w:val="110"/>
        </w:rPr>
        <w:t> </w:t>
      </w:r>
      <w:r>
        <w:rPr>
          <w:rFonts w:ascii="Lucida Sans Unicode"/>
          <w:spacing w:val="-2"/>
          <w:w w:val="110"/>
        </w:rPr>
        <w:t>Article</w:t>
      </w:r>
      <w:r>
        <w:rPr>
          <w:rFonts w:ascii="Lucida Sans Unicode"/>
          <w:spacing w:val="-18"/>
          <w:w w:val="110"/>
        </w:rPr>
        <w:t> </w:t>
      </w:r>
      <w:r>
        <w:rPr>
          <w:rFonts w:ascii="Lucida Sans Unicode"/>
          <w:spacing w:val="-2"/>
          <w:w w:val="110"/>
        </w:rPr>
        <w:t>267</w:t>
      </w:r>
      <w:r>
        <w:rPr>
          <w:rFonts w:ascii="Lucida Sans Unicode"/>
          <w:spacing w:val="-19"/>
          <w:w w:val="110"/>
        </w:rPr>
        <w:t> </w:t>
      </w:r>
      <w:r>
        <w:rPr>
          <w:rFonts w:ascii="Lucida Sans Unicode"/>
          <w:spacing w:val="-2"/>
          <w:w w:val="110"/>
        </w:rPr>
        <w:t>(2) and</w:t>
      </w:r>
      <w:r>
        <w:rPr>
          <w:rFonts w:ascii="Lucida Sans Unicode"/>
          <w:spacing w:val="-18"/>
          <w:w w:val="110"/>
        </w:rPr>
        <w:t> </w:t>
      </w:r>
      <w:r>
        <w:rPr>
          <w:rFonts w:ascii="Lucida Sans Unicode"/>
          <w:spacing w:val="-2"/>
          <w:w w:val="110"/>
        </w:rPr>
        <w:t>(3)</w:t>
      </w:r>
      <w:r>
        <w:rPr>
          <w:rFonts w:ascii="Lucida Sans Unicode"/>
          <w:spacing w:val="-18"/>
          <w:w w:val="110"/>
        </w:rPr>
        <w:t> </w:t>
      </w:r>
      <w:r>
        <w:rPr>
          <w:rFonts w:ascii="Lucida Sans Unicode"/>
          <w:spacing w:val="-2"/>
          <w:w w:val="110"/>
        </w:rPr>
        <w:t>TFEU</w:t>
      </w:r>
      <w:r>
        <w:rPr>
          <w:rFonts w:ascii="Lucida Sans Unicode"/>
          <w:spacing w:val="-18"/>
          <w:w w:val="110"/>
        </w:rPr>
        <w:t> </w:t>
      </w:r>
      <w:r>
        <w:rPr>
          <w:rFonts w:ascii="Lucida Sans Unicode"/>
          <w:spacing w:val="-2"/>
          <w:w w:val="110"/>
        </w:rPr>
        <w:t>which</w:t>
      </w:r>
      <w:r>
        <w:rPr>
          <w:rFonts w:ascii="Lucida Sans Unicode"/>
          <w:spacing w:val="-18"/>
          <w:w w:val="110"/>
        </w:rPr>
        <w:t> </w:t>
      </w:r>
      <w:r>
        <w:rPr>
          <w:rFonts w:ascii="Lucida Sans Unicode"/>
          <w:spacing w:val="-2"/>
          <w:w w:val="110"/>
        </w:rPr>
        <w:t>gives</w:t>
      </w:r>
      <w:r>
        <w:rPr>
          <w:rFonts w:ascii="Lucida Sans Unicode"/>
          <w:spacing w:val="-18"/>
          <w:w w:val="110"/>
        </w:rPr>
        <w:t> </w:t>
      </w:r>
      <w:r>
        <w:rPr>
          <w:rFonts w:ascii="Lucida Sans Unicode"/>
          <w:spacing w:val="-2"/>
          <w:w w:val="110"/>
        </w:rPr>
        <w:t>the</w:t>
      </w:r>
      <w:r>
        <w:rPr>
          <w:rFonts w:ascii="Lucida Sans Unicode"/>
          <w:spacing w:val="-18"/>
          <w:w w:val="110"/>
        </w:rPr>
        <w:t> </w:t>
      </w:r>
      <w:r>
        <w:rPr>
          <w:rFonts w:ascii="Lucida Sans Unicode"/>
          <w:spacing w:val="-2"/>
          <w:w w:val="110"/>
        </w:rPr>
        <w:t>courts </w:t>
      </w:r>
      <w:r>
        <w:rPr>
          <w:w w:val="110"/>
        </w:rPr>
        <w:t>a</w:t>
      </w:r>
      <w:r>
        <w:rPr>
          <w:spacing w:val="17"/>
          <w:w w:val="110"/>
        </w:rPr>
        <w:t> </w:t>
      </w:r>
      <w:r>
        <w:rPr>
          <w:w w:val="110"/>
        </w:rPr>
        <w:t>right</w:t>
      </w:r>
      <w:r>
        <w:rPr>
          <w:spacing w:val="17"/>
          <w:w w:val="110"/>
        </w:rPr>
        <w:t> </w:t>
      </w:r>
      <w:r>
        <w:rPr>
          <w:w w:val="110"/>
        </w:rPr>
        <w:t>to</w:t>
      </w:r>
      <w:r>
        <w:rPr>
          <w:spacing w:val="17"/>
          <w:w w:val="110"/>
        </w:rPr>
        <w:t> </w:t>
      </w:r>
      <w:r>
        <w:rPr>
          <w:w w:val="110"/>
        </w:rPr>
        <w:t>request</w:t>
      </w:r>
      <w:r>
        <w:rPr>
          <w:spacing w:val="17"/>
          <w:w w:val="110"/>
        </w:rPr>
        <w:t> </w:t>
      </w:r>
      <w:r>
        <w:rPr>
          <w:w w:val="110"/>
        </w:rPr>
        <w:t>a</w:t>
      </w:r>
      <w:r>
        <w:rPr>
          <w:spacing w:val="17"/>
          <w:w w:val="110"/>
        </w:rPr>
        <w:t> </w:t>
      </w:r>
      <w:r>
        <w:rPr>
          <w:w w:val="110"/>
        </w:rPr>
        <w:t>preliminary</w:t>
      </w:r>
      <w:r>
        <w:rPr>
          <w:spacing w:val="17"/>
          <w:w w:val="110"/>
        </w:rPr>
        <w:t> </w:t>
      </w:r>
      <w:r>
        <w:rPr>
          <w:spacing w:val="-2"/>
          <w:w w:val="110"/>
        </w:rPr>
        <w:t>ruling</w:t>
      </w:r>
    </w:p>
    <w:p>
      <w:pPr>
        <w:pStyle w:val="BodyText"/>
        <w:spacing w:line="230" w:lineRule="auto"/>
        <w:ind w:right="440"/>
      </w:pPr>
      <w:r>
        <w:rPr>
          <w:rFonts w:ascii="Lucida Sans Unicode"/>
        </w:rPr>
        <w:t>(para 2) on such questions, and in </w:t>
      </w:r>
      <w:r>
        <w:rPr>
          <w:w w:val="110"/>
        </w:rPr>
        <w:t>the case of the highest court a </w:t>
      </w:r>
      <w:r>
        <w:rPr>
          <w:w w:val="110"/>
        </w:rPr>
        <w:t>duty </w:t>
      </w:r>
      <w:r>
        <w:rPr>
          <w:rFonts w:ascii="Lucida Sans Unicode"/>
        </w:rPr>
        <w:t>to do so (para 3), it will be possible </w:t>
      </w:r>
      <w:r>
        <w:rPr>
          <w:w w:val="110"/>
        </w:rPr>
        <w:t>for claimants in Northern Ireland to</w:t>
      </w:r>
    </w:p>
    <w:p>
      <w:pPr>
        <w:spacing w:after="0" w:line="230" w:lineRule="auto"/>
        <w:sectPr>
          <w:type w:val="continuous"/>
          <w:pgSz w:w="11910" w:h="16840"/>
          <w:pgMar w:header="568" w:footer="580" w:top="0" w:bottom="280" w:left="1020" w:right="1020"/>
          <w:cols w:num="2" w:equalWidth="0">
            <w:col w:w="4743" w:space="303"/>
            <w:col w:w="4824"/>
          </w:cols>
        </w:sectPr>
      </w:pPr>
    </w:p>
    <w:p>
      <w:pPr>
        <w:pStyle w:val="BodyText"/>
        <w:spacing w:before="3"/>
        <w:ind w:left="0"/>
        <w:rPr>
          <w:sz w:val="14"/>
        </w:rPr>
      </w:pPr>
    </w:p>
    <w:p>
      <w:pPr>
        <w:pStyle w:val="BodyText"/>
        <w:spacing w:line="20" w:lineRule="exact"/>
        <w:rPr>
          <w:sz w:val="2"/>
        </w:rPr>
      </w:pPr>
      <w:r>
        <w:rPr>
          <w:sz w:val="2"/>
        </w:rPr>
        <mc:AlternateContent>
          <mc:Choice Requires="wps">
            <w:drawing>
              <wp:inline distT="0" distB="0" distL="0" distR="0">
                <wp:extent cx="6120130" cy="6350"/>
                <wp:effectExtent l="9525" t="0" r="0" b="3175"/>
                <wp:docPr id="135" name="Group 135"/>
                <wp:cNvGraphicFramePr>
                  <a:graphicFrameLocks/>
                </wp:cNvGraphicFramePr>
                <a:graphic>
                  <a:graphicData uri="http://schemas.microsoft.com/office/word/2010/wordprocessingGroup">
                    <wpg:wgp>
                      <wpg:cNvPr id="135" name="Group 135"/>
                      <wpg:cNvGrpSpPr/>
                      <wpg:grpSpPr>
                        <a:xfrm>
                          <a:off x="0" y="0"/>
                          <a:ext cx="6120130" cy="6350"/>
                          <a:chExt cx="6120130" cy="6350"/>
                        </a:xfrm>
                      </wpg:grpSpPr>
                      <wps:wsp>
                        <wps:cNvPr id="136" name="Graphic 136"/>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86"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5" w:val="left" w:leader="none"/>
        </w:tabs>
        <w:spacing w:line="223" w:lineRule="exact" w:before="61" w:after="0"/>
        <w:ind w:left="565" w:right="0" w:hanging="452"/>
        <w:jc w:val="left"/>
        <w:rPr>
          <w:sz w:val="16"/>
        </w:rPr>
      </w:pPr>
      <w:r>
        <w:rPr>
          <w:w w:val="105"/>
          <w:sz w:val="16"/>
        </w:rPr>
        <w:t>Case</w:t>
      </w:r>
      <w:r>
        <w:rPr>
          <w:spacing w:val="-9"/>
          <w:w w:val="105"/>
          <w:sz w:val="16"/>
        </w:rPr>
        <w:t> </w:t>
      </w:r>
      <w:r>
        <w:rPr>
          <w:w w:val="105"/>
          <w:sz w:val="16"/>
        </w:rPr>
        <w:t>283/81</w:t>
      </w:r>
      <w:r>
        <w:rPr>
          <w:spacing w:val="-9"/>
          <w:w w:val="105"/>
          <w:sz w:val="16"/>
        </w:rPr>
        <w:t> </w:t>
      </w:r>
      <w:r>
        <w:rPr>
          <w:rFonts w:ascii="Trebuchet MS"/>
          <w:i/>
          <w:w w:val="105"/>
          <w:sz w:val="16"/>
        </w:rPr>
        <w:t>Srl</w:t>
      </w:r>
      <w:r>
        <w:rPr>
          <w:rFonts w:ascii="Trebuchet MS"/>
          <w:i/>
          <w:spacing w:val="-7"/>
          <w:w w:val="105"/>
          <w:sz w:val="16"/>
        </w:rPr>
        <w:t> </w:t>
      </w:r>
      <w:r>
        <w:rPr>
          <w:rFonts w:ascii="Trebuchet MS"/>
          <w:i/>
          <w:w w:val="105"/>
          <w:sz w:val="16"/>
        </w:rPr>
        <w:t>CILFIT</w:t>
      </w:r>
      <w:r>
        <w:rPr>
          <w:rFonts w:ascii="Trebuchet MS"/>
          <w:i/>
          <w:spacing w:val="-6"/>
          <w:w w:val="105"/>
          <w:sz w:val="16"/>
        </w:rPr>
        <w:t> </w:t>
      </w:r>
      <w:r>
        <w:rPr>
          <w:rFonts w:ascii="Trebuchet MS"/>
          <w:i/>
          <w:w w:val="105"/>
          <w:sz w:val="16"/>
        </w:rPr>
        <w:t>and</w:t>
      </w:r>
      <w:r>
        <w:rPr>
          <w:rFonts w:ascii="Trebuchet MS"/>
          <w:i/>
          <w:spacing w:val="-7"/>
          <w:w w:val="105"/>
          <w:sz w:val="16"/>
        </w:rPr>
        <w:t> </w:t>
      </w:r>
      <w:r>
        <w:rPr>
          <w:rFonts w:ascii="Trebuchet MS"/>
          <w:i/>
          <w:w w:val="105"/>
          <w:sz w:val="16"/>
        </w:rPr>
        <w:t>Lanificio</w:t>
      </w:r>
      <w:r>
        <w:rPr>
          <w:rFonts w:ascii="Trebuchet MS"/>
          <w:i/>
          <w:spacing w:val="-6"/>
          <w:w w:val="105"/>
          <w:sz w:val="16"/>
        </w:rPr>
        <w:t> </w:t>
      </w:r>
      <w:r>
        <w:rPr>
          <w:rFonts w:ascii="Trebuchet MS"/>
          <w:i/>
          <w:w w:val="105"/>
          <w:sz w:val="16"/>
        </w:rPr>
        <w:t>di</w:t>
      </w:r>
      <w:r>
        <w:rPr>
          <w:rFonts w:ascii="Trebuchet MS"/>
          <w:i/>
          <w:spacing w:val="-7"/>
          <w:w w:val="105"/>
          <w:sz w:val="16"/>
        </w:rPr>
        <w:t> </w:t>
      </w:r>
      <w:r>
        <w:rPr>
          <w:rFonts w:ascii="Trebuchet MS"/>
          <w:i/>
          <w:w w:val="105"/>
          <w:sz w:val="16"/>
        </w:rPr>
        <w:t>Gavardo</w:t>
      </w:r>
      <w:r>
        <w:rPr>
          <w:rFonts w:ascii="Trebuchet MS"/>
          <w:i/>
          <w:spacing w:val="-6"/>
          <w:w w:val="105"/>
          <w:sz w:val="16"/>
        </w:rPr>
        <w:t> </w:t>
      </w:r>
      <w:r>
        <w:rPr>
          <w:rFonts w:ascii="Trebuchet MS"/>
          <w:i/>
          <w:w w:val="105"/>
          <w:sz w:val="16"/>
        </w:rPr>
        <w:t>SpA</w:t>
      </w:r>
      <w:r>
        <w:rPr>
          <w:rFonts w:ascii="Trebuchet MS"/>
          <w:i/>
          <w:spacing w:val="-7"/>
          <w:w w:val="105"/>
          <w:sz w:val="16"/>
        </w:rPr>
        <w:t> </w:t>
      </w:r>
      <w:r>
        <w:rPr>
          <w:rFonts w:ascii="Trebuchet MS"/>
          <w:i/>
          <w:w w:val="105"/>
          <w:sz w:val="16"/>
        </w:rPr>
        <w:t>v</w:t>
      </w:r>
      <w:r>
        <w:rPr>
          <w:rFonts w:ascii="Trebuchet MS"/>
          <w:i/>
          <w:spacing w:val="-7"/>
          <w:w w:val="105"/>
          <w:sz w:val="16"/>
        </w:rPr>
        <w:t> </w:t>
      </w:r>
      <w:r>
        <w:rPr>
          <w:rFonts w:ascii="Trebuchet MS"/>
          <w:i/>
          <w:w w:val="105"/>
          <w:sz w:val="16"/>
        </w:rPr>
        <w:t>Ministry</w:t>
      </w:r>
      <w:r>
        <w:rPr>
          <w:rFonts w:ascii="Trebuchet MS"/>
          <w:i/>
          <w:spacing w:val="-6"/>
          <w:w w:val="105"/>
          <w:sz w:val="16"/>
        </w:rPr>
        <w:t> </w:t>
      </w:r>
      <w:r>
        <w:rPr>
          <w:rFonts w:ascii="Trebuchet MS"/>
          <w:i/>
          <w:w w:val="105"/>
          <w:sz w:val="16"/>
        </w:rPr>
        <w:t>of</w:t>
      </w:r>
      <w:r>
        <w:rPr>
          <w:rFonts w:ascii="Trebuchet MS"/>
          <w:i/>
          <w:spacing w:val="-7"/>
          <w:w w:val="105"/>
          <w:sz w:val="16"/>
        </w:rPr>
        <w:t> </w:t>
      </w:r>
      <w:r>
        <w:rPr>
          <w:rFonts w:ascii="Trebuchet MS"/>
          <w:i/>
          <w:w w:val="105"/>
          <w:sz w:val="16"/>
        </w:rPr>
        <w:t>Health</w:t>
      </w:r>
      <w:r>
        <w:rPr>
          <w:rFonts w:ascii="Trebuchet MS"/>
          <w:i/>
          <w:spacing w:val="-6"/>
          <w:w w:val="105"/>
          <w:sz w:val="16"/>
        </w:rPr>
        <w:t> </w:t>
      </w:r>
      <w:r>
        <w:rPr>
          <w:w w:val="105"/>
          <w:sz w:val="16"/>
        </w:rPr>
        <w:t>EU:C:1982:335,</w:t>
      </w:r>
      <w:r>
        <w:rPr>
          <w:spacing w:val="-9"/>
          <w:w w:val="105"/>
          <w:sz w:val="16"/>
        </w:rPr>
        <w:t> </w:t>
      </w:r>
      <w:r>
        <w:rPr>
          <w:w w:val="105"/>
          <w:sz w:val="16"/>
        </w:rPr>
        <w:t>para</w:t>
      </w:r>
      <w:r>
        <w:rPr>
          <w:spacing w:val="-9"/>
          <w:w w:val="105"/>
          <w:sz w:val="16"/>
        </w:rPr>
        <w:t> </w:t>
      </w:r>
      <w:r>
        <w:rPr>
          <w:spacing w:val="-5"/>
          <w:w w:val="105"/>
          <w:sz w:val="16"/>
        </w:rPr>
        <w:t>20.</w:t>
      </w:r>
    </w:p>
    <w:p>
      <w:pPr>
        <w:pStyle w:val="ListParagraph"/>
        <w:numPr>
          <w:ilvl w:val="0"/>
          <w:numId w:val="6"/>
        </w:numPr>
        <w:tabs>
          <w:tab w:pos="565" w:val="left" w:leader="none"/>
        </w:tabs>
        <w:spacing w:line="200" w:lineRule="exact" w:before="0" w:after="0"/>
        <w:ind w:left="565" w:right="0" w:hanging="452"/>
        <w:jc w:val="left"/>
        <w:rPr>
          <w:rFonts w:ascii="Arial" w:hAnsi="Arial"/>
          <w:sz w:val="16"/>
        </w:rPr>
      </w:pPr>
      <w:r>
        <w:rPr>
          <w:rFonts w:ascii="Verdana" w:hAnsi="Verdana"/>
          <w:i/>
          <w:sz w:val="16"/>
        </w:rPr>
        <w:t>Åkerberg</w:t>
      </w:r>
      <w:r>
        <w:rPr>
          <w:rFonts w:ascii="Verdana" w:hAnsi="Verdana"/>
          <w:i/>
          <w:spacing w:val="-11"/>
          <w:sz w:val="16"/>
        </w:rPr>
        <w:t> </w:t>
      </w:r>
      <w:r>
        <w:rPr>
          <w:rFonts w:ascii="Verdana" w:hAnsi="Verdana"/>
          <w:i/>
          <w:sz w:val="16"/>
        </w:rPr>
        <w:t>Fransson</w:t>
      </w:r>
      <w:r>
        <w:rPr>
          <w:rFonts w:ascii="Verdana" w:hAnsi="Verdana"/>
          <w:i/>
          <w:spacing w:val="-11"/>
          <w:sz w:val="16"/>
        </w:rPr>
        <w:t> </w:t>
      </w:r>
      <w:r>
        <w:rPr>
          <w:rFonts w:ascii="Arial" w:hAnsi="Arial"/>
          <w:sz w:val="16"/>
        </w:rPr>
        <w:t>(n</w:t>
      </w:r>
      <w:r>
        <w:rPr>
          <w:rFonts w:ascii="Arial" w:hAnsi="Arial"/>
          <w:spacing w:val="1"/>
          <w:sz w:val="16"/>
        </w:rPr>
        <w:t> </w:t>
      </w:r>
      <w:r>
        <w:rPr>
          <w:sz w:val="16"/>
        </w:rPr>
        <w:t>13),</w:t>
      </w:r>
      <w:r>
        <w:rPr>
          <w:spacing w:val="-5"/>
          <w:sz w:val="16"/>
        </w:rPr>
        <w:t> </w:t>
      </w:r>
      <w:r>
        <w:rPr>
          <w:sz w:val="16"/>
        </w:rPr>
        <w:t>para</w:t>
      </w:r>
      <w:r>
        <w:rPr>
          <w:spacing w:val="-5"/>
          <w:sz w:val="16"/>
        </w:rPr>
        <w:t> 21.</w:t>
      </w:r>
    </w:p>
    <w:p>
      <w:pPr>
        <w:pStyle w:val="ListParagraph"/>
        <w:numPr>
          <w:ilvl w:val="0"/>
          <w:numId w:val="6"/>
        </w:numPr>
        <w:tabs>
          <w:tab w:pos="567" w:val="left" w:leader="none"/>
        </w:tabs>
        <w:spacing w:line="194" w:lineRule="auto" w:before="10" w:after="0"/>
        <w:ind w:left="567" w:right="154" w:hanging="454"/>
        <w:jc w:val="left"/>
        <w:rPr>
          <w:rFonts w:ascii="Arial" w:hAnsi="Arial"/>
          <w:sz w:val="16"/>
        </w:rPr>
      </w:pPr>
      <w:r>
        <w:rPr>
          <w:sz w:val="16"/>
        </w:rPr>
        <w:t>See Chapter 1; see also Piet van Nuffel, ‘Article 4’ in: Thomas Liefländer; Manuel Kellerbauer; Eugenia Dumitiru- Segnana (eds.), </w:t>
      </w:r>
      <w:r>
        <w:rPr>
          <w:rFonts w:ascii="Verdana" w:hAnsi="Verdana"/>
          <w:i/>
          <w:sz w:val="16"/>
        </w:rPr>
        <w:t>The</w:t>
      </w:r>
      <w:r>
        <w:rPr>
          <w:rFonts w:ascii="Verdana" w:hAnsi="Verdana"/>
          <w:i/>
          <w:spacing w:val="-6"/>
          <w:sz w:val="16"/>
        </w:rPr>
        <w:t> </w:t>
      </w:r>
      <w:r>
        <w:rPr>
          <w:rFonts w:ascii="Verdana" w:hAnsi="Verdana"/>
          <w:i/>
          <w:sz w:val="16"/>
        </w:rPr>
        <w:t>UK-EU</w:t>
      </w:r>
      <w:r>
        <w:rPr>
          <w:rFonts w:ascii="Verdana" w:hAnsi="Verdana"/>
          <w:i/>
          <w:spacing w:val="-6"/>
          <w:sz w:val="16"/>
        </w:rPr>
        <w:t> </w:t>
      </w:r>
      <w:r>
        <w:rPr>
          <w:rFonts w:ascii="Verdana" w:hAnsi="Verdana"/>
          <w:i/>
          <w:sz w:val="16"/>
        </w:rPr>
        <w:t>Withdrawal</w:t>
      </w:r>
      <w:r>
        <w:rPr>
          <w:rFonts w:ascii="Verdana" w:hAnsi="Verdana"/>
          <w:i/>
          <w:spacing w:val="-6"/>
          <w:sz w:val="16"/>
        </w:rPr>
        <w:t> </w:t>
      </w:r>
      <w:r>
        <w:rPr>
          <w:rFonts w:ascii="Verdana" w:hAnsi="Verdana"/>
          <w:i/>
          <w:sz w:val="16"/>
        </w:rPr>
        <w:t>Agreement:</w:t>
      </w:r>
      <w:r>
        <w:rPr>
          <w:rFonts w:ascii="Verdana" w:hAnsi="Verdana"/>
          <w:i/>
          <w:spacing w:val="-6"/>
          <w:sz w:val="16"/>
        </w:rPr>
        <w:t> </w:t>
      </w:r>
      <w:r>
        <w:rPr>
          <w:rFonts w:ascii="Verdana" w:hAnsi="Verdana"/>
          <w:i/>
          <w:sz w:val="16"/>
        </w:rPr>
        <w:t>A</w:t>
      </w:r>
      <w:r>
        <w:rPr>
          <w:rFonts w:ascii="Verdana" w:hAnsi="Verdana"/>
          <w:i/>
          <w:spacing w:val="-6"/>
          <w:sz w:val="16"/>
        </w:rPr>
        <w:t> </w:t>
      </w:r>
      <w:r>
        <w:rPr>
          <w:rFonts w:ascii="Verdana" w:hAnsi="Verdana"/>
          <w:i/>
          <w:sz w:val="16"/>
        </w:rPr>
        <w:t>Commentary</w:t>
      </w:r>
      <w:r>
        <w:rPr>
          <w:sz w:val="16"/>
        </w:rPr>
        <w:t>, OUP 2022, para 2.38, who goes so far as to say that ‘in substance, Article 4 (3) has the same effect as Article 51 (1) of the EU Charter of Fundamental Rights’.</w:t>
      </w:r>
    </w:p>
    <w:p>
      <w:pPr>
        <w:spacing w:after="0" w:line="194" w:lineRule="auto"/>
        <w:jc w:val="left"/>
        <w:rPr>
          <w:rFonts w:ascii="Arial" w:hAnsi="Arial"/>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273" w:lineRule="auto" w:before="72"/>
        <w:ind w:right="298"/>
      </w:pPr>
      <w:bookmarkStart w:name="3.  Applicability of the Charter under A" w:id="52"/>
      <w:bookmarkEnd w:id="52"/>
      <w:r>
        <w:rPr/>
      </w:r>
      <w:bookmarkStart w:name="_bookmark21" w:id="53"/>
      <w:bookmarkEnd w:id="53"/>
      <w:r>
        <w:rPr/>
      </w:r>
      <w:r>
        <w:rPr>
          <w:w w:val="115"/>
        </w:rPr>
        <w:t>challenge the validity of a piece of EU</w:t>
      </w:r>
      <w:r>
        <w:rPr>
          <w:spacing w:val="-2"/>
          <w:w w:val="115"/>
        </w:rPr>
        <w:t> </w:t>
      </w:r>
      <w:r>
        <w:rPr>
          <w:w w:val="115"/>
        </w:rPr>
        <w:t>secondary</w:t>
      </w:r>
      <w:r>
        <w:rPr>
          <w:spacing w:val="-2"/>
          <w:w w:val="115"/>
        </w:rPr>
        <w:t> </w:t>
      </w:r>
      <w:r>
        <w:rPr>
          <w:w w:val="115"/>
        </w:rPr>
        <w:t>law</w:t>
      </w:r>
      <w:r>
        <w:rPr>
          <w:spacing w:val="-2"/>
          <w:w w:val="115"/>
        </w:rPr>
        <w:t> </w:t>
      </w:r>
      <w:r>
        <w:rPr>
          <w:w w:val="115"/>
        </w:rPr>
        <w:t>that</w:t>
      </w:r>
      <w:r>
        <w:rPr>
          <w:spacing w:val="-2"/>
          <w:w w:val="115"/>
        </w:rPr>
        <w:t> </w:t>
      </w:r>
      <w:r>
        <w:rPr>
          <w:w w:val="115"/>
        </w:rPr>
        <w:t>is</w:t>
      </w:r>
      <w:r>
        <w:rPr>
          <w:spacing w:val="-2"/>
          <w:w w:val="115"/>
        </w:rPr>
        <w:t> </w:t>
      </w:r>
      <w:r>
        <w:rPr>
          <w:w w:val="115"/>
        </w:rPr>
        <w:t>currently applicable</w:t>
      </w:r>
      <w:r>
        <w:rPr>
          <w:spacing w:val="-11"/>
          <w:w w:val="115"/>
        </w:rPr>
        <w:t> </w:t>
      </w:r>
      <w:r>
        <w:rPr>
          <w:w w:val="115"/>
        </w:rPr>
        <w:t>by</w:t>
      </w:r>
      <w:r>
        <w:rPr>
          <w:spacing w:val="-11"/>
          <w:w w:val="115"/>
        </w:rPr>
        <w:t> </w:t>
      </w:r>
      <w:r>
        <w:rPr>
          <w:w w:val="115"/>
        </w:rPr>
        <w:t>virtue</w:t>
      </w:r>
      <w:r>
        <w:rPr>
          <w:spacing w:val="-11"/>
          <w:w w:val="115"/>
        </w:rPr>
        <w:t> </w:t>
      </w:r>
      <w:r>
        <w:rPr>
          <w:w w:val="115"/>
        </w:rPr>
        <w:t>of</w:t>
      </w:r>
      <w:r>
        <w:rPr>
          <w:spacing w:val="-11"/>
          <w:w w:val="115"/>
        </w:rPr>
        <w:t> </w:t>
      </w:r>
      <w:r>
        <w:rPr>
          <w:w w:val="115"/>
        </w:rPr>
        <w:t>the</w:t>
      </w:r>
      <w:r>
        <w:rPr>
          <w:spacing w:val="-11"/>
          <w:w w:val="115"/>
        </w:rPr>
        <w:t> </w:t>
      </w:r>
      <w:r>
        <w:rPr>
          <w:w w:val="115"/>
        </w:rPr>
        <w:t>Windsor Framework or which becomes</w:t>
      </w:r>
    </w:p>
    <w:p>
      <w:pPr>
        <w:pStyle w:val="BodyText"/>
        <w:ind w:right="31"/>
        <w:rPr>
          <w:rFonts w:ascii="Lucida Sans Unicode"/>
        </w:rPr>
      </w:pPr>
      <w:r>
        <w:rPr>
          <w:w w:val="110"/>
        </w:rPr>
        <w:t>applicable through dynamic </w:t>
      </w:r>
      <w:r>
        <w:rPr>
          <w:w w:val="110"/>
        </w:rPr>
        <w:t>alignment </w:t>
      </w:r>
      <w:r>
        <w:rPr>
          <w:rFonts w:ascii="Lucida Sans Unicode"/>
        </w:rPr>
        <w:t>by</w:t>
      </w:r>
      <w:r>
        <w:rPr>
          <w:rFonts w:ascii="Lucida Sans Unicode"/>
          <w:spacing w:val="15"/>
        </w:rPr>
        <w:t> </w:t>
      </w:r>
      <w:r>
        <w:rPr>
          <w:rFonts w:ascii="Lucida Sans Unicode"/>
        </w:rPr>
        <w:t>virtue</w:t>
      </w:r>
      <w:r>
        <w:rPr>
          <w:rFonts w:ascii="Lucida Sans Unicode"/>
          <w:spacing w:val="16"/>
        </w:rPr>
        <w:t> </w:t>
      </w:r>
      <w:r>
        <w:rPr>
          <w:rFonts w:ascii="Lucida Sans Unicode"/>
        </w:rPr>
        <w:t>of</w:t>
      </w:r>
      <w:r>
        <w:rPr>
          <w:rFonts w:ascii="Lucida Sans Unicode"/>
          <w:spacing w:val="15"/>
        </w:rPr>
        <w:t> </w:t>
      </w:r>
      <w:r>
        <w:rPr>
          <w:rFonts w:ascii="Lucida Sans Unicode"/>
        </w:rPr>
        <w:t>Article</w:t>
      </w:r>
      <w:r>
        <w:rPr>
          <w:rFonts w:ascii="Lucida Sans Unicode"/>
          <w:spacing w:val="16"/>
        </w:rPr>
        <w:t> </w:t>
      </w:r>
      <w:r>
        <w:rPr>
          <w:rFonts w:ascii="Lucida Sans Unicode"/>
        </w:rPr>
        <w:t>13</w:t>
      </w:r>
      <w:r>
        <w:rPr>
          <w:rFonts w:ascii="Lucida Sans Unicode"/>
          <w:spacing w:val="15"/>
        </w:rPr>
        <w:t> </w:t>
      </w:r>
      <w:r>
        <w:rPr>
          <w:rFonts w:ascii="Lucida Sans Unicode"/>
        </w:rPr>
        <w:t>(3)</w:t>
      </w:r>
      <w:r>
        <w:rPr>
          <w:rFonts w:ascii="Lucida Sans Unicode"/>
          <w:spacing w:val="16"/>
        </w:rPr>
        <w:t> </w:t>
      </w:r>
      <w:r>
        <w:rPr>
          <w:rFonts w:ascii="Lucida Sans Unicode"/>
        </w:rPr>
        <w:t>WF</w:t>
      </w:r>
      <w:r>
        <w:rPr>
          <w:rFonts w:ascii="Lucida Sans Unicode"/>
          <w:spacing w:val="15"/>
        </w:rPr>
        <w:t> </w:t>
      </w:r>
      <w:r>
        <w:rPr>
          <w:rFonts w:ascii="Lucida Sans Unicode"/>
        </w:rPr>
        <w:t>or</w:t>
      </w:r>
      <w:r>
        <w:rPr>
          <w:rFonts w:ascii="Lucida Sans Unicode"/>
          <w:spacing w:val="16"/>
        </w:rPr>
        <w:t> </w:t>
      </w:r>
      <w:r>
        <w:rPr>
          <w:rFonts w:ascii="Lucida Sans Unicode"/>
        </w:rPr>
        <w:t>Art</w:t>
      </w:r>
      <w:r>
        <w:rPr>
          <w:rFonts w:ascii="Lucida Sans Unicode"/>
          <w:spacing w:val="15"/>
        </w:rPr>
        <w:t> </w:t>
      </w:r>
      <w:r>
        <w:rPr>
          <w:rFonts w:ascii="Lucida Sans Unicode"/>
          <w:spacing w:val="-7"/>
        </w:rPr>
        <w:t>13</w:t>
      </w:r>
    </w:p>
    <w:p>
      <w:pPr>
        <w:pStyle w:val="BodyText"/>
        <w:spacing w:line="304" w:lineRule="exact"/>
        <w:rPr>
          <w:rFonts w:ascii="Lucida Sans Unicode"/>
        </w:rPr>
      </w:pPr>
      <w:r>
        <w:rPr>
          <w:rFonts w:ascii="Lucida Sans Unicode"/>
        </w:rPr>
        <w:t>(4)</w:t>
      </w:r>
      <w:r>
        <w:rPr>
          <w:rFonts w:ascii="Lucida Sans Unicode"/>
          <w:spacing w:val="31"/>
        </w:rPr>
        <w:t> </w:t>
      </w:r>
      <w:r>
        <w:rPr>
          <w:rFonts w:ascii="Lucida Sans Unicode"/>
        </w:rPr>
        <w:t>WF</w:t>
      </w:r>
      <w:r>
        <w:rPr>
          <w:rFonts w:ascii="Lucida Sans Unicode"/>
          <w:spacing w:val="33"/>
        </w:rPr>
        <w:t> </w:t>
      </w:r>
      <w:r>
        <w:rPr>
          <w:rFonts w:ascii="Lucida Sans Unicode"/>
        </w:rPr>
        <w:t>(which</w:t>
      </w:r>
      <w:r>
        <w:rPr>
          <w:rFonts w:ascii="Lucida Sans Unicode"/>
          <w:spacing w:val="33"/>
        </w:rPr>
        <w:t> </w:t>
      </w:r>
      <w:r>
        <w:rPr>
          <w:rFonts w:ascii="Lucida Sans Unicode"/>
        </w:rPr>
        <w:t>allows</w:t>
      </w:r>
      <w:r>
        <w:rPr>
          <w:rFonts w:ascii="Lucida Sans Unicode"/>
          <w:spacing w:val="33"/>
        </w:rPr>
        <w:t> </w:t>
      </w:r>
      <w:r>
        <w:rPr>
          <w:rFonts w:ascii="Lucida Sans Unicode"/>
        </w:rPr>
        <w:t>measures</w:t>
      </w:r>
      <w:r>
        <w:rPr>
          <w:rFonts w:ascii="Lucida Sans Unicode"/>
          <w:spacing w:val="33"/>
        </w:rPr>
        <w:t> </w:t>
      </w:r>
      <w:r>
        <w:rPr>
          <w:rFonts w:ascii="Lucida Sans Unicode"/>
        </w:rPr>
        <w:t>to</w:t>
      </w:r>
      <w:r>
        <w:rPr>
          <w:rFonts w:ascii="Lucida Sans Unicode"/>
          <w:spacing w:val="33"/>
        </w:rPr>
        <w:t> </w:t>
      </w:r>
      <w:r>
        <w:rPr>
          <w:rFonts w:ascii="Lucida Sans Unicode"/>
          <w:spacing w:val="-5"/>
        </w:rPr>
        <w:t>be</w:t>
      </w:r>
    </w:p>
    <w:p>
      <w:pPr>
        <w:pStyle w:val="BodyText"/>
        <w:spacing w:line="267" w:lineRule="exact"/>
      </w:pPr>
      <w:r>
        <w:rPr>
          <w:w w:val="110"/>
        </w:rPr>
        <w:t>subsequently</w:t>
      </w:r>
      <w:r>
        <w:rPr>
          <w:spacing w:val="21"/>
          <w:w w:val="110"/>
        </w:rPr>
        <w:t> </w:t>
      </w:r>
      <w:r>
        <w:rPr>
          <w:w w:val="110"/>
        </w:rPr>
        <w:t>added</w:t>
      </w:r>
      <w:r>
        <w:rPr>
          <w:spacing w:val="21"/>
          <w:w w:val="110"/>
        </w:rPr>
        <w:t> </w:t>
      </w:r>
      <w:r>
        <w:rPr>
          <w:w w:val="110"/>
        </w:rPr>
        <w:t>to</w:t>
      </w:r>
      <w:r>
        <w:rPr>
          <w:spacing w:val="22"/>
          <w:w w:val="110"/>
        </w:rPr>
        <w:t> </w:t>
      </w:r>
      <w:r>
        <w:rPr>
          <w:w w:val="110"/>
        </w:rPr>
        <w:t>the</w:t>
      </w:r>
      <w:r>
        <w:rPr>
          <w:spacing w:val="21"/>
          <w:w w:val="110"/>
        </w:rPr>
        <w:t> </w:t>
      </w:r>
      <w:r>
        <w:rPr>
          <w:spacing w:val="-2"/>
          <w:w w:val="110"/>
        </w:rPr>
        <w:t>WF).</w:t>
      </w:r>
      <w:r>
        <w:rPr>
          <w:spacing w:val="-2"/>
          <w:w w:val="110"/>
          <w:vertAlign w:val="superscript"/>
        </w:rPr>
        <w:t>197</w:t>
      </w:r>
    </w:p>
    <w:p>
      <w:pPr>
        <w:pStyle w:val="BodyText"/>
        <w:spacing w:before="57"/>
        <w:ind w:left="0"/>
      </w:pPr>
    </w:p>
    <w:p>
      <w:pPr>
        <w:pStyle w:val="BodyText"/>
        <w:spacing w:line="273" w:lineRule="auto"/>
        <w:ind w:right="573"/>
      </w:pPr>
      <w:r>
        <w:rPr>
          <w:w w:val="110"/>
        </w:rPr>
        <w:t>As far as case law handed down by</w:t>
      </w:r>
      <w:r>
        <w:rPr>
          <w:spacing w:val="8"/>
          <w:w w:val="110"/>
        </w:rPr>
        <w:t> </w:t>
      </w:r>
      <w:r>
        <w:rPr>
          <w:w w:val="110"/>
        </w:rPr>
        <w:t>the</w:t>
      </w:r>
      <w:r>
        <w:rPr>
          <w:spacing w:val="8"/>
          <w:w w:val="110"/>
        </w:rPr>
        <w:t> </w:t>
      </w:r>
      <w:r>
        <w:rPr>
          <w:w w:val="110"/>
        </w:rPr>
        <w:t>CJEU</w:t>
      </w:r>
      <w:r>
        <w:rPr>
          <w:spacing w:val="9"/>
          <w:w w:val="110"/>
        </w:rPr>
        <w:t> </w:t>
      </w:r>
      <w:r>
        <w:rPr>
          <w:w w:val="110"/>
        </w:rPr>
        <w:t>after</w:t>
      </w:r>
      <w:r>
        <w:rPr>
          <w:spacing w:val="8"/>
          <w:w w:val="110"/>
        </w:rPr>
        <w:t> </w:t>
      </w:r>
      <w:r>
        <w:rPr>
          <w:w w:val="110"/>
        </w:rPr>
        <w:t>the</w:t>
      </w:r>
      <w:r>
        <w:rPr>
          <w:spacing w:val="9"/>
          <w:w w:val="110"/>
        </w:rPr>
        <w:t> </w:t>
      </w:r>
      <w:r>
        <w:rPr>
          <w:w w:val="110"/>
        </w:rPr>
        <w:t>end</w:t>
      </w:r>
      <w:r>
        <w:rPr>
          <w:spacing w:val="8"/>
          <w:w w:val="110"/>
        </w:rPr>
        <w:t> </w:t>
      </w:r>
      <w:r>
        <w:rPr>
          <w:w w:val="110"/>
        </w:rPr>
        <w:t>of</w:t>
      </w:r>
      <w:r>
        <w:rPr>
          <w:spacing w:val="9"/>
          <w:w w:val="110"/>
        </w:rPr>
        <w:t> </w:t>
      </w:r>
      <w:r>
        <w:rPr>
          <w:spacing w:val="-5"/>
          <w:w w:val="110"/>
        </w:rPr>
        <w:t>the</w:t>
      </w:r>
    </w:p>
    <w:p>
      <w:pPr>
        <w:pStyle w:val="BodyText"/>
        <w:spacing w:line="232" w:lineRule="auto" w:before="5"/>
        <w:ind w:right="234"/>
      </w:pPr>
      <w:r>
        <w:rPr>
          <w:w w:val="110"/>
        </w:rPr>
        <w:t>transition period is concerned, </w:t>
      </w:r>
      <w:r>
        <w:rPr>
          <w:w w:val="110"/>
        </w:rPr>
        <w:t>Article </w:t>
      </w:r>
      <w:r>
        <w:rPr>
          <w:rFonts w:ascii="Lucida Sans Unicode"/>
          <w:w w:val="105"/>
        </w:rPr>
        <w:t>13</w:t>
      </w:r>
      <w:r>
        <w:rPr>
          <w:rFonts w:ascii="Lucida Sans Unicode"/>
          <w:spacing w:val="-17"/>
          <w:w w:val="105"/>
        </w:rPr>
        <w:t> </w:t>
      </w:r>
      <w:r>
        <w:rPr>
          <w:rFonts w:ascii="Lucida Sans Unicode"/>
          <w:w w:val="110"/>
        </w:rPr>
        <w:t>(2)</w:t>
      </w:r>
      <w:r>
        <w:rPr>
          <w:rFonts w:ascii="Lucida Sans Unicode"/>
          <w:spacing w:val="-21"/>
          <w:w w:val="110"/>
        </w:rPr>
        <w:t> </w:t>
      </w:r>
      <w:r>
        <w:rPr>
          <w:rFonts w:ascii="Lucida Sans Unicode"/>
          <w:w w:val="110"/>
        </w:rPr>
        <w:t>WF</w:t>
      </w:r>
      <w:r>
        <w:rPr>
          <w:rFonts w:ascii="Lucida Sans Unicode"/>
          <w:spacing w:val="-21"/>
          <w:w w:val="110"/>
        </w:rPr>
        <w:t> </w:t>
      </w:r>
      <w:r>
        <w:rPr>
          <w:rFonts w:ascii="Lucida Sans Unicode"/>
          <w:w w:val="110"/>
        </w:rPr>
        <w:t>would</w:t>
      </w:r>
      <w:r>
        <w:rPr>
          <w:rFonts w:ascii="Lucida Sans Unicode"/>
          <w:spacing w:val="-21"/>
          <w:w w:val="110"/>
        </w:rPr>
        <w:t> </w:t>
      </w:r>
      <w:r>
        <w:rPr>
          <w:rFonts w:ascii="Lucida Sans Unicode"/>
          <w:w w:val="110"/>
        </w:rPr>
        <w:t>strongly</w:t>
      </w:r>
      <w:r>
        <w:rPr>
          <w:rFonts w:ascii="Lucida Sans Unicode"/>
          <w:spacing w:val="-21"/>
          <w:w w:val="110"/>
        </w:rPr>
        <w:t> </w:t>
      </w:r>
      <w:r>
        <w:rPr>
          <w:rFonts w:ascii="Lucida Sans Unicode"/>
          <w:w w:val="110"/>
        </w:rPr>
        <w:t>suggest </w:t>
      </w:r>
      <w:r>
        <w:rPr>
          <w:w w:val="110"/>
        </w:rPr>
        <w:t>that the provisions of EU law referred</w:t>
      </w:r>
    </w:p>
    <w:p>
      <w:pPr>
        <w:pStyle w:val="BodyText"/>
        <w:spacing w:line="273" w:lineRule="auto" w:before="41"/>
        <w:ind w:right="234"/>
      </w:pPr>
      <w:r>
        <w:rPr>
          <w:w w:val="115"/>
        </w:rPr>
        <w:t>to in the Windsor Framework continue to be interpreted and applied</w:t>
      </w:r>
      <w:r>
        <w:rPr>
          <w:spacing w:val="-4"/>
          <w:w w:val="115"/>
        </w:rPr>
        <w:t> </w:t>
      </w:r>
      <w:r>
        <w:rPr>
          <w:w w:val="115"/>
        </w:rPr>
        <w:t>in</w:t>
      </w:r>
      <w:r>
        <w:rPr>
          <w:spacing w:val="-4"/>
          <w:w w:val="115"/>
        </w:rPr>
        <w:t> </w:t>
      </w:r>
      <w:r>
        <w:rPr>
          <w:w w:val="115"/>
        </w:rPr>
        <w:t>light</w:t>
      </w:r>
      <w:r>
        <w:rPr>
          <w:spacing w:val="-4"/>
          <w:w w:val="115"/>
        </w:rPr>
        <w:t> </w:t>
      </w:r>
      <w:r>
        <w:rPr>
          <w:w w:val="115"/>
        </w:rPr>
        <w:t>of</w:t>
      </w:r>
      <w:r>
        <w:rPr>
          <w:spacing w:val="-4"/>
          <w:w w:val="115"/>
        </w:rPr>
        <w:t> </w:t>
      </w:r>
      <w:r>
        <w:rPr>
          <w:w w:val="115"/>
        </w:rPr>
        <w:t>such</w:t>
      </w:r>
      <w:r>
        <w:rPr>
          <w:spacing w:val="-4"/>
          <w:w w:val="115"/>
        </w:rPr>
        <w:t> </w:t>
      </w:r>
      <w:r>
        <w:rPr>
          <w:w w:val="115"/>
        </w:rPr>
        <w:t>case</w:t>
      </w:r>
      <w:r>
        <w:rPr>
          <w:spacing w:val="-4"/>
          <w:w w:val="115"/>
        </w:rPr>
        <w:t> </w:t>
      </w:r>
      <w:r>
        <w:rPr>
          <w:w w:val="115"/>
        </w:rPr>
        <w:t>law. Hence any interpretations of the Charter</w:t>
      </w:r>
      <w:r>
        <w:rPr>
          <w:spacing w:val="-2"/>
          <w:w w:val="115"/>
        </w:rPr>
        <w:t> </w:t>
      </w:r>
      <w:r>
        <w:rPr>
          <w:w w:val="115"/>
        </w:rPr>
        <w:t>in</w:t>
      </w:r>
      <w:r>
        <w:rPr>
          <w:spacing w:val="-2"/>
          <w:w w:val="115"/>
        </w:rPr>
        <w:t> </w:t>
      </w:r>
      <w:r>
        <w:rPr>
          <w:w w:val="115"/>
        </w:rPr>
        <w:t>connection</w:t>
      </w:r>
      <w:r>
        <w:rPr>
          <w:spacing w:val="-2"/>
          <w:w w:val="115"/>
        </w:rPr>
        <w:t> </w:t>
      </w:r>
      <w:r>
        <w:rPr>
          <w:w w:val="115"/>
        </w:rPr>
        <w:t>with</w:t>
      </w:r>
      <w:r>
        <w:rPr>
          <w:spacing w:val="-2"/>
          <w:w w:val="115"/>
        </w:rPr>
        <w:t> </w:t>
      </w:r>
      <w:r>
        <w:rPr>
          <w:w w:val="115"/>
        </w:rPr>
        <w:t>those </w:t>
      </w:r>
      <w:r>
        <w:rPr>
          <w:spacing w:val="-2"/>
          <w:w w:val="115"/>
        </w:rPr>
        <w:t>provisions</w:t>
      </w:r>
      <w:r>
        <w:rPr>
          <w:spacing w:val="-18"/>
          <w:w w:val="115"/>
        </w:rPr>
        <w:t> </w:t>
      </w:r>
      <w:r>
        <w:rPr>
          <w:spacing w:val="-2"/>
          <w:w w:val="115"/>
        </w:rPr>
        <w:t>in</w:t>
      </w:r>
      <w:r>
        <w:rPr>
          <w:spacing w:val="-17"/>
          <w:w w:val="115"/>
        </w:rPr>
        <w:t> </w:t>
      </w:r>
      <w:r>
        <w:rPr>
          <w:spacing w:val="-2"/>
          <w:w w:val="115"/>
        </w:rPr>
        <w:t>post-Brexit</w:t>
      </w:r>
      <w:r>
        <w:rPr>
          <w:spacing w:val="-17"/>
          <w:w w:val="115"/>
        </w:rPr>
        <w:t> </w:t>
      </w:r>
      <w:r>
        <w:rPr>
          <w:spacing w:val="-2"/>
          <w:w w:val="115"/>
        </w:rPr>
        <w:t>case</w:t>
      </w:r>
      <w:r>
        <w:rPr>
          <w:spacing w:val="-17"/>
          <w:w w:val="115"/>
        </w:rPr>
        <w:t> </w:t>
      </w:r>
      <w:r>
        <w:rPr>
          <w:spacing w:val="-2"/>
          <w:w w:val="115"/>
        </w:rPr>
        <w:t>law </w:t>
      </w:r>
      <w:r>
        <w:rPr>
          <w:w w:val="115"/>
        </w:rPr>
        <w:t>would need to be followed, too.</w:t>
      </w:r>
    </w:p>
    <w:p>
      <w:pPr>
        <w:pStyle w:val="BodyText"/>
        <w:spacing w:line="249" w:lineRule="auto"/>
        <w:ind w:right="671"/>
      </w:pPr>
      <w:r>
        <w:rPr>
          <w:w w:val="110"/>
        </w:rPr>
        <w:t>Indeed, this approach has been </w:t>
      </w:r>
      <w:r>
        <w:rPr>
          <w:rFonts w:ascii="Lucida Sans Unicode" w:hAnsi="Lucida Sans Unicode"/>
          <w:w w:val="110"/>
        </w:rPr>
        <w:t>confirmed</w:t>
      </w:r>
      <w:r>
        <w:rPr>
          <w:rFonts w:ascii="Lucida Sans Unicode" w:hAnsi="Lucida Sans Unicode"/>
          <w:spacing w:val="-21"/>
          <w:w w:val="110"/>
        </w:rPr>
        <w:t> </w:t>
      </w:r>
      <w:r>
        <w:rPr>
          <w:rFonts w:ascii="Lucida Sans Unicode" w:hAnsi="Lucida Sans Unicode"/>
          <w:w w:val="110"/>
        </w:rPr>
        <w:t>by</w:t>
      </w:r>
      <w:r>
        <w:rPr>
          <w:rFonts w:ascii="Lucida Sans Unicode" w:hAnsi="Lucida Sans Unicode"/>
          <w:spacing w:val="-21"/>
          <w:w w:val="110"/>
        </w:rPr>
        <w:t> </w:t>
      </w:r>
      <w:r>
        <w:rPr>
          <w:rFonts w:ascii="Lucida Sans Unicode" w:hAnsi="Lucida Sans Unicode"/>
          <w:w w:val="110"/>
        </w:rPr>
        <w:t>the</w:t>
      </w:r>
      <w:r>
        <w:rPr>
          <w:rFonts w:ascii="Lucida Sans Unicode" w:hAnsi="Lucida Sans Unicode"/>
          <w:spacing w:val="-21"/>
          <w:w w:val="110"/>
        </w:rPr>
        <w:t> </w:t>
      </w:r>
      <w:r>
        <w:rPr>
          <w:rFonts w:ascii="Lucida Sans Unicode" w:hAnsi="Lucida Sans Unicode"/>
          <w:w w:val="110"/>
        </w:rPr>
        <w:t>judgment</w:t>
      </w:r>
      <w:r>
        <w:rPr>
          <w:rFonts w:ascii="Lucida Sans Unicode" w:hAnsi="Lucida Sans Unicode"/>
          <w:spacing w:val="-21"/>
          <w:w w:val="110"/>
        </w:rPr>
        <w:t> </w:t>
      </w:r>
      <w:r>
        <w:rPr>
          <w:rFonts w:ascii="Lucida Sans Unicode" w:hAnsi="Lucida Sans Unicode"/>
          <w:w w:val="110"/>
        </w:rPr>
        <w:t>of </w:t>
      </w:r>
      <w:r>
        <w:rPr>
          <w:w w:val="110"/>
        </w:rPr>
        <w:t>the Court of Appeal of England and</w:t>
      </w:r>
      <w:r>
        <w:rPr>
          <w:spacing w:val="-9"/>
          <w:w w:val="110"/>
        </w:rPr>
        <w:t> </w:t>
      </w:r>
      <w:r>
        <w:rPr>
          <w:w w:val="110"/>
        </w:rPr>
        <w:t>Wales</w:t>
      </w:r>
      <w:r>
        <w:rPr>
          <w:spacing w:val="-9"/>
          <w:w w:val="110"/>
        </w:rPr>
        <w:t> </w:t>
      </w:r>
      <w:r>
        <w:rPr>
          <w:w w:val="110"/>
        </w:rPr>
        <w:t>in</w:t>
      </w:r>
      <w:r>
        <w:rPr>
          <w:spacing w:val="-9"/>
          <w:w w:val="110"/>
        </w:rPr>
        <w:t> </w:t>
      </w:r>
      <w:r>
        <w:rPr>
          <w:rFonts w:ascii="Verdana" w:hAnsi="Verdana"/>
          <w:i/>
          <w:w w:val="110"/>
        </w:rPr>
        <w:t>AT</w:t>
      </w:r>
      <w:r>
        <w:rPr>
          <w:w w:val="110"/>
        </w:rPr>
        <w:t>.</w:t>
      </w:r>
      <w:r>
        <w:rPr>
          <w:spacing w:val="-9"/>
          <w:w w:val="110"/>
        </w:rPr>
        <w:t> </w:t>
      </w:r>
      <w:r>
        <w:rPr>
          <w:w w:val="110"/>
        </w:rPr>
        <w:t>In</w:t>
      </w:r>
      <w:r>
        <w:rPr>
          <w:spacing w:val="-9"/>
          <w:w w:val="110"/>
        </w:rPr>
        <w:t> </w:t>
      </w:r>
      <w:r>
        <w:rPr>
          <w:w w:val="110"/>
        </w:rPr>
        <w:t>that</w:t>
      </w:r>
      <w:r>
        <w:rPr>
          <w:spacing w:val="-9"/>
          <w:w w:val="110"/>
        </w:rPr>
        <w:t> </w:t>
      </w:r>
      <w:r>
        <w:rPr>
          <w:w w:val="110"/>
        </w:rPr>
        <w:t>case,</w:t>
      </w:r>
      <w:r>
        <w:rPr>
          <w:spacing w:val="-9"/>
          <w:w w:val="110"/>
        </w:rPr>
        <w:t> </w:t>
      </w:r>
      <w:r>
        <w:rPr>
          <w:w w:val="110"/>
        </w:rPr>
        <w:t>the court relied on the CJEU’s post-</w:t>
      </w:r>
    </w:p>
    <w:p>
      <w:pPr>
        <w:pStyle w:val="BodyText"/>
        <w:spacing w:line="254" w:lineRule="auto"/>
        <w:ind w:right="298"/>
        <w:rPr>
          <w:rFonts w:ascii="Lucida Sans Unicode"/>
        </w:rPr>
      </w:pPr>
      <w:r>
        <w:rPr>
          <w:w w:val="110"/>
        </w:rPr>
        <w:t>implementation period ruling in </w:t>
      </w:r>
      <w:r>
        <w:rPr>
          <w:rFonts w:ascii="Verdana"/>
          <w:i/>
          <w:w w:val="110"/>
        </w:rPr>
        <w:t>CG</w:t>
      </w:r>
      <w:r>
        <w:rPr>
          <w:w w:val="110"/>
        </w:rPr>
        <w:t>, which established an obligation for </w:t>
      </w:r>
      <w:r>
        <w:rPr>
          <w:rFonts w:ascii="Lucida Sans Unicode"/>
        </w:rPr>
        <w:t>Member</w:t>
      </w:r>
      <w:r>
        <w:rPr>
          <w:rFonts w:ascii="Lucida Sans Unicode"/>
          <w:spacing w:val="21"/>
        </w:rPr>
        <w:t> </w:t>
      </w:r>
      <w:r>
        <w:rPr>
          <w:rFonts w:ascii="Lucida Sans Unicode"/>
        </w:rPr>
        <w:t>States</w:t>
      </w:r>
      <w:r>
        <w:rPr>
          <w:rFonts w:ascii="Lucida Sans Unicode"/>
          <w:spacing w:val="22"/>
        </w:rPr>
        <w:t> </w:t>
      </w:r>
      <w:r>
        <w:rPr>
          <w:rFonts w:ascii="Lucida Sans Unicode"/>
        </w:rPr>
        <w:t>to</w:t>
      </w:r>
      <w:r>
        <w:rPr>
          <w:rFonts w:ascii="Lucida Sans Unicode"/>
          <w:spacing w:val="21"/>
        </w:rPr>
        <w:t> </w:t>
      </w:r>
      <w:r>
        <w:rPr>
          <w:rFonts w:ascii="Lucida Sans Unicode"/>
        </w:rPr>
        <w:t>provide</w:t>
      </w:r>
      <w:r>
        <w:rPr>
          <w:rFonts w:ascii="Lucida Sans Unicode"/>
          <w:spacing w:val="22"/>
        </w:rPr>
        <w:t> </w:t>
      </w:r>
      <w:r>
        <w:rPr>
          <w:rFonts w:ascii="Lucida Sans Unicode"/>
          <w:spacing w:val="-2"/>
        </w:rPr>
        <w:t>minimum</w:t>
      </w:r>
    </w:p>
    <w:p>
      <w:pPr>
        <w:pStyle w:val="BodyText"/>
        <w:spacing w:line="286" w:lineRule="exact"/>
        <w:rPr>
          <w:rFonts w:ascii="Lucida Sans Unicode"/>
        </w:rPr>
      </w:pPr>
      <w:r>
        <w:rPr>
          <w:rFonts w:ascii="Lucida Sans Unicode"/>
          <w:spacing w:val="-2"/>
          <w:w w:val="105"/>
        </w:rPr>
        <w:t>subsistence</w:t>
      </w:r>
      <w:r>
        <w:rPr>
          <w:rFonts w:ascii="Lucida Sans Unicode"/>
          <w:spacing w:val="-11"/>
          <w:w w:val="105"/>
        </w:rPr>
        <w:t> </w:t>
      </w:r>
      <w:r>
        <w:rPr>
          <w:rFonts w:ascii="Lucida Sans Unicode"/>
          <w:spacing w:val="-2"/>
          <w:w w:val="105"/>
        </w:rPr>
        <w:t>benefits</w:t>
      </w:r>
      <w:r>
        <w:rPr>
          <w:rFonts w:ascii="Lucida Sans Unicode"/>
          <w:spacing w:val="-11"/>
          <w:w w:val="105"/>
        </w:rPr>
        <w:t> </w:t>
      </w:r>
      <w:r>
        <w:rPr>
          <w:rFonts w:ascii="Lucida Sans Unicode"/>
          <w:spacing w:val="-2"/>
          <w:w w:val="105"/>
        </w:rPr>
        <w:t>to</w:t>
      </w:r>
      <w:r>
        <w:rPr>
          <w:rFonts w:ascii="Lucida Sans Unicode"/>
          <w:spacing w:val="-11"/>
          <w:w w:val="105"/>
        </w:rPr>
        <w:t> </w:t>
      </w:r>
      <w:r>
        <w:rPr>
          <w:rFonts w:ascii="Lucida Sans Unicode"/>
          <w:spacing w:val="-2"/>
          <w:w w:val="105"/>
        </w:rPr>
        <w:t>EU</w:t>
      </w:r>
      <w:r>
        <w:rPr>
          <w:rFonts w:ascii="Lucida Sans Unicode"/>
          <w:spacing w:val="-11"/>
          <w:w w:val="105"/>
        </w:rPr>
        <w:t> </w:t>
      </w:r>
      <w:r>
        <w:rPr>
          <w:rFonts w:ascii="Lucida Sans Unicode"/>
          <w:spacing w:val="-2"/>
          <w:w w:val="105"/>
        </w:rPr>
        <w:t>citizens</w:t>
      </w:r>
    </w:p>
    <w:p>
      <w:pPr>
        <w:pStyle w:val="BodyText"/>
        <w:spacing w:line="261" w:lineRule="auto"/>
        <w:ind w:right="80"/>
      </w:pPr>
      <w:r>
        <w:rPr>
          <w:w w:val="115"/>
        </w:rPr>
        <w:t>lawfully residing in their territory, where</w:t>
      </w:r>
      <w:r>
        <w:rPr>
          <w:spacing w:val="-19"/>
          <w:w w:val="115"/>
        </w:rPr>
        <w:t> </w:t>
      </w:r>
      <w:r>
        <w:rPr>
          <w:w w:val="115"/>
        </w:rPr>
        <w:t>refusal</w:t>
      </w:r>
      <w:r>
        <w:rPr>
          <w:spacing w:val="-19"/>
          <w:w w:val="115"/>
        </w:rPr>
        <w:t> </w:t>
      </w:r>
      <w:r>
        <w:rPr>
          <w:w w:val="115"/>
        </w:rPr>
        <w:t>to</w:t>
      </w:r>
      <w:r>
        <w:rPr>
          <w:spacing w:val="-19"/>
          <w:w w:val="115"/>
        </w:rPr>
        <w:t> </w:t>
      </w:r>
      <w:r>
        <w:rPr>
          <w:w w:val="115"/>
        </w:rPr>
        <w:t>do</w:t>
      </w:r>
      <w:r>
        <w:rPr>
          <w:spacing w:val="-19"/>
          <w:w w:val="115"/>
        </w:rPr>
        <w:t> </w:t>
      </w:r>
      <w:r>
        <w:rPr>
          <w:w w:val="115"/>
        </w:rPr>
        <w:t>so</w:t>
      </w:r>
      <w:r>
        <w:rPr>
          <w:spacing w:val="-19"/>
          <w:w w:val="115"/>
        </w:rPr>
        <w:t> </w:t>
      </w:r>
      <w:r>
        <w:rPr>
          <w:w w:val="115"/>
        </w:rPr>
        <w:t>would</w:t>
      </w:r>
      <w:r>
        <w:rPr>
          <w:spacing w:val="-19"/>
          <w:w w:val="115"/>
        </w:rPr>
        <w:t> </w:t>
      </w:r>
      <w:r>
        <w:rPr>
          <w:w w:val="115"/>
        </w:rPr>
        <w:t>result</w:t>
      </w:r>
      <w:r>
        <w:rPr>
          <w:spacing w:val="-19"/>
          <w:w w:val="115"/>
        </w:rPr>
        <w:t> </w:t>
      </w:r>
      <w:r>
        <w:rPr>
          <w:w w:val="115"/>
        </w:rPr>
        <w:t>in a violation of Article </w:t>
      </w:r>
      <w:r>
        <w:rPr/>
        <w:t>1 </w:t>
      </w:r>
      <w:r>
        <w:rPr>
          <w:w w:val="115"/>
        </w:rPr>
        <w:t>CFR (the right </w:t>
      </w:r>
      <w:r>
        <w:rPr>
          <w:spacing w:val="-2"/>
          <w:w w:val="115"/>
        </w:rPr>
        <w:t>to</w:t>
      </w:r>
      <w:r>
        <w:rPr>
          <w:spacing w:val="-16"/>
          <w:w w:val="115"/>
        </w:rPr>
        <w:t> </w:t>
      </w:r>
      <w:r>
        <w:rPr>
          <w:spacing w:val="-2"/>
          <w:w w:val="115"/>
        </w:rPr>
        <w:t>human</w:t>
      </w:r>
      <w:r>
        <w:rPr>
          <w:spacing w:val="-13"/>
          <w:w w:val="115"/>
        </w:rPr>
        <w:t> </w:t>
      </w:r>
      <w:r>
        <w:rPr>
          <w:spacing w:val="-2"/>
          <w:w w:val="115"/>
        </w:rPr>
        <w:t>dignity).</w:t>
      </w:r>
      <w:r>
        <w:rPr>
          <w:rFonts w:ascii="Lucida Sans Unicode"/>
          <w:spacing w:val="-2"/>
          <w:w w:val="115"/>
          <w:vertAlign w:val="superscript"/>
        </w:rPr>
        <w:t>198</w:t>
      </w:r>
      <w:r>
        <w:rPr>
          <w:rFonts w:ascii="Lucida Sans Unicode"/>
          <w:spacing w:val="-20"/>
          <w:w w:val="115"/>
          <w:vertAlign w:val="baseline"/>
        </w:rPr>
        <w:t> </w:t>
      </w:r>
      <w:r>
        <w:rPr>
          <w:spacing w:val="-2"/>
          <w:w w:val="115"/>
          <w:vertAlign w:val="baseline"/>
        </w:rPr>
        <w:t>The</w:t>
      </w:r>
      <w:r>
        <w:rPr>
          <w:spacing w:val="-13"/>
          <w:w w:val="115"/>
          <w:vertAlign w:val="baseline"/>
        </w:rPr>
        <w:t> </w:t>
      </w:r>
      <w:r>
        <w:rPr>
          <w:spacing w:val="-2"/>
          <w:w w:val="115"/>
          <w:vertAlign w:val="baseline"/>
        </w:rPr>
        <w:t>court</w:t>
      </w:r>
      <w:r>
        <w:rPr>
          <w:spacing w:val="-13"/>
          <w:w w:val="115"/>
          <w:vertAlign w:val="baseline"/>
        </w:rPr>
        <w:t> </w:t>
      </w:r>
      <w:r>
        <w:rPr>
          <w:spacing w:val="-2"/>
          <w:w w:val="115"/>
          <w:vertAlign w:val="baseline"/>
        </w:rPr>
        <w:t>found</w:t>
      </w:r>
    </w:p>
    <w:p>
      <w:pPr>
        <w:pStyle w:val="BodyText"/>
        <w:spacing w:line="226" w:lineRule="exact"/>
      </w:pPr>
      <w:r>
        <w:rPr>
          <w:w w:val="115"/>
        </w:rPr>
        <w:t>that</w:t>
      </w:r>
      <w:r>
        <w:rPr>
          <w:spacing w:val="-15"/>
          <w:w w:val="115"/>
        </w:rPr>
        <w:t> </w:t>
      </w:r>
      <w:r>
        <w:rPr>
          <w:w w:val="115"/>
        </w:rPr>
        <w:t>this</w:t>
      </w:r>
      <w:r>
        <w:rPr>
          <w:spacing w:val="-15"/>
          <w:w w:val="115"/>
        </w:rPr>
        <w:t> </w:t>
      </w:r>
      <w:r>
        <w:rPr>
          <w:w w:val="115"/>
        </w:rPr>
        <w:t>ruling</w:t>
      </w:r>
      <w:r>
        <w:rPr>
          <w:spacing w:val="-15"/>
          <w:w w:val="115"/>
        </w:rPr>
        <w:t> </w:t>
      </w:r>
      <w:r>
        <w:rPr>
          <w:w w:val="115"/>
        </w:rPr>
        <w:t>was</w:t>
      </w:r>
      <w:r>
        <w:rPr>
          <w:spacing w:val="-14"/>
          <w:w w:val="115"/>
        </w:rPr>
        <w:t> </w:t>
      </w:r>
      <w:r>
        <w:rPr>
          <w:w w:val="115"/>
        </w:rPr>
        <w:t>relevant</w:t>
      </w:r>
      <w:r>
        <w:rPr>
          <w:spacing w:val="-15"/>
          <w:w w:val="115"/>
        </w:rPr>
        <w:t> </w:t>
      </w:r>
      <w:r>
        <w:rPr>
          <w:w w:val="115"/>
        </w:rPr>
        <w:t>in</w:t>
      </w:r>
      <w:r>
        <w:rPr>
          <w:spacing w:val="-15"/>
          <w:w w:val="115"/>
        </w:rPr>
        <w:t> </w:t>
      </w:r>
      <w:r>
        <w:rPr>
          <w:spacing w:val="-5"/>
          <w:w w:val="115"/>
        </w:rPr>
        <w:t>the</w:t>
      </w:r>
    </w:p>
    <w:p>
      <w:pPr>
        <w:pStyle w:val="BodyText"/>
        <w:spacing w:line="232" w:lineRule="auto" w:before="31"/>
        <w:ind w:right="403"/>
      </w:pPr>
      <w:r>
        <w:rPr>
          <w:w w:val="110"/>
        </w:rPr>
        <w:t>interpretation of obligations </w:t>
      </w:r>
      <w:r>
        <w:rPr>
          <w:w w:val="110"/>
        </w:rPr>
        <w:t>arising </w:t>
      </w:r>
      <w:r>
        <w:rPr>
          <w:rFonts w:ascii="Lucida Sans Unicode"/>
          <w:w w:val="110"/>
        </w:rPr>
        <w:t>for</w:t>
      </w:r>
      <w:r>
        <w:rPr>
          <w:rFonts w:ascii="Lucida Sans Unicode"/>
          <w:spacing w:val="-18"/>
          <w:w w:val="110"/>
        </w:rPr>
        <w:t> </w:t>
      </w:r>
      <w:r>
        <w:rPr>
          <w:rFonts w:ascii="Lucida Sans Unicode"/>
          <w:w w:val="110"/>
        </w:rPr>
        <w:t>the</w:t>
      </w:r>
      <w:r>
        <w:rPr>
          <w:rFonts w:ascii="Lucida Sans Unicode"/>
          <w:spacing w:val="-18"/>
          <w:w w:val="110"/>
        </w:rPr>
        <w:t> </w:t>
      </w:r>
      <w:r>
        <w:rPr>
          <w:rFonts w:ascii="Lucida Sans Unicode"/>
          <w:w w:val="110"/>
        </w:rPr>
        <w:t>UK</w:t>
      </w:r>
      <w:r>
        <w:rPr>
          <w:rFonts w:ascii="Lucida Sans Unicode"/>
          <w:spacing w:val="-18"/>
          <w:w w:val="110"/>
        </w:rPr>
        <w:t> </w:t>
      </w:r>
      <w:r>
        <w:rPr>
          <w:rFonts w:ascii="Lucida Sans Unicode"/>
          <w:w w:val="110"/>
        </w:rPr>
        <w:t>as</w:t>
      </w:r>
      <w:r>
        <w:rPr>
          <w:rFonts w:ascii="Lucida Sans Unicode"/>
          <w:spacing w:val="-18"/>
          <w:w w:val="110"/>
        </w:rPr>
        <w:t> </w:t>
      </w:r>
      <w:r>
        <w:rPr>
          <w:rFonts w:ascii="Lucida Sans Unicode"/>
          <w:w w:val="110"/>
        </w:rPr>
        <w:t>a</w:t>
      </w:r>
      <w:r>
        <w:rPr>
          <w:rFonts w:ascii="Lucida Sans Unicode"/>
          <w:spacing w:val="-18"/>
          <w:w w:val="110"/>
        </w:rPr>
        <w:t> </w:t>
      </w:r>
      <w:r>
        <w:rPr>
          <w:rFonts w:ascii="Lucida Sans Unicode"/>
          <w:w w:val="110"/>
        </w:rPr>
        <w:t>result</w:t>
      </w:r>
      <w:r>
        <w:rPr>
          <w:rFonts w:ascii="Lucida Sans Unicode"/>
          <w:spacing w:val="-18"/>
          <w:w w:val="110"/>
        </w:rPr>
        <w:t> </w:t>
      </w:r>
      <w:r>
        <w:rPr>
          <w:rFonts w:ascii="Lucida Sans Unicode"/>
          <w:w w:val="110"/>
        </w:rPr>
        <w:t>of</w:t>
      </w:r>
      <w:r>
        <w:rPr>
          <w:rFonts w:ascii="Lucida Sans Unicode"/>
          <w:spacing w:val="-18"/>
          <w:w w:val="110"/>
        </w:rPr>
        <w:t> </w:t>
      </w:r>
      <w:r>
        <w:rPr>
          <w:rFonts w:ascii="Lucida Sans Unicode"/>
          <w:w w:val="110"/>
        </w:rPr>
        <w:t>Article</w:t>
      </w:r>
      <w:r>
        <w:rPr>
          <w:rFonts w:ascii="Lucida Sans Unicode"/>
          <w:spacing w:val="-18"/>
          <w:w w:val="110"/>
        </w:rPr>
        <w:t> </w:t>
      </w:r>
      <w:r>
        <w:rPr>
          <w:rFonts w:ascii="Lucida Sans Unicode"/>
          <w:w w:val="110"/>
        </w:rPr>
        <w:t>4 </w:t>
      </w:r>
      <w:r>
        <w:rPr>
          <w:w w:val="110"/>
        </w:rPr>
        <w:t>of the Withdrawal Agreement.</w:t>
      </w:r>
      <w:r>
        <w:rPr>
          <w:w w:val="110"/>
          <w:vertAlign w:val="superscript"/>
        </w:rPr>
        <w:t>199</w:t>
      </w:r>
    </w:p>
    <w:p>
      <w:pPr>
        <w:pStyle w:val="BodyText"/>
        <w:spacing w:line="232" w:lineRule="auto" w:before="47"/>
        <w:ind w:right="48"/>
      </w:pPr>
      <w:r>
        <w:rPr>
          <w:w w:val="110"/>
        </w:rPr>
        <w:t>It therefore accepted a lower court’s </w:t>
      </w:r>
      <w:r>
        <w:rPr>
          <w:rFonts w:ascii="Lucida Sans Unicode" w:hAnsi="Lucida Sans Unicode"/>
        </w:rPr>
        <w:t>finding that an EU citizen with pre- </w:t>
      </w:r>
      <w:r>
        <w:rPr>
          <w:w w:val="110"/>
        </w:rPr>
        <w:t>settled status (thus coming within</w:t>
      </w:r>
    </w:p>
    <w:p>
      <w:pPr>
        <w:pStyle w:val="BodyText"/>
        <w:spacing w:line="278" w:lineRule="auto" w:before="72"/>
        <w:ind w:right="358"/>
      </w:pPr>
      <w:r>
        <w:rPr/>
        <w:br w:type="column"/>
      </w:r>
      <w:r>
        <w:rPr>
          <w:w w:val="115"/>
        </w:rPr>
        <w:t>the scope of the WA) was entitled to Universal Credit when she and her</w:t>
      </w:r>
      <w:r>
        <w:rPr>
          <w:spacing w:val="-15"/>
          <w:w w:val="115"/>
        </w:rPr>
        <w:t> </w:t>
      </w:r>
      <w:r>
        <w:rPr>
          <w:w w:val="115"/>
        </w:rPr>
        <w:t>child</w:t>
      </w:r>
      <w:r>
        <w:rPr>
          <w:spacing w:val="-15"/>
          <w:w w:val="115"/>
        </w:rPr>
        <w:t> </w:t>
      </w:r>
      <w:r>
        <w:rPr>
          <w:w w:val="115"/>
        </w:rPr>
        <w:t>became</w:t>
      </w:r>
      <w:r>
        <w:rPr>
          <w:spacing w:val="-15"/>
          <w:w w:val="115"/>
        </w:rPr>
        <w:t> </w:t>
      </w:r>
      <w:r>
        <w:rPr>
          <w:w w:val="115"/>
        </w:rPr>
        <w:t>destitute</w:t>
      </w:r>
      <w:r>
        <w:rPr>
          <w:spacing w:val="-15"/>
          <w:w w:val="115"/>
        </w:rPr>
        <w:t> </w:t>
      </w:r>
      <w:r>
        <w:rPr>
          <w:w w:val="115"/>
        </w:rPr>
        <w:t>following an incident of domestic violence.</w:t>
      </w:r>
    </w:p>
    <w:p>
      <w:pPr>
        <w:pStyle w:val="BodyText"/>
        <w:spacing w:before="3"/>
        <w:ind w:right="435"/>
        <w:jc w:val="both"/>
      </w:pPr>
      <w:r>
        <w:rPr>
          <w:w w:val="110"/>
        </w:rPr>
        <w:t>Given that the court’s </w:t>
      </w:r>
      <w:r>
        <w:rPr>
          <w:w w:val="110"/>
        </w:rPr>
        <w:t>interpretation </w:t>
      </w:r>
      <w:r>
        <w:rPr>
          <w:rFonts w:ascii="Lucida Sans Unicode" w:hAnsi="Lucida Sans Unicode"/>
        </w:rPr>
        <w:t>concerned Article 4 WA altogether, </w:t>
      </w:r>
      <w:r>
        <w:rPr>
          <w:w w:val="110"/>
        </w:rPr>
        <w:t>there is no reason to expect case</w:t>
      </w:r>
    </w:p>
    <w:p>
      <w:pPr>
        <w:pStyle w:val="BodyText"/>
        <w:spacing w:line="261" w:lineRule="auto" w:before="41"/>
        <w:ind w:right="317"/>
        <w:rPr>
          <w:rFonts w:ascii="Lucida Sans Unicode"/>
        </w:rPr>
      </w:pPr>
      <w:r>
        <w:rPr>
          <w:w w:val="115"/>
        </w:rPr>
        <w:t>law pertaining to any aspect of the Windsor Framework to be treated </w:t>
      </w:r>
      <w:r>
        <w:rPr>
          <w:w w:val="110"/>
        </w:rPr>
        <w:t>differently</w:t>
      </w:r>
      <w:r>
        <w:rPr>
          <w:spacing w:val="-7"/>
          <w:w w:val="110"/>
        </w:rPr>
        <w:t> </w:t>
      </w:r>
      <w:r>
        <w:rPr>
          <w:w w:val="110"/>
        </w:rPr>
        <w:t>as</w:t>
      </w:r>
      <w:r>
        <w:rPr>
          <w:spacing w:val="-7"/>
          <w:w w:val="110"/>
        </w:rPr>
        <w:t> </w:t>
      </w:r>
      <w:r>
        <w:rPr>
          <w:w w:val="110"/>
        </w:rPr>
        <w:t>a</w:t>
      </w:r>
      <w:r>
        <w:rPr>
          <w:spacing w:val="-7"/>
          <w:w w:val="110"/>
        </w:rPr>
        <w:t> </w:t>
      </w:r>
      <w:r>
        <w:rPr>
          <w:w w:val="110"/>
        </w:rPr>
        <w:t>minimum</w:t>
      </w:r>
      <w:r>
        <w:rPr>
          <w:spacing w:val="-7"/>
          <w:w w:val="110"/>
        </w:rPr>
        <w:t> </w:t>
      </w:r>
      <w:r>
        <w:rPr>
          <w:w w:val="110"/>
        </w:rPr>
        <w:t>baseline.</w:t>
      </w:r>
      <w:r>
        <w:rPr>
          <w:rFonts w:ascii="Lucida Sans Unicode"/>
          <w:w w:val="110"/>
          <w:vertAlign w:val="superscript"/>
        </w:rPr>
        <w:t>200</w:t>
      </w:r>
    </w:p>
    <w:p>
      <w:pPr>
        <w:pStyle w:val="Heading3"/>
        <w:numPr>
          <w:ilvl w:val="0"/>
          <w:numId w:val="11"/>
        </w:numPr>
        <w:tabs>
          <w:tab w:pos="680" w:val="left" w:leader="none"/>
        </w:tabs>
        <w:spacing w:line="259" w:lineRule="auto" w:before="254" w:after="0"/>
        <w:ind w:left="680" w:right="630" w:hanging="567"/>
        <w:jc w:val="left"/>
      </w:pPr>
      <w:r>
        <w:rPr>
          <w:color w:val="77328A"/>
        </w:rPr>
        <w:t>Applicability of the Charter under Article </w:t>
      </w:r>
      <w:r>
        <w:rPr>
          <w:color w:val="77328A"/>
        </w:rPr>
        <w:t>2 Windsor Framework</w:t>
      </w:r>
    </w:p>
    <w:p>
      <w:pPr>
        <w:pStyle w:val="BodyText"/>
        <w:spacing w:line="320" w:lineRule="exact" w:before="143"/>
        <w:ind w:right="533"/>
      </w:pPr>
      <w:r>
        <w:rPr>
          <w:w w:val="110"/>
        </w:rPr>
        <w:t>As noted in the previous chapter, the non-diminution provision </w:t>
      </w:r>
      <w:r>
        <w:rPr>
          <w:rFonts w:ascii="Lucida Sans Unicode" w:hAnsi="Lucida Sans Unicode"/>
          <w:w w:val="110"/>
        </w:rPr>
        <w:t>contained</w:t>
      </w:r>
      <w:r>
        <w:rPr>
          <w:rFonts w:ascii="Lucida Sans Unicode" w:hAnsi="Lucida Sans Unicode"/>
          <w:spacing w:val="-19"/>
          <w:w w:val="110"/>
        </w:rPr>
        <w:t> </w:t>
      </w:r>
      <w:r>
        <w:rPr>
          <w:rFonts w:ascii="Lucida Sans Unicode" w:hAnsi="Lucida Sans Unicode"/>
          <w:w w:val="110"/>
        </w:rPr>
        <w:t>in</w:t>
      </w:r>
      <w:r>
        <w:rPr>
          <w:rFonts w:ascii="Lucida Sans Unicode" w:hAnsi="Lucida Sans Unicode"/>
          <w:spacing w:val="-19"/>
          <w:w w:val="110"/>
        </w:rPr>
        <w:t> </w:t>
      </w:r>
      <w:r>
        <w:rPr>
          <w:rFonts w:ascii="Lucida Sans Unicode" w:hAnsi="Lucida Sans Unicode"/>
          <w:w w:val="110"/>
        </w:rPr>
        <w:t>Article</w:t>
      </w:r>
      <w:r>
        <w:rPr>
          <w:rFonts w:ascii="Lucida Sans Unicode" w:hAnsi="Lucida Sans Unicode"/>
          <w:spacing w:val="-19"/>
          <w:w w:val="110"/>
        </w:rPr>
        <w:t> </w:t>
      </w:r>
      <w:r>
        <w:rPr>
          <w:rFonts w:ascii="Lucida Sans Unicode" w:hAnsi="Lucida Sans Unicode"/>
          <w:w w:val="110"/>
        </w:rPr>
        <w:t>2</w:t>
      </w:r>
      <w:r>
        <w:rPr>
          <w:rFonts w:ascii="Lucida Sans Unicode" w:hAnsi="Lucida Sans Unicode"/>
          <w:spacing w:val="-19"/>
          <w:w w:val="110"/>
        </w:rPr>
        <w:t> </w:t>
      </w:r>
      <w:r>
        <w:rPr>
          <w:rFonts w:ascii="Lucida Sans Unicode" w:hAnsi="Lucida Sans Unicode"/>
          <w:w w:val="110"/>
        </w:rPr>
        <w:t>(1)</w:t>
      </w:r>
      <w:r>
        <w:rPr>
          <w:rFonts w:ascii="Lucida Sans Unicode" w:hAnsi="Lucida Sans Unicode"/>
          <w:spacing w:val="-19"/>
          <w:w w:val="110"/>
        </w:rPr>
        <w:t> </w:t>
      </w:r>
      <w:r>
        <w:rPr>
          <w:rFonts w:ascii="Lucida Sans Unicode" w:hAnsi="Lucida Sans Unicode"/>
          <w:w w:val="110"/>
        </w:rPr>
        <w:t>WF</w:t>
      </w:r>
      <w:r>
        <w:rPr>
          <w:rFonts w:ascii="Lucida Sans Unicode" w:hAnsi="Lucida Sans Unicode"/>
          <w:spacing w:val="-19"/>
          <w:w w:val="110"/>
        </w:rPr>
        <w:t> </w:t>
      </w:r>
      <w:r>
        <w:rPr>
          <w:rFonts w:ascii="Lucida Sans Unicode" w:hAnsi="Lucida Sans Unicode"/>
          <w:w w:val="110"/>
        </w:rPr>
        <w:t>may </w:t>
      </w:r>
      <w:r>
        <w:rPr>
          <w:w w:val="110"/>
        </w:rPr>
        <w:t>also result in the Charter being applicable in the Northern Ireland legal order. Considering that the Charter was applicable in </w:t>
      </w:r>
      <w:r>
        <w:rPr>
          <w:w w:val="110"/>
        </w:rPr>
        <w:t>Northern Ireland before the UK’s withdrawal from the EU in cases where</w:t>
      </w:r>
    </w:p>
    <w:p>
      <w:pPr>
        <w:pStyle w:val="BodyText"/>
        <w:spacing w:line="320" w:lineRule="exact" w:before="7"/>
        <w:ind w:right="440"/>
      </w:pPr>
      <w:r>
        <w:rPr>
          <w:w w:val="110"/>
        </w:rPr>
        <w:t>the public body at issue (UK or Northern</w:t>
      </w:r>
      <w:r>
        <w:rPr>
          <w:spacing w:val="40"/>
          <w:w w:val="110"/>
        </w:rPr>
        <w:t> </w:t>
      </w:r>
      <w:r>
        <w:rPr>
          <w:w w:val="110"/>
        </w:rPr>
        <w:t>Ireland)</w:t>
      </w:r>
      <w:r>
        <w:rPr>
          <w:spacing w:val="40"/>
          <w:w w:val="110"/>
        </w:rPr>
        <w:t> </w:t>
      </w:r>
      <w:r>
        <w:rPr>
          <w:w w:val="110"/>
        </w:rPr>
        <w:t>was</w:t>
      </w:r>
      <w:r>
        <w:rPr>
          <w:spacing w:val="40"/>
          <w:w w:val="110"/>
        </w:rPr>
        <w:t> </w:t>
      </w:r>
      <w:r>
        <w:rPr>
          <w:w w:val="110"/>
        </w:rPr>
        <w:t>deemed</w:t>
      </w:r>
      <w:r>
        <w:rPr>
          <w:spacing w:val="40"/>
          <w:w w:val="110"/>
        </w:rPr>
        <w:t> </w:t>
      </w:r>
      <w:r>
        <w:rPr>
          <w:w w:val="110"/>
        </w:rPr>
        <w:t>to be ‘implementing Union law’, on a </w:t>
      </w:r>
      <w:r>
        <w:rPr>
          <w:rFonts w:ascii="Lucida Sans Unicode" w:hAnsi="Lucida Sans Unicode"/>
        </w:rPr>
        <w:t>plain reading of Article 2, the non- </w:t>
      </w:r>
      <w:r>
        <w:rPr>
          <w:w w:val="110"/>
        </w:rPr>
        <w:t>diminution obligation must include rights</w:t>
      </w:r>
      <w:r>
        <w:rPr>
          <w:spacing w:val="40"/>
          <w:w w:val="110"/>
        </w:rPr>
        <w:t> </w:t>
      </w:r>
      <w:r>
        <w:rPr>
          <w:w w:val="110"/>
        </w:rPr>
        <w:t>contained</w:t>
      </w:r>
      <w:r>
        <w:rPr>
          <w:spacing w:val="40"/>
          <w:w w:val="110"/>
        </w:rPr>
        <w:t> </w:t>
      </w:r>
      <w:r>
        <w:rPr>
          <w:w w:val="110"/>
        </w:rPr>
        <w:t>in</w:t>
      </w:r>
      <w:r>
        <w:rPr>
          <w:spacing w:val="40"/>
          <w:w w:val="110"/>
        </w:rPr>
        <w:t> </w:t>
      </w:r>
      <w:r>
        <w:rPr>
          <w:w w:val="110"/>
        </w:rPr>
        <w:t>the</w:t>
      </w:r>
      <w:r>
        <w:rPr>
          <w:spacing w:val="40"/>
          <w:w w:val="110"/>
        </w:rPr>
        <w:t> </w:t>
      </w:r>
      <w:r>
        <w:rPr>
          <w:w w:val="110"/>
        </w:rPr>
        <w:t>Charter</w:t>
      </w:r>
      <w:r>
        <w:rPr>
          <w:spacing w:val="40"/>
          <w:w w:val="110"/>
        </w:rPr>
        <w:t> </w:t>
      </w:r>
      <w:r>
        <w:rPr>
          <w:w w:val="110"/>
        </w:rPr>
        <w:t>in</w:t>
      </w:r>
      <w:r>
        <w:rPr>
          <w:w w:val="110"/>
        </w:rPr>
        <w:t> so far as they would have protected individuals before Brexit and in so</w:t>
      </w:r>
    </w:p>
    <w:p>
      <w:pPr>
        <w:pStyle w:val="BodyText"/>
        <w:spacing w:line="244" w:lineRule="auto" w:before="37"/>
        <w:ind w:right="317"/>
        <w:rPr>
          <w:rFonts w:ascii="Lucida Sans Unicode"/>
        </w:rPr>
      </w:pPr>
      <w:r>
        <w:rPr>
          <w:w w:val="110"/>
        </w:rPr>
        <w:t>far as the additional requirements </w:t>
      </w:r>
      <w:r>
        <w:rPr>
          <w:w w:val="110"/>
        </w:rPr>
        <w:t>of </w:t>
      </w:r>
      <w:r>
        <w:rPr>
          <w:rFonts w:ascii="Lucida Sans Unicode"/>
          <w:w w:val="110"/>
        </w:rPr>
        <w:t>Article</w:t>
      </w:r>
      <w:r>
        <w:rPr>
          <w:rFonts w:ascii="Lucida Sans Unicode"/>
          <w:spacing w:val="-4"/>
          <w:w w:val="110"/>
        </w:rPr>
        <w:t> </w:t>
      </w:r>
      <w:r>
        <w:rPr>
          <w:rFonts w:ascii="Lucida Sans Unicode"/>
          <w:w w:val="110"/>
        </w:rPr>
        <w:t>2</w:t>
      </w:r>
      <w:r>
        <w:rPr>
          <w:rFonts w:ascii="Lucida Sans Unicode"/>
          <w:spacing w:val="-4"/>
          <w:w w:val="110"/>
        </w:rPr>
        <w:t> </w:t>
      </w:r>
      <w:r>
        <w:rPr>
          <w:rFonts w:ascii="Lucida Sans Unicode"/>
          <w:w w:val="110"/>
        </w:rPr>
        <w:t>are</w:t>
      </w:r>
      <w:r>
        <w:rPr>
          <w:rFonts w:ascii="Lucida Sans Unicode"/>
          <w:spacing w:val="-4"/>
          <w:w w:val="110"/>
        </w:rPr>
        <w:t> </w:t>
      </w:r>
      <w:r>
        <w:rPr>
          <w:rFonts w:ascii="Lucida Sans Unicode"/>
          <w:w w:val="110"/>
        </w:rPr>
        <w:t>met.</w:t>
      </w:r>
    </w:p>
    <w:p>
      <w:pPr>
        <w:pStyle w:val="BodyText"/>
        <w:spacing w:line="256" w:lineRule="auto" w:before="284"/>
        <w:ind w:right="533"/>
      </w:pPr>
      <w:r>
        <w:rPr>
          <w:w w:val="110"/>
        </w:rPr>
        <w:t>As established above, the test for </w:t>
      </w:r>
      <w:r>
        <w:rPr>
          <w:rFonts w:ascii="Lucida Sans Unicode" w:hAnsi="Lucida Sans Unicode"/>
        </w:rPr>
        <w:t>the application of Article 2 </w:t>
      </w:r>
      <w:r>
        <w:rPr>
          <w:rFonts w:ascii="Lucida Sans Unicode" w:hAnsi="Lucida Sans Unicode"/>
        </w:rPr>
        <w:t>Windsor </w:t>
      </w:r>
      <w:r>
        <w:rPr>
          <w:w w:val="110"/>
        </w:rPr>
        <w:t>Framework – as spelled out by the Northern Ireland Court of Appeal in </w:t>
      </w:r>
      <w:r>
        <w:rPr>
          <w:rFonts w:ascii="Verdana" w:hAnsi="Verdana"/>
          <w:i/>
          <w:w w:val="110"/>
        </w:rPr>
        <w:t>SPUC</w:t>
      </w:r>
      <w:r>
        <w:rPr>
          <w:rFonts w:ascii="Verdana" w:hAnsi="Verdana"/>
          <w:i/>
          <w:spacing w:val="-1"/>
          <w:w w:val="110"/>
        </w:rPr>
        <w:t> </w:t>
      </w:r>
      <w:r>
        <w:rPr>
          <w:w w:val="110"/>
        </w:rPr>
        <w:t>– is as follows:</w:t>
      </w:r>
    </w:p>
    <w:p>
      <w:pPr>
        <w:spacing w:after="0" w:line="256" w:lineRule="auto"/>
        <w:sectPr>
          <w:type w:val="continuous"/>
          <w:pgSz w:w="11910" w:h="16840"/>
          <w:pgMar w:header="568" w:footer="580" w:top="0" w:bottom="280" w:left="1020" w:right="1020"/>
          <w:cols w:num="2" w:equalWidth="0">
            <w:col w:w="4746" w:space="300"/>
            <w:col w:w="4824"/>
          </w:cols>
        </w:sectPr>
      </w:pPr>
    </w:p>
    <w:p>
      <w:pPr>
        <w:pStyle w:val="BodyText"/>
        <w:spacing w:before="9"/>
        <w:ind w:left="0"/>
        <w:rPr>
          <w:sz w:val="13"/>
        </w:rPr>
      </w:pPr>
    </w:p>
    <w:p>
      <w:pPr>
        <w:pStyle w:val="BodyText"/>
        <w:spacing w:line="20" w:lineRule="exact"/>
        <w:rPr>
          <w:sz w:val="2"/>
        </w:rPr>
      </w:pPr>
      <w:r>
        <w:rPr>
          <w:sz w:val="2"/>
        </w:rPr>
        <mc:AlternateContent>
          <mc:Choice Requires="wps">
            <w:drawing>
              <wp:inline distT="0" distB="0" distL="0" distR="0">
                <wp:extent cx="6120130" cy="6350"/>
                <wp:effectExtent l="9525" t="0" r="0" b="3175"/>
                <wp:docPr id="137" name="Group 137"/>
                <wp:cNvGraphicFramePr>
                  <a:graphicFrameLocks/>
                </wp:cNvGraphicFramePr>
                <a:graphic>
                  <a:graphicData uri="http://schemas.microsoft.com/office/word/2010/wordprocessingGroup">
                    <wpg:wgp>
                      <wpg:cNvPr id="137" name="Group 137"/>
                      <wpg:cNvGrpSpPr/>
                      <wpg:grpSpPr>
                        <a:xfrm>
                          <a:off x="0" y="0"/>
                          <a:ext cx="6120130" cy="6350"/>
                          <a:chExt cx="6120130" cy="6350"/>
                        </a:xfrm>
                      </wpg:grpSpPr>
                      <wps:wsp>
                        <wps:cNvPr id="138" name="Graphic 138"/>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87"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6"/>
        </w:numPr>
        <w:tabs>
          <w:tab w:pos="567" w:val="left" w:leader="none"/>
        </w:tabs>
        <w:spacing w:line="223" w:lineRule="exact" w:before="61" w:after="0"/>
        <w:ind w:left="567" w:right="0" w:hanging="454"/>
        <w:jc w:val="left"/>
        <w:rPr>
          <w:rFonts w:ascii="Arial"/>
          <w:sz w:val="16"/>
        </w:rPr>
      </w:pPr>
      <w:r>
        <w:rPr>
          <w:sz w:val="16"/>
        </w:rPr>
        <w:t>See</w:t>
      </w:r>
      <w:r>
        <w:rPr>
          <w:spacing w:val="8"/>
          <w:sz w:val="16"/>
        </w:rPr>
        <w:t> </w:t>
      </w:r>
      <w:r>
        <w:rPr>
          <w:sz w:val="16"/>
        </w:rPr>
        <w:t>Chapter</w:t>
      </w:r>
      <w:r>
        <w:rPr>
          <w:spacing w:val="8"/>
          <w:sz w:val="16"/>
        </w:rPr>
        <w:t> </w:t>
      </w:r>
      <w:r>
        <w:rPr>
          <w:sz w:val="16"/>
        </w:rPr>
        <w:t>5</w:t>
      </w:r>
      <w:r>
        <w:rPr>
          <w:spacing w:val="9"/>
          <w:sz w:val="16"/>
        </w:rPr>
        <w:t> </w:t>
      </w:r>
      <w:r>
        <w:rPr>
          <w:sz w:val="16"/>
        </w:rPr>
        <w:t>for</w:t>
      </w:r>
      <w:r>
        <w:rPr>
          <w:spacing w:val="8"/>
          <w:sz w:val="16"/>
        </w:rPr>
        <w:t> </w:t>
      </w:r>
      <w:r>
        <w:rPr>
          <w:sz w:val="16"/>
        </w:rPr>
        <w:t>the</w:t>
      </w:r>
      <w:r>
        <w:rPr>
          <w:spacing w:val="8"/>
          <w:sz w:val="16"/>
        </w:rPr>
        <w:t> </w:t>
      </w:r>
      <w:r>
        <w:rPr>
          <w:sz w:val="16"/>
        </w:rPr>
        <w:t>consideration</w:t>
      </w:r>
      <w:r>
        <w:rPr>
          <w:spacing w:val="9"/>
          <w:sz w:val="16"/>
        </w:rPr>
        <w:t> </w:t>
      </w:r>
      <w:r>
        <w:rPr>
          <w:sz w:val="16"/>
        </w:rPr>
        <w:t>of</w:t>
      </w:r>
      <w:r>
        <w:rPr>
          <w:spacing w:val="8"/>
          <w:sz w:val="16"/>
        </w:rPr>
        <w:t> </w:t>
      </w:r>
      <w:r>
        <w:rPr>
          <w:sz w:val="16"/>
        </w:rPr>
        <w:t>CFR</w:t>
      </w:r>
      <w:r>
        <w:rPr>
          <w:spacing w:val="8"/>
          <w:sz w:val="16"/>
        </w:rPr>
        <w:t> </w:t>
      </w:r>
      <w:r>
        <w:rPr>
          <w:sz w:val="16"/>
        </w:rPr>
        <w:t>applicability</w:t>
      </w:r>
      <w:r>
        <w:rPr>
          <w:spacing w:val="9"/>
          <w:sz w:val="16"/>
        </w:rPr>
        <w:t> </w:t>
      </w:r>
      <w:r>
        <w:rPr>
          <w:sz w:val="16"/>
        </w:rPr>
        <w:t>in</w:t>
      </w:r>
      <w:r>
        <w:rPr>
          <w:spacing w:val="8"/>
          <w:sz w:val="16"/>
        </w:rPr>
        <w:t> </w:t>
      </w:r>
      <w:r>
        <w:rPr>
          <w:sz w:val="16"/>
        </w:rPr>
        <w:t>light</w:t>
      </w:r>
      <w:r>
        <w:rPr>
          <w:spacing w:val="9"/>
          <w:sz w:val="16"/>
        </w:rPr>
        <w:t> </w:t>
      </w:r>
      <w:r>
        <w:rPr>
          <w:sz w:val="16"/>
        </w:rPr>
        <w:t>of</w:t>
      </w:r>
      <w:r>
        <w:rPr>
          <w:spacing w:val="8"/>
          <w:sz w:val="16"/>
        </w:rPr>
        <w:t> </w:t>
      </w:r>
      <w:r>
        <w:rPr>
          <w:sz w:val="16"/>
        </w:rPr>
        <w:t>Article</w:t>
      </w:r>
      <w:r>
        <w:rPr>
          <w:spacing w:val="8"/>
          <w:sz w:val="16"/>
        </w:rPr>
        <w:t> </w:t>
      </w:r>
      <w:r>
        <w:rPr>
          <w:sz w:val="16"/>
        </w:rPr>
        <w:t>13(3a)</w:t>
      </w:r>
      <w:r>
        <w:rPr>
          <w:spacing w:val="9"/>
          <w:sz w:val="16"/>
        </w:rPr>
        <w:t> </w:t>
      </w:r>
      <w:r>
        <w:rPr>
          <w:sz w:val="16"/>
        </w:rPr>
        <w:t>of</w:t>
      </w:r>
      <w:r>
        <w:rPr>
          <w:spacing w:val="8"/>
          <w:sz w:val="16"/>
        </w:rPr>
        <w:t> </w:t>
      </w:r>
      <w:r>
        <w:rPr>
          <w:sz w:val="16"/>
        </w:rPr>
        <w:t>the</w:t>
      </w:r>
      <w:r>
        <w:rPr>
          <w:spacing w:val="8"/>
          <w:sz w:val="16"/>
        </w:rPr>
        <w:t> </w:t>
      </w:r>
      <w:r>
        <w:rPr>
          <w:sz w:val="16"/>
        </w:rPr>
        <w:t>Windsor</w:t>
      </w:r>
      <w:r>
        <w:rPr>
          <w:spacing w:val="9"/>
          <w:sz w:val="16"/>
        </w:rPr>
        <w:t> </w:t>
      </w:r>
      <w:r>
        <w:rPr>
          <w:spacing w:val="-2"/>
          <w:sz w:val="16"/>
        </w:rPr>
        <w:t>Framework.</w:t>
      </w:r>
    </w:p>
    <w:p>
      <w:pPr>
        <w:pStyle w:val="ListParagraph"/>
        <w:numPr>
          <w:ilvl w:val="0"/>
          <w:numId w:val="6"/>
        </w:numPr>
        <w:tabs>
          <w:tab w:pos="566" w:val="left" w:leader="none"/>
        </w:tabs>
        <w:spacing w:line="200" w:lineRule="exact" w:before="0" w:after="0"/>
        <w:ind w:left="566" w:right="0" w:hanging="453"/>
        <w:jc w:val="left"/>
        <w:rPr>
          <w:sz w:val="16"/>
        </w:rPr>
      </w:pPr>
      <w:r>
        <w:rPr>
          <w:rFonts w:ascii="Verdana"/>
          <w:i/>
          <w:w w:val="105"/>
          <w:sz w:val="16"/>
        </w:rPr>
        <w:t>CG</w:t>
      </w:r>
      <w:r>
        <w:rPr>
          <w:rFonts w:ascii="Verdana"/>
          <w:i/>
          <w:spacing w:val="-14"/>
          <w:w w:val="105"/>
          <w:sz w:val="16"/>
        </w:rPr>
        <w:t> </w:t>
      </w:r>
      <w:r>
        <w:rPr>
          <w:w w:val="105"/>
          <w:sz w:val="16"/>
        </w:rPr>
        <w:t>(n</w:t>
      </w:r>
      <w:r>
        <w:rPr>
          <w:spacing w:val="-7"/>
          <w:w w:val="105"/>
          <w:sz w:val="16"/>
        </w:rPr>
        <w:t> </w:t>
      </w:r>
      <w:r>
        <w:rPr>
          <w:w w:val="105"/>
          <w:sz w:val="16"/>
        </w:rPr>
        <w:t>26)</w:t>
      </w:r>
      <w:r>
        <w:rPr>
          <w:spacing w:val="-7"/>
          <w:w w:val="105"/>
          <w:sz w:val="16"/>
        </w:rPr>
        <w:t> </w:t>
      </w:r>
      <w:r>
        <w:rPr>
          <w:w w:val="105"/>
          <w:sz w:val="16"/>
        </w:rPr>
        <w:t>para</w:t>
      </w:r>
      <w:r>
        <w:rPr>
          <w:spacing w:val="-7"/>
          <w:w w:val="105"/>
          <w:sz w:val="16"/>
        </w:rPr>
        <w:t> </w:t>
      </w:r>
      <w:r>
        <w:rPr>
          <w:spacing w:val="-5"/>
          <w:w w:val="105"/>
          <w:sz w:val="16"/>
        </w:rPr>
        <w:t>89.</w:t>
      </w:r>
    </w:p>
    <w:p>
      <w:pPr>
        <w:pStyle w:val="ListParagraph"/>
        <w:numPr>
          <w:ilvl w:val="0"/>
          <w:numId w:val="6"/>
        </w:numPr>
        <w:tabs>
          <w:tab w:pos="566" w:val="left" w:leader="none"/>
        </w:tabs>
        <w:spacing w:line="200" w:lineRule="exact" w:before="0" w:after="0"/>
        <w:ind w:left="566" w:right="0" w:hanging="453"/>
        <w:jc w:val="left"/>
        <w:rPr>
          <w:rFonts w:ascii="Arial"/>
          <w:sz w:val="16"/>
        </w:rPr>
      </w:pPr>
      <w:r>
        <w:rPr>
          <w:rFonts w:ascii="Verdana"/>
          <w:i/>
          <w:sz w:val="16"/>
        </w:rPr>
        <w:t>AT</w:t>
      </w:r>
      <w:r>
        <w:rPr>
          <w:rFonts w:ascii="Verdana"/>
          <w:i/>
          <w:spacing w:val="-4"/>
          <w:sz w:val="16"/>
        </w:rPr>
        <w:t> </w:t>
      </w:r>
      <w:r>
        <w:rPr>
          <w:sz w:val="16"/>
        </w:rPr>
        <w:t>(n</w:t>
      </w:r>
      <w:r>
        <w:rPr>
          <w:spacing w:val="3"/>
          <w:sz w:val="16"/>
        </w:rPr>
        <w:t> </w:t>
      </w:r>
      <w:r>
        <w:rPr>
          <w:sz w:val="16"/>
        </w:rPr>
        <w:t>26)</w:t>
      </w:r>
      <w:r>
        <w:rPr>
          <w:spacing w:val="3"/>
          <w:sz w:val="16"/>
        </w:rPr>
        <w:t> </w:t>
      </w:r>
      <w:r>
        <w:rPr>
          <w:sz w:val="16"/>
        </w:rPr>
        <w:t>paras</w:t>
      </w:r>
      <w:r>
        <w:rPr>
          <w:spacing w:val="3"/>
          <w:sz w:val="16"/>
        </w:rPr>
        <w:t> </w:t>
      </w:r>
      <w:r>
        <w:rPr>
          <w:sz w:val="16"/>
        </w:rPr>
        <w:t>83-</w:t>
      </w:r>
      <w:r>
        <w:rPr>
          <w:spacing w:val="-5"/>
          <w:sz w:val="16"/>
        </w:rPr>
        <w:t>92.</w:t>
      </w:r>
    </w:p>
    <w:p>
      <w:pPr>
        <w:pStyle w:val="ListParagraph"/>
        <w:numPr>
          <w:ilvl w:val="0"/>
          <w:numId w:val="6"/>
        </w:numPr>
        <w:tabs>
          <w:tab w:pos="567" w:val="left" w:leader="none"/>
        </w:tabs>
        <w:spacing w:line="218" w:lineRule="auto" w:before="0" w:after="0"/>
        <w:ind w:left="567" w:right="778" w:hanging="454"/>
        <w:jc w:val="left"/>
        <w:rPr>
          <w:sz w:val="16"/>
        </w:rPr>
      </w:pPr>
      <w:r>
        <w:rPr>
          <w:rFonts w:ascii="Arial"/>
          <w:w w:val="110"/>
          <w:sz w:val="16"/>
        </w:rPr>
        <w:t>NB: We do, however, consider the possibility of CJEU case law having broader relevance under the Windsor Framework below and in Chapter 5.</w:t>
      </w:r>
    </w:p>
    <w:p>
      <w:pPr>
        <w:spacing w:after="0" w:line="218" w:lineRule="auto"/>
        <w:jc w:val="left"/>
        <w:rPr>
          <w:sz w:val="16"/>
        </w:rPr>
        <w:sectPr>
          <w:type w:val="continuous"/>
          <w:pgSz w:w="11910" w:h="16840"/>
          <w:pgMar w:header="568" w:footer="580" w:top="0" w:bottom="280" w:left="1020" w:right="1020"/>
        </w:sectPr>
      </w:pPr>
    </w:p>
    <w:p>
      <w:pPr>
        <w:pStyle w:val="BodyText"/>
        <w:ind w:left="0"/>
        <w:rPr>
          <w:sz w:val="20"/>
        </w:rPr>
      </w:pPr>
    </w:p>
    <w:p>
      <w:pPr>
        <w:pStyle w:val="BodyText"/>
        <w:ind w:left="0"/>
        <w:rPr>
          <w:sz w:val="20"/>
        </w:rPr>
      </w:pPr>
    </w:p>
    <w:p>
      <w:pPr>
        <w:pStyle w:val="BodyText"/>
        <w:spacing w:before="48"/>
        <w:ind w:left="0"/>
        <w:rPr>
          <w:sz w:val="20"/>
        </w:rPr>
      </w:pPr>
    </w:p>
    <w:p>
      <w:pPr>
        <w:spacing w:after="0"/>
        <w:rPr>
          <w:sz w:val="20"/>
        </w:rPr>
        <w:sectPr>
          <w:pgSz w:w="11910" w:h="16840"/>
          <w:pgMar w:header="568" w:footer="580" w:top="840" w:bottom="780" w:left="1020" w:right="1020"/>
        </w:sectPr>
      </w:pPr>
    </w:p>
    <w:p>
      <w:pPr>
        <w:pStyle w:val="ListParagraph"/>
        <w:numPr>
          <w:ilvl w:val="0"/>
          <w:numId w:val="12"/>
        </w:numPr>
        <w:tabs>
          <w:tab w:pos="680" w:val="left" w:leader="none"/>
        </w:tabs>
        <w:spacing w:line="324" w:lineRule="exact" w:before="38" w:after="0"/>
        <w:ind w:left="680" w:right="38" w:hanging="567"/>
        <w:jc w:val="left"/>
        <w:rPr>
          <w:rFonts w:ascii="Arial"/>
          <w:sz w:val="24"/>
        </w:rPr>
      </w:pPr>
      <w:r>
        <w:rPr>
          <w:rFonts w:ascii="Arial"/>
          <w:w w:val="110"/>
          <w:sz w:val="24"/>
        </w:rPr>
        <w:t>A</w:t>
      </w:r>
      <w:r>
        <w:rPr>
          <w:rFonts w:ascii="Arial"/>
          <w:spacing w:val="59"/>
          <w:w w:val="110"/>
          <w:sz w:val="24"/>
        </w:rPr>
        <w:t> </w:t>
      </w:r>
      <w:r>
        <w:rPr>
          <w:rFonts w:ascii="Arial"/>
          <w:w w:val="110"/>
          <w:sz w:val="24"/>
        </w:rPr>
        <w:t>right</w:t>
      </w:r>
      <w:r>
        <w:rPr>
          <w:rFonts w:ascii="Arial"/>
          <w:spacing w:val="59"/>
          <w:w w:val="110"/>
          <w:sz w:val="24"/>
        </w:rPr>
        <w:t> </w:t>
      </w:r>
      <w:r>
        <w:rPr>
          <w:rFonts w:ascii="Arial"/>
          <w:w w:val="110"/>
          <w:sz w:val="24"/>
        </w:rPr>
        <w:t>(or</w:t>
      </w:r>
      <w:r>
        <w:rPr>
          <w:rFonts w:ascii="Arial"/>
          <w:spacing w:val="59"/>
          <w:w w:val="110"/>
          <w:sz w:val="24"/>
        </w:rPr>
        <w:t> </w:t>
      </w:r>
      <w:r>
        <w:rPr>
          <w:rFonts w:ascii="Arial"/>
          <w:w w:val="110"/>
          <w:sz w:val="24"/>
        </w:rPr>
        <w:t>equality</w:t>
      </w:r>
      <w:r>
        <w:rPr>
          <w:rFonts w:ascii="Arial"/>
          <w:spacing w:val="59"/>
          <w:w w:val="110"/>
          <w:sz w:val="24"/>
        </w:rPr>
        <w:t> </w:t>
      </w:r>
      <w:r>
        <w:rPr>
          <w:rFonts w:ascii="Arial"/>
          <w:w w:val="110"/>
          <w:sz w:val="24"/>
        </w:rPr>
        <w:t>of</w:t>
      </w:r>
      <w:r>
        <w:rPr>
          <w:rFonts w:ascii="Arial"/>
          <w:spacing w:val="40"/>
          <w:w w:val="110"/>
          <w:sz w:val="24"/>
        </w:rPr>
        <w:t> </w:t>
      </w:r>
      <w:r>
        <w:rPr>
          <w:rFonts w:ascii="Arial"/>
          <w:w w:val="110"/>
          <w:sz w:val="24"/>
        </w:rPr>
        <w:t>opportunity</w:t>
      </w:r>
      <w:r>
        <w:rPr>
          <w:rFonts w:ascii="Arial"/>
          <w:spacing w:val="40"/>
          <w:w w:val="110"/>
          <w:sz w:val="24"/>
        </w:rPr>
        <w:t> </w:t>
      </w:r>
      <w:r>
        <w:rPr>
          <w:rFonts w:ascii="Arial"/>
          <w:w w:val="110"/>
          <w:sz w:val="24"/>
        </w:rPr>
        <w:t>protection)</w:t>
      </w:r>
      <w:r>
        <w:rPr>
          <w:rFonts w:ascii="Arial"/>
          <w:spacing w:val="40"/>
          <w:w w:val="110"/>
          <w:sz w:val="24"/>
        </w:rPr>
        <w:t> </w:t>
      </w:r>
      <w:r>
        <w:rPr>
          <w:rFonts w:ascii="Arial"/>
          <w:w w:val="110"/>
          <w:sz w:val="24"/>
        </w:rPr>
        <w:t>included</w:t>
      </w:r>
      <w:r>
        <w:rPr>
          <w:rFonts w:ascii="Arial"/>
          <w:spacing w:val="40"/>
          <w:w w:val="110"/>
          <w:sz w:val="24"/>
        </w:rPr>
        <w:t> </w:t>
      </w:r>
      <w:r>
        <w:rPr>
          <w:rFonts w:ascii="Arial"/>
          <w:w w:val="110"/>
          <w:sz w:val="24"/>
        </w:rPr>
        <w:t>in the relevant part of the </w:t>
      </w:r>
      <w:r>
        <w:rPr>
          <w:rFonts w:ascii="Arial"/>
          <w:w w:val="110"/>
          <w:sz w:val="24"/>
        </w:rPr>
        <w:t>Belfast/ </w:t>
      </w:r>
      <w:r>
        <w:rPr>
          <w:sz w:val="24"/>
        </w:rPr>
        <w:t>Good Friday 1998 Agreement is </w:t>
      </w:r>
      <w:r>
        <w:rPr>
          <w:rFonts w:ascii="Arial"/>
          <w:spacing w:val="-2"/>
          <w:w w:val="110"/>
          <w:sz w:val="24"/>
        </w:rPr>
        <w:t>engaged.</w:t>
      </w:r>
    </w:p>
    <w:p>
      <w:pPr>
        <w:pStyle w:val="ListParagraph"/>
        <w:numPr>
          <w:ilvl w:val="0"/>
          <w:numId w:val="12"/>
        </w:numPr>
        <w:tabs>
          <w:tab w:pos="680" w:val="left" w:leader="none"/>
        </w:tabs>
        <w:spacing w:line="264" w:lineRule="auto" w:before="33" w:after="0"/>
        <w:ind w:left="680" w:right="38" w:hanging="567"/>
        <w:jc w:val="left"/>
        <w:rPr>
          <w:sz w:val="24"/>
        </w:rPr>
      </w:pPr>
      <w:r>
        <w:rPr>
          <w:rFonts w:ascii="Arial"/>
          <w:w w:val="110"/>
          <w:sz w:val="24"/>
        </w:rPr>
        <w:t>That right was given effect (in whole or in part) in Northern </w:t>
      </w:r>
      <w:r>
        <w:rPr>
          <w:sz w:val="24"/>
        </w:rPr>
        <w:t>Ireland,</w:t>
      </w:r>
      <w:r>
        <w:rPr>
          <w:spacing w:val="-10"/>
          <w:sz w:val="24"/>
        </w:rPr>
        <w:t> </w:t>
      </w:r>
      <w:r>
        <w:rPr>
          <w:sz w:val="24"/>
        </w:rPr>
        <w:t>on</w:t>
      </w:r>
      <w:r>
        <w:rPr>
          <w:spacing w:val="-10"/>
          <w:sz w:val="24"/>
        </w:rPr>
        <w:t> </w:t>
      </w:r>
      <w:r>
        <w:rPr>
          <w:sz w:val="24"/>
        </w:rPr>
        <w:t>or</w:t>
      </w:r>
      <w:r>
        <w:rPr>
          <w:spacing w:val="-10"/>
          <w:sz w:val="24"/>
        </w:rPr>
        <w:t> </w:t>
      </w:r>
      <w:r>
        <w:rPr>
          <w:sz w:val="24"/>
        </w:rPr>
        <w:t>before</w:t>
      </w:r>
      <w:r>
        <w:rPr>
          <w:spacing w:val="-10"/>
          <w:sz w:val="24"/>
        </w:rPr>
        <w:t> </w:t>
      </w:r>
      <w:r>
        <w:rPr>
          <w:sz w:val="24"/>
        </w:rPr>
        <w:t>31</w:t>
      </w:r>
      <w:r>
        <w:rPr>
          <w:spacing w:val="-10"/>
          <w:sz w:val="24"/>
        </w:rPr>
        <w:t> </w:t>
      </w:r>
      <w:r>
        <w:rPr>
          <w:sz w:val="24"/>
        </w:rPr>
        <w:t>December</w:t>
      </w:r>
    </w:p>
    <w:p>
      <w:pPr>
        <w:pStyle w:val="BodyText"/>
        <w:spacing w:line="286" w:lineRule="exact"/>
        <w:ind w:left="680"/>
        <w:rPr>
          <w:rFonts w:ascii="Lucida Sans Unicode"/>
        </w:rPr>
      </w:pPr>
      <w:r>
        <w:rPr>
          <w:rFonts w:ascii="Lucida Sans Unicode"/>
          <w:spacing w:val="-2"/>
        </w:rPr>
        <w:t>2020.</w:t>
      </w:r>
    </w:p>
    <w:p>
      <w:pPr>
        <w:pStyle w:val="ListParagraph"/>
        <w:numPr>
          <w:ilvl w:val="0"/>
          <w:numId w:val="12"/>
        </w:numPr>
        <w:tabs>
          <w:tab w:pos="680" w:val="left" w:leader="none"/>
        </w:tabs>
        <w:spacing w:line="280" w:lineRule="auto" w:before="0" w:after="0"/>
        <w:ind w:left="680" w:right="489" w:hanging="567"/>
        <w:jc w:val="left"/>
        <w:rPr>
          <w:rFonts w:ascii="Arial"/>
          <w:sz w:val="24"/>
        </w:rPr>
      </w:pPr>
      <w:r>
        <w:rPr>
          <w:rFonts w:ascii="Arial"/>
          <w:w w:val="110"/>
          <w:sz w:val="24"/>
        </w:rPr>
        <w:t>That Northern Ireland law </w:t>
      </w:r>
      <w:r>
        <w:rPr>
          <w:rFonts w:ascii="Arial"/>
          <w:w w:val="110"/>
          <w:sz w:val="24"/>
        </w:rPr>
        <w:t>was underpinned by EU law.</w:t>
      </w:r>
    </w:p>
    <w:p>
      <w:pPr>
        <w:pStyle w:val="ListParagraph"/>
        <w:numPr>
          <w:ilvl w:val="0"/>
          <w:numId w:val="12"/>
        </w:numPr>
        <w:tabs>
          <w:tab w:pos="680" w:val="left" w:leader="none"/>
        </w:tabs>
        <w:spacing w:line="280" w:lineRule="auto" w:before="0" w:after="0"/>
        <w:ind w:left="680" w:right="500" w:hanging="567"/>
        <w:jc w:val="left"/>
        <w:rPr>
          <w:rFonts w:ascii="Arial"/>
          <w:sz w:val="24"/>
        </w:rPr>
      </w:pPr>
      <w:r>
        <w:rPr>
          <w:rFonts w:ascii="Arial"/>
          <w:w w:val="115"/>
          <w:sz w:val="24"/>
        </w:rPr>
        <w:t>That underpinning has been removed, in whole or in part, following</w:t>
      </w:r>
      <w:r>
        <w:rPr>
          <w:rFonts w:ascii="Arial"/>
          <w:spacing w:val="-6"/>
          <w:w w:val="115"/>
          <w:sz w:val="24"/>
        </w:rPr>
        <w:t> </w:t>
      </w:r>
      <w:r>
        <w:rPr>
          <w:rFonts w:ascii="Arial"/>
          <w:w w:val="115"/>
          <w:sz w:val="24"/>
        </w:rPr>
        <w:t>withdrawal</w:t>
      </w:r>
      <w:r>
        <w:rPr>
          <w:rFonts w:ascii="Arial"/>
          <w:spacing w:val="-6"/>
          <w:w w:val="115"/>
          <w:sz w:val="24"/>
        </w:rPr>
        <w:t> </w:t>
      </w:r>
      <w:r>
        <w:rPr>
          <w:rFonts w:ascii="Arial"/>
          <w:w w:val="115"/>
          <w:sz w:val="24"/>
        </w:rPr>
        <w:t>from</w:t>
      </w:r>
      <w:r>
        <w:rPr>
          <w:rFonts w:ascii="Arial"/>
          <w:spacing w:val="-6"/>
          <w:w w:val="115"/>
          <w:sz w:val="24"/>
        </w:rPr>
        <w:t> </w:t>
      </w:r>
      <w:r>
        <w:rPr>
          <w:rFonts w:ascii="Arial"/>
          <w:w w:val="115"/>
          <w:sz w:val="24"/>
        </w:rPr>
        <w:t>the </w:t>
      </w:r>
      <w:r>
        <w:rPr>
          <w:rFonts w:ascii="Arial"/>
          <w:spacing w:val="-4"/>
          <w:w w:val="115"/>
          <w:sz w:val="24"/>
        </w:rPr>
        <w:t>EU.</w:t>
      </w:r>
    </w:p>
    <w:p>
      <w:pPr>
        <w:pStyle w:val="ListParagraph"/>
        <w:numPr>
          <w:ilvl w:val="0"/>
          <w:numId w:val="12"/>
        </w:numPr>
        <w:tabs>
          <w:tab w:pos="680" w:val="left" w:leader="none"/>
        </w:tabs>
        <w:spacing w:line="280" w:lineRule="auto" w:before="2" w:after="0"/>
        <w:ind w:left="680" w:right="232" w:hanging="567"/>
        <w:jc w:val="left"/>
        <w:rPr>
          <w:rFonts w:ascii="Arial"/>
          <w:sz w:val="24"/>
        </w:rPr>
      </w:pPr>
      <w:r>
        <w:rPr>
          <w:rFonts w:ascii="Arial"/>
          <w:w w:val="110"/>
          <w:sz w:val="24"/>
        </w:rPr>
        <w:t>This has resulted in a </w:t>
      </w:r>
      <w:r>
        <w:rPr>
          <w:rFonts w:ascii="Arial"/>
          <w:w w:val="110"/>
          <w:sz w:val="24"/>
        </w:rPr>
        <w:t>diminution in enjoyment of this right; and</w:t>
      </w:r>
    </w:p>
    <w:p>
      <w:pPr>
        <w:pStyle w:val="ListParagraph"/>
        <w:numPr>
          <w:ilvl w:val="0"/>
          <w:numId w:val="12"/>
        </w:numPr>
        <w:tabs>
          <w:tab w:pos="680" w:val="left" w:leader="none"/>
        </w:tabs>
        <w:spacing w:line="280" w:lineRule="auto" w:before="1" w:after="0"/>
        <w:ind w:left="680" w:right="128" w:hanging="567"/>
        <w:jc w:val="left"/>
        <w:rPr>
          <w:rFonts w:ascii="Arial"/>
          <w:sz w:val="24"/>
        </w:rPr>
      </w:pPr>
      <w:r>
        <w:rPr>
          <w:rFonts w:ascii="Arial"/>
          <w:w w:val="115"/>
          <w:sz w:val="24"/>
        </w:rPr>
        <w:t>This diminution would not have </w:t>
      </w:r>
      <w:r>
        <w:rPr>
          <w:rFonts w:ascii="Arial"/>
          <w:spacing w:val="-2"/>
          <w:w w:val="115"/>
          <w:sz w:val="24"/>
        </w:rPr>
        <w:t>occurred</w:t>
      </w:r>
      <w:r>
        <w:rPr>
          <w:rFonts w:ascii="Arial"/>
          <w:spacing w:val="-18"/>
          <w:w w:val="115"/>
          <w:sz w:val="24"/>
        </w:rPr>
        <w:t> </w:t>
      </w:r>
      <w:r>
        <w:rPr>
          <w:rFonts w:ascii="Arial"/>
          <w:spacing w:val="-2"/>
          <w:w w:val="115"/>
          <w:sz w:val="24"/>
        </w:rPr>
        <w:t>had</w:t>
      </w:r>
      <w:r>
        <w:rPr>
          <w:rFonts w:ascii="Arial"/>
          <w:spacing w:val="-17"/>
          <w:w w:val="115"/>
          <w:sz w:val="24"/>
        </w:rPr>
        <w:t> </w:t>
      </w:r>
      <w:r>
        <w:rPr>
          <w:rFonts w:ascii="Arial"/>
          <w:spacing w:val="-2"/>
          <w:w w:val="115"/>
          <w:sz w:val="24"/>
        </w:rPr>
        <w:t>the</w:t>
      </w:r>
      <w:r>
        <w:rPr>
          <w:rFonts w:ascii="Arial"/>
          <w:spacing w:val="-17"/>
          <w:w w:val="115"/>
          <w:sz w:val="24"/>
        </w:rPr>
        <w:t> </w:t>
      </w:r>
      <w:r>
        <w:rPr>
          <w:rFonts w:ascii="Arial"/>
          <w:spacing w:val="-2"/>
          <w:w w:val="115"/>
          <w:sz w:val="24"/>
        </w:rPr>
        <w:t>UK</w:t>
      </w:r>
      <w:r>
        <w:rPr>
          <w:rFonts w:ascii="Arial"/>
          <w:spacing w:val="-17"/>
          <w:w w:val="115"/>
          <w:sz w:val="24"/>
        </w:rPr>
        <w:t> </w:t>
      </w:r>
      <w:r>
        <w:rPr>
          <w:rFonts w:ascii="Arial"/>
          <w:spacing w:val="-2"/>
          <w:w w:val="115"/>
          <w:sz w:val="24"/>
        </w:rPr>
        <w:t>remained</w:t>
      </w:r>
      <w:r>
        <w:rPr>
          <w:rFonts w:ascii="Arial"/>
          <w:spacing w:val="-17"/>
          <w:w w:val="115"/>
          <w:sz w:val="24"/>
        </w:rPr>
        <w:t> </w:t>
      </w:r>
      <w:r>
        <w:rPr>
          <w:rFonts w:ascii="Arial"/>
          <w:spacing w:val="-2"/>
          <w:w w:val="115"/>
          <w:sz w:val="24"/>
        </w:rPr>
        <w:t>in </w:t>
      </w:r>
      <w:r>
        <w:rPr>
          <w:rFonts w:ascii="Arial"/>
          <w:w w:val="115"/>
          <w:sz w:val="24"/>
        </w:rPr>
        <w:t>the EU.</w:t>
      </w:r>
    </w:p>
    <w:p>
      <w:pPr>
        <w:pStyle w:val="BodyText"/>
        <w:spacing w:line="324" w:lineRule="exact" w:before="269"/>
        <w:ind w:right="709"/>
      </w:pPr>
      <w:r>
        <w:rPr>
          <w:w w:val="110"/>
        </w:rPr>
        <w:t>Additionally, the Charter only </w:t>
      </w:r>
      <w:r>
        <w:rPr>
          <w:rFonts w:ascii="Lucida Sans Unicode"/>
          <w:w w:val="110"/>
        </w:rPr>
        <w:t>applies</w:t>
      </w:r>
      <w:r>
        <w:rPr>
          <w:rFonts w:ascii="Lucida Sans Unicode"/>
          <w:spacing w:val="-21"/>
          <w:w w:val="110"/>
        </w:rPr>
        <w:t> </w:t>
      </w:r>
      <w:r>
        <w:rPr>
          <w:rFonts w:ascii="Lucida Sans Unicode"/>
          <w:w w:val="110"/>
        </w:rPr>
        <w:t>where</w:t>
      </w:r>
      <w:r>
        <w:rPr>
          <w:rFonts w:ascii="Lucida Sans Unicode"/>
          <w:spacing w:val="-21"/>
          <w:w w:val="110"/>
        </w:rPr>
        <w:t> </w:t>
      </w:r>
      <w:r>
        <w:rPr>
          <w:rFonts w:ascii="Lucida Sans Unicode"/>
          <w:w w:val="110"/>
        </w:rPr>
        <w:t>a</w:t>
      </w:r>
      <w:r>
        <w:rPr>
          <w:rFonts w:ascii="Lucida Sans Unicode"/>
          <w:spacing w:val="-21"/>
          <w:w w:val="110"/>
        </w:rPr>
        <w:t> </w:t>
      </w:r>
      <w:r>
        <w:rPr>
          <w:rFonts w:ascii="Lucida Sans Unicode"/>
          <w:w w:val="110"/>
        </w:rPr>
        <w:t>Member</w:t>
      </w:r>
      <w:r>
        <w:rPr>
          <w:rFonts w:ascii="Lucida Sans Unicode"/>
          <w:spacing w:val="-21"/>
          <w:w w:val="110"/>
        </w:rPr>
        <w:t> </w:t>
      </w:r>
      <w:r>
        <w:rPr>
          <w:rFonts w:ascii="Lucida Sans Unicode"/>
          <w:w w:val="110"/>
        </w:rPr>
        <w:t>State </w:t>
      </w:r>
      <w:r>
        <w:rPr>
          <w:w w:val="110"/>
        </w:rPr>
        <w:t>is implementing Union law (see Chapter</w:t>
      </w:r>
      <w:r>
        <w:rPr>
          <w:spacing w:val="-13"/>
          <w:w w:val="110"/>
        </w:rPr>
        <w:t> </w:t>
      </w:r>
      <w:r>
        <w:rPr>
          <w:w w:val="110"/>
        </w:rPr>
        <w:t>1).</w:t>
      </w:r>
      <w:r>
        <w:rPr>
          <w:spacing w:val="-13"/>
          <w:w w:val="110"/>
        </w:rPr>
        <w:t> </w:t>
      </w:r>
      <w:r>
        <w:rPr>
          <w:w w:val="110"/>
        </w:rPr>
        <w:t>This</w:t>
      </w:r>
      <w:r>
        <w:rPr>
          <w:spacing w:val="-13"/>
          <w:w w:val="110"/>
        </w:rPr>
        <w:t> </w:t>
      </w:r>
      <w:r>
        <w:rPr>
          <w:w w:val="110"/>
        </w:rPr>
        <w:t>question</w:t>
      </w:r>
      <w:r>
        <w:rPr>
          <w:spacing w:val="-13"/>
          <w:w w:val="110"/>
        </w:rPr>
        <w:t> </w:t>
      </w:r>
      <w:r>
        <w:rPr>
          <w:w w:val="110"/>
        </w:rPr>
        <w:t>is</w:t>
      </w:r>
      <w:r>
        <w:rPr>
          <w:spacing w:val="-13"/>
          <w:w w:val="110"/>
        </w:rPr>
        <w:t> </w:t>
      </w:r>
      <w:r>
        <w:rPr>
          <w:w w:val="110"/>
        </w:rPr>
        <w:t>best</w:t>
      </w:r>
    </w:p>
    <w:p>
      <w:pPr>
        <w:pStyle w:val="BodyText"/>
        <w:spacing w:line="280" w:lineRule="auto" w:before="33"/>
        <w:ind w:right="679"/>
      </w:pPr>
      <w:r>
        <w:rPr>
          <w:w w:val="110"/>
        </w:rPr>
        <w:t>considered at stage iii) of the test outlined above as the Northern Ireland law in question was only ever underpinned by the Charter</w:t>
      </w:r>
      <w:r>
        <w:rPr>
          <w:spacing w:val="80"/>
          <w:w w:val="150"/>
        </w:rPr>
        <w:t> </w:t>
      </w:r>
      <w:r>
        <w:rPr>
          <w:w w:val="110"/>
        </w:rPr>
        <w:t>if there was an implementation of EU law according to Article 51 (1)</w:t>
      </w:r>
    </w:p>
    <w:p>
      <w:pPr>
        <w:pStyle w:val="BodyText"/>
        <w:spacing w:line="280" w:lineRule="auto" w:before="6"/>
        <w:ind w:right="234"/>
      </w:pPr>
      <w:r>
        <w:rPr>
          <w:w w:val="115"/>
        </w:rPr>
        <w:t>CFR. According to the case law of the Court of Justice, ‘implementing EU law’ is synonymous with ‘being within the scope of EU law’. Hence for</w:t>
      </w:r>
      <w:r>
        <w:rPr>
          <w:spacing w:val="-10"/>
          <w:w w:val="115"/>
        </w:rPr>
        <w:t> </w:t>
      </w:r>
      <w:r>
        <w:rPr>
          <w:w w:val="115"/>
        </w:rPr>
        <w:t>the</w:t>
      </w:r>
      <w:r>
        <w:rPr>
          <w:spacing w:val="-10"/>
          <w:w w:val="115"/>
        </w:rPr>
        <w:t> </w:t>
      </w:r>
      <w:r>
        <w:rPr>
          <w:w w:val="115"/>
        </w:rPr>
        <w:t>Charter</w:t>
      </w:r>
      <w:r>
        <w:rPr>
          <w:spacing w:val="-10"/>
          <w:w w:val="115"/>
        </w:rPr>
        <w:t> </w:t>
      </w:r>
      <w:r>
        <w:rPr>
          <w:w w:val="115"/>
        </w:rPr>
        <w:t>to</w:t>
      </w:r>
      <w:r>
        <w:rPr>
          <w:spacing w:val="-10"/>
          <w:w w:val="115"/>
        </w:rPr>
        <w:t> </w:t>
      </w:r>
      <w:r>
        <w:rPr>
          <w:w w:val="115"/>
        </w:rPr>
        <w:t>apply</w:t>
      </w:r>
      <w:r>
        <w:rPr>
          <w:spacing w:val="-10"/>
          <w:w w:val="115"/>
        </w:rPr>
        <w:t> </w:t>
      </w:r>
      <w:r>
        <w:rPr>
          <w:w w:val="115"/>
        </w:rPr>
        <w:t>on</w:t>
      </w:r>
      <w:r>
        <w:rPr>
          <w:spacing w:val="-10"/>
          <w:w w:val="115"/>
        </w:rPr>
        <w:t> </w:t>
      </w:r>
      <w:r>
        <w:rPr>
          <w:w w:val="115"/>
        </w:rPr>
        <w:t>the</w:t>
      </w:r>
      <w:r>
        <w:rPr>
          <w:spacing w:val="-10"/>
          <w:w w:val="115"/>
        </w:rPr>
        <w:t> </w:t>
      </w:r>
      <w:r>
        <w:rPr>
          <w:w w:val="115"/>
        </w:rPr>
        <w:t>basis of the above test, it is necessary to answer the hypothetical question: would</w:t>
      </w:r>
      <w:r>
        <w:rPr>
          <w:spacing w:val="-20"/>
          <w:w w:val="115"/>
        </w:rPr>
        <w:t> </w:t>
      </w:r>
      <w:r>
        <w:rPr>
          <w:w w:val="115"/>
        </w:rPr>
        <w:t>this</w:t>
      </w:r>
      <w:r>
        <w:rPr>
          <w:spacing w:val="-19"/>
          <w:w w:val="115"/>
        </w:rPr>
        <w:t> </w:t>
      </w:r>
      <w:r>
        <w:rPr>
          <w:w w:val="115"/>
        </w:rPr>
        <w:t>situation</w:t>
      </w:r>
      <w:r>
        <w:rPr>
          <w:spacing w:val="-19"/>
          <w:w w:val="115"/>
        </w:rPr>
        <w:t> </w:t>
      </w:r>
      <w:r>
        <w:rPr>
          <w:w w:val="115"/>
        </w:rPr>
        <w:t>have</w:t>
      </w:r>
      <w:r>
        <w:rPr>
          <w:spacing w:val="-19"/>
          <w:w w:val="115"/>
        </w:rPr>
        <w:t> </w:t>
      </w:r>
      <w:r>
        <w:rPr>
          <w:w w:val="115"/>
        </w:rPr>
        <w:t>been</w:t>
      </w:r>
      <w:r>
        <w:rPr>
          <w:spacing w:val="-19"/>
          <w:w w:val="115"/>
        </w:rPr>
        <w:t> </w:t>
      </w:r>
      <w:r>
        <w:rPr>
          <w:w w:val="115"/>
        </w:rPr>
        <w:t>in</w:t>
      </w:r>
      <w:r>
        <w:rPr>
          <w:spacing w:val="-20"/>
          <w:w w:val="115"/>
        </w:rPr>
        <w:t> </w:t>
      </w:r>
      <w:r>
        <w:rPr>
          <w:w w:val="115"/>
        </w:rPr>
        <w:t>the scope</w:t>
      </w:r>
      <w:r>
        <w:rPr>
          <w:spacing w:val="-7"/>
          <w:w w:val="115"/>
        </w:rPr>
        <w:t> </w:t>
      </w:r>
      <w:r>
        <w:rPr>
          <w:w w:val="115"/>
        </w:rPr>
        <w:t>of</w:t>
      </w:r>
      <w:r>
        <w:rPr>
          <w:spacing w:val="-7"/>
          <w:w w:val="115"/>
        </w:rPr>
        <w:t> </w:t>
      </w:r>
      <w:r>
        <w:rPr>
          <w:w w:val="115"/>
        </w:rPr>
        <w:t>EU</w:t>
      </w:r>
      <w:r>
        <w:rPr>
          <w:spacing w:val="-7"/>
          <w:w w:val="115"/>
        </w:rPr>
        <w:t> </w:t>
      </w:r>
      <w:r>
        <w:rPr>
          <w:w w:val="115"/>
        </w:rPr>
        <w:t>law,</w:t>
      </w:r>
      <w:r>
        <w:rPr>
          <w:spacing w:val="-7"/>
          <w:w w:val="115"/>
        </w:rPr>
        <w:t> </w:t>
      </w:r>
      <w:r>
        <w:rPr>
          <w:w w:val="115"/>
        </w:rPr>
        <w:t>when</w:t>
      </w:r>
      <w:r>
        <w:rPr>
          <w:spacing w:val="-7"/>
          <w:w w:val="115"/>
        </w:rPr>
        <w:t> </w:t>
      </w:r>
      <w:r>
        <w:rPr>
          <w:w w:val="115"/>
        </w:rPr>
        <w:t>the</w:t>
      </w:r>
      <w:r>
        <w:rPr>
          <w:spacing w:val="-7"/>
          <w:w w:val="115"/>
        </w:rPr>
        <w:t> </w:t>
      </w:r>
      <w:r>
        <w:rPr>
          <w:w w:val="115"/>
        </w:rPr>
        <w:t>UK</w:t>
      </w:r>
      <w:r>
        <w:rPr>
          <w:spacing w:val="-7"/>
          <w:w w:val="115"/>
        </w:rPr>
        <w:t> </w:t>
      </w:r>
      <w:r>
        <w:rPr>
          <w:w w:val="115"/>
        </w:rPr>
        <w:t>was</w:t>
      </w:r>
    </w:p>
    <w:p>
      <w:pPr>
        <w:pStyle w:val="BodyText"/>
        <w:spacing w:line="339" w:lineRule="exact"/>
        <w:rPr>
          <w:rFonts w:ascii="Lucida Sans Unicode"/>
        </w:rPr>
      </w:pPr>
      <w:r>
        <w:rPr>
          <w:rFonts w:ascii="Lucida Sans Unicode"/>
          <w:w w:val="105"/>
        </w:rPr>
        <w:t>still</w:t>
      </w:r>
      <w:r>
        <w:rPr>
          <w:rFonts w:ascii="Lucida Sans Unicode"/>
          <w:spacing w:val="-18"/>
          <w:w w:val="105"/>
        </w:rPr>
        <w:t> </w:t>
      </w:r>
      <w:r>
        <w:rPr>
          <w:rFonts w:ascii="Lucida Sans Unicode"/>
          <w:w w:val="105"/>
        </w:rPr>
        <w:t>an</w:t>
      </w:r>
      <w:r>
        <w:rPr>
          <w:rFonts w:ascii="Lucida Sans Unicode"/>
          <w:spacing w:val="-18"/>
          <w:w w:val="105"/>
        </w:rPr>
        <w:t> </w:t>
      </w:r>
      <w:r>
        <w:rPr>
          <w:rFonts w:ascii="Lucida Sans Unicode"/>
          <w:w w:val="105"/>
        </w:rPr>
        <w:t>EU</w:t>
      </w:r>
      <w:r>
        <w:rPr>
          <w:rFonts w:ascii="Lucida Sans Unicode"/>
          <w:spacing w:val="-18"/>
          <w:w w:val="105"/>
        </w:rPr>
        <w:t> </w:t>
      </w:r>
      <w:r>
        <w:rPr>
          <w:rFonts w:ascii="Lucida Sans Unicode"/>
          <w:w w:val="105"/>
        </w:rPr>
        <w:t>Member</w:t>
      </w:r>
      <w:r>
        <w:rPr>
          <w:rFonts w:ascii="Lucida Sans Unicode"/>
          <w:spacing w:val="-18"/>
          <w:w w:val="105"/>
        </w:rPr>
        <w:t> </w:t>
      </w:r>
      <w:r>
        <w:rPr>
          <w:rFonts w:ascii="Lucida Sans Unicode"/>
          <w:spacing w:val="-2"/>
          <w:w w:val="105"/>
        </w:rPr>
        <w:t>State?</w:t>
      </w:r>
    </w:p>
    <w:p>
      <w:pPr>
        <w:pStyle w:val="BodyText"/>
        <w:spacing w:line="316" w:lineRule="exact" w:before="44"/>
        <w:ind w:right="298"/>
        <w:rPr>
          <w:rFonts w:ascii="Lucida Sans Unicode"/>
        </w:rPr>
      </w:pPr>
      <w:r>
        <w:rPr/>
        <w:br w:type="column"/>
      </w:r>
      <w:r>
        <w:rPr>
          <w:w w:val="110"/>
        </w:rPr>
        <w:t>It</w:t>
      </w:r>
      <w:r>
        <w:rPr>
          <w:spacing w:val="40"/>
          <w:w w:val="110"/>
        </w:rPr>
        <w:t> </w:t>
      </w:r>
      <w:r>
        <w:rPr>
          <w:w w:val="110"/>
        </w:rPr>
        <w:t>is</w:t>
      </w:r>
      <w:r>
        <w:rPr>
          <w:spacing w:val="40"/>
          <w:w w:val="110"/>
        </w:rPr>
        <w:t> </w:t>
      </w:r>
      <w:r>
        <w:rPr>
          <w:w w:val="110"/>
        </w:rPr>
        <w:t>important</w:t>
      </w:r>
      <w:r>
        <w:rPr>
          <w:spacing w:val="40"/>
          <w:w w:val="110"/>
        </w:rPr>
        <w:t> </w:t>
      </w:r>
      <w:r>
        <w:rPr>
          <w:w w:val="110"/>
        </w:rPr>
        <w:t>to</w:t>
      </w:r>
      <w:r>
        <w:rPr>
          <w:spacing w:val="40"/>
          <w:w w:val="110"/>
        </w:rPr>
        <w:t> </w:t>
      </w:r>
      <w:r>
        <w:rPr>
          <w:w w:val="110"/>
        </w:rPr>
        <w:t>understand</w:t>
      </w:r>
      <w:r>
        <w:rPr>
          <w:spacing w:val="40"/>
          <w:w w:val="110"/>
        </w:rPr>
        <w:t> </w:t>
      </w:r>
      <w:r>
        <w:rPr>
          <w:w w:val="110"/>
        </w:rPr>
        <w:t>that this question is not automatically </w:t>
      </w:r>
      <w:r>
        <w:rPr>
          <w:rFonts w:ascii="Lucida Sans Unicode"/>
        </w:rPr>
        <w:t>answered once one has identified a right</w:t>
      </w:r>
      <w:r>
        <w:rPr>
          <w:rFonts w:ascii="Lucida Sans Unicode"/>
          <w:spacing w:val="19"/>
        </w:rPr>
        <w:t> </w:t>
      </w:r>
      <w:r>
        <w:rPr>
          <w:rFonts w:ascii="Lucida Sans Unicode"/>
        </w:rPr>
        <w:t>included</w:t>
      </w:r>
      <w:r>
        <w:rPr>
          <w:rFonts w:ascii="Lucida Sans Unicode"/>
          <w:spacing w:val="20"/>
        </w:rPr>
        <w:t> </w:t>
      </w:r>
      <w:r>
        <w:rPr>
          <w:rFonts w:ascii="Lucida Sans Unicode"/>
        </w:rPr>
        <w:t>in</w:t>
      </w:r>
      <w:r>
        <w:rPr>
          <w:rFonts w:ascii="Lucida Sans Unicode"/>
          <w:spacing w:val="20"/>
        </w:rPr>
        <w:t> </w:t>
      </w:r>
      <w:r>
        <w:rPr>
          <w:rFonts w:ascii="Lucida Sans Unicode"/>
        </w:rPr>
        <w:t>the</w:t>
      </w:r>
      <w:r>
        <w:rPr>
          <w:rFonts w:ascii="Lucida Sans Unicode"/>
          <w:spacing w:val="20"/>
        </w:rPr>
        <w:t> </w:t>
      </w:r>
      <w:r>
        <w:rPr>
          <w:rFonts w:ascii="Lucida Sans Unicode"/>
        </w:rPr>
        <w:t>RSEO</w:t>
      </w:r>
      <w:r>
        <w:rPr>
          <w:rFonts w:ascii="Lucida Sans Unicode"/>
          <w:spacing w:val="19"/>
        </w:rPr>
        <w:t> </w:t>
      </w:r>
      <w:r>
        <w:rPr>
          <w:rFonts w:ascii="Lucida Sans Unicode"/>
        </w:rPr>
        <w:t>section</w:t>
      </w:r>
      <w:r>
        <w:rPr>
          <w:rFonts w:ascii="Lucida Sans Unicode"/>
          <w:spacing w:val="20"/>
        </w:rPr>
        <w:t> </w:t>
      </w:r>
      <w:r>
        <w:rPr>
          <w:rFonts w:ascii="Lucida Sans Unicode"/>
          <w:spacing w:val="-5"/>
        </w:rPr>
        <w:t>of</w:t>
      </w:r>
    </w:p>
    <w:p>
      <w:pPr>
        <w:pStyle w:val="BodyText"/>
        <w:spacing w:line="273" w:lineRule="auto" w:before="27"/>
        <w:ind w:right="266"/>
      </w:pPr>
      <w:r>
        <w:rPr>
          <w:w w:val="110"/>
        </w:rPr>
        <w:t>the Belfast (Good Friday) </w:t>
      </w:r>
      <w:r>
        <w:rPr>
          <w:w w:val="110"/>
        </w:rPr>
        <w:t>Agreement, which is underpinned by EU law. For instance, Article </w:t>
      </w:r>
      <w:r>
        <w:rPr/>
        <w:t>11 </w:t>
      </w:r>
      <w:r>
        <w:rPr>
          <w:w w:val="110"/>
        </w:rPr>
        <w:t>CFR – protecting the</w:t>
      </w:r>
      <w:r>
        <w:rPr>
          <w:spacing w:val="40"/>
          <w:w w:val="110"/>
        </w:rPr>
        <w:t> </w:t>
      </w:r>
      <w:r>
        <w:rPr>
          <w:w w:val="110"/>
        </w:rPr>
        <w:t>right</w:t>
      </w:r>
      <w:r>
        <w:rPr>
          <w:spacing w:val="40"/>
          <w:w w:val="110"/>
        </w:rPr>
        <w:t> </w:t>
      </w:r>
      <w:r>
        <w:rPr>
          <w:w w:val="110"/>
        </w:rPr>
        <w:t>to</w:t>
      </w:r>
      <w:r>
        <w:rPr>
          <w:spacing w:val="40"/>
          <w:w w:val="110"/>
        </w:rPr>
        <w:t> </w:t>
      </w:r>
      <w:r>
        <w:rPr>
          <w:w w:val="110"/>
        </w:rPr>
        <w:t>freedom</w:t>
      </w:r>
      <w:r>
        <w:rPr>
          <w:spacing w:val="40"/>
          <w:w w:val="110"/>
        </w:rPr>
        <w:t> </w:t>
      </w:r>
      <w:r>
        <w:rPr>
          <w:w w:val="110"/>
        </w:rPr>
        <w:t>of</w:t>
      </w:r>
      <w:r>
        <w:rPr>
          <w:spacing w:val="40"/>
          <w:w w:val="110"/>
        </w:rPr>
        <w:t> </w:t>
      </w:r>
      <w:r>
        <w:rPr>
          <w:w w:val="110"/>
        </w:rPr>
        <w:t>expression and the right to receive information</w:t>
      </w:r>
    </w:p>
    <w:p>
      <w:pPr>
        <w:pStyle w:val="BodyText"/>
        <w:spacing w:line="235" w:lineRule="auto" w:before="9"/>
        <w:ind w:right="116"/>
      </w:pPr>
      <w:r>
        <w:rPr>
          <w:w w:val="105"/>
        </w:rPr>
        <w:t>– is underpinned by the Audiovisual</w:t>
      </w:r>
      <w:r>
        <w:rPr>
          <w:spacing w:val="40"/>
          <w:w w:val="105"/>
        </w:rPr>
        <w:t> </w:t>
      </w:r>
      <w:r>
        <w:rPr>
          <w:rFonts w:ascii="Lucida Sans Unicode" w:hAnsi="Lucida Sans Unicode"/>
          <w:w w:val="105"/>
        </w:rPr>
        <w:t>Media</w:t>
      </w:r>
      <w:r>
        <w:rPr>
          <w:rFonts w:ascii="Lucida Sans Unicode" w:hAnsi="Lucida Sans Unicode"/>
          <w:spacing w:val="-3"/>
          <w:w w:val="105"/>
        </w:rPr>
        <w:t> </w:t>
      </w:r>
      <w:r>
        <w:rPr>
          <w:rFonts w:ascii="Lucida Sans Unicode" w:hAnsi="Lucida Sans Unicode"/>
          <w:w w:val="105"/>
        </w:rPr>
        <w:t>Services</w:t>
      </w:r>
      <w:r>
        <w:rPr>
          <w:rFonts w:ascii="Lucida Sans Unicode" w:hAnsi="Lucida Sans Unicode"/>
          <w:spacing w:val="-3"/>
          <w:w w:val="105"/>
        </w:rPr>
        <w:t> </w:t>
      </w:r>
      <w:r>
        <w:rPr>
          <w:rFonts w:ascii="Lucida Sans Unicode" w:hAnsi="Lucida Sans Unicode"/>
          <w:w w:val="105"/>
        </w:rPr>
        <w:t>Directive.</w:t>
      </w:r>
      <w:r>
        <w:rPr>
          <w:rFonts w:ascii="Lucida Sans Unicode" w:hAnsi="Lucida Sans Unicode"/>
          <w:w w:val="105"/>
          <w:vertAlign w:val="superscript"/>
        </w:rPr>
        <w:t>2</w:t>
      </w:r>
      <w:r>
        <w:rPr>
          <w:rFonts w:ascii="Lucida Sans Unicode" w:hAnsi="Lucida Sans Unicode"/>
          <w:w w:val="105"/>
          <w:vertAlign w:val="superscript"/>
        </w:rPr>
        <w:t>01</w:t>
      </w:r>
      <w:r>
        <w:rPr>
          <w:rFonts w:ascii="Lucida Sans Unicode" w:hAnsi="Lucida Sans Unicode"/>
          <w:spacing w:val="-3"/>
          <w:w w:val="105"/>
          <w:vertAlign w:val="baseline"/>
        </w:rPr>
        <w:t> </w:t>
      </w:r>
      <w:r>
        <w:rPr>
          <w:w w:val="105"/>
          <w:vertAlign w:val="baseline"/>
        </w:rPr>
        <w:t>This does not mean, however, that Article </w:t>
      </w:r>
      <w:r>
        <w:rPr>
          <w:vertAlign w:val="baseline"/>
        </w:rPr>
        <w:t>11 </w:t>
      </w:r>
      <w:r>
        <w:rPr>
          <w:w w:val="105"/>
          <w:vertAlign w:val="baseline"/>
        </w:rPr>
        <w:t>CFR</w:t>
      </w:r>
    </w:p>
    <w:p>
      <w:pPr>
        <w:pStyle w:val="BodyText"/>
        <w:spacing w:line="316" w:lineRule="exact" w:before="13"/>
        <w:ind w:right="266"/>
      </w:pPr>
      <w:r>
        <w:rPr>
          <w:w w:val="110"/>
        </w:rPr>
        <w:t>can be invoked in every free speech case in Northern Ireland under </w:t>
      </w:r>
      <w:r>
        <w:rPr>
          <w:w w:val="110"/>
        </w:rPr>
        <w:t>Article </w:t>
      </w:r>
      <w:r>
        <w:rPr>
          <w:rFonts w:ascii="Lucida Sans Unicode"/>
        </w:rPr>
        <w:t>2 of the Windsor Framework. Instead, </w:t>
      </w:r>
      <w:r>
        <w:rPr>
          <w:w w:val="110"/>
        </w:rPr>
        <w:t>one must answer the hypothetical </w:t>
      </w:r>
      <w:r>
        <w:rPr>
          <w:rFonts w:ascii="Lucida Sans Unicode"/>
        </w:rPr>
        <w:t>question whether the specific case </w:t>
      </w:r>
      <w:r>
        <w:rPr>
          <w:w w:val="110"/>
        </w:rPr>
        <w:t>would have been in the scope of</w:t>
      </w:r>
    </w:p>
    <w:p>
      <w:pPr>
        <w:pStyle w:val="BodyText"/>
        <w:spacing w:line="264" w:lineRule="auto" w:before="26"/>
        <w:ind w:right="523"/>
        <w:rPr>
          <w:rFonts w:ascii="Lucida Sans Unicode"/>
        </w:rPr>
      </w:pPr>
      <w:r>
        <w:rPr>
          <w:w w:val="110"/>
        </w:rPr>
        <w:t>EU law if the UK were still in the EU.</w:t>
      </w:r>
      <w:r>
        <w:rPr>
          <w:spacing w:val="-13"/>
          <w:w w:val="110"/>
        </w:rPr>
        <w:t> </w:t>
      </w:r>
      <w:r>
        <w:rPr>
          <w:w w:val="110"/>
        </w:rPr>
        <w:t>For</w:t>
      </w:r>
      <w:r>
        <w:rPr>
          <w:spacing w:val="-13"/>
          <w:w w:val="110"/>
        </w:rPr>
        <w:t> </w:t>
      </w:r>
      <w:r>
        <w:rPr>
          <w:w w:val="110"/>
        </w:rPr>
        <w:t>example,</w:t>
      </w:r>
      <w:r>
        <w:rPr>
          <w:spacing w:val="-13"/>
          <w:w w:val="110"/>
        </w:rPr>
        <w:t> </w:t>
      </w:r>
      <w:r>
        <w:rPr>
          <w:w w:val="110"/>
        </w:rPr>
        <w:t>speech</w:t>
      </w:r>
      <w:r>
        <w:rPr>
          <w:spacing w:val="-13"/>
          <w:w w:val="110"/>
        </w:rPr>
        <w:t> </w:t>
      </w:r>
      <w:r>
        <w:rPr>
          <w:w w:val="110"/>
        </w:rPr>
        <w:t>made</w:t>
      </w:r>
      <w:r>
        <w:rPr>
          <w:spacing w:val="-13"/>
          <w:w w:val="110"/>
        </w:rPr>
        <w:t> </w:t>
      </w:r>
      <w:r>
        <w:rPr>
          <w:w w:val="110"/>
        </w:rPr>
        <w:t>at</w:t>
      </w:r>
      <w:r>
        <w:rPr>
          <w:spacing w:val="-13"/>
          <w:w w:val="110"/>
        </w:rPr>
        <w:t> </w:t>
      </w:r>
      <w:r>
        <w:rPr>
          <w:w w:val="110"/>
        </w:rPr>
        <w:t>a demonstration in Belfast opposing </w:t>
      </w:r>
      <w:r>
        <w:rPr>
          <w:rFonts w:ascii="Lucida Sans Unicode"/>
          <w:spacing w:val="-2"/>
          <w:w w:val="110"/>
        </w:rPr>
        <w:t>certain</w:t>
      </w:r>
      <w:r>
        <w:rPr>
          <w:rFonts w:ascii="Lucida Sans Unicode"/>
          <w:spacing w:val="-19"/>
          <w:w w:val="110"/>
        </w:rPr>
        <w:t> </w:t>
      </w:r>
      <w:r>
        <w:rPr>
          <w:rFonts w:ascii="Lucida Sans Unicode"/>
          <w:spacing w:val="-2"/>
          <w:w w:val="110"/>
        </w:rPr>
        <w:t>road</w:t>
      </w:r>
      <w:r>
        <w:rPr>
          <w:rFonts w:ascii="Lucida Sans Unicode"/>
          <w:spacing w:val="-19"/>
          <w:w w:val="110"/>
        </w:rPr>
        <w:t> </w:t>
      </w:r>
      <w:r>
        <w:rPr>
          <w:rFonts w:ascii="Lucida Sans Unicode"/>
          <w:spacing w:val="-2"/>
          <w:w w:val="110"/>
        </w:rPr>
        <w:t>traffic</w:t>
      </w:r>
      <w:r>
        <w:rPr>
          <w:rFonts w:ascii="Lucida Sans Unicode"/>
          <w:spacing w:val="-19"/>
          <w:w w:val="110"/>
        </w:rPr>
        <w:t> </w:t>
      </w:r>
      <w:r>
        <w:rPr>
          <w:rFonts w:ascii="Lucida Sans Unicode"/>
          <w:spacing w:val="-2"/>
          <w:w w:val="110"/>
        </w:rPr>
        <w:t>measures</w:t>
      </w:r>
    </w:p>
    <w:p>
      <w:pPr>
        <w:pStyle w:val="BodyText"/>
        <w:spacing w:line="222" w:lineRule="exact"/>
      </w:pPr>
      <w:r>
        <w:rPr>
          <w:w w:val="115"/>
        </w:rPr>
        <w:t>introduced</w:t>
      </w:r>
      <w:r>
        <w:rPr>
          <w:spacing w:val="-13"/>
          <w:w w:val="115"/>
        </w:rPr>
        <w:t> </w:t>
      </w:r>
      <w:r>
        <w:rPr>
          <w:w w:val="115"/>
        </w:rPr>
        <w:t>by</w:t>
      </w:r>
      <w:r>
        <w:rPr>
          <w:spacing w:val="-13"/>
          <w:w w:val="115"/>
        </w:rPr>
        <w:t> </w:t>
      </w:r>
      <w:r>
        <w:rPr>
          <w:w w:val="115"/>
        </w:rPr>
        <w:t>Belfast</w:t>
      </w:r>
      <w:r>
        <w:rPr>
          <w:spacing w:val="-13"/>
          <w:w w:val="115"/>
        </w:rPr>
        <w:t> </w:t>
      </w:r>
      <w:r>
        <w:rPr>
          <w:w w:val="115"/>
        </w:rPr>
        <w:t>City</w:t>
      </w:r>
      <w:r>
        <w:rPr>
          <w:spacing w:val="-12"/>
          <w:w w:val="115"/>
        </w:rPr>
        <w:t> </w:t>
      </w:r>
      <w:r>
        <w:rPr>
          <w:spacing w:val="-2"/>
          <w:w w:val="115"/>
        </w:rPr>
        <w:t>Council</w:t>
      </w:r>
    </w:p>
    <w:p>
      <w:pPr>
        <w:pStyle w:val="BodyText"/>
        <w:spacing w:line="273" w:lineRule="auto" w:before="40"/>
        <w:ind w:right="266"/>
      </w:pPr>
      <w:r>
        <w:rPr>
          <w:w w:val="115"/>
        </w:rPr>
        <w:t>would</w:t>
      </w:r>
      <w:r>
        <w:rPr>
          <w:spacing w:val="-15"/>
          <w:w w:val="115"/>
        </w:rPr>
        <w:t> </w:t>
      </w:r>
      <w:r>
        <w:rPr>
          <w:w w:val="115"/>
        </w:rPr>
        <w:t>not</w:t>
      </w:r>
      <w:r>
        <w:rPr>
          <w:spacing w:val="-15"/>
          <w:w w:val="115"/>
        </w:rPr>
        <w:t> </w:t>
      </w:r>
      <w:r>
        <w:rPr>
          <w:w w:val="115"/>
        </w:rPr>
        <w:t>be</w:t>
      </w:r>
      <w:r>
        <w:rPr>
          <w:spacing w:val="-15"/>
          <w:w w:val="115"/>
        </w:rPr>
        <w:t> </w:t>
      </w:r>
      <w:r>
        <w:rPr>
          <w:w w:val="115"/>
        </w:rPr>
        <w:t>in</w:t>
      </w:r>
      <w:r>
        <w:rPr>
          <w:spacing w:val="-15"/>
          <w:w w:val="115"/>
        </w:rPr>
        <w:t> </w:t>
      </w:r>
      <w:r>
        <w:rPr>
          <w:w w:val="115"/>
        </w:rPr>
        <w:t>the</w:t>
      </w:r>
      <w:r>
        <w:rPr>
          <w:spacing w:val="-15"/>
          <w:w w:val="115"/>
        </w:rPr>
        <w:t> </w:t>
      </w:r>
      <w:r>
        <w:rPr>
          <w:w w:val="115"/>
        </w:rPr>
        <w:t>scope</w:t>
      </w:r>
      <w:r>
        <w:rPr>
          <w:spacing w:val="-15"/>
          <w:w w:val="115"/>
        </w:rPr>
        <w:t> </w:t>
      </w:r>
      <w:r>
        <w:rPr>
          <w:w w:val="115"/>
        </w:rPr>
        <w:t>of</w:t>
      </w:r>
      <w:r>
        <w:rPr>
          <w:spacing w:val="-15"/>
          <w:w w:val="115"/>
        </w:rPr>
        <w:t> </w:t>
      </w:r>
      <w:r>
        <w:rPr>
          <w:w w:val="115"/>
        </w:rPr>
        <w:t>EU</w:t>
      </w:r>
      <w:r>
        <w:rPr>
          <w:spacing w:val="-15"/>
          <w:w w:val="115"/>
        </w:rPr>
        <w:t> </w:t>
      </w:r>
      <w:r>
        <w:rPr>
          <w:w w:val="115"/>
        </w:rPr>
        <w:t>law and thus the speaker would not be protected by Article </w:t>
      </w:r>
      <w:r>
        <w:rPr/>
        <w:t>11 </w:t>
      </w:r>
      <w:r>
        <w:rPr>
          <w:w w:val="115"/>
        </w:rPr>
        <w:t>CFR.</w:t>
      </w:r>
    </w:p>
    <w:p>
      <w:pPr>
        <w:pStyle w:val="BodyText"/>
        <w:spacing w:before="27"/>
        <w:ind w:left="0"/>
      </w:pPr>
    </w:p>
    <w:p>
      <w:pPr>
        <w:pStyle w:val="BodyText"/>
        <w:spacing w:line="273" w:lineRule="auto"/>
        <w:ind w:right="538"/>
      </w:pPr>
      <w:r>
        <w:rPr>
          <w:w w:val="115"/>
        </w:rPr>
        <w:t>The</w:t>
      </w:r>
      <w:r>
        <w:rPr>
          <w:spacing w:val="-2"/>
          <w:w w:val="115"/>
        </w:rPr>
        <w:t> </w:t>
      </w:r>
      <w:r>
        <w:rPr>
          <w:w w:val="115"/>
        </w:rPr>
        <w:t>same</w:t>
      </w:r>
      <w:r>
        <w:rPr>
          <w:spacing w:val="-2"/>
          <w:w w:val="115"/>
        </w:rPr>
        <w:t> </w:t>
      </w:r>
      <w:r>
        <w:rPr>
          <w:w w:val="115"/>
        </w:rPr>
        <w:t>would</w:t>
      </w:r>
      <w:r>
        <w:rPr>
          <w:spacing w:val="-2"/>
          <w:w w:val="115"/>
        </w:rPr>
        <w:t> </w:t>
      </w:r>
      <w:r>
        <w:rPr>
          <w:w w:val="115"/>
        </w:rPr>
        <w:t>be</w:t>
      </w:r>
      <w:r>
        <w:rPr>
          <w:spacing w:val="-2"/>
          <w:w w:val="115"/>
        </w:rPr>
        <w:t> </w:t>
      </w:r>
      <w:r>
        <w:rPr>
          <w:w w:val="115"/>
        </w:rPr>
        <w:t>true</w:t>
      </w:r>
      <w:r>
        <w:rPr>
          <w:spacing w:val="-2"/>
          <w:w w:val="115"/>
        </w:rPr>
        <w:t> </w:t>
      </w:r>
      <w:r>
        <w:rPr>
          <w:w w:val="115"/>
        </w:rPr>
        <w:t>in</w:t>
      </w:r>
      <w:r>
        <w:rPr>
          <w:spacing w:val="-2"/>
          <w:w w:val="115"/>
        </w:rPr>
        <w:t> </w:t>
      </w:r>
      <w:r>
        <w:rPr>
          <w:w w:val="115"/>
        </w:rPr>
        <w:t>cases of over-implementation (so-called ‘gold</w:t>
      </w:r>
      <w:r>
        <w:rPr>
          <w:spacing w:val="-19"/>
          <w:w w:val="115"/>
        </w:rPr>
        <w:t> </w:t>
      </w:r>
      <w:r>
        <w:rPr>
          <w:w w:val="115"/>
        </w:rPr>
        <w:t>plating’)</w:t>
      </w:r>
      <w:r>
        <w:rPr>
          <w:spacing w:val="-19"/>
          <w:w w:val="115"/>
        </w:rPr>
        <w:t> </w:t>
      </w:r>
      <w:r>
        <w:rPr>
          <w:w w:val="115"/>
        </w:rPr>
        <w:t>of</w:t>
      </w:r>
      <w:r>
        <w:rPr>
          <w:spacing w:val="-19"/>
          <w:w w:val="115"/>
        </w:rPr>
        <w:t> </w:t>
      </w:r>
      <w:r>
        <w:rPr>
          <w:w w:val="115"/>
        </w:rPr>
        <w:t>EU</w:t>
      </w:r>
      <w:r>
        <w:rPr>
          <w:spacing w:val="-19"/>
          <w:w w:val="115"/>
        </w:rPr>
        <w:t> </w:t>
      </w:r>
      <w:r>
        <w:rPr>
          <w:w w:val="115"/>
        </w:rPr>
        <w:t>directives.</w:t>
      </w:r>
      <w:r>
        <w:rPr>
          <w:spacing w:val="-19"/>
          <w:w w:val="115"/>
        </w:rPr>
        <w:t> </w:t>
      </w:r>
      <w:r>
        <w:rPr>
          <w:w w:val="115"/>
        </w:rPr>
        <w:t>For instance, the Equality Framework</w:t>
      </w:r>
    </w:p>
    <w:p>
      <w:pPr>
        <w:pStyle w:val="BodyText"/>
        <w:spacing w:line="328" w:lineRule="exact"/>
        <w:rPr>
          <w:rFonts w:ascii="Lucida Sans Unicode"/>
        </w:rPr>
      </w:pPr>
      <w:r>
        <w:rPr>
          <w:rFonts w:ascii="Lucida Sans Unicode"/>
          <w:spacing w:val="-2"/>
          <w:w w:val="105"/>
        </w:rPr>
        <w:t>Directive</w:t>
      </w:r>
      <w:r>
        <w:rPr>
          <w:rFonts w:ascii="Lucida Sans Unicode"/>
          <w:spacing w:val="-10"/>
          <w:w w:val="105"/>
        </w:rPr>
        <w:t> </w:t>
      </w:r>
      <w:r>
        <w:rPr>
          <w:rFonts w:ascii="Lucida Sans Unicode"/>
          <w:spacing w:val="-2"/>
          <w:w w:val="105"/>
        </w:rPr>
        <w:t>2000/78/EC</w:t>
      </w:r>
      <w:r>
        <w:rPr>
          <w:rFonts w:ascii="Lucida Sans Unicode"/>
          <w:spacing w:val="-9"/>
          <w:w w:val="105"/>
        </w:rPr>
        <w:t> </w:t>
      </w:r>
      <w:r>
        <w:rPr>
          <w:rFonts w:ascii="Lucida Sans Unicode"/>
          <w:spacing w:val="-2"/>
          <w:w w:val="105"/>
        </w:rPr>
        <w:t>does</w:t>
      </w:r>
      <w:r>
        <w:rPr>
          <w:rFonts w:ascii="Lucida Sans Unicode"/>
          <w:spacing w:val="-9"/>
          <w:w w:val="105"/>
        </w:rPr>
        <w:t> </w:t>
      </w:r>
      <w:r>
        <w:rPr>
          <w:rFonts w:ascii="Lucida Sans Unicode"/>
          <w:spacing w:val="-2"/>
          <w:w w:val="105"/>
        </w:rPr>
        <w:t>not</w:t>
      </w:r>
      <w:r>
        <w:rPr>
          <w:rFonts w:ascii="Lucida Sans Unicode"/>
          <w:spacing w:val="-9"/>
          <w:w w:val="105"/>
        </w:rPr>
        <w:t> </w:t>
      </w:r>
      <w:r>
        <w:rPr>
          <w:rFonts w:ascii="Lucida Sans Unicode"/>
          <w:spacing w:val="-2"/>
          <w:w w:val="105"/>
        </w:rPr>
        <w:t>cover</w:t>
      </w:r>
    </w:p>
    <w:p>
      <w:pPr>
        <w:pStyle w:val="BodyText"/>
        <w:spacing w:line="256" w:lineRule="auto"/>
      </w:pPr>
      <w:r>
        <w:rPr>
          <w:w w:val="115"/>
        </w:rPr>
        <w:t>discrimination on the basis of sexual orientation in the provision of goods </w:t>
      </w:r>
      <w:r>
        <w:rPr>
          <w:spacing w:val="-2"/>
          <w:w w:val="110"/>
        </w:rPr>
        <w:t>and</w:t>
      </w:r>
      <w:r>
        <w:rPr>
          <w:spacing w:val="-9"/>
          <w:w w:val="110"/>
        </w:rPr>
        <w:t> </w:t>
      </w:r>
      <w:r>
        <w:rPr>
          <w:spacing w:val="-2"/>
          <w:w w:val="110"/>
        </w:rPr>
        <w:t>services.</w:t>
      </w:r>
      <w:r>
        <w:rPr>
          <w:rFonts w:ascii="Lucida Sans Unicode"/>
          <w:spacing w:val="-2"/>
          <w:w w:val="110"/>
          <w:vertAlign w:val="superscript"/>
        </w:rPr>
        <w:t>202</w:t>
      </w:r>
      <w:r>
        <w:rPr>
          <w:rFonts w:ascii="Lucida Sans Unicode"/>
          <w:spacing w:val="-19"/>
          <w:w w:val="110"/>
          <w:vertAlign w:val="baseline"/>
        </w:rPr>
        <w:t> </w:t>
      </w:r>
      <w:r>
        <w:rPr>
          <w:spacing w:val="-2"/>
          <w:w w:val="110"/>
          <w:vertAlign w:val="baseline"/>
        </w:rPr>
        <w:t>Nonetheless,</w:t>
      </w:r>
      <w:r>
        <w:rPr>
          <w:spacing w:val="-9"/>
          <w:w w:val="110"/>
          <w:vertAlign w:val="baseline"/>
        </w:rPr>
        <w:t> </w:t>
      </w:r>
      <w:r>
        <w:rPr>
          <w:spacing w:val="-2"/>
          <w:w w:val="110"/>
          <w:vertAlign w:val="baseline"/>
        </w:rPr>
        <w:t>Northern</w:t>
      </w:r>
    </w:p>
    <w:p>
      <w:pPr>
        <w:pStyle w:val="BodyText"/>
        <w:spacing w:line="238" w:lineRule="exact"/>
      </w:pPr>
      <w:r>
        <w:rPr>
          <w:w w:val="110"/>
        </w:rPr>
        <w:t>Ireland</w:t>
      </w:r>
      <w:r>
        <w:rPr>
          <w:spacing w:val="9"/>
          <w:w w:val="110"/>
        </w:rPr>
        <w:t> </w:t>
      </w:r>
      <w:r>
        <w:rPr>
          <w:w w:val="110"/>
        </w:rPr>
        <w:t>equality</w:t>
      </w:r>
      <w:r>
        <w:rPr>
          <w:spacing w:val="10"/>
          <w:w w:val="110"/>
        </w:rPr>
        <w:t> </w:t>
      </w:r>
      <w:r>
        <w:rPr>
          <w:w w:val="110"/>
        </w:rPr>
        <w:t>law</w:t>
      </w:r>
      <w:r>
        <w:rPr>
          <w:spacing w:val="10"/>
          <w:w w:val="110"/>
        </w:rPr>
        <w:t> </w:t>
      </w:r>
      <w:r>
        <w:rPr>
          <w:w w:val="110"/>
        </w:rPr>
        <w:t>does</w:t>
      </w:r>
      <w:r>
        <w:rPr>
          <w:spacing w:val="10"/>
          <w:w w:val="110"/>
        </w:rPr>
        <w:t> </w:t>
      </w:r>
      <w:r>
        <w:rPr>
          <w:spacing w:val="-2"/>
          <w:w w:val="110"/>
        </w:rPr>
        <w:t>prohibit</w:t>
      </w:r>
    </w:p>
    <w:p>
      <w:pPr>
        <w:pStyle w:val="BodyText"/>
        <w:spacing w:line="316" w:lineRule="exact" w:before="4"/>
        <w:ind w:right="364"/>
      </w:pPr>
      <w:r>
        <w:rPr>
          <w:w w:val="115"/>
        </w:rPr>
        <w:t>such discrimination in the provision of</w:t>
      </w:r>
      <w:r>
        <w:rPr>
          <w:spacing w:val="-20"/>
          <w:w w:val="115"/>
        </w:rPr>
        <w:t> </w:t>
      </w:r>
      <w:r>
        <w:rPr>
          <w:w w:val="115"/>
        </w:rPr>
        <w:t>goods</w:t>
      </w:r>
      <w:r>
        <w:rPr>
          <w:spacing w:val="-19"/>
          <w:w w:val="115"/>
        </w:rPr>
        <w:t> </w:t>
      </w:r>
      <w:r>
        <w:rPr>
          <w:w w:val="115"/>
        </w:rPr>
        <w:t>and</w:t>
      </w:r>
      <w:r>
        <w:rPr>
          <w:spacing w:val="-19"/>
          <w:w w:val="115"/>
        </w:rPr>
        <w:t> </w:t>
      </w:r>
      <w:r>
        <w:rPr>
          <w:w w:val="115"/>
        </w:rPr>
        <w:t>services.</w:t>
      </w:r>
      <w:r>
        <w:rPr>
          <w:rFonts w:ascii="Lucida Sans Unicode"/>
          <w:w w:val="115"/>
          <w:vertAlign w:val="superscript"/>
        </w:rPr>
        <w:t>203</w:t>
      </w:r>
      <w:r>
        <w:rPr>
          <w:rFonts w:ascii="Lucida Sans Unicode"/>
          <w:spacing w:val="-22"/>
          <w:w w:val="115"/>
          <w:vertAlign w:val="baseline"/>
        </w:rPr>
        <w:t> </w:t>
      </w:r>
      <w:r>
        <w:rPr>
          <w:w w:val="115"/>
          <w:vertAlign w:val="baseline"/>
        </w:rPr>
        <w:t>In</w:t>
      </w:r>
      <w:r>
        <w:rPr>
          <w:spacing w:val="-19"/>
          <w:w w:val="115"/>
          <w:vertAlign w:val="baseline"/>
        </w:rPr>
        <w:t> </w:t>
      </w:r>
      <w:r>
        <w:rPr>
          <w:w w:val="115"/>
          <w:vertAlign w:val="baseline"/>
        </w:rPr>
        <w:t>cases relating</w:t>
      </w:r>
      <w:r>
        <w:rPr>
          <w:spacing w:val="-16"/>
          <w:w w:val="115"/>
          <w:vertAlign w:val="baseline"/>
        </w:rPr>
        <w:t> </w:t>
      </w:r>
      <w:r>
        <w:rPr>
          <w:w w:val="115"/>
          <w:vertAlign w:val="baseline"/>
        </w:rPr>
        <w:t>to</w:t>
      </w:r>
      <w:r>
        <w:rPr>
          <w:spacing w:val="-16"/>
          <w:w w:val="115"/>
          <w:vertAlign w:val="baseline"/>
        </w:rPr>
        <w:t> </w:t>
      </w:r>
      <w:r>
        <w:rPr>
          <w:w w:val="115"/>
          <w:vertAlign w:val="baseline"/>
        </w:rPr>
        <w:t>such</w:t>
      </w:r>
      <w:r>
        <w:rPr>
          <w:spacing w:val="-16"/>
          <w:w w:val="115"/>
          <w:vertAlign w:val="baseline"/>
        </w:rPr>
        <w:t> </w:t>
      </w:r>
      <w:r>
        <w:rPr>
          <w:w w:val="115"/>
          <w:vertAlign w:val="baseline"/>
        </w:rPr>
        <w:t>discrimination</w:t>
      </w:r>
      <w:r>
        <w:rPr>
          <w:spacing w:val="-16"/>
          <w:w w:val="115"/>
          <w:vertAlign w:val="baseline"/>
        </w:rPr>
        <w:t> </w:t>
      </w:r>
      <w:r>
        <w:rPr>
          <w:w w:val="115"/>
          <w:vertAlign w:val="baseline"/>
        </w:rPr>
        <w:t>in</w:t>
      </w:r>
      <w:r>
        <w:rPr>
          <w:spacing w:val="-16"/>
          <w:w w:val="115"/>
          <w:vertAlign w:val="baseline"/>
        </w:rPr>
        <w:t> </w:t>
      </w:r>
      <w:r>
        <w:rPr>
          <w:w w:val="115"/>
          <w:vertAlign w:val="baseline"/>
        </w:rPr>
        <w:t>the provision</w:t>
      </w:r>
      <w:r>
        <w:rPr>
          <w:spacing w:val="-4"/>
          <w:w w:val="115"/>
          <w:vertAlign w:val="baseline"/>
        </w:rPr>
        <w:t> </w:t>
      </w:r>
      <w:r>
        <w:rPr>
          <w:w w:val="115"/>
          <w:vertAlign w:val="baseline"/>
        </w:rPr>
        <w:t>of</w:t>
      </w:r>
      <w:r>
        <w:rPr>
          <w:spacing w:val="-4"/>
          <w:w w:val="115"/>
          <w:vertAlign w:val="baseline"/>
        </w:rPr>
        <w:t> </w:t>
      </w:r>
      <w:r>
        <w:rPr>
          <w:w w:val="115"/>
          <w:vertAlign w:val="baseline"/>
        </w:rPr>
        <w:t>services</w:t>
      </w:r>
      <w:r>
        <w:rPr>
          <w:spacing w:val="-4"/>
          <w:w w:val="115"/>
          <w:vertAlign w:val="baseline"/>
        </w:rPr>
        <w:t> </w:t>
      </w:r>
      <w:r>
        <w:rPr>
          <w:w w:val="115"/>
          <w:vertAlign w:val="baseline"/>
        </w:rPr>
        <w:t>(e.g.</w:t>
      </w:r>
      <w:r>
        <w:rPr>
          <w:spacing w:val="-4"/>
          <w:w w:val="115"/>
          <w:vertAlign w:val="baseline"/>
        </w:rPr>
        <w:t> </w:t>
      </w:r>
      <w:r>
        <w:rPr>
          <w:w w:val="115"/>
          <w:vertAlign w:val="baseline"/>
        </w:rPr>
        <w:t>against</w:t>
      </w:r>
      <w:r>
        <w:rPr>
          <w:spacing w:val="-4"/>
          <w:w w:val="115"/>
          <w:vertAlign w:val="baseline"/>
        </w:rPr>
        <w:t> </w:t>
      </w:r>
      <w:r>
        <w:rPr>
          <w:w w:val="115"/>
          <w:vertAlign w:val="baseline"/>
        </w:rPr>
        <w:t>a self-employed individual) therefore,</w:t>
      </w:r>
    </w:p>
    <w:p>
      <w:pPr>
        <w:pStyle w:val="BodyText"/>
        <w:spacing w:line="357" w:lineRule="exact"/>
        <w:rPr>
          <w:rFonts w:ascii="Lucida Sans Unicode"/>
        </w:rPr>
      </w:pPr>
      <w:r>
        <w:rPr>
          <w:rFonts w:ascii="Lucida Sans Unicode"/>
          <w:w w:val="105"/>
        </w:rPr>
        <w:t>Charter</w:t>
      </w:r>
      <w:r>
        <w:rPr>
          <w:rFonts w:ascii="Lucida Sans Unicode"/>
          <w:spacing w:val="-17"/>
          <w:w w:val="105"/>
        </w:rPr>
        <w:t> </w:t>
      </w:r>
      <w:r>
        <w:rPr>
          <w:rFonts w:ascii="Lucida Sans Unicode"/>
          <w:w w:val="105"/>
        </w:rPr>
        <w:t>rights</w:t>
      </w:r>
      <w:r>
        <w:rPr>
          <w:rFonts w:ascii="Lucida Sans Unicode"/>
          <w:spacing w:val="-17"/>
          <w:w w:val="105"/>
        </w:rPr>
        <w:t> </w:t>
      </w:r>
      <w:r>
        <w:rPr>
          <w:rFonts w:ascii="Lucida Sans Unicode"/>
          <w:w w:val="105"/>
        </w:rPr>
        <w:t>(e.g.</w:t>
      </w:r>
      <w:r>
        <w:rPr>
          <w:rFonts w:ascii="Lucida Sans Unicode"/>
          <w:spacing w:val="-17"/>
          <w:w w:val="105"/>
        </w:rPr>
        <w:t> </w:t>
      </w:r>
      <w:r>
        <w:rPr>
          <w:rFonts w:ascii="Lucida Sans Unicode"/>
          <w:w w:val="105"/>
        </w:rPr>
        <w:t>Article</w:t>
      </w:r>
      <w:r>
        <w:rPr>
          <w:rFonts w:ascii="Lucida Sans Unicode"/>
          <w:spacing w:val="-17"/>
          <w:w w:val="105"/>
        </w:rPr>
        <w:t> </w:t>
      </w:r>
      <w:r>
        <w:rPr>
          <w:rFonts w:ascii="Lucida Sans Unicode"/>
          <w:w w:val="105"/>
        </w:rPr>
        <w:t>47</w:t>
      </w:r>
      <w:r>
        <w:rPr>
          <w:rFonts w:ascii="Lucida Sans Unicode"/>
          <w:spacing w:val="-17"/>
          <w:w w:val="105"/>
        </w:rPr>
        <w:t> </w:t>
      </w:r>
      <w:r>
        <w:rPr>
          <w:rFonts w:ascii="Lucida Sans Unicode"/>
          <w:w w:val="105"/>
        </w:rPr>
        <w:t>CFR)</w:t>
      </w:r>
      <w:r>
        <w:rPr>
          <w:rFonts w:ascii="Lucida Sans Unicode"/>
          <w:spacing w:val="-16"/>
          <w:w w:val="105"/>
        </w:rPr>
        <w:t> </w:t>
      </w:r>
      <w:r>
        <w:rPr>
          <w:rFonts w:ascii="Lucida Sans Unicode"/>
          <w:spacing w:val="-5"/>
          <w:w w:val="105"/>
        </w:rPr>
        <w:t>do</w:t>
      </w:r>
    </w:p>
    <w:p>
      <w:pPr>
        <w:spacing w:after="0" w:line="357" w:lineRule="exact"/>
        <w:rPr>
          <w:rFonts w:ascii="Lucida Sans Unicode"/>
        </w:rPr>
        <w:sectPr>
          <w:type w:val="continuous"/>
          <w:pgSz w:w="11910" w:h="16840"/>
          <w:pgMar w:header="568" w:footer="580" w:top="0" w:bottom="280" w:left="1020" w:right="1020"/>
          <w:cols w:num="2" w:equalWidth="0">
            <w:col w:w="4746" w:space="299"/>
            <w:col w:w="4825"/>
          </w:cols>
        </w:sectPr>
      </w:pPr>
    </w:p>
    <w:p>
      <w:pPr>
        <w:pStyle w:val="BodyText"/>
        <w:spacing w:before="14" w:after="1"/>
        <w:ind w:left="0"/>
        <w:rPr>
          <w:rFonts w:ascii="Lucida Sans Unicode"/>
          <w:sz w:val="8"/>
        </w:rPr>
      </w:pPr>
    </w:p>
    <w:p>
      <w:pPr>
        <w:pStyle w:val="BodyText"/>
        <w:spacing w:line="20" w:lineRule="exact"/>
        <w:rPr>
          <w:rFonts w:ascii="Lucida Sans Unicode"/>
          <w:sz w:val="2"/>
        </w:rPr>
      </w:pPr>
      <w:r>
        <w:rPr>
          <w:rFonts w:ascii="Lucida Sans Unicode"/>
          <w:sz w:val="2"/>
        </w:rPr>
        <mc:AlternateContent>
          <mc:Choice Requires="wps">
            <w:drawing>
              <wp:inline distT="0" distB="0" distL="0" distR="0">
                <wp:extent cx="6120130" cy="6350"/>
                <wp:effectExtent l="9525" t="0" r="0" b="3175"/>
                <wp:docPr id="139" name="Group 139"/>
                <wp:cNvGraphicFramePr>
                  <a:graphicFrameLocks/>
                </wp:cNvGraphicFramePr>
                <a:graphic>
                  <a:graphicData uri="http://schemas.microsoft.com/office/word/2010/wordprocessingGroup">
                    <wpg:wgp>
                      <wpg:cNvPr id="139" name="Group 139"/>
                      <wpg:cNvGrpSpPr/>
                      <wpg:grpSpPr>
                        <a:xfrm>
                          <a:off x="0" y="0"/>
                          <a:ext cx="6120130" cy="6350"/>
                          <a:chExt cx="6120130" cy="6350"/>
                        </a:xfrm>
                      </wpg:grpSpPr>
                      <wps:wsp>
                        <wps:cNvPr id="140" name="Graphic 140"/>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88" coordorigin="0,0" coordsize="9638,10">
                <v:line style="position:absolute" from="0,5" to="9638,5" stroked="true" strokeweight=".5pt" strokecolor="#77328a">
                  <v:stroke dashstyle="solid"/>
                </v:line>
              </v:group>
            </w:pict>
          </mc:Fallback>
        </mc:AlternateContent>
      </w:r>
      <w:r>
        <w:rPr>
          <w:rFonts w:ascii="Lucida Sans Unicode"/>
          <w:sz w:val="2"/>
        </w:rPr>
      </w:r>
    </w:p>
    <w:p>
      <w:pPr>
        <w:pStyle w:val="ListParagraph"/>
        <w:numPr>
          <w:ilvl w:val="0"/>
          <w:numId w:val="6"/>
        </w:numPr>
        <w:tabs>
          <w:tab w:pos="566" w:val="left" w:leader="none"/>
        </w:tabs>
        <w:spacing w:line="223" w:lineRule="exact" w:before="61" w:after="0"/>
        <w:ind w:left="566" w:right="0" w:hanging="453"/>
        <w:jc w:val="left"/>
        <w:rPr>
          <w:sz w:val="16"/>
        </w:rPr>
      </w:pPr>
      <w:r>
        <w:rPr>
          <w:sz w:val="16"/>
        </w:rPr>
        <w:t>Directive</w:t>
      </w:r>
      <w:r>
        <w:rPr>
          <w:spacing w:val="3"/>
          <w:sz w:val="16"/>
        </w:rPr>
        <w:t> </w:t>
      </w:r>
      <w:r>
        <w:rPr>
          <w:sz w:val="16"/>
        </w:rPr>
        <w:t>2010/13/EU</w:t>
      </w:r>
      <w:r>
        <w:rPr>
          <w:spacing w:val="4"/>
          <w:sz w:val="16"/>
        </w:rPr>
        <w:t> </w:t>
      </w:r>
      <w:r>
        <w:rPr>
          <w:sz w:val="16"/>
        </w:rPr>
        <w:t>[2010]</w:t>
      </w:r>
      <w:r>
        <w:rPr>
          <w:spacing w:val="4"/>
          <w:sz w:val="16"/>
        </w:rPr>
        <w:t> </w:t>
      </w:r>
      <w:r>
        <w:rPr>
          <w:sz w:val="16"/>
        </w:rPr>
        <w:t>OJ</w:t>
      </w:r>
      <w:r>
        <w:rPr>
          <w:spacing w:val="3"/>
          <w:sz w:val="16"/>
        </w:rPr>
        <w:t> </w:t>
      </w:r>
      <w:r>
        <w:rPr>
          <w:sz w:val="16"/>
        </w:rPr>
        <w:t>L</w:t>
      </w:r>
      <w:r>
        <w:rPr>
          <w:spacing w:val="4"/>
          <w:sz w:val="16"/>
        </w:rPr>
        <w:t> </w:t>
      </w:r>
      <w:r>
        <w:rPr>
          <w:spacing w:val="-4"/>
          <w:sz w:val="16"/>
        </w:rPr>
        <w:t>95/1.</w:t>
      </w:r>
    </w:p>
    <w:p>
      <w:pPr>
        <w:pStyle w:val="ListParagraph"/>
        <w:numPr>
          <w:ilvl w:val="0"/>
          <w:numId w:val="6"/>
        </w:numPr>
        <w:tabs>
          <w:tab w:pos="565" w:val="left" w:leader="none"/>
        </w:tabs>
        <w:spacing w:line="200" w:lineRule="exact" w:before="0" w:after="0"/>
        <w:ind w:left="565" w:right="0" w:hanging="452"/>
        <w:jc w:val="left"/>
        <w:rPr>
          <w:sz w:val="16"/>
        </w:rPr>
      </w:pPr>
      <w:r>
        <w:rPr>
          <w:sz w:val="16"/>
        </w:rPr>
        <w:t>Directive</w:t>
      </w:r>
      <w:r>
        <w:rPr>
          <w:spacing w:val="7"/>
          <w:sz w:val="16"/>
        </w:rPr>
        <w:t> </w:t>
      </w:r>
      <w:r>
        <w:rPr>
          <w:sz w:val="16"/>
        </w:rPr>
        <w:t>2000/78/EC</w:t>
      </w:r>
      <w:r>
        <w:rPr>
          <w:spacing w:val="8"/>
          <w:sz w:val="16"/>
        </w:rPr>
        <w:t> </w:t>
      </w:r>
      <w:r>
        <w:rPr>
          <w:sz w:val="16"/>
        </w:rPr>
        <w:t>is</w:t>
      </w:r>
      <w:r>
        <w:rPr>
          <w:spacing w:val="8"/>
          <w:sz w:val="16"/>
        </w:rPr>
        <w:t> </w:t>
      </w:r>
      <w:r>
        <w:rPr>
          <w:sz w:val="16"/>
        </w:rPr>
        <w:t>confined</w:t>
      </w:r>
      <w:r>
        <w:rPr>
          <w:spacing w:val="8"/>
          <w:sz w:val="16"/>
        </w:rPr>
        <w:t> </w:t>
      </w:r>
      <w:r>
        <w:rPr>
          <w:sz w:val="16"/>
        </w:rPr>
        <w:t>to</w:t>
      </w:r>
      <w:r>
        <w:rPr>
          <w:spacing w:val="8"/>
          <w:sz w:val="16"/>
        </w:rPr>
        <w:t> </w:t>
      </w:r>
      <w:r>
        <w:rPr>
          <w:sz w:val="16"/>
        </w:rPr>
        <w:t>outlawing</w:t>
      </w:r>
      <w:r>
        <w:rPr>
          <w:spacing w:val="7"/>
          <w:sz w:val="16"/>
        </w:rPr>
        <w:t> </w:t>
      </w:r>
      <w:r>
        <w:rPr>
          <w:sz w:val="16"/>
        </w:rPr>
        <w:t>discrimination</w:t>
      </w:r>
      <w:r>
        <w:rPr>
          <w:spacing w:val="8"/>
          <w:sz w:val="16"/>
        </w:rPr>
        <w:t> </w:t>
      </w:r>
      <w:r>
        <w:rPr>
          <w:sz w:val="16"/>
        </w:rPr>
        <w:t>on</w:t>
      </w:r>
      <w:r>
        <w:rPr>
          <w:spacing w:val="8"/>
          <w:sz w:val="16"/>
        </w:rPr>
        <w:t> </w:t>
      </w:r>
      <w:r>
        <w:rPr>
          <w:sz w:val="16"/>
        </w:rPr>
        <w:t>this</w:t>
      </w:r>
      <w:r>
        <w:rPr>
          <w:spacing w:val="8"/>
          <w:sz w:val="16"/>
        </w:rPr>
        <w:t> </w:t>
      </w:r>
      <w:r>
        <w:rPr>
          <w:sz w:val="16"/>
        </w:rPr>
        <w:t>basis</w:t>
      </w:r>
      <w:r>
        <w:rPr>
          <w:spacing w:val="8"/>
          <w:sz w:val="16"/>
        </w:rPr>
        <w:t> </w:t>
      </w:r>
      <w:r>
        <w:rPr>
          <w:sz w:val="16"/>
        </w:rPr>
        <w:t>in</w:t>
      </w:r>
      <w:r>
        <w:rPr>
          <w:spacing w:val="7"/>
          <w:sz w:val="16"/>
        </w:rPr>
        <w:t> </w:t>
      </w:r>
      <w:r>
        <w:rPr>
          <w:sz w:val="16"/>
        </w:rPr>
        <w:t>employment</w:t>
      </w:r>
      <w:r>
        <w:rPr>
          <w:spacing w:val="8"/>
          <w:sz w:val="16"/>
        </w:rPr>
        <w:t> </w:t>
      </w:r>
      <w:r>
        <w:rPr>
          <w:sz w:val="16"/>
        </w:rPr>
        <w:t>and</w:t>
      </w:r>
      <w:r>
        <w:rPr>
          <w:spacing w:val="8"/>
          <w:sz w:val="16"/>
        </w:rPr>
        <w:t> </w:t>
      </w:r>
      <w:r>
        <w:rPr>
          <w:sz w:val="16"/>
        </w:rPr>
        <w:t>occupation</w:t>
      </w:r>
      <w:r>
        <w:rPr>
          <w:spacing w:val="8"/>
          <w:sz w:val="16"/>
        </w:rPr>
        <w:t> </w:t>
      </w:r>
      <w:r>
        <w:rPr>
          <w:spacing w:val="-2"/>
          <w:sz w:val="16"/>
        </w:rPr>
        <w:t>only.</w:t>
      </w:r>
    </w:p>
    <w:p>
      <w:pPr>
        <w:pStyle w:val="ListParagraph"/>
        <w:numPr>
          <w:ilvl w:val="0"/>
          <w:numId w:val="6"/>
        </w:numPr>
        <w:tabs>
          <w:tab w:pos="566" w:val="left" w:leader="none"/>
        </w:tabs>
        <w:spacing w:line="223" w:lineRule="exact" w:before="0" w:after="0"/>
        <w:ind w:left="566" w:right="0" w:hanging="453"/>
        <w:jc w:val="left"/>
        <w:rPr>
          <w:sz w:val="16"/>
        </w:rPr>
      </w:pPr>
      <w:r>
        <w:rPr>
          <w:w w:val="105"/>
          <w:sz w:val="16"/>
        </w:rPr>
        <w:t>See</w:t>
      </w:r>
      <w:r>
        <w:rPr>
          <w:spacing w:val="-8"/>
          <w:w w:val="105"/>
          <w:sz w:val="16"/>
        </w:rPr>
        <w:t> </w:t>
      </w:r>
      <w:r>
        <w:rPr>
          <w:w w:val="105"/>
          <w:sz w:val="16"/>
        </w:rPr>
        <w:t>Equality</w:t>
      </w:r>
      <w:r>
        <w:rPr>
          <w:spacing w:val="-8"/>
          <w:w w:val="105"/>
          <w:sz w:val="16"/>
        </w:rPr>
        <w:t> </w:t>
      </w:r>
      <w:r>
        <w:rPr>
          <w:w w:val="105"/>
          <w:sz w:val="16"/>
        </w:rPr>
        <w:t>Act</w:t>
      </w:r>
      <w:r>
        <w:rPr>
          <w:spacing w:val="-8"/>
          <w:w w:val="105"/>
          <w:sz w:val="16"/>
        </w:rPr>
        <w:t> </w:t>
      </w:r>
      <w:r>
        <w:rPr>
          <w:w w:val="105"/>
          <w:sz w:val="16"/>
        </w:rPr>
        <w:t>(Sexual</w:t>
      </w:r>
      <w:r>
        <w:rPr>
          <w:spacing w:val="-7"/>
          <w:w w:val="105"/>
          <w:sz w:val="16"/>
        </w:rPr>
        <w:t> </w:t>
      </w:r>
      <w:r>
        <w:rPr>
          <w:w w:val="105"/>
          <w:sz w:val="16"/>
        </w:rPr>
        <w:t>Orientation)</w:t>
      </w:r>
      <w:r>
        <w:rPr>
          <w:spacing w:val="-8"/>
          <w:w w:val="105"/>
          <w:sz w:val="16"/>
        </w:rPr>
        <w:t> </w:t>
      </w:r>
      <w:r>
        <w:rPr>
          <w:w w:val="105"/>
          <w:sz w:val="16"/>
        </w:rPr>
        <w:t>Regulations</w:t>
      </w:r>
      <w:r>
        <w:rPr>
          <w:spacing w:val="-8"/>
          <w:w w:val="105"/>
          <w:sz w:val="16"/>
        </w:rPr>
        <w:t> </w:t>
      </w:r>
      <w:r>
        <w:rPr>
          <w:w w:val="105"/>
          <w:sz w:val="16"/>
        </w:rPr>
        <w:t>(Northern</w:t>
      </w:r>
      <w:r>
        <w:rPr>
          <w:spacing w:val="-7"/>
          <w:w w:val="105"/>
          <w:sz w:val="16"/>
        </w:rPr>
        <w:t> </w:t>
      </w:r>
      <w:r>
        <w:rPr>
          <w:w w:val="105"/>
          <w:sz w:val="16"/>
        </w:rPr>
        <w:t>Ireland)</w:t>
      </w:r>
      <w:r>
        <w:rPr>
          <w:spacing w:val="-8"/>
          <w:w w:val="105"/>
          <w:sz w:val="16"/>
        </w:rPr>
        <w:t> </w:t>
      </w:r>
      <w:r>
        <w:rPr>
          <w:spacing w:val="-2"/>
          <w:w w:val="105"/>
          <w:sz w:val="16"/>
        </w:rPr>
        <w:t>2006.</w:t>
      </w:r>
    </w:p>
    <w:p>
      <w:pPr>
        <w:spacing w:after="0" w:line="223" w:lineRule="exact"/>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266" w:lineRule="auto" w:before="72"/>
        <w:ind w:right="38"/>
        <w:jc w:val="both"/>
      </w:pPr>
      <w:bookmarkStart w:name="a. Annex 1 Directives" w:id="54"/>
      <w:bookmarkEnd w:id="54"/>
      <w:r>
        <w:rPr/>
      </w:r>
      <w:bookmarkStart w:name="_bookmark22" w:id="55"/>
      <w:bookmarkEnd w:id="55"/>
      <w:r>
        <w:rPr/>
      </w:r>
      <w:r>
        <w:rPr>
          <w:spacing w:val="-2"/>
          <w:w w:val="115"/>
        </w:rPr>
        <w:t>not</w:t>
      </w:r>
      <w:r>
        <w:rPr>
          <w:spacing w:val="-15"/>
          <w:w w:val="115"/>
        </w:rPr>
        <w:t> </w:t>
      </w:r>
      <w:r>
        <w:rPr>
          <w:spacing w:val="-2"/>
          <w:w w:val="115"/>
        </w:rPr>
        <w:t>apply,</w:t>
      </w:r>
      <w:r>
        <w:rPr>
          <w:spacing w:val="-15"/>
          <w:w w:val="115"/>
        </w:rPr>
        <w:t> </w:t>
      </w:r>
      <w:r>
        <w:rPr>
          <w:spacing w:val="-2"/>
          <w:w w:val="115"/>
        </w:rPr>
        <w:t>even</w:t>
      </w:r>
      <w:r>
        <w:rPr>
          <w:spacing w:val="-15"/>
          <w:w w:val="115"/>
        </w:rPr>
        <w:t> </w:t>
      </w:r>
      <w:r>
        <w:rPr>
          <w:spacing w:val="-2"/>
          <w:w w:val="115"/>
        </w:rPr>
        <w:t>though</w:t>
      </w:r>
      <w:r>
        <w:rPr>
          <w:spacing w:val="-15"/>
          <w:w w:val="115"/>
        </w:rPr>
        <w:t> </w:t>
      </w:r>
      <w:r>
        <w:rPr>
          <w:spacing w:val="-2"/>
          <w:w w:val="115"/>
        </w:rPr>
        <w:t>cases</w:t>
      </w:r>
      <w:r>
        <w:rPr>
          <w:spacing w:val="-15"/>
          <w:w w:val="115"/>
        </w:rPr>
        <w:t> </w:t>
      </w:r>
      <w:r>
        <w:rPr>
          <w:spacing w:val="-2"/>
          <w:w w:val="115"/>
        </w:rPr>
        <w:t>relating </w:t>
      </w:r>
      <w:r>
        <w:rPr>
          <w:w w:val="115"/>
        </w:rPr>
        <w:t>to</w:t>
      </w:r>
      <w:r>
        <w:rPr>
          <w:spacing w:val="-20"/>
          <w:w w:val="115"/>
        </w:rPr>
        <w:t> </w:t>
      </w:r>
      <w:r>
        <w:rPr>
          <w:w w:val="115"/>
        </w:rPr>
        <w:t>sexual</w:t>
      </w:r>
      <w:r>
        <w:rPr>
          <w:spacing w:val="-19"/>
          <w:w w:val="115"/>
        </w:rPr>
        <w:t> </w:t>
      </w:r>
      <w:r>
        <w:rPr>
          <w:w w:val="115"/>
        </w:rPr>
        <w:t>orientation</w:t>
      </w:r>
      <w:r>
        <w:rPr>
          <w:spacing w:val="-19"/>
          <w:w w:val="115"/>
        </w:rPr>
        <w:t> </w:t>
      </w:r>
      <w:r>
        <w:rPr>
          <w:w w:val="115"/>
        </w:rPr>
        <w:t>discrimination</w:t>
      </w:r>
      <w:r>
        <w:rPr>
          <w:spacing w:val="-19"/>
          <w:w w:val="115"/>
        </w:rPr>
        <w:t> </w:t>
      </w:r>
      <w:r>
        <w:rPr>
          <w:w w:val="115"/>
        </w:rPr>
        <w:t>in employment </w:t>
      </w:r>
      <w:r>
        <w:rPr>
          <w:rFonts w:ascii="Verdana"/>
          <w:i/>
          <w:w w:val="115"/>
        </w:rPr>
        <w:t>do</w:t>
      </w:r>
      <w:r>
        <w:rPr>
          <w:rFonts w:ascii="Verdana"/>
          <w:i/>
          <w:spacing w:val="-14"/>
          <w:w w:val="115"/>
        </w:rPr>
        <w:t> </w:t>
      </w:r>
      <w:r>
        <w:rPr>
          <w:w w:val="115"/>
        </w:rPr>
        <w:t>engage such rights.</w:t>
      </w:r>
    </w:p>
    <w:p>
      <w:pPr>
        <w:pStyle w:val="BodyText"/>
        <w:spacing w:before="29"/>
        <w:ind w:left="0"/>
      </w:pPr>
    </w:p>
    <w:p>
      <w:pPr>
        <w:pStyle w:val="BodyText"/>
        <w:spacing w:line="256" w:lineRule="auto"/>
        <w:ind w:right="1067"/>
        <w:rPr>
          <w:rFonts w:ascii="Lucida Sans Unicode"/>
        </w:rPr>
      </w:pPr>
      <w:r>
        <w:rPr>
          <w:w w:val="110"/>
        </w:rPr>
        <w:t>Thus, the question whether certain Charter rights apply</w:t>
      </w:r>
      <w:r>
        <w:rPr>
          <w:spacing w:val="80"/>
          <w:w w:val="110"/>
        </w:rPr>
        <w:t> </w:t>
      </w:r>
      <w:r>
        <w:rPr>
          <w:rFonts w:ascii="Lucida Sans Unicode"/>
        </w:rPr>
        <w:t>by virtue of Article 2 </w:t>
      </w:r>
      <w:r>
        <w:rPr>
          <w:rFonts w:ascii="Lucida Sans Unicode"/>
        </w:rPr>
        <w:t>Windsor</w:t>
      </w:r>
    </w:p>
    <w:p>
      <w:pPr>
        <w:pStyle w:val="BodyText"/>
        <w:spacing w:line="233" w:lineRule="exact"/>
      </w:pPr>
      <w:r>
        <w:rPr>
          <w:w w:val="110"/>
        </w:rPr>
        <w:t>Framework</w:t>
      </w:r>
      <w:r>
        <w:rPr>
          <w:spacing w:val="8"/>
          <w:w w:val="110"/>
        </w:rPr>
        <w:t> </w:t>
      </w:r>
      <w:r>
        <w:rPr>
          <w:w w:val="110"/>
        </w:rPr>
        <w:t>cannot</w:t>
      </w:r>
      <w:r>
        <w:rPr>
          <w:spacing w:val="9"/>
          <w:w w:val="110"/>
        </w:rPr>
        <w:t> </w:t>
      </w:r>
      <w:r>
        <w:rPr>
          <w:w w:val="110"/>
        </w:rPr>
        <w:t>be</w:t>
      </w:r>
      <w:r>
        <w:rPr>
          <w:spacing w:val="9"/>
          <w:w w:val="110"/>
        </w:rPr>
        <w:t> </w:t>
      </w:r>
      <w:r>
        <w:rPr>
          <w:w w:val="110"/>
        </w:rPr>
        <w:t>answered</w:t>
      </w:r>
      <w:r>
        <w:rPr>
          <w:spacing w:val="8"/>
          <w:w w:val="110"/>
        </w:rPr>
        <w:t> </w:t>
      </w:r>
      <w:r>
        <w:rPr>
          <w:spacing w:val="-5"/>
          <w:w w:val="110"/>
        </w:rPr>
        <w:t>in</w:t>
      </w:r>
    </w:p>
    <w:p>
      <w:pPr>
        <w:pStyle w:val="BodyText"/>
        <w:spacing w:line="314" w:lineRule="exact" w:before="12"/>
        <w:ind w:right="292"/>
      </w:pPr>
      <w:r>
        <w:rPr>
          <w:w w:val="115"/>
        </w:rPr>
        <w:t>the abstract: the answer is always dependent on a concrete set of </w:t>
      </w:r>
      <w:r>
        <w:rPr>
          <w:spacing w:val="-2"/>
          <w:w w:val="115"/>
        </w:rPr>
        <w:t>facts.</w:t>
      </w:r>
      <w:r>
        <w:rPr>
          <w:spacing w:val="-18"/>
          <w:w w:val="115"/>
        </w:rPr>
        <w:t> </w:t>
      </w:r>
      <w:r>
        <w:rPr>
          <w:spacing w:val="-2"/>
          <w:w w:val="115"/>
        </w:rPr>
        <w:t>One</w:t>
      </w:r>
      <w:r>
        <w:rPr>
          <w:spacing w:val="-17"/>
          <w:w w:val="115"/>
        </w:rPr>
        <w:t> </w:t>
      </w:r>
      <w:r>
        <w:rPr>
          <w:spacing w:val="-2"/>
          <w:w w:val="115"/>
        </w:rPr>
        <w:t>cannot</w:t>
      </w:r>
      <w:r>
        <w:rPr>
          <w:spacing w:val="-17"/>
          <w:w w:val="115"/>
        </w:rPr>
        <w:t> </w:t>
      </w:r>
      <w:r>
        <w:rPr>
          <w:spacing w:val="-2"/>
          <w:w w:val="115"/>
        </w:rPr>
        <w:t>therefore</w:t>
      </w:r>
      <w:r>
        <w:rPr>
          <w:spacing w:val="-17"/>
          <w:w w:val="115"/>
        </w:rPr>
        <w:t> </w:t>
      </w:r>
      <w:r>
        <w:rPr>
          <w:spacing w:val="-2"/>
          <w:w w:val="115"/>
        </w:rPr>
        <w:t>say,</w:t>
      </w:r>
      <w:r>
        <w:rPr>
          <w:spacing w:val="-17"/>
          <w:w w:val="115"/>
        </w:rPr>
        <w:t> </w:t>
      </w:r>
      <w:r>
        <w:rPr>
          <w:spacing w:val="-2"/>
          <w:w w:val="115"/>
        </w:rPr>
        <w:t>for instance,</w:t>
      </w:r>
      <w:r>
        <w:rPr>
          <w:spacing w:val="-15"/>
          <w:w w:val="115"/>
        </w:rPr>
        <w:t> </w:t>
      </w:r>
      <w:r>
        <w:rPr>
          <w:spacing w:val="-2"/>
          <w:w w:val="115"/>
        </w:rPr>
        <w:t>that</w:t>
      </w:r>
      <w:r>
        <w:rPr>
          <w:spacing w:val="-15"/>
          <w:w w:val="115"/>
        </w:rPr>
        <w:t> </w:t>
      </w:r>
      <w:r>
        <w:rPr>
          <w:spacing w:val="-2"/>
          <w:w w:val="115"/>
        </w:rPr>
        <w:t>certain</w:t>
      </w:r>
      <w:r>
        <w:rPr>
          <w:spacing w:val="-15"/>
          <w:w w:val="115"/>
        </w:rPr>
        <w:t> </w:t>
      </w:r>
      <w:r>
        <w:rPr>
          <w:spacing w:val="-2"/>
          <w:w w:val="115"/>
        </w:rPr>
        <w:t>Charter</w:t>
      </w:r>
      <w:r>
        <w:rPr>
          <w:spacing w:val="-15"/>
          <w:w w:val="115"/>
        </w:rPr>
        <w:t> </w:t>
      </w:r>
      <w:r>
        <w:rPr>
          <w:spacing w:val="-2"/>
          <w:w w:val="115"/>
        </w:rPr>
        <w:t>rights </w:t>
      </w:r>
      <w:r>
        <w:rPr>
          <w:w w:val="110"/>
        </w:rPr>
        <w:t>are</w:t>
      </w:r>
      <w:r>
        <w:rPr>
          <w:spacing w:val="-19"/>
          <w:w w:val="110"/>
        </w:rPr>
        <w:t> </w:t>
      </w:r>
      <w:r>
        <w:rPr>
          <w:rFonts w:ascii="Verdana"/>
          <w:i/>
          <w:w w:val="110"/>
        </w:rPr>
        <w:t>per</w:t>
      </w:r>
      <w:r>
        <w:rPr>
          <w:rFonts w:ascii="Verdana"/>
          <w:i/>
          <w:spacing w:val="-23"/>
          <w:w w:val="110"/>
        </w:rPr>
        <w:t> </w:t>
      </w:r>
      <w:r>
        <w:rPr>
          <w:rFonts w:ascii="Verdana"/>
          <w:i/>
          <w:w w:val="110"/>
        </w:rPr>
        <w:t>se</w:t>
      </w:r>
      <w:r>
        <w:rPr>
          <w:rFonts w:ascii="Verdana"/>
          <w:i/>
          <w:spacing w:val="-23"/>
          <w:w w:val="110"/>
        </w:rPr>
        <w:t> </w:t>
      </w:r>
      <w:r>
        <w:rPr>
          <w:rFonts w:ascii="Lucida Sans Unicode"/>
          <w:w w:val="110"/>
        </w:rPr>
        <w:t>captured</w:t>
      </w:r>
      <w:r>
        <w:rPr>
          <w:rFonts w:ascii="Lucida Sans Unicode"/>
          <w:spacing w:val="-21"/>
          <w:w w:val="110"/>
        </w:rPr>
        <w:t> </w:t>
      </w:r>
      <w:r>
        <w:rPr>
          <w:rFonts w:ascii="Lucida Sans Unicode"/>
          <w:w w:val="110"/>
        </w:rPr>
        <w:t>by</w:t>
      </w:r>
      <w:r>
        <w:rPr>
          <w:rFonts w:ascii="Lucida Sans Unicode"/>
          <w:spacing w:val="-21"/>
          <w:w w:val="110"/>
        </w:rPr>
        <w:t> </w:t>
      </w:r>
      <w:r>
        <w:rPr>
          <w:rFonts w:ascii="Lucida Sans Unicode"/>
          <w:w w:val="110"/>
        </w:rPr>
        <w:t>Article</w:t>
      </w:r>
      <w:r>
        <w:rPr>
          <w:rFonts w:ascii="Lucida Sans Unicode"/>
          <w:spacing w:val="-21"/>
          <w:w w:val="110"/>
        </w:rPr>
        <w:t> </w:t>
      </w:r>
      <w:r>
        <w:rPr>
          <w:rFonts w:ascii="Lucida Sans Unicode"/>
          <w:w w:val="110"/>
        </w:rPr>
        <w:t>2 </w:t>
      </w:r>
      <w:r>
        <w:rPr>
          <w:w w:val="115"/>
        </w:rPr>
        <w:t>Windsor</w:t>
      </w:r>
      <w:r>
        <w:rPr>
          <w:spacing w:val="-6"/>
          <w:w w:val="115"/>
        </w:rPr>
        <w:t> </w:t>
      </w:r>
      <w:r>
        <w:rPr>
          <w:w w:val="115"/>
        </w:rPr>
        <w:t>Framework</w:t>
      </w:r>
      <w:r>
        <w:rPr>
          <w:spacing w:val="-6"/>
          <w:w w:val="115"/>
        </w:rPr>
        <w:t> </w:t>
      </w:r>
      <w:r>
        <w:rPr>
          <w:w w:val="115"/>
        </w:rPr>
        <w:t>and</w:t>
      </w:r>
      <w:r>
        <w:rPr>
          <w:spacing w:val="-6"/>
          <w:w w:val="115"/>
        </w:rPr>
        <w:t> </w:t>
      </w:r>
      <w:r>
        <w:rPr>
          <w:w w:val="115"/>
        </w:rPr>
        <w:t>therefore applicable in Northern Ireland in</w:t>
      </w:r>
    </w:p>
    <w:p>
      <w:pPr>
        <w:pStyle w:val="BodyText"/>
        <w:spacing w:line="273" w:lineRule="auto" w:before="25"/>
        <w:ind w:right="292"/>
      </w:pPr>
      <w:r>
        <w:rPr>
          <w:w w:val="110"/>
        </w:rPr>
        <w:t>all circumstances and that </w:t>
      </w:r>
      <w:r>
        <w:rPr>
          <w:w w:val="110"/>
        </w:rPr>
        <w:t>others are not.</w:t>
      </w:r>
    </w:p>
    <w:p>
      <w:pPr>
        <w:pStyle w:val="BodyText"/>
        <w:spacing w:before="23"/>
        <w:ind w:left="0"/>
      </w:pPr>
    </w:p>
    <w:p>
      <w:pPr>
        <w:pStyle w:val="BodyText"/>
        <w:spacing w:line="273" w:lineRule="auto"/>
      </w:pPr>
      <w:r>
        <w:rPr>
          <w:w w:val="115"/>
        </w:rPr>
        <w:t>To</w:t>
      </w:r>
      <w:r>
        <w:rPr>
          <w:spacing w:val="-15"/>
          <w:w w:val="115"/>
        </w:rPr>
        <w:t> </w:t>
      </w:r>
      <w:r>
        <w:rPr>
          <w:w w:val="115"/>
        </w:rPr>
        <w:t>determine</w:t>
      </w:r>
      <w:r>
        <w:rPr>
          <w:spacing w:val="-15"/>
          <w:w w:val="115"/>
        </w:rPr>
        <w:t> </w:t>
      </w:r>
      <w:r>
        <w:rPr>
          <w:w w:val="115"/>
        </w:rPr>
        <w:t>the</w:t>
      </w:r>
      <w:r>
        <w:rPr>
          <w:spacing w:val="-15"/>
          <w:w w:val="115"/>
        </w:rPr>
        <w:t> </w:t>
      </w:r>
      <w:r>
        <w:rPr>
          <w:w w:val="115"/>
        </w:rPr>
        <w:t>applicability</w:t>
      </w:r>
      <w:r>
        <w:rPr>
          <w:spacing w:val="-15"/>
          <w:w w:val="115"/>
        </w:rPr>
        <w:t> </w:t>
      </w:r>
      <w:r>
        <w:rPr>
          <w:w w:val="115"/>
        </w:rPr>
        <w:t>of</w:t>
      </w:r>
      <w:r>
        <w:rPr>
          <w:spacing w:val="-15"/>
          <w:w w:val="115"/>
        </w:rPr>
        <w:t> </w:t>
      </w:r>
      <w:r>
        <w:rPr>
          <w:w w:val="115"/>
        </w:rPr>
        <w:t>the Charter in the context of the non- diminution obligations it is useful</w:t>
      </w:r>
    </w:p>
    <w:p>
      <w:pPr>
        <w:pStyle w:val="BodyText"/>
        <w:spacing w:line="273" w:lineRule="auto"/>
      </w:pPr>
      <w:r>
        <w:rPr>
          <w:w w:val="110"/>
        </w:rPr>
        <w:t>to distinguish between Annex </w:t>
      </w:r>
      <w:r>
        <w:rPr/>
        <w:t>1 </w:t>
      </w:r>
      <w:r>
        <w:rPr>
          <w:w w:val="110"/>
        </w:rPr>
        <w:t>Directives</w:t>
      </w:r>
      <w:r>
        <w:rPr>
          <w:spacing w:val="2"/>
          <w:w w:val="110"/>
        </w:rPr>
        <w:t> </w:t>
      </w:r>
      <w:r>
        <w:rPr>
          <w:w w:val="110"/>
        </w:rPr>
        <w:t>and</w:t>
      </w:r>
      <w:r>
        <w:rPr>
          <w:spacing w:val="3"/>
          <w:w w:val="110"/>
        </w:rPr>
        <w:t> </w:t>
      </w:r>
      <w:r>
        <w:rPr>
          <w:w w:val="110"/>
        </w:rPr>
        <w:t>all</w:t>
      </w:r>
      <w:r>
        <w:rPr>
          <w:spacing w:val="3"/>
          <w:w w:val="110"/>
        </w:rPr>
        <w:t> </w:t>
      </w:r>
      <w:r>
        <w:rPr>
          <w:w w:val="110"/>
        </w:rPr>
        <w:t>other</w:t>
      </w:r>
      <w:r>
        <w:rPr>
          <w:spacing w:val="3"/>
          <w:w w:val="110"/>
        </w:rPr>
        <w:t> </w:t>
      </w:r>
      <w:r>
        <w:rPr>
          <w:w w:val="110"/>
        </w:rPr>
        <w:t>EU</w:t>
      </w:r>
      <w:r>
        <w:rPr>
          <w:spacing w:val="2"/>
          <w:w w:val="110"/>
        </w:rPr>
        <w:t> </w:t>
      </w:r>
      <w:r>
        <w:rPr>
          <w:spacing w:val="-4"/>
          <w:w w:val="110"/>
        </w:rPr>
        <w:t>law.</w:t>
      </w:r>
    </w:p>
    <w:p>
      <w:pPr>
        <w:pStyle w:val="BodyText"/>
        <w:spacing w:before="6"/>
        <w:ind w:left="0"/>
      </w:pPr>
    </w:p>
    <w:p>
      <w:pPr>
        <w:pStyle w:val="Heading4"/>
        <w:numPr>
          <w:ilvl w:val="0"/>
          <w:numId w:val="13"/>
        </w:numPr>
        <w:tabs>
          <w:tab w:pos="395" w:val="left" w:leader="none"/>
        </w:tabs>
        <w:spacing w:line="240" w:lineRule="auto" w:before="0" w:after="0"/>
        <w:ind w:left="395" w:right="0" w:hanging="282"/>
        <w:jc w:val="left"/>
      </w:pPr>
      <w:r>
        <w:rPr>
          <w:color w:val="77328A"/>
          <w:spacing w:val="-4"/>
        </w:rPr>
        <w:t>Annex</w:t>
      </w:r>
      <w:r>
        <w:rPr>
          <w:color w:val="77328A"/>
          <w:spacing w:val="-11"/>
        </w:rPr>
        <w:t> </w:t>
      </w:r>
      <w:r>
        <w:rPr>
          <w:color w:val="77328A"/>
          <w:spacing w:val="-4"/>
        </w:rPr>
        <w:t>1</w:t>
      </w:r>
      <w:r>
        <w:rPr>
          <w:color w:val="77328A"/>
          <w:spacing w:val="-11"/>
        </w:rPr>
        <w:t> </w:t>
      </w:r>
      <w:r>
        <w:rPr>
          <w:color w:val="77328A"/>
          <w:spacing w:val="-4"/>
        </w:rPr>
        <w:t>Directives</w:t>
      </w:r>
    </w:p>
    <w:p>
      <w:pPr>
        <w:pStyle w:val="BodyText"/>
        <w:spacing w:line="314" w:lineRule="exact" w:before="13"/>
        <w:ind w:right="653"/>
      </w:pPr>
      <w:r>
        <w:rPr>
          <w:w w:val="110"/>
        </w:rPr>
        <w:t>If a situation falls within the</w:t>
      </w:r>
      <w:r>
        <w:rPr>
          <w:spacing w:val="40"/>
          <w:w w:val="110"/>
        </w:rPr>
        <w:t> </w:t>
      </w:r>
      <w:r>
        <w:rPr>
          <w:w w:val="110"/>
        </w:rPr>
        <w:t>scope of the Annex </w:t>
      </w:r>
      <w:r>
        <w:rPr>
          <w:w w:val="95"/>
        </w:rPr>
        <w:t>1 </w:t>
      </w:r>
      <w:r>
        <w:rPr>
          <w:w w:val="110"/>
        </w:rPr>
        <w:t>Directives, the applicability of the Charter is relatively straightforward: </w:t>
      </w:r>
      <w:r>
        <w:rPr>
          <w:w w:val="110"/>
        </w:rPr>
        <w:t>Article </w:t>
      </w:r>
      <w:r>
        <w:rPr>
          <w:rFonts w:ascii="Lucida Sans Unicode"/>
        </w:rPr>
        <w:t>2 itself decrees that the Annex 1 </w:t>
      </w:r>
      <w:r>
        <w:rPr>
          <w:w w:val="110"/>
        </w:rPr>
        <w:t>Directives form part of the non- diminution commitment; the</w:t>
      </w:r>
    </w:p>
    <w:p>
      <w:pPr>
        <w:pStyle w:val="BodyText"/>
        <w:spacing w:line="273" w:lineRule="auto" w:before="25"/>
      </w:pPr>
      <w:r>
        <w:rPr>
          <w:w w:val="110"/>
        </w:rPr>
        <w:t>Directives had been made </w:t>
      </w:r>
      <w:r>
        <w:rPr>
          <w:w w:val="110"/>
        </w:rPr>
        <w:t>applicable </w:t>
      </w:r>
      <w:r>
        <w:rPr>
          <w:w w:val="115"/>
        </w:rPr>
        <w:t>in Northern Ireland law through</w:t>
      </w:r>
    </w:p>
    <w:p>
      <w:pPr>
        <w:pStyle w:val="BodyText"/>
        <w:spacing w:line="204" w:lineRule="auto"/>
      </w:pPr>
      <w:r>
        <w:rPr>
          <w:rFonts w:ascii="Lucida Sans Unicode"/>
          <w:w w:val="105"/>
        </w:rPr>
        <w:t>Regulations</w:t>
      </w:r>
      <w:r>
        <w:rPr>
          <w:rFonts w:ascii="Lucida Sans Unicode"/>
          <w:spacing w:val="-4"/>
          <w:w w:val="105"/>
        </w:rPr>
        <w:t> </w:t>
      </w:r>
      <w:r>
        <w:rPr>
          <w:rFonts w:ascii="Lucida Sans Unicode"/>
          <w:w w:val="105"/>
        </w:rPr>
        <w:t>prior</w:t>
      </w:r>
      <w:r>
        <w:rPr>
          <w:rFonts w:ascii="Lucida Sans Unicode"/>
          <w:spacing w:val="-4"/>
          <w:w w:val="105"/>
        </w:rPr>
        <w:t> </w:t>
      </w:r>
      <w:r>
        <w:rPr>
          <w:rFonts w:ascii="Lucida Sans Unicode"/>
          <w:w w:val="105"/>
        </w:rPr>
        <w:t>to</w:t>
      </w:r>
      <w:r>
        <w:rPr>
          <w:rFonts w:ascii="Lucida Sans Unicode"/>
          <w:spacing w:val="-4"/>
          <w:w w:val="105"/>
        </w:rPr>
        <w:t> </w:t>
      </w:r>
      <w:r>
        <w:rPr>
          <w:rFonts w:ascii="Lucida Sans Unicode"/>
          <w:w w:val="105"/>
        </w:rPr>
        <w:t>31</w:t>
      </w:r>
      <w:r>
        <w:rPr>
          <w:rFonts w:ascii="Lucida Sans Unicode"/>
          <w:spacing w:val="-4"/>
          <w:w w:val="105"/>
        </w:rPr>
        <w:t> </w:t>
      </w:r>
      <w:r>
        <w:rPr>
          <w:rFonts w:ascii="Lucida Sans Unicode"/>
          <w:w w:val="105"/>
        </w:rPr>
        <w:t>December 2020;</w:t>
      </w:r>
      <w:r>
        <w:rPr>
          <w:rFonts w:ascii="Lucida Sans Unicode"/>
          <w:w w:val="105"/>
          <w:vertAlign w:val="superscript"/>
        </w:rPr>
        <w:t>204</w:t>
      </w:r>
      <w:r>
        <w:rPr>
          <w:rFonts w:ascii="Lucida Sans Unicode"/>
          <w:spacing w:val="10"/>
          <w:w w:val="105"/>
          <w:vertAlign w:val="baseline"/>
        </w:rPr>
        <w:t> </w:t>
      </w:r>
      <w:r>
        <w:rPr>
          <w:w w:val="105"/>
          <w:vertAlign w:val="baseline"/>
        </w:rPr>
        <w:t>and</w:t>
      </w:r>
      <w:r>
        <w:rPr>
          <w:spacing w:val="21"/>
          <w:w w:val="105"/>
          <w:vertAlign w:val="baseline"/>
        </w:rPr>
        <w:t> </w:t>
      </w:r>
      <w:r>
        <w:rPr>
          <w:w w:val="105"/>
          <w:vertAlign w:val="baseline"/>
        </w:rPr>
        <w:t>those</w:t>
      </w:r>
      <w:r>
        <w:rPr>
          <w:spacing w:val="20"/>
          <w:w w:val="105"/>
          <w:vertAlign w:val="baseline"/>
        </w:rPr>
        <w:t> </w:t>
      </w:r>
      <w:r>
        <w:rPr>
          <w:w w:val="105"/>
          <w:vertAlign w:val="baseline"/>
        </w:rPr>
        <w:t>Northern</w:t>
      </w:r>
      <w:r>
        <w:rPr>
          <w:spacing w:val="21"/>
          <w:w w:val="105"/>
          <w:vertAlign w:val="baseline"/>
        </w:rPr>
        <w:t> </w:t>
      </w:r>
      <w:r>
        <w:rPr>
          <w:spacing w:val="-2"/>
          <w:w w:val="105"/>
          <w:vertAlign w:val="baseline"/>
        </w:rPr>
        <w:t>Ireland</w:t>
      </w:r>
    </w:p>
    <w:p>
      <w:pPr>
        <w:pStyle w:val="BodyText"/>
        <w:spacing w:line="256" w:lineRule="auto"/>
        <w:ind w:right="354"/>
      </w:pPr>
      <w:r>
        <w:rPr>
          <w:w w:val="110"/>
        </w:rPr>
        <w:t>Regulations must be considered </w:t>
      </w:r>
      <w:r>
        <w:rPr>
          <w:w w:val="110"/>
        </w:rPr>
        <w:t>an implementation</w:t>
      </w:r>
      <w:r>
        <w:rPr>
          <w:spacing w:val="40"/>
          <w:w w:val="110"/>
        </w:rPr>
        <w:t> </w:t>
      </w:r>
      <w:r>
        <w:rPr>
          <w:w w:val="110"/>
        </w:rPr>
        <w:t>for</w:t>
      </w:r>
      <w:r>
        <w:rPr>
          <w:spacing w:val="40"/>
          <w:w w:val="110"/>
        </w:rPr>
        <w:t> </w:t>
      </w:r>
      <w:r>
        <w:rPr>
          <w:w w:val="110"/>
        </w:rPr>
        <w:t>the</w:t>
      </w:r>
      <w:r>
        <w:rPr>
          <w:spacing w:val="40"/>
          <w:w w:val="110"/>
        </w:rPr>
        <w:t> </w:t>
      </w:r>
      <w:r>
        <w:rPr>
          <w:w w:val="110"/>
        </w:rPr>
        <w:t>purposes</w:t>
      </w:r>
      <w:r>
        <w:rPr>
          <w:spacing w:val="80"/>
          <w:w w:val="110"/>
        </w:rPr>
        <w:t> </w:t>
      </w:r>
      <w:r>
        <w:rPr>
          <w:w w:val="110"/>
        </w:rPr>
        <w:t>of Article 51 (1) CFR.</w:t>
      </w:r>
      <w:r>
        <w:rPr>
          <w:rFonts w:ascii="Lucida Sans Unicode"/>
          <w:w w:val="110"/>
          <w:vertAlign w:val="superscript"/>
        </w:rPr>
        <w:t>205</w:t>
      </w:r>
      <w:r>
        <w:rPr>
          <w:rFonts w:ascii="Lucida Sans Unicode"/>
          <w:spacing w:val="-7"/>
          <w:w w:val="110"/>
          <w:vertAlign w:val="baseline"/>
        </w:rPr>
        <w:t> </w:t>
      </w:r>
      <w:r>
        <w:rPr>
          <w:w w:val="110"/>
          <w:vertAlign w:val="baseline"/>
        </w:rPr>
        <w:t>As a</w:t>
      </w:r>
    </w:p>
    <w:p>
      <w:pPr>
        <w:pStyle w:val="BodyText"/>
        <w:spacing w:line="233" w:lineRule="exact"/>
      </w:pPr>
      <w:r>
        <w:rPr>
          <w:w w:val="110"/>
        </w:rPr>
        <w:t>consequence</w:t>
      </w:r>
      <w:r>
        <w:rPr>
          <w:spacing w:val="5"/>
          <w:w w:val="110"/>
        </w:rPr>
        <w:t> </w:t>
      </w:r>
      <w:r>
        <w:rPr>
          <w:w w:val="110"/>
        </w:rPr>
        <w:t>the</w:t>
      </w:r>
      <w:r>
        <w:rPr>
          <w:spacing w:val="5"/>
          <w:w w:val="110"/>
        </w:rPr>
        <w:t> </w:t>
      </w:r>
      <w:r>
        <w:rPr>
          <w:w w:val="110"/>
        </w:rPr>
        <w:t>Charter</w:t>
      </w:r>
      <w:r>
        <w:rPr>
          <w:spacing w:val="5"/>
          <w:w w:val="110"/>
        </w:rPr>
        <w:t> </w:t>
      </w:r>
      <w:r>
        <w:rPr>
          <w:spacing w:val="-2"/>
          <w:w w:val="110"/>
        </w:rPr>
        <w:t>applies</w:t>
      </w:r>
    </w:p>
    <w:p>
      <w:pPr>
        <w:pStyle w:val="BodyText"/>
        <w:spacing w:before="38"/>
      </w:pPr>
      <w:r>
        <w:rPr>
          <w:w w:val="105"/>
        </w:rPr>
        <w:t>where</w:t>
      </w:r>
      <w:r>
        <w:rPr>
          <w:spacing w:val="27"/>
          <w:w w:val="105"/>
        </w:rPr>
        <w:t> </w:t>
      </w:r>
      <w:r>
        <w:rPr>
          <w:w w:val="105"/>
        </w:rPr>
        <w:t>the</w:t>
      </w:r>
      <w:r>
        <w:rPr>
          <w:spacing w:val="27"/>
          <w:w w:val="105"/>
        </w:rPr>
        <w:t> </w:t>
      </w:r>
      <w:r>
        <w:rPr>
          <w:w w:val="105"/>
        </w:rPr>
        <w:t>Annex</w:t>
      </w:r>
      <w:r>
        <w:rPr>
          <w:spacing w:val="28"/>
          <w:w w:val="105"/>
        </w:rPr>
        <w:t> </w:t>
      </w:r>
      <w:r>
        <w:rPr/>
        <w:t>1</w:t>
      </w:r>
      <w:r>
        <w:rPr>
          <w:spacing w:val="27"/>
          <w:w w:val="105"/>
        </w:rPr>
        <w:t> </w:t>
      </w:r>
      <w:r>
        <w:rPr>
          <w:w w:val="105"/>
        </w:rPr>
        <w:t>Directives</w:t>
      </w:r>
      <w:r>
        <w:rPr>
          <w:spacing w:val="27"/>
          <w:w w:val="105"/>
        </w:rPr>
        <w:t> </w:t>
      </w:r>
      <w:r>
        <w:rPr>
          <w:spacing w:val="-2"/>
          <w:w w:val="105"/>
        </w:rPr>
        <w:t>apply.</w:t>
      </w:r>
    </w:p>
    <w:p>
      <w:pPr>
        <w:pStyle w:val="BodyText"/>
        <w:spacing w:line="278" w:lineRule="auto" w:before="56"/>
        <w:ind w:right="567"/>
      </w:pPr>
      <w:r>
        <w:rPr/>
        <w:br w:type="column"/>
      </w:r>
      <w:r>
        <w:rPr/>
        <w:t>The</w:t>
      </w:r>
      <w:r>
        <w:rPr>
          <w:spacing w:val="66"/>
        </w:rPr>
        <w:t> </w:t>
      </w:r>
      <w:r>
        <w:rPr/>
        <w:t>case</w:t>
      </w:r>
      <w:r>
        <w:rPr>
          <w:spacing w:val="66"/>
        </w:rPr>
        <w:t> </w:t>
      </w:r>
      <w:r>
        <w:rPr/>
        <w:t>of</w:t>
      </w:r>
      <w:r>
        <w:rPr>
          <w:spacing w:val="66"/>
        </w:rPr>
        <w:t> </w:t>
      </w:r>
      <w:r>
        <w:rPr>
          <w:rFonts w:ascii="Verdana"/>
          <w:i/>
        </w:rPr>
        <w:t>Egenberger</w:t>
      </w:r>
      <w:r>
        <w:rPr/>
        <w:t>,</w:t>
      </w:r>
      <w:r>
        <w:rPr>
          <w:spacing w:val="66"/>
        </w:rPr>
        <w:t> </w:t>
      </w:r>
      <w:r>
        <w:rPr/>
        <w:t>which</w:t>
      </w:r>
      <w:r>
        <w:rPr>
          <w:spacing w:val="40"/>
        </w:rPr>
        <w:t> </w:t>
      </w:r>
      <w:r>
        <w:rPr/>
        <w:t>was</w:t>
      </w:r>
      <w:r>
        <w:rPr>
          <w:spacing w:val="40"/>
        </w:rPr>
        <w:t> </w:t>
      </w:r>
      <w:r>
        <w:rPr/>
        <w:t>already</w:t>
      </w:r>
      <w:r>
        <w:rPr>
          <w:spacing w:val="40"/>
        </w:rPr>
        <w:t> </w:t>
      </w:r>
      <w:r>
        <w:rPr/>
        <w:t>discussed</w:t>
      </w:r>
      <w:r>
        <w:rPr>
          <w:spacing w:val="40"/>
        </w:rPr>
        <w:t> </w:t>
      </w:r>
      <w:r>
        <w:rPr/>
        <w:t>in</w:t>
      </w:r>
      <w:r>
        <w:rPr>
          <w:spacing w:val="40"/>
        </w:rPr>
        <w:t> </w:t>
      </w:r>
      <w:r>
        <w:rPr/>
        <w:t>Chapter</w:t>
      </w:r>
      <w:r>
        <w:rPr>
          <w:spacing w:val="40"/>
        </w:rPr>
        <w:t> </w:t>
      </w:r>
      <w:r>
        <w:rPr/>
        <w:t>1,</w:t>
      </w:r>
    </w:p>
    <w:p>
      <w:pPr>
        <w:pStyle w:val="BodyText"/>
        <w:ind w:right="182"/>
      </w:pPr>
      <w:r>
        <w:rPr>
          <w:w w:val="110"/>
        </w:rPr>
        <w:t>demonstrates the importance of the </w:t>
      </w:r>
      <w:r>
        <w:rPr>
          <w:rFonts w:ascii="Lucida Sans Unicode" w:hAnsi="Lucida Sans Unicode"/>
        </w:rPr>
        <w:t>Charter – in this case Article 47 CFR – </w:t>
      </w:r>
      <w:r>
        <w:rPr>
          <w:w w:val="110"/>
        </w:rPr>
        <w:t>in such a situation. After establishing </w:t>
      </w:r>
      <w:r>
        <w:rPr>
          <w:rFonts w:ascii="Lucida Sans Unicode" w:hAnsi="Lucida Sans Unicode"/>
        </w:rPr>
        <w:t>that Article 47 of the Charter applied</w:t>
      </w:r>
      <w:r>
        <w:rPr>
          <w:rFonts w:ascii="Lucida Sans Unicode" w:hAnsi="Lucida Sans Unicode"/>
          <w:spacing w:val="40"/>
          <w:w w:val="110"/>
        </w:rPr>
        <w:t> </w:t>
      </w:r>
      <w:r>
        <w:rPr>
          <w:w w:val="110"/>
        </w:rPr>
        <w:t>in this case, the CJEU held that </w:t>
      </w:r>
      <w:r>
        <w:rPr>
          <w:w w:val="110"/>
        </w:rPr>
        <w:t>Article </w:t>
      </w:r>
      <w:r>
        <w:rPr>
          <w:rFonts w:ascii="Lucida Sans Unicode" w:hAnsi="Lucida Sans Unicode"/>
          <w:w w:val="110"/>
        </w:rPr>
        <w:t>4</w:t>
      </w:r>
      <w:r>
        <w:rPr>
          <w:rFonts w:ascii="Lucida Sans Unicode" w:hAnsi="Lucida Sans Unicode"/>
          <w:spacing w:val="-17"/>
          <w:w w:val="110"/>
        </w:rPr>
        <w:t> </w:t>
      </w:r>
      <w:r>
        <w:rPr>
          <w:rFonts w:ascii="Lucida Sans Unicode" w:hAnsi="Lucida Sans Unicode"/>
          <w:w w:val="110"/>
        </w:rPr>
        <w:t>(2)</w:t>
      </w:r>
      <w:r>
        <w:rPr>
          <w:rFonts w:ascii="Lucida Sans Unicode" w:hAnsi="Lucida Sans Unicode"/>
          <w:spacing w:val="-17"/>
          <w:w w:val="110"/>
        </w:rPr>
        <w:t> </w:t>
      </w:r>
      <w:r>
        <w:rPr>
          <w:rFonts w:ascii="Lucida Sans Unicode" w:hAnsi="Lucida Sans Unicode"/>
          <w:w w:val="110"/>
        </w:rPr>
        <w:t>of</w:t>
      </w:r>
      <w:r>
        <w:rPr>
          <w:rFonts w:ascii="Lucida Sans Unicode" w:hAnsi="Lucida Sans Unicode"/>
          <w:spacing w:val="-17"/>
          <w:w w:val="110"/>
        </w:rPr>
        <w:t> </w:t>
      </w:r>
      <w:r>
        <w:rPr>
          <w:rFonts w:ascii="Lucida Sans Unicode" w:hAnsi="Lucida Sans Unicode"/>
          <w:w w:val="110"/>
        </w:rPr>
        <w:t>Directive</w:t>
      </w:r>
      <w:r>
        <w:rPr>
          <w:rFonts w:ascii="Lucida Sans Unicode" w:hAnsi="Lucida Sans Unicode"/>
          <w:spacing w:val="-17"/>
          <w:w w:val="110"/>
        </w:rPr>
        <w:t> </w:t>
      </w:r>
      <w:r>
        <w:rPr>
          <w:rFonts w:ascii="Lucida Sans Unicode" w:hAnsi="Lucida Sans Unicode"/>
          <w:w w:val="110"/>
        </w:rPr>
        <w:t>2000/78/EC</w:t>
      </w:r>
      <w:r>
        <w:rPr>
          <w:rFonts w:ascii="Lucida Sans Unicode" w:hAnsi="Lucida Sans Unicode"/>
          <w:spacing w:val="-17"/>
          <w:w w:val="110"/>
        </w:rPr>
        <w:t> </w:t>
      </w:r>
      <w:r>
        <w:rPr>
          <w:rFonts w:ascii="Lucida Sans Unicode" w:hAnsi="Lucida Sans Unicode"/>
          <w:w w:val="110"/>
        </w:rPr>
        <w:t>was </w:t>
      </w:r>
      <w:r>
        <w:rPr>
          <w:w w:val="110"/>
        </w:rPr>
        <w:t>designed to ensure a fair balance</w:t>
      </w:r>
    </w:p>
    <w:p>
      <w:pPr>
        <w:pStyle w:val="BodyText"/>
        <w:spacing w:line="322" w:lineRule="exact" w:before="7"/>
        <w:ind w:right="128"/>
      </w:pPr>
      <w:r>
        <w:rPr>
          <w:w w:val="115"/>
        </w:rPr>
        <w:t>between the right of autonomy of churches and the rights of workers not to be discriminated against and that it set out the criteria to be taken into</w:t>
      </w:r>
      <w:r>
        <w:rPr>
          <w:spacing w:val="-13"/>
          <w:w w:val="115"/>
        </w:rPr>
        <w:t> </w:t>
      </w:r>
      <w:r>
        <w:rPr>
          <w:w w:val="115"/>
        </w:rPr>
        <w:t>account</w:t>
      </w:r>
      <w:r>
        <w:rPr>
          <w:spacing w:val="-13"/>
          <w:w w:val="115"/>
        </w:rPr>
        <w:t> </w:t>
      </w:r>
      <w:r>
        <w:rPr>
          <w:w w:val="115"/>
        </w:rPr>
        <w:t>in</w:t>
      </w:r>
      <w:r>
        <w:rPr>
          <w:spacing w:val="-13"/>
          <w:w w:val="115"/>
        </w:rPr>
        <w:t> </w:t>
      </w:r>
      <w:r>
        <w:rPr>
          <w:w w:val="115"/>
        </w:rPr>
        <w:t>the</w:t>
      </w:r>
      <w:r>
        <w:rPr>
          <w:spacing w:val="-13"/>
          <w:w w:val="115"/>
        </w:rPr>
        <w:t> </w:t>
      </w:r>
      <w:r>
        <w:rPr>
          <w:w w:val="115"/>
        </w:rPr>
        <w:t>balancing</w:t>
      </w:r>
      <w:r>
        <w:rPr>
          <w:spacing w:val="-13"/>
          <w:w w:val="115"/>
        </w:rPr>
        <w:t> </w:t>
      </w:r>
      <w:r>
        <w:rPr>
          <w:w w:val="115"/>
        </w:rPr>
        <w:t>exercise which</w:t>
      </w:r>
      <w:r>
        <w:rPr>
          <w:spacing w:val="-3"/>
          <w:w w:val="115"/>
        </w:rPr>
        <w:t> </w:t>
      </w:r>
      <w:r>
        <w:rPr>
          <w:w w:val="115"/>
        </w:rPr>
        <w:t>must</w:t>
      </w:r>
      <w:r>
        <w:rPr>
          <w:spacing w:val="-3"/>
          <w:w w:val="115"/>
        </w:rPr>
        <w:t> </w:t>
      </w:r>
      <w:r>
        <w:rPr>
          <w:w w:val="115"/>
        </w:rPr>
        <w:t>be</w:t>
      </w:r>
      <w:r>
        <w:rPr>
          <w:spacing w:val="-3"/>
          <w:w w:val="115"/>
        </w:rPr>
        <w:t> </w:t>
      </w:r>
      <w:r>
        <w:rPr>
          <w:w w:val="115"/>
        </w:rPr>
        <w:t>performed</w:t>
      </w:r>
      <w:r>
        <w:rPr>
          <w:spacing w:val="-3"/>
          <w:w w:val="115"/>
        </w:rPr>
        <w:t> </w:t>
      </w:r>
      <w:r>
        <w:rPr>
          <w:w w:val="115"/>
        </w:rPr>
        <w:t>to</w:t>
      </w:r>
      <w:r>
        <w:rPr>
          <w:spacing w:val="-3"/>
          <w:w w:val="115"/>
        </w:rPr>
        <w:t> </w:t>
      </w:r>
      <w:r>
        <w:rPr>
          <w:w w:val="115"/>
        </w:rPr>
        <w:t>ensure</w:t>
      </w:r>
      <w:r>
        <w:rPr>
          <w:spacing w:val="-3"/>
          <w:w w:val="115"/>
        </w:rPr>
        <w:t> </w:t>
      </w:r>
      <w:r>
        <w:rPr>
          <w:w w:val="115"/>
        </w:rPr>
        <w:t>a </w:t>
      </w:r>
      <w:r>
        <w:rPr>
          <w:spacing w:val="-2"/>
          <w:w w:val="115"/>
        </w:rPr>
        <w:t>fair</w:t>
      </w:r>
      <w:r>
        <w:rPr>
          <w:spacing w:val="-12"/>
          <w:w w:val="115"/>
        </w:rPr>
        <w:t> </w:t>
      </w:r>
      <w:r>
        <w:rPr>
          <w:spacing w:val="-2"/>
          <w:w w:val="115"/>
        </w:rPr>
        <w:t>balance</w:t>
      </w:r>
      <w:r>
        <w:rPr>
          <w:spacing w:val="-12"/>
          <w:w w:val="115"/>
        </w:rPr>
        <w:t> </w:t>
      </w:r>
      <w:r>
        <w:rPr>
          <w:spacing w:val="-2"/>
          <w:w w:val="115"/>
        </w:rPr>
        <w:t>between</w:t>
      </w:r>
      <w:r>
        <w:rPr>
          <w:spacing w:val="-12"/>
          <w:w w:val="115"/>
        </w:rPr>
        <w:t> </w:t>
      </w:r>
      <w:r>
        <w:rPr>
          <w:spacing w:val="-2"/>
          <w:w w:val="115"/>
        </w:rPr>
        <w:t>those</w:t>
      </w:r>
      <w:r>
        <w:rPr>
          <w:spacing w:val="-12"/>
          <w:w w:val="115"/>
        </w:rPr>
        <w:t> </w:t>
      </w:r>
      <w:r>
        <w:rPr>
          <w:spacing w:val="-2"/>
          <w:w w:val="115"/>
        </w:rPr>
        <w:t>competing </w:t>
      </w:r>
      <w:r>
        <w:rPr>
          <w:w w:val="115"/>
        </w:rPr>
        <w:t>rights.</w:t>
      </w:r>
      <w:r>
        <w:rPr>
          <w:rFonts w:ascii="Lucida Sans Unicode" w:hAnsi="Lucida Sans Unicode"/>
          <w:w w:val="115"/>
          <w:vertAlign w:val="superscript"/>
        </w:rPr>
        <w:t>206</w:t>
      </w:r>
      <w:r>
        <w:rPr>
          <w:rFonts w:ascii="Lucida Sans Unicode" w:hAnsi="Lucida Sans Unicode"/>
          <w:w w:val="115"/>
          <w:vertAlign w:val="baseline"/>
        </w:rPr>
        <w:t> </w:t>
      </w:r>
      <w:r>
        <w:rPr>
          <w:w w:val="115"/>
          <w:vertAlign w:val="baseline"/>
        </w:rPr>
        <w:t>It then went on to hold that ‘in the event of a dispute, however,</w:t>
      </w:r>
    </w:p>
    <w:p>
      <w:pPr>
        <w:pStyle w:val="BodyText"/>
        <w:spacing w:line="268" w:lineRule="auto" w:before="28"/>
        <w:ind w:right="82"/>
        <w:rPr>
          <w:rFonts w:ascii="Lucida Sans Unicode" w:hAnsi="Lucida Sans Unicode"/>
        </w:rPr>
      </w:pPr>
      <w:r>
        <w:rPr>
          <w:w w:val="115"/>
        </w:rPr>
        <w:t>it must be possible for the balancing exercise to be the subject if need be of</w:t>
      </w:r>
      <w:r>
        <w:rPr>
          <w:spacing w:val="-20"/>
          <w:w w:val="115"/>
        </w:rPr>
        <w:t> </w:t>
      </w:r>
      <w:r>
        <w:rPr>
          <w:w w:val="115"/>
        </w:rPr>
        <w:t>review</w:t>
      </w:r>
      <w:r>
        <w:rPr>
          <w:spacing w:val="-19"/>
          <w:w w:val="115"/>
        </w:rPr>
        <w:t> </w:t>
      </w:r>
      <w:r>
        <w:rPr>
          <w:w w:val="115"/>
        </w:rPr>
        <w:t>by</w:t>
      </w:r>
      <w:r>
        <w:rPr>
          <w:spacing w:val="-19"/>
          <w:w w:val="115"/>
        </w:rPr>
        <w:t> </w:t>
      </w:r>
      <w:r>
        <w:rPr>
          <w:w w:val="115"/>
        </w:rPr>
        <w:t>an</w:t>
      </w:r>
      <w:r>
        <w:rPr>
          <w:spacing w:val="-19"/>
          <w:w w:val="115"/>
        </w:rPr>
        <w:t> </w:t>
      </w:r>
      <w:r>
        <w:rPr>
          <w:w w:val="115"/>
        </w:rPr>
        <w:t>independent</w:t>
      </w:r>
      <w:r>
        <w:rPr>
          <w:spacing w:val="-19"/>
          <w:w w:val="115"/>
        </w:rPr>
        <w:t> </w:t>
      </w:r>
      <w:r>
        <w:rPr>
          <w:w w:val="115"/>
        </w:rPr>
        <w:t>authority, and ultimately by a national court’.</w:t>
      </w:r>
      <w:r>
        <w:rPr>
          <w:rFonts w:ascii="Lucida Sans Unicode" w:hAnsi="Lucida Sans Unicode"/>
          <w:w w:val="115"/>
          <w:vertAlign w:val="superscript"/>
        </w:rPr>
        <w:t>207</w:t>
      </w:r>
    </w:p>
    <w:p>
      <w:pPr>
        <w:pStyle w:val="BodyText"/>
        <w:spacing w:line="221" w:lineRule="exact"/>
      </w:pPr>
      <w:r>
        <w:rPr>
          <w:w w:val="110"/>
        </w:rPr>
        <w:t>Hence</w:t>
      </w:r>
      <w:r>
        <w:rPr>
          <w:spacing w:val="-3"/>
          <w:w w:val="110"/>
        </w:rPr>
        <w:t> </w:t>
      </w:r>
      <w:r>
        <w:rPr>
          <w:w w:val="110"/>
        </w:rPr>
        <w:t>the</w:t>
      </w:r>
      <w:r>
        <w:rPr>
          <w:spacing w:val="-3"/>
          <w:w w:val="110"/>
        </w:rPr>
        <w:t> </w:t>
      </w:r>
      <w:r>
        <w:rPr>
          <w:w w:val="110"/>
        </w:rPr>
        <w:t>Charter</w:t>
      </w:r>
      <w:r>
        <w:rPr>
          <w:spacing w:val="-3"/>
          <w:w w:val="110"/>
        </w:rPr>
        <w:t> </w:t>
      </w:r>
      <w:r>
        <w:rPr>
          <w:w w:val="110"/>
        </w:rPr>
        <w:t>was</w:t>
      </w:r>
      <w:r>
        <w:rPr>
          <w:spacing w:val="-2"/>
          <w:w w:val="110"/>
        </w:rPr>
        <w:t> successfully</w:t>
      </w:r>
    </w:p>
    <w:p>
      <w:pPr>
        <w:pStyle w:val="BodyText"/>
        <w:spacing w:line="322" w:lineRule="exact" w:before="13"/>
        <w:ind w:right="180"/>
      </w:pPr>
      <w:r>
        <w:rPr>
          <w:w w:val="110"/>
        </w:rPr>
        <w:t>invoked to create an extended remedy to challenge decisions by churches</w:t>
      </w:r>
      <w:r>
        <w:rPr>
          <w:spacing w:val="40"/>
          <w:w w:val="110"/>
        </w:rPr>
        <w:t> </w:t>
      </w:r>
      <w:r>
        <w:rPr>
          <w:rFonts w:ascii="Lucida Sans Unicode" w:hAnsi="Lucida Sans Unicode"/>
        </w:rPr>
        <w:t>and affiliated bodies to invoke the </w:t>
      </w:r>
      <w:r>
        <w:rPr>
          <w:w w:val="110"/>
        </w:rPr>
        <w:t>‘religious ethos exception’ in the </w:t>
      </w:r>
      <w:r>
        <w:rPr>
          <w:spacing w:val="-2"/>
          <w:w w:val="110"/>
        </w:rPr>
        <w:t>Directive.</w:t>
      </w:r>
    </w:p>
    <w:p>
      <w:pPr>
        <w:pStyle w:val="BodyText"/>
        <w:spacing w:before="54"/>
        <w:ind w:left="0"/>
      </w:pPr>
    </w:p>
    <w:p>
      <w:pPr>
        <w:pStyle w:val="BodyText"/>
        <w:spacing w:line="278" w:lineRule="auto"/>
        <w:ind w:right="533"/>
      </w:pPr>
      <w:r>
        <w:rPr>
          <w:spacing w:val="-4"/>
          <w:w w:val="115"/>
        </w:rPr>
        <w:t>Interestingly,</w:t>
      </w:r>
      <w:r>
        <w:rPr>
          <w:spacing w:val="-8"/>
          <w:w w:val="115"/>
        </w:rPr>
        <w:t> </w:t>
      </w:r>
      <w:r>
        <w:rPr>
          <w:spacing w:val="-4"/>
          <w:w w:val="115"/>
        </w:rPr>
        <w:t>the</w:t>
      </w:r>
      <w:r>
        <w:rPr>
          <w:spacing w:val="-8"/>
          <w:w w:val="115"/>
        </w:rPr>
        <w:t> </w:t>
      </w:r>
      <w:r>
        <w:rPr>
          <w:spacing w:val="-4"/>
          <w:w w:val="115"/>
        </w:rPr>
        <w:t>referring</w:t>
      </w:r>
      <w:r>
        <w:rPr>
          <w:spacing w:val="-8"/>
          <w:w w:val="115"/>
        </w:rPr>
        <w:t> </w:t>
      </w:r>
      <w:r>
        <w:rPr>
          <w:spacing w:val="-4"/>
          <w:w w:val="115"/>
        </w:rPr>
        <w:t>German </w:t>
      </w:r>
      <w:r>
        <w:rPr>
          <w:w w:val="115"/>
        </w:rPr>
        <w:t>court subsequently decided that the German legislation allowing the churches to determine the</w:t>
      </w:r>
    </w:p>
    <w:p>
      <w:pPr>
        <w:pStyle w:val="BodyText"/>
        <w:spacing w:line="278" w:lineRule="auto" w:before="5"/>
        <w:ind w:right="118"/>
      </w:pPr>
      <w:r>
        <w:rPr>
          <w:w w:val="115"/>
        </w:rPr>
        <w:t>existence of a genuine occupational requirement autonomously would have</w:t>
      </w:r>
      <w:r>
        <w:rPr>
          <w:spacing w:val="-4"/>
          <w:w w:val="115"/>
        </w:rPr>
        <w:t> </w:t>
      </w:r>
      <w:r>
        <w:rPr>
          <w:w w:val="115"/>
        </w:rPr>
        <w:t>to</w:t>
      </w:r>
      <w:r>
        <w:rPr>
          <w:spacing w:val="-4"/>
          <w:w w:val="115"/>
        </w:rPr>
        <w:t> </w:t>
      </w:r>
      <w:r>
        <w:rPr>
          <w:w w:val="115"/>
        </w:rPr>
        <w:t>be</w:t>
      </w:r>
      <w:r>
        <w:rPr>
          <w:spacing w:val="-4"/>
          <w:w w:val="115"/>
        </w:rPr>
        <w:t> </w:t>
      </w:r>
      <w:r>
        <w:rPr>
          <w:w w:val="115"/>
        </w:rPr>
        <w:t>disapplied.</w:t>
      </w:r>
      <w:r>
        <w:rPr>
          <w:spacing w:val="-4"/>
          <w:w w:val="115"/>
        </w:rPr>
        <w:t> </w:t>
      </w:r>
      <w:r>
        <w:rPr>
          <w:w w:val="115"/>
        </w:rPr>
        <w:t>It</w:t>
      </w:r>
      <w:r>
        <w:rPr>
          <w:spacing w:val="-4"/>
          <w:w w:val="115"/>
        </w:rPr>
        <w:t> </w:t>
      </w:r>
      <w:r>
        <w:rPr>
          <w:w w:val="115"/>
        </w:rPr>
        <w:t>then</w:t>
      </w:r>
      <w:r>
        <w:rPr>
          <w:spacing w:val="-4"/>
          <w:w w:val="115"/>
        </w:rPr>
        <w:t> </w:t>
      </w:r>
      <w:r>
        <w:rPr>
          <w:w w:val="115"/>
        </w:rPr>
        <w:t>went</w:t>
      </w:r>
      <w:r>
        <w:rPr>
          <w:spacing w:val="-4"/>
          <w:w w:val="115"/>
        </w:rPr>
        <w:t> </w:t>
      </w:r>
      <w:r>
        <w:rPr>
          <w:w w:val="115"/>
        </w:rPr>
        <w:t>on to review the decision of the church organisation</w:t>
      </w:r>
      <w:r>
        <w:rPr>
          <w:spacing w:val="-2"/>
          <w:w w:val="115"/>
        </w:rPr>
        <w:t> </w:t>
      </w:r>
      <w:r>
        <w:rPr>
          <w:w w:val="115"/>
        </w:rPr>
        <w:t>itself</w:t>
      </w:r>
      <w:r>
        <w:rPr>
          <w:spacing w:val="-2"/>
          <w:w w:val="115"/>
        </w:rPr>
        <w:t> </w:t>
      </w:r>
      <w:r>
        <w:rPr>
          <w:w w:val="115"/>
        </w:rPr>
        <w:t>and</w:t>
      </w:r>
      <w:r>
        <w:rPr>
          <w:spacing w:val="-2"/>
          <w:w w:val="115"/>
        </w:rPr>
        <w:t> </w:t>
      </w:r>
      <w:r>
        <w:rPr>
          <w:w w:val="115"/>
        </w:rPr>
        <w:t>concluded</w:t>
      </w:r>
      <w:r>
        <w:rPr>
          <w:spacing w:val="-2"/>
          <w:w w:val="115"/>
        </w:rPr>
        <w:t> </w:t>
      </w:r>
      <w:r>
        <w:rPr>
          <w:w w:val="115"/>
        </w:rPr>
        <w:t>that </w:t>
      </w:r>
      <w:r>
        <w:rPr>
          <w:w w:val="110"/>
        </w:rPr>
        <w:t>she</w:t>
      </w:r>
      <w:r>
        <w:rPr>
          <w:spacing w:val="5"/>
          <w:w w:val="110"/>
        </w:rPr>
        <w:t> </w:t>
      </w:r>
      <w:r>
        <w:rPr>
          <w:w w:val="110"/>
        </w:rPr>
        <w:t>had</w:t>
      </w:r>
      <w:r>
        <w:rPr>
          <w:spacing w:val="5"/>
          <w:w w:val="110"/>
        </w:rPr>
        <w:t> </w:t>
      </w:r>
      <w:r>
        <w:rPr>
          <w:w w:val="110"/>
        </w:rPr>
        <w:t>been</w:t>
      </w:r>
      <w:r>
        <w:rPr>
          <w:spacing w:val="6"/>
          <w:w w:val="110"/>
        </w:rPr>
        <w:t> </w:t>
      </w:r>
      <w:r>
        <w:rPr>
          <w:w w:val="110"/>
        </w:rPr>
        <w:t>discriminated</w:t>
      </w:r>
      <w:r>
        <w:rPr>
          <w:spacing w:val="5"/>
          <w:w w:val="110"/>
        </w:rPr>
        <w:t> </w:t>
      </w:r>
      <w:r>
        <w:rPr>
          <w:w w:val="110"/>
        </w:rPr>
        <w:t>against</w:t>
      </w:r>
      <w:r>
        <w:rPr>
          <w:spacing w:val="5"/>
          <w:w w:val="110"/>
        </w:rPr>
        <w:t> </w:t>
      </w:r>
      <w:r>
        <w:rPr>
          <w:spacing w:val="-5"/>
          <w:w w:val="110"/>
        </w:rPr>
        <w:t>on</w:t>
      </w:r>
    </w:p>
    <w:p>
      <w:pPr>
        <w:pStyle w:val="BodyText"/>
        <w:spacing w:line="339" w:lineRule="exact"/>
        <w:rPr>
          <w:rFonts w:ascii="Lucida Sans Unicode"/>
        </w:rPr>
      </w:pPr>
      <w:r>
        <w:rPr>
          <w:w w:val="110"/>
        </w:rPr>
        <w:t>the</w:t>
      </w:r>
      <w:r>
        <w:rPr>
          <w:spacing w:val="4"/>
          <w:w w:val="110"/>
        </w:rPr>
        <w:t> </w:t>
      </w:r>
      <w:r>
        <w:rPr>
          <w:w w:val="110"/>
        </w:rPr>
        <w:t>basis</w:t>
      </w:r>
      <w:r>
        <w:rPr>
          <w:spacing w:val="5"/>
          <w:w w:val="110"/>
        </w:rPr>
        <w:t> </w:t>
      </w:r>
      <w:r>
        <w:rPr>
          <w:w w:val="110"/>
        </w:rPr>
        <w:t>of</w:t>
      </w:r>
      <w:r>
        <w:rPr>
          <w:spacing w:val="5"/>
          <w:w w:val="110"/>
        </w:rPr>
        <w:t> </w:t>
      </w:r>
      <w:r>
        <w:rPr>
          <w:w w:val="110"/>
        </w:rPr>
        <w:t>her</w:t>
      </w:r>
      <w:r>
        <w:rPr>
          <w:spacing w:val="4"/>
          <w:w w:val="110"/>
        </w:rPr>
        <w:t> </w:t>
      </w:r>
      <w:r>
        <w:rPr>
          <w:spacing w:val="-2"/>
          <w:w w:val="110"/>
        </w:rPr>
        <w:t>religion.</w:t>
      </w:r>
      <w:r>
        <w:rPr>
          <w:rFonts w:ascii="Lucida Sans Unicode"/>
          <w:spacing w:val="-2"/>
          <w:w w:val="110"/>
          <w:vertAlign w:val="superscript"/>
        </w:rPr>
        <w:t>208</w:t>
      </w:r>
    </w:p>
    <w:p>
      <w:pPr>
        <w:spacing w:after="0" w:line="339" w:lineRule="exact"/>
        <w:rPr>
          <w:rFonts w:ascii="Lucida Sans Unicode"/>
        </w:rPr>
        <w:sectPr>
          <w:type w:val="continuous"/>
          <w:pgSz w:w="11910" w:h="16840"/>
          <w:pgMar w:header="568" w:footer="580" w:top="0" w:bottom="280" w:left="1020" w:right="1020"/>
          <w:cols w:num="2" w:equalWidth="0">
            <w:col w:w="4626" w:space="420"/>
            <w:col w:w="4824"/>
          </w:cols>
        </w:sectPr>
      </w:pPr>
    </w:p>
    <w:p>
      <w:pPr>
        <w:pStyle w:val="BodyText"/>
        <w:spacing w:before="12"/>
        <w:ind w:left="0"/>
        <w:rPr>
          <w:rFonts w:ascii="Lucida Sans Unicode"/>
          <w:sz w:val="9"/>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6"/>
        <w:gridCol w:w="9253"/>
      </w:tblGrid>
      <w:tr>
        <w:trPr>
          <w:trHeight w:val="300" w:hRule="atLeast"/>
        </w:trPr>
        <w:tc>
          <w:tcPr>
            <w:tcW w:w="386" w:type="dxa"/>
            <w:tcBorders>
              <w:top w:val="single" w:sz="4" w:space="0" w:color="77328A"/>
            </w:tcBorders>
          </w:tcPr>
          <w:p>
            <w:pPr>
              <w:pStyle w:val="TableParagraph"/>
              <w:spacing w:line="204" w:lineRule="exact" w:before="76"/>
              <w:ind w:right="66"/>
              <w:jc w:val="center"/>
              <w:rPr>
                <w:rFonts w:ascii="Lucida Sans Unicode"/>
                <w:sz w:val="16"/>
              </w:rPr>
            </w:pPr>
            <w:r>
              <w:rPr>
                <w:rFonts w:ascii="Lucida Sans Unicode"/>
                <w:spacing w:val="-5"/>
                <w:w w:val="105"/>
                <w:sz w:val="16"/>
              </w:rPr>
              <w:t>204</w:t>
            </w:r>
          </w:p>
        </w:tc>
        <w:tc>
          <w:tcPr>
            <w:tcW w:w="9253" w:type="dxa"/>
            <w:tcBorders>
              <w:top w:val="single" w:sz="4" w:space="0" w:color="77328A"/>
            </w:tcBorders>
          </w:tcPr>
          <w:p>
            <w:pPr>
              <w:pStyle w:val="TableParagraph"/>
              <w:spacing w:line="204" w:lineRule="exact" w:before="76"/>
              <w:ind w:left="67"/>
              <w:rPr>
                <w:rFonts w:ascii="Lucida Sans Unicode"/>
                <w:sz w:val="16"/>
              </w:rPr>
            </w:pPr>
            <w:r>
              <w:rPr>
                <w:rFonts w:ascii="Lucida Sans Unicode"/>
                <w:w w:val="105"/>
                <w:sz w:val="16"/>
              </w:rPr>
              <w:t>See</w:t>
            </w:r>
            <w:r>
              <w:rPr>
                <w:rFonts w:ascii="Lucida Sans Unicode"/>
                <w:spacing w:val="-14"/>
                <w:w w:val="105"/>
                <w:sz w:val="16"/>
              </w:rPr>
              <w:t> </w:t>
            </w:r>
            <w:r>
              <w:rPr>
                <w:rFonts w:ascii="Lucida Sans Unicode"/>
                <w:w w:val="105"/>
                <w:sz w:val="16"/>
              </w:rPr>
              <w:t>Craig</w:t>
            </w:r>
            <w:r>
              <w:rPr>
                <w:rFonts w:ascii="Lucida Sans Unicode"/>
                <w:spacing w:val="-12"/>
                <w:w w:val="105"/>
                <w:sz w:val="16"/>
              </w:rPr>
              <w:t> </w:t>
            </w:r>
            <w:r>
              <w:rPr>
                <w:rFonts w:ascii="Verdana"/>
                <w:i/>
                <w:w w:val="105"/>
                <w:sz w:val="16"/>
              </w:rPr>
              <w:t>et</w:t>
            </w:r>
            <w:r>
              <w:rPr>
                <w:rFonts w:ascii="Verdana"/>
                <w:i/>
                <w:spacing w:val="-15"/>
                <w:w w:val="105"/>
                <w:sz w:val="16"/>
              </w:rPr>
              <w:t> </w:t>
            </w:r>
            <w:r>
              <w:rPr>
                <w:rFonts w:ascii="Verdana"/>
                <w:i/>
                <w:w w:val="105"/>
                <w:sz w:val="16"/>
              </w:rPr>
              <w:t>al</w:t>
            </w:r>
            <w:r>
              <w:rPr>
                <w:rFonts w:ascii="Verdana"/>
                <w:i/>
                <w:spacing w:val="-15"/>
                <w:w w:val="105"/>
                <w:sz w:val="16"/>
              </w:rPr>
              <w:t> </w:t>
            </w:r>
            <w:r>
              <w:rPr>
                <w:rFonts w:ascii="Lucida Sans Unicode"/>
                <w:w w:val="105"/>
                <w:sz w:val="16"/>
              </w:rPr>
              <w:t>(n</w:t>
            </w:r>
            <w:r>
              <w:rPr>
                <w:rFonts w:ascii="Lucida Sans Unicode"/>
                <w:spacing w:val="-10"/>
                <w:w w:val="105"/>
                <w:sz w:val="16"/>
              </w:rPr>
              <w:t> </w:t>
            </w:r>
            <w:r>
              <w:rPr>
                <w:rFonts w:ascii="Lucida Sans Unicode"/>
                <w:w w:val="105"/>
                <w:sz w:val="16"/>
              </w:rPr>
              <w:t>5),</w:t>
            </w:r>
            <w:r>
              <w:rPr>
                <w:rFonts w:ascii="Lucida Sans Unicode"/>
                <w:spacing w:val="-11"/>
                <w:w w:val="105"/>
                <w:sz w:val="16"/>
              </w:rPr>
              <w:t> </w:t>
            </w:r>
            <w:r>
              <w:rPr>
                <w:rFonts w:ascii="Lucida Sans Unicode"/>
                <w:w w:val="105"/>
                <w:sz w:val="16"/>
              </w:rPr>
              <w:t>Appendix</w:t>
            </w:r>
            <w:r>
              <w:rPr>
                <w:rFonts w:ascii="Lucida Sans Unicode"/>
                <w:spacing w:val="-11"/>
                <w:w w:val="105"/>
                <w:sz w:val="16"/>
              </w:rPr>
              <w:t> </w:t>
            </w:r>
            <w:r>
              <w:rPr>
                <w:rFonts w:ascii="Lucida Sans Unicode"/>
                <w:spacing w:val="-5"/>
                <w:w w:val="105"/>
                <w:sz w:val="16"/>
              </w:rPr>
              <w:t>4.</w:t>
            </w:r>
          </w:p>
        </w:tc>
      </w:tr>
      <w:tr>
        <w:trPr>
          <w:trHeight w:val="200" w:hRule="atLeast"/>
        </w:trPr>
        <w:tc>
          <w:tcPr>
            <w:tcW w:w="386" w:type="dxa"/>
          </w:tcPr>
          <w:p>
            <w:pPr>
              <w:pStyle w:val="TableParagraph"/>
              <w:spacing w:line="180" w:lineRule="exact" w:before="0"/>
              <w:ind w:right="75"/>
              <w:jc w:val="center"/>
              <w:rPr>
                <w:rFonts w:ascii="Lucida Sans Unicode"/>
                <w:sz w:val="16"/>
              </w:rPr>
            </w:pPr>
            <w:r>
              <w:rPr>
                <w:rFonts w:ascii="Lucida Sans Unicode"/>
                <w:spacing w:val="-5"/>
                <w:sz w:val="16"/>
              </w:rPr>
              <w:t>205</w:t>
            </w:r>
          </w:p>
        </w:tc>
        <w:tc>
          <w:tcPr>
            <w:tcW w:w="9253" w:type="dxa"/>
          </w:tcPr>
          <w:p>
            <w:pPr>
              <w:pStyle w:val="TableParagraph"/>
              <w:spacing w:line="180" w:lineRule="exact" w:before="0"/>
              <w:ind w:left="67"/>
              <w:rPr>
                <w:rFonts w:ascii="Lucida Sans Unicode"/>
                <w:sz w:val="16"/>
              </w:rPr>
            </w:pPr>
            <w:r>
              <w:rPr>
                <w:rFonts w:ascii="Verdana"/>
                <w:i/>
                <w:sz w:val="16"/>
              </w:rPr>
              <w:t>Egenberger</w:t>
            </w:r>
            <w:r>
              <w:rPr>
                <w:rFonts w:ascii="Verdana"/>
                <w:i/>
                <w:spacing w:val="-2"/>
                <w:sz w:val="16"/>
              </w:rPr>
              <w:t> </w:t>
            </w:r>
            <w:r>
              <w:rPr>
                <w:rFonts w:ascii="Lucida Sans Unicode"/>
                <w:sz w:val="16"/>
              </w:rPr>
              <w:t>(n</w:t>
            </w:r>
            <w:r>
              <w:rPr>
                <w:rFonts w:ascii="Lucida Sans Unicode"/>
                <w:spacing w:val="5"/>
                <w:sz w:val="16"/>
              </w:rPr>
              <w:t> </w:t>
            </w:r>
            <w:r>
              <w:rPr>
                <w:rFonts w:ascii="Lucida Sans Unicode"/>
                <w:sz w:val="16"/>
              </w:rPr>
              <w:t>66),</w:t>
            </w:r>
            <w:r>
              <w:rPr>
                <w:rFonts w:ascii="Lucida Sans Unicode"/>
                <w:spacing w:val="5"/>
                <w:sz w:val="16"/>
              </w:rPr>
              <w:t> </w:t>
            </w:r>
            <w:r>
              <w:rPr>
                <w:rFonts w:ascii="Lucida Sans Unicode"/>
                <w:sz w:val="16"/>
              </w:rPr>
              <w:t>para</w:t>
            </w:r>
            <w:r>
              <w:rPr>
                <w:rFonts w:ascii="Lucida Sans Unicode"/>
                <w:spacing w:val="5"/>
                <w:sz w:val="16"/>
              </w:rPr>
              <w:t> </w:t>
            </w:r>
            <w:r>
              <w:rPr>
                <w:rFonts w:ascii="Lucida Sans Unicode"/>
                <w:spacing w:val="-5"/>
                <w:sz w:val="16"/>
              </w:rPr>
              <w:t>49.</w:t>
            </w:r>
          </w:p>
        </w:tc>
      </w:tr>
      <w:tr>
        <w:trPr>
          <w:trHeight w:val="200" w:hRule="atLeast"/>
        </w:trPr>
        <w:tc>
          <w:tcPr>
            <w:tcW w:w="386" w:type="dxa"/>
          </w:tcPr>
          <w:p>
            <w:pPr>
              <w:pStyle w:val="TableParagraph"/>
              <w:spacing w:line="180" w:lineRule="exact" w:before="0"/>
              <w:ind w:right="70"/>
              <w:jc w:val="center"/>
              <w:rPr>
                <w:rFonts w:ascii="Lucida Sans Unicode"/>
                <w:sz w:val="16"/>
              </w:rPr>
            </w:pPr>
            <w:r>
              <w:rPr>
                <w:rFonts w:ascii="Lucida Sans Unicode"/>
                <w:spacing w:val="-5"/>
                <w:sz w:val="16"/>
              </w:rPr>
              <w:t>206</w:t>
            </w:r>
          </w:p>
        </w:tc>
        <w:tc>
          <w:tcPr>
            <w:tcW w:w="9253" w:type="dxa"/>
          </w:tcPr>
          <w:p>
            <w:pPr>
              <w:pStyle w:val="TableParagraph"/>
              <w:spacing w:line="180" w:lineRule="exact" w:before="0"/>
              <w:ind w:left="67"/>
              <w:rPr>
                <w:rFonts w:ascii="Lucida Sans Unicode"/>
                <w:sz w:val="16"/>
              </w:rPr>
            </w:pPr>
            <w:r>
              <w:rPr>
                <w:rFonts w:ascii="Verdana"/>
                <w:i/>
                <w:w w:val="90"/>
                <w:sz w:val="16"/>
              </w:rPr>
              <w:t>Ibid</w:t>
            </w:r>
            <w:r>
              <w:rPr>
                <w:rFonts w:ascii="Lucida Sans Unicode"/>
                <w:w w:val="90"/>
                <w:sz w:val="16"/>
              </w:rPr>
              <w:t>,</w:t>
            </w:r>
            <w:r>
              <w:rPr>
                <w:rFonts w:ascii="Lucida Sans Unicode"/>
                <w:spacing w:val="12"/>
                <w:sz w:val="16"/>
              </w:rPr>
              <w:t> </w:t>
            </w:r>
            <w:r>
              <w:rPr>
                <w:rFonts w:ascii="Lucida Sans Unicode"/>
                <w:w w:val="90"/>
                <w:sz w:val="16"/>
              </w:rPr>
              <w:t>paras</w:t>
            </w:r>
            <w:r>
              <w:rPr>
                <w:rFonts w:ascii="Lucida Sans Unicode"/>
                <w:spacing w:val="12"/>
                <w:sz w:val="16"/>
              </w:rPr>
              <w:t> </w:t>
            </w:r>
            <w:r>
              <w:rPr>
                <w:rFonts w:ascii="Lucida Sans Unicode"/>
                <w:w w:val="90"/>
                <w:sz w:val="16"/>
              </w:rPr>
              <w:t>51-</w:t>
            </w:r>
            <w:r>
              <w:rPr>
                <w:rFonts w:ascii="Lucida Sans Unicode"/>
                <w:spacing w:val="-5"/>
                <w:w w:val="90"/>
                <w:sz w:val="16"/>
              </w:rPr>
              <w:t>52.</w:t>
            </w:r>
          </w:p>
        </w:tc>
      </w:tr>
      <w:tr>
        <w:trPr>
          <w:trHeight w:val="200" w:hRule="atLeast"/>
        </w:trPr>
        <w:tc>
          <w:tcPr>
            <w:tcW w:w="386" w:type="dxa"/>
          </w:tcPr>
          <w:p>
            <w:pPr>
              <w:pStyle w:val="TableParagraph"/>
              <w:spacing w:line="180" w:lineRule="exact" w:before="0"/>
              <w:ind w:right="87"/>
              <w:jc w:val="center"/>
              <w:rPr>
                <w:rFonts w:ascii="Lucida Sans Unicode"/>
                <w:sz w:val="16"/>
              </w:rPr>
            </w:pPr>
            <w:r>
              <w:rPr>
                <w:rFonts w:ascii="Lucida Sans Unicode"/>
                <w:spacing w:val="-6"/>
                <w:sz w:val="16"/>
              </w:rPr>
              <w:t>207</w:t>
            </w:r>
          </w:p>
        </w:tc>
        <w:tc>
          <w:tcPr>
            <w:tcW w:w="9253" w:type="dxa"/>
          </w:tcPr>
          <w:p>
            <w:pPr>
              <w:pStyle w:val="TableParagraph"/>
              <w:spacing w:line="180" w:lineRule="exact" w:before="0"/>
              <w:ind w:left="67"/>
              <w:rPr>
                <w:rFonts w:ascii="Lucida Sans Unicode"/>
                <w:sz w:val="16"/>
              </w:rPr>
            </w:pPr>
            <w:r>
              <w:rPr>
                <w:rFonts w:ascii="Verdana"/>
                <w:i/>
                <w:sz w:val="16"/>
              </w:rPr>
              <w:t>Ibid</w:t>
            </w:r>
            <w:r>
              <w:rPr>
                <w:rFonts w:ascii="Lucida Sans Unicode"/>
                <w:sz w:val="16"/>
              </w:rPr>
              <w:t>,</w:t>
            </w:r>
            <w:r>
              <w:rPr>
                <w:rFonts w:ascii="Lucida Sans Unicode"/>
                <w:spacing w:val="-12"/>
                <w:sz w:val="16"/>
              </w:rPr>
              <w:t> </w:t>
            </w:r>
            <w:r>
              <w:rPr>
                <w:rFonts w:ascii="Lucida Sans Unicode"/>
                <w:sz w:val="16"/>
              </w:rPr>
              <w:t>para</w:t>
            </w:r>
            <w:r>
              <w:rPr>
                <w:rFonts w:ascii="Lucida Sans Unicode"/>
                <w:spacing w:val="-11"/>
                <w:sz w:val="16"/>
              </w:rPr>
              <w:t> </w:t>
            </w:r>
            <w:r>
              <w:rPr>
                <w:rFonts w:ascii="Lucida Sans Unicode"/>
                <w:spacing w:val="-5"/>
                <w:sz w:val="16"/>
              </w:rPr>
              <w:t>53.</w:t>
            </w:r>
          </w:p>
        </w:tc>
      </w:tr>
      <w:tr>
        <w:trPr>
          <w:trHeight w:val="180" w:hRule="atLeast"/>
        </w:trPr>
        <w:tc>
          <w:tcPr>
            <w:tcW w:w="386" w:type="dxa"/>
          </w:tcPr>
          <w:p>
            <w:pPr>
              <w:pStyle w:val="TableParagraph"/>
              <w:spacing w:line="160" w:lineRule="exact" w:before="0"/>
              <w:ind w:right="72"/>
              <w:jc w:val="center"/>
              <w:rPr>
                <w:rFonts w:ascii="Lucida Sans Unicode"/>
                <w:sz w:val="16"/>
              </w:rPr>
            </w:pPr>
            <w:r>
              <w:rPr>
                <w:rFonts w:ascii="Lucida Sans Unicode"/>
                <w:spacing w:val="-5"/>
                <w:sz w:val="16"/>
              </w:rPr>
              <w:t>208</w:t>
            </w:r>
          </w:p>
        </w:tc>
        <w:tc>
          <w:tcPr>
            <w:tcW w:w="9253" w:type="dxa"/>
          </w:tcPr>
          <w:p>
            <w:pPr>
              <w:pStyle w:val="TableParagraph"/>
              <w:spacing w:line="160" w:lineRule="exact" w:before="0"/>
              <w:ind w:left="67"/>
              <w:rPr>
                <w:rFonts w:ascii="Lucida Sans Unicode"/>
                <w:sz w:val="16"/>
              </w:rPr>
            </w:pPr>
            <w:r>
              <w:rPr>
                <w:rFonts w:ascii="Lucida Sans Unicode"/>
                <w:sz w:val="16"/>
              </w:rPr>
              <w:t>Federal</w:t>
            </w:r>
            <w:r>
              <w:rPr>
                <w:rFonts w:ascii="Lucida Sans Unicode"/>
                <w:spacing w:val="11"/>
                <w:sz w:val="16"/>
              </w:rPr>
              <w:t> </w:t>
            </w:r>
            <w:r>
              <w:rPr>
                <w:rFonts w:ascii="Lucida Sans Unicode"/>
                <w:sz w:val="16"/>
              </w:rPr>
              <w:t>Labour</w:t>
            </w:r>
            <w:r>
              <w:rPr>
                <w:rFonts w:ascii="Lucida Sans Unicode"/>
                <w:spacing w:val="12"/>
                <w:sz w:val="16"/>
              </w:rPr>
              <w:t> </w:t>
            </w:r>
            <w:r>
              <w:rPr>
                <w:rFonts w:ascii="Lucida Sans Unicode"/>
                <w:sz w:val="16"/>
              </w:rPr>
              <w:t>Court</w:t>
            </w:r>
            <w:r>
              <w:rPr>
                <w:rFonts w:ascii="Lucida Sans Unicode"/>
                <w:spacing w:val="11"/>
                <w:sz w:val="16"/>
              </w:rPr>
              <w:t> </w:t>
            </w:r>
            <w:r>
              <w:rPr>
                <w:rFonts w:ascii="Lucida Sans Unicode"/>
                <w:sz w:val="16"/>
              </w:rPr>
              <w:t>(Bundesarbeitsgericht)</w:t>
            </w:r>
            <w:r>
              <w:rPr>
                <w:rFonts w:ascii="Lucida Sans Unicode"/>
                <w:spacing w:val="12"/>
                <w:sz w:val="16"/>
              </w:rPr>
              <w:t> </w:t>
            </w:r>
            <w:r>
              <w:rPr>
                <w:rFonts w:ascii="Lucida Sans Unicode"/>
                <w:sz w:val="16"/>
              </w:rPr>
              <w:t>8</w:t>
            </w:r>
            <w:r>
              <w:rPr>
                <w:rFonts w:ascii="Lucida Sans Unicode"/>
                <w:spacing w:val="11"/>
                <w:sz w:val="16"/>
              </w:rPr>
              <w:t> </w:t>
            </w:r>
            <w:r>
              <w:rPr>
                <w:rFonts w:ascii="Lucida Sans Unicode"/>
                <w:sz w:val="16"/>
              </w:rPr>
              <w:t>AZR</w:t>
            </w:r>
            <w:r>
              <w:rPr>
                <w:rFonts w:ascii="Lucida Sans Unicode"/>
                <w:spacing w:val="12"/>
                <w:sz w:val="16"/>
              </w:rPr>
              <w:t> </w:t>
            </w:r>
            <w:r>
              <w:rPr>
                <w:rFonts w:ascii="Lucida Sans Unicode"/>
                <w:sz w:val="16"/>
              </w:rPr>
              <w:t>501/14,</w:t>
            </w:r>
            <w:r>
              <w:rPr>
                <w:rFonts w:ascii="Lucida Sans Unicode"/>
                <w:spacing w:val="12"/>
                <w:sz w:val="16"/>
              </w:rPr>
              <w:t> </w:t>
            </w:r>
            <w:r>
              <w:rPr>
                <w:rFonts w:ascii="Lucida Sans Unicode"/>
                <w:spacing w:val="-2"/>
                <w:sz w:val="16"/>
              </w:rPr>
              <w:t>DE:BAG:2018:251018.U.8AZR501.14.0.</w:t>
            </w:r>
          </w:p>
        </w:tc>
      </w:tr>
    </w:tbl>
    <w:p>
      <w:pPr>
        <w:spacing w:after="0" w:line="160" w:lineRule="exact"/>
        <w:rPr>
          <w:rFonts w:ascii="Lucida Sans Unicode"/>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259" w:lineRule="auto" w:before="72"/>
        <w:ind w:right="383"/>
        <w:rPr>
          <w:rFonts w:ascii="Lucida Sans Unicode"/>
        </w:rPr>
      </w:pPr>
      <w:bookmarkStart w:name="b. The Charter and Article 2 outside the" w:id="56"/>
      <w:bookmarkEnd w:id="56"/>
      <w:r>
        <w:rPr/>
      </w:r>
      <w:bookmarkStart w:name="_bookmark23" w:id="57"/>
      <w:bookmarkEnd w:id="57"/>
      <w:r>
        <w:rPr/>
      </w:r>
      <w:r>
        <w:rPr>
          <w:w w:val="110"/>
        </w:rPr>
        <w:t>This case demonstrates how the Charter can be invoked in an Annex</w:t>
      </w:r>
      <w:r>
        <w:rPr>
          <w:spacing w:val="-6"/>
          <w:w w:val="110"/>
        </w:rPr>
        <w:t> </w:t>
      </w:r>
      <w:r>
        <w:rPr/>
        <w:t>1 </w:t>
      </w:r>
      <w:r>
        <w:rPr>
          <w:w w:val="110"/>
        </w:rPr>
        <w:t>scenario</w:t>
      </w:r>
      <w:r>
        <w:rPr>
          <w:spacing w:val="-6"/>
          <w:w w:val="110"/>
        </w:rPr>
        <w:t> </w:t>
      </w:r>
      <w:r>
        <w:rPr>
          <w:w w:val="110"/>
        </w:rPr>
        <w:t>and</w:t>
      </w:r>
      <w:r>
        <w:rPr>
          <w:spacing w:val="-6"/>
          <w:w w:val="110"/>
        </w:rPr>
        <w:t> </w:t>
      </w:r>
      <w:r>
        <w:rPr>
          <w:w w:val="110"/>
        </w:rPr>
        <w:t>result</w:t>
      </w:r>
      <w:r>
        <w:rPr>
          <w:spacing w:val="-6"/>
          <w:w w:val="110"/>
        </w:rPr>
        <w:t> </w:t>
      </w:r>
      <w:r>
        <w:rPr>
          <w:w w:val="110"/>
        </w:rPr>
        <w:t>in</w:t>
      </w:r>
      <w:r>
        <w:rPr>
          <w:spacing w:val="-6"/>
          <w:w w:val="110"/>
        </w:rPr>
        <w:t> </w:t>
      </w:r>
      <w:r>
        <w:rPr>
          <w:w w:val="110"/>
        </w:rPr>
        <w:t>the disapplication</w:t>
      </w:r>
      <w:r>
        <w:rPr>
          <w:spacing w:val="35"/>
          <w:w w:val="110"/>
        </w:rPr>
        <w:t> </w:t>
      </w:r>
      <w:r>
        <w:rPr>
          <w:w w:val="110"/>
        </w:rPr>
        <w:t>of</w:t>
      </w:r>
      <w:r>
        <w:rPr>
          <w:spacing w:val="36"/>
          <w:w w:val="110"/>
        </w:rPr>
        <w:t> </w:t>
      </w:r>
      <w:r>
        <w:rPr>
          <w:w w:val="110"/>
        </w:rPr>
        <w:t>domestic</w:t>
      </w:r>
      <w:r>
        <w:rPr>
          <w:spacing w:val="35"/>
          <w:w w:val="110"/>
        </w:rPr>
        <w:t> </w:t>
      </w:r>
      <w:r>
        <w:rPr>
          <w:spacing w:val="-2"/>
          <w:w w:val="105"/>
        </w:rPr>
        <w:t>law.</w:t>
      </w:r>
      <w:r>
        <w:rPr>
          <w:rFonts w:ascii="Lucida Sans Unicode"/>
          <w:spacing w:val="-2"/>
          <w:w w:val="105"/>
          <w:vertAlign w:val="superscript"/>
        </w:rPr>
        <w:t>209</w:t>
      </w:r>
    </w:p>
    <w:p>
      <w:pPr>
        <w:pStyle w:val="Heading4"/>
        <w:numPr>
          <w:ilvl w:val="0"/>
          <w:numId w:val="13"/>
        </w:numPr>
        <w:tabs>
          <w:tab w:pos="411" w:val="left" w:leader="none"/>
        </w:tabs>
        <w:spacing w:line="256" w:lineRule="auto" w:before="233" w:after="0"/>
        <w:ind w:left="113" w:right="126" w:firstLine="0"/>
        <w:jc w:val="left"/>
      </w:pPr>
      <w:r>
        <w:rPr>
          <w:color w:val="77328A"/>
        </w:rPr>
        <w:t>The Charter and Article 2 </w:t>
      </w:r>
      <w:r>
        <w:rPr>
          <w:color w:val="77328A"/>
        </w:rPr>
        <w:t>outside the Annex 1 directives</w:t>
      </w:r>
    </w:p>
    <w:p>
      <w:pPr>
        <w:pStyle w:val="BodyText"/>
        <w:spacing w:line="252" w:lineRule="auto" w:before="15"/>
        <w:ind w:right="666"/>
        <w:jc w:val="both"/>
        <w:rPr>
          <w:rFonts w:ascii="Lucida Sans Unicode"/>
        </w:rPr>
      </w:pPr>
      <w:r>
        <w:rPr>
          <w:w w:val="110"/>
        </w:rPr>
        <w:t>The applicability of the Charter by virtue of the non-diminution </w:t>
      </w:r>
      <w:r>
        <w:rPr>
          <w:rFonts w:ascii="Lucida Sans Unicode"/>
        </w:rPr>
        <w:t>obligation</w:t>
      </w:r>
      <w:r>
        <w:rPr>
          <w:rFonts w:ascii="Lucida Sans Unicode"/>
          <w:spacing w:val="14"/>
        </w:rPr>
        <w:t> </w:t>
      </w:r>
      <w:r>
        <w:rPr>
          <w:rFonts w:ascii="Lucida Sans Unicode"/>
        </w:rPr>
        <w:t>contained</w:t>
      </w:r>
      <w:r>
        <w:rPr>
          <w:rFonts w:ascii="Lucida Sans Unicode"/>
          <w:spacing w:val="15"/>
        </w:rPr>
        <w:t> </w:t>
      </w:r>
      <w:r>
        <w:rPr>
          <w:rFonts w:ascii="Lucida Sans Unicode"/>
        </w:rPr>
        <w:t>in</w:t>
      </w:r>
      <w:r>
        <w:rPr>
          <w:rFonts w:ascii="Lucida Sans Unicode"/>
          <w:spacing w:val="15"/>
        </w:rPr>
        <w:t> </w:t>
      </w:r>
      <w:r>
        <w:rPr>
          <w:rFonts w:ascii="Lucida Sans Unicode"/>
        </w:rPr>
        <w:t>Article</w:t>
      </w:r>
      <w:r>
        <w:rPr>
          <w:rFonts w:ascii="Lucida Sans Unicode"/>
          <w:spacing w:val="15"/>
        </w:rPr>
        <w:t> </w:t>
      </w:r>
      <w:r>
        <w:rPr>
          <w:rFonts w:ascii="Lucida Sans Unicode"/>
          <w:spacing w:val="-10"/>
        </w:rPr>
        <w:t>2</w:t>
      </w:r>
    </w:p>
    <w:p>
      <w:pPr>
        <w:pStyle w:val="BodyText"/>
        <w:spacing w:line="239" w:lineRule="exact"/>
      </w:pPr>
      <w:r>
        <w:rPr>
          <w:w w:val="110"/>
        </w:rPr>
        <w:t>Windsor</w:t>
      </w:r>
      <w:r>
        <w:rPr>
          <w:spacing w:val="11"/>
          <w:w w:val="110"/>
        </w:rPr>
        <w:t> </w:t>
      </w:r>
      <w:r>
        <w:rPr>
          <w:w w:val="110"/>
        </w:rPr>
        <w:t>Framework</w:t>
      </w:r>
      <w:r>
        <w:rPr>
          <w:spacing w:val="12"/>
          <w:w w:val="110"/>
        </w:rPr>
        <w:t> </w:t>
      </w:r>
      <w:r>
        <w:rPr>
          <w:w w:val="110"/>
        </w:rPr>
        <w:t>is</w:t>
      </w:r>
      <w:r>
        <w:rPr>
          <w:spacing w:val="11"/>
          <w:w w:val="110"/>
        </w:rPr>
        <w:t> </w:t>
      </w:r>
      <w:r>
        <w:rPr>
          <w:w w:val="110"/>
        </w:rPr>
        <w:t>more</w:t>
      </w:r>
      <w:r>
        <w:rPr>
          <w:spacing w:val="12"/>
          <w:w w:val="110"/>
        </w:rPr>
        <w:t> </w:t>
      </w:r>
      <w:r>
        <w:rPr>
          <w:spacing w:val="-2"/>
          <w:w w:val="110"/>
        </w:rPr>
        <w:t>complex</w:t>
      </w:r>
    </w:p>
    <w:p>
      <w:pPr>
        <w:pStyle w:val="BodyText"/>
        <w:spacing w:line="310" w:lineRule="exact" w:before="11"/>
        <w:ind w:right="125"/>
        <w:rPr>
          <w:rFonts w:ascii="Lucida Sans Unicode"/>
        </w:rPr>
      </w:pPr>
      <w:r>
        <w:rPr>
          <w:w w:val="115"/>
        </w:rPr>
        <w:t>outside</w:t>
      </w:r>
      <w:r>
        <w:rPr>
          <w:spacing w:val="-5"/>
          <w:w w:val="115"/>
        </w:rPr>
        <w:t> </w:t>
      </w:r>
      <w:r>
        <w:rPr>
          <w:w w:val="115"/>
        </w:rPr>
        <w:t>the</w:t>
      </w:r>
      <w:r>
        <w:rPr>
          <w:spacing w:val="-5"/>
          <w:w w:val="115"/>
        </w:rPr>
        <w:t> </w:t>
      </w:r>
      <w:r>
        <w:rPr>
          <w:w w:val="115"/>
        </w:rPr>
        <w:t>Annex</w:t>
      </w:r>
      <w:r>
        <w:rPr>
          <w:spacing w:val="-5"/>
          <w:w w:val="115"/>
        </w:rPr>
        <w:t> </w:t>
      </w:r>
      <w:r>
        <w:rPr/>
        <w:t>1 </w:t>
      </w:r>
      <w:r>
        <w:rPr>
          <w:w w:val="115"/>
        </w:rPr>
        <w:t>directives.</w:t>
      </w:r>
      <w:r>
        <w:rPr>
          <w:spacing w:val="-5"/>
          <w:w w:val="115"/>
        </w:rPr>
        <w:t> </w:t>
      </w:r>
      <w:r>
        <w:rPr>
          <w:w w:val="115"/>
        </w:rPr>
        <w:t>This is due to the interaction between elements</w:t>
      </w:r>
      <w:r>
        <w:rPr>
          <w:spacing w:val="-4"/>
          <w:w w:val="115"/>
        </w:rPr>
        <w:t> </w:t>
      </w:r>
      <w:r>
        <w:rPr>
          <w:w w:val="115"/>
        </w:rPr>
        <w:t>i)</w:t>
      </w:r>
      <w:r>
        <w:rPr>
          <w:spacing w:val="-4"/>
          <w:w w:val="115"/>
        </w:rPr>
        <w:t> </w:t>
      </w:r>
      <w:r>
        <w:rPr>
          <w:w w:val="115"/>
        </w:rPr>
        <w:t>to</w:t>
      </w:r>
      <w:r>
        <w:rPr>
          <w:spacing w:val="-4"/>
          <w:w w:val="115"/>
        </w:rPr>
        <w:t> </w:t>
      </w:r>
      <w:r>
        <w:rPr>
          <w:w w:val="115"/>
        </w:rPr>
        <w:t>iii)</w:t>
      </w:r>
      <w:r>
        <w:rPr>
          <w:spacing w:val="-4"/>
          <w:w w:val="115"/>
        </w:rPr>
        <w:t> </w:t>
      </w:r>
      <w:r>
        <w:rPr>
          <w:w w:val="115"/>
        </w:rPr>
        <w:t>of</w:t>
      </w:r>
      <w:r>
        <w:rPr>
          <w:spacing w:val="-4"/>
          <w:w w:val="115"/>
        </w:rPr>
        <w:t> </w:t>
      </w:r>
      <w:r>
        <w:rPr>
          <w:w w:val="115"/>
        </w:rPr>
        <w:t>the</w:t>
      </w:r>
      <w:r>
        <w:rPr>
          <w:spacing w:val="-4"/>
          <w:w w:val="115"/>
        </w:rPr>
        <w:t> </w:t>
      </w:r>
      <w:r>
        <w:rPr>
          <w:w w:val="115"/>
        </w:rPr>
        <w:t>test</w:t>
      </w:r>
      <w:r>
        <w:rPr>
          <w:spacing w:val="-4"/>
          <w:w w:val="115"/>
        </w:rPr>
        <w:t> </w:t>
      </w:r>
      <w:r>
        <w:rPr>
          <w:w w:val="115"/>
        </w:rPr>
        <w:t>outlined above</w:t>
      </w:r>
      <w:r>
        <w:rPr>
          <w:spacing w:val="-3"/>
          <w:w w:val="115"/>
        </w:rPr>
        <w:t> </w:t>
      </w:r>
      <w:r>
        <w:rPr>
          <w:w w:val="115"/>
        </w:rPr>
        <w:t>with</w:t>
      </w:r>
      <w:r>
        <w:rPr>
          <w:spacing w:val="-3"/>
          <w:w w:val="115"/>
        </w:rPr>
        <w:t> </w:t>
      </w:r>
      <w:r>
        <w:rPr>
          <w:w w:val="115"/>
        </w:rPr>
        <w:t>the</w:t>
      </w:r>
      <w:r>
        <w:rPr>
          <w:spacing w:val="-3"/>
          <w:w w:val="115"/>
        </w:rPr>
        <w:t> </w:t>
      </w:r>
      <w:r>
        <w:rPr>
          <w:w w:val="115"/>
        </w:rPr>
        <w:t>requirement</w:t>
      </w:r>
      <w:r>
        <w:rPr>
          <w:spacing w:val="-3"/>
          <w:w w:val="115"/>
        </w:rPr>
        <w:t> </w:t>
      </w:r>
      <w:r>
        <w:rPr>
          <w:w w:val="115"/>
        </w:rPr>
        <w:t>that</w:t>
      </w:r>
      <w:r>
        <w:rPr>
          <w:spacing w:val="-3"/>
          <w:w w:val="115"/>
        </w:rPr>
        <w:t> </w:t>
      </w:r>
      <w:r>
        <w:rPr>
          <w:w w:val="115"/>
        </w:rPr>
        <w:t>the </w:t>
      </w:r>
      <w:r>
        <w:rPr>
          <w:spacing w:val="-2"/>
          <w:w w:val="115"/>
        </w:rPr>
        <w:t>situation</w:t>
      </w:r>
      <w:r>
        <w:rPr>
          <w:spacing w:val="-16"/>
          <w:w w:val="115"/>
        </w:rPr>
        <w:t> </w:t>
      </w:r>
      <w:r>
        <w:rPr>
          <w:spacing w:val="-2"/>
          <w:w w:val="115"/>
        </w:rPr>
        <w:t>at</w:t>
      </w:r>
      <w:r>
        <w:rPr>
          <w:spacing w:val="-16"/>
          <w:w w:val="115"/>
        </w:rPr>
        <w:t> </w:t>
      </w:r>
      <w:r>
        <w:rPr>
          <w:spacing w:val="-2"/>
          <w:w w:val="115"/>
        </w:rPr>
        <w:t>issue</w:t>
      </w:r>
      <w:r>
        <w:rPr>
          <w:spacing w:val="-16"/>
          <w:w w:val="115"/>
        </w:rPr>
        <w:t> </w:t>
      </w:r>
      <w:r>
        <w:rPr>
          <w:spacing w:val="-2"/>
          <w:w w:val="115"/>
        </w:rPr>
        <w:t>is</w:t>
      </w:r>
      <w:r>
        <w:rPr>
          <w:spacing w:val="-16"/>
          <w:w w:val="115"/>
        </w:rPr>
        <w:t> </w:t>
      </w:r>
      <w:r>
        <w:rPr>
          <w:spacing w:val="-2"/>
          <w:w w:val="115"/>
        </w:rPr>
        <w:t>deemed</w:t>
      </w:r>
      <w:r>
        <w:rPr>
          <w:spacing w:val="-16"/>
          <w:w w:val="115"/>
        </w:rPr>
        <w:t> </w:t>
      </w:r>
      <w:r>
        <w:rPr>
          <w:spacing w:val="-2"/>
          <w:w w:val="115"/>
        </w:rPr>
        <w:t>to</w:t>
      </w:r>
      <w:r>
        <w:rPr>
          <w:spacing w:val="-16"/>
          <w:w w:val="115"/>
        </w:rPr>
        <w:t> </w:t>
      </w:r>
      <w:r>
        <w:rPr>
          <w:spacing w:val="-2"/>
          <w:w w:val="115"/>
        </w:rPr>
        <w:t>be</w:t>
      </w:r>
      <w:r>
        <w:rPr>
          <w:spacing w:val="-16"/>
          <w:w w:val="115"/>
        </w:rPr>
        <w:t> </w:t>
      </w:r>
      <w:r>
        <w:rPr>
          <w:spacing w:val="-2"/>
          <w:w w:val="115"/>
        </w:rPr>
        <w:t>an </w:t>
      </w:r>
      <w:r>
        <w:rPr>
          <w:w w:val="115"/>
        </w:rPr>
        <w:t>implementation of Union law. This demonstrates</w:t>
      </w:r>
      <w:r>
        <w:rPr>
          <w:spacing w:val="-20"/>
          <w:w w:val="115"/>
        </w:rPr>
        <w:t> </w:t>
      </w:r>
      <w:r>
        <w:rPr>
          <w:w w:val="115"/>
        </w:rPr>
        <w:t>again</w:t>
      </w:r>
      <w:r>
        <w:rPr>
          <w:spacing w:val="-19"/>
          <w:w w:val="115"/>
        </w:rPr>
        <w:t> </w:t>
      </w:r>
      <w:r>
        <w:rPr>
          <w:w w:val="115"/>
        </w:rPr>
        <w:t>that</w:t>
      </w:r>
      <w:r>
        <w:rPr>
          <w:spacing w:val="-19"/>
          <w:w w:val="115"/>
        </w:rPr>
        <w:t> </w:t>
      </w:r>
      <w:r>
        <w:rPr>
          <w:w w:val="115"/>
        </w:rPr>
        <w:t>the</w:t>
      </w:r>
      <w:r>
        <w:rPr>
          <w:spacing w:val="-19"/>
          <w:w w:val="115"/>
        </w:rPr>
        <w:t> </w:t>
      </w:r>
      <w:r>
        <w:rPr>
          <w:w w:val="115"/>
        </w:rPr>
        <w:t>Charter does not apply in and of itself in Northern</w:t>
      </w:r>
      <w:r>
        <w:rPr>
          <w:spacing w:val="-4"/>
          <w:w w:val="115"/>
        </w:rPr>
        <w:t> </w:t>
      </w:r>
      <w:r>
        <w:rPr>
          <w:w w:val="115"/>
        </w:rPr>
        <w:t>Ireland</w:t>
      </w:r>
      <w:r>
        <w:rPr>
          <w:spacing w:val="-4"/>
          <w:w w:val="115"/>
        </w:rPr>
        <w:t> </w:t>
      </w:r>
      <w:r>
        <w:rPr>
          <w:w w:val="115"/>
        </w:rPr>
        <w:t>under</w:t>
      </w:r>
      <w:r>
        <w:rPr>
          <w:spacing w:val="-4"/>
          <w:w w:val="115"/>
        </w:rPr>
        <w:t> </w:t>
      </w:r>
      <w:r>
        <w:rPr>
          <w:w w:val="115"/>
        </w:rPr>
        <w:t>the</w:t>
      </w:r>
      <w:r>
        <w:rPr>
          <w:spacing w:val="-4"/>
          <w:w w:val="115"/>
        </w:rPr>
        <w:t> </w:t>
      </w:r>
      <w:r>
        <w:rPr>
          <w:w w:val="115"/>
        </w:rPr>
        <w:t>Windsor Framework, but only insofar as the situation comes within the scope of EU</w:t>
      </w:r>
      <w:r>
        <w:rPr>
          <w:spacing w:val="-20"/>
          <w:w w:val="115"/>
        </w:rPr>
        <w:t> </w:t>
      </w:r>
      <w:r>
        <w:rPr>
          <w:w w:val="115"/>
        </w:rPr>
        <w:t>law.</w:t>
      </w:r>
      <w:r>
        <w:rPr>
          <w:rFonts w:ascii="Lucida Sans Unicode"/>
          <w:w w:val="115"/>
          <w:vertAlign w:val="superscript"/>
        </w:rPr>
        <w:t>210</w:t>
      </w:r>
    </w:p>
    <w:p>
      <w:pPr>
        <w:pStyle w:val="BodyText"/>
        <w:spacing w:line="247" w:lineRule="auto" w:before="323"/>
        <w:ind w:right="17"/>
      </w:pPr>
      <w:r>
        <w:rPr>
          <w:w w:val="110"/>
        </w:rPr>
        <w:t>Apart from the Directives mentioned by the UK Government as falling </w:t>
      </w:r>
      <w:r>
        <w:rPr>
          <w:rFonts w:ascii="Lucida Sans Unicode"/>
        </w:rPr>
        <w:t>within the scope of Article 2</w:t>
      </w:r>
      <w:r>
        <w:rPr>
          <w:rFonts w:ascii="Lucida Sans Unicode"/>
          <w:vertAlign w:val="superscript"/>
        </w:rPr>
        <w:t>211</w:t>
      </w:r>
      <w:r>
        <w:rPr>
          <w:rFonts w:ascii="Lucida Sans Unicode"/>
          <w:vertAlign w:val="baseline"/>
        </w:rPr>
        <w:t> </w:t>
      </w:r>
      <w:r>
        <w:rPr>
          <w:vertAlign w:val="baseline"/>
        </w:rPr>
        <w:t>there </w:t>
      </w:r>
      <w:r>
        <w:rPr>
          <w:w w:val="110"/>
          <w:vertAlign w:val="baseline"/>
        </w:rPr>
        <w:t>remains a degree of legal </w:t>
      </w:r>
      <w:r>
        <w:rPr>
          <w:w w:val="110"/>
          <w:vertAlign w:val="baseline"/>
        </w:rPr>
        <w:t>uncertainty in this area at present as to which rights, safeguards or equality </w:t>
      </w:r>
      <w:r>
        <w:rPr>
          <w:rFonts w:ascii="Lucida Sans Unicode"/>
          <w:w w:val="110"/>
          <w:vertAlign w:val="baseline"/>
        </w:rPr>
        <w:t>provisions</w:t>
      </w:r>
      <w:r>
        <w:rPr>
          <w:rFonts w:ascii="Lucida Sans Unicode"/>
          <w:spacing w:val="-21"/>
          <w:w w:val="110"/>
          <w:vertAlign w:val="baseline"/>
        </w:rPr>
        <w:t> </w:t>
      </w:r>
      <w:r>
        <w:rPr>
          <w:rFonts w:ascii="Lucida Sans Unicode"/>
          <w:w w:val="110"/>
          <w:vertAlign w:val="baseline"/>
        </w:rPr>
        <w:t>contained</w:t>
      </w:r>
      <w:r>
        <w:rPr>
          <w:rFonts w:ascii="Lucida Sans Unicode"/>
          <w:spacing w:val="-21"/>
          <w:w w:val="110"/>
          <w:vertAlign w:val="baseline"/>
        </w:rPr>
        <w:t> </w:t>
      </w:r>
      <w:r>
        <w:rPr>
          <w:rFonts w:ascii="Lucida Sans Unicode"/>
          <w:w w:val="110"/>
          <w:vertAlign w:val="baseline"/>
        </w:rPr>
        <w:t>in</w:t>
      </w:r>
      <w:r>
        <w:rPr>
          <w:rFonts w:ascii="Lucida Sans Unicode"/>
          <w:spacing w:val="-21"/>
          <w:w w:val="110"/>
          <w:vertAlign w:val="baseline"/>
        </w:rPr>
        <w:t> </w:t>
      </w:r>
      <w:r>
        <w:rPr>
          <w:rFonts w:ascii="Lucida Sans Unicode"/>
          <w:w w:val="110"/>
          <w:vertAlign w:val="baseline"/>
        </w:rPr>
        <w:t>the</w:t>
      </w:r>
      <w:r>
        <w:rPr>
          <w:rFonts w:ascii="Lucida Sans Unicode"/>
          <w:spacing w:val="-21"/>
          <w:w w:val="110"/>
          <w:vertAlign w:val="baseline"/>
        </w:rPr>
        <w:t> </w:t>
      </w:r>
      <w:r>
        <w:rPr>
          <w:rFonts w:ascii="Lucida Sans Unicode"/>
          <w:w w:val="110"/>
          <w:vertAlign w:val="baseline"/>
        </w:rPr>
        <w:t>RSEO </w:t>
      </w:r>
      <w:r>
        <w:rPr>
          <w:w w:val="110"/>
          <w:vertAlign w:val="baseline"/>
        </w:rPr>
        <w:t>section of the Belfast (Good Friday)</w:t>
      </w:r>
    </w:p>
    <w:p>
      <w:pPr>
        <w:pStyle w:val="BodyText"/>
        <w:spacing w:line="252" w:lineRule="auto" w:before="14"/>
        <w:ind w:right="547"/>
        <w:jc w:val="both"/>
        <w:rPr>
          <w:rFonts w:ascii="Lucida Sans Unicode"/>
        </w:rPr>
      </w:pPr>
      <w:r>
        <w:rPr>
          <w:w w:val="110"/>
        </w:rPr>
        <w:t>Agreement were underpinned </w:t>
      </w:r>
      <w:r>
        <w:rPr>
          <w:w w:val="110"/>
        </w:rPr>
        <w:t>by a domestically effective iteration </w:t>
      </w:r>
      <w:r>
        <w:rPr>
          <w:rFonts w:ascii="Lucida Sans Unicode"/>
        </w:rPr>
        <w:t>of EU law on 31 December 2020.</w:t>
      </w:r>
    </w:p>
    <w:p>
      <w:pPr>
        <w:pStyle w:val="BodyText"/>
        <w:spacing w:line="237" w:lineRule="exact"/>
        <w:jc w:val="both"/>
      </w:pPr>
      <w:r>
        <w:rPr/>
        <w:t>The</w:t>
      </w:r>
      <w:r>
        <w:rPr>
          <w:spacing w:val="32"/>
        </w:rPr>
        <w:t> </w:t>
      </w:r>
      <w:r>
        <w:rPr/>
        <w:t>ECNI’s</w:t>
      </w:r>
      <w:r>
        <w:rPr>
          <w:spacing w:val="33"/>
        </w:rPr>
        <w:t> </w:t>
      </w:r>
      <w:r>
        <w:rPr/>
        <w:t>and</w:t>
      </w:r>
      <w:r>
        <w:rPr>
          <w:spacing w:val="33"/>
        </w:rPr>
        <w:t> </w:t>
      </w:r>
      <w:r>
        <w:rPr/>
        <w:t>NIHRC’s</w:t>
      </w:r>
      <w:r>
        <w:rPr>
          <w:spacing w:val="33"/>
        </w:rPr>
        <w:t> </w:t>
      </w:r>
      <w:r>
        <w:rPr>
          <w:spacing w:val="-2"/>
        </w:rPr>
        <w:t>working</w:t>
      </w:r>
    </w:p>
    <w:p>
      <w:pPr>
        <w:pStyle w:val="BodyText"/>
        <w:spacing w:line="337" w:lineRule="exact"/>
        <w:jc w:val="both"/>
        <w:rPr>
          <w:rFonts w:ascii="Lucida Sans Unicode"/>
        </w:rPr>
      </w:pPr>
      <w:r>
        <w:rPr>
          <w:rFonts w:ascii="Lucida Sans Unicode"/>
          <w:w w:val="105"/>
        </w:rPr>
        <w:t>paper</w:t>
      </w:r>
      <w:r>
        <w:rPr>
          <w:rFonts w:ascii="Lucida Sans Unicode"/>
          <w:spacing w:val="-14"/>
          <w:w w:val="105"/>
        </w:rPr>
        <w:t> </w:t>
      </w:r>
      <w:r>
        <w:rPr>
          <w:rFonts w:ascii="Lucida Sans Unicode"/>
          <w:w w:val="105"/>
        </w:rPr>
        <w:t>on</w:t>
      </w:r>
      <w:r>
        <w:rPr>
          <w:rFonts w:ascii="Lucida Sans Unicode"/>
          <w:spacing w:val="-13"/>
          <w:w w:val="105"/>
        </w:rPr>
        <w:t> </w:t>
      </w:r>
      <w:r>
        <w:rPr>
          <w:rFonts w:ascii="Lucida Sans Unicode"/>
          <w:w w:val="105"/>
        </w:rPr>
        <w:t>the</w:t>
      </w:r>
      <w:r>
        <w:rPr>
          <w:rFonts w:ascii="Lucida Sans Unicode"/>
          <w:spacing w:val="-14"/>
          <w:w w:val="105"/>
        </w:rPr>
        <w:t> </w:t>
      </w:r>
      <w:r>
        <w:rPr>
          <w:rFonts w:ascii="Lucida Sans Unicode"/>
          <w:w w:val="105"/>
        </w:rPr>
        <w:t>scope</w:t>
      </w:r>
      <w:r>
        <w:rPr>
          <w:rFonts w:ascii="Lucida Sans Unicode"/>
          <w:spacing w:val="-13"/>
          <w:w w:val="105"/>
        </w:rPr>
        <w:t> </w:t>
      </w:r>
      <w:r>
        <w:rPr>
          <w:rFonts w:ascii="Lucida Sans Unicode"/>
          <w:w w:val="105"/>
        </w:rPr>
        <w:t>of</w:t>
      </w:r>
      <w:r>
        <w:rPr>
          <w:rFonts w:ascii="Lucida Sans Unicode"/>
          <w:spacing w:val="-14"/>
          <w:w w:val="105"/>
        </w:rPr>
        <w:t> </w:t>
      </w:r>
      <w:r>
        <w:rPr>
          <w:rFonts w:ascii="Lucida Sans Unicode"/>
          <w:w w:val="105"/>
        </w:rPr>
        <w:t>Article</w:t>
      </w:r>
      <w:r>
        <w:rPr>
          <w:rFonts w:ascii="Lucida Sans Unicode"/>
          <w:spacing w:val="-13"/>
          <w:w w:val="105"/>
        </w:rPr>
        <w:t> </w:t>
      </w:r>
      <w:r>
        <w:rPr>
          <w:rFonts w:ascii="Lucida Sans Unicode"/>
          <w:spacing w:val="-10"/>
          <w:w w:val="105"/>
        </w:rPr>
        <w:t>2</w:t>
      </w:r>
    </w:p>
    <w:p>
      <w:pPr>
        <w:pStyle w:val="BodyText"/>
        <w:spacing w:line="339" w:lineRule="exact"/>
      </w:pPr>
      <w:r>
        <w:rPr>
          <w:w w:val="105"/>
        </w:rPr>
        <w:t>(1)</w:t>
      </w:r>
      <w:r>
        <w:rPr>
          <w:rFonts w:ascii="Lucida Sans Unicode"/>
          <w:w w:val="105"/>
          <w:vertAlign w:val="superscript"/>
        </w:rPr>
        <w:t>212</w:t>
      </w:r>
      <w:r>
        <w:rPr>
          <w:rFonts w:ascii="Lucida Sans Unicode"/>
          <w:spacing w:val="-5"/>
          <w:w w:val="105"/>
          <w:vertAlign w:val="baseline"/>
        </w:rPr>
        <w:t> </w:t>
      </w:r>
      <w:r>
        <w:rPr>
          <w:w w:val="105"/>
          <w:vertAlign w:val="baseline"/>
        </w:rPr>
        <w:t>features</w:t>
      </w:r>
      <w:r>
        <w:rPr>
          <w:spacing w:val="6"/>
          <w:w w:val="105"/>
          <w:vertAlign w:val="baseline"/>
        </w:rPr>
        <w:t> </w:t>
      </w:r>
      <w:r>
        <w:rPr>
          <w:w w:val="105"/>
          <w:vertAlign w:val="baseline"/>
        </w:rPr>
        <w:t>an</w:t>
      </w:r>
      <w:r>
        <w:rPr>
          <w:spacing w:val="5"/>
          <w:w w:val="105"/>
          <w:vertAlign w:val="baseline"/>
        </w:rPr>
        <w:t> </w:t>
      </w:r>
      <w:r>
        <w:rPr>
          <w:w w:val="105"/>
          <w:vertAlign w:val="baseline"/>
        </w:rPr>
        <w:t>appendix</w:t>
      </w:r>
      <w:r>
        <w:rPr>
          <w:spacing w:val="6"/>
          <w:w w:val="105"/>
          <w:vertAlign w:val="baseline"/>
        </w:rPr>
        <w:t> </w:t>
      </w:r>
      <w:r>
        <w:rPr>
          <w:spacing w:val="-2"/>
          <w:w w:val="105"/>
          <w:vertAlign w:val="baseline"/>
        </w:rPr>
        <w:t>mapping</w:t>
      </w:r>
    </w:p>
    <w:p>
      <w:pPr>
        <w:pStyle w:val="BodyText"/>
        <w:spacing w:line="310" w:lineRule="exact" w:before="49"/>
        <w:ind w:right="147"/>
        <w:rPr>
          <w:rFonts w:ascii="Lucida Sans Unicode"/>
        </w:rPr>
      </w:pPr>
      <w:r>
        <w:rPr/>
        <w:br w:type="column"/>
      </w:r>
      <w:r>
        <w:rPr>
          <w:rFonts w:ascii="Lucida Sans Unicode"/>
        </w:rPr>
        <w:t>relevant rights contained in the RSEO </w:t>
      </w:r>
      <w:r>
        <w:rPr>
          <w:w w:val="110"/>
        </w:rPr>
        <w:t>section of the Belfast (Good Friday) Agreement</w:t>
      </w:r>
      <w:r>
        <w:rPr>
          <w:spacing w:val="40"/>
          <w:w w:val="110"/>
        </w:rPr>
        <w:t> </w:t>
      </w:r>
      <w:r>
        <w:rPr>
          <w:w w:val="110"/>
        </w:rPr>
        <w:t>onto</w:t>
      </w:r>
      <w:r>
        <w:rPr>
          <w:spacing w:val="40"/>
          <w:w w:val="110"/>
        </w:rPr>
        <w:t> </w:t>
      </w:r>
      <w:r>
        <w:rPr>
          <w:w w:val="110"/>
        </w:rPr>
        <w:t>EU</w:t>
      </w:r>
      <w:r>
        <w:rPr>
          <w:spacing w:val="40"/>
          <w:w w:val="110"/>
        </w:rPr>
        <w:t> </w:t>
      </w:r>
      <w:r>
        <w:rPr>
          <w:w w:val="110"/>
        </w:rPr>
        <w:t>law</w:t>
      </w:r>
      <w:r>
        <w:rPr>
          <w:spacing w:val="40"/>
          <w:w w:val="110"/>
        </w:rPr>
        <w:t> </w:t>
      </w:r>
      <w:r>
        <w:rPr>
          <w:w w:val="110"/>
        </w:rPr>
        <w:t>as</w:t>
      </w:r>
      <w:r>
        <w:rPr>
          <w:spacing w:val="40"/>
          <w:w w:val="110"/>
        </w:rPr>
        <w:t> </w:t>
      </w:r>
      <w:r>
        <w:rPr>
          <w:w w:val="110"/>
        </w:rPr>
        <w:t>it</w:t>
      </w:r>
      <w:r>
        <w:rPr>
          <w:spacing w:val="40"/>
          <w:w w:val="110"/>
        </w:rPr>
        <w:t> </w:t>
      </w:r>
      <w:r>
        <w:rPr>
          <w:w w:val="110"/>
        </w:rPr>
        <w:t>stood</w:t>
      </w:r>
      <w:r>
        <w:rPr>
          <w:w w:val="110"/>
        </w:rPr>
        <w:t> </w:t>
      </w:r>
      <w:r>
        <w:rPr>
          <w:rFonts w:ascii="Lucida Sans Unicode"/>
        </w:rPr>
        <w:t>on</w:t>
      </w:r>
      <w:r>
        <w:rPr>
          <w:rFonts w:ascii="Lucida Sans Unicode"/>
          <w:spacing w:val="-8"/>
        </w:rPr>
        <w:t> </w:t>
      </w:r>
      <w:r>
        <w:rPr>
          <w:rFonts w:ascii="Lucida Sans Unicode"/>
        </w:rPr>
        <w:t>31</w:t>
      </w:r>
      <w:r>
        <w:rPr>
          <w:rFonts w:ascii="Lucida Sans Unicode"/>
          <w:spacing w:val="-8"/>
        </w:rPr>
        <w:t> </w:t>
      </w:r>
      <w:r>
        <w:rPr>
          <w:rFonts w:ascii="Lucida Sans Unicode"/>
        </w:rPr>
        <w:t>December</w:t>
      </w:r>
      <w:r>
        <w:rPr>
          <w:rFonts w:ascii="Lucida Sans Unicode"/>
          <w:spacing w:val="-8"/>
        </w:rPr>
        <w:t> </w:t>
      </w:r>
      <w:r>
        <w:rPr>
          <w:rFonts w:ascii="Lucida Sans Unicode"/>
        </w:rPr>
        <w:t>2020.</w:t>
      </w:r>
      <w:r>
        <w:rPr>
          <w:rFonts w:ascii="Lucida Sans Unicode"/>
          <w:spacing w:val="-8"/>
        </w:rPr>
        <w:t> </w:t>
      </w:r>
      <w:r>
        <w:rPr>
          <w:rFonts w:ascii="Lucida Sans Unicode"/>
        </w:rPr>
        <w:t>This</w:t>
      </w:r>
      <w:r>
        <w:rPr>
          <w:rFonts w:ascii="Lucida Sans Unicode"/>
          <w:spacing w:val="-8"/>
        </w:rPr>
        <w:t> </w:t>
      </w:r>
      <w:r>
        <w:rPr>
          <w:rFonts w:ascii="Lucida Sans Unicode"/>
        </w:rPr>
        <w:t>provides</w:t>
      </w:r>
      <w:r>
        <w:rPr>
          <w:rFonts w:ascii="Lucida Sans Unicode"/>
          <w:spacing w:val="-8"/>
        </w:rPr>
        <w:t> </w:t>
      </w:r>
      <w:r>
        <w:rPr>
          <w:rFonts w:ascii="Lucida Sans Unicode"/>
        </w:rPr>
        <w:t>a</w:t>
      </w:r>
    </w:p>
    <w:p>
      <w:pPr>
        <w:pStyle w:val="BodyText"/>
        <w:spacing w:line="310" w:lineRule="exact"/>
        <w:ind w:right="118"/>
      </w:pPr>
      <w:r>
        <w:rPr>
          <w:w w:val="115"/>
        </w:rPr>
        <w:t>good</w:t>
      </w:r>
      <w:r>
        <w:rPr>
          <w:spacing w:val="-18"/>
          <w:w w:val="115"/>
        </w:rPr>
        <w:t> </w:t>
      </w:r>
      <w:r>
        <w:rPr>
          <w:w w:val="115"/>
        </w:rPr>
        <w:t>indication</w:t>
      </w:r>
      <w:r>
        <w:rPr>
          <w:spacing w:val="-18"/>
          <w:w w:val="115"/>
        </w:rPr>
        <w:t> </w:t>
      </w:r>
      <w:r>
        <w:rPr>
          <w:w w:val="115"/>
        </w:rPr>
        <w:t>as</w:t>
      </w:r>
      <w:r>
        <w:rPr>
          <w:spacing w:val="-18"/>
          <w:w w:val="115"/>
        </w:rPr>
        <w:t> </w:t>
      </w:r>
      <w:r>
        <w:rPr>
          <w:w w:val="115"/>
        </w:rPr>
        <w:t>to</w:t>
      </w:r>
      <w:r>
        <w:rPr>
          <w:spacing w:val="-18"/>
          <w:w w:val="115"/>
        </w:rPr>
        <w:t> </w:t>
      </w:r>
      <w:r>
        <w:rPr>
          <w:w w:val="115"/>
        </w:rPr>
        <w:t>which</w:t>
      </w:r>
      <w:r>
        <w:rPr>
          <w:spacing w:val="-18"/>
          <w:w w:val="115"/>
        </w:rPr>
        <w:t> </w:t>
      </w:r>
      <w:r>
        <w:rPr>
          <w:w w:val="115"/>
        </w:rPr>
        <w:t>provisions of EU law might be considered to be underpinning the civil and political </w:t>
      </w:r>
      <w:r>
        <w:rPr>
          <w:rFonts w:ascii="Lucida Sans Unicode"/>
        </w:rPr>
        <w:t>rights mentioned in the RSEO section, </w:t>
      </w:r>
      <w:r>
        <w:rPr>
          <w:w w:val="115"/>
        </w:rPr>
        <w:t>though it should not be considered</w:t>
      </w:r>
    </w:p>
    <w:p>
      <w:pPr>
        <w:pStyle w:val="BodyText"/>
        <w:spacing w:line="225" w:lineRule="auto" w:before="1"/>
        <w:ind w:right="317"/>
      </w:pPr>
      <w:r>
        <w:rPr>
          <w:rFonts w:ascii="Lucida Sans Unicode"/>
        </w:rPr>
        <w:t>to</w:t>
      </w:r>
      <w:r>
        <w:rPr>
          <w:rFonts w:ascii="Lucida Sans Unicode"/>
          <w:spacing w:val="-2"/>
        </w:rPr>
        <w:t> </w:t>
      </w:r>
      <w:r>
        <w:rPr>
          <w:rFonts w:ascii="Lucida Sans Unicode"/>
        </w:rPr>
        <w:t>be</w:t>
      </w:r>
      <w:r>
        <w:rPr>
          <w:rFonts w:ascii="Lucida Sans Unicode"/>
          <w:spacing w:val="-2"/>
        </w:rPr>
        <w:t> </w:t>
      </w:r>
      <w:r>
        <w:rPr>
          <w:rFonts w:ascii="Lucida Sans Unicode"/>
        </w:rPr>
        <w:t>definite</w:t>
      </w:r>
      <w:r>
        <w:rPr>
          <w:rFonts w:ascii="Lucida Sans Unicode"/>
          <w:spacing w:val="-2"/>
        </w:rPr>
        <w:t> </w:t>
      </w:r>
      <w:r>
        <w:rPr>
          <w:rFonts w:ascii="Lucida Sans Unicode"/>
        </w:rPr>
        <w:t>or</w:t>
      </w:r>
      <w:r>
        <w:rPr>
          <w:rFonts w:ascii="Lucida Sans Unicode"/>
          <w:spacing w:val="-2"/>
        </w:rPr>
        <w:t> </w:t>
      </w:r>
      <w:r>
        <w:rPr>
          <w:rFonts w:ascii="Lucida Sans Unicode"/>
        </w:rPr>
        <w:t>exhaustive</w:t>
      </w:r>
      <w:r>
        <w:rPr>
          <w:rFonts w:ascii="Lucida Sans Unicode"/>
          <w:spacing w:val="-2"/>
        </w:rPr>
        <w:t> </w:t>
      </w:r>
      <w:r>
        <w:rPr>
          <w:rFonts w:ascii="Lucida Sans Unicode"/>
        </w:rPr>
        <w:t>in</w:t>
      </w:r>
      <w:r>
        <w:rPr>
          <w:rFonts w:ascii="Lucida Sans Unicode"/>
          <w:spacing w:val="-2"/>
        </w:rPr>
        <w:t> </w:t>
      </w:r>
      <w:r>
        <w:rPr>
          <w:rFonts w:ascii="Lucida Sans Unicode"/>
        </w:rPr>
        <w:t>this </w:t>
      </w:r>
      <w:r>
        <w:rPr>
          <w:spacing w:val="-2"/>
        </w:rPr>
        <w:t>regard.</w:t>
      </w:r>
    </w:p>
    <w:p>
      <w:pPr>
        <w:pStyle w:val="BodyText"/>
        <w:spacing w:before="60"/>
        <w:ind w:left="0"/>
      </w:pPr>
    </w:p>
    <w:p>
      <w:pPr>
        <w:pStyle w:val="BodyText"/>
        <w:spacing w:line="268" w:lineRule="auto"/>
        <w:ind w:right="385"/>
      </w:pPr>
      <w:r>
        <w:rPr>
          <w:w w:val="110"/>
        </w:rPr>
        <w:t>It should be emphasised that the</w:t>
      </w:r>
      <w:r>
        <w:rPr>
          <w:spacing w:val="80"/>
          <w:w w:val="110"/>
        </w:rPr>
        <w:t> </w:t>
      </w:r>
      <w:r>
        <w:rPr>
          <w:w w:val="110"/>
        </w:rPr>
        <w:t>key</w:t>
      </w:r>
      <w:r>
        <w:rPr>
          <w:spacing w:val="-6"/>
          <w:w w:val="110"/>
        </w:rPr>
        <w:t> </w:t>
      </w:r>
      <w:r>
        <w:rPr>
          <w:w w:val="110"/>
        </w:rPr>
        <w:t>assessment</w:t>
      </w:r>
      <w:r>
        <w:rPr>
          <w:spacing w:val="-6"/>
          <w:w w:val="110"/>
        </w:rPr>
        <w:t> </w:t>
      </w:r>
      <w:r>
        <w:rPr>
          <w:w w:val="110"/>
        </w:rPr>
        <w:t>here,</w:t>
      </w:r>
      <w:r>
        <w:rPr>
          <w:spacing w:val="-6"/>
          <w:w w:val="110"/>
        </w:rPr>
        <w:t> </w:t>
      </w:r>
      <w:r>
        <w:rPr>
          <w:w w:val="110"/>
        </w:rPr>
        <w:t>in</w:t>
      </w:r>
      <w:r>
        <w:rPr>
          <w:spacing w:val="-6"/>
          <w:w w:val="110"/>
        </w:rPr>
        <w:t> </w:t>
      </w:r>
      <w:r>
        <w:rPr>
          <w:w w:val="110"/>
        </w:rPr>
        <w:t>line</w:t>
      </w:r>
      <w:r>
        <w:rPr>
          <w:spacing w:val="-6"/>
          <w:w w:val="110"/>
        </w:rPr>
        <w:t> </w:t>
      </w:r>
      <w:r>
        <w:rPr>
          <w:w w:val="110"/>
        </w:rPr>
        <w:t>with</w:t>
      </w:r>
      <w:r>
        <w:rPr>
          <w:spacing w:val="-6"/>
          <w:w w:val="110"/>
        </w:rPr>
        <w:t> </w:t>
      </w:r>
      <w:r>
        <w:rPr>
          <w:spacing w:val="-5"/>
          <w:w w:val="110"/>
        </w:rPr>
        <w:t>the</w:t>
      </w:r>
    </w:p>
    <w:p>
      <w:pPr>
        <w:pStyle w:val="BodyText"/>
        <w:spacing w:line="244" w:lineRule="auto"/>
        <w:ind w:right="317"/>
        <w:rPr>
          <w:rFonts w:ascii="Lucida Sans Unicode"/>
        </w:rPr>
      </w:pPr>
      <w:r>
        <w:rPr>
          <w:rFonts w:ascii="Verdana"/>
          <w:i/>
          <w:w w:val="105"/>
        </w:rPr>
        <w:t>SPUC</w:t>
      </w:r>
      <w:r>
        <w:rPr>
          <w:rFonts w:ascii="Verdana"/>
          <w:i/>
          <w:spacing w:val="-1"/>
          <w:w w:val="105"/>
        </w:rPr>
        <w:t> </w:t>
      </w:r>
      <w:r>
        <w:rPr>
          <w:w w:val="105"/>
        </w:rPr>
        <w:t>test, is whether an EU </w:t>
      </w:r>
      <w:r>
        <w:rPr>
          <w:w w:val="105"/>
        </w:rPr>
        <w:t>measure was </w:t>
      </w:r>
      <w:r>
        <w:rPr>
          <w:rFonts w:ascii="Verdana"/>
          <w:i/>
          <w:w w:val="105"/>
        </w:rPr>
        <w:t>binding </w:t>
      </w:r>
      <w:r>
        <w:rPr>
          <w:w w:val="105"/>
        </w:rPr>
        <w:t>on the UK on or before </w:t>
      </w:r>
      <w:r>
        <w:rPr>
          <w:rFonts w:ascii="Lucida Sans Unicode"/>
          <w:w w:val="105"/>
        </w:rPr>
        <w:t>31</w:t>
      </w:r>
      <w:r>
        <w:rPr>
          <w:rFonts w:ascii="Lucida Sans Unicode"/>
          <w:spacing w:val="-14"/>
          <w:w w:val="105"/>
        </w:rPr>
        <w:t> </w:t>
      </w:r>
      <w:r>
        <w:rPr>
          <w:rFonts w:ascii="Lucida Sans Unicode"/>
          <w:w w:val="105"/>
        </w:rPr>
        <w:t>December</w:t>
      </w:r>
      <w:r>
        <w:rPr>
          <w:rFonts w:ascii="Lucida Sans Unicode"/>
          <w:spacing w:val="-14"/>
          <w:w w:val="105"/>
        </w:rPr>
        <w:t> </w:t>
      </w:r>
      <w:r>
        <w:rPr>
          <w:rFonts w:ascii="Lucida Sans Unicode"/>
          <w:w w:val="105"/>
        </w:rPr>
        <w:t>2020.</w:t>
      </w:r>
      <w:r>
        <w:rPr>
          <w:rFonts w:ascii="Lucida Sans Unicode"/>
          <w:spacing w:val="-14"/>
          <w:w w:val="105"/>
        </w:rPr>
        <w:t> </w:t>
      </w:r>
      <w:r>
        <w:rPr>
          <w:rFonts w:ascii="Lucida Sans Unicode"/>
          <w:w w:val="105"/>
        </w:rPr>
        <w:t>It</w:t>
      </w:r>
      <w:r>
        <w:rPr>
          <w:rFonts w:ascii="Lucida Sans Unicode"/>
          <w:spacing w:val="-14"/>
          <w:w w:val="105"/>
        </w:rPr>
        <w:t> </w:t>
      </w:r>
      <w:r>
        <w:rPr>
          <w:rFonts w:ascii="Lucida Sans Unicode"/>
          <w:w w:val="105"/>
        </w:rPr>
        <w:t>is</w:t>
      </w:r>
      <w:r>
        <w:rPr>
          <w:rFonts w:ascii="Lucida Sans Unicode"/>
          <w:spacing w:val="-14"/>
          <w:w w:val="105"/>
        </w:rPr>
        <w:t> </w:t>
      </w:r>
      <w:r>
        <w:rPr>
          <w:rFonts w:ascii="Lucida Sans Unicode"/>
          <w:w w:val="105"/>
        </w:rPr>
        <w:t>essential</w:t>
      </w:r>
    </w:p>
    <w:p>
      <w:pPr>
        <w:pStyle w:val="BodyText"/>
        <w:spacing w:line="250" w:lineRule="exact"/>
      </w:pPr>
      <w:r>
        <w:rPr>
          <w:w w:val="110"/>
        </w:rPr>
        <w:t>to</w:t>
      </w:r>
      <w:r>
        <w:rPr>
          <w:spacing w:val="-6"/>
          <w:w w:val="110"/>
        </w:rPr>
        <w:t> </w:t>
      </w:r>
      <w:r>
        <w:rPr>
          <w:w w:val="110"/>
        </w:rPr>
        <w:t>emphasise</w:t>
      </w:r>
      <w:r>
        <w:rPr>
          <w:spacing w:val="-5"/>
          <w:w w:val="110"/>
        </w:rPr>
        <w:t> </w:t>
      </w:r>
      <w:r>
        <w:rPr>
          <w:w w:val="110"/>
        </w:rPr>
        <w:t>that,</w:t>
      </w:r>
      <w:r>
        <w:rPr>
          <w:spacing w:val="-5"/>
          <w:w w:val="110"/>
        </w:rPr>
        <w:t> </w:t>
      </w:r>
      <w:r>
        <w:rPr>
          <w:w w:val="110"/>
        </w:rPr>
        <w:t>in</w:t>
      </w:r>
      <w:r>
        <w:rPr>
          <w:spacing w:val="-5"/>
          <w:w w:val="110"/>
        </w:rPr>
        <w:t> </w:t>
      </w:r>
      <w:r>
        <w:rPr>
          <w:w w:val="110"/>
        </w:rPr>
        <w:t>EU</w:t>
      </w:r>
      <w:r>
        <w:rPr>
          <w:spacing w:val="-5"/>
          <w:w w:val="110"/>
        </w:rPr>
        <w:t> </w:t>
      </w:r>
      <w:r>
        <w:rPr>
          <w:w w:val="110"/>
        </w:rPr>
        <w:t>law,</w:t>
      </w:r>
      <w:r>
        <w:rPr>
          <w:spacing w:val="-5"/>
          <w:w w:val="110"/>
        </w:rPr>
        <w:t> the</w:t>
      </w:r>
    </w:p>
    <w:p>
      <w:pPr>
        <w:pStyle w:val="BodyText"/>
        <w:spacing w:line="310" w:lineRule="exact"/>
        <w:ind w:right="159"/>
      </w:pPr>
      <w:r>
        <w:rPr>
          <w:w w:val="110"/>
        </w:rPr>
        <w:t>question of whether a measure has a ‘binding’ character is wholly separate</w:t>
      </w:r>
      <w:r>
        <w:rPr>
          <w:spacing w:val="40"/>
          <w:w w:val="110"/>
        </w:rPr>
        <w:t> </w:t>
      </w:r>
      <w:r>
        <w:rPr>
          <w:w w:val="110"/>
        </w:rPr>
        <w:t>to the question of whether it enjoys direct effect. The </w:t>
      </w:r>
      <w:r>
        <w:rPr>
          <w:rFonts w:ascii="Verdana" w:hAnsi="Verdana"/>
          <w:i/>
          <w:w w:val="110"/>
        </w:rPr>
        <w:t>Angesom</w:t>
      </w:r>
      <w:r>
        <w:rPr>
          <w:rFonts w:ascii="Verdana" w:hAnsi="Verdana"/>
          <w:i/>
          <w:spacing w:val="-10"/>
          <w:w w:val="110"/>
        </w:rPr>
        <w:t> </w:t>
      </w:r>
      <w:r>
        <w:rPr>
          <w:w w:val="110"/>
        </w:rPr>
        <w:t>ruling had created some confusion in this regard, by</w:t>
      </w:r>
      <w:r>
        <w:rPr>
          <w:spacing w:val="40"/>
          <w:w w:val="110"/>
        </w:rPr>
        <w:t> </w:t>
      </w:r>
      <w:r>
        <w:rPr>
          <w:w w:val="110"/>
        </w:rPr>
        <w:t>associating</w:t>
      </w:r>
      <w:r>
        <w:rPr>
          <w:spacing w:val="40"/>
          <w:w w:val="110"/>
        </w:rPr>
        <w:t> </w:t>
      </w:r>
      <w:r>
        <w:rPr>
          <w:w w:val="110"/>
        </w:rPr>
        <w:t>the</w:t>
      </w:r>
      <w:r>
        <w:rPr>
          <w:spacing w:val="40"/>
          <w:w w:val="110"/>
        </w:rPr>
        <w:t> </w:t>
      </w:r>
      <w:r>
        <w:rPr>
          <w:w w:val="110"/>
        </w:rPr>
        <w:t>binding</w:t>
      </w:r>
      <w:r>
        <w:rPr>
          <w:spacing w:val="40"/>
          <w:w w:val="110"/>
        </w:rPr>
        <w:t> </w:t>
      </w:r>
      <w:r>
        <w:rPr>
          <w:w w:val="110"/>
        </w:rPr>
        <w:t>character of an EU measure with the question of whether that measure was capable of enjoying direct effect.</w:t>
      </w:r>
      <w:r>
        <w:rPr>
          <w:rFonts w:ascii="Lucida Sans Unicode" w:hAnsi="Lucida Sans Unicode"/>
          <w:w w:val="110"/>
          <w:vertAlign w:val="superscript"/>
        </w:rPr>
        <w:t>213</w:t>
      </w:r>
      <w:r>
        <w:rPr>
          <w:rFonts w:ascii="Lucida Sans Unicode" w:hAnsi="Lucida Sans Unicode"/>
          <w:w w:val="110"/>
          <w:vertAlign w:val="baseline"/>
        </w:rPr>
        <w:t> </w:t>
      </w:r>
      <w:r>
        <w:rPr>
          <w:w w:val="110"/>
          <w:vertAlign w:val="baseline"/>
        </w:rPr>
        <w:t>However, this position was recently revised </w:t>
      </w:r>
      <w:r>
        <w:rPr>
          <w:w w:val="110"/>
          <w:vertAlign w:val="baseline"/>
        </w:rPr>
        <w:t>explicitly in </w:t>
      </w:r>
      <w:r>
        <w:rPr>
          <w:rFonts w:ascii="Verdana" w:hAnsi="Verdana"/>
          <w:i/>
          <w:w w:val="110"/>
          <w:vertAlign w:val="baseline"/>
        </w:rPr>
        <w:t>Dillon</w:t>
      </w:r>
      <w:r>
        <w:rPr>
          <w:w w:val="110"/>
          <w:vertAlign w:val="baseline"/>
        </w:rPr>
        <w:t>, with Colton J clarifying</w:t>
      </w:r>
    </w:p>
    <w:p>
      <w:pPr>
        <w:pStyle w:val="BodyText"/>
        <w:spacing w:line="220" w:lineRule="auto" w:before="38"/>
        <w:ind w:right="221"/>
      </w:pPr>
      <w:r>
        <w:rPr>
          <w:w w:val="110"/>
        </w:rPr>
        <w:t>that binding effect and direct effect</w:t>
      </w:r>
      <w:r>
        <w:rPr>
          <w:spacing w:val="40"/>
          <w:w w:val="110"/>
        </w:rPr>
        <w:t> </w:t>
      </w:r>
      <w:r>
        <w:rPr>
          <w:w w:val="110"/>
        </w:rPr>
        <w:t>are separate matters.</w:t>
      </w:r>
      <w:r>
        <w:rPr>
          <w:rFonts w:ascii="Lucida Sans Unicode"/>
          <w:w w:val="110"/>
          <w:vertAlign w:val="superscript"/>
        </w:rPr>
        <w:t>214</w:t>
      </w:r>
      <w:r>
        <w:rPr>
          <w:rFonts w:ascii="Lucida Sans Unicode"/>
          <w:w w:val="110"/>
          <w:vertAlign w:val="baseline"/>
        </w:rPr>
        <w:t> </w:t>
      </w:r>
      <w:r>
        <w:rPr>
          <w:w w:val="110"/>
          <w:vertAlign w:val="baseline"/>
        </w:rPr>
        <w:t>We wholly </w:t>
      </w:r>
      <w:r>
        <w:rPr>
          <w:rFonts w:ascii="Lucida Sans Unicode"/>
          <w:vertAlign w:val="baseline"/>
        </w:rPr>
        <w:t>welcome this clarification, as it </w:t>
      </w:r>
      <w:r>
        <w:rPr>
          <w:rFonts w:ascii="Lucida Sans Unicode"/>
          <w:vertAlign w:val="baseline"/>
        </w:rPr>
        <w:t>avoids </w:t>
      </w:r>
      <w:r>
        <w:rPr>
          <w:w w:val="110"/>
          <w:vertAlign w:val="baseline"/>
        </w:rPr>
        <w:t>any future misunderstandings of</w:t>
      </w:r>
    </w:p>
    <w:p>
      <w:pPr>
        <w:spacing w:line="254" w:lineRule="auto" w:before="35"/>
        <w:ind w:left="113" w:right="317" w:firstLine="0"/>
        <w:jc w:val="left"/>
        <w:rPr>
          <w:rFonts w:ascii="Lucida Sans Unicode"/>
          <w:sz w:val="24"/>
        </w:rPr>
      </w:pPr>
      <w:r>
        <w:rPr>
          <w:w w:val="110"/>
          <w:sz w:val="24"/>
        </w:rPr>
        <w:t>the binding character EU measures. Indeed, it is a foundational aspect </w:t>
      </w:r>
      <w:r>
        <w:rPr>
          <w:w w:val="110"/>
          <w:sz w:val="24"/>
        </w:rPr>
        <w:t>of the principle of primacy that </w:t>
      </w:r>
      <w:r>
        <w:rPr>
          <w:rFonts w:ascii="Verdana"/>
          <w:i/>
          <w:w w:val="110"/>
          <w:sz w:val="24"/>
        </w:rPr>
        <w:t>even</w:t>
      </w:r>
      <w:r>
        <w:rPr>
          <w:rFonts w:ascii="Verdana"/>
          <w:i/>
          <w:w w:val="110"/>
          <w:sz w:val="24"/>
        </w:rPr>
        <w:t> </w:t>
      </w:r>
      <w:r>
        <w:rPr>
          <w:rFonts w:ascii="Verdana"/>
          <w:i/>
          <w:sz w:val="24"/>
        </w:rPr>
        <w:t>measures not enjoying direct effect </w:t>
      </w:r>
      <w:r>
        <w:rPr>
          <w:rFonts w:ascii="Verdana"/>
          <w:i/>
          <w:spacing w:val="-4"/>
          <w:sz w:val="24"/>
        </w:rPr>
        <w:t>are</w:t>
      </w:r>
      <w:r>
        <w:rPr>
          <w:rFonts w:ascii="Verdana"/>
          <w:i/>
          <w:spacing w:val="-15"/>
          <w:sz w:val="24"/>
        </w:rPr>
        <w:t> </w:t>
      </w:r>
      <w:r>
        <w:rPr>
          <w:rFonts w:ascii="Verdana"/>
          <w:i/>
          <w:spacing w:val="-4"/>
          <w:sz w:val="24"/>
        </w:rPr>
        <w:t>binding</w:t>
      </w:r>
      <w:r>
        <w:rPr>
          <w:rFonts w:ascii="Verdana"/>
          <w:i/>
          <w:spacing w:val="-15"/>
          <w:sz w:val="24"/>
        </w:rPr>
        <w:t> </w:t>
      </w:r>
      <w:r>
        <w:rPr>
          <w:rFonts w:ascii="Verdana"/>
          <w:i/>
          <w:spacing w:val="-4"/>
          <w:sz w:val="24"/>
        </w:rPr>
        <w:t>on</w:t>
      </w:r>
      <w:r>
        <w:rPr>
          <w:rFonts w:ascii="Verdana"/>
          <w:i/>
          <w:spacing w:val="-15"/>
          <w:sz w:val="24"/>
        </w:rPr>
        <w:t> </w:t>
      </w:r>
      <w:r>
        <w:rPr>
          <w:rFonts w:ascii="Verdana"/>
          <w:i/>
          <w:spacing w:val="-4"/>
          <w:sz w:val="24"/>
        </w:rPr>
        <w:t>the</w:t>
      </w:r>
      <w:r>
        <w:rPr>
          <w:rFonts w:ascii="Verdana"/>
          <w:i/>
          <w:spacing w:val="-15"/>
          <w:sz w:val="24"/>
        </w:rPr>
        <w:t> </w:t>
      </w:r>
      <w:r>
        <w:rPr>
          <w:rFonts w:ascii="Verdana"/>
          <w:i/>
          <w:spacing w:val="-4"/>
          <w:sz w:val="24"/>
        </w:rPr>
        <w:t>Member</w:t>
      </w:r>
      <w:r>
        <w:rPr>
          <w:rFonts w:ascii="Verdana"/>
          <w:i/>
          <w:spacing w:val="-15"/>
          <w:sz w:val="24"/>
        </w:rPr>
        <w:t> </w:t>
      </w:r>
      <w:r>
        <w:rPr>
          <w:rFonts w:ascii="Verdana"/>
          <w:i/>
          <w:spacing w:val="-4"/>
          <w:sz w:val="24"/>
        </w:rPr>
        <w:t>States</w:t>
      </w:r>
      <w:r>
        <w:rPr>
          <w:spacing w:val="-4"/>
          <w:sz w:val="24"/>
        </w:rPr>
        <w:t>.</w:t>
      </w:r>
      <w:r>
        <w:rPr>
          <w:rFonts w:ascii="Lucida Sans Unicode"/>
          <w:spacing w:val="-4"/>
          <w:sz w:val="24"/>
          <w:vertAlign w:val="superscript"/>
        </w:rPr>
        <w:t>215</w:t>
      </w:r>
    </w:p>
    <w:p>
      <w:pPr>
        <w:spacing w:after="0" w:line="254" w:lineRule="auto"/>
        <w:jc w:val="left"/>
        <w:rPr>
          <w:rFonts w:ascii="Lucida Sans Unicode"/>
          <w:sz w:val="24"/>
        </w:rPr>
        <w:sectPr>
          <w:type w:val="continuous"/>
          <w:pgSz w:w="11910" w:h="16840"/>
          <w:pgMar w:header="568" w:footer="580" w:top="0" w:bottom="280" w:left="1020" w:right="1020"/>
          <w:cols w:num="2" w:equalWidth="0">
            <w:col w:w="4600" w:space="446"/>
            <w:col w:w="4824"/>
          </w:cols>
        </w:sectPr>
      </w:pPr>
    </w:p>
    <w:p>
      <w:pPr>
        <w:pStyle w:val="BodyText"/>
        <w:spacing w:before="74" w:after="1"/>
        <w:ind w:left="0"/>
        <w:rPr>
          <w:rFonts w:ascii="Lucida Sans Unicode"/>
          <w:sz w:val="20"/>
        </w:rPr>
      </w:pPr>
    </w:p>
    <w:p>
      <w:pPr>
        <w:pStyle w:val="BodyText"/>
        <w:spacing w:line="20" w:lineRule="exact"/>
        <w:rPr>
          <w:rFonts w:ascii="Lucida Sans Unicode"/>
          <w:sz w:val="2"/>
        </w:rPr>
      </w:pPr>
      <w:r>
        <w:rPr>
          <w:rFonts w:ascii="Lucida Sans Unicode"/>
          <w:sz w:val="2"/>
        </w:rPr>
        <mc:AlternateContent>
          <mc:Choice Requires="wps">
            <w:drawing>
              <wp:inline distT="0" distB="0" distL="0" distR="0">
                <wp:extent cx="6120130" cy="6350"/>
                <wp:effectExtent l="9525" t="0" r="0" b="3175"/>
                <wp:docPr id="141" name="Group 141"/>
                <wp:cNvGraphicFramePr>
                  <a:graphicFrameLocks/>
                </wp:cNvGraphicFramePr>
                <a:graphic>
                  <a:graphicData uri="http://schemas.microsoft.com/office/word/2010/wordprocessingGroup">
                    <wpg:wgp>
                      <wpg:cNvPr id="141" name="Group 141"/>
                      <wpg:cNvGrpSpPr/>
                      <wpg:grpSpPr>
                        <a:xfrm>
                          <a:off x="0" y="0"/>
                          <a:ext cx="6120130" cy="6350"/>
                          <a:chExt cx="6120130" cy="6350"/>
                        </a:xfrm>
                      </wpg:grpSpPr>
                      <wps:wsp>
                        <wps:cNvPr id="142" name="Graphic 142"/>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89" coordorigin="0,0" coordsize="9638,10">
                <v:line style="position:absolute" from="0,5" to="9638,5" stroked="true" strokeweight=".5pt" strokecolor="#77328a">
                  <v:stroke dashstyle="solid"/>
                </v:line>
              </v:group>
            </w:pict>
          </mc:Fallback>
        </mc:AlternateContent>
      </w:r>
      <w:r>
        <w:rPr>
          <w:rFonts w:ascii="Lucida Sans Unicode"/>
          <w:sz w:val="2"/>
        </w:rPr>
      </w:r>
    </w:p>
    <w:p>
      <w:pPr>
        <w:pStyle w:val="ListParagraph"/>
        <w:numPr>
          <w:ilvl w:val="0"/>
          <w:numId w:val="14"/>
        </w:numPr>
        <w:tabs>
          <w:tab w:pos="565" w:val="left" w:leader="none"/>
        </w:tabs>
        <w:spacing w:line="223" w:lineRule="exact" w:before="61" w:after="0"/>
        <w:ind w:left="565" w:right="0" w:hanging="452"/>
        <w:jc w:val="left"/>
        <w:rPr>
          <w:sz w:val="16"/>
        </w:rPr>
      </w:pPr>
      <w:r>
        <w:rPr>
          <w:sz w:val="16"/>
        </w:rPr>
        <w:t>More</w:t>
      </w:r>
      <w:r>
        <w:rPr>
          <w:spacing w:val="5"/>
          <w:sz w:val="16"/>
        </w:rPr>
        <w:t> </w:t>
      </w:r>
      <w:r>
        <w:rPr>
          <w:sz w:val="16"/>
        </w:rPr>
        <w:t>on</w:t>
      </w:r>
      <w:r>
        <w:rPr>
          <w:spacing w:val="5"/>
          <w:sz w:val="16"/>
        </w:rPr>
        <w:t> </w:t>
      </w:r>
      <w:r>
        <w:rPr>
          <w:sz w:val="16"/>
        </w:rPr>
        <w:t>disapplication</w:t>
      </w:r>
      <w:r>
        <w:rPr>
          <w:spacing w:val="5"/>
          <w:sz w:val="16"/>
        </w:rPr>
        <w:t> </w:t>
      </w:r>
      <w:r>
        <w:rPr>
          <w:sz w:val="16"/>
        </w:rPr>
        <w:t>as</w:t>
      </w:r>
      <w:r>
        <w:rPr>
          <w:spacing w:val="5"/>
          <w:sz w:val="16"/>
        </w:rPr>
        <w:t> </w:t>
      </w:r>
      <w:r>
        <w:rPr>
          <w:sz w:val="16"/>
        </w:rPr>
        <w:t>a</w:t>
      </w:r>
      <w:r>
        <w:rPr>
          <w:spacing w:val="6"/>
          <w:sz w:val="16"/>
        </w:rPr>
        <w:t> </w:t>
      </w:r>
      <w:r>
        <w:rPr>
          <w:sz w:val="16"/>
        </w:rPr>
        <w:t>remedy</w:t>
      </w:r>
      <w:r>
        <w:rPr>
          <w:spacing w:val="5"/>
          <w:sz w:val="16"/>
        </w:rPr>
        <w:t> </w:t>
      </w:r>
      <w:r>
        <w:rPr>
          <w:sz w:val="16"/>
        </w:rPr>
        <w:t>in</w:t>
      </w:r>
      <w:r>
        <w:rPr>
          <w:spacing w:val="5"/>
          <w:sz w:val="16"/>
        </w:rPr>
        <w:t> </w:t>
      </w:r>
      <w:r>
        <w:rPr>
          <w:sz w:val="16"/>
        </w:rPr>
        <w:t>Chapter</w:t>
      </w:r>
      <w:r>
        <w:rPr>
          <w:spacing w:val="5"/>
          <w:sz w:val="16"/>
        </w:rPr>
        <w:t> </w:t>
      </w:r>
      <w:r>
        <w:rPr>
          <w:spacing w:val="-5"/>
          <w:sz w:val="16"/>
        </w:rPr>
        <w:t>4.</w:t>
      </w:r>
    </w:p>
    <w:p>
      <w:pPr>
        <w:pStyle w:val="ListParagraph"/>
        <w:numPr>
          <w:ilvl w:val="0"/>
          <w:numId w:val="14"/>
        </w:numPr>
        <w:tabs>
          <w:tab w:pos="566" w:val="left" w:leader="none"/>
        </w:tabs>
        <w:spacing w:line="200" w:lineRule="exact" w:before="0" w:after="0"/>
        <w:ind w:left="566" w:right="0" w:hanging="453"/>
        <w:jc w:val="left"/>
        <w:rPr>
          <w:sz w:val="16"/>
        </w:rPr>
      </w:pPr>
      <w:r>
        <w:rPr>
          <w:sz w:val="16"/>
        </w:rPr>
        <w:t>On</w:t>
      </w:r>
      <w:r>
        <w:rPr>
          <w:spacing w:val="7"/>
          <w:sz w:val="16"/>
        </w:rPr>
        <w:t> </w:t>
      </w:r>
      <w:r>
        <w:rPr>
          <w:sz w:val="16"/>
        </w:rPr>
        <w:t>the</w:t>
      </w:r>
      <w:r>
        <w:rPr>
          <w:spacing w:val="8"/>
          <w:sz w:val="16"/>
        </w:rPr>
        <w:t> </w:t>
      </w:r>
      <w:r>
        <w:rPr>
          <w:sz w:val="16"/>
        </w:rPr>
        <w:t>applicability</w:t>
      </w:r>
      <w:r>
        <w:rPr>
          <w:spacing w:val="8"/>
          <w:sz w:val="16"/>
        </w:rPr>
        <w:t> </w:t>
      </w:r>
      <w:r>
        <w:rPr>
          <w:sz w:val="16"/>
        </w:rPr>
        <w:t>of</w:t>
      </w:r>
      <w:r>
        <w:rPr>
          <w:spacing w:val="8"/>
          <w:sz w:val="16"/>
        </w:rPr>
        <w:t> </w:t>
      </w:r>
      <w:r>
        <w:rPr>
          <w:sz w:val="16"/>
        </w:rPr>
        <w:t>the</w:t>
      </w:r>
      <w:r>
        <w:rPr>
          <w:spacing w:val="8"/>
          <w:sz w:val="16"/>
        </w:rPr>
        <w:t> </w:t>
      </w:r>
      <w:r>
        <w:rPr>
          <w:sz w:val="16"/>
        </w:rPr>
        <w:t>Charter</w:t>
      </w:r>
      <w:r>
        <w:rPr>
          <w:spacing w:val="8"/>
          <w:sz w:val="16"/>
        </w:rPr>
        <w:t> </w:t>
      </w:r>
      <w:r>
        <w:rPr>
          <w:sz w:val="16"/>
        </w:rPr>
        <w:t>in</w:t>
      </w:r>
      <w:r>
        <w:rPr>
          <w:spacing w:val="7"/>
          <w:sz w:val="16"/>
        </w:rPr>
        <w:t> </w:t>
      </w:r>
      <w:r>
        <w:rPr>
          <w:sz w:val="16"/>
        </w:rPr>
        <w:t>the</w:t>
      </w:r>
      <w:r>
        <w:rPr>
          <w:spacing w:val="8"/>
          <w:sz w:val="16"/>
        </w:rPr>
        <w:t> </w:t>
      </w:r>
      <w:r>
        <w:rPr>
          <w:sz w:val="16"/>
        </w:rPr>
        <w:t>Member</w:t>
      </w:r>
      <w:r>
        <w:rPr>
          <w:spacing w:val="8"/>
          <w:sz w:val="16"/>
        </w:rPr>
        <w:t> </w:t>
      </w:r>
      <w:r>
        <w:rPr>
          <w:sz w:val="16"/>
        </w:rPr>
        <w:t>State</w:t>
      </w:r>
      <w:r>
        <w:rPr>
          <w:spacing w:val="8"/>
          <w:sz w:val="16"/>
        </w:rPr>
        <w:t> </w:t>
      </w:r>
      <w:r>
        <w:rPr>
          <w:sz w:val="16"/>
        </w:rPr>
        <w:t>legal</w:t>
      </w:r>
      <w:r>
        <w:rPr>
          <w:spacing w:val="8"/>
          <w:sz w:val="16"/>
        </w:rPr>
        <w:t> </w:t>
      </w:r>
      <w:r>
        <w:rPr>
          <w:sz w:val="16"/>
        </w:rPr>
        <w:t>orders,</w:t>
      </w:r>
      <w:r>
        <w:rPr>
          <w:spacing w:val="8"/>
          <w:sz w:val="16"/>
        </w:rPr>
        <w:t> </w:t>
      </w:r>
      <w:r>
        <w:rPr>
          <w:sz w:val="16"/>
        </w:rPr>
        <w:t>see</w:t>
      </w:r>
      <w:r>
        <w:rPr>
          <w:spacing w:val="7"/>
          <w:sz w:val="16"/>
        </w:rPr>
        <w:t> </w:t>
      </w:r>
      <w:r>
        <w:rPr>
          <w:sz w:val="16"/>
        </w:rPr>
        <w:t>Chapter</w:t>
      </w:r>
      <w:r>
        <w:rPr>
          <w:spacing w:val="8"/>
          <w:sz w:val="16"/>
        </w:rPr>
        <w:t> </w:t>
      </w:r>
      <w:r>
        <w:rPr>
          <w:spacing w:val="-5"/>
          <w:sz w:val="16"/>
        </w:rPr>
        <w:t>1.</w:t>
      </w:r>
    </w:p>
    <w:p>
      <w:pPr>
        <w:pStyle w:val="ListParagraph"/>
        <w:numPr>
          <w:ilvl w:val="0"/>
          <w:numId w:val="14"/>
        </w:numPr>
        <w:tabs>
          <w:tab w:pos="567" w:val="left" w:leader="none"/>
        </w:tabs>
        <w:spacing w:line="194" w:lineRule="auto" w:before="10" w:after="0"/>
        <w:ind w:left="567" w:right="310" w:hanging="454"/>
        <w:jc w:val="left"/>
        <w:rPr>
          <w:sz w:val="16"/>
        </w:rPr>
      </w:pPr>
      <w:r>
        <w:rPr>
          <w:w w:val="105"/>
          <w:sz w:val="16"/>
        </w:rPr>
        <w:t>UK Government Explainer (n 129), available at:</w:t>
      </w:r>
      <w:r>
        <w:rPr>
          <w:spacing w:val="40"/>
          <w:w w:val="105"/>
          <w:sz w:val="16"/>
        </w:rPr>
        <w:t> </w:t>
      </w:r>
      <w:hyperlink r:id="rId37">
        <w:r>
          <w:rPr>
            <w:rFonts w:ascii="Arial"/>
            <w:color w:val="77328A"/>
            <w:w w:val="105"/>
            <w:sz w:val="16"/>
            <w:u w:val="single" w:color="77328A"/>
          </w:rPr>
          <w:t>https://assets.publishing.service.gov.uk/government/uploads/</w:t>
        </w:r>
      </w:hyperlink>
      <w:r>
        <w:rPr>
          <w:rFonts w:ascii="Arial"/>
          <w:color w:val="77328A"/>
          <w:spacing w:val="40"/>
          <w:w w:val="105"/>
          <w:sz w:val="16"/>
          <w:u w:val="none"/>
        </w:rPr>
        <w:t> </w:t>
      </w:r>
      <w:hyperlink r:id="rId37">
        <w:r>
          <w:rPr>
            <w:color w:val="77328A"/>
            <w:spacing w:val="-2"/>
            <w:w w:val="105"/>
            <w:sz w:val="16"/>
            <w:u w:val="single" w:color="77328A"/>
          </w:rPr>
          <w:t>system/uploads/attachment_data/file/907682/Explainer</w:t>
        </w:r>
        <w:r>
          <w:rPr>
            <w:color w:val="77328A"/>
            <w:spacing w:val="80"/>
            <w:w w:val="105"/>
            <w:sz w:val="16"/>
            <w:u w:val="single" w:color="77328A"/>
          </w:rPr>
          <w:t> </w:t>
        </w:r>
        <w:r>
          <w:rPr>
            <w:color w:val="77328A"/>
            <w:spacing w:val="-2"/>
            <w:w w:val="105"/>
            <w:sz w:val="16"/>
            <w:u w:val="single" w:color="77328A"/>
          </w:rPr>
          <w:t>UK_Government_commitment_to_no_diminution_of_</w:t>
        </w:r>
      </w:hyperlink>
      <w:r>
        <w:rPr>
          <w:color w:val="77328A"/>
          <w:spacing w:val="-2"/>
          <w:w w:val="105"/>
          <w:sz w:val="16"/>
          <w:u w:val="none"/>
        </w:rPr>
        <w:t> </w:t>
      </w:r>
      <w:hyperlink r:id="rId37">
        <w:r>
          <w:rPr>
            <w:color w:val="77328A"/>
            <w:w w:val="105"/>
            <w:sz w:val="16"/>
            <w:u w:val="single" w:color="77328A"/>
          </w:rPr>
          <w:t>rights</w:t>
        </w:r>
        <w:r>
          <w:rPr>
            <w:color w:val="77328A"/>
            <w:spacing w:val="80"/>
            <w:w w:val="105"/>
            <w:sz w:val="16"/>
            <w:u w:val="single" w:color="77328A"/>
          </w:rPr>
          <w:t> </w:t>
        </w:r>
        <w:r>
          <w:rPr>
            <w:color w:val="77328A"/>
            <w:w w:val="105"/>
            <w:sz w:val="16"/>
            <w:u w:val="single" w:color="77328A"/>
          </w:rPr>
          <w:t>safeguards_and_equality_of_opportunity_in_Northern_Ireland.pdf</w:t>
        </w:r>
      </w:hyperlink>
    </w:p>
    <w:p>
      <w:pPr>
        <w:pStyle w:val="ListParagraph"/>
        <w:numPr>
          <w:ilvl w:val="0"/>
          <w:numId w:val="14"/>
        </w:numPr>
        <w:tabs>
          <w:tab w:pos="567" w:val="left" w:leader="none"/>
        </w:tabs>
        <w:spacing w:line="192" w:lineRule="exact" w:before="0" w:after="0"/>
        <w:ind w:left="567" w:right="0" w:hanging="454"/>
        <w:jc w:val="left"/>
        <w:rPr>
          <w:rFonts w:ascii="Arial" w:hAnsi="Arial"/>
          <w:sz w:val="16"/>
        </w:rPr>
      </w:pPr>
      <w:r>
        <w:rPr>
          <w:rFonts w:ascii="Arial" w:hAnsi="Arial"/>
          <w:w w:val="110"/>
          <w:sz w:val="16"/>
        </w:rPr>
        <w:t>ECNI’s</w:t>
      </w:r>
      <w:r>
        <w:rPr>
          <w:rFonts w:ascii="Arial" w:hAnsi="Arial"/>
          <w:spacing w:val="-6"/>
          <w:w w:val="110"/>
          <w:sz w:val="16"/>
        </w:rPr>
        <w:t> </w:t>
      </w:r>
      <w:r>
        <w:rPr>
          <w:rFonts w:ascii="Arial" w:hAnsi="Arial"/>
          <w:w w:val="110"/>
          <w:sz w:val="16"/>
        </w:rPr>
        <w:t>and</w:t>
      </w:r>
      <w:r>
        <w:rPr>
          <w:rFonts w:ascii="Arial" w:hAnsi="Arial"/>
          <w:spacing w:val="-6"/>
          <w:w w:val="110"/>
          <w:sz w:val="16"/>
        </w:rPr>
        <w:t> </w:t>
      </w:r>
      <w:r>
        <w:rPr>
          <w:rFonts w:ascii="Arial" w:hAnsi="Arial"/>
          <w:w w:val="110"/>
          <w:sz w:val="16"/>
        </w:rPr>
        <w:t>NIHRC’s</w:t>
      </w:r>
      <w:r>
        <w:rPr>
          <w:rFonts w:ascii="Arial" w:hAnsi="Arial"/>
          <w:spacing w:val="-6"/>
          <w:w w:val="110"/>
          <w:sz w:val="16"/>
        </w:rPr>
        <w:t> </w:t>
      </w:r>
      <w:r>
        <w:rPr>
          <w:rFonts w:ascii="Arial" w:hAnsi="Arial"/>
          <w:w w:val="110"/>
          <w:sz w:val="16"/>
        </w:rPr>
        <w:t>working</w:t>
      </w:r>
      <w:r>
        <w:rPr>
          <w:rFonts w:ascii="Arial" w:hAnsi="Arial"/>
          <w:spacing w:val="-6"/>
          <w:w w:val="110"/>
          <w:sz w:val="16"/>
        </w:rPr>
        <w:t> </w:t>
      </w:r>
      <w:r>
        <w:rPr>
          <w:rFonts w:ascii="Arial" w:hAnsi="Arial"/>
          <w:w w:val="110"/>
          <w:sz w:val="16"/>
        </w:rPr>
        <w:t>paper</w:t>
      </w:r>
      <w:r>
        <w:rPr>
          <w:rFonts w:ascii="Arial" w:hAnsi="Arial"/>
          <w:spacing w:val="-6"/>
          <w:w w:val="110"/>
          <w:sz w:val="16"/>
        </w:rPr>
        <w:t> </w:t>
      </w:r>
      <w:r>
        <w:rPr>
          <w:rFonts w:ascii="Arial" w:hAnsi="Arial"/>
          <w:w w:val="110"/>
          <w:sz w:val="16"/>
        </w:rPr>
        <w:t>(n</w:t>
      </w:r>
      <w:r>
        <w:rPr>
          <w:rFonts w:ascii="Arial" w:hAnsi="Arial"/>
          <w:spacing w:val="-6"/>
          <w:w w:val="110"/>
          <w:sz w:val="16"/>
        </w:rPr>
        <w:t> </w:t>
      </w:r>
      <w:r>
        <w:rPr>
          <w:rFonts w:ascii="Arial" w:hAnsi="Arial"/>
          <w:spacing w:val="-5"/>
          <w:w w:val="110"/>
          <w:sz w:val="16"/>
        </w:rPr>
        <w:t>5).</w:t>
      </w:r>
    </w:p>
    <w:p>
      <w:pPr>
        <w:pStyle w:val="ListParagraph"/>
        <w:numPr>
          <w:ilvl w:val="0"/>
          <w:numId w:val="14"/>
        </w:numPr>
        <w:tabs>
          <w:tab w:pos="567" w:val="left" w:leader="none"/>
        </w:tabs>
        <w:spacing w:line="200" w:lineRule="exact" w:before="0" w:after="0"/>
        <w:ind w:left="567" w:right="0" w:hanging="454"/>
        <w:jc w:val="left"/>
        <w:rPr>
          <w:sz w:val="16"/>
        </w:rPr>
      </w:pPr>
      <w:r>
        <w:rPr>
          <w:rFonts w:ascii="Verdana"/>
          <w:i/>
          <w:sz w:val="16"/>
        </w:rPr>
        <w:t>Angesom</w:t>
      </w:r>
      <w:r>
        <w:rPr>
          <w:rFonts w:ascii="Verdana"/>
          <w:i/>
          <w:spacing w:val="-3"/>
          <w:sz w:val="16"/>
        </w:rPr>
        <w:t> </w:t>
      </w:r>
      <w:r>
        <w:rPr>
          <w:sz w:val="16"/>
        </w:rPr>
        <w:t>(n</w:t>
      </w:r>
      <w:r>
        <w:rPr>
          <w:spacing w:val="4"/>
          <w:sz w:val="16"/>
        </w:rPr>
        <w:t> </w:t>
      </w:r>
      <w:r>
        <w:rPr>
          <w:sz w:val="16"/>
        </w:rPr>
        <w:t>33),</w:t>
      </w:r>
      <w:r>
        <w:rPr>
          <w:spacing w:val="4"/>
          <w:sz w:val="16"/>
        </w:rPr>
        <w:t> </w:t>
      </w:r>
      <w:r>
        <w:rPr>
          <w:sz w:val="16"/>
        </w:rPr>
        <w:t>para</w:t>
      </w:r>
      <w:r>
        <w:rPr>
          <w:spacing w:val="4"/>
          <w:sz w:val="16"/>
        </w:rPr>
        <w:t> </w:t>
      </w:r>
      <w:r>
        <w:rPr>
          <w:spacing w:val="-4"/>
          <w:sz w:val="16"/>
        </w:rPr>
        <w:t>116.</w:t>
      </w:r>
    </w:p>
    <w:p>
      <w:pPr>
        <w:pStyle w:val="ListParagraph"/>
        <w:numPr>
          <w:ilvl w:val="0"/>
          <w:numId w:val="14"/>
        </w:numPr>
        <w:tabs>
          <w:tab w:pos="565" w:val="left" w:leader="none"/>
        </w:tabs>
        <w:spacing w:line="200" w:lineRule="exact" w:before="0" w:after="0"/>
        <w:ind w:left="565" w:right="0" w:hanging="452"/>
        <w:jc w:val="left"/>
        <w:rPr>
          <w:rFonts w:ascii="Arial"/>
          <w:sz w:val="16"/>
        </w:rPr>
      </w:pPr>
      <w:r>
        <w:rPr>
          <w:rFonts w:ascii="Verdana"/>
          <w:i/>
          <w:w w:val="105"/>
          <w:sz w:val="16"/>
        </w:rPr>
        <w:t>Dillon</w:t>
      </w:r>
      <w:r>
        <w:rPr>
          <w:rFonts w:ascii="Verdana"/>
          <w:i/>
          <w:spacing w:val="-10"/>
          <w:w w:val="105"/>
          <w:sz w:val="16"/>
        </w:rPr>
        <w:t> </w:t>
      </w:r>
      <w:r>
        <w:rPr>
          <w:rFonts w:ascii="Arial"/>
          <w:w w:val="105"/>
          <w:sz w:val="16"/>
        </w:rPr>
        <w:t>(n</w:t>
      </w:r>
      <w:r>
        <w:rPr>
          <w:rFonts w:ascii="Arial"/>
          <w:spacing w:val="2"/>
          <w:w w:val="105"/>
          <w:sz w:val="16"/>
        </w:rPr>
        <w:t> </w:t>
      </w:r>
      <w:r>
        <w:rPr>
          <w:rFonts w:ascii="Arial"/>
          <w:w w:val="105"/>
          <w:sz w:val="16"/>
        </w:rPr>
        <w:t>155),</w:t>
      </w:r>
      <w:r>
        <w:rPr>
          <w:rFonts w:ascii="Arial"/>
          <w:spacing w:val="3"/>
          <w:w w:val="105"/>
          <w:sz w:val="16"/>
        </w:rPr>
        <w:t> </w:t>
      </w:r>
      <w:r>
        <w:rPr>
          <w:rFonts w:ascii="Arial"/>
          <w:w w:val="105"/>
          <w:sz w:val="16"/>
        </w:rPr>
        <w:t>paras</w:t>
      </w:r>
      <w:r>
        <w:rPr>
          <w:rFonts w:ascii="Arial"/>
          <w:spacing w:val="2"/>
          <w:w w:val="105"/>
          <w:sz w:val="16"/>
        </w:rPr>
        <w:t> </w:t>
      </w:r>
      <w:r>
        <w:rPr>
          <w:rFonts w:ascii="Arial"/>
          <w:w w:val="105"/>
          <w:sz w:val="16"/>
        </w:rPr>
        <w:t>566-</w:t>
      </w:r>
      <w:r>
        <w:rPr>
          <w:rFonts w:ascii="Arial"/>
          <w:spacing w:val="-4"/>
          <w:w w:val="105"/>
          <w:sz w:val="16"/>
        </w:rPr>
        <w:t>567.</w:t>
      </w:r>
    </w:p>
    <w:p>
      <w:pPr>
        <w:pStyle w:val="ListParagraph"/>
        <w:numPr>
          <w:ilvl w:val="0"/>
          <w:numId w:val="14"/>
        </w:numPr>
        <w:tabs>
          <w:tab w:pos="567" w:val="left" w:leader="none"/>
        </w:tabs>
        <w:spacing w:line="223" w:lineRule="exact" w:before="0" w:after="0"/>
        <w:ind w:left="567" w:right="0" w:hanging="454"/>
        <w:jc w:val="left"/>
        <w:rPr>
          <w:sz w:val="16"/>
        </w:rPr>
      </w:pPr>
      <w:r>
        <w:rPr>
          <w:sz w:val="16"/>
        </w:rPr>
        <w:t>See,</w:t>
      </w:r>
      <w:r>
        <w:rPr>
          <w:spacing w:val="-3"/>
          <w:sz w:val="16"/>
        </w:rPr>
        <w:t> </w:t>
      </w:r>
      <w:r>
        <w:rPr>
          <w:sz w:val="16"/>
        </w:rPr>
        <w:t>eg,</w:t>
      </w:r>
      <w:r>
        <w:rPr>
          <w:spacing w:val="-2"/>
          <w:sz w:val="16"/>
        </w:rPr>
        <w:t> </w:t>
      </w:r>
      <w:r>
        <w:rPr>
          <w:sz w:val="16"/>
        </w:rPr>
        <w:t>Case</w:t>
      </w:r>
      <w:r>
        <w:rPr>
          <w:spacing w:val="-2"/>
          <w:sz w:val="16"/>
        </w:rPr>
        <w:t> </w:t>
      </w:r>
      <w:r>
        <w:rPr>
          <w:sz w:val="16"/>
        </w:rPr>
        <w:t>C573/17,</w:t>
      </w:r>
      <w:r>
        <w:rPr>
          <w:spacing w:val="-2"/>
          <w:sz w:val="16"/>
        </w:rPr>
        <w:t> </w:t>
      </w:r>
      <w:r>
        <w:rPr>
          <w:rFonts w:ascii="Trebuchet MS" w:hAnsi="Trebuchet MS"/>
          <w:i/>
          <w:sz w:val="16"/>
        </w:rPr>
        <w:t>Popławski, </w:t>
      </w:r>
      <w:r>
        <w:rPr>
          <w:spacing w:val="-2"/>
          <w:sz w:val="16"/>
        </w:rPr>
        <w:t>EU:C:2019:530.</w:t>
      </w:r>
    </w:p>
    <w:p>
      <w:pPr>
        <w:spacing w:after="0" w:line="223" w:lineRule="exact"/>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268" w:lineRule="auto" w:before="72"/>
        <w:ind w:right="36"/>
      </w:pPr>
      <w:r>
        <w:rPr>
          <w:w w:val="110"/>
        </w:rPr>
        <w:t>As we explained in Chapter </w:t>
      </w:r>
      <w:r>
        <w:rPr/>
        <w:t>1, </w:t>
      </w:r>
      <w:r>
        <w:rPr>
          <w:w w:val="110"/>
        </w:rPr>
        <w:t>one of the key remedial mechanisms of EU law – state liability in damages </w:t>
      </w:r>
      <w:r>
        <w:rPr>
          <w:w w:val="110"/>
        </w:rPr>
        <w:t>under the </w:t>
      </w:r>
      <w:r>
        <w:rPr>
          <w:rFonts w:ascii="Verdana" w:hAnsi="Verdana"/>
          <w:i/>
          <w:w w:val="110"/>
        </w:rPr>
        <w:t>Francovich</w:t>
      </w:r>
      <w:r>
        <w:rPr>
          <w:rFonts w:ascii="Verdana" w:hAnsi="Verdana"/>
          <w:i/>
          <w:spacing w:val="-10"/>
          <w:w w:val="110"/>
        </w:rPr>
        <w:t> </w:t>
      </w:r>
      <w:r>
        <w:rPr>
          <w:w w:val="110"/>
        </w:rPr>
        <w:t>rule – was devised precisely in order to ensure that measures not enjoying direct effect still gave rise to effective remedies, albeit the resultant remedies are not always as adaptable or expansive</w:t>
      </w:r>
    </w:p>
    <w:p>
      <w:pPr>
        <w:pStyle w:val="BodyText"/>
        <w:spacing w:line="268" w:lineRule="auto"/>
        <w:ind w:right="36"/>
      </w:pPr>
      <w:r>
        <w:rPr>
          <w:w w:val="115"/>
        </w:rPr>
        <w:t>as those for directly effective </w:t>
      </w:r>
      <w:r>
        <w:rPr>
          <w:w w:val="110"/>
        </w:rPr>
        <w:t>measures.</w:t>
      </w:r>
      <w:r>
        <w:rPr>
          <w:spacing w:val="-6"/>
          <w:w w:val="110"/>
        </w:rPr>
        <w:t> </w:t>
      </w:r>
      <w:r>
        <w:rPr>
          <w:w w:val="110"/>
        </w:rPr>
        <w:t>It</w:t>
      </w:r>
      <w:r>
        <w:rPr>
          <w:spacing w:val="-6"/>
          <w:w w:val="110"/>
        </w:rPr>
        <w:t> </w:t>
      </w:r>
      <w:r>
        <w:rPr>
          <w:w w:val="110"/>
        </w:rPr>
        <w:t>is</w:t>
      </w:r>
      <w:r>
        <w:rPr>
          <w:spacing w:val="-6"/>
          <w:w w:val="110"/>
        </w:rPr>
        <w:t> </w:t>
      </w:r>
      <w:r>
        <w:rPr>
          <w:w w:val="110"/>
        </w:rPr>
        <w:t>essential,</w:t>
      </w:r>
      <w:r>
        <w:rPr>
          <w:spacing w:val="-6"/>
          <w:w w:val="110"/>
        </w:rPr>
        <w:t> </w:t>
      </w:r>
      <w:r>
        <w:rPr>
          <w:w w:val="110"/>
        </w:rPr>
        <w:t>therefore,</w:t>
      </w:r>
      <w:r>
        <w:rPr>
          <w:spacing w:val="-6"/>
          <w:w w:val="110"/>
        </w:rPr>
        <w:t> </w:t>
      </w:r>
      <w:r>
        <w:rPr>
          <w:w w:val="110"/>
        </w:rPr>
        <w:t>to </w:t>
      </w:r>
      <w:r>
        <w:rPr>
          <w:w w:val="115"/>
        </w:rPr>
        <w:t>distinguish the concepts of binding effect and direct effect in assessing diminution. Even a directive that does</w:t>
      </w:r>
      <w:r>
        <w:rPr>
          <w:spacing w:val="-20"/>
          <w:w w:val="115"/>
        </w:rPr>
        <w:t> </w:t>
      </w:r>
      <w:r>
        <w:rPr>
          <w:w w:val="115"/>
        </w:rPr>
        <w:t>not</w:t>
      </w:r>
      <w:r>
        <w:rPr>
          <w:spacing w:val="-19"/>
          <w:w w:val="115"/>
        </w:rPr>
        <w:t> </w:t>
      </w:r>
      <w:r>
        <w:rPr>
          <w:w w:val="115"/>
        </w:rPr>
        <w:t>have</w:t>
      </w:r>
      <w:r>
        <w:rPr>
          <w:spacing w:val="-19"/>
          <w:w w:val="115"/>
        </w:rPr>
        <w:t> </w:t>
      </w:r>
      <w:r>
        <w:rPr>
          <w:w w:val="115"/>
        </w:rPr>
        <w:t>direct</w:t>
      </w:r>
      <w:r>
        <w:rPr>
          <w:spacing w:val="-19"/>
          <w:w w:val="115"/>
        </w:rPr>
        <w:t> </w:t>
      </w:r>
      <w:r>
        <w:rPr>
          <w:w w:val="115"/>
        </w:rPr>
        <w:t>effect</w:t>
      </w:r>
      <w:r>
        <w:rPr>
          <w:spacing w:val="-19"/>
          <w:w w:val="115"/>
        </w:rPr>
        <w:t> </w:t>
      </w:r>
      <w:r>
        <w:rPr>
          <w:w w:val="115"/>
        </w:rPr>
        <w:t>may</w:t>
      </w:r>
      <w:r>
        <w:rPr>
          <w:spacing w:val="-20"/>
          <w:w w:val="115"/>
        </w:rPr>
        <w:t> </w:t>
      </w:r>
      <w:r>
        <w:rPr>
          <w:w w:val="115"/>
        </w:rPr>
        <w:t>have binding effect, thus coming within the</w:t>
      </w:r>
      <w:r>
        <w:rPr>
          <w:spacing w:val="-5"/>
          <w:w w:val="115"/>
        </w:rPr>
        <w:t> </w:t>
      </w:r>
      <w:r>
        <w:rPr>
          <w:w w:val="115"/>
        </w:rPr>
        <w:t>non-diminution</w:t>
      </w:r>
      <w:r>
        <w:rPr>
          <w:spacing w:val="-5"/>
          <w:w w:val="115"/>
        </w:rPr>
        <w:t> </w:t>
      </w:r>
      <w:r>
        <w:rPr>
          <w:w w:val="115"/>
        </w:rPr>
        <w:t>requirement.</w:t>
      </w:r>
      <w:r>
        <w:rPr>
          <w:spacing w:val="-5"/>
          <w:w w:val="115"/>
        </w:rPr>
        <w:t> </w:t>
      </w:r>
      <w:r>
        <w:rPr>
          <w:w w:val="115"/>
        </w:rPr>
        <w:t>For instance, a non-directly effective directive</w:t>
      </w:r>
      <w:r>
        <w:rPr>
          <w:spacing w:val="-3"/>
          <w:w w:val="115"/>
        </w:rPr>
        <w:t> </w:t>
      </w:r>
      <w:r>
        <w:rPr>
          <w:w w:val="115"/>
        </w:rPr>
        <w:t>can</w:t>
      </w:r>
      <w:r>
        <w:rPr>
          <w:spacing w:val="-3"/>
          <w:w w:val="115"/>
        </w:rPr>
        <w:t> </w:t>
      </w:r>
      <w:r>
        <w:rPr>
          <w:w w:val="115"/>
        </w:rPr>
        <w:t>be</w:t>
      </w:r>
      <w:r>
        <w:rPr>
          <w:spacing w:val="-3"/>
          <w:w w:val="115"/>
        </w:rPr>
        <w:t> </w:t>
      </w:r>
      <w:r>
        <w:rPr>
          <w:w w:val="115"/>
        </w:rPr>
        <w:t>(and</w:t>
      </w:r>
      <w:r>
        <w:rPr>
          <w:spacing w:val="-3"/>
          <w:w w:val="115"/>
        </w:rPr>
        <w:t> </w:t>
      </w:r>
      <w:r>
        <w:rPr>
          <w:w w:val="115"/>
        </w:rPr>
        <w:t>must</w:t>
      </w:r>
      <w:r>
        <w:rPr>
          <w:spacing w:val="-3"/>
          <w:w w:val="115"/>
        </w:rPr>
        <w:t> </w:t>
      </w:r>
      <w:r>
        <w:rPr>
          <w:w w:val="115"/>
        </w:rPr>
        <w:t>be)</w:t>
      </w:r>
      <w:r>
        <w:rPr>
          <w:spacing w:val="-3"/>
          <w:w w:val="115"/>
        </w:rPr>
        <w:t> </w:t>
      </w:r>
      <w:r>
        <w:rPr>
          <w:w w:val="115"/>
        </w:rPr>
        <w:t>used</w:t>
      </w:r>
    </w:p>
    <w:p>
      <w:pPr>
        <w:pStyle w:val="BodyText"/>
        <w:spacing w:line="225" w:lineRule="auto"/>
        <w:ind w:right="36"/>
      </w:pPr>
      <w:r>
        <w:rPr>
          <w:w w:val="115"/>
        </w:rPr>
        <w:t>when</w:t>
      </w:r>
      <w:r>
        <w:rPr>
          <w:spacing w:val="-9"/>
          <w:w w:val="115"/>
        </w:rPr>
        <w:t> </w:t>
      </w:r>
      <w:r>
        <w:rPr>
          <w:w w:val="115"/>
        </w:rPr>
        <w:t>interpreting</w:t>
      </w:r>
      <w:r>
        <w:rPr>
          <w:spacing w:val="-9"/>
          <w:w w:val="115"/>
        </w:rPr>
        <w:t> </w:t>
      </w:r>
      <w:r>
        <w:rPr>
          <w:w w:val="115"/>
        </w:rPr>
        <w:t>domestic</w:t>
      </w:r>
      <w:r>
        <w:rPr>
          <w:spacing w:val="-9"/>
          <w:w w:val="115"/>
        </w:rPr>
        <w:t> </w:t>
      </w:r>
      <w:r>
        <w:rPr>
          <w:w w:val="115"/>
        </w:rPr>
        <w:t>law.</w:t>
      </w:r>
      <w:r>
        <w:rPr>
          <w:rFonts w:ascii="Lucida Sans Unicode"/>
          <w:w w:val="115"/>
          <w:vertAlign w:val="superscript"/>
        </w:rPr>
        <w:t>216</w:t>
      </w:r>
      <w:r>
        <w:rPr>
          <w:rFonts w:ascii="Lucida Sans Unicode"/>
          <w:w w:val="115"/>
          <w:vertAlign w:val="baseline"/>
        </w:rPr>
        <w:t> </w:t>
      </w:r>
      <w:r>
        <w:rPr>
          <w:w w:val="115"/>
          <w:vertAlign w:val="baseline"/>
        </w:rPr>
        <w:t>Equating</w:t>
      </w:r>
      <w:r>
        <w:rPr>
          <w:spacing w:val="-11"/>
          <w:w w:val="115"/>
          <w:vertAlign w:val="baseline"/>
        </w:rPr>
        <w:t> </w:t>
      </w:r>
      <w:r>
        <w:rPr>
          <w:w w:val="115"/>
          <w:vertAlign w:val="baseline"/>
        </w:rPr>
        <w:t>the</w:t>
      </w:r>
      <w:r>
        <w:rPr>
          <w:spacing w:val="-11"/>
          <w:w w:val="115"/>
          <w:vertAlign w:val="baseline"/>
        </w:rPr>
        <w:t> </w:t>
      </w:r>
      <w:r>
        <w:rPr>
          <w:w w:val="115"/>
          <w:vertAlign w:val="baseline"/>
        </w:rPr>
        <w:t>two</w:t>
      </w:r>
      <w:r>
        <w:rPr>
          <w:spacing w:val="-11"/>
          <w:w w:val="115"/>
          <w:vertAlign w:val="baseline"/>
        </w:rPr>
        <w:t> </w:t>
      </w:r>
      <w:r>
        <w:rPr>
          <w:w w:val="115"/>
          <w:vertAlign w:val="baseline"/>
        </w:rPr>
        <w:t>concepts</w:t>
      </w:r>
      <w:r>
        <w:rPr>
          <w:spacing w:val="-11"/>
          <w:w w:val="115"/>
          <w:vertAlign w:val="baseline"/>
        </w:rPr>
        <w:t> </w:t>
      </w:r>
      <w:r>
        <w:rPr>
          <w:w w:val="115"/>
          <w:vertAlign w:val="baseline"/>
        </w:rPr>
        <w:t>(binding</w:t>
      </w:r>
    </w:p>
    <w:p>
      <w:pPr>
        <w:pStyle w:val="BodyText"/>
        <w:spacing w:line="310" w:lineRule="exact"/>
        <w:ind w:right="184"/>
      </w:pPr>
      <w:r>
        <w:rPr>
          <w:w w:val="110"/>
        </w:rPr>
        <w:t>effect</w:t>
      </w:r>
      <w:r>
        <w:rPr>
          <w:spacing w:val="40"/>
          <w:w w:val="110"/>
        </w:rPr>
        <w:t> </w:t>
      </w:r>
      <w:r>
        <w:rPr>
          <w:w w:val="110"/>
        </w:rPr>
        <w:t>and</w:t>
      </w:r>
      <w:r>
        <w:rPr>
          <w:spacing w:val="40"/>
          <w:w w:val="110"/>
        </w:rPr>
        <w:t> </w:t>
      </w:r>
      <w:r>
        <w:rPr>
          <w:w w:val="110"/>
        </w:rPr>
        <w:t>direct</w:t>
      </w:r>
      <w:r>
        <w:rPr>
          <w:spacing w:val="40"/>
          <w:w w:val="110"/>
        </w:rPr>
        <w:t> </w:t>
      </w:r>
      <w:r>
        <w:rPr>
          <w:w w:val="110"/>
        </w:rPr>
        <w:t>effect)</w:t>
      </w:r>
      <w:r>
        <w:rPr>
          <w:spacing w:val="40"/>
          <w:w w:val="110"/>
        </w:rPr>
        <w:t> </w:t>
      </w:r>
      <w:r>
        <w:rPr>
          <w:w w:val="110"/>
        </w:rPr>
        <w:t>would</w:t>
      </w:r>
      <w:r>
        <w:rPr>
          <w:spacing w:val="80"/>
          <w:w w:val="110"/>
        </w:rPr>
        <w:t> </w:t>
      </w:r>
      <w:r>
        <w:rPr>
          <w:w w:val="110"/>
        </w:rPr>
        <w:t>have the problematic consequence of potentially restricting the non- diminution guarantee under Article</w:t>
      </w:r>
      <w:r>
        <w:rPr>
          <w:spacing w:val="80"/>
          <w:w w:val="110"/>
        </w:rPr>
        <w:t> </w:t>
      </w:r>
      <w:r>
        <w:rPr>
          <w:rFonts w:ascii="Lucida Sans Unicode" w:hAnsi="Lucida Sans Unicode"/>
        </w:rPr>
        <w:t>2 only to those provisions of EU law </w:t>
      </w:r>
      <w:r>
        <w:rPr>
          <w:w w:val="110"/>
        </w:rPr>
        <w:t>which are capable of direct effect – thus casting aside other important ways of giving effect to EU law,</w:t>
      </w:r>
      <w:r>
        <w:rPr>
          <w:spacing w:val="40"/>
          <w:w w:val="110"/>
        </w:rPr>
        <w:t> </w:t>
      </w:r>
      <w:r>
        <w:rPr>
          <w:w w:val="110"/>
        </w:rPr>
        <w:t>such as consistent interpretation</w:t>
      </w:r>
    </w:p>
    <w:p>
      <w:pPr>
        <w:pStyle w:val="BodyText"/>
        <w:spacing w:line="310" w:lineRule="exact"/>
        <w:ind w:right="86"/>
      </w:pPr>
      <w:r>
        <w:rPr>
          <w:w w:val="115"/>
        </w:rPr>
        <w:t>and</w:t>
      </w:r>
      <w:r>
        <w:rPr>
          <w:spacing w:val="-20"/>
          <w:w w:val="115"/>
        </w:rPr>
        <w:t> </w:t>
      </w:r>
      <w:r>
        <w:rPr>
          <w:w w:val="115"/>
        </w:rPr>
        <w:t>state</w:t>
      </w:r>
      <w:r>
        <w:rPr>
          <w:spacing w:val="-19"/>
          <w:w w:val="115"/>
        </w:rPr>
        <w:t> </w:t>
      </w:r>
      <w:r>
        <w:rPr>
          <w:w w:val="115"/>
        </w:rPr>
        <w:t>liability.</w:t>
      </w:r>
      <w:r>
        <w:rPr>
          <w:spacing w:val="-19"/>
          <w:w w:val="115"/>
        </w:rPr>
        <w:t> </w:t>
      </w:r>
      <w:r>
        <w:rPr>
          <w:w w:val="115"/>
        </w:rPr>
        <w:t>Whereas</w:t>
      </w:r>
      <w:r>
        <w:rPr>
          <w:spacing w:val="-19"/>
          <w:w w:val="115"/>
        </w:rPr>
        <w:t> </w:t>
      </w:r>
      <w:r>
        <w:rPr>
          <w:w w:val="115"/>
        </w:rPr>
        <w:t>it</w:t>
      </w:r>
      <w:r>
        <w:rPr>
          <w:spacing w:val="-19"/>
          <w:w w:val="115"/>
        </w:rPr>
        <w:t> </w:t>
      </w:r>
      <w:r>
        <w:rPr>
          <w:w w:val="115"/>
        </w:rPr>
        <w:t>is</w:t>
      </w:r>
      <w:r>
        <w:rPr>
          <w:spacing w:val="-20"/>
          <w:w w:val="115"/>
        </w:rPr>
        <w:t> </w:t>
      </w:r>
      <w:r>
        <w:rPr>
          <w:w w:val="115"/>
        </w:rPr>
        <w:t>clear that</w:t>
      </w:r>
      <w:r>
        <w:rPr>
          <w:spacing w:val="-9"/>
          <w:w w:val="115"/>
        </w:rPr>
        <w:t> </w:t>
      </w:r>
      <w:r>
        <w:rPr>
          <w:w w:val="115"/>
        </w:rPr>
        <w:t>measures</w:t>
      </w:r>
      <w:r>
        <w:rPr>
          <w:spacing w:val="-9"/>
          <w:w w:val="115"/>
        </w:rPr>
        <w:t> </w:t>
      </w:r>
      <w:r>
        <w:rPr>
          <w:w w:val="115"/>
        </w:rPr>
        <w:t>enjoying</w:t>
      </w:r>
      <w:r>
        <w:rPr>
          <w:spacing w:val="-9"/>
          <w:w w:val="115"/>
        </w:rPr>
        <w:t> </w:t>
      </w:r>
      <w:r>
        <w:rPr>
          <w:w w:val="115"/>
        </w:rPr>
        <w:t>direct</w:t>
      </w:r>
      <w:r>
        <w:rPr>
          <w:spacing w:val="-9"/>
          <w:w w:val="115"/>
        </w:rPr>
        <w:t> </w:t>
      </w:r>
      <w:r>
        <w:rPr>
          <w:w w:val="115"/>
        </w:rPr>
        <w:t>effect would be better candidates for the non-diminution trigger, in the sense that their added value compared to ECHR</w:t>
      </w:r>
      <w:r>
        <w:rPr>
          <w:spacing w:val="-12"/>
          <w:w w:val="115"/>
        </w:rPr>
        <w:t> </w:t>
      </w:r>
      <w:r>
        <w:rPr>
          <w:w w:val="115"/>
        </w:rPr>
        <w:t>or</w:t>
      </w:r>
      <w:r>
        <w:rPr>
          <w:spacing w:val="-12"/>
          <w:w w:val="115"/>
        </w:rPr>
        <w:t> </w:t>
      </w:r>
      <w:r>
        <w:rPr>
          <w:w w:val="115"/>
        </w:rPr>
        <w:t>domestic</w:t>
      </w:r>
      <w:r>
        <w:rPr>
          <w:spacing w:val="-12"/>
          <w:w w:val="115"/>
        </w:rPr>
        <w:t> </w:t>
      </w:r>
      <w:r>
        <w:rPr>
          <w:w w:val="115"/>
        </w:rPr>
        <w:t>measures</w:t>
      </w:r>
      <w:r>
        <w:rPr>
          <w:spacing w:val="-12"/>
          <w:w w:val="115"/>
        </w:rPr>
        <w:t> </w:t>
      </w:r>
      <w:r>
        <w:rPr>
          <w:w w:val="115"/>
        </w:rPr>
        <w:t>would often be greater/more obvious, all </w:t>
      </w:r>
      <w:r>
        <w:rPr>
          <w:w w:val="110"/>
        </w:rPr>
        <w:t>EU measures that were </w:t>
      </w:r>
      <w:r>
        <w:rPr>
          <w:rFonts w:ascii="Verdana"/>
          <w:i/>
          <w:w w:val="110"/>
        </w:rPr>
        <w:t>or</w:t>
      </w:r>
      <w:r>
        <w:rPr>
          <w:rFonts w:ascii="Verdana"/>
          <w:i/>
          <w:spacing w:val="-13"/>
          <w:w w:val="110"/>
        </w:rPr>
        <w:t> </w:t>
      </w:r>
      <w:r>
        <w:rPr>
          <w:rFonts w:ascii="Verdana"/>
          <w:i/>
          <w:w w:val="110"/>
        </w:rPr>
        <w:t>should</w:t>
      </w:r>
      <w:r>
        <w:rPr>
          <w:rFonts w:ascii="Verdana"/>
          <w:i/>
          <w:w w:val="110"/>
        </w:rPr>
        <w:t> have</w:t>
      </w:r>
      <w:r>
        <w:rPr>
          <w:rFonts w:ascii="Verdana"/>
          <w:i/>
          <w:spacing w:val="-24"/>
          <w:w w:val="110"/>
        </w:rPr>
        <w:t> </w:t>
      </w:r>
      <w:r>
        <w:rPr>
          <w:rFonts w:ascii="Verdana"/>
          <w:i/>
          <w:w w:val="110"/>
        </w:rPr>
        <w:t>been</w:t>
      </w:r>
      <w:r>
        <w:rPr>
          <w:rFonts w:ascii="Verdana"/>
          <w:i/>
          <w:spacing w:val="-23"/>
          <w:w w:val="110"/>
        </w:rPr>
        <w:t> </w:t>
      </w:r>
      <w:r>
        <w:rPr>
          <w:w w:val="110"/>
        </w:rPr>
        <w:t>implemented</w:t>
      </w:r>
      <w:r>
        <w:rPr>
          <w:spacing w:val="-18"/>
          <w:w w:val="110"/>
        </w:rPr>
        <w:t> </w:t>
      </w:r>
      <w:r>
        <w:rPr>
          <w:w w:val="110"/>
        </w:rPr>
        <w:t>in</w:t>
      </w:r>
      <w:r>
        <w:rPr>
          <w:spacing w:val="-19"/>
          <w:w w:val="110"/>
        </w:rPr>
        <w:t> </w:t>
      </w:r>
      <w:r>
        <w:rPr>
          <w:w w:val="110"/>
        </w:rPr>
        <w:t>NI</w:t>
      </w:r>
      <w:r>
        <w:rPr>
          <w:spacing w:val="-12"/>
          <w:w w:val="110"/>
        </w:rPr>
        <w:t> </w:t>
      </w:r>
      <w:r>
        <w:rPr>
          <w:w w:val="110"/>
        </w:rPr>
        <w:t>before </w:t>
      </w:r>
      <w:r>
        <w:rPr>
          <w:rFonts w:ascii="Lucida Sans Unicode"/>
        </w:rPr>
        <w:t>31 December 2020 are capable of </w:t>
      </w:r>
      <w:r>
        <w:rPr>
          <w:w w:val="115"/>
        </w:rPr>
        <w:t>triggering</w:t>
      </w:r>
      <w:r>
        <w:rPr>
          <w:spacing w:val="-20"/>
          <w:w w:val="115"/>
        </w:rPr>
        <w:t> </w:t>
      </w:r>
      <w:r>
        <w:rPr>
          <w:w w:val="115"/>
        </w:rPr>
        <w:t>the</w:t>
      </w:r>
      <w:r>
        <w:rPr>
          <w:spacing w:val="-19"/>
          <w:w w:val="115"/>
        </w:rPr>
        <w:t> </w:t>
      </w:r>
      <w:r>
        <w:rPr>
          <w:w w:val="115"/>
        </w:rPr>
        <w:t>guarantee</w:t>
      </w:r>
      <w:r>
        <w:rPr>
          <w:spacing w:val="-19"/>
          <w:w w:val="115"/>
        </w:rPr>
        <w:t> </w:t>
      </w:r>
      <w:r>
        <w:rPr>
          <w:w w:val="115"/>
        </w:rPr>
        <w:t>in</w:t>
      </w:r>
      <w:r>
        <w:rPr>
          <w:spacing w:val="-19"/>
          <w:w w:val="115"/>
        </w:rPr>
        <w:t> </w:t>
      </w:r>
      <w:r>
        <w:rPr>
          <w:w w:val="115"/>
        </w:rPr>
        <w:t>principle.</w:t>
      </w:r>
    </w:p>
    <w:p>
      <w:pPr>
        <w:pStyle w:val="BodyText"/>
        <w:spacing w:line="310" w:lineRule="exact" w:before="49"/>
        <w:ind w:right="325"/>
      </w:pPr>
      <w:r>
        <w:rPr/>
        <w:br w:type="column"/>
      </w:r>
      <w:r>
        <w:rPr>
          <w:rFonts w:ascii="Lucida Sans Unicode" w:hAnsi="Lucida Sans Unicode"/>
        </w:rPr>
        <w:t>The effects of the Charter in the </w:t>
      </w:r>
      <w:r>
        <w:rPr>
          <w:rFonts w:ascii="Lucida Sans Unicode" w:hAnsi="Lucida Sans Unicode"/>
        </w:rPr>
        <w:t>field of non-diminution are twofold: first, </w:t>
      </w:r>
      <w:r>
        <w:rPr>
          <w:w w:val="110"/>
        </w:rPr>
        <w:t>the Charter may be relevant for the interpretation</w:t>
      </w:r>
      <w:r>
        <w:rPr>
          <w:spacing w:val="40"/>
          <w:w w:val="110"/>
        </w:rPr>
        <w:t> </w:t>
      </w:r>
      <w:r>
        <w:rPr>
          <w:w w:val="110"/>
        </w:rPr>
        <w:t>of</w:t>
      </w:r>
      <w:r>
        <w:rPr>
          <w:spacing w:val="40"/>
          <w:w w:val="110"/>
        </w:rPr>
        <w:t> </w:t>
      </w:r>
      <w:r>
        <w:rPr>
          <w:w w:val="110"/>
        </w:rPr>
        <w:t>the</w:t>
      </w:r>
      <w:r>
        <w:rPr>
          <w:spacing w:val="40"/>
          <w:w w:val="110"/>
        </w:rPr>
        <w:t> </w:t>
      </w:r>
      <w:r>
        <w:rPr>
          <w:w w:val="110"/>
        </w:rPr>
        <w:t>legislation</w:t>
      </w:r>
      <w:r>
        <w:rPr>
          <w:spacing w:val="40"/>
          <w:w w:val="110"/>
        </w:rPr>
        <w:t> </w:t>
      </w:r>
      <w:r>
        <w:rPr>
          <w:w w:val="110"/>
        </w:rPr>
        <w:t>that is considered to have ‘implemented Union law’ in Northern Ireland on</w:t>
      </w:r>
    </w:p>
    <w:p>
      <w:pPr>
        <w:pStyle w:val="BodyText"/>
        <w:spacing w:line="310" w:lineRule="exact"/>
        <w:ind w:right="899"/>
        <w:jc w:val="both"/>
      </w:pPr>
      <w:r>
        <w:rPr>
          <w:rFonts w:ascii="Lucida Sans Unicode"/>
        </w:rPr>
        <w:t>31</w:t>
      </w:r>
      <w:r>
        <w:rPr>
          <w:rFonts w:ascii="Lucida Sans Unicode"/>
          <w:spacing w:val="-8"/>
        </w:rPr>
        <w:t> </w:t>
      </w:r>
      <w:r>
        <w:rPr>
          <w:rFonts w:ascii="Lucida Sans Unicode"/>
        </w:rPr>
        <w:t>December</w:t>
      </w:r>
      <w:r>
        <w:rPr>
          <w:rFonts w:ascii="Lucida Sans Unicode"/>
          <w:spacing w:val="-8"/>
        </w:rPr>
        <w:t> </w:t>
      </w:r>
      <w:r>
        <w:rPr>
          <w:rFonts w:ascii="Lucida Sans Unicode"/>
        </w:rPr>
        <w:t>2020;</w:t>
      </w:r>
      <w:r>
        <w:rPr>
          <w:rFonts w:ascii="Lucida Sans Unicode"/>
          <w:spacing w:val="-8"/>
        </w:rPr>
        <w:t> </w:t>
      </w:r>
      <w:r>
        <w:rPr>
          <w:rFonts w:ascii="Lucida Sans Unicode"/>
        </w:rPr>
        <w:t>and</w:t>
      </w:r>
      <w:r>
        <w:rPr>
          <w:rFonts w:ascii="Lucida Sans Unicode"/>
          <w:spacing w:val="-8"/>
        </w:rPr>
        <w:t> </w:t>
      </w:r>
      <w:r>
        <w:rPr>
          <w:rFonts w:ascii="Lucida Sans Unicode"/>
        </w:rPr>
        <w:t>second, </w:t>
      </w:r>
      <w:r>
        <w:rPr>
          <w:w w:val="110"/>
        </w:rPr>
        <w:t>the Charter may have the effect of requiring the availability of a</w:t>
      </w:r>
    </w:p>
    <w:p>
      <w:pPr>
        <w:pStyle w:val="BodyText"/>
        <w:spacing w:line="310" w:lineRule="exact"/>
        <w:ind w:right="185"/>
        <w:rPr>
          <w:rFonts w:ascii="Lucida Sans Unicode" w:hAnsi="Lucida Sans Unicode"/>
        </w:rPr>
      </w:pPr>
      <w:r>
        <w:rPr>
          <w:rFonts w:ascii="Lucida Sans Unicode" w:hAnsi="Lucida Sans Unicode"/>
          <w:w w:val="110"/>
        </w:rPr>
        <w:t>specific</w:t>
      </w:r>
      <w:r>
        <w:rPr>
          <w:rFonts w:ascii="Lucida Sans Unicode" w:hAnsi="Lucida Sans Unicode"/>
          <w:spacing w:val="-21"/>
          <w:w w:val="110"/>
        </w:rPr>
        <w:t> </w:t>
      </w:r>
      <w:r>
        <w:rPr>
          <w:rFonts w:ascii="Lucida Sans Unicode" w:hAnsi="Lucida Sans Unicode"/>
          <w:w w:val="110"/>
        </w:rPr>
        <w:t>remedy</w:t>
      </w:r>
      <w:r>
        <w:rPr>
          <w:rFonts w:ascii="Lucida Sans Unicode" w:hAnsi="Lucida Sans Unicode"/>
          <w:spacing w:val="-21"/>
          <w:w w:val="110"/>
        </w:rPr>
        <w:t> </w:t>
      </w:r>
      <w:r>
        <w:rPr>
          <w:rFonts w:ascii="Lucida Sans Unicode" w:hAnsi="Lucida Sans Unicode"/>
          <w:w w:val="110"/>
        </w:rPr>
        <w:t>to</w:t>
      </w:r>
      <w:r>
        <w:rPr>
          <w:rFonts w:ascii="Lucida Sans Unicode" w:hAnsi="Lucida Sans Unicode"/>
          <w:spacing w:val="-21"/>
          <w:w w:val="110"/>
        </w:rPr>
        <w:t> </w:t>
      </w:r>
      <w:r>
        <w:rPr>
          <w:rFonts w:ascii="Lucida Sans Unicode" w:hAnsi="Lucida Sans Unicode"/>
          <w:w w:val="110"/>
        </w:rPr>
        <w:t>give</w:t>
      </w:r>
      <w:r>
        <w:rPr>
          <w:rFonts w:ascii="Lucida Sans Unicode" w:hAnsi="Lucida Sans Unicode"/>
          <w:spacing w:val="-21"/>
          <w:w w:val="110"/>
        </w:rPr>
        <w:t> </w:t>
      </w:r>
      <w:r>
        <w:rPr>
          <w:rFonts w:ascii="Lucida Sans Unicode" w:hAnsi="Lucida Sans Unicode"/>
          <w:w w:val="110"/>
        </w:rPr>
        <w:t>effect</w:t>
      </w:r>
      <w:r>
        <w:rPr>
          <w:rFonts w:ascii="Lucida Sans Unicode" w:hAnsi="Lucida Sans Unicode"/>
          <w:spacing w:val="-20"/>
          <w:w w:val="110"/>
        </w:rPr>
        <w:t> </w:t>
      </w:r>
      <w:r>
        <w:rPr>
          <w:rFonts w:ascii="Lucida Sans Unicode" w:hAnsi="Lucida Sans Unicode"/>
          <w:w w:val="110"/>
        </w:rPr>
        <w:t>to</w:t>
      </w:r>
      <w:r>
        <w:rPr>
          <w:rFonts w:ascii="Lucida Sans Unicode" w:hAnsi="Lucida Sans Unicode"/>
          <w:spacing w:val="-21"/>
          <w:w w:val="110"/>
        </w:rPr>
        <w:t> </w:t>
      </w:r>
      <w:r>
        <w:rPr>
          <w:rFonts w:ascii="Lucida Sans Unicode" w:hAnsi="Lucida Sans Unicode"/>
          <w:w w:val="110"/>
        </w:rPr>
        <w:t>the </w:t>
      </w:r>
      <w:r>
        <w:rPr>
          <w:w w:val="110"/>
        </w:rPr>
        <w:t>implementing act. The following </w:t>
      </w:r>
      <w:r>
        <w:rPr>
          <w:w w:val="110"/>
        </w:rPr>
        <w:t>three examples</w:t>
      </w:r>
      <w:r>
        <w:rPr>
          <w:spacing w:val="-16"/>
          <w:w w:val="110"/>
        </w:rPr>
        <w:t> </w:t>
      </w:r>
      <w:r>
        <w:rPr>
          <w:w w:val="110"/>
        </w:rPr>
        <w:t>–</w:t>
      </w:r>
      <w:r>
        <w:rPr>
          <w:spacing w:val="-16"/>
          <w:w w:val="110"/>
        </w:rPr>
        <w:t> </w:t>
      </w:r>
      <w:r>
        <w:rPr>
          <w:w w:val="110"/>
        </w:rPr>
        <w:t>based</w:t>
      </w:r>
      <w:r>
        <w:rPr>
          <w:spacing w:val="-16"/>
          <w:w w:val="110"/>
        </w:rPr>
        <w:t> </w:t>
      </w:r>
      <w:r>
        <w:rPr>
          <w:w w:val="110"/>
        </w:rPr>
        <w:t>on</w:t>
      </w:r>
      <w:r>
        <w:rPr>
          <w:spacing w:val="-16"/>
          <w:w w:val="110"/>
        </w:rPr>
        <w:t> </w:t>
      </w:r>
      <w:r>
        <w:rPr>
          <w:w w:val="110"/>
        </w:rPr>
        <w:t>CJEU</w:t>
      </w:r>
      <w:r>
        <w:rPr>
          <w:spacing w:val="-16"/>
          <w:w w:val="110"/>
        </w:rPr>
        <w:t> </w:t>
      </w:r>
      <w:r>
        <w:rPr>
          <w:w w:val="110"/>
        </w:rPr>
        <w:t>case</w:t>
      </w:r>
      <w:r>
        <w:rPr>
          <w:spacing w:val="-16"/>
          <w:w w:val="110"/>
        </w:rPr>
        <w:t> </w:t>
      </w:r>
      <w:r>
        <w:rPr>
          <w:w w:val="110"/>
        </w:rPr>
        <w:t>law</w:t>
      </w:r>
      <w:r>
        <w:rPr>
          <w:spacing w:val="-16"/>
          <w:w w:val="110"/>
        </w:rPr>
        <w:t> </w:t>
      </w:r>
      <w:r>
        <w:rPr>
          <w:w w:val="110"/>
        </w:rPr>
        <w:t>– demonstrate how the Charter applies outside the scope of the Annex </w:t>
      </w:r>
      <w:r>
        <w:rPr/>
        <w:t>1 </w:t>
      </w:r>
      <w:r>
        <w:rPr>
          <w:w w:val="110"/>
        </w:rPr>
        <w:t>directives at present. The examples </w:t>
      </w:r>
      <w:r>
        <w:rPr>
          <w:rFonts w:ascii="Lucida Sans Unicode" w:hAnsi="Lucida Sans Unicode"/>
          <w:w w:val="110"/>
        </w:rPr>
        <w:t>were</w:t>
      </w:r>
      <w:r>
        <w:rPr>
          <w:rFonts w:ascii="Lucida Sans Unicode" w:hAnsi="Lucida Sans Unicode"/>
          <w:spacing w:val="-21"/>
          <w:w w:val="110"/>
        </w:rPr>
        <w:t> </w:t>
      </w:r>
      <w:r>
        <w:rPr>
          <w:rFonts w:ascii="Lucida Sans Unicode" w:hAnsi="Lucida Sans Unicode"/>
          <w:w w:val="110"/>
        </w:rPr>
        <w:t>chosen</w:t>
      </w:r>
      <w:r>
        <w:rPr>
          <w:rFonts w:ascii="Lucida Sans Unicode" w:hAnsi="Lucida Sans Unicode"/>
          <w:spacing w:val="-21"/>
          <w:w w:val="110"/>
        </w:rPr>
        <w:t> </w:t>
      </w:r>
      <w:r>
        <w:rPr>
          <w:rFonts w:ascii="Lucida Sans Unicode" w:hAnsi="Lucida Sans Unicode"/>
          <w:w w:val="110"/>
        </w:rPr>
        <w:t>to</w:t>
      </w:r>
      <w:r>
        <w:rPr>
          <w:rFonts w:ascii="Lucida Sans Unicode" w:hAnsi="Lucida Sans Unicode"/>
          <w:spacing w:val="-21"/>
          <w:w w:val="110"/>
        </w:rPr>
        <w:t> </w:t>
      </w:r>
      <w:r>
        <w:rPr>
          <w:rFonts w:ascii="Lucida Sans Unicode" w:hAnsi="Lucida Sans Unicode"/>
          <w:w w:val="110"/>
        </w:rPr>
        <w:t>reflect</w:t>
      </w:r>
      <w:r>
        <w:rPr>
          <w:rFonts w:ascii="Lucida Sans Unicode" w:hAnsi="Lucida Sans Unicode"/>
          <w:spacing w:val="-21"/>
          <w:w w:val="110"/>
        </w:rPr>
        <w:t> </w:t>
      </w:r>
      <w:r>
        <w:rPr>
          <w:rFonts w:ascii="Lucida Sans Unicode" w:hAnsi="Lucida Sans Unicode"/>
          <w:w w:val="110"/>
        </w:rPr>
        <w:t>the</w:t>
      </w:r>
      <w:r>
        <w:rPr>
          <w:rFonts w:ascii="Lucida Sans Unicode" w:hAnsi="Lucida Sans Unicode"/>
          <w:spacing w:val="-21"/>
          <w:w w:val="110"/>
        </w:rPr>
        <w:t> </w:t>
      </w:r>
      <w:r>
        <w:rPr>
          <w:rFonts w:ascii="Lucida Sans Unicode" w:hAnsi="Lucida Sans Unicode"/>
          <w:w w:val="110"/>
        </w:rPr>
        <w:t>degree</w:t>
      </w:r>
      <w:r>
        <w:rPr>
          <w:rFonts w:ascii="Lucida Sans Unicode" w:hAnsi="Lucida Sans Unicode"/>
          <w:spacing w:val="-21"/>
          <w:w w:val="110"/>
        </w:rPr>
        <w:t> </w:t>
      </w:r>
      <w:r>
        <w:rPr>
          <w:rFonts w:ascii="Lucida Sans Unicode" w:hAnsi="Lucida Sans Unicode"/>
          <w:w w:val="110"/>
        </w:rPr>
        <w:t>of connection</w:t>
      </w:r>
      <w:r>
        <w:rPr>
          <w:rFonts w:ascii="Lucida Sans Unicode" w:hAnsi="Lucida Sans Unicode"/>
          <w:spacing w:val="-11"/>
          <w:w w:val="110"/>
        </w:rPr>
        <w:t> </w:t>
      </w:r>
      <w:r>
        <w:rPr>
          <w:rFonts w:ascii="Lucida Sans Unicode" w:hAnsi="Lucida Sans Unicode"/>
          <w:w w:val="110"/>
        </w:rPr>
        <w:t>with</w:t>
      </w:r>
      <w:r>
        <w:rPr>
          <w:rFonts w:ascii="Lucida Sans Unicode" w:hAnsi="Lucida Sans Unicode"/>
          <w:spacing w:val="-11"/>
          <w:w w:val="110"/>
        </w:rPr>
        <w:t> </w:t>
      </w:r>
      <w:r>
        <w:rPr>
          <w:rFonts w:ascii="Lucida Sans Unicode" w:hAnsi="Lucida Sans Unicode"/>
          <w:w w:val="110"/>
        </w:rPr>
        <w:t>the</w:t>
      </w:r>
      <w:r>
        <w:rPr>
          <w:rFonts w:ascii="Lucida Sans Unicode" w:hAnsi="Lucida Sans Unicode"/>
          <w:spacing w:val="-11"/>
          <w:w w:val="110"/>
        </w:rPr>
        <w:t> </w:t>
      </w:r>
      <w:r>
        <w:rPr>
          <w:rFonts w:ascii="Lucida Sans Unicode" w:hAnsi="Lucida Sans Unicode"/>
          <w:w w:val="110"/>
        </w:rPr>
        <w:t>RSEO</w:t>
      </w:r>
      <w:r>
        <w:rPr>
          <w:rFonts w:ascii="Lucida Sans Unicode" w:hAnsi="Lucida Sans Unicode"/>
          <w:spacing w:val="-11"/>
          <w:w w:val="110"/>
        </w:rPr>
        <w:t> </w:t>
      </w:r>
      <w:r>
        <w:rPr>
          <w:rFonts w:ascii="Lucida Sans Unicode" w:hAnsi="Lucida Sans Unicode"/>
          <w:w w:val="110"/>
        </w:rPr>
        <w:t>section </w:t>
      </w:r>
      <w:r>
        <w:rPr>
          <w:w w:val="110"/>
        </w:rPr>
        <w:t>ranging from the UK Government’s own admission of a connection in example </w:t>
      </w:r>
      <w:r>
        <w:rPr/>
        <w:t>1 </w:t>
      </w:r>
      <w:r>
        <w:rPr>
          <w:w w:val="110"/>
        </w:rPr>
        <w:t>to a more tenuous, but still very much arguable connection in </w:t>
      </w:r>
      <w:r>
        <w:rPr>
          <w:rFonts w:ascii="Lucida Sans Unicode" w:hAnsi="Lucida Sans Unicode"/>
          <w:w w:val="110"/>
        </w:rPr>
        <w:t>example 3.</w:t>
      </w:r>
    </w:p>
    <w:p>
      <w:pPr>
        <w:pStyle w:val="Heading5"/>
        <w:spacing w:before="323"/>
        <w:rPr>
          <w:i/>
        </w:rPr>
      </w:pPr>
      <w:r>
        <w:rPr>
          <w:i/>
          <w:color w:val="77328A"/>
        </w:rPr>
        <w:t>Example</w:t>
      </w:r>
      <w:r>
        <w:rPr>
          <w:i/>
          <w:color w:val="77328A"/>
          <w:spacing w:val="64"/>
        </w:rPr>
        <w:t> </w:t>
      </w:r>
      <w:r>
        <w:rPr>
          <w:i/>
          <w:color w:val="77328A"/>
          <w:spacing w:val="-5"/>
        </w:rPr>
        <w:t>1:</w:t>
      </w:r>
    </w:p>
    <w:p>
      <w:pPr>
        <w:pStyle w:val="BodyText"/>
        <w:spacing w:line="310" w:lineRule="exact" w:before="11"/>
        <w:ind w:right="118"/>
      </w:pPr>
      <w:r>
        <w:rPr>
          <w:rFonts w:ascii="Verdana" w:hAnsi="Verdana"/>
          <w:i/>
          <w:color w:val="77328A"/>
        </w:rPr>
        <w:t>Parental Leave Directive – mentioned</w:t>
      </w:r>
      <w:r>
        <w:rPr>
          <w:rFonts w:ascii="Verdana" w:hAnsi="Verdana"/>
          <w:i/>
          <w:color w:val="77328A"/>
        </w:rPr>
        <w:t> in UK Government explainer </w:t>
      </w:r>
      <w:r>
        <w:rPr>
          <w:w w:val="110"/>
        </w:rPr>
        <w:t>According to the UK Government, </w:t>
      </w:r>
      <w:r>
        <w:rPr>
          <w:rFonts w:ascii="Lucida Sans Unicode" w:hAnsi="Lucida Sans Unicode"/>
        </w:rPr>
        <w:t>Directive 2010/18/EU on parental </w:t>
      </w:r>
      <w:r>
        <w:rPr>
          <w:w w:val="110"/>
        </w:rPr>
        <w:t>leave is within the scope of the UK Government’s commitment under </w:t>
      </w:r>
      <w:r>
        <w:rPr>
          <w:rFonts w:ascii="Lucida Sans Unicode" w:hAnsi="Lucida Sans Unicode"/>
          <w:w w:val="110"/>
        </w:rPr>
        <w:t>Article</w:t>
      </w:r>
      <w:r>
        <w:rPr>
          <w:rFonts w:ascii="Lucida Sans Unicode" w:hAnsi="Lucida Sans Unicode"/>
          <w:spacing w:val="-11"/>
          <w:w w:val="110"/>
        </w:rPr>
        <w:t> </w:t>
      </w:r>
      <w:r>
        <w:rPr>
          <w:rFonts w:ascii="Lucida Sans Unicode" w:hAnsi="Lucida Sans Unicode"/>
          <w:w w:val="105"/>
        </w:rPr>
        <w:t>2</w:t>
      </w:r>
      <w:r>
        <w:rPr>
          <w:rFonts w:ascii="Lucida Sans Unicode" w:hAnsi="Lucida Sans Unicode"/>
          <w:w w:val="105"/>
          <w:vertAlign w:val="superscript"/>
        </w:rPr>
        <w:t>217</w:t>
      </w:r>
      <w:r>
        <w:rPr>
          <w:rFonts w:ascii="Lucida Sans Unicode" w:hAnsi="Lucida Sans Unicode"/>
          <w:spacing w:val="-7"/>
          <w:w w:val="105"/>
          <w:vertAlign w:val="baseline"/>
        </w:rPr>
        <w:t> </w:t>
      </w:r>
      <w:r>
        <w:rPr>
          <w:w w:val="110"/>
          <w:vertAlign w:val="baseline"/>
        </w:rPr>
        <w:t>as</w:t>
      </w:r>
      <w:r>
        <w:rPr>
          <w:spacing w:val="-1"/>
          <w:w w:val="110"/>
          <w:vertAlign w:val="baseline"/>
        </w:rPr>
        <w:t> </w:t>
      </w:r>
      <w:r>
        <w:rPr>
          <w:w w:val="110"/>
          <w:vertAlign w:val="baseline"/>
        </w:rPr>
        <w:t>–</w:t>
      </w:r>
      <w:r>
        <w:rPr>
          <w:spacing w:val="-1"/>
          <w:w w:val="110"/>
          <w:vertAlign w:val="baseline"/>
        </w:rPr>
        <w:t> </w:t>
      </w:r>
      <w:r>
        <w:rPr>
          <w:w w:val="110"/>
          <w:vertAlign w:val="baseline"/>
        </w:rPr>
        <w:t>even</w:t>
      </w:r>
      <w:r>
        <w:rPr>
          <w:spacing w:val="-1"/>
          <w:w w:val="110"/>
          <w:vertAlign w:val="baseline"/>
        </w:rPr>
        <w:t> </w:t>
      </w:r>
      <w:r>
        <w:rPr>
          <w:w w:val="110"/>
          <w:vertAlign w:val="baseline"/>
        </w:rPr>
        <w:t>though</w:t>
      </w:r>
      <w:r>
        <w:rPr>
          <w:spacing w:val="-1"/>
          <w:w w:val="110"/>
          <w:vertAlign w:val="baseline"/>
        </w:rPr>
        <w:t> </w:t>
      </w:r>
      <w:r>
        <w:rPr>
          <w:w w:val="110"/>
          <w:vertAlign w:val="baseline"/>
        </w:rPr>
        <w:t>the</w:t>
      </w:r>
      <w:r>
        <w:rPr>
          <w:spacing w:val="-1"/>
          <w:w w:val="110"/>
          <w:vertAlign w:val="baseline"/>
        </w:rPr>
        <w:t> </w:t>
      </w:r>
      <w:r>
        <w:rPr>
          <w:w w:val="110"/>
          <w:vertAlign w:val="baseline"/>
        </w:rPr>
        <w:t>UK Government</w:t>
      </w:r>
      <w:r>
        <w:rPr>
          <w:spacing w:val="-2"/>
          <w:w w:val="110"/>
          <w:vertAlign w:val="baseline"/>
        </w:rPr>
        <w:t> </w:t>
      </w:r>
      <w:r>
        <w:rPr>
          <w:w w:val="110"/>
          <w:vertAlign w:val="baseline"/>
        </w:rPr>
        <w:t>does</w:t>
      </w:r>
      <w:r>
        <w:rPr>
          <w:spacing w:val="-2"/>
          <w:w w:val="110"/>
          <w:vertAlign w:val="baseline"/>
        </w:rPr>
        <w:t> </w:t>
      </w:r>
      <w:r>
        <w:rPr>
          <w:w w:val="110"/>
          <w:vertAlign w:val="baseline"/>
        </w:rPr>
        <w:t>not</w:t>
      </w:r>
      <w:r>
        <w:rPr>
          <w:spacing w:val="-2"/>
          <w:w w:val="110"/>
          <w:vertAlign w:val="baseline"/>
        </w:rPr>
        <w:t> </w:t>
      </w:r>
      <w:r>
        <w:rPr>
          <w:w w:val="110"/>
          <w:vertAlign w:val="baseline"/>
        </w:rPr>
        <w:t>expressly</w:t>
      </w:r>
      <w:r>
        <w:rPr>
          <w:spacing w:val="-2"/>
          <w:w w:val="110"/>
          <w:vertAlign w:val="baseline"/>
        </w:rPr>
        <w:t> </w:t>
      </w:r>
      <w:r>
        <w:rPr>
          <w:w w:val="110"/>
          <w:vertAlign w:val="baseline"/>
        </w:rPr>
        <w:t>say</w:t>
      </w:r>
      <w:r>
        <w:rPr>
          <w:spacing w:val="-2"/>
          <w:w w:val="110"/>
          <w:vertAlign w:val="baseline"/>
        </w:rPr>
        <w:t> </w:t>
      </w:r>
      <w:r>
        <w:rPr>
          <w:w w:val="110"/>
          <w:vertAlign w:val="baseline"/>
        </w:rPr>
        <w:t>so – it helps to ensure the right to equal opportunity in all social and economic </w:t>
      </w:r>
      <w:r>
        <w:rPr>
          <w:rFonts w:ascii="Lucida Sans Unicode" w:hAnsi="Lucida Sans Unicode"/>
          <w:w w:val="110"/>
          <w:vertAlign w:val="baseline"/>
        </w:rPr>
        <w:t>activity</w:t>
      </w:r>
      <w:r>
        <w:rPr>
          <w:rFonts w:ascii="Lucida Sans Unicode" w:hAnsi="Lucida Sans Unicode"/>
          <w:spacing w:val="-21"/>
          <w:w w:val="110"/>
          <w:vertAlign w:val="baseline"/>
        </w:rPr>
        <w:t> </w:t>
      </w:r>
      <w:r>
        <w:rPr>
          <w:rFonts w:ascii="Lucida Sans Unicode" w:hAnsi="Lucida Sans Unicode"/>
          <w:w w:val="110"/>
          <w:vertAlign w:val="baseline"/>
        </w:rPr>
        <w:t>found</w:t>
      </w:r>
      <w:r>
        <w:rPr>
          <w:rFonts w:ascii="Lucida Sans Unicode" w:hAnsi="Lucida Sans Unicode"/>
          <w:spacing w:val="-21"/>
          <w:w w:val="110"/>
          <w:vertAlign w:val="baseline"/>
        </w:rPr>
        <w:t> </w:t>
      </w:r>
      <w:r>
        <w:rPr>
          <w:rFonts w:ascii="Lucida Sans Unicode" w:hAnsi="Lucida Sans Unicode"/>
          <w:w w:val="110"/>
          <w:vertAlign w:val="baseline"/>
        </w:rPr>
        <w:t>in</w:t>
      </w:r>
      <w:r>
        <w:rPr>
          <w:rFonts w:ascii="Lucida Sans Unicode" w:hAnsi="Lucida Sans Unicode"/>
          <w:spacing w:val="-21"/>
          <w:w w:val="110"/>
          <w:vertAlign w:val="baseline"/>
        </w:rPr>
        <w:t> </w:t>
      </w:r>
      <w:r>
        <w:rPr>
          <w:rFonts w:ascii="Lucida Sans Unicode" w:hAnsi="Lucida Sans Unicode"/>
          <w:w w:val="110"/>
          <w:vertAlign w:val="baseline"/>
        </w:rPr>
        <w:t>the</w:t>
      </w:r>
      <w:r>
        <w:rPr>
          <w:rFonts w:ascii="Lucida Sans Unicode" w:hAnsi="Lucida Sans Unicode"/>
          <w:spacing w:val="-21"/>
          <w:w w:val="110"/>
          <w:vertAlign w:val="baseline"/>
        </w:rPr>
        <w:t> </w:t>
      </w:r>
      <w:r>
        <w:rPr>
          <w:rFonts w:ascii="Lucida Sans Unicode" w:hAnsi="Lucida Sans Unicode"/>
          <w:w w:val="110"/>
          <w:vertAlign w:val="baseline"/>
        </w:rPr>
        <w:t>RSEO</w:t>
      </w:r>
      <w:r>
        <w:rPr>
          <w:rFonts w:ascii="Lucida Sans Unicode" w:hAnsi="Lucida Sans Unicode"/>
          <w:spacing w:val="-21"/>
          <w:w w:val="110"/>
          <w:vertAlign w:val="baseline"/>
        </w:rPr>
        <w:t> </w:t>
      </w:r>
      <w:r>
        <w:rPr>
          <w:rFonts w:ascii="Lucida Sans Unicode" w:hAnsi="Lucida Sans Unicode"/>
          <w:w w:val="110"/>
          <w:vertAlign w:val="baseline"/>
        </w:rPr>
        <w:t>chapter</w:t>
      </w:r>
      <w:r>
        <w:rPr>
          <w:rFonts w:ascii="Lucida Sans Unicode" w:hAnsi="Lucida Sans Unicode"/>
          <w:spacing w:val="-21"/>
          <w:w w:val="110"/>
          <w:vertAlign w:val="baseline"/>
        </w:rPr>
        <w:t> </w:t>
      </w:r>
      <w:r>
        <w:rPr>
          <w:rFonts w:ascii="Lucida Sans Unicode" w:hAnsi="Lucida Sans Unicode"/>
          <w:w w:val="110"/>
          <w:vertAlign w:val="baseline"/>
        </w:rPr>
        <w:t>of </w:t>
      </w:r>
      <w:r>
        <w:rPr>
          <w:w w:val="110"/>
          <w:vertAlign w:val="baseline"/>
        </w:rPr>
        <w:t>the Belfast (Good Friday) Agreement. As a consequence, there must be no diminution of existing parental leave </w:t>
      </w:r>
      <w:r>
        <w:rPr>
          <w:spacing w:val="-2"/>
          <w:w w:val="110"/>
          <w:vertAlign w:val="baseline"/>
        </w:rPr>
        <w:t>rights.</w:t>
      </w:r>
    </w:p>
    <w:p>
      <w:pPr>
        <w:spacing w:after="0" w:line="310" w:lineRule="exact"/>
        <w:sectPr>
          <w:type w:val="continuous"/>
          <w:pgSz w:w="11910" w:h="16840"/>
          <w:pgMar w:header="568" w:footer="580" w:top="0" w:bottom="280" w:left="1020" w:right="1020"/>
          <w:cols w:num="2" w:equalWidth="0">
            <w:col w:w="4564" w:space="481"/>
            <w:col w:w="4825"/>
          </w:cols>
        </w:sectPr>
      </w:pPr>
    </w:p>
    <w:p>
      <w:pPr>
        <w:pStyle w:val="BodyText"/>
        <w:ind w:left="0"/>
        <w:rPr>
          <w:sz w:val="20"/>
        </w:rPr>
      </w:pPr>
    </w:p>
    <w:p>
      <w:pPr>
        <w:pStyle w:val="BodyText"/>
        <w:ind w:left="0"/>
        <w:rPr>
          <w:sz w:val="20"/>
        </w:rPr>
      </w:pPr>
    </w:p>
    <w:p>
      <w:pPr>
        <w:pStyle w:val="BodyText"/>
        <w:spacing w:before="9" w:after="1"/>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143" name="Group 143"/>
                <wp:cNvGraphicFramePr>
                  <a:graphicFrameLocks/>
                </wp:cNvGraphicFramePr>
                <a:graphic>
                  <a:graphicData uri="http://schemas.microsoft.com/office/word/2010/wordprocessingGroup">
                    <wpg:wgp>
                      <wpg:cNvPr id="143" name="Group 143"/>
                      <wpg:cNvGrpSpPr/>
                      <wpg:grpSpPr>
                        <a:xfrm>
                          <a:off x="0" y="0"/>
                          <a:ext cx="6120130" cy="6350"/>
                          <a:chExt cx="6120130" cy="6350"/>
                        </a:xfrm>
                      </wpg:grpSpPr>
                      <wps:wsp>
                        <wps:cNvPr id="144" name="Graphic 144"/>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90"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14"/>
        </w:numPr>
        <w:tabs>
          <w:tab w:pos="567" w:val="left" w:leader="none"/>
        </w:tabs>
        <w:spacing w:line="218" w:lineRule="auto" w:before="77" w:after="0"/>
        <w:ind w:left="567" w:right="550" w:hanging="454"/>
        <w:jc w:val="left"/>
        <w:rPr>
          <w:rFonts w:ascii="Arial"/>
          <w:sz w:val="16"/>
        </w:rPr>
      </w:pPr>
      <w:r>
        <w:rPr>
          <w:sz w:val="16"/>
        </w:rPr>
        <w:t>This is the principle consistent interpretation, which was developed precisely to fill the gap left by non-directly </w:t>
      </w:r>
      <w:r>
        <w:rPr>
          <w:rFonts w:ascii="Arial"/>
          <w:sz w:val="16"/>
        </w:rPr>
        <w:t>effective</w:t>
      </w:r>
      <w:r>
        <w:rPr>
          <w:rFonts w:ascii="Arial"/>
          <w:spacing w:val="40"/>
          <w:sz w:val="16"/>
        </w:rPr>
        <w:t> </w:t>
      </w:r>
      <w:r>
        <w:rPr>
          <w:rFonts w:ascii="Arial"/>
          <w:sz w:val="16"/>
        </w:rPr>
        <w:t>directives,</w:t>
      </w:r>
      <w:r>
        <w:rPr>
          <w:rFonts w:ascii="Arial"/>
          <w:spacing w:val="40"/>
          <w:sz w:val="16"/>
        </w:rPr>
        <w:t> </w:t>
      </w:r>
      <w:r>
        <w:rPr>
          <w:rFonts w:ascii="Arial"/>
          <w:sz w:val="16"/>
        </w:rPr>
        <w:t>see</w:t>
      </w:r>
      <w:r>
        <w:rPr>
          <w:rFonts w:ascii="Arial"/>
          <w:spacing w:val="40"/>
          <w:sz w:val="16"/>
        </w:rPr>
        <w:t> </w:t>
      </w:r>
      <w:r>
        <w:rPr>
          <w:rFonts w:ascii="Arial"/>
          <w:sz w:val="16"/>
        </w:rPr>
        <w:t>above</w:t>
      </w:r>
      <w:r>
        <w:rPr>
          <w:rFonts w:ascii="Arial"/>
          <w:spacing w:val="40"/>
          <w:sz w:val="16"/>
        </w:rPr>
        <w:t> </w:t>
      </w:r>
      <w:r>
        <w:rPr>
          <w:rFonts w:ascii="Arial"/>
          <w:sz w:val="16"/>
        </w:rPr>
        <w:t>Chapter</w:t>
      </w:r>
      <w:r>
        <w:rPr>
          <w:rFonts w:ascii="Arial"/>
          <w:spacing w:val="40"/>
          <w:sz w:val="16"/>
        </w:rPr>
        <w:t> </w:t>
      </w:r>
      <w:r>
        <w:rPr>
          <w:rFonts w:ascii="Arial"/>
          <w:sz w:val="16"/>
        </w:rPr>
        <w:t>1.</w:t>
      </w:r>
    </w:p>
    <w:p>
      <w:pPr>
        <w:pStyle w:val="ListParagraph"/>
        <w:numPr>
          <w:ilvl w:val="0"/>
          <w:numId w:val="14"/>
        </w:numPr>
        <w:tabs>
          <w:tab w:pos="567" w:val="left" w:leader="none"/>
        </w:tabs>
        <w:spacing w:line="239" w:lineRule="exact" w:before="0" w:after="0"/>
        <w:ind w:left="567" w:right="0" w:hanging="454"/>
        <w:jc w:val="left"/>
        <w:rPr>
          <w:sz w:val="16"/>
        </w:rPr>
      </w:pPr>
      <w:r>
        <w:rPr>
          <w:sz w:val="16"/>
        </w:rPr>
        <w:t>UK</w:t>
      </w:r>
      <w:r>
        <w:rPr>
          <w:spacing w:val="4"/>
          <w:sz w:val="16"/>
        </w:rPr>
        <w:t> </w:t>
      </w:r>
      <w:r>
        <w:rPr>
          <w:sz w:val="16"/>
        </w:rPr>
        <w:t>Government</w:t>
      </w:r>
      <w:r>
        <w:rPr>
          <w:spacing w:val="4"/>
          <w:sz w:val="16"/>
        </w:rPr>
        <w:t> </w:t>
      </w:r>
      <w:r>
        <w:rPr>
          <w:sz w:val="16"/>
        </w:rPr>
        <w:t>(n</w:t>
      </w:r>
      <w:r>
        <w:rPr>
          <w:spacing w:val="5"/>
          <w:sz w:val="16"/>
        </w:rPr>
        <w:t> </w:t>
      </w:r>
      <w:r>
        <w:rPr>
          <w:sz w:val="16"/>
        </w:rPr>
        <w:t>129)</w:t>
      </w:r>
      <w:r>
        <w:rPr>
          <w:spacing w:val="4"/>
          <w:sz w:val="16"/>
        </w:rPr>
        <w:t> </w:t>
      </w:r>
      <w:r>
        <w:rPr>
          <w:sz w:val="16"/>
        </w:rPr>
        <w:t>para</w:t>
      </w:r>
      <w:r>
        <w:rPr>
          <w:spacing w:val="4"/>
          <w:sz w:val="16"/>
        </w:rPr>
        <w:t> </w:t>
      </w:r>
      <w:r>
        <w:rPr>
          <w:spacing w:val="-5"/>
          <w:sz w:val="16"/>
        </w:rPr>
        <w:t>13.</w:t>
      </w:r>
    </w:p>
    <w:p>
      <w:pPr>
        <w:spacing w:after="0" w:line="239" w:lineRule="exact"/>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310" w:lineRule="exact" w:before="49"/>
        <w:ind w:right="284"/>
      </w:pPr>
      <w:r>
        <w:rPr>
          <w:rFonts w:ascii="Lucida Sans Unicode" w:hAnsi="Lucida Sans Unicode"/>
        </w:rPr>
        <w:t>CJEU Case C-129/20 </w:t>
      </w:r>
      <w:r>
        <w:rPr>
          <w:rFonts w:ascii="Verdana" w:hAnsi="Verdana"/>
          <w:i/>
        </w:rPr>
        <w:t>Caisse pour</w:t>
      </w:r>
      <w:r>
        <w:rPr>
          <w:rFonts w:ascii="Verdana" w:hAnsi="Verdana"/>
          <w:i/>
        </w:rPr>
        <w:t> l’avenir des enfants </w:t>
      </w:r>
      <w:r>
        <w:rPr/>
        <w:t>shows that the </w:t>
      </w:r>
      <w:r>
        <w:rPr>
          <w:w w:val="110"/>
        </w:rPr>
        <w:t>rights contained in the Directive must be interpreted in light of </w:t>
      </w:r>
      <w:r>
        <w:rPr>
          <w:rFonts w:ascii="Lucida Sans Unicode" w:hAnsi="Lucida Sans Unicode"/>
          <w:w w:val="110"/>
        </w:rPr>
        <w:t>Article</w:t>
      </w:r>
      <w:r>
        <w:rPr>
          <w:rFonts w:ascii="Lucida Sans Unicode" w:hAnsi="Lucida Sans Unicode"/>
          <w:spacing w:val="-21"/>
          <w:w w:val="110"/>
        </w:rPr>
        <w:t> </w:t>
      </w:r>
      <w:r>
        <w:rPr>
          <w:rFonts w:ascii="Lucida Sans Unicode" w:hAnsi="Lucida Sans Unicode"/>
          <w:w w:val="110"/>
        </w:rPr>
        <w:t>33</w:t>
      </w:r>
      <w:r>
        <w:rPr>
          <w:rFonts w:ascii="Lucida Sans Unicode" w:hAnsi="Lucida Sans Unicode"/>
          <w:spacing w:val="-21"/>
          <w:w w:val="110"/>
        </w:rPr>
        <w:t> </w:t>
      </w:r>
      <w:r>
        <w:rPr>
          <w:rFonts w:ascii="Lucida Sans Unicode" w:hAnsi="Lucida Sans Unicode"/>
          <w:w w:val="110"/>
        </w:rPr>
        <w:t>(2)</w:t>
      </w:r>
      <w:r>
        <w:rPr>
          <w:rFonts w:ascii="Lucida Sans Unicode" w:hAnsi="Lucida Sans Unicode"/>
          <w:spacing w:val="-21"/>
          <w:w w:val="110"/>
        </w:rPr>
        <w:t> </w:t>
      </w:r>
      <w:r>
        <w:rPr>
          <w:rFonts w:ascii="Lucida Sans Unicode" w:hAnsi="Lucida Sans Unicode"/>
          <w:w w:val="110"/>
        </w:rPr>
        <w:t>CFR.</w:t>
      </w:r>
      <w:r>
        <w:rPr>
          <w:rFonts w:ascii="Lucida Sans Unicode" w:hAnsi="Lucida Sans Unicode"/>
          <w:spacing w:val="-21"/>
          <w:w w:val="110"/>
        </w:rPr>
        <w:t> </w:t>
      </w:r>
      <w:r>
        <w:rPr>
          <w:rFonts w:ascii="Lucida Sans Unicode" w:hAnsi="Lucida Sans Unicode"/>
          <w:w w:val="110"/>
        </w:rPr>
        <w:t>In</w:t>
      </w:r>
      <w:r>
        <w:rPr>
          <w:rFonts w:ascii="Lucida Sans Unicode" w:hAnsi="Lucida Sans Unicode"/>
          <w:spacing w:val="-21"/>
          <w:w w:val="110"/>
        </w:rPr>
        <w:t> </w:t>
      </w:r>
      <w:r>
        <w:rPr>
          <w:rFonts w:ascii="Lucida Sans Unicode" w:hAnsi="Lucida Sans Unicode"/>
          <w:w w:val="110"/>
        </w:rPr>
        <w:t>the</w:t>
      </w:r>
      <w:r>
        <w:rPr>
          <w:rFonts w:ascii="Lucida Sans Unicode" w:hAnsi="Lucida Sans Unicode"/>
          <w:spacing w:val="-21"/>
          <w:w w:val="110"/>
        </w:rPr>
        <w:t> </w:t>
      </w:r>
      <w:r>
        <w:rPr>
          <w:rFonts w:ascii="Lucida Sans Unicode" w:hAnsi="Lucida Sans Unicode"/>
          <w:w w:val="110"/>
        </w:rPr>
        <w:t>case</w:t>
      </w:r>
      <w:r>
        <w:rPr>
          <w:rFonts w:ascii="Lucida Sans Unicode" w:hAnsi="Lucida Sans Unicode"/>
          <w:spacing w:val="-21"/>
          <w:w w:val="110"/>
        </w:rPr>
        <w:t> </w:t>
      </w:r>
      <w:r>
        <w:rPr>
          <w:rFonts w:ascii="Lucida Sans Unicode" w:hAnsi="Lucida Sans Unicode"/>
          <w:w w:val="110"/>
        </w:rPr>
        <w:t>the </w:t>
      </w:r>
      <w:r>
        <w:rPr>
          <w:w w:val="110"/>
        </w:rPr>
        <w:t>claimant was a mother of twins, who had applied for parental leave to be granted by her employer, the state</w:t>
      </w:r>
      <w:r>
        <w:rPr>
          <w:spacing w:val="40"/>
          <w:w w:val="110"/>
        </w:rPr>
        <w:t> </w:t>
      </w:r>
      <w:r>
        <w:rPr>
          <w:w w:val="110"/>
        </w:rPr>
        <w:t>of</w:t>
      </w:r>
      <w:r>
        <w:rPr>
          <w:spacing w:val="40"/>
          <w:w w:val="110"/>
        </w:rPr>
        <w:t> </w:t>
      </w:r>
      <w:r>
        <w:rPr>
          <w:w w:val="110"/>
        </w:rPr>
        <w:t>Luxembourg.</w:t>
      </w:r>
      <w:r>
        <w:rPr>
          <w:spacing w:val="40"/>
          <w:w w:val="110"/>
        </w:rPr>
        <w:t> </w:t>
      </w:r>
      <w:r>
        <w:rPr>
          <w:w w:val="110"/>
        </w:rPr>
        <w:t>According</w:t>
      </w:r>
      <w:r>
        <w:rPr>
          <w:spacing w:val="80"/>
          <w:w w:val="110"/>
        </w:rPr>
        <w:t> </w:t>
      </w:r>
      <w:r>
        <w:rPr>
          <w:w w:val="110"/>
        </w:rPr>
        <w:t>to Luxembourgish law she would have only been entitled to parental leave if she had been employed at</w:t>
      </w:r>
    </w:p>
    <w:p>
      <w:pPr>
        <w:pStyle w:val="BodyText"/>
        <w:spacing w:line="310" w:lineRule="exact"/>
        <w:ind w:right="38"/>
      </w:pPr>
      <w:r>
        <w:rPr>
          <w:w w:val="110"/>
        </w:rPr>
        <w:t>the time of the birth of the children, whereas the claimant had been unemployed at that time. The CJEU held that ‘the individual right of </w:t>
      </w:r>
      <w:r>
        <w:rPr>
          <w:w w:val="110"/>
        </w:rPr>
        <w:t>each working parent to parental leave on the grounds of the birth or adoption</w:t>
      </w:r>
      <w:r>
        <w:rPr>
          <w:spacing w:val="40"/>
          <w:w w:val="110"/>
        </w:rPr>
        <w:t> </w:t>
      </w:r>
      <w:r>
        <w:rPr>
          <w:rFonts w:ascii="Lucida Sans Unicode" w:hAnsi="Lucida Sans Unicode"/>
        </w:rPr>
        <w:t>of a child, enshrined in clause 2.1 of </w:t>
      </w:r>
      <w:r>
        <w:rPr>
          <w:w w:val="110"/>
        </w:rPr>
        <w:t>the revised Framework Agreement </w:t>
      </w:r>
      <w:r>
        <w:rPr>
          <w:rFonts w:ascii="Lucida Sans Unicode" w:hAnsi="Lucida Sans Unicode"/>
        </w:rPr>
        <w:t>[to which the Directive 2010/18/EC gives effect], must be interpreted as </w:t>
      </w:r>
      <w:r>
        <w:rPr>
          <w:w w:val="110"/>
        </w:rPr>
        <w:t>articulating a particularly important EU social right which, moreover,</w:t>
      </w:r>
    </w:p>
    <w:p>
      <w:pPr>
        <w:pStyle w:val="BodyText"/>
        <w:spacing w:line="310" w:lineRule="exact"/>
        <w:ind w:right="13"/>
      </w:pPr>
      <w:r>
        <w:rPr>
          <w:rFonts w:ascii="Lucida Sans Unicode" w:hAnsi="Lucida Sans Unicode"/>
          <w:w w:val="110"/>
        </w:rPr>
        <w:t>is</w:t>
      </w:r>
      <w:r>
        <w:rPr>
          <w:rFonts w:ascii="Lucida Sans Unicode" w:hAnsi="Lucida Sans Unicode"/>
          <w:spacing w:val="-21"/>
          <w:w w:val="110"/>
        </w:rPr>
        <w:t> </w:t>
      </w:r>
      <w:r>
        <w:rPr>
          <w:rFonts w:ascii="Lucida Sans Unicode" w:hAnsi="Lucida Sans Unicode"/>
          <w:w w:val="110"/>
        </w:rPr>
        <w:t>laid</w:t>
      </w:r>
      <w:r>
        <w:rPr>
          <w:rFonts w:ascii="Lucida Sans Unicode" w:hAnsi="Lucida Sans Unicode"/>
          <w:spacing w:val="-21"/>
          <w:w w:val="110"/>
        </w:rPr>
        <w:t> </w:t>
      </w:r>
      <w:r>
        <w:rPr>
          <w:rFonts w:ascii="Lucida Sans Unicode" w:hAnsi="Lucida Sans Unicode"/>
          <w:w w:val="110"/>
        </w:rPr>
        <w:t>down</w:t>
      </w:r>
      <w:r>
        <w:rPr>
          <w:rFonts w:ascii="Lucida Sans Unicode" w:hAnsi="Lucida Sans Unicode"/>
          <w:spacing w:val="-21"/>
          <w:w w:val="110"/>
        </w:rPr>
        <w:t> </w:t>
      </w:r>
      <w:r>
        <w:rPr>
          <w:rFonts w:ascii="Lucida Sans Unicode" w:hAnsi="Lucida Sans Unicode"/>
          <w:w w:val="110"/>
        </w:rPr>
        <w:t>in</w:t>
      </w:r>
      <w:r>
        <w:rPr>
          <w:rFonts w:ascii="Lucida Sans Unicode" w:hAnsi="Lucida Sans Unicode"/>
          <w:spacing w:val="-21"/>
          <w:w w:val="110"/>
        </w:rPr>
        <w:t> </w:t>
      </w:r>
      <w:r>
        <w:rPr>
          <w:rFonts w:ascii="Lucida Sans Unicode" w:hAnsi="Lucida Sans Unicode"/>
          <w:w w:val="110"/>
        </w:rPr>
        <w:t>Article</w:t>
      </w:r>
      <w:r>
        <w:rPr>
          <w:rFonts w:ascii="Lucida Sans Unicode" w:hAnsi="Lucida Sans Unicode"/>
          <w:spacing w:val="-21"/>
          <w:w w:val="110"/>
        </w:rPr>
        <w:t> </w:t>
      </w:r>
      <w:r>
        <w:rPr>
          <w:rFonts w:ascii="Lucida Sans Unicode" w:hAnsi="Lucida Sans Unicode"/>
          <w:w w:val="110"/>
        </w:rPr>
        <w:t>33(2)</w:t>
      </w:r>
      <w:r>
        <w:rPr>
          <w:rFonts w:ascii="Lucida Sans Unicode" w:hAnsi="Lucida Sans Unicode"/>
          <w:spacing w:val="-21"/>
          <w:w w:val="110"/>
        </w:rPr>
        <w:t> </w:t>
      </w:r>
      <w:r>
        <w:rPr>
          <w:rFonts w:ascii="Lucida Sans Unicode" w:hAnsi="Lucida Sans Unicode"/>
          <w:w w:val="110"/>
        </w:rPr>
        <w:t>of</w:t>
      </w:r>
      <w:r>
        <w:rPr>
          <w:rFonts w:ascii="Lucida Sans Unicode" w:hAnsi="Lucida Sans Unicode"/>
          <w:spacing w:val="-21"/>
          <w:w w:val="110"/>
        </w:rPr>
        <w:t> </w:t>
      </w:r>
      <w:r>
        <w:rPr>
          <w:rFonts w:ascii="Lucida Sans Unicode" w:hAnsi="Lucida Sans Unicode"/>
          <w:w w:val="110"/>
        </w:rPr>
        <w:t>the </w:t>
      </w:r>
      <w:r>
        <w:rPr>
          <w:w w:val="110"/>
        </w:rPr>
        <w:t>Charter of Fundamental Rights. It follows that that right cannot be interpreted</w:t>
      </w:r>
      <w:r>
        <w:rPr>
          <w:spacing w:val="-7"/>
          <w:w w:val="110"/>
        </w:rPr>
        <w:t> </w:t>
      </w:r>
      <w:r>
        <w:rPr>
          <w:w w:val="110"/>
        </w:rPr>
        <w:t>restrictively’.</w:t>
      </w:r>
      <w:r>
        <w:rPr>
          <w:rFonts w:ascii="Lucida Sans Unicode" w:hAnsi="Lucida Sans Unicode"/>
          <w:w w:val="110"/>
          <w:vertAlign w:val="superscript"/>
        </w:rPr>
        <w:t>218</w:t>
      </w:r>
      <w:r>
        <w:rPr>
          <w:rFonts w:ascii="Lucida Sans Unicode" w:hAnsi="Lucida Sans Unicode"/>
          <w:spacing w:val="-16"/>
          <w:w w:val="110"/>
          <w:vertAlign w:val="baseline"/>
        </w:rPr>
        <w:t> </w:t>
      </w:r>
      <w:r>
        <w:rPr>
          <w:w w:val="110"/>
          <w:vertAlign w:val="baseline"/>
        </w:rPr>
        <w:t>The</w:t>
      </w:r>
      <w:r>
        <w:rPr>
          <w:spacing w:val="-7"/>
          <w:w w:val="110"/>
          <w:vertAlign w:val="baseline"/>
        </w:rPr>
        <w:t> </w:t>
      </w:r>
      <w:r>
        <w:rPr>
          <w:w w:val="110"/>
          <w:vertAlign w:val="baseline"/>
        </w:rPr>
        <w:t>Court thus</w:t>
      </w:r>
      <w:r>
        <w:rPr>
          <w:spacing w:val="40"/>
          <w:w w:val="110"/>
          <w:vertAlign w:val="baseline"/>
        </w:rPr>
        <w:t> </w:t>
      </w:r>
      <w:r>
        <w:rPr>
          <w:w w:val="110"/>
          <w:vertAlign w:val="baseline"/>
        </w:rPr>
        <w:t>used</w:t>
      </w:r>
      <w:r>
        <w:rPr>
          <w:spacing w:val="40"/>
          <w:w w:val="110"/>
          <w:vertAlign w:val="baseline"/>
        </w:rPr>
        <w:t> </w:t>
      </w:r>
      <w:r>
        <w:rPr>
          <w:w w:val="110"/>
          <w:vertAlign w:val="baseline"/>
        </w:rPr>
        <w:t>the</w:t>
      </w:r>
      <w:r>
        <w:rPr>
          <w:spacing w:val="40"/>
          <w:w w:val="110"/>
          <w:vertAlign w:val="baseline"/>
        </w:rPr>
        <w:t> </w:t>
      </w:r>
      <w:r>
        <w:rPr>
          <w:w w:val="110"/>
          <w:vertAlign w:val="baseline"/>
        </w:rPr>
        <w:t>Charter</w:t>
      </w:r>
      <w:r>
        <w:rPr>
          <w:spacing w:val="40"/>
          <w:w w:val="110"/>
          <w:vertAlign w:val="baseline"/>
        </w:rPr>
        <w:t> </w:t>
      </w:r>
      <w:r>
        <w:rPr>
          <w:w w:val="110"/>
          <w:vertAlign w:val="baseline"/>
        </w:rPr>
        <w:t>to</w:t>
      </w:r>
      <w:r>
        <w:rPr>
          <w:spacing w:val="40"/>
          <w:w w:val="110"/>
          <w:vertAlign w:val="baseline"/>
        </w:rPr>
        <w:t> </w:t>
      </w:r>
      <w:r>
        <w:rPr>
          <w:w w:val="110"/>
          <w:vertAlign w:val="baseline"/>
        </w:rPr>
        <w:t>reiterate the fundamental right character</w:t>
      </w:r>
    </w:p>
    <w:p>
      <w:pPr>
        <w:pStyle w:val="BodyText"/>
        <w:spacing w:line="310" w:lineRule="exact"/>
        <w:ind w:right="13"/>
      </w:pPr>
      <w:r>
        <w:rPr>
          <w:w w:val="115"/>
        </w:rPr>
        <w:t>of</w:t>
      </w:r>
      <w:r>
        <w:rPr>
          <w:spacing w:val="-3"/>
          <w:w w:val="115"/>
        </w:rPr>
        <w:t> </w:t>
      </w:r>
      <w:r>
        <w:rPr>
          <w:w w:val="115"/>
        </w:rPr>
        <w:t>the</w:t>
      </w:r>
      <w:r>
        <w:rPr>
          <w:spacing w:val="-3"/>
          <w:w w:val="115"/>
        </w:rPr>
        <w:t> </w:t>
      </w:r>
      <w:r>
        <w:rPr>
          <w:w w:val="115"/>
        </w:rPr>
        <w:t>right</w:t>
      </w:r>
      <w:r>
        <w:rPr>
          <w:spacing w:val="-3"/>
          <w:w w:val="115"/>
        </w:rPr>
        <w:t> </w:t>
      </w:r>
      <w:r>
        <w:rPr>
          <w:w w:val="115"/>
        </w:rPr>
        <w:t>to</w:t>
      </w:r>
      <w:r>
        <w:rPr>
          <w:spacing w:val="-3"/>
          <w:w w:val="115"/>
        </w:rPr>
        <w:t> </w:t>
      </w:r>
      <w:r>
        <w:rPr>
          <w:w w:val="115"/>
        </w:rPr>
        <w:t>parental</w:t>
      </w:r>
      <w:r>
        <w:rPr>
          <w:spacing w:val="-3"/>
          <w:w w:val="115"/>
        </w:rPr>
        <w:t> </w:t>
      </w:r>
      <w:r>
        <w:rPr>
          <w:w w:val="115"/>
        </w:rPr>
        <w:t>leave,</w:t>
      </w:r>
      <w:r>
        <w:rPr>
          <w:rFonts w:ascii="Lucida Sans Unicode"/>
          <w:w w:val="115"/>
          <w:vertAlign w:val="superscript"/>
        </w:rPr>
        <w:t>219</w:t>
      </w:r>
      <w:r>
        <w:rPr>
          <w:rFonts w:ascii="Lucida Sans Unicode"/>
          <w:w w:val="115"/>
          <w:vertAlign w:val="baseline"/>
        </w:rPr>
        <w:t> </w:t>
      </w:r>
      <w:r>
        <w:rPr>
          <w:w w:val="115"/>
          <w:vertAlign w:val="baseline"/>
        </w:rPr>
        <w:t>which</w:t>
      </w:r>
      <w:r>
        <w:rPr>
          <w:spacing w:val="-17"/>
          <w:w w:val="115"/>
          <w:vertAlign w:val="baseline"/>
        </w:rPr>
        <w:t> </w:t>
      </w:r>
      <w:r>
        <w:rPr>
          <w:w w:val="115"/>
          <w:vertAlign w:val="baseline"/>
        </w:rPr>
        <w:t>means</w:t>
      </w:r>
      <w:r>
        <w:rPr>
          <w:spacing w:val="-17"/>
          <w:w w:val="115"/>
          <w:vertAlign w:val="baseline"/>
        </w:rPr>
        <w:t> </w:t>
      </w:r>
      <w:r>
        <w:rPr>
          <w:w w:val="115"/>
          <w:vertAlign w:val="baseline"/>
        </w:rPr>
        <w:t>that</w:t>
      </w:r>
      <w:r>
        <w:rPr>
          <w:spacing w:val="-17"/>
          <w:w w:val="115"/>
          <w:vertAlign w:val="baseline"/>
        </w:rPr>
        <w:t> </w:t>
      </w:r>
      <w:r>
        <w:rPr>
          <w:w w:val="115"/>
          <w:vertAlign w:val="baseline"/>
        </w:rPr>
        <w:t>it</w:t>
      </w:r>
      <w:r>
        <w:rPr>
          <w:spacing w:val="-17"/>
          <w:w w:val="115"/>
          <w:vertAlign w:val="baseline"/>
        </w:rPr>
        <w:t> </w:t>
      </w:r>
      <w:r>
        <w:rPr>
          <w:w w:val="115"/>
          <w:vertAlign w:val="baseline"/>
        </w:rPr>
        <w:t>had</w:t>
      </w:r>
      <w:r>
        <w:rPr>
          <w:spacing w:val="-17"/>
          <w:w w:val="115"/>
          <w:vertAlign w:val="baseline"/>
        </w:rPr>
        <w:t> </w:t>
      </w:r>
      <w:r>
        <w:rPr>
          <w:w w:val="115"/>
          <w:vertAlign w:val="baseline"/>
        </w:rPr>
        <w:t>additional weight compared to rights merely guaranteed</w:t>
      </w:r>
      <w:r>
        <w:rPr>
          <w:spacing w:val="-7"/>
          <w:w w:val="115"/>
          <w:vertAlign w:val="baseline"/>
        </w:rPr>
        <w:t> </w:t>
      </w:r>
      <w:r>
        <w:rPr>
          <w:w w:val="115"/>
          <w:vertAlign w:val="baseline"/>
        </w:rPr>
        <w:t>in</w:t>
      </w:r>
      <w:r>
        <w:rPr>
          <w:spacing w:val="-7"/>
          <w:w w:val="115"/>
          <w:vertAlign w:val="baseline"/>
        </w:rPr>
        <w:t> </w:t>
      </w:r>
      <w:r>
        <w:rPr>
          <w:w w:val="115"/>
          <w:vertAlign w:val="baseline"/>
        </w:rPr>
        <w:t>secondary</w:t>
      </w:r>
      <w:r>
        <w:rPr>
          <w:spacing w:val="-7"/>
          <w:w w:val="115"/>
          <w:vertAlign w:val="baseline"/>
        </w:rPr>
        <w:t> </w:t>
      </w:r>
      <w:r>
        <w:rPr>
          <w:w w:val="115"/>
          <w:vertAlign w:val="baseline"/>
        </w:rPr>
        <w:t>EU</w:t>
      </w:r>
      <w:r>
        <w:rPr>
          <w:spacing w:val="-7"/>
          <w:w w:val="115"/>
          <w:vertAlign w:val="baseline"/>
        </w:rPr>
        <w:t> </w:t>
      </w:r>
      <w:r>
        <w:rPr>
          <w:w w:val="115"/>
          <w:vertAlign w:val="baseline"/>
        </w:rPr>
        <w:t>law.</w:t>
      </w:r>
    </w:p>
    <w:p>
      <w:pPr>
        <w:pStyle w:val="BodyText"/>
        <w:spacing w:line="268" w:lineRule="auto" w:before="23"/>
        <w:ind w:right="13"/>
      </w:pPr>
      <w:r>
        <w:rPr>
          <w:w w:val="115"/>
        </w:rPr>
        <w:t>This then allowed the Court to conclude</w:t>
      </w:r>
      <w:r>
        <w:rPr>
          <w:spacing w:val="-4"/>
          <w:w w:val="115"/>
        </w:rPr>
        <w:t> </w:t>
      </w:r>
      <w:r>
        <w:rPr>
          <w:w w:val="115"/>
        </w:rPr>
        <w:t>that</w:t>
      </w:r>
      <w:r>
        <w:rPr>
          <w:spacing w:val="-4"/>
          <w:w w:val="115"/>
        </w:rPr>
        <w:t> </w:t>
      </w:r>
      <w:r>
        <w:rPr>
          <w:w w:val="115"/>
        </w:rPr>
        <w:t>the</w:t>
      </w:r>
      <w:r>
        <w:rPr>
          <w:spacing w:val="-4"/>
          <w:w w:val="115"/>
        </w:rPr>
        <w:t> </w:t>
      </w:r>
      <w:r>
        <w:rPr>
          <w:w w:val="115"/>
        </w:rPr>
        <w:t>right</w:t>
      </w:r>
      <w:r>
        <w:rPr>
          <w:spacing w:val="-4"/>
          <w:w w:val="115"/>
        </w:rPr>
        <w:t> </w:t>
      </w:r>
      <w:r>
        <w:rPr>
          <w:w w:val="115"/>
        </w:rPr>
        <w:t>could</w:t>
      </w:r>
      <w:r>
        <w:rPr>
          <w:spacing w:val="-4"/>
          <w:w w:val="115"/>
        </w:rPr>
        <w:t> </w:t>
      </w:r>
      <w:r>
        <w:rPr>
          <w:w w:val="115"/>
        </w:rPr>
        <w:t>not</w:t>
      </w:r>
      <w:r>
        <w:rPr>
          <w:spacing w:val="-4"/>
          <w:w w:val="115"/>
        </w:rPr>
        <w:t> </w:t>
      </w:r>
      <w:r>
        <w:rPr>
          <w:w w:val="115"/>
        </w:rPr>
        <w:t>be interpreted restrictively.</w:t>
      </w:r>
    </w:p>
    <w:p>
      <w:pPr>
        <w:pStyle w:val="BodyText"/>
        <w:spacing w:line="268" w:lineRule="auto" w:before="72"/>
        <w:ind w:right="317"/>
      </w:pPr>
      <w:r>
        <w:rPr/>
        <w:br w:type="column"/>
      </w:r>
      <w:r>
        <w:rPr>
          <w:w w:val="115"/>
        </w:rPr>
        <w:t>As</w:t>
      </w:r>
      <w:r>
        <w:rPr>
          <w:spacing w:val="-5"/>
          <w:w w:val="115"/>
        </w:rPr>
        <w:t> </w:t>
      </w:r>
      <w:r>
        <w:rPr>
          <w:w w:val="115"/>
        </w:rPr>
        <w:t>a</w:t>
      </w:r>
      <w:r>
        <w:rPr>
          <w:spacing w:val="-5"/>
          <w:w w:val="115"/>
        </w:rPr>
        <w:t> </w:t>
      </w:r>
      <w:r>
        <w:rPr>
          <w:w w:val="115"/>
        </w:rPr>
        <w:t>result,</w:t>
      </w:r>
      <w:r>
        <w:rPr>
          <w:spacing w:val="-5"/>
          <w:w w:val="115"/>
        </w:rPr>
        <w:t> </w:t>
      </w:r>
      <w:r>
        <w:rPr>
          <w:w w:val="115"/>
        </w:rPr>
        <w:t>the</w:t>
      </w:r>
      <w:r>
        <w:rPr>
          <w:spacing w:val="-5"/>
          <w:w w:val="115"/>
        </w:rPr>
        <w:t> </w:t>
      </w:r>
      <w:r>
        <w:rPr>
          <w:w w:val="115"/>
        </w:rPr>
        <w:t>claimant</w:t>
      </w:r>
      <w:r>
        <w:rPr>
          <w:spacing w:val="-5"/>
          <w:w w:val="115"/>
        </w:rPr>
        <w:t> </w:t>
      </w:r>
      <w:r>
        <w:rPr>
          <w:w w:val="115"/>
        </w:rPr>
        <w:t>in</w:t>
      </w:r>
      <w:r>
        <w:rPr>
          <w:spacing w:val="-5"/>
          <w:w w:val="115"/>
        </w:rPr>
        <w:t> </w:t>
      </w:r>
      <w:r>
        <w:rPr>
          <w:w w:val="115"/>
        </w:rPr>
        <w:t>the</w:t>
      </w:r>
      <w:r>
        <w:rPr>
          <w:spacing w:val="-5"/>
          <w:w w:val="115"/>
        </w:rPr>
        <w:t> </w:t>
      </w:r>
      <w:r>
        <w:rPr>
          <w:w w:val="115"/>
        </w:rPr>
        <w:t>case could</w:t>
      </w:r>
      <w:r>
        <w:rPr>
          <w:spacing w:val="-16"/>
          <w:w w:val="115"/>
        </w:rPr>
        <w:t> </w:t>
      </w:r>
      <w:r>
        <w:rPr>
          <w:w w:val="115"/>
        </w:rPr>
        <w:t>not</w:t>
      </w:r>
      <w:r>
        <w:rPr>
          <w:spacing w:val="-16"/>
          <w:w w:val="115"/>
        </w:rPr>
        <w:t> </w:t>
      </w:r>
      <w:r>
        <w:rPr>
          <w:w w:val="115"/>
        </w:rPr>
        <w:t>be</w:t>
      </w:r>
      <w:r>
        <w:rPr>
          <w:spacing w:val="-16"/>
          <w:w w:val="115"/>
        </w:rPr>
        <w:t> </w:t>
      </w:r>
      <w:r>
        <w:rPr>
          <w:w w:val="115"/>
        </w:rPr>
        <w:t>excluded</w:t>
      </w:r>
      <w:r>
        <w:rPr>
          <w:spacing w:val="-16"/>
          <w:w w:val="115"/>
        </w:rPr>
        <w:t> </w:t>
      </w:r>
      <w:r>
        <w:rPr>
          <w:w w:val="115"/>
        </w:rPr>
        <w:t>from</w:t>
      </w:r>
      <w:r>
        <w:rPr>
          <w:spacing w:val="-16"/>
          <w:w w:val="115"/>
        </w:rPr>
        <w:t> </w:t>
      </w:r>
      <w:r>
        <w:rPr>
          <w:w w:val="115"/>
        </w:rPr>
        <w:t>claiming parental</w:t>
      </w:r>
      <w:r>
        <w:rPr>
          <w:spacing w:val="-16"/>
          <w:w w:val="115"/>
        </w:rPr>
        <w:t> </w:t>
      </w:r>
      <w:r>
        <w:rPr>
          <w:w w:val="115"/>
        </w:rPr>
        <w:t>leave</w:t>
      </w:r>
      <w:r>
        <w:rPr>
          <w:spacing w:val="-16"/>
          <w:w w:val="115"/>
        </w:rPr>
        <w:t> </w:t>
      </w:r>
      <w:r>
        <w:rPr>
          <w:w w:val="115"/>
        </w:rPr>
        <w:t>because</w:t>
      </w:r>
      <w:r>
        <w:rPr>
          <w:spacing w:val="-16"/>
          <w:w w:val="115"/>
        </w:rPr>
        <w:t> </w:t>
      </w:r>
      <w:r>
        <w:rPr>
          <w:w w:val="115"/>
        </w:rPr>
        <w:t>she</w:t>
      </w:r>
      <w:r>
        <w:rPr>
          <w:spacing w:val="-16"/>
          <w:w w:val="115"/>
        </w:rPr>
        <w:t> </w:t>
      </w:r>
      <w:r>
        <w:rPr>
          <w:w w:val="115"/>
        </w:rPr>
        <w:t>was</w:t>
      </w:r>
      <w:r>
        <w:rPr>
          <w:spacing w:val="-16"/>
          <w:w w:val="115"/>
        </w:rPr>
        <w:t> </w:t>
      </w:r>
      <w:r>
        <w:rPr>
          <w:w w:val="115"/>
        </w:rPr>
        <w:t>not in</w:t>
      </w:r>
      <w:r>
        <w:rPr>
          <w:spacing w:val="-16"/>
          <w:w w:val="115"/>
        </w:rPr>
        <w:t> </w:t>
      </w:r>
      <w:r>
        <w:rPr>
          <w:w w:val="115"/>
        </w:rPr>
        <w:t>employment</w:t>
      </w:r>
      <w:r>
        <w:rPr>
          <w:spacing w:val="-16"/>
          <w:w w:val="115"/>
        </w:rPr>
        <w:t> </w:t>
      </w:r>
      <w:r>
        <w:rPr>
          <w:w w:val="115"/>
        </w:rPr>
        <w:t>at</w:t>
      </w:r>
      <w:r>
        <w:rPr>
          <w:spacing w:val="-16"/>
          <w:w w:val="115"/>
        </w:rPr>
        <w:t> </w:t>
      </w:r>
      <w:r>
        <w:rPr>
          <w:w w:val="115"/>
        </w:rPr>
        <w:t>the</w:t>
      </w:r>
      <w:r>
        <w:rPr>
          <w:spacing w:val="-16"/>
          <w:w w:val="115"/>
        </w:rPr>
        <w:t> </w:t>
      </w:r>
      <w:r>
        <w:rPr>
          <w:w w:val="115"/>
        </w:rPr>
        <w:t>time</w:t>
      </w:r>
      <w:r>
        <w:rPr>
          <w:spacing w:val="-16"/>
          <w:w w:val="115"/>
        </w:rPr>
        <w:t> </w:t>
      </w:r>
      <w:r>
        <w:rPr>
          <w:w w:val="115"/>
        </w:rPr>
        <w:t>when</w:t>
      </w:r>
      <w:r>
        <w:rPr>
          <w:spacing w:val="-16"/>
          <w:w w:val="115"/>
        </w:rPr>
        <w:t> </w:t>
      </w:r>
      <w:r>
        <w:rPr>
          <w:w w:val="115"/>
        </w:rPr>
        <w:t>she gave birth.</w:t>
      </w:r>
    </w:p>
    <w:p>
      <w:pPr>
        <w:pStyle w:val="BodyText"/>
        <w:spacing w:before="28"/>
        <w:ind w:left="0"/>
      </w:pPr>
    </w:p>
    <w:p>
      <w:pPr>
        <w:pStyle w:val="Heading5"/>
        <w:spacing w:before="1"/>
        <w:rPr>
          <w:i/>
        </w:rPr>
      </w:pPr>
      <w:r>
        <w:rPr>
          <w:i/>
          <w:color w:val="77328A"/>
          <w:w w:val="105"/>
        </w:rPr>
        <w:t>Example</w:t>
      </w:r>
      <w:r>
        <w:rPr>
          <w:i/>
          <w:color w:val="77328A"/>
          <w:spacing w:val="11"/>
          <w:w w:val="105"/>
        </w:rPr>
        <w:t> </w:t>
      </w:r>
      <w:r>
        <w:rPr>
          <w:i/>
          <w:color w:val="77328A"/>
          <w:spacing w:val="-5"/>
          <w:w w:val="105"/>
        </w:rPr>
        <w:t>2:</w:t>
      </w:r>
    </w:p>
    <w:p>
      <w:pPr>
        <w:spacing w:line="268" w:lineRule="auto" w:before="17"/>
        <w:ind w:left="113" w:right="282" w:firstLine="0"/>
        <w:jc w:val="left"/>
        <w:rPr>
          <w:sz w:val="24"/>
        </w:rPr>
      </w:pPr>
      <w:r>
        <w:rPr>
          <w:rFonts w:ascii="Verdana" w:hAnsi="Verdana"/>
          <w:i/>
          <w:color w:val="77328A"/>
          <w:sz w:val="24"/>
        </w:rPr>
        <w:t>Data</w:t>
      </w:r>
      <w:r>
        <w:rPr>
          <w:rFonts w:ascii="Verdana" w:hAnsi="Verdana"/>
          <w:i/>
          <w:color w:val="77328A"/>
          <w:spacing w:val="-22"/>
          <w:sz w:val="24"/>
        </w:rPr>
        <w:t> </w:t>
      </w:r>
      <w:r>
        <w:rPr>
          <w:rFonts w:ascii="Verdana" w:hAnsi="Verdana"/>
          <w:i/>
          <w:color w:val="77328A"/>
          <w:sz w:val="24"/>
        </w:rPr>
        <w:t>protection</w:t>
      </w:r>
      <w:r>
        <w:rPr>
          <w:rFonts w:ascii="Verdana" w:hAnsi="Verdana"/>
          <w:i/>
          <w:color w:val="77328A"/>
          <w:spacing w:val="-21"/>
          <w:sz w:val="24"/>
        </w:rPr>
        <w:t> </w:t>
      </w:r>
      <w:r>
        <w:rPr>
          <w:rFonts w:ascii="Verdana" w:hAnsi="Verdana"/>
          <w:i/>
          <w:color w:val="77328A"/>
          <w:sz w:val="24"/>
        </w:rPr>
        <w:t>law</w:t>
      </w:r>
      <w:r>
        <w:rPr>
          <w:rFonts w:ascii="Verdana" w:hAnsi="Verdana"/>
          <w:i/>
          <w:color w:val="77328A"/>
          <w:spacing w:val="-21"/>
          <w:sz w:val="24"/>
        </w:rPr>
        <w:t> </w:t>
      </w:r>
      <w:r>
        <w:rPr>
          <w:rFonts w:ascii="Verdana" w:hAnsi="Verdana"/>
          <w:i/>
          <w:color w:val="77328A"/>
          <w:sz w:val="24"/>
        </w:rPr>
        <w:t>–</w:t>
      </w:r>
      <w:r>
        <w:rPr>
          <w:rFonts w:ascii="Verdana" w:hAnsi="Verdana"/>
          <w:i/>
          <w:color w:val="77328A"/>
          <w:spacing w:val="-21"/>
          <w:sz w:val="24"/>
        </w:rPr>
        <w:t> </w:t>
      </w:r>
      <w:r>
        <w:rPr>
          <w:rFonts w:ascii="Verdana" w:hAnsi="Verdana"/>
          <w:i/>
          <w:color w:val="77328A"/>
          <w:sz w:val="24"/>
        </w:rPr>
        <w:t>right</w:t>
      </w:r>
      <w:r>
        <w:rPr>
          <w:rFonts w:ascii="Verdana" w:hAnsi="Verdana"/>
          <w:i/>
          <w:color w:val="77328A"/>
          <w:spacing w:val="-21"/>
          <w:sz w:val="24"/>
        </w:rPr>
        <w:t> </w:t>
      </w:r>
      <w:r>
        <w:rPr>
          <w:rFonts w:ascii="Verdana" w:hAnsi="Verdana"/>
          <w:i/>
          <w:color w:val="77328A"/>
          <w:sz w:val="24"/>
        </w:rPr>
        <w:t>contained</w:t>
      </w:r>
      <w:r>
        <w:rPr>
          <w:rFonts w:ascii="Verdana" w:hAnsi="Verdana"/>
          <w:i/>
          <w:color w:val="77328A"/>
          <w:sz w:val="24"/>
        </w:rPr>
        <w:t> </w:t>
      </w:r>
      <w:r>
        <w:rPr>
          <w:rFonts w:ascii="Trebuchet MS" w:hAnsi="Trebuchet MS"/>
          <w:i/>
          <w:color w:val="77328A"/>
          <w:w w:val="110"/>
          <w:sz w:val="24"/>
        </w:rPr>
        <w:t>in the ECHR as ratified by the UK</w:t>
      </w:r>
      <w:r>
        <w:rPr>
          <w:rFonts w:ascii="Trebuchet MS" w:hAnsi="Trebuchet MS"/>
          <w:i/>
          <w:color w:val="77328A"/>
          <w:w w:val="110"/>
          <w:sz w:val="24"/>
        </w:rPr>
        <w:t> </w:t>
      </w:r>
      <w:r>
        <w:rPr>
          <w:w w:val="110"/>
          <w:sz w:val="24"/>
        </w:rPr>
        <w:t>The second example relates to the broader category of ‘civil rights and religious liberties of everyone in the community’.</w:t>
      </w:r>
      <w:r>
        <w:rPr>
          <w:spacing w:val="40"/>
          <w:w w:val="110"/>
          <w:sz w:val="24"/>
        </w:rPr>
        <w:t> </w:t>
      </w:r>
      <w:r>
        <w:rPr>
          <w:w w:val="110"/>
          <w:sz w:val="24"/>
        </w:rPr>
        <w:t>Given</w:t>
      </w:r>
      <w:r>
        <w:rPr>
          <w:spacing w:val="40"/>
          <w:w w:val="110"/>
          <w:sz w:val="24"/>
        </w:rPr>
        <w:t> </w:t>
      </w:r>
      <w:r>
        <w:rPr>
          <w:w w:val="110"/>
          <w:sz w:val="24"/>
        </w:rPr>
        <w:t>the</w:t>
      </w:r>
      <w:r>
        <w:rPr>
          <w:spacing w:val="40"/>
          <w:w w:val="110"/>
          <w:sz w:val="24"/>
        </w:rPr>
        <w:t> </w:t>
      </w:r>
      <w:r>
        <w:rPr>
          <w:w w:val="110"/>
          <w:sz w:val="24"/>
        </w:rPr>
        <w:t>prominent role accorded to the ECHR in the Belfast (Good Friday) Agreement,</w:t>
      </w:r>
    </w:p>
    <w:p>
      <w:pPr>
        <w:pStyle w:val="BodyText"/>
        <w:spacing w:line="252" w:lineRule="auto" w:before="3"/>
        <w:ind w:right="440"/>
      </w:pPr>
      <w:r>
        <w:rPr>
          <w:w w:val="115"/>
        </w:rPr>
        <w:t>it is convincing to assume – as the two</w:t>
      </w:r>
      <w:r>
        <w:rPr>
          <w:spacing w:val="-17"/>
          <w:w w:val="115"/>
        </w:rPr>
        <w:t> </w:t>
      </w:r>
      <w:r>
        <w:rPr>
          <w:w w:val="115"/>
        </w:rPr>
        <w:t>Commissions</w:t>
      </w:r>
      <w:r>
        <w:rPr>
          <w:spacing w:val="-17"/>
          <w:w w:val="115"/>
        </w:rPr>
        <w:t> </w:t>
      </w:r>
      <w:r>
        <w:rPr>
          <w:w w:val="115"/>
        </w:rPr>
        <w:t>do</w:t>
      </w:r>
      <w:r>
        <w:rPr>
          <w:spacing w:val="-17"/>
          <w:w w:val="115"/>
        </w:rPr>
        <w:t> </w:t>
      </w:r>
      <w:r>
        <w:rPr>
          <w:w w:val="115"/>
        </w:rPr>
        <w:t>in</w:t>
      </w:r>
      <w:r>
        <w:rPr>
          <w:spacing w:val="-17"/>
          <w:w w:val="115"/>
        </w:rPr>
        <w:t> </w:t>
      </w:r>
      <w:r>
        <w:rPr>
          <w:w w:val="115"/>
        </w:rPr>
        <w:t>their</w:t>
      </w:r>
      <w:r>
        <w:rPr>
          <w:spacing w:val="-17"/>
          <w:w w:val="115"/>
        </w:rPr>
        <w:t> </w:t>
      </w:r>
      <w:r>
        <w:rPr>
          <w:w w:val="115"/>
        </w:rPr>
        <w:t>Article </w:t>
      </w:r>
      <w:r>
        <w:rPr>
          <w:rFonts w:ascii="Lucida Sans Unicode" w:hAnsi="Lucida Sans Unicode"/>
          <w:w w:val="110"/>
        </w:rPr>
        <w:t>2</w:t>
      </w:r>
      <w:r>
        <w:rPr>
          <w:rFonts w:ascii="Lucida Sans Unicode" w:hAnsi="Lucida Sans Unicode"/>
          <w:spacing w:val="-3"/>
          <w:w w:val="110"/>
        </w:rPr>
        <w:t> </w:t>
      </w:r>
      <w:r>
        <w:rPr>
          <w:rFonts w:ascii="Lucida Sans Unicode" w:hAnsi="Lucida Sans Unicode"/>
          <w:w w:val="110"/>
        </w:rPr>
        <w:t>working</w:t>
      </w:r>
      <w:r>
        <w:rPr>
          <w:rFonts w:ascii="Lucida Sans Unicode" w:hAnsi="Lucida Sans Unicode"/>
          <w:spacing w:val="-3"/>
          <w:w w:val="110"/>
        </w:rPr>
        <w:t> </w:t>
      </w:r>
      <w:r>
        <w:rPr>
          <w:rFonts w:ascii="Lucida Sans Unicode" w:hAnsi="Lucida Sans Unicode"/>
          <w:w w:val="110"/>
        </w:rPr>
        <w:t>paper</w:t>
      </w:r>
      <w:r>
        <w:rPr>
          <w:rFonts w:ascii="Lucida Sans Unicode" w:hAnsi="Lucida Sans Unicode"/>
          <w:w w:val="110"/>
          <w:vertAlign w:val="superscript"/>
        </w:rPr>
        <w:t>220</w:t>
      </w:r>
      <w:r>
        <w:rPr>
          <w:rFonts w:ascii="Lucida Sans Unicode" w:hAnsi="Lucida Sans Unicode"/>
          <w:spacing w:val="-3"/>
          <w:w w:val="110"/>
          <w:vertAlign w:val="baseline"/>
        </w:rPr>
        <w:t> </w:t>
      </w:r>
      <w:r>
        <w:rPr>
          <w:w w:val="110"/>
          <w:vertAlign w:val="baseline"/>
        </w:rPr>
        <w:t>- that the ‘civil</w:t>
      </w:r>
    </w:p>
    <w:p>
      <w:pPr>
        <w:pStyle w:val="BodyText"/>
        <w:spacing w:line="239" w:lineRule="exact"/>
      </w:pPr>
      <w:r>
        <w:rPr>
          <w:w w:val="110"/>
        </w:rPr>
        <w:t>rights’</w:t>
      </w:r>
      <w:r>
        <w:rPr>
          <w:spacing w:val="-1"/>
          <w:w w:val="110"/>
        </w:rPr>
        <w:t> </w:t>
      </w:r>
      <w:r>
        <w:rPr>
          <w:w w:val="110"/>
        </w:rPr>
        <w:t>in</w:t>
      </w:r>
      <w:r>
        <w:rPr>
          <w:spacing w:val="-1"/>
          <w:w w:val="110"/>
        </w:rPr>
        <w:t> </w:t>
      </w:r>
      <w:r>
        <w:rPr>
          <w:w w:val="110"/>
        </w:rPr>
        <w:t>this sense</w:t>
      </w:r>
      <w:r>
        <w:rPr>
          <w:spacing w:val="-1"/>
          <w:w w:val="110"/>
        </w:rPr>
        <w:t> </w:t>
      </w:r>
      <w:r>
        <w:rPr>
          <w:w w:val="110"/>
        </w:rPr>
        <w:t>encompass </w:t>
      </w:r>
      <w:r>
        <w:rPr>
          <w:spacing w:val="-5"/>
          <w:w w:val="110"/>
        </w:rPr>
        <w:t>as</w:t>
      </w:r>
    </w:p>
    <w:p>
      <w:pPr>
        <w:pStyle w:val="BodyText"/>
        <w:spacing w:line="310" w:lineRule="exact" w:before="11"/>
        <w:ind w:right="413"/>
      </w:pPr>
      <w:r>
        <w:rPr>
          <w:w w:val="115"/>
        </w:rPr>
        <w:t>a minimum the rights contained in the</w:t>
      </w:r>
      <w:r>
        <w:rPr>
          <w:spacing w:val="-20"/>
          <w:w w:val="115"/>
        </w:rPr>
        <w:t> </w:t>
      </w:r>
      <w:r>
        <w:rPr>
          <w:w w:val="115"/>
        </w:rPr>
        <w:t>ECHR.</w:t>
      </w:r>
      <w:r>
        <w:rPr>
          <w:spacing w:val="-19"/>
          <w:w w:val="115"/>
        </w:rPr>
        <w:t> </w:t>
      </w:r>
      <w:r>
        <w:rPr>
          <w:w w:val="115"/>
        </w:rPr>
        <w:t>At</w:t>
      </w:r>
      <w:r>
        <w:rPr>
          <w:spacing w:val="-19"/>
          <w:w w:val="115"/>
        </w:rPr>
        <w:t> </w:t>
      </w:r>
      <w:r>
        <w:rPr>
          <w:w w:val="115"/>
        </w:rPr>
        <w:t>this</w:t>
      </w:r>
      <w:r>
        <w:rPr>
          <w:spacing w:val="-19"/>
          <w:w w:val="115"/>
        </w:rPr>
        <w:t> </w:t>
      </w:r>
      <w:r>
        <w:rPr>
          <w:w w:val="115"/>
        </w:rPr>
        <w:t>juncture</w:t>
      </w:r>
      <w:r>
        <w:rPr>
          <w:spacing w:val="-19"/>
          <w:w w:val="115"/>
        </w:rPr>
        <w:t> </w:t>
      </w:r>
      <w:r>
        <w:rPr>
          <w:w w:val="115"/>
        </w:rPr>
        <w:t>it</w:t>
      </w:r>
      <w:r>
        <w:rPr>
          <w:spacing w:val="-20"/>
          <w:w w:val="115"/>
        </w:rPr>
        <w:t> </w:t>
      </w:r>
      <w:r>
        <w:rPr>
          <w:w w:val="115"/>
        </w:rPr>
        <w:t>may</w:t>
      </w:r>
      <w:r>
        <w:rPr>
          <w:spacing w:val="-19"/>
          <w:w w:val="115"/>
        </w:rPr>
        <w:t> </w:t>
      </w:r>
      <w:r>
        <w:rPr>
          <w:w w:val="115"/>
        </w:rPr>
        <w:t>be </w:t>
      </w:r>
      <w:r>
        <w:rPr>
          <w:w w:val="110"/>
        </w:rPr>
        <w:t>useful to distinguish between ECHR </w:t>
      </w:r>
      <w:r>
        <w:rPr>
          <w:w w:val="115"/>
        </w:rPr>
        <w:t>rights contained in parts of the </w:t>
      </w:r>
      <w:r>
        <w:rPr>
          <w:rFonts w:ascii="Lucida Sans Unicode"/>
        </w:rPr>
        <w:t>ECHR that have been ratified by the </w:t>
      </w:r>
      <w:r>
        <w:rPr>
          <w:w w:val="115"/>
        </w:rPr>
        <w:t>UK and those that have not. While it should not be suggested that the latter are outwith the scope of the non-diminution commitment, the connection</w:t>
      </w:r>
      <w:r>
        <w:rPr>
          <w:spacing w:val="-18"/>
          <w:w w:val="115"/>
        </w:rPr>
        <w:t> </w:t>
      </w:r>
      <w:r>
        <w:rPr>
          <w:w w:val="115"/>
        </w:rPr>
        <w:t>between</w:t>
      </w:r>
      <w:r>
        <w:rPr>
          <w:spacing w:val="-18"/>
          <w:w w:val="115"/>
        </w:rPr>
        <w:t> </w:t>
      </w:r>
      <w:r>
        <w:rPr>
          <w:w w:val="115"/>
        </w:rPr>
        <w:t>the</w:t>
      </w:r>
      <w:r>
        <w:rPr>
          <w:spacing w:val="-18"/>
          <w:w w:val="115"/>
        </w:rPr>
        <w:t> </w:t>
      </w:r>
      <w:r>
        <w:rPr>
          <w:w w:val="115"/>
        </w:rPr>
        <w:t>former</w:t>
      </w:r>
      <w:r>
        <w:rPr>
          <w:spacing w:val="-18"/>
          <w:w w:val="115"/>
        </w:rPr>
        <w:t> </w:t>
      </w:r>
      <w:r>
        <w:rPr>
          <w:w w:val="115"/>
        </w:rPr>
        <w:t>and the non-diminution commitment is more certain than with the latter.</w:t>
      </w:r>
    </w:p>
    <w:p>
      <w:pPr>
        <w:pStyle w:val="BodyText"/>
        <w:spacing w:before="30"/>
        <w:ind w:left="0"/>
      </w:pPr>
    </w:p>
    <w:p>
      <w:pPr>
        <w:pStyle w:val="BodyText"/>
        <w:spacing w:line="220" w:lineRule="auto"/>
        <w:ind w:right="440"/>
        <w:rPr>
          <w:rFonts w:ascii="Lucida Sans Unicode"/>
        </w:rPr>
      </w:pPr>
      <w:r>
        <w:rPr>
          <w:rFonts w:ascii="Lucida Sans Unicode"/>
          <w:spacing w:val="-2"/>
          <w:w w:val="110"/>
        </w:rPr>
        <w:t>The</w:t>
      </w:r>
      <w:r>
        <w:rPr>
          <w:rFonts w:ascii="Lucida Sans Unicode"/>
          <w:spacing w:val="-19"/>
          <w:w w:val="110"/>
        </w:rPr>
        <w:t> </w:t>
      </w:r>
      <w:r>
        <w:rPr>
          <w:rFonts w:ascii="Lucida Sans Unicode"/>
          <w:spacing w:val="-2"/>
          <w:w w:val="110"/>
        </w:rPr>
        <w:t>broad</w:t>
      </w:r>
      <w:r>
        <w:rPr>
          <w:rFonts w:ascii="Lucida Sans Unicode"/>
          <w:spacing w:val="-19"/>
          <w:w w:val="110"/>
        </w:rPr>
        <w:t> </w:t>
      </w:r>
      <w:r>
        <w:rPr>
          <w:rFonts w:ascii="Lucida Sans Unicode"/>
          <w:spacing w:val="-2"/>
          <w:w w:val="110"/>
        </w:rPr>
        <w:t>field</w:t>
      </w:r>
      <w:r>
        <w:rPr>
          <w:rFonts w:ascii="Lucida Sans Unicode"/>
          <w:spacing w:val="-19"/>
          <w:w w:val="110"/>
        </w:rPr>
        <w:t> </w:t>
      </w:r>
      <w:r>
        <w:rPr>
          <w:rFonts w:ascii="Lucida Sans Unicode"/>
          <w:spacing w:val="-2"/>
          <w:w w:val="110"/>
        </w:rPr>
        <w:t>of</w:t>
      </w:r>
      <w:r>
        <w:rPr>
          <w:rFonts w:ascii="Lucida Sans Unicode"/>
          <w:spacing w:val="-19"/>
          <w:w w:val="110"/>
        </w:rPr>
        <w:t> </w:t>
      </w:r>
      <w:r>
        <w:rPr>
          <w:rFonts w:ascii="Lucida Sans Unicode"/>
          <w:spacing w:val="-2"/>
          <w:w w:val="110"/>
        </w:rPr>
        <w:t>data</w:t>
      </w:r>
      <w:r>
        <w:rPr>
          <w:rFonts w:ascii="Lucida Sans Unicode"/>
          <w:spacing w:val="-18"/>
          <w:w w:val="110"/>
        </w:rPr>
        <w:t> </w:t>
      </w:r>
      <w:r>
        <w:rPr>
          <w:rFonts w:ascii="Lucida Sans Unicode"/>
          <w:spacing w:val="-2"/>
          <w:w w:val="110"/>
        </w:rPr>
        <w:t>protection </w:t>
      </w:r>
      <w:r>
        <w:rPr>
          <w:rFonts w:ascii="Lucida Sans Unicode"/>
        </w:rPr>
        <w:t>is covered by Article 8 ECHR</w:t>
      </w:r>
      <w:r>
        <w:rPr>
          <w:rFonts w:ascii="Lucida Sans Unicode"/>
          <w:vertAlign w:val="superscript"/>
        </w:rPr>
        <w:t>221</w:t>
      </w:r>
      <w:r>
        <w:rPr>
          <w:rFonts w:ascii="Lucida Sans Unicode"/>
          <w:vertAlign w:val="baseline"/>
        </w:rPr>
        <w:t> </w:t>
      </w:r>
      <w:r>
        <w:rPr>
          <w:vertAlign w:val="baseline"/>
        </w:rPr>
        <w:t>and </w:t>
      </w:r>
      <w:r>
        <w:rPr>
          <w:w w:val="110"/>
          <w:vertAlign w:val="baseline"/>
        </w:rPr>
        <w:t>underpinned</w:t>
      </w:r>
      <w:r>
        <w:rPr>
          <w:spacing w:val="-2"/>
          <w:w w:val="110"/>
          <w:vertAlign w:val="baseline"/>
        </w:rPr>
        <w:t> </w:t>
      </w:r>
      <w:r>
        <w:rPr>
          <w:w w:val="110"/>
          <w:vertAlign w:val="baseline"/>
        </w:rPr>
        <w:t>by</w:t>
      </w:r>
      <w:r>
        <w:rPr>
          <w:spacing w:val="-2"/>
          <w:w w:val="110"/>
          <w:vertAlign w:val="baseline"/>
        </w:rPr>
        <w:t> </w:t>
      </w:r>
      <w:r>
        <w:rPr>
          <w:w w:val="110"/>
          <w:vertAlign w:val="baseline"/>
        </w:rPr>
        <w:t>EU</w:t>
      </w:r>
      <w:r>
        <w:rPr>
          <w:spacing w:val="-2"/>
          <w:w w:val="110"/>
          <w:vertAlign w:val="baseline"/>
        </w:rPr>
        <w:t> </w:t>
      </w:r>
      <w:r>
        <w:rPr>
          <w:w w:val="110"/>
          <w:vertAlign w:val="baseline"/>
        </w:rPr>
        <w:t>law</w:t>
      </w:r>
      <w:r>
        <w:rPr>
          <w:spacing w:val="-2"/>
          <w:w w:val="110"/>
          <w:vertAlign w:val="baseline"/>
        </w:rPr>
        <w:t> </w:t>
      </w:r>
      <w:r>
        <w:rPr>
          <w:w w:val="110"/>
          <w:vertAlign w:val="baseline"/>
        </w:rPr>
        <w:t>guarantees, most prominently by the GDPR.</w:t>
      </w:r>
      <w:r>
        <w:rPr>
          <w:rFonts w:ascii="Lucida Sans Unicode"/>
          <w:w w:val="110"/>
          <w:vertAlign w:val="superscript"/>
        </w:rPr>
        <w:t>222</w:t>
      </w:r>
    </w:p>
    <w:p>
      <w:pPr>
        <w:spacing w:after="0" w:line="220" w:lineRule="auto"/>
        <w:rPr>
          <w:rFonts w:ascii="Lucida Sans Unicode"/>
        </w:rPr>
        <w:sectPr>
          <w:type w:val="continuous"/>
          <w:pgSz w:w="11910" w:h="16840"/>
          <w:pgMar w:header="568" w:footer="580" w:top="0" w:bottom="280" w:left="1020" w:right="1020"/>
          <w:cols w:num="2" w:equalWidth="0">
            <w:col w:w="4548" w:space="498"/>
            <w:col w:w="4824"/>
          </w:cols>
        </w:sectPr>
      </w:pPr>
    </w:p>
    <w:p>
      <w:pPr>
        <w:pStyle w:val="BodyText"/>
        <w:spacing w:before="222"/>
        <w:ind w:left="0"/>
        <w:rPr>
          <w:rFonts w:ascii="Lucida Sans Unicode"/>
          <w:sz w:val="20"/>
        </w:rPr>
      </w:pPr>
    </w:p>
    <w:p>
      <w:pPr>
        <w:pStyle w:val="BodyText"/>
        <w:spacing w:line="20" w:lineRule="exact"/>
        <w:rPr>
          <w:rFonts w:ascii="Lucida Sans Unicode"/>
          <w:sz w:val="2"/>
        </w:rPr>
      </w:pPr>
      <w:r>
        <w:rPr>
          <w:rFonts w:ascii="Lucida Sans Unicode"/>
          <w:sz w:val="2"/>
        </w:rPr>
        <mc:AlternateContent>
          <mc:Choice Requires="wps">
            <w:drawing>
              <wp:inline distT="0" distB="0" distL="0" distR="0">
                <wp:extent cx="6120130" cy="6350"/>
                <wp:effectExtent l="9525" t="0" r="0" b="3175"/>
                <wp:docPr id="145" name="Group 145"/>
                <wp:cNvGraphicFramePr>
                  <a:graphicFrameLocks/>
                </wp:cNvGraphicFramePr>
                <a:graphic>
                  <a:graphicData uri="http://schemas.microsoft.com/office/word/2010/wordprocessingGroup">
                    <wpg:wgp>
                      <wpg:cNvPr id="145" name="Group 145"/>
                      <wpg:cNvGrpSpPr/>
                      <wpg:grpSpPr>
                        <a:xfrm>
                          <a:off x="0" y="0"/>
                          <a:ext cx="6120130" cy="6350"/>
                          <a:chExt cx="6120130" cy="6350"/>
                        </a:xfrm>
                      </wpg:grpSpPr>
                      <wps:wsp>
                        <wps:cNvPr id="146" name="Graphic 146"/>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91" coordorigin="0,0" coordsize="9638,10">
                <v:line style="position:absolute" from="0,5" to="9638,5" stroked="true" strokeweight=".5pt" strokecolor="#77328a">
                  <v:stroke dashstyle="solid"/>
                </v:line>
              </v:group>
            </w:pict>
          </mc:Fallback>
        </mc:AlternateContent>
      </w:r>
      <w:r>
        <w:rPr>
          <w:rFonts w:ascii="Lucida Sans Unicode"/>
          <w:sz w:val="2"/>
        </w:rPr>
      </w:r>
    </w:p>
    <w:p>
      <w:pPr>
        <w:pStyle w:val="ListParagraph"/>
        <w:numPr>
          <w:ilvl w:val="0"/>
          <w:numId w:val="14"/>
        </w:numPr>
        <w:tabs>
          <w:tab w:pos="566" w:val="left" w:leader="none"/>
        </w:tabs>
        <w:spacing w:line="223" w:lineRule="exact" w:before="61" w:after="0"/>
        <w:ind w:left="566" w:right="0" w:hanging="453"/>
        <w:jc w:val="left"/>
        <w:rPr>
          <w:sz w:val="16"/>
        </w:rPr>
      </w:pPr>
      <w:r>
        <w:rPr>
          <w:spacing w:val="-4"/>
          <w:sz w:val="16"/>
        </w:rPr>
        <w:t>Case</w:t>
      </w:r>
      <w:r>
        <w:rPr>
          <w:spacing w:val="1"/>
          <w:sz w:val="16"/>
        </w:rPr>
        <w:t> </w:t>
      </w:r>
      <w:r>
        <w:rPr>
          <w:spacing w:val="-4"/>
          <w:sz w:val="16"/>
        </w:rPr>
        <w:t>C-129/20</w:t>
      </w:r>
      <w:r>
        <w:rPr>
          <w:spacing w:val="1"/>
          <w:sz w:val="16"/>
        </w:rPr>
        <w:t> </w:t>
      </w:r>
      <w:r>
        <w:rPr>
          <w:rFonts w:ascii="Verdana" w:hAnsi="Verdana"/>
          <w:i/>
          <w:spacing w:val="-4"/>
          <w:sz w:val="16"/>
        </w:rPr>
        <w:t>Caisse</w:t>
      </w:r>
      <w:r>
        <w:rPr>
          <w:rFonts w:ascii="Verdana" w:hAnsi="Verdana"/>
          <w:i/>
          <w:spacing w:val="-5"/>
          <w:sz w:val="16"/>
        </w:rPr>
        <w:t> </w:t>
      </w:r>
      <w:r>
        <w:rPr>
          <w:rFonts w:ascii="Verdana" w:hAnsi="Verdana"/>
          <w:i/>
          <w:spacing w:val="-4"/>
          <w:sz w:val="16"/>
        </w:rPr>
        <w:t>our</w:t>
      </w:r>
      <w:r>
        <w:rPr>
          <w:rFonts w:ascii="Verdana" w:hAnsi="Verdana"/>
          <w:i/>
          <w:spacing w:val="-5"/>
          <w:sz w:val="16"/>
        </w:rPr>
        <w:t> </w:t>
      </w:r>
      <w:r>
        <w:rPr>
          <w:rFonts w:ascii="Verdana" w:hAnsi="Verdana"/>
          <w:i/>
          <w:spacing w:val="-4"/>
          <w:sz w:val="16"/>
        </w:rPr>
        <w:t>l’avenir</w:t>
      </w:r>
      <w:r>
        <w:rPr>
          <w:rFonts w:ascii="Verdana" w:hAnsi="Verdana"/>
          <w:i/>
          <w:spacing w:val="-5"/>
          <w:sz w:val="16"/>
        </w:rPr>
        <w:t> </w:t>
      </w:r>
      <w:r>
        <w:rPr>
          <w:rFonts w:ascii="Verdana" w:hAnsi="Verdana"/>
          <w:i/>
          <w:spacing w:val="-4"/>
          <w:sz w:val="16"/>
        </w:rPr>
        <w:t>des</w:t>
      </w:r>
      <w:r>
        <w:rPr>
          <w:rFonts w:ascii="Verdana" w:hAnsi="Verdana"/>
          <w:i/>
          <w:spacing w:val="-5"/>
          <w:sz w:val="16"/>
        </w:rPr>
        <w:t> </w:t>
      </w:r>
      <w:r>
        <w:rPr>
          <w:rFonts w:ascii="Verdana" w:hAnsi="Verdana"/>
          <w:i/>
          <w:spacing w:val="-4"/>
          <w:sz w:val="16"/>
        </w:rPr>
        <w:t>enfants </w:t>
      </w:r>
      <w:r>
        <w:rPr>
          <w:spacing w:val="-4"/>
          <w:sz w:val="16"/>
        </w:rPr>
        <w:t>EU:C:2021:140,</w:t>
      </w:r>
      <w:r>
        <w:rPr>
          <w:spacing w:val="1"/>
          <w:sz w:val="16"/>
        </w:rPr>
        <w:t> </w:t>
      </w:r>
      <w:r>
        <w:rPr>
          <w:spacing w:val="-4"/>
          <w:sz w:val="16"/>
        </w:rPr>
        <w:t>para</w:t>
      </w:r>
      <w:r>
        <w:rPr>
          <w:spacing w:val="1"/>
          <w:sz w:val="16"/>
        </w:rPr>
        <w:t> </w:t>
      </w:r>
      <w:r>
        <w:rPr>
          <w:spacing w:val="-5"/>
          <w:sz w:val="16"/>
        </w:rPr>
        <w:t>44.</w:t>
      </w:r>
    </w:p>
    <w:p>
      <w:pPr>
        <w:pStyle w:val="ListParagraph"/>
        <w:numPr>
          <w:ilvl w:val="0"/>
          <w:numId w:val="14"/>
        </w:numPr>
        <w:tabs>
          <w:tab w:pos="567" w:val="left" w:leader="none"/>
        </w:tabs>
        <w:spacing w:line="194" w:lineRule="auto" w:before="10" w:after="0"/>
        <w:ind w:left="567" w:right="134" w:hanging="454"/>
        <w:jc w:val="both"/>
        <w:rPr>
          <w:sz w:val="16"/>
        </w:rPr>
      </w:pPr>
      <w:r>
        <w:rPr>
          <w:sz w:val="16"/>
        </w:rPr>
        <w:t>Previously</w:t>
      </w:r>
      <w:r>
        <w:rPr>
          <w:spacing w:val="-13"/>
          <w:sz w:val="16"/>
        </w:rPr>
        <w:t> </w:t>
      </w:r>
      <w:r>
        <w:rPr>
          <w:sz w:val="16"/>
        </w:rPr>
        <w:t>established</w:t>
      </w:r>
      <w:r>
        <w:rPr>
          <w:spacing w:val="-13"/>
          <w:sz w:val="16"/>
        </w:rPr>
        <w:t> </w:t>
      </w:r>
      <w:r>
        <w:rPr>
          <w:sz w:val="16"/>
        </w:rPr>
        <w:t>in</w:t>
      </w:r>
      <w:r>
        <w:rPr>
          <w:spacing w:val="-12"/>
          <w:sz w:val="16"/>
        </w:rPr>
        <w:t> </w:t>
      </w:r>
      <w:r>
        <w:rPr>
          <w:sz w:val="16"/>
        </w:rPr>
        <w:t>Case</w:t>
      </w:r>
      <w:r>
        <w:rPr>
          <w:spacing w:val="-13"/>
          <w:sz w:val="16"/>
        </w:rPr>
        <w:t> </w:t>
      </w:r>
      <w:r>
        <w:rPr>
          <w:sz w:val="16"/>
        </w:rPr>
        <w:t>C-222/14</w:t>
      </w:r>
      <w:r>
        <w:rPr>
          <w:spacing w:val="-13"/>
          <w:sz w:val="16"/>
        </w:rPr>
        <w:t> </w:t>
      </w:r>
      <w:r>
        <w:rPr>
          <w:rFonts w:ascii="Verdana" w:hAnsi="Verdana"/>
          <w:i/>
          <w:sz w:val="16"/>
        </w:rPr>
        <w:t>Konstantinos</w:t>
      </w:r>
      <w:r>
        <w:rPr>
          <w:rFonts w:ascii="Verdana" w:hAnsi="Verdana"/>
          <w:i/>
          <w:spacing w:val="-14"/>
          <w:sz w:val="16"/>
        </w:rPr>
        <w:t> </w:t>
      </w:r>
      <w:r>
        <w:rPr>
          <w:rFonts w:ascii="Verdana" w:hAnsi="Verdana"/>
          <w:i/>
          <w:sz w:val="16"/>
        </w:rPr>
        <w:t>Maïstrellis</w:t>
      </w:r>
      <w:r>
        <w:rPr>
          <w:rFonts w:ascii="Verdana" w:hAnsi="Verdana"/>
          <w:i/>
          <w:spacing w:val="-14"/>
          <w:sz w:val="16"/>
        </w:rPr>
        <w:t> </w:t>
      </w:r>
      <w:r>
        <w:rPr>
          <w:rFonts w:ascii="Verdana" w:hAnsi="Verdana"/>
          <w:i/>
          <w:sz w:val="16"/>
        </w:rPr>
        <w:t>v</w:t>
      </w:r>
      <w:r>
        <w:rPr>
          <w:rFonts w:ascii="Verdana" w:hAnsi="Verdana"/>
          <w:i/>
          <w:spacing w:val="-14"/>
          <w:sz w:val="16"/>
        </w:rPr>
        <w:t> </w:t>
      </w:r>
      <w:r>
        <w:rPr>
          <w:rFonts w:ascii="Verdana" w:hAnsi="Verdana"/>
          <w:i/>
          <w:sz w:val="16"/>
        </w:rPr>
        <w:t>Ypourgos</w:t>
      </w:r>
      <w:r>
        <w:rPr>
          <w:rFonts w:ascii="Verdana" w:hAnsi="Verdana"/>
          <w:i/>
          <w:spacing w:val="-14"/>
          <w:sz w:val="16"/>
        </w:rPr>
        <w:t> </w:t>
      </w:r>
      <w:r>
        <w:rPr>
          <w:rFonts w:ascii="Verdana" w:hAnsi="Verdana"/>
          <w:i/>
          <w:sz w:val="16"/>
        </w:rPr>
        <w:t>Dikaiosynis,</w:t>
      </w:r>
      <w:r>
        <w:rPr>
          <w:rFonts w:ascii="Verdana" w:hAnsi="Verdana"/>
          <w:i/>
          <w:spacing w:val="-14"/>
          <w:sz w:val="16"/>
        </w:rPr>
        <w:t> </w:t>
      </w:r>
      <w:r>
        <w:rPr>
          <w:rFonts w:ascii="Verdana" w:hAnsi="Verdana"/>
          <w:i/>
          <w:sz w:val="16"/>
        </w:rPr>
        <w:t>Diafaneias</w:t>
      </w:r>
      <w:r>
        <w:rPr>
          <w:rFonts w:ascii="Verdana" w:hAnsi="Verdana"/>
          <w:i/>
          <w:spacing w:val="-14"/>
          <w:sz w:val="16"/>
        </w:rPr>
        <w:t> </w:t>
      </w:r>
      <w:r>
        <w:rPr>
          <w:rFonts w:ascii="Verdana" w:hAnsi="Verdana"/>
          <w:i/>
          <w:sz w:val="16"/>
        </w:rPr>
        <w:t>kai</w:t>
      </w:r>
      <w:r>
        <w:rPr>
          <w:rFonts w:ascii="Verdana" w:hAnsi="Verdana"/>
          <w:i/>
          <w:spacing w:val="-14"/>
          <w:sz w:val="16"/>
        </w:rPr>
        <w:t> </w:t>
      </w:r>
      <w:r>
        <w:rPr>
          <w:rFonts w:ascii="Verdana" w:hAnsi="Verdana"/>
          <w:i/>
          <w:sz w:val="16"/>
        </w:rPr>
        <w:t>Anthropinon</w:t>
      </w:r>
      <w:r>
        <w:rPr>
          <w:rFonts w:ascii="Verdana" w:hAnsi="Verdana"/>
          <w:i/>
          <w:sz w:val="16"/>
        </w:rPr>
        <w:t> Dikaiomaton </w:t>
      </w:r>
      <w:r>
        <w:rPr>
          <w:sz w:val="16"/>
        </w:rPr>
        <w:t>ECLI:EU:C:2015:473, para 19.</w:t>
      </w:r>
    </w:p>
    <w:p>
      <w:pPr>
        <w:pStyle w:val="ListParagraph"/>
        <w:numPr>
          <w:ilvl w:val="0"/>
          <w:numId w:val="14"/>
        </w:numPr>
        <w:tabs>
          <w:tab w:pos="565" w:val="left" w:leader="none"/>
        </w:tabs>
        <w:spacing w:line="191" w:lineRule="exact" w:before="0" w:after="0"/>
        <w:ind w:left="565" w:right="0" w:hanging="452"/>
        <w:jc w:val="left"/>
        <w:rPr>
          <w:rFonts w:ascii="Arial" w:hAnsi="Arial"/>
          <w:sz w:val="16"/>
        </w:rPr>
      </w:pPr>
      <w:r>
        <w:rPr>
          <w:rFonts w:ascii="Arial" w:hAnsi="Arial"/>
          <w:w w:val="110"/>
          <w:sz w:val="16"/>
        </w:rPr>
        <w:t>ECNI’s</w:t>
      </w:r>
      <w:r>
        <w:rPr>
          <w:rFonts w:ascii="Arial" w:hAnsi="Arial"/>
          <w:spacing w:val="-6"/>
          <w:w w:val="110"/>
          <w:sz w:val="16"/>
        </w:rPr>
        <w:t> </w:t>
      </w:r>
      <w:r>
        <w:rPr>
          <w:rFonts w:ascii="Arial" w:hAnsi="Arial"/>
          <w:w w:val="110"/>
          <w:sz w:val="16"/>
        </w:rPr>
        <w:t>and</w:t>
      </w:r>
      <w:r>
        <w:rPr>
          <w:rFonts w:ascii="Arial" w:hAnsi="Arial"/>
          <w:spacing w:val="-6"/>
          <w:w w:val="110"/>
          <w:sz w:val="16"/>
        </w:rPr>
        <w:t> </w:t>
      </w:r>
      <w:r>
        <w:rPr>
          <w:rFonts w:ascii="Arial" w:hAnsi="Arial"/>
          <w:w w:val="110"/>
          <w:sz w:val="16"/>
        </w:rPr>
        <w:t>NIHRC’s</w:t>
      </w:r>
      <w:r>
        <w:rPr>
          <w:rFonts w:ascii="Arial" w:hAnsi="Arial"/>
          <w:spacing w:val="-6"/>
          <w:w w:val="110"/>
          <w:sz w:val="16"/>
        </w:rPr>
        <w:t> </w:t>
      </w:r>
      <w:r>
        <w:rPr>
          <w:rFonts w:ascii="Arial" w:hAnsi="Arial"/>
          <w:w w:val="110"/>
          <w:sz w:val="16"/>
        </w:rPr>
        <w:t>working</w:t>
      </w:r>
      <w:r>
        <w:rPr>
          <w:rFonts w:ascii="Arial" w:hAnsi="Arial"/>
          <w:spacing w:val="-6"/>
          <w:w w:val="110"/>
          <w:sz w:val="16"/>
        </w:rPr>
        <w:t> </w:t>
      </w:r>
      <w:r>
        <w:rPr>
          <w:rFonts w:ascii="Arial" w:hAnsi="Arial"/>
          <w:w w:val="110"/>
          <w:sz w:val="16"/>
        </w:rPr>
        <w:t>paper</w:t>
      </w:r>
      <w:r>
        <w:rPr>
          <w:rFonts w:ascii="Arial" w:hAnsi="Arial"/>
          <w:spacing w:val="-6"/>
          <w:w w:val="110"/>
          <w:sz w:val="16"/>
        </w:rPr>
        <w:t> </w:t>
      </w:r>
      <w:r>
        <w:rPr>
          <w:rFonts w:ascii="Arial" w:hAnsi="Arial"/>
          <w:w w:val="110"/>
          <w:sz w:val="16"/>
        </w:rPr>
        <w:t>(n</w:t>
      </w:r>
      <w:r>
        <w:rPr>
          <w:rFonts w:ascii="Arial" w:hAnsi="Arial"/>
          <w:spacing w:val="-5"/>
          <w:w w:val="110"/>
          <w:sz w:val="16"/>
        </w:rPr>
        <w:t> 5).</w:t>
      </w:r>
    </w:p>
    <w:p>
      <w:pPr>
        <w:pStyle w:val="ListParagraph"/>
        <w:numPr>
          <w:ilvl w:val="0"/>
          <w:numId w:val="14"/>
        </w:numPr>
        <w:tabs>
          <w:tab w:pos="567" w:val="left" w:leader="none"/>
        </w:tabs>
        <w:spacing w:line="194" w:lineRule="auto" w:before="11" w:after="0"/>
        <w:ind w:left="567" w:right="201" w:hanging="454"/>
        <w:jc w:val="both"/>
        <w:rPr>
          <w:sz w:val="16"/>
        </w:rPr>
      </w:pPr>
      <w:r>
        <w:rPr>
          <w:rFonts w:ascii="Arial"/>
          <w:sz w:val="16"/>
        </w:rPr>
        <w:t>Going back to cases such as </w:t>
      </w:r>
      <w:r>
        <w:rPr>
          <w:rFonts w:ascii="Verdana"/>
          <w:i/>
          <w:sz w:val="16"/>
        </w:rPr>
        <w:t>Klass</w:t>
      </w:r>
      <w:r>
        <w:rPr>
          <w:rFonts w:ascii="Verdana"/>
          <w:i/>
          <w:spacing w:val="-4"/>
          <w:sz w:val="16"/>
        </w:rPr>
        <w:t> </w:t>
      </w:r>
      <w:r>
        <w:rPr>
          <w:rFonts w:ascii="Verdana"/>
          <w:i/>
          <w:sz w:val="16"/>
        </w:rPr>
        <w:t>and</w:t>
      </w:r>
      <w:r>
        <w:rPr>
          <w:rFonts w:ascii="Verdana"/>
          <w:i/>
          <w:spacing w:val="-4"/>
          <w:sz w:val="16"/>
        </w:rPr>
        <w:t> </w:t>
      </w:r>
      <w:r>
        <w:rPr>
          <w:rFonts w:ascii="Verdana"/>
          <w:i/>
          <w:sz w:val="16"/>
        </w:rPr>
        <w:t>Others</w:t>
      </w:r>
      <w:r>
        <w:rPr>
          <w:rFonts w:ascii="Verdana"/>
          <w:i/>
          <w:spacing w:val="-4"/>
          <w:sz w:val="16"/>
        </w:rPr>
        <w:t> </w:t>
      </w:r>
      <w:r>
        <w:rPr>
          <w:rFonts w:ascii="Verdana"/>
          <w:i/>
          <w:sz w:val="16"/>
        </w:rPr>
        <w:t>v</w:t>
      </w:r>
      <w:r>
        <w:rPr>
          <w:rFonts w:ascii="Verdana"/>
          <w:i/>
          <w:spacing w:val="-4"/>
          <w:sz w:val="16"/>
        </w:rPr>
        <w:t> </w:t>
      </w:r>
      <w:r>
        <w:rPr>
          <w:rFonts w:ascii="Verdana"/>
          <w:i/>
          <w:sz w:val="16"/>
        </w:rPr>
        <w:t>Germany</w:t>
      </w:r>
      <w:r>
        <w:rPr>
          <w:rFonts w:ascii="Verdana"/>
          <w:i/>
          <w:spacing w:val="-4"/>
          <w:sz w:val="16"/>
        </w:rPr>
        <w:t> </w:t>
      </w:r>
      <w:r>
        <w:rPr>
          <w:sz w:val="16"/>
        </w:rPr>
        <w:t>6 September 1978, Series A no 28; </w:t>
      </w:r>
      <w:r>
        <w:rPr>
          <w:rFonts w:ascii="Verdana"/>
          <w:i/>
          <w:sz w:val="16"/>
        </w:rPr>
        <w:t>S</w:t>
      </w:r>
      <w:r>
        <w:rPr>
          <w:rFonts w:ascii="Verdana"/>
          <w:i/>
          <w:spacing w:val="-4"/>
          <w:sz w:val="16"/>
        </w:rPr>
        <w:t> </w:t>
      </w:r>
      <w:r>
        <w:rPr>
          <w:rFonts w:ascii="Verdana"/>
          <w:i/>
          <w:sz w:val="16"/>
        </w:rPr>
        <w:t>and</w:t>
      </w:r>
      <w:r>
        <w:rPr>
          <w:rFonts w:ascii="Verdana"/>
          <w:i/>
          <w:spacing w:val="-4"/>
          <w:sz w:val="16"/>
        </w:rPr>
        <w:t> </w:t>
      </w:r>
      <w:r>
        <w:rPr>
          <w:rFonts w:ascii="Verdana"/>
          <w:i/>
          <w:sz w:val="16"/>
        </w:rPr>
        <w:t>Marper</w:t>
      </w:r>
      <w:r>
        <w:rPr>
          <w:rFonts w:ascii="Verdana"/>
          <w:i/>
          <w:spacing w:val="-4"/>
          <w:sz w:val="16"/>
        </w:rPr>
        <w:t> </w:t>
      </w:r>
      <w:r>
        <w:rPr>
          <w:rFonts w:ascii="Verdana"/>
          <w:i/>
          <w:sz w:val="16"/>
        </w:rPr>
        <w:t>v</w:t>
      </w:r>
      <w:r>
        <w:rPr>
          <w:rFonts w:ascii="Verdana"/>
          <w:i/>
          <w:spacing w:val="-4"/>
          <w:sz w:val="16"/>
        </w:rPr>
        <w:t> </w:t>
      </w:r>
      <w:r>
        <w:rPr>
          <w:rFonts w:ascii="Verdana"/>
          <w:i/>
          <w:sz w:val="16"/>
        </w:rPr>
        <w:t>United</w:t>
      </w:r>
      <w:r>
        <w:rPr>
          <w:rFonts w:ascii="Verdana"/>
          <w:i/>
          <w:sz w:val="16"/>
        </w:rPr>
        <w:t> Kingdom</w:t>
      </w:r>
      <w:r>
        <w:rPr>
          <w:rFonts w:ascii="Verdana"/>
          <w:i/>
          <w:spacing w:val="-12"/>
          <w:sz w:val="16"/>
        </w:rPr>
        <w:t> </w:t>
      </w:r>
      <w:r>
        <w:rPr>
          <w:sz w:val="16"/>
        </w:rPr>
        <w:t>ECHR</w:t>
      </w:r>
      <w:r>
        <w:rPr>
          <w:spacing w:val="-7"/>
          <w:sz w:val="16"/>
        </w:rPr>
        <w:t> </w:t>
      </w:r>
      <w:r>
        <w:rPr>
          <w:sz w:val="16"/>
        </w:rPr>
        <w:t>2008;</w:t>
      </w:r>
      <w:r>
        <w:rPr>
          <w:spacing w:val="-7"/>
          <w:sz w:val="16"/>
        </w:rPr>
        <w:t> </w:t>
      </w:r>
      <w:r>
        <w:rPr>
          <w:sz w:val="16"/>
        </w:rPr>
        <w:t>and</w:t>
      </w:r>
      <w:r>
        <w:rPr>
          <w:spacing w:val="-7"/>
          <w:sz w:val="16"/>
        </w:rPr>
        <w:t> </w:t>
      </w:r>
      <w:r>
        <w:rPr>
          <w:sz w:val="16"/>
        </w:rPr>
        <w:t>most</w:t>
      </w:r>
      <w:r>
        <w:rPr>
          <w:spacing w:val="-7"/>
          <w:sz w:val="16"/>
        </w:rPr>
        <w:t> </w:t>
      </w:r>
      <w:r>
        <w:rPr>
          <w:sz w:val="16"/>
        </w:rPr>
        <w:t>recently</w:t>
      </w:r>
      <w:r>
        <w:rPr>
          <w:spacing w:val="-7"/>
          <w:sz w:val="16"/>
        </w:rPr>
        <w:t> </w:t>
      </w:r>
      <w:r>
        <w:rPr>
          <w:rFonts w:ascii="Verdana"/>
          <w:i/>
          <w:sz w:val="16"/>
        </w:rPr>
        <w:t>Big</w:t>
      </w:r>
      <w:r>
        <w:rPr>
          <w:rFonts w:ascii="Verdana"/>
          <w:i/>
          <w:spacing w:val="-12"/>
          <w:sz w:val="16"/>
        </w:rPr>
        <w:t> </w:t>
      </w:r>
      <w:r>
        <w:rPr>
          <w:rFonts w:ascii="Verdana"/>
          <w:i/>
          <w:sz w:val="16"/>
        </w:rPr>
        <w:t>Brother</w:t>
      </w:r>
      <w:r>
        <w:rPr>
          <w:rFonts w:ascii="Verdana"/>
          <w:i/>
          <w:spacing w:val="-12"/>
          <w:sz w:val="16"/>
        </w:rPr>
        <w:t> </w:t>
      </w:r>
      <w:r>
        <w:rPr>
          <w:rFonts w:ascii="Verdana"/>
          <w:i/>
          <w:sz w:val="16"/>
        </w:rPr>
        <w:t>Watch</w:t>
      </w:r>
      <w:r>
        <w:rPr>
          <w:rFonts w:ascii="Verdana"/>
          <w:i/>
          <w:spacing w:val="-13"/>
          <w:sz w:val="16"/>
        </w:rPr>
        <w:t> </w:t>
      </w:r>
      <w:r>
        <w:rPr>
          <w:rFonts w:ascii="Verdana"/>
          <w:i/>
          <w:sz w:val="16"/>
        </w:rPr>
        <w:t>and</w:t>
      </w:r>
      <w:r>
        <w:rPr>
          <w:rFonts w:ascii="Verdana"/>
          <w:i/>
          <w:spacing w:val="-12"/>
          <w:sz w:val="16"/>
        </w:rPr>
        <w:t> </w:t>
      </w:r>
      <w:r>
        <w:rPr>
          <w:rFonts w:ascii="Verdana"/>
          <w:i/>
          <w:sz w:val="16"/>
        </w:rPr>
        <w:t>Others</w:t>
      </w:r>
      <w:r>
        <w:rPr>
          <w:rFonts w:ascii="Verdana"/>
          <w:i/>
          <w:spacing w:val="-12"/>
          <w:sz w:val="16"/>
        </w:rPr>
        <w:t> </w:t>
      </w:r>
      <w:r>
        <w:rPr>
          <w:rFonts w:ascii="Verdana"/>
          <w:i/>
          <w:sz w:val="16"/>
        </w:rPr>
        <w:t>v</w:t>
      </w:r>
      <w:r>
        <w:rPr>
          <w:rFonts w:ascii="Verdana"/>
          <w:i/>
          <w:spacing w:val="-13"/>
          <w:sz w:val="16"/>
        </w:rPr>
        <w:t> </w:t>
      </w:r>
      <w:r>
        <w:rPr>
          <w:rFonts w:ascii="Verdana"/>
          <w:i/>
          <w:sz w:val="16"/>
        </w:rPr>
        <w:t>United</w:t>
      </w:r>
      <w:r>
        <w:rPr>
          <w:rFonts w:ascii="Verdana"/>
          <w:i/>
          <w:spacing w:val="-12"/>
          <w:sz w:val="16"/>
        </w:rPr>
        <w:t> </w:t>
      </w:r>
      <w:r>
        <w:rPr>
          <w:rFonts w:ascii="Verdana"/>
          <w:i/>
          <w:sz w:val="16"/>
        </w:rPr>
        <w:t>Kingdom</w:t>
      </w:r>
      <w:r>
        <w:rPr>
          <w:rFonts w:ascii="Verdana"/>
          <w:i/>
          <w:spacing w:val="-12"/>
          <w:sz w:val="16"/>
        </w:rPr>
        <w:t> </w:t>
      </w:r>
      <w:r>
        <w:rPr>
          <w:sz w:val="16"/>
        </w:rPr>
        <w:t>nos</w:t>
      </w:r>
      <w:r>
        <w:rPr>
          <w:spacing w:val="-7"/>
          <w:sz w:val="16"/>
        </w:rPr>
        <w:t> </w:t>
      </w:r>
      <w:r>
        <w:rPr>
          <w:sz w:val="16"/>
        </w:rPr>
        <w:t>58170/13,</w:t>
      </w:r>
      <w:r>
        <w:rPr>
          <w:spacing w:val="-7"/>
          <w:sz w:val="16"/>
        </w:rPr>
        <w:t> </w:t>
      </w:r>
      <w:r>
        <w:rPr>
          <w:sz w:val="16"/>
        </w:rPr>
        <w:t>62322/14, 4960/15, 25 May 2021.</w:t>
      </w:r>
    </w:p>
    <w:p>
      <w:pPr>
        <w:pStyle w:val="ListParagraph"/>
        <w:numPr>
          <w:ilvl w:val="0"/>
          <w:numId w:val="14"/>
        </w:numPr>
        <w:tabs>
          <w:tab w:pos="567" w:val="left" w:leader="none"/>
        </w:tabs>
        <w:spacing w:line="206" w:lineRule="auto" w:before="0" w:after="0"/>
        <w:ind w:left="567" w:right="185" w:hanging="454"/>
        <w:jc w:val="left"/>
        <w:rPr>
          <w:rFonts w:ascii="Arial"/>
          <w:sz w:val="16"/>
        </w:rPr>
      </w:pPr>
      <w:r>
        <w:rPr>
          <w:w w:val="105"/>
          <w:sz w:val="16"/>
        </w:rPr>
        <w:t>Regulation</w:t>
      </w:r>
      <w:r>
        <w:rPr>
          <w:spacing w:val="-9"/>
          <w:w w:val="105"/>
          <w:sz w:val="16"/>
        </w:rPr>
        <w:t> </w:t>
      </w:r>
      <w:r>
        <w:rPr>
          <w:w w:val="105"/>
          <w:sz w:val="16"/>
        </w:rPr>
        <w:t>(EU)</w:t>
      </w:r>
      <w:r>
        <w:rPr>
          <w:spacing w:val="-9"/>
          <w:w w:val="105"/>
          <w:sz w:val="16"/>
        </w:rPr>
        <w:t> </w:t>
      </w:r>
      <w:r>
        <w:rPr>
          <w:w w:val="105"/>
          <w:sz w:val="16"/>
        </w:rPr>
        <w:t>2016/679</w:t>
      </w:r>
      <w:r>
        <w:rPr>
          <w:spacing w:val="-9"/>
          <w:w w:val="105"/>
          <w:sz w:val="16"/>
        </w:rPr>
        <w:t> </w:t>
      </w:r>
      <w:r>
        <w:rPr>
          <w:w w:val="105"/>
          <w:sz w:val="16"/>
        </w:rPr>
        <w:t>of</w:t>
      </w:r>
      <w:r>
        <w:rPr>
          <w:spacing w:val="-9"/>
          <w:w w:val="105"/>
          <w:sz w:val="16"/>
        </w:rPr>
        <w:t> </w:t>
      </w:r>
      <w:r>
        <w:rPr>
          <w:w w:val="105"/>
          <w:sz w:val="16"/>
        </w:rPr>
        <w:t>the</w:t>
      </w:r>
      <w:r>
        <w:rPr>
          <w:spacing w:val="-9"/>
          <w:w w:val="105"/>
          <w:sz w:val="16"/>
        </w:rPr>
        <w:t> </w:t>
      </w:r>
      <w:r>
        <w:rPr>
          <w:w w:val="105"/>
          <w:sz w:val="16"/>
        </w:rPr>
        <w:t>European</w:t>
      </w:r>
      <w:r>
        <w:rPr>
          <w:spacing w:val="-9"/>
          <w:w w:val="105"/>
          <w:sz w:val="16"/>
        </w:rPr>
        <w:t> </w:t>
      </w:r>
      <w:r>
        <w:rPr>
          <w:w w:val="105"/>
          <w:sz w:val="16"/>
        </w:rPr>
        <w:t>Parliament</w:t>
      </w:r>
      <w:r>
        <w:rPr>
          <w:spacing w:val="-9"/>
          <w:w w:val="105"/>
          <w:sz w:val="16"/>
        </w:rPr>
        <w:t> </w:t>
      </w:r>
      <w:r>
        <w:rPr>
          <w:w w:val="105"/>
          <w:sz w:val="16"/>
        </w:rPr>
        <w:t>and</w:t>
      </w:r>
      <w:r>
        <w:rPr>
          <w:spacing w:val="-9"/>
          <w:w w:val="105"/>
          <w:sz w:val="16"/>
        </w:rPr>
        <w:t> </w:t>
      </w:r>
      <w:r>
        <w:rPr>
          <w:w w:val="105"/>
          <w:sz w:val="16"/>
        </w:rPr>
        <w:t>of</w:t>
      </w:r>
      <w:r>
        <w:rPr>
          <w:spacing w:val="-9"/>
          <w:w w:val="105"/>
          <w:sz w:val="16"/>
        </w:rPr>
        <w:t> </w:t>
      </w:r>
      <w:r>
        <w:rPr>
          <w:w w:val="105"/>
          <w:sz w:val="16"/>
        </w:rPr>
        <w:t>the</w:t>
      </w:r>
      <w:r>
        <w:rPr>
          <w:spacing w:val="-9"/>
          <w:w w:val="105"/>
          <w:sz w:val="16"/>
        </w:rPr>
        <w:t> </w:t>
      </w:r>
      <w:r>
        <w:rPr>
          <w:w w:val="105"/>
          <w:sz w:val="16"/>
        </w:rPr>
        <w:t>Council</w:t>
      </w:r>
      <w:r>
        <w:rPr>
          <w:spacing w:val="-9"/>
          <w:w w:val="105"/>
          <w:sz w:val="16"/>
        </w:rPr>
        <w:t> </w:t>
      </w:r>
      <w:r>
        <w:rPr>
          <w:w w:val="105"/>
          <w:sz w:val="16"/>
        </w:rPr>
        <w:t>of</w:t>
      </w:r>
      <w:r>
        <w:rPr>
          <w:spacing w:val="-9"/>
          <w:w w:val="105"/>
          <w:sz w:val="16"/>
        </w:rPr>
        <w:t> </w:t>
      </w:r>
      <w:r>
        <w:rPr>
          <w:w w:val="105"/>
          <w:sz w:val="16"/>
        </w:rPr>
        <w:t>27</w:t>
      </w:r>
      <w:r>
        <w:rPr>
          <w:spacing w:val="-9"/>
          <w:w w:val="105"/>
          <w:sz w:val="16"/>
        </w:rPr>
        <w:t> </w:t>
      </w:r>
      <w:r>
        <w:rPr>
          <w:w w:val="105"/>
          <w:sz w:val="16"/>
        </w:rPr>
        <w:t>April</w:t>
      </w:r>
      <w:r>
        <w:rPr>
          <w:spacing w:val="-9"/>
          <w:w w:val="105"/>
          <w:sz w:val="16"/>
        </w:rPr>
        <w:t> </w:t>
      </w:r>
      <w:r>
        <w:rPr>
          <w:w w:val="105"/>
          <w:sz w:val="16"/>
        </w:rPr>
        <w:t>2016</w:t>
      </w:r>
      <w:r>
        <w:rPr>
          <w:spacing w:val="-9"/>
          <w:w w:val="105"/>
          <w:sz w:val="16"/>
        </w:rPr>
        <w:t> </w:t>
      </w:r>
      <w:r>
        <w:rPr>
          <w:w w:val="105"/>
          <w:sz w:val="16"/>
        </w:rPr>
        <w:t>on</w:t>
      </w:r>
      <w:r>
        <w:rPr>
          <w:spacing w:val="-9"/>
          <w:w w:val="105"/>
          <w:sz w:val="16"/>
        </w:rPr>
        <w:t> </w:t>
      </w:r>
      <w:r>
        <w:rPr>
          <w:w w:val="105"/>
          <w:sz w:val="16"/>
        </w:rPr>
        <w:t>the</w:t>
      </w:r>
      <w:r>
        <w:rPr>
          <w:spacing w:val="-9"/>
          <w:w w:val="105"/>
          <w:sz w:val="16"/>
        </w:rPr>
        <w:t> </w:t>
      </w:r>
      <w:r>
        <w:rPr>
          <w:w w:val="105"/>
          <w:sz w:val="16"/>
        </w:rPr>
        <w:t>protection</w:t>
      </w:r>
      <w:r>
        <w:rPr>
          <w:spacing w:val="-9"/>
          <w:w w:val="105"/>
          <w:sz w:val="16"/>
        </w:rPr>
        <w:t> </w:t>
      </w:r>
      <w:r>
        <w:rPr>
          <w:w w:val="105"/>
          <w:sz w:val="16"/>
        </w:rPr>
        <w:t>of natural</w:t>
      </w:r>
      <w:r>
        <w:rPr>
          <w:spacing w:val="-14"/>
          <w:w w:val="105"/>
          <w:sz w:val="16"/>
        </w:rPr>
        <w:t> </w:t>
      </w:r>
      <w:r>
        <w:rPr>
          <w:w w:val="105"/>
          <w:sz w:val="16"/>
        </w:rPr>
        <w:t>persons</w:t>
      </w:r>
      <w:r>
        <w:rPr>
          <w:spacing w:val="-13"/>
          <w:w w:val="105"/>
          <w:sz w:val="16"/>
        </w:rPr>
        <w:t> </w:t>
      </w:r>
      <w:r>
        <w:rPr>
          <w:w w:val="105"/>
          <w:sz w:val="16"/>
        </w:rPr>
        <w:t>with</w:t>
      </w:r>
      <w:r>
        <w:rPr>
          <w:spacing w:val="-13"/>
          <w:w w:val="105"/>
          <w:sz w:val="16"/>
        </w:rPr>
        <w:t> </w:t>
      </w:r>
      <w:r>
        <w:rPr>
          <w:w w:val="105"/>
          <w:sz w:val="16"/>
        </w:rPr>
        <w:t>regard</w:t>
      </w:r>
      <w:r>
        <w:rPr>
          <w:spacing w:val="-14"/>
          <w:w w:val="105"/>
          <w:sz w:val="16"/>
        </w:rPr>
        <w:t> </w:t>
      </w:r>
      <w:r>
        <w:rPr>
          <w:w w:val="105"/>
          <w:sz w:val="16"/>
        </w:rPr>
        <w:t>to</w:t>
      </w:r>
      <w:r>
        <w:rPr>
          <w:spacing w:val="-13"/>
          <w:w w:val="105"/>
          <w:sz w:val="16"/>
        </w:rPr>
        <w:t> </w:t>
      </w:r>
      <w:r>
        <w:rPr>
          <w:w w:val="105"/>
          <w:sz w:val="16"/>
        </w:rPr>
        <w:t>the</w:t>
      </w:r>
      <w:r>
        <w:rPr>
          <w:spacing w:val="-13"/>
          <w:w w:val="105"/>
          <w:sz w:val="16"/>
        </w:rPr>
        <w:t> </w:t>
      </w:r>
      <w:r>
        <w:rPr>
          <w:w w:val="105"/>
          <w:sz w:val="16"/>
        </w:rPr>
        <w:t>processing</w:t>
      </w:r>
      <w:r>
        <w:rPr>
          <w:spacing w:val="-14"/>
          <w:w w:val="105"/>
          <w:sz w:val="16"/>
        </w:rPr>
        <w:t> </w:t>
      </w:r>
      <w:r>
        <w:rPr>
          <w:w w:val="105"/>
          <w:sz w:val="16"/>
        </w:rPr>
        <w:t>of</w:t>
      </w:r>
      <w:r>
        <w:rPr>
          <w:spacing w:val="-13"/>
          <w:w w:val="105"/>
          <w:sz w:val="16"/>
        </w:rPr>
        <w:t> </w:t>
      </w:r>
      <w:r>
        <w:rPr>
          <w:w w:val="105"/>
          <w:sz w:val="16"/>
        </w:rPr>
        <w:t>personal</w:t>
      </w:r>
      <w:r>
        <w:rPr>
          <w:spacing w:val="-13"/>
          <w:w w:val="105"/>
          <w:sz w:val="16"/>
        </w:rPr>
        <w:t> </w:t>
      </w:r>
      <w:r>
        <w:rPr>
          <w:w w:val="105"/>
          <w:sz w:val="16"/>
        </w:rPr>
        <w:t>data</w:t>
      </w:r>
      <w:r>
        <w:rPr>
          <w:spacing w:val="-13"/>
          <w:w w:val="105"/>
          <w:sz w:val="16"/>
        </w:rPr>
        <w:t> </w:t>
      </w:r>
      <w:r>
        <w:rPr>
          <w:w w:val="105"/>
          <w:sz w:val="16"/>
        </w:rPr>
        <w:t>and</w:t>
      </w:r>
      <w:r>
        <w:rPr>
          <w:spacing w:val="-14"/>
          <w:w w:val="105"/>
          <w:sz w:val="16"/>
        </w:rPr>
        <w:t> </w:t>
      </w:r>
      <w:r>
        <w:rPr>
          <w:w w:val="105"/>
          <w:sz w:val="16"/>
        </w:rPr>
        <w:t>on</w:t>
      </w:r>
      <w:r>
        <w:rPr>
          <w:spacing w:val="-13"/>
          <w:w w:val="105"/>
          <w:sz w:val="16"/>
        </w:rPr>
        <w:t> </w:t>
      </w:r>
      <w:r>
        <w:rPr>
          <w:w w:val="105"/>
          <w:sz w:val="16"/>
        </w:rPr>
        <w:t>the</w:t>
      </w:r>
      <w:r>
        <w:rPr>
          <w:spacing w:val="-13"/>
          <w:w w:val="105"/>
          <w:sz w:val="16"/>
        </w:rPr>
        <w:t> </w:t>
      </w:r>
      <w:r>
        <w:rPr>
          <w:w w:val="105"/>
          <w:sz w:val="16"/>
        </w:rPr>
        <w:t>free</w:t>
      </w:r>
      <w:r>
        <w:rPr>
          <w:spacing w:val="-14"/>
          <w:w w:val="105"/>
          <w:sz w:val="16"/>
        </w:rPr>
        <w:t> </w:t>
      </w:r>
      <w:r>
        <w:rPr>
          <w:w w:val="105"/>
          <w:sz w:val="16"/>
        </w:rPr>
        <w:t>movement</w:t>
      </w:r>
      <w:r>
        <w:rPr>
          <w:spacing w:val="-13"/>
          <w:w w:val="105"/>
          <w:sz w:val="16"/>
        </w:rPr>
        <w:t> </w:t>
      </w:r>
      <w:r>
        <w:rPr>
          <w:w w:val="105"/>
          <w:sz w:val="16"/>
        </w:rPr>
        <w:t>of</w:t>
      </w:r>
      <w:r>
        <w:rPr>
          <w:spacing w:val="-13"/>
          <w:w w:val="105"/>
          <w:sz w:val="16"/>
        </w:rPr>
        <w:t> </w:t>
      </w:r>
      <w:r>
        <w:rPr>
          <w:w w:val="105"/>
          <w:sz w:val="16"/>
        </w:rPr>
        <w:t>such</w:t>
      </w:r>
      <w:r>
        <w:rPr>
          <w:spacing w:val="-13"/>
          <w:w w:val="105"/>
          <w:sz w:val="16"/>
        </w:rPr>
        <w:t> </w:t>
      </w:r>
      <w:r>
        <w:rPr>
          <w:w w:val="105"/>
          <w:sz w:val="16"/>
        </w:rPr>
        <w:t>data</w:t>
      </w:r>
      <w:r>
        <w:rPr>
          <w:spacing w:val="-14"/>
          <w:w w:val="105"/>
          <w:sz w:val="16"/>
        </w:rPr>
        <w:t> </w:t>
      </w:r>
      <w:r>
        <w:rPr>
          <w:w w:val="105"/>
          <w:sz w:val="16"/>
        </w:rPr>
        <w:t>[2016]</w:t>
      </w:r>
      <w:r>
        <w:rPr>
          <w:spacing w:val="-13"/>
          <w:w w:val="105"/>
          <w:sz w:val="16"/>
        </w:rPr>
        <w:t> </w:t>
      </w:r>
      <w:r>
        <w:rPr>
          <w:w w:val="115"/>
          <w:sz w:val="16"/>
        </w:rPr>
        <w:t>OJ</w:t>
      </w:r>
      <w:r>
        <w:rPr>
          <w:spacing w:val="-15"/>
          <w:w w:val="115"/>
          <w:sz w:val="16"/>
        </w:rPr>
        <w:t> </w:t>
      </w:r>
      <w:r>
        <w:rPr>
          <w:w w:val="105"/>
          <w:sz w:val="16"/>
        </w:rPr>
        <w:t>L </w:t>
      </w:r>
      <w:r>
        <w:rPr>
          <w:rFonts w:ascii="Arial"/>
          <w:spacing w:val="-2"/>
          <w:w w:val="105"/>
          <w:sz w:val="16"/>
        </w:rPr>
        <w:t>119/1.</w:t>
      </w:r>
    </w:p>
    <w:p>
      <w:pPr>
        <w:spacing w:after="0" w:line="206" w:lineRule="auto"/>
        <w:jc w:val="left"/>
        <w:rPr>
          <w:rFonts w:ascii="Arial"/>
          <w:sz w:val="16"/>
        </w:rPr>
        <w:sectPr>
          <w:type w:val="continuous"/>
          <w:pgSz w:w="11910" w:h="16840"/>
          <w:pgMar w:header="568" w:footer="580" w:top="0" w:bottom="280" w:left="1020" w:right="1020"/>
        </w:sectPr>
      </w:pPr>
    </w:p>
    <w:p>
      <w:pPr>
        <w:pStyle w:val="BodyText"/>
        <w:ind w:left="0"/>
        <w:rPr>
          <w:sz w:val="20"/>
        </w:rPr>
      </w:pPr>
    </w:p>
    <w:p>
      <w:pPr>
        <w:pStyle w:val="BodyText"/>
        <w:ind w:left="0"/>
        <w:rPr>
          <w:sz w:val="20"/>
        </w:rPr>
      </w:pPr>
    </w:p>
    <w:p>
      <w:pPr>
        <w:pStyle w:val="BodyText"/>
        <w:spacing w:before="48"/>
        <w:ind w:left="0"/>
        <w:rPr>
          <w:sz w:val="20"/>
        </w:rPr>
      </w:pPr>
    </w:p>
    <w:p>
      <w:pPr>
        <w:spacing w:after="0"/>
        <w:rPr>
          <w:sz w:val="20"/>
        </w:rPr>
        <w:sectPr>
          <w:pgSz w:w="11910" w:h="16840"/>
          <w:pgMar w:header="568" w:footer="580" w:top="840" w:bottom="780" w:left="1020" w:right="1020"/>
        </w:sectPr>
      </w:pPr>
    </w:p>
    <w:p>
      <w:pPr>
        <w:pStyle w:val="BodyText"/>
        <w:spacing w:line="310" w:lineRule="exact" w:before="49"/>
        <w:ind w:right="404"/>
      </w:pPr>
      <w:r>
        <w:rPr>
          <w:w w:val="110"/>
        </w:rPr>
        <w:t>Importantly, the CJEU has made </w:t>
      </w:r>
      <w:r>
        <w:rPr>
          <w:rFonts w:ascii="Lucida Sans Unicode"/>
          <w:spacing w:val="-2"/>
          <w:w w:val="110"/>
        </w:rPr>
        <w:t>extensive</w:t>
      </w:r>
      <w:r>
        <w:rPr>
          <w:rFonts w:ascii="Lucida Sans Unicode"/>
          <w:spacing w:val="-19"/>
          <w:w w:val="110"/>
        </w:rPr>
        <w:t> </w:t>
      </w:r>
      <w:r>
        <w:rPr>
          <w:rFonts w:ascii="Lucida Sans Unicode"/>
          <w:spacing w:val="-2"/>
          <w:w w:val="110"/>
        </w:rPr>
        <w:t>use</w:t>
      </w:r>
      <w:r>
        <w:rPr>
          <w:rFonts w:ascii="Lucida Sans Unicode"/>
          <w:spacing w:val="-19"/>
          <w:w w:val="110"/>
        </w:rPr>
        <w:t> </w:t>
      </w:r>
      <w:r>
        <w:rPr>
          <w:rFonts w:ascii="Lucida Sans Unicode"/>
          <w:spacing w:val="-2"/>
          <w:w w:val="110"/>
        </w:rPr>
        <w:t>of</w:t>
      </w:r>
      <w:r>
        <w:rPr>
          <w:rFonts w:ascii="Lucida Sans Unicode"/>
          <w:spacing w:val="-19"/>
          <w:w w:val="110"/>
        </w:rPr>
        <w:t> </w:t>
      </w:r>
      <w:r>
        <w:rPr>
          <w:rFonts w:ascii="Lucida Sans Unicode"/>
          <w:spacing w:val="-2"/>
          <w:w w:val="110"/>
        </w:rPr>
        <w:t>Articles</w:t>
      </w:r>
      <w:r>
        <w:rPr>
          <w:rFonts w:ascii="Lucida Sans Unicode"/>
          <w:spacing w:val="-19"/>
          <w:w w:val="110"/>
        </w:rPr>
        <w:t> </w:t>
      </w:r>
      <w:r>
        <w:rPr>
          <w:rFonts w:ascii="Lucida Sans Unicode"/>
          <w:spacing w:val="-2"/>
          <w:w w:val="110"/>
        </w:rPr>
        <w:t>7</w:t>
      </w:r>
      <w:r>
        <w:rPr>
          <w:rFonts w:ascii="Lucida Sans Unicode"/>
          <w:spacing w:val="-19"/>
          <w:w w:val="110"/>
        </w:rPr>
        <w:t> </w:t>
      </w:r>
      <w:r>
        <w:rPr>
          <w:rFonts w:ascii="Lucida Sans Unicode"/>
          <w:spacing w:val="-2"/>
          <w:w w:val="110"/>
        </w:rPr>
        <w:t>and</w:t>
      </w:r>
      <w:r>
        <w:rPr>
          <w:rFonts w:ascii="Lucida Sans Unicode"/>
          <w:spacing w:val="-19"/>
          <w:w w:val="110"/>
        </w:rPr>
        <w:t> </w:t>
      </w:r>
      <w:r>
        <w:rPr>
          <w:rFonts w:ascii="Lucida Sans Unicode"/>
          <w:spacing w:val="-2"/>
          <w:w w:val="110"/>
        </w:rPr>
        <w:t>8 </w:t>
      </w:r>
      <w:r>
        <w:rPr>
          <w:w w:val="110"/>
        </w:rPr>
        <w:t>CFR to interpret data protection rights contained in the GDPR and</w:t>
      </w:r>
      <w:r>
        <w:rPr>
          <w:spacing w:val="40"/>
          <w:w w:val="110"/>
        </w:rPr>
        <w:t> </w:t>
      </w:r>
      <w:r>
        <w:rPr>
          <w:rFonts w:ascii="Lucida Sans Unicode"/>
        </w:rPr>
        <w:t>its predecessor, Directive 95/46/ </w:t>
      </w:r>
      <w:r>
        <w:rPr>
          <w:w w:val="110"/>
        </w:rPr>
        <w:t>EC broadly. The rights protections</w:t>
      </w:r>
      <w:r>
        <w:rPr>
          <w:spacing w:val="80"/>
          <w:w w:val="110"/>
        </w:rPr>
        <w:t> </w:t>
      </w:r>
      <w:r>
        <w:rPr>
          <w:w w:val="110"/>
        </w:rPr>
        <w:t>in the Charter differ from the ECHR </w:t>
      </w:r>
      <w:r>
        <w:rPr>
          <w:rFonts w:ascii="Lucida Sans Unicode"/>
          <w:w w:val="110"/>
        </w:rPr>
        <w:t>in</w:t>
      </w:r>
      <w:r>
        <w:rPr>
          <w:rFonts w:ascii="Lucida Sans Unicode"/>
          <w:spacing w:val="-17"/>
          <w:w w:val="110"/>
        </w:rPr>
        <w:t> </w:t>
      </w:r>
      <w:r>
        <w:rPr>
          <w:rFonts w:ascii="Lucida Sans Unicode"/>
          <w:w w:val="110"/>
        </w:rPr>
        <w:t>that</w:t>
      </w:r>
      <w:r>
        <w:rPr>
          <w:rFonts w:ascii="Lucida Sans Unicode"/>
          <w:spacing w:val="-17"/>
          <w:w w:val="110"/>
        </w:rPr>
        <w:t> </w:t>
      </w:r>
      <w:r>
        <w:rPr>
          <w:rFonts w:ascii="Lucida Sans Unicode"/>
          <w:w w:val="110"/>
        </w:rPr>
        <w:t>Article</w:t>
      </w:r>
      <w:r>
        <w:rPr>
          <w:rFonts w:ascii="Lucida Sans Unicode"/>
          <w:spacing w:val="-17"/>
          <w:w w:val="110"/>
        </w:rPr>
        <w:t> </w:t>
      </w:r>
      <w:r>
        <w:rPr>
          <w:rFonts w:ascii="Lucida Sans Unicode"/>
          <w:w w:val="110"/>
        </w:rPr>
        <w:t>8</w:t>
      </w:r>
      <w:r>
        <w:rPr>
          <w:rFonts w:ascii="Lucida Sans Unicode"/>
          <w:spacing w:val="-17"/>
          <w:w w:val="110"/>
        </w:rPr>
        <w:t> </w:t>
      </w:r>
      <w:r>
        <w:rPr>
          <w:rFonts w:ascii="Lucida Sans Unicode"/>
          <w:w w:val="110"/>
        </w:rPr>
        <w:t>CFR</w:t>
      </w:r>
      <w:r>
        <w:rPr>
          <w:rFonts w:ascii="Lucida Sans Unicode"/>
          <w:spacing w:val="-17"/>
          <w:w w:val="110"/>
        </w:rPr>
        <w:t> </w:t>
      </w:r>
      <w:r>
        <w:rPr>
          <w:rFonts w:ascii="Lucida Sans Unicode"/>
          <w:w w:val="110"/>
        </w:rPr>
        <w:t>contains</w:t>
      </w:r>
      <w:r>
        <w:rPr>
          <w:rFonts w:ascii="Lucida Sans Unicode"/>
          <w:spacing w:val="-17"/>
          <w:w w:val="110"/>
        </w:rPr>
        <w:t> </w:t>
      </w:r>
      <w:r>
        <w:rPr>
          <w:rFonts w:ascii="Lucida Sans Unicode"/>
          <w:w w:val="110"/>
        </w:rPr>
        <w:t>an </w:t>
      </w:r>
      <w:r>
        <w:rPr>
          <w:w w:val="110"/>
        </w:rPr>
        <w:t>express right to the protection of personal data. If the </w:t>
      </w:r>
      <w:r>
        <w:rPr>
          <w:w w:val="110"/>
        </w:rPr>
        <w:t>non-diminution</w:t>
      </w:r>
    </w:p>
    <w:p>
      <w:pPr>
        <w:pStyle w:val="BodyText"/>
        <w:spacing w:line="310" w:lineRule="exact"/>
        <w:ind w:right="132"/>
      </w:pPr>
      <w:r>
        <w:rPr>
          <w:w w:val="110"/>
        </w:rPr>
        <w:t>commitment substantively covers </w:t>
      </w:r>
      <w:r>
        <w:rPr>
          <w:w w:val="110"/>
        </w:rPr>
        <w:t>the rights guaranteed by the ECHR – at </w:t>
      </w:r>
      <w:r>
        <w:rPr>
          <w:rFonts w:ascii="Lucida Sans Unicode" w:hAnsi="Lucida Sans Unicode"/>
        </w:rPr>
        <w:t>least so far as it has been ratified by </w:t>
      </w:r>
      <w:r>
        <w:rPr>
          <w:w w:val="110"/>
        </w:rPr>
        <w:t>the UK – then the non-diminution commitment must extend to data protection given the ECtHR’s long- established line of case law in this regard. This then is underpinned</w:t>
      </w:r>
    </w:p>
    <w:p>
      <w:pPr>
        <w:pStyle w:val="BodyText"/>
        <w:spacing w:line="268" w:lineRule="auto" w:before="23"/>
        <w:ind w:right="541"/>
      </w:pPr>
      <w:r>
        <w:rPr>
          <w:w w:val="110"/>
        </w:rPr>
        <w:t>by various EU law provisions, which themselves – if applied in the domestic context – imply </w:t>
      </w:r>
      <w:r>
        <w:rPr>
          <w:w w:val="110"/>
        </w:rPr>
        <w:t>the application of the Charter. The</w:t>
      </w:r>
    </w:p>
    <w:p>
      <w:pPr>
        <w:pStyle w:val="BodyText"/>
        <w:spacing w:line="268" w:lineRule="auto" w:before="3"/>
        <w:ind w:right="33"/>
      </w:pPr>
      <w:r>
        <w:rPr>
          <w:w w:val="115"/>
        </w:rPr>
        <w:t>CJEU</w:t>
      </w:r>
      <w:r>
        <w:rPr>
          <w:spacing w:val="-18"/>
          <w:w w:val="115"/>
        </w:rPr>
        <w:t> </w:t>
      </w:r>
      <w:r>
        <w:rPr>
          <w:w w:val="115"/>
        </w:rPr>
        <w:t>has</w:t>
      </w:r>
      <w:r>
        <w:rPr>
          <w:spacing w:val="-18"/>
          <w:w w:val="115"/>
        </w:rPr>
        <w:t> </w:t>
      </w:r>
      <w:r>
        <w:rPr>
          <w:w w:val="115"/>
        </w:rPr>
        <w:t>interpreted</w:t>
      </w:r>
      <w:r>
        <w:rPr>
          <w:spacing w:val="-18"/>
          <w:w w:val="115"/>
        </w:rPr>
        <w:t> </w:t>
      </w:r>
      <w:r>
        <w:rPr>
          <w:w w:val="115"/>
        </w:rPr>
        <w:t>the</w:t>
      </w:r>
      <w:r>
        <w:rPr>
          <w:spacing w:val="-18"/>
          <w:w w:val="115"/>
        </w:rPr>
        <w:t> </w:t>
      </w:r>
      <w:r>
        <w:rPr>
          <w:w w:val="115"/>
        </w:rPr>
        <w:t>GDPR</w:t>
      </w:r>
      <w:r>
        <w:rPr>
          <w:spacing w:val="-18"/>
          <w:w w:val="115"/>
        </w:rPr>
        <w:t> </w:t>
      </w:r>
      <w:r>
        <w:rPr>
          <w:w w:val="115"/>
        </w:rPr>
        <w:t>and connected</w:t>
      </w:r>
      <w:r>
        <w:rPr>
          <w:spacing w:val="-20"/>
          <w:w w:val="115"/>
        </w:rPr>
        <w:t> </w:t>
      </w:r>
      <w:r>
        <w:rPr>
          <w:w w:val="115"/>
        </w:rPr>
        <w:t>data</w:t>
      </w:r>
      <w:r>
        <w:rPr>
          <w:spacing w:val="-19"/>
          <w:w w:val="115"/>
        </w:rPr>
        <w:t> </w:t>
      </w:r>
      <w:r>
        <w:rPr>
          <w:w w:val="115"/>
        </w:rPr>
        <w:t>protection</w:t>
      </w:r>
      <w:r>
        <w:rPr>
          <w:spacing w:val="-19"/>
          <w:w w:val="115"/>
        </w:rPr>
        <w:t> </w:t>
      </w:r>
      <w:r>
        <w:rPr>
          <w:w w:val="115"/>
        </w:rPr>
        <w:t>provisions broadly in light of those Charter rights. For instance, it read a ‘right</w:t>
      </w:r>
    </w:p>
    <w:p>
      <w:pPr>
        <w:pStyle w:val="BodyText"/>
        <w:spacing w:line="220" w:lineRule="auto" w:before="22"/>
        <w:ind w:right="33"/>
      </w:pPr>
      <w:r>
        <w:rPr>
          <w:w w:val="110"/>
        </w:rPr>
        <w:t>to be forgotten’ into the GDPR’s </w:t>
      </w:r>
      <w:r>
        <w:rPr>
          <w:rFonts w:ascii="Lucida Sans Unicode" w:hAnsi="Lucida Sans Unicode"/>
        </w:rPr>
        <w:t>predecessor Directive 95/46/EC.</w:t>
      </w:r>
      <w:r>
        <w:rPr>
          <w:rFonts w:ascii="Lucida Sans Unicode" w:hAnsi="Lucida Sans Unicode"/>
          <w:vertAlign w:val="superscript"/>
        </w:rPr>
        <w:t>223</w:t>
      </w:r>
      <w:r>
        <w:rPr>
          <w:rFonts w:ascii="Lucida Sans Unicode" w:hAnsi="Lucida Sans Unicode"/>
          <w:vertAlign w:val="baseline"/>
        </w:rPr>
        <w:t> </w:t>
      </w:r>
      <w:r>
        <w:rPr>
          <w:rFonts w:ascii="Lucida Sans Unicode" w:hAnsi="Lucida Sans Unicode"/>
          <w:w w:val="110"/>
          <w:vertAlign w:val="baseline"/>
        </w:rPr>
        <w:t>Furthermore,</w:t>
      </w:r>
      <w:r>
        <w:rPr>
          <w:rFonts w:ascii="Lucida Sans Unicode" w:hAnsi="Lucida Sans Unicode"/>
          <w:spacing w:val="-21"/>
          <w:w w:val="110"/>
          <w:vertAlign w:val="baseline"/>
        </w:rPr>
        <w:t> </w:t>
      </w:r>
      <w:r>
        <w:rPr>
          <w:rFonts w:ascii="Lucida Sans Unicode" w:hAnsi="Lucida Sans Unicode"/>
          <w:w w:val="110"/>
          <w:vertAlign w:val="baseline"/>
        </w:rPr>
        <w:t>Articles</w:t>
      </w:r>
      <w:r>
        <w:rPr>
          <w:rFonts w:ascii="Lucida Sans Unicode" w:hAnsi="Lucida Sans Unicode"/>
          <w:spacing w:val="-21"/>
          <w:w w:val="110"/>
          <w:vertAlign w:val="baseline"/>
        </w:rPr>
        <w:t> </w:t>
      </w:r>
      <w:r>
        <w:rPr>
          <w:rFonts w:ascii="Lucida Sans Unicode" w:hAnsi="Lucida Sans Unicode"/>
          <w:w w:val="110"/>
          <w:vertAlign w:val="baseline"/>
        </w:rPr>
        <w:t>7</w:t>
      </w:r>
      <w:r>
        <w:rPr>
          <w:rFonts w:ascii="Lucida Sans Unicode" w:hAnsi="Lucida Sans Unicode"/>
          <w:spacing w:val="-21"/>
          <w:w w:val="110"/>
          <w:vertAlign w:val="baseline"/>
        </w:rPr>
        <w:t> </w:t>
      </w:r>
      <w:r>
        <w:rPr>
          <w:rFonts w:ascii="Lucida Sans Unicode" w:hAnsi="Lucida Sans Unicode"/>
          <w:w w:val="110"/>
          <w:vertAlign w:val="baseline"/>
        </w:rPr>
        <w:t>and</w:t>
      </w:r>
      <w:r>
        <w:rPr>
          <w:rFonts w:ascii="Lucida Sans Unicode" w:hAnsi="Lucida Sans Unicode"/>
          <w:spacing w:val="-21"/>
          <w:w w:val="110"/>
          <w:vertAlign w:val="baseline"/>
        </w:rPr>
        <w:t> </w:t>
      </w:r>
      <w:r>
        <w:rPr>
          <w:rFonts w:ascii="Lucida Sans Unicode" w:hAnsi="Lucida Sans Unicode"/>
          <w:w w:val="110"/>
          <w:vertAlign w:val="baseline"/>
        </w:rPr>
        <w:t>8</w:t>
      </w:r>
      <w:r>
        <w:rPr>
          <w:rFonts w:ascii="Lucida Sans Unicode" w:hAnsi="Lucida Sans Unicode"/>
          <w:spacing w:val="-21"/>
          <w:w w:val="110"/>
          <w:vertAlign w:val="baseline"/>
        </w:rPr>
        <w:t> </w:t>
      </w:r>
      <w:r>
        <w:rPr>
          <w:rFonts w:ascii="Lucida Sans Unicode" w:hAnsi="Lucida Sans Unicode"/>
          <w:w w:val="110"/>
          <w:vertAlign w:val="baseline"/>
        </w:rPr>
        <w:t>CFR </w:t>
      </w:r>
      <w:r>
        <w:rPr>
          <w:w w:val="110"/>
          <w:vertAlign w:val="baseline"/>
        </w:rPr>
        <w:t>set clear limits to the extent to </w:t>
      </w:r>
      <w:r>
        <w:rPr>
          <w:w w:val="110"/>
          <w:vertAlign w:val="baseline"/>
        </w:rPr>
        <w:t>which</w:t>
      </w:r>
    </w:p>
    <w:p>
      <w:pPr>
        <w:pStyle w:val="BodyText"/>
        <w:spacing w:line="310" w:lineRule="exact" w:before="13"/>
        <w:ind w:right="33"/>
      </w:pPr>
      <w:r>
        <w:rPr>
          <w:w w:val="115"/>
        </w:rPr>
        <w:t>EU member states can order the </w:t>
      </w:r>
      <w:r>
        <w:rPr>
          <w:spacing w:val="-2"/>
          <w:w w:val="115"/>
        </w:rPr>
        <w:t>wholesale</w:t>
      </w:r>
      <w:r>
        <w:rPr>
          <w:spacing w:val="-10"/>
          <w:w w:val="115"/>
        </w:rPr>
        <w:t> </w:t>
      </w:r>
      <w:r>
        <w:rPr>
          <w:spacing w:val="-2"/>
          <w:w w:val="115"/>
        </w:rPr>
        <w:t>retention</w:t>
      </w:r>
      <w:r>
        <w:rPr>
          <w:spacing w:val="-10"/>
          <w:w w:val="115"/>
        </w:rPr>
        <w:t> </w:t>
      </w:r>
      <w:r>
        <w:rPr>
          <w:spacing w:val="-2"/>
          <w:w w:val="115"/>
        </w:rPr>
        <w:t>of</w:t>
      </w:r>
      <w:r>
        <w:rPr>
          <w:spacing w:val="-10"/>
          <w:w w:val="115"/>
        </w:rPr>
        <w:t> </w:t>
      </w:r>
      <w:r>
        <w:rPr>
          <w:spacing w:val="-2"/>
          <w:w w:val="115"/>
        </w:rPr>
        <w:t>communication </w:t>
      </w:r>
      <w:r>
        <w:rPr>
          <w:w w:val="115"/>
        </w:rPr>
        <w:t>data</w:t>
      </w:r>
      <w:r>
        <w:rPr>
          <w:rFonts w:ascii="Lucida Sans Unicode"/>
          <w:w w:val="115"/>
          <w:vertAlign w:val="superscript"/>
        </w:rPr>
        <w:t>224</w:t>
      </w:r>
      <w:r>
        <w:rPr>
          <w:rFonts w:ascii="Lucida Sans Unicode"/>
          <w:spacing w:val="-15"/>
          <w:w w:val="115"/>
          <w:vertAlign w:val="baseline"/>
        </w:rPr>
        <w:t> </w:t>
      </w:r>
      <w:r>
        <w:rPr>
          <w:w w:val="115"/>
          <w:vertAlign w:val="baseline"/>
        </w:rPr>
        <w:t>as</w:t>
      </w:r>
      <w:r>
        <w:rPr>
          <w:spacing w:val="-5"/>
          <w:w w:val="115"/>
          <w:vertAlign w:val="baseline"/>
        </w:rPr>
        <w:t> </w:t>
      </w:r>
      <w:r>
        <w:rPr>
          <w:w w:val="115"/>
          <w:vertAlign w:val="baseline"/>
        </w:rPr>
        <w:t>well</w:t>
      </w:r>
      <w:r>
        <w:rPr>
          <w:spacing w:val="-5"/>
          <w:w w:val="115"/>
          <w:vertAlign w:val="baseline"/>
        </w:rPr>
        <w:t> </w:t>
      </w:r>
      <w:r>
        <w:rPr>
          <w:w w:val="115"/>
          <w:vertAlign w:val="baseline"/>
        </w:rPr>
        <w:t>as</w:t>
      </w:r>
      <w:r>
        <w:rPr>
          <w:spacing w:val="-5"/>
          <w:w w:val="115"/>
          <w:vertAlign w:val="baseline"/>
        </w:rPr>
        <w:t> </w:t>
      </w:r>
      <w:r>
        <w:rPr>
          <w:w w:val="115"/>
          <w:vertAlign w:val="baseline"/>
        </w:rPr>
        <w:t>to</w:t>
      </w:r>
      <w:r>
        <w:rPr>
          <w:spacing w:val="-5"/>
          <w:w w:val="115"/>
          <w:vertAlign w:val="baseline"/>
        </w:rPr>
        <w:t> </w:t>
      </w:r>
      <w:r>
        <w:rPr>
          <w:w w:val="115"/>
          <w:vertAlign w:val="baseline"/>
        </w:rPr>
        <w:t>the</w:t>
      </w:r>
      <w:r>
        <w:rPr>
          <w:spacing w:val="-5"/>
          <w:w w:val="115"/>
          <w:vertAlign w:val="baseline"/>
        </w:rPr>
        <w:t> </w:t>
      </w:r>
      <w:r>
        <w:rPr>
          <w:w w:val="115"/>
          <w:vertAlign w:val="baseline"/>
        </w:rPr>
        <w:t>transfer</w:t>
      </w:r>
      <w:r>
        <w:rPr>
          <w:spacing w:val="-5"/>
          <w:w w:val="115"/>
          <w:vertAlign w:val="baseline"/>
        </w:rPr>
        <w:t> </w:t>
      </w:r>
      <w:r>
        <w:rPr>
          <w:w w:val="115"/>
          <w:vertAlign w:val="baseline"/>
        </w:rPr>
        <w:t>of data</w:t>
      </w:r>
      <w:r>
        <w:rPr>
          <w:spacing w:val="-20"/>
          <w:w w:val="115"/>
          <w:vertAlign w:val="baseline"/>
        </w:rPr>
        <w:t> </w:t>
      </w:r>
      <w:r>
        <w:rPr>
          <w:w w:val="115"/>
          <w:vertAlign w:val="baseline"/>
        </w:rPr>
        <w:t>to</w:t>
      </w:r>
      <w:r>
        <w:rPr>
          <w:spacing w:val="-19"/>
          <w:w w:val="115"/>
          <w:vertAlign w:val="baseline"/>
        </w:rPr>
        <w:t> </w:t>
      </w:r>
      <w:r>
        <w:rPr>
          <w:w w:val="115"/>
          <w:vertAlign w:val="baseline"/>
        </w:rPr>
        <w:t>non-EU</w:t>
      </w:r>
      <w:r>
        <w:rPr>
          <w:spacing w:val="-19"/>
          <w:w w:val="115"/>
          <w:vertAlign w:val="baseline"/>
        </w:rPr>
        <w:t> </w:t>
      </w:r>
      <w:r>
        <w:rPr>
          <w:w w:val="115"/>
          <w:vertAlign w:val="baseline"/>
        </w:rPr>
        <w:t>countries.</w:t>
      </w:r>
      <w:r>
        <w:rPr>
          <w:rFonts w:ascii="Lucida Sans Unicode"/>
          <w:w w:val="115"/>
          <w:vertAlign w:val="superscript"/>
        </w:rPr>
        <w:t>225</w:t>
      </w:r>
      <w:r>
        <w:rPr>
          <w:rFonts w:ascii="Lucida Sans Unicode"/>
          <w:spacing w:val="-22"/>
          <w:w w:val="115"/>
          <w:vertAlign w:val="baseline"/>
        </w:rPr>
        <w:t> </w:t>
      </w:r>
      <w:r>
        <w:rPr>
          <w:w w:val="115"/>
          <w:vertAlign w:val="baseline"/>
        </w:rPr>
        <w:t>Those limits therefore form part of the non- diminution commitment.</w:t>
      </w:r>
    </w:p>
    <w:p>
      <w:pPr>
        <w:pStyle w:val="Heading5"/>
        <w:spacing w:before="72"/>
        <w:rPr>
          <w:i/>
        </w:rPr>
      </w:pPr>
      <w:r>
        <w:rPr>
          <w:b w:val="0"/>
          <w:i w:val="0"/>
        </w:rPr>
        <w:br w:type="column"/>
      </w:r>
      <w:r>
        <w:rPr>
          <w:i/>
          <w:color w:val="77328A"/>
          <w:w w:val="105"/>
        </w:rPr>
        <w:t>Example</w:t>
      </w:r>
      <w:r>
        <w:rPr>
          <w:i/>
          <w:color w:val="77328A"/>
          <w:spacing w:val="11"/>
          <w:w w:val="105"/>
        </w:rPr>
        <w:t> </w:t>
      </w:r>
      <w:r>
        <w:rPr>
          <w:i/>
          <w:color w:val="77328A"/>
          <w:spacing w:val="-5"/>
          <w:w w:val="105"/>
        </w:rPr>
        <w:t>3:</w:t>
      </w:r>
    </w:p>
    <w:p>
      <w:pPr>
        <w:spacing w:line="261" w:lineRule="auto" w:before="18"/>
        <w:ind w:left="113" w:right="740" w:firstLine="0"/>
        <w:jc w:val="left"/>
        <w:rPr>
          <w:rFonts w:ascii="Trebuchet MS" w:hAnsi="Trebuchet MS"/>
          <w:i/>
          <w:sz w:val="24"/>
        </w:rPr>
      </w:pPr>
      <w:r>
        <w:rPr>
          <w:rFonts w:ascii="Verdana" w:hAnsi="Verdana"/>
          <w:i/>
          <w:color w:val="77328A"/>
          <w:sz w:val="24"/>
        </w:rPr>
        <w:t>Prohibition</w:t>
      </w:r>
      <w:r>
        <w:rPr>
          <w:rFonts w:ascii="Verdana" w:hAnsi="Verdana"/>
          <w:i/>
          <w:color w:val="77328A"/>
          <w:spacing w:val="-19"/>
          <w:sz w:val="24"/>
        </w:rPr>
        <w:t> </w:t>
      </w:r>
      <w:r>
        <w:rPr>
          <w:rFonts w:ascii="Verdana" w:hAnsi="Verdana"/>
          <w:i/>
          <w:color w:val="77328A"/>
          <w:sz w:val="24"/>
        </w:rPr>
        <w:t>of</w:t>
      </w:r>
      <w:r>
        <w:rPr>
          <w:rFonts w:ascii="Verdana" w:hAnsi="Verdana"/>
          <w:i/>
          <w:color w:val="77328A"/>
          <w:spacing w:val="-19"/>
          <w:sz w:val="24"/>
        </w:rPr>
        <w:t> </w:t>
      </w:r>
      <w:r>
        <w:rPr>
          <w:rFonts w:ascii="Verdana" w:hAnsi="Verdana"/>
          <w:i/>
          <w:color w:val="77328A"/>
          <w:sz w:val="24"/>
        </w:rPr>
        <w:t>double</w:t>
      </w:r>
      <w:r>
        <w:rPr>
          <w:rFonts w:ascii="Verdana" w:hAnsi="Verdana"/>
          <w:i/>
          <w:color w:val="77328A"/>
          <w:spacing w:val="-19"/>
          <w:sz w:val="24"/>
        </w:rPr>
        <w:t> </w:t>
      </w:r>
      <w:r>
        <w:rPr>
          <w:rFonts w:ascii="Verdana" w:hAnsi="Verdana"/>
          <w:i/>
          <w:color w:val="77328A"/>
          <w:sz w:val="24"/>
        </w:rPr>
        <w:t>jeopardy</w:t>
      </w:r>
      <w:r>
        <w:rPr>
          <w:rFonts w:ascii="Verdana" w:hAnsi="Verdana"/>
          <w:i/>
          <w:color w:val="77328A"/>
          <w:spacing w:val="-19"/>
          <w:sz w:val="24"/>
        </w:rPr>
        <w:t> </w:t>
      </w:r>
      <w:r>
        <w:rPr>
          <w:rFonts w:ascii="Verdana" w:hAnsi="Verdana"/>
          <w:i/>
          <w:color w:val="77328A"/>
          <w:sz w:val="24"/>
        </w:rPr>
        <w:t>–</w:t>
      </w:r>
      <w:r>
        <w:rPr>
          <w:rFonts w:ascii="Verdana" w:hAnsi="Verdana"/>
          <w:i/>
          <w:color w:val="77328A"/>
          <w:sz w:val="24"/>
        </w:rPr>
        <w:t> right in a Protocol to the ECHR </w:t>
      </w:r>
      <w:r>
        <w:rPr>
          <w:rFonts w:ascii="Trebuchet MS" w:hAnsi="Trebuchet MS"/>
          <w:i/>
          <w:color w:val="77328A"/>
          <w:sz w:val="24"/>
        </w:rPr>
        <w:t>not ratified by the UK</w:t>
      </w:r>
    </w:p>
    <w:p>
      <w:pPr>
        <w:pStyle w:val="BodyText"/>
        <w:spacing w:line="327" w:lineRule="exact"/>
        <w:rPr>
          <w:rFonts w:ascii="Lucida Sans Unicode"/>
        </w:rPr>
      </w:pPr>
      <w:r>
        <w:rPr>
          <w:rFonts w:ascii="Lucida Sans Unicode"/>
          <w:w w:val="105"/>
        </w:rPr>
        <w:t>Article</w:t>
      </w:r>
      <w:r>
        <w:rPr>
          <w:rFonts w:ascii="Lucida Sans Unicode"/>
          <w:spacing w:val="-15"/>
          <w:w w:val="105"/>
        </w:rPr>
        <w:t> </w:t>
      </w:r>
      <w:r>
        <w:rPr>
          <w:rFonts w:ascii="Lucida Sans Unicode"/>
          <w:w w:val="105"/>
        </w:rPr>
        <w:t>4</w:t>
      </w:r>
      <w:r>
        <w:rPr>
          <w:rFonts w:ascii="Lucida Sans Unicode"/>
          <w:spacing w:val="-14"/>
          <w:w w:val="105"/>
        </w:rPr>
        <w:t> </w:t>
      </w:r>
      <w:r>
        <w:rPr>
          <w:rFonts w:ascii="Lucida Sans Unicode"/>
          <w:w w:val="105"/>
        </w:rPr>
        <w:t>(1)</w:t>
      </w:r>
      <w:r>
        <w:rPr>
          <w:rFonts w:ascii="Lucida Sans Unicode"/>
          <w:spacing w:val="-14"/>
          <w:w w:val="105"/>
        </w:rPr>
        <w:t> </w:t>
      </w:r>
      <w:r>
        <w:rPr>
          <w:rFonts w:ascii="Lucida Sans Unicode"/>
          <w:w w:val="105"/>
        </w:rPr>
        <w:t>Protocol</w:t>
      </w:r>
      <w:r>
        <w:rPr>
          <w:rFonts w:ascii="Lucida Sans Unicode"/>
          <w:spacing w:val="-14"/>
          <w:w w:val="105"/>
        </w:rPr>
        <w:t> </w:t>
      </w:r>
      <w:r>
        <w:rPr>
          <w:rFonts w:ascii="Lucida Sans Unicode"/>
          <w:w w:val="105"/>
        </w:rPr>
        <w:t>No</w:t>
      </w:r>
      <w:r>
        <w:rPr>
          <w:rFonts w:ascii="Lucida Sans Unicode"/>
          <w:spacing w:val="-14"/>
          <w:w w:val="105"/>
        </w:rPr>
        <w:t> </w:t>
      </w:r>
      <w:r>
        <w:rPr>
          <w:rFonts w:ascii="Lucida Sans Unicode"/>
          <w:w w:val="105"/>
        </w:rPr>
        <w:t>7</w:t>
      </w:r>
      <w:r>
        <w:rPr>
          <w:rFonts w:ascii="Lucida Sans Unicode"/>
          <w:spacing w:val="-14"/>
          <w:w w:val="105"/>
        </w:rPr>
        <w:t> </w:t>
      </w:r>
      <w:r>
        <w:rPr>
          <w:rFonts w:ascii="Lucida Sans Unicode"/>
          <w:w w:val="105"/>
        </w:rPr>
        <w:t>to</w:t>
      </w:r>
      <w:r>
        <w:rPr>
          <w:rFonts w:ascii="Lucida Sans Unicode"/>
          <w:spacing w:val="-15"/>
          <w:w w:val="105"/>
        </w:rPr>
        <w:t> </w:t>
      </w:r>
      <w:r>
        <w:rPr>
          <w:rFonts w:ascii="Lucida Sans Unicode"/>
          <w:spacing w:val="-5"/>
          <w:w w:val="105"/>
        </w:rPr>
        <w:t>the</w:t>
      </w:r>
    </w:p>
    <w:p>
      <w:pPr>
        <w:pStyle w:val="BodyText"/>
        <w:spacing w:line="268" w:lineRule="auto"/>
        <w:ind w:right="242"/>
      </w:pPr>
      <w:r>
        <w:rPr>
          <w:w w:val="115"/>
        </w:rPr>
        <w:t>ECHR contains the prohibition of double</w:t>
      </w:r>
      <w:r>
        <w:rPr>
          <w:spacing w:val="-17"/>
          <w:w w:val="115"/>
        </w:rPr>
        <w:t> </w:t>
      </w:r>
      <w:r>
        <w:rPr>
          <w:w w:val="115"/>
        </w:rPr>
        <w:t>jeopardy.</w:t>
      </w:r>
      <w:r>
        <w:rPr>
          <w:spacing w:val="-17"/>
          <w:w w:val="115"/>
        </w:rPr>
        <w:t> </w:t>
      </w:r>
      <w:r>
        <w:rPr>
          <w:w w:val="115"/>
        </w:rPr>
        <w:t>It</w:t>
      </w:r>
      <w:r>
        <w:rPr>
          <w:spacing w:val="-17"/>
          <w:w w:val="115"/>
        </w:rPr>
        <w:t> </w:t>
      </w:r>
      <w:r>
        <w:rPr>
          <w:w w:val="115"/>
        </w:rPr>
        <w:t>says</w:t>
      </w:r>
      <w:r>
        <w:rPr>
          <w:spacing w:val="-17"/>
          <w:w w:val="115"/>
        </w:rPr>
        <w:t> </w:t>
      </w:r>
      <w:r>
        <w:rPr>
          <w:w w:val="115"/>
        </w:rPr>
        <w:t>that</w:t>
      </w:r>
      <w:r>
        <w:rPr>
          <w:spacing w:val="-17"/>
          <w:w w:val="115"/>
        </w:rPr>
        <w:t> </w:t>
      </w:r>
      <w:r>
        <w:rPr>
          <w:w w:val="115"/>
        </w:rPr>
        <w:t>‘No</w:t>
      </w:r>
      <w:r>
        <w:rPr>
          <w:spacing w:val="-17"/>
          <w:w w:val="115"/>
        </w:rPr>
        <w:t> </w:t>
      </w:r>
      <w:r>
        <w:rPr>
          <w:w w:val="115"/>
        </w:rPr>
        <w:t>one shall</w:t>
      </w:r>
      <w:r>
        <w:rPr>
          <w:spacing w:val="-17"/>
          <w:w w:val="115"/>
        </w:rPr>
        <w:t> </w:t>
      </w:r>
      <w:r>
        <w:rPr>
          <w:w w:val="115"/>
        </w:rPr>
        <w:t>be</w:t>
      </w:r>
      <w:r>
        <w:rPr>
          <w:spacing w:val="-17"/>
          <w:w w:val="115"/>
        </w:rPr>
        <w:t> </w:t>
      </w:r>
      <w:r>
        <w:rPr>
          <w:w w:val="115"/>
        </w:rPr>
        <w:t>liable</w:t>
      </w:r>
      <w:r>
        <w:rPr>
          <w:spacing w:val="-17"/>
          <w:w w:val="115"/>
        </w:rPr>
        <w:t> </w:t>
      </w:r>
      <w:r>
        <w:rPr>
          <w:w w:val="115"/>
        </w:rPr>
        <w:t>to</w:t>
      </w:r>
      <w:r>
        <w:rPr>
          <w:spacing w:val="-17"/>
          <w:w w:val="115"/>
        </w:rPr>
        <w:t> </w:t>
      </w:r>
      <w:r>
        <w:rPr>
          <w:w w:val="115"/>
        </w:rPr>
        <w:t>be</w:t>
      </w:r>
      <w:r>
        <w:rPr>
          <w:spacing w:val="-17"/>
          <w:w w:val="115"/>
        </w:rPr>
        <w:t> </w:t>
      </w:r>
      <w:r>
        <w:rPr>
          <w:w w:val="115"/>
        </w:rPr>
        <w:t>tried</w:t>
      </w:r>
      <w:r>
        <w:rPr>
          <w:spacing w:val="-17"/>
          <w:w w:val="115"/>
        </w:rPr>
        <w:t> </w:t>
      </w:r>
      <w:r>
        <w:rPr>
          <w:w w:val="115"/>
        </w:rPr>
        <w:t>or</w:t>
      </w:r>
      <w:r>
        <w:rPr>
          <w:spacing w:val="-17"/>
          <w:w w:val="115"/>
        </w:rPr>
        <w:t> </w:t>
      </w:r>
      <w:r>
        <w:rPr>
          <w:w w:val="115"/>
        </w:rPr>
        <w:t>punished again in criminal proceedings under</w:t>
      </w:r>
    </w:p>
    <w:p>
      <w:pPr>
        <w:pStyle w:val="BodyText"/>
        <w:spacing w:line="324" w:lineRule="exact"/>
        <w:rPr>
          <w:rFonts w:ascii="Lucida Sans Unicode"/>
        </w:rPr>
      </w:pPr>
      <w:r>
        <w:rPr>
          <w:rFonts w:ascii="Lucida Sans Unicode"/>
        </w:rPr>
        <w:t>the</w:t>
      </w:r>
      <w:r>
        <w:rPr>
          <w:rFonts w:ascii="Lucida Sans Unicode"/>
          <w:spacing w:val="10"/>
        </w:rPr>
        <w:t> </w:t>
      </w:r>
      <w:r>
        <w:rPr>
          <w:rFonts w:ascii="Lucida Sans Unicode"/>
        </w:rPr>
        <w:t>jurisdiction</w:t>
      </w:r>
      <w:r>
        <w:rPr>
          <w:rFonts w:ascii="Lucida Sans Unicode"/>
          <w:spacing w:val="10"/>
        </w:rPr>
        <w:t> </w:t>
      </w:r>
      <w:r>
        <w:rPr>
          <w:rFonts w:ascii="Lucida Sans Unicode"/>
        </w:rPr>
        <w:t>of</w:t>
      </w:r>
      <w:r>
        <w:rPr>
          <w:rFonts w:ascii="Lucida Sans Unicode"/>
          <w:spacing w:val="10"/>
        </w:rPr>
        <w:t> </w:t>
      </w:r>
      <w:r>
        <w:rPr>
          <w:rFonts w:ascii="Lucida Sans Unicode"/>
        </w:rPr>
        <w:t>the</w:t>
      </w:r>
      <w:r>
        <w:rPr>
          <w:rFonts w:ascii="Lucida Sans Unicode"/>
          <w:spacing w:val="10"/>
        </w:rPr>
        <w:t> </w:t>
      </w:r>
      <w:r>
        <w:rPr>
          <w:rFonts w:ascii="Lucida Sans Unicode"/>
        </w:rPr>
        <w:t>same</w:t>
      </w:r>
      <w:r>
        <w:rPr>
          <w:rFonts w:ascii="Lucida Sans Unicode"/>
          <w:spacing w:val="11"/>
        </w:rPr>
        <w:t> </w:t>
      </w:r>
      <w:r>
        <w:rPr>
          <w:rFonts w:ascii="Lucida Sans Unicode"/>
        </w:rPr>
        <w:t>State</w:t>
      </w:r>
      <w:r>
        <w:rPr>
          <w:rFonts w:ascii="Lucida Sans Unicode"/>
          <w:spacing w:val="10"/>
        </w:rPr>
        <w:t> </w:t>
      </w:r>
      <w:r>
        <w:rPr>
          <w:rFonts w:ascii="Lucida Sans Unicode"/>
          <w:spacing w:val="-5"/>
        </w:rPr>
        <w:t>for</w:t>
      </w:r>
    </w:p>
    <w:p>
      <w:pPr>
        <w:pStyle w:val="BodyText"/>
        <w:spacing w:line="232" w:lineRule="auto"/>
        <w:ind w:right="317"/>
        <w:rPr>
          <w:rFonts w:ascii="Lucida Sans Unicode" w:hAnsi="Lucida Sans Unicode"/>
        </w:rPr>
      </w:pPr>
      <w:r>
        <w:rPr>
          <w:w w:val="110"/>
        </w:rPr>
        <w:t>an offence for which he has already </w:t>
      </w:r>
      <w:r>
        <w:rPr>
          <w:rFonts w:ascii="Lucida Sans Unicode" w:hAnsi="Lucida Sans Unicode"/>
          <w:spacing w:val="-2"/>
          <w:w w:val="110"/>
        </w:rPr>
        <w:t>been</w:t>
      </w:r>
      <w:r>
        <w:rPr>
          <w:rFonts w:ascii="Lucida Sans Unicode" w:hAnsi="Lucida Sans Unicode"/>
          <w:spacing w:val="-16"/>
          <w:w w:val="110"/>
        </w:rPr>
        <w:t> </w:t>
      </w:r>
      <w:r>
        <w:rPr>
          <w:rFonts w:ascii="Lucida Sans Unicode" w:hAnsi="Lucida Sans Unicode"/>
          <w:spacing w:val="-2"/>
          <w:w w:val="110"/>
        </w:rPr>
        <w:t>finally</w:t>
      </w:r>
      <w:r>
        <w:rPr>
          <w:rFonts w:ascii="Lucida Sans Unicode" w:hAnsi="Lucida Sans Unicode"/>
          <w:spacing w:val="-16"/>
          <w:w w:val="110"/>
        </w:rPr>
        <w:t> </w:t>
      </w:r>
      <w:r>
        <w:rPr>
          <w:rFonts w:ascii="Lucida Sans Unicode" w:hAnsi="Lucida Sans Unicode"/>
          <w:spacing w:val="-2"/>
          <w:w w:val="110"/>
        </w:rPr>
        <w:t>acquitted</w:t>
      </w:r>
      <w:r>
        <w:rPr>
          <w:rFonts w:ascii="Lucida Sans Unicode" w:hAnsi="Lucida Sans Unicode"/>
          <w:spacing w:val="-16"/>
          <w:w w:val="110"/>
        </w:rPr>
        <w:t> </w:t>
      </w:r>
      <w:r>
        <w:rPr>
          <w:rFonts w:ascii="Lucida Sans Unicode" w:hAnsi="Lucida Sans Unicode"/>
          <w:spacing w:val="-2"/>
          <w:w w:val="110"/>
        </w:rPr>
        <w:t>or</w:t>
      </w:r>
      <w:r>
        <w:rPr>
          <w:rFonts w:ascii="Lucida Sans Unicode" w:hAnsi="Lucida Sans Unicode"/>
          <w:spacing w:val="-16"/>
          <w:w w:val="110"/>
        </w:rPr>
        <w:t> </w:t>
      </w:r>
      <w:r>
        <w:rPr>
          <w:rFonts w:ascii="Lucida Sans Unicode" w:hAnsi="Lucida Sans Unicode"/>
          <w:spacing w:val="-2"/>
          <w:w w:val="110"/>
        </w:rPr>
        <w:t>convicted</w:t>
      </w:r>
      <w:r>
        <w:rPr>
          <w:rFonts w:ascii="Lucida Sans Unicode" w:hAnsi="Lucida Sans Unicode"/>
          <w:spacing w:val="-2"/>
          <w:w w:val="110"/>
        </w:rPr>
        <w:t> </w:t>
      </w:r>
      <w:r>
        <w:rPr>
          <w:w w:val="110"/>
        </w:rPr>
        <w:t>in accordance with the law and penal </w:t>
      </w:r>
      <w:r>
        <w:rPr>
          <w:rFonts w:ascii="Lucida Sans Unicode" w:hAnsi="Lucida Sans Unicode"/>
          <w:w w:val="110"/>
        </w:rPr>
        <w:t>procedure</w:t>
      </w:r>
      <w:r>
        <w:rPr>
          <w:rFonts w:ascii="Lucida Sans Unicode" w:hAnsi="Lucida Sans Unicode"/>
          <w:spacing w:val="-21"/>
          <w:w w:val="110"/>
        </w:rPr>
        <w:t> </w:t>
      </w:r>
      <w:r>
        <w:rPr>
          <w:rFonts w:ascii="Lucida Sans Unicode" w:hAnsi="Lucida Sans Unicode"/>
          <w:w w:val="110"/>
        </w:rPr>
        <w:t>of</w:t>
      </w:r>
      <w:r>
        <w:rPr>
          <w:rFonts w:ascii="Lucida Sans Unicode" w:hAnsi="Lucida Sans Unicode"/>
          <w:spacing w:val="-21"/>
          <w:w w:val="110"/>
        </w:rPr>
        <w:t> </w:t>
      </w:r>
      <w:r>
        <w:rPr>
          <w:rFonts w:ascii="Lucida Sans Unicode" w:hAnsi="Lucida Sans Unicode"/>
          <w:w w:val="110"/>
        </w:rPr>
        <w:t>that</w:t>
      </w:r>
      <w:r>
        <w:rPr>
          <w:rFonts w:ascii="Lucida Sans Unicode" w:hAnsi="Lucida Sans Unicode"/>
          <w:spacing w:val="-21"/>
          <w:w w:val="110"/>
        </w:rPr>
        <w:t> </w:t>
      </w:r>
      <w:r>
        <w:rPr>
          <w:rFonts w:ascii="Lucida Sans Unicode" w:hAnsi="Lucida Sans Unicode"/>
          <w:w w:val="110"/>
        </w:rPr>
        <w:t>State.’</w:t>
      </w:r>
    </w:p>
    <w:p>
      <w:pPr>
        <w:pStyle w:val="BodyText"/>
        <w:spacing w:line="256" w:lineRule="auto" w:before="268"/>
        <w:ind w:right="315"/>
        <w:rPr>
          <w:rFonts w:ascii="Lucida Sans Unicode"/>
        </w:rPr>
      </w:pPr>
      <w:r>
        <w:rPr>
          <w:w w:val="110"/>
        </w:rPr>
        <w:t>There is an expanding line of case law</w:t>
      </w:r>
      <w:r>
        <w:rPr>
          <w:spacing w:val="40"/>
          <w:w w:val="110"/>
        </w:rPr>
        <w:t> </w:t>
      </w:r>
      <w:r>
        <w:rPr>
          <w:w w:val="110"/>
        </w:rPr>
        <w:t>by</w:t>
      </w:r>
      <w:r>
        <w:rPr>
          <w:spacing w:val="40"/>
          <w:w w:val="110"/>
        </w:rPr>
        <w:t> </w:t>
      </w:r>
      <w:r>
        <w:rPr>
          <w:w w:val="110"/>
        </w:rPr>
        <w:t>the</w:t>
      </w:r>
      <w:r>
        <w:rPr>
          <w:spacing w:val="40"/>
          <w:w w:val="110"/>
        </w:rPr>
        <w:t> </w:t>
      </w:r>
      <w:r>
        <w:rPr>
          <w:w w:val="110"/>
        </w:rPr>
        <w:t>CJEU</w:t>
      </w:r>
      <w:r>
        <w:rPr>
          <w:spacing w:val="40"/>
          <w:w w:val="110"/>
        </w:rPr>
        <w:t> </w:t>
      </w:r>
      <w:r>
        <w:rPr>
          <w:w w:val="110"/>
        </w:rPr>
        <w:t>on</w:t>
      </w:r>
      <w:r>
        <w:rPr>
          <w:spacing w:val="40"/>
          <w:w w:val="110"/>
        </w:rPr>
        <w:t> </w:t>
      </w:r>
      <w:r>
        <w:rPr>
          <w:w w:val="110"/>
        </w:rPr>
        <w:t>the</w:t>
      </w:r>
      <w:r>
        <w:rPr>
          <w:spacing w:val="40"/>
          <w:w w:val="110"/>
        </w:rPr>
        <w:t> </w:t>
      </w:r>
      <w:r>
        <w:rPr>
          <w:w w:val="110"/>
        </w:rPr>
        <w:t>prohibition of</w:t>
      </w:r>
      <w:r>
        <w:rPr>
          <w:spacing w:val="-19"/>
          <w:w w:val="110"/>
        </w:rPr>
        <w:t> </w:t>
      </w:r>
      <w:r>
        <w:rPr>
          <w:w w:val="110"/>
        </w:rPr>
        <w:t>double</w:t>
      </w:r>
      <w:r>
        <w:rPr>
          <w:spacing w:val="-18"/>
          <w:w w:val="110"/>
        </w:rPr>
        <w:t> </w:t>
      </w:r>
      <w:r>
        <w:rPr>
          <w:w w:val="110"/>
        </w:rPr>
        <w:t>jeopardy</w:t>
      </w:r>
      <w:r>
        <w:rPr>
          <w:spacing w:val="-16"/>
          <w:w w:val="110"/>
        </w:rPr>
        <w:t> </w:t>
      </w:r>
      <w:r>
        <w:rPr>
          <w:w w:val="110"/>
        </w:rPr>
        <w:t>(or</w:t>
      </w:r>
      <w:r>
        <w:rPr>
          <w:spacing w:val="-11"/>
          <w:w w:val="110"/>
        </w:rPr>
        <w:t> </w:t>
      </w:r>
      <w:r>
        <w:rPr>
          <w:rFonts w:ascii="Verdana"/>
          <w:i/>
          <w:w w:val="110"/>
        </w:rPr>
        <w:t>ne</w:t>
      </w:r>
      <w:r>
        <w:rPr>
          <w:rFonts w:ascii="Verdana"/>
          <w:i/>
          <w:spacing w:val="-24"/>
          <w:w w:val="110"/>
        </w:rPr>
        <w:t> </w:t>
      </w:r>
      <w:r>
        <w:rPr>
          <w:rFonts w:ascii="Verdana"/>
          <w:i/>
          <w:w w:val="110"/>
        </w:rPr>
        <w:t>bis</w:t>
      </w:r>
      <w:r>
        <w:rPr>
          <w:rFonts w:ascii="Verdana"/>
          <w:i/>
          <w:spacing w:val="-23"/>
          <w:w w:val="110"/>
        </w:rPr>
        <w:t> </w:t>
      </w:r>
      <w:r>
        <w:rPr>
          <w:rFonts w:ascii="Verdana"/>
          <w:i/>
          <w:w w:val="110"/>
        </w:rPr>
        <w:t>in</w:t>
      </w:r>
      <w:r>
        <w:rPr>
          <w:rFonts w:ascii="Verdana"/>
          <w:i/>
          <w:spacing w:val="-23"/>
          <w:w w:val="110"/>
        </w:rPr>
        <w:t> </w:t>
      </w:r>
      <w:r>
        <w:rPr>
          <w:rFonts w:ascii="Verdana"/>
          <w:i/>
          <w:w w:val="110"/>
        </w:rPr>
        <w:t>idem</w:t>
      </w:r>
      <w:r>
        <w:rPr>
          <w:rFonts w:ascii="Verdana"/>
          <w:i/>
          <w:w w:val="110"/>
        </w:rPr>
        <w:t> </w:t>
      </w:r>
      <w:r>
        <w:rPr>
          <w:w w:val="110"/>
        </w:rPr>
        <w:t>as it is often referred to), which is</w:t>
      </w:r>
      <w:r>
        <w:rPr>
          <w:spacing w:val="40"/>
          <w:w w:val="110"/>
        </w:rPr>
        <w:t> </w:t>
      </w:r>
      <w:r>
        <w:rPr>
          <w:rFonts w:ascii="Lucida Sans Unicode"/>
        </w:rPr>
        <w:t>also</w:t>
      </w:r>
      <w:r>
        <w:rPr>
          <w:rFonts w:ascii="Lucida Sans Unicode"/>
          <w:spacing w:val="18"/>
        </w:rPr>
        <w:t> </w:t>
      </w:r>
      <w:r>
        <w:rPr>
          <w:rFonts w:ascii="Lucida Sans Unicode"/>
        </w:rPr>
        <w:t>protected</w:t>
      </w:r>
      <w:r>
        <w:rPr>
          <w:rFonts w:ascii="Lucida Sans Unicode"/>
          <w:spacing w:val="18"/>
        </w:rPr>
        <w:t> </w:t>
      </w:r>
      <w:r>
        <w:rPr>
          <w:rFonts w:ascii="Lucida Sans Unicode"/>
        </w:rPr>
        <w:t>in</w:t>
      </w:r>
      <w:r>
        <w:rPr>
          <w:rFonts w:ascii="Lucida Sans Unicode"/>
          <w:spacing w:val="19"/>
        </w:rPr>
        <w:t> </w:t>
      </w:r>
      <w:r>
        <w:rPr>
          <w:rFonts w:ascii="Lucida Sans Unicode"/>
        </w:rPr>
        <w:t>Article</w:t>
      </w:r>
      <w:r>
        <w:rPr>
          <w:rFonts w:ascii="Lucida Sans Unicode"/>
          <w:spacing w:val="18"/>
        </w:rPr>
        <w:t> </w:t>
      </w:r>
      <w:r>
        <w:rPr>
          <w:rFonts w:ascii="Lucida Sans Unicode"/>
        </w:rPr>
        <w:t>50</w:t>
      </w:r>
      <w:r>
        <w:rPr>
          <w:rFonts w:ascii="Lucida Sans Unicode"/>
          <w:spacing w:val="19"/>
        </w:rPr>
        <w:t> </w:t>
      </w:r>
      <w:r>
        <w:rPr>
          <w:rFonts w:ascii="Lucida Sans Unicode"/>
        </w:rPr>
        <w:t>CFR.</w:t>
      </w:r>
      <w:r>
        <w:rPr>
          <w:rFonts w:ascii="Lucida Sans Unicode"/>
          <w:spacing w:val="18"/>
        </w:rPr>
        <w:t> </w:t>
      </w:r>
      <w:r>
        <w:rPr>
          <w:rFonts w:ascii="Lucida Sans Unicode"/>
          <w:spacing w:val="-5"/>
        </w:rPr>
        <w:t>The</w:t>
      </w:r>
    </w:p>
    <w:p>
      <w:pPr>
        <w:pStyle w:val="BodyText"/>
        <w:spacing w:line="233" w:lineRule="exact"/>
      </w:pPr>
      <w:r>
        <w:rPr>
          <w:w w:val="115"/>
        </w:rPr>
        <w:t>question</w:t>
      </w:r>
      <w:r>
        <w:rPr>
          <w:spacing w:val="-10"/>
          <w:w w:val="115"/>
        </w:rPr>
        <w:t> </w:t>
      </w:r>
      <w:r>
        <w:rPr>
          <w:w w:val="115"/>
        </w:rPr>
        <w:t>is</w:t>
      </w:r>
      <w:r>
        <w:rPr>
          <w:spacing w:val="-9"/>
          <w:w w:val="115"/>
        </w:rPr>
        <w:t> </w:t>
      </w:r>
      <w:r>
        <w:rPr>
          <w:w w:val="115"/>
        </w:rPr>
        <w:t>whether</w:t>
      </w:r>
      <w:r>
        <w:rPr>
          <w:spacing w:val="-10"/>
          <w:w w:val="115"/>
        </w:rPr>
        <w:t> </w:t>
      </w:r>
      <w:r>
        <w:rPr>
          <w:w w:val="115"/>
        </w:rPr>
        <w:t>the</w:t>
      </w:r>
      <w:r>
        <w:rPr>
          <w:spacing w:val="-9"/>
          <w:w w:val="115"/>
        </w:rPr>
        <w:t> </w:t>
      </w:r>
      <w:r>
        <w:rPr>
          <w:w w:val="115"/>
        </w:rPr>
        <w:t>prohibition</w:t>
      </w:r>
      <w:r>
        <w:rPr>
          <w:spacing w:val="-10"/>
          <w:w w:val="115"/>
        </w:rPr>
        <w:t> </w:t>
      </w:r>
      <w:r>
        <w:rPr>
          <w:spacing w:val="-5"/>
          <w:w w:val="115"/>
        </w:rPr>
        <w:t>of</w:t>
      </w:r>
    </w:p>
    <w:p>
      <w:pPr>
        <w:pStyle w:val="BodyText"/>
        <w:spacing w:line="310" w:lineRule="exact" w:before="11"/>
        <w:ind w:right="162"/>
        <w:rPr>
          <w:rFonts w:ascii="Lucida Sans Unicode" w:hAnsi="Lucida Sans Unicode"/>
        </w:rPr>
      </w:pPr>
      <w:r>
        <w:rPr>
          <w:w w:val="110"/>
        </w:rPr>
        <w:t>double jeopardy as protected by EU law forms part of the non-diminution commitment.</w:t>
      </w:r>
      <w:r>
        <w:rPr>
          <w:spacing w:val="40"/>
          <w:w w:val="110"/>
        </w:rPr>
        <w:t> </w:t>
      </w:r>
      <w:r>
        <w:rPr>
          <w:w w:val="110"/>
        </w:rPr>
        <w:t>First,</w:t>
      </w:r>
      <w:r>
        <w:rPr>
          <w:spacing w:val="40"/>
          <w:w w:val="110"/>
        </w:rPr>
        <w:t> </w:t>
      </w:r>
      <w:r>
        <w:rPr>
          <w:w w:val="110"/>
        </w:rPr>
        <w:t>it</w:t>
      </w:r>
      <w:r>
        <w:rPr>
          <w:spacing w:val="40"/>
          <w:w w:val="110"/>
        </w:rPr>
        <w:t> </w:t>
      </w:r>
      <w:r>
        <w:rPr>
          <w:w w:val="110"/>
        </w:rPr>
        <w:t>would</w:t>
      </w:r>
      <w:r>
        <w:rPr>
          <w:spacing w:val="40"/>
          <w:w w:val="110"/>
        </w:rPr>
        <w:t> </w:t>
      </w:r>
      <w:r>
        <w:rPr>
          <w:w w:val="110"/>
        </w:rPr>
        <w:t>need</w:t>
      </w:r>
      <w:r>
        <w:rPr>
          <w:spacing w:val="40"/>
          <w:w w:val="110"/>
        </w:rPr>
        <w:t> </w:t>
      </w:r>
      <w:r>
        <w:rPr>
          <w:w w:val="110"/>
        </w:rPr>
        <w:t>to be established that it is part of the </w:t>
      </w:r>
      <w:r>
        <w:rPr>
          <w:rFonts w:ascii="Lucida Sans Unicode" w:hAnsi="Lucida Sans Unicode"/>
          <w:w w:val="110"/>
        </w:rPr>
        <w:t>RSEO</w:t>
      </w:r>
      <w:r>
        <w:rPr>
          <w:rFonts w:ascii="Lucida Sans Unicode" w:hAnsi="Lucida Sans Unicode"/>
          <w:spacing w:val="-11"/>
          <w:w w:val="110"/>
        </w:rPr>
        <w:t> </w:t>
      </w:r>
      <w:r>
        <w:rPr>
          <w:rFonts w:ascii="Lucida Sans Unicode" w:hAnsi="Lucida Sans Unicode"/>
          <w:w w:val="110"/>
        </w:rPr>
        <w:t>commitment</w:t>
      </w:r>
      <w:r>
        <w:rPr>
          <w:rFonts w:ascii="Lucida Sans Unicode" w:hAnsi="Lucida Sans Unicode"/>
          <w:spacing w:val="-11"/>
          <w:w w:val="110"/>
        </w:rPr>
        <w:t> </w:t>
      </w:r>
      <w:r>
        <w:rPr>
          <w:rFonts w:ascii="Lucida Sans Unicode" w:hAnsi="Lucida Sans Unicode"/>
          <w:w w:val="110"/>
        </w:rPr>
        <w:t>in</w:t>
      </w:r>
      <w:r>
        <w:rPr>
          <w:rFonts w:ascii="Lucida Sans Unicode" w:hAnsi="Lucida Sans Unicode"/>
          <w:spacing w:val="-11"/>
          <w:w w:val="110"/>
        </w:rPr>
        <w:t> </w:t>
      </w:r>
      <w:r>
        <w:rPr>
          <w:rFonts w:ascii="Lucida Sans Unicode" w:hAnsi="Lucida Sans Unicode"/>
          <w:w w:val="110"/>
        </w:rPr>
        <w:t>the</w:t>
      </w:r>
      <w:r>
        <w:rPr>
          <w:rFonts w:ascii="Lucida Sans Unicode" w:hAnsi="Lucida Sans Unicode"/>
          <w:spacing w:val="-11"/>
          <w:w w:val="110"/>
        </w:rPr>
        <w:t> </w:t>
      </w:r>
      <w:r>
        <w:rPr>
          <w:rFonts w:ascii="Lucida Sans Unicode" w:hAnsi="Lucida Sans Unicode"/>
          <w:w w:val="110"/>
        </w:rPr>
        <w:t>Belfast </w:t>
      </w:r>
      <w:r>
        <w:rPr>
          <w:w w:val="110"/>
        </w:rPr>
        <w:t>(Good Friday) Agreement. While it is part of the ECHR, the UK is clearly </w:t>
      </w:r>
      <w:r>
        <w:rPr>
          <w:w w:val="110"/>
        </w:rPr>
        <w:t>not </w:t>
      </w:r>
      <w:r>
        <w:rPr>
          <w:rFonts w:ascii="Lucida Sans Unicode" w:hAnsi="Lucida Sans Unicode"/>
        </w:rPr>
        <w:t>bound by Article 4 Protocol No 7 as it </w:t>
      </w:r>
      <w:r>
        <w:rPr>
          <w:w w:val="110"/>
        </w:rPr>
        <w:t>has not even signed that Protocol, let </w:t>
      </w:r>
      <w:r>
        <w:rPr>
          <w:rFonts w:ascii="Lucida Sans Unicode" w:hAnsi="Lucida Sans Unicode"/>
        </w:rPr>
        <w:t>alone ratified it. At the same time, it </w:t>
      </w:r>
      <w:r>
        <w:rPr>
          <w:w w:val="110"/>
        </w:rPr>
        <w:t>can</w:t>
      </w:r>
      <w:r>
        <w:rPr>
          <w:spacing w:val="40"/>
          <w:w w:val="110"/>
        </w:rPr>
        <w:t> </w:t>
      </w:r>
      <w:r>
        <w:rPr>
          <w:w w:val="110"/>
        </w:rPr>
        <w:t>hardly</w:t>
      </w:r>
      <w:r>
        <w:rPr>
          <w:spacing w:val="40"/>
          <w:w w:val="110"/>
        </w:rPr>
        <w:t> </w:t>
      </w:r>
      <w:r>
        <w:rPr>
          <w:w w:val="110"/>
        </w:rPr>
        <w:t>be</w:t>
      </w:r>
      <w:r>
        <w:rPr>
          <w:spacing w:val="40"/>
          <w:w w:val="110"/>
        </w:rPr>
        <w:t> </w:t>
      </w:r>
      <w:r>
        <w:rPr>
          <w:w w:val="110"/>
        </w:rPr>
        <w:t>denied</w:t>
      </w:r>
      <w:r>
        <w:rPr>
          <w:spacing w:val="40"/>
          <w:w w:val="110"/>
        </w:rPr>
        <w:t> </w:t>
      </w:r>
      <w:r>
        <w:rPr>
          <w:w w:val="110"/>
        </w:rPr>
        <w:t>that,</w:t>
      </w:r>
      <w:r>
        <w:rPr>
          <w:spacing w:val="40"/>
          <w:w w:val="110"/>
        </w:rPr>
        <w:t> </w:t>
      </w:r>
      <w:r>
        <w:rPr>
          <w:w w:val="110"/>
        </w:rPr>
        <w:t>given</w:t>
      </w:r>
      <w:r>
        <w:rPr>
          <w:spacing w:val="40"/>
          <w:w w:val="110"/>
        </w:rPr>
        <w:t> </w:t>
      </w:r>
      <w:r>
        <w:rPr>
          <w:w w:val="110"/>
        </w:rPr>
        <w:t>that it is a procedural right, the prohibition of double jeopardy is a ‘civil right’, which is protected in Northern Ireland law.</w:t>
      </w:r>
      <w:r>
        <w:rPr>
          <w:spacing w:val="-1"/>
          <w:w w:val="110"/>
        </w:rPr>
        <w:t> </w:t>
      </w:r>
      <w:r>
        <w:rPr>
          <w:w w:val="110"/>
        </w:rPr>
        <w:t>The</w:t>
      </w:r>
      <w:r>
        <w:rPr>
          <w:spacing w:val="-1"/>
          <w:w w:val="110"/>
        </w:rPr>
        <w:t> </w:t>
      </w:r>
      <w:r>
        <w:rPr>
          <w:w w:val="110"/>
        </w:rPr>
        <w:t>common</w:t>
      </w:r>
      <w:r>
        <w:rPr>
          <w:spacing w:val="-1"/>
          <w:w w:val="110"/>
        </w:rPr>
        <w:t> </w:t>
      </w:r>
      <w:r>
        <w:rPr>
          <w:w w:val="110"/>
        </w:rPr>
        <w:t>law</w:t>
      </w:r>
      <w:r>
        <w:rPr>
          <w:rFonts w:ascii="Lucida Sans Unicode" w:hAnsi="Lucida Sans Unicode"/>
          <w:w w:val="110"/>
          <w:vertAlign w:val="superscript"/>
        </w:rPr>
        <w:t>226</w:t>
      </w:r>
      <w:r>
        <w:rPr>
          <w:rFonts w:ascii="Lucida Sans Unicode" w:hAnsi="Lucida Sans Unicode"/>
          <w:spacing w:val="-11"/>
          <w:w w:val="110"/>
          <w:vertAlign w:val="baseline"/>
        </w:rPr>
        <w:t> </w:t>
      </w:r>
      <w:r>
        <w:rPr>
          <w:rFonts w:ascii="Lucida Sans Unicode" w:hAnsi="Lucida Sans Unicode"/>
          <w:w w:val="110"/>
          <w:vertAlign w:val="baseline"/>
        </w:rPr>
        <w:t>–</w:t>
      </w:r>
      <w:r>
        <w:rPr>
          <w:rFonts w:ascii="Lucida Sans Unicode" w:hAnsi="Lucida Sans Unicode"/>
          <w:spacing w:val="-11"/>
          <w:w w:val="110"/>
          <w:vertAlign w:val="baseline"/>
        </w:rPr>
        <w:t> </w:t>
      </w:r>
      <w:r>
        <w:rPr>
          <w:rFonts w:ascii="Lucida Sans Unicode" w:hAnsi="Lucida Sans Unicode"/>
          <w:w w:val="110"/>
          <w:vertAlign w:val="baseline"/>
        </w:rPr>
        <w:t>modified</w:t>
      </w:r>
    </w:p>
    <w:p>
      <w:pPr>
        <w:spacing w:after="0" w:line="310" w:lineRule="exact"/>
        <w:rPr>
          <w:rFonts w:ascii="Lucida Sans Unicode" w:hAnsi="Lucida Sans Unicode"/>
        </w:rPr>
        <w:sectPr>
          <w:type w:val="continuous"/>
          <w:pgSz w:w="11910" w:h="16840"/>
          <w:pgMar w:header="568" w:footer="580" w:top="0" w:bottom="280" w:left="1020" w:right="1020"/>
          <w:cols w:num="2" w:equalWidth="0">
            <w:col w:w="4714" w:space="332"/>
            <w:col w:w="4824"/>
          </w:cols>
        </w:sectPr>
      </w:pPr>
    </w:p>
    <w:p>
      <w:pPr>
        <w:pStyle w:val="BodyText"/>
        <w:spacing w:before="151" w:after="1"/>
        <w:ind w:left="0"/>
        <w:rPr>
          <w:rFonts w:ascii="Lucida Sans Unicode"/>
          <w:sz w:val="20"/>
        </w:rPr>
      </w:pPr>
    </w:p>
    <w:p>
      <w:pPr>
        <w:pStyle w:val="BodyText"/>
        <w:spacing w:line="20" w:lineRule="exact"/>
        <w:rPr>
          <w:rFonts w:ascii="Lucida Sans Unicode"/>
          <w:sz w:val="2"/>
        </w:rPr>
      </w:pPr>
      <w:r>
        <w:rPr>
          <w:rFonts w:ascii="Lucida Sans Unicode"/>
          <w:sz w:val="2"/>
        </w:rPr>
        <mc:AlternateContent>
          <mc:Choice Requires="wps">
            <w:drawing>
              <wp:inline distT="0" distB="0" distL="0" distR="0">
                <wp:extent cx="6120130" cy="6350"/>
                <wp:effectExtent l="9525" t="0" r="0" b="3175"/>
                <wp:docPr id="147" name="Group 147"/>
                <wp:cNvGraphicFramePr>
                  <a:graphicFrameLocks/>
                </wp:cNvGraphicFramePr>
                <a:graphic>
                  <a:graphicData uri="http://schemas.microsoft.com/office/word/2010/wordprocessingGroup">
                    <wpg:wgp>
                      <wpg:cNvPr id="147" name="Group 147"/>
                      <wpg:cNvGrpSpPr/>
                      <wpg:grpSpPr>
                        <a:xfrm>
                          <a:off x="0" y="0"/>
                          <a:ext cx="6120130" cy="6350"/>
                          <a:chExt cx="6120130" cy="6350"/>
                        </a:xfrm>
                      </wpg:grpSpPr>
                      <wps:wsp>
                        <wps:cNvPr id="148" name="Graphic 148"/>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92" coordorigin="0,0" coordsize="9638,10">
                <v:line style="position:absolute" from="0,5" to="9638,5" stroked="true" strokeweight=".5pt" strokecolor="#77328a">
                  <v:stroke dashstyle="solid"/>
                </v:line>
              </v:group>
            </w:pict>
          </mc:Fallback>
        </mc:AlternateContent>
      </w:r>
      <w:r>
        <w:rPr>
          <w:rFonts w:ascii="Lucida Sans Unicode"/>
          <w:sz w:val="2"/>
        </w:rPr>
      </w:r>
    </w:p>
    <w:p>
      <w:pPr>
        <w:pStyle w:val="ListParagraph"/>
        <w:numPr>
          <w:ilvl w:val="0"/>
          <w:numId w:val="14"/>
        </w:numPr>
        <w:tabs>
          <w:tab w:pos="565" w:val="left" w:leader="none"/>
          <w:tab w:pos="567" w:val="left" w:leader="none"/>
        </w:tabs>
        <w:spacing w:line="194" w:lineRule="auto" w:before="94" w:after="0"/>
        <w:ind w:left="567" w:right="620" w:hanging="454"/>
        <w:jc w:val="left"/>
        <w:rPr>
          <w:sz w:val="16"/>
        </w:rPr>
      </w:pPr>
      <w:r>
        <w:rPr>
          <w:spacing w:val="-2"/>
          <w:sz w:val="16"/>
        </w:rPr>
        <w:t>Case C-131/12 </w:t>
      </w:r>
      <w:r>
        <w:rPr>
          <w:rFonts w:ascii="Verdana" w:hAnsi="Verdana"/>
          <w:i/>
          <w:spacing w:val="-2"/>
          <w:sz w:val="16"/>
        </w:rPr>
        <w:t>Google</w:t>
      </w:r>
      <w:r>
        <w:rPr>
          <w:rFonts w:ascii="Verdana" w:hAnsi="Verdana"/>
          <w:i/>
          <w:spacing w:val="-7"/>
          <w:sz w:val="16"/>
        </w:rPr>
        <w:t> </w:t>
      </w:r>
      <w:r>
        <w:rPr>
          <w:rFonts w:ascii="Verdana" w:hAnsi="Verdana"/>
          <w:i/>
          <w:spacing w:val="-2"/>
          <w:sz w:val="16"/>
        </w:rPr>
        <w:t>Spain</w:t>
      </w:r>
      <w:r>
        <w:rPr>
          <w:rFonts w:ascii="Verdana" w:hAnsi="Verdana"/>
          <w:i/>
          <w:spacing w:val="-7"/>
          <w:sz w:val="16"/>
        </w:rPr>
        <w:t> </w:t>
      </w:r>
      <w:r>
        <w:rPr>
          <w:rFonts w:ascii="Verdana" w:hAnsi="Verdana"/>
          <w:i/>
          <w:spacing w:val="-2"/>
          <w:sz w:val="16"/>
        </w:rPr>
        <w:t>SL</w:t>
      </w:r>
      <w:r>
        <w:rPr>
          <w:rFonts w:ascii="Verdana" w:hAnsi="Verdana"/>
          <w:i/>
          <w:spacing w:val="-7"/>
          <w:sz w:val="16"/>
        </w:rPr>
        <w:t> </w:t>
      </w:r>
      <w:r>
        <w:rPr>
          <w:rFonts w:ascii="Verdana" w:hAnsi="Verdana"/>
          <w:i/>
          <w:spacing w:val="-2"/>
          <w:sz w:val="16"/>
        </w:rPr>
        <w:t>and</w:t>
      </w:r>
      <w:r>
        <w:rPr>
          <w:rFonts w:ascii="Verdana" w:hAnsi="Verdana"/>
          <w:i/>
          <w:spacing w:val="-7"/>
          <w:sz w:val="16"/>
        </w:rPr>
        <w:t> </w:t>
      </w:r>
      <w:r>
        <w:rPr>
          <w:rFonts w:ascii="Verdana" w:hAnsi="Verdana"/>
          <w:i/>
          <w:spacing w:val="-2"/>
          <w:sz w:val="16"/>
        </w:rPr>
        <w:t>Google</w:t>
      </w:r>
      <w:r>
        <w:rPr>
          <w:rFonts w:ascii="Verdana" w:hAnsi="Verdana"/>
          <w:i/>
          <w:spacing w:val="-7"/>
          <w:sz w:val="16"/>
        </w:rPr>
        <w:t> </w:t>
      </w:r>
      <w:r>
        <w:rPr>
          <w:rFonts w:ascii="Verdana" w:hAnsi="Verdana"/>
          <w:i/>
          <w:spacing w:val="-2"/>
          <w:sz w:val="16"/>
        </w:rPr>
        <w:t>Inc.</w:t>
      </w:r>
      <w:r>
        <w:rPr>
          <w:rFonts w:ascii="Verdana" w:hAnsi="Verdana"/>
          <w:i/>
          <w:spacing w:val="-7"/>
          <w:sz w:val="16"/>
        </w:rPr>
        <w:t> </w:t>
      </w:r>
      <w:r>
        <w:rPr>
          <w:rFonts w:ascii="Verdana" w:hAnsi="Verdana"/>
          <w:i/>
          <w:spacing w:val="-2"/>
          <w:sz w:val="16"/>
        </w:rPr>
        <w:t>v</w:t>
      </w:r>
      <w:r>
        <w:rPr>
          <w:rFonts w:ascii="Verdana" w:hAnsi="Verdana"/>
          <w:i/>
          <w:spacing w:val="-7"/>
          <w:sz w:val="16"/>
        </w:rPr>
        <w:t> </w:t>
      </w:r>
      <w:r>
        <w:rPr>
          <w:rFonts w:ascii="Verdana" w:hAnsi="Verdana"/>
          <w:i/>
          <w:spacing w:val="-2"/>
          <w:sz w:val="16"/>
        </w:rPr>
        <w:t>Agencia</w:t>
      </w:r>
      <w:r>
        <w:rPr>
          <w:rFonts w:ascii="Verdana" w:hAnsi="Verdana"/>
          <w:i/>
          <w:spacing w:val="-7"/>
          <w:sz w:val="16"/>
        </w:rPr>
        <w:t> </w:t>
      </w:r>
      <w:r>
        <w:rPr>
          <w:rFonts w:ascii="Verdana" w:hAnsi="Verdana"/>
          <w:i/>
          <w:spacing w:val="-2"/>
          <w:sz w:val="16"/>
        </w:rPr>
        <w:t>Española</w:t>
      </w:r>
      <w:r>
        <w:rPr>
          <w:rFonts w:ascii="Verdana" w:hAnsi="Verdana"/>
          <w:i/>
          <w:spacing w:val="-7"/>
          <w:sz w:val="16"/>
        </w:rPr>
        <w:t> </w:t>
      </w:r>
      <w:r>
        <w:rPr>
          <w:rFonts w:ascii="Verdana" w:hAnsi="Verdana"/>
          <w:i/>
          <w:spacing w:val="-2"/>
          <w:sz w:val="16"/>
        </w:rPr>
        <w:t>de</w:t>
      </w:r>
      <w:r>
        <w:rPr>
          <w:rFonts w:ascii="Verdana" w:hAnsi="Verdana"/>
          <w:i/>
          <w:spacing w:val="-7"/>
          <w:sz w:val="16"/>
        </w:rPr>
        <w:t> </w:t>
      </w:r>
      <w:r>
        <w:rPr>
          <w:rFonts w:ascii="Verdana" w:hAnsi="Verdana"/>
          <w:i/>
          <w:spacing w:val="-2"/>
          <w:sz w:val="16"/>
        </w:rPr>
        <w:t>Protección</w:t>
      </w:r>
      <w:r>
        <w:rPr>
          <w:rFonts w:ascii="Verdana" w:hAnsi="Verdana"/>
          <w:i/>
          <w:spacing w:val="-7"/>
          <w:sz w:val="16"/>
        </w:rPr>
        <w:t> </w:t>
      </w:r>
      <w:r>
        <w:rPr>
          <w:rFonts w:ascii="Verdana" w:hAnsi="Verdana"/>
          <w:i/>
          <w:spacing w:val="-2"/>
          <w:sz w:val="16"/>
        </w:rPr>
        <w:t>de</w:t>
      </w:r>
      <w:r>
        <w:rPr>
          <w:rFonts w:ascii="Verdana" w:hAnsi="Verdana"/>
          <w:i/>
          <w:spacing w:val="-7"/>
          <w:sz w:val="16"/>
        </w:rPr>
        <w:t> </w:t>
      </w:r>
      <w:r>
        <w:rPr>
          <w:rFonts w:ascii="Verdana" w:hAnsi="Verdana"/>
          <w:i/>
          <w:spacing w:val="-2"/>
          <w:sz w:val="16"/>
        </w:rPr>
        <w:t>Datos</w:t>
      </w:r>
      <w:r>
        <w:rPr>
          <w:rFonts w:ascii="Verdana" w:hAnsi="Verdana"/>
          <w:i/>
          <w:spacing w:val="-7"/>
          <w:sz w:val="16"/>
        </w:rPr>
        <w:t> </w:t>
      </w:r>
      <w:r>
        <w:rPr>
          <w:rFonts w:ascii="Verdana" w:hAnsi="Verdana"/>
          <w:i/>
          <w:spacing w:val="-2"/>
          <w:sz w:val="16"/>
        </w:rPr>
        <w:t>(AEPD)</w:t>
      </w:r>
      <w:r>
        <w:rPr>
          <w:rFonts w:ascii="Verdana" w:hAnsi="Verdana"/>
          <w:i/>
          <w:spacing w:val="-7"/>
          <w:sz w:val="16"/>
        </w:rPr>
        <w:t> </w:t>
      </w:r>
      <w:r>
        <w:rPr>
          <w:rFonts w:ascii="Verdana" w:hAnsi="Verdana"/>
          <w:i/>
          <w:spacing w:val="-2"/>
          <w:sz w:val="16"/>
        </w:rPr>
        <w:t>and</w:t>
      </w:r>
      <w:r>
        <w:rPr>
          <w:rFonts w:ascii="Verdana" w:hAnsi="Verdana"/>
          <w:i/>
          <w:spacing w:val="-7"/>
          <w:sz w:val="16"/>
        </w:rPr>
        <w:t> </w:t>
      </w:r>
      <w:r>
        <w:rPr>
          <w:rFonts w:ascii="Verdana" w:hAnsi="Verdana"/>
          <w:i/>
          <w:spacing w:val="-2"/>
          <w:sz w:val="16"/>
        </w:rPr>
        <w:t>Mario</w:t>
      </w:r>
      <w:r>
        <w:rPr>
          <w:rFonts w:ascii="Verdana" w:hAnsi="Verdana"/>
          <w:i/>
          <w:spacing w:val="-2"/>
          <w:sz w:val="16"/>
        </w:rPr>
        <w:t> </w:t>
      </w:r>
      <w:r>
        <w:rPr>
          <w:rFonts w:ascii="Verdana" w:hAnsi="Verdana"/>
          <w:i/>
          <w:sz w:val="16"/>
        </w:rPr>
        <w:t>Costeja González </w:t>
      </w:r>
      <w:r>
        <w:rPr>
          <w:sz w:val="16"/>
        </w:rPr>
        <w:t>EU:C:2014:317.</w:t>
      </w:r>
    </w:p>
    <w:p>
      <w:pPr>
        <w:pStyle w:val="ListParagraph"/>
        <w:numPr>
          <w:ilvl w:val="0"/>
          <w:numId w:val="14"/>
        </w:numPr>
        <w:tabs>
          <w:tab w:pos="564" w:val="left" w:leader="none"/>
          <w:tab w:pos="567" w:val="left" w:leader="none"/>
        </w:tabs>
        <w:spacing w:line="206" w:lineRule="auto" w:before="0" w:after="0"/>
        <w:ind w:left="567" w:right="1196" w:hanging="454"/>
        <w:jc w:val="left"/>
        <w:rPr>
          <w:rFonts w:ascii="Verdana" w:hAnsi="Verdana"/>
          <w:i/>
          <w:sz w:val="16"/>
        </w:rPr>
      </w:pPr>
      <w:r>
        <w:rPr>
          <w:sz w:val="16"/>
        </w:rPr>
        <w:t>Fundamentally</w:t>
      </w:r>
      <w:r>
        <w:rPr>
          <w:spacing w:val="-8"/>
          <w:sz w:val="16"/>
        </w:rPr>
        <w:t> </w:t>
      </w:r>
      <w:r>
        <w:rPr>
          <w:sz w:val="16"/>
        </w:rPr>
        <w:t>established</w:t>
      </w:r>
      <w:r>
        <w:rPr>
          <w:spacing w:val="-8"/>
          <w:sz w:val="16"/>
        </w:rPr>
        <w:t> </w:t>
      </w:r>
      <w:r>
        <w:rPr>
          <w:sz w:val="16"/>
        </w:rPr>
        <w:t>in</w:t>
      </w:r>
      <w:r>
        <w:rPr>
          <w:spacing w:val="-8"/>
          <w:sz w:val="16"/>
        </w:rPr>
        <w:t> </w:t>
      </w:r>
      <w:r>
        <w:rPr>
          <w:sz w:val="16"/>
        </w:rPr>
        <w:t>Joined</w:t>
      </w:r>
      <w:r>
        <w:rPr>
          <w:spacing w:val="-8"/>
          <w:sz w:val="16"/>
        </w:rPr>
        <w:t> </w:t>
      </w:r>
      <w:r>
        <w:rPr>
          <w:sz w:val="16"/>
        </w:rPr>
        <w:t>Cases</w:t>
      </w:r>
      <w:r>
        <w:rPr>
          <w:spacing w:val="-8"/>
          <w:sz w:val="16"/>
        </w:rPr>
        <w:t> </w:t>
      </w:r>
      <w:r>
        <w:rPr>
          <w:sz w:val="16"/>
        </w:rPr>
        <w:t>C-293/12</w:t>
      </w:r>
      <w:r>
        <w:rPr>
          <w:spacing w:val="-8"/>
          <w:sz w:val="16"/>
        </w:rPr>
        <w:t> </w:t>
      </w:r>
      <w:r>
        <w:rPr>
          <w:sz w:val="16"/>
        </w:rPr>
        <w:t>and</w:t>
      </w:r>
      <w:r>
        <w:rPr>
          <w:spacing w:val="-8"/>
          <w:sz w:val="16"/>
        </w:rPr>
        <w:t> </w:t>
      </w:r>
      <w:r>
        <w:rPr>
          <w:sz w:val="16"/>
        </w:rPr>
        <w:t>C-594/12</w:t>
      </w:r>
      <w:r>
        <w:rPr>
          <w:spacing w:val="-8"/>
          <w:sz w:val="16"/>
        </w:rPr>
        <w:t> </w:t>
      </w:r>
      <w:r>
        <w:rPr>
          <w:rFonts w:ascii="Verdana" w:hAnsi="Verdana"/>
          <w:i/>
          <w:sz w:val="16"/>
        </w:rPr>
        <w:t>Digital</w:t>
      </w:r>
      <w:r>
        <w:rPr>
          <w:rFonts w:ascii="Verdana" w:hAnsi="Verdana"/>
          <w:i/>
          <w:spacing w:val="-14"/>
          <w:sz w:val="16"/>
        </w:rPr>
        <w:t> </w:t>
      </w:r>
      <w:r>
        <w:rPr>
          <w:rFonts w:ascii="Verdana" w:hAnsi="Verdana"/>
          <w:i/>
          <w:sz w:val="16"/>
        </w:rPr>
        <w:t>Rights</w:t>
      </w:r>
      <w:r>
        <w:rPr>
          <w:rFonts w:ascii="Verdana" w:hAnsi="Verdana"/>
          <w:i/>
          <w:spacing w:val="-14"/>
          <w:sz w:val="16"/>
        </w:rPr>
        <w:t> </w:t>
      </w:r>
      <w:r>
        <w:rPr>
          <w:rFonts w:ascii="Verdana" w:hAnsi="Verdana"/>
          <w:i/>
          <w:sz w:val="16"/>
        </w:rPr>
        <w:t>Ireland</w:t>
      </w:r>
      <w:r>
        <w:rPr>
          <w:rFonts w:ascii="Verdana" w:hAnsi="Verdana"/>
          <w:i/>
          <w:spacing w:val="-14"/>
          <w:sz w:val="16"/>
        </w:rPr>
        <w:t> </w:t>
      </w:r>
      <w:r>
        <w:rPr>
          <w:rFonts w:ascii="Verdana" w:hAnsi="Verdana"/>
          <w:i/>
          <w:sz w:val="16"/>
        </w:rPr>
        <w:t>v</w:t>
      </w:r>
      <w:r>
        <w:rPr>
          <w:rFonts w:ascii="Verdana" w:hAnsi="Verdana"/>
          <w:i/>
          <w:spacing w:val="-14"/>
          <w:sz w:val="16"/>
        </w:rPr>
        <w:t> </w:t>
      </w:r>
      <w:r>
        <w:rPr>
          <w:rFonts w:ascii="Verdana" w:hAnsi="Verdana"/>
          <w:i/>
          <w:sz w:val="16"/>
        </w:rPr>
        <w:t>Minister</w:t>
      </w:r>
      <w:r>
        <w:rPr>
          <w:rFonts w:ascii="Verdana" w:hAnsi="Verdana"/>
          <w:i/>
          <w:spacing w:val="-14"/>
          <w:sz w:val="16"/>
        </w:rPr>
        <w:t> </w:t>
      </w:r>
      <w:r>
        <w:rPr>
          <w:rFonts w:ascii="Verdana" w:hAnsi="Verdana"/>
          <w:i/>
          <w:sz w:val="16"/>
        </w:rPr>
        <w:t>for</w:t>
      </w:r>
      <w:r>
        <w:rPr>
          <w:rFonts w:ascii="Verdana" w:hAnsi="Verdana"/>
          <w:i/>
          <w:sz w:val="16"/>
        </w:rPr>
        <w:t> </w:t>
      </w:r>
      <w:r>
        <w:rPr>
          <w:rFonts w:ascii="Verdana" w:hAnsi="Verdana"/>
          <w:i/>
          <w:spacing w:val="-2"/>
          <w:sz w:val="16"/>
        </w:rPr>
        <w:t>Communications,</w:t>
      </w:r>
      <w:r>
        <w:rPr>
          <w:rFonts w:ascii="Verdana" w:hAnsi="Verdana"/>
          <w:i/>
          <w:spacing w:val="-3"/>
          <w:sz w:val="16"/>
        </w:rPr>
        <w:t> </w:t>
      </w:r>
      <w:r>
        <w:rPr>
          <w:rFonts w:ascii="Verdana" w:hAnsi="Verdana"/>
          <w:i/>
          <w:spacing w:val="-2"/>
          <w:sz w:val="16"/>
        </w:rPr>
        <w:t>Marine</w:t>
      </w:r>
      <w:r>
        <w:rPr>
          <w:rFonts w:ascii="Verdana" w:hAnsi="Verdana"/>
          <w:i/>
          <w:spacing w:val="-3"/>
          <w:sz w:val="16"/>
        </w:rPr>
        <w:t> </w:t>
      </w:r>
      <w:r>
        <w:rPr>
          <w:rFonts w:ascii="Verdana" w:hAnsi="Verdana"/>
          <w:i/>
          <w:spacing w:val="-2"/>
          <w:sz w:val="16"/>
        </w:rPr>
        <w:t>and</w:t>
      </w:r>
      <w:r>
        <w:rPr>
          <w:rFonts w:ascii="Verdana" w:hAnsi="Verdana"/>
          <w:i/>
          <w:spacing w:val="-3"/>
          <w:sz w:val="16"/>
        </w:rPr>
        <w:t> </w:t>
      </w:r>
      <w:r>
        <w:rPr>
          <w:rFonts w:ascii="Verdana" w:hAnsi="Verdana"/>
          <w:i/>
          <w:spacing w:val="-2"/>
          <w:sz w:val="16"/>
        </w:rPr>
        <w:t>Natural</w:t>
      </w:r>
      <w:r>
        <w:rPr>
          <w:rFonts w:ascii="Verdana" w:hAnsi="Verdana"/>
          <w:i/>
          <w:spacing w:val="-3"/>
          <w:sz w:val="16"/>
        </w:rPr>
        <w:t> </w:t>
      </w:r>
      <w:r>
        <w:rPr>
          <w:rFonts w:ascii="Verdana" w:hAnsi="Verdana"/>
          <w:i/>
          <w:spacing w:val="-2"/>
          <w:sz w:val="16"/>
        </w:rPr>
        <w:t>Resources</w:t>
      </w:r>
      <w:r>
        <w:rPr>
          <w:rFonts w:ascii="Verdana" w:hAnsi="Verdana"/>
          <w:i/>
          <w:spacing w:val="-3"/>
          <w:sz w:val="16"/>
        </w:rPr>
        <w:t> </w:t>
      </w:r>
      <w:r>
        <w:rPr>
          <w:rFonts w:ascii="Verdana" w:hAnsi="Verdana"/>
          <w:i/>
          <w:spacing w:val="-2"/>
          <w:sz w:val="16"/>
        </w:rPr>
        <w:t>and</w:t>
      </w:r>
      <w:r>
        <w:rPr>
          <w:rFonts w:ascii="Verdana" w:hAnsi="Verdana"/>
          <w:i/>
          <w:spacing w:val="-3"/>
          <w:sz w:val="16"/>
        </w:rPr>
        <w:t> </w:t>
      </w:r>
      <w:r>
        <w:rPr>
          <w:rFonts w:ascii="Verdana" w:hAnsi="Verdana"/>
          <w:i/>
          <w:spacing w:val="-2"/>
          <w:sz w:val="16"/>
        </w:rPr>
        <w:t>Others</w:t>
      </w:r>
      <w:r>
        <w:rPr>
          <w:rFonts w:ascii="Verdana" w:hAnsi="Verdana"/>
          <w:i/>
          <w:spacing w:val="-3"/>
          <w:sz w:val="16"/>
        </w:rPr>
        <w:t> </w:t>
      </w:r>
      <w:r>
        <w:rPr>
          <w:rFonts w:ascii="Verdana" w:hAnsi="Verdana"/>
          <w:i/>
          <w:spacing w:val="-2"/>
          <w:sz w:val="16"/>
        </w:rPr>
        <w:t>and</w:t>
      </w:r>
      <w:r>
        <w:rPr>
          <w:rFonts w:ascii="Verdana" w:hAnsi="Verdana"/>
          <w:i/>
          <w:spacing w:val="-3"/>
          <w:sz w:val="16"/>
        </w:rPr>
        <w:t> </w:t>
      </w:r>
      <w:r>
        <w:rPr>
          <w:rFonts w:ascii="Verdana" w:hAnsi="Verdana"/>
          <w:i/>
          <w:spacing w:val="-2"/>
          <w:sz w:val="16"/>
        </w:rPr>
        <w:t>Kärntner</w:t>
      </w:r>
      <w:r>
        <w:rPr>
          <w:rFonts w:ascii="Verdana" w:hAnsi="Verdana"/>
          <w:i/>
          <w:spacing w:val="-3"/>
          <w:sz w:val="16"/>
        </w:rPr>
        <w:t> </w:t>
      </w:r>
      <w:r>
        <w:rPr>
          <w:rFonts w:ascii="Verdana" w:hAnsi="Verdana"/>
          <w:i/>
          <w:spacing w:val="-2"/>
          <w:sz w:val="16"/>
        </w:rPr>
        <w:t>Landesregierung</w:t>
      </w:r>
      <w:r>
        <w:rPr>
          <w:rFonts w:ascii="Verdana" w:hAnsi="Verdana"/>
          <w:i/>
          <w:spacing w:val="-3"/>
          <w:sz w:val="16"/>
        </w:rPr>
        <w:t> </w:t>
      </w:r>
      <w:r>
        <w:rPr>
          <w:rFonts w:ascii="Verdana" w:hAnsi="Verdana"/>
          <w:i/>
          <w:spacing w:val="-2"/>
          <w:sz w:val="16"/>
        </w:rPr>
        <w:t>and</w:t>
      </w:r>
      <w:r>
        <w:rPr>
          <w:rFonts w:ascii="Verdana" w:hAnsi="Verdana"/>
          <w:i/>
          <w:spacing w:val="-3"/>
          <w:sz w:val="16"/>
        </w:rPr>
        <w:t> </w:t>
      </w:r>
      <w:r>
        <w:rPr>
          <w:rFonts w:ascii="Verdana" w:hAnsi="Verdana"/>
          <w:i/>
          <w:spacing w:val="-2"/>
          <w:sz w:val="16"/>
        </w:rPr>
        <w:t>Others</w:t>
      </w:r>
    </w:p>
    <w:p>
      <w:pPr>
        <w:spacing w:line="194" w:lineRule="auto" w:before="23"/>
        <w:ind w:left="567" w:right="0" w:firstLine="0"/>
        <w:jc w:val="left"/>
        <w:rPr>
          <w:rFonts w:ascii="Lucida Sans Unicode"/>
          <w:sz w:val="16"/>
        </w:rPr>
      </w:pPr>
      <w:r>
        <w:rPr>
          <w:rFonts w:ascii="Lucida Sans Unicode"/>
          <w:sz w:val="16"/>
        </w:rPr>
        <w:t>EU:C:2014:238</w:t>
      </w:r>
      <w:r>
        <w:rPr>
          <w:rFonts w:ascii="Lucida Sans Unicode"/>
          <w:spacing w:val="-5"/>
          <w:sz w:val="16"/>
        </w:rPr>
        <w:t> </w:t>
      </w:r>
      <w:r>
        <w:rPr>
          <w:rFonts w:ascii="Lucida Sans Unicode"/>
          <w:sz w:val="16"/>
        </w:rPr>
        <w:t>and</w:t>
      </w:r>
      <w:r>
        <w:rPr>
          <w:rFonts w:ascii="Lucida Sans Unicode"/>
          <w:spacing w:val="-5"/>
          <w:sz w:val="16"/>
        </w:rPr>
        <w:t> </w:t>
      </w:r>
      <w:r>
        <w:rPr>
          <w:rFonts w:ascii="Lucida Sans Unicode"/>
          <w:sz w:val="16"/>
        </w:rPr>
        <w:t>later</w:t>
      </w:r>
      <w:r>
        <w:rPr>
          <w:rFonts w:ascii="Lucida Sans Unicode"/>
          <w:spacing w:val="-5"/>
          <w:sz w:val="16"/>
        </w:rPr>
        <w:t> </w:t>
      </w:r>
      <w:r>
        <w:rPr>
          <w:rFonts w:ascii="Lucida Sans Unicode"/>
          <w:sz w:val="16"/>
        </w:rPr>
        <w:t>refined</w:t>
      </w:r>
      <w:r>
        <w:rPr>
          <w:rFonts w:ascii="Lucida Sans Unicode"/>
          <w:spacing w:val="-5"/>
          <w:sz w:val="16"/>
        </w:rPr>
        <w:t> </w:t>
      </w:r>
      <w:r>
        <w:rPr>
          <w:rFonts w:ascii="Lucida Sans Unicode"/>
          <w:sz w:val="16"/>
        </w:rPr>
        <w:t>in</w:t>
      </w:r>
      <w:r>
        <w:rPr>
          <w:rFonts w:ascii="Lucida Sans Unicode"/>
          <w:spacing w:val="-5"/>
          <w:sz w:val="16"/>
        </w:rPr>
        <w:t> </w:t>
      </w:r>
      <w:r>
        <w:rPr>
          <w:rFonts w:ascii="Lucida Sans Unicode"/>
          <w:sz w:val="16"/>
        </w:rPr>
        <w:t>Joined</w:t>
      </w:r>
      <w:r>
        <w:rPr>
          <w:rFonts w:ascii="Lucida Sans Unicode"/>
          <w:spacing w:val="-5"/>
          <w:sz w:val="16"/>
        </w:rPr>
        <w:t> </w:t>
      </w:r>
      <w:r>
        <w:rPr>
          <w:rFonts w:ascii="Lucida Sans Unicode"/>
          <w:sz w:val="16"/>
        </w:rPr>
        <w:t>Cases</w:t>
      </w:r>
      <w:r>
        <w:rPr>
          <w:rFonts w:ascii="Lucida Sans Unicode"/>
          <w:spacing w:val="-5"/>
          <w:sz w:val="16"/>
        </w:rPr>
        <w:t> </w:t>
      </w:r>
      <w:r>
        <w:rPr>
          <w:rFonts w:ascii="Lucida Sans Unicode"/>
          <w:sz w:val="16"/>
        </w:rPr>
        <w:t>C-203/15</w:t>
      </w:r>
      <w:r>
        <w:rPr>
          <w:rFonts w:ascii="Lucida Sans Unicode"/>
          <w:spacing w:val="-5"/>
          <w:sz w:val="16"/>
        </w:rPr>
        <w:t> </w:t>
      </w:r>
      <w:r>
        <w:rPr>
          <w:rFonts w:ascii="Lucida Sans Unicode"/>
          <w:sz w:val="16"/>
        </w:rPr>
        <w:t>and</w:t>
      </w:r>
      <w:r>
        <w:rPr>
          <w:rFonts w:ascii="Lucida Sans Unicode"/>
          <w:spacing w:val="-5"/>
          <w:sz w:val="16"/>
        </w:rPr>
        <w:t> </w:t>
      </w:r>
      <w:r>
        <w:rPr>
          <w:rFonts w:ascii="Lucida Sans Unicode"/>
          <w:sz w:val="16"/>
        </w:rPr>
        <w:t>C-698/15</w:t>
      </w:r>
      <w:r>
        <w:rPr>
          <w:rFonts w:ascii="Lucida Sans Unicode"/>
          <w:spacing w:val="-5"/>
          <w:sz w:val="16"/>
        </w:rPr>
        <w:t> </w:t>
      </w:r>
      <w:r>
        <w:rPr>
          <w:rFonts w:ascii="Verdana"/>
          <w:i/>
          <w:sz w:val="16"/>
        </w:rPr>
        <w:t>Tele2</w:t>
      </w:r>
      <w:r>
        <w:rPr>
          <w:rFonts w:ascii="Verdana"/>
          <w:i/>
          <w:spacing w:val="-11"/>
          <w:sz w:val="16"/>
        </w:rPr>
        <w:t> </w:t>
      </w:r>
      <w:r>
        <w:rPr>
          <w:rFonts w:ascii="Verdana"/>
          <w:i/>
          <w:sz w:val="16"/>
        </w:rPr>
        <w:t>Sverige</w:t>
      </w:r>
      <w:r>
        <w:rPr>
          <w:rFonts w:ascii="Verdana"/>
          <w:i/>
          <w:spacing w:val="-11"/>
          <w:sz w:val="16"/>
        </w:rPr>
        <w:t> </w:t>
      </w:r>
      <w:r>
        <w:rPr>
          <w:rFonts w:ascii="Verdana"/>
          <w:i/>
          <w:sz w:val="16"/>
        </w:rPr>
        <w:t>AB</w:t>
      </w:r>
      <w:r>
        <w:rPr>
          <w:rFonts w:ascii="Verdana"/>
          <w:i/>
          <w:spacing w:val="-11"/>
          <w:sz w:val="16"/>
        </w:rPr>
        <w:t> </w:t>
      </w:r>
      <w:r>
        <w:rPr>
          <w:rFonts w:ascii="Verdana"/>
          <w:i/>
          <w:sz w:val="16"/>
        </w:rPr>
        <w:t>v</w:t>
      </w:r>
      <w:r>
        <w:rPr>
          <w:rFonts w:ascii="Verdana"/>
          <w:i/>
          <w:spacing w:val="-11"/>
          <w:sz w:val="16"/>
        </w:rPr>
        <w:t> </w:t>
      </w:r>
      <w:r>
        <w:rPr>
          <w:rFonts w:ascii="Verdana"/>
          <w:i/>
          <w:sz w:val="16"/>
        </w:rPr>
        <w:t>Post-</w:t>
      </w:r>
      <w:r>
        <w:rPr>
          <w:rFonts w:ascii="Verdana"/>
          <w:i/>
          <w:spacing w:val="-11"/>
          <w:sz w:val="16"/>
        </w:rPr>
        <w:t> </w:t>
      </w:r>
      <w:r>
        <w:rPr>
          <w:rFonts w:ascii="Verdana"/>
          <w:i/>
          <w:sz w:val="16"/>
        </w:rPr>
        <w:t>och</w:t>
      </w:r>
      <w:r>
        <w:rPr>
          <w:rFonts w:ascii="Verdana"/>
          <w:i/>
          <w:spacing w:val="-11"/>
          <w:sz w:val="16"/>
        </w:rPr>
        <w:t> </w:t>
      </w:r>
      <w:r>
        <w:rPr>
          <w:rFonts w:ascii="Verdana"/>
          <w:i/>
          <w:sz w:val="16"/>
        </w:rPr>
        <w:t>telestyrelsen</w:t>
      </w:r>
      <w:r>
        <w:rPr>
          <w:rFonts w:ascii="Verdana"/>
          <w:i/>
          <w:sz w:val="16"/>
        </w:rPr>
        <w:t> and</w:t>
      </w:r>
      <w:r>
        <w:rPr>
          <w:rFonts w:ascii="Verdana"/>
          <w:i/>
          <w:spacing w:val="-12"/>
          <w:sz w:val="16"/>
        </w:rPr>
        <w:t> </w:t>
      </w:r>
      <w:r>
        <w:rPr>
          <w:rFonts w:ascii="Verdana"/>
          <w:i/>
          <w:sz w:val="16"/>
        </w:rPr>
        <w:t>Secretary</w:t>
      </w:r>
      <w:r>
        <w:rPr>
          <w:rFonts w:ascii="Verdana"/>
          <w:i/>
          <w:spacing w:val="-12"/>
          <w:sz w:val="16"/>
        </w:rPr>
        <w:t> </w:t>
      </w:r>
      <w:r>
        <w:rPr>
          <w:rFonts w:ascii="Verdana"/>
          <w:i/>
          <w:sz w:val="16"/>
        </w:rPr>
        <w:t>of</w:t>
      </w:r>
      <w:r>
        <w:rPr>
          <w:rFonts w:ascii="Verdana"/>
          <w:i/>
          <w:spacing w:val="-12"/>
          <w:sz w:val="16"/>
        </w:rPr>
        <w:t> </w:t>
      </w:r>
      <w:r>
        <w:rPr>
          <w:rFonts w:ascii="Verdana"/>
          <w:i/>
          <w:sz w:val="16"/>
        </w:rPr>
        <w:t>State</w:t>
      </w:r>
      <w:r>
        <w:rPr>
          <w:rFonts w:ascii="Verdana"/>
          <w:i/>
          <w:spacing w:val="-12"/>
          <w:sz w:val="16"/>
        </w:rPr>
        <w:t> </w:t>
      </w:r>
      <w:r>
        <w:rPr>
          <w:rFonts w:ascii="Verdana"/>
          <w:i/>
          <w:sz w:val="16"/>
        </w:rPr>
        <w:t>for</w:t>
      </w:r>
      <w:r>
        <w:rPr>
          <w:rFonts w:ascii="Verdana"/>
          <w:i/>
          <w:spacing w:val="-12"/>
          <w:sz w:val="16"/>
        </w:rPr>
        <w:t> </w:t>
      </w:r>
      <w:r>
        <w:rPr>
          <w:rFonts w:ascii="Verdana"/>
          <w:i/>
          <w:sz w:val="16"/>
        </w:rPr>
        <w:t>the</w:t>
      </w:r>
      <w:r>
        <w:rPr>
          <w:rFonts w:ascii="Verdana"/>
          <w:i/>
          <w:spacing w:val="-12"/>
          <w:sz w:val="16"/>
        </w:rPr>
        <w:t> </w:t>
      </w:r>
      <w:r>
        <w:rPr>
          <w:rFonts w:ascii="Verdana"/>
          <w:i/>
          <w:sz w:val="16"/>
        </w:rPr>
        <w:t>Home</w:t>
      </w:r>
      <w:r>
        <w:rPr>
          <w:rFonts w:ascii="Verdana"/>
          <w:i/>
          <w:spacing w:val="-12"/>
          <w:sz w:val="16"/>
        </w:rPr>
        <w:t> </w:t>
      </w:r>
      <w:r>
        <w:rPr>
          <w:rFonts w:ascii="Verdana"/>
          <w:i/>
          <w:sz w:val="16"/>
        </w:rPr>
        <w:t>Department</w:t>
      </w:r>
      <w:r>
        <w:rPr>
          <w:rFonts w:ascii="Verdana"/>
          <w:i/>
          <w:spacing w:val="-12"/>
          <w:sz w:val="16"/>
        </w:rPr>
        <w:t> </w:t>
      </w:r>
      <w:r>
        <w:rPr>
          <w:rFonts w:ascii="Verdana"/>
          <w:i/>
          <w:sz w:val="16"/>
        </w:rPr>
        <w:t>v</w:t>
      </w:r>
      <w:r>
        <w:rPr>
          <w:rFonts w:ascii="Verdana"/>
          <w:i/>
          <w:spacing w:val="-12"/>
          <w:sz w:val="16"/>
        </w:rPr>
        <w:t> </w:t>
      </w:r>
      <w:r>
        <w:rPr>
          <w:rFonts w:ascii="Verdana"/>
          <w:i/>
          <w:sz w:val="16"/>
        </w:rPr>
        <w:t>Tom</w:t>
      </w:r>
      <w:r>
        <w:rPr>
          <w:rFonts w:ascii="Verdana"/>
          <w:i/>
          <w:spacing w:val="-12"/>
          <w:sz w:val="16"/>
        </w:rPr>
        <w:t> </w:t>
      </w:r>
      <w:r>
        <w:rPr>
          <w:rFonts w:ascii="Verdana"/>
          <w:i/>
          <w:sz w:val="16"/>
        </w:rPr>
        <w:t>Watson</w:t>
      </w:r>
      <w:r>
        <w:rPr>
          <w:rFonts w:ascii="Verdana"/>
          <w:i/>
          <w:spacing w:val="-12"/>
          <w:sz w:val="16"/>
        </w:rPr>
        <w:t> </w:t>
      </w:r>
      <w:r>
        <w:rPr>
          <w:rFonts w:ascii="Verdana"/>
          <w:i/>
          <w:sz w:val="16"/>
        </w:rPr>
        <w:t>and</w:t>
      </w:r>
      <w:r>
        <w:rPr>
          <w:rFonts w:ascii="Verdana"/>
          <w:i/>
          <w:spacing w:val="-12"/>
          <w:sz w:val="16"/>
        </w:rPr>
        <w:t> </w:t>
      </w:r>
      <w:r>
        <w:rPr>
          <w:rFonts w:ascii="Verdana"/>
          <w:i/>
          <w:sz w:val="16"/>
        </w:rPr>
        <w:t>Others</w:t>
      </w:r>
      <w:r>
        <w:rPr>
          <w:rFonts w:ascii="Verdana"/>
          <w:i/>
          <w:spacing w:val="-12"/>
          <w:sz w:val="16"/>
        </w:rPr>
        <w:t> </w:t>
      </w:r>
      <w:r>
        <w:rPr>
          <w:rFonts w:ascii="Lucida Sans Unicode"/>
          <w:sz w:val="16"/>
        </w:rPr>
        <w:t>EU:C:2016:970;</w:t>
      </w:r>
      <w:r>
        <w:rPr>
          <w:rFonts w:ascii="Lucida Sans Unicode"/>
          <w:spacing w:val="-6"/>
          <w:sz w:val="16"/>
        </w:rPr>
        <w:t> </w:t>
      </w:r>
      <w:r>
        <w:rPr>
          <w:rFonts w:ascii="Lucida Sans Unicode"/>
          <w:sz w:val="16"/>
        </w:rPr>
        <w:t>Case</w:t>
      </w:r>
      <w:r>
        <w:rPr>
          <w:rFonts w:ascii="Lucida Sans Unicode"/>
          <w:spacing w:val="-6"/>
          <w:sz w:val="16"/>
        </w:rPr>
        <w:t> </w:t>
      </w:r>
      <w:r>
        <w:rPr>
          <w:rFonts w:ascii="Lucida Sans Unicode"/>
          <w:sz w:val="16"/>
        </w:rPr>
        <w:t>C-623/17</w:t>
      </w:r>
      <w:r>
        <w:rPr>
          <w:rFonts w:ascii="Lucida Sans Unicode"/>
          <w:spacing w:val="-6"/>
          <w:sz w:val="16"/>
        </w:rPr>
        <w:t> </w:t>
      </w:r>
      <w:r>
        <w:rPr>
          <w:rFonts w:ascii="Verdana"/>
          <w:i/>
          <w:sz w:val="16"/>
        </w:rPr>
        <w:t>Privacy</w:t>
      </w:r>
      <w:r>
        <w:rPr>
          <w:rFonts w:ascii="Verdana"/>
          <w:i/>
          <w:sz w:val="16"/>
        </w:rPr>
        <w:t> </w:t>
      </w:r>
      <w:r>
        <w:rPr>
          <w:rFonts w:ascii="Verdana"/>
          <w:i/>
          <w:spacing w:val="-4"/>
          <w:sz w:val="16"/>
        </w:rPr>
        <w:t>International</w:t>
      </w:r>
      <w:r>
        <w:rPr>
          <w:rFonts w:ascii="Verdana"/>
          <w:i/>
          <w:spacing w:val="-9"/>
          <w:sz w:val="16"/>
        </w:rPr>
        <w:t> </w:t>
      </w:r>
      <w:r>
        <w:rPr>
          <w:rFonts w:ascii="Lucida Sans Unicode"/>
          <w:spacing w:val="-4"/>
          <w:sz w:val="16"/>
        </w:rPr>
        <w:t>EU:C:2020:790; Joined Cases C-511/18, 512/18, 520/18 </w:t>
      </w:r>
      <w:r>
        <w:rPr>
          <w:rFonts w:ascii="Verdana"/>
          <w:i/>
          <w:spacing w:val="-4"/>
          <w:sz w:val="16"/>
        </w:rPr>
        <w:t>La</w:t>
      </w:r>
      <w:r>
        <w:rPr>
          <w:rFonts w:ascii="Verdana"/>
          <w:i/>
          <w:spacing w:val="-9"/>
          <w:sz w:val="16"/>
        </w:rPr>
        <w:t> </w:t>
      </w:r>
      <w:r>
        <w:rPr>
          <w:rFonts w:ascii="Verdana"/>
          <w:i/>
          <w:spacing w:val="-4"/>
          <w:sz w:val="16"/>
        </w:rPr>
        <w:t>Quadrature</w:t>
      </w:r>
      <w:r>
        <w:rPr>
          <w:rFonts w:ascii="Verdana"/>
          <w:i/>
          <w:spacing w:val="-9"/>
          <w:sz w:val="16"/>
        </w:rPr>
        <w:t> </w:t>
      </w:r>
      <w:r>
        <w:rPr>
          <w:rFonts w:ascii="Verdana"/>
          <w:i/>
          <w:spacing w:val="-4"/>
          <w:sz w:val="16"/>
        </w:rPr>
        <w:t>du</w:t>
      </w:r>
      <w:r>
        <w:rPr>
          <w:rFonts w:ascii="Verdana"/>
          <w:i/>
          <w:spacing w:val="-9"/>
          <w:sz w:val="16"/>
        </w:rPr>
        <w:t> </w:t>
      </w:r>
      <w:r>
        <w:rPr>
          <w:rFonts w:ascii="Verdana"/>
          <w:i/>
          <w:spacing w:val="-4"/>
          <w:sz w:val="16"/>
        </w:rPr>
        <w:t>Net</w:t>
      </w:r>
      <w:r>
        <w:rPr>
          <w:rFonts w:ascii="Verdana"/>
          <w:i/>
          <w:spacing w:val="-9"/>
          <w:sz w:val="16"/>
        </w:rPr>
        <w:t> </w:t>
      </w:r>
      <w:r>
        <w:rPr>
          <w:rFonts w:ascii="Verdana"/>
          <w:i/>
          <w:spacing w:val="-4"/>
          <w:sz w:val="16"/>
        </w:rPr>
        <w:t>and</w:t>
      </w:r>
      <w:r>
        <w:rPr>
          <w:rFonts w:ascii="Verdana"/>
          <w:i/>
          <w:spacing w:val="-9"/>
          <w:sz w:val="16"/>
        </w:rPr>
        <w:t> </w:t>
      </w:r>
      <w:r>
        <w:rPr>
          <w:rFonts w:ascii="Verdana"/>
          <w:i/>
          <w:spacing w:val="-4"/>
          <w:sz w:val="16"/>
        </w:rPr>
        <w:t>Others</w:t>
      </w:r>
      <w:r>
        <w:rPr>
          <w:rFonts w:ascii="Verdana"/>
          <w:i/>
          <w:spacing w:val="-9"/>
          <w:sz w:val="16"/>
        </w:rPr>
        <w:t> </w:t>
      </w:r>
      <w:r>
        <w:rPr>
          <w:rFonts w:ascii="Lucida Sans Unicode"/>
          <w:spacing w:val="-4"/>
          <w:sz w:val="16"/>
        </w:rPr>
        <w:t>EU:C:2021:791; </w:t>
      </w:r>
      <w:r>
        <w:rPr>
          <w:rFonts w:ascii="Lucida Sans Unicode"/>
          <w:sz w:val="16"/>
        </w:rPr>
        <w:t>and Case C-140/20 </w:t>
      </w:r>
      <w:r>
        <w:rPr>
          <w:rFonts w:ascii="Verdana"/>
          <w:i/>
          <w:sz w:val="16"/>
        </w:rPr>
        <w:t>GD </w:t>
      </w:r>
      <w:r>
        <w:rPr>
          <w:rFonts w:ascii="Lucida Sans Unicode"/>
          <w:sz w:val="16"/>
        </w:rPr>
        <w:t>EU:C:2022:258.</w:t>
      </w:r>
    </w:p>
    <w:p>
      <w:pPr>
        <w:pStyle w:val="ListParagraph"/>
        <w:numPr>
          <w:ilvl w:val="0"/>
          <w:numId w:val="14"/>
        </w:numPr>
        <w:tabs>
          <w:tab w:pos="567" w:val="left" w:leader="none"/>
        </w:tabs>
        <w:spacing w:line="194" w:lineRule="auto" w:before="4" w:after="0"/>
        <w:ind w:left="567" w:right="412" w:hanging="454"/>
        <w:jc w:val="left"/>
        <w:rPr>
          <w:sz w:val="16"/>
        </w:rPr>
      </w:pPr>
      <w:r>
        <w:rPr>
          <w:rFonts w:ascii="Verdana"/>
          <w:i/>
          <w:spacing w:val="-4"/>
          <w:sz w:val="16"/>
        </w:rPr>
        <w:t>Maximilian</w:t>
      </w:r>
      <w:r>
        <w:rPr>
          <w:rFonts w:ascii="Verdana"/>
          <w:i/>
          <w:spacing w:val="-7"/>
          <w:sz w:val="16"/>
        </w:rPr>
        <w:t> </w:t>
      </w:r>
      <w:r>
        <w:rPr>
          <w:rFonts w:ascii="Verdana"/>
          <w:i/>
          <w:spacing w:val="-4"/>
          <w:sz w:val="16"/>
        </w:rPr>
        <w:t>Schrems</w:t>
      </w:r>
      <w:r>
        <w:rPr>
          <w:rFonts w:ascii="Verdana"/>
          <w:i/>
          <w:spacing w:val="-7"/>
          <w:sz w:val="16"/>
        </w:rPr>
        <w:t> </w:t>
      </w:r>
      <w:r>
        <w:rPr>
          <w:rFonts w:ascii="Verdana"/>
          <w:i/>
          <w:spacing w:val="-4"/>
          <w:sz w:val="16"/>
        </w:rPr>
        <w:t>v</w:t>
      </w:r>
      <w:r>
        <w:rPr>
          <w:rFonts w:ascii="Verdana"/>
          <w:i/>
          <w:spacing w:val="-7"/>
          <w:sz w:val="16"/>
        </w:rPr>
        <w:t> </w:t>
      </w:r>
      <w:r>
        <w:rPr>
          <w:rFonts w:ascii="Verdana"/>
          <w:i/>
          <w:spacing w:val="-4"/>
          <w:sz w:val="16"/>
        </w:rPr>
        <w:t>Data</w:t>
      </w:r>
      <w:r>
        <w:rPr>
          <w:rFonts w:ascii="Verdana"/>
          <w:i/>
          <w:spacing w:val="-7"/>
          <w:sz w:val="16"/>
        </w:rPr>
        <w:t> </w:t>
      </w:r>
      <w:r>
        <w:rPr>
          <w:rFonts w:ascii="Verdana"/>
          <w:i/>
          <w:spacing w:val="-4"/>
          <w:sz w:val="16"/>
        </w:rPr>
        <w:t>Protection</w:t>
      </w:r>
      <w:r>
        <w:rPr>
          <w:rFonts w:ascii="Verdana"/>
          <w:i/>
          <w:spacing w:val="-7"/>
          <w:sz w:val="16"/>
        </w:rPr>
        <w:t> </w:t>
      </w:r>
      <w:r>
        <w:rPr>
          <w:rFonts w:ascii="Verdana"/>
          <w:i/>
          <w:spacing w:val="-4"/>
          <w:sz w:val="16"/>
        </w:rPr>
        <w:t>Commissioner;</w:t>
      </w:r>
      <w:r>
        <w:rPr>
          <w:rFonts w:ascii="Verdana"/>
          <w:i/>
          <w:spacing w:val="-7"/>
          <w:sz w:val="16"/>
        </w:rPr>
        <w:t> </w:t>
      </w:r>
      <w:r>
        <w:rPr>
          <w:spacing w:val="-4"/>
          <w:sz w:val="16"/>
        </w:rPr>
        <w:t>Case C-311/18 </w:t>
      </w:r>
      <w:r>
        <w:rPr>
          <w:rFonts w:ascii="Verdana"/>
          <w:i/>
          <w:spacing w:val="-4"/>
          <w:sz w:val="16"/>
        </w:rPr>
        <w:t>Schrems</w:t>
      </w:r>
      <w:r>
        <w:rPr>
          <w:rFonts w:ascii="Verdana"/>
          <w:i/>
          <w:spacing w:val="-7"/>
          <w:sz w:val="16"/>
        </w:rPr>
        <w:t> </w:t>
      </w:r>
      <w:r>
        <w:rPr>
          <w:rFonts w:ascii="Verdana"/>
          <w:i/>
          <w:spacing w:val="-4"/>
          <w:sz w:val="16"/>
        </w:rPr>
        <w:t>II</w:t>
      </w:r>
      <w:r>
        <w:rPr>
          <w:rFonts w:ascii="Verdana"/>
          <w:i/>
          <w:spacing w:val="-7"/>
          <w:sz w:val="16"/>
        </w:rPr>
        <w:t> </w:t>
      </w:r>
      <w:r>
        <w:rPr>
          <w:spacing w:val="-4"/>
          <w:sz w:val="16"/>
        </w:rPr>
        <w:t>EU:C:2020:559; Opinion 1/15 </w:t>
      </w:r>
      <w:r>
        <w:rPr>
          <w:rFonts w:ascii="Verdana"/>
          <w:i/>
          <w:spacing w:val="-4"/>
          <w:sz w:val="16"/>
        </w:rPr>
        <w:t>PNR</w:t>
      </w:r>
      <w:r>
        <w:rPr>
          <w:rFonts w:ascii="Verdana"/>
          <w:i/>
          <w:spacing w:val="-4"/>
          <w:sz w:val="16"/>
        </w:rPr>
        <w:t> </w:t>
      </w:r>
      <w:r>
        <w:rPr>
          <w:rFonts w:ascii="Verdana"/>
          <w:i/>
          <w:sz w:val="16"/>
        </w:rPr>
        <w:t>Agreement EU-Canada </w:t>
      </w:r>
      <w:r>
        <w:rPr>
          <w:sz w:val="16"/>
        </w:rPr>
        <w:t>EU:C:2017:592.</w:t>
      </w:r>
    </w:p>
    <w:p>
      <w:pPr>
        <w:pStyle w:val="ListParagraph"/>
        <w:numPr>
          <w:ilvl w:val="0"/>
          <w:numId w:val="14"/>
        </w:numPr>
        <w:tabs>
          <w:tab w:pos="567" w:val="left" w:leader="none"/>
        </w:tabs>
        <w:spacing w:line="194" w:lineRule="auto" w:before="1" w:after="0"/>
        <w:ind w:left="567" w:right="159" w:hanging="454"/>
        <w:jc w:val="left"/>
        <w:rPr>
          <w:sz w:val="16"/>
        </w:rPr>
      </w:pPr>
      <w:r>
        <w:rPr>
          <w:spacing w:val="-2"/>
          <w:w w:val="105"/>
          <w:sz w:val="16"/>
        </w:rPr>
        <w:t>See</w:t>
      </w:r>
      <w:r>
        <w:rPr>
          <w:spacing w:val="-6"/>
          <w:w w:val="105"/>
          <w:sz w:val="16"/>
        </w:rPr>
        <w:t> </w:t>
      </w:r>
      <w:r>
        <w:rPr>
          <w:rFonts w:ascii="Verdana" w:hAnsi="Verdana"/>
          <w:i/>
          <w:spacing w:val="-2"/>
          <w:w w:val="105"/>
          <w:sz w:val="16"/>
        </w:rPr>
        <w:t>Re</w:t>
      </w:r>
      <w:r>
        <w:rPr>
          <w:rFonts w:ascii="Verdana" w:hAnsi="Verdana"/>
          <w:i/>
          <w:spacing w:val="-12"/>
          <w:w w:val="105"/>
          <w:sz w:val="16"/>
        </w:rPr>
        <w:t> </w:t>
      </w:r>
      <w:r>
        <w:rPr>
          <w:rFonts w:ascii="Verdana" w:hAnsi="Verdana"/>
          <w:i/>
          <w:spacing w:val="-2"/>
          <w:w w:val="105"/>
          <w:sz w:val="16"/>
        </w:rPr>
        <w:t>Cranston’s</w:t>
      </w:r>
      <w:r>
        <w:rPr>
          <w:rFonts w:ascii="Verdana" w:hAnsi="Verdana"/>
          <w:i/>
          <w:spacing w:val="-12"/>
          <w:w w:val="105"/>
          <w:sz w:val="16"/>
        </w:rPr>
        <w:t> </w:t>
      </w:r>
      <w:r>
        <w:rPr>
          <w:rFonts w:ascii="Verdana" w:hAnsi="Verdana"/>
          <w:i/>
          <w:spacing w:val="-2"/>
          <w:w w:val="105"/>
          <w:sz w:val="16"/>
        </w:rPr>
        <w:t>application</w:t>
      </w:r>
      <w:r>
        <w:rPr>
          <w:rFonts w:ascii="Verdana" w:hAnsi="Verdana"/>
          <w:i/>
          <w:spacing w:val="-12"/>
          <w:w w:val="105"/>
          <w:sz w:val="16"/>
        </w:rPr>
        <w:t> </w:t>
      </w:r>
      <w:r>
        <w:rPr>
          <w:rFonts w:ascii="Verdana" w:hAnsi="Verdana"/>
          <w:i/>
          <w:spacing w:val="-2"/>
          <w:w w:val="105"/>
          <w:sz w:val="16"/>
        </w:rPr>
        <w:t>for</w:t>
      </w:r>
      <w:r>
        <w:rPr>
          <w:rFonts w:ascii="Verdana" w:hAnsi="Verdana"/>
          <w:i/>
          <w:spacing w:val="-12"/>
          <w:w w:val="105"/>
          <w:sz w:val="16"/>
        </w:rPr>
        <w:t> </w:t>
      </w:r>
      <w:r>
        <w:rPr>
          <w:rFonts w:ascii="Verdana" w:hAnsi="Verdana"/>
          <w:i/>
          <w:spacing w:val="-2"/>
          <w:w w:val="105"/>
          <w:sz w:val="16"/>
        </w:rPr>
        <w:t>judicial</w:t>
      </w:r>
      <w:r>
        <w:rPr>
          <w:rFonts w:ascii="Verdana" w:hAnsi="Verdana"/>
          <w:i/>
          <w:spacing w:val="-12"/>
          <w:w w:val="105"/>
          <w:sz w:val="16"/>
        </w:rPr>
        <w:t> </w:t>
      </w:r>
      <w:r>
        <w:rPr>
          <w:rFonts w:ascii="Verdana" w:hAnsi="Verdana"/>
          <w:i/>
          <w:spacing w:val="-2"/>
          <w:w w:val="105"/>
          <w:sz w:val="16"/>
        </w:rPr>
        <w:t>review</w:t>
      </w:r>
      <w:r>
        <w:rPr>
          <w:rFonts w:ascii="Verdana" w:hAnsi="Verdana"/>
          <w:i/>
          <w:spacing w:val="-12"/>
          <w:w w:val="105"/>
          <w:sz w:val="16"/>
        </w:rPr>
        <w:t> </w:t>
      </w:r>
      <w:r>
        <w:rPr>
          <w:spacing w:val="-2"/>
          <w:w w:val="105"/>
          <w:sz w:val="16"/>
        </w:rPr>
        <w:t>[2002]</w:t>
      </w:r>
      <w:r>
        <w:rPr>
          <w:spacing w:val="-6"/>
          <w:w w:val="105"/>
          <w:sz w:val="16"/>
        </w:rPr>
        <w:t> </w:t>
      </w:r>
      <w:r>
        <w:rPr>
          <w:spacing w:val="-2"/>
          <w:w w:val="105"/>
          <w:sz w:val="16"/>
        </w:rPr>
        <w:t>NI</w:t>
      </w:r>
      <w:r>
        <w:rPr>
          <w:spacing w:val="-6"/>
          <w:w w:val="105"/>
          <w:sz w:val="16"/>
        </w:rPr>
        <w:t> </w:t>
      </w:r>
      <w:r>
        <w:rPr>
          <w:spacing w:val="-2"/>
          <w:w w:val="95"/>
          <w:sz w:val="16"/>
        </w:rPr>
        <w:t>1 </w:t>
      </w:r>
      <w:r>
        <w:rPr>
          <w:spacing w:val="-2"/>
          <w:w w:val="105"/>
          <w:sz w:val="16"/>
        </w:rPr>
        <w:t>(NIQBD),</w:t>
      </w:r>
      <w:r>
        <w:rPr>
          <w:spacing w:val="-6"/>
          <w:w w:val="105"/>
          <w:sz w:val="16"/>
        </w:rPr>
        <w:t> </w:t>
      </w:r>
      <w:r>
        <w:rPr>
          <w:spacing w:val="-2"/>
          <w:w w:val="105"/>
          <w:sz w:val="16"/>
        </w:rPr>
        <w:t>9e,</w:t>
      </w:r>
      <w:r>
        <w:rPr>
          <w:spacing w:val="-6"/>
          <w:w w:val="105"/>
          <w:sz w:val="16"/>
        </w:rPr>
        <w:t> </w:t>
      </w:r>
      <w:r>
        <w:rPr>
          <w:spacing w:val="-2"/>
          <w:w w:val="105"/>
          <w:sz w:val="16"/>
        </w:rPr>
        <w:t>per</w:t>
      </w:r>
      <w:r>
        <w:rPr>
          <w:spacing w:val="-6"/>
          <w:w w:val="105"/>
          <w:sz w:val="16"/>
        </w:rPr>
        <w:t> </w:t>
      </w:r>
      <w:r>
        <w:rPr>
          <w:spacing w:val="-2"/>
          <w:w w:val="105"/>
          <w:sz w:val="16"/>
        </w:rPr>
        <w:t>Kerr</w:t>
      </w:r>
      <w:r>
        <w:rPr>
          <w:spacing w:val="-6"/>
          <w:w w:val="105"/>
          <w:sz w:val="16"/>
        </w:rPr>
        <w:t> </w:t>
      </w:r>
      <w:r>
        <w:rPr>
          <w:spacing w:val="-2"/>
          <w:w w:val="150"/>
          <w:sz w:val="16"/>
        </w:rPr>
        <w:t>J</w:t>
      </w:r>
      <w:r>
        <w:rPr>
          <w:spacing w:val="-28"/>
          <w:w w:val="150"/>
          <w:sz w:val="16"/>
        </w:rPr>
        <w:t> </w:t>
      </w:r>
      <w:r>
        <w:rPr>
          <w:spacing w:val="-2"/>
          <w:w w:val="105"/>
          <w:sz w:val="16"/>
        </w:rPr>
        <w:t>(as</w:t>
      </w:r>
      <w:r>
        <w:rPr>
          <w:spacing w:val="-6"/>
          <w:w w:val="105"/>
          <w:sz w:val="16"/>
        </w:rPr>
        <w:t> </w:t>
      </w:r>
      <w:r>
        <w:rPr>
          <w:spacing w:val="-2"/>
          <w:w w:val="105"/>
          <w:sz w:val="16"/>
        </w:rPr>
        <w:t>he</w:t>
      </w:r>
      <w:r>
        <w:rPr>
          <w:spacing w:val="-6"/>
          <w:w w:val="105"/>
          <w:sz w:val="16"/>
        </w:rPr>
        <w:t> </w:t>
      </w:r>
      <w:r>
        <w:rPr>
          <w:spacing w:val="-2"/>
          <w:w w:val="105"/>
          <w:sz w:val="16"/>
        </w:rPr>
        <w:t>then</w:t>
      </w:r>
      <w:r>
        <w:rPr>
          <w:spacing w:val="-6"/>
          <w:w w:val="105"/>
          <w:sz w:val="16"/>
        </w:rPr>
        <w:t> </w:t>
      </w:r>
      <w:r>
        <w:rPr>
          <w:spacing w:val="-2"/>
          <w:w w:val="105"/>
          <w:sz w:val="16"/>
        </w:rPr>
        <w:t>was).</w:t>
      </w:r>
      <w:r>
        <w:rPr>
          <w:spacing w:val="-6"/>
          <w:w w:val="105"/>
          <w:sz w:val="16"/>
        </w:rPr>
        <w:t> </w:t>
      </w:r>
      <w:r>
        <w:rPr>
          <w:spacing w:val="-2"/>
          <w:w w:val="105"/>
          <w:sz w:val="16"/>
        </w:rPr>
        <w:t>For</w:t>
      </w:r>
      <w:r>
        <w:rPr>
          <w:spacing w:val="-6"/>
          <w:w w:val="105"/>
          <w:sz w:val="16"/>
        </w:rPr>
        <w:t> </w:t>
      </w:r>
      <w:r>
        <w:rPr>
          <w:spacing w:val="-2"/>
          <w:w w:val="105"/>
          <w:sz w:val="16"/>
        </w:rPr>
        <w:t>the</w:t>
      </w:r>
      <w:r>
        <w:rPr>
          <w:spacing w:val="-6"/>
          <w:w w:val="105"/>
          <w:sz w:val="16"/>
        </w:rPr>
        <w:t> </w:t>
      </w:r>
      <w:r>
        <w:rPr>
          <w:spacing w:val="-2"/>
          <w:w w:val="105"/>
          <w:sz w:val="16"/>
        </w:rPr>
        <w:t>wider </w:t>
      </w:r>
      <w:r>
        <w:rPr>
          <w:rFonts w:ascii="Arial" w:hAnsi="Arial"/>
          <w:w w:val="105"/>
          <w:sz w:val="16"/>
        </w:rPr>
        <w:t>principle at common law, see also </w:t>
      </w:r>
      <w:r>
        <w:rPr>
          <w:rFonts w:ascii="Verdana" w:hAnsi="Verdana"/>
          <w:i/>
          <w:w w:val="105"/>
          <w:sz w:val="16"/>
        </w:rPr>
        <w:t>Connelly v DPP </w:t>
      </w:r>
      <w:r>
        <w:rPr>
          <w:w w:val="105"/>
          <w:sz w:val="16"/>
        </w:rPr>
        <w:t>[1964] AC 1254 (HL).</w:t>
      </w:r>
    </w:p>
    <w:p>
      <w:pPr>
        <w:spacing w:after="0" w:line="194" w:lineRule="auto"/>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310" w:lineRule="exact" w:before="49"/>
        <w:ind w:right="437"/>
      </w:pPr>
      <w:bookmarkStart w:name="c. Relevance of post-Brexit CJEU case la" w:id="58"/>
      <w:bookmarkEnd w:id="58"/>
      <w:r>
        <w:rPr/>
      </w:r>
      <w:bookmarkStart w:name="_bookmark24" w:id="59"/>
      <w:bookmarkEnd w:id="59"/>
      <w:r>
        <w:rPr/>
      </w:r>
      <w:r>
        <w:rPr>
          <w:rFonts w:ascii="Lucida Sans Unicode" w:hAnsi="Lucida Sans Unicode"/>
          <w:spacing w:val="-2"/>
          <w:w w:val="105"/>
        </w:rPr>
        <w:t>by</w:t>
      </w:r>
      <w:r>
        <w:rPr>
          <w:rFonts w:ascii="Lucida Sans Unicode" w:hAnsi="Lucida Sans Unicode"/>
          <w:spacing w:val="-18"/>
          <w:w w:val="105"/>
        </w:rPr>
        <w:t> </w:t>
      </w:r>
      <w:r>
        <w:rPr>
          <w:rFonts w:ascii="Lucida Sans Unicode" w:hAnsi="Lucida Sans Unicode"/>
          <w:spacing w:val="-2"/>
          <w:w w:val="105"/>
        </w:rPr>
        <w:t>the</w:t>
      </w:r>
      <w:r>
        <w:rPr>
          <w:rFonts w:ascii="Lucida Sans Unicode" w:hAnsi="Lucida Sans Unicode"/>
          <w:spacing w:val="-17"/>
          <w:w w:val="105"/>
        </w:rPr>
        <w:t> </w:t>
      </w:r>
      <w:r>
        <w:rPr>
          <w:rFonts w:ascii="Lucida Sans Unicode" w:hAnsi="Lucida Sans Unicode"/>
          <w:spacing w:val="-2"/>
          <w:w w:val="105"/>
        </w:rPr>
        <w:t>Criminal</w:t>
      </w:r>
      <w:r>
        <w:rPr>
          <w:rFonts w:ascii="Lucida Sans Unicode" w:hAnsi="Lucida Sans Unicode"/>
          <w:spacing w:val="-18"/>
          <w:w w:val="105"/>
        </w:rPr>
        <w:t> </w:t>
      </w:r>
      <w:r>
        <w:rPr>
          <w:rFonts w:ascii="Lucida Sans Unicode" w:hAnsi="Lucida Sans Unicode"/>
          <w:spacing w:val="-2"/>
          <w:w w:val="105"/>
        </w:rPr>
        <w:t>Justice</w:t>
      </w:r>
      <w:r>
        <w:rPr>
          <w:rFonts w:ascii="Lucida Sans Unicode" w:hAnsi="Lucida Sans Unicode"/>
          <w:spacing w:val="-17"/>
          <w:w w:val="105"/>
        </w:rPr>
        <w:t> </w:t>
      </w:r>
      <w:r>
        <w:rPr>
          <w:rFonts w:ascii="Lucida Sans Unicode" w:hAnsi="Lucida Sans Unicode"/>
          <w:spacing w:val="-2"/>
          <w:w w:val="105"/>
        </w:rPr>
        <w:t>Act</w:t>
      </w:r>
      <w:r>
        <w:rPr>
          <w:rFonts w:ascii="Lucida Sans Unicode" w:hAnsi="Lucida Sans Unicode"/>
          <w:spacing w:val="-18"/>
          <w:w w:val="105"/>
        </w:rPr>
        <w:t> </w:t>
      </w:r>
      <w:r>
        <w:rPr>
          <w:rFonts w:ascii="Lucida Sans Unicode" w:hAnsi="Lucida Sans Unicode"/>
          <w:spacing w:val="-2"/>
          <w:w w:val="105"/>
        </w:rPr>
        <w:t>2003</w:t>
      </w:r>
      <w:r>
        <w:rPr>
          <w:rFonts w:ascii="Lucida Sans Unicode" w:hAnsi="Lucida Sans Unicode"/>
          <w:spacing w:val="-2"/>
          <w:w w:val="105"/>
          <w:vertAlign w:val="superscript"/>
        </w:rPr>
        <w:t>227</w:t>
      </w:r>
      <w:r>
        <w:rPr>
          <w:rFonts w:ascii="Lucida Sans Unicode" w:hAnsi="Lucida Sans Unicode"/>
          <w:spacing w:val="-2"/>
          <w:w w:val="105"/>
          <w:vertAlign w:val="baseline"/>
        </w:rPr>
        <w:t> </w:t>
      </w:r>
      <w:r>
        <w:rPr>
          <w:w w:val="105"/>
          <w:vertAlign w:val="baseline"/>
        </w:rPr>
        <w:t>– prohibits double jeopardy and so</w:t>
      </w:r>
      <w:r>
        <w:rPr>
          <w:spacing w:val="80"/>
          <w:w w:val="105"/>
          <w:vertAlign w:val="baseline"/>
        </w:rPr>
        <w:t> </w:t>
      </w:r>
      <w:r>
        <w:rPr>
          <w:rFonts w:ascii="Lucida Sans Unicode" w:hAnsi="Lucida Sans Unicode"/>
          <w:w w:val="105"/>
          <w:vertAlign w:val="baseline"/>
        </w:rPr>
        <w:t>does Article 14 (7) ICCPR, which </w:t>
      </w:r>
      <w:r>
        <w:rPr>
          <w:rFonts w:ascii="Lucida Sans Unicode" w:hAnsi="Lucida Sans Unicode"/>
          <w:vertAlign w:val="baseline"/>
        </w:rPr>
        <w:t>the</w:t>
      </w:r>
      <w:r>
        <w:rPr>
          <w:rFonts w:ascii="Lucida Sans Unicode" w:hAnsi="Lucida Sans Unicode"/>
          <w:spacing w:val="-1"/>
          <w:vertAlign w:val="baseline"/>
        </w:rPr>
        <w:t> </w:t>
      </w:r>
      <w:r>
        <w:rPr>
          <w:rFonts w:ascii="Lucida Sans Unicode" w:hAnsi="Lucida Sans Unicode"/>
          <w:vertAlign w:val="baseline"/>
        </w:rPr>
        <w:t>UK</w:t>
      </w:r>
      <w:r>
        <w:rPr>
          <w:rFonts w:ascii="Lucida Sans Unicode" w:hAnsi="Lucida Sans Unicode"/>
          <w:spacing w:val="-1"/>
          <w:vertAlign w:val="baseline"/>
        </w:rPr>
        <w:t> </w:t>
      </w:r>
      <w:r>
        <w:rPr>
          <w:rFonts w:ascii="Lucida Sans Unicode" w:hAnsi="Lucida Sans Unicode"/>
          <w:vertAlign w:val="baseline"/>
        </w:rPr>
        <w:t>has</w:t>
      </w:r>
      <w:r>
        <w:rPr>
          <w:rFonts w:ascii="Lucida Sans Unicode" w:hAnsi="Lucida Sans Unicode"/>
          <w:spacing w:val="-1"/>
          <w:vertAlign w:val="baseline"/>
        </w:rPr>
        <w:t> </w:t>
      </w:r>
      <w:r>
        <w:rPr>
          <w:rFonts w:ascii="Lucida Sans Unicode" w:hAnsi="Lucida Sans Unicode"/>
          <w:vertAlign w:val="baseline"/>
        </w:rPr>
        <w:t>ratified.</w:t>
      </w:r>
      <w:r>
        <w:rPr>
          <w:rFonts w:ascii="Lucida Sans Unicode" w:hAnsi="Lucida Sans Unicode"/>
          <w:spacing w:val="-1"/>
          <w:vertAlign w:val="baseline"/>
        </w:rPr>
        <w:t> </w:t>
      </w:r>
      <w:r>
        <w:rPr>
          <w:rFonts w:ascii="Lucida Sans Unicode" w:hAnsi="Lucida Sans Unicode"/>
          <w:vertAlign w:val="baseline"/>
        </w:rPr>
        <w:t>Thus,</w:t>
      </w:r>
      <w:r>
        <w:rPr>
          <w:rFonts w:ascii="Lucida Sans Unicode" w:hAnsi="Lucida Sans Unicode"/>
          <w:spacing w:val="-1"/>
          <w:vertAlign w:val="baseline"/>
        </w:rPr>
        <w:t> </w:t>
      </w:r>
      <w:r>
        <w:rPr>
          <w:rFonts w:ascii="Lucida Sans Unicode" w:hAnsi="Lucida Sans Unicode"/>
          <w:vertAlign w:val="baseline"/>
        </w:rPr>
        <w:t>there</w:t>
      </w:r>
      <w:r>
        <w:rPr>
          <w:rFonts w:ascii="Lucida Sans Unicode" w:hAnsi="Lucida Sans Unicode"/>
          <w:spacing w:val="-1"/>
          <w:vertAlign w:val="baseline"/>
        </w:rPr>
        <w:t> </w:t>
      </w:r>
      <w:r>
        <w:rPr>
          <w:rFonts w:ascii="Lucida Sans Unicode" w:hAnsi="Lucida Sans Unicode"/>
          <w:vertAlign w:val="baseline"/>
        </w:rPr>
        <w:t>is</w:t>
      </w:r>
      <w:r>
        <w:rPr>
          <w:rFonts w:ascii="Lucida Sans Unicode" w:hAnsi="Lucida Sans Unicode"/>
          <w:spacing w:val="-1"/>
          <w:vertAlign w:val="baseline"/>
        </w:rPr>
        <w:t> </w:t>
      </w:r>
      <w:r>
        <w:rPr>
          <w:rFonts w:ascii="Lucida Sans Unicode" w:hAnsi="Lucida Sans Unicode"/>
          <w:vertAlign w:val="baseline"/>
        </w:rPr>
        <w:t>a </w:t>
      </w:r>
      <w:r>
        <w:rPr>
          <w:w w:val="105"/>
          <w:vertAlign w:val="baseline"/>
        </w:rPr>
        <w:t>strong</w:t>
      </w:r>
      <w:r>
        <w:rPr>
          <w:spacing w:val="40"/>
          <w:w w:val="105"/>
          <w:vertAlign w:val="baseline"/>
        </w:rPr>
        <w:t> </w:t>
      </w:r>
      <w:r>
        <w:rPr>
          <w:w w:val="105"/>
          <w:vertAlign w:val="baseline"/>
        </w:rPr>
        <w:t>argument</w:t>
      </w:r>
      <w:r>
        <w:rPr>
          <w:spacing w:val="40"/>
          <w:w w:val="105"/>
          <w:vertAlign w:val="baseline"/>
        </w:rPr>
        <w:t> </w:t>
      </w:r>
      <w:r>
        <w:rPr>
          <w:w w:val="105"/>
          <w:vertAlign w:val="baseline"/>
        </w:rPr>
        <w:t>to</w:t>
      </w:r>
      <w:r>
        <w:rPr>
          <w:spacing w:val="40"/>
          <w:w w:val="105"/>
          <w:vertAlign w:val="baseline"/>
        </w:rPr>
        <w:t> </w:t>
      </w:r>
      <w:r>
        <w:rPr>
          <w:w w:val="105"/>
          <w:vertAlign w:val="baseline"/>
        </w:rPr>
        <w:t>be</w:t>
      </w:r>
      <w:r>
        <w:rPr>
          <w:spacing w:val="40"/>
          <w:w w:val="105"/>
          <w:vertAlign w:val="baseline"/>
        </w:rPr>
        <w:t> </w:t>
      </w:r>
      <w:r>
        <w:rPr>
          <w:w w:val="105"/>
          <w:vertAlign w:val="baseline"/>
        </w:rPr>
        <w:t>made</w:t>
      </w:r>
      <w:r>
        <w:rPr>
          <w:spacing w:val="40"/>
          <w:w w:val="105"/>
          <w:vertAlign w:val="baseline"/>
        </w:rPr>
        <w:t> </w:t>
      </w:r>
      <w:r>
        <w:rPr>
          <w:w w:val="105"/>
          <w:vertAlign w:val="baseline"/>
        </w:rPr>
        <w:t>that the</w:t>
      </w:r>
      <w:r>
        <w:rPr>
          <w:spacing w:val="40"/>
          <w:w w:val="105"/>
          <w:vertAlign w:val="baseline"/>
        </w:rPr>
        <w:t> </w:t>
      </w:r>
      <w:r>
        <w:rPr>
          <w:w w:val="105"/>
          <w:vertAlign w:val="baseline"/>
        </w:rPr>
        <w:t>prohibition</w:t>
      </w:r>
      <w:r>
        <w:rPr>
          <w:spacing w:val="40"/>
          <w:w w:val="105"/>
          <w:vertAlign w:val="baseline"/>
        </w:rPr>
        <w:t> </w:t>
      </w:r>
      <w:r>
        <w:rPr>
          <w:w w:val="105"/>
          <w:vertAlign w:val="baseline"/>
        </w:rPr>
        <w:t>of</w:t>
      </w:r>
      <w:r>
        <w:rPr>
          <w:spacing w:val="40"/>
          <w:w w:val="105"/>
          <w:vertAlign w:val="baseline"/>
        </w:rPr>
        <w:t> </w:t>
      </w:r>
      <w:r>
        <w:rPr>
          <w:w w:val="105"/>
          <w:vertAlign w:val="baseline"/>
        </w:rPr>
        <w:t>double</w:t>
      </w:r>
      <w:r>
        <w:rPr>
          <w:spacing w:val="40"/>
          <w:w w:val="105"/>
          <w:vertAlign w:val="baseline"/>
        </w:rPr>
        <w:t> </w:t>
      </w:r>
      <w:r>
        <w:rPr>
          <w:w w:val="105"/>
          <w:vertAlign w:val="baseline"/>
        </w:rPr>
        <w:t>jeopardy constitutes</w:t>
      </w:r>
      <w:r>
        <w:rPr>
          <w:spacing w:val="40"/>
          <w:w w:val="105"/>
          <w:vertAlign w:val="baseline"/>
        </w:rPr>
        <w:t> </w:t>
      </w:r>
      <w:r>
        <w:rPr>
          <w:w w:val="105"/>
          <w:vertAlign w:val="baseline"/>
        </w:rPr>
        <w:t>a</w:t>
      </w:r>
      <w:r>
        <w:rPr>
          <w:spacing w:val="40"/>
          <w:w w:val="105"/>
          <w:vertAlign w:val="baseline"/>
        </w:rPr>
        <w:t> </w:t>
      </w:r>
      <w:r>
        <w:rPr>
          <w:w w:val="105"/>
          <w:vertAlign w:val="baseline"/>
        </w:rPr>
        <w:t>‘civil</w:t>
      </w:r>
      <w:r>
        <w:rPr>
          <w:spacing w:val="40"/>
          <w:w w:val="105"/>
          <w:vertAlign w:val="baseline"/>
        </w:rPr>
        <w:t> </w:t>
      </w:r>
      <w:r>
        <w:rPr>
          <w:w w:val="105"/>
          <w:vertAlign w:val="baseline"/>
        </w:rPr>
        <w:t>right’</w:t>
      </w:r>
      <w:r>
        <w:rPr>
          <w:spacing w:val="40"/>
          <w:w w:val="105"/>
          <w:vertAlign w:val="baseline"/>
        </w:rPr>
        <w:t> </w:t>
      </w:r>
      <w:r>
        <w:rPr>
          <w:w w:val="105"/>
          <w:vertAlign w:val="baseline"/>
        </w:rPr>
        <w:t>within</w:t>
      </w:r>
      <w:r>
        <w:rPr>
          <w:spacing w:val="40"/>
          <w:w w:val="105"/>
          <w:vertAlign w:val="baseline"/>
        </w:rPr>
        <w:t> </w:t>
      </w:r>
      <w:r>
        <w:rPr>
          <w:w w:val="105"/>
          <w:vertAlign w:val="baseline"/>
        </w:rPr>
        <w:t>the </w:t>
      </w:r>
      <w:r>
        <w:rPr>
          <w:rFonts w:ascii="Lucida Sans Unicode" w:hAnsi="Lucida Sans Unicode"/>
          <w:w w:val="105"/>
          <w:vertAlign w:val="baseline"/>
        </w:rPr>
        <w:t>scope of the RSEO section of the </w:t>
      </w:r>
      <w:r>
        <w:rPr>
          <w:w w:val="105"/>
          <w:vertAlign w:val="baseline"/>
        </w:rPr>
        <w:t>Belfast</w:t>
      </w:r>
      <w:r>
        <w:rPr>
          <w:spacing w:val="40"/>
          <w:w w:val="105"/>
          <w:vertAlign w:val="baseline"/>
        </w:rPr>
        <w:t> </w:t>
      </w:r>
      <w:r>
        <w:rPr>
          <w:w w:val="105"/>
          <w:vertAlign w:val="baseline"/>
        </w:rPr>
        <w:t>(Good</w:t>
      </w:r>
      <w:r>
        <w:rPr>
          <w:spacing w:val="40"/>
          <w:w w:val="105"/>
          <w:vertAlign w:val="baseline"/>
        </w:rPr>
        <w:t> </w:t>
      </w:r>
      <w:r>
        <w:rPr>
          <w:w w:val="105"/>
          <w:vertAlign w:val="baseline"/>
        </w:rPr>
        <w:t>Friday)</w:t>
      </w:r>
      <w:r>
        <w:rPr>
          <w:spacing w:val="40"/>
          <w:w w:val="105"/>
          <w:vertAlign w:val="baseline"/>
        </w:rPr>
        <w:t> </w:t>
      </w:r>
      <w:r>
        <w:rPr>
          <w:w w:val="105"/>
          <w:vertAlign w:val="baseline"/>
        </w:rPr>
        <w:t>Agreement.</w:t>
      </w:r>
    </w:p>
    <w:p>
      <w:pPr>
        <w:pStyle w:val="BodyText"/>
        <w:spacing w:before="24"/>
        <w:ind w:left="0"/>
      </w:pPr>
    </w:p>
    <w:p>
      <w:pPr>
        <w:pStyle w:val="BodyText"/>
        <w:spacing w:line="310" w:lineRule="exact"/>
        <w:ind w:right="118"/>
        <w:rPr>
          <w:rFonts w:ascii="Lucida Sans Unicode"/>
        </w:rPr>
      </w:pPr>
      <w:r>
        <w:rPr>
          <w:rFonts w:ascii="Lucida Sans Unicode"/>
          <w:spacing w:val="-2"/>
          <w:w w:val="110"/>
        </w:rPr>
        <w:t>Secondly,</w:t>
      </w:r>
      <w:r>
        <w:rPr>
          <w:rFonts w:ascii="Lucida Sans Unicode"/>
          <w:spacing w:val="-19"/>
          <w:w w:val="110"/>
        </w:rPr>
        <w:t> </w:t>
      </w:r>
      <w:r>
        <w:rPr>
          <w:rFonts w:ascii="Lucida Sans Unicode"/>
          <w:spacing w:val="-2"/>
          <w:w w:val="110"/>
        </w:rPr>
        <w:t>this</w:t>
      </w:r>
      <w:r>
        <w:rPr>
          <w:rFonts w:ascii="Lucida Sans Unicode"/>
          <w:spacing w:val="-19"/>
          <w:w w:val="110"/>
        </w:rPr>
        <w:t> </w:t>
      </w:r>
      <w:r>
        <w:rPr>
          <w:rFonts w:ascii="Lucida Sans Unicode"/>
          <w:spacing w:val="-2"/>
          <w:w w:val="110"/>
        </w:rPr>
        <w:t>right</w:t>
      </w:r>
      <w:r>
        <w:rPr>
          <w:rFonts w:ascii="Lucida Sans Unicode"/>
          <w:spacing w:val="-19"/>
          <w:w w:val="110"/>
        </w:rPr>
        <w:t> </w:t>
      </w:r>
      <w:r>
        <w:rPr>
          <w:rFonts w:ascii="Lucida Sans Unicode"/>
          <w:spacing w:val="-2"/>
          <w:w w:val="110"/>
        </w:rPr>
        <w:t>was</w:t>
      </w:r>
      <w:r>
        <w:rPr>
          <w:rFonts w:ascii="Lucida Sans Unicode"/>
          <w:spacing w:val="-19"/>
          <w:w w:val="110"/>
        </w:rPr>
        <w:t> </w:t>
      </w:r>
      <w:r>
        <w:rPr>
          <w:rFonts w:ascii="Lucida Sans Unicode"/>
          <w:spacing w:val="-2"/>
          <w:w w:val="110"/>
        </w:rPr>
        <w:t>also </w:t>
      </w:r>
      <w:r>
        <w:rPr>
          <w:w w:val="110"/>
        </w:rPr>
        <w:t>underpinned by a domestically</w:t>
      </w:r>
      <w:r>
        <w:rPr>
          <w:spacing w:val="40"/>
          <w:w w:val="110"/>
        </w:rPr>
        <w:t> </w:t>
      </w:r>
      <w:r>
        <w:rPr>
          <w:rFonts w:ascii="Lucida Sans Unicode"/>
        </w:rPr>
        <w:t>effective iteration of EU law. Article </w:t>
      </w:r>
      <w:r>
        <w:rPr>
          <w:rFonts w:ascii="Lucida Sans Unicode"/>
        </w:rPr>
        <w:t>54 </w:t>
      </w:r>
      <w:r>
        <w:rPr>
          <w:w w:val="110"/>
        </w:rPr>
        <w:t>of the Convention Implementing the </w:t>
      </w:r>
      <w:r>
        <w:rPr>
          <w:rFonts w:ascii="Lucida Sans Unicode"/>
        </w:rPr>
        <w:t>Schengen Agreement (CISA) contains </w:t>
      </w:r>
      <w:r>
        <w:rPr>
          <w:w w:val="110"/>
        </w:rPr>
        <w:t>the</w:t>
      </w:r>
      <w:r>
        <w:rPr>
          <w:spacing w:val="40"/>
          <w:w w:val="110"/>
        </w:rPr>
        <w:t> </w:t>
      </w:r>
      <w:r>
        <w:rPr>
          <w:w w:val="110"/>
        </w:rPr>
        <w:t>prohibition</w:t>
      </w:r>
      <w:r>
        <w:rPr>
          <w:spacing w:val="40"/>
          <w:w w:val="110"/>
        </w:rPr>
        <w:t> </w:t>
      </w:r>
      <w:r>
        <w:rPr>
          <w:w w:val="110"/>
        </w:rPr>
        <w:t>of</w:t>
      </w:r>
      <w:r>
        <w:rPr>
          <w:spacing w:val="40"/>
          <w:w w:val="110"/>
        </w:rPr>
        <w:t> </w:t>
      </w:r>
      <w:r>
        <w:rPr>
          <w:w w:val="110"/>
        </w:rPr>
        <w:t>double</w:t>
      </w:r>
      <w:r>
        <w:rPr>
          <w:spacing w:val="40"/>
          <w:w w:val="110"/>
        </w:rPr>
        <w:t> </w:t>
      </w:r>
      <w:r>
        <w:rPr>
          <w:w w:val="110"/>
        </w:rPr>
        <w:t>jeopardy</w:t>
      </w:r>
      <w:r>
        <w:rPr>
          <w:spacing w:val="80"/>
          <w:w w:val="110"/>
        </w:rPr>
        <w:t> </w:t>
      </w:r>
      <w:r>
        <w:rPr>
          <w:w w:val="110"/>
        </w:rPr>
        <w:t>and the UK had opted into this </w:t>
      </w:r>
      <w:r>
        <w:rPr>
          <w:rFonts w:ascii="Lucida Sans Unicode"/>
        </w:rPr>
        <w:t>particular provision of the Schengen </w:t>
      </w:r>
      <w:r>
        <w:rPr>
          <w:spacing w:val="-2"/>
          <w:w w:val="110"/>
        </w:rPr>
        <w:t>Agreement.</w:t>
      </w:r>
      <w:r>
        <w:rPr>
          <w:rFonts w:ascii="Lucida Sans Unicode"/>
          <w:spacing w:val="-2"/>
          <w:w w:val="110"/>
          <w:vertAlign w:val="superscript"/>
        </w:rPr>
        <w:t>228</w:t>
      </w:r>
      <w:r>
        <w:rPr>
          <w:rFonts w:ascii="Lucida Sans Unicode"/>
          <w:spacing w:val="-18"/>
          <w:w w:val="110"/>
          <w:vertAlign w:val="baseline"/>
        </w:rPr>
        <w:t> </w:t>
      </w:r>
      <w:r>
        <w:rPr>
          <w:rFonts w:ascii="Lucida Sans Unicode"/>
          <w:spacing w:val="-2"/>
          <w:w w:val="110"/>
          <w:vertAlign w:val="baseline"/>
        </w:rPr>
        <w:t>Additionally,</w:t>
      </w:r>
      <w:r>
        <w:rPr>
          <w:rFonts w:ascii="Lucida Sans Unicode"/>
          <w:spacing w:val="-18"/>
          <w:w w:val="110"/>
          <w:vertAlign w:val="baseline"/>
        </w:rPr>
        <w:t> </w:t>
      </w:r>
      <w:r>
        <w:rPr>
          <w:rFonts w:ascii="Lucida Sans Unicode"/>
          <w:spacing w:val="-2"/>
          <w:w w:val="110"/>
          <w:vertAlign w:val="baseline"/>
        </w:rPr>
        <w:t>Article</w:t>
      </w:r>
      <w:r>
        <w:rPr>
          <w:rFonts w:ascii="Lucida Sans Unicode"/>
          <w:spacing w:val="-18"/>
          <w:w w:val="110"/>
          <w:vertAlign w:val="baseline"/>
        </w:rPr>
        <w:t> </w:t>
      </w:r>
      <w:r>
        <w:rPr>
          <w:rFonts w:ascii="Lucida Sans Unicode"/>
          <w:spacing w:val="-2"/>
          <w:w w:val="110"/>
          <w:vertAlign w:val="baseline"/>
        </w:rPr>
        <w:t>3</w:t>
      </w:r>
    </w:p>
    <w:p>
      <w:pPr>
        <w:pStyle w:val="BodyText"/>
        <w:spacing w:line="310" w:lineRule="exact"/>
        <w:ind w:right="114"/>
      </w:pPr>
      <w:r>
        <w:rPr>
          <w:rFonts w:ascii="Lucida Sans Unicode" w:hAnsi="Lucida Sans Unicode"/>
        </w:rPr>
        <w:t>(2) of the Framework Decision on the </w:t>
      </w:r>
      <w:r>
        <w:rPr>
          <w:w w:val="110"/>
        </w:rPr>
        <w:t>European Arrest Warrant mandates that a European Arrest Warrant must not be executed if ‘the requested </w:t>
      </w:r>
      <w:r>
        <w:rPr>
          <w:rFonts w:ascii="Lucida Sans Unicode" w:hAnsi="Lucida Sans Unicode"/>
        </w:rPr>
        <w:t>person has been finally judged by a Member State in respect of the same </w:t>
      </w:r>
      <w:r>
        <w:rPr>
          <w:w w:val="110"/>
        </w:rPr>
        <w:t>acts’</w:t>
      </w:r>
      <w:r>
        <w:rPr>
          <w:rFonts w:ascii="Lucida Sans Unicode" w:hAnsi="Lucida Sans Unicode"/>
          <w:w w:val="110"/>
          <w:vertAlign w:val="superscript"/>
        </w:rPr>
        <w:t>229</w:t>
      </w:r>
      <w:r>
        <w:rPr>
          <w:rFonts w:ascii="Lucida Sans Unicode" w:hAnsi="Lucida Sans Unicode"/>
          <w:spacing w:val="-13"/>
          <w:w w:val="110"/>
          <w:vertAlign w:val="baseline"/>
        </w:rPr>
        <w:t> </w:t>
      </w:r>
      <w:r>
        <w:rPr>
          <w:w w:val="110"/>
          <w:vertAlign w:val="baseline"/>
        </w:rPr>
        <w:t>and</w:t>
      </w:r>
      <w:r>
        <w:rPr>
          <w:spacing w:val="-3"/>
          <w:w w:val="110"/>
          <w:vertAlign w:val="baseline"/>
        </w:rPr>
        <w:t> </w:t>
      </w:r>
      <w:r>
        <w:rPr>
          <w:w w:val="110"/>
          <w:vertAlign w:val="baseline"/>
        </w:rPr>
        <w:t>the</w:t>
      </w:r>
      <w:r>
        <w:rPr>
          <w:spacing w:val="-3"/>
          <w:w w:val="110"/>
          <w:vertAlign w:val="baseline"/>
        </w:rPr>
        <w:t> </w:t>
      </w:r>
      <w:r>
        <w:rPr>
          <w:w w:val="110"/>
          <w:vertAlign w:val="baseline"/>
        </w:rPr>
        <w:t>UK</w:t>
      </w:r>
      <w:r>
        <w:rPr>
          <w:spacing w:val="-3"/>
          <w:w w:val="110"/>
          <w:vertAlign w:val="baseline"/>
        </w:rPr>
        <w:t> </w:t>
      </w:r>
      <w:r>
        <w:rPr>
          <w:w w:val="110"/>
          <w:vertAlign w:val="baseline"/>
        </w:rPr>
        <w:t>was</w:t>
      </w:r>
      <w:r>
        <w:rPr>
          <w:spacing w:val="-3"/>
          <w:w w:val="110"/>
          <w:vertAlign w:val="baseline"/>
        </w:rPr>
        <w:t> </w:t>
      </w:r>
      <w:r>
        <w:rPr>
          <w:w w:val="110"/>
          <w:vertAlign w:val="baseline"/>
        </w:rPr>
        <w:t>bound</w:t>
      </w:r>
      <w:r>
        <w:rPr>
          <w:spacing w:val="-3"/>
          <w:w w:val="110"/>
          <w:vertAlign w:val="baseline"/>
        </w:rPr>
        <w:t> </w:t>
      </w:r>
      <w:r>
        <w:rPr>
          <w:w w:val="110"/>
          <w:vertAlign w:val="baseline"/>
        </w:rPr>
        <w:t>by</w:t>
      </w:r>
      <w:r>
        <w:rPr>
          <w:spacing w:val="-3"/>
          <w:w w:val="110"/>
          <w:vertAlign w:val="baseline"/>
        </w:rPr>
        <w:t> </w:t>
      </w:r>
      <w:r>
        <w:rPr>
          <w:w w:val="110"/>
          <w:vertAlign w:val="baseline"/>
        </w:rPr>
        <w:t>tha</w:t>
      </w:r>
      <w:r>
        <w:rPr>
          <w:w w:val="110"/>
          <w:vertAlign w:val="baseline"/>
        </w:rPr>
        <w:t>t</w:t>
      </w:r>
      <w:r>
        <w:rPr>
          <w:w w:val="110"/>
          <w:vertAlign w:val="baseline"/>
        </w:rPr>
        <w:t> </w:t>
      </w:r>
      <w:r>
        <w:rPr>
          <w:rFonts w:ascii="Lucida Sans Unicode" w:hAnsi="Lucida Sans Unicode"/>
          <w:vertAlign w:val="baseline"/>
        </w:rPr>
        <w:t>particular</w:t>
      </w:r>
      <w:r>
        <w:rPr>
          <w:rFonts w:ascii="Lucida Sans Unicode" w:hAnsi="Lucida Sans Unicode"/>
          <w:spacing w:val="-9"/>
          <w:vertAlign w:val="baseline"/>
        </w:rPr>
        <w:t> </w:t>
      </w:r>
      <w:r>
        <w:rPr>
          <w:rFonts w:ascii="Lucida Sans Unicode" w:hAnsi="Lucida Sans Unicode"/>
          <w:vertAlign w:val="baseline"/>
        </w:rPr>
        <w:t>provision</w:t>
      </w:r>
      <w:r>
        <w:rPr>
          <w:rFonts w:ascii="Lucida Sans Unicode" w:hAnsi="Lucida Sans Unicode"/>
          <w:spacing w:val="-9"/>
          <w:vertAlign w:val="baseline"/>
        </w:rPr>
        <w:t> </w:t>
      </w:r>
      <w:r>
        <w:rPr>
          <w:rFonts w:ascii="Lucida Sans Unicode" w:hAnsi="Lucida Sans Unicode"/>
          <w:vertAlign w:val="baseline"/>
        </w:rPr>
        <w:t>until</w:t>
      </w:r>
      <w:r>
        <w:rPr>
          <w:rFonts w:ascii="Lucida Sans Unicode" w:hAnsi="Lucida Sans Unicode"/>
          <w:spacing w:val="-9"/>
          <w:vertAlign w:val="baseline"/>
        </w:rPr>
        <w:t> </w:t>
      </w:r>
      <w:r>
        <w:rPr>
          <w:rFonts w:ascii="Lucida Sans Unicode" w:hAnsi="Lucida Sans Unicode"/>
          <w:vertAlign w:val="baseline"/>
        </w:rPr>
        <w:t>31</w:t>
      </w:r>
      <w:r>
        <w:rPr>
          <w:rFonts w:ascii="Lucida Sans Unicode" w:hAnsi="Lucida Sans Unicode"/>
          <w:spacing w:val="-9"/>
          <w:vertAlign w:val="baseline"/>
        </w:rPr>
        <w:t> </w:t>
      </w:r>
      <w:r>
        <w:rPr>
          <w:rFonts w:ascii="Lucida Sans Unicode" w:hAnsi="Lucida Sans Unicode"/>
          <w:vertAlign w:val="baseline"/>
        </w:rPr>
        <w:t>December 2020. Hence there are good grounds in favour of a finding that the non- </w:t>
      </w:r>
      <w:r>
        <w:rPr>
          <w:w w:val="110"/>
          <w:vertAlign w:val="baseline"/>
        </w:rPr>
        <w:t>diminution guarantee covers the prohibition of double jeopardy.</w:t>
      </w:r>
    </w:p>
    <w:p>
      <w:pPr>
        <w:pStyle w:val="BodyText"/>
        <w:spacing w:before="47"/>
        <w:ind w:left="0"/>
      </w:pPr>
    </w:p>
    <w:p>
      <w:pPr>
        <w:pStyle w:val="BodyText"/>
        <w:spacing w:line="247" w:lineRule="auto"/>
        <w:ind w:right="114"/>
      </w:pPr>
      <w:r>
        <w:rPr>
          <w:w w:val="110"/>
        </w:rPr>
        <w:t>The key difference between the protections</w:t>
      </w:r>
      <w:r>
        <w:rPr>
          <w:spacing w:val="40"/>
          <w:w w:val="110"/>
        </w:rPr>
        <w:t> </w:t>
      </w:r>
      <w:r>
        <w:rPr>
          <w:w w:val="110"/>
        </w:rPr>
        <w:t>against</w:t>
      </w:r>
      <w:r>
        <w:rPr>
          <w:spacing w:val="40"/>
          <w:w w:val="110"/>
        </w:rPr>
        <w:t> </w:t>
      </w:r>
      <w:r>
        <w:rPr>
          <w:w w:val="110"/>
        </w:rPr>
        <w:t>double</w:t>
      </w:r>
      <w:r>
        <w:rPr>
          <w:spacing w:val="40"/>
          <w:w w:val="110"/>
        </w:rPr>
        <w:t> </w:t>
      </w:r>
      <w:r>
        <w:rPr>
          <w:w w:val="110"/>
        </w:rPr>
        <w:t>jeopardy</w:t>
      </w:r>
      <w:r>
        <w:rPr>
          <w:spacing w:val="40"/>
          <w:w w:val="110"/>
        </w:rPr>
        <w:t> </w:t>
      </w:r>
      <w:r>
        <w:rPr>
          <w:rFonts w:ascii="Lucida Sans Unicode"/>
          <w:w w:val="110"/>
        </w:rPr>
        <w:t>in</w:t>
      </w:r>
      <w:r>
        <w:rPr>
          <w:rFonts w:ascii="Lucida Sans Unicode"/>
          <w:spacing w:val="-6"/>
          <w:w w:val="110"/>
        </w:rPr>
        <w:t> </w:t>
      </w:r>
      <w:r>
        <w:rPr>
          <w:rFonts w:ascii="Lucida Sans Unicode"/>
          <w:w w:val="110"/>
        </w:rPr>
        <w:t>EU</w:t>
      </w:r>
      <w:r>
        <w:rPr>
          <w:rFonts w:ascii="Lucida Sans Unicode"/>
          <w:spacing w:val="-6"/>
          <w:w w:val="110"/>
        </w:rPr>
        <w:t> </w:t>
      </w:r>
      <w:r>
        <w:rPr>
          <w:rFonts w:ascii="Lucida Sans Unicode"/>
          <w:w w:val="110"/>
        </w:rPr>
        <w:t>law</w:t>
      </w:r>
      <w:r>
        <w:rPr>
          <w:rFonts w:ascii="Lucida Sans Unicode"/>
          <w:spacing w:val="-6"/>
          <w:w w:val="110"/>
        </w:rPr>
        <w:t> </w:t>
      </w:r>
      <w:r>
        <w:rPr>
          <w:rFonts w:ascii="Lucida Sans Unicode"/>
          <w:w w:val="110"/>
        </w:rPr>
        <w:t>(Article</w:t>
      </w:r>
      <w:r>
        <w:rPr>
          <w:rFonts w:ascii="Lucida Sans Unicode"/>
          <w:spacing w:val="-6"/>
          <w:w w:val="110"/>
        </w:rPr>
        <w:t> </w:t>
      </w:r>
      <w:r>
        <w:rPr>
          <w:rFonts w:ascii="Lucida Sans Unicode"/>
          <w:w w:val="110"/>
        </w:rPr>
        <w:t>54</w:t>
      </w:r>
      <w:r>
        <w:rPr>
          <w:rFonts w:ascii="Lucida Sans Unicode"/>
          <w:spacing w:val="-6"/>
          <w:w w:val="110"/>
        </w:rPr>
        <w:t> </w:t>
      </w:r>
      <w:r>
        <w:rPr>
          <w:rFonts w:ascii="Lucida Sans Unicode"/>
          <w:w w:val="110"/>
        </w:rPr>
        <w:t>CISA</w:t>
      </w:r>
      <w:r>
        <w:rPr>
          <w:rFonts w:ascii="Lucida Sans Unicode"/>
          <w:spacing w:val="-6"/>
          <w:w w:val="110"/>
        </w:rPr>
        <w:t> </w:t>
      </w:r>
      <w:r>
        <w:rPr>
          <w:rFonts w:ascii="Lucida Sans Unicode"/>
          <w:w w:val="110"/>
        </w:rPr>
        <w:t>and</w:t>
      </w:r>
      <w:r>
        <w:rPr>
          <w:rFonts w:ascii="Lucida Sans Unicode"/>
          <w:spacing w:val="-6"/>
          <w:w w:val="110"/>
        </w:rPr>
        <w:t> </w:t>
      </w:r>
      <w:r>
        <w:rPr>
          <w:rFonts w:ascii="Lucida Sans Unicode"/>
          <w:w w:val="110"/>
        </w:rPr>
        <w:t>50 </w:t>
      </w:r>
      <w:r>
        <w:rPr>
          <w:w w:val="110"/>
        </w:rPr>
        <w:t>CFR) and the protection in domestic law is that the former has a </w:t>
      </w:r>
      <w:r>
        <w:rPr>
          <w:w w:val="110"/>
        </w:rPr>
        <w:t>potentially broader scope in that it protects </w:t>
      </w:r>
      <w:r>
        <w:rPr>
          <w:rFonts w:ascii="Lucida Sans Unicode"/>
        </w:rPr>
        <w:t>individuals who have been finally </w:t>
      </w:r>
      <w:r>
        <w:rPr>
          <w:w w:val="110"/>
        </w:rPr>
        <w:t>convicted or acquitted anywhere in</w:t>
      </w:r>
    </w:p>
    <w:p>
      <w:pPr>
        <w:pStyle w:val="BodyText"/>
        <w:spacing w:line="268" w:lineRule="auto" w:before="72"/>
        <w:ind w:right="129"/>
      </w:pPr>
      <w:r>
        <w:rPr/>
        <w:br w:type="column"/>
      </w:r>
      <w:r>
        <w:rPr>
          <w:w w:val="115"/>
        </w:rPr>
        <w:t>the</w:t>
      </w:r>
      <w:r>
        <w:rPr>
          <w:spacing w:val="-14"/>
          <w:w w:val="115"/>
        </w:rPr>
        <w:t> </w:t>
      </w:r>
      <w:r>
        <w:rPr>
          <w:w w:val="115"/>
        </w:rPr>
        <w:t>Union</w:t>
      </w:r>
      <w:r>
        <w:rPr>
          <w:spacing w:val="-14"/>
          <w:w w:val="115"/>
        </w:rPr>
        <w:t> </w:t>
      </w:r>
      <w:r>
        <w:rPr>
          <w:w w:val="115"/>
        </w:rPr>
        <w:t>and</w:t>
      </w:r>
      <w:r>
        <w:rPr>
          <w:spacing w:val="-14"/>
          <w:w w:val="115"/>
        </w:rPr>
        <w:t> </w:t>
      </w:r>
      <w:r>
        <w:rPr>
          <w:w w:val="115"/>
        </w:rPr>
        <w:t>not</w:t>
      </w:r>
      <w:r>
        <w:rPr>
          <w:spacing w:val="-14"/>
          <w:w w:val="115"/>
        </w:rPr>
        <w:t> </w:t>
      </w:r>
      <w:r>
        <w:rPr>
          <w:w w:val="115"/>
        </w:rPr>
        <w:t>just</w:t>
      </w:r>
      <w:r>
        <w:rPr>
          <w:spacing w:val="-14"/>
          <w:w w:val="115"/>
        </w:rPr>
        <w:t> </w:t>
      </w:r>
      <w:r>
        <w:rPr>
          <w:w w:val="115"/>
        </w:rPr>
        <w:t>in</w:t>
      </w:r>
      <w:r>
        <w:rPr>
          <w:spacing w:val="-14"/>
          <w:w w:val="115"/>
        </w:rPr>
        <w:t> </w:t>
      </w:r>
      <w:r>
        <w:rPr>
          <w:w w:val="115"/>
        </w:rPr>
        <w:t>the</w:t>
      </w:r>
      <w:r>
        <w:rPr>
          <w:spacing w:val="-14"/>
          <w:w w:val="115"/>
        </w:rPr>
        <w:t> </w:t>
      </w:r>
      <w:r>
        <w:rPr>
          <w:w w:val="115"/>
        </w:rPr>
        <w:t>domestic legal order of the state concerned.</w:t>
      </w:r>
    </w:p>
    <w:p>
      <w:pPr>
        <w:pStyle w:val="BodyText"/>
        <w:spacing w:before="3"/>
        <w:ind w:left="0"/>
      </w:pPr>
    </w:p>
    <w:p>
      <w:pPr>
        <w:pStyle w:val="BodyText"/>
        <w:spacing w:line="310" w:lineRule="exact"/>
        <w:ind w:right="322"/>
      </w:pPr>
      <w:r>
        <w:rPr>
          <w:w w:val="105"/>
        </w:rPr>
        <w:t>This can have far-reaching consequences as the recent CJEU </w:t>
      </w:r>
      <w:r>
        <w:rPr>
          <w:rFonts w:ascii="Lucida Sans Unicode" w:hAnsi="Lucida Sans Unicode"/>
          <w:w w:val="105"/>
        </w:rPr>
        <w:t>decision in Case C-435/22 PPU </w:t>
      </w:r>
      <w:r>
        <w:rPr>
          <w:rFonts w:ascii="Verdana" w:hAnsi="Verdana"/>
          <w:i/>
        </w:rPr>
        <w:t>Generalstaatsanwaltschaft München</w:t>
      </w:r>
      <w:r>
        <w:rPr>
          <w:rFonts w:ascii="Verdana" w:hAnsi="Verdana"/>
          <w:i/>
        </w:rPr>
        <w:t> </w:t>
      </w:r>
      <w:r>
        <w:rPr>
          <w:w w:val="105"/>
        </w:rPr>
        <w:t>demonstrates.</w:t>
      </w:r>
      <w:r>
        <w:rPr>
          <w:rFonts w:ascii="Lucida Sans Unicode" w:hAnsi="Lucida Sans Unicode"/>
          <w:w w:val="105"/>
          <w:vertAlign w:val="superscript"/>
        </w:rPr>
        <w:t>230</w:t>
      </w:r>
      <w:r>
        <w:rPr>
          <w:rFonts w:ascii="Lucida Sans Unicode" w:hAnsi="Lucida Sans Unicode"/>
          <w:w w:val="105"/>
          <w:vertAlign w:val="baseline"/>
        </w:rPr>
        <w:t> Here a Serbian national, who had been finally convicted of an offence in Slovenia, </w:t>
      </w:r>
      <w:r>
        <w:rPr>
          <w:w w:val="105"/>
          <w:vertAlign w:val="baseline"/>
        </w:rPr>
        <w:t>had</w:t>
      </w:r>
      <w:r>
        <w:rPr>
          <w:spacing w:val="40"/>
          <w:w w:val="105"/>
          <w:vertAlign w:val="baseline"/>
        </w:rPr>
        <w:t> </w:t>
      </w:r>
      <w:r>
        <w:rPr>
          <w:w w:val="105"/>
          <w:vertAlign w:val="baseline"/>
        </w:rPr>
        <w:t>been</w:t>
      </w:r>
      <w:r>
        <w:rPr>
          <w:spacing w:val="40"/>
          <w:w w:val="105"/>
          <w:vertAlign w:val="baseline"/>
        </w:rPr>
        <w:t> </w:t>
      </w:r>
      <w:r>
        <w:rPr>
          <w:w w:val="105"/>
          <w:vertAlign w:val="baseline"/>
        </w:rPr>
        <w:t>arrested</w:t>
      </w:r>
      <w:r>
        <w:rPr>
          <w:spacing w:val="40"/>
          <w:w w:val="105"/>
          <w:vertAlign w:val="baseline"/>
        </w:rPr>
        <w:t> </w:t>
      </w:r>
      <w:r>
        <w:rPr>
          <w:w w:val="105"/>
          <w:vertAlign w:val="baseline"/>
        </w:rPr>
        <w:t>in</w:t>
      </w:r>
      <w:r>
        <w:rPr>
          <w:spacing w:val="40"/>
          <w:w w:val="105"/>
          <w:vertAlign w:val="baseline"/>
        </w:rPr>
        <w:t> </w:t>
      </w:r>
      <w:r>
        <w:rPr>
          <w:w w:val="105"/>
          <w:vertAlign w:val="baseline"/>
        </w:rPr>
        <w:t>Germany</w:t>
      </w:r>
      <w:r>
        <w:rPr>
          <w:spacing w:val="40"/>
          <w:w w:val="105"/>
          <w:vertAlign w:val="baseline"/>
        </w:rPr>
        <w:t> </w:t>
      </w:r>
      <w:r>
        <w:rPr>
          <w:w w:val="105"/>
          <w:vertAlign w:val="baseline"/>
        </w:rPr>
        <w:t>on</w:t>
      </w:r>
      <w:r>
        <w:rPr>
          <w:spacing w:val="80"/>
          <w:w w:val="105"/>
          <w:vertAlign w:val="baseline"/>
        </w:rPr>
        <w:t> </w:t>
      </w:r>
      <w:r>
        <w:rPr>
          <w:w w:val="105"/>
          <w:vertAlign w:val="baseline"/>
        </w:rPr>
        <w:t>foot</w:t>
      </w:r>
      <w:r>
        <w:rPr>
          <w:spacing w:val="40"/>
          <w:w w:val="105"/>
          <w:vertAlign w:val="baseline"/>
        </w:rPr>
        <w:t> </w:t>
      </w:r>
      <w:r>
        <w:rPr>
          <w:w w:val="105"/>
          <w:vertAlign w:val="baseline"/>
        </w:rPr>
        <w:t>of</w:t>
      </w:r>
      <w:r>
        <w:rPr>
          <w:spacing w:val="40"/>
          <w:w w:val="105"/>
          <w:vertAlign w:val="baseline"/>
        </w:rPr>
        <w:t> </w:t>
      </w:r>
      <w:r>
        <w:rPr>
          <w:w w:val="105"/>
          <w:vertAlign w:val="baseline"/>
        </w:rPr>
        <w:t>an</w:t>
      </w:r>
      <w:r>
        <w:rPr>
          <w:spacing w:val="40"/>
          <w:w w:val="105"/>
          <w:vertAlign w:val="baseline"/>
        </w:rPr>
        <w:t> </w:t>
      </w:r>
      <w:r>
        <w:rPr>
          <w:w w:val="105"/>
          <w:vertAlign w:val="baseline"/>
        </w:rPr>
        <w:t>international</w:t>
      </w:r>
      <w:r>
        <w:rPr>
          <w:spacing w:val="40"/>
          <w:w w:val="105"/>
          <w:vertAlign w:val="baseline"/>
        </w:rPr>
        <w:t> </w:t>
      </w:r>
      <w:r>
        <w:rPr>
          <w:w w:val="105"/>
          <w:vertAlign w:val="baseline"/>
        </w:rPr>
        <w:t>arrest</w:t>
      </w:r>
      <w:r>
        <w:rPr>
          <w:spacing w:val="40"/>
          <w:w w:val="105"/>
          <w:vertAlign w:val="baseline"/>
        </w:rPr>
        <w:t> </w:t>
      </w:r>
      <w:r>
        <w:rPr>
          <w:w w:val="105"/>
          <w:vertAlign w:val="baseline"/>
        </w:rPr>
        <w:t>warrant </w:t>
      </w:r>
      <w:r>
        <w:rPr>
          <w:rFonts w:ascii="Lucida Sans Unicode" w:hAnsi="Lucida Sans Unicode"/>
          <w:w w:val="105"/>
          <w:vertAlign w:val="baseline"/>
        </w:rPr>
        <w:t>issued by the United States. The United States requested extradition on the basis of the US-German </w:t>
      </w:r>
      <w:r>
        <w:rPr>
          <w:w w:val="105"/>
          <w:vertAlign w:val="baseline"/>
        </w:rPr>
        <w:t>extradition treaty, which contains a</w:t>
      </w:r>
      <w:r>
        <w:rPr>
          <w:spacing w:val="80"/>
          <w:w w:val="105"/>
          <w:vertAlign w:val="baseline"/>
        </w:rPr>
        <w:t> </w:t>
      </w:r>
      <w:r>
        <w:rPr>
          <w:w w:val="105"/>
          <w:vertAlign w:val="baseline"/>
        </w:rPr>
        <w:t>more limited double jeopardy clause</w:t>
      </w:r>
      <w:r>
        <w:rPr>
          <w:spacing w:val="80"/>
          <w:w w:val="105"/>
          <w:vertAlign w:val="baseline"/>
        </w:rPr>
        <w:t> </w:t>
      </w:r>
      <w:r>
        <w:rPr>
          <w:w w:val="105"/>
          <w:vertAlign w:val="baseline"/>
        </w:rPr>
        <w:t>allowing</w:t>
      </w:r>
      <w:r>
        <w:rPr>
          <w:spacing w:val="40"/>
          <w:w w:val="105"/>
          <w:vertAlign w:val="baseline"/>
        </w:rPr>
        <w:t> </w:t>
      </w:r>
      <w:r>
        <w:rPr>
          <w:w w:val="105"/>
          <w:vertAlign w:val="baseline"/>
        </w:rPr>
        <w:t>refusal</w:t>
      </w:r>
      <w:r>
        <w:rPr>
          <w:spacing w:val="40"/>
          <w:w w:val="105"/>
          <w:vertAlign w:val="baseline"/>
        </w:rPr>
        <w:t> </w:t>
      </w:r>
      <w:r>
        <w:rPr>
          <w:w w:val="105"/>
          <w:vertAlign w:val="baseline"/>
        </w:rPr>
        <w:t>of</w:t>
      </w:r>
      <w:r>
        <w:rPr>
          <w:spacing w:val="40"/>
          <w:w w:val="105"/>
          <w:vertAlign w:val="baseline"/>
        </w:rPr>
        <w:t> </w:t>
      </w:r>
      <w:r>
        <w:rPr>
          <w:w w:val="105"/>
          <w:vertAlign w:val="baseline"/>
        </w:rPr>
        <w:t>extradition</w:t>
      </w:r>
      <w:r>
        <w:rPr>
          <w:spacing w:val="40"/>
          <w:w w:val="105"/>
          <w:vertAlign w:val="baseline"/>
        </w:rPr>
        <w:t> </w:t>
      </w:r>
      <w:r>
        <w:rPr>
          <w:w w:val="105"/>
          <w:vertAlign w:val="baseline"/>
        </w:rPr>
        <w:t>only</w:t>
      </w:r>
    </w:p>
    <w:p>
      <w:pPr>
        <w:pStyle w:val="BodyText"/>
        <w:spacing w:line="268" w:lineRule="auto" w:before="23"/>
        <w:ind w:right="259"/>
      </w:pPr>
      <w:r>
        <w:rPr>
          <w:w w:val="115"/>
        </w:rPr>
        <w:t>if the requested person had been convicted or acquitted in Germany. Hence a refusal to extradite on part </w:t>
      </w:r>
      <w:r>
        <w:rPr>
          <w:spacing w:val="-2"/>
          <w:w w:val="115"/>
        </w:rPr>
        <w:t>of</w:t>
      </w:r>
      <w:r>
        <w:rPr>
          <w:spacing w:val="-16"/>
          <w:w w:val="115"/>
        </w:rPr>
        <w:t> </w:t>
      </w:r>
      <w:r>
        <w:rPr>
          <w:spacing w:val="-2"/>
          <w:w w:val="115"/>
        </w:rPr>
        <w:t>the</w:t>
      </w:r>
      <w:r>
        <w:rPr>
          <w:spacing w:val="-16"/>
          <w:w w:val="115"/>
        </w:rPr>
        <w:t> </w:t>
      </w:r>
      <w:r>
        <w:rPr>
          <w:spacing w:val="-2"/>
          <w:w w:val="115"/>
        </w:rPr>
        <w:t>German</w:t>
      </w:r>
      <w:r>
        <w:rPr>
          <w:spacing w:val="-16"/>
          <w:w w:val="115"/>
        </w:rPr>
        <w:t> </w:t>
      </w:r>
      <w:r>
        <w:rPr>
          <w:spacing w:val="-2"/>
          <w:w w:val="115"/>
        </w:rPr>
        <w:t>authorities</w:t>
      </w:r>
      <w:r>
        <w:rPr>
          <w:spacing w:val="-16"/>
          <w:w w:val="115"/>
        </w:rPr>
        <w:t> </w:t>
      </w:r>
      <w:r>
        <w:rPr>
          <w:spacing w:val="-2"/>
          <w:w w:val="115"/>
        </w:rPr>
        <w:t>in</w:t>
      </w:r>
      <w:r>
        <w:rPr>
          <w:spacing w:val="-16"/>
          <w:w w:val="115"/>
        </w:rPr>
        <w:t> </w:t>
      </w:r>
      <w:r>
        <w:rPr>
          <w:spacing w:val="-2"/>
          <w:w w:val="115"/>
        </w:rPr>
        <w:t>this</w:t>
      </w:r>
      <w:r>
        <w:rPr>
          <w:spacing w:val="-16"/>
          <w:w w:val="115"/>
        </w:rPr>
        <w:t> </w:t>
      </w:r>
      <w:r>
        <w:rPr>
          <w:spacing w:val="-2"/>
          <w:w w:val="115"/>
        </w:rPr>
        <w:t>case </w:t>
      </w:r>
      <w:r>
        <w:rPr>
          <w:w w:val="115"/>
        </w:rPr>
        <w:t>would have been in breach of the extradition treaty. Nonetheless, the CJEU held that according to Article</w:t>
      </w:r>
    </w:p>
    <w:p>
      <w:pPr>
        <w:pStyle w:val="BodyText"/>
        <w:spacing w:line="327" w:lineRule="exact"/>
        <w:rPr>
          <w:rFonts w:ascii="Lucida Sans Unicode" w:hAnsi="Lucida Sans Unicode"/>
        </w:rPr>
      </w:pPr>
      <w:r>
        <w:rPr>
          <w:rFonts w:ascii="Lucida Sans Unicode" w:hAnsi="Lucida Sans Unicode"/>
          <w:w w:val="105"/>
        </w:rPr>
        <w:t>54</w:t>
      </w:r>
      <w:r>
        <w:rPr>
          <w:rFonts w:ascii="Lucida Sans Unicode" w:hAnsi="Lucida Sans Unicode"/>
          <w:spacing w:val="-18"/>
          <w:w w:val="105"/>
        </w:rPr>
        <w:t> </w:t>
      </w:r>
      <w:r>
        <w:rPr>
          <w:rFonts w:ascii="Lucida Sans Unicode" w:hAnsi="Lucida Sans Unicode"/>
          <w:w w:val="105"/>
        </w:rPr>
        <w:t>CISA</w:t>
      </w:r>
      <w:r>
        <w:rPr>
          <w:rFonts w:ascii="Lucida Sans Unicode" w:hAnsi="Lucida Sans Unicode"/>
          <w:spacing w:val="-18"/>
          <w:w w:val="105"/>
        </w:rPr>
        <w:t> </w:t>
      </w:r>
      <w:r>
        <w:rPr>
          <w:rFonts w:ascii="Lucida Sans Unicode" w:hAnsi="Lucida Sans Unicode"/>
          <w:w w:val="105"/>
        </w:rPr>
        <w:t>‘read</w:t>
      </w:r>
      <w:r>
        <w:rPr>
          <w:rFonts w:ascii="Lucida Sans Unicode" w:hAnsi="Lucida Sans Unicode"/>
          <w:spacing w:val="-17"/>
          <w:w w:val="105"/>
        </w:rPr>
        <w:t> </w:t>
      </w:r>
      <w:r>
        <w:rPr>
          <w:rFonts w:ascii="Lucida Sans Unicode" w:hAnsi="Lucida Sans Unicode"/>
          <w:w w:val="105"/>
        </w:rPr>
        <w:t>in</w:t>
      </w:r>
      <w:r>
        <w:rPr>
          <w:rFonts w:ascii="Lucida Sans Unicode" w:hAnsi="Lucida Sans Unicode"/>
          <w:spacing w:val="-18"/>
          <w:w w:val="105"/>
        </w:rPr>
        <w:t> </w:t>
      </w:r>
      <w:r>
        <w:rPr>
          <w:rFonts w:ascii="Lucida Sans Unicode" w:hAnsi="Lucida Sans Unicode"/>
          <w:w w:val="105"/>
        </w:rPr>
        <w:t>the</w:t>
      </w:r>
      <w:r>
        <w:rPr>
          <w:rFonts w:ascii="Lucida Sans Unicode" w:hAnsi="Lucida Sans Unicode"/>
          <w:spacing w:val="-18"/>
          <w:w w:val="105"/>
        </w:rPr>
        <w:t> </w:t>
      </w:r>
      <w:r>
        <w:rPr>
          <w:rFonts w:ascii="Lucida Sans Unicode" w:hAnsi="Lucida Sans Unicode"/>
          <w:w w:val="105"/>
        </w:rPr>
        <w:t>light</w:t>
      </w:r>
      <w:r>
        <w:rPr>
          <w:rFonts w:ascii="Lucida Sans Unicode" w:hAnsi="Lucida Sans Unicode"/>
          <w:spacing w:val="-17"/>
          <w:w w:val="105"/>
        </w:rPr>
        <w:t> </w:t>
      </w:r>
      <w:r>
        <w:rPr>
          <w:rFonts w:ascii="Lucida Sans Unicode" w:hAnsi="Lucida Sans Unicode"/>
          <w:w w:val="105"/>
        </w:rPr>
        <w:t>of</w:t>
      </w:r>
      <w:r>
        <w:rPr>
          <w:rFonts w:ascii="Lucida Sans Unicode" w:hAnsi="Lucida Sans Unicode"/>
          <w:spacing w:val="-18"/>
          <w:w w:val="105"/>
        </w:rPr>
        <w:t> </w:t>
      </w:r>
      <w:r>
        <w:rPr>
          <w:rFonts w:ascii="Lucida Sans Unicode" w:hAnsi="Lucida Sans Unicode"/>
          <w:w w:val="105"/>
        </w:rPr>
        <w:t>Article</w:t>
      </w:r>
      <w:r>
        <w:rPr>
          <w:rFonts w:ascii="Lucida Sans Unicode" w:hAnsi="Lucida Sans Unicode"/>
          <w:spacing w:val="-18"/>
          <w:w w:val="105"/>
        </w:rPr>
        <w:t> </w:t>
      </w:r>
      <w:r>
        <w:rPr>
          <w:rFonts w:ascii="Lucida Sans Unicode" w:hAnsi="Lucida Sans Unicode"/>
          <w:spacing w:val="-5"/>
          <w:w w:val="105"/>
        </w:rPr>
        <w:t>50</w:t>
      </w:r>
    </w:p>
    <w:p>
      <w:pPr>
        <w:pStyle w:val="BodyText"/>
        <w:spacing w:line="268" w:lineRule="auto"/>
        <w:ind w:right="147"/>
      </w:pPr>
      <w:r>
        <w:rPr>
          <w:w w:val="115"/>
        </w:rPr>
        <w:t>of the Charter’ had to be interpreted as</w:t>
      </w:r>
      <w:r>
        <w:rPr>
          <w:spacing w:val="-20"/>
          <w:w w:val="115"/>
        </w:rPr>
        <w:t> </w:t>
      </w:r>
      <w:r>
        <w:rPr>
          <w:w w:val="115"/>
        </w:rPr>
        <w:t>precluding</w:t>
      </w:r>
      <w:r>
        <w:rPr>
          <w:spacing w:val="-19"/>
          <w:w w:val="115"/>
        </w:rPr>
        <w:t> </w:t>
      </w:r>
      <w:r>
        <w:rPr>
          <w:w w:val="115"/>
        </w:rPr>
        <w:t>the</w:t>
      </w:r>
      <w:r>
        <w:rPr>
          <w:spacing w:val="-19"/>
          <w:w w:val="115"/>
        </w:rPr>
        <w:t> </w:t>
      </w:r>
      <w:r>
        <w:rPr>
          <w:w w:val="115"/>
        </w:rPr>
        <w:t>extradition</w:t>
      </w:r>
      <w:r>
        <w:rPr>
          <w:spacing w:val="-19"/>
          <w:w w:val="115"/>
        </w:rPr>
        <w:t> </w:t>
      </w:r>
      <w:r>
        <w:rPr>
          <w:w w:val="115"/>
        </w:rPr>
        <w:t>in</w:t>
      </w:r>
      <w:r>
        <w:rPr>
          <w:spacing w:val="-19"/>
          <w:w w:val="115"/>
        </w:rPr>
        <w:t> </w:t>
      </w:r>
      <w:r>
        <w:rPr>
          <w:w w:val="115"/>
        </w:rPr>
        <w:t>such</w:t>
      </w:r>
      <w:r>
        <w:rPr>
          <w:spacing w:val="-20"/>
          <w:w w:val="115"/>
        </w:rPr>
        <w:t> </w:t>
      </w:r>
      <w:r>
        <w:rPr>
          <w:w w:val="115"/>
        </w:rPr>
        <w:t>a </w:t>
      </w:r>
      <w:r>
        <w:rPr>
          <w:spacing w:val="-2"/>
          <w:w w:val="115"/>
        </w:rPr>
        <w:t>case.</w:t>
      </w:r>
    </w:p>
    <w:p>
      <w:pPr>
        <w:pStyle w:val="BodyText"/>
        <w:spacing w:before="1"/>
        <w:ind w:left="0"/>
      </w:pPr>
    </w:p>
    <w:p>
      <w:pPr>
        <w:pStyle w:val="Heading4"/>
        <w:numPr>
          <w:ilvl w:val="0"/>
          <w:numId w:val="13"/>
        </w:numPr>
        <w:tabs>
          <w:tab w:pos="390" w:val="left" w:leader="none"/>
        </w:tabs>
        <w:spacing w:line="256" w:lineRule="auto" w:before="0" w:after="0"/>
        <w:ind w:left="113" w:right="703" w:firstLine="0"/>
        <w:jc w:val="left"/>
      </w:pPr>
      <w:r>
        <w:rPr>
          <w:color w:val="77328A"/>
        </w:rPr>
        <w:t>Relevance of post-Brexit </w:t>
      </w:r>
      <w:r>
        <w:rPr>
          <w:color w:val="77328A"/>
        </w:rPr>
        <w:t>CJEU case law</w:t>
      </w:r>
    </w:p>
    <w:p>
      <w:pPr>
        <w:pStyle w:val="BodyText"/>
        <w:spacing w:line="225" w:lineRule="auto"/>
        <w:ind w:right="317"/>
      </w:pPr>
      <w:r>
        <w:rPr>
          <w:rFonts w:ascii="Lucida Sans Unicode"/>
          <w:spacing w:val="-2"/>
          <w:w w:val="105"/>
        </w:rPr>
        <w:t>A</w:t>
      </w:r>
      <w:r>
        <w:rPr>
          <w:rFonts w:ascii="Lucida Sans Unicode"/>
          <w:spacing w:val="-18"/>
          <w:w w:val="105"/>
        </w:rPr>
        <w:t> </w:t>
      </w:r>
      <w:r>
        <w:rPr>
          <w:rFonts w:ascii="Lucida Sans Unicode"/>
          <w:spacing w:val="-2"/>
          <w:w w:val="105"/>
        </w:rPr>
        <w:t>final</w:t>
      </w:r>
      <w:r>
        <w:rPr>
          <w:rFonts w:ascii="Lucida Sans Unicode"/>
          <w:spacing w:val="-18"/>
          <w:w w:val="105"/>
        </w:rPr>
        <w:t> </w:t>
      </w:r>
      <w:r>
        <w:rPr>
          <w:rFonts w:ascii="Lucida Sans Unicode"/>
          <w:spacing w:val="-2"/>
          <w:w w:val="105"/>
        </w:rPr>
        <w:t>note</w:t>
      </w:r>
      <w:r>
        <w:rPr>
          <w:rFonts w:ascii="Lucida Sans Unicode"/>
          <w:spacing w:val="-18"/>
          <w:w w:val="105"/>
        </w:rPr>
        <w:t> </w:t>
      </w:r>
      <w:r>
        <w:rPr>
          <w:rFonts w:ascii="Lucida Sans Unicode"/>
          <w:spacing w:val="-2"/>
          <w:w w:val="105"/>
        </w:rPr>
        <w:t>in</w:t>
      </w:r>
      <w:r>
        <w:rPr>
          <w:rFonts w:ascii="Lucida Sans Unicode"/>
          <w:spacing w:val="-18"/>
          <w:w w:val="105"/>
        </w:rPr>
        <w:t> </w:t>
      </w:r>
      <w:r>
        <w:rPr>
          <w:rFonts w:ascii="Lucida Sans Unicode"/>
          <w:spacing w:val="-2"/>
          <w:w w:val="105"/>
        </w:rPr>
        <w:t>this</w:t>
      </w:r>
      <w:r>
        <w:rPr>
          <w:rFonts w:ascii="Lucida Sans Unicode"/>
          <w:spacing w:val="-18"/>
          <w:w w:val="105"/>
        </w:rPr>
        <w:t> </w:t>
      </w:r>
      <w:r>
        <w:rPr>
          <w:rFonts w:ascii="Lucida Sans Unicode"/>
          <w:spacing w:val="-2"/>
          <w:w w:val="105"/>
        </w:rPr>
        <w:t>section</w:t>
      </w:r>
      <w:r>
        <w:rPr>
          <w:rFonts w:ascii="Lucida Sans Unicode"/>
          <w:spacing w:val="-18"/>
          <w:w w:val="105"/>
        </w:rPr>
        <w:t> </w:t>
      </w:r>
      <w:r>
        <w:rPr>
          <w:rFonts w:ascii="Lucida Sans Unicode"/>
          <w:spacing w:val="-2"/>
          <w:w w:val="105"/>
        </w:rPr>
        <w:t>is</w:t>
      </w:r>
      <w:r>
        <w:rPr>
          <w:rFonts w:ascii="Lucida Sans Unicode"/>
          <w:spacing w:val="-18"/>
          <w:w w:val="105"/>
        </w:rPr>
        <w:t> </w:t>
      </w:r>
      <w:r>
        <w:rPr>
          <w:rFonts w:ascii="Lucida Sans Unicode"/>
          <w:spacing w:val="-2"/>
          <w:w w:val="105"/>
        </w:rPr>
        <w:t>on</w:t>
      </w:r>
      <w:r>
        <w:rPr>
          <w:rFonts w:ascii="Lucida Sans Unicode"/>
          <w:spacing w:val="-18"/>
          <w:w w:val="105"/>
        </w:rPr>
        <w:t> </w:t>
      </w:r>
      <w:r>
        <w:rPr>
          <w:rFonts w:ascii="Lucida Sans Unicode"/>
          <w:spacing w:val="-2"/>
          <w:w w:val="105"/>
        </w:rPr>
        <w:t>the </w:t>
      </w:r>
      <w:r>
        <w:rPr>
          <w:w w:val="105"/>
        </w:rPr>
        <w:t>applicability</w:t>
      </w:r>
      <w:r>
        <w:rPr>
          <w:spacing w:val="34"/>
          <w:w w:val="105"/>
        </w:rPr>
        <w:t> </w:t>
      </w:r>
      <w:r>
        <w:rPr>
          <w:w w:val="105"/>
        </w:rPr>
        <w:t>of</w:t>
      </w:r>
      <w:r>
        <w:rPr>
          <w:spacing w:val="34"/>
          <w:w w:val="105"/>
        </w:rPr>
        <w:t> </w:t>
      </w:r>
      <w:r>
        <w:rPr>
          <w:w w:val="105"/>
        </w:rPr>
        <w:t>CJEU</w:t>
      </w:r>
      <w:r>
        <w:rPr>
          <w:spacing w:val="35"/>
          <w:w w:val="105"/>
        </w:rPr>
        <w:t> </w:t>
      </w:r>
      <w:r>
        <w:rPr>
          <w:w w:val="105"/>
        </w:rPr>
        <w:t>case</w:t>
      </w:r>
      <w:r>
        <w:rPr>
          <w:spacing w:val="34"/>
          <w:w w:val="105"/>
        </w:rPr>
        <w:t> </w:t>
      </w:r>
      <w:r>
        <w:rPr>
          <w:w w:val="105"/>
        </w:rPr>
        <w:t>law.</w:t>
      </w:r>
      <w:r>
        <w:rPr>
          <w:spacing w:val="35"/>
          <w:w w:val="105"/>
        </w:rPr>
        <w:t> </w:t>
      </w:r>
      <w:r>
        <w:rPr>
          <w:spacing w:val="-5"/>
          <w:w w:val="105"/>
        </w:rPr>
        <w:t>The</w:t>
      </w:r>
    </w:p>
    <w:p>
      <w:pPr>
        <w:pStyle w:val="BodyText"/>
        <w:spacing w:line="232" w:lineRule="auto" w:before="36"/>
        <w:ind w:right="740"/>
        <w:rPr>
          <w:rFonts w:ascii="Lucida Sans Unicode" w:hAnsi="Lucida Sans Unicode"/>
        </w:rPr>
      </w:pPr>
      <w:r>
        <w:rPr>
          <w:w w:val="110"/>
        </w:rPr>
        <w:t>express provision in this regard is </w:t>
      </w:r>
      <w:r>
        <w:rPr>
          <w:rFonts w:ascii="Lucida Sans Unicode" w:hAnsi="Lucida Sans Unicode"/>
        </w:rPr>
        <w:t>Article 13(2), which mandates a </w:t>
      </w:r>
      <w:r>
        <w:rPr>
          <w:w w:val="110"/>
        </w:rPr>
        <w:t>duty</w:t>
      </w:r>
      <w:r>
        <w:rPr>
          <w:spacing w:val="40"/>
          <w:w w:val="110"/>
        </w:rPr>
        <w:t> </w:t>
      </w:r>
      <w:r>
        <w:rPr>
          <w:w w:val="110"/>
        </w:rPr>
        <w:t>to</w:t>
      </w:r>
      <w:r>
        <w:rPr>
          <w:spacing w:val="40"/>
          <w:w w:val="110"/>
        </w:rPr>
        <w:t> </w:t>
      </w:r>
      <w:r>
        <w:rPr>
          <w:w w:val="110"/>
        </w:rPr>
        <w:t>interpret</w:t>
      </w:r>
      <w:r>
        <w:rPr>
          <w:spacing w:val="40"/>
          <w:w w:val="110"/>
        </w:rPr>
        <w:t> </w:t>
      </w:r>
      <w:r>
        <w:rPr>
          <w:w w:val="110"/>
        </w:rPr>
        <w:t>‘the</w:t>
      </w:r>
      <w:r>
        <w:rPr>
          <w:spacing w:val="40"/>
          <w:w w:val="110"/>
        </w:rPr>
        <w:t> </w:t>
      </w:r>
      <w:r>
        <w:rPr>
          <w:w w:val="110"/>
        </w:rPr>
        <w:t>provisions </w:t>
      </w:r>
      <w:r>
        <w:rPr>
          <w:rFonts w:ascii="Lucida Sans Unicode" w:hAnsi="Lucida Sans Unicode"/>
        </w:rPr>
        <w:t>of this Protocol [viz. the Windsor</w:t>
      </w:r>
    </w:p>
    <w:p>
      <w:pPr>
        <w:pStyle w:val="BodyText"/>
        <w:spacing w:line="303" w:lineRule="exact"/>
        <w:rPr>
          <w:rFonts w:ascii="Lucida Sans Unicode"/>
        </w:rPr>
      </w:pPr>
      <w:r>
        <w:rPr>
          <w:rFonts w:ascii="Lucida Sans Unicode"/>
          <w:spacing w:val="-2"/>
          <w:w w:val="105"/>
        </w:rPr>
        <w:t>Framework]</w:t>
      </w:r>
      <w:r>
        <w:rPr>
          <w:rFonts w:ascii="Lucida Sans Unicode"/>
          <w:spacing w:val="-11"/>
          <w:w w:val="105"/>
        </w:rPr>
        <w:t> </w:t>
      </w:r>
      <w:r>
        <w:rPr>
          <w:rFonts w:ascii="Lucida Sans Unicode"/>
          <w:spacing w:val="-2"/>
          <w:w w:val="105"/>
        </w:rPr>
        <w:t>referring</w:t>
      </w:r>
      <w:r>
        <w:rPr>
          <w:rFonts w:ascii="Lucida Sans Unicode"/>
          <w:spacing w:val="-10"/>
          <w:w w:val="105"/>
        </w:rPr>
        <w:t> </w:t>
      </w:r>
      <w:r>
        <w:rPr>
          <w:rFonts w:ascii="Lucida Sans Unicode"/>
          <w:spacing w:val="-2"/>
          <w:w w:val="105"/>
        </w:rPr>
        <w:t>to</w:t>
      </w:r>
      <w:r>
        <w:rPr>
          <w:rFonts w:ascii="Lucida Sans Unicode"/>
          <w:spacing w:val="-10"/>
          <w:w w:val="105"/>
        </w:rPr>
        <w:t> </w:t>
      </w:r>
      <w:r>
        <w:rPr>
          <w:rFonts w:ascii="Lucida Sans Unicode"/>
          <w:spacing w:val="-2"/>
          <w:w w:val="105"/>
        </w:rPr>
        <w:t>Union</w:t>
      </w:r>
      <w:r>
        <w:rPr>
          <w:rFonts w:ascii="Lucida Sans Unicode"/>
          <w:spacing w:val="-10"/>
          <w:w w:val="105"/>
        </w:rPr>
        <w:t> </w:t>
      </w:r>
      <w:r>
        <w:rPr>
          <w:rFonts w:ascii="Lucida Sans Unicode"/>
          <w:spacing w:val="-2"/>
          <w:w w:val="105"/>
        </w:rPr>
        <w:t>law</w:t>
      </w:r>
      <w:r>
        <w:rPr>
          <w:rFonts w:ascii="Lucida Sans Unicode"/>
          <w:spacing w:val="-11"/>
          <w:w w:val="105"/>
        </w:rPr>
        <w:t> </w:t>
      </w:r>
      <w:r>
        <w:rPr>
          <w:rFonts w:ascii="Lucida Sans Unicode"/>
          <w:spacing w:val="-5"/>
          <w:w w:val="105"/>
        </w:rPr>
        <w:t>or</w:t>
      </w:r>
    </w:p>
    <w:p>
      <w:pPr>
        <w:pStyle w:val="BodyText"/>
        <w:spacing w:line="266" w:lineRule="exact"/>
      </w:pPr>
      <w:r>
        <w:rPr>
          <w:w w:val="115"/>
        </w:rPr>
        <w:t>to</w:t>
      </w:r>
      <w:r>
        <w:rPr>
          <w:spacing w:val="-11"/>
          <w:w w:val="115"/>
        </w:rPr>
        <w:t> </w:t>
      </w:r>
      <w:r>
        <w:rPr>
          <w:w w:val="115"/>
        </w:rPr>
        <w:t>concepts</w:t>
      </w:r>
      <w:r>
        <w:rPr>
          <w:spacing w:val="-11"/>
          <w:w w:val="115"/>
        </w:rPr>
        <w:t> </w:t>
      </w:r>
      <w:r>
        <w:rPr>
          <w:w w:val="115"/>
        </w:rPr>
        <w:t>or</w:t>
      </w:r>
      <w:r>
        <w:rPr>
          <w:spacing w:val="-11"/>
          <w:w w:val="115"/>
        </w:rPr>
        <w:t> </w:t>
      </w:r>
      <w:r>
        <w:rPr>
          <w:w w:val="115"/>
        </w:rPr>
        <w:t>provisions</w:t>
      </w:r>
      <w:r>
        <w:rPr>
          <w:spacing w:val="-11"/>
          <w:w w:val="115"/>
        </w:rPr>
        <w:t> </w:t>
      </w:r>
      <w:r>
        <w:rPr>
          <w:w w:val="115"/>
        </w:rPr>
        <w:t>thereof’</w:t>
      </w:r>
      <w:r>
        <w:rPr>
          <w:spacing w:val="-10"/>
          <w:w w:val="115"/>
        </w:rPr>
        <w:t> </w:t>
      </w:r>
      <w:r>
        <w:rPr>
          <w:spacing w:val="-5"/>
          <w:w w:val="115"/>
        </w:rPr>
        <w:t>in</w:t>
      </w:r>
    </w:p>
    <w:p>
      <w:pPr>
        <w:spacing w:after="0" w:line="266" w:lineRule="exact"/>
        <w:sectPr>
          <w:type w:val="continuous"/>
          <w:pgSz w:w="11910" w:h="16840"/>
          <w:pgMar w:header="568" w:footer="580" w:top="0" w:bottom="280" w:left="1020" w:right="1020"/>
          <w:cols w:num="2" w:equalWidth="0">
            <w:col w:w="4737" w:space="309"/>
            <w:col w:w="4824"/>
          </w:cols>
        </w:sectPr>
      </w:pPr>
    </w:p>
    <w:p>
      <w:pPr>
        <w:pStyle w:val="BodyText"/>
        <w:spacing w:before="201"/>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149" name="Group 149"/>
                <wp:cNvGraphicFramePr>
                  <a:graphicFrameLocks/>
                </wp:cNvGraphicFramePr>
                <a:graphic>
                  <a:graphicData uri="http://schemas.microsoft.com/office/word/2010/wordprocessingGroup">
                    <wpg:wgp>
                      <wpg:cNvPr id="149" name="Group 149"/>
                      <wpg:cNvGrpSpPr/>
                      <wpg:grpSpPr>
                        <a:xfrm>
                          <a:off x="0" y="0"/>
                          <a:ext cx="6120130" cy="6350"/>
                          <a:chExt cx="6120130" cy="6350"/>
                        </a:xfrm>
                      </wpg:grpSpPr>
                      <wps:wsp>
                        <wps:cNvPr id="150" name="Graphic 150"/>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93"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14"/>
        </w:numPr>
        <w:tabs>
          <w:tab w:pos="565" w:val="left" w:leader="none"/>
        </w:tabs>
        <w:spacing w:line="223" w:lineRule="exact" w:before="61" w:after="0"/>
        <w:ind w:left="565" w:right="0" w:hanging="452"/>
        <w:jc w:val="left"/>
        <w:rPr>
          <w:sz w:val="16"/>
        </w:rPr>
      </w:pPr>
      <w:r>
        <w:rPr>
          <w:sz w:val="16"/>
        </w:rPr>
        <w:t>See</w:t>
      </w:r>
      <w:r>
        <w:rPr>
          <w:spacing w:val="16"/>
          <w:sz w:val="16"/>
        </w:rPr>
        <w:t> </w:t>
      </w:r>
      <w:r>
        <w:rPr>
          <w:sz w:val="16"/>
        </w:rPr>
        <w:t>Criminal</w:t>
      </w:r>
      <w:r>
        <w:rPr>
          <w:spacing w:val="17"/>
          <w:sz w:val="16"/>
        </w:rPr>
        <w:t> </w:t>
      </w:r>
      <w:r>
        <w:rPr>
          <w:sz w:val="16"/>
        </w:rPr>
        <w:t>Justice</w:t>
      </w:r>
      <w:r>
        <w:rPr>
          <w:spacing w:val="17"/>
          <w:sz w:val="16"/>
        </w:rPr>
        <w:t> </w:t>
      </w:r>
      <w:r>
        <w:rPr>
          <w:sz w:val="16"/>
        </w:rPr>
        <w:t>Act</w:t>
      </w:r>
      <w:r>
        <w:rPr>
          <w:spacing w:val="17"/>
          <w:sz w:val="16"/>
        </w:rPr>
        <w:t> </w:t>
      </w:r>
      <w:r>
        <w:rPr>
          <w:sz w:val="16"/>
        </w:rPr>
        <w:t>2003,</w:t>
      </w:r>
      <w:r>
        <w:rPr>
          <w:spacing w:val="17"/>
          <w:sz w:val="16"/>
        </w:rPr>
        <w:t> </w:t>
      </w:r>
      <w:r>
        <w:rPr>
          <w:sz w:val="16"/>
        </w:rPr>
        <w:t>Part</w:t>
      </w:r>
      <w:r>
        <w:rPr>
          <w:spacing w:val="17"/>
          <w:sz w:val="16"/>
        </w:rPr>
        <w:t> </w:t>
      </w:r>
      <w:r>
        <w:rPr>
          <w:spacing w:val="-5"/>
          <w:sz w:val="16"/>
        </w:rPr>
        <w:t>10.</w:t>
      </w:r>
    </w:p>
    <w:p>
      <w:pPr>
        <w:pStyle w:val="ListParagraph"/>
        <w:numPr>
          <w:ilvl w:val="0"/>
          <w:numId w:val="14"/>
        </w:numPr>
        <w:tabs>
          <w:tab w:pos="567" w:val="left" w:leader="none"/>
        </w:tabs>
        <w:spacing w:line="194" w:lineRule="auto" w:before="10" w:after="0"/>
        <w:ind w:left="567" w:right="345" w:hanging="454"/>
        <w:jc w:val="left"/>
        <w:rPr>
          <w:sz w:val="16"/>
        </w:rPr>
      </w:pPr>
      <w:r>
        <w:rPr>
          <w:sz w:val="16"/>
        </w:rPr>
        <w:t>See Council decisions 2000/365, 2004/926, and 2010/779 as amended by Council Decision 2014/854/EU [2014] </w:t>
      </w:r>
      <w:r>
        <w:rPr>
          <w:w w:val="115"/>
          <w:sz w:val="16"/>
        </w:rPr>
        <w:t>OJ </w:t>
      </w:r>
      <w:r>
        <w:rPr>
          <w:w w:val="105"/>
          <w:sz w:val="16"/>
        </w:rPr>
        <w:t>L 365/1.</w:t>
      </w:r>
    </w:p>
    <w:p>
      <w:pPr>
        <w:pStyle w:val="ListParagraph"/>
        <w:numPr>
          <w:ilvl w:val="0"/>
          <w:numId w:val="14"/>
        </w:numPr>
        <w:tabs>
          <w:tab w:pos="567" w:val="left" w:leader="none"/>
        </w:tabs>
        <w:spacing w:line="194" w:lineRule="auto" w:before="2" w:after="0"/>
        <w:ind w:left="567" w:right="493" w:hanging="454"/>
        <w:jc w:val="left"/>
        <w:rPr>
          <w:sz w:val="16"/>
        </w:rPr>
      </w:pPr>
      <w:r>
        <w:rPr>
          <w:sz w:val="16"/>
        </w:rPr>
        <w:t>Council Framework Decision 2002/584/JHA of 13 June 2002 on the European arrest warrant and the surrender procedures between Member States [2002] </w:t>
      </w:r>
      <w:r>
        <w:rPr>
          <w:w w:val="115"/>
          <w:sz w:val="16"/>
        </w:rPr>
        <w:t>OJ </w:t>
      </w:r>
      <w:r>
        <w:rPr>
          <w:sz w:val="16"/>
        </w:rPr>
        <w:t>L 190/1.</w:t>
      </w:r>
    </w:p>
    <w:p>
      <w:pPr>
        <w:pStyle w:val="ListParagraph"/>
        <w:numPr>
          <w:ilvl w:val="0"/>
          <w:numId w:val="14"/>
        </w:numPr>
        <w:tabs>
          <w:tab w:pos="566" w:val="left" w:leader="none"/>
        </w:tabs>
        <w:spacing w:line="214" w:lineRule="exact" w:before="0" w:after="0"/>
        <w:ind w:left="566" w:right="0" w:hanging="453"/>
        <w:jc w:val="left"/>
        <w:rPr>
          <w:sz w:val="16"/>
        </w:rPr>
      </w:pPr>
      <w:r>
        <w:rPr>
          <w:spacing w:val="-2"/>
          <w:sz w:val="16"/>
        </w:rPr>
        <w:t>Case</w:t>
      </w:r>
      <w:r>
        <w:rPr>
          <w:spacing w:val="7"/>
          <w:sz w:val="16"/>
        </w:rPr>
        <w:t> </w:t>
      </w:r>
      <w:r>
        <w:rPr>
          <w:spacing w:val="-2"/>
          <w:sz w:val="16"/>
        </w:rPr>
        <w:t>C-435/22</w:t>
      </w:r>
      <w:r>
        <w:rPr>
          <w:spacing w:val="8"/>
          <w:sz w:val="16"/>
        </w:rPr>
        <w:t> </w:t>
      </w:r>
      <w:r>
        <w:rPr>
          <w:spacing w:val="-2"/>
          <w:sz w:val="16"/>
        </w:rPr>
        <w:t>PPU</w:t>
      </w:r>
      <w:r>
        <w:rPr>
          <w:spacing w:val="8"/>
          <w:sz w:val="16"/>
        </w:rPr>
        <w:t> </w:t>
      </w:r>
      <w:r>
        <w:rPr>
          <w:rFonts w:ascii="Verdana" w:hAnsi="Verdana"/>
          <w:i/>
          <w:spacing w:val="-2"/>
          <w:sz w:val="16"/>
        </w:rPr>
        <w:t>Generalstaatsanwaltschaft</w:t>
      </w:r>
      <w:r>
        <w:rPr>
          <w:rFonts w:ascii="Verdana" w:hAnsi="Verdana"/>
          <w:i/>
          <w:spacing w:val="2"/>
          <w:sz w:val="16"/>
        </w:rPr>
        <w:t> </w:t>
      </w:r>
      <w:r>
        <w:rPr>
          <w:rFonts w:ascii="Verdana" w:hAnsi="Verdana"/>
          <w:i/>
          <w:spacing w:val="-2"/>
          <w:sz w:val="16"/>
        </w:rPr>
        <w:t>München</w:t>
      </w:r>
      <w:r>
        <w:rPr>
          <w:rFonts w:ascii="Verdana" w:hAnsi="Verdana"/>
          <w:i/>
          <w:spacing w:val="2"/>
          <w:sz w:val="16"/>
        </w:rPr>
        <w:t> </w:t>
      </w:r>
      <w:r>
        <w:rPr>
          <w:spacing w:val="-2"/>
          <w:sz w:val="16"/>
        </w:rPr>
        <w:t>EU:C:2022:852.</w:t>
      </w:r>
    </w:p>
    <w:p>
      <w:pPr>
        <w:spacing w:after="0" w:line="214" w:lineRule="exact"/>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274" w:lineRule="exact" w:before="72"/>
      </w:pPr>
      <w:r>
        <w:rPr>
          <w:w w:val="115"/>
        </w:rPr>
        <w:t>accordance</w:t>
      </w:r>
      <w:r>
        <w:rPr>
          <w:spacing w:val="-18"/>
          <w:w w:val="115"/>
        </w:rPr>
        <w:t> </w:t>
      </w:r>
      <w:r>
        <w:rPr>
          <w:w w:val="115"/>
        </w:rPr>
        <w:t>with</w:t>
      </w:r>
      <w:r>
        <w:rPr>
          <w:spacing w:val="-18"/>
          <w:w w:val="115"/>
        </w:rPr>
        <w:t> </w:t>
      </w:r>
      <w:r>
        <w:rPr>
          <w:w w:val="115"/>
        </w:rPr>
        <w:t>pre-</w:t>
      </w:r>
      <w:r>
        <w:rPr>
          <w:spacing w:val="-18"/>
          <w:w w:val="115"/>
        </w:rPr>
        <w:t> </w:t>
      </w:r>
      <w:r>
        <w:rPr>
          <w:spacing w:val="-5"/>
          <w:w w:val="115"/>
        </w:rPr>
        <w:t>and</w:t>
      </w:r>
    </w:p>
    <w:p>
      <w:pPr>
        <w:pStyle w:val="BodyText"/>
        <w:spacing w:line="310" w:lineRule="exact" w:before="13"/>
        <w:ind w:right="311"/>
      </w:pPr>
      <w:r>
        <w:rPr>
          <w:w w:val="105"/>
        </w:rPr>
        <w:t>post-Brexit case law of the CJEU.</w:t>
      </w:r>
      <w:r>
        <w:rPr>
          <w:rFonts w:ascii="Lucida Sans Unicode"/>
          <w:w w:val="105"/>
          <w:vertAlign w:val="superscript"/>
        </w:rPr>
        <w:t>231</w:t>
      </w:r>
      <w:r>
        <w:rPr>
          <w:rFonts w:ascii="Lucida Sans Unicode"/>
          <w:w w:val="105"/>
          <w:vertAlign w:val="baseline"/>
        </w:rPr>
        <w:t> For the purposes of Article 2 of the </w:t>
      </w:r>
      <w:r>
        <w:rPr>
          <w:w w:val="105"/>
          <w:vertAlign w:val="baseline"/>
        </w:rPr>
        <w:t>Protocol,</w:t>
      </w:r>
      <w:r>
        <w:rPr>
          <w:spacing w:val="40"/>
          <w:w w:val="105"/>
          <w:vertAlign w:val="baseline"/>
        </w:rPr>
        <w:t> </w:t>
      </w:r>
      <w:r>
        <w:rPr>
          <w:w w:val="105"/>
          <w:vertAlign w:val="baseline"/>
        </w:rPr>
        <w:t>this</w:t>
      </w:r>
      <w:r>
        <w:rPr>
          <w:spacing w:val="40"/>
          <w:w w:val="105"/>
          <w:vertAlign w:val="baseline"/>
        </w:rPr>
        <w:t> </w:t>
      </w:r>
      <w:r>
        <w:rPr>
          <w:w w:val="105"/>
          <w:vertAlign w:val="baseline"/>
        </w:rPr>
        <w:t>appears</w:t>
      </w:r>
      <w:r>
        <w:rPr>
          <w:spacing w:val="40"/>
          <w:w w:val="110"/>
          <w:vertAlign w:val="baseline"/>
        </w:rPr>
        <w:t> </w:t>
      </w:r>
      <w:r>
        <w:rPr>
          <w:w w:val="110"/>
          <w:vertAlign w:val="baseline"/>
        </w:rPr>
        <w:t>to</w:t>
      </w:r>
      <w:r>
        <w:rPr>
          <w:spacing w:val="40"/>
          <w:w w:val="110"/>
          <w:vertAlign w:val="baseline"/>
        </w:rPr>
        <w:t> </w:t>
      </w:r>
      <w:r>
        <w:rPr>
          <w:w w:val="105"/>
          <w:vertAlign w:val="baseline"/>
        </w:rPr>
        <w:t>clearly</w:t>
      </w:r>
      <w:r>
        <w:rPr>
          <w:spacing w:val="80"/>
          <w:w w:val="105"/>
          <w:vertAlign w:val="baseline"/>
        </w:rPr>
        <w:t> </w:t>
      </w:r>
      <w:r>
        <w:rPr>
          <w:w w:val="105"/>
          <w:vertAlign w:val="baseline"/>
        </w:rPr>
        <w:t>apply</w:t>
      </w:r>
      <w:r>
        <w:rPr>
          <w:spacing w:val="40"/>
          <w:w w:val="110"/>
          <w:vertAlign w:val="baseline"/>
        </w:rPr>
        <w:t> </w:t>
      </w:r>
      <w:r>
        <w:rPr>
          <w:w w:val="110"/>
          <w:vertAlign w:val="baseline"/>
        </w:rPr>
        <w:t>to</w:t>
      </w:r>
      <w:r>
        <w:rPr>
          <w:spacing w:val="40"/>
          <w:w w:val="110"/>
          <w:vertAlign w:val="baseline"/>
        </w:rPr>
        <w:t> </w:t>
      </w:r>
      <w:r>
        <w:rPr>
          <w:w w:val="105"/>
          <w:vertAlign w:val="baseline"/>
        </w:rPr>
        <w:t>secondary</w:t>
      </w:r>
      <w:r>
        <w:rPr>
          <w:spacing w:val="40"/>
          <w:w w:val="105"/>
          <w:vertAlign w:val="baseline"/>
        </w:rPr>
        <w:t> </w:t>
      </w:r>
      <w:r>
        <w:rPr>
          <w:w w:val="105"/>
          <w:vertAlign w:val="baseline"/>
        </w:rPr>
        <w:t>EU</w:t>
      </w:r>
      <w:r>
        <w:rPr>
          <w:spacing w:val="40"/>
          <w:w w:val="105"/>
          <w:vertAlign w:val="baseline"/>
        </w:rPr>
        <w:t> </w:t>
      </w:r>
      <w:r>
        <w:rPr>
          <w:w w:val="105"/>
          <w:vertAlign w:val="baseline"/>
        </w:rPr>
        <w:t>law</w:t>
      </w:r>
      <w:r>
        <w:rPr>
          <w:spacing w:val="40"/>
          <w:w w:val="105"/>
          <w:vertAlign w:val="baseline"/>
        </w:rPr>
        <w:t> </w:t>
      </w:r>
      <w:r>
        <w:rPr>
          <w:w w:val="105"/>
          <w:vertAlign w:val="baseline"/>
        </w:rPr>
        <w:t>as</w:t>
      </w:r>
      <w:r>
        <w:rPr>
          <w:spacing w:val="40"/>
          <w:w w:val="105"/>
          <w:vertAlign w:val="baseline"/>
        </w:rPr>
        <w:t> </w:t>
      </w:r>
      <w:r>
        <w:rPr>
          <w:w w:val="105"/>
          <w:vertAlign w:val="baseline"/>
        </w:rPr>
        <w:t>listed in Annex </w:t>
      </w:r>
      <w:r>
        <w:rPr>
          <w:w w:val="95"/>
          <w:vertAlign w:val="baseline"/>
        </w:rPr>
        <w:t>1. </w:t>
      </w:r>
      <w:r>
        <w:rPr>
          <w:w w:val="105"/>
          <w:vertAlign w:val="baseline"/>
        </w:rPr>
        <w:t>Hence any CJEU case </w:t>
      </w:r>
      <w:r>
        <w:rPr>
          <w:w w:val="105"/>
          <w:vertAlign w:val="baseline"/>
        </w:rPr>
        <w:t>law </w:t>
      </w:r>
      <w:r>
        <w:rPr>
          <w:rFonts w:ascii="Lucida Sans Unicode"/>
          <w:w w:val="105"/>
          <w:vertAlign w:val="baseline"/>
        </w:rPr>
        <w:t>handed down since </w:t>
      </w:r>
      <w:r>
        <w:rPr>
          <w:rFonts w:ascii="Lucida Sans Unicode"/>
          <w:w w:val="95"/>
          <w:vertAlign w:val="baseline"/>
        </w:rPr>
        <w:t>31 </w:t>
      </w:r>
      <w:r>
        <w:rPr>
          <w:rFonts w:ascii="Lucida Sans Unicode"/>
          <w:w w:val="105"/>
          <w:vertAlign w:val="baseline"/>
        </w:rPr>
        <w:t>December 2020</w:t>
      </w:r>
      <w:r>
        <w:rPr>
          <w:rFonts w:ascii="Lucida Sans Unicode"/>
          <w:spacing w:val="-7"/>
          <w:w w:val="105"/>
          <w:vertAlign w:val="baseline"/>
        </w:rPr>
        <w:t> </w:t>
      </w:r>
      <w:r>
        <w:rPr>
          <w:rFonts w:ascii="Lucida Sans Unicode"/>
          <w:w w:val="105"/>
          <w:vertAlign w:val="baseline"/>
        </w:rPr>
        <w:t>relating</w:t>
      </w:r>
      <w:r>
        <w:rPr>
          <w:rFonts w:ascii="Lucida Sans Unicode"/>
          <w:spacing w:val="-7"/>
          <w:w w:val="105"/>
          <w:vertAlign w:val="baseline"/>
        </w:rPr>
        <w:t> </w:t>
      </w:r>
      <w:r>
        <w:rPr>
          <w:rFonts w:ascii="Lucida Sans Unicode"/>
          <w:w w:val="105"/>
          <w:vertAlign w:val="baseline"/>
        </w:rPr>
        <w:t>to</w:t>
      </w:r>
      <w:r>
        <w:rPr>
          <w:rFonts w:ascii="Lucida Sans Unicode"/>
          <w:spacing w:val="-7"/>
          <w:w w:val="105"/>
          <w:vertAlign w:val="baseline"/>
        </w:rPr>
        <w:t> </w:t>
      </w:r>
      <w:r>
        <w:rPr>
          <w:rFonts w:ascii="Lucida Sans Unicode"/>
          <w:w w:val="105"/>
          <w:vertAlign w:val="baseline"/>
        </w:rPr>
        <w:t>Annex</w:t>
      </w:r>
      <w:r>
        <w:rPr>
          <w:rFonts w:ascii="Lucida Sans Unicode"/>
          <w:spacing w:val="-7"/>
          <w:w w:val="105"/>
          <w:vertAlign w:val="baseline"/>
        </w:rPr>
        <w:t> </w:t>
      </w:r>
      <w:r>
        <w:rPr>
          <w:rFonts w:ascii="Lucida Sans Unicode"/>
          <w:w w:val="95"/>
          <w:vertAlign w:val="baseline"/>
        </w:rPr>
        <w:t>1 </w:t>
      </w:r>
      <w:r>
        <w:rPr>
          <w:rFonts w:ascii="Lucida Sans Unicode"/>
          <w:w w:val="105"/>
          <w:vertAlign w:val="baseline"/>
        </w:rPr>
        <w:t>directives </w:t>
      </w:r>
      <w:r>
        <w:rPr>
          <w:w w:val="105"/>
          <w:vertAlign w:val="baseline"/>
        </w:rPr>
        <w:t>is binding.</w:t>
      </w:r>
    </w:p>
    <w:p>
      <w:pPr>
        <w:pStyle w:val="BodyText"/>
        <w:spacing w:before="24"/>
        <w:ind w:left="0"/>
      </w:pPr>
    </w:p>
    <w:p>
      <w:pPr>
        <w:pStyle w:val="BodyText"/>
        <w:spacing w:line="310" w:lineRule="exact"/>
        <w:ind w:right="30"/>
      </w:pPr>
      <w:r>
        <w:rPr>
          <w:w w:val="105"/>
        </w:rPr>
        <w:t>For example, in a judgment handed</w:t>
      </w:r>
      <w:r>
        <w:rPr>
          <w:spacing w:val="40"/>
          <w:w w:val="105"/>
        </w:rPr>
        <w:t> </w:t>
      </w:r>
      <w:r>
        <w:rPr>
          <w:rFonts w:ascii="Lucida Sans Unicode"/>
          <w:w w:val="105"/>
        </w:rPr>
        <w:t>down in January 2023, the Court of Justice clarified that the scope of Directive</w:t>
      </w:r>
      <w:r>
        <w:rPr>
          <w:rFonts w:ascii="Lucida Sans Unicode"/>
          <w:spacing w:val="-19"/>
          <w:w w:val="105"/>
        </w:rPr>
        <w:t> </w:t>
      </w:r>
      <w:r>
        <w:rPr>
          <w:rFonts w:ascii="Lucida Sans Unicode"/>
          <w:w w:val="105"/>
        </w:rPr>
        <w:t>2000/78/EC</w:t>
      </w:r>
      <w:r>
        <w:rPr>
          <w:rFonts w:ascii="Lucida Sans Unicode"/>
          <w:spacing w:val="-19"/>
          <w:w w:val="105"/>
        </w:rPr>
        <w:t> </w:t>
      </w:r>
      <w:r>
        <w:rPr>
          <w:rFonts w:ascii="Lucida Sans Unicode"/>
          <w:w w:val="105"/>
        </w:rPr>
        <w:t>covers</w:t>
      </w:r>
      <w:r>
        <w:rPr>
          <w:rFonts w:ascii="Lucida Sans Unicode"/>
          <w:spacing w:val="-19"/>
          <w:w w:val="105"/>
        </w:rPr>
        <w:t> </w:t>
      </w:r>
      <w:r>
        <w:rPr>
          <w:rFonts w:ascii="Lucida Sans Unicode"/>
          <w:w w:val="105"/>
        </w:rPr>
        <w:t>not</w:t>
      </w:r>
      <w:r>
        <w:rPr>
          <w:rFonts w:ascii="Lucida Sans Unicode"/>
          <w:spacing w:val="-19"/>
          <w:w w:val="105"/>
        </w:rPr>
        <w:t> </w:t>
      </w:r>
      <w:r>
        <w:rPr>
          <w:rFonts w:ascii="Lucida Sans Unicode"/>
          <w:w w:val="105"/>
        </w:rPr>
        <w:t>only </w:t>
      </w:r>
      <w:r>
        <w:rPr>
          <w:w w:val="105"/>
        </w:rPr>
        <w:t>persons in an employment </w:t>
      </w:r>
      <w:r>
        <w:rPr>
          <w:w w:val="105"/>
        </w:rPr>
        <w:t>relationship</w:t>
      </w:r>
      <w:r>
        <w:rPr>
          <w:spacing w:val="40"/>
          <w:w w:val="105"/>
        </w:rPr>
        <w:t> </w:t>
      </w:r>
      <w:r>
        <w:rPr>
          <w:w w:val="105"/>
        </w:rPr>
        <w:t>(workers</w:t>
      </w:r>
      <w:r>
        <w:rPr>
          <w:spacing w:val="40"/>
          <w:w w:val="105"/>
        </w:rPr>
        <w:t> </w:t>
      </w:r>
      <w:r>
        <w:rPr>
          <w:w w:val="105"/>
        </w:rPr>
        <w:t>in</w:t>
      </w:r>
      <w:r>
        <w:rPr>
          <w:spacing w:val="40"/>
          <w:w w:val="105"/>
        </w:rPr>
        <w:t> </w:t>
      </w:r>
      <w:r>
        <w:rPr>
          <w:w w:val="105"/>
        </w:rPr>
        <w:t>the</w:t>
      </w:r>
      <w:r>
        <w:rPr>
          <w:spacing w:val="40"/>
          <w:w w:val="105"/>
        </w:rPr>
        <w:t> </w:t>
      </w:r>
      <w:r>
        <w:rPr>
          <w:w w:val="105"/>
        </w:rPr>
        <w:t>strict</w:t>
      </w:r>
      <w:r>
        <w:rPr>
          <w:spacing w:val="40"/>
          <w:w w:val="105"/>
        </w:rPr>
        <w:t> </w:t>
      </w:r>
      <w:r>
        <w:rPr>
          <w:w w:val="105"/>
        </w:rPr>
        <w:t>sense),</w:t>
      </w:r>
      <w:r>
        <w:rPr>
          <w:spacing w:val="40"/>
          <w:w w:val="105"/>
        </w:rPr>
        <w:t> </w:t>
      </w:r>
      <w:r>
        <w:rPr>
          <w:w w:val="105"/>
        </w:rPr>
        <w:t>but</w:t>
      </w:r>
    </w:p>
    <w:p>
      <w:pPr>
        <w:pStyle w:val="BodyText"/>
        <w:spacing w:line="268" w:lineRule="auto" w:before="23"/>
        <w:ind w:right="159"/>
      </w:pPr>
      <w:r>
        <w:rPr>
          <w:w w:val="110"/>
        </w:rPr>
        <w:t>also self-employed persons </w:t>
      </w:r>
      <w:r>
        <w:rPr>
          <w:w w:val="110"/>
        </w:rPr>
        <w:t>provided </w:t>
      </w:r>
      <w:r>
        <w:rPr>
          <w:w w:val="115"/>
        </w:rPr>
        <w:t>that their occupational activities</w:t>
      </w:r>
    </w:p>
    <w:p>
      <w:pPr>
        <w:pStyle w:val="BodyText"/>
        <w:spacing w:line="268" w:lineRule="auto" w:before="2"/>
        <w:ind w:right="617"/>
      </w:pPr>
      <w:r>
        <w:rPr>
          <w:w w:val="110"/>
        </w:rPr>
        <w:t>are genuine and are pursued in the context of a legal </w:t>
      </w:r>
      <w:r>
        <w:rPr>
          <w:w w:val="110"/>
        </w:rPr>
        <w:t>relationship characterised by a degree of</w:t>
      </w:r>
    </w:p>
    <w:p>
      <w:pPr>
        <w:pStyle w:val="BodyText"/>
        <w:spacing w:line="323" w:lineRule="exact"/>
      </w:pPr>
      <w:r>
        <w:rPr>
          <w:spacing w:val="-2"/>
          <w:w w:val="110"/>
        </w:rPr>
        <w:t>stability.</w:t>
      </w:r>
      <w:r>
        <w:rPr>
          <w:rFonts w:ascii="Lucida Sans Unicode"/>
          <w:spacing w:val="-2"/>
          <w:w w:val="110"/>
          <w:vertAlign w:val="superscript"/>
        </w:rPr>
        <w:t>232</w:t>
      </w:r>
      <w:r>
        <w:rPr>
          <w:rFonts w:ascii="Lucida Sans Unicode"/>
          <w:spacing w:val="-17"/>
          <w:w w:val="110"/>
          <w:vertAlign w:val="baseline"/>
        </w:rPr>
        <w:t> </w:t>
      </w:r>
      <w:r>
        <w:rPr>
          <w:spacing w:val="-2"/>
          <w:w w:val="110"/>
          <w:vertAlign w:val="baseline"/>
        </w:rPr>
        <w:t>The</w:t>
      </w:r>
      <w:r>
        <w:rPr>
          <w:spacing w:val="-7"/>
          <w:w w:val="110"/>
          <w:vertAlign w:val="baseline"/>
        </w:rPr>
        <w:t> </w:t>
      </w:r>
      <w:r>
        <w:rPr>
          <w:spacing w:val="-2"/>
          <w:w w:val="110"/>
          <w:vertAlign w:val="baseline"/>
        </w:rPr>
        <w:t>case</w:t>
      </w:r>
      <w:r>
        <w:rPr>
          <w:spacing w:val="-7"/>
          <w:w w:val="110"/>
          <w:vertAlign w:val="baseline"/>
        </w:rPr>
        <w:t> </w:t>
      </w:r>
      <w:r>
        <w:rPr>
          <w:spacing w:val="-2"/>
          <w:w w:val="110"/>
          <w:vertAlign w:val="baseline"/>
        </w:rPr>
        <w:t>concerned</w:t>
      </w:r>
      <w:r>
        <w:rPr>
          <w:spacing w:val="-6"/>
          <w:w w:val="110"/>
          <w:vertAlign w:val="baseline"/>
        </w:rPr>
        <w:t> </w:t>
      </w:r>
      <w:r>
        <w:rPr>
          <w:spacing w:val="-2"/>
          <w:w w:val="110"/>
          <w:vertAlign w:val="baseline"/>
        </w:rPr>
        <w:t>a</w:t>
      </w:r>
      <w:r>
        <w:rPr>
          <w:spacing w:val="-7"/>
          <w:w w:val="110"/>
          <w:vertAlign w:val="baseline"/>
        </w:rPr>
        <w:t> </w:t>
      </w:r>
      <w:r>
        <w:rPr>
          <w:spacing w:val="-2"/>
          <w:w w:val="110"/>
          <w:vertAlign w:val="baseline"/>
        </w:rPr>
        <w:t>self-</w:t>
      </w:r>
    </w:p>
    <w:p>
      <w:pPr>
        <w:pStyle w:val="BodyText"/>
        <w:spacing w:line="268" w:lineRule="auto"/>
        <w:ind w:right="30"/>
      </w:pPr>
      <w:r>
        <w:rPr>
          <w:w w:val="115"/>
        </w:rPr>
        <w:t>employed video editor who regularly provided services to a television station</w:t>
      </w:r>
      <w:r>
        <w:rPr>
          <w:spacing w:val="-20"/>
          <w:w w:val="115"/>
        </w:rPr>
        <w:t> </w:t>
      </w:r>
      <w:r>
        <w:rPr>
          <w:w w:val="115"/>
        </w:rPr>
        <w:t>in</w:t>
      </w:r>
      <w:r>
        <w:rPr>
          <w:spacing w:val="-19"/>
          <w:w w:val="115"/>
        </w:rPr>
        <w:t> </w:t>
      </w:r>
      <w:r>
        <w:rPr>
          <w:w w:val="115"/>
        </w:rPr>
        <w:t>Poland.</w:t>
      </w:r>
      <w:r>
        <w:rPr>
          <w:spacing w:val="-19"/>
          <w:w w:val="115"/>
        </w:rPr>
        <w:t> </w:t>
      </w:r>
      <w:r>
        <w:rPr>
          <w:w w:val="115"/>
        </w:rPr>
        <w:t>After</w:t>
      </w:r>
      <w:r>
        <w:rPr>
          <w:spacing w:val="-19"/>
          <w:w w:val="115"/>
        </w:rPr>
        <w:t> </w:t>
      </w:r>
      <w:r>
        <w:rPr>
          <w:w w:val="115"/>
        </w:rPr>
        <w:t>he</w:t>
      </w:r>
      <w:r>
        <w:rPr>
          <w:spacing w:val="-19"/>
          <w:w w:val="115"/>
        </w:rPr>
        <w:t> </w:t>
      </w:r>
      <w:r>
        <w:rPr>
          <w:w w:val="115"/>
        </w:rPr>
        <w:t>had</w:t>
      </w:r>
      <w:r>
        <w:rPr>
          <w:spacing w:val="-20"/>
          <w:w w:val="115"/>
        </w:rPr>
        <w:t> </w:t>
      </w:r>
      <w:r>
        <w:rPr>
          <w:w w:val="115"/>
        </w:rPr>
        <w:t>posted a video online supporting tolerance towards same-sex couples, two of</w:t>
      </w:r>
    </w:p>
    <w:p>
      <w:pPr>
        <w:pStyle w:val="BodyText"/>
        <w:spacing w:line="268" w:lineRule="auto"/>
        <w:ind w:right="30"/>
      </w:pPr>
      <w:r>
        <w:rPr>
          <w:w w:val="115"/>
        </w:rPr>
        <w:t>his engagements by the TV station were cancelled. He complained that this</w:t>
      </w:r>
      <w:r>
        <w:rPr>
          <w:spacing w:val="-5"/>
          <w:w w:val="115"/>
        </w:rPr>
        <w:t> </w:t>
      </w:r>
      <w:r>
        <w:rPr>
          <w:w w:val="115"/>
        </w:rPr>
        <w:t>happened</w:t>
      </w:r>
      <w:r>
        <w:rPr>
          <w:spacing w:val="-5"/>
          <w:w w:val="115"/>
        </w:rPr>
        <w:t> </w:t>
      </w:r>
      <w:r>
        <w:rPr>
          <w:w w:val="115"/>
        </w:rPr>
        <w:t>because</w:t>
      </w:r>
      <w:r>
        <w:rPr>
          <w:spacing w:val="-5"/>
          <w:w w:val="115"/>
        </w:rPr>
        <w:t> </w:t>
      </w:r>
      <w:r>
        <w:rPr>
          <w:w w:val="115"/>
        </w:rPr>
        <w:t>of</w:t>
      </w:r>
      <w:r>
        <w:rPr>
          <w:spacing w:val="-5"/>
          <w:w w:val="115"/>
        </w:rPr>
        <w:t> </w:t>
      </w:r>
      <w:r>
        <w:rPr>
          <w:w w:val="115"/>
        </w:rPr>
        <w:t>his</w:t>
      </w:r>
      <w:r>
        <w:rPr>
          <w:spacing w:val="-5"/>
          <w:w w:val="115"/>
        </w:rPr>
        <w:t> </w:t>
      </w:r>
      <w:r>
        <w:rPr>
          <w:w w:val="115"/>
        </w:rPr>
        <w:t>sexual orientation</w:t>
      </w:r>
      <w:r>
        <w:rPr>
          <w:spacing w:val="-6"/>
          <w:w w:val="115"/>
        </w:rPr>
        <w:t> </w:t>
      </w:r>
      <w:r>
        <w:rPr>
          <w:w w:val="115"/>
        </w:rPr>
        <w:t>and</w:t>
      </w:r>
      <w:r>
        <w:rPr>
          <w:spacing w:val="-6"/>
          <w:w w:val="115"/>
        </w:rPr>
        <w:t> </w:t>
      </w:r>
      <w:r>
        <w:rPr>
          <w:w w:val="115"/>
        </w:rPr>
        <w:t>that</w:t>
      </w:r>
      <w:r>
        <w:rPr>
          <w:spacing w:val="-6"/>
          <w:w w:val="115"/>
        </w:rPr>
        <w:t> </w:t>
      </w:r>
      <w:r>
        <w:rPr>
          <w:w w:val="115"/>
        </w:rPr>
        <w:t>it</w:t>
      </w:r>
      <w:r>
        <w:rPr>
          <w:spacing w:val="-6"/>
          <w:w w:val="115"/>
        </w:rPr>
        <w:t> </w:t>
      </w:r>
      <w:r>
        <w:rPr>
          <w:w w:val="115"/>
        </w:rPr>
        <w:t>was</w:t>
      </w:r>
      <w:r>
        <w:rPr>
          <w:spacing w:val="-6"/>
          <w:w w:val="115"/>
        </w:rPr>
        <w:t> </w:t>
      </w:r>
      <w:r>
        <w:rPr>
          <w:w w:val="115"/>
        </w:rPr>
        <w:t>in</w:t>
      </w:r>
      <w:r>
        <w:rPr>
          <w:spacing w:val="-6"/>
          <w:w w:val="115"/>
        </w:rPr>
        <w:t> </w:t>
      </w:r>
      <w:r>
        <w:rPr>
          <w:w w:val="115"/>
        </w:rPr>
        <w:t>violation of</w:t>
      </w:r>
      <w:r>
        <w:rPr>
          <w:spacing w:val="-11"/>
          <w:w w:val="115"/>
        </w:rPr>
        <w:t> </w:t>
      </w:r>
      <w:r>
        <w:rPr>
          <w:w w:val="115"/>
        </w:rPr>
        <w:t>anti-discrimination</w:t>
      </w:r>
      <w:r>
        <w:rPr>
          <w:spacing w:val="-10"/>
          <w:w w:val="115"/>
        </w:rPr>
        <w:t> </w:t>
      </w:r>
      <w:r>
        <w:rPr>
          <w:w w:val="115"/>
        </w:rPr>
        <w:t>law</w:t>
      </w:r>
      <w:r>
        <w:rPr>
          <w:spacing w:val="-10"/>
          <w:w w:val="115"/>
        </w:rPr>
        <w:t> </w:t>
      </w:r>
      <w:r>
        <w:rPr>
          <w:w w:val="115"/>
        </w:rPr>
        <w:t>laid</w:t>
      </w:r>
      <w:r>
        <w:rPr>
          <w:spacing w:val="-10"/>
          <w:w w:val="115"/>
        </w:rPr>
        <w:t> </w:t>
      </w:r>
      <w:r>
        <w:rPr>
          <w:w w:val="115"/>
        </w:rPr>
        <w:t>down</w:t>
      </w:r>
      <w:r>
        <w:rPr>
          <w:spacing w:val="-10"/>
          <w:w w:val="115"/>
        </w:rPr>
        <w:t> </w:t>
      </w:r>
      <w:r>
        <w:rPr>
          <w:spacing w:val="-5"/>
          <w:w w:val="115"/>
        </w:rPr>
        <w:t>in</w:t>
      </w:r>
    </w:p>
    <w:p>
      <w:pPr>
        <w:pStyle w:val="BodyText"/>
        <w:spacing w:line="325" w:lineRule="exact"/>
        <w:rPr>
          <w:rFonts w:ascii="Lucida Sans Unicode"/>
        </w:rPr>
      </w:pPr>
      <w:r>
        <w:rPr>
          <w:rFonts w:ascii="Lucida Sans Unicode"/>
        </w:rPr>
        <w:t>Directive</w:t>
      </w:r>
      <w:r>
        <w:rPr>
          <w:rFonts w:ascii="Lucida Sans Unicode"/>
          <w:spacing w:val="26"/>
        </w:rPr>
        <w:t> </w:t>
      </w:r>
      <w:r>
        <w:rPr>
          <w:rFonts w:ascii="Lucida Sans Unicode"/>
        </w:rPr>
        <w:t>2000/78/EC.</w:t>
      </w:r>
      <w:r>
        <w:rPr>
          <w:rFonts w:ascii="Lucida Sans Unicode"/>
          <w:spacing w:val="27"/>
        </w:rPr>
        <w:t> </w:t>
      </w:r>
      <w:r>
        <w:rPr>
          <w:rFonts w:ascii="Lucida Sans Unicode"/>
        </w:rPr>
        <w:t>Having</w:t>
      </w:r>
      <w:r>
        <w:rPr>
          <w:rFonts w:ascii="Lucida Sans Unicode"/>
          <w:spacing w:val="27"/>
        </w:rPr>
        <w:t> </w:t>
      </w:r>
      <w:r>
        <w:rPr>
          <w:rFonts w:ascii="Lucida Sans Unicode"/>
          <w:spacing w:val="-2"/>
        </w:rPr>
        <w:t>found</w:t>
      </w:r>
    </w:p>
    <w:p>
      <w:pPr>
        <w:pStyle w:val="BodyText"/>
        <w:spacing w:line="268" w:lineRule="auto"/>
        <w:ind w:right="30"/>
      </w:pPr>
      <w:r>
        <w:rPr>
          <w:w w:val="115"/>
        </w:rPr>
        <w:t>that</w:t>
      </w:r>
      <w:r>
        <w:rPr>
          <w:spacing w:val="-8"/>
          <w:w w:val="115"/>
        </w:rPr>
        <w:t> </w:t>
      </w:r>
      <w:r>
        <w:rPr>
          <w:w w:val="115"/>
        </w:rPr>
        <w:t>his</w:t>
      </w:r>
      <w:r>
        <w:rPr>
          <w:spacing w:val="-8"/>
          <w:w w:val="115"/>
        </w:rPr>
        <w:t> </w:t>
      </w:r>
      <w:r>
        <w:rPr>
          <w:w w:val="115"/>
        </w:rPr>
        <w:t>type</w:t>
      </w:r>
      <w:r>
        <w:rPr>
          <w:spacing w:val="-8"/>
          <w:w w:val="115"/>
        </w:rPr>
        <w:t> </w:t>
      </w:r>
      <w:r>
        <w:rPr>
          <w:w w:val="115"/>
        </w:rPr>
        <w:t>of</w:t>
      </w:r>
      <w:r>
        <w:rPr>
          <w:spacing w:val="-8"/>
          <w:w w:val="115"/>
        </w:rPr>
        <w:t> </w:t>
      </w:r>
      <w:r>
        <w:rPr>
          <w:w w:val="115"/>
        </w:rPr>
        <w:t>occupation</w:t>
      </w:r>
      <w:r>
        <w:rPr>
          <w:spacing w:val="-8"/>
          <w:w w:val="115"/>
        </w:rPr>
        <w:t> </w:t>
      </w:r>
      <w:r>
        <w:rPr>
          <w:w w:val="115"/>
        </w:rPr>
        <w:t>was</w:t>
      </w:r>
      <w:r>
        <w:rPr>
          <w:spacing w:val="-8"/>
          <w:w w:val="115"/>
        </w:rPr>
        <w:t> </w:t>
      </w:r>
      <w:r>
        <w:rPr>
          <w:w w:val="115"/>
        </w:rPr>
        <w:t>within the scope of the Directive, the Court of Justice held that the Directive precluded national legislation</w:t>
      </w:r>
    </w:p>
    <w:p>
      <w:pPr>
        <w:pStyle w:val="BodyText"/>
      </w:pPr>
      <w:r>
        <w:rPr>
          <w:w w:val="115"/>
        </w:rPr>
        <w:t>which</w:t>
      </w:r>
      <w:r>
        <w:rPr>
          <w:spacing w:val="-9"/>
          <w:w w:val="115"/>
        </w:rPr>
        <w:t> </w:t>
      </w:r>
      <w:r>
        <w:rPr>
          <w:w w:val="115"/>
        </w:rPr>
        <w:t>has</w:t>
      </w:r>
      <w:r>
        <w:rPr>
          <w:spacing w:val="-9"/>
          <w:w w:val="115"/>
        </w:rPr>
        <w:t> </w:t>
      </w:r>
      <w:r>
        <w:rPr>
          <w:w w:val="115"/>
        </w:rPr>
        <w:t>the</w:t>
      </w:r>
      <w:r>
        <w:rPr>
          <w:spacing w:val="-9"/>
          <w:w w:val="115"/>
        </w:rPr>
        <w:t> </w:t>
      </w:r>
      <w:r>
        <w:rPr>
          <w:w w:val="115"/>
        </w:rPr>
        <w:t>effect</w:t>
      </w:r>
      <w:r>
        <w:rPr>
          <w:spacing w:val="-8"/>
          <w:w w:val="115"/>
        </w:rPr>
        <w:t> </w:t>
      </w:r>
      <w:r>
        <w:rPr>
          <w:w w:val="115"/>
        </w:rPr>
        <w:t>of</w:t>
      </w:r>
      <w:r>
        <w:rPr>
          <w:spacing w:val="-9"/>
          <w:w w:val="115"/>
        </w:rPr>
        <w:t> </w:t>
      </w:r>
      <w:r>
        <w:rPr>
          <w:spacing w:val="-2"/>
          <w:w w:val="115"/>
        </w:rPr>
        <w:t>excluding</w:t>
      </w:r>
    </w:p>
    <w:p>
      <w:pPr>
        <w:pStyle w:val="BodyText"/>
        <w:spacing w:line="310" w:lineRule="exact" w:before="49"/>
        <w:ind w:right="289"/>
        <w:rPr>
          <w:rFonts w:ascii="Lucida Sans Unicode"/>
        </w:rPr>
      </w:pPr>
      <w:r>
        <w:rPr/>
        <w:br w:type="column"/>
      </w:r>
      <w:r>
        <w:rPr>
          <w:w w:val="110"/>
        </w:rPr>
        <w:t>self-employed persons such as the applicant from protections against discrimination on grounds of sexual orientation. As the Directive is found</w:t>
      </w:r>
      <w:r>
        <w:rPr>
          <w:spacing w:val="40"/>
          <w:w w:val="110"/>
        </w:rPr>
        <w:t> </w:t>
      </w:r>
      <w:r>
        <w:rPr>
          <w:w w:val="110"/>
        </w:rPr>
        <w:t>in Annex </w:t>
      </w:r>
      <w:r>
        <w:rPr/>
        <w:t>1 </w:t>
      </w:r>
      <w:r>
        <w:rPr>
          <w:w w:val="110"/>
        </w:rPr>
        <w:t>to the Windsor </w:t>
      </w:r>
      <w:r>
        <w:rPr>
          <w:w w:val="110"/>
        </w:rPr>
        <w:t>Framework this judgment has binding effect in</w:t>
      </w:r>
      <w:r>
        <w:rPr>
          <w:spacing w:val="80"/>
          <w:w w:val="110"/>
        </w:rPr>
        <w:t> </w:t>
      </w:r>
      <w:r>
        <w:rPr>
          <w:rFonts w:ascii="Lucida Sans Unicode"/>
          <w:w w:val="110"/>
        </w:rPr>
        <w:t>the</w:t>
      </w:r>
      <w:r>
        <w:rPr>
          <w:rFonts w:ascii="Lucida Sans Unicode"/>
          <w:spacing w:val="-12"/>
          <w:w w:val="110"/>
        </w:rPr>
        <w:t> </w:t>
      </w:r>
      <w:r>
        <w:rPr>
          <w:rFonts w:ascii="Lucida Sans Unicode"/>
          <w:w w:val="110"/>
        </w:rPr>
        <w:t>context</w:t>
      </w:r>
      <w:r>
        <w:rPr>
          <w:rFonts w:ascii="Lucida Sans Unicode"/>
          <w:spacing w:val="-12"/>
          <w:w w:val="110"/>
        </w:rPr>
        <w:t> </w:t>
      </w:r>
      <w:r>
        <w:rPr>
          <w:rFonts w:ascii="Lucida Sans Unicode"/>
          <w:w w:val="110"/>
        </w:rPr>
        <w:t>of</w:t>
      </w:r>
      <w:r>
        <w:rPr>
          <w:rFonts w:ascii="Lucida Sans Unicode"/>
          <w:spacing w:val="-12"/>
          <w:w w:val="110"/>
        </w:rPr>
        <w:t> </w:t>
      </w:r>
      <w:r>
        <w:rPr>
          <w:rFonts w:ascii="Lucida Sans Unicode"/>
          <w:w w:val="110"/>
        </w:rPr>
        <w:t>Article</w:t>
      </w:r>
      <w:r>
        <w:rPr>
          <w:rFonts w:ascii="Lucida Sans Unicode"/>
          <w:spacing w:val="-12"/>
          <w:w w:val="110"/>
        </w:rPr>
        <w:t> </w:t>
      </w:r>
      <w:r>
        <w:rPr>
          <w:rFonts w:ascii="Lucida Sans Unicode"/>
          <w:w w:val="110"/>
        </w:rPr>
        <w:t>2</w:t>
      </w:r>
      <w:r>
        <w:rPr>
          <w:rFonts w:ascii="Lucida Sans Unicode"/>
          <w:spacing w:val="-12"/>
          <w:w w:val="110"/>
        </w:rPr>
        <w:t> </w:t>
      </w:r>
      <w:r>
        <w:rPr>
          <w:rFonts w:ascii="Lucida Sans Unicode"/>
          <w:w w:val="110"/>
        </w:rPr>
        <w:t>WF.</w:t>
      </w:r>
    </w:p>
    <w:p>
      <w:pPr>
        <w:pStyle w:val="BodyText"/>
        <w:spacing w:line="310" w:lineRule="exact" w:before="300"/>
        <w:ind w:right="323"/>
      </w:pPr>
      <w:r>
        <w:rPr>
          <w:w w:val="110"/>
        </w:rPr>
        <w:t>The position is more complex in relation to the non-diminution guarantee outside Annex </w:t>
      </w:r>
      <w:r>
        <w:rPr/>
        <w:t>1, </w:t>
      </w:r>
      <w:r>
        <w:rPr>
          <w:w w:val="110"/>
        </w:rPr>
        <w:t>given </w:t>
      </w:r>
      <w:r>
        <w:rPr>
          <w:rFonts w:ascii="Lucida Sans Unicode"/>
        </w:rPr>
        <w:t>that</w:t>
      </w:r>
      <w:r>
        <w:rPr>
          <w:rFonts w:ascii="Lucida Sans Unicode"/>
          <w:spacing w:val="-8"/>
        </w:rPr>
        <w:t> </w:t>
      </w:r>
      <w:r>
        <w:rPr>
          <w:rFonts w:ascii="Lucida Sans Unicode"/>
        </w:rPr>
        <w:t>outside</w:t>
      </w:r>
      <w:r>
        <w:rPr>
          <w:rFonts w:ascii="Lucida Sans Unicode"/>
          <w:spacing w:val="-8"/>
        </w:rPr>
        <w:t> </w:t>
      </w:r>
      <w:r>
        <w:rPr>
          <w:rFonts w:ascii="Lucida Sans Unicode"/>
        </w:rPr>
        <w:t>Annex</w:t>
      </w:r>
      <w:r>
        <w:rPr>
          <w:rFonts w:ascii="Lucida Sans Unicode"/>
          <w:spacing w:val="-8"/>
        </w:rPr>
        <w:t> </w:t>
      </w:r>
      <w:r>
        <w:rPr>
          <w:rFonts w:ascii="Lucida Sans Unicode"/>
        </w:rPr>
        <w:t>1,</w:t>
      </w:r>
      <w:r>
        <w:rPr>
          <w:rFonts w:ascii="Lucida Sans Unicode"/>
          <w:spacing w:val="-8"/>
        </w:rPr>
        <w:t> </w:t>
      </w:r>
      <w:r>
        <w:rPr>
          <w:rFonts w:ascii="Lucida Sans Unicode"/>
        </w:rPr>
        <w:t>Article</w:t>
      </w:r>
      <w:r>
        <w:rPr>
          <w:rFonts w:ascii="Lucida Sans Unicode"/>
          <w:spacing w:val="-8"/>
        </w:rPr>
        <w:t> </w:t>
      </w:r>
      <w:r>
        <w:rPr>
          <w:rFonts w:ascii="Lucida Sans Unicode"/>
        </w:rPr>
        <w:t>2</w:t>
      </w:r>
      <w:r>
        <w:rPr>
          <w:rFonts w:ascii="Lucida Sans Unicode"/>
          <w:spacing w:val="-8"/>
        </w:rPr>
        <w:t> </w:t>
      </w:r>
      <w:r>
        <w:rPr>
          <w:rFonts w:ascii="Lucida Sans Unicode"/>
        </w:rPr>
        <w:t>makes </w:t>
      </w:r>
      <w:r>
        <w:rPr>
          <w:w w:val="110"/>
        </w:rPr>
        <w:t>no express reference to EU law or</w:t>
      </w:r>
    </w:p>
    <w:p>
      <w:pPr>
        <w:pStyle w:val="BodyText"/>
        <w:spacing w:line="310" w:lineRule="exact"/>
        <w:ind w:right="413"/>
      </w:pPr>
      <w:r>
        <w:rPr>
          <w:w w:val="115"/>
        </w:rPr>
        <w:t>its</w:t>
      </w:r>
      <w:r>
        <w:rPr>
          <w:spacing w:val="-5"/>
          <w:w w:val="115"/>
        </w:rPr>
        <w:t> </w:t>
      </w:r>
      <w:r>
        <w:rPr>
          <w:w w:val="115"/>
        </w:rPr>
        <w:t>concepts</w:t>
      </w:r>
      <w:r>
        <w:rPr>
          <w:spacing w:val="-5"/>
          <w:w w:val="115"/>
        </w:rPr>
        <w:t> </w:t>
      </w:r>
      <w:r>
        <w:rPr>
          <w:w w:val="115"/>
        </w:rPr>
        <w:t>or</w:t>
      </w:r>
      <w:r>
        <w:rPr>
          <w:spacing w:val="-5"/>
          <w:w w:val="115"/>
        </w:rPr>
        <w:t> </w:t>
      </w:r>
      <w:r>
        <w:rPr>
          <w:w w:val="115"/>
        </w:rPr>
        <w:t>provisions.</w:t>
      </w:r>
      <w:r>
        <w:rPr>
          <w:rFonts w:ascii="Lucida Sans Unicode"/>
          <w:w w:val="115"/>
          <w:vertAlign w:val="superscript"/>
        </w:rPr>
        <w:t>233</w:t>
      </w:r>
      <w:r>
        <w:rPr>
          <w:rFonts w:ascii="Lucida Sans Unicode"/>
          <w:spacing w:val="-15"/>
          <w:w w:val="115"/>
          <w:vertAlign w:val="baseline"/>
        </w:rPr>
        <w:t> </w:t>
      </w:r>
      <w:r>
        <w:rPr>
          <w:w w:val="115"/>
          <w:vertAlign w:val="baseline"/>
        </w:rPr>
        <w:t>An important point needs to be borne </w:t>
      </w:r>
      <w:r>
        <w:rPr>
          <w:w w:val="110"/>
          <w:vertAlign w:val="baseline"/>
        </w:rPr>
        <w:t>in mind when considering this </w:t>
      </w:r>
      <w:r>
        <w:rPr>
          <w:w w:val="110"/>
          <w:vertAlign w:val="baseline"/>
        </w:rPr>
        <w:t>issue. </w:t>
      </w:r>
      <w:r>
        <w:rPr>
          <w:rFonts w:ascii="Lucida Sans Unicode"/>
          <w:w w:val="110"/>
          <w:vertAlign w:val="baseline"/>
        </w:rPr>
        <w:t>CJEU</w:t>
      </w:r>
      <w:r>
        <w:rPr>
          <w:rFonts w:ascii="Lucida Sans Unicode"/>
          <w:spacing w:val="-20"/>
          <w:w w:val="110"/>
          <w:vertAlign w:val="baseline"/>
        </w:rPr>
        <w:t> </w:t>
      </w:r>
      <w:r>
        <w:rPr>
          <w:rFonts w:ascii="Lucida Sans Unicode"/>
          <w:w w:val="110"/>
          <w:vertAlign w:val="baseline"/>
        </w:rPr>
        <w:t>case</w:t>
      </w:r>
      <w:r>
        <w:rPr>
          <w:rFonts w:ascii="Lucida Sans Unicode"/>
          <w:spacing w:val="-20"/>
          <w:w w:val="110"/>
          <w:vertAlign w:val="baseline"/>
        </w:rPr>
        <w:t> </w:t>
      </w:r>
      <w:r>
        <w:rPr>
          <w:rFonts w:ascii="Lucida Sans Unicode"/>
          <w:w w:val="110"/>
          <w:vertAlign w:val="baseline"/>
        </w:rPr>
        <w:t>law</w:t>
      </w:r>
      <w:r>
        <w:rPr>
          <w:rFonts w:ascii="Lucida Sans Unicode"/>
          <w:spacing w:val="-20"/>
          <w:w w:val="110"/>
          <w:vertAlign w:val="baseline"/>
        </w:rPr>
        <w:t> </w:t>
      </w:r>
      <w:r>
        <w:rPr>
          <w:rFonts w:ascii="Lucida Sans Unicode"/>
          <w:w w:val="110"/>
          <w:vertAlign w:val="baseline"/>
        </w:rPr>
        <w:t>clarifies</w:t>
      </w:r>
      <w:r>
        <w:rPr>
          <w:rFonts w:ascii="Lucida Sans Unicode"/>
          <w:spacing w:val="-20"/>
          <w:w w:val="110"/>
          <w:vertAlign w:val="baseline"/>
        </w:rPr>
        <w:t> </w:t>
      </w:r>
      <w:r>
        <w:rPr>
          <w:rFonts w:ascii="Lucida Sans Unicode"/>
          <w:w w:val="110"/>
          <w:vertAlign w:val="baseline"/>
        </w:rPr>
        <w:t>existing</w:t>
      </w:r>
      <w:r>
        <w:rPr>
          <w:rFonts w:ascii="Lucida Sans Unicode"/>
          <w:spacing w:val="-20"/>
          <w:w w:val="110"/>
          <w:vertAlign w:val="baseline"/>
        </w:rPr>
        <w:t> </w:t>
      </w:r>
      <w:r>
        <w:rPr>
          <w:rFonts w:ascii="Lucida Sans Unicode"/>
          <w:w w:val="110"/>
          <w:vertAlign w:val="baseline"/>
        </w:rPr>
        <w:t>EU </w:t>
      </w:r>
      <w:r>
        <w:rPr>
          <w:w w:val="115"/>
          <w:vertAlign w:val="baseline"/>
        </w:rPr>
        <w:t>law (primary or secondary) rather than creating new law or positively extending it in any novel way. As</w:t>
      </w:r>
    </w:p>
    <w:p>
      <w:pPr>
        <w:pStyle w:val="BodyText"/>
        <w:spacing w:line="264" w:lineRule="auto" w:before="23"/>
        <w:ind w:right="440"/>
        <w:rPr>
          <w:rFonts w:ascii="Verdana"/>
          <w:i/>
        </w:rPr>
      </w:pPr>
      <w:r>
        <w:rPr>
          <w:w w:val="115"/>
        </w:rPr>
        <w:t>a result, the legal effect of a post- Brexit CJEU judgment interpreting a pre-Brexit provision of EU law in light</w:t>
      </w:r>
      <w:r>
        <w:rPr>
          <w:spacing w:val="-20"/>
          <w:w w:val="115"/>
        </w:rPr>
        <w:t> </w:t>
      </w:r>
      <w:r>
        <w:rPr>
          <w:w w:val="115"/>
        </w:rPr>
        <w:t>of</w:t>
      </w:r>
      <w:r>
        <w:rPr>
          <w:spacing w:val="-19"/>
          <w:w w:val="115"/>
        </w:rPr>
        <w:t> </w:t>
      </w:r>
      <w:r>
        <w:rPr>
          <w:w w:val="115"/>
        </w:rPr>
        <w:t>the</w:t>
      </w:r>
      <w:r>
        <w:rPr>
          <w:spacing w:val="-19"/>
          <w:w w:val="115"/>
        </w:rPr>
        <w:t> </w:t>
      </w:r>
      <w:r>
        <w:rPr>
          <w:w w:val="115"/>
        </w:rPr>
        <w:t>Charter</w:t>
      </w:r>
      <w:r>
        <w:rPr>
          <w:spacing w:val="-19"/>
          <w:w w:val="115"/>
        </w:rPr>
        <w:t> </w:t>
      </w:r>
      <w:r>
        <w:rPr>
          <w:w w:val="115"/>
        </w:rPr>
        <w:t>will</w:t>
      </w:r>
      <w:r>
        <w:rPr>
          <w:spacing w:val="-19"/>
          <w:w w:val="115"/>
        </w:rPr>
        <w:t> </w:t>
      </w:r>
      <w:r>
        <w:rPr>
          <w:w w:val="115"/>
        </w:rPr>
        <w:t>be</w:t>
      </w:r>
      <w:r>
        <w:rPr>
          <w:spacing w:val="-20"/>
          <w:w w:val="115"/>
        </w:rPr>
        <w:t> </w:t>
      </w:r>
      <w:r>
        <w:rPr>
          <w:w w:val="115"/>
        </w:rPr>
        <w:t>to</w:t>
      </w:r>
      <w:r>
        <w:rPr>
          <w:spacing w:val="-19"/>
          <w:w w:val="115"/>
        </w:rPr>
        <w:t> </w:t>
      </w:r>
      <w:r>
        <w:rPr>
          <w:rFonts w:ascii="Verdana"/>
          <w:i/>
          <w:w w:val="115"/>
        </w:rPr>
        <w:t>clarify</w:t>
      </w:r>
    </w:p>
    <w:p>
      <w:pPr>
        <w:pStyle w:val="BodyText"/>
        <w:spacing w:line="268" w:lineRule="auto"/>
        <w:ind w:right="317"/>
      </w:pPr>
      <w:r>
        <w:rPr>
          <w:rFonts w:ascii="Verdana" w:hAnsi="Verdana"/>
          <w:i/>
        </w:rPr>
        <w:t>what</w:t>
      </w:r>
      <w:r>
        <w:rPr>
          <w:rFonts w:ascii="Verdana" w:hAnsi="Verdana"/>
          <w:i/>
          <w:spacing w:val="-12"/>
        </w:rPr>
        <w:t> </w:t>
      </w:r>
      <w:r>
        <w:rPr>
          <w:rFonts w:ascii="Verdana" w:hAnsi="Verdana"/>
          <w:i/>
        </w:rPr>
        <w:t>the</w:t>
      </w:r>
      <w:r>
        <w:rPr>
          <w:rFonts w:ascii="Verdana" w:hAnsi="Verdana"/>
          <w:i/>
          <w:spacing w:val="-12"/>
        </w:rPr>
        <w:t> </w:t>
      </w:r>
      <w:r>
        <w:rPr>
          <w:rFonts w:ascii="Verdana" w:hAnsi="Verdana"/>
          <w:i/>
        </w:rPr>
        <w:t>law</w:t>
      </w:r>
      <w:r>
        <w:rPr>
          <w:rFonts w:ascii="Verdana" w:hAnsi="Verdana"/>
          <w:i/>
          <w:spacing w:val="-12"/>
        </w:rPr>
        <w:t> </w:t>
      </w:r>
      <w:r>
        <w:rPr>
          <w:rFonts w:ascii="Verdana" w:hAnsi="Verdana"/>
          <w:i/>
        </w:rPr>
        <w:t>has</w:t>
      </w:r>
      <w:r>
        <w:rPr>
          <w:rFonts w:ascii="Verdana" w:hAnsi="Verdana"/>
          <w:i/>
          <w:spacing w:val="-12"/>
        </w:rPr>
        <w:t> </w:t>
      </w:r>
      <w:r>
        <w:rPr>
          <w:rFonts w:ascii="Verdana" w:hAnsi="Verdana"/>
          <w:i/>
        </w:rPr>
        <w:t>always</w:t>
      </w:r>
      <w:r>
        <w:rPr>
          <w:rFonts w:ascii="Verdana" w:hAnsi="Verdana"/>
          <w:i/>
          <w:spacing w:val="-12"/>
        </w:rPr>
        <w:t> </w:t>
      </w:r>
      <w:r>
        <w:rPr>
          <w:rFonts w:ascii="Verdana" w:hAnsi="Verdana"/>
          <w:i/>
        </w:rPr>
        <w:t>been</w:t>
      </w:r>
      <w:r>
        <w:rPr/>
        <w:t>, </w:t>
      </w:r>
      <w:r>
        <w:rPr/>
        <w:t>rather </w:t>
      </w:r>
      <w:r>
        <w:rPr>
          <w:w w:val="110"/>
        </w:rPr>
        <w:t>than</w:t>
      </w:r>
      <w:r>
        <w:rPr>
          <w:spacing w:val="40"/>
          <w:w w:val="110"/>
        </w:rPr>
        <w:t> </w:t>
      </w:r>
      <w:r>
        <w:rPr>
          <w:w w:val="110"/>
        </w:rPr>
        <w:t>what</w:t>
      </w:r>
      <w:r>
        <w:rPr>
          <w:spacing w:val="40"/>
          <w:w w:val="110"/>
        </w:rPr>
        <w:t> </w:t>
      </w:r>
      <w:r>
        <w:rPr>
          <w:w w:val="110"/>
        </w:rPr>
        <w:t>the</w:t>
      </w:r>
      <w:r>
        <w:rPr>
          <w:spacing w:val="40"/>
          <w:w w:val="110"/>
        </w:rPr>
        <w:t> </w:t>
      </w:r>
      <w:r>
        <w:rPr>
          <w:w w:val="110"/>
        </w:rPr>
        <w:t>law</w:t>
      </w:r>
      <w:r>
        <w:rPr>
          <w:spacing w:val="40"/>
          <w:w w:val="110"/>
        </w:rPr>
        <w:t> </w:t>
      </w:r>
      <w:r>
        <w:rPr>
          <w:w w:val="110"/>
        </w:rPr>
        <w:t>is</w:t>
      </w:r>
      <w:r>
        <w:rPr>
          <w:spacing w:val="40"/>
          <w:w w:val="110"/>
        </w:rPr>
        <w:t> </w:t>
      </w:r>
      <w:r>
        <w:rPr>
          <w:w w:val="110"/>
        </w:rPr>
        <w:t>from</w:t>
      </w:r>
      <w:r>
        <w:rPr>
          <w:spacing w:val="40"/>
          <w:w w:val="110"/>
        </w:rPr>
        <w:t> </w:t>
      </w:r>
      <w:r>
        <w:rPr>
          <w:w w:val="110"/>
        </w:rPr>
        <w:t>the</w:t>
      </w:r>
      <w:r>
        <w:rPr>
          <w:spacing w:val="40"/>
          <w:w w:val="110"/>
        </w:rPr>
        <w:t> </w:t>
      </w:r>
      <w:r>
        <w:rPr>
          <w:w w:val="110"/>
        </w:rPr>
        <w:t>date of such a judgment. This is a settled feature of CJEU rulings, which is attributable to the civil law tradition</w:t>
      </w:r>
      <w:r>
        <w:rPr>
          <w:spacing w:val="40"/>
          <w:w w:val="110"/>
        </w:rPr>
        <w:t> </w:t>
      </w:r>
      <w:r>
        <w:rPr>
          <w:w w:val="110"/>
        </w:rPr>
        <w:t>that governs the Court’s operation.</w:t>
      </w:r>
    </w:p>
    <w:p>
      <w:pPr>
        <w:pStyle w:val="BodyText"/>
      </w:pPr>
      <w:r>
        <w:rPr>
          <w:w w:val="110"/>
        </w:rPr>
        <w:t>Having</w:t>
      </w:r>
      <w:r>
        <w:rPr>
          <w:spacing w:val="11"/>
          <w:w w:val="110"/>
        </w:rPr>
        <w:t> </w:t>
      </w:r>
      <w:r>
        <w:rPr>
          <w:w w:val="110"/>
        </w:rPr>
        <w:t>been</w:t>
      </w:r>
      <w:r>
        <w:rPr>
          <w:spacing w:val="12"/>
          <w:w w:val="110"/>
        </w:rPr>
        <w:t> </w:t>
      </w:r>
      <w:r>
        <w:rPr>
          <w:w w:val="110"/>
        </w:rPr>
        <w:t>modelled</w:t>
      </w:r>
      <w:r>
        <w:rPr>
          <w:spacing w:val="12"/>
          <w:w w:val="110"/>
        </w:rPr>
        <w:t> </w:t>
      </w:r>
      <w:r>
        <w:rPr>
          <w:w w:val="110"/>
        </w:rPr>
        <w:t>on</w:t>
      </w:r>
      <w:r>
        <w:rPr>
          <w:spacing w:val="11"/>
          <w:w w:val="110"/>
        </w:rPr>
        <w:t> </w:t>
      </w:r>
      <w:r>
        <w:rPr>
          <w:w w:val="110"/>
        </w:rPr>
        <w:t>the</w:t>
      </w:r>
      <w:r>
        <w:rPr>
          <w:spacing w:val="12"/>
          <w:w w:val="110"/>
        </w:rPr>
        <w:t> </w:t>
      </w:r>
      <w:r>
        <w:rPr>
          <w:spacing w:val="-2"/>
          <w:w w:val="110"/>
        </w:rPr>
        <w:t>French</w:t>
      </w:r>
    </w:p>
    <w:p>
      <w:pPr>
        <w:spacing w:line="249" w:lineRule="auto" w:before="13"/>
        <w:ind w:left="113" w:right="348" w:firstLine="0"/>
        <w:jc w:val="left"/>
        <w:rPr>
          <w:sz w:val="24"/>
        </w:rPr>
      </w:pPr>
      <w:r>
        <w:rPr>
          <w:rFonts w:ascii="Verdana" w:hAnsi="Verdana"/>
          <w:i/>
          <w:w w:val="110"/>
          <w:sz w:val="24"/>
        </w:rPr>
        <w:t>Conseil</w:t>
      </w:r>
      <w:r>
        <w:rPr>
          <w:rFonts w:ascii="Verdana" w:hAnsi="Verdana"/>
          <w:i/>
          <w:spacing w:val="-18"/>
          <w:w w:val="110"/>
          <w:sz w:val="24"/>
        </w:rPr>
        <w:t> </w:t>
      </w:r>
      <w:r>
        <w:rPr>
          <w:rFonts w:ascii="Verdana" w:hAnsi="Verdana"/>
          <w:i/>
          <w:w w:val="110"/>
          <w:sz w:val="24"/>
        </w:rPr>
        <w:t>d’État</w:t>
      </w:r>
      <w:r>
        <w:rPr>
          <w:w w:val="110"/>
          <w:sz w:val="24"/>
        </w:rPr>
        <w:t>, the CJEU’s function is to pronounce the </w:t>
      </w:r>
      <w:r>
        <w:rPr>
          <w:rFonts w:ascii="Verdana" w:hAnsi="Verdana"/>
          <w:i/>
          <w:w w:val="110"/>
          <w:sz w:val="24"/>
        </w:rPr>
        <w:t>meaning</w:t>
      </w:r>
      <w:r>
        <w:rPr>
          <w:rFonts w:ascii="Verdana" w:hAnsi="Verdana"/>
          <w:i/>
          <w:spacing w:val="-15"/>
          <w:w w:val="110"/>
          <w:sz w:val="24"/>
        </w:rPr>
        <w:t> </w:t>
      </w:r>
      <w:r>
        <w:rPr>
          <w:rFonts w:ascii="Verdana" w:hAnsi="Verdana"/>
          <w:i/>
          <w:w w:val="110"/>
          <w:sz w:val="24"/>
        </w:rPr>
        <w:t>of</w:t>
      </w:r>
      <w:r>
        <w:rPr>
          <w:rFonts w:ascii="Verdana" w:hAnsi="Verdana"/>
          <w:i/>
          <w:spacing w:val="-15"/>
          <w:w w:val="110"/>
          <w:sz w:val="24"/>
        </w:rPr>
        <w:t> </w:t>
      </w:r>
      <w:r>
        <w:rPr>
          <w:rFonts w:ascii="Verdana" w:hAnsi="Verdana"/>
          <w:i/>
          <w:w w:val="110"/>
          <w:sz w:val="24"/>
        </w:rPr>
        <w:t>the</w:t>
      </w:r>
      <w:r>
        <w:rPr>
          <w:rFonts w:ascii="Verdana" w:hAnsi="Verdana"/>
          <w:i/>
          <w:w w:val="110"/>
          <w:sz w:val="24"/>
        </w:rPr>
        <w:t> law</w:t>
      </w:r>
      <w:r>
        <w:rPr>
          <w:w w:val="110"/>
          <w:sz w:val="24"/>
        </w:rPr>
        <w:t>, rather than to develop it under</w:t>
      </w:r>
      <w:r>
        <w:rPr>
          <w:spacing w:val="80"/>
          <w:w w:val="110"/>
          <w:sz w:val="24"/>
        </w:rPr>
        <w:t> </w:t>
      </w:r>
      <w:r>
        <w:rPr>
          <w:w w:val="110"/>
          <w:sz w:val="24"/>
        </w:rPr>
        <w:t>a formal doctrine of precedent.</w:t>
      </w:r>
      <w:r>
        <w:rPr>
          <w:rFonts w:ascii="Lucida Sans Unicode" w:hAnsi="Lucida Sans Unicode"/>
          <w:w w:val="110"/>
          <w:sz w:val="24"/>
          <w:vertAlign w:val="superscript"/>
        </w:rPr>
        <w:t>234</w:t>
      </w:r>
      <w:r>
        <w:rPr>
          <w:rFonts w:ascii="Lucida Sans Unicode" w:hAnsi="Lucida Sans Unicode"/>
          <w:spacing w:val="-5"/>
          <w:w w:val="110"/>
          <w:sz w:val="24"/>
          <w:vertAlign w:val="baseline"/>
        </w:rPr>
        <w:t> </w:t>
      </w:r>
      <w:r>
        <w:rPr>
          <w:w w:val="110"/>
          <w:sz w:val="24"/>
          <w:vertAlign w:val="baseline"/>
        </w:rPr>
        <w:t>As</w:t>
      </w:r>
    </w:p>
    <w:p>
      <w:pPr>
        <w:pStyle w:val="BodyText"/>
        <w:spacing w:line="237" w:lineRule="exact"/>
      </w:pPr>
      <w:r>
        <w:rPr>
          <w:w w:val="110"/>
        </w:rPr>
        <w:t>Tridimas</w:t>
      </w:r>
      <w:r>
        <w:rPr>
          <w:spacing w:val="-2"/>
          <w:w w:val="110"/>
        </w:rPr>
        <w:t> </w:t>
      </w:r>
      <w:r>
        <w:rPr>
          <w:w w:val="110"/>
        </w:rPr>
        <w:t>explains,</w:t>
      </w:r>
      <w:r>
        <w:rPr>
          <w:spacing w:val="-2"/>
          <w:w w:val="110"/>
        </w:rPr>
        <w:t> </w:t>
      </w:r>
      <w:r>
        <w:rPr>
          <w:w w:val="110"/>
        </w:rPr>
        <w:t>under</w:t>
      </w:r>
      <w:r>
        <w:rPr>
          <w:spacing w:val="-2"/>
          <w:w w:val="110"/>
        </w:rPr>
        <w:t> </w:t>
      </w:r>
      <w:r>
        <w:rPr>
          <w:w w:val="110"/>
        </w:rPr>
        <w:t>this</w:t>
      </w:r>
      <w:r>
        <w:rPr>
          <w:spacing w:val="-2"/>
          <w:w w:val="110"/>
        </w:rPr>
        <w:t> tradition,</w:t>
      </w:r>
    </w:p>
    <w:p>
      <w:pPr>
        <w:pStyle w:val="BodyText"/>
        <w:spacing w:line="268" w:lineRule="auto" w:before="34"/>
        <w:ind w:right="317"/>
      </w:pPr>
      <w:r>
        <w:rPr>
          <w:w w:val="115"/>
        </w:rPr>
        <w:t>‘a</w:t>
      </w:r>
      <w:r>
        <w:rPr>
          <w:spacing w:val="-6"/>
          <w:w w:val="115"/>
        </w:rPr>
        <w:t> </w:t>
      </w:r>
      <w:r>
        <w:rPr>
          <w:w w:val="115"/>
        </w:rPr>
        <w:t>judgment</w:t>
      </w:r>
      <w:r>
        <w:rPr>
          <w:spacing w:val="-6"/>
          <w:w w:val="115"/>
        </w:rPr>
        <w:t> </w:t>
      </w:r>
      <w:r>
        <w:rPr>
          <w:w w:val="115"/>
        </w:rPr>
        <w:t>is</w:t>
      </w:r>
      <w:r>
        <w:rPr>
          <w:spacing w:val="-6"/>
          <w:w w:val="115"/>
        </w:rPr>
        <w:t> </w:t>
      </w:r>
      <w:r>
        <w:rPr>
          <w:w w:val="115"/>
        </w:rPr>
        <w:t>seen</w:t>
      </w:r>
      <w:r>
        <w:rPr>
          <w:spacing w:val="-6"/>
          <w:w w:val="115"/>
        </w:rPr>
        <w:t> </w:t>
      </w:r>
      <w:r>
        <w:rPr>
          <w:w w:val="115"/>
        </w:rPr>
        <w:t>as</w:t>
      </w:r>
      <w:r>
        <w:rPr>
          <w:spacing w:val="-6"/>
          <w:w w:val="115"/>
        </w:rPr>
        <w:t> </w:t>
      </w:r>
      <w:r>
        <w:rPr>
          <w:w w:val="115"/>
        </w:rPr>
        <w:t>determining </w:t>
      </w:r>
      <w:r>
        <w:rPr>
          <w:spacing w:val="-2"/>
          <w:w w:val="115"/>
        </w:rPr>
        <w:t>the</w:t>
      </w:r>
      <w:r>
        <w:rPr>
          <w:spacing w:val="-18"/>
          <w:w w:val="115"/>
        </w:rPr>
        <w:t> </w:t>
      </w:r>
      <w:r>
        <w:rPr>
          <w:spacing w:val="-2"/>
          <w:w w:val="115"/>
        </w:rPr>
        <w:t>correct,</w:t>
      </w:r>
      <w:r>
        <w:rPr>
          <w:spacing w:val="-17"/>
          <w:w w:val="115"/>
        </w:rPr>
        <w:t> </w:t>
      </w:r>
      <w:r>
        <w:rPr>
          <w:spacing w:val="-2"/>
          <w:w w:val="115"/>
        </w:rPr>
        <w:t>or</w:t>
      </w:r>
      <w:r>
        <w:rPr>
          <w:spacing w:val="-17"/>
          <w:w w:val="115"/>
        </w:rPr>
        <w:t> </w:t>
      </w:r>
      <w:r>
        <w:rPr>
          <w:spacing w:val="-2"/>
          <w:w w:val="115"/>
        </w:rPr>
        <w:t>at</w:t>
      </w:r>
      <w:r>
        <w:rPr>
          <w:spacing w:val="-17"/>
          <w:w w:val="115"/>
        </w:rPr>
        <w:t> </w:t>
      </w:r>
      <w:r>
        <w:rPr>
          <w:spacing w:val="-2"/>
          <w:w w:val="115"/>
        </w:rPr>
        <w:t>least</w:t>
      </w:r>
      <w:r>
        <w:rPr>
          <w:spacing w:val="-17"/>
          <w:w w:val="115"/>
        </w:rPr>
        <w:t> </w:t>
      </w:r>
      <w:r>
        <w:rPr>
          <w:spacing w:val="-2"/>
          <w:w w:val="115"/>
        </w:rPr>
        <w:t>a</w:t>
      </w:r>
      <w:r>
        <w:rPr>
          <w:spacing w:val="-18"/>
          <w:w w:val="115"/>
        </w:rPr>
        <w:t> </w:t>
      </w:r>
      <w:r>
        <w:rPr>
          <w:spacing w:val="-2"/>
          <w:w w:val="115"/>
        </w:rPr>
        <w:t>reasonable,</w:t>
      </w:r>
    </w:p>
    <w:p>
      <w:pPr>
        <w:spacing w:after="0" w:line="268" w:lineRule="auto"/>
        <w:sectPr>
          <w:type w:val="continuous"/>
          <w:pgSz w:w="11910" w:h="16840"/>
          <w:pgMar w:header="568" w:footer="580" w:top="0" w:bottom="280" w:left="1020" w:right="1020"/>
          <w:cols w:num="2" w:equalWidth="0">
            <w:col w:w="4747" w:space="299"/>
            <w:col w:w="4824"/>
          </w:cols>
        </w:sectPr>
      </w:pPr>
    </w:p>
    <w:p>
      <w:pPr>
        <w:pStyle w:val="BodyText"/>
        <w:spacing w:before="198"/>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151" name="Group 151"/>
                <wp:cNvGraphicFramePr>
                  <a:graphicFrameLocks/>
                </wp:cNvGraphicFramePr>
                <a:graphic>
                  <a:graphicData uri="http://schemas.microsoft.com/office/word/2010/wordprocessingGroup">
                    <wpg:wgp>
                      <wpg:cNvPr id="151" name="Group 151"/>
                      <wpg:cNvGrpSpPr/>
                      <wpg:grpSpPr>
                        <a:xfrm>
                          <a:off x="0" y="0"/>
                          <a:ext cx="6120130" cy="6350"/>
                          <a:chExt cx="6120130" cy="6350"/>
                        </a:xfrm>
                      </wpg:grpSpPr>
                      <wps:wsp>
                        <wps:cNvPr id="152" name="Graphic 152"/>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94"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14"/>
        </w:numPr>
        <w:tabs>
          <w:tab w:pos="567" w:val="left" w:leader="none"/>
        </w:tabs>
        <w:spacing w:line="194" w:lineRule="auto" w:before="94" w:after="0"/>
        <w:ind w:left="567" w:right="365" w:hanging="454"/>
        <w:jc w:val="left"/>
        <w:rPr>
          <w:sz w:val="16"/>
        </w:rPr>
      </w:pPr>
      <w:r>
        <w:rPr>
          <w:spacing w:val="-2"/>
          <w:w w:val="105"/>
          <w:sz w:val="16"/>
        </w:rPr>
        <w:t>Without</w:t>
      </w:r>
      <w:r>
        <w:rPr>
          <w:spacing w:val="-5"/>
          <w:w w:val="105"/>
          <w:sz w:val="16"/>
        </w:rPr>
        <w:t> </w:t>
      </w:r>
      <w:r>
        <w:rPr>
          <w:spacing w:val="-2"/>
          <w:w w:val="105"/>
          <w:sz w:val="16"/>
        </w:rPr>
        <w:t>the</w:t>
      </w:r>
      <w:r>
        <w:rPr>
          <w:spacing w:val="-5"/>
          <w:w w:val="105"/>
          <w:sz w:val="16"/>
        </w:rPr>
        <w:t> </w:t>
      </w:r>
      <w:r>
        <w:rPr>
          <w:spacing w:val="-2"/>
          <w:w w:val="105"/>
          <w:sz w:val="16"/>
        </w:rPr>
        <w:t>relevant</w:t>
      </w:r>
      <w:r>
        <w:rPr>
          <w:spacing w:val="-5"/>
          <w:w w:val="105"/>
          <w:sz w:val="16"/>
        </w:rPr>
        <w:t> </w:t>
      </w:r>
      <w:r>
        <w:rPr>
          <w:spacing w:val="-2"/>
          <w:w w:val="105"/>
          <w:sz w:val="16"/>
        </w:rPr>
        <w:t>pre-Brexit</w:t>
      </w:r>
      <w:r>
        <w:rPr>
          <w:spacing w:val="-5"/>
          <w:w w:val="105"/>
          <w:sz w:val="16"/>
        </w:rPr>
        <w:t> </w:t>
      </w:r>
      <w:r>
        <w:rPr>
          <w:spacing w:val="-2"/>
          <w:w w:val="105"/>
          <w:sz w:val="16"/>
        </w:rPr>
        <w:t>temporal</w:t>
      </w:r>
      <w:r>
        <w:rPr>
          <w:spacing w:val="-5"/>
          <w:w w:val="105"/>
          <w:sz w:val="16"/>
        </w:rPr>
        <w:t> </w:t>
      </w:r>
      <w:r>
        <w:rPr>
          <w:spacing w:val="-2"/>
          <w:w w:val="105"/>
          <w:sz w:val="16"/>
        </w:rPr>
        <w:t>limit</w:t>
      </w:r>
      <w:r>
        <w:rPr>
          <w:spacing w:val="-5"/>
          <w:w w:val="105"/>
          <w:sz w:val="16"/>
        </w:rPr>
        <w:t> </w:t>
      </w:r>
      <w:r>
        <w:rPr>
          <w:spacing w:val="-2"/>
          <w:w w:val="105"/>
          <w:sz w:val="16"/>
        </w:rPr>
        <w:t>contained</w:t>
      </w:r>
      <w:r>
        <w:rPr>
          <w:spacing w:val="-5"/>
          <w:w w:val="105"/>
          <w:sz w:val="16"/>
        </w:rPr>
        <w:t> </w:t>
      </w:r>
      <w:r>
        <w:rPr>
          <w:spacing w:val="-2"/>
          <w:w w:val="105"/>
          <w:sz w:val="16"/>
        </w:rPr>
        <w:t>in</w:t>
      </w:r>
      <w:r>
        <w:rPr>
          <w:spacing w:val="-5"/>
          <w:w w:val="105"/>
          <w:sz w:val="16"/>
        </w:rPr>
        <w:t> </w:t>
      </w:r>
      <w:r>
        <w:rPr>
          <w:spacing w:val="-2"/>
          <w:w w:val="105"/>
          <w:sz w:val="16"/>
        </w:rPr>
        <w:t>Article</w:t>
      </w:r>
      <w:r>
        <w:rPr>
          <w:spacing w:val="-5"/>
          <w:w w:val="105"/>
          <w:sz w:val="16"/>
        </w:rPr>
        <w:t> </w:t>
      </w:r>
      <w:r>
        <w:rPr>
          <w:spacing w:val="-2"/>
          <w:w w:val="105"/>
          <w:sz w:val="16"/>
        </w:rPr>
        <w:t>4(4)</w:t>
      </w:r>
      <w:r>
        <w:rPr>
          <w:spacing w:val="-5"/>
          <w:w w:val="105"/>
          <w:sz w:val="16"/>
        </w:rPr>
        <w:t> </w:t>
      </w:r>
      <w:r>
        <w:rPr>
          <w:spacing w:val="-2"/>
          <w:w w:val="105"/>
          <w:sz w:val="16"/>
        </w:rPr>
        <w:t>of</w:t>
      </w:r>
      <w:r>
        <w:rPr>
          <w:spacing w:val="-5"/>
          <w:w w:val="105"/>
          <w:sz w:val="16"/>
        </w:rPr>
        <w:t> </w:t>
      </w:r>
      <w:r>
        <w:rPr>
          <w:spacing w:val="-2"/>
          <w:w w:val="105"/>
          <w:sz w:val="16"/>
        </w:rPr>
        <w:t>the</w:t>
      </w:r>
      <w:r>
        <w:rPr>
          <w:spacing w:val="-5"/>
          <w:w w:val="105"/>
          <w:sz w:val="16"/>
        </w:rPr>
        <w:t> </w:t>
      </w:r>
      <w:r>
        <w:rPr>
          <w:spacing w:val="-2"/>
          <w:w w:val="105"/>
          <w:sz w:val="16"/>
        </w:rPr>
        <w:t>WA;</w:t>
      </w:r>
      <w:r>
        <w:rPr>
          <w:spacing w:val="-5"/>
          <w:w w:val="105"/>
          <w:sz w:val="16"/>
        </w:rPr>
        <w:t> </w:t>
      </w:r>
      <w:r>
        <w:rPr>
          <w:spacing w:val="-2"/>
          <w:w w:val="105"/>
          <w:sz w:val="16"/>
        </w:rPr>
        <w:t>on</w:t>
      </w:r>
      <w:r>
        <w:rPr>
          <w:spacing w:val="-5"/>
          <w:w w:val="105"/>
          <w:sz w:val="16"/>
        </w:rPr>
        <w:t> </w:t>
      </w:r>
      <w:r>
        <w:rPr>
          <w:spacing w:val="-2"/>
          <w:w w:val="105"/>
          <w:sz w:val="16"/>
        </w:rPr>
        <w:t>the</w:t>
      </w:r>
      <w:r>
        <w:rPr>
          <w:spacing w:val="-5"/>
          <w:w w:val="105"/>
          <w:sz w:val="16"/>
        </w:rPr>
        <w:t> </w:t>
      </w:r>
      <w:r>
        <w:rPr>
          <w:spacing w:val="-2"/>
          <w:w w:val="105"/>
          <w:sz w:val="16"/>
        </w:rPr>
        <w:t>potential</w:t>
      </w:r>
      <w:r>
        <w:rPr>
          <w:spacing w:val="-5"/>
          <w:w w:val="105"/>
          <w:sz w:val="16"/>
        </w:rPr>
        <w:t> </w:t>
      </w:r>
      <w:r>
        <w:rPr>
          <w:spacing w:val="-2"/>
          <w:w w:val="105"/>
          <w:sz w:val="16"/>
        </w:rPr>
        <w:t>issues</w:t>
      </w:r>
      <w:r>
        <w:rPr>
          <w:spacing w:val="-5"/>
          <w:w w:val="105"/>
          <w:sz w:val="16"/>
        </w:rPr>
        <w:t> </w:t>
      </w:r>
      <w:r>
        <w:rPr>
          <w:spacing w:val="-2"/>
          <w:w w:val="105"/>
          <w:sz w:val="16"/>
        </w:rPr>
        <w:t>arising </w:t>
      </w:r>
      <w:r>
        <w:rPr>
          <w:w w:val="105"/>
          <w:sz w:val="16"/>
        </w:rPr>
        <w:t>from the so-called Stormont Brake, see Chapter 5.</w:t>
      </w:r>
    </w:p>
    <w:p>
      <w:pPr>
        <w:pStyle w:val="ListParagraph"/>
        <w:numPr>
          <w:ilvl w:val="0"/>
          <w:numId w:val="14"/>
        </w:numPr>
        <w:tabs>
          <w:tab w:pos="565" w:val="left" w:leader="none"/>
        </w:tabs>
        <w:spacing w:line="191" w:lineRule="exact" w:before="0" w:after="0"/>
        <w:ind w:left="565" w:right="0" w:hanging="452"/>
        <w:jc w:val="left"/>
        <w:rPr>
          <w:sz w:val="16"/>
        </w:rPr>
      </w:pPr>
      <w:r>
        <w:rPr>
          <w:spacing w:val="-4"/>
          <w:sz w:val="16"/>
        </w:rPr>
        <w:t>Case</w:t>
      </w:r>
      <w:r>
        <w:rPr>
          <w:sz w:val="16"/>
        </w:rPr>
        <w:t> </w:t>
      </w:r>
      <w:r>
        <w:rPr>
          <w:spacing w:val="-4"/>
          <w:sz w:val="16"/>
        </w:rPr>
        <w:t>C-356/21,</w:t>
      </w:r>
      <w:r>
        <w:rPr>
          <w:sz w:val="16"/>
        </w:rPr>
        <w:t> </w:t>
      </w:r>
      <w:r>
        <w:rPr>
          <w:rFonts w:ascii="Verdana"/>
          <w:i/>
          <w:spacing w:val="-4"/>
          <w:sz w:val="16"/>
        </w:rPr>
        <w:t>J.K.</w:t>
      </w:r>
      <w:r>
        <w:rPr>
          <w:spacing w:val="-4"/>
          <w:sz w:val="16"/>
        </w:rPr>
        <w:t>,</w:t>
      </w:r>
      <w:r>
        <w:rPr>
          <w:spacing w:val="1"/>
          <w:sz w:val="16"/>
        </w:rPr>
        <w:t> </w:t>
      </w:r>
      <w:r>
        <w:rPr>
          <w:spacing w:val="-4"/>
          <w:sz w:val="16"/>
        </w:rPr>
        <w:t>EU:C:2023:9,</w:t>
      </w:r>
      <w:r>
        <w:rPr>
          <w:sz w:val="16"/>
        </w:rPr>
        <w:t> </w:t>
      </w:r>
      <w:r>
        <w:rPr>
          <w:spacing w:val="-4"/>
          <w:sz w:val="16"/>
        </w:rPr>
        <w:t>para</w:t>
      </w:r>
      <w:r>
        <w:rPr>
          <w:spacing w:val="1"/>
          <w:sz w:val="16"/>
        </w:rPr>
        <w:t> </w:t>
      </w:r>
      <w:r>
        <w:rPr>
          <w:spacing w:val="-5"/>
          <w:sz w:val="16"/>
        </w:rPr>
        <w:t>45.</w:t>
      </w:r>
    </w:p>
    <w:p>
      <w:pPr>
        <w:pStyle w:val="ListParagraph"/>
        <w:numPr>
          <w:ilvl w:val="0"/>
          <w:numId w:val="14"/>
        </w:numPr>
        <w:tabs>
          <w:tab w:pos="565" w:val="left" w:leader="none"/>
          <w:tab w:pos="567" w:val="left" w:leader="none"/>
        </w:tabs>
        <w:spacing w:line="218" w:lineRule="auto" w:before="0" w:after="0"/>
        <w:ind w:left="567" w:right="284" w:hanging="454"/>
        <w:jc w:val="left"/>
        <w:rPr>
          <w:rFonts w:ascii="Arial"/>
          <w:sz w:val="16"/>
        </w:rPr>
      </w:pPr>
      <w:r>
        <w:rPr>
          <w:rFonts w:ascii="Arial"/>
          <w:w w:val="110"/>
          <w:sz w:val="16"/>
        </w:rPr>
        <w:t>Importantly, this does not mean that the non-diminution guarantee is premised </w:t>
      </w:r>
      <w:r>
        <w:rPr>
          <w:rFonts w:ascii="Verdana"/>
          <w:i/>
          <w:w w:val="110"/>
          <w:sz w:val="16"/>
        </w:rPr>
        <w:t>only</w:t>
      </w:r>
      <w:r>
        <w:rPr>
          <w:rFonts w:ascii="Verdana"/>
          <w:i/>
          <w:spacing w:val="-4"/>
          <w:w w:val="110"/>
          <w:sz w:val="16"/>
        </w:rPr>
        <w:t> </w:t>
      </w:r>
      <w:r>
        <w:rPr>
          <w:w w:val="110"/>
          <w:sz w:val="16"/>
        </w:rPr>
        <w:t>on the RSEO chapter of the </w:t>
      </w:r>
      <w:r>
        <w:rPr>
          <w:rFonts w:ascii="Arial"/>
          <w:w w:val="110"/>
          <w:sz w:val="16"/>
        </w:rPr>
        <w:t>Belfast (Good Friday) Agreement. This is because, absent the need to locate an underpinning EU law, there would</w:t>
      </w:r>
    </w:p>
    <w:p>
      <w:pPr>
        <w:spacing w:line="218" w:lineRule="auto" w:before="2"/>
        <w:ind w:left="567" w:right="227" w:firstLine="0"/>
        <w:jc w:val="left"/>
        <w:rPr>
          <w:sz w:val="16"/>
        </w:rPr>
      </w:pPr>
      <w:r>
        <w:rPr>
          <w:w w:val="105"/>
          <w:sz w:val="16"/>
        </w:rPr>
        <w:t>be</w:t>
      </w:r>
      <w:r>
        <w:rPr>
          <w:spacing w:val="-1"/>
          <w:w w:val="105"/>
          <w:sz w:val="16"/>
        </w:rPr>
        <w:t> </w:t>
      </w:r>
      <w:r>
        <w:rPr>
          <w:w w:val="105"/>
          <w:sz w:val="16"/>
        </w:rPr>
        <w:t>no</w:t>
      </w:r>
      <w:r>
        <w:rPr>
          <w:spacing w:val="-1"/>
          <w:w w:val="105"/>
          <w:sz w:val="16"/>
        </w:rPr>
        <w:t> </w:t>
      </w:r>
      <w:r>
        <w:rPr>
          <w:w w:val="105"/>
          <w:sz w:val="16"/>
        </w:rPr>
        <w:t>diminution</w:t>
      </w:r>
      <w:r>
        <w:rPr>
          <w:spacing w:val="-1"/>
          <w:w w:val="105"/>
          <w:sz w:val="16"/>
        </w:rPr>
        <w:t> </w:t>
      </w:r>
      <w:r>
        <w:rPr>
          <w:rFonts w:ascii="Verdana"/>
          <w:i/>
          <w:w w:val="105"/>
          <w:sz w:val="16"/>
        </w:rPr>
        <w:t>as</w:t>
      </w:r>
      <w:r>
        <w:rPr>
          <w:rFonts w:ascii="Verdana"/>
          <w:i/>
          <w:spacing w:val="-14"/>
          <w:w w:val="105"/>
          <w:sz w:val="16"/>
        </w:rPr>
        <w:t> </w:t>
      </w:r>
      <w:r>
        <w:rPr>
          <w:rFonts w:ascii="Verdana"/>
          <w:i/>
          <w:w w:val="105"/>
          <w:sz w:val="16"/>
        </w:rPr>
        <w:t>a</w:t>
      </w:r>
      <w:r>
        <w:rPr>
          <w:rFonts w:ascii="Verdana"/>
          <w:i/>
          <w:spacing w:val="-14"/>
          <w:w w:val="105"/>
          <w:sz w:val="16"/>
        </w:rPr>
        <w:t> </w:t>
      </w:r>
      <w:r>
        <w:rPr>
          <w:rFonts w:ascii="Verdana"/>
          <w:i/>
          <w:w w:val="105"/>
          <w:sz w:val="16"/>
        </w:rPr>
        <w:t>result</w:t>
      </w:r>
      <w:r>
        <w:rPr>
          <w:rFonts w:ascii="Verdana"/>
          <w:i/>
          <w:spacing w:val="-14"/>
          <w:w w:val="105"/>
          <w:sz w:val="16"/>
        </w:rPr>
        <w:t> </w:t>
      </w:r>
      <w:r>
        <w:rPr>
          <w:rFonts w:ascii="Verdana"/>
          <w:i/>
          <w:w w:val="105"/>
          <w:sz w:val="16"/>
        </w:rPr>
        <w:t>of</w:t>
      </w:r>
      <w:r>
        <w:rPr>
          <w:rFonts w:ascii="Verdana"/>
          <w:i/>
          <w:spacing w:val="-14"/>
          <w:w w:val="105"/>
          <w:sz w:val="16"/>
        </w:rPr>
        <w:t> </w:t>
      </w:r>
      <w:r>
        <w:rPr>
          <w:rFonts w:ascii="Lucida Sans Unicode"/>
          <w:w w:val="105"/>
          <w:sz w:val="16"/>
        </w:rPr>
        <w:t>Brexit,</w:t>
      </w:r>
      <w:r>
        <w:rPr>
          <w:rFonts w:ascii="Lucida Sans Unicode"/>
          <w:spacing w:val="-7"/>
          <w:w w:val="105"/>
          <w:sz w:val="16"/>
        </w:rPr>
        <w:t> </w:t>
      </w:r>
      <w:r>
        <w:rPr>
          <w:rFonts w:ascii="Lucida Sans Unicode"/>
          <w:w w:val="105"/>
          <w:sz w:val="16"/>
        </w:rPr>
        <w:t>given</w:t>
      </w:r>
      <w:r>
        <w:rPr>
          <w:rFonts w:ascii="Lucida Sans Unicode"/>
          <w:spacing w:val="-8"/>
          <w:w w:val="105"/>
          <w:sz w:val="16"/>
        </w:rPr>
        <w:t> </w:t>
      </w:r>
      <w:r>
        <w:rPr>
          <w:rFonts w:ascii="Lucida Sans Unicode"/>
          <w:w w:val="105"/>
          <w:sz w:val="16"/>
        </w:rPr>
        <w:t>that</w:t>
      </w:r>
      <w:r>
        <w:rPr>
          <w:rFonts w:ascii="Lucida Sans Unicode"/>
          <w:spacing w:val="-7"/>
          <w:w w:val="105"/>
          <w:sz w:val="16"/>
        </w:rPr>
        <w:t> </w:t>
      </w:r>
      <w:r>
        <w:rPr>
          <w:rFonts w:ascii="Lucida Sans Unicode"/>
          <w:w w:val="105"/>
          <w:sz w:val="16"/>
        </w:rPr>
        <w:t>the</w:t>
      </w:r>
      <w:r>
        <w:rPr>
          <w:rFonts w:ascii="Lucida Sans Unicode"/>
          <w:spacing w:val="-8"/>
          <w:w w:val="105"/>
          <w:sz w:val="16"/>
        </w:rPr>
        <w:t> </w:t>
      </w:r>
      <w:r>
        <w:rPr>
          <w:rFonts w:ascii="Lucida Sans Unicode"/>
          <w:w w:val="105"/>
          <w:sz w:val="16"/>
        </w:rPr>
        <w:t>RSEO</w:t>
      </w:r>
      <w:r>
        <w:rPr>
          <w:rFonts w:ascii="Lucida Sans Unicode"/>
          <w:spacing w:val="-7"/>
          <w:w w:val="105"/>
          <w:sz w:val="16"/>
        </w:rPr>
        <w:t> </w:t>
      </w:r>
      <w:r>
        <w:rPr>
          <w:rFonts w:ascii="Lucida Sans Unicode"/>
          <w:w w:val="105"/>
          <w:sz w:val="16"/>
        </w:rPr>
        <w:t>chapter</w:t>
      </w:r>
      <w:r>
        <w:rPr>
          <w:rFonts w:ascii="Lucida Sans Unicode"/>
          <w:spacing w:val="-8"/>
          <w:w w:val="105"/>
          <w:sz w:val="16"/>
        </w:rPr>
        <w:t> </w:t>
      </w:r>
      <w:r>
        <w:rPr>
          <w:rFonts w:ascii="Lucida Sans Unicode"/>
          <w:w w:val="105"/>
          <w:sz w:val="16"/>
        </w:rPr>
        <w:t>had</w:t>
      </w:r>
      <w:r>
        <w:rPr>
          <w:rFonts w:ascii="Lucida Sans Unicode"/>
          <w:spacing w:val="-7"/>
          <w:w w:val="105"/>
          <w:sz w:val="16"/>
        </w:rPr>
        <w:t> </w:t>
      </w:r>
      <w:r>
        <w:rPr>
          <w:rFonts w:ascii="Lucida Sans Unicode"/>
          <w:w w:val="105"/>
          <w:sz w:val="16"/>
        </w:rPr>
        <w:t>no</w:t>
      </w:r>
      <w:r>
        <w:rPr>
          <w:rFonts w:ascii="Lucida Sans Unicode"/>
          <w:spacing w:val="-8"/>
          <w:w w:val="105"/>
          <w:sz w:val="16"/>
        </w:rPr>
        <w:t> </w:t>
      </w:r>
      <w:r>
        <w:rPr>
          <w:rFonts w:ascii="Lucida Sans Unicode"/>
          <w:w w:val="105"/>
          <w:sz w:val="16"/>
        </w:rPr>
        <w:t>domestic</w:t>
      </w:r>
      <w:r>
        <w:rPr>
          <w:rFonts w:ascii="Lucida Sans Unicode"/>
          <w:spacing w:val="-7"/>
          <w:w w:val="105"/>
          <w:sz w:val="16"/>
        </w:rPr>
        <w:t> </w:t>
      </w:r>
      <w:r>
        <w:rPr>
          <w:rFonts w:ascii="Lucida Sans Unicode"/>
          <w:w w:val="105"/>
          <w:sz w:val="16"/>
        </w:rPr>
        <w:t>legal</w:t>
      </w:r>
      <w:r>
        <w:rPr>
          <w:rFonts w:ascii="Lucida Sans Unicode"/>
          <w:spacing w:val="-8"/>
          <w:w w:val="105"/>
          <w:sz w:val="16"/>
        </w:rPr>
        <w:t> </w:t>
      </w:r>
      <w:r>
        <w:rPr>
          <w:rFonts w:ascii="Lucida Sans Unicode"/>
          <w:w w:val="105"/>
          <w:sz w:val="16"/>
        </w:rPr>
        <w:t>relevance</w:t>
      </w:r>
      <w:r>
        <w:rPr>
          <w:rFonts w:ascii="Lucida Sans Unicode"/>
          <w:spacing w:val="-7"/>
          <w:w w:val="105"/>
          <w:sz w:val="16"/>
        </w:rPr>
        <w:t> </w:t>
      </w:r>
      <w:r>
        <w:rPr>
          <w:rFonts w:ascii="Lucida Sans Unicode"/>
          <w:w w:val="105"/>
          <w:sz w:val="16"/>
        </w:rPr>
        <w:t>or</w:t>
      </w:r>
      <w:r>
        <w:rPr>
          <w:rFonts w:ascii="Lucida Sans Unicode"/>
          <w:spacing w:val="-8"/>
          <w:w w:val="105"/>
          <w:sz w:val="16"/>
        </w:rPr>
        <w:t> </w:t>
      </w:r>
      <w:r>
        <w:rPr>
          <w:rFonts w:ascii="Lucida Sans Unicode"/>
          <w:w w:val="105"/>
          <w:sz w:val="16"/>
        </w:rPr>
        <w:t>effect</w:t>
      </w:r>
      <w:r>
        <w:rPr>
          <w:rFonts w:ascii="Lucida Sans Unicode"/>
          <w:spacing w:val="-7"/>
          <w:w w:val="105"/>
          <w:sz w:val="16"/>
        </w:rPr>
        <w:t> </w:t>
      </w:r>
      <w:r>
        <w:rPr>
          <w:rFonts w:ascii="Lucida Sans Unicode"/>
          <w:w w:val="105"/>
          <w:sz w:val="16"/>
        </w:rPr>
        <w:t>prior </w:t>
      </w:r>
      <w:r>
        <w:rPr>
          <w:w w:val="105"/>
          <w:sz w:val="16"/>
        </w:rPr>
        <w:t>to Brexit anyway.</w:t>
      </w:r>
    </w:p>
    <w:p>
      <w:pPr>
        <w:pStyle w:val="ListParagraph"/>
        <w:numPr>
          <w:ilvl w:val="0"/>
          <w:numId w:val="14"/>
        </w:numPr>
        <w:tabs>
          <w:tab w:pos="567" w:val="left" w:leader="none"/>
        </w:tabs>
        <w:spacing w:line="194" w:lineRule="auto" w:before="26" w:after="0"/>
        <w:ind w:left="567" w:right="480" w:hanging="454"/>
        <w:jc w:val="left"/>
        <w:rPr>
          <w:sz w:val="16"/>
        </w:rPr>
      </w:pPr>
      <w:r>
        <w:rPr>
          <w:spacing w:val="-2"/>
          <w:w w:val="105"/>
          <w:sz w:val="16"/>
        </w:rPr>
        <w:t>Takis</w:t>
      </w:r>
      <w:r>
        <w:rPr>
          <w:spacing w:val="-4"/>
          <w:w w:val="105"/>
          <w:sz w:val="16"/>
        </w:rPr>
        <w:t> </w:t>
      </w:r>
      <w:r>
        <w:rPr>
          <w:spacing w:val="-2"/>
          <w:w w:val="105"/>
          <w:sz w:val="16"/>
        </w:rPr>
        <w:t>Tridimas,</w:t>
      </w:r>
      <w:r>
        <w:rPr>
          <w:spacing w:val="-4"/>
          <w:w w:val="105"/>
          <w:sz w:val="16"/>
        </w:rPr>
        <w:t> </w:t>
      </w:r>
      <w:r>
        <w:rPr>
          <w:spacing w:val="-2"/>
          <w:w w:val="105"/>
          <w:sz w:val="16"/>
        </w:rPr>
        <w:t>‘Precedent</w:t>
      </w:r>
      <w:r>
        <w:rPr>
          <w:spacing w:val="-4"/>
          <w:w w:val="105"/>
          <w:sz w:val="16"/>
        </w:rPr>
        <w:t> </w:t>
      </w:r>
      <w:r>
        <w:rPr>
          <w:spacing w:val="-2"/>
          <w:w w:val="105"/>
          <w:sz w:val="16"/>
        </w:rPr>
        <w:t>and</w:t>
      </w:r>
      <w:r>
        <w:rPr>
          <w:spacing w:val="-4"/>
          <w:w w:val="105"/>
          <w:sz w:val="16"/>
        </w:rPr>
        <w:t> </w:t>
      </w:r>
      <w:r>
        <w:rPr>
          <w:spacing w:val="-2"/>
          <w:w w:val="105"/>
          <w:sz w:val="16"/>
        </w:rPr>
        <w:t>the</w:t>
      </w:r>
      <w:r>
        <w:rPr>
          <w:spacing w:val="-4"/>
          <w:w w:val="105"/>
          <w:sz w:val="16"/>
        </w:rPr>
        <w:t> </w:t>
      </w:r>
      <w:r>
        <w:rPr>
          <w:spacing w:val="-2"/>
          <w:w w:val="105"/>
          <w:sz w:val="16"/>
        </w:rPr>
        <w:t>Court</w:t>
      </w:r>
      <w:r>
        <w:rPr>
          <w:spacing w:val="-4"/>
          <w:w w:val="105"/>
          <w:sz w:val="16"/>
        </w:rPr>
        <w:t> </w:t>
      </w:r>
      <w:r>
        <w:rPr>
          <w:spacing w:val="-2"/>
          <w:w w:val="105"/>
          <w:sz w:val="16"/>
        </w:rPr>
        <w:t>of</w:t>
      </w:r>
      <w:r>
        <w:rPr>
          <w:spacing w:val="-4"/>
          <w:w w:val="105"/>
          <w:sz w:val="16"/>
        </w:rPr>
        <w:t> </w:t>
      </w:r>
      <w:r>
        <w:rPr>
          <w:spacing w:val="-2"/>
          <w:w w:val="105"/>
          <w:sz w:val="16"/>
        </w:rPr>
        <w:t>Justice:</w:t>
      </w:r>
      <w:r>
        <w:rPr>
          <w:spacing w:val="-4"/>
          <w:w w:val="105"/>
          <w:sz w:val="16"/>
        </w:rPr>
        <w:t> </w:t>
      </w:r>
      <w:r>
        <w:rPr>
          <w:spacing w:val="-2"/>
          <w:w w:val="105"/>
          <w:sz w:val="16"/>
        </w:rPr>
        <w:t>A</w:t>
      </w:r>
      <w:r>
        <w:rPr>
          <w:spacing w:val="-4"/>
          <w:w w:val="105"/>
          <w:sz w:val="16"/>
        </w:rPr>
        <w:t> </w:t>
      </w:r>
      <w:r>
        <w:rPr>
          <w:spacing w:val="-2"/>
          <w:w w:val="105"/>
          <w:sz w:val="16"/>
        </w:rPr>
        <w:t>Jurisprudence</w:t>
      </w:r>
      <w:r>
        <w:rPr>
          <w:spacing w:val="-4"/>
          <w:w w:val="105"/>
          <w:sz w:val="16"/>
        </w:rPr>
        <w:t> </w:t>
      </w:r>
      <w:r>
        <w:rPr>
          <w:spacing w:val="-2"/>
          <w:w w:val="105"/>
          <w:sz w:val="16"/>
        </w:rPr>
        <w:t>of</w:t>
      </w:r>
      <w:r>
        <w:rPr>
          <w:spacing w:val="-4"/>
          <w:w w:val="105"/>
          <w:sz w:val="16"/>
        </w:rPr>
        <w:t> </w:t>
      </w:r>
      <w:r>
        <w:rPr>
          <w:spacing w:val="-2"/>
          <w:w w:val="105"/>
          <w:sz w:val="16"/>
        </w:rPr>
        <w:t>Doubt?’</w:t>
      </w:r>
      <w:r>
        <w:rPr>
          <w:spacing w:val="-4"/>
          <w:w w:val="105"/>
          <w:sz w:val="16"/>
        </w:rPr>
        <w:t> </w:t>
      </w:r>
      <w:r>
        <w:rPr>
          <w:spacing w:val="-2"/>
          <w:w w:val="105"/>
          <w:sz w:val="16"/>
        </w:rPr>
        <w:t>in</w:t>
      </w:r>
      <w:r>
        <w:rPr>
          <w:spacing w:val="-4"/>
          <w:w w:val="105"/>
          <w:sz w:val="16"/>
        </w:rPr>
        <w:t> </w:t>
      </w:r>
      <w:r>
        <w:rPr>
          <w:spacing w:val="-2"/>
          <w:w w:val="150"/>
          <w:sz w:val="16"/>
        </w:rPr>
        <w:t>J</w:t>
      </w:r>
      <w:r>
        <w:rPr>
          <w:spacing w:val="-27"/>
          <w:w w:val="150"/>
          <w:sz w:val="16"/>
        </w:rPr>
        <w:t> </w:t>
      </w:r>
      <w:r>
        <w:rPr>
          <w:spacing w:val="-2"/>
          <w:w w:val="105"/>
          <w:sz w:val="16"/>
        </w:rPr>
        <w:t>Dickson</w:t>
      </w:r>
      <w:r>
        <w:rPr>
          <w:spacing w:val="-4"/>
          <w:w w:val="105"/>
          <w:sz w:val="16"/>
        </w:rPr>
        <w:t> </w:t>
      </w:r>
      <w:r>
        <w:rPr>
          <w:spacing w:val="-2"/>
          <w:w w:val="105"/>
          <w:sz w:val="16"/>
        </w:rPr>
        <w:t>and</w:t>
      </w:r>
      <w:r>
        <w:rPr>
          <w:spacing w:val="-4"/>
          <w:w w:val="105"/>
          <w:sz w:val="16"/>
        </w:rPr>
        <w:t> </w:t>
      </w:r>
      <w:r>
        <w:rPr>
          <w:spacing w:val="-2"/>
          <w:w w:val="105"/>
          <w:sz w:val="16"/>
        </w:rPr>
        <w:t>P</w:t>
      </w:r>
      <w:r>
        <w:rPr>
          <w:spacing w:val="-4"/>
          <w:w w:val="105"/>
          <w:sz w:val="16"/>
        </w:rPr>
        <w:t> </w:t>
      </w:r>
      <w:r>
        <w:rPr>
          <w:spacing w:val="-2"/>
          <w:w w:val="105"/>
          <w:sz w:val="16"/>
        </w:rPr>
        <w:t>Eleftheriadis </w:t>
      </w:r>
      <w:r>
        <w:rPr>
          <w:rFonts w:ascii="Arial" w:hAnsi="Arial"/>
          <w:w w:val="105"/>
          <w:sz w:val="16"/>
        </w:rPr>
        <w:t>(eds),</w:t>
      </w:r>
      <w:r>
        <w:rPr>
          <w:rFonts w:ascii="Arial" w:hAnsi="Arial"/>
          <w:spacing w:val="-12"/>
          <w:w w:val="105"/>
          <w:sz w:val="16"/>
        </w:rPr>
        <w:t> </w:t>
      </w:r>
      <w:r>
        <w:rPr>
          <w:rFonts w:ascii="Verdana" w:hAnsi="Verdana"/>
          <w:i/>
          <w:w w:val="105"/>
          <w:sz w:val="16"/>
        </w:rPr>
        <w:t>Philosophical</w:t>
      </w:r>
      <w:r>
        <w:rPr>
          <w:rFonts w:ascii="Verdana" w:hAnsi="Verdana"/>
          <w:i/>
          <w:spacing w:val="-15"/>
          <w:w w:val="105"/>
          <w:sz w:val="16"/>
        </w:rPr>
        <w:t> </w:t>
      </w:r>
      <w:r>
        <w:rPr>
          <w:rFonts w:ascii="Verdana" w:hAnsi="Verdana"/>
          <w:i/>
          <w:w w:val="105"/>
          <w:sz w:val="16"/>
        </w:rPr>
        <w:t>Foundations</w:t>
      </w:r>
      <w:r>
        <w:rPr>
          <w:rFonts w:ascii="Verdana" w:hAnsi="Verdana"/>
          <w:i/>
          <w:spacing w:val="-15"/>
          <w:w w:val="105"/>
          <w:sz w:val="16"/>
        </w:rPr>
        <w:t> </w:t>
      </w:r>
      <w:r>
        <w:rPr>
          <w:rFonts w:ascii="Verdana" w:hAnsi="Verdana"/>
          <w:i/>
          <w:w w:val="105"/>
          <w:sz w:val="16"/>
        </w:rPr>
        <w:t>of</w:t>
      </w:r>
      <w:r>
        <w:rPr>
          <w:rFonts w:ascii="Verdana" w:hAnsi="Verdana"/>
          <w:i/>
          <w:spacing w:val="-14"/>
          <w:w w:val="105"/>
          <w:sz w:val="16"/>
        </w:rPr>
        <w:t> </w:t>
      </w:r>
      <w:r>
        <w:rPr>
          <w:rFonts w:ascii="Verdana" w:hAnsi="Verdana"/>
          <w:i/>
          <w:w w:val="105"/>
          <w:sz w:val="16"/>
        </w:rPr>
        <w:t>European</w:t>
      </w:r>
      <w:r>
        <w:rPr>
          <w:rFonts w:ascii="Verdana" w:hAnsi="Verdana"/>
          <w:i/>
          <w:spacing w:val="-15"/>
          <w:w w:val="105"/>
          <w:sz w:val="16"/>
        </w:rPr>
        <w:t> </w:t>
      </w:r>
      <w:r>
        <w:rPr>
          <w:rFonts w:ascii="Verdana" w:hAnsi="Verdana"/>
          <w:i/>
          <w:w w:val="105"/>
          <w:sz w:val="16"/>
        </w:rPr>
        <w:t>Union</w:t>
      </w:r>
      <w:r>
        <w:rPr>
          <w:rFonts w:ascii="Verdana" w:hAnsi="Verdana"/>
          <w:i/>
          <w:spacing w:val="-15"/>
          <w:w w:val="105"/>
          <w:sz w:val="16"/>
        </w:rPr>
        <w:t> </w:t>
      </w:r>
      <w:r>
        <w:rPr>
          <w:rFonts w:ascii="Verdana" w:hAnsi="Verdana"/>
          <w:i/>
          <w:w w:val="105"/>
          <w:sz w:val="16"/>
        </w:rPr>
        <w:t>Law</w:t>
      </w:r>
      <w:r>
        <w:rPr>
          <w:rFonts w:ascii="Verdana" w:hAnsi="Verdana"/>
          <w:i/>
          <w:spacing w:val="-15"/>
          <w:w w:val="105"/>
          <w:sz w:val="16"/>
        </w:rPr>
        <w:t> </w:t>
      </w:r>
      <w:r>
        <w:rPr>
          <w:w w:val="105"/>
          <w:sz w:val="16"/>
        </w:rPr>
        <w:t>(OUP</w:t>
      </w:r>
      <w:r>
        <w:rPr>
          <w:spacing w:val="-13"/>
          <w:w w:val="105"/>
          <w:sz w:val="16"/>
        </w:rPr>
        <w:t> </w:t>
      </w:r>
      <w:r>
        <w:rPr>
          <w:w w:val="105"/>
          <w:sz w:val="16"/>
        </w:rPr>
        <w:t>2012)</w:t>
      </w:r>
      <w:r>
        <w:rPr>
          <w:spacing w:val="-13"/>
          <w:w w:val="105"/>
          <w:sz w:val="16"/>
        </w:rPr>
        <w:t> </w:t>
      </w:r>
      <w:r>
        <w:rPr>
          <w:w w:val="105"/>
          <w:sz w:val="16"/>
        </w:rPr>
        <w:t>307-330,</w:t>
      </w:r>
      <w:r>
        <w:rPr>
          <w:spacing w:val="-14"/>
          <w:w w:val="105"/>
          <w:sz w:val="16"/>
        </w:rPr>
        <w:t> </w:t>
      </w:r>
      <w:r>
        <w:rPr>
          <w:w w:val="105"/>
          <w:sz w:val="16"/>
        </w:rPr>
        <w:t>308.</w:t>
      </w:r>
    </w:p>
    <w:p>
      <w:pPr>
        <w:spacing w:after="0" w:line="194" w:lineRule="auto"/>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spacing w:line="235" w:lineRule="auto" w:before="77"/>
        <w:ind w:left="113" w:right="323" w:firstLine="0"/>
        <w:jc w:val="left"/>
        <w:rPr>
          <w:rFonts w:ascii="Verdana" w:hAnsi="Verdana"/>
          <w:i/>
          <w:sz w:val="24"/>
        </w:rPr>
      </w:pPr>
      <w:r>
        <w:rPr>
          <w:w w:val="110"/>
          <w:sz w:val="24"/>
        </w:rPr>
        <w:t>interpretation of a pre-existing </w:t>
      </w:r>
      <w:r>
        <w:rPr>
          <w:w w:val="110"/>
          <w:sz w:val="24"/>
        </w:rPr>
        <w:t>rule or principle’.</w:t>
      </w:r>
      <w:r>
        <w:rPr>
          <w:rFonts w:ascii="Lucida Sans Unicode" w:hAnsi="Lucida Sans Unicode"/>
          <w:w w:val="110"/>
          <w:sz w:val="24"/>
          <w:vertAlign w:val="superscript"/>
        </w:rPr>
        <w:t>235</w:t>
      </w:r>
      <w:r>
        <w:rPr>
          <w:rFonts w:ascii="Lucida Sans Unicode" w:hAnsi="Lucida Sans Unicode"/>
          <w:w w:val="110"/>
          <w:sz w:val="24"/>
          <w:vertAlign w:val="baseline"/>
        </w:rPr>
        <w:t> </w:t>
      </w:r>
      <w:r>
        <w:rPr>
          <w:w w:val="110"/>
          <w:sz w:val="24"/>
          <w:vertAlign w:val="baseline"/>
        </w:rPr>
        <w:t>In turn, this means that the interpretation dates </w:t>
      </w:r>
      <w:r>
        <w:rPr>
          <w:rFonts w:ascii="Verdana" w:hAnsi="Verdana"/>
          <w:i/>
          <w:w w:val="110"/>
          <w:sz w:val="24"/>
          <w:vertAlign w:val="baseline"/>
        </w:rPr>
        <w:t>from</w:t>
      </w:r>
      <w:r>
        <w:rPr>
          <w:rFonts w:ascii="Verdana" w:hAnsi="Verdana"/>
          <w:i/>
          <w:w w:val="110"/>
          <w:sz w:val="24"/>
          <w:vertAlign w:val="baseline"/>
        </w:rPr>
        <w:t> </w:t>
      </w:r>
      <w:r>
        <w:rPr>
          <w:rFonts w:ascii="Verdana" w:hAnsi="Verdana"/>
          <w:i/>
          <w:sz w:val="24"/>
          <w:vertAlign w:val="baseline"/>
        </w:rPr>
        <w:t>the</w:t>
      </w:r>
      <w:r>
        <w:rPr>
          <w:rFonts w:ascii="Verdana" w:hAnsi="Verdana"/>
          <w:i/>
          <w:spacing w:val="-16"/>
          <w:sz w:val="24"/>
          <w:vertAlign w:val="baseline"/>
        </w:rPr>
        <w:t> </w:t>
      </w:r>
      <w:r>
        <w:rPr>
          <w:rFonts w:ascii="Verdana" w:hAnsi="Verdana"/>
          <w:i/>
          <w:sz w:val="24"/>
          <w:vertAlign w:val="baseline"/>
        </w:rPr>
        <w:t>introduction</w:t>
      </w:r>
      <w:r>
        <w:rPr>
          <w:rFonts w:ascii="Verdana" w:hAnsi="Verdana"/>
          <w:i/>
          <w:spacing w:val="-16"/>
          <w:sz w:val="24"/>
          <w:vertAlign w:val="baseline"/>
        </w:rPr>
        <w:t> </w:t>
      </w:r>
      <w:r>
        <w:rPr>
          <w:rFonts w:ascii="Verdana" w:hAnsi="Verdana"/>
          <w:i/>
          <w:sz w:val="24"/>
          <w:vertAlign w:val="baseline"/>
        </w:rPr>
        <w:t>of</w:t>
      </w:r>
      <w:r>
        <w:rPr>
          <w:rFonts w:ascii="Verdana" w:hAnsi="Verdana"/>
          <w:i/>
          <w:spacing w:val="-16"/>
          <w:sz w:val="24"/>
          <w:vertAlign w:val="baseline"/>
        </w:rPr>
        <w:t> </w:t>
      </w:r>
      <w:r>
        <w:rPr>
          <w:rFonts w:ascii="Verdana" w:hAnsi="Verdana"/>
          <w:i/>
          <w:sz w:val="24"/>
          <w:vertAlign w:val="baseline"/>
        </w:rPr>
        <w:t>the</w:t>
      </w:r>
      <w:r>
        <w:rPr>
          <w:rFonts w:ascii="Verdana" w:hAnsi="Verdana"/>
          <w:i/>
          <w:spacing w:val="-16"/>
          <w:sz w:val="24"/>
          <w:vertAlign w:val="baseline"/>
        </w:rPr>
        <w:t> </w:t>
      </w:r>
      <w:r>
        <w:rPr>
          <w:rFonts w:ascii="Verdana" w:hAnsi="Verdana"/>
          <w:i/>
          <w:sz w:val="24"/>
          <w:vertAlign w:val="baseline"/>
        </w:rPr>
        <w:t>adjudicated</w:t>
      </w:r>
    </w:p>
    <w:p>
      <w:pPr>
        <w:pStyle w:val="BodyText"/>
        <w:spacing w:line="268" w:lineRule="auto" w:before="15"/>
        <w:ind w:right="41"/>
      </w:pPr>
      <w:r>
        <w:rPr>
          <w:rFonts w:ascii="Verdana"/>
          <w:i/>
          <w:w w:val="110"/>
        </w:rPr>
        <w:t>measure</w:t>
      </w:r>
      <w:r>
        <w:rPr>
          <w:w w:val="110"/>
        </w:rPr>
        <w:t>,</w:t>
      </w:r>
      <w:r>
        <w:rPr>
          <w:spacing w:val="-10"/>
          <w:w w:val="110"/>
        </w:rPr>
        <w:t> </w:t>
      </w:r>
      <w:r>
        <w:rPr>
          <w:w w:val="110"/>
        </w:rPr>
        <w:t>rather</w:t>
      </w:r>
      <w:r>
        <w:rPr>
          <w:spacing w:val="-10"/>
          <w:w w:val="110"/>
        </w:rPr>
        <w:t> </w:t>
      </w:r>
      <w:r>
        <w:rPr>
          <w:w w:val="110"/>
        </w:rPr>
        <w:t>than</w:t>
      </w:r>
      <w:r>
        <w:rPr>
          <w:spacing w:val="-10"/>
          <w:w w:val="110"/>
        </w:rPr>
        <w:t> </w:t>
      </w:r>
      <w:r>
        <w:rPr>
          <w:w w:val="110"/>
        </w:rPr>
        <w:t>from</w:t>
      </w:r>
      <w:r>
        <w:rPr>
          <w:spacing w:val="-10"/>
          <w:w w:val="110"/>
        </w:rPr>
        <w:t> </w:t>
      </w:r>
      <w:r>
        <w:rPr>
          <w:w w:val="110"/>
        </w:rPr>
        <w:t>the</w:t>
      </w:r>
      <w:r>
        <w:rPr>
          <w:spacing w:val="-10"/>
          <w:w w:val="110"/>
        </w:rPr>
        <w:t> </w:t>
      </w:r>
      <w:r>
        <w:rPr>
          <w:w w:val="110"/>
        </w:rPr>
        <w:t>date</w:t>
      </w:r>
      <w:r>
        <w:rPr>
          <w:spacing w:val="-10"/>
          <w:w w:val="110"/>
        </w:rPr>
        <w:t> </w:t>
      </w:r>
      <w:r>
        <w:rPr>
          <w:w w:val="110"/>
        </w:rPr>
        <w:t>of </w:t>
      </w:r>
      <w:r>
        <w:rPr>
          <w:w w:val="115"/>
        </w:rPr>
        <w:t>the ruling.</w:t>
      </w:r>
    </w:p>
    <w:p>
      <w:pPr>
        <w:pStyle w:val="BodyText"/>
        <w:spacing w:before="1"/>
        <w:ind w:left="0"/>
      </w:pPr>
    </w:p>
    <w:p>
      <w:pPr>
        <w:pStyle w:val="BodyText"/>
        <w:spacing w:line="310" w:lineRule="exact"/>
        <w:ind w:right="84"/>
      </w:pPr>
      <w:r>
        <w:rPr>
          <w:w w:val="115"/>
        </w:rPr>
        <w:t>The</w:t>
      </w:r>
      <w:r>
        <w:rPr>
          <w:spacing w:val="-15"/>
          <w:w w:val="115"/>
        </w:rPr>
        <w:t> </w:t>
      </w:r>
      <w:r>
        <w:rPr>
          <w:w w:val="115"/>
        </w:rPr>
        <w:t>CJEU’s</w:t>
      </w:r>
      <w:r>
        <w:rPr>
          <w:spacing w:val="-15"/>
          <w:w w:val="115"/>
        </w:rPr>
        <w:t> </w:t>
      </w:r>
      <w:r>
        <w:rPr>
          <w:w w:val="115"/>
        </w:rPr>
        <w:t>case</w:t>
      </w:r>
      <w:r>
        <w:rPr>
          <w:spacing w:val="-15"/>
          <w:w w:val="115"/>
        </w:rPr>
        <w:t> </w:t>
      </w:r>
      <w:r>
        <w:rPr>
          <w:w w:val="115"/>
        </w:rPr>
        <w:t>law</w:t>
      </w:r>
      <w:r>
        <w:rPr>
          <w:spacing w:val="-15"/>
          <w:w w:val="115"/>
        </w:rPr>
        <w:t> </w:t>
      </w:r>
      <w:r>
        <w:rPr>
          <w:w w:val="115"/>
        </w:rPr>
        <w:t>itself</w:t>
      </w:r>
      <w:r>
        <w:rPr>
          <w:spacing w:val="-15"/>
          <w:w w:val="115"/>
        </w:rPr>
        <w:t> </w:t>
      </w:r>
      <w:r>
        <w:rPr>
          <w:w w:val="115"/>
        </w:rPr>
        <w:t>contains telling examples of the implications that</w:t>
      </w:r>
      <w:r>
        <w:rPr>
          <w:spacing w:val="-14"/>
          <w:w w:val="115"/>
        </w:rPr>
        <w:t> </w:t>
      </w:r>
      <w:r>
        <w:rPr>
          <w:w w:val="115"/>
        </w:rPr>
        <w:t>this</w:t>
      </w:r>
      <w:r>
        <w:rPr>
          <w:spacing w:val="-14"/>
          <w:w w:val="115"/>
        </w:rPr>
        <w:t> </w:t>
      </w:r>
      <w:r>
        <w:rPr>
          <w:w w:val="115"/>
        </w:rPr>
        <w:t>difference</w:t>
      </w:r>
      <w:r>
        <w:rPr>
          <w:spacing w:val="-14"/>
          <w:w w:val="115"/>
        </w:rPr>
        <w:t> </w:t>
      </w:r>
      <w:r>
        <w:rPr>
          <w:w w:val="115"/>
        </w:rPr>
        <w:t>in</w:t>
      </w:r>
      <w:r>
        <w:rPr>
          <w:spacing w:val="-14"/>
          <w:w w:val="115"/>
        </w:rPr>
        <w:t> </w:t>
      </w:r>
      <w:r>
        <w:rPr>
          <w:w w:val="115"/>
        </w:rPr>
        <w:t>legal</w:t>
      </w:r>
      <w:r>
        <w:rPr>
          <w:spacing w:val="-14"/>
          <w:w w:val="115"/>
        </w:rPr>
        <w:t> </w:t>
      </w:r>
      <w:r>
        <w:rPr>
          <w:w w:val="115"/>
        </w:rPr>
        <w:t>traditions can</w:t>
      </w:r>
      <w:r>
        <w:rPr>
          <w:spacing w:val="-10"/>
          <w:w w:val="115"/>
        </w:rPr>
        <w:t> </w:t>
      </w:r>
      <w:r>
        <w:rPr>
          <w:w w:val="115"/>
        </w:rPr>
        <w:t>make.</w:t>
      </w:r>
      <w:r>
        <w:rPr>
          <w:spacing w:val="-10"/>
          <w:w w:val="115"/>
        </w:rPr>
        <w:t> </w:t>
      </w:r>
      <w:r>
        <w:rPr>
          <w:w w:val="115"/>
        </w:rPr>
        <w:t>The</w:t>
      </w:r>
      <w:r>
        <w:rPr>
          <w:spacing w:val="-10"/>
          <w:w w:val="115"/>
        </w:rPr>
        <w:t> </w:t>
      </w:r>
      <w:r>
        <w:rPr>
          <w:w w:val="115"/>
        </w:rPr>
        <w:t>above</w:t>
      </w:r>
      <w:r>
        <w:rPr>
          <w:spacing w:val="-10"/>
          <w:w w:val="115"/>
        </w:rPr>
        <w:t> </w:t>
      </w:r>
      <w:r>
        <w:rPr>
          <w:w w:val="115"/>
        </w:rPr>
        <w:t>approach</w:t>
      </w:r>
      <w:r>
        <w:rPr>
          <w:spacing w:val="-10"/>
          <w:w w:val="115"/>
        </w:rPr>
        <w:t> </w:t>
      </w:r>
      <w:r>
        <w:rPr>
          <w:w w:val="115"/>
        </w:rPr>
        <w:t>is best</w:t>
      </w:r>
      <w:r>
        <w:rPr>
          <w:spacing w:val="-14"/>
          <w:w w:val="115"/>
        </w:rPr>
        <w:t> </w:t>
      </w:r>
      <w:r>
        <w:rPr>
          <w:w w:val="115"/>
        </w:rPr>
        <w:t>highlighted</w:t>
      </w:r>
      <w:r>
        <w:rPr>
          <w:spacing w:val="-14"/>
          <w:w w:val="115"/>
        </w:rPr>
        <w:t> </w:t>
      </w:r>
      <w:r>
        <w:rPr>
          <w:w w:val="115"/>
        </w:rPr>
        <w:t>by</w:t>
      </w:r>
      <w:r>
        <w:rPr>
          <w:spacing w:val="-14"/>
          <w:w w:val="115"/>
        </w:rPr>
        <w:t> </w:t>
      </w:r>
      <w:r>
        <w:rPr>
          <w:w w:val="115"/>
        </w:rPr>
        <w:t>the</w:t>
      </w:r>
      <w:r>
        <w:rPr>
          <w:spacing w:val="-14"/>
          <w:w w:val="115"/>
        </w:rPr>
        <w:t> </w:t>
      </w:r>
      <w:r>
        <w:rPr>
          <w:w w:val="115"/>
        </w:rPr>
        <w:t>Court’s</w:t>
      </w:r>
      <w:r>
        <w:rPr>
          <w:spacing w:val="-14"/>
          <w:w w:val="115"/>
        </w:rPr>
        <w:t> </w:t>
      </w:r>
      <w:r>
        <w:rPr>
          <w:w w:val="115"/>
        </w:rPr>
        <w:t>1976 </w:t>
      </w:r>
      <w:r>
        <w:rPr>
          <w:spacing w:val="-2"/>
          <w:w w:val="110"/>
        </w:rPr>
        <w:t>ruling</w:t>
      </w:r>
      <w:r>
        <w:rPr>
          <w:spacing w:val="-9"/>
          <w:w w:val="110"/>
        </w:rPr>
        <w:t> </w:t>
      </w:r>
      <w:r>
        <w:rPr>
          <w:spacing w:val="-2"/>
          <w:w w:val="110"/>
        </w:rPr>
        <w:t>in</w:t>
      </w:r>
      <w:r>
        <w:rPr>
          <w:spacing w:val="-9"/>
          <w:w w:val="110"/>
        </w:rPr>
        <w:t> </w:t>
      </w:r>
      <w:r>
        <w:rPr>
          <w:rFonts w:ascii="Verdana" w:hAnsi="Verdana"/>
          <w:i/>
          <w:spacing w:val="-2"/>
          <w:w w:val="110"/>
        </w:rPr>
        <w:t>Defrenne</w:t>
      </w:r>
      <w:r>
        <w:rPr>
          <w:rFonts w:ascii="Lucida Sans Unicode" w:hAnsi="Lucida Sans Unicode"/>
          <w:spacing w:val="-2"/>
          <w:w w:val="110"/>
        </w:rPr>
        <w:t>.</w:t>
      </w:r>
      <w:r>
        <w:rPr>
          <w:rFonts w:ascii="Lucida Sans Unicode" w:hAnsi="Lucida Sans Unicode"/>
          <w:spacing w:val="-19"/>
          <w:w w:val="110"/>
        </w:rPr>
        <w:t> </w:t>
      </w:r>
      <w:r>
        <w:rPr>
          <w:rFonts w:ascii="Lucida Sans Unicode" w:hAnsi="Lucida Sans Unicode"/>
          <w:spacing w:val="-2"/>
          <w:w w:val="110"/>
        </w:rPr>
        <w:t>Substantively, </w:t>
      </w:r>
      <w:r>
        <w:rPr>
          <w:w w:val="115"/>
        </w:rPr>
        <w:t>this</w:t>
      </w:r>
      <w:r>
        <w:rPr>
          <w:spacing w:val="-5"/>
          <w:w w:val="115"/>
        </w:rPr>
        <w:t> </w:t>
      </w:r>
      <w:r>
        <w:rPr>
          <w:w w:val="115"/>
        </w:rPr>
        <w:t>case</w:t>
      </w:r>
      <w:r>
        <w:rPr>
          <w:spacing w:val="-5"/>
          <w:w w:val="115"/>
        </w:rPr>
        <w:t> </w:t>
      </w:r>
      <w:r>
        <w:rPr>
          <w:w w:val="115"/>
        </w:rPr>
        <w:t>was</w:t>
      </w:r>
      <w:r>
        <w:rPr>
          <w:spacing w:val="-5"/>
          <w:w w:val="115"/>
        </w:rPr>
        <w:t> </w:t>
      </w:r>
      <w:r>
        <w:rPr>
          <w:w w:val="115"/>
        </w:rPr>
        <w:t>pioneering</w:t>
      </w:r>
      <w:r>
        <w:rPr>
          <w:spacing w:val="-5"/>
          <w:w w:val="115"/>
        </w:rPr>
        <w:t> </w:t>
      </w:r>
      <w:r>
        <w:rPr>
          <w:w w:val="115"/>
        </w:rPr>
        <w:t>because</w:t>
      </w:r>
      <w:r>
        <w:rPr>
          <w:spacing w:val="-5"/>
          <w:w w:val="115"/>
        </w:rPr>
        <w:t> </w:t>
      </w:r>
      <w:r>
        <w:rPr>
          <w:w w:val="115"/>
        </w:rPr>
        <w:t>it </w:t>
      </w:r>
      <w:r>
        <w:rPr>
          <w:rFonts w:ascii="Lucida Sans Unicode" w:hAnsi="Lucida Sans Unicode"/>
        </w:rPr>
        <w:t>affirmed equality between men and </w:t>
      </w:r>
      <w:r>
        <w:rPr>
          <w:w w:val="115"/>
        </w:rPr>
        <w:t>women in all matters concerning pay, including in the calculation of pension entitlements, across the public and private employment sectors.</w:t>
      </w:r>
      <w:r>
        <w:rPr>
          <w:spacing w:val="-20"/>
          <w:w w:val="115"/>
        </w:rPr>
        <w:t> </w:t>
      </w:r>
      <w:r>
        <w:rPr>
          <w:w w:val="115"/>
        </w:rPr>
        <w:t>Nevertheless,</w:t>
      </w:r>
      <w:r>
        <w:rPr>
          <w:spacing w:val="-19"/>
          <w:w w:val="115"/>
        </w:rPr>
        <w:t> </w:t>
      </w:r>
      <w:r>
        <w:rPr>
          <w:w w:val="115"/>
        </w:rPr>
        <w:t>the</w:t>
      </w:r>
      <w:r>
        <w:rPr>
          <w:spacing w:val="-19"/>
          <w:w w:val="115"/>
        </w:rPr>
        <w:t> </w:t>
      </w:r>
      <w:r>
        <w:rPr>
          <w:w w:val="115"/>
        </w:rPr>
        <w:t>CJEU acknowledged that this ruling</w:t>
      </w:r>
    </w:p>
    <w:p>
      <w:pPr>
        <w:pStyle w:val="BodyText"/>
        <w:spacing w:line="310" w:lineRule="exact"/>
        <w:ind w:right="41"/>
      </w:pPr>
      <w:r>
        <w:rPr>
          <w:rFonts w:ascii="Lucida Sans Unicode"/>
        </w:rPr>
        <w:t>could have wide-ranging financial </w:t>
      </w:r>
      <w:r>
        <w:rPr>
          <w:w w:val="110"/>
        </w:rPr>
        <w:t>consequences for many businesses, potentially driving some of them to bankruptcy.</w:t>
      </w:r>
      <w:r>
        <w:rPr>
          <w:rFonts w:ascii="Lucida Sans Unicode"/>
          <w:w w:val="110"/>
          <w:vertAlign w:val="superscript"/>
        </w:rPr>
        <w:t>236</w:t>
      </w:r>
      <w:r>
        <w:rPr>
          <w:rFonts w:ascii="Lucida Sans Unicode"/>
          <w:w w:val="110"/>
          <w:vertAlign w:val="baseline"/>
        </w:rPr>
        <w:t> </w:t>
      </w:r>
      <w:r>
        <w:rPr>
          <w:w w:val="110"/>
          <w:vertAlign w:val="baseline"/>
        </w:rPr>
        <w:t>It therefore accepted, </w:t>
      </w:r>
      <w:r>
        <w:rPr>
          <w:rFonts w:ascii="Lucida Sans Unicode"/>
          <w:vertAlign w:val="baseline"/>
        </w:rPr>
        <w:t>for the first time, the request of several Member States (including </w:t>
      </w:r>
      <w:r>
        <w:rPr>
          <w:rFonts w:ascii="Lucida Sans Unicode"/>
          <w:vertAlign w:val="baseline"/>
        </w:rPr>
        <w:t>the </w:t>
      </w:r>
      <w:r>
        <w:rPr>
          <w:w w:val="110"/>
          <w:vertAlign w:val="baseline"/>
        </w:rPr>
        <w:t>UK and Ireland) to limit the temporal effects of the ruling, so as to make</w:t>
      </w:r>
    </w:p>
    <w:p>
      <w:pPr>
        <w:pStyle w:val="BodyText"/>
        <w:spacing w:line="310" w:lineRule="exact"/>
        <w:ind w:right="90"/>
        <w:rPr>
          <w:rFonts w:ascii="Lucida Sans Unicode" w:hAnsi="Lucida Sans Unicode"/>
        </w:rPr>
      </w:pPr>
      <w:r>
        <w:rPr>
          <w:w w:val="115"/>
        </w:rPr>
        <w:t>it impossible for claimants to make retrospective</w:t>
      </w:r>
      <w:r>
        <w:rPr>
          <w:spacing w:val="-20"/>
          <w:w w:val="115"/>
        </w:rPr>
        <w:t> </w:t>
      </w:r>
      <w:r>
        <w:rPr>
          <w:w w:val="115"/>
        </w:rPr>
        <w:t>claims.</w:t>
      </w:r>
      <w:r>
        <w:rPr>
          <w:rFonts w:ascii="Lucida Sans Unicode" w:hAnsi="Lucida Sans Unicode"/>
          <w:w w:val="115"/>
          <w:vertAlign w:val="superscript"/>
        </w:rPr>
        <w:t>237</w:t>
      </w:r>
      <w:r>
        <w:rPr>
          <w:rFonts w:ascii="Lucida Sans Unicode" w:hAnsi="Lucida Sans Unicode"/>
          <w:spacing w:val="-21"/>
          <w:w w:val="115"/>
          <w:vertAlign w:val="baseline"/>
        </w:rPr>
        <w:t> </w:t>
      </w:r>
      <w:r>
        <w:rPr>
          <w:w w:val="115"/>
          <w:vertAlign w:val="baseline"/>
        </w:rPr>
        <w:t>In</w:t>
      </w:r>
      <w:r>
        <w:rPr>
          <w:spacing w:val="-18"/>
          <w:w w:val="115"/>
          <w:vertAlign w:val="baseline"/>
        </w:rPr>
        <w:t> </w:t>
      </w:r>
      <w:r>
        <w:rPr>
          <w:w w:val="115"/>
          <w:vertAlign w:val="baseline"/>
        </w:rPr>
        <w:t>doing</w:t>
      </w:r>
      <w:r>
        <w:rPr>
          <w:spacing w:val="-16"/>
          <w:w w:val="115"/>
          <w:vertAlign w:val="baseline"/>
        </w:rPr>
        <w:t> </w:t>
      </w:r>
      <w:r>
        <w:rPr>
          <w:w w:val="115"/>
          <w:vertAlign w:val="baseline"/>
        </w:rPr>
        <w:t>so, however, the Court emphasised that </w:t>
      </w:r>
      <w:r>
        <w:rPr>
          <w:w w:val="110"/>
          <w:vertAlign w:val="baseline"/>
        </w:rPr>
        <w:t>this decision was taken </w:t>
      </w:r>
      <w:r>
        <w:rPr>
          <w:w w:val="110"/>
          <w:vertAlign w:val="baseline"/>
        </w:rPr>
        <w:t>‘exceptionally’ </w:t>
      </w:r>
      <w:r>
        <w:rPr>
          <w:w w:val="115"/>
          <w:vertAlign w:val="baseline"/>
        </w:rPr>
        <w:t>and was partly attributable to the</w:t>
      </w:r>
      <w:r>
        <w:rPr>
          <w:spacing w:val="40"/>
          <w:w w:val="115"/>
          <w:vertAlign w:val="baseline"/>
        </w:rPr>
        <w:t> </w:t>
      </w:r>
      <w:r>
        <w:rPr>
          <w:w w:val="115"/>
          <w:vertAlign w:val="baseline"/>
        </w:rPr>
        <w:t>fact that the European Commission had failed to initiate proceedings </w:t>
      </w:r>
      <w:r>
        <w:rPr>
          <w:rFonts w:ascii="Lucida Sans Unicode" w:hAnsi="Lucida Sans Unicode"/>
          <w:w w:val="110"/>
          <w:vertAlign w:val="baseline"/>
        </w:rPr>
        <w:t>against</w:t>
      </w:r>
      <w:r>
        <w:rPr>
          <w:rFonts w:ascii="Lucida Sans Unicode" w:hAnsi="Lucida Sans Unicode"/>
          <w:spacing w:val="-21"/>
          <w:w w:val="110"/>
          <w:vertAlign w:val="baseline"/>
        </w:rPr>
        <w:t> </w:t>
      </w:r>
      <w:r>
        <w:rPr>
          <w:rFonts w:ascii="Lucida Sans Unicode" w:hAnsi="Lucida Sans Unicode"/>
          <w:w w:val="110"/>
          <w:vertAlign w:val="baseline"/>
        </w:rPr>
        <w:t>Member</w:t>
      </w:r>
      <w:r>
        <w:rPr>
          <w:rFonts w:ascii="Lucida Sans Unicode" w:hAnsi="Lucida Sans Unicode"/>
          <w:spacing w:val="-21"/>
          <w:w w:val="110"/>
          <w:vertAlign w:val="baseline"/>
        </w:rPr>
        <w:t> </w:t>
      </w:r>
      <w:r>
        <w:rPr>
          <w:rFonts w:ascii="Lucida Sans Unicode" w:hAnsi="Lucida Sans Unicode"/>
          <w:w w:val="110"/>
          <w:vertAlign w:val="baseline"/>
        </w:rPr>
        <w:t>States</w:t>
      </w:r>
      <w:r>
        <w:rPr>
          <w:rFonts w:ascii="Lucida Sans Unicode" w:hAnsi="Lucida Sans Unicode"/>
          <w:spacing w:val="-21"/>
          <w:w w:val="110"/>
          <w:vertAlign w:val="baseline"/>
        </w:rPr>
        <w:t> </w:t>
      </w:r>
      <w:r>
        <w:rPr>
          <w:rFonts w:ascii="Lucida Sans Unicode" w:hAnsi="Lucida Sans Unicode"/>
          <w:w w:val="110"/>
          <w:vertAlign w:val="baseline"/>
        </w:rPr>
        <w:t>wrongly</w:t>
      </w:r>
    </w:p>
    <w:p>
      <w:pPr>
        <w:pStyle w:val="BodyText"/>
        <w:spacing w:line="310" w:lineRule="exact" w:before="49"/>
        <w:ind w:right="171"/>
        <w:rPr>
          <w:rFonts w:ascii="Lucida Sans Unicode"/>
        </w:rPr>
      </w:pPr>
      <w:r>
        <w:rPr/>
        <w:br w:type="column"/>
      </w:r>
      <w:r>
        <w:rPr>
          <w:w w:val="110"/>
        </w:rPr>
        <w:t>implementing Articles 157 TFEU and (then) Council Directive 75/117/EEC, thus</w:t>
      </w:r>
      <w:r>
        <w:rPr>
          <w:spacing w:val="40"/>
          <w:w w:val="110"/>
        </w:rPr>
        <w:t> </w:t>
      </w:r>
      <w:r>
        <w:rPr>
          <w:w w:val="110"/>
        </w:rPr>
        <w:t>contributing</w:t>
      </w:r>
      <w:r>
        <w:rPr>
          <w:spacing w:val="40"/>
          <w:w w:val="110"/>
        </w:rPr>
        <w:t> </w:t>
      </w:r>
      <w:r>
        <w:rPr>
          <w:w w:val="110"/>
        </w:rPr>
        <w:t>to</w:t>
      </w:r>
      <w:r>
        <w:rPr>
          <w:spacing w:val="40"/>
          <w:w w:val="110"/>
        </w:rPr>
        <w:t> </w:t>
      </w:r>
      <w:r>
        <w:rPr>
          <w:w w:val="110"/>
        </w:rPr>
        <w:t>an</w:t>
      </w:r>
      <w:r>
        <w:rPr>
          <w:spacing w:val="40"/>
          <w:w w:val="110"/>
        </w:rPr>
        <w:t> </w:t>
      </w:r>
      <w:r>
        <w:rPr>
          <w:w w:val="110"/>
        </w:rPr>
        <w:t>impression that unequal calculations for women were</w:t>
      </w:r>
      <w:r>
        <w:rPr>
          <w:spacing w:val="-19"/>
          <w:w w:val="110"/>
        </w:rPr>
        <w:t> </w:t>
      </w:r>
      <w:r>
        <w:rPr>
          <w:w w:val="110"/>
        </w:rPr>
        <w:t>acceptable.</w:t>
      </w:r>
      <w:r>
        <w:rPr>
          <w:rFonts w:ascii="Lucida Sans Unicode"/>
          <w:w w:val="110"/>
          <w:vertAlign w:val="superscript"/>
        </w:rPr>
        <w:t>238</w:t>
      </w:r>
      <w:r>
        <w:rPr>
          <w:rFonts w:ascii="Lucida Sans Unicode"/>
          <w:spacing w:val="-21"/>
          <w:w w:val="110"/>
          <w:vertAlign w:val="baseline"/>
        </w:rPr>
        <w:t> </w:t>
      </w:r>
      <w:r>
        <w:rPr>
          <w:w w:val="110"/>
          <w:vertAlign w:val="baseline"/>
        </w:rPr>
        <w:t>Later</w:t>
      </w:r>
      <w:r>
        <w:rPr>
          <w:spacing w:val="-18"/>
          <w:w w:val="110"/>
          <w:vertAlign w:val="baseline"/>
        </w:rPr>
        <w:t> </w:t>
      </w:r>
      <w:r>
        <w:rPr>
          <w:w w:val="110"/>
          <w:vertAlign w:val="baseline"/>
        </w:rPr>
        <w:t>case</w:t>
      </w:r>
      <w:r>
        <w:rPr>
          <w:spacing w:val="-18"/>
          <w:w w:val="110"/>
          <w:vertAlign w:val="baseline"/>
        </w:rPr>
        <w:t> </w:t>
      </w:r>
      <w:r>
        <w:rPr>
          <w:w w:val="110"/>
          <w:vertAlign w:val="baseline"/>
        </w:rPr>
        <w:t>law</w:t>
      </w:r>
      <w:r>
        <w:rPr>
          <w:spacing w:val="-19"/>
          <w:w w:val="110"/>
          <w:vertAlign w:val="baseline"/>
        </w:rPr>
        <w:t> </w:t>
      </w:r>
      <w:r>
        <w:rPr>
          <w:w w:val="110"/>
          <w:vertAlign w:val="baseline"/>
        </w:rPr>
        <w:t>has shown that temporal limitations are very rare, with the CJEU not always </w:t>
      </w:r>
      <w:r>
        <w:rPr>
          <w:rFonts w:ascii="Lucida Sans Unicode"/>
          <w:vertAlign w:val="baseline"/>
        </w:rPr>
        <w:t>considering financial implications</w:t>
      </w:r>
    </w:p>
    <w:p>
      <w:pPr>
        <w:pStyle w:val="BodyText"/>
        <w:spacing w:line="310" w:lineRule="exact"/>
        <w:ind w:right="198"/>
      </w:pPr>
      <w:r>
        <w:rPr>
          <w:w w:val="110"/>
        </w:rPr>
        <w:t>as a reason outweighing the full application</w:t>
      </w:r>
      <w:r>
        <w:rPr>
          <w:spacing w:val="-17"/>
          <w:w w:val="110"/>
        </w:rPr>
        <w:t> </w:t>
      </w:r>
      <w:r>
        <w:rPr>
          <w:w w:val="110"/>
        </w:rPr>
        <w:t>of</w:t>
      </w:r>
      <w:r>
        <w:rPr>
          <w:spacing w:val="-14"/>
          <w:w w:val="110"/>
        </w:rPr>
        <w:t> </w:t>
      </w:r>
      <w:r>
        <w:rPr>
          <w:w w:val="110"/>
        </w:rPr>
        <w:t>its</w:t>
      </w:r>
      <w:r>
        <w:rPr>
          <w:spacing w:val="-14"/>
          <w:w w:val="110"/>
        </w:rPr>
        <w:t> </w:t>
      </w:r>
      <w:r>
        <w:rPr>
          <w:w w:val="110"/>
        </w:rPr>
        <w:t>rulings.</w:t>
      </w:r>
      <w:r>
        <w:rPr>
          <w:rFonts w:ascii="Lucida Sans Unicode"/>
          <w:w w:val="110"/>
          <w:vertAlign w:val="superscript"/>
        </w:rPr>
        <w:t>239</w:t>
      </w:r>
      <w:r>
        <w:rPr>
          <w:rFonts w:ascii="Lucida Sans Unicode"/>
          <w:spacing w:val="-21"/>
          <w:w w:val="110"/>
          <w:vertAlign w:val="baseline"/>
        </w:rPr>
        <w:t> </w:t>
      </w:r>
      <w:r>
        <w:rPr>
          <w:w w:val="110"/>
          <w:vertAlign w:val="baseline"/>
        </w:rPr>
        <w:t>Murauskas has found that, overall, the CJEU makes a temporal limitation in less </w:t>
      </w:r>
      <w:r>
        <w:rPr>
          <w:rFonts w:ascii="Lucida Sans Unicode"/>
          <w:vertAlign w:val="baseline"/>
        </w:rPr>
        <w:t>than 0.16% of the cases it receives.</w:t>
      </w:r>
      <w:r>
        <w:rPr>
          <w:rFonts w:ascii="Lucida Sans Unicode"/>
          <w:vertAlign w:val="superscript"/>
        </w:rPr>
        <w:t>240</w:t>
      </w:r>
      <w:r>
        <w:rPr>
          <w:rFonts w:ascii="Lucida Sans Unicode"/>
          <w:vertAlign w:val="baseline"/>
        </w:rPr>
        <w:t> </w:t>
      </w:r>
      <w:r>
        <w:rPr>
          <w:w w:val="110"/>
          <w:vertAlign w:val="baseline"/>
        </w:rPr>
        <w:t>It follows that, in the vast majority</w:t>
      </w:r>
    </w:p>
    <w:p>
      <w:pPr>
        <w:pStyle w:val="BodyText"/>
        <w:spacing w:line="310" w:lineRule="exact"/>
        <w:ind w:right="317"/>
      </w:pPr>
      <w:r>
        <w:rPr>
          <w:rFonts w:ascii="Lucida Sans Unicode"/>
        </w:rPr>
        <w:t>of cases and unless specifically </w:t>
      </w:r>
      <w:r>
        <w:rPr>
          <w:w w:val="110"/>
        </w:rPr>
        <w:t>restricted by the CJEU itself, the rulings of the CJEU are </w:t>
      </w:r>
      <w:r>
        <w:rPr>
          <w:w w:val="110"/>
        </w:rPr>
        <w:t>authoritative in absolute terms and not just prospectively: they apply from</w:t>
      </w:r>
    </w:p>
    <w:p>
      <w:pPr>
        <w:pStyle w:val="BodyText"/>
        <w:spacing w:line="310" w:lineRule="exact"/>
        <w:ind w:right="317"/>
      </w:pPr>
      <w:r>
        <w:rPr>
          <w:w w:val="115"/>
        </w:rPr>
        <w:t>the point at which an EU measure </w:t>
      </w:r>
      <w:r>
        <w:rPr>
          <w:spacing w:val="-2"/>
          <w:w w:val="110"/>
        </w:rPr>
        <w:t>became</w:t>
      </w:r>
      <w:r>
        <w:rPr>
          <w:spacing w:val="-17"/>
          <w:w w:val="110"/>
        </w:rPr>
        <w:t> </w:t>
      </w:r>
      <w:r>
        <w:rPr>
          <w:spacing w:val="-2"/>
          <w:w w:val="110"/>
        </w:rPr>
        <w:t>applicable.</w:t>
      </w:r>
      <w:r>
        <w:rPr>
          <w:spacing w:val="-11"/>
          <w:w w:val="110"/>
        </w:rPr>
        <w:t> </w:t>
      </w:r>
      <w:r>
        <w:rPr>
          <w:rFonts w:ascii="Lucida Sans Unicode" w:hAnsi="Lucida Sans Unicode"/>
          <w:spacing w:val="-2"/>
          <w:w w:val="110"/>
        </w:rPr>
        <w:t>The</w:t>
      </w:r>
      <w:r>
        <w:rPr>
          <w:rFonts w:ascii="Lucida Sans Unicode" w:hAnsi="Lucida Sans Unicode"/>
          <w:spacing w:val="-19"/>
          <w:w w:val="110"/>
        </w:rPr>
        <w:t> </w:t>
      </w:r>
      <w:r>
        <w:rPr>
          <w:rFonts w:ascii="Lucida Sans Unicode" w:hAnsi="Lucida Sans Unicode"/>
          <w:spacing w:val="-2"/>
          <w:w w:val="110"/>
        </w:rPr>
        <w:t>UK</w:t>
      </w:r>
      <w:r>
        <w:rPr>
          <w:rFonts w:ascii="Lucida Sans Unicode" w:hAnsi="Lucida Sans Unicode"/>
          <w:spacing w:val="-19"/>
          <w:w w:val="110"/>
        </w:rPr>
        <w:t> </w:t>
      </w:r>
      <w:r>
        <w:rPr>
          <w:rFonts w:ascii="Lucida Sans Unicode" w:hAnsi="Lucida Sans Unicode"/>
          <w:spacing w:val="-2"/>
          <w:w w:val="110"/>
        </w:rPr>
        <w:t>Supreme </w:t>
      </w:r>
      <w:r>
        <w:rPr>
          <w:w w:val="115"/>
        </w:rPr>
        <w:t>Court</w:t>
      </w:r>
      <w:r>
        <w:rPr>
          <w:spacing w:val="-9"/>
          <w:w w:val="115"/>
        </w:rPr>
        <w:t> </w:t>
      </w:r>
      <w:r>
        <w:rPr>
          <w:w w:val="115"/>
        </w:rPr>
        <w:t>has</w:t>
      </w:r>
      <w:r>
        <w:rPr>
          <w:spacing w:val="-9"/>
          <w:w w:val="115"/>
        </w:rPr>
        <w:t> </w:t>
      </w:r>
      <w:r>
        <w:rPr>
          <w:w w:val="115"/>
        </w:rPr>
        <w:t>in</w:t>
      </w:r>
      <w:r>
        <w:rPr>
          <w:spacing w:val="-9"/>
          <w:w w:val="115"/>
        </w:rPr>
        <w:t> </w:t>
      </w:r>
      <w:r>
        <w:rPr>
          <w:w w:val="115"/>
        </w:rPr>
        <w:t>the</w:t>
      </w:r>
      <w:r>
        <w:rPr>
          <w:spacing w:val="-9"/>
          <w:w w:val="115"/>
        </w:rPr>
        <w:t> </w:t>
      </w:r>
      <w:r>
        <w:rPr>
          <w:w w:val="115"/>
        </w:rPr>
        <w:t>past</w:t>
      </w:r>
      <w:r>
        <w:rPr>
          <w:spacing w:val="-9"/>
          <w:w w:val="115"/>
        </w:rPr>
        <w:t> </w:t>
      </w:r>
      <w:r>
        <w:rPr>
          <w:w w:val="115"/>
        </w:rPr>
        <w:t>acknowledged and adopted the CJEU’s approach</w:t>
      </w:r>
    </w:p>
    <w:p>
      <w:pPr>
        <w:pStyle w:val="BodyText"/>
        <w:spacing w:line="237" w:lineRule="auto" w:before="25"/>
        <w:ind w:right="161"/>
        <w:rPr>
          <w:rFonts w:ascii="Lucida Sans Unicode"/>
        </w:rPr>
      </w:pPr>
      <w:r>
        <w:rPr>
          <w:w w:val="110"/>
        </w:rPr>
        <w:t>in domestic litigation concerning </w:t>
      </w:r>
      <w:r>
        <w:rPr>
          <w:w w:val="110"/>
        </w:rPr>
        <w:t>EU </w:t>
      </w:r>
      <w:r>
        <w:rPr>
          <w:spacing w:val="-2"/>
          <w:w w:val="110"/>
        </w:rPr>
        <w:t>law.</w:t>
      </w:r>
      <w:r>
        <w:rPr>
          <w:rFonts w:ascii="Lucida Sans Unicode"/>
          <w:spacing w:val="-2"/>
          <w:w w:val="110"/>
          <w:vertAlign w:val="superscript"/>
        </w:rPr>
        <w:t>241</w:t>
      </w:r>
    </w:p>
    <w:p>
      <w:pPr>
        <w:pStyle w:val="BodyText"/>
        <w:spacing w:line="268" w:lineRule="auto" w:before="280"/>
        <w:ind w:right="410"/>
      </w:pPr>
      <w:r>
        <w:rPr>
          <w:w w:val="115"/>
        </w:rPr>
        <w:t>As</w:t>
      </w:r>
      <w:r>
        <w:rPr>
          <w:spacing w:val="-1"/>
          <w:w w:val="115"/>
        </w:rPr>
        <w:t> </w:t>
      </w:r>
      <w:r>
        <w:rPr>
          <w:w w:val="115"/>
        </w:rPr>
        <w:t>a</w:t>
      </w:r>
      <w:r>
        <w:rPr>
          <w:spacing w:val="-1"/>
          <w:w w:val="115"/>
        </w:rPr>
        <w:t> </w:t>
      </w:r>
      <w:r>
        <w:rPr>
          <w:w w:val="115"/>
        </w:rPr>
        <w:t>result,</w:t>
      </w:r>
      <w:r>
        <w:rPr>
          <w:spacing w:val="-1"/>
          <w:w w:val="115"/>
        </w:rPr>
        <w:t> </w:t>
      </w:r>
      <w:r>
        <w:rPr>
          <w:w w:val="115"/>
        </w:rPr>
        <w:t>giving</w:t>
      </w:r>
      <w:r>
        <w:rPr>
          <w:spacing w:val="-1"/>
          <w:w w:val="115"/>
        </w:rPr>
        <w:t> </w:t>
      </w:r>
      <w:r>
        <w:rPr>
          <w:w w:val="115"/>
        </w:rPr>
        <w:t>no</w:t>
      </w:r>
      <w:r>
        <w:rPr>
          <w:spacing w:val="-1"/>
          <w:w w:val="115"/>
        </w:rPr>
        <w:t> </w:t>
      </w:r>
      <w:r>
        <w:rPr>
          <w:w w:val="115"/>
        </w:rPr>
        <w:t>legal</w:t>
      </w:r>
      <w:r>
        <w:rPr>
          <w:spacing w:val="-1"/>
          <w:w w:val="115"/>
        </w:rPr>
        <w:t> </w:t>
      </w:r>
      <w:r>
        <w:rPr>
          <w:w w:val="115"/>
        </w:rPr>
        <w:t>effect</w:t>
      </w:r>
      <w:r>
        <w:rPr>
          <w:spacing w:val="-1"/>
          <w:w w:val="115"/>
        </w:rPr>
        <w:t> </w:t>
      </w:r>
      <w:r>
        <w:rPr>
          <w:w w:val="115"/>
        </w:rPr>
        <w:t>in the Northern Ireland legal order to a post-Brexit judgment clarifying a </w:t>
      </w:r>
      <w:r>
        <w:rPr>
          <w:spacing w:val="-2"/>
          <w:w w:val="115"/>
        </w:rPr>
        <w:t>measure</w:t>
      </w:r>
      <w:r>
        <w:rPr>
          <w:spacing w:val="-18"/>
          <w:w w:val="115"/>
        </w:rPr>
        <w:t> </w:t>
      </w:r>
      <w:r>
        <w:rPr>
          <w:spacing w:val="-2"/>
          <w:w w:val="115"/>
        </w:rPr>
        <w:t>covered</w:t>
      </w:r>
      <w:r>
        <w:rPr>
          <w:spacing w:val="-17"/>
          <w:w w:val="115"/>
        </w:rPr>
        <w:t> </w:t>
      </w:r>
      <w:r>
        <w:rPr>
          <w:spacing w:val="-2"/>
          <w:w w:val="115"/>
        </w:rPr>
        <w:t>by</w:t>
      </w:r>
      <w:r>
        <w:rPr>
          <w:spacing w:val="-17"/>
          <w:w w:val="115"/>
        </w:rPr>
        <w:t> </w:t>
      </w:r>
      <w:r>
        <w:rPr>
          <w:spacing w:val="-2"/>
          <w:w w:val="115"/>
        </w:rPr>
        <w:t>non-diminution </w:t>
      </w:r>
      <w:r>
        <w:rPr>
          <w:w w:val="115"/>
        </w:rPr>
        <w:t>would arguably clash with the non-</w:t>
      </w:r>
    </w:p>
    <w:p>
      <w:pPr>
        <w:pStyle w:val="BodyText"/>
        <w:spacing w:line="268" w:lineRule="auto" w:before="4"/>
        <w:ind w:right="259"/>
      </w:pPr>
      <w:r>
        <w:rPr>
          <w:w w:val="110"/>
        </w:rPr>
        <w:t>diminution guarantee, as </w:t>
      </w:r>
      <w:r>
        <w:rPr>
          <w:w w:val="110"/>
        </w:rPr>
        <w:t>understood in EU law. This is because, but</w:t>
      </w:r>
    </w:p>
    <w:p>
      <w:pPr>
        <w:pStyle w:val="BodyText"/>
        <w:spacing w:line="237" w:lineRule="auto" w:before="4"/>
        <w:ind w:right="317"/>
      </w:pPr>
      <w:r>
        <w:rPr>
          <w:w w:val="110"/>
        </w:rPr>
        <w:t>for Brexit, the relevant EU law </w:t>
      </w:r>
      <w:r>
        <w:rPr>
          <w:rFonts w:ascii="Lucida Sans Unicode"/>
        </w:rPr>
        <w:t>clarified by a CJEU judgment </w:t>
      </w:r>
      <w:r>
        <w:rPr>
          <w:rFonts w:ascii="Lucida Sans Unicode"/>
        </w:rPr>
        <w:t>would </w:t>
      </w:r>
      <w:r>
        <w:rPr>
          <w:w w:val="110"/>
        </w:rPr>
        <w:t>automatically apply </w:t>
      </w:r>
      <w:r>
        <w:rPr>
          <w:rFonts w:ascii="Trebuchet MS"/>
          <w:i/>
          <w:w w:val="110"/>
        </w:rPr>
        <w:t>in its clarified</w:t>
      </w:r>
      <w:r>
        <w:rPr>
          <w:rFonts w:ascii="Trebuchet MS"/>
          <w:i/>
          <w:w w:val="110"/>
        </w:rPr>
        <w:t> </w:t>
      </w:r>
      <w:r>
        <w:rPr>
          <w:rFonts w:ascii="Verdana"/>
          <w:i/>
          <w:w w:val="110"/>
        </w:rPr>
        <w:t>state </w:t>
      </w:r>
      <w:r>
        <w:rPr>
          <w:w w:val="110"/>
        </w:rPr>
        <w:t>in the UK.</w:t>
      </w:r>
    </w:p>
    <w:p>
      <w:pPr>
        <w:spacing w:after="0" w:line="237" w:lineRule="auto"/>
        <w:sectPr>
          <w:type w:val="continuous"/>
          <w:pgSz w:w="11910" w:h="16840"/>
          <w:pgMar w:header="568" w:footer="580" w:top="0" w:bottom="280" w:left="1020" w:right="1020"/>
          <w:cols w:num="2" w:equalWidth="0">
            <w:col w:w="4657" w:space="389"/>
            <w:col w:w="4824"/>
          </w:cols>
        </w:sectPr>
      </w:pPr>
    </w:p>
    <w:p>
      <w:pPr>
        <w:pStyle w:val="BodyText"/>
        <w:spacing w:before="129"/>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153" name="Group 153"/>
                <wp:cNvGraphicFramePr>
                  <a:graphicFrameLocks/>
                </wp:cNvGraphicFramePr>
                <a:graphic>
                  <a:graphicData uri="http://schemas.microsoft.com/office/word/2010/wordprocessingGroup">
                    <wpg:wgp>
                      <wpg:cNvPr id="153" name="Group 153"/>
                      <wpg:cNvGrpSpPr/>
                      <wpg:grpSpPr>
                        <a:xfrm>
                          <a:off x="0" y="0"/>
                          <a:ext cx="6120130" cy="6350"/>
                          <a:chExt cx="6120130" cy="6350"/>
                        </a:xfrm>
                      </wpg:grpSpPr>
                      <wps:wsp>
                        <wps:cNvPr id="154" name="Graphic 154"/>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95"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14"/>
        </w:numPr>
        <w:tabs>
          <w:tab w:pos="565" w:val="left" w:leader="none"/>
        </w:tabs>
        <w:spacing w:line="223" w:lineRule="exact" w:before="61" w:after="0"/>
        <w:ind w:left="565" w:right="0" w:hanging="452"/>
        <w:jc w:val="left"/>
        <w:rPr>
          <w:sz w:val="16"/>
        </w:rPr>
      </w:pPr>
      <w:r>
        <w:rPr>
          <w:rFonts w:ascii="Verdana"/>
          <w:i/>
          <w:spacing w:val="-4"/>
          <w:sz w:val="16"/>
        </w:rPr>
        <w:t>Ibid</w:t>
      </w:r>
      <w:r>
        <w:rPr>
          <w:spacing w:val="-4"/>
          <w:sz w:val="16"/>
        </w:rPr>
        <w:t>,</w:t>
      </w:r>
      <w:r>
        <w:rPr>
          <w:spacing w:val="-8"/>
          <w:sz w:val="16"/>
        </w:rPr>
        <w:t> </w:t>
      </w:r>
      <w:r>
        <w:rPr>
          <w:spacing w:val="-4"/>
          <w:sz w:val="16"/>
        </w:rPr>
        <w:t>310.</w:t>
      </w:r>
    </w:p>
    <w:p>
      <w:pPr>
        <w:pStyle w:val="ListParagraph"/>
        <w:numPr>
          <w:ilvl w:val="0"/>
          <w:numId w:val="14"/>
        </w:numPr>
        <w:tabs>
          <w:tab w:pos="566" w:val="left" w:leader="none"/>
        </w:tabs>
        <w:spacing w:line="200" w:lineRule="exact" w:before="0" w:after="0"/>
        <w:ind w:left="566" w:right="0" w:hanging="453"/>
        <w:jc w:val="left"/>
        <w:rPr>
          <w:sz w:val="16"/>
        </w:rPr>
      </w:pPr>
      <w:r>
        <w:rPr>
          <w:spacing w:val="-4"/>
          <w:sz w:val="16"/>
        </w:rPr>
        <w:t>See,</w:t>
      </w:r>
      <w:r>
        <w:rPr>
          <w:spacing w:val="-1"/>
          <w:sz w:val="16"/>
        </w:rPr>
        <w:t> </w:t>
      </w:r>
      <w:r>
        <w:rPr>
          <w:spacing w:val="-4"/>
          <w:sz w:val="16"/>
        </w:rPr>
        <w:t>e.g.</w:t>
      </w:r>
      <w:r>
        <w:rPr>
          <w:spacing w:val="2"/>
          <w:sz w:val="16"/>
        </w:rPr>
        <w:t> </w:t>
      </w:r>
      <w:r>
        <w:rPr>
          <w:spacing w:val="-4"/>
          <w:sz w:val="16"/>
        </w:rPr>
        <w:t>Case</w:t>
      </w:r>
      <w:r>
        <w:rPr>
          <w:spacing w:val="2"/>
          <w:sz w:val="16"/>
        </w:rPr>
        <w:t> </w:t>
      </w:r>
      <w:r>
        <w:rPr>
          <w:spacing w:val="-4"/>
          <w:sz w:val="16"/>
        </w:rPr>
        <w:t>43-75</w:t>
      </w:r>
      <w:r>
        <w:rPr>
          <w:spacing w:val="2"/>
          <w:sz w:val="16"/>
        </w:rPr>
        <w:t> </w:t>
      </w:r>
      <w:r>
        <w:rPr>
          <w:rFonts w:ascii="Verdana"/>
          <w:i/>
          <w:spacing w:val="-4"/>
          <w:sz w:val="16"/>
        </w:rPr>
        <w:t>Defrenne v Sabena</w:t>
      </w:r>
      <w:r>
        <w:rPr>
          <w:spacing w:val="-4"/>
          <w:sz w:val="16"/>
        </w:rPr>
        <w:t>,</w:t>
      </w:r>
      <w:r>
        <w:rPr>
          <w:spacing w:val="2"/>
          <w:sz w:val="16"/>
        </w:rPr>
        <w:t> </w:t>
      </w:r>
      <w:r>
        <w:rPr>
          <w:spacing w:val="-4"/>
          <w:sz w:val="16"/>
        </w:rPr>
        <w:t>EU:C:1976:56,</w:t>
      </w:r>
      <w:r>
        <w:rPr>
          <w:spacing w:val="2"/>
          <w:sz w:val="16"/>
        </w:rPr>
        <w:t> </w:t>
      </w:r>
      <w:r>
        <w:rPr>
          <w:spacing w:val="-4"/>
          <w:sz w:val="16"/>
        </w:rPr>
        <w:t>paras</w:t>
      </w:r>
      <w:r>
        <w:rPr>
          <w:spacing w:val="2"/>
          <w:sz w:val="16"/>
        </w:rPr>
        <w:t> </w:t>
      </w:r>
      <w:r>
        <w:rPr>
          <w:spacing w:val="-4"/>
          <w:sz w:val="16"/>
        </w:rPr>
        <w:t>69-</w:t>
      </w:r>
      <w:r>
        <w:rPr>
          <w:spacing w:val="-5"/>
          <w:sz w:val="16"/>
        </w:rPr>
        <w:t>70.</w:t>
      </w:r>
    </w:p>
    <w:p>
      <w:pPr>
        <w:pStyle w:val="ListParagraph"/>
        <w:numPr>
          <w:ilvl w:val="0"/>
          <w:numId w:val="14"/>
        </w:numPr>
        <w:tabs>
          <w:tab w:pos="566" w:val="left" w:leader="none"/>
        </w:tabs>
        <w:spacing w:line="200" w:lineRule="exact" w:before="0" w:after="0"/>
        <w:ind w:left="566" w:right="0" w:hanging="453"/>
        <w:jc w:val="left"/>
        <w:rPr>
          <w:sz w:val="16"/>
        </w:rPr>
      </w:pPr>
      <w:r>
        <w:rPr>
          <w:rFonts w:ascii="Verdana"/>
          <w:i/>
          <w:spacing w:val="-6"/>
          <w:sz w:val="16"/>
        </w:rPr>
        <w:t>Ibid</w:t>
      </w:r>
      <w:r>
        <w:rPr>
          <w:spacing w:val="-6"/>
          <w:sz w:val="16"/>
        </w:rPr>
        <w:t>,</w:t>
      </w:r>
      <w:r>
        <w:rPr>
          <w:spacing w:val="2"/>
          <w:sz w:val="16"/>
        </w:rPr>
        <w:t> </w:t>
      </w:r>
      <w:r>
        <w:rPr>
          <w:spacing w:val="-6"/>
          <w:sz w:val="16"/>
        </w:rPr>
        <w:t>paras</w:t>
      </w:r>
      <w:r>
        <w:rPr>
          <w:spacing w:val="2"/>
          <w:sz w:val="16"/>
        </w:rPr>
        <w:t> </w:t>
      </w:r>
      <w:r>
        <w:rPr>
          <w:spacing w:val="-6"/>
          <w:sz w:val="16"/>
        </w:rPr>
        <w:t>74-75.</w:t>
      </w:r>
    </w:p>
    <w:p>
      <w:pPr>
        <w:pStyle w:val="ListParagraph"/>
        <w:numPr>
          <w:ilvl w:val="0"/>
          <w:numId w:val="14"/>
        </w:numPr>
        <w:tabs>
          <w:tab w:pos="565" w:val="left" w:leader="none"/>
        </w:tabs>
        <w:spacing w:line="200" w:lineRule="exact" w:before="0" w:after="0"/>
        <w:ind w:left="565" w:right="0" w:hanging="452"/>
        <w:jc w:val="left"/>
        <w:rPr>
          <w:sz w:val="16"/>
        </w:rPr>
      </w:pPr>
      <w:r>
        <w:rPr>
          <w:rFonts w:ascii="Verdana"/>
          <w:i/>
          <w:w w:val="90"/>
          <w:sz w:val="16"/>
        </w:rPr>
        <w:t>Ibid</w:t>
      </w:r>
      <w:r>
        <w:rPr>
          <w:w w:val="90"/>
          <w:sz w:val="16"/>
        </w:rPr>
        <w:t>,</w:t>
      </w:r>
      <w:r>
        <w:rPr>
          <w:spacing w:val="-1"/>
          <w:sz w:val="16"/>
        </w:rPr>
        <w:t> </w:t>
      </w:r>
      <w:r>
        <w:rPr>
          <w:w w:val="90"/>
          <w:sz w:val="16"/>
        </w:rPr>
        <w:t>paras</w:t>
      </w:r>
      <w:r>
        <w:rPr>
          <w:sz w:val="16"/>
        </w:rPr>
        <w:t> </w:t>
      </w:r>
      <w:r>
        <w:rPr>
          <w:w w:val="90"/>
          <w:sz w:val="16"/>
        </w:rPr>
        <w:t>71-</w:t>
      </w:r>
      <w:r>
        <w:rPr>
          <w:spacing w:val="-5"/>
          <w:w w:val="90"/>
          <w:sz w:val="16"/>
        </w:rPr>
        <w:t>73.</w:t>
      </w:r>
    </w:p>
    <w:p>
      <w:pPr>
        <w:pStyle w:val="ListParagraph"/>
        <w:numPr>
          <w:ilvl w:val="0"/>
          <w:numId w:val="14"/>
        </w:numPr>
        <w:tabs>
          <w:tab w:pos="567" w:val="left" w:leader="none"/>
        </w:tabs>
        <w:spacing w:line="194" w:lineRule="auto" w:before="10" w:after="0"/>
        <w:ind w:left="567" w:right="121" w:hanging="454"/>
        <w:jc w:val="left"/>
        <w:rPr>
          <w:sz w:val="16"/>
        </w:rPr>
      </w:pPr>
      <w:r>
        <w:rPr>
          <w:sz w:val="16"/>
        </w:rPr>
        <w:t>Case C-292/04, </w:t>
      </w:r>
      <w:r>
        <w:rPr>
          <w:rFonts w:ascii="Verdana" w:hAnsi="Verdana"/>
          <w:i/>
          <w:sz w:val="16"/>
        </w:rPr>
        <w:t>Meilicke</w:t>
      </w:r>
      <w:r>
        <w:rPr>
          <w:rFonts w:ascii="Verdana" w:hAnsi="Verdana"/>
          <w:i/>
          <w:spacing w:val="-6"/>
          <w:sz w:val="16"/>
        </w:rPr>
        <w:t> </w:t>
      </w:r>
      <w:r>
        <w:rPr>
          <w:sz w:val="16"/>
        </w:rPr>
        <w:t>EU:C:2007:132; Michael Lang, ‘Limitation of the temporal effect of a judgment of the Court’ (2007), 35 </w:t>
      </w:r>
      <w:r>
        <w:rPr>
          <w:rFonts w:ascii="Verdana" w:hAnsi="Verdana"/>
          <w:i/>
          <w:sz w:val="16"/>
        </w:rPr>
        <w:t>Intertax </w:t>
      </w:r>
      <w:r>
        <w:rPr>
          <w:sz w:val="16"/>
        </w:rPr>
        <w:t>230, 230.</w:t>
      </w:r>
    </w:p>
    <w:p>
      <w:pPr>
        <w:pStyle w:val="ListParagraph"/>
        <w:numPr>
          <w:ilvl w:val="0"/>
          <w:numId w:val="14"/>
        </w:numPr>
        <w:tabs>
          <w:tab w:pos="565" w:val="left" w:leader="none"/>
          <w:tab w:pos="567" w:val="left" w:leader="none"/>
        </w:tabs>
        <w:spacing w:line="194" w:lineRule="auto" w:before="2" w:after="0"/>
        <w:ind w:left="567" w:right="426" w:hanging="454"/>
        <w:jc w:val="left"/>
        <w:rPr>
          <w:sz w:val="16"/>
        </w:rPr>
      </w:pPr>
      <w:r>
        <w:rPr>
          <w:rFonts w:ascii="Arial" w:hAnsi="Arial"/>
          <w:w w:val="105"/>
          <w:sz w:val="16"/>
        </w:rPr>
        <w:t>Donatas</w:t>
      </w:r>
      <w:r>
        <w:rPr>
          <w:rFonts w:ascii="Arial" w:hAnsi="Arial"/>
          <w:spacing w:val="39"/>
          <w:w w:val="105"/>
          <w:sz w:val="16"/>
        </w:rPr>
        <w:t> </w:t>
      </w:r>
      <w:r>
        <w:rPr>
          <w:rFonts w:ascii="Arial" w:hAnsi="Arial"/>
          <w:w w:val="105"/>
          <w:sz w:val="16"/>
        </w:rPr>
        <w:t>Murauskas,</w:t>
      </w:r>
      <w:r>
        <w:rPr>
          <w:rFonts w:ascii="Arial" w:hAnsi="Arial"/>
          <w:spacing w:val="39"/>
          <w:w w:val="105"/>
          <w:sz w:val="16"/>
        </w:rPr>
        <w:t> </w:t>
      </w:r>
      <w:r>
        <w:rPr>
          <w:rFonts w:ascii="Arial" w:hAnsi="Arial"/>
          <w:w w:val="105"/>
          <w:sz w:val="16"/>
        </w:rPr>
        <w:t>‘Temporal</w:t>
      </w:r>
      <w:r>
        <w:rPr>
          <w:rFonts w:ascii="Arial" w:hAnsi="Arial"/>
          <w:spacing w:val="39"/>
          <w:w w:val="105"/>
          <w:sz w:val="16"/>
        </w:rPr>
        <w:t> </w:t>
      </w:r>
      <w:r>
        <w:rPr>
          <w:rFonts w:ascii="Arial" w:hAnsi="Arial"/>
          <w:w w:val="105"/>
          <w:sz w:val="16"/>
        </w:rPr>
        <w:t>Limitation</w:t>
      </w:r>
      <w:r>
        <w:rPr>
          <w:rFonts w:ascii="Arial" w:hAnsi="Arial"/>
          <w:spacing w:val="39"/>
          <w:w w:val="105"/>
          <w:sz w:val="16"/>
        </w:rPr>
        <w:t> </w:t>
      </w:r>
      <w:r>
        <w:rPr>
          <w:rFonts w:ascii="Arial" w:hAnsi="Arial"/>
          <w:w w:val="105"/>
          <w:sz w:val="16"/>
        </w:rPr>
        <w:t>by</w:t>
      </w:r>
      <w:r>
        <w:rPr>
          <w:rFonts w:ascii="Arial" w:hAnsi="Arial"/>
          <w:spacing w:val="39"/>
          <w:w w:val="105"/>
          <w:sz w:val="16"/>
        </w:rPr>
        <w:t> </w:t>
      </w:r>
      <w:r>
        <w:rPr>
          <w:rFonts w:ascii="Arial" w:hAnsi="Arial"/>
          <w:w w:val="105"/>
          <w:sz w:val="16"/>
        </w:rPr>
        <w:t>the</w:t>
      </w:r>
      <w:r>
        <w:rPr>
          <w:rFonts w:ascii="Arial" w:hAnsi="Arial"/>
          <w:spacing w:val="39"/>
          <w:w w:val="105"/>
          <w:sz w:val="16"/>
        </w:rPr>
        <w:t> </w:t>
      </w:r>
      <w:r>
        <w:rPr>
          <w:rFonts w:ascii="Arial" w:hAnsi="Arial"/>
          <w:w w:val="105"/>
          <w:sz w:val="16"/>
        </w:rPr>
        <w:t>Court</w:t>
      </w:r>
      <w:r>
        <w:rPr>
          <w:rFonts w:ascii="Arial" w:hAnsi="Arial"/>
          <w:spacing w:val="39"/>
          <w:w w:val="105"/>
          <w:sz w:val="16"/>
        </w:rPr>
        <w:t> </w:t>
      </w:r>
      <w:r>
        <w:rPr>
          <w:rFonts w:ascii="Arial" w:hAnsi="Arial"/>
          <w:w w:val="105"/>
          <w:sz w:val="16"/>
        </w:rPr>
        <w:t>of</w:t>
      </w:r>
      <w:r>
        <w:rPr>
          <w:rFonts w:ascii="Arial" w:hAnsi="Arial"/>
          <w:spacing w:val="39"/>
          <w:w w:val="105"/>
          <w:sz w:val="16"/>
        </w:rPr>
        <w:t> </w:t>
      </w:r>
      <w:r>
        <w:rPr>
          <w:rFonts w:ascii="Arial" w:hAnsi="Arial"/>
          <w:w w:val="105"/>
          <w:sz w:val="16"/>
        </w:rPr>
        <w:t>Justice</w:t>
      </w:r>
      <w:r>
        <w:rPr>
          <w:rFonts w:ascii="Arial" w:hAnsi="Arial"/>
          <w:spacing w:val="39"/>
          <w:w w:val="105"/>
          <w:sz w:val="16"/>
        </w:rPr>
        <w:t> </w:t>
      </w:r>
      <w:r>
        <w:rPr>
          <w:rFonts w:ascii="Arial" w:hAnsi="Arial"/>
          <w:w w:val="105"/>
          <w:sz w:val="16"/>
        </w:rPr>
        <w:t>of</w:t>
      </w:r>
      <w:r>
        <w:rPr>
          <w:rFonts w:ascii="Arial" w:hAnsi="Arial"/>
          <w:spacing w:val="39"/>
          <w:w w:val="105"/>
          <w:sz w:val="16"/>
        </w:rPr>
        <w:t> </w:t>
      </w:r>
      <w:r>
        <w:rPr>
          <w:rFonts w:ascii="Arial" w:hAnsi="Arial"/>
          <w:w w:val="105"/>
          <w:sz w:val="16"/>
        </w:rPr>
        <w:t>the</w:t>
      </w:r>
      <w:r>
        <w:rPr>
          <w:rFonts w:ascii="Arial" w:hAnsi="Arial"/>
          <w:spacing w:val="39"/>
          <w:w w:val="105"/>
          <w:sz w:val="16"/>
        </w:rPr>
        <w:t> </w:t>
      </w:r>
      <w:r>
        <w:rPr>
          <w:rFonts w:ascii="Arial" w:hAnsi="Arial"/>
          <w:w w:val="105"/>
          <w:sz w:val="16"/>
        </w:rPr>
        <w:t>EU:</w:t>
      </w:r>
      <w:r>
        <w:rPr>
          <w:rFonts w:ascii="Arial" w:hAnsi="Arial"/>
          <w:spacing w:val="39"/>
          <w:w w:val="105"/>
          <w:sz w:val="16"/>
        </w:rPr>
        <w:t> </w:t>
      </w:r>
      <w:r>
        <w:rPr>
          <w:rFonts w:ascii="Arial" w:hAnsi="Arial"/>
          <w:w w:val="105"/>
          <w:sz w:val="16"/>
        </w:rPr>
        <w:t>Dealing</w:t>
      </w:r>
      <w:r>
        <w:rPr>
          <w:rFonts w:ascii="Arial" w:hAnsi="Arial"/>
          <w:spacing w:val="39"/>
          <w:w w:val="105"/>
          <w:sz w:val="16"/>
        </w:rPr>
        <w:t> </w:t>
      </w:r>
      <w:r>
        <w:rPr>
          <w:rFonts w:ascii="Arial" w:hAnsi="Arial"/>
          <w:w w:val="105"/>
          <w:sz w:val="16"/>
        </w:rPr>
        <w:t>with</w:t>
      </w:r>
      <w:r>
        <w:rPr>
          <w:rFonts w:ascii="Arial" w:hAnsi="Arial"/>
          <w:spacing w:val="39"/>
          <w:w w:val="105"/>
          <w:sz w:val="16"/>
        </w:rPr>
        <w:t> </w:t>
      </w:r>
      <w:r>
        <w:rPr>
          <w:rFonts w:ascii="Arial" w:hAnsi="Arial"/>
          <w:w w:val="105"/>
          <w:sz w:val="16"/>
        </w:rPr>
        <w:t>the</w:t>
      </w:r>
      <w:r>
        <w:rPr>
          <w:rFonts w:ascii="Arial" w:hAnsi="Arial"/>
          <w:spacing w:val="39"/>
          <w:w w:val="105"/>
          <w:sz w:val="16"/>
        </w:rPr>
        <w:t> </w:t>
      </w:r>
      <w:r>
        <w:rPr>
          <w:rFonts w:ascii="Arial" w:hAnsi="Arial"/>
          <w:w w:val="105"/>
          <w:sz w:val="16"/>
        </w:rPr>
        <w:t>Consequences’ </w:t>
      </w:r>
      <w:r>
        <w:rPr>
          <w:sz w:val="16"/>
        </w:rPr>
        <w:t>(2013/14)</w:t>
      </w:r>
      <w:r>
        <w:rPr>
          <w:spacing w:val="-2"/>
          <w:sz w:val="16"/>
        </w:rPr>
        <w:t> </w:t>
      </w:r>
      <w:r>
        <w:rPr>
          <w:sz w:val="16"/>
        </w:rPr>
        <w:t>6:2</w:t>
      </w:r>
      <w:r>
        <w:rPr>
          <w:spacing w:val="-2"/>
          <w:sz w:val="16"/>
        </w:rPr>
        <w:t> </w:t>
      </w:r>
      <w:r>
        <w:rPr>
          <w:sz w:val="16"/>
        </w:rPr>
        <w:t>European</w:t>
      </w:r>
      <w:r>
        <w:rPr>
          <w:spacing w:val="-2"/>
          <w:sz w:val="16"/>
        </w:rPr>
        <w:t> </w:t>
      </w:r>
      <w:r>
        <w:rPr>
          <w:sz w:val="16"/>
        </w:rPr>
        <w:t>Journal</w:t>
      </w:r>
      <w:r>
        <w:rPr>
          <w:spacing w:val="-2"/>
          <w:sz w:val="16"/>
        </w:rPr>
        <w:t> </w:t>
      </w:r>
      <w:r>
        <w:rPr>
          <w:sz w:val="16"/>
        </w:rPr>
        <w:t>of</w:t>
      </w:r>
      <w:r>
        <w:rPr>
          <w:spacing w:val="-2"/>
          <w:sz w:val="16"/>
        </w:rPr>
        <w:t> </w:t>
      </w:r>
      <w:r>
        <w:rPr>
          <w:sz w:val="16"/>
        </w:rPr>
        <w:t>Legal</w:t>
      </w:r>
      <w:r>
        <w:rPr>
          <w:spacing w:val="-2"/>
          <w:sz w:val="16"/>
        </w:rPr>
        <w:t> </w:t>
      </w:r>
      <w:r>
        <w:rPr>
          <w:sz w:val="16"/>
        </w:rPr>
        <w:t>Studies</w:t>
      </w:r>
      <w:r>
        <w:rPr>
          <w:spacing w:val="-2"/>
          <w:sz w:val="16"/>
        </w:rPr>
        <w:t> </w:t>
      </w:r>
      <w:r>
        <w:rPr>
          <w:sz w:val="16"/>
        </w:rPr>
        <w:t>78,</w:t>
      </w:r>
      <w:r>
        <w:rPr>
          <w:spacing w:val="-2"/>
          <w:sz w:val="16"/>
        </w:rPr>
        <w:t> </w:t>
      </w:r>
      <w:r>
        <w:rPr>
          <w:sz w:val="16"/>
        </w:rPr>
        <w:t>87</w:t>
      </w:r>
      <w:r>
        <w:rPr>
          <w:spacing w:val="-2"/>
          <w:sz w:val="16"/>
        </w:rPr>
        <w:t> </w:t>
      </w:r>
      <w:r>
        <w:rPr>
          <w:sz w:val="16"/>
        </w:rPr>
        <w:t>(Table</w:t>
      </w:r>
      <w:r>
        <w:rPr>
          <w:spacing w:val="-2"/>
          <w:sz w:val="16"/>
        </w:rPr>
        <w:t> </w:t>
      </w:r>
      <w:r>
        <w:rPr>
          <w:sz w:val="16"/>
        </w:rPr>
        <w:t>1).</w:t>
      </w:r>
      <w:r>
        <w:rPr>
          <w:spacing w:val="-2"/>
          <w:sz w:val="16"/>
        </w:rPr>
        <w:t> </w:t>
      </w:r>
      <w:r>
        <w:rPr>
          <w:sz w:val="16"/>
        </w:rPr>
        <w:t>NB:</w:t>
      </w:r>
      <w:r>
        <w:rPr>
          <w:spacing w:val="-2"/>
          <w:sz w:val="16"/>
        </w:rPr>
        <w:t> </w:t>
      </w:r>
      <w:r>
        <w:rPr>
          <w:sz w:val="16"/>
        </w:rPr>
        <w:t>Murauskas</w:t>
      </w:r>
      <w:r>
        <w:rPr>
          <w:spacing w:val="-2"/>
          <w:sz w:val="16"/>
        </w:rPr>
        <w:t> </w:t>
      </w:r>
      <w:r>
        <w:rPr>
          <w:sz w:val="16"/>
        </w:rPr>
        <w:t>refers</w:t>
      </w:r>
      <w:r>
        <w:rPr>
          <w:spacing w:val="-2"/>
          <w:sz w:val="16"/>
        </w:rPr>
        <w:t> </w:t>
      </w:r>
      <w:r>
        <w:rPr>
          <w:sz w:val="16"/>
        </w:rPr>
        <w:t>to</w:t>
      </w:r>
      <w:r>
        <w:rPr>
          <w:spacing w:val="-2"/>
          <w:sz w:val="16"/>
        </w:rPr>
        <w:t> </w:t>
      </w:r>
      <w:r>
        <w:rPr>
          <w:sz w:val="16"/>
        </w:rPr>
        <w:t>case</w:t>
      </w:r>
      <w:r>
        <w:rPr>
          <w:spacing w:val="-2"/>
          <w:sz w:val="16"/>
        </w:rPr>
        <w:t> </w:t>
      </w:r>
      <w:r>
        <w:rPr>
          <w:sz w:val="16"/>
        </w:rPr>
        <w:t>law</w:t>
      </w:r>
      <w:r>
        <w:rPr>
          <w:spacing w:val="-2"/>
          <w:sz w:val="16"/>
        </w:rPr>
        <w:t> </w:t>
      </w:r>
      <w:r>
        <w:rPr>
          <w:sz w:val="16"/>
        </w:rPr>
        <w:t>between</w:t>
      </w:r>
      <w:r>
        <w:rPr>
          <w:spacing w:val="-2"/>
          <w:sz w:val="16"/>
        </w:rPr>
        <w:t> </w:t>
      </w:r>
      <w:r>
        <w:rPr>
          <w:sz w:val="16"/>
        </w:rPr>
        <w:t>1976 </w:t>
      </w:r>
      <w:r>
        <w:rPr>
          <w:w w:val="105"/>
          <w:sz w:val="16"/>
        </w:rPr>
        <w:t>and 2013.</w:t>
      </w:r>
    </w:p>
    <w:p>
      <w:pPr>
        <w:pStyle w:val="ListParagraph"/>
        <w:numPr>
          <w:ilvl w:val="0"/>
          <w:numId w:val="14"/>
        </w:numPr>
        <w:tabs>
          <w:tab w:pos="567" w:val="left" w:leader="none"/>
        </w:tabs>
        <w:spacing w:line="205" w:lineRule="exact" w:before="0" w:after="0"/>
        <w:ind w:left="567" w:right="0" w:hanging="454"/>
        <w:jc w:val="left"/>
        <w:rPr>
          <w:sz w:val="16"/>
        </w:rPr>
      </w:pPr>
      <w:r>
        <w:rPr>
          <w:rFonts w:ascii="Verdana"/>
          <w:i/>
          <w:sz w:val="16"/>
        </w:rPr>
        <w:t>Walker</w:t>
      </w:r>
      <w:r>
        <w:rPr>
          <w:rFonts w:ascii="Verdana"/>
          <w:i/>
          <w:spacing w:val="-9"/>
          <w:sz w:val="16"/>
        </w:rPr>
        <w:t> </w:t>
      </w:r>
      <w:r>
        <w:rPr>
          <w:rFonts w:ascii="Verdana"/>
          <w:i/>
          <w:sz w:val="16"/>
        </w:rPr>
        <w:t>(Appellant)</w:t>
      </w:r>
      <w:r>
        <w:rPr>
          <w:rFonts w:ascii="Verdana"/>
          <w:i/>
          <w:spacing w:val="-9"/>
          <w:sz w:val="16"/>
        </w:rPr>
        <w:t> </w:t>
      </w:r>
      <w:r>
        <w:rPr>
          <w:rFonts w:ascii="Verdana"/>
          <w:i/>
          <w:sz w:val="16"/>
        </w:rPr>
        <w:t>v</w:t>
      </w:r>
      <w:r>
        <w:rPr>
          <w:rFonts w:ascii="Verdana"/>
          <w:i/>
          <w:spacing w:val="-9"/>
          <w:sz w:val="16"/>
        </w:rPr>
        <w:t> </w:t>
      </w:r>
      <w:r>
        <w:rPr>
          <w:rFonts w:ascii="Verdana"/>
          <w:i/>
          <w:sz w:val="16"/>
        </w:rPr>
        <w:t>Innospec</w:t>
      </w:r>
      <w:r>
        <w:rPr>
          <w:rFonts w:ascii="Verdana"/>
          <w:i/>
          <w:spacing w:val="-9"/>
          <w:sz w:val="16"/>
        </w:rPr>
        <w:t> </w:t>
      </w:r>
      <w:r>
        <w:rPr>
          <w:rFonts w:ascii="Verdana"/>
          <w:i/>
          <w:sz w:val="16"/>
        </w:rPr>
        <w:t>Limited</w:t>
      </w:r>
      <w:r>
        <w:rPr>
          <w:rFonts w:ascii="Verdana"/>
          <w:i/>
          <w:spacing w:val="-9"/>
          <w:sz w:val="16"/>
        </w:rPr>
        <w:t> </w:t>
      </w:r>
      <w:r>
        <w:rPr>
          <w:rFonts w:ascii="Verdana"/>
          <w:i/>
          <w:sz w:val="16"/>
        </w:rPr>
        <w:t>and</w:t>
      </w:r>
      <w:r>
        <w:rPr>
          <w:rFonts w:ascii="Verdana"/>
          <w:i/>
          <w:spacing w:val="-9"/>
          <w:sz w:val="16"/>
        </w:rPr>
        <w:t> </w:t>
      </w:r>
      <w:r>
        <w:rPr>
          <w:rFonts w:ascii="Verdana"/>
          <w:i/>
          <w:sz w:val="16"/>
        </w:rPr>
        <w:t>others</w:t>
      </w:r>
      <w:r>
        <w:rPr>
          <w:rFonts w:ascii="Verdana"/>
          <w:i/>
          <w:spacing w:val="-9"/>
          <w:sz w:val="16"/>
        </w:rPr>
        <w:t> </w:t>
      </w:r>
      <w:r>
        <w:rPr>
          <w:sz w:val="16"/>
        </w:rPr>
        <w:t>[2017]</w:t>
      </w:r>
      <w:r>
        <w:rPr>
          <w:spacing w:val="-3"/>
          <w:sz w:val="16"/>
        </w:rPr>
        <w:t> </w:t>
      </w:r>
      <w:r>
        <w:rPr>
          <w:sz w:val="16"/>
        </w:rPr>
        <w:t>UKSC</w:t>
      </w:r>
      <w:r>
        <w:rPr>
          <w:spacing w:val="-3"/>
          <w:sz w:val="16"/>
        </w:rPr>
        <w:t> </w:t>
      </w:r>
      <w:r>
        <w:rPr>
          <w:sz w:val="16"/>
        </w:rPr>
        <w:t>47,</w:t>
      </w:r>
      <w:r>
        <w:rPr>
          <w:spacing w:val="-2"/>
          <w:sz w:val="16"/>
        </w:rPr>
        <w:t> </w:t>
      </w:r>
      <w:r>
        <w:rPr>
          <w:sz w:val="16"/>
        </w:rPr>
        <w:t>paras</w:t>
      </w:r>
      <w:r>
        <w:rPr>
          <w:spacing w:val="-3"/>
          <w:sz w:val="16"/>
        </w:rPr>
        <w:t> </w:t>
      </w:r>
      <w:r>
        <w:rPr>
          <w:sz w:val="16"/>
        </w:rPr>
        <w:t>22ff</w:t>
      </w:r>
      <w:r>
        <w:rPr>
          <w:spacing w:val="-3"/>
          <w:sz w:val="16"/>
        </w:rPr>
        <w:t> </w:t>
      </w:r>
      <w:r>
        <w:rPr>
          <w:sz w:val="16"/>
        </w:rPr>
        <w:t>and</w:t>
      </w:r>
      <w:r>
        <w:rPr>
          <w:spacing w:val="-3"/>
          <w:sz w:val="16"/>
        </w:rPr>
        <w:t> </w:t>
      </w:r>
      <w:r>
        <w:rPr>
          <w:sz w:val="16"/>
        </w:rPr>
        <w:t>esp,</w:t>
      </w:r>
      <w:r>
        <w:rPr>
          <w:spacing w:val="-3"/>
          <w:sz w:val="16"/>
        </w:rPr>
        <w:t> </w:t>
      </w:r>
      <w:r>
        <w:rPr>
          <w:sz w:val="16"/>
        </w:rPr>
        <w:t>para</w:t>
      </w:r>
      <w:r>
        <w:rPr>
          <w:spacing w:val="-3"/>
          <w:sz w:val="16"/>
        </w:rPr>
        <w:t> </w:t>
      </w:r>
      <w:r>
        <w:rPr>
          <w:sz w:val="16"/>
        </w:rPr>
        <w:t>44,</w:t>
      </w:r>
      <w:r>
        <w:rPr>
          <w:spacing w:val="-3"/>
          <w:sz w:val="16"/>
        </w:rPr>
        <w:t> </w:t>
      </w:r>
      <w:r>
        <w:rPr>
          <w:sz w:val="16"/>
        </w:rPr>
        <w:t>acknowledging</w:t>
      </w:r>
      <w:r>
        <w:rPr>
          <w:spacing w:val="-3"/>
          <w:sz w:val="16"/>
        </w:rPr>
        <w:t> </w:t>
      </w:r>
      <w:r>
        <w:rPr>
          <w:spacing w:val="-5"/>
          <w:sz w:val="16"/>
        </w:rPr>
        <w:t>the</w:t>
      </w:r>
    </w:p>
    <w:p>
      <w:pPr>
        <w:spacing w:line="174" w:lineRule="exact" w:before="0"/>
        <w:ind w:left="567" w:right="0" w:firstLine="0"/>
        <w:jc w:val="left"/>
        <w:rPr>
          <w:sz w:val="16"/>
        </w:rPr>
      </w:pPr>
      <w:r>
        <w:rPr>
          <w:w w:val="115"/>
          <w:sz w:val="16"/>
        </w:rPr>
        <w:t>restriction</w:t>
      </w:r>
      <w:r>
        <w:rPr>
          <w:spacing w:val="-9"/>
          <w:w w:val="115"/>
          <w:sz w:val="16"/>
        </w:rPr>
        <w:t> </w:t>
      </w:r>
      <w:r>
        <w:rPr>
          <w:w w:val="115"/>
          <w:sz w:val="16"/>
        </w:rPr>
        <w:t>of</w:t>
      </w:r>
      <w:r>
        <w:rPr>
          <w:spacing w:val="-9"/>
          <w:w w:val="115"/>
          <w:sz w:val="16"/>
        </w:rPr>
        <w:t> </w:t>
      </w:r>
      <w:r>
        <w:rPr>
          <w:w w:val="115"/>
          <w:sz w:val="16"/>
        </w:rPr>
        <w:t>retroactive</w:t>
      </w:r>
      <w:r>
        <w:rPr>
          <w:spacing w:val="-9"/>
          <w:w w:val="115"/>
          <w:sz w:val="16"/>
        </w:rPr>
        <w:t> </w:t>
      </w:r>
      <w:r>
        <w:rPr>
          <w:w w:val="115"/>
          <w:sz w:val="16"/>
        </w:rPr>
        <w:t>effect</w:t>
      </w:r>
      <w:r>
        <w:rPr>
          <w:spacing w:val="-8"/>
          <w:w w:val="115"/>
          <w:sz w:val="16"/>
        </w:rPr>
        <w:t> </w:t>
      </w:r>
      <w:r>
        <w:rPr>
          <w:w w:val="115"/>
          <w:sz w:val="16"/>
        </w:rPr>
        <w:t>of</w:t>
      </w:r>
      <w:r>
        <w:rPr>
          <w:spacing w:val="-9"/>
          <w:w w:val="115"/>
          <w:sz w:val="16"/>
        </w:rPr>
        <w:t> </w:t>
      </w:r>
      <w:r>
        <w:rPr>
          <w:w w:val="115"/>
          <w:sz w:val="16"/>
        </w:rPr>
        <w:t>EU</w:t>
      </w:r>
      <w:r>
        <w:rPr>
          <w:spacing w:val="-9"/>
          <w:w w:val="115"/>
          <w:sz w:val="16"/>
        </w:rPr>
        <w:t> </w:t>
      </w:r>
      <w:r>
        <w:rPr>
          <w:w w:val="115"/>
          <w:sz w:val="16"/>
        </w:rPr>
        <w:t>judgments</w:t>
      </w:r>
      <w:r>
        <w:rPr>
          <w:spacing w:val="-9"/>
          <w:w w:val="115"/>
          <w:sz w:val="16"/>
        </w:rPr>
        <w:t> </w:t>
      </w:r>
      <w:r>
        <w:rPr>
          <w:w w:val="115"/>
          <w:sz w:val="16"/>
        </w:rPr>
        <w:t>only</w:t>
      </w:r>
      <w:r>
        <w:rPr>
          <w:spacing w:val="-8"/>
          <w:w w:val="115"/>
          <w:sz w:val="16"/>
        </w:rPr>
        <w:t> </w:t>
      </w:r>
      <w:r>
        <w:rPr>
          <w:w w:val="115"/>
          <w:sz w:val="16"/>
        </w:rPr>
        <w:t>in</w:t>
      </w:r>
      <w:r>
        <w:rPr>
          <w:spacing w:val="-9"/>
          <w:w w:val="115"/>
          <w:sz w:val="16"/>
        </w:rPr>
        <w:t> </w:t>
      </w:r>
      <w:r>
        <w:rPr>
          <w:w w:val="115"/>
          <w:sz w:val="16"/>
        </w:rPr>
        <w:t>cases</w:t>
      </w:r>
      <w:r>
        <w:rPr>
          <w:spacing w:val="-9"/>
          <w:w w:val="115"/>
          <w:sz w:val="16"/>
        </w:rPr>
        <w:t> </w:t>
      </w:r>
      <w:r>
        <w:rPr>
          <w:w w:val="115"/>
          <w:sz w:val="16"/>
        </w:rPr>
        <w:t>with</w:t>
      </w:r>
      <w:r>
        <w:rPr>
          <w:spacing w:val="-9"/>
          <w:w w:val="115"/>
          <w:sz w:val="16"/>
        </w:rPr>
        <w:t> </w:t>
      </w:r>
      <w:r>
        <w:rPr>
          <w:w w:val="115"/>
          <w:sz w:val="16"/>
        </w:rPr>
        <w:t>‘catastrophic’</w:t>
      </w:r>
      <w:r>
        <w:rPr>
          <w:spacing w:val="-8"/>
          <w:w w:val="115"/>
          <w:sz w:val="16"/>
        </w:rPr>
        <w:t> </w:t>
      </w:r>
      <w:r>
        <w:rPr>
          <w:spacing w:val="-2"/>
          <w:w w:val="115"/>
          <w:sz w:val="16"/>
        </w:rPr>
        <w:t>consequences.</w:t>
      </w:r>
    </w:p>
    <w:p>
      <w:pPr>
        <w:spacing w:after="0" w:line="174" w:lineRule="exact"/>
        <w:jc w:val="left"/>
        <w:rPr>
          <w:sz w:val="16"/>
        </w:rPr>
        <w:sectPr>
          <w:type w:val="continuous"/>
          <w:pgSz w:w="11910" w:h="16840"/>
          <w:pgMar w:header="568" w:footer="580" w:top="0" w:bottom="280" w:left="1020" w:right="1020"/>
        </w:sectPr>
      </w:pPr>
    </w:p>
    <w:p>
      <w:pPr>
        <w:pStyle w:val="BodyText"/>
        <w:ind w:left="0"/>
        <w:rPr>
          <w:sz w:val="20"/>
        </w:rPr>
      </w:pPr>
    </w:p>
    <w:p>
      <w:pPr>
        <w:pStyle w:val="BodyText"/>
        <w:ind w:left="0"/>
        <w:rPr>
          <w:sz w:val="20"/>
        </w:rPr>
      </w:pPr>
    </w:p>
    <w:p>
      <w:pPr>
        <w:pStyle w:val="BodyText"/>
        <w:spacing w:before="48"/>
        <w:ind w:left="0"/>
        <w:rPr>
          <w:sz w:val="20"/>
        </w:rPr>
      </w:pPr>
    </w:p>
    <w:p>
      <w:pPr>
        <w:spacing w:after="0"/>
        <w:rPr>
          <w:sz w:val="20"/>
        </w:rPr>
        <w:sectPr>
          <w:pgSz w:w="11910" w:h="16840"/>
          <w:pgMar w:header="568" w:footer="580" w:top="840" w:bottom="780" w:left="1020" w:right="1020"/>
        </w:sectPr>
      </w:pPr>
    </w:p>
    <w:p>
      <w:pPr>
        <w:pStyle w:val="BodyText"/>
        <w:spacing w:line="247" w:lineRule="auto" w:before="72"/>
        <w:ind w:right="510"/>
        <w:rPr>
          <w:rFonts w:ascii="Lucida Sans Unicode"/>
        </w:rPr>
      </w:pPr>
      <w:bookmarkStart w:name="d. The meaning of ‘diminution’" w:id="60"/>
      <w:bookmarkEnd w:id="60"/>
      <w:r>
        <w:rPr/>
      </w:r>
      <w:bookmarkStart w:name="_bookmark25" w:id="61"/>
      <w:bookmarkEnd w:id="61"/>
      <w:r>
        <w:rPr/>
      </w:r>
      <w:r>
        <w:rPr>
          <w:w w:val="110"/>
        </w:rPr>
        <w:t>It is important to highlight that </w:t>
      </w:r>
      <w:r>
        <w:rPr>
          <w:w w:val="110"/>
        </w:rPr>
        <w:t>this</w:t>
      </w:r>
      <w:r>
        <w:rPr>
          <w:spacing w:val="40"/>
          <w:w w:val="110"/>
        </w:rPr>
        <w:t> </w:t>
      </w:r>
      <w:r>
        <w:rPr>
          <w:w w:val="110"/>
        </w:rPr>
        <w:t>is not </w:t>
      </w:r>
      <w:r>
        <w:rPr>
          <w:rFonts w:ascii="Verdana"/>
          <w:i/>
          <w:w w:val="110"/>
        </w:rPr>
        <w:t>new</w:t>
      </w:r>
      <w:r>
        <w:rPr>
          <w:rFonts w:ascii="Verdana"/>
          <w:i/>
          <w:spacing w:val="-5"/>
          <w:w w:val="110"/>
        </w:rPr>
        <w:t> </w:t>
      </w:r>
      <w:r>
        <w:rPr>
          <w:w w:val="110"/>
        </w:rPr>
        <w:t>EU law; it is merely a </w:t>
      </w:r>
      <w:r>
        <w:rPr>
          <w:rFonts w:ascii="Lucida Sans Unicode"/>
        </w:rPr>
        <w:t>clarification of pre-Brexit EU law.</w:t>
      </w:r>
    </w:p>
    <w:p>
      <w:pPr>
        <w:pStyle w:val="BodyText"/>
        <w:spacing w:line="286" w:lineRule="exact"/>
        <w:rPr>
          <w:rFonts w:ascii="Lucida Sans Unicode"/>
        </w:rPr>
      </w:pPr>
      <w:r>
        <w:rPr>
          <w:rFonts w:ascii="Lucida Sans Unicode"/>
        </w:rPr>
        <w:t>Thus,</w:t>
      </w:r>
      <w:r>
        <w:rPr>
          <w:rFonts w:ascii="Lucida Sans Unicode"/>
          <w:spacing w:val="7"/>
        </w:rPr>
        <w:t> </w:t>
      </w:r>
      <w:r>
        <w:rPr>
          <w:rFonts w:ascii="Lucida Sans Unicode"/>
        </w:rPr>
        <w:t>even</w:t>
      </w:r>
      <w:r>
        <w:rPr>
          <w:rFonts w:ascii="Lucida Sans Unicode"/>
          <w:spacing w:val="7"/>
        </w:rPr>
        <w:t> </w:t>
      </w:r>
      <w:r>
        <w:rPr>
          <w:rFonts w:ascii="Lucida Sans Unicode"/>
        </w:rPr>
        <w:t>though</w:t>
      </w:r>
      <w:r>
        <w:rPr>
          <w:rFonts w:ascii="Lucida Sans Unicode"/>
          <w:spacing w:val="7"/>
        </w:rPr>
        <w:t> </w:t>
      </w:r>
      <w:r>
        <w:rPr>
          <w:rFonts w:ascii="Lucida Sans Unicode"/>
        </w:rPr>
        <w:t>Article</w:t>
      </w:r>
      <w:r>
        <w:rPr>
          <w:rFonts w:ascii="Lucida Sans Unicode"/>
          <w:spacing w:val="7"/>
        </w:rPr>
        <w:t> </w:t>
      </w:r>
      <w:r>
        <w:rPr>
          <w:rFonts w:ascii="Lucida Sans Unicode"/>
          <w:spacing w:val="-2"/>
        </w:rPr>
        <w:t>13(2)</w:t>
      </w:r>
    </w:p>
    <w:p>
      <w:pPr>
        <w:pStyle w:val="BodyText"/>
        <w:spacing w:line="268" w:lineRule="auto"/>
        <w:ind w:right="159"/>
      </w:pPr>
      <w:r>
        <w:rPr>
          <w:w w:val="115"/>
        </w:rPr>
        <w:t>does</w:t>
      </w:r>
      <w:r>
        <w:rPr>
          <w:spacing w:val="-6"/>
          <w:w w:val="115"/>
        </w:rPr>
        <w:t> </w:t>
      </w:r>
      <w:r>
        <w:rPr>
          <w:w w:val="115"/>
        </w:rPr>
        <w:t>not</w:t>
      </w:r>
      <w:r>
        <w:rPr>
          <w:spacing w:val="-6"/>
          <w:w w:val="115"/>
        </w:rPr>
        <w:t> </w:t>
      </w:r>
      <w:r>
        <w:rPr>
          <w:w w:val="115"/>
        </w:rPr>
        <w:t>explicitly</w:t>
      </w:r>
      <w:r>
        <w:rPr>
          <w:spacing w:val="-6"/>
          <w:w w:val="115"/>
        </w:rPr>
        <w:t> </w:t>
      </w:r>
      <w:r>
        <w:rPr>
          <w:w w:val="115"/>
        </w:rPr>
        <w:t>apply</w:t>
      </w:r>
      <w:r>
        <w:rPr>
          <w:spacing w:val="-6"/>
          <w:w w:val="115"/>
        </w:rPr>
        <w:t> </w:t>
      </w:r>
      <w:r>
        <w:rPr>
          <w:w w:val="115"/>
        </w:rPr>
        <w:t>to</w:t>
      </w:r>
      <w:r>
        <w:rPr>
          <w:spacing w:val="-6"/>
          <w:w w:val="115"/>
        </w:rPr>
        <w:t> </w:t>
      </w:r>
      <w:r>
        <w:rPr>
          <w:w w:val="115"/>
        </w:rPr>
        <w:t>the</w:t>
      </w:r>
      <w:r>
        <w:rPr>
          <w:spacing w:val="-6"/>
          <w:w w:val="115"/>
        </w:rPr>
        <w:t> </w:t>
      </w:r>
      <w:r>
        <w:rPr>
          <w:w w:val="115"/>
        </w:rPr>
        <w:t>non- diminution guarantee outside the Annex</w:t>
      </w:r>
      <w:r>
        <w:rPr>
          <w:spacing w:val="-10"/>
          <w:w w:val="115"/>
        </w:rPr>
        <w:t> </w:t>
      </w:r>
      <w:r>
        <w:rPr/>
        <w:t>1 </w:t>
      </w:r>
      <w:r>
        <w:rPr>
          <w:w w:val="115"/>
        </w:rPr>
        <w:t>directives,</w:t>
      </w:r>
      <w:r>
        <w:rPr>
          <w:spacing w:val="-10"/>
          <w:w w:val="115"/>
        </w:rPr>
        <w:t> </w:t>
      </w:r>
      <w:r>
        <w:rPr>
          <w:w w:val="115"/>
        </w:rPr>
        <w:t>it</w:t>
      </w:r>
      <w:r>
        <w:rPr>
          <w:spacing w:val="-10"/>
          <w:w w:val="115"/>
        </w:rPr>
        <w:t> </w:t>
      </w:r>
      <w:r>
        <w:rPr>
          <w:w w:val="115"/>
        </w:rPr>
        <w:t>is</w:t>
      </w:r>
      <w:r>
        <w:rPr>
          <w:spacing w:val="-10"/>
          <w:w w:val="115"/>
        </w:rPr>
        <w:t> </w:t>
      </w:r>
      <w:r>
        <w:rPr>
          <w:w w:val="115"/>
        </w:rPr>
        <w:t>necessary</w:t>
      </w:r>
    </w:p>
    <w:p>
      <w:pPr>
        <w:pStyle w:val="BodyText"/>
        <w:spacing w:line="268" w:lineRule="auto"/>
        <w:ind w:right="121"/>
      </w:pPr>
      <w:r>
        <w:rPr>
          <w:w w:val="115"/>
        </w:rPr>
        <w:t>to acknowledge that it may play a role in effectively realising the wider non-diminution guarantee. In other words,</w:t>
      </w:r>
      <w:r>
        <w:rPr>
          <w:spacing w:val="-14"/>
          <w:w w:val="115"/>
        </w:rPr>
        <w:t> </w:t>
      </w:r>
      <w:r>
        <w:rPr>
          <w:w w:val="115"/>
        </w:rPr>
        <w:t>the</w:t>
      </w:r>
      <w:r>
        <w:rPr>
          <w:spacing w:val="-14"/>
          <w:w w:val="115"/>
        </w:rPr>
        <w:t> </w:t>
      </w:r>
      <w:r>
        <w:rPr>
          <w:w w:val="115"/>
        </w:rPr>
        <w:t>pre-Brexit</w:t>
      </w:r>
      <w:r>
        <w:rPr>
          <w:spacing w:val="-14"/>
          <w:w w:val="115"/>
        </w:rPr>
        <w:t> </w:t>
      </w:r>
      <w:r>
        <w:rPr>
          <w:w w:val="115"/>
        </w:rPr>
        <w:t>EU</w:t>
      </w:r>
      <w:r>
        <w:rPr>
          <w:spacing w:val="-14"/>
          <w:w w:val="115"/>
        </w:rPr>
        <w:t> </w:t>
      </w:r>
      <w:r>
        <w:rPr>
          <w:w w:val="115"/>
        </w:rPr>
        <w:t>law</w:t>
      </w:r>
      <w:r>
        <w:rPr>
          <w:spacing w:val="-14"/>
          <w:w w:val="115"/>
        </w:rPr>
        <w:t> </w:t>
      </w:r>
      <w:r>
        <w:rPr>
          <w:w w:val="115"/>
        </w:rPr>
        <w:t>which</w:t>
      </w:r>
      <w:r>
        <w:rPr>
          <w:spacing w:val="-14"/>
          <w:w w:val="115"/>
        </w:rPr>
        <w:t> </w:t>
      </w:r>
      <w:r>
        <w:rPr>
          <w:w w:val="115"/>
        </w:rPr>
        <w:t>is engaged</w:t>
      </w:r>
      <w:r>
        <w:rPr>
          <w:spacing w:val="-14"/>
          <w:w w:val="115"/>
        </w:rPr>
        <w:t> </w:t>
      </w:r>
      <w:r>
        <w:rPr>
          <w:w w:val="115"/>
        </w:rPr>
        <w:t>by</w:t>
      </w:r>
      <w:r>
        <w:rPr>
          <w:spacing w:val="-14"/>
          <w:w w:val="115"/>
        </w:rPr>
        <w:t> </w:t>
      </w:r>
      <w:r>
        <w:rPr>
          <w:w w:val="115"/>
        </w:rPr>
        <w:t>the</w:t>
      </w:r>
      <w:r>
        <w:rPr>
          <w:spacing w:val="-14"/>
          <w:w w:val="115"/>
        </w:rPr>
        <w:t> </w:t>
      </w:r>
      <w:r>
        <w:rPr>
          <w:w w:val="115"/>
        </w:rPr>
        <w:t>wider</w:t>
      </w:r>
      <w:r>
        <w:rPr>
          <w:spacing w:val="-14"/>
          <w:w w:val="115"/>
        </w:rPr>
        <w:t> </w:t>
      </w:r>
      <w:r>
        <w:rPr>
          <w:w w:val="115"/>
        </w:rPr>
        <w:t>non-diminution guarantee may be required to be given legal effect in Northern Ireland in</w:t>
      </w:r>
      <w:r>
        <w:rPr>
          <w:spacing w:val="-2"/>
          <w:w w:val="115"/>
        </w:rPr>
        <w:t> </w:t>
      </w:r>
      <w:r>
        <w:rPr>
          <w:w w:val="115"/>
        </w:rPr>
        <w:t>accordance</w:t>
      </w:r>
      <w:r>
        <w:rPr>
          <w:spacing w:val="-2"/>
          <w:w w:val="115"/>
        </w:rPr>
        <w:t> </w:t>
      </w:r>
      <w:r>
        <w:rPr>
          <w:w w:val="115"/>
        </w:rPr>
        <w:t>with</w:t>
      </w:r>
      <w:r>
        <w:rPr>
          <w:spacing w:val="-2"/>
          <w:w w:val="115"/>
        </w:rPr>
        <w:t> </w:t>
      </w:r>
      <w:r>
        <w:rPr>
          <w:w w:val="115"/>
        </w:rPr>
        <w:t>post-Brexit</w:t>
      </w:r>
      <w:r>
        <w:rPr>
          <w:spacing w:val="-2"/>
          <w:w w:val="115"/>
        </w:rPr>
        <w:t> </w:t>
      </w:r>
      <w:r>
        <w:rPr>
          <w:w w:val="115"/>
        </w:rPr>
        <w:t>CJEU case</w:t>
      </w:r>
      <w:r>
        <w:rPr>
          <w:spacing w:val="-9"/>
          <w:w w:val="115"/>
        </w:rPr>
        <w:t> </w:t>
      </w:r>
      <w:r>
        <w:rPr>
          <w:w w:val="115"/>
        </w:rPr>
        <w:t>law</w:t>
      </w:r>
      <w:r>
        <w:rPr>
          <w:spacing w:val="-9"/>
          <w:w w:val="115"/>
        </w:rPr>
        <w:t> </w:t>
      </w:r>
      <w:r>
        <w:rPr>
          <w:w w:val="115"/>
        </w:rPr>
        <w:t>concerning</w:t>
      </w:r>
      <w:r>
        <w:rPr>
          <w:spacing w:val="-9"/>
          <w:w w:val="115"/>
        </w:rPr>
        <w:t> </w:t>
      </w:r>
      <w:r>
        <w:rPr>
          <w:w w:val="115"/>
        </w:rPr>
        <w:t>such</w:t>
      </w:r>
      <w:r>
        <w:rPr>
          <w:spacing w:val="-9"/>
          <w:w w:val="115"/>
        </w:rPr>
        <w:t> </w:t>
      </w:r>
      <w:r>
        <w:rPr>
          <w:w w:val="115"/>
        </w:rPr>
        <w:t>EU</w:t>
      </w:r>
      <w:r>
        <w:rPr>
          <w:spacing w:val="-9"/>
          <w:w w:val="115"/>
        </w:rPr>
        <w:t> </w:t>
      </w:r>
      <w:r>
        <w:rPr>
          <w:w w:val="115"/>
        </w:rPr>
        <w:t>law.</w:t>
      </w:r>
      <w:r>
        <w:rPr>
          <w:spacing w:val="-9"/>
          <w:w w:val="115"/>
        </w:rPr>
        <w:t> </w:t>
      </w:r>
      <w:r>
        <w:rPr>
          <w:w w:val="115"/>
        </w:rPr>
        <w:t>It would be helpful for this potential discrepancy</w:t>
      </w:r>
      <w:r>
        <w:rPr>
          <w:spacing w:val="-14"/>
          <w:w w:val="115"/>
        </w:rPr>
        <w:t> </w:t>
      </w:r>
      <w:r>
        <w:rPr>
          <w:w w:val="115"/>
        </w:rPr>
        <w:t>in</w:t>
      </w:r>
      <w:r>
        <w:rPr>
          <w:spacing w:val="-14"/>
          <w:w w:val="115"/>
        </w:rPr>
        <w:t> </w:t>
      </w:r>
      <w:r>
        <w:rPr>
          <w:w w:val="115"/>
        </w:rPr>
        <w:t>the</w:t>
      </w:r>
      <w:r>
        <w:rPr>
          <w:spacing w:val="-14"/>
          <w:w w:val="115"/>
        </w:rPr>
        <w:t> </w:t>
      </w:r>
      <w:r>
        <w:rPr>
          <w:w w:val="115"/>
        </w:rPr>
        <w:t>value</w:t>
      </w:r>
      <w:r>
        <w:rPr>
          <w:spacing w:val="-14"/>
          <w:w w:val="115"/>
        </w:rPr>
        <w:t> </w:t>
      </w:r>
      <w:r>
        <w:rPr>
          <w:w w:val="115"/>
        </w:rPr>
        <w:t>placed</w:t>
      </w:r>
      <w:r>
        <w:rPr>
          <w:spacing w:val="-14"/>
          <w:w w:val="115"/>
        </w:rPr>
        <w:t> </w:t>
      </w:r>
      <w:r>
        <w:rPr>
          <w:w w:val="115"/>
        </w:rPr>
        <w:t>upon CJEU case law under the different</w:t>
      </w:r>
    </w:p>
    <w:p>
      <w:pPr>
        <w:pStyle w:val="BodyText"/>
        <w:spacing w:line="213" w:lineRule="auto"/>
        <w:ind w:right="159"/>
      </w:pPr>
      <w:r>
        <w:rPr>
          <w:rFonts w:ascii="Lucida Sans Unicode"/>
          <w:w w:val="105"/>
        </w:rPr>
        <w:t>elements of Article 2 WF to be </w:t>
      </w:r>
      <w:r>
        <w:rPr>
          <w:rFonts w:ascii="Lucida Sans Unicode"/>
        </w:rPr>
        <w:t>authoritatively clarified in a </w:t>
      </w:r>
      <w:r>
        <w:rPr>
          <w:rFonts w:ascii="Lucida Sans Unicode"/>
        </w:rPr>
        <w:t>judgment </w:t>
      </w:r>
      <w:r>
        <w:rPr>
          <w:w w:val="105"/>
        </w:rPr>
        <w:t>on this point.</w:t>
      </w:r>
    </w:p>
    <w:p>
      <w:pPr>
        <w:pStyle w:val="BodyText"/>
        <w:spacing w:before="41"/>
        <w:ind w:left="0"/>
      </w:pPr>
    </w:p>
    <w:p>
      <w:pPr>
        <w:pStyle w:val="Heading4"/>
        <w:numPr>
          <w:ilvl w:val="0"/>
          <w:numId w:val="13"/>
        </w:numPr>
        <w:tabs>
          <w:tab w:pos="414" w:val="left" w:leader="none"/>
        </w:tabs>
        <w:spacing w:line="288" w:lineRule="exact" w:before="0" w:after="0"/>
        <w:ind w:left="414" w:right="0" w:hanging="301"/>
        <w:jc w:val="left"/>
      </w:pPr>
      <w:r>
        <w:rPr>
          <w:color w:val="77328A"/>
        </w:rPr>
        <w:t>The</w:t>
      </w:r>
      <w:r>
        <w:rPr>
          <w:color w:val="77328A"/>
          <w:spacing w:val="7"/>
        </w:rPr>
        <w:t> </w:t>
      </w:r>
      <w:r>
        <w:rPr>
          <w:color w:val="77328A"/>
        </w:rPr>
        <w:t>meaning</w:t>
      </w:r>
      <w:r>
        <w:rPr>
          <w:color w:val="77328A"/>
          <w:spacing w:val="7"/>
        </w:rPr>
        <w:t> </w:t>
      </w:r>
      <w:r>
        <w:rPr>
          <w:color w:val="77328A"/>
        </w:rPr>
        <w:t>of</w:t>
      </w:r>
      <w:r>
        <w:rPr>
          <w:color w:val="77328A"/>
          <w:spacing w:val="7"/>
        </w:rPr>
        <w:t> </w:t>
      </w:r>
      <w:r>
        <w:rPr>
          <w:color w:val="77328A"/>
          <w:spacing w:val="-2"/>
        </w:rPr>
        <w:t>‘diminution’</w:t>
      </w:r>
    </w:p>
    <w:p>
      <w:pPr>
        <w:pStyle w:val="BodyText"/>
        <w:spacing w:line="201" w:lineRule="auto" w:before="41"/>
        <w:ind w:right="340"/>
        <w:rPr>
          <w:rFonts w:ascii="Lucida Sans Unicode"/>
        </w:rPr>
      </w:pPr>
      <w:r>
        <w:rPr>
          <w:rFonts w:ascii="Lucida Sans Unicode"/>
        </w:rPr>
        <w:t>A final, but crucial, aspect of </w:t>
      </w:r>
      <w:r>
        <w:rPr>
          <w:rFonts w:ascii="Lucida Sans Unicode"/>
        </w:rPr>
        <w:t>Article 2 that we must consider is how to</w:t>
      </w:r>
    </w:p>
    <w:p>
      <w:pPr>
        <w:pStyle w:val="BodyText"/>
        <w:spacing w:line="268" w:lineRule="auto"/>
        <w:ind w:right="30"/>
      </w:pPr>
      <w:r>
        <w:rPr>
          <w:w w:val="115"/>
        </w:rPr>
        <w:t>interpret the scope of the ‘diminution’ trigger.</w:t>
      </w:r>
      <w:r>
        <w:rPr>
          <w:spacing w:val="-3"/>
          <w:w w:val="115"/>
        </w:rPr>
        <w:t> </w:t>
      </w:r>
      <w:r>
        <w:rPr>
          <w:w w:val="115"/>
        </w:rPr>
        <w:t>In</w:t>
      </w:r>
      <w:r>
        <w:rPr>
          <w:spacing w:val="-3"/>
          <w:w w:val="115"/>
        </w:rPr>
        <w:t> </w:t>
      </w:r>
      <w:r>
        <w:rPr>
          <w:w w:val="115"/>
        </w:rPr>
        <w:t>our</w:t>
      </w:r>
      <w:r>
        <w:rPr>
          <w:spacing w:val="-3"/>
          <w:w w:val="115"/>
        </w:rPr>
        <w:t> </w:t>
      </w:r>
      <w:r>
        <w:rPr>
          <w:w w:val="115"/>
        </w:rPr>
        <w:t>view,</w:t>
      </w:r>
      <w:r>
        <w:rPr>
          <w:spacing w:val="-3"/>
          <w:w w:val="115"/>
        </w:rPr>
        <w:t> </w:t>
      </w:r>
      <w:r>
        <w:rPr>
          <w:w w:val="115"/>
        </w:rPr>
        <w:t>that</w:t>
      </w:r>
      <w:r>
        <w:rPr>
          <w:spacing w:val="-3"/>
          <w:w w:val="115"/>
        </w:rPr>
        <w:t> </w:t>
      </w:r>
      <w:r>
        <w:rPr>
          <w:w w:val="115"/>
        </w:rPr>
        <w:t>assessment has to be made after a careful weighing</w:t>
      </w:r>
      <w:r>
        <w:rPr>
          <w:spacing w:val="-16"/>
          <w:w w:val="115"/>
        </w:rPr>
        <w:t> </w:t>
      </w:r>
      <w:r>
        <w:rPr>
          <w:w w:val="115"/>
        </w:rPr>
        <w:t>of,</w:t>
      </w:r>
      <w:r>
        <w:rPr>
          <w:spacing w:val="-16"/>
          <w:w w:val="115"/>
        </w:rPr>
        <w:t> </w:t>
      </w:r>
      <w:r>
        <w:rPr>
          <w:w w:val="115"/>
        </w:rPr>
        <w:t>at</w:t>
      </w:r>
      <w:r>
        <w:rPr>
          <w:spacing w:val="-16"/>
          <w:w w:val="115"/>
        </w:rPr>
        <w:t> </w:t>
      </w:r>
      <w:r>
        <w:rPr>
          <w:w w:val="115"/>
        </w:rPr>
        <w:t>least,</w:t>
      </w:r>
      <w:r>
        <w:rPr>
          <w:spacing w:val="-16"/>
          <w:w w:val="115"/>
        </w:rPr>
        <w:t> </w:t>
      </w:r>
      <w:r>
        <w:rPr>
          <w:w w:val="115"/>
        </w:rPr>
        <w:t>the</w:t>
      </w:r>
      <w:r>
        <w:rPr>
          <w:spacing w:val="-16"/>
          <w:w w:val="115"/>
        </w:rPr>
        <w:t> </w:t>
      </w:r>
      <w:r>
        <w:rPr>
          <w:w w:val="115"/>
        </w:rPr>
        <w:t>level</w:t>
      </w:r>
      <w:r>
        <w:rPr>
          <w:spacing w:val="-16"/>
          <w:w w:val="115"/>
        </w:rPr>
        <w:t> </w:t>
      </w:r>
      <w:r>
        <w:rPr>
          <w:w w:val="115"/>
        </w:rPr>
        <w:t>of</w:t>
      </w:r>
      <w:r>
        <w:rPr>
          <w:spacing w:val="-16"/>
          <w:w w:val="115"/>
        </w:rPr>
        <w:t> </w:t>
      </w:r>
      <w:r>
        <w:rPr>
          <w:w w:val="115"/>
        </w:rPr>
        <w:t>detail in</w:t>
      </w:r>
      <w:r>
        <w:rPr>
          <w:spacing w:val="-1"/>
          <w:w w:val="115"/>
        </w:rPr>
        <w:t> </w:t>
      </w:r>
      <w:r>
        <w:rPr>
          <w:w w:val="115"/>
        </w:rPr>
        <w:t>the</w:t>
      </w:r>
      <w:r>
        <w:rPr>
          <w:spacing w:val="-1"/>
          <w:w w:val="115"/>
        </w:rPr>
        <w:t> </w:t>
      </w:r>
      <w:r>
        <w:rPr>
          <w:w w:val="115"/>
        </w:rPr>
        <w:t>content</w:t>
      </w:r>
      <w:r>
        <w:rPr>
          <w:spacing w:val="-1"/>
          <w:w w:val="115"/>
        </w:rPr>
        <w:t> </w:t>
      </w:r>
      <w:r>
        <w:rPr>
          <w:w w:val="115"/>
        </w:rPr>
        <w:t>of</w:t>
      </w:r>
      <w:r>
        <w:rPr>
          <w:spacing w:val="-1"/>
          <w:w w:val="115"/>
        </w:rPr>
        <w:t> </w:t>
      </w:r>
      <w:r>
        <w:rPr>
          <w:w w:val="115"/>
        </w:rPr>
        <w:t>the</w:t>
      </w:r>
      <w:r>
        <w:rPr>
          <w:spacing w:val="-1"/>
          <w:w w:val="115"/>
        </w:rPr>
        <w:t> </w:t>
      </w:r>
      <w:r>
        <w:rPr>
          <w:w w:val="115"/>
        </w:rPr>
        <w:t>protected</w:t>
      </w:r>
      <w:r>
        <w:rPr>
          <w:spacing w:val="-1"/>
          <w:w w:val="115"/>
        </w:rPr>
        <w:t> </w:t>
      </w:r>
      <w:r>
        <w:rPr>
          <w:w w:val="115"/>
        </w:rPr>
        <w:t>right</w:t>
      </w:r>
      <w:r>
        <w:rPr>
          <w:spacing w:val="-1"/>
          <w:w w:val="115"/>
        </w:rPr>
        <w:t> </w:t>
      </w:r>
      <w:r>
        <w:rPr>
          <w:w w:val="115"/>
        </w:rPr>
        <w:t>in the</w:t>
      </w:r>
      <w:r>
        <w:rPr>
          <w:spacing w:val="-1"/>
          <w:w w:val="115"/>
        </w:rPr>
        <w:t> </w:t>
      </w:r>
      <w:r>
        <w:rPr>
          <w:w w:val="115"/>
        </w:rPr>
        <w:t>Charter</w:t>
      </w:r>
      <w:r>
        <w:rPr>
          <w:spacing w:val="-1"/>
          <w:w w:val="115"/>
        </w:rPr>
        <w:t> </w:t>
      </w:r>
      <w:r>
        <w:rPr>
          <w:w w:val="115"/>
        </w:rPr>
        <w:t>as</w:t>
      </w:r>
      <w:r>
        <w:rPr>
          <w:spacing w:val="-1"/>
          <w:w w:val="115"/>
        </w:rPr>
        <w:t> </w:t>
      </w:r>
      <w:r>
        <w:rPr>
          <w:w w:val="115"/>
        </w:rPr>
        <w:t>well</w:t>
      </w:r>
      <w:r>
        <w:rPr>
          <w:spacing w:val="-1"/>
          <w:w w:val="115"/>
        </w:rPr>
        <w:t> </w:t>
      </w:r>
      <w:r>
        <w:rPr>
          <w:w w:val="115"/>
        </w:rPr>
        <w:t>as</w:t>
      </w:r>
      <w:r>
        <w:rPr>
          <w:spacing w:val="-1"/>
          <w:w w:val="115"/>
        </w:rPr>
        <w:t> </w:t>
      </w:r>
      <w:r>
        <w:rPr>
          <w:w w:val="115"/>
        </w:rPr>
        <w:t>the</w:t>
      </w:r>
      <w:r>
        <w:rPr>
          <w:spacing w:val="-1"/>
          <w:w w:val="115"/>
        </w:rPr>
        <w:t> </w:t>
      </w:r>
      <w:r>
        <w:rPr>
          <w:w w:val="115"/>
        </w:rPr>
        <w:t>effects</w:t>
      </w:r>
      <w:r>
        <w:rPr>
          <w:spacing w:val="-1"/>
          <w:w w:val="115"/>
        </w:rPr>
        <w:t> </w:t>
      </w:r>
      <w:r>
        <w:rPr>
          <w:w w:val="115"/>
        </w:rPr>
        <w:t>that the EU iteration of the right had and, particularly, its direct effect potential.</w:t>
      </w:r>
    </w:p>
    <w:p>
      <w:pPr>
        <w:pStyle w:val="BodyText"/>
        <w:spacing w:before="28"/>
        <w:ind w:left="0"/>
      </w:pPr>
    </w:p>
    <w:p>
      <w:pPr>
        <w:pStyle w:val="BodyText"/>
        <w:spacing w:line="268" w:lineRule="auto"/>
        <w:ind w:right="340"/>
      </w:pPr>
      <w:r>
        <w:rPr>
          <w:w w:val="115"/>
        </w:rPr>
        <w:t>As</w:t>
      </w:r>
      <w:r>
        <w:rPr>
          <w:spacing w:val="-10"/>
          <w:w w:val="115"/>
        </w:rPr>
        <w:t> </w:t>
      </w:r>
      <w:r>
        <w:rPr>
          <w:w w:val="115"/>
        </w:rPr>
        <w:t>noted</w:t>
      </w:r>
      <w:r>
        <w:rPr>
          <w:spacing w:val="-10"/>
          <w:w w:val="115"/>
        </w:rPr>
        <w:t> </w:t>
      </w:r>
      <w:r>
        <w:rPr>
          <w:w w:val="115"/>
        </w:rPr>
        <w:t>in</w:t>
      </w:r>
      <w:r>
        <w:rPr>
          <w:spacing w:val="-10"/>
          <w:w w:val="115"/>
        </w:rPr>
        <w:t> </w:t>
      </w:r>
      <w:r>
        <w:rPr>
          <w:w w:val="115"/>
        </w:rPr>
        <w:t>Chapter</w:t>
      </w:r>
      <w:r>
        <w:rPr>
          <w:spacing w:val="-10"/>
          <w:w w:val="115"/>
        </w:rPr>
        <w:t> </w:t>
      </w:r>
      <w:r>
        <w:rPr/>
        <w:t>1, </w:t>
      </w:r>
      <w:r>
        <w:rPr>
          <w:w w:val="115"/>
        </w:rPr>
        <w:t>the</w:t>
      </w:r>
      <w:r>
        <w:rPr>
          <w:spacing w:val="-10"/>
          <w:w w:val="115"/>
        </w:rPr>
        <w:t> </w:t>
      </w:r>
      <w:r>
        <w:rPr>
          <w:w w:val="115"/>
        </w:rPr>
        <w:t>Charter is</w:t>
      </w:r>
      <w:r>
        <w:rPr>
          <w:spacing w:val="-15"/>
          <w:w w:val="115"/>
        </w:rPr>
        <w:t> </w:t>
      </w:r>
      <w:r>
        <w:rPr>
          <w:w w:val="115"/>
        </w:rPr>
        <w:t>more</w:t>
      </w:r>
      <w:r>
        <w:rPr>
          <w:spacing w:val="-15"/>
          <w:w w:val="115"/>
        </w:rPr>
        <w:t> </w:t>
      </w:r>
      <w:r>
        <w:rPr>
          <w:w w:val="115"/>
        </w:rPr>
        <w:t>expansive</w:t>
      </w:r>
      <w:r>
        <w:rPr>
          <w:spacing w:val="-15"/>
          <w:w w:val="115"/>
        </w:rPr>
        <w:t> </w:t>
      </w:r>
      <w:r>
        <w:rPr>
          <w:w w:val="115"/>
        </w:rPr>
        <w:t>both</w:t>
      </w:r>
      <w:r>
        <w:rPr>
          <w:spacing w:val="-15"/>
          <w:w w:val="115"/>
        </w:rPr>
        <w:t> </w:t>
      </w:r>
      <w:r>
        <w:rPr>
          <w:w w:val="115"/>
        </w:rPr>
        <w:t>in</w:t>
      </w:r>
      <w:r>
        <w:rPr>
          <w:spacing w:val="-15"/>
          <w:w w:val="115"/>
        </w:rPr>
        <w:t> </w:t>
      </w:r>
      <w:r>
        <w:rPr>
          <w:w w:val="115"/>
        </w:rPr>
        <w:t>terms</w:t>
      </w:r>
      <w:r>
        <w:rPr>
          <w:spacing w:val="-15"/>
          <w:w w:val="115"/>
        </w:rPr>
        <w:t> </w:t>
      </w:r>
      <w:r>
        <w:rPr>
          <w:w w:val="115"/>
        </w:rPr>
        <w:t>of the</w:t>
      </w:r>
      <w:r>
        <w:rPr>
          <w:spacing w:val="1"/>
          <w:w w:val="115"/>
        </w:rPr>
        <w:t> </w:t>
      </w:r>
      <w:r>
        <w:rPr>
          <w:w w:val="115"/>
        </w:rPr>
        <w:t>content</w:t>
      </w:r>
      <w:r>
        <w:rPr>
          <w:spacing w:val="1"/>
          <w:w w:val="115"/>
        </w:rPr>
        <w:t> </w:t>
      </w:r>
      <w:r>
        <w:rPr>
          <w:w w:val="115"/>
        </w:rPr>
        <w:t>of</w:t>
      </w:r>
      <w:r>
        <w:rPr>
          <w:spacing w:val="1"/>
          <w:w w:val="115"/>
        </w:rPr>
        <w:t> </w:t>
      </w:r>
      <w:r>
        <w:rPr>
          <w:w w:val="115"/>
        </w:rPr>
        <w:t>the</w:t>
      </w:r>
      <w:r>
        <w:rPr>
          <w:spacing w:val="1"/>
          <w:w w:val="115"/>
        </w:rPr>
        <w:t> </w:t>
      </w:r>
      <w:r>
        <w:rPr>
          <w:w w:val="115"/>
        </w:rPr>
        <w:t>protected</w:t>
      </w:r>
      <w:r>
        <w:rPr>
          <w:spacing w:val="2"/>
          <w:w w:val="115"/>
        </w:rPr>
        <w:t> </w:t>
      </w:r>
      <w:r>
        <w:rPr>
          <w:spacing w:val="-2"/>
          <w:w w:val="115"/>
        </w:rPr>
        <w:t>rights</w:t>
      </w:r>
    </w:p>
    <w:p>
      <w:pPr>
        <w:pStyle w:val="BodyText"/>
        <w:spacing w:line="268" w:lineRule="auto" w:before="3"/>
        <w:ind w:right="159"/>
      </w:pPr>
      <w:r>
        <w:rPr>
          <w:w w:val="115"/>
        </w:rPr>
        <w:t>and</w:t>
      </w:r>
      <w:r>
        <w:rPr>
          <w:spacing w:val="-13"/>
          <w:w w:val="115"/>
        </w:rPr>
        <w:t> </w:t>
      </w:r>
      <w:r>
        <w:rPr>
          <w:w w:val="115"/>
        </w:rPr>
        <w:t>in</w:t>
      </w:r>
      <w:r>
        <w:rPr>
          <w:spacing w:val="-13"/>
          <w:w w:val="115"/>
        </w:rPr>
        <w:t> </w:t>
      </w:r>
      <w:r>
        <w:rPr>
          <w:w w:val="115"/>
        </w:rPr>
        <w:t>terms</w:t>
      </w:r>
      <w:r>
        <w:rPr>
          <w:spacing w:val="-13"/>
          <w:w w:val="115"/>
        </w:rPr>
        <w:t> </w:t>
      </w:r>
      <w:r>
        <w:rPr>
          <w:w w:val="115"/>
        </w:rPr>
        <w:t>of</w:t>
      </w:r>
      <w:r>
        <w:rPr>
          <w:spacing w:val="-13"/>
          <w:w w:val="115"/>
        </w:rPr>
        <w:t> </w:t>
      </w:r>
      <w:r>
        <w:rPr>
          <w:w w:val="115"/>
        </w:rPr>
        <w:t>the</w:t>
      </w:r>
      <w:r>
        <w:rPr>
          <w:spacing w:val="-13"/>
          <w:w w:val="115"/>
        </w:rPr>
        <w:t> </w:t>
      </w:r>
      <w:r>
        <w:rPr>
          <w:w w:val="115"/>
        </w:rPr>
        <w:t>effects</w:t>
      </w:r>
      <w:r>
        <w:rPr>
          <w:spacing w:val="-13"/>
          <w:w w:val="115"/>
        </w:rPr>
        <w:t> </w:t>
      </w:r>
      <w:r>
        <w:rPr>
          <w:w w:val="115"/>
        </w:rPr>
        <w:t>that</w:t>
      </w:r>
      <w:r>
        <w:rPr>
          <w:spacing w:val="-13"/>
          <w:w w:val="115"/>
        </w:rPr>
        <w:t> </w:t>
      </w:r>
      <w:r>
        <w:rPr>
          <w:w w:val="115"/>
        </w:rPr>
        <w:t>these rights created in the domestic legal order before Brexit, compared to ECHR</w:t>
      </w:r>
      <w:r>
        <w:rPr>
          <w:spacing w:val="-19"/>
          <w:w w:val="115"/>
        </w:rPr>
        <w:t> </w:t>
      </w:r>
      <w:r>
        <w:rPr>
          <w:w w:val="115"/>
        </w:rPr>
        <w:t>rights.</w:t>
      </w:r>
      <w:r>
        <w:rPr>
          <w:spacing w:val="-19"/>
          <w:w w:val="115"/>
        </w:rPr>
        <w:t> </w:t>
      </w:r>
      <w:r>
        <w:rPr>
          <w:w w:val="115"/>
        </w:rPr>
        <w:t>Consequently,</w:t>
      </w:r>
      <w:r>
        <w:rPr>
          <w:spacing w:val="-19"/>
          <w:w w:val="115"/>
        </w:rPr>
        <w:t> </w:t>
      </w:r>
      <w:r>
        <w:rPr>
          <w:w w:val="115"/>
        </w:rPr>
        <w:t>if</w:t>
      </w:r>
      <w:r>
        <w:rPr>
          <w:spacing w:val="-19"/>
          <w:w w:val="115"/>
        </w:rPr>
        <w:t> </w:t>
      </w:r>
      <w:r>
        <w:rPr>
          <w:w w:val="115"/>
        </w:rPr>
        <w:t>Brexit resulted in reducing aspects of the protection of the relevant right,</w:t>
      </w:r>
    </w:p>
    <w:p>
      <w:pPr>
        <w:pStyle w:val="BodyText"/>
        <w:spacing w:line="276" w:lineRule="auto" w:before="72"/>
        <w:ind w:right="118"/>
      </w:pPr>
      <w:r>
        <w:rPr/>
        <w:br w:type="column"/>
      </w:r>
      <w:r>
        <w:rPr>
          <w:w w:val="115"/>
        </w:rPr>
        <w:t>including the ways in which the right may be claimed, then in our view the diminution</w:t>
      </w:r>
      <w:r>
        <w:rPr>
          <w:spacing w:val="-14"/>
          <w:w w:val="115"/>
        </w:rPr>
        <w:t> </w:t>
      </w:r>
      <w:r>
        <w:rPr>
          <w:w w:val="115"/>
        </w:rPr>
        <w:t>trigger</w:t>
      </w:r>
      <w:r>
        <w:rPr>
          <w:spacing w:val="-14"/>
          <w:w w:val="115"/>
        </w:rPr>
        <w:t> </w:t>
      </w:r>
      <w:r>
        <w:rPr>
          <w:w w:val="115"/>
        </w:rPr>
        <w:t>must</w:t>
      </w:r>
      <w:r>
        <w:rPr>
          <w:spacing w:val="-14"/>
          <w:w w:val="115"/>
        </w:rPr>
        <w:t> </w:t>
      </w:r>
      <w:r>
        <w:rPr>
          <w:w w:val="115"/>
        </w:rPr>
        <w:t>be</w:t>
      </w:r>
      <w:r>
        <w:rPr>
          <w:spacing w:val="-14"/>
          <w:w w:val="115"/>
        </w:rPr>
        <w:t> </w:t>
      </w:r>
      <w:r>
        <w:rPr>
          <w:w w:val="115"/>
        </w:rPr>
        <w:t>considered to</w:t>
      </w:r>
      <w:r>
        <w:rPr>
          <w:spacing w:val="-2"/>
          <w:w w:val="115"/>
        </w:rPr>
        <w:t> </w:t>
      </w:r>
      <w:r>
        <w:rPr>
          <w:w w:val="115"/>
        </w:rPr>
        <w:t>be</w:t>
      </w:r>
      <w:r>
        <w:rPr>
          <w:spacing w:val="-2"/>
          <w:w w:val="115"/>
        </w:rPr>
        <w:t> </w:t>
      </w:r>
      <w:r>
        <w:rPr>
          <w:w w:val="115"/>
        </w:rPr>
        <w:t>met.</w:t>
      </w:r>
      <w:r>
        <w:rPr>
          <w:spacing w:val="-2"/>
          <w:w w:val="115"/>
        </w:rPr>
        <w:t> </w:t>
      </w:r>
      <w:r>
        <w:rPr>
          <w:w w:val="115"/>
        </w:rPr>
        <w:t>That</w:t>
      </w:r>
      <w:r>
        <w:rPr>
          <w:spacing w:val="-2"/>
          <w:w w:val="115"/>
        </w:rPr>
        <w:t> </w:t>
      </w:r>
      <w:r>
        <w:rPr>
          <w:w w:val="115"/>
        </w:rPr>
        <w:t>assessment</w:t>
      </w:r>
      <w:r>
        <w:rPr>
          <w:spacing w:val="-2"/>
          <w:w w:val="115"/>
        </w:rPr>
        <w:t> </w:t>
      </w:r>
      <w:r>
        <w:rPr>
          <w:w w:val="115"/>
        </w:rPr>
        <w:t>can</w:t>
      </w:r>
      <w:r>
        <w:rPr>
          <w:spacing w:val="-2"/>
          <w:w w:val="115"/>
        </w:rPr>
        <w:t> </w:t>
      </w:r>
      <w:r>
        <w:rPr>
          <w:w w:val="115"/>
        </w:rPr>
        <w:t>only meaningfully be made after a careful comparison between the treatment</w:t>
      </w:r>
    </w:p>
    <w:p>
      <w:pPr>
        <w:pStyle w:val="BodyText"/>
        <w:spacing w:line="276" w:lineRule="auto"/>
        <w:ind w:right="264"/>
      </w:pPr>
      <w:r>
        <w:rPr>
          <w:w w:val="115"/>
        </w:rPr>
        <w:t>in domestic courts of the ECHR or domestic iteration of the right and</w:t>
      </w:r>
      <w:r>
        <w:rPr>
          <w:spacing w:val="80"/>
          <w:w w:val="115"/>
        </w:rPr>
        <w:t> </w:t>
      </w:r>
      <w:r>
        <w:rPr>
          <w:w w:val="115"/>
        </w:rPr>
        <w:t>its</w:t>
      </w:r>
      <w:r>
        <w:rPr>
          <w:spacing w:val="-20"/>
          <w:w w:val="115"/>
        </w:rPr>
        <w:t> </w:t>
      </w:r>
      <w:r>
        <w:rPr>
          <w:w w:val="115"/>
        </w:rPr>
        <w:t>Charter</w:t>
      </w:r>
      <w:r>
        <w:rPr>
          <w:spacing w:val="-19"/>
          <w:w w:val="115"/>
        </w:rPr>
        <w:t> </w:t>
      </w:r>
      <w:r>
        <w:rPr>
          <w:w w:val="115"/>
        </w:rPr>
        <w:t>counterpart.</w:t>
      </w:r>
      <w:r>
        <w:rPr>
          <w:spacing w:val="-19"/>
          <w:w w:val="115"/>
        </w:rPr>
        <w:t> </w:t>
      </w:r>
      <w:r>
        <w:rPr>
          <w:w w:val="115"/>
        </w:rPr>
        <w:t>If</w:t>
      </w:r>
      <w:r>
        <w:rPr>
          <w:spacing w:val="-19"/>
          <w:w w:val="115"/>
        </w:rPr>
        <w:t> </w:t>
      </w:r>
      <w:r>
        <w:rPr>
          <w:w w:val="115"/>
        </w:rPr>
        <w:t>the</w:t>
      </w:r>
      <w:r>
        <w:rPr>
          <w:spacing w:val="-19"/>
          <w:w w:val="115"/>
        </w:rPr>
        <w:t> </w:t>
      </w:r>
      <w:r>
        <w:rPr>
          <w:w w:val="115"/>
        </w:rPr>
        <w:t>Charter version of the right engaged more expansive interpretation in any of</w:t>
      </w:r>
    </w:p>
    <w:p>
      <w:pPr>
        <w:pStyle w:val="BodyText"/>
        <w:spacing w:line="276" w:lineRule="auto"/>
        <w:ind w:right="440"/>
      </w:pPr>
      <w:r>
        <w:rPr>
          <w:w w:val="110"/>
        </w:rPr>
        <w:t>the</w:t>
      </w:r>
      <w:r>
        <w:rPr>
          <w:spacing w:val="-9"/>
          <w:w w:val="110"/>
        </w:rPr>
        <w:t> </w:t>
      </w:r>
      <w:r>
        <w:rPr>
          <w:w w:val="110"/>
        </w:rPr>
        <w:t>ways</w:t>
      </w:r>
      <w:r>
        <w:rPr>
          <w:spacing w:val="-9"/>
          <w:w w:val="110"/>
        </w:rPr>
        <w:t> </w:t>
      </w:r>
      <w:r>
        <w:rPr>
          <w:w w:val="110"/>
        </w:rPr>
        <w:t>we</w:t>
      </w:r>
      <w:r>
        <w:rPr>
          <w:spacing w:val="-9"/>
          <w:w w:val="110"/>
        </w:rPr>
        <w:t> </w:t>
      </w:r>
      <w:r>
        <w:rPr>
          <w:w w:val="110"/>
        </w:rPr>
        <w:t>have</w:t>
      </w:r>
      <w:r>
        <w:rPr>
          <w:spacing w:val="-9"/>
          <w:w w:val="110"/>
        </w:rPr>
        <w:t> </w:t>
      </w:r>
      <w:r>
        <w:rPr>
          <w:w w:val="110"/>
        </w:rPr>
        <w:t>suggested</w:t>
      </w:r>
      <w:r>
        <w:rPr>
          <w:spacing w:val="-9"/>
          <w:w w:val="110"/>
        </w:rPr>
        <w:t> </w:t>
      </w:r>
      <w:r>
        <w:rPr>
          <w:w w:val="110"/>
        </w:rPr>
        <w:t>earlier, </w:t>
      </w:r>
      <w:r>
        <w:rPr>
          <w:w w:val="115"/>
        </w:rPr>
        <w:t>such as by allowing its application to</w:t>
      </w:r>
      <w:r>
        <w:rPr>
          <w:spacing w:val="-10"/>
          <w:w w:val="115"/>
        </w:rPr>
        <w:t> </w:t>
      </w:r>
      <w:r>
        <w:rPr>
          <w:w w:val="115"/>
        </w:rPr>
        <w:t>or</w:t>
      </w:r>
      <w:r>
        <w:rPr>
          <w:spacing w:val="-10"/>
          <w:w w:val="115"/>
        </w:rPr>
        <w:t> </w:t>
      </w:r>
      <w:r>
        <w:rPr>
          <w:w w:val="115"/>
        </w:rPr>
        <w:t>invocation</w:t>
      </w:r>
      <w:r>
        <w:rPr>
          <w:spacing w:val="-10"/>
          <w:w w:val="115"/>
        </w:rPr>
        <w:t> </w:t>
      </w:r>
      <w:r>
        <w:rPr>
          <w:w w:val="115"/>
        </w:rPr>
        <w:t>by</w:t>
      </w:r>
      <w:r>
        <w:rPr>
          <w:spacing w:val="-10"/>
          <w:w w:val="115"/>
        </w:rPr>
        <w:t> </w:t>
      </w:r>
      <w:r>
        <w:rPr>
          <w:w w:val="115"/>
        </w:rPr>
        <w:t>a</w:t>
      </w:r>
      <w:r>
        <w:rPr>
          <w:spacing w:val="-10"/>
          <w:w w:val="115"/>
        </w:rPr>
        <w:t> </w:t>
      </w:r>
      <w:r>
        <w:rPr>
          <w:w w:val="115"/>
        </w:rPr>
        <w:t>wider</w:t>
      </w:r>
      <w:r>
        <w:rPr>
          <w:spacing w:val="-10"/>
          <w:w w:val="115"/>
        </w:rPr>
        <w:t> </w:t>
      </w:r>
      <w:r>
        <w:rPr>
          <w:w w:val="115"/>
        </w:rPr>
        <w:t>range</w:t>
      </w:r>
      <w:r>
        <w:rPr>
          <w:spacing w:val="-10"/>
          <w:w w:val="115"/>
        </w:rPr>
        <w:t> </w:t>
      </w:r>
      <w:r>
        <w:rPr>
          <w:w w:val="115"/>
        </w:rPr>
        <w:t>of</w:t>
      </w:r>
    </w:p>
    <w:p>
      <w:pPr>
        <w:pStyle w:val="BodyText"/>
        <w:spacing w:line="276" w:lineRule="auto"/>
        <w:ind w:right="242"/>
      </w:pPr>
      <w:r>
        <w:rPr>
          <w:spacing w:val="-2"/>
          <w:w w:val="115"/>
        </w:rPr>
        <w:t>actors,</w:t>
      </w:r>
      <w:r>
        <w:rPr>
          <w:spacing w:val="-18"/>
          <w:w w:val="115"/>
        </w:rPr>
        <w:t> </w:t>
      </w:r>
      <w:r>
        <w:rPr>
          <w:spacing w:val="-2"/>
          <w:w w:val="115"/>
        </w:rPr>
        <w:t>by</w:t>
      </w:r>
      <w:r>
        <w:rPr>
          <w:spacing w:val="-17"/>
          <w:w w:val="115"/>
        </w:rPr>
        <w:t> </w:t>
      </w:r>
      <w:r>
        <w:rPr>
          <w:spacing w:val="-2"/>
          <w:w w:val="115"/>
        </w:rPr>
        <w:t>relying</w:t>
      </w:r>
      <w:r>
        <w:rPr>
          <w:spacing w:val="-17"/>
          <w:w w:val="115"/>
        </w:rPr>
        <w:t> </w:t>
      </w:r>
      <w:r>
        <w:rPr>
          <w:spacing w:val="-2"/>
          <w:w w:val="115"/>
        </w:rPr>
        <w:t>on</w:t>
      </w:r>
      <w:r>
        <w:rPr>
          <w:spacing w:val="-17"/>
          <w:w w:val="115"/>
        </w:rPr>
        <w:t> </w:t>
      </w:r>
      <w:r>
        <w:rPr>
          <w:spacing w:val="-2"/>
          <w:w w:val="115"/>
        </w:rPr>
        <w:t>a</w:t>
      </w:r>
      <w:r>
        <w:rPr>
          <w:spacing w:val="-17"/>
          <w:w w:val="115"/>
        </w:rPr>
        <w:t> </w:t>
      </w:r>
      <w:r>
        <w:rPr>
          <w:spacing w:val="-2"/>
          <w:w w:val="115"/>
        </w:rPr>
        <w:t>‘supercharged’ </w:t>
      </w:r>
      <w:r>
        <w:rPr>
          <w:w w:val="115"/>
        </w:rPr>
        <w:t>duty of consistent interpretation,</w:t>
      </w:r>
    </w:p>
    <w:p>
      <w:pPr>
        <w:pStyle w:val="BodyText"/>
        <w:spacing w:line="276" w:lineRule="auto"/>
        <w:ind w:right="414"/>
      </w:pPr>
      <w:r>
        <w:rPr>
          <w:w w:val="115"/>
        </w:rPr>
        <w:t>by giving rise to direct effect (and hence</w:t>
      </w:r>
      <w:r>
        <w:rPr>
          <w:spacing w:val="-17"/>
          <w:w w:val="115"/>
        </w:rPr>
        <w:t> </w:t>
      </w:r>
      <w:r>
        <w:rPr>
          <w:w w:val="115"/>
        </w:rPr>
        <w:t>permitting</w:t>
      </w:r>
      <w:r>
        <w:rPr>
          <w:spacing w:val="-17"/>
          <w:w w:val="115"/>
        </w:rPr>
        <w:t> </w:t>
      </w:r>
      <w:r>
        <w:rPr>
          <w:w w:val="115"/>
        </w:rPr>
        <w:t>the</w:t>
      </w:r>
      <w:r>
        <w:rPr>
          <w:spacing w:val="-17"/>
          <w:w w:val="115"/>
        </w:rPr>
        <w:t> </w:t>
      </w:r>
      <w:r>
        <w:rPr>
          <w:w w:val="115"/>
        </w:rPr>
        <w:t>disapplication of legislation), or by resulting in state</w:t>
      </w:r>
      <w:r>
        <w:rPr>
          <w:spacing w:val="-14"/>
          <w:w w:val="115"/>
        </w:rPr>
        <w:t> </w:t>
      </w:r>
      <w:r>
        <w:rPr>
          <w:w w:val="115"/>
        </w:rPr>
        <w:t>liability</w:t>
      </w:r>
      <w:r>
        <w:rPr>
          <w:spacing w:val="-14"/>
          <w:w w:val="115"/>
        </w:rPr>
        <w:t> </w:t>
      </w:r>
      <w:r>
        <w:rPr>
          <w:w w:val="115"/>
        </w:rPr>
        <w:t>in</w:t>
      </w:r>
      <w:r>
        <w:rPr>
          <w:spacing w:val="-14"/>
          <w:w w:val="115"/>
        </w:rPr>
        <w:t> </w:t>
      </w:r>
      <w:r>
        <w:rPr>
          <w:w w:val="115"/>
        </w:rPr>
        <w:t>damages</w:t>
      </w:r>
      <w:r>
        <w:rPr>
          <w:spacing w:val="-14"/>
          <w:w w:val="115"/>
        </w:rPr>
        <w:t> </w:t>
      </w:r>
      <w:r>
        <w:rPr>
          <w:w w:val="115"/>
        </w:rPr>
        <w:t>to</w:t>
      </w:r>
      <w:r>
        <w:rPr>
          <w:spacing w:val="-14"/>
          <w:w w:val="115"/>
        </w:rPr>
        <w:t> </w:t>
      </w:r>
      <w:r>
        <w:rPr>
          <w:w w:val="115"/>
        </w:rPr>
        <w:t>a</w:t>
      </w:r>
      <w:r>
        <w:rPr>
          <w:spacing w:val="-14"/>
          <w:w w:val="115"/>
        </w:rPr>
        <w:t> </w:t>
      </w:r>
      <w:r>
        <w:rPr>
          <w:w w:val="115"/>
        </w:rPr>
        <w:t>value greater</w:t>
      </w:r>
      <w:r>
        <w:rPr>
          <w:spacing w:val="-1"/>
          <w:w w:val="115"/>
        </w:rPr>
        <w:t> </w:t>
      </w:r>
      <w:r>
        <w:rPr>
          <w:w w:val="115"/>
        </w:rPr>
        <w:t>than</w:t>
      </w:r>
      <w:r>
        <w:rPr>
          <w:spacing w:val="-1"/>
          <w:w w:val="115"/>
        </w:rPr>
        <w:t> </w:t>
      </w:r>
      <w:r>
        <w:rPr>
          <w:w w:val="115"/>
        </w:rPr>
        <w:t>otherwise</w:t>
      </w:r>
      <w:r>
        <w:rPr>
          <w:spacing w:val="-1"/>
          <w:w w:val="115"/>
        </w:rPr>
        <w:t> </w:t>
      </w:r>
      <w:r>
        <w:rPr>
          <w:w w:val="115"/>
        </w:rPr>
        <w:t>available</w:t>
      </w:r>
      <w:r>
        <w:rPr>
          <w:spacing w:val="-1"/>
          <w:w w:val="115"/>
        </w:rPr>
        <w:t> </w:t>
      </w:r>
      <w:r>
        <w:rPr>
          <w:w w:val="115"/>
        </w:rPr>
        <w:t>in</w:t>
      </w:r>
    </w:p>
    <w:p>
      <w:pPr>
        <w:pStyle w:val="BodyText"/>
        <w:spacing w:line="276" w:lineRule="auto"/>
        <w:ind w:right="118"/>
      </w:pPr>
      <w:r>
        <w:rPr>
          <w:w w:val="115"/>
        </w:rPr>
        <w:t>domestic</w:t>
      </w:r>
      <w:r>
        <w:rPr>
          <w:spacing w:val="-20"/>
          <w:w w:val="115"/>
        </w:rPr>
        <w:t> </w:t>
      </w:r>
      <w:r>
        <w:rPr>
          <w:w w:val="115"/>
        </w:rPr>
        <w:t>law,</w:t>
      </w:r>
      <w:r>
        <w:rPr>
          <w:spacing w:val="-19"/>
          <w:w w:val="115"/>
        </w:rPr>
        <w:t> </w:t>
      </w:r>
      <w:r>
        <w:rPr>
          <w:w w:val="115"/>
        </w:rPr>
        <w:t>then</w:t>
      </w:r>
      <w:r>
        <w:rPr>
          <w:spacing w:val="-19"/>
          <w:w w:val="115"/>
        </w:rPr>
        <w:t> </w:t>
      </w:r>
      <w:r>
        <w:rPr>
          <w:w w:val="115"/>
        </w:rPr>
        <w:t>the</w:t>
      </w:r>
      <w:r>
        <w:rPr>
          <w:spacing w:val="-19"/>
          <w:w w:val="115"/>
        </w:rPr>
        <w:t> </w:t>
      </w:r>
      <w:r>
        <w:rPr>
          <w:w w:val="115"/>
        </w:rPr>
        <w:t>non-diminution requirement would be engaged.</w:t>
      </w:r>
    </w:p>
    <w:p>
      <w:pPr>
        <w:pStyle w:val="BodyText"/>
        <w:spacing w:line="318" w:lineRule="exact" w:before="270"/>
        <w:ind w:right="492"/>
      </w:pPr>
      <w:r>
        <w:rPr>
          <w:w w:val="110"/>
        </w:rPr>
        <w:t>In this regard, therefore, we respectfully disagree with the reasoning</w:t>
      </w:r>
      <w:r>
        <w:rPr>
          <w:spacing w:val="-16"/>
          <w:w w:val="110"/>
        </w:rPr>
        <w:t> </w:t>
      </w:r>
      <w:r>
        <w:rPr>
          <w:w w:val="110"/>
        </w:rPr>
        <w:t>of</w:t>
      </w:r>
      <w:r>
        <w:rPr>
          <w:spacing w:val="-16"/>
          <w:w w:val="110"/>
        </w:rPr>
        <w:t> </w:t>
      </w:r>
      <w:r>
        <w:rPr>
          <w:w w:val="110"/>
        </w:rPr>
        <w:t>Colton</w:t>
      </w:r>
      <w:r>
        <w:rPr>
          <w:spacing w:val="-16"/>
          <w:w w:val="110"/>
        </w:rPr>
        <w:t> </w:t>
      </w:r>
      <w:r>
        <w:rPr>
          <w:w w:val="110"/>
        </w:rPr>
        <w:t>J</w:t>
      </w:r>
      <w:r>
        <w:rPr>
          <w:spacing w:val="-16"/>
          <w:w w:val="110"/>
        </w:rPr>
        <w:t> </w:t>
      </w:r>
      <w:r>
        <w:rPr>
          <w:w w:val="110"/>
        </w:rPr>
        <w:t>in</w:t>
      </w:r>
      <w:r>
        <w:rPr>
          <w:spacing w:val="-16"/>
          <w:w w:val="110"/>
        </w:rPr>
        <w:t> </w:t>
      </w:r>
      <w:r>
        <w:rPr>
          <w:rFonts w:ascii="Verdana" w:hAnsi="Verdana"/>
          <w:i/>
          <w:w w:val="110"/>
        </w:rPr>
        <w:t>Angesom’s</w:t>
      </w:r>
      <w:r>
        <w:rPr>
          <w:rFonts w:ascii="Verdana" w:hAnsi="Verdana"/>
          <w:i/>
          <w:w w:val="110"/>
        </w:rPr>
        <w:t> </w:t>
      </w:r>
      <w:r>
        <w:rPr>
          <w:rFonts w:ascii="Verdana" w:hAnsi="Verdana"/>
          <w:i/>
        </w:rPr>
        <w:t>(Aman) Application for Judicial </w:t>
      </w:r>
      <w:r>
        <w:rPr>
          <w:rFonts w:ascii="Verdana" w:hAnsi="Verdana"/>
          <w:i/>
          <w:w w:val="110"/>
        </w:rPr>
        <w:t>Review,</w:t>
      </w:r>
      <w:r>
        <w:rPr>
          <w:rFonts w:ascii="Verdana" w:hAnsi="Verdana"/>
          <w:i/>
          <w:spacing w:val="-4"/>
          <w:w w:val="110"/>
        </w:rPr>
        <w:t> </w:t>
      </w:r>
      <w:r>
        <w:rPr>
          <w:w w:val="110"/>
        </w:rPr>
        <w:t>insofar as this suggested that</w:t>
      </w:r>
      <w:r>
        <w:rPr>
          <w:spacing w:val="40"/>
          <w:w w:val="110"/>
        </w:rPr>
        <w:t> </w:t>
      </w:r>
      <w:r>
        <w:rPr>
          <w:w w:val="110"/>
        </w:rPr>
        <w:t>the</w:t>
      </w:r>
      <w:r>
        <w:rPr>
          <w:spacing w:val="40"/>
          <w:w w:val="110"/>
        </w:rPr>
        <w:t> </w:t>
      </w:r>
      <w:r>
        <w:rPr>
          <w:w w:val="110"/>
        </w:rPr>
        <w:t>fact</w:t>
      </w:r>
      <w:r>
        <w:rPr>
          <w:spacing w:val="40"/>
          <w:w w:val="110"/>
        </w:rPr>
        <w:t> </w:t>
      </w:r>
      <w:r>
        <w:rPr>
          <w:w w:val="110"/>
        </w:rPr>
        <w:t>that</w:t>
      </w:r>
      <w:r>
        <w:rPr>
          <w:spacing w:val="40"/>
          <w:w w:val="110"/>
        </w:rPr>
        <w:t> </w:t>
      </w:r>
      <w:r>
        <w:rPr>
          <w:w w:val="110"/>
        </w:rPr>
        <w:t>a</w:t>
      </w:r>
      <w:r>
        <w:rPr>
          <w:spacing w:val="40"/>
          <w:w w:val="110"/>
        </w:rPr>
        <w:t> </w:t>
      </w:r>
      <w:r>
        <w:rPr>
          <w:w w:val="110"/>
        </w:rPr>
        <w:t>particular</w:t>
      </w:r>
      <w:r>
        <w:rPr>
          <w:spacing w:val="40"/>
          <w:w w:val="110"/>
        </w:rPr>
        <w:t> </w:t>
      </w:r>
      <w:r>
        <w:rPr>
          <w:w w:val="110"/>
        </w:rPr>
        <w:t>right is covered by both the ECHR and </w:t>
      </w:r>
      <w:r>
        <w:rPr>
          <w:rFonts w:ascii="Lucida Sans Unicode" w:hAnsi="Lucida Sans Unicode"/>
          <w:spacing w:val="-2"/>
          <w:w w:val="110"/>
        </w:rPr>
        <w:t>the</w:t>
      </w:r>
      <w:r>
        <w:rPr>
          <w:rFonts w:ascii="Lucida Sans Unicode" w:hAnsi="Lucida Sans Unicode"/>
          <w:spacing w:val="-18"/>
          <w:w w:val="110"/>
        </w:rPr>
        <w:t> </w:t>
      </w:r>
      <w:r>
        <w:rPr>
          <w:rFonts w:ascii="Lucida Sans Unicode" w:hAnsi="Lucida Sans Unicode"/>
          <w:spacing w:val="-2"/>
          <w:w w:val="110"/>
        </w:rPr>
        <w:t>Charter</w:t>
      </w:r>
      <w:r>
        <w:rPr>
          <w:rFonts w:ascii="Lucida Sans Unicode" w:hAnsi="Lucida Sans Unicode"/>
          <w:spacing w:val="-18"/>
          <w:w w:val="110"/>
        </w:rPr>
        <w:t> </w:t>
      </w:r>
      <w:r>
        <w:rPr>
          <w:rFonts w:ascii="Lucida Sans Unicode" w:hAnsi="Lucida Sans Unicode"/>
          <w:spacing w:val="-2"/>
          <w:w w:val="110"/>
        </w:rPr>
        <w:t>would</w:t>
      </w:r>
      <w:r>
        <w:rPr>
          <w:rFonts w:ascii="Lucida Sans Unicode" w:hAnsi="Lucida Sans Unicode"/>
          <w:spacing w:val="-18"/>
          <w:w w:val="110"/>
        </w:rPr>
        <w:t> </w:t>
      </w:r>
      <w:r>
        <w:rPr>
          <w:rFonts w:ascii="Lucida Sans Unicode" w:hAnsi="Lucida Sans Unicode"/>
          <w:spacing w:val="-2"/>
          <w:w w:val="110"/>
        </w:rPr>
        <w:t>be</w:t>
      </w:r>
      <w:r>
        <w:rPr>
          <w:rFonts w:ascii="Lucida Sans Unicode" w:hAnsi="Lucida Sans Unicode"/>
          <w:spacing w:val="-18"/>
          <w:w w:val="110"/>
        </w:rPr>
        <w:t> </w:t>
      </w:r>
      <w:r>
        <w:rPr>
          <w:rFonts w:ascii="Lucida Sans Unicode" w:hAnsi="Lucida Sans Unicode"/>
          <w:spacing w:val="-2"/>
          <w:w w:val="110"/>
        </w:rPr>
        <w:t>sufficient </w:t>
      </w:r>
      <w:r>
        <w:rPr>
          <w:w w:val="110"/>
        </w:rPr>
        <w:t>evidence that the right had not</w:t>
      </w:r>
      <w:r>
        <w:rPr>
          <w:spacing w:val="80"/>
          <w:w w:val="110"/>
        </w:rPr>
        <w:t> </w:t>
      </w:r>
      <w:r>
        <w:rPr>
          <w:w w:val="110"/>
        </w:rPr>
        <w:t>been</w:t>
      </w:r>
      <w:r>
        <w:rPr>
          <w:spacing w:val="-15"/>
          <w:w w:val="110"/>
        </w:rPr>
        <w:t> </w:t>
      </w:r>
      <w:r>
        <w:rPr>
          <w:w w:val="110"/>
        </w:rPr>
        <w:t>domestically</w:t>
      </w:r>
      <w:r>
        <w:rPr>
          <w:spacing w:val="-13"/>
          <w:w w:val="110"/>
        </w:rPr>
        <w:t> </w:t>
      </w:r>
      <w:r>
        <w:rPr>
          <w:w w:val="110"/>
        </w:rPr>
        <w:t>diminished.</w:t>
      </w:r>
      <w:r>
        <w:rPr>
          <w:rFonts w:ascii="Lucida Sans Unicode" w:hAnsi="Lucida Sans Unicode"/>
          <w:w w:val="110"/>
          <w:vertAlign w:val="superscript"/>
        </w:rPr>
        <w:t>242</w:t>
      </w:r>
      <w:r>
        <w:rPr>
          <w:rFonts w:ascii="Lucida Sans Unicode" w:hAnsi="Lucida Sans Unicode"/>
          <w:spacing w:val="-21"/>
          <w:w w:val="110"/>
          <w:vertAlign w:val="baseline"/>
        </w:rPr>
        <w:t> </w:t>
      </w:r>
      <w:r>
        <w:rPr>
          <w:w w:val="110"/>
          <w:vertAlign w:val="baseline"/>
        </w:rPr>
        <w:t>As we noted in Chapter </w:t>
      </w:r>
      <w:r>
        <w:rPr>
          <w:vertAlign w:val="baseline"/>
        </w:rPr>
        <w:t>1, </w:t>
      </w:r>
      <w:r>
        <w:rPr>
          <w:w w:val="110"/>
          <w:vertAlign w:val="baseline"/>
        </w:rPr>
        <w:t>even if the rights</w:t>
      </w:r>
      <w:r>
        <w:rPr>
          <w:spacing w:val="40"/>
          <w:w w:val="110"/>
          <w:vertAlign w:val="baseline"/>
        </w:rPr>
        <w:t> </w:t>
      </w:r>
      <w:r>
        <w:rPr>
          <w:w w:val="110"/>
          <w:vertAlign w:val="baseline"/>
        </w:rPr>
        <w:t>are</w:t>
      </w:r>
      <w:r>
        <w:rPr>
          <w:spacing w:val="40"/>
          <w:w w:val="110"/>
          <w:vertAlign w:val="baseline"/>
        </w:rPr>
        <w:t> </w:t>
      </w:r>
      <w:r>
        <w:rPr>
          <w:w w:val="110"/>
          <w:vertAlign w:val="baseline"/>
        </w:rPr>
        <w:t>protected</w:t>
      </w:r>
      <w:r>
        <w:rPr>
          <w:spacing w:val="40"/>
          <w:w w:val="110"/>
          <w:vertAlign w:val="baseline"/>
        </w:rPr>
        <w:t> </w:t>
      </w:r>
      <w:r>
        <w:rPr>
          <w:w w:val="110"/>
          <w:vertAlign w:val="baseline"/>
        </w:rPr>
        <w:t>substantively</w:t>
      </w:r>
      <w:r>
        <w:rPr>
          <w:spacing w:val="40"/>
          <w:w w:val="110"/>
          <w:vertAlign w:val="baseline"/>
        </w:rPr>
        <w:t> </w:t>
      </w:r>
      <w:r>
        <w:rPr>
          <w:w w:val="110"/>
          <w:vertAlign w:val="baseline"/>
        </w:rPr>
        <w:t>in both systems to the same extent, diminution may still occur because</w:t>
      </w:r>
    </w:p>
    <w:p>
      <w:pPr>
        <w:pStyle w:val="BodyText"/>
        <w:spacing w:line="276" w:lineRule="auto" w:before="21"/>
        <w:ind w:right="254"/>
      </w:pPr>
      <w:r>
        <w:rPr>
          <w:w w:val="110"/>
        </w:rPr>
        <w:t>the Charter version of the right offers</w:t>
      </w:r>
      <w:r>
        <w:rPr>
          <w:spacing w:val="40"/>
          <w:w w:val="110"/>
        </w:rPr>
        <w:t> </w:t>
      </w:r>
      <w:r>
        <w:rPr>
          <w:w w:val="110"/>
        </w:rPr>
        <w:t>a stronger protection of individuals before domestic courts than its </w:t>
      </w:r>
      <w:r>
        <w:rPr>
          <w:w w:val="110"/>
        </w:rPr>
        <w:t>ECHR version, eg, through the additional remedies that the Charter entailed</w:t>
      </w:r>
    </w:p>
    <w:p>
      <w:pPr>
        <w:spacing w:after="0" w:line="276" w:lineRule="auto"/>
        <w:sectPr>
          <w:type w:val="continuous"/>
          <w:pgSz w:w="11910" w:h="16840"/>
          <w:pgMar w:header="568" w:footer="580" w:top="0" w:bottom="280" w:left="1020" w:right="1020"/>
          <w:cols w:num="2" w:equalWidth="0">
            <w:col w:w="4747" w:space="299"/>
            <w:col w:w="4824"/>
          </w:cols>
        </w:sectPr>
      </w:pPr>
    </w:p>
    <w:p>
      <w:pPr>
        <w:pStyle w:val="BodyText"/>
        <w:spacing w:before="6"/>
        <w:ind w:left="0"/>
        <w:rPr>
          <w:sz w:val="14"/>
        </w:rPr>
      </w:pPr>
    </w:p>
    <w:p>
      <w:pPr>
        <w:pStyle w:val="BodyText"/>
        <w:spacing w:line="20" w:lineRule="exact"/>
        <w:rPr>
          <w:sz w:val="2"/>
        </w:rPr>
      </w:pPr>
      <w:r>
        <w:rPr>
          <w:sz w:val="2"/>
        </w:rPr>
        <mc:AlternateContent>
          <mc:Choice Requires="wps">
            <w:drawing>
              <wp:inline distT="0" distB="0" distL="0" distR="0">
                <wp:extent cx="6120130" cy="6350"/>
                <wp:effectExtent l="9525" t="0" r="0" b="3175"/>
                <wp:docPr id="155" name="Group 155"/>
                <wp:cNvGraphicFramePr>
                  <a:graphicFrameLocks/>
                </wp:cNvGraphicFramePr>
                <a:graphic>
                  <a:graphicData uri="http://schemas.microsoft.com/office/word/2010/wordprocessingGroup">
                    <wpg:wgp>
                      <wpg:cNvPr id="155" name="Group 155"/>
                      <wpg:cNvGrpSpPr/>
                      <wpg:grpSpPr>
                        <a:xfrm>
                          <a:off x="0" y="0"/>
                          <a:ext cx="6120130" cy="6350"/>
                          <a:chExt cx="6120130" cy="6350"/>
                        </a:xfrm>
                      </wpg:grpSpPr>
                      <wps:wsp>
                        <wps:cNvPr id="156" name="Graphic 156"/>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96"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14"/>
        </w:numPr>
        <w:tabs>
          <w:tab w:pos="564" w:val="left" w:leader="none"/>
        </w:tabs>
        <w:spacing w:line="240" w:lineRule="auto" w:before="61" w:after="0"/>
        <w:ind w:left="564" w:right="0" w:hanging="451"/>
        <w:jc w:val="left"/>
        <w:rPr>
          <w:sz w:val="16"/>
        </w:rPr>
      </w:pPr>
      <w:r>
        <w:rPr>
          <w:rFonts w:ascii="Verdana"/>
          <w:i/>
          <w:sz w:val="16"/>
        </w:rPr>
        <w:t>Angesom</w:t>
      </w:r>
      <w:r>
        <w:rPr>
          <w:rFonts w:ascii="Verdana"/>
          <w:i/>
          <w:spacing w:val="-3"/>
          <w:sz w:val="16"/>
        </w:rPr>
        <w:t> </w:t>
      </w:r>
      <w:r>
        <w:rPr>
          <w:sz w:val="16"/>
        </w:rPr>
        <w:t>(n</w:t>
      </w:r>
      <w:r>
        <w:rPr>
          <w:spacing w:val="4"/>
          <w:sz w:val="16"/>
        </w:rPr>
        <w:t> </w:t>
      </w:r>
      <w:r>
        <w:rPr>
          <w:sz w:val="16"/>
        </w:rPr>
        <w:t>33),</w:t>
      </w:r>
      <w:r>
        <w:rPr>
          <w:spacing w:val="4"/>
          <w:sz w:val="16"/>
        </w:rPr>
        <w:t> </w:t>
      </w:r>
      <w:r>
        <w:rPr>
          <w:sz w:val="16"/>
        </w:rPr>
        <w:t>para</w:t>
      </w:r>
      <w:r>
        <w:rPr>
          <w:spacing w:val="4"/>
          <w:sz w:val="16"/>
        </w:rPr>
        <w:t> </w:t>
      </w:r>
      <w:r>
        <w:rPr>
          <w:spacing w:val="-4"/>
          <w:sz w:val="16"/>
        </w:rPr>
        <w:t>103.</w:t>
      </w:r>
    </w:p>
    <w:p>
      <w:pPr>
        <w:spacing w:after="0" w:line="240" w:lineRule="auto"/>
        <w:jc w:val="left"/>
        <w:rPr>
          <w:sz w:val="16"/>
        </w:rPr>
        <w:sectPr>
          <w:type w:val="continuous"/>
          <w:pgSz w:w="11910" w:h="16840"/>
          <w:pgMar w:header="568" w:footer="580" w:top="0" w:bottom="280" w:left="1020" w:right="1020"/>
        </w:sectPr>
      </w:pPr>
    </w:p>
    <w:p>
      <w:pPr>
        <w:pStyle w:val="BodyText"/>
        <w:ind w:left="0"/>
        <w:rPr>
          <w:rFonts w:ascii="Lucida Sans Unicode"/>
        </w:rPr>
      </w:pPr>
    </w:p>
    <w:p>
      <w:pPr>
        <w:pStyle w:val="BodyText"/>
        <w:spacing w:before="68"/>
        <w:ind w:left="0"/>
        <w:rPr>
          <w:rFonts w:ascii="Lucida Sans Unicode"/>
        </w:rPr>
      </w:pPr>
    </w:p>
    <w:p>
      <w:pPr>
        <w:pStyle w:val="BodyText"/>
        <w:spacing w:line="208" w:lineRule="auto"/>
        <w:ind w:right="5777"/>
        <w:jc w:val="both"/>
      </w:pPr>
      <w:r>
        <w:rPr>
          <w:w w:val="110"/>
        </w:rPr>
        <w:t>compared</w:t>
      </w:r>
      <w:r>
        <w:rPr>
          <w:spacing w:val="-10"/>
          <w:w w:val="110"/>
        </w:rPr>
        <w:t> </w:t>
      </w:r>
      <w:r>
        <w:rPr>
          <w:w w:val="110"/>
        </w:rPr>
        <w:t>to</w:t>
      </w:r>
      <w:r>
        <w:rPr>
          <w:spacing w:val="-10"/>
          <w:w w:val="110"/>
        </w:rPr>
        <w:t> </w:t>
      </w:r>
      <w:r>
        <w:rPr>
          <w:w w:val="110"/>
        </w:rPr>
        <w:t>the</w:t>
      </w:r>
      <w:r>
        <w:rPr>
          <w:spacing w:val="-10"/>
          <w:w w:val="110"/>
        </w:rPr>
        <w:t> </w:t>
      </w:r>
      <w:r>
        <w:rPr>
          <w:w w:val="110"/>
        </w:rPr>
        <w:t>HRA.</w:t>
      </w:r>
      <w:r>
        <w:rPr>
          <w:rFonts w:ascii="Lucida Sans Unicode"/>
          <w:w w:val="110"/>
          <w:vertAlign w:val="superscript"/>
        </w:rPr>
        <w:t>243</w:t>
      </w:r>
      <w:r>
        <w:rPr>
          <w:rFonts w:ascii="Lucida Sans Unicode"/>
          <w:spacing w:val="-20"/>
          <w:w w:val="110"/>
          <w:vertAlign w:val="baseline"/>
        </w:rPr>
        <w:t> </w:t>
      </w:r>
      <w:r>
        <w:rPr>
          <w:w w:val="110"/>
          <w:vertAlign w:val="baseline"/>
        </w:rPr>
        <w:t>We</w:t>
      </w:r>
      <w:r>
        <w:rPr>
          <w:spacing w:val="-10"/>
          <w:w w:val="110"/>
          <w:vertAlign w:val="baseline"/>
        </w:rPr>
        <w:t> </w:t>
      </w:r>
      <w:r>
        <w:rPr>
          <w:w w:val="110"/>
          <w:vertAlign w:val="baseline"/>
        </w:rPr>
        <w:t>thus </w:t>
      </w:r>
      <w:r>
        <w:rPr>
          <w:rFonts w:ascii="Lucida Sans Unicode"/>
          <w:vertAlign w:val="baseline"/>
        </w:rPr>
        <w:t>welcome the helpful refinements </w:t>
      </w:r>
      <w:r>
        <w:rPr>
          <w:w w:val="110"/>
          <w:vertAlign w:val="baseline"/>
        </w:rPr>
        <w:t>on </w:t>
      </w:r>
      <w:r>
        <w:rPr>
          <w:rFonts w:ascii="Verdana"/>
          <w:i/>
          <w:w w:val="110"/>
          <w:vertAlign w:val="baseline"/>
        </w:rPr>
        <w:t>Angesom</w:t>
      </w:r>
      <w:r>
        <w:rPr>
          <w:rFonts w:ascii="Verdana"/>
          <w:i/>
          <w:spacing w:val="-13"/>
          <w:w w:val="110"/>
          <w:vertAlign w:val="baseline"/>
        </w:rPr>
        <w:t> </w:t>
      </w:r>
      <w:r>
        <w:rPr>
          <w:w w:val="110"/>
          <w:vertAlign w:val="baseline"/>
        </w:rPr>
        <w:t>offered in </w:t>
      </w:r>
      <w:r>
        <w:rPr>
          <w:rFonts w:ascii="Verdana"/>
          <w:i/>
          <w:w w:val="110"/>
          <w:vertAlign w:val="baseline"/>
        </w:rPr>
        <w:t>Dillon</w:t>
      </w:r>
      <w:r>
        <w:rPr>
          <w:w w:val="110"/>
          <w:vertAlign w:val="baseline"/>
        </w:rPr>
        <w:t>,</w:t>
      </w:r>
    </w:p>
    <w:p>
      <w:pPr>
        <w:pStyle w:val="BodyText"/>
        <w:spacing w:line="310" w:lineRule="exact" w:before="15"/>
        <w:ind w:right="5095"/>
      </w:pPr>
      <w:r>
        <w:rPr>
          <w:w w:val="115"/>
        </w:rPr>
        <w:t>where Colton J fully recognises that diminution</w:t>
      </w:r>
      <w:r>
        <w:rPr>
          <w:spacing w:val="-7"/>
          <w:w w:val="115"/>
        </w:rPr>
        <w:t> </w:t>
      </w:r>
      <w:r>
        <w:rPr>
          <w:w w:val="115"/>
        </w:rPr>
        <w:t>comprises</w:t>
      </w:r>
      <w:r>
        <w:rPr>
          <w:spacing w:val="-7"/>
          <w:w w:val="115"/>
        </w:rPr>
        <w:t> </w:t>
      </w:r>
      <w:r>
        <w:rPr>
          <w:w w:val="115"/>
        </w:rPr>
        <w:t>an</w:t>
      </w:r>
      <w:r>
        <w:rPr>
          <w:spacing w:val="-7"/>
          <w:w w:val="115"/>
        </w:rPr>
        <w:t> </w:t>
      </w:r>
      <w:r>
        <w:rPr>
          <w:w w:val="115"/>
        </w:rPr>
        <w:t>assessment of</w:t>
      </w:r>
      <w:r>
        <w:rPr>
          <w:spacing w:val="-6"/>
          <w:w w:val="115"/>
        </w:rPr>
        <w:t> </w:t>
      </w:r>
      <w:r>
        <w:rPr>
          <w:w w:val="115"/>
        </w:rPr>
        <w:t>the</w:t>
      </w:r>
      <w:r>
        <w:rPr>
          <w:spacing w:val="-6"/>
          <w:w w:val="115"/>
        </w:rPr>
        <w:t> </w:t>
      </w:r>
      <w:r>
        <w:rPr>
          <w:w w:val="115"/>
        </w:rPr>
        <w:t>available</w:t>
      </w:r>
      <w:r>
        <w:rPr>
          <w:spacing w:val="-6"/>
          <w:w w:val="115"/>
        </w:rPr>
        <w:t> </w:t>
      </w:r>
      <w:r>
        <w:rPr>
          <w:w w:val="115"/>
        </w:rPr>
        <w:t>remedies,</w:t>
      </w:r>
      <w:r>
        <w:rPr>
          <w:spacing w:val="-6"/>
          <w:w w:val="115"/>
        </w:rPr>
        <w:t> </w:t>
      </w:r>
      <w:r>
        <w:rPr>
          <w:w w:val="115"/>
        </w:rPr>
        <w:t>even</w:t>
      </w:r>
      <w:r>
        <w:rPr>
          <w:spacing w:val="-6"/>
          <w:w w:val="115"/>
        </w:rPr>
        <w:t> </w:t>
      </w:r>
      <w:r>
        <w:rPr>
          <w:w w:val="115"/>
        </w:rPr>
        <w:t>in</w:t>
      </w:r>
      <w:r>
        <w:rPr>
          <w:spacing w:val="-6"/>
          <w:w w:val="115"/>
        </w:rPr>
        <w:t> </w:t>
      </w:r>
      <w:r>
        <w:rPr>
          <w:w w:val="115"/>
        </w:rPr>
        <w:t>a </w:t>
      </w:r>
      <w:r>
        <w:rPr>
          <w:w w:val="110"/>
        </w:rPr>
        <w:t>situation where the ECHR and </w:t>
      </w:r>
      <w:r>
        <w:rPr>
          <w:w w:val="110"/>
        </w:rPr>
        <w:t>Charter </w:t>
      </w:r>
      <w:r>
        <w:rPr>
          <w:w w:val="115"/>
        </w:rPr>
        <w:t>rights</w:t>
      </w:r>
      <w:r>
        <w:rPr>
          <w:spacing w:val="-13"/>
          <w:w w:val="115"/>
        </w:rPr>
        <w:t> </w:t>
      </w:r>
      <w:r>
        <w:rPr>
          <w:w w:val="115"/>
        </w:rPr>
        <w:t>have</w:t>
      </w:r>
      <w:r>
        <w:rPr>
          <w:spacing w:val="-12"/>
          <w:w w:val="115"/>
        </w:rPr>
        <w:t> </w:t>
      </w:r>
      <w:r>
        <w:rPr>
          <w:w w:val="115"/>
        </w:rPr>
        <w:t>the</w:t>
      </w:r>
      <w:r>
        <w:rPr>
          <w:spacing w:val="-12"/>
          <w:w w:val="115"/>
        </w:rPr>
        <w:t> </w:t>
      </w:r>
      <w:r>
        <w:rPr>
          <w:w w:val="115"/>
        </w:rPr>
        <w:t>same</w:t>
      </w:r>
      <w:r>
        <w:rPr>
          <w:spacing w:val="-12"/>
          <w:w w:val="115"/>
        </w:rPr>
        <w:t> </w:t>
      </w:r>
      <w:r>
        <w:rPr>
          <w:w w:val="115"/>
        </w:rPr>
        <w:t>meaning:</w:t>
      </w:r>
      <w:r>
        <w:rPr>
          <w:rFonts w:ascii="Lucida Sans Unicode" w:hAnsi="Lucida Sans Unicode"/>
          <w:w w:val="115"/>
          <w:vertAlign w:val="superscript"/>
        </w:rPr>
        <w:t>244</w:t>
      </w:r>
      <w:r>
        <w:rPr>
          <w:rFonts w:ascii="Lucida Sans Unicode" w:hAnsi="Lucida Sans Unicode"/>
          <w:spacing w:val="-22"/>
          <w:w w:val="115"/>
          <w:vertAlign w:val="baseline"/>
        </w:rPr>
        <w:t> </w:t>
      </w:r>
      <w:r>
        <w:rPr>
          <w:w w:val="115"/>
          <w:vertAlign w:val="baseline"/>
        </w:rPr>
        <w:t>‘if the relevant rights are co-extensive, the</w:t>
      </w:r>
      <w:r>
        <w:rPr>
          <w:spacing w:val="-4"/>
          <w:w w:val="115"/>
          <w:vertAlign w:val="baseline"/>
        </w:rPr>
        <w:t> </w:t>
      </w:r>
      <w:r>
        <w:rPr>
          <w:w w:val="115"/>
          <w:vertAlign w:val="baseline"/>
        </w:rPr>
        <w:t>applicant</w:t>
      </w:r>
      <w:r>
        <w:rPr>
          <w:spacing w:val="-4"/>
          <w:w w:val="115"/>
          <w:vertAlign w:val="baseline"/>
        </w:rPr>
        <w:t> </w:t>
      </w:r>
      <w:r>
        <w:rPr>
          <w:w w:val="115"/>
          <w:vertAlign w:val="baseline"/>
        </w:rPr>
        <w:t>is</w:t>
      </w:r>
      <w:r>
        <w:rPr>
          <w:spacing w:val="-4"/>
          <w:w w:val="115"/>
          <w:vertAlign w:val="baseline"/>
        </w:rPr>
        <w:t> </w:t>
      </w:r>
      <w:r>
        <w:rPr>
          <w:w w:val="115"/>
          <w:vertAlign w:val="baseline"/>
        </w:rPr>
        <w:t>entitled</w:t>
      </w:r>
      <w:r>
        <w:rPr>
          <w:spacing w:val="-4"/>
          <w:w w:val="115"/>
          <w:vertAlign w:val="baseline"/>
        </w:rPr>
        <w:t> </w:t>
      </w:r>
      <w:r>
        <w:rPr>
          <w:w w:val="115"/>
          <w:vertAlign w:val="baseline"/>
        </w:rPr>
        <w:t>to</w:t>
      </w:r>
      <w:r>
        <w:rPr>
          <w:spacing w:val="-4"/>
          <w:w w:val="115"/>
          <w:vertAlign w:val="baseline"/>
        </w:rPr>
        <w:t> </w:t>
      </w:r>
      <w:r>
        <w:rPr>
          <w:w w:val="115"/>
          <w:vertAlign w:val="baseline"/>
        </w:rPr>
        <w:t>the</w:t>
      </w:r>
      <w:r>
        <w:rPr>
          <w:spacing w:val="-4"/>
          <w:w w:val="115"/>
          <w:vertAlign w:val="baseline"/>
        </w:rPr>
        <w:t> </w:t>
      </w:r>
      <w:r>
        <w:rPr>
          <w:w w:val="115"/>
          <w:vertAlign w:val="baseline"/>
        </w:rPr>
        <w:t>greater remedy.’</w:t>
      </w:r>
      <w:r>
        <w:rPr>
          <w:rFonts w:ascii="Lucida Sans Unicode" w:hAnsi="Lucida Sans Unicode"/>
          <w:w w:val="115"/>
          <w:vertAlign w:val="superscript"/>
        </w:rPr>
        <w:t>245</w:t>
      </w:r>
      <w:r>
        <w:rPr>
          <w:rFonts w:ascii="Lucida Sans Unicode" w:hAnsi="Lucida Sans Unicode"/>
          <w:spacing w:val="-22"/>
          <w:w w:val="115"/>
          <w:vertAlign w:val="baseline"/>
        </w:rPr>
        <w:t> </w:t>
      </w:r>
      <w:r>
        <w:rPr>
          <w:w w:val="115"/>
          <w:vertAlign w:val="baseline"/>
        </w:rPr>
        <w:t>In</w:t>
      </w:r>
      <w:r>
        <w:rPr>
          <w:spacing w:val="-15"/>
          <w:w w:val="115"/>
          <w:vertAlign w:val="baseline"/>
        </w:rPr>
        <w:t> </w:t>
      </w:r>
      <w:r>
        <w:rPr>
          <w:w w:val="115"/>
          <w:vertAlign w:val="baseline"/>
        </w:rPr>
        <w:t>the</w:t>
      </w:r>
      <w:r>
        <w:rPr>
          <w:spacing w:val="-14"/>
          <w:w w:val="115"/>
          <w:vertAlign w:val="baseline"/>
        </w:rPr>
        <w:t> </w:t>
      </w:r>
      <w:r>
        <w:rPr>
          <w:w w:val="115"/>
          <w:vertAlign w:val="baseline"/>
        </w:rPr>
        <w:t>following</w:t>
      </w:r>
      <w:r>
        <w:rPr>
          <w:spacing w:val="-14"/>
          <w:w w:val="115"/>
          <w:vertAlign w:val="baseline"/>
        </w:rPr>
        <w:t> </w:t>
      </w:r>
      <w:r>
        <w:rPr>
          <w:w w:val="115"/>
          <w:vertAlign w:val="baseline"/>
        </w:rPr>
        <w:t>chapter, we</w:t>
      </w:r>
      <w:r>
        <w:rPr>
          <w:spacing w:val="-4"/>
          <w:w w:val="115"/>
          <w:vertAlign w:val="baseline"/>
        </w:rPr>
        <w:t> </w:t>
      </w:r>
      <w:r>
        <w:rPr>
          <w:w w:val="115"/>
          <w:vertAlign w:val="baseline"/>
        </w:rPr>
        <w:t>delve</w:t>
      </w:r>
      <w:r>
        <w:rPr>
          <w:spacing w:val="-4"/>
          <w:w w:val="115"/>
          <w:vertAlign w:val="baseline"/>
        </w:rPr>
        <w:t> </w:t>
      </w:r>
      <w:r>
        <w:rPr>
          <w:w w:val="115"/>
          <w:vertAlign w:val="baseline"/>
        </w:rPr>
        <w:t>further</w:t>
      </w:r>
      <w:r>
        <w:rPr>
          <w:spacing w:val="-4"/>
          <w:w w:val="115"/>
          <w:vertAlign w:val="baseline"/>
        </w:rPr>
        <w:t> </w:t>
      </w:r>
      <w:r>
        <w:rPr>
          <w:w w:val="115"/>
          <w:vertAlign w:val="baseline"/>
        </w:rPr>
        <w:t>into</w:t>
      </w:r>
      <w:r>
        <w:rPr>
          <w:spacing w:val="-4"/>
          <w:w w:val="115"/>
          <w:vertAlign w:val="baseline"/>
        </w:rPr>
        <w:t> </w:t>
      </w:r>
      <w:r>
        <w:rPr>
          <w:w w:val="115"/>
          <w:vertAlign w:val="baseline"/>
        </w:rPr>
        <w:t>how</w:t>
      </w:r>
      <w:r>
        <w:rPr>
          <w:spacing w:val="-4"/>
          <w:w w:val="115"/>
          <w:vertAlign w:val="baseline"/>
        </w:rPr>
        <w:t> </w:t>
      </w:r>
      <w:r>
        <w:rPr>
          <w:w w:val="115"/>
          <w:vertAlign w:val="baseline"/>
        </w:rPr>
        <w:t>the</w:t>
      </w:r>
      <w:r>
        <w:rPr>
          <w:spacing w:val="-4"/>
          <w:w w:val="115"/>
          <w:vertAlign w:val="baseline"/>
        </w:rPr>
        <w:t> </w:t>
      </w:r>
      <w:r>
        <w:rPr>
          <w:w w:val="115"/>
          <w:vertAlign w:val="baseline"/>
        </w:rPr>
        <w:t>Charter placed individuals in a stronger remedial position than the ECHR before Brexit and why the additional remedies it offered are key to the analysis of diminution.</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36"/>
        <w:ind w:left="0"/>
        <w:rPr>
          <w:sz w:val="20"/>
        </w:rPr>
      </w:pPr>
      <w:r>
        <w:rPr/>
        <mc:AlternateContent>
          <mc:Choice Requires="wps">
            <w:drawing>
              <wp:anchor distT="0" distB="0" distL="0" distR="0" allowOverlap="1" layoutInCell="1" locked="0" behindDoc="1" simplePos="0" relativeHeight="487619584">
                <wp:simplePos x="0" y="0"/>
                <wp:positionH relativeFrom="page">
                  <wp:posOffset>719999</wp:posOffset>
                </wp:positionH>
                <wp:positionV relativeFrom="paragraph">
                  <wp:posOffset>247959</wp:posOffset>
                </wp:positionV>
                <wp:extent cx="6120130" cy="1270"/>
                <wp:effectExtent l="0" t="0" r="0" b="0"/>
                <wp:wrapTopAndBottom/>
                <wp:docPr id="157" name="Graphic 157"/>
                <wp:cNvGraphicFramePr>
                  <a:graphicFrameLocks/>
                </wp:cNvGraphicFramePr>
                <a:graphic>
                  <a:graphicData uri="http://schemas.microsoft.com/office/word/2010/wordprocessingShape">
                    <wps:wsp>
                      <wps:cNvPr id="157" name="Graphic 157"/>
                      <wps:cNvSpPr/>
                      <wps:spPr>
                        <a:xfrm>
                          <a:off x="0" y="0"/>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9.524391pt;width:481.9pt;height:.1pt;mso-position-horizontal-relative:page;mso-position-vertical-relative:paragraph;z-index:-15696896;mso-wrap-distance-left:0;mso-wrap-distance-right:0" id="docshape97" coordorigin="1134,390" coordsize="9638,0" path="m1134,390l10772,390e" filled="false" stroked="true" strokeweight=".5pt" strokecolor="#77328a">
                <v:path arrowok="t"/>
                <v:stroke dashstyle="solid"/>
                <w10:wrap type="topAndBottom"/>
              </v:shape>
            </w:pict>
          </mc:Fallback>
        </mc:AlternateContent>
      </w:r>
    </w:p>
    <w:p>
      <w:pPr>
        <w:pStyle w:val="ListParagraph"/>
        <w:numPr>
          <w:ilvl w:val="0"/>
          <w:numId w:val="14"/>
        </w:numPr>
        <w:tabs>
          <w:tab w:pos="565" w:val="left" w:leader="none"/>
          <w:tab w:pos="567" w:val="left" w:leader="none"/>
        </w:tabs>
        <w:spacing w:line="223" w:lineRule="auto" w:before="88" w:after="0"/>
        <w:ind w:left="567" w:right="160" w:hanging="454"/>
        <w:jc w:val="left"/>
        <w:rPr>
          <w:sz w:val="16"/>
        </w:rPr>
      </w:pPr>
      <w:r>
        <w:rPr>
          <w:rFonts w:ascii="Arial"/>
          <w:w w:val="110"/>
          <w:sz w:val="16"/>
        </w:rPr>
        <w:t>The point that the Charter entailed stronger protection remedially than the HRA and may therefore be preferred by</w:t>
      </w:r>
      <w:r>
        <w:rPr>
          <w:rFonts w:ascii="Arial"/>
          <w:spacing w:val="80"/>
          <w:w w:val="110"/>
          <w:sz w:val="16"/>
        </w:rPr>
        <w:t> </w:t>
      </w:r>
      <w:r>
        <w:rPr>
          <w:rFonts w:ascii="Arial"/>
          <w:w w:val="110"/>
          <w:sz w:val="16"/>
        </w:rPr>
        <w:t>applicants for this reason has already been recognised by the Court of Appeal of England and Wales in relation to</w:t>
      </w:r>
      <w:r>
        <w:rPr>
          <w:rFonts w:ascii="Arial"/>
          <w:spacing w:val="40"/>
          <w:w w:val="110"/>
          <w:sz w:val="16"/>
        </w:rPr>
        <w:t> </w:t>
      </w:r>
      <w:r>
        <w:rPr>
          <w:spacing w:val="-2"/>
          <w:w w:val="110"/>
          <w:sz w:val="16"/>
        </w:rPr>
        <w:t>the</w:t>
      </w:r>
      <w:r>
        <w:rPr>
          <w:spacing w:val="-12"/>
          <w:w w:val="110"/>
          <w:sz w:val="16"/>
        </w:rPr>
        <w:t> </w:t>
      </w:r>
      <w:r>
        <w:rPr>
          <w:spacing w:val="-2"/>
          <w:w w:val="110"/>
          <w:sz w:val="16"/>
        </w:rPr>
        <w:t>interpretation</w:t>
      </w:r>
      <w:r>
        <w:rPr>
          <w:spacing w:val="-11"/>
          <w:w w:val="110"/>
          <w:sz w:val="16"/>
        </w:rPr>
        <w:t> </w:t>
      </w:r>
      <w:r>
        <w:rPr>
          <w:spacing w:val="-2"/>
          <w:w w:val="110"/>
          <w:sz w:val="16"/>
        </w:rPr>
        <w:t>of</w:t>
      </w:r>
      <w:r>
        <w:rPr>
          <w:spacing w:val="-11"/>
          <w:w w:val="110"/>
          <w:sz w:val="16"/>
        </w:rPr>
        <w:t> </w:t>
      </w:r>
      <w:r>
        <w:rPr>
          <w:spacing w:val="-2"/>
          <w:w w:val="110"/>
          <w:sz w:val="16"/>
        </w:rPr>
        <w:t>Article</w:t>
      </w:r>
      <w:r>
        <w:rPr>
          <w:spacing w:val="-11"/>
          <w:w w:val="110"/>
          <w:sz w:val="16"/>
        </w:rPr>
        <w:t> </w:t>
      </w:r>
      <w:r>
        <w:rPr>
          <w:spacing w:val="-2"/>
          <w:w w:val="110"/>
          <w:sz w:val="16"/>
        </w:rPr>
        <w:t>4</w:t>
      </w:r>
      <w:r>
        <w:rPr>
          <w:spacing w:val="-11"/>
          <w:w w:val="110"/>
          <w:sz w:val="16"/>
        </w:rPr>
        <w:t> </w:t>
      </w:r>
      <w:r>
        <w:rPr>
          <w:spacing w:val="-2"/>
          <w:w w:val="110"/>
          <w:sz w:val="16"/>
        </w:rPr>
        <w:t>WA</w:t>
      </w:r>
      <w:r>
        <w:rPr>
          <w:spacing w:val="-11"/>
          <w:w w:val="110"/>
          <w:sz w:val="16"/>
        </w:rPr>
        <w:t> </w:t>
      </w:r>
      <w:r>
        <w:rPr>
          <w:spacing w:val="-2"/>
          <w:w w:val="110"/>
          <w:sz w:val="16"/>
        </w:rPr>
        <w:t>in</w:t>
      </w:r>
      <w:r>
        <w:rPr>
          <w:spacing w:val="-11"/>
          <w:w w:val="110"/>
          <w:sz w:val="16"/>
        </w:rPr>
        <w:t> </w:t>
      </w:r>
      <w:r>
        <w:rPr>
          <w:rFonts w:ascii="Verdana"/>
          <w:i/>
          <w:spacing w:val="-2"/>
          <w:w w:val="110"/>
          <w:sz w:val="16"/>
        </w:rPr>
        <w:t>AT</w:t>
      </w:r>
      <w:r>
        <w:rPr>
          <w:rFonts w:ascii="Verdana"/>
          <w:i/>
          <w:spacing w:val="-15"/>
          <w:w w:val="110"/>
          <w:sz w:val="16"/>
        </w:rPr>
        <w:t> </w:t>
      </w:r>
      <w:r>
        <w:rPr>
          <w:spacing w:val="-2"/>
          <w:w w:val="110"/>
          <w:sz w:val="16"/>
        </w:rPr>
        <w:t>(n</w:t>
      </w:r>
      <w:r>
        <w:rPr>
          <w:spacing w:val="-10"/>
          <w:w w:val="110"/>
          <w:sz w:val="16"/>
        </w:rPr>
        <w:t> </w:t>
      </w:r>
      <w:r>
        <w:rPr>
          <w:spacing w:val="-2"/>
          <w:w w:val="110"/>
          <w:sz w:val="16"/>
        </w:rPr>
        <w:t>26),</w:t>
      </w:r>
      <w:r>
        <w:rPr>
          <w:spacing w:val="-11"/>
          <w:w w:val="110"/>
          <w:sz w:val="16"/>
        </w:rPr>
        <w:t> </w:t>
      </w:r>
      <w:r>
        <w:rPr>
          <w:spacing w:val="-2"/>
          <w:w w:val="110"/>
          <w:sz w:val="16"/>
        </w:rPr>
        <w:t>para</w:t>
      </w:r>
      <w:r>
        <w:rPr>
          <w:spacing w:val="-11"/>
          <w:w w:val="110"/>
          <w:sz w:val="16"/>
        </w:rPr>
        <w:t> </w:t>
      </w:r>
      <w:r>
        <w:rPr>
          <w:spacing w:val="-2"/>
          <w:w w:val="110"/>
          <w:sz w:val="16"/>
        </w:rPr>
        <w:t>106.</w:t>
      </w:r>
    </w:p>
    <w:p>
      <w:pPr>
        <w:pStyle w:val="ListParagraph"/>
        <w:numPr>
          <w:ilvl w:val="0"/>
          <w:numId w:val="14"/>
        </w:numPr>
        <w:tabs>
          <w:tab w:pos="565" w:val="left" w:leader="none"/>
        </w:tabs>
        <w:spacing w:line="182" w:lineRule="exact" w:before="0" w:after="0"/>
        <w:ind w:left="565" w:right="0" w:hanging="452"/>
        <w:jc w:val="left"/>
        <w:rPr>
          <w:sz w:val="16"/>
        </w:rPr>
      </w:pPr>
      <w:r>
        <w:rPr>
          <w:rFonts w:ascii="Verdana"/>
          <w:i/>
          <w:spacing w:val="-2"/>
          <w:sz w:val="16"/>
        </w:rPr>
        <w:t>Dillon</w:t>
      </w:r>
      <w:r>
        <w:rPr>
          <w:rFonts w:ascii="Verdana"/>
          <w:i/>
          <w:spacing w:val="-12"/>
          <w:sz w:val="16"/>
        </w:rPr>
        <w:t> </w:t>
      </w:r>
      <w:r>
        <w:rPr>
          <w:spacing w:val="-2"/>
          <w:sz w:val="16"/>
        </w:rPr>
        <w:t>(n</w:t>
      </w:r>
      <w:r>
        <w:rPr>
          <w:spacing w:val="-6"/>
          <w:sz w:val="16"/>
        </w:rPr>
        <w:t> </w:t>
      </w:r>
      <w:r>
        <w:rPr>
          <w:spacing w:val="-2"/>
          <w:sz w:val="16"/>
        </w:rPr>
        <w:t>155),</w:t>
      </w:r>
      <w:r>
        <w:rPr>
          <w:spacing w:val="-6"/>
          <w:sz w:val="16"/>
        </w:rPr>
        <w:t> </w:t>
      </w:r>
      <w:r>
        <w:rPr>
          <w:spacing w:val="-2"/>
          <w:sz w:val="16"/>
        </w:rPr>
        <w:t>paras</w:t>
      </w:r>
      <w:r>
        <w:rPr>
          <w:spacing w:val="-5"/>
          <w:sz w:val="16"/>
        </w:rPr>
        <w:t> </w:t>
      </w:r>
      <w:r>
        <w:rPr>
          <w:spacing w:val="-2"/>
          <w:sz w:val="16"/>
        </w:rPr>
        <w:t>585-</w:t>
      </w:r>
      <w:r>
        <w:rPr>
          <w:spacing w:val="-4"/>
          <w:sz w:val="16"/>
        </w:rPr>
        <w:t>588.</w:t>
      </w:r>
    </w:p>
    <w:p>
      <w:pPr>
        <w:pStyle w:val="ListParagraph"/>
        <w:numPr>
          <w:ilvl w:val="0"/>
          <w:numId w:val="14"/>
        </w:numPr>
        <w:tabs>
          <w:tab w:pos="565" w:val="left" w:leader="none"/>
        </w:tabs>
        <w:spacing w:line="223" w:lineRule="exact" w:before="0" w:after="0"/>
        <w:ind w:left="565" w:right="0" w:hanging="452"/>
        <w:jc w:val="left"/>
        <w:rPr>
          <w:sz w:val="16"/>
        </w:rPr>
      </w:pPr>
      <w:r>
        <w:rPr>
          <w:rFonts w:ascii="Verdana"/>
          <w:i/>
          <w:sz w:val="16"/>
        </w:rPr>
        <w:t>Ibid</w:t>
      </w:r>
      <w:r>
        <w:rPr>
          <w:sz w:val="16"/>
        </w:rPr>
        <w:t>,</w:t>
      </w:r>
      <w:r>
        <w:rPr>
          <w:spacing w:val="-12"/>
          <w:sz w:val="16"/>
        </w:rPr>
        <w:t> </w:t>
      </w:r>
      <w:r>
        <w:rPr>
          <w:sz w:val="16"/>
        </w:rPr>
        <w:t>para</w:t>
      </w:r>
      <w:r>
        <w:rPr>
          <w:spacing w:val="-11"/>
          <w:sz w:val="16"/>
        </w:rPr>
        <w:t> </w:t>
      </w:r>
      <w:r>
        <w:rPr>
          <w:spacing w:val="-4"/>
          <w:sz w:val="16"/>
        </w:rPr>
        <w:t>586.</w:t>
      </w:r>
    </w:p>
    <w:p>
      <w:pPr>
        <w:spacing w:after="0" w:line="223" w:lineRule="exact"/>
        <w:jc w:val="left"/>
        <w:rPr>
          <w:sz w:val="16"/>
        </w:rPr>
        <w:sectPr>
          <w:pgSz w:w="11910" w:h="16840"/>
          <w:pgMar w:header="568" w:footer="580" w:top="840" w:bottom="780" w:left="1020" w:right="1020"/>
        </w:sectPr>
      </w:pPr>
    </w:p>
    <w:p>
      <w:pPr>
        <w:pStyle w:val="Heading1"/>
        <w:spacing w:line="684" w:lineRule="exact" w:before="734"/>
      </w:pPr>
      <w:bookmarkStart w:name="Chapter 4: Charter functions in the dome" w:id="62"/>
      <w:bookmarkEnd w:id="62"/>
      <w:r>
        <w:rPr/>
      </w:r>
      <w:bookmarkStart w:name="1. Introductory remarks " w:id="63"/>
      <w:bookmarkEnd w:id="63"/>
      <w:r>
        <w:rPr/>
      </w:r>
      <w:bookmarkStart w:name="_bookmark26" w:id="64"/>
      <w:bookmarkEnd w:id="64"/>
      <w:r>
        <w:rPr/>
      </w:r>
      <w:r>
        <w:rPr>
          <w:color w:val="77328A"/>
          <w:w w:val="110"/>
        </w:rPr>
        <w:t>Chapter</w:t>
      </w:r>
      <w:r>
        <w:rPr>
          <w:color w:val="77328A"/>
          <w:spacing w:val="57"/>
          <w:w w:val="110"/>
        </w:rPr>
        <w:t> </w:t>
      </w:r>
      <w:r>
        <w:rPr>
          <w:color w:val="77328A"/>
          <w:spacing w:val="-5"/>
          <w:w w:val="110"/>
        </w:rPr>
        <w:t>4:</w:t>
      </w:r>
    </w:p>
    <w:p>
      <w:pPr>
        <w:spacing w:line="470" w:lineRule="exact" w:before="0"/>
        <w:ind w:left="113" w:right="0" w:firstLine="0"/>
        <w:jc w:val="left"/>
        <w:rPr>
          <w:rFonts w:ascii="Tahoma"/>
          <w:b/>
          <w:sz w:val="40"/>
        </w:rPr>
      </w:pPr>
      <w:r>
        <w:rPr>
          <w:rFonts w:ascii="Tahoma"/>
          <w:b/>
          <w:color w:val="77328A"/>
          <w:sz w:val="40"/>
        </w:rPr>
        <w:t>Charter</w:t>
      </w:r>
      <w:r>
        <w:rPr>
          <w:rFonts w:ascii="Tahoma"/>
          <w:b/>
          <w:color w:val="77328A"/>
          <w:spacing w:val="10"/>
          <w:sz w:val="40"/>
        </w:rPr>
        <w:t> </w:t>
      </w:r>
      <w:r>
        <w:rPr>
          <w:rFonts w:ascii="Tahoma"/>
          <w:b/>
          <w:color w:val="77328A"/>
          <w:sz w:val="40"/>
        </w:rPr>
        <w:t>functions</w:t>
      </w:r>
      <w:r>
        <w:rPr>
          <w:rFonts w:ascii="Tahoma"/>
          <w:b/>
          <w:color w:val="77328A"/>
          <w:spacing w:val="11"/>
          <w:sz w:val="40"/>
        </w:rPr>
        <w:t> </w:t>
      </w:r>
      <w:r>
        <w:rPr>
          <w:rFonts w:ascii="Tahoma"/>
          <w:b/>
          <w:color w:val="77328A"/>
          <w:sz w:val="40"/>
        </w:rPr>
        <w:t>in</w:t>
      </w:r>
      <w:r>
        <w:rPr>
          <w:rFonts w:ascii="Tahoma"/>
          <w:b/>
          <w:color w:val="77328A"/>
          <w:spacing w:val="11"/>
          <w:sz w:val="40"/>
        </w:rPr>
        <w:t> </w:t>
      </w:r>
      <w:r>
        <w:rPr>
          <w:rFonts w:ascii="Tahoma"/>
          <w:b/>
          <w:color w:val="77328A"/>
          <w:sz w:val="40"/>
        </w:rPr>
        <w:t>the</w:t>
      </w:r>
      <w:r>
        <w:rPr>
          <w:rFonts w:ascii="Tahoma"/>
          <w:b/>
          <w:color w:val="77328A"/>
          <w:spacing w:val="11"/>
          <w:sz w:val="40"/>
        </w:rPr>
        <w:t> </w:t>
      </w:r>
      <w:r>
        <w:rPr>
          <w:rFonts w:ascii="Tahoma"/>
          <w:b/>
          <w:color w:val="77328A"/>
          <w:sz w:val="40"/>
        </w:rPr>
        <w:t>domestic</w:t>
      </w:r>
      <w:r>
        <w:rPr>
          <w:rFonts w:ascii="Tahoma"/>
          <w:b/>
          <w:color w:val="77328A"/>
          <w:spacing w:val="11"/>
          <w:sz w:val="40"/>
        </w:rPr>
        <w:t> </w:t>
      </w:r>
      <w:r>
        <w:rPr>
          <w:rFonts w:ascii="Tahoma"/>
          <w:b/>
          <w:color w:val="77328A"/>
          <w:sz w:val="40"/>
        </w:rPr>
        <w:t>legal</w:t>
      </w:r>
      <w:r>
        <w:rPr>
          <w:rFonts w:ascii="Tahoma"/>
          <w:b/>
          <w:color w:val="77328A"/>
          <w:spacing w:val="11"/>
          <w:sz w:val="40"/>
        </w:rPr>
        <w:t> </w:t>
      </w:r>
      <w:r>
        <w:rPr>
          <w:rFonts w:ascii="Tahoma"/>
          <w:b/>
          <w:color w:val="77328A"/>
          <w:spacing w:val="-2"/>
          <w:sz w:val="40"/>
        </w:rPr>
        <w:t>order</w:t>
      </w:r>
    </w:p>
    <w:p>
      <w:pPr>
        <w:spacing w:before="25"/>
        <w:ind w:left="113" w:right="0" w:firstLine="0"/>
        <w:jc w:val="left"/>
        <w:rPr>
          <w:rFonts w:ascii="Tahoma"/>
          <w:b/>
          <w:sz w:val="40"/>
        </w:rPr>
      </w:pPr>
      <w:r>
        <w:rPr>
          <w:rFonts w:ascii="Tahoma"/>
          <w:b/>
          <w:color w:val="77328A"/>
          <w:sz w:val="40"/>
        </w:rPr>
        <w:t>pre</w:t>
      </w:r>
      <w:r>
        <w:rPr>
          <w:rFonts w:ascii="Tahoma"/>
          <w:b/>
          <w:color w:val="77328A"/>
          <w:spacing w:val="14"/>
          <w:sz w:val="40"/>
        </w:rPr>
        <w:t> </w:t>
      </w:r>
      <w:r>
        <w:rPr>
          <w:rFonts w:ascii="Tahoma"/>
          <w:b/>
          <w:color w:val="77328A"/>
          <w:sz w:val="40"/>
        </w:rPr>
        <w:t>and</w:t>
      </w:r>
      <w:r>
        <w:rPr>
          <w:rFonts w:ascii="Tahoma"/>
          <w:b/>
          <w:color w:val="77328A"/>
          <w:spacing w:val="15"/>
          <w:sz w:val="40"/>
        </w:rPr>
        <w:t> </w:t>
      </w:r>
      <w:r>
        <w:rPr>
          <w:rFonts w:ascii="Tahoma"/>
          <w:b/>
          <w:color w:val="77328A"/>
          <w:sz w:val="40"/>
        </w:rPr>
        <w:t>post</w:t>
      </w:r>
      <w:r>
        <w:rPr>
          <w:rFonts w:ascii="Tahoma"/>
          <w:b/>
          <w:color w:val="77328A"/>
          <w:spacing w:val="15"/>
          <w:sz w:val="40"/>
        </w:rPr>
        <w:t> </w:t>
      </w:r>
      <w:r>
        <w:rPr>
          <w:rFonts w:ascii="Tahoma"/>
          <w:b/>
          <w:color w:val="77328A"/>
          <w:spacing w:val="-2"/>
          <w:sz w:val="40"/>
        </w:rPr>
        <w:t>Brexit</w:t>
      </w:r>
    </w:p>
    <w:p>
      <w:pPr>
        <w:pStyle w:val="BodyText"/>
        <w:spacing w:before="138"/>
        <w:ind w:left="0"/>
        <w:rPr>
          <w:rFonts w:ascii="Tahoma"/>
          <w:b/>
          <w:sz w:val="20"/>
        </w:rPr>
      </w:pPr>
    </w:p>
    <w:p>
      <w:pPr>
        <w:spacing w:after="0"/>
        <w:rPr>
          <w:rFonts w:ascii="Tahoma"/>
          <w:sz w:val="20"/>
        </w:rPr>
        <w:sectPr>
          <w:pgSz w:w="11910" w:h="16840"/>
          <w:pgMar w:header="568" w:footer="580" w:top="840" w:bottom="780" w:left="1020" w:right="1020"/>
        </w:sectPr>
      </w:pPr>
    </w:p>
    <w:p>
      <w:pPr>
        <w:pStyle w:val="Heading3"/>
        <w:numPr>
          <w:ilvl w:val="0"/>
          <w:numId w:val="15"/>
        </w:numPr>
        <w:tabs>
          <w:tab w:pos="680" w:val="left" w:leader="none"/>
        </w:tabs>
        <w:spacing w:line="240" w:lineRule="auto" w:before="79" w:after="0"/>
        <w:ind w:left="680" w:right="0" w:hanging="567"/>
        <w:jc w:val="left"/>
      </w:pPr>
      <w:r>
        <w:rPr>
          <w:color w:val="77328A"/>
        </w:rPr>
        <w:t>Introductory</w:t>
      </w:r>
      <w:r>
        <w:rPr>
          <w:color w:val="77328A"/>
          <w:spacing w:val="-19"/>
        </w:rPr>
        <w:t> </w:t>
      </w:r>
      <w:r>
        <w:rPr>
          <w:color w:val="77328A"/>
          <w:spacing w:val="-2"/>
        </w:rPr>
        <w:t>remarks</w:t>
      </w:r>
    </w:p>
    <w:p>
      <w:pPr>
        <w:pStyle w:val="BodyText"/>
        <w:spacing w:line="278" w:lineRule="auto" w:before="204"/>
        <w:ind w:right="850"/>
      </w:pPr>
      <w:r>
        <w:rPr>
          <w:w w:val="110"/>
        </w:rPr>
        <w:t>As</w:t>
      </w:r>
      <w:r>
        <w:rPr>
          <w:spacing w:val="-1"/>
          <w:w w:val="110"/>
        </w:rPr>
        <w:t> </w:t>
      </w:r>
      <w:r>
        <w:rPr>
          <w:w w:val="110"/>
        </w:rPr>
        <w:t>we</w:t>
      </w:r>
      <w:r>
        <w:rPr>
          <w:spacing w:val="-1"/>
          <w:w w:val="110"/>
        </w:rPr>
        <w:t> </w:t>
      </w:r>
      <w:r>
        <w:rPr>
          <w:w w:val="110"/>
        </w:rPr>
        <w:t>highlighted</w:t>
      </w:r>
      <w:r>
        <w:rPr>
          <w:spacing w:val="-1"/>
          <w:w w:val="110"/>
        </w:rPr>
        <w:t> </w:t>
      </w:r>
      <w:r>
        <w:rPr>
          <w:w w:val="110"/>
        </w:rPr>
        <w:t>in</w:t>
      </w:r>
      <w:r>
        <w:rPr>
          <w:spacing w:val="-1"/>
          <w:w w:val="110"/>
        </w:rPr>
        <w:t> </w:t>
      </w:r>
      <w:r>
        <w:rPr>
          <w:w w:val="110"/>
        </w:rPr>
        <w:t>Chapter</w:t>
      </w:r>
      <w:r>
        <w:rPr>
          <w:spacing w:val="-1"/>
          <w:w w:val="110"/>
        </w:rPr>
        <w:t> </w:t>
      </w:r>
      <w:r>
        <w:rPr/>
        <w:t>1, </w:t>
      </w:r>
      <w:r>
        <w:rPr>
          <w:w w:val="110"/>
        </w:rPr>
        <w:t>a key feature of the Charter’s</w:t>
      </w:r>
    </w:p>
    <w:p>
      <w:pPr>
        <w:pStyle w:val="BodyText"/>
        <w:spacing w:line="278" w:lineRule="auto" w:before="1"/>
        <w:ind w:right="81"/>
      </w:pPr>
      <w:r>
        <w:rPr>
          <w:w w:val="115"/>
        </w:rPr>
        <w:t>operation across the UK legal order before</w:t>
      </w:r>
      <w:r>
        <w:rPr>
          <w:spacing w:val="-7"/>
          <w:w w:val="115"/>
        </w:rPr>
        <w:t> </w:t>
      </w:r>
      <w:r>
        <w:rPr>
          <w:w w:val="115"/>
        </w:rPr>
        <w:t>Brexit</w:t>
      </w:r>
      <w:r>
        <w:rPr>
          <w:spacing w:val="-7"/>
          <w:w w:val="115"/>
        </w:rPr>
        <w:t> </w:t>
      </w:r>
      <w:r>
        <w:rPr>
          <w:w w:val="115"/>
        </w:rPr>
        <w:t>was</w:t>
      </w:r>
      <w:r>
        <w:rPr>
          <w:spacing w:val="-7"/>
          <w:w w:val="115"/>
        </w:rPr>
        <w:t> </w:t>
      </w:r>
      <w:r>
        <w:rPr>
          <w:w w:val="115"/>
        </w:rPr>
        <w:t>that</w:t>
      </w:r>
      <w:r>
        <w:rPr>
          <w:spacing w:val="-7"/>
          <w:w w:val="115"/>
        </w:rPr>
        <w:t> </w:t>
      </w:r>
      <w:r>
        <w:rPr>
          <w:w w:val="115"/>
        </w:rPr>
        <w:t>it</w:t>
      </w:r>
      <w:r>
        <w:rPr>
          <w:spacing w:val="-7"/>
          <w:w w:val="115"/>
        </w:rPr>
        <w:t> </w:t>
      </w:r>
      <w:r>
        <w:rPr>
          <w:w w:val="115"/>
        </w:rPr>
        <w:t>offered</w:t>
      </w:r>
      <w:r>
        <w:rPr>
          <w:spacing w:val="-7"/>
          <w:w w:val="115"/>
        </w:rPr>
        <w:t> </w:t>
      </w:r>
      <w:r>
        <w:rPr>
          <w:w w:val="115"/>
        </w:rPr>
        <w:t>both a substantively wider protection of fundamental rights than the ECHR (as it protected more rights than the ECHR)</w:t>
      </w:r>
      <w:r>
        <w:rPr>
          <w:spacing w:val="-17"/>
          <w:w w:val="115"/>
        </w:rPr>
        <w:t> </w:t>
      </w:r>
      <w:r>
        <w:rPr>
          <w:w w:val="115"/>
        </w:rPr>
        <w:t>as</w:t>
      </w:r>
      <w:r>
        <w:rPr>
          <w:spacing w:val="-17"/>
          <w:w w:val="115"/>
        </w:rPr>
        <w:t> </w:t>
      </w:r>
      <w:r>
        <w:rPr>
          <w:w w:val="115"/>
        </w:rPr>
        <w:t>well</w:t>
      </w:r>
      <w:r>
        <w:rPr>
          <w:spacing w:val="-17"/>
          <w:w w:val="115"/>
        </w:rPr>
        <w:t> </w:t>
      </w:r>
      <w:r>
        <w:rPr>
          <w:w w:val="115"/>
        </w:rPr>
        <w:t>as</w:t>
      </w:r>
      <w:r>
        <w:rPr>
          <w:spacing w:val="-17"/>
          <w:w w:val="115"/>
        </w:rPr>
        <w:t> </w:t>
      </w:r>
      <w:r>
        <w:rPr>
          <w:w w:val="115"/>
        </w:rPr>
        <w:t>a</w:t>
      </w:r>
      <w:r>
        <w:rPr>
          <w:spacing w:val="-17"/>
          <w:w w:val="115"/>
        </w:rPr>
        <w:t> </w:t>
      </w:r>
      <w:r>
        <w:rPr>
          <w:w w:val="115"/>
        </w:rPr>
        <w:t>broader</w:t>
      </w:r>
      <w:r>
        <w:rPr>
          <w:spacing w:val="-17"/>
          <w:w w:val="115"/>
        </w:rPr>
        <w:t> </w:t>
      </w:r>
      <w:r>
        <w:rPr>
          <w:w w:val="115"/>
        </w:rPr>
        <w:t>range</w:t>
      </w:r>
      <w:r>
        <w:rPr>
          <w:spacing w:val="-17"/>
          <w:w w:val="115"/>
        </w:rPr>
        <w:t> </w:t>
      </w:r>
      <w:r>
        <w:rPr>
          <w:w w:val="115"/>
        </w:rPr>
        <w:t>of remedies that individuals could rely on than the HRA in situations falling within the scope of application of</w:t>
      </w:r>
    </w:p>
    <w:p>
      <w:pPr>
        <w:pStyle w:val="BodyText"/>
        <w:spacing w:before="4"/>
      </w:pPr>
      <w:r>
        <w:rPr>
          <w:w w:val="105"/>
        </w:rPr>
        <w:t>EU</w:t>
      </w:r>
      <w:r>
        <w:rPr>
          <w:spacing w:val="-9"/>
          <w:w w:val="105"/>
        </w:rPr>
        <w:t> </w:t>
      </w:r>
      <w:r>
        <w:rPr>
          <w:spacing w:val="-4"/>
          <w:w w:val="105"/>
        </w:rPr>
        <w:t>law.</w:t>
      </w:r>
    </w:p>
    <w:p>
      <w:pPr>
        <w:pStyle w:val="BodyText"/>
        <w:spacing w:before="68"/>
        <w:ind w:left="0"/>
      </w:pPr>
    </w:p>
    <w:p>
      <w:pPr>
        <w:pStyle w:val="BodyText"/>
        <w:spacing w:line="278" w:lineRule="auto" w:before="1"/>
      </w:pPr>
      <w:r>
        <w:rPr>
          <w:w w:val="115"/>
        </w:rPr>
        <w:t>The concepts of direct effect and </w:t>
      </w:r>
      <w:r>
        <w:rPr>
          <w:spacing w:val="-2"/>
          <w:w w:val="115"/>
        </w:rPr>
        <w:t>primacy</w:t>
      </w:r>
      <w:r>
        <w:rPr>
          <w:spacing w:val="-14"/>
          <w:w w:val="115"/>
        </w:rPr>
        <w:t> </w:t>
      </w:r>
      <w:r>
        <w:rPr>
          <w:spacing w:val="-2"/>
          <w:w w:val="115"/>
        </w:rPr>
        <w:t>distinguished</w:t>
      </w:r>
      <w:r>
        <w:rPr>
          <w:spacing w:val="-14"/>
          <w:w w:val="115"/>
        </w:rPr>
        <w:t> </w:t>
      </w:r>
      <w:r>
        <w:rPr>
          <w:spacing w:val="-2"/>
          <w:w w:val="115"/>
        </w:rPr>
        <w:t>the</w:t>
      </w:r>
      <w:r>
        <w:rPr>
          <w:spacing w:val="-14"/>
          <w:w w:val="115"/>
        </w:rPr>
        <w:t> </w:t>
      </w:r>
      <w:r>
        <w:rPr>
          <w:spacing w:val="-2"/>
          <w:w w:val="115"/>
        </w:rPr>
        <w:t>Charter</w:t>
      </w:r>
      <w:r>
        <w:rPr>
          <w:spacing w:val="-14"/>
          <w:w w:val="115"/>
        </w:rPr>
        <w:t> </w:t>
      </w:r>
      <w:r>
        <w:rPr>
          <w:spacing w:val="-2"/>
          <w:w w:val="115"/>
        </w:rPr>
        <w:t>and </w:t>
      </w:r>
      <w:r>
        <w:rPr>
          <w:w w:val="115"/>
        </w:rPr>
        <w:t>the general principles of EU law that preceded it from other aspects of UK human rights law. They meant that, insofar as a human rights claim had</w:t>
      </w:r>
    </w:p>
    <w:p>
      <w:pPr>
        <w:pStyle w:val="BodyText"/>
        <w:spacing w:line="278" w:lineRule="auto" w:before="2"/>
        <w:ind w:right="55"/>
      </w:pPr>
      <w:r>
        <w:rPr>
          <w:w w:val="115"/>
        </w:rPr>
        <w:t>an</w:t>
      </w:r>
      <w:r>
        <w:rPr>
          <w:spacing w:val="-7"/>
          <w:w w:val="115"/>
        </w:rPr>
        <w:t> </w:t>
      </w:r>
      <w:r>
        <w:rPr>
          <w:w w:val="115"/>
        </w:rPr>
        <w:t>EU</w:t>
      </w:r>
      <w:r>
        <w:rPr>
          <w:spacing w:val="-7"/>
          <w:w w:val="115"/>
        </w:rPr>
        <w:t> </w:t>
      </w:r>
      <w:r>
        <w:rPr>
          <w:w w:val="115"/>
        </w:rPr>
        <w:t>law</w:t>
      </w:r>
      <w:r>
        <w:rPr>
          <w:spacing w:val="-7"/>
          <w:w w:val="115"/>
        </w:rPr>
        <w:t> </w:t>
      </w:r>
      <w:r>
        <w:rPr>
          <w:w w:val="115"/>
        </w:rPr>
        <w:t>dimension,</w:t>
      </w:r>
      <w:r>
        <w:rPr>
          <w:spacing w:val="-7"/>
          <w:w w:val="115"/>
        </w:rPr>
        <w:t> </w:t>
      </w:r>
      <w:r>
        <w:rPr>
          <w:w w:val="115"/>
        </w:rPr>
        <w:t>national</w:t>
      </w:r>
      <w:r>
        <w:rPr>
          <w:spacing w:val="-7"/>
          <w:w w:val="115"/>
        </w:rPr>
        <w:t> </w:t>
      </w:r>
      <w:r>
        <w:rPr>
          <w:w w:val="115"/>
        </w:rPr>
        <w:t>courts </w:t>
      </w:r>
      <w:r>
        <w:rPr>
          <w:spacing w:val="-2"/>
          <w:w w:val="115"/>
        </w:rPr>
        <w:t>were</w:t>
      </w:r>
      <w:r>
        <w:rPr>
          <w:spacing w:val="-18"/>
          <w:w w:val="115"/>
        </w:rPr>
        <w:t> </w:t>
      </w:r>
      <w:r>
        <w:rPr>
          <w:spacing w:val="-2"/>
          <w:w w:val="115"/>
        </w:rPr>
        <w:t>able</w:t>
      </w:r>
      <w:r>
        <w:rPr>
          <w:spacing w:val="-17"/>
          <w:w w:val="115"/>
        </w:rPr>
        <w:t> </w:t>
      </w:r>
      <w:r>
        <w:rPr>
          <w:spacing w:val="-2"/>
          <w:w w:val="115"/>
        </w:rPr>
        <w:t>to</w:t>
      </w:r>
      <w:r>
        <w:rPr>
          <w:spacing w:val="-17"/>
          <w:w w:val="115"/>
        </w:rPr>
        <w:t> </w:t>
      </w:r>
      <w:r>
        <w:rPr>
          <w:spacing w:val="-2"/>
          <w:w w:val="115"/>
        </w:rPr>
        <w:t>award</w:t>
      </w:r>
      <w:r>
        <w:rPr>
          <w:spacing w:val="-17"/>
          <w:w w:val="115"/>
        </w:rPr>
        <w:t> </w:t>
      </w:r>
      <w:r>
        <w:rPr>
          <w:spacing w:val="-2"/>
          <w:w w:val="115"/>
        </w:rPr>
        <w:t>concrete</w:t>
      </w:r>
      <w:r>
        <w:rPr>
          <w:spacing w:val="-17"/>
          <w:w w:val="115"/>
        </w:rPr>
        <w:t> </w:t>
      </w:r>
      <w:r>
        <w:rPr>
          <w:spacing w:val="-2"/>
          <w:w w:val="115"/>
        </w:rPr>
        <w:t>remedies </w:t>
      </w:r>
      <w:r>
        <w:rPr>
          <w:w w:val="115"/>
        </w:rPr>
        <w:t>for their violation, even where the violation was caused by primary</w:t>
      </w:r>
    </w:p>
    <w:p>
      <w:pPr>
        <w:pStyle w:val="BodyText"/>
        <w:spacing w:line="327" w:lineRule="exact"/>
      </w:pPr>
      <w:r>
        <w:rPr>
          <w:w w:val="110"/>
        </w:rPr>
        <w:t>legislation,</w:t>
      </w:r>
      <w:r>
        <w:rPr>
          <w:rFonts w:ascii="Lucida Sans Unicode"/>
          <w:w w:val="110"/>
          <w:vertAlign w:val="superscript"/>
        </w:rPr>
        <w:t>246</w:t>
      </w:r>
      <w:r>
        <w:rPr>
          <w:rFonts w:ascii="Lucida Sans Unicode"/>
          <w:spacing w:val="-21"/>
          <w:w w:val="110"/>
          <w:vertAlign w:val="baseline"/>
        </w:rPr>
        <w:t> </w:t>
      </w:r>
      <w:r>
        <w:rPr>
          <w:w w:val="110"/>
          <w:vertAlign w:val="baseline"/>
        </w:rPr>
        <w:t>as</w:t>
      </w:r>
      <w:r>
        <w:rPr>
          <w:spacing w:val="-14"/>
          <w:w w:val="110"/>
          <w:vertAlign w:val="baseline"/>
        </w:rPr>
        <w:t> </w:t>
      </w:r>
      <w:r>
        <w:rPr>
          <w:w w:val="110"/>
          <w:vertAlign w:val="baseline"/>
        </w:rPr>
        <w:t>they</w:t>
      </w:r>
      <w:r>
        <w:rPr>
          <w:spacing w:val="-12"/>
          <w:w w:val="110"/>
          <w:vertAlign w:val="baseline"/>
        </w:rPr>
        <w:t> </w:t>
      </w:r>
      <w:r>
        <w:rPr>
          <w:w w:val="110"/>
          <w:vertAlign w:val="baseline"/>
        </w:rPr>
        <w:t>were</w:t>
      </w:r>
      <w:r>
        <w:rPr>
          <w:spacing w:val="-12"/>
          <w:w w:val="110"/>
          <w:vertAlign w:val="baseline"/>
        </w:rPr>
        <w:t> </w:t>
      </w:r>
      <w:r>
        <w:rPr>
          <w:w w:val="110"/>
          <w:vertAlign w:val="baseline"/>
        </w:rPr>
        <w:t>able</w:t>
      </w:r>
      <w:r>
        <w:rPr>
          <w:spacing w:val="-12"/>
          <w:w w:val="110"/>
          <w:vertAlign w:val="baseline"/>
        </w:rPr>
        <w:t> </w:t>
      </w:r>
      <w:r>
        <w:rPr>
          <w:spacing w:val="-5"/>
          <w:w w:val="110"/>
          <w:vertAlign w:val="baseline"/>
        </w:rPr>
        <w:t>to</w:t>
      </w:r>
    </w:p>
    <w:p>
      <w:pPr>
        <w:pStyle w:val="BodyText"/>
        <w:spacing w:line="261" w:lineRule="auto"/>
        <w:ind w:right="257"/>
        <w:rPr>
          <w:rFonts w:ascii="Lucida Sans Unicode" w:hAnsi="Lucida Sans Unicode"/>
        </w:rPr>
      </w:pPr>
      <w:r>
        <w:rPr>
          <w:w w:val="110"/>
        </w:rPr>
        <w:t>disapply the offending legislation –</w:t>
      </w:r>
      <w:r>
        <w:rPr>
          <w:spacing w:val="40"/>
          <w:w w:val="110"/>
        </w:rPr>
        <w:t> </w:t>
      </w:r>
      <w:r>
        <w:rPr>
          <w:w w:val="110"/>
        </w:rPr>
        <w:t>an option that is unavailable under </w:t>
      </w:r>
      <w:r>
        <w:rPr>
          <w:rFonts w:ascii="Lucida Sans Unicode" w:hAnsi="Lucida Sans Unicode"/>
        </w:rPr>
        <w:t>the</w:t>
      </w:r>
      <w:r>
        <w:rPr>
          <w:rFonts w:ascii="Lucida Sans Unicode" w:hAnsi="Lucida Sans Unicode"/>
          <w:spacing w:val="13"/>
        </w:rPr>
        <w:t> </w:t>
      </w:r>
      <w:r>
        <w:rPr>
          <w:rFonts w:ascii="Lucida Sans Unicode" w:hAnsi="Lucida Sans Unicode"/>
        </w:rPr>
        <w:t>HRA</w:t>
      </w:r>
      <w:r>
        <w:rPr>
          <w:rFonts w:ascii="Lucida Sans Unicode" w:hAnsi="Lucida Sans Unicode"/>
          <w:spacing w:val="14"/>
        </w:rPr>
        <w:t> </w:t>
      </w:r>
      <w:r>
        <w:rPr>
          <w:rFonts w:ascii="Lucida Sans Unicode" w:hAnsi="Lucida Sans Unicode"/>
        </w:rPr>
        <w:t>framework.</w:t>
      </w:r>
      <w:r>
        <w:rPr>
          <w:rFonts w:ascii="Lucida Sans Unicode" w:hAnsi="Lucida Sans Unicode"/>
          <w:spacing w:val="14"/>
        </w:rPr>
        <w:t> </w:t>
      </w:r>
      <w:r>
        <w:rPr>
          <w:rFonts w:ascii="Lucida Sans Unicode" w:hAnsi="Lucida Sans Unicode"/>
        </w:rPr>
        <w:t>While,</w:t>
      </w:r>
      <w:r>
        <w:rPr>
          <w:rFonts w:ascii="Lucida Sans Unicode" w:hAnsi="Lucida Sans Unicode"/>
          <w:spacing w:val="13"/>
        </w:rPr>
        <w:t> </w:t>
      </w:r>
      <w:r>
        <w:rPr>
          <w:rFonts w:ascii="Lucida Sans Unicode" w:hAnsi="Lucida Sans Unicode"/>
        </w:rPr>
        <w:t>as</w:t>
      </w:r>
      <w:r>
        <w:rPr>
          <w:rFonts w:ascii="Lucida Sans Unicode" w:hAnsi="Lucida Sans Unicode"/>
          <w:spacing w:val="14"/>
        </w:rPr>
        <w:t> </w:t>
      </w:r>
      <w:r>
        <w:rPr>
          <w:rFonts w:ascii="Lucida Sans Unicode" w:hAnsi="Lucida Sans Unicode"/>
          <w:spacing w:val="-2"/>
        </w:rPr>
        <w:t>briefly</w:t>
      </w:r>
    </w:p>
    <w:p>
      <w:pPr>
        <w:pStyle w:val="BodyText"/>
        <w:spacing w:line="284" w:lineRule="exact"/>
        <w:rPr>
          <w:rFonts w:ascii="Lucida Sans Unicode"/>
        </w:rPr>
      </w:pPr>
      <w:r>
        <w:rPr>
          <w:rFonts w:ascii="Lucida Sans Unicode"/>
        </w:rPr>
        <w:t>discussed</w:t>
      </w:r>
      <w:r>
        <w:rPr>
          <w:rFonts w:ascii="Lucida Sans Unicode"/>
          <w:spacing w:val="-9"/>
        </w:rPr>
        <w:t> </w:t>
      </w:r>
      <w:r>
        <w:rPr>
          <w:rFonts w:ascii="Lucida Sans Unicode"/>
        </w:rPr>
        <w:t>in</w:t>
      </w:r>
      <w:r>
        <w:rPr>
          <w:rFonts w:ascii="Lucida Sans Unicode"/>
          <w:spacing w:val="-8"/>
        </w:rPr>
        <w:t> </w:t>
      </w:r>
      <w:r>
        <w:rPr>
          <w:rFonts w:ascii="Lucida Sans Unicode"/>
        </w:rPr>
        <w:t>Chapter</w:t>
      </w:r>
      <w:r>
        <w:rPr>
          <w:rFonts w:ascii="Lucida Sans Unicode"/>
          <w:spacing w:val="-9"/>
        </w:rPr>
        <w:t> </w:t>
      </w:r>
      <w:r>
        <w:rPr>
          <w:rFonts w:ascii="Lucida Sans Unicode"/>
        </w:rPr>
        <w:t>1,</w:t>
      </w:r>
      <w:r>
        <w:rPr>
          <w:rFonts w:ascii="Lucida Sans Unicode"/>
          <w:spacing w:val="-8"/>
        </w:rPr>
        <w:t> </w:t>
      </w:r>
      <w:r>
        <w:rPr>
          <w:rFonts w:ascii="Lucida Sans Unicode"/>
        </w:rPr>
        <w:t>section</w:t>
      </w:r>
      <w:r>
        <w:rPr>
          <w:rFonts w:ascii="Lucida Sans Unicode"/>
          <w:spacing w:val="-9"/>
        </w:rPr>
        <w:t> </w:t>
      </w:r>
      <w:r>
        <w:rPr>
          <w:rFonts w:ascii="Lucida Sans Unicode"/>
        </w:rPr>
        <w:t>3</w:t>
      </w:r>
      <w:r>
        <w:rPr>
          <w:rFonts w:ascii="Lucida Sans Unicode"/>
          <w:spacing w:val="-8"/>
        </w:rPr>
        <w:t> </w:t>
      </w:r>
      <w:r>
        <w:rPr>
          <w:rFonts w:ascii="Lucida Sans Unicode"/>
          <w:spacing w:val="-5"/>
        </w:rPr>
        <w:t>HRA</w:t>
      </w:r>
    </w:p>
    <w:p>
      <w:pPr>
        <w:pStyle w:val="BodyText"/>
        <w:spacing w:line="278" w:lineRule="auto"/>
        <w:ind w:right="285"/>
      </w:pPr>
      <w:r>
        <w:rPr>
          <w:w w:val="115"/>
        </w:rPr>
        <w:t>sets</w:t>
      </w:r>
      <w:r>
        <w:rPr>
          <w:spacing w:val="-10"/>
          <w:w w:val="115"/>
        </w:rPr>
        <w:t> </w:t>
      </w:r>
      <w:r>
        <w:rPr>
          <w:w w:val="115"/>
        </w:rPr>
        <w:t>out</w:t>
      </w:r>
      <w:r>
        <w:rPr>
          <w:spacing w:val="-10"/>
          <w:w w:val="115"/>
        </w:rPr>
        <w:t> </w:t>
      </w:r>
      <w:r>
        <w:rPr>
          <w:w w:val="115"/>
        </w:rPr>
        <w:t>a</w:t>
      </w:r>
      <w:r>
        <w:rPr>
          <w:spacing w:val="-10"/>
          <w:w w:val="115"/>
        </w:rPr>
        <w:t> </w:t>
      </w:r>
      <w:r>
        <w:rPr>
          <w:w w:val="115"/>
        </w:rPr>
        <w:t>principle</w:t>
      </w:r>
      <w:r>
        <w:rPr>
          <w:spacing w:val="-10"/>
          <w:w w:val="115"/>
        </w:rPr>
        <w:t> </w:t>
      </w:r>
      <w:r>
        <w:rPr>
          <w:w w:val="115"/>
        </w:rPr>
        <w:t>of</w:t>
      </w:r>
      <w:r>
        <w:rPr>
          <w:spacing w:val="-10"/>
          <w:w w:val="115"/>
        </w:rPr>
        <w:t> </w:t>
      </w:r>
      <w:r>
        <w:rPr>
          <w:w w:val="115"/>
        </w:rPr>
        <w:t>interpretation in</w:t>
      </w:r>
      <w:r>
        <w:rPr>
          <w:spacing w:val="-3"/>
          <w:w w:val="115"/>
        </w:rPr>
        <w:t> </w:t>
      </w:r>
      <w:r>
        <w:rPr>
          <w:w w:val="115"/>
        </w:rPr>
        <w:t>conformity</w:t>
      </w:r>
      <w:r>
        <w:rPr>
          <w:spacing w:val="-3"/>
          <w:w w:val="115"/>
        </w:rPr>
        <w:t> </w:t>
      </w:r>
      <w:r>
        <w:rPr>
          <w:w w:val="115"/>
        </w:rPr>
        <w:t>with</w:t>
      </w:r>
      <w:r>
        <w:rPr>
          <w:spacing w:val="-3"/>
          <w:w w:val="115"/>
        </w:rPr>
        <w:t> </w:t>
      </w:r>
      <w:r>
        <w:rPr>
          <w:w w:val="115"/>
        </w:rPr>
        <w:t>the</w:t>
      </w:r>
      <w:r>
        <w:rPr>
          <w:spacing w:val="-3"/>
          <w:w w:val="115"/>
        </w:rPr>
        <w:t> </w:t>
      </w:r>
      <w:r>
        <w:rPr>
          <w:w w:val="115"/>
        </w:rPr>
        <w:t>ECHR</w:t>
      </w:r>
      <w:r>
        <w:rPr>
          <w:spacing w:val="-3"/>
          <w:w w:val="115"/>
        </w:rPr>
        <w:t> </w:t>
      </w:r>
      <w:r>
        <w:rPr>
          <w:w w:val="115"/>
        </w:rPr>
        <w:t>that</w:t>
      </w:r>
      <w:r>
        <w:rPr>
          <w:spacing w:val="-3"/>
          <w:w w:val="115"/>
        </w:rPr>
        <w:t> </w:t>
      </w:r>
      <w:r>
        <w:rPr>
          <w:w w:val="115"/>
        </w:rPr>
        <w:t>is inspired by and similar to the duty of consistent interpretation, in the</w:t>
      </w:r>
    </w:p>
    <w:p>
      <w:pPr>
        <w:pStyle w:val="BodyText"/>
        <w:spacing w:line="259" w:lineRule="auto" w:before="84"/>
        <w:ind w:right="318"/>
      </w:pPr>
      <w:r>
        <w:rPr/>
        <w:br w:type="column"/>
      </w:r>
      <w:r>
        <w:rPr>
          <w:w w:val="115"/>
        </w:rPr>
        <w:t>HRA context that duty operates as the principal remedial mechanism </w:t>
      </w:r>
      <w:r>
        <w:rPr>
          <w:w w:val="110"/>
        </w:rPr>
        <w:t>for</w:t>
      </w:r>
      <w:r>
        <w:rPr>
          <w:spacing w:val="-3"/>
          <w:w w:val="110"/>
        </w:rPr>
        <w:t> </w:t>
      </w:r>
      <w:r>
        <w:rPr>
          <w:w w:val="110"/>
        </w:rPr>
        <w:t>human</w:t>
      </w:r>
      <w:r>
        <w:rPr>
          <w:spacing w:val="-3"/>
          <w:w w:val="110"/>
        </w:rPr>
        <w:t> </w:t>
      </w:r>
      <w:r>
        <w:rPr>
          <w:w w:val="110"/>
        </w:rPr>
        <w:t>rights</w:t>
      </w:r>
      <w:r>
        <w:rPr>
          <w:spacing w:val="-3"/>
          <w:w w:val="110"/>
        </w:rPr>
        <w:t> </w:t>
      </w:r>
      <w:r>
        <w:rPr>
          <w:w w:val="110"/>
        </w:rPr>
        <w:t>violations.</w:t>
      </w:r>
      <w:r>
        <w:rPr>
          <w:rFonts w:ascii="Lucida Sans Unicode"/>
          <w:w w:val="110"/>
          <w:vertAlign w:val="superscript"/>
        </w:rPr>
        <w:t>247</w:t>
      </w:r>
      <w:r>
        <w:rPr>
          <w:rFonts w:ascii="Lucida Sans Unicode"/>
          <w:spacing w:val="-12"/>
          <w:w w:val="110"/>
          <w:vertAlign w:val="baseline"/>
        </w:rPr>
        <w:t> </w:t>
      </w:r>
      <w:r>
        <w:rPr>
          <w:w w:val="110"/>
          <w:vertAlign w:val="baseline"/>
        </w:rPr>
        <w:t>Where</w:t>
      </w:r>
    </w:p>
    <w:p>
      <w:pPr>
        <w:pStyle w:val="BodyText"/>
        <w:spacing w:line="236" w:lineRule="exact"/>
      </w:pPr>
      <w:r>
        <w:rPr>
          <w:w w:val="115"/>
        </w:rPr>
        <w:t>interpretation</w:t>
      </w:r>
      <w:r>
        <w:rPr>
          <w:spacing w:val="7"/>
          <w:w w:val="115"/>
        </w:rPr>
        <w:t> </w:t>
      </w:r>
      <w:r>
        <w:rPr>
          <w:w w:val="115"/>
        </w:rPr>
        <w:t>compatible</w:t>
      </w:r>
      <w:r>
        <w:rPr>
          <w:spacing w:val="7"/>
          <w:w w:val="115"/>
        </w:rPr>
        <w:t> </w:t>
      </w:r>
      <w:r>
        <w:rPr>
          <w:w w:val="115"/>
        </w:rPr>
        <w:t>with</w:t>
      </w:r>
      <w:r>
        <w:rPr>
          <w:spacing w:val="7"/>
          <w:w w:val="115"/>
        </w:rPr>
        <w:t> </w:t>
      </w:r>
      <w:r>
        <w:rPr>
          <w:spacing w:val="-2"/>
          <w:w w:val="115"/>
        </w:rPr>
        <w:t>human</w:t>
      </w:r>
    </w:p>
    <w:p>
      <w:pPr>
        <w:pStyle w:val="BodyText"/>
        <w:spacing w:line="276" w:lineRule="auto" w:before="43"/>
        <w:ind w:right="538"/>
      </w:pPr>
      <w:r>
        <w:rPr>
          <w:w w:val="110"/>
        </w:rPr>
        <w:t>rights is impossible, the HRA </w:t>
      </w:r>
      <w:r>
        <w:rPr>
          <w:w w:val="110"/>
        </w:rPr>
        <w:t>does </w:t>
      </w:r>
      <w:r>
        <w:rPr>
          <w:w w:val="115"/>
        </w:rPr>
        <w:t>not offer other binding means of reparation domestically.</w:t>
      </w:r>
    </w:p>
    <w:p>
      <w:pPr>
        <w:pStyle w:val="BodyText"/>
        <w:spacing w:before="25"/>
        <w:ind w:left="0"/>
      </w:pPr>
    </w:p>
    <w:p>
      <w:pPr>
        <w:pStyle w:val="BodyText"/>
        <w:spacing w:line="276" w:lineRule="auto" w:before="1"/>
      </w:pPr>
      <w:r>
        <w:rPr>
          <w:spacing w:val="-2"/>
          <w:w w:val="115"/>
        </w:rPr>
        <w:t>As</w:t>
      </w:r>
      <w:r>
        <w:rPr>
          <w:spacing w:val="-17"/>
          <w:w w:val="115"/>
        </w:rPr>
        <w:t> </w:t>
      </w:r>
      <w:r>
        <w:rPr>
          <w:spacing w:val="-2"/>
          <w:w w:val="115"/>
        </w:rPr>
        <w:t>a</w:t>
      </w:r>
      <w:r>
        <w:rPr>
          <w:spacing w:val="-17"/>
          <w:w w:val="115"/>
        </w:rPr>
        <w:t> </w:t>
      </w:r>
      <w:r>
        <w:rPr>
          <w:spacing w:val="-2"/>
          <w:w w:val="115"/>
        </w:rPr>
        <w:t>‘measure</w:t>
      </w:r>
      <w:r>
        <w:rPr>
          <w:spacing w:val="-17"/>
          <w:w w:val="115"/>
        </w:rPr>
        <w:t> </w:t>
      </w:r>
      <w:r>
        <w:rPr>
          <w:spacing w:val="-2"/>
          <w:w w:val="115"/>
        </w:rPr>
        <w:t>of</w:t>
      </w:r>
      <w:r>
        <w:rPr>
          <w:spacing w:val="-17"/>
          <w:w w:val="115"/>
        </w:rPr>
        <w:t> </w:t>
      </w:r>
      <w:r>
        <w:rPr>
          <w:spacing w:val="-2"/>
          <w:w w:val="115"/>
        </w:rPr>
        <w:t>last</w:t>
      </w:r>
      <w:r>
        <w:rPr>
          <w:spacing w:val="-17"/>
          <w:w w:val="115"/>
        </w:rPr>
        <w:t> </w:t>
      </w:r>
      <w:r>
        <w:rPr>
          <w:spacing w:val="-2"/>
          <w:w w:val="115"/>
        </w:rPr>
        <w:t>resort’</w:t>
      </w:r>
      <w:r>
        <w:rPr>
          <w:spacing w:val="-17"/>
          <w:w w:val="115"/>
        </w:rPr>
        <w:t> </w:t>
      </w:r>
      <w:r>
        <w:rPr>
          <w:spacing w:val="-2"/>
          <w:w w:val="115"/>
        </w:rPr>
        <w:t>domestic </w:t>
      </w:r>
      <w:r>
        <w:rPr>
          <w:w w:val="115"/>
        </w:rPr>
        <w:t>courts can make a declaration of incompatibility of domestic law</w:t>
      </w:r>
    </w:p>
    <w:p>
      <w:pPr>
        <w:pStyle w:val="BodyText"/>
        <w:spacing w:line="237" w:lineRule="auto" w:before="4"/>
        <w:ind w:right="454"/>
        <w:jc w:val="both"/>
      </w:pPr>
      <w:r>
        <w:rPr>
          <w:w w:val="110"/>
        </w:rPr>
        <w:t>with ECHR-protected human rights </w:t>
      </w:r>
      <w:r>
        <w:rPr>
          <w:rFonts w:ascii="Lucida Sans Unicode"/>
        </w:rPr>
        <w:t>pursuant to section 4 HRA, but </w:t>
      </w:r>
      <w:r>
        <w:rPr>
          <w:rFonts w:ascii="Lucida Sans Unicode"/>
        </w:rPr>
        <w:t>that </w:t>
      </w:r>
      <w:r>
        <w:rPr>
          <w:w w:val="110"/>
        </w:rPr>
        <w:t>declaration</w:t>
      </w:r>
      <w:r>
        <w:rPr>
          <w:spacing w:val="22"/>
          <w:w w:val="110"/>
        </w:rPr>
        <w:t> </w:t>
      </w:r>
      <w:r>
        <w:rPr>
          <w:w w:val="110"/>
        </w:rPr>
        <w:t>is</w:t>
      </w:r>
      <w:r>
        <w:rPr>
          <w:spacing w:val="22"/>
          <w:w w:val="110"/>
        </w:rPr>
        <w:t> </w:t>
      </w:r>
      <w:r>
        <w:rPr>
          <w:w w:val="110"/>
        </w:rPr>
        <w:t>not</w:t>
      </w:r>
      <w:r>
        <w:rPr>
          <w:spacing w:val="23"/>
          <w:w w:val="110"/>
        </w:rPr>
        <w:t> </w:t>
      </w:r>
      <w:r>
        <w:rPr>
          <w:w w:val="110"/>
        </w:rPr>
        <w:t>legally</w:t>
      </w:r>
      <w:r>
        <w:rPr>
          <w:spacing w:val="22"/>
          <w:w w:val="110"/>
        </w:rPr>
        <w:t> </w:t>
      </w:r>
      <w:r>
        <w:rPr>
          <w:w w:val="110"/>
        </w:rPr>
        <w:t>binding</w:t>
      </w:r>
      <w:r>
        <w:rPr>
          <w:spacing w:val="22"/>
          <w:w w:val="110"/>
        </w:rPr>
        <w:t> </w:t>
      </w:r>
      <w:r>
        <w:rPr>
          <w:spacing w:val="-5"/>
          <w:w w:val="110"/>
        </w:rPr>
        <w:t>on</w:t>
      </w:r>
    </w:p>
    <w:p>
      <w:pPr>
        <w:pStyle w:val="BodyText"/>
        <w:spacing w:line="318" w:lineRule="exact" w:before="11"/>
      </w:pPr>
      <w:r>
        <w:rPr>
          <w:w w:val="115"/>
        </w:rPr>
        <w:t>Parliament</w:t>
      </w:r>
      <w:r>
        <w:rPr>
          <w:spacing w:val="-18"/>
          <w:w w:val="115"/>
        </w:rPr>
        <w:t> </w:t>
      </w:r>
      <w:r>
        <w:rPr>
          <w:w w:val="115"/>
        </w:rPr>
        <w:t>and,</w:t>
      </w:r>
      <w:r>
        <w:rPr>
          <w:spacing w:val="-18"/>
          <w:w w:val="115"/>
        </w:rPr>
        <w:t> </w:t>
      </w:r>
      <w:r>
        <w:rPr>
          <w:w w:val="115"/>
        </w:rPr>
        <w:t>as</w:t>
      </w:r>
      <w:r>
        <w:rPr>
          <w:spacing w:val="-18"/>
          <w:w w:val="115"/>
        </w:rPr>
        <w:t> </w:t>
      </w:r>
      <w:r>
        <w:rPr>
          <w:w w:val="115"/>
        </w:rPr>
        <w:t>such,</w:t>
      </w:r>
      <w:r>
        <w:rPr>
          <w:spacing w:val="-18"/>
          <w:w w:val="115"/>
        </w:rPr>
        <w:t> </w:t>
      </w:r>
      <w:r>
        <w:rPr>
          <w:w w:val="115"/>
        </w:rPr>
        <w:t>has</w:t>
      </w:r>
      <w:r>
        <w:rPr>
          <w:spacing w:val="-18"/>
          <w:w w:val="115"/>
        </w:rPr>
        <w:t> </w:t>
      </w:r>
      <w:r>
        <w:rPr>
          <w:w w:val="115"/>
        </w:rPr>
        <w:t>been found not to constitute an effective remedy by the European Court of </w:t>
      </w:r>
      <w:r>
        <w:rPr>
          <w:w w:val="110"/>
        </w:rPr>
        <w:t>Human</w:t>
      </w:r>
      <w:r>
        <w:rPr>
          <w:spacing w:val="-10"/>
          <w:w w:val="110"/>
        </w:rPr>
        <w:t> </w:t>
      </w:r>
      <w:r>
        <w:rPr>
          <w:w w:val="110"/>
        </w:rPr>
        <w:t>Rights.</w:t>
      </w:r>
      <w:r>
        <w:rPr>
          <w:rFonts w:ascii="Lucida Sans Unicode"/>
          <w:w w:val="110"/>
          <w:vertAlign w:val="superscript"/>
        </w:rPr>
        <w:t>248</w:t>
      </w:r>
      <w:r>
        <w:rPr>
          <w:rFonts w:ascii="Lucida Sans Unicode"/>
          <w:spacing w:val="-20"/>
          <w:w w:val="110"/>
          <w:vertAlign w:val="baseline"/>
        </w:rPr>
        <w:t> </w:t>
      </w:r>
      <w:r>
        <w:rPr>
          <w:w w:val="110"/>
          <w:vertAlign w:val="baseline"/>
        </w:rPr>
        <w:t>By</w:t>
      </w:r>
      <w:r>
        <w:rPr>
          <w:spacing w:val="-10"/>
          <w:w w:val="110"/>
          <w:vertAlign w:val="baseline"/>
        </w:rPr>
        <w:t> </w:t>
      </w:r>
      <w:r>
        <w:rPr>
          <w:w w:val="110"/>
          <w:vertAlign w:val="baseline"/>
        </w:rPr>
        <w:t>contrast,</w:t>
      </w:r>
      <w:r>
        <w:rPr>
          <w:spacing w:val="-10"/>
          <w:w w:val="110"/>
          <w:vertAlign w:val="baseline"/>
        </w:rPr>
        <w:t> </w:t>
      </w:r>
      <w:r>
        <w:rPr>
          <w:w w:val="110"/>
          <w:vertAlign w:val="baseline"/>
        </w:rPr>
        <w:t>through </w:t>
      </w:r>
      <w:r>
        <w:rPr>
          <w:w w:val="115"/>
          <w:vertAlign w:val="baseline"/>
        </w:rPr>
        <w:t>the operation of the principles of primacy</w:t>
      </w:r>
      <w:r>
        <w:rPr>
          <w:spacing w:val="-13"/>
          <w:w w:val="115"/>
          <w:vertAlign w:val="baseline"/>
        </w:rPr>
        <w:t> </w:t>
      </w:r>
      <w:r>
        <w:rPr>
          <w:w w:val="115"/>
          <w:vertAlign w:val="baseline"/>
        </w:rPr>
        <w:t>and</w:t>
      </w:r>
      <w:r>
        <w:rPr>
          <w:spacing w:val="-13"/>
          <w:w w:val="115"/>
          <w:vertAlign w:val="baseline"/>
        </w:rPr>
        <w:t> </w:t>
      </w:r>
      <w:r>
        <w:rPr>
          <w:w w:val="115"/>
          <w:vertAlign w:val="baseline"/>
        </w:rPr>
        <w:t>direct</w:t>
      </w:r>
      <w:r>
        <w:rPr>
          <w:spacing w:val="-13"/>
          <w:w w:val="115"/>
          <w:vertAlign w:val="baseline"/>
        </w:rPr>
        <w:t> </w:t>
      </w:r>
      <w:r>
        <w:rPr>
          <w:w w:val="115"/>
          <w:vertAlign w:val="baseline"/>
        </w:rPr>
        <w:t>effect,</w:t>
      </w:r>
      <w:r>
        <w:rPr>
          <w:spacing w:val="-13"/>
          <w:w w:val="115"/>
          <w:vertAlign w:val="baseline"/>
        </w:rPr>
        <w:t> </w:t>
      </w:r>
      <w:r>
        <w:rPr>
          <w:w w:val="115"/>
          <w:vertAlign w:val="baseline"/>
        </w:rPr>
        <w:t>the</w:t>
      </w:r>
      <w:r>
        <w:rPr>
          <w:spacing w:val="-13"/>
          <w:w w:val="115"/>
          <w:vertAlign w:val="baseline"/>
        </w:rPr>
        <w:t> </w:t>
      </w:r>
      <w:r>
        <w:rPr>
          <w:w w:val="115"/>
          <w:vertAlign w:val="baseline"/>
        </w:rPr>
        <w:t>Charter gave rise to the possibilities of disapplication</w:t>
      </w:r>
      <w:r>
        <w:rPr>
          <w:spacing w:val="-5"/>
          <w:w w:val="115"/>
          <w:vertAlign w:val="baseline"/>
        </w:rPr>
        <w:t> </w:t>
      </w:r>
      <w:r>
        <w:rPr>
          <w:w w:val="115"/>
          <w:vertAlign w:val="baseline"/>
        </w:rPr>
        <w:t>of</w:t>
      </w:r>
      <w:r>
        <w:rPr>
          <w:spacing w:val="-5"/>
          <w:w w:val="115"/>
          <w:vertAlign w:val="baseline"/>
        </w:rPr>
        <w:t> </w:t>
      </w:r>
      <w:r>
        <w:rPr>
          <w:w w:val="115"/>
          <w:vertAlign w:val="baseline"/>
        </w:rPr>
        <w:t>legislation</w:t>
      </w:r>
      <w:r>
        <w:rPr>
          <w:spacing w:val="-5"/>
          <w:w w:val="115"/>
          <w:vertAlign w:val="baseline"/>
        </w:rPr>
        <w:t> </w:t>
      </w:r>
      <w:r>
        <w:rPr>
          <w:w w:val="115"/>
          <w:vertAlign w:val="baseline"/>
        </w:rPr>
        <w:t>and</w:t>
      </w:r>
      <w:r>
        <w:rPr>
          <w:spacing w:val="-5"/>
          <w:w w:val="115"/>
          <w:vertAlign w:val="baseline"/>
        </w:rPr>
        <w:t> </w:t>
      </w:r>
      <w:r>
        <w:rPr>
          <w:w w:val="115"/>
          <w:vertAlign w:val="baseline"/>
        </w:rPr>
        <w:t>state liability in damages, which placed individuals in a more advantageous remedial position in situations</w:t>
      </w:r>
    </w:p>
    <w:p>
      <w:pPr>
        <w:pStyle w:val="BodyText"/>
        <w:spacing w:line="318" w:lineRule="exact" w:before="1"/>
        <w:ind w:right="538"/>
        <w:rPr>
          <w:rFonts w:ascii="Lucida Sans Unicode"/>
        </w:rPr>
      </w:pPr>
      <w:r>
        <w:rPr>
          <w:w w:val="115"/>
        </w:rPr>
        <w:t>falling within the scope of EU law than</w:t>
      </w:r>
      <w:r>
        <w:rPr>
          <w:spacing w:val="-14"/>
          <w:w w:val="115"/>
        </w:rPr>
        <w:t> </w:t>
      </w:r>
      <w:r>
        <w:rPr>
          <w:w w:val="115"/>
        </w:rPr>
        <w:t>outside</w:t>
      </w:r>
      <w:r>
        <w:rPr>
          <w:spacing w:val="-14"/>
          <w:w w:val="115"/>
        </w:rPr>
        <w:t> </w:t>
      </w:r>
      <w:r>
        <w:rPr>
          <w:w w:val="115"/>
        </w:rPr>
        <w:t>it.</w:t>
      </w:r>
      <w:r>
        <w:rPr>
          <w:spacing w:val="-14"/>
          <w:w w:val="115"/>
        </w:rPr>
        <w:t> </w:t>
      </w:r>
      <w:r>
        <w:rPr>
          <w:w w:val="115"/>
        </w:rPr>
        <w:t>These</w:t>
      </w:r>
      <w:r>
        <w:rPr>
          <w:spacing w:val="-14"/>
          <w:w w:val="115"/>
        </w:rPr>
        <w:t> </w:t>
      </w:r>
      <w:r>
        <w:rPr>
          <w:w w:val="115"/>
        </w:rPr>
        <w:t>possibilities meant</w:t>
      </w:r>
      <w:r>
        <w:rPr>
          <w:spacing w:val="-20"/>
          <w:w w:val="115"/>
        </w:rPr>
        <w:t> </w:t>
      </w:r>
      <w:r>
        <w:rPr>
          <w:w w:val="115"/>
        </w:rPr>
        <w:t>that</w:t>
      </w:r>
      <w:r>
        <w:rPr>
          <w:spacing w:val="-19"/>
          <w:w w:val="115"/>
        </w:rPr>
        <w:t> </w:t>
      </w:r>
      <w:r>
        <w:rPr>
          <w:w w:val="115"/>
        </w:rPr>
        <w:t>EU</w:t>
      </w:r>
      <w:r>
        <w:rPr>
          <w:spacing w:val="-19"/>
          <w:w w:val="115"/>
        </w:rPr>
        <w:t> </w:t>
      </w:r>
      <w:r>
        <w:rPr>
          <w:w w:val="115"/>
        </w:rPr>
        <w:t>law</w:t>
      </w:r>
      <w:r>
        <w:rPr>
          <w:spacing w:val="-19"/>
          <w:w w:val="115"/>
        </w:rPr>
        <w:t> </w:t>
      </w:r>
      <w:r>
        <w:rPr>
          <w:w w:val="115"/>
        </w:rPr>
        <w:t>often</w:t>
      </w:r>
      <w:r>
        <w:rPr>
          <w:spacing w:val="-19"/>
          <w:w w:val="115"/>
        </w:rPr>
        <w:t> </w:t>
      </w:r>
      <w:r>
        <w:rPr>
          <w:w w:val="115"/>
        </w:rPr>
        <w:t>displaced ECHR protections in domestic litigation where both EU law and the</w:t>
      </w:r>
      <w:r>
        <w:rPr>
          <w:spacing w:val="-14"/>
          <w:w w:val="115"/>
        </w:rPr>
        <w:t> </w:t>
      </w:r>
      <w:r>
        <w:rPr>
          <w:w w:val="115"/>
        </w:rPr>
        <w:t>Convention</w:t>
      </w:r>
      <w:r>
        <w:rPr>
          <w:spacing w:val="-14"/>
          <w:w w:val="115"/>
        </w:rPr>
        <w:t> </w:t>
      </w:r>
      <w:r>
        <w:rPr>
          <w:w w:val="115"/>
        </w:rPr>
        <w:t>were</w:t>
      </w:r>
      <w:r>
        <w:rPr>
          <w:spacing w:val="-14"/>
          <w:w w:val="115"/>
        </w:rPr>
        <w:t> </w:t>
      </w:r>
      <w:r>
        <w:rPr>
          <w:w w:val="115"/>
        </w:rPr>
        <w:t>engaged,</w:t>
      </w:r>
      <w:r>
        <w:rPr>
          <w:spacing w:val="-14"/>
          <w:w w:val="115"/>
        </w:rPr>
        <w:t> </w:t>
      </w:r>
      <w:r>
        <w:rPr>
          <w:w w:val="115"/>
        </w:rPr>
        <w:t>as </w:t>
      </w:r>
      <w:r>
        <w:rPr>
          <w:spacing w:val="-2"/>
          <w:w w:val="115"/>
        </w:rPr>
        <w:t>well</w:t>
      </w:r>
      <w:r>
        <w:rPr>
          <w:spacing w:val="-15"/>
          <w:w w:val="115"/>
        </w:rPr>
        <w:t> </w:t>
      </w:r>
      <w:r>
        <w:rPr>
          <w:spacing w:val="-2"/>
          <w:w w:val="115"/>
        </w:rPr>
        <w:t>as</w:t>
      </w:r>
      <w:r>
        <w:rPr>
          <w:spacing w:val="-15"/>
          <w:w w:val="115"/>
        </w:rPr>
        <w:t> </w:t>
      </w:r>
      <w:r>
        <w:rPr>
          <w:spacing w:val="-2"/>
          <w:w w:val="115"/>
        </w:rPr>
        <w:t>in</w:t>
      </w:r>
      <w:r>
        <w:rPr>
          <w:spacing w:val="-15"/>
          <w:w w:val="115"/>
        </w:rPr>
        <w:t> </w:t>
      </w:r>
      <w:r>
        <w:rPr>
          <w:spacing w:val="-2"/>
          <w:w w:val="115"/>
        </w:rPr>
        <w:t>areas</w:t>
      </w:r>
      <w:r>
        <w:rPr>
          <w:spacing w:val="-15"/>
          <w:w w:val="115"/>
        </w:rPr>
        <w:t> </w:t>
      </w:r>
      <w:r>
        <w:rPr>
          <w:spacing w:val="-2"/>
          <w:w w:val="115"/>
        </w:rPr>
        <w:t>where</w:t>
      </w:r>
      <w:r>
        <w:rPr>
          <w:spacing w:val="-15"/>
          <w:w w:val="115"/>
        </w:rPr>
        <w:t> </w:t>
      </w:r>
      <w:r>
        <w:rPr>
          <w:spacing w:val="-2"/>
          <w:w w:val="115"/>
        </w:rPr>
        <w:t>Convention </w:t>
      </w:r>
      <w:r>
        <w:rPr>
          <w:w w:val="115"/>
        </w:rPr>
        <w:t>law</w:t>
      </w:r>
      <w:r>
        <w:rPr>
          <w:spacing w:val="-17"/>
          <w:w w:val="115"/>
        </w:rPr>
        <w:t> </w:t>
      </w:r>
      <w:r>
        <w:rPr>
          <w:w w:val="115"/>
        </w:rPr>
        <w:t>remains</w:t>
      </w:r>
      <w:r>
        <w:rPr>
          <w:spacing w:val="-17"/>
          <w:w w:val="115"/>
        </w:rPr>
        <w:t> </w:t>
      </w:r>
      <w:r>
        <w:rPr>
          <w:w w:val="115"/>
        </w:rPr>
        <w:t>more</w:t>
      </w:r>
      <w:r>
        <w:rPr>
          <w:spacing w:val="-17"/>
          <w:w w:val="115"/>
        </w:rPr>
        <w:t> </w:t>
      </w:r>
      <w:r>
        <w:rPr>
          <w:w w:val="115"/>
        </w:rPr>
        <w:t>limited,</w:t>
      </w:r>
      <w:r>
        <w:rPr>
          <w:spacing w:val="-17"/>
          <w:w w:val="115"/>
        </w:rPr>
        <w:t> </w:t>
      </w:r>
      <w:r>
        <w:rPr>
          <w:w w:val="115"/>
        </w:rPr>
        <w:t>such</w:t>
      </w:r>
      <w:r>
        <w:rPr>
          <w:spacing w:val="-17"/>
          <w:w w:val="115"/>
        </w:rPr>
        <w:t> </w:t>
      </w:r>
      <w:r>
        <w:rPr>
          <w:w w:val="115"/>
        </w:rPr>
        <w:t>as employment</w:t>
      </w:r>
      <w:r>
        <w:rPr>
          <w:spacing w:val="-14"/>
          <w:w w:val="115"/>
        </w:rPr>
        <w:t> </w:t>
      </w:r>
      <w:r>
        <w:rPr>
          <w:w w:val="115"/>
        </w:rPr>
        <w:t>and</w:t>
      </w:r>
      <w:r>
        <w:rPr>
          <w:spacing w:val="-14"/>
          <w:w w:val="115"/>
        </w:rPr>
        <w:t> </w:t>
      </w:r>
      <w:r>
        <w:rPr>
          <w:w w:val="115"/>
        </w:rPr>
        <w:t>pensions.</w:t>
      </w:r>
      <w:r>
        <w:rPr>
          <w:rFonts w:ascii="Lucida Sans Unicode"/>
          <w:w w:val="115"/>
          <w:vertAlign w:val="superscript"/>
        </w:rPr>
        <w:t>249</w:t>
      </w:r>
    </w:p>
    <w:p>
      <w:pPr>
        <w:spacing w:after="0" w:line="318" w:lineRule="exact"/>
        <w:rPr>
          <w:rFonts w:ascii="Lucida Sans Unicode"/>
        </w:rPr>
        <w:sectPr>
          <w:type w:val="continuous"/>
          <w:pgSz w:w="11910" w:h="16840"/>
          <w:pgMar w:header="568" w:footer="580" w:top="0" w:bottom="280" w:left="1020" w:right="1020"/>
          <w:cols w:num="2" w:equalWidth="0">
            <w:col w:w="4720" w:space="325"/>
            <w:col w:w="4825"/>
          </w:cols>
        </w:sectPr>
      </w:pPr>
    </w:p>
    <w:p>
      <w:pPr>
        <w:pStyle w:val="BodyText"/>
        <w:spacing w:before="1" w:after="1"/>
        <w:ind w:left="0"/>
        <w:rPr>
          <w:rFonts w:ascii="Lucida Sans Unicode"/>
          <w:sz w:val="9"/>
        </w:rPr>
      </w:pPr>
    </w:p>
    <w:p>
      <w:pPr>
        <w:pStyle w:val="BodyText"/>
        <w:spacing w:line="20" w:lineRule="exact"/>
        <w:rPr>
          <w:rFonts w:ascii="Lucida Sans Unicode"/>
          <w:sz w:val="2"/>
        </w:rPr>
      </w:pPr>
      <w:r>
        <w:rPr>
          <w:rFonts w:ascii="Lucida Sans Unicode"/>
          <w:sz w:val="2"/>
        </w:rPr>
        <mc:AlternateContent>
          <mc:Choice Requires="wps">
            <w:drawing>
              <wp:inline distT="0" distB="0" distL="0" distR="0">
                <wp:extent cx="6120130" cy="6350"/>
                <wp:effectExtent l="9525" t="0" r="0" b="3175"/>
                <wp:docPr id="158" name="Group 158"/>
                <wp:cNvGraphicFramePr>
                  <a:graphicFrameLocks/>
                </wp:cNvGraphicFramePr>
                <a:graphic>
                  <a:graphicData uri="http://schemas.microsoft.com/office/word/2010/wordprocessingGroup">
                    <wpg:wgp>
                      <wpg:cNvPr id="158" name="Group 158"/>
                      <wpg:cNvGrpSpPr/>
                      <wpg:grpSpPr>
                        <a:xfrm>
                          <a:off x="0" y="0"/>
                          <a:ext cx="6120130" cy="6350"/>
                          <a:chExt cx="6120130" cy="6350"/>
                        </a:xfrm>
                      </wpg:grpSpPr>
                      <wps:wsp>
                        <wps:cNvPr id="159" name="Graphic 159"/>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98" coordorigin="0,0" coordsize="9638,10">
                <v:line style="position:absolute" from="0,5" to="9638,5" stroked="true" strokeweight=".5pt" strokecolor="#77328a">
                  <v:stroke dashstyle="solid"/>
                </v:line>
              </v:group>
            </w:pict>
          </mc:Fallback>
        </mc:AlternateContent>
      </w:r>
      <w:r>
        <w:rPr>
          <w:rFonts w:ascii="Lucida Sans Unicode"/>
          <w:sz w:val="2"/>
        </w:rPr>
      </w:r>
    </w:p>
    <w:p>
      <w:pPr>
        <w:pStyle w:val="ListParagraph"/>
        <w:numPr>
          <w:ilvl w:val="0"/>
          <w:numId w:val="14"/>
        </w:numPr>
        <w:tabs>
          <w:tab w:pos="565" w:val="left" w:leader="none"/>
          <w:tab w:pos="567" w:val="left" w:leader="none"/>
        </w:tabs>
        <w:spacing w:line="194" w:lineRule="auto" w:before="94" w:after="0"/>
        <w:ind w:left="567" w:right="379" w:hanging="454"/>
        <w:jc w:val="left"/>
        <w:rPr>
          <w:sz w:val="16"/>
        </w:rPr>
      </w:pPr>
      <w:r>
        <w:rPr>
          <w:rFonts w:ascii="Verdana"/>
          <w:i/>
          <w:sz w:val="16"/>
        </w:rPr>
        <w:t>Benkharbouche</w:t>
      </w:r>
      <w:r>
        <w:rPr>
          <w:rFonts w:ascii="Verdana"/>
          <w:i/>
          <w:spacing w:val="-11"/>
          <w:sz w:val="16"/>
        </w:rPr>
        <w:t> </w:t>
      </w:r>
      <w:r>
        <w:rPr>
          <w:rFonts w:ascii="Verdana"/>
          <w:i/>
          <w:sz w:val="16"/>
        </w:rPr>
        <w:t>v</w:t>
      </w:r>
      <w:r>
        <w:rPr>
          <w:rFonts w:ascii="Verdana"/>
          <w:i/>
          <w:spacing w:val="-11"/>
          <w:sz w:val="16"/>
        </w:rPr>
        <w:t> </w:t>
      </w:r>
      <w:r>
        <w:rPr>
          <w:rFonts w:ascii="Verdana"/>
          <w:i/>
          <w:sz w:val="16"/>
        </w:rPr>
        <w:t>Secretary</w:t>
      </w:r>
      <w:r>
        <w:rPr>
          <w:rFonts w:ascii="Verdana"/>
          <w:i/>
          <w:spacing w:val="-11"/>
          <w:sz w:val="16"/>
        </w:rPr>
        <w:t> </w:t>
      </w:r>
      <w:r>
        <w:rPr>
          <w:rFonts w:ascii="Verdana"/>
          <w:i/>
          <w:sz w:val="16"/>
        </w:rPr>
        <w:t>of</w:t>
      </w:r>
      <w:r>
        <w:rPr>
          <w:rFonts w:ascii="Verdana"/>
          <w:i/>
          <w:spacing w:val="-11"/>
          <w:sz w:val="16"/>
        </w:rPr>
        <w:t> </w:t>
      </w:r>
      <w:r>
        <w:rPr>
          <w:rFonts w:ascii="Verdana"/>
          <w:i/>
          <w:sz w:val="16"/>
        </w:rPr>
        <w:t>State</w:t>
      </w:r>
      <w:r>
        <w:rPr>
          <w:rFonts w:ascii="Verdana"/>
          <w:i/>
          <w:spacing w:val="-11"/>
          <w:sz w:val="16"/>
        </w:rPr>
        <w:t> </w:t>
      </w:r>
      <w:r>
        <w:rPr>
          <w:rFonts w:ascii="Verdana"/>
          <w:i/>
          <w:sz w:val="16"/>
        </w:rPr>
        <w:t>for</w:t>
      </w:r>
      <w:r>
        <w:rPr>
          <w:rFonts w:ascii="Verdana"/>
          <w:i/>
          <w:spacing w:val="-11"/>
          <w:sz w:val="16"/>
        </w:rPr>
        <w:t> </w:t>
      </w:r>
      <w:r>
        <w:rPr>
          <w:rFonts w:ascii="Verdana"/>
          <w:i/>
          <w:sz w:val="16"/>
        </w:rPr>
        <w:t>Foreign</w:t>
      </w:r>
      <w:r>
        <w:rPr>
          <w:rFonts w:ascii="Verdana"/>
          <w:i/>
          <w:spacing w:val="-11"/>
          <w:sz w:val="16"/>
        </w:rPr>
        <w:t> </w:t>
      </w:r>
      <w:r>
        <w:rPr>
          <w:rFonts w:ascii="Verdana"/>
          <w:i/>
          <w:sz w:val="16"/>
        </w:rPr>
        <w:t>and</w:t>
      </w:r>
      <w:r>
        <w:rPr>
          <w:rFonts w:ascii="Verdana"/>
          <w:i/>
          <w:spacing w:val="-11"/>
          <w:sz w:val="16"/>
        </w:rPr>
        <w:t> </w:t>
      </w:r>
      <w:r>
        <w:rPr>
          <w:rFonts w:ascii="Verdana"/>
          <w:i/>
          <w:sz w:val="16"/>
        </w:rPr>
        <w:t>Commonwealth</w:t>
      </w:r>
      <w:r>
        <w:rPr>
          <w:rFonts w:ascii="Verdana"/>
          <w:i/>
          <w:spacing w:val="-11"/>
          <w:sz w:val="16"/>
        </w:rPr>
        <w:t> </w:t>
      </w:r>
      <w:r>
        <w:rPr>
          <w:rFonts w:ascii="Verdana"/>
          <w:i/>
          <w:sz w:val="16"/>
        </w:rPr>
        <w:t>Affairs;</w:t>
      </w:r>
      <w:r>
        <w:rPr>
          <w:rFonts w:ascii="Verdana"/>
          <w:i/>
          <w:spacing w:val="-11"/>
          <w:sz w:val="16"/>
        </w:rPr>
        <w:t> </w:t>
      </w:r>
      <w:r>
        <w:rPr>
          <w:rFonts w:ascii="Verdana"/>
          <w:i/>
          <w:sz w:val="16"/>
        </w:rPr>
        <w:t>Libya</w:t>
      </w:r>
      <w:r>
        <w:rPr>
          <w:rFonts w:ascii="Verdana"/>
          <w:i/>
          <w:spacing w:val="-11"/>
          <w:sz w:val="16"/>
        </w:rPr>
        <w:t> </w:t>
      </w:r>
      <w:r>
        <w:rPr>
          <w:rFonts w:ascii="Verdana"/>
          <w:i/>
          <w:sz w:val="16"/>
        </w:rPr>
        <w:t>v</w:t>
      </w:r>
      <w:r>
        <w:rPr>
          <w:rFonts w:ascii="Verdana"/>
          <w:i/>
          <w:spacing w:val="-11"/>
          <w:sz w:val="16"/>
        </w:rPr>
        <w:t> </w:t>
      </w:r>
      <w:r>
        <w:rPr>
          <w:rFonts w:ascii="Verdana"/>
          <w:i/>
          <w:sz w:val="16"/>
        </w:rPr>
        <w:t>Janah</w:t>
      </w:r>
      <w:r>
        <w:rPr>
          <w:rFonts w:ascii="Verdana"/>
          <w:i/>
          <w:spacing w:val="-11"/>
          <w:sz w:val="16"/>
        </w:rPr>
        <w:t> </w:t>
      </w:r>
      <w:r>
        <w:rPr>
          <w:sz w:val="16"/>
        </w:rPr>
        <w:t>[2017]</w:t>
      </w:r>
      <w:r>
        <w:rPr>
          <w:spacing w:val="-5"/>
          <w:sz w:val="16"/>
        </w:rPr>
        <w:t> </w:t>
      </w:r>
      <w:r>
        <w:rPr>
          <w:sz w:val="16"/>
        </w:rPr>
        <w:t>UKSC</w:t>
      </w:r>
      <w:r>
        <w:rPr>
          <w:spacing w:val="-5"/>
          <w:sz w:val="16"/>
        </w:rPr>
        <w:t> </w:t>
      </w:r>
      <w:r>
        <w:rPr>
          <w:sz w:val="16"/>
        </w:rPr>
        <w:t>62,</w:t>
      </w:r>
      <w:r>
        <w:rPr>
          <w:spacing w:val="-5"/>
          <w:sz w:val="16"/>
        </w:rPr>
        <w:t> </w:t>
      </w:r>
      <w:r>
        <w:rPr>
          <w:sz w:val="16"/>
        </w:rPr>
        <w:t>para </w:t>
      </w:r>
      <w:r>
        <w:rPr>
          <w:spacing w:val="-4"/>
          <w:sz w:val="16"/>
        </w:rPr>
        <w:t>78.</w:t>
      </w:r>
    </w:p>
    <w:p>
      <w:pPr>
        <w:pStyle w:val="ListParagraph"/>
        <w:numPr>
          <w:ilvl w:val="0"/>
          <w:numId w:val="14"/>
        </w:numPr>
        <w:tabs>
          <w:tab w:pos="565" w:val="left" w:leader="none"/>
        </w:tabs>
        <w:spacing w:line="191" w:lineRule="exact" w:before="0" w:after="0"/>
        <w:ind w:left="565" w:right="0" w:hanging="452"/>
        <w:jc w:val="left"/>
        <w:rPr>
          <w:sz w:val="16"/>
        </w:rPr>
      </w:pPr>
      <w:r>
        <w:rPr>
          <w:rFonts w:ascii="Verdana"/>
          <w:i/>
          <w:sz w:val="16"/>
        </w:rPr>
        <w:t>Ghaidan v Godin Mendoza</w:t>
      </w:r>
      <w:r>
        <w:rPr>
          <w:rFonts w:ascii="Verdana"/>
          <w:i/>
          <w:spacing w:val="1"/>
          <w:sz w:val="16"/>
        </w:rPr>
        <w:t> </w:t>
      </w:r>
      <w:r>
        <w:rPr>
          <w:sz w:val="16"/>
        </w:rPr>
        <w:t>[2004]</w:t>
      </w:r>
      <w:r>
        <w:rPr>
          <w:spacing w:val="6"/>
          <w:sz w:val="16"/>
        </w:rPr>
        <w:t> </w:t>
      </w:r>
      <w:r>
        <w:rPr>
          <w:sz w:val="16"/>
        </w:rPr>
        <w:t>UKHL</w:t>
      </w:r>
      <w:r>
        <w:rPr>
          <w:spacing w:val="6"/>
          <w:sz w:val="16"/>
        </w:rPr>
        <w:t> </w:t>
      </w:r>
      <w:r>
        <w:rPr>
          <w:sz w:val="16"/>
        </w:rPr>
        <w:t>30,</w:t>
      </w:r>
      <w:r>
        <w:rPr>
          <w:spacing w:val="7"/>
          <w:sz w:val="16"/>
        </w:rPr>
        <w:t> </w:t>
      </w:r>
      <w:r>
        <w:rPr>
          <w:sz w:val="16"/>
        </w:rPr>
        <w:t>[2004]</w:t>
      </w:r>
      <w:r>
        <w:rPr>
          <w:spacing w:val="6"/>
          <w:sz w:val="16"/>
        </w:rPr>
        <w:t> </w:t>
      </w:r>
      <w:r>
        <w:rPr>
          <w:sz w:val="16"/>
        </w:rPr>
        <w:t>2</w:t>
      </w:r>
      <w:r>
        <w:rPr>
          <w:spacing w:val="6"/>
          <w:sz w:val="16"/>
        </w:rPr>
        <w:t> </w:t>
      </w:r>
      <w:r>
        <w:rPr>
          <w:sz w:val="16"/>
        </w:rPr>
        <w:t>AC</w:t>
      </w:r>
      <w:r>
        <w:rPr>
          <w:spacing w:val="7"/>
          <w:sz w:val="16"/>
        </w:rPr>
        <w:t> </w:t>
      </w:r>
      <w:r>
        <w:rPr>
          <w:sz w:val="16"/>
        </w:rPr>
        <w:t>557</w:t>
      </w:r>
      <w:r>
        <w:rPr>
          <w:spacing w:val="6"/>
          <w:sz w:val="16"/>
        </w:rPr>
        <w:t> </w:t>
      </w:r>
      <w:r>
        <w:rPr>
          <w:sz w:val="16"/>
        </w:rPr>
        <w:t>at</w:t>
      </w:r>
      <w:r>
        <w:rPr>
          <w:spacing w:val="6"/>
          <w:sz w:val="16"/>
        </w:rPr>
        <w:t> </w:t>
      </w:r>
      <w:r>
        <w:rPr>
          <w:sz w:val="16"/>
        </w:rPr>
        <w:t>paras</w:t>
      </w:r>
      <w:r>
        <w:rPr>
          <w:spacing w:val="6"/>
          <w:sz w:val="16"/>
        </w:rPr>
        <w:t> </w:t>
      </w:r>
      <w:r>
        <w:rPr>
          <w:sz w:val="16"/>
        </w:rPr>
        <w:t>38-49</w:t>
      </w:r>
      <w:r>
        <w:rPr>
          <w:spacing w:val="7"/>
          <w:sz w:val="16"/>
        </w:rPr>
        <w:t> </w:t>
      </w:r>
      <w:r>
        <w:rPr>
          <w:sz w:val="16"/>
        </w:rPr>
        <w:t>per</w:t>
      </w:r>
      <w:r>
        <w:rPr>
          <w:spacing w:val="6"/>
          <w:sz w:val="16"/>
        </w:rPr>
        <w:t> </w:t>
      </w:r>
      <w:r>
        <w:rPr>
          <w:sz w:val="16"/>
        </w:rPr>
        <w:t>Lord</w:t>
      </w:r>
      <w:r>
        <w:rPr>
          <w:spacing w:val="6"/>
          <w:sz w:val="16"/>
        </w:rPr>
        <w:t> </w:t>
      </w:r>
      <w:r>
        <w:rPr>
          <w:spacing w:val="-2"/>
          <w:sz w:val="16"/>
        </w:rPr>
        <w:t>Steyn.</w:t>
      </w:r>
    </w:p>
    <w:p>
      <w:pPr>
        <w:pStyle w:val="ListParagraph"/>
        <w:numPr>
          <w:ilvl w:val="0"/>
          <w:numId w:val="14"/>
        </w:numPr>
        <w:tabs>
          <w:tab w:pos="564" w:val="left" w:leader="none"/>
        </w:tabs>
        <w:spacing w:line="200" w:lineRule="exact" w:before="0" w:after="0"/>
        <w:ind w:left="564" w:right="0" w:hanging="451"/>
        <w:jc w:val="left"/>
        <w:rPr>
          <w:sz w:val="16"/>
        </w:rPr>
      </w:pPr>
      <w:r>
        <w:rPr>
          <w:rFonts w:ascii="Verdana"/>
          <w:i/>
          <w:sz w:val="16"/>
        </w:rPr>
        <w:t>Burden</w:t>
      </w:r>
      <w:r>
        <w:rPr>
          <w:rFonts w:ascii="Verdana"/>
          <w:i/>
          <w:spacing w:val="-9"/>
          <w:sz w:val="16"/>
        </w:rPr>
        <w:t> </w:t>
      </w:r>
      <w:r>
        <w:rPr>
          <w:rFonts w:ascii="Verdana"/>
          <w:i/>
          <w:sz w:val="16"/>
        </w:rPr>
        <w:t>and</w:t>
      </w:r>
      <w:r>
        <w:rPr>
          <w:rFonts w:ascii="Verdana"/>
          <w:i/>
          <w:spacing w:val="-9"/>
          <w:sz w:val="16"/>
        </w:rPr>
        <w:t> </w:t>
      </w:r>
      <w:r>
        <w:rPr>
          <w:rFonts w:ascii="Verdana"/>
          <w:i/>
          <w:sz w:val="16"/>
        </w:rPr>
        <w:t>Burden</w:t>
      </w:r>
      <w:r>
        <w:rPr>
          <w:rFonts w:ascii="Verdana"/>
          <w:i/>
          <w:spacing w:val="-8"/>
          <w:sz w:val="16"/>
        </w:rPr>
        <w:t> </w:t>
      </w:r>
      <w:r>
        <w:rPr>
          <w:rFonts w:ascii="Verdana"/>
          <w:i/>
          <w:sz w:val="16"/>
        </w:rPr>
        <w:t>v</w:t>
      </w:r>
      <w:r>
        <w:rPr>
          <w:rFonts w:ascii="Verdana"/>
          <w:i/>
          <w:spacing w:val="-9"/>
          <w:sz w:val="16"/>
        </w:rPr>
        <w:t> </w:t>
      </w:r>
      <w:r>
        <w:rPr>
          <w:rFonts w:ascii="Verdana"/>
          <w:i/>
          <w:sz w:val="16"/>
        </w:rPr>
        <w:t>UK</w:t>
      </w:r>
      <w:r>
        <w:rPr>
          <w:sz w:val="16"/>
        </w:rPr>
        <w:t>,</w:t>
      </w:r>
      <w:r>
        <w:rPr>
          <w:spacing w:val="-3"/>
          <w:sz w:val="16"/>
        </w:rPr>
        <w:t> </w:t>
      </w:r>
      <w:r>
        <w:rPr>
          <w:sz w:val="16"/>
        </w:rPr>
        <w:t>Application</w:t>
      </w:r>
      <w:r>
        <w:rPr>
          <w:spacing w:val="-2"/>
          <w:sz w:val="16"/>
        </w:rPr>
        <w:t> </w:t>
      </w:r>
      <w:r>
        <w:rPr>
          <w:sz w:val="16"/>
        </w:rPr>
        <w:t>No</w:t>
      </w:r>
      <w:r>
        <w:rPr>
          <w:spacing w:val="-3"/>
          <w:sz w:val="16"/>
        </w:rPr>
        <w:t> </w:t>
      </w:r>
      <w:r>
        <w:rPr>
          <w:sz w:val="16"/>
        </w:rPr>
        <w:t>13378/05,</w:t>
      </w:r>
      <w:r>
        <w:rPr>
          <w:spacing w:val="-2"/>
          <w:sz w:val="16"/>
        </w:rPr>
        <w:t> </w:t>
      </w:r>
      <w:r>
        <w:rPr>
          <w:sz w:val="16"/>
        </w:rPr>
        <w:t>ECtHR</w:t>
      </w:r>
      <w:r>
        <w:rPr>
          <w:spacing w:val="-3"/>
          <w:sz w:val="16"/>
        </w:rPr>
        <w:t> </w:t>
      </w:r>
      <w:r>
        <w:rPr>
          <w:sz w:val="16"/>
        </w:rPr>
        <w:t>29</w:t>
      </w:r>
      <w:r>
        <w:rPr>
          <w:spacing w:val="-3"/>
          <w:sz w:val="16"/>
        </w:rPr>
        <w:t> </w:t>
      </w:r>
      <w:r>
        <w:rPr>
          <w:sz w:val="16"/>
        </w:rPr>
        <w:t>April</w:t>
      </w:r>
      <w:r>
        <w:rPr>
          <w:spacing w:val="-2"/>
          <w:sz w:val="16"/>
        </w:rPr>
        <w:t> </w:t>
      </w:r>
      <w:r>
        <w:rPr>
          <w:sz w:val="16"/>
        </w:rPr>
        <w:t>2008,</w:t>
      </w:r>
      <w:r>
        <w:rPr>
          <w:spacing w:val="-3"/>
          <w:sz w:val="16"/>
        </w:rPr>
        <w:t> </w:t>
      </w:r>
      <w:r>
        <w:rPr>
          <w:sz w:val="16"/>
        </w:rPr>
        <w:t>paras</w:t>
      </w:r>
      <w:r>
        <w:rPr>
          <w:spacing w:val="-2"/>
          <w:sz w:val="16"/>
        </w:rPr>
        <w:t> </w:t>
      </w:r>
      <w:r>
        <w:rPr>
          <w:sz w:val="16"/>
        </w:rPr>
        <w:t>40-</w:t>
      </w:r>
      <w:r>
        <w:rPr>
          <w:spacing w:val="-5"/>
          <w:sz w:val="16"/>
        </w:rPr>
        <w:t>44.</w:t>
      </w:r>
    </w:p>
    <w:p>
      <w:pPr>
        <w:pStyle w:val="ListParagraph"/>
        <w:numPr>
          <w:ilvl w:val="0"/>
          <w:numId w:val="14"/>
        </w:numPr>
        <w:tabs>
          <w:tab w:pos="564" w:val="left" w:leader="none"/>
        </w:tabs>
        <w:spacing w:line="223" w:lineRule="exact" w:before="0" w:after="0"/>
        <w:ind w:left="564" w:right="0" w:hanging="451"/>
        <w:jc w:val="left"/>
        <w:rPr>
          <w:sz w:val="16"/>
        </w:rPr>
      </w:pPr>
      <w:r>
        <w:rPr>
          <w:w w:val="105"/>
          <w:sz w:val="16"/>
        </w:rPr>
        <w:t>Frantziou</w:t>
      </w:r>
      <w:r>
        <w:rPr>
          <w:spacing w:val="-13"/>
          <w:w w:val="105"/>
          <w:sz w:val="16"/>
        </w:rPr>
        <w:t> </w:t>
      </w:r>
      <w:r>
        <w:rPr>
          <w:w w:val="105"/>
          <w:sz w:val="16"/>
        </w:rPr>
        <w:t>(n</w:t>
      </w:r>
      <w:r>
        <w:rPr>
          <w:spacing w:val="-13"/>
          <w:w w:val="105"/>
          <w:sz w:val="16"/>
        </w:rPr>
        <w:t> </w:t>
      </w:r>
      <w:r>
        <w:rPr>
          <w:w w:val="105"/>
          <w:sz w:val="16"/>
        </w:rPr>
        <w:t>77)</w:t>
      </w:r>
      <w:r>
        <w:rPr>
          <w:spacing w:val="-12"/>
          <w:w w:val="105"/>
          <w:sz w:val="16"/>
        </w:rPr>
        <w:t> </w:t>
      </w:r>
      <w:r>
        <w:rPr>
          <w:spacing w:val="-4"/>
          <w:w w:val="105"/>
          <w:sz w:val="16"/>
        </w:rPr>
        <w:t>365.</w:t>
      </w:r>
    </w:p>
    <w:p>
      <w:pPr>
        <w:spacing w:after="0" w:line="223" w:lineRule="exact"/>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316" w:lineRule="exact" w:before="44"/>
        <w:ind w:right="304"/>
      </w:pPr>
      <w:bookmarkStart w:name="2.  The effects of the Charter in domest" w:id="65"/>
      <w:bookmarkEnd w:id="65"/>
      <w:r>
        <w:rPr/>
      </w:r>
      <w:bookmarkStart w:name="_bookmark27" w:id="66"/>
      <w:bookmarkEnd w:id="66"/>
      <w:r>
        <w:rPr/>
      </w:r>
      <w:r>
        <w:rPr>
          <w:rFonts w:ascii="Lucida Sans Unicode"/>
          <w:spacing w:val="-2"/>
          <w:w w:val="110"/>
        </w:rPr>
        <w:t>As</w:t>
      </w:r>
      <w:r>
        <w:rPr>
          <w:rFonts w:ascii="Lucida Sans Unicode"/>
          <w:spacing w:val="-19"/>
          <w:w w:val="110"/>
        </w:rPr>
        <w:t> </w:t>
      </w:r>
      <w:r>
        <w:rPr>
          <w:rFonts w:ascii="Lucida Sans Unicode"/>
          <w:spacing w:val="-2"/>
          <w:w w:val="110"/>
        </w:rPr>
        <w:t>already</w:t>
      </w:r>
      <w:r>
        <w:rPr>
          <w:rFonts w:ascii="Lucida Sans Unicode"/>
          <w:spacing w:val="-19"/>
          <w:w w:val="110"/>
        </w:rPr>
        <w:t> </w:t>
      </w:r>
      <w:r>
        <w:rPr>
          <w:rFonts w:ascii="Lucida Sans Unicode"/>
          <w:spacing w:val="-2"/>
          <w:w w:val="110"/>
        </w:rPr>
        <w:t>noted</w:t>
      </w:r>
      <w:r>
        <w:rPr>
          <w:rFonts w:ascii="Lucida Sans Unicode"/>
          <w:spacing w:val="-19"/>
          <w:w w:val="110"/>
        </w:rPr>
        <w:t> </w:t>
      </w:r>
      <w:r>
        <w:rPr>
          <w:rFonts w:ascii="Lucida Sans Unicode"/>
          <w:spacing w:val="-2"/>
          <w:w w:val="110"/>
        </w:rPr>
        <w:t>in</w:t>
      </w:r>
      <w:r>
        <w:rPr>
          <w:rFonts w:ascii="Lucida Sans Unicode"/>
          <w:spacing w:val="-19"/>
          <w:w w:val="110"/>
        </w:rPr>
        <w:t> </w:t>
      </w:r>
      <w:r>
        <w:rPr>
          <w:rFonts w:ascii="Lucida Sans Unicode"/>
          <w:spacing w:val="-2"/>
          <w:w w:val="110"/>
        </w:rPr>
        <w:t>Chapter</w:t>
      </w:r>
      <w:r>
        <w:rPr>
          <w:rFonts w:ascii="Lucida Sans Unicode"/>
          <w:spacing w:val="-18"/>
          <w:w w:val="110"/>
        </w:rPr>
        <w:t> </w:t>
      </w:r>
      <w:r>
        <w:rPr>
          <w:rFonts w:ascii="Lucida Sans Unicode"/>
          <w:spacing w:val="-2"/>
          <w:w w:val="110"/>
        </w:rPr>
        <w:t>2,</w:t>
      </w:r>
      <w:r>
        <w:rPr>
          <w:rFonts w:ascii="Lucida Sans Unicode"/>
          <w:spacing w:val="-19"/>
          <w:w w:val="110"/>
        </w:rPr>
        <w:t> </w:t>
      </w:r>
      <w:r>
        <w:rPr>
          <w:rFonts w:ascii="Lucida Sans Unicode"/>
          <w:spacing w:val="-2"/>
          <w:w w:val="110"/>
        </w:rPr>
        <w:t>the </w:t>
      </w:r>
      <w:r>
        <w:rPr>
          <w:w w:val="110"/>
        </w:rPr>
        <w:t>EUWA appeared to considerably</w:t>
      </w:r>
      <w:r>
        <w:rPr>
          <w:spacing w:val="40"/>
          <w:w w:val="110"/>
        </w:rPr>
        <w:t> </w:t>
      </w:r>
      <w:r>
        <w:rPr>
          <w:w w:val="110"/>
        </w:rPr>
        <w:t>limit the extent to which individuals could</w:t>
      </w:r>
      <w:r>
        <w:rPr>
          <w:spacing w:val="9"/>
          <w:w w:val="110"/>
        </w:rPr>
        <w:t> </w:t>
      </w:r>
      <w:r>
        <w:rPr>
          <w:w w:val="110"/>
        </w:rPr>
        <w:t>rely</w:t>
      </w:r>
      <w:r>
        <w:rPr>
          <w:spacing w:val="10"/>
          <w:w w:val="110"/>
        </w:rPr>
        <w:t> </w:t>
      </w:r>
      <w:r>
        <w:rPr>
          <w:w w:val="110"/>
        </w:rPr>
        <w:t>on</w:t>
      </w:r>
      <w:r>
        <w:rPr>
          <w:spacing w:val="9"/>
          <w:w w:val="110"/>
        </w:rPr>
        <w:t> </w:t>
      </w:r>
      <w:r>
        <w:rPr>
          <w:w w:val="110"/>
        </w:rPr>
        <w:t>EU</w:t>
      </w:r>
      <w:r>
        <w:rPr>
          <w:spacing w:val="10"/>
          <w:w w:val="110"/>
        </w:rPr>
        <w:t> </w:t>
      </w:r>
      <w:r>
        <w:rPr>
          <w:w w:val="110"/>
        </w:rPr>
        <w:t>fundamental</w:t>
      </w:r>
      <w:r>
        <w:rPr>
          <w:spacing w:val="10"/>
          <w:w w:val="110"/>
        </w:rPr>
        <w:t> </w:t>
      </w:r>
      <w:r>
        <w:rPr>
          <w:spacing w:val="-2"/>
          <w:w w:val="110"/>
        </w:rPr>
        <w:t>rights,</w:t>
      </w:r>
    </w:p>
    <w:p>
      <w:pPr>
        <w:pStyle w:val="BodyText"/>
        <w:spacing w:line="316" w:lineRule="exact" w:before="1"/>
        <w:ind w:right="147"/>
      </w:pPr>
      <w:r>
        <w:rPr>
          <w:rFonts w:ascii="Lucida Sans Unicode"/>
        </w:rPr>
        <w:t>whether through the Charter </w:t>
      </w:r>
      <w:r>
        <w:rPr>
          <w:rFonts w:ascii="Lucida Sans Unicode"/>
        </w:rPr>
        <w:t>(Section </w:t>
      </w:r>
      <w:r>
        <w:rPr>
          <w:rFonts w:ascii="Lucida Sans Unicode"/>
          <w:w w:val="110"/>
        </w:rPr>
        <w:t>5(4)</w:t>
      </w:r>
      <w:r>
        <w:rPr>
          <w:rFonts w:ascii="Lucida Sans Unicode"/>
          <w:spacing w:val="-4"/>
          <w:w w:val="110"/>
        </w:rPr>
        <w:t> </w:t>
      </w:r>
      <w:r>
        <w:rPr>
          <w:rFonts w:ascii="Lucida Sans Unicode"/>
          <w:w w:val="110"/>
        </w:rPr>
        <w:t>EUWA)</w:t>
      </w:r>
      <w:r>
        <w:rPr>
          <w:rFonts w:ascii="Lucida Sans Unicode"/>
          <w:spacing w:val="-4"/>
          <w:w w:val="110"/>
        </w:rPr>
        <w:t> </w:t>
      </w:r>
      <w:r>
        <w:rPr>
          <w:rFonts w:ascii="Lucida Sans Unicode"/>
          <w:w w:val="110"/>
        </w:rPr>
        <w:t>or</w:t>
      </w:r>
      <w:r>
        <w:rPr>
          <w:rFonts w:ascii="Lucida Sans Unicode"/>
          <w:spacing w:val="-4"/>
          <w:w w:val="110"/>
        </w:rPr>
        <w:t> </w:t>
      </w:r>
      <w:r>
        <w:rPr>
          <w:rFonts w:ascii="Lucida Sans Unicode"/>
          <w:w w:val="110"/>
        </w:rPr>
        <w:t>through</w:t>
      </w:r>
      <w:r>
        <w:rPr>
          <w:rFonts w:ascii="Lucida Sans Unicode"/>
          <w:spacing w:val="-4"/>
          <w:w w:val="110"/>
        </w:rPr>
        <w:t> </w:t>
      </w:r>
      <w:r>
        <w:rPr>
          <w:rFonts w:ascii="Lucida Sans Unicode"/>
          <w:w w:val="110"/>
        </w:rPr>
        <w:t>the</w:t>
      </w:r>
      <w:r>
        <w:rPr>
          <w:rFonts w:ascii="Lucida Sans Unicode"/>
          <w:spacing w:val="-4"/>
          <w:w w:val="110"/>
        </w:rPr>
        <w:t> </w:t>
      </w:r>
      <w:r>
        <w:rPr>
          <w:rFonts w:ascii="Lucida Sans Unicode"/>
          <w:w w:val="110"/>
        </w:rPr>
        <w:t>general </w:t>
      </w:r>
      <w:r>
        <w:rPr>
          <w:w w:val="110"/>
        </w:rPr>
        <w:t>principles of EU law in order to have legislation or other conduct quashed or disapplied by domestic courts </w:t>
      </w:r>
      <w:r>
        <w:rPr>
          <w:rFonts w:ascii="Lucida Sans Unicode"/>
          <w:w w:val="110"/>
        </w:rPr>
        <w:t>(Schedule</w:t>
      </w:r>
      <w:r>
        <w:rPr>
          <w:rFonts w:ascii="Lucida Sans Unicode"/>
          <w:spacing w:val="-3"/>
          <w:w w:val="110"/>
        </w:rPr>
        <w:t> </w:t>
      </w:r>
      <w:r>
        <w:rPr>
          <w:rFonts w:ascii="Lucida Sans Unicode"/>
          <w:w w:val="110"/>
        </w:rPr>
        <w:t>1(3)</w:t>
      </w:r>
      <w:r>
        <w:rPr>
          <w:rFonts w:ascii="Lucida Sans Unicode"/>
          <w:spacing w:val="-3"/>
          <w:w w:val="110"/>
        </w:rPr>
        <w:t> </w:t>
      </w:r>
      <w:r>
        <w:rPr>
          <w:rFonts w:ascii="Lucida Sans Unicode"/>
          <w:w w:val="110"/>
        </w:rPr>
        <w:t>EUWA)</w:t>
      </w:r>
      <w:r>
        <w:rPr>
          <w:rFonts w:ascii="Lucida Sans Unicode"/>
          <w:spacing w:val="-3"/>
          <w:w w:val="110"/>
        </w:rPr>
        <w:t> </w:t>
      </w:r>
      <w:r>
        <w:rPr>
          <w:rFonts w:ascii="Lucida Sans Unicode"/>
          <w:w w:val="110"/>
        </w:rPr>
        <w:t>or</w:t>
      </w:r>
      <w:r>
        <w:rPr>
          <w:rFonts w:ascii="Lucida Sans Unicode"/>
          <w:spacing w:val="-3"/>
          <w:w w:val="110"/>
        </w:rPr>
        <w:t> </w:t>
      </w:r>
      <w:r>
        <w:rPr>
          <w:rFonts w:ascii="Lucida Sans Unicode"/>
          <w:w w:val="110"/>
        </w:rPr>
        <w:t>to</w:t>
      </w:r>
      <w:r>
        <w:rPr>
          <w:rFonts w:ascii="Lucida Sans Unicode"/>
          <w:spacing w:val="-3"/>
          <w:w w:val="110"/>
        </w:rPr>
        <w:t> </w:t>
      </w:r>
      <w:r>
        <w:rPr>
          <w:rFonts w:ascii="Lucida Sans Unicode"/>
          <w:w w:val="110"/>
        </w:rPr>
        <w:t>claim </w:t>
      </w:r>
      <w:r>
        <w:rPr>
          <w:w w:val="110"/>
        </w:rPr>
        <w:t>damages in state liability pursuant to the</w:t>
      </w:r>
      <w:r>
        <w:rPr>
          <w:spacing w:val="-19"/>
          <w:w w:val="110"/>
        </w:rPr>
        <w:t> </w:t>
      </w:r>
      <w:r>
        <w:rPr>
          <w:rFonts w:ascii="Verdana"/>
          <w:i/>
          <w:w w:val="110"/>
        </w:rPr>
        <w:t>Francovich</w:t>
      </w:r>
      <w:r>
        <w:rPr>
          <w:rFonts w:ascii="Verdana"/>
          <w:i/>
          <w:spacing w:val="-23"/>
          <w:w w:val="110"/>
        </w:rPr>
        <w:t> </w:t>
      </w:r>
      <w:r>
        <w:rPr>
          <w:rFonts w:ascii="Lucida Sans Unicode"/>
          <w:w w:val="110"/>
        </w:rPr>
        <w:t>principle</w:t>
      </w:r>
      <w:r>
        <w:rPr>
          <w:rFonts w:ascii="Lucida Sans Unicode"/>
          <w:spacing w:val="-21"/>
          <w:w w:val="110"/>
        </w:rPr>
        <w:t> </w:t>
      </w:r>
      <w:r>
        <w:rPr>
          <w:rFonts w:ascii="Lucida Sans Unicode"/>
          <w:w w:val="110"/>
        </w:rPr>
        <w:t>(Schedule 1(4)</w:t>
      </w:r>
      <w:r>
        <w:rPr>
          <w:rFonts w:ascii="Lucida Sans Unicode"/>
          <w:spacing w:val="-16"/>
          <w:w w:val="110"/>
        </w:rPr>
        <w:t> </w:t>
      </w:r>
      <w:r>
        <w:rPr>
          <w:rFonts w:ascii="Lucida Sans Unicode"/>
          <w:w w:val="110"/>
        </w:rPr>
        <w:t>EUWA).</w:t>
      </w:r>
      <w:r>
        <w:rPr>
          <w:rFonts w:ascii="Lucida Sans Unicode"/>
          <w:spacing w:val="-16"/>
          <w:w w:val="110"/>
        </w:rPr>
        <w:t> </w:t>
      </w:r>
      <w:r>
        <w:rPr>
          <w:rFonts w:ascii="Lucida Sans Unicode"/>
          <w:w w:val="110"/>
        </w:rPr>
        <w:t>This</w:t>
      </w:r>
      <w:r>
        <w:rPr>
          <w:rFonts w:ascii="Lucida Sans Unicode"/>
          <w:spacing w:val="-16"/>
          <w:w w:val="110"/>
        </w:rPr>
        <w:t> </w:t>
      </w:r>
      <w:r>
        <w:rPr>
          <w:rFonts w:ascii="Lucida Sans Unicode"/>
          <w:w w:val="110"/>
        </w:rPr>
        <w:t>approach</w:t>
      </w:r>
      <w:r>
        <w:rPr>
          <w:rFonts w:ascii="Lucida Sans Unicode"/>
          <w:spacing w:val="-16"/>
          <w:w w:val="110"/>
        </w:rPr>
        <w:t> </w:t>
      </w:r>
      <w:r>
        <w:rPr>
          <w:rFonts w:ascii="Lucida Sans Unicode"/>
          <w:w w:val="110"/>
        </w:rPr>
        <w:t>has </w:t>
      </w:r>
      <w:r>
        <w:rPr>
          <w:w w:val="110"/>
        </w:rPr>
        <w:t>already been widely criticised for generating in a diminution of rights</w:t>
      </w:r>
    </w:p>
    <w:p>
      <w:pPr>
        <w:pStyle w:val="BodyText"/>
        <w:spacing w:line="316" w:lineRule="exact" w:before="1"/>
        <w:ind w:right="215"/>
      </w:pPr>
      <w:r>
        <w:rPr>
          <w:w w:val="110"/>
        </w:rPr>
        <w:t>in the rest of the UK.</w:t>
      </w:r>
      <w:r>
        <w:rPr>
          <w:rFonts w:ascii="Lucida Sans Unicode"/>
          <w:w w:val="110"/>
          <w:vertAlign w:val="superscript"/>
        </w:rPr>
        <w:t>250</w:t>
      </w:r>
      <w:r>
        <w:rPr>
          <w:rFonts w:ascii="Lucida Sans Unicode"/>
          <w:w w:val="110"/>
          <w:vertAlign w:val="baseline"/>
        </w:rPr>
        <w:t> </w:t>
      </w:r>
      <w:r>
        <w:rPr>
          <w:w w:val="110"/>
          <w:vertAlign w:val="baseline"/>
        </w:rPr>
        <w:t>However, as </w:t>
      </w:r>
      <w:r>
        <w:rPr>
          <w:rFonts w:ascii="Lucida Sans Unicode"/>
          <w:vertAlign w:val="baseline"/>
        </w:rPr>
        <w:t>we argued in Chapter 2, the </w:t>
      </w:r>
      <w:r>
        <w:rPr>
          <w:rFonts w:ascii="Lucida Sans Unicode"/>
          <w:vertAlign w:val="baseline"/>
        </w:rPr>
        <w:t>situation </w:t>
      </w:r>
      <w:r>
        <w:rPr>
          <w:w w:val="110"/>
          <w:vertAlign w:val="baseline"/>
        </w:rPr>
        <w:t>is more nuanced when considered in </w:t>
      </w:r>
      <w:r>
        <w:rPr>
          <w:rFonts w:ascii="Lucida Sans Unicode"/>
          <w:w w:val="110"/>
          <w:vertAlign w:val="baseline"/>
        </w:rPr>
        <w:t>light</w:t>
      </w:r>
      <w:r>
        <w:rPr>
          <w:rFonts w:ascii="Lucida Sans Unicode"/>
          <w:spacing w:val="-21"/>
          <w:w w:val="110"/>
          <w:vertAlign w:val="baseline"/>
        </w:rPr>
        <w:t> </w:t>
      </w:r>
      <w:r>
        <w:rPr>
          <w:rFonts w:ascii="Lucida Sans Unicode"/>
          <w:w w:val="110"/>
          <w:vertAlign w:val="baseline"/>
        </w:rPr>
        <w:t>of</w:t>
      </w:r>
      <w:r>
        <w:rPr>
          <w:rFonts w:ascii="Lucida Sans Unicode"/>
          <w:spacing w:val="-21"/>
          <w:w w:val="110"/>
          <w:vertAlign w:val="baseline"/>
        </w:rPr>
        <w:t> </w:t>
      </w:r>
      <w:r>
        <w:rPr>
          <w:rFonts w:ascii="Lucida Sans Unicode"/>
          <w:w w:val="110"/>
          <w:vertAlign w:val="baseline"/>
        </w:rPr>
        <w:t>the</w:t>
      </w:r>
      <w:r>
        <w:rPr>
          <w:rFonts w:ascii="Lucida Sans Unicode"/>
          <w:spacing w:val="-21"/>
          <w:w w:val="110"/>
          <w:vertAlign w:val="baseline"/>
        </w:rPr>
        <w:t> </w:t>
      </w:r>
      <w:r>
        <w:rPr>
          <w:rFonts w:ascii="Lucida Sans Unicode"/>
          <w:w w:val="110"/>
          <w:vertAlign w:val="baseline"/>
        </w:rPr>
        <w:t>operation</w:t>
      </w:r>
      <w:r>
        <w:rPr>
          <w:rFonts w:ascii="Lucida Sans Unicode"/>
          <w:spacing w:val="-21"/>
          <w:w w:val="110"/>
          <w:vertAlign w:val="baseline"/>
        </w:rPr>
        <w:t> </w:t>
      </w:r>
      <w:r>
        <w:rPr>
          <w:rFonts w:ascii="Lucida Sans Unicode"/>
          <w:w w:val="110"/>
          <w:vertAlign w:val="baseline"/>
        </w:rPr>
        <w:t>of</w:t>
      </w:r>
      <w:r>
        <w:rPr>
          <w:rFonts w:ascii="Lucida Sans Unicode"/>
          <w:spacing w:val="-21"/>
          <w:w w:val="110"/>
          <w:vertAlign w:val="baseline"/>
        </w:rPr>
        <w:t> </w:t>
      </w:r>
      <w:r>
        <w:rPr>
          <w:rFonts w:ascii="Lucida Sans Unicode"/>
          <w:w w:val="110"/>
          <w:vertAlign w:val="baseline"/>
        </w:rPr>
        <w:t>Section</w:t>
      </w:r>
      <w:r>
        <w:rPr>
          <w:rFonts w:ascii="Lucida Sans Unicode"/>
          <w:spacing w:val="-21"/>
          <w:w w:val="110"/>
          <w:vertAlign w:val="baseline"/>
        </w:rPr>
        <w:t> </w:t>
      </w:r>
      <w:r>
        <w:rPr>
          <w:rFonts w:ascii="Lucida Sans Unicode"/>
          <w:w w:val="110"/>
          <w:vertAlign w:val="baseline"/>
        </w:rPr>
        <w:t>7A </w:t>
      </w:r>
      <w:r>
        <w:rPr>
          <w:w w:val="110"/>
          <w:vertAlign w:val="baseline"/>
        </w:rPr>
        <w:t>EUWA. As a result of this provision, the</w:t>
      </w:r>
      <w:r>
        <w:rPr>
          <w:spacing w:val="40"/>
          <w:w w:val="110"/>
          <w:vertAlign w:val="baseline"/>
        </w:rPr>
        <w:t> </w:t>
      </w:r>
      <w:r>
        <w:rPr>
          <w:w w:val="110"/>
          <w:vertAlign w:val="baseline"/>
        </w:rPr>
        <w:t>Charter</w:t>
      </w:r>
      <w:r>
        <w:rPr>
          <w:spacing w:val="40"/>
          <w:w w:val="110"/>
          <w:vertAlign w:val="baseline"/>
        </w:rPr>
        <w:t> </w:t>
      </w:r>
      <w:r>
        <w:rPr>
          <w:w w:val="110"/>
          <w:vertAlign w:val="baseline"/>
        </w:rPr>
        <w:t>still</w:t>
      </w:r>
      <w:r>
        <w:rPr>
          <w:spacing w:val="40"/>
          <w:w w:val="110"/>
          <w:vertAlign w:val="baseline"/>
        </w:rPr>
        <w:t> </w:t>
      </w:r>
      <w:r>
        <w:rPr>
          <w:w w:val="110"/>
          <w:vertAlign w:val="baseline"/>
        </w:rPr>
        <w:t>applies</w:t>
      </w:r>
      <w:r>
        <w:rPr>
          <w:spacing w:val="40"/>
          <w:w w:val="110"/>
          <w:vertAlign w:val="baseline"/>
        </w:rPr>
        <w:t> </w:t>
      </w:r>
      <w:r>
        <w:rPr>
          <w:w w:val="110"/>
          <w:vertAlign w:val="baseline"/>
        </w:rPr>
        <w:t>(including the associated EU law remedies)</w:t>
      </w:r>
    </w:p>
    <w:p>
      <w:pPr>
        <w:pStyle w:val="BodyText"/>
        <w:spacing w:line="316" w:lineRule="exact" w:before="1"/>
      </w:pPr>
      <w:r>
        <w:rPr>
          <w:w w:val="105"/>
        </w:rPr>
        <w:t>in Northern Ireland in the areas </w:t>
      </w:r>
      <w:r>
        <w:rPr>
          <w:rFonts w:ascii="Lucida Sans Unicode"/>
          <w:w w:val="105"/>
        </w:rPr>
        <w:t>specifically defined in Articles 2 WF and 4 of the Withdrawal Agreement. </w:t>
      </w:r>
      <w:r>
        <w:rPr>
          <w:w w:val="105"/>
        </w:rPr>
        <w:t>This is especially clear in areas that require dynamic alignment with EU</w:t>
      </w:r>
      <w:r>
        <w:rPr>
          <w:spacing w:val="80"/>
          <w:w w:val="105"/>
        </w:rPr>
        <w:t> </w:t>
      </w:r>
      <w:r>
        <w:rPr>
          <w:w w:val="105"/>
        </w:rPr>
        <w:t>legislation</w:t>
      </w:r>
      <w:r>
        <w:rPr>
          <w:spacing w:val="40"/>
          <w:w w:val="105"/>
        </w:rPr>
        <w:t> </w:t>
      </w:r>
      <w:r>
        <w:rPr>
          <w:w w:val="105"/>
        </w:rPr>
        <w:t>and</w:t>
      </w:r>
      <w:r>
        <w:rPr>
          <w:spacing w:val="40"/>
          <w:w w:val="105"/>
        </w:rPr>
        <w:t> </w:t>
      </w:r>
      <w:r>
        <w:rPr>
          <w:w w:val="105"/>
        </w:rPr>
        <w:t>case</w:t>
      </w:r>
      <w:r>
        <w:rPr>
          <w:spacing w:val="40"/>
          <w:w w:val="105"/>
        </w:rPr>
        <w:t> </w:t>
      </w:r>
      <w:r>
        <w:rPr>
          <w:w w:val="105"/>
        </w:rPr>
        <w:t>law</w:t>
      </w:r>
      <w:r>
        <w:rPr>
          <w:spacing w:val="40"/>
          <w:w w:val="105"/>
        </w:rPr>
        <w:t> </w:t>
      </w:r>
      <w:r>
        <w:rPr>
          <w:w w:val="105"/>
        </w:rPr>
        <w:t>under</w:t>
      </w:r>
      <w:r>
        <w:rPr>
          <w:spacing w:val="40"/>
          <w:w w:val="105"/>
        </w:rPr>
        <w:t> </w:t>
      </w:r>
      <w:r>
        <w:rPr>
          <w:w w:val="105"/>
        </w:rPr>
        <w:t>Article </w:t>
      </w:r>
      <w:r>
        <w:rPr>
          <w:rFonts w:ascii="Lucida Sans Unicode"/>
          <w:w w:val="105"/>
        </w:rPr>
        <w:t>13</w:t>
      </w:r>
      <w:r>
        <w:rPr>
          <w:rFonts w:ascii="Lucida Sans Unicode"/>
          <w:spacing w:val="-13"/>
          <w:w w:val="105"/>
        </w:rPr>
        <w:t> </w:t>
      </w:r>
      <w:r>
        <w:rPr>
          <w:rFonts w:ascii="Lucida Sans Unicode"/>
          <w:w w:val="105"/>
        </w:rPr>
        <w:t>of</w:t>
      </w:r>
      <w:r>
        <w:rPr>
          <w:rFonts w:ascii="Lucida Sans Unicode"/>
          <w:spacing w:val="-13"/>
          <w:w w:val="105"/>
        </w:rPr>
        <w:t> </w:t>
      </w:r>
      <w:r>
        <w:rPr>
          <w:rFonts w:ascii="Lucida Sans Unicode"/>
          <w:w w:val="105"/>
        </w:rPr>
        <w:t>the</w:t>
      </w:r>
      <w:r>
        <w:rPr>
          <w:rFonts w:ascii="Lucida Sans Unicode"/>
          <w:spacing w:val="-13"/>
          <w:w w:val="105"/>
        </w:rPr>
        <w:t> </w:t>
      </w:r>
      <w:r>
        <w:rPr>
          <w:rFonts w:ascii="Lucida Sans Unicode"/>
          <w:w w:val="105"/>
        </w:rPr>
        <w:t>Windsor</w:t>
      </w:r>
      <w:r>
        <w:rPr>
          <w:rFonts w:ascii="Lucida Sans Unicode"/>
          <w:spacing w:val="-13"/>
          <w:w w:val="105"/>
        </w:rPr>
        <w:t> </w:t>
      </w:r>
      <w:r>
        <w:rPr>
          <w:rFonts w:ascii="Lucida Sans Unicode"/>
          <w:w w:val="105"/>
        </w:rPr>
        <w:t>Framework,</w:t>
      </w:r>
      <w:r>
        <w:rPr>
          <w:rFonts w:ascii="Lucida Sans Unicode"/>
          <w:spacing w:val="-13"/>
          <w:w w:val="105"/>
        </w:rPr>
        <w:t> </w:t>
      </w:r>
      <w:r>
        <w:rPr>
          <w:rFonts w:ascii="Lucida Sans Unicode"/>
          <w:w w:val="105"/>
        </w:rPr>
        <w:t>i.e.</w:t>
      </w:r>
      <w:r>
        <w:rPr>
          <w:rFonts w:ascii="Lucida Sans Unicode"/>
          <w:spacing w:val="-13"/>
          <w:w w:val="105"/>
        </w:rPr>
        <w:t> </w:t>
      </w:r>
      <w:r>
        <w:rPr>
          <w:rFonts w:ascii="Lucida Sans Unicode"/>
          <w:w w:val="105"/>
        </w:rPr>
        <w:t>in </w:t>
      </w:r>
      <w:r>
        <w:rPr>
          <w:rFonts w:ascii="Lucida Sans Unicode"/>
        </w:rPr>
        <w:t>respect of provisions specifically </w:t>
      </w:r>
      <w:r>
        <w:rPr>
          <w:rFonts w:ascii="Lucida Sans Unicode"/>
        </w:rPr>
        <w:t>listed </w:t>
      </w:r>
      <w:r>
        <w:rPr>
          <w:w w:val="105"/>
        </w:rPr>
        <w:t>in</w:t>
      </w:r>
      <w:r>
        <w:rPr>
          <w:spacing w:val="40"/>
          <w:w w:val="105"/>
        </w:rPr>
        <w:t> </w:t>
      </w:r>
      <w:r>
        <w:rPr>
          <w:w w:val="105"/>
        </w:rPr>
        <w:t>the</w:t>
      </w:r>
      <w:r>
        <w:rPr>
          <w:spacing w:val="40"/>
          <w:w w:val="105"/>
        </w:rPr>
        <w:t> </w:t>
      </w:r>
      <w:r>
        <w:rPr>
          <w:w w:val="105"/>
        </w:rPr>
        <w:t>Windsor</w:t>
      </w:r>
      <w:r>
        <w:rPr>
          <w:spacing w:val="40"/>
          <w:w w:val="105"/>
        </w:rPr>
        <w:t> </w:t>
      </w:r>
      <w:r>
        <w:rPr>
          <w:w w:val="105"/>
        </w:rPr>
        <w:t>Framework,</w:t>
      </w:r>
      <w:r>
        <w:rPr>
          <w:spacing w:val="40"/>
          <w:w w:val="105"/>
        </w:rPr>
        <w:t> </w:t>
      </w:r>
      <w:r>
        <w:rPr>
          <w:w w:val="105"/>
        </w:rPr>
        <w:t>where</w:t>
      </w:r>
    </w:p>
    <w:p>
      <w:pPr>
        <w:pStyle w:val="BodyText"/>
        <w:spacing w:line="316" w:lineRule="exact"/>
        <w:ind w:right="307"/>
      </w:pPr>
      <w:r>
        <w:rPr>
          <w:rFonts w:ascii="Lucida Sans Unicode" w:hAnsi="Lucida Sans Unicode"/>
        </w:rPr>
        <w:t>the Charter will have a significant </w:t>
      </w:r>
      <w:r>
        <w:rPr>
          <w:w w:val="110"/>
        </w:rPr>
        <w:t>role prospectively, through future amendments to EU legislation and the case law of the Court of Justice. But,</w:t>
      </w:r>
      <w:r>
        <w:rPr>
          <w:spacing w:val="-2"/>
          <w:w w:val="110"/>
        </w:rPr>
        <w:t> </w:t>
      </w:r>
      <w:r>
        <w:rPr>
          <w:w w:val="110"/>
        </w:rPr>
        <w:t>as</w:t>
      </w:r>
      <w:r>
        <w:rPr>
          <w:spacing w:val="-2"/>
          <w:w w:val="110"/>
        </w:rPr>
        <w:t> </w:t>
      </w:r>
      <w:r>
        <w:rPr>
          <w:w w:val="110"/>
        </w:rPr>
        <w:t>we</w:t>
      </w:r>
      <w:r>
        <w:rPr>
          <w:spacing w:val="-2"/>
          <w:w w:val="110"/>
        </w:rPr>
        <w:t> </w:t>
      </w:r>
      <w:r>
        <w:rPr>
          <w:w w:val="110"/>
        </w:rPr>
        <w:t>noted</w:t>
      </w:r>
      <w:r>
        <w:rPr>
          <w:spacing w:val="-2"/>
          <w:w w:val="110"/>
        </w:rPr>
        <w:t> </w:t>
      </w:r>
      <w:r>
        <w:rPr>
          <w:w w:val="110"/>
        </w:rPr>
        <w:t>earlier,</w:t>
      </w:r>
      <w:r>
        <w:rPr>
          <w:spacing w:val="-2"/>
          <w:w w:val="110"/>
        </w:rPr>
        <w:t> </w:t>
      </w:r>
      <w:r>
        <w:rPr>
          <w:w w:val="110"/>
        </w:rPr>
        <w:t>the</w:t>
      </w:r>
      <w:r>
        <w:rPr>
          <w:spacing w:val="-2"/>
          <w:w w:val="110"/>
        </w:rPr>
        <w:t> </w:t>
      </w:r>
      <w:r>
        <w:rPr>
          <w:w w:val="110"/>
        </w:rPr>
        <w:t>Charter – and in some cases future case</w:t>
      </w:r>
    </w:p>
    <w:p>
      <w:pPr>
        <w:pStyle w:val="BodyText"/>
        <w:spacing w:line="276" w:lineRule="auto" w:before="29"/>
        <w:ind w:right="500"/>
      </w:pPr>
      <w:r>
        <w:rPr>
          <w:w w:val="115"/>
        </w:rPr>
        <w:t>law</w:t>
      </w:r>
      <w:r>
        <w:rPr>
          <w:spacing w:val="-20"/>
          <w:w w:val="115"/>
        </w:rPr>
        <w:t> </w:t>
      </w:r>
      <w:r>
        <w:rPr>
          <w:w w:val="115"/>
        </w:rPr>
        <w:t>pertaining</w:t>
      </w:r>
      <w:r>
        <w:rPr>
          <w:spacing w:val="-19"/>
          <w:w w:val="115"/>
        </w:rPr>
        <w:t> </w:t>
      </w:r>
      <w:r>
        <w:rPr>
          <w:w w:val="115"/>
        </w:rPr>
        <w:t>to</w:t>
      </w:r>
      <w:r>
        <w:rPr>
          <w:spacing w:val="-19"/>
          <w:w w:val="115"/>
        </w:rPr>
        <w:t> </w:t>
      </w:r>
      <w:r>
        <w:rPr>
          <w:w w:val="115"/>
        </w:rPr>
        <w:t>the</w:t>
      </w:r>
      <w:r>
        <w:rPr>
          <w:spacing w:val="-19"/>
          <w:w w:val="115"/>
        </w:rPr>
        <w:t> </w:t>
      </w:r>
      <w:r>
        <w:rPr>
          <w:w w:val="115"/>
        </w:rPr>
        <w:t>Charter</w:t>
      </w:r>
      <w:r>
        <w:rPr>
          <w:spacing w:val="-19"/>
          <w:w w:val="115"/>
        </w:rPr>
        <w:t> </w:t>
      </w:r>
      <w:r>
        <w:rPr>
          <w:w w:val="115"/>
        </w:rPr>
        <w:t>–</w:t>
      </w:r>
      <w:r>
        <w:rPr>
          <w:spacing w:val="-20"/>
          <w:w w:val="115"/>
        </w:rPr>
        <w:t> </w:t>
      </w:r>
      <w:r>
        <w:rPr>
          <w:w w:val="115"/>
        </w:rPr>
        <w:t>has continued relevance in Northern Ireland in areas engaging the</w:t>
      </w:r>
    </w:p>
    <w:p>
      <w:pPr>
        <w:pStyle w:val="BodyText"/>
        <w:spacing w:line="235" w:lineRule="auto" w:before="77"/>
        <w:ind w:right="266"/>
      </w:pPr>
      <w:r>
        <w:rPr/>
        <w:br w:type="column"/>
      </w:r>
      <w:r>
        <w:rPr>
          <w:w w:val="110"/>
        </w:rPr>
        <w:t>broader non-diminution obligation </w:t>
      </w:r>
      <w:r>
        <w:rPr>
          <w:rFonts w:ascii="Lucida Sans Unicode"/>
        </w:rPr>
        <w:t>enshrined in Article 2 of the </w:t>
      </w:r>
      <w:r>
        <w:rPr>
          <w:rFonts w:ascii="Lucida Sans Unicode"/>
        </w:rPr>
        <w:t>Windsor </w:t>
      </w:r>
      <w:r>
        <w:rPr>
          <w:spacing w:val="-2"/>
          <w:w w:val="110"/>
        </w:rPr>
        <w:t>Framework.</w:t>
      </w:r>
    </w:p>
    <w:p>
      <w:pPr>
        <w:pStyle w:val="BodyText"/>
        <w:spacing w:before="35"/>
        <w:ind w:left="0"/>
      </w:pPr>
    </w:p>
    <w:p>
      <w:pPr>
        <w:pStyle w:val="BodyText"/>
        <w:spacing w:line="316" w:lineRule="exact"/>
        <w:ind w:right="224"/>
      </w:pPr>
      <w:r>
        <w:rPr>
          <w:rFonts w:ascii="Lucida Sans Unicode"/>
        </w:rPr>
        <w:t>This chapter will first offer a more </w:t>
      </w:r>
      <w:r>
        <w:rPr>
          <w:w w:val="115"/>
        </w:rPr>
        <w:t>detailed account of how the Charter </w:t>
      </w:r>
      <w:r>
        <w:rPr>
          <w:spacing w:val="-2"/>
          <w:w w:val="115"/>
        </w:rPr>
        <w:t>operated</w:t>
      </w:r>
      <w:r>
        <w:rPr>
          <w:spacing w:val="-15"/>
          <w:w w:val="115"/>
        </w:rPr>
        <w:t> </w:t>
      </w:r>
      <w:r>
        <w:rPr>
          <w:spacing w:val="-2"/>
          <w:w w:val="115"/>
        </w:rPr>
        <w:t>in</w:t>
      </w:r>
      <w:r>
        <w:rPr>
          <w:spacing w:val="-15"/>
          <w:w w:val="115"/>
        </w:rPr>
        <w:t> </w:t>
      </w:r>
      <w:r>
        <w:rPr>
          <w:spacing w:val="-2"/>
          <w:w w:val="115"/>
        </w:rPr>
        <w:t>domestic</w:t>
      </w:r>
      <w:r>
        <w:rPr>
          <w:spacing w:val="-15"/>
          <w:w w:val="115"/>
        </w:rPr>
        <w:t> </w:t>
      </w:r>
      <w:r>
        <w:rPr>
          <w:spacing w:val="-2"/>
          <w:w w:val="115"/>
        </w:rPr>
        <w:t>case</w:t>
      </w:r>
      <w:r>
        <w:rPr>
          <w:spacing w:val="-15"/>
          <w:w w:val="115"/>
        </w:rPr>
        <w:t> </w:t>
      </w:r>
      <w:r>
        <w:rPr>
          <w:spacing w:val="-2"/>
          <w:w w:val="115"/>
        </w:rPr>
        <w:t>law</w:t>
      </w:r>
      <w:r>
        <w:rPr>
          <w:spacing w:val="-15"/>
          <w:w w:val="115"/>
        </w:rPr>
        <w:t> </w:t>
      </w:r>
      <w:r>
        <w:rPr>
          <w:spacing w:val="-2"/>
          <w:w w:val="115"/>
        </w:rPr>
        <w:t>before </w:t>
      </w:r>
      <w:r>
        <w:rPr>
          <w:w w:val="115"/>
        </w:rPr>
        <w:t>Brexit</w:t>
      </w:r>
      <w:r>
        <w:rPr>
          <w:spacing w:val="-3"/>
          <w:w w:val="115"/>
        </w:rPr>
        <w:t> </w:t>
      </w:r>
      <w:r>
        <w:rPr>
          <w:w w:val="115"/>
        </w:rPr>
        <w:t>and</w:t>
      </w:r>
      <w:r>
        <w:rPr>
          <w:spacing w:val="-3"/>
          <w:w w:val="115"/>
        </w:rPr>
        <w:t> </w:t>
      </w:r>
      <w:r>
        <w:rPr>
          <w:w w:val="115"/>
        </w:rPr>
        <w:t>how</w:t>
      </w:r>
      <w:r>
        <w:rPr>
          <w:spacing w:val="-3"/>
          <w:w w:val="115"/>
        </w:rPr>
        <w:t> </w:t>
      </w:r>
      <w:r>
        <w:rPr>
          <w:w w:val="115"/>
        </w:rPr>
        <w:t>the</w:t>
      </w:r>
      <w:r>
        <w:rPr>
          <w:spacing w:val="-3"/>
          <w:w w:val="115"/>
        </w:rPr>
        <w:t> </w:t>
      </w:r>
      <w:r>
        <w:rPr>
          <w:w w:val="115"/>
        </w:rPr>
        <w:t>EUWA</w:t>
      </w:r>
      <w:r>
        <w:rPr>
          <w:spacing w:val="-3"/>
          <w:w w:val="115"/>
        </w:rPr>
        <w:t> </w:t>
      </w:r>
      <w:r>
        <w:rPr>
          <w:w w:val="115"/>
        </w:rPr>
        <w:t>purported to alter its application. It will then analyse the future effects of the Charter</w:t>
      </w:r>
      <w:r>
        <w:rPr>
          <w:spacing w:val="-15"/>
          <w:w w:val="115"/>
        </w:rPr>
        <w:t> </w:t>
      </w:r>
      <w:r>
        <w:rPr>
          <w:w w:val="115"/>
        </w:rPr>
        <w:t>in</w:t>
      </w:r>
      <w:r>
        <w:rPr>
          <w:spacing w:val="-15"/>
          <w:w w:val="115"/>
        </w:rPr>
        <w:t> </w:t>
      </w:r>
      <w:r>
        <w:rPr>
          <w:w w:val="115"/>
        </w:rPr>
        <w:t>areas</w:t>
      </w:r>
      <w:r>
        <w:rPr>
          <w:spacing w:val="-15"/>
          <w:w w:val="115"/>
        </w:rPr>
        <w:t> </w:t>
      </w:r>
      <w:r>
        <w:rPr>
          <w:w w:val="115"/>
        </w:rPr>
        <w:t>falling</w:t>
      </w:r>
      <w:r>
        <w:rPr>
          <w:spacing w:val="-15"/>
          <w:w w:val="115"/>
        </w:rPr>
        <w:t> </w:t>
      </w:r>
      <w:r>
        <w:rPr>
          <w:w w:val="115"/>
        </w:rPr>
        <w:t>within</w:t>
      </w:r>
      <w:r>
        <w:rPr>
          <w:spacing w:val="-15"/>
          <w:w w:val="115"/>
        </w:rPr>
        <w:t> </w:t>
      </w:r>
      <w:r>
        <w:rPr>
          <w:w w:val="115"/>
        </w:rPr>
        <w:t>directly applicable</w:t>
      </w:r>
      <w:r>
        <w:rPr>
          <w:spacing w:val="-4"/>
          <w:w w:val="115"/>
        </w:rPr>
        <w:t> </w:t>
      </w:r>
      <w:r>
        <w:rPr>
          <w:w w:val="115"/>
        </w:rPr>
        <w:t>EU</w:t>
      </w:r>
      <w:r>
        <w:rPr>
          <w:spacing w:val="-4"/>
          <w:w w:val="115"/>
        </w:rPr>
        <w:t> </w:t>
      </w:r>
      <w:r>
        <w:rPr>
          <w:w w:val="115"/>
        </w:rPr>
        <w:t>law</w:t>
      </w:r>
      <w:r>
        <w:rPr>
          <w:spacing w:val="-4"/>
          <w:w w:val="115"/>
        </w:rPr>
        <w:t> </w:t>
      </w:r>
      <w:r>
        <w:rPr>
          <w:w w:val="115"/>
        </w:rPr>
        <w:t>and</w:t>
      </w:r>
      <w:r>
        <w:rPr>
          <w:spacing w:val="-4"/>
          <w:w w:val="115"/>
        </w:rPr>
        <w:t> </w:t>
      </w:r>
      <w:r>
        <w:rPr>
          <w:w w:val="115"/>
        </w:rPr>
        <w:t>the</w:t>
      </w:r>
      <w:r>
        <w:rPr>
          <w:spacing w:val="-4"/>
          <w:w w:val="115"/>
        </w:rPr>
        <w:t> </w:t>
      </w:r>
      <w:r>
        <w:rPr>
          <w:w w:val="115"/>
        </w:rPr>
        <w:t>Annex</w:t>
      </w:r>
      <w:r>
        <w:rPr>
          <w:spacing w:val="-4"/>
          <w:w w:val="115"/>
        </w:rPr>
        <w:t> </w:t>
      </w:r>
      <w:r>
        <w:rPr/>
        <w:t>1 </w:t>
      </w:r>
      <w:r>
        <w:rPr>
          <w:w w:val="115"/>
        </w:rPr>
        <w:t>directives, where we argue that the effects of the Charter remain largely unchanged. Finally, the chapter considers the continued application of the Charter to non-listed areas coming within the scope of Windsor </w:t>
      </w:r>
      <w:r>
        <w:rPr>
          <w:rFonts w:ascii="Lucida Sans Unicode"/>
          <w:w w:val="110"/>
        </w:rPr>
        <w:t>Framework</w:t>
      </w:r>
      <w:r>
        <w:rPr>
          <w:rFonts w:ascii="Lucida Sans Unicode"/>
          <w:spacing w:val="-7"/>
          <w:w w:val="110"/>
        </w:rPr>
        <w:t> </w:t>
      </w:r>
      <w:r>
        <w:rPr>
          <w:rFonts w:ascii="Lucida Sans Unicode"/>
          <w:w w:val="110"/>
        </w:rPr>
        <w:t>by</w:t>
      </w:r>
      <w:r>
        <w:rPr>
          <w:rFonts w:ascii="Lucida Sans Unicode"/>
          <w:spacing w:val="-7"/>
          <w:w w:val="110"/>
        </w:rPr>
        <w:t> </w:t>
      </w:r>
      <w:r>
        <w:rPr>
          <w:rFonts w:ascii="Lucida Sans Unicode"/>
          <w:w w:val="110"/>
        </w:rPr>
        <w:t>virtue</w:t>
      </w:r>
      <w:r>
        <w:rPr>
          <w:rFonts w:ascii="Lucida Sans Unicode"/>
          <w:spacing w:val="-7"/>
          <w:w w:val="110"/>
        </w:rPr>
        <w:t> </w:t>
      </w:r>
      <w:r>
        <w:rPr>
          <w:rFonts w:ascii="Lucida Sans Unicode"/>
          <w:w w:val="110"/>
        </w:rPr>
        <w:t>of</w:t>
      </w:r>
      <w:r>
        <w:rPr>
          <w:rFonts w:ascii="Lucida Sans Unicode"/>
          <w:spacing w:val="-7"/>
          <w:w w:val="110"/>
        </w:rPr>
        <w:t> </w:t>
      </w:r>
      <w:r>
        <w:rPr>
          <w:rFonts w:ascii="Lucida Sans Unicode"/>
          <w:w w:val="110"/>
        </w:rPr>
        <w:t>the</w:t>
      </w:r>
      <w:r>
        <w:rPr>
          <w:rFonts w:ascii="Lucida Sans Unicode"/>
          <w:spacing w:val="-7"/>
          <w:w w:val="110"/>
        </w:rPr>
        <w:t> </w:t>
      </w:r>
      <w:r>
        <w:rPr>
          <w:rFonts w:ascii="Lucida Sans Unicode"/>
          <w:w w:val="110"/>
        </w:rPr>
        <w:t>RSEO </w:t>
      </w:r>
      <w:r>
        <w:rPr>
          <w:w w:val="115"/>
        </w:rPr>
        <w:t>section of the Belfast (Good Friday)</w:t>
      </w:r>
    </w:p>
    <w:p>
      <w:pPr>
        <w:pStyle w:val="BodyText"/>
        <w:spacing w:line="273" w:lineRule="auto" w:before="15"/>
        <w:ind w:right="688"/>
      </w:pPr>
      <w:r>
        <w:rPr>
          <w:w w:val="115"/>
        </w:rPr>
        <w:t>Agreement, providing examples </w:t>
      </w:r>
      <w:r>
        <w:rPr>
          <w:spacing w:val="-2"/>
          <w:w w:val="115"/>
        </w:rPr>
        <w:t>of</w:t>
      </w:r>
      <w:r>
        <w:rPr>
          <w:spacing w:val="-18"/>
          <w:w w:val="115"/>
        </w:rPr>
        <w:t> </w:t>
      </w:r>
      <w:r>
        <w:rPr>
          <w:spacing w:val="-2"/>
          <w:w w:val="115"/>
        </w:rPr>
        <w:t>how</w:t>
      </w:r>
      <w:r>
        <w:rPr>
          <w:spacing w:val="-17"/>
          <w:w w:val="115"/>
        </w:rPr>
        <w:t> </w:t>
      </w:r>
      <w:r>
        <w:rPr>
          <w:spacing w:val="-2"/>
          <w:w w:val="115"/>
        </w:rPr>
        <w:t>EU</w:t>
      </w:r>
      <w:r>
        <w:rPr>
          <w:spacing w:val="-17"/>
          <w:w w:val="115"/>
        </w:rPr>
        <w:t> </w:t>
      </w:r>
      <w:r>
        <w:rPr>
          <w:spacing w:val="-2"/>
          <w:w w:val="115"/>
        </w:rPr>
        <w:t>remedies</w:t>
      </w:r>
      <w:r>
        <w:rPr>
          <w:spacing w:val="-17"/>
          <w:w w:val="115"/>
        </w:rPr>
        <w:t> </w:t>
      </w:r>
      <w:r>
        <w:rPr>
          <w:spacing w:val="-2"/>
          <w:w w:val="115"/>
        </w:rPr>
        <w:t>could</w:t>
      </w:r>
      <w:r>
        <w:rPr>
          <w:spacing w:val="-17"/>
          <w:w w:val="115"/>
        </w:rPr>
        <w:t> </w:t>
      </w:r>
      <w:r>
        <w:rPr>
          <w:spacing w:val="-2"/>
          <w:w w:val="115"/>
        </w:rPr>
        <w:t>remain </w:t>
      </w:r>
      <w:r>
        <w:rPr>
          <w:w w:val="115"/>
        </w:rPr>
        <w:t>relevant in this broader and less</w:t>
      </w:r>
    </w:p>
    <w:p>
      <w:pPr>
        <w:pStyle w:val="BodyText"/>
        <w:spacing w:line="325" w:lineRule="exact"/>
        <w:rPr>
          <w:rFonts w:ascii="Lucida Sans Unicode"/>
        </w:rPr>
      </w:pPr>
      <w:r>
        <w:rPr>
          <w:rFonts w:ascii="Lucida Sans Unicode"/>
        </w:rPr>
        <w:t>clearly</w:t>
      </w:r>
      <w:r>
        <w:rPr>
          <w:rFonts w:ascii="Lucida Sans Unicode"/>
          <w:spacing w:val="12"/>
        </w:rPr>
        <w:t> </w:t>
      </w:r>
      <w:r>
        <w:rPr>
          <w:rFonts w:ascii="Lucida Sans Unicode"/>
        </w:rPr>
        <w:t>defined</w:t>
      </w:r>
      <w:r>
        <w:rPr>
          <w:rFonts w:ascii="Lucida Sans Unicode"/>
          <w:spacing w:val="12"/>
        </w:rPr>
        <w:t> </w:t>
      </w:r>
      <w:r>
        <w:rPr>
          <w:rFonts w:ascii="Lucida Sans Unicode"/>
        </w:rPr>
        <w:t>field</w:t>
      </w:r>
      <w:r>
        <w:rPr>
          <w:rFonts w:ascii="Lucida Sans Unicode"/>
          <w:spacing w:val="13"/>
        </w:rPr>
        <w:t> </w:t>
      </w:r>
      <w:r>
        <w:rPr>
          <w:rFonts w:ascii="Lucida Sans Unicode"/>
        </w:rPr>
        <w:t>of</w:t>
      </w:r>
      <w:r>
        <w:rPr>
          <w:rFonts w:ascii="Lucida Sans Unicode"/>
          <w:spacing w:val="12"/>
        </w:rPr>
        <w:t> </w:t>
      </w:r>
      <w:r>
        <w:rPr>
          <w:rFonts w:ascii="Lucida Sans Unicode"/>
        </w:rPr>
        <w:t>application</w:t>
      </w:r>
      <w:r>
        <w:rPr>
          <w:rFonts w:ascii="Lucida Sans Unicode"/>
          <w:spacing w:val="13"/>
        </w:rPr>
        <w:t> </w:t>
      </w:r>
      <w:r>
        <w:rPr>
          <w:rFonts w:ascii="Lucida Sans Unicode"/>
          <w:spacing w:val="-5"/>
        </w:rPr>
        <w:t>of</w:t>
      </w:r>
    </w:p>
    <w:p>
      <w:pPr>
        <w:pStyle w:val="BodyText"/>
        <w:spacing w:line="268" w:lineRule="exact"/>
      </w:pPr>
      <w:r>
        <w:rPr>
          <w:w w:val="115"/>
        </w:rPr>
        <w:t>the</w:t>
      </w:r>
      <w:r>
        <w:rPr>
          <w:spacing w:val="-12"/>
          <w:w w:val="115"/>
        </w:rPr>
        <w:t> </w:t>
      </w:r>
      <w:r>
        <w:rPr>
          <w:w w:val="115"/>
        </w:rPr>
        <w:t>Windsor</w:t>
      </w:r>
      <w:r>
        <w:rPr>
          <w:spacing w:val="-11"/>
          <w:w w:val="115"/>
        </w:rPr>
        <w:t> </w:t>
      </w:r>
      <w:r>
        <w:rPr>
          <w:spacing w:val="-2"/>
          <w:w w:val="115"/>
        </w:rPr>
        <w:t>Framework.</w:t>
      </w:r>
    </w:p>
    <w:p>
      <w:pPr>
        <w:pStyle w:val="BodyText"/>
        <w:spacing w:before="58"/>
        <w:ind w:left="0"/>
      </w:pPr>
    </w:p>
    <w:p>
      <w:pPr>
        <w:pStyle w:val="Heading3"/>
        <w:numPr>
          <w:ilvl w:val="0"/>
          <w:numId w:val="15"/>
        </w:numPr>
        <w:tabs>
          <w:tab w:pos="680" w:val="left" w:leader="none"/>
        </w:tabs>
        <w:spacing w:line="254" w:lineRule="auto" w:before="0" w:after="0"/>
        <w:ind w:left="680" w:right="1134" w:hanging="567"/>
        <w:jc w:val="left"/>
      </w:pPr>
      <w:r>
        <w:rPr>
          <w:color w:val="77328A"/>
        </w:rPr>
        <w:t>The effects of the Charter in </w:t>
      </w:r>
      <w:r>
        <w:rPr>
          <w:color w:val="77328A"/>
        </w:rPr>
        <w:t>domestic law before Brexit</w:t>
      </w:r>
    </w:p>
    <w:p>
      <w:pPr>
        <w:pStyle w:val="BodyText"/>
        <w:spacing w:line="316" w:lineRule="exact" w:before="152"/>
        <w:ind w:right="266"/>
      </w:pPr>
      <w:r>
        <w:rPr>
          <w:w w:val="110"/>
        </w:rPr>
        <w:t>In</w:t>
      </w:r>
      <w:r>
        <w:rPr>
          <w:spacing w:val="38"/>
          <w:w w:val="110"/>
        </w:rPr>
        <w:t> </w:t>
      </w:r>
      <w:r>
        <w:rPr>
          <w:w w:val="110"/>
        </w:rPr>
        <w:t>line</w:t>
      </w:r>
      <w:r>
        <w:rPr>
          <w:spacing w:val="38"/>
          <w:w w:val="110"/>
        </w:rPr>
        <w:t> </w:t>
      </w:r>
      <w:r>
        <w:rPr>
          <w:w w:val="110"/>
        </w:rPr>
        <w:t>with</w:t>
      </w:r>
      <w:r>
        <w:rPr>
          <w:spacing w:val="38"/>
          <w:w w:val="110"/>
        </w:rPr>
        <w:t> </w:t>
      </w:r>
      <w:r>
        <w:rPr>
          <w:w w:val="110"/>
        </w:rPr>
        <w:t>our</w:t>
      </w:r>
      <w:r>
        <w:rPr>
          <w:spacing w:val="38"/>
          <w:w w:val="110"/>
        </w:rPr>
        <w:t> </w:t>
      </w:r>
      <w:r>
        <w:rPr>
          <w:w w:val="110"/>
        </w:rPr>
        <w:t>analysis</w:t>
      </w:r>
      <w:r>
        <w:rPr>
          <w:spacing w:val="38"/>
          <w:w w:val="110"/>
        </w:rPr>
        <w:t> </w:t>
      </w:r>
      <w:r>
        <w:rPr>
          <w:w w:val="110"/>
        </w:rPr>
        <w:t>of</w:t>
      </w:r>
      <w:r>
        <w:rPr>
          <w:spacing w:val="38"/>
          <w:w w:val="110"/>
        </w:rPr>
        <w:t> </w:t>
      </w:r>
      <w:r>
        <w:rPr>
          <w:w w:val="110"/>
        </w:rPr>
        <w:t>the effects of the Charter in Chapter </w:t>
      </w:r>
      <w:r>
        <w:rPr/>
        <w:t>1, </w:t>
      </w:r>
      <w:r>
        <w:rPr>
          <w:w w:val="110"/>
        </w:rPr>
        <w:t>before Brexit, an individual whose case fell within the scope of EU law would have been able to rely on a Charter provision to achieve a </w:t>
      </w:r>
      <w:r>
        <w:rPr>
          <w:w w:val="110"/>
        </w:rPr>
        <w:t>rights- compatible reading of legislation whenever possible, like with the HRA.</w:t>
      </w:r>
      <w:r>
        <w:rPr>
          <w:rFonts w:ascii="Lucida Sans Unicode"/>
          <w:w w:val="110"/>
          <w:vertAlign w:val="superscript"/>
        </w:rPr>
        <w:t>251</w:t>
      </w:r>
      <w:r>
        <w:rPr>
          <w:rFonts w:ascii="Lucida Sans Unicode"/>
          <w:w w:val="110"/>
          <w:vertAlign w:val="baseline"/>
        </w:rPr>
        <w:t> </w:t>
      </w:r>
      <w:r>
        <w:rPr>
          <w:w w:val="110"/>
          <w:vertAlign w:val="baseline"/>
        </w:rPr>
        <w:t>While, as we further explain below, some differences in the</w:t>
      </w:r>
    </w:p>
    <w:p>
      <w:pPr>
        <w:spacing w:after="0" w:line="316" w:lineRule="exact"/>
        <w:sectPr>
          <w:type w:val="continuous"/>
          <w:pgSz w:w="11910" w:h="16840"/>
          <w:pgMar w:header="568" w:footer="580" w:top="0" w:bottom="280" w:left="1020" w:right="1020"/>
          <w:cols w:num="2" w:equalWidth="0">
            <w:col w:w="4737" w:space="308"/>
            <w:col w:w="4825"/>
          </w:cols>
        </w:sectPr>
      </w:pPr>
    </w:p>
    <w:p>
      <w:pPr>
        <w:pStyle w:val="BodyText"/>
        <w:spacing w:before="10"/>
        <w:ind w:left="0"/>
        <w:rPr>
          <w:sz w:val="12"/>
        </w:rPr>
      </w:pPr>
    </w:p>
    <w:p>
      <w:pPr>
        <w:pStyle w:val="BodyText"/>
        <w:spacing w:line="20" w:lineRule="exact"/>
        <w:rPr>
          <w:sz w:val="2"/>
        </w:rPr>
      </w:pPr>
      <w:r>
        <w:rPr>
          <w:sz w:val="2"/>
        </w:rPr>
        <mc:AlternateContent>
          <mc:Choice Requires="wps">
            <w:drawing>
              <wp:inline distT="0" distB="0" distL="0" distR="0">
                <wp:extent cx="6120130" cy="6350"/>
                <wp:effectExtent l="9525" t="0" r="0" b="3175"/>
                <wp:docPr id="160" name="Group 160"/>
                <wp:cNvGraphicFramePr>
                  <a:graphicFrameLocks/>
                </wp:cNvGraphicFramePr>
                <a:graphic>
                  <a:graphicData uri="http://schemas.microsoft.com/office/word/2010/wordprocessingGroup">
                    <wpg:wgp>
                      <wpg:cNvPr id="160" name="Group 160"/>
                      <wpg:cNvGrpSpPr/>
                      <wpg:grpSpPr>
                        <a:xfrm>
                          <a:off x="0" y="0"/>
                          <a:ext cx="6120130" cy="6350"/>
                          <a:chExt cx="6120130" cy="6350"/>
                        </a:xfrm>
                      </wpg:grpSpPr>
                      <wps:wsp>
                        <wps:cNvPr id="161" name="Graphic 161"/>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99"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14"/>
        </w:numPr>
        <w:tabs>
          <w:tab w:pos="567" w:val="left" w:leader="none"/>
        </w:tabs>
        <w:spacing w:line="194" w:lineRule="auto" w:before="94" w:after="0"/>
        <w:ind w:left="567" w:right="214" w:hanging="454"/>
        <w:jc w:val="left"/>
        <w:rPr>
          <w:sz w:val="16"/>
        </w:rPr>
      </w:pPr>
      <w:r>
        <w:rPr>
          <w:sz w:val="16"/>
        </w:rPr>
        <w:t>See, notably: Tobias Lock, ‘Human Rights Law in the UK after Brexit’ [2017] (Brexit Special Extra) Public Law </w:t>
      </w:r>
      <w:r>
        <w:rPr>
          <w:rFonts w:ascii="Arial" w:hAnsi="Arial"/>
          <w:sz w:val="16"/>
        </w:rPr>
        <w:t>117; </w:t>
      </w:r>
      <w:r>
        <w:rPr>
          <w:sz w:val="16"/>
        </w:rPr>
        <w:t>Menelaos Markakis, ‘Brexit and the EU Charter of Fundamental Rights’ [2019] Public Law 82; Joelle Grogan, ‘Rights and remedies at risk: implications of the Brexit process on the future of rights in the UK’ [2019] Public Law 683; Catherine Barnard, ‘So Long, Farewell, Auf Wiedersehen, Adieu: Brexit and the Charter of Fundamental Rights’</w:t>
      </w:r>
      <w:r>
        <w:rPr>
          <w:spacing w:val="80"/>
          <w:sz w:val="16"/>
        </w:rPr>
        <w:t> </w:t>
      </w:r>
      <w:r>
        <w:rPr>
          <w:sz w:val="16"/>
        </w:rPr>
        <w:t>(2019) 82 Modern Law Review 350.</w:t>
      </w:r>
    </w:p>
    <w:p>
      <w:pPr>
        <w:pStyle w:val="ListParagraph"/>
        <w:numPr>
          <w:ilvl w:val="0"/>
          <w:numId w:val="14"/>
        </w:numPr>
        <w:tabs>
          <w:tab w:pos="567" w:val="left" w:leader="none"/>
        </w:tabs>
        <w:spacing w:line="217" w:lineRule="exact" w:before="0" w:after="0"/>
        <w:ind w:left="567" w:right="0" w:hanging="454"/>
        <w:jc w:val="left"/>
        <w:rPr>
          <w:rFonts w:ascii="Arial"/>
          <w:sz w:val="16"/>
        </w:rPr>
      </w:pPr>
      <w:r>
        <w:rPr>
          <w:rFonts w:ascii="Arial"/>
          <w:w w:val="110"/>
          <w:sz w:val="16"/>
        </w:rPr>
        <w:t>However,</w:t>
      </w:r>
      <w:r>
        <w:rPr>
          <w:rFonts w:ascii="Arial"/>
          <w:spacing w:val="4"/>
          <w:w w:val="110"/>
          <w:sz w:val="16"/>
        </w:rPr>
        <w:t> </w:t>
      </w:r>
      <w:r>
        <w:rPr>
          <w:rFonts w:ascii="Arial"/>
          <w:w w:val="110"/>
          <w:sz w:val="16"/>
        </w:rPr>
        <w:t>see</w:t>
      </w:r>
      <w:r>
        <w:rPr>
          <w:rFonts w:ascii="Arial"/>
          <w:spacing w:val="4"/>
          <w:w w:val="110"/>
          <w:sz w:val="16"/>
        </w:rPr>
        <w:t> </w:t>
      </w:r>
      <w:r>
        <w:rPr>
          <w:rFonts w:ascii="Arial"/>
          <w:w w:val="110"/>
          <w:sz w:val="16"/>
        </w:rPr>
        <w:t>our</w:t>
      </w:r>
      <w:r>
        <w:rPr>
          <w:rFonts w:ascii="Arial"/>
          <w:spacing w:val="4"/>
          <w:w w:val="110"/>
          <w:sz w:val="16"/>
        </w:rPr>
        <w:t> </w:t>
      </w:r>
      <w:r>
        <w:rPr>
          <w:rFonts w:ascii="Arial"/>
          <w:w w:val="110"/>
          <w:sz w:val="16"/>
        </w:rPr>
        <w:t>analysis</w:t>
      </w:r>
      <w:r>
        <w:rPr>
          <w:rFonts w:ascii="Arial"/>
          <w:spacing w:val="4"/>
          <w:w w:val="110"/>
          <w:sz w:val="16"/>
        </w:rPr>
        <w:t> </w:t>
      </w:r>
      <w:r>
        <w:rPr>
          <w:rFonts w:ascii="Arial"/>
          <w:w w:val="110"/>
          <w:sz w:val="16"/>
        </w:rPr>
        <w:t>below</w:t>
      </w:r>
      <w:r>
        <w:rPr>
          <w:rFonts w:ascii="Arial"/>
          <w:spacing w:val="4"/>
          <w:w w:val="110"/>
          <w:sz w:val="16"/>
        </w:rPr>
        <w:t> </w:t>
      </w:r>
      <w:r>
        <w:rPr>
          <w:rFonts w:ascii="Arial"/>
          <w:w w:val="110"/>
          <w:sz w:val="16"/>
        </w:rPr>
        <w:t>on</w:t>
      </w:r>
      <w:r>
        <w:rPr>
          <w:rFonts w:ascii="Arial"/>
          <w:spacing w:val="4"/>
          <w:w w:val="110"/>
          <w:sz w:val="16"/>
        </w:rPr>
        <w:t> </w:t>
      </w:r>
      <w:r>
        <w:rPr>
          <w:rFonts w:ascii="Arial"/>
          <w:w w:val="110"/>
          <w:sz w:val="16"/>
        </w:rPr>
        <w:t>the</w:t>
      </w:r>
      <w:r>
        <w:rPr>
          <w:rFonts w:ascii="Arial"/>
          <w:spacing w:val="4"/>
          <w:w w:val="110"/>
          <w:sz w:val="16"/>
        </w:rPr>
        <w:t> </w:t>
      </w:r>
      <w:r>
        <w:rPr>
          <w:rFonts w:ascii="Arial"/>
          <w:w w:val="110"/>
          <w:sz w:val="16"/>
        </w:rPr>
        <w:t>potentially</w:t>
      </w:r>
      <w:r>
        <w:rPr>
          <w:rFonts w:ascii="Arial"/>
          <w:spacing w:val="4"/>
          <w:w w:val="110"/>
          <w:sz w:val="16"/>
        </w:rPr>
        <w:t> </w:t>
      </w:r>
      <w:r>
        <w:rPr>
          <w:rFonts w:ascii="Arial"/>
          <w:w w:val="110"/>
          <w:sz w:val="16"/>
        </w:rPr>
        <w:t>more</w:t>
      </w:r>
      <w:r>
        <w:rPr>
          <w:rFonts w:ascii="Arial"/>
          <w:spacing w:val="4"/>
          <w:w w:val="110"/>
          <w:sz w:val="16"/>
        </w:rPr>
        <w:t> </w:t>
      </w:r>
      <w:r>
        <w:rPr>
          <w:rFonts w:ascii="Arial"/>
          <w:w w:val="110"/>
          <w:sz w:val="16"/>
        </w:rPr>
        <w:t>expansive</w:t>
      </w:r>
      <w:r>
        <w:rPr>
          <w:rFonts w:ascii="Arial"/>
          <w:spacing w:val="4"/>
          <w:w w:val="110"/>
          <w:sz w:val="16"/>
        </w:rPr>
        <w:t> </w:t>
      </w:r>
      <w:r>
        <w:rPr>
          <w:rFonts w:ascii="Arial"/>
          <w:w w:val="110"/>
          <w:sz w:val="16"/>
        </w:rPr>
        <w:t>scope</w:t>
      </w:r>
      <w:r>
        <w:rPr>
          <w:rFonts w:ascii="Arial"/>
          <w:spacing w:val="4"/>
          <w:w w:val="110"/>
          <w:sz w:val="16"/>
        </w:rPr>
        <w:t> </w:t>
      </w:r>
      <w:r>
        <w:rPr>
          <w:rFonts w:ascii="Arial"/>
          <w:w w:val="110"/>
          <w:sz w:val="16"/>
        </w:rPr>
        <w:t>of</w:t>
      </w:r>
      <w:r>
        <w:rPr>
          <w:rFonts w:ascii="Arial"/>
          <w:spacing w:val="4"/>
          <w:w w:val="110"/>
          <w:sz w:val="16"/>
        </w:rPr>
        <w:t> </w:t>
      </w:r>
      <w:r>
        <w:rPr>
          <w:rFonts w:ascii="Arial"/>
          <w:w w:val="110"/>
          <w:sz w:val="16"/>
        </w:rPr>
        <w:t>that</w:t>
      </w:r>
      <w:r>
        <w:rPr>
          <w:rFonts w:ascii="Arial"/>
          <w:spacing w:val="4"/>
          <w:w w:val="110"/>
          <w:sz w:val="16"/>
        </w:rPr>
        <w:t> </w:t>
      </w:r>
      <w:r>
        <w:rPr>
          <w:rFonts w:ascii="Arial"/>
          <w:w w:val="110"/>
          <w:sz w:val="16"/>
        </w:rPr>
        <w:t>reading</w:t>
      </w:r>
      <w:r>
        <w:rPr>
          <w:rFonts w:ascii="Arial"/>
          <w:spacing w:val="4"/>
          <w:w w:val="110"/>
          <w:sz w:val="16"/>
        </w:rPr>
        <w:t> </w:t>
      </w:r>
      <w:r>
        <w:rPr>
          <w:rFonts w:ascii="Arial"/>
          <w:w w:val="110"/>
          <w:sz w:val="16"/>
        </w:rPr>
        <w:t>in</w:t>
      </w:r>
      <w:r>
        <w:rPr>
          <w:rFonts w:ascii="Arial"/>
          <w:spacing w:val="4"/>
          <w:w w:val="110"/>
          <w:sz w:val="16"/>
        </w:rPr>
        <w:t> </w:t>
      </w:r>
      <w:r>
        <w:rPr>
          <w:rFonts w:ascii="Arial"/>
          <w:w w:val="110"/>
          <w:sz w:val="16"/>
        </w:rPr>
        <w:t>the</w:t>
      </w:r>
      <w:r>
        <w:rPr>
          <w:rFonts w:ascii="Arial"/>
          <w:spacing w:val="5"/>
          <w:w w:val="110"/>
          <w:sz w:val="16"/>
        </w:rPr>
        <w:t> </w:t>
      </w:r>
      <w:r>
        <w:rPr>
          <w:rFonts w:ascii="Arial"/>
          <w:spacing w:val="-2"/>
          <w:w w:val="110"/>
          <w:sz w:val="16"/>
        </w:rPr>
        <w:t>future.</w:t>
      </w:r>
    </w:p>
    <w:p>
      <w:pPr>
        <w:spacing w:after="0" w:line="217" w:lineRule="exact"/>
        <w:jc w:val="left"/>
        <w:rPr>
          <w:rFonts w:ascii="Arial"/>
          <w:sz w:val="16"/>
        </w:rPr>
        <w:sectPr>
          <w:type w:val="continuous"/>
          <w:pgSz w:w="11910" w:h="16840"/>
          <w:pgMar w:header="568" w:footer="580" w:top="0" w:bottom="280" w:left="1020" w:right="1020"/>
        </w:sectPr>
      </w:pPr>
    </w:p>
    <w:p>
      <w:pPr>
        <w:pStyle w:val="BodyText"/>
        <w:ind w:left="0"/>
        <w:rPr>
          <w:sz w:val="20"/>
        </w:rPr>
      </w:pPr>
    </w:p>
    <w:p>
      <w:pPr>
        <w:pStyle w:val="BodyText"/>
        <w:ind w:left="0"/>
        <w:rPr>
          <w:sz w:val="20"/>
        </w:rPr>
      </w:pPr>
    </w:p>
    <w:p>
      <w:pPr>
        <w:pStyle w:val="BodyText"/>
        <w:spacing w:before="48"/>
        <w:ind w:left="0"/>
        <w:rPr>
          <w:sz w:val="20"/>
        </w:rPr>
      </w:pPr>
    </w:p>
    <w:p>
      <w:pPr>
        <w:spacing w:after="0"/>
        <w:rPr>
          <w:sz w:val="20"/>
        </w:rPr>
        <w:sectPr>
          <w:pgSz w:w="11910" w:h="16840"/>
          <w:pgMar w:header="568" w:footer="580" w:top="840" w:bottom="780" w:left="1020" w:right="1020"/>
        </w:sectPr>
      </w:pPr>
    </w:p>
    <w:p>
      <w:pPr>
        <w:pStyle w:val="BodyText"/>
        <w:spacing w:line="310" w:lineRule="exact" w:before="49"/>
        <w:ind w:right="205"/>
      </w:pPr>
      <w:bookmarkStart w:name="a. Disapplication through direct effect" w:id="67"/>
      <w:bookmarkEnd w:id="67"/>
      <w:r>
        <w:rPr/>
      </w:r>
      <w:bookmarkStart w:name="_bookmark28" w:id="68"/>
      <w:bookmarkEnd w:id="68"/>
      <w:r>
        <w:rPr/>
      </w:r>
      <w:r>
        <w:rPr>
          <w:w w:val="110"/>
        </w:rPr>
        <w:t>breadth of the duty of consistent </w:t>
      </w:r>
      <w:r>
        <w:rPr>
          <w:rFonts w:ascii="Lucida Sans Unicode"/>
        </w:rPr>
        <w:t>interpretation can be identified </w:t>
      </w:r>
      <w:r>
        <w:rPr>
          <w:w w:val="110"/>
        </w:rPr>
        <w:t>between EU law and the HRA, the </w:t>
      </w:r>
      <w:r>
        <w:rPr>
          <w:rFonts w:ascii="Lucida Sans Unicode"/>
        </w:rPr>
        <w:t>most significant differences stem</w:t>
      </w:r>
      <w:r>
        <w:rPr>
          <w:rFonts w:ascii="Lucida Sans Unicode"/>
          <w:spacing w:val="80"/>
          <w:w w:val="110"/>
        </w:rPr>
        <w:t> </w:t>
      </w:r>
      <w:r>
        <w:rPr>
          <w:w w:val="110"/>
        </w:rPr>
        <w:t>from cases where a </w:t>
      </w:r>
      <w:r>
        <w:rPr>
          <w:w w:val="110"/>
        </w:rPr>
        <w:t>rights-compatible reading was impossible for the courts to achieve. In such cases, through</w:t>
      </w:r>
    </w:p>
    <w:p>
      <w:pPr>
        <w:pStyle w:val="BodyText"/>
        <w:spacing w:line="310" w:lineRule="exact"/>
        <w:ind w:right="375"/>
        <w:rPr>
          <w:rFonts w:ascii="Lucida Sans Unicode"/>
        </w:rPr>
      </w:pPr>
      <w:r>
        <w:rPr>
          <w:w w:val="115"/>
        </w:rPr>
        <w:t>the</w:t>
      </w:r>
      <w:r>
        <w:rPr>
          <w:spacing w:val="-1"/>
          <w:w w:val="115"/>
        </w:rPr>
        <w:t> </w:t>
      </w:r>
      <w:r>
        <w:rPr>
          <w:w w:val="115"/>
        </w:rPr>
        <w:t>possibilities</w:t>
      </w:r>
      <w:r>
        <w:rPr>
          <w:spacing w:val="-1"/>
          <w:w w:val="115"/>
        </w:rPr>
        <w:t> </w:t>
      </w:r>
      <w:r>
        <w:rPr>
          <w:w w:val="115"/>
        </w:rPr>
        <w:t>of</w:t>
      </w:r>
      <w:r>
        <w:rPr>
          <w:spacing w:val="-1"/>
          <w:w w:val="115"/>
        </w:rPr>
        <w:t> </w:t>
      </w:r>
      <w:r>
        <w:rPr>
          <w:w w:val="115"/>
        </w:rPr>
        <w:t>direct</w:t>
      </w:r>
      <w:r>
        <w:rPr>
          <w:spacing w:val="-1"/>
          <w:w w:val="115"/>
        </w:rPr>
        <w:t> </w:t>
      </w:r>
      <w:r>
        <w:rPr>
          <w:w w:val="115"/>
        </w:rPr>
        <w:t>effect</w:t>
      </w:r>
      <w:r>
        <w:rPr>
          <w:spacing w:val="-1"/>
          <w:w w:val="115"/>
        </w:rPr>
        <w:t> </w:t>
      </w:r>
      <w:r>
        <w:rPr>
          <w:w w:val="115"/>
        </w:rPr>
        <w:t>and state liability in damages, EU law provided</w:t>
      </w:r>
      <w:r>
        <w:rPr>
          <w:spacing w:val="-20"/>
          <w:w w:val="115"/>
        </w:rPr>
        <w:t> </w:t>
      </w:r>
      <w:r>
        <w:rPr>
          <w:w w:val="115"/>
        </w:rPr>
        <w:t>more</w:t>
      </w:r>
      <w:r>
        <w:rPr>
          <w:spacing w:val="-19"/>
          <w:w w:val="115"/>
        </w:rPr>
        <w:t> </w:t>
      </w:r>
      <w:r>
        <w:rPr>
          <w:w w:val="115"/>
        </w:rPr>
        <w:t>extensive</w:t>
      </w:r>
      <w:r>
        <w:rPr>
          <w:spacing w:val="-19"/>
          <w:w w:val="115"/>
        </w:rPr>
        <w:t> </w:t>
      </w:r>
      <w:r>
        <w:rPr>
          <w:w w:val="115"/>
        </w:rPr>
        <w:t>protection for individuals than domestic law otherwise did.</w:t>
      </w:r>
      <w:r>
        <w:rPr>
          <w:rFonts w:ascii="Lucida Sans Unicode"/>
          <w:w w:val="115"/>
          <w:vertAlign w:val="superscript"/>
        </w:rPr>
        <w:t>252</w:t>
      </w:r>
    </w:p>
    <w:p>
      <w:pPr>
        <w:pStyle w:val="ListParagraph"/>
        <w:numPr>
          <w:ilvl w:val="0"/>
          <w:numId w:val="16"/>
        </w:numPr>
        <w:tabs>
          <w:tab w:pos="391" w:val="left" w:leader="none"/>
        </w:tabs>
        <w:spacing w:line="310" w:lineRule="exact" w:before="300" w:after="0"/>
        <w:ind w:left="113" w:right="38" w:firstLine="0"/>
        <w:jc w:val="left"/>
        <w:rPr>
          <w:sz w:val="24"/>
        </w:rPr>
      </w:pPr>
      <w:r>
        <w:rPr>
          <w:rFonts w:ascii="Tahoma"/>
          <w:b/>
          <w:color w:val="77328A"/>
          <w:sz w:val="24"/>
        </w:rPr>
        <w:t>Disapplication</w:t>
      </w:r>
      <w:r>
        <w:rPr>
          <w:rFonts w:ascii="Tahoma"/>
          <w:b/>
          <w:color w:val="77328A"/>
          <w:spacing w:val="-1"/>
          <w:sz w:val="24"/>
        </w:rPr>
        <w:t> </w:t>
      </w:r>
      <w:r>
        <w:rPr>
          <w:rFonts w:ascii="Tahoma"/>
          <w:b/>
          <w:color w:val="77328A"/>
          <w:sz w:val="24"/>
        </w:rPr>
        <w:t>through</w:t>
      </w:r>
      <w:r>
        <w:rPr>
          <w:rFonts w:ascii="Tahoma"/>
          <w:b/>
          <w:color w:val="77328A"/>
          <w:spacing w:val="-1"/>
          <w:sz w:val="24"/>
        </w:rPr>
        <w:t> </w:t>
      </w:r>
      <w:r>
        <w:rPr>
          <w:rFonts w:ascii="Tahoma"/>
          <w:b/>
          <w:color w:val="77328A"/>
          <w:sz w:val="24"/>
        </w:rPr>
        <w:t>direct</w:t>
      </w:r>
      <w:r>
        <w:rPr>
          <w:rFonts w:ascii="Tahoma"/>
          <w:b/>
          <w:color w:val="77328A"/>
          <w:spacing w:val="-1"/>
          <w:sz w:val="24"/>
        </w:rPr>
        <w:t> </w:t>
      </w:r>
      <w:r>
        <w:rPr>
          <w:rFonts w:ascii="Tahoma"/>
          <w:b/>
          <w:color w:val="77328A"/>
          <w:sz w:val="24"/>
        </w:rPr>
        <w:t>effect </w:t>
      </w:r>
      <w:r>
        <w:rPr>
          <w:rFonts w:ascii="Arial"/>
          <w:w w:val="105"/>
          <w:sz w:val="24"/>
        </w:rPr>
        <w:t>In</w:t>
      </w:r>
      <w:r>
        <w:rPr>
          <w:rFonts w:ascii="Arial"/>
          <w:spacing w:val="40"/>
          <w:w w:val="105"/>
          <w:sz w:val="24"/>
        </w:rPr>
        <w:t> </w:t>
      </w:r>
      <w:r>
        <w:rPr>
          <w:rFonts w:ascii="Arial"/>
          <w:w w:val="105"/>
          <w:sz w:val="24"/>
        </w:rPr>
        <w:t>cases</w:t>
      </w:r>
      <w:r>
        <w:rPr>
          <w:rFonts w:ascii="Arial"/>
          <w:spacing w:val="40"/>
          <w:w w:val="105"/>
          <w:sz w:val="24"/>
        </w:rPr>
        <w:t> </w:t>
      </w:r>
      <w:r>
        <w:rPr>
          <w:rFonts w:ascii="Arial"/>
          <w:w w:val="105"/>
          <w:sz w:val="24"/>
        </w:rPr>
        <w:t>where</w:t>
      </w:r>
      <w:r>
        <w:rPr>
          <w:rFonts w:ascii="Arial"/>
          <w:spacing w:val="40"/>
          <w:w w:val="105"/>
          <w:sz w:val="24"/>
        </w:rPr>
        <w:t> </w:t>
      </w:r>
      <w:r>
        <w:rPr>
          <w:rFonts w:ascii="Arial"/>
          <w:w w:val="105"/>
          <w:sz w:val="24"/>
        </w:rPr>
        <w:t>consistent</w:t>
      </w:r>
      <w:r>
        <w:rPr>
          <w:rFonts w:ascii="Arial"/>
          <w:spacing w:val="80"/>
          <w:w w:val="105"/>
          <w:sz w:val="24"/>
        </w:rPr>
        <w:t> </w:t>
      </w:r>
      <w:r>
        <w:rPr>
          <w:rFonts w:ascii="Arial"/>
          <w:w w:val="105"/>
          <w:sz w:val="24"/>
        </w:rPr>
        <w:t>interpretation was impossible, an</w:t>
      </w:r>
      <w:r>
        <w:rPr>
          <w:rFonts w:ascii="Arial"/>
          <w:spacing w:val="40"/>
          <w:w w:val="105"/>
          <w:sz w:val="24"/>
        </w:rPr>
        <w:t> </w:t>
      </w:r>
      <w:r>
        <w:rPr>
          <w:rFonts w:ascii="Arial"/>
          <w:w w:val="105"/>
          <w:sz w:val="24"/>
        </w:rPr>
        <w:t>individual seeking to rely on a clear,</w:t>
      </w:r>
      <w:r>
        <w:rPr>
          <w:rFonts w:ascii="Arial"/>
          <w:spacing w:val="40"/>
          <w:w w:val="105"/>
          <w:sz w:val="24"/>
        </w:rPr>
        <w:t> </w:t>
      </w:r>
      <w:r>
        <w:rPr>
          <w:rFonts w:ascii="Arial"/>
          <w:w w:val="105"/>
          <w:sz w:val="24"/>
        </w:rPr>
        <w:t>precise,</w:t>
      </w:r>
      <w:r>
        <w:rPr>
          <w:rFonts w:ascii="Arial"/>
          <w:spacing w:val="73"/>
          <w:w w:val="105"/>
          <w:sz w:val="24"/>
        </w:rPr>
        <w:t> </w:t>
      </w:r>
      <w:r>
        <w:rPr>
          <w:rFonts w:ascii="Arial"/>
          <w:w w:val="105"/>
          <w:sz w:val="24"/>
        </w:rPr>
        <w:t>and</w:t>
      </w:r>
      <w:r>
        <w:rPr>
          <w:rFonts w:ascii="Arial"/>
          <w:spacing w:val="74"/>
          <w:w w:val="105"/>
          <w:sz w:val="24"/>
        </w:rPr>
        <w:t> </w:t>
      </w:r>
      <w:r>
        <w:rPr>
          <w:rFonts w:ascii="Arial"/>
          <w:w w:val="105"/>
          <w:sz w:val="24"/>
        </w:rPr>
        <w:t>unconditional</w:t>
      </w:r>
      <w:r>
        <w:rPr>
          <w:rFonts w:ascii="Arial"/>
          <w:spacing w:val="74"/>
          <w:w w:val="105"/>
          <w:sz w:val="24"/>
        </w:rPr>
        <w:t> </w:t>
      </w:r>
      <w:r>
        <w:rPr>
          <w:rFonts w:ascii="Arial"/>
          <w:w w:val="105"/>
          <w:sz w:val="24"/>
        </w:rPr>
        <w:t>provision</w:t>
      </w:r>
      <w:r>
        <w:rPr>
          <w:rFonts w:ascii="Arial"/>
          <w:spacing w:val="80"/>
          <w:w w:val="150"/>
          <w:sz w:val="24"/>
        </w:rPr>
        <w:t> </w:t>
      </w:r>
      <w:r>
        <w:rPr>
          <w:w w:val="105"/>
          <w:sz w:val="24"/>
        </w:rPr>
        <w:t>of</w:t>
      </w:r>
      <w:r>
        <w:rPr>
          <w:spacing w:val="-12"/>
          <w:w w:val="105"/>
          <w:sz w:val="24"/>
        </w:rPr>
        <w:t> </w:t>
      </w:r>
      <w:r>
        <w:rPr>
          <w:w w:val="105"/>
          <w:sz w:val="24"/>
        </w:rPr>
        <w:t>the</w:t>
      </w:r>
      <w:r>
        <w:rPr>
          <w:spacing w:val="-12"/>
          <w:w w:val="105"/>
          <w:sz w:val="24"/>
        </w:rPr>
        <w:t> </w:t>
      </w:r>
      <w:r>
        <w:rPr>
          <w:w w:val="105"/>
          <w:sz w:val="24"/>
        </w:rPr>
        <w:t>Charter,</w:t>
      </w:r>
      <w:r>
        <w:rPr>
          <w:spacing w:val="-12"/>
          <w:w w:val="105"/>
          <w:sz w:val="24"/>
        </w:rPr>
        <w:t> </w:t>
      </w:r>
      <w:r>
        <w:rPr>
          <w:w w:val="105"/>
          <w:sz w:val="24"/>
        </w:rPr>
        <w:t>such</w:t>
      </w:r>
      <w:r>
        <w:rPr>
          <w:spacing w:val="-12"/>
          <w:w w:val="105"/>
          <w:sz w:val="24"/>
        </w:rPr>
        <w:t> </w:t>
      </w:r>
      <w:r>
        <w:rPr>
          <w:w w:val="105"/>
          <w:sz w:val="24"/>
        </w:rPr>
        <w:t>as</w:t>
      </w:r>
      <w:r>
        <w:rPr>
          <w:spacing w:val="-12"/>
          <w:w w:val="105"/>
          <w:sz w:val="24"/>
        </w:rPr>
        <w:t> </w:t>
      </w:r>
      <w:r>
        <w:rPr>
          <w:w w:val="105"/>
          <w:sz w:val="24"/>
        </w:rPr>
        <w:t>Article</w:t>
      </w:r>
      <w:r>
        <w:rPr>
          <w:spacing w:val="-12"/>
          <w:w w:val="105"/>
          <w:sz w:val="24"/>
        </w:rPr>
        <w:t> </w:t>
      </w:r>
      <w:r>
        <w:rPr>
          <w:w w:val="105"/>
          <w:sz w:val="24"/>
        </w:rPr>
        <w:t>21</w:t>
      </w:r>
    </w:p>
    <w:p>
      <w:pPr>
        <w:pStyle w:val="BodyText"/>
        <w:spacing w:line="310" w:lineRule="exact"/>
        <w:ind w:right="454"/>
      </w:pPr>
      <w:r>
        <w:rPr>
          <w:rFonts w:ascii="Lucida Sans Unicode"/>
          <w:w w:val="110"/>
        </w:rPr>
        <w:t>or</w:t>
      </w:r>
      <w:r>
        <w:rPr>
          <w:rFonts w:ascii="Lucida Sans Unicode"/>
          <w:spacing w:val="-21"/>
          <w:w w:val="110"/>
        </w:rPr>
        <w:t> </w:t>
      </w:r>
      <w:r>
        <w:rPr>
          <w:rFonts w:ascii="Lucida Sans Unicode"/>
          <w:w w:val="110"/>
        </w:rPr>
        <w:t>47</w:t>
      </w:r>
      <w:r>
        <w:rPr>
          <w:rFonts w:ascii="Lucida Sans Unicode"/>
          <w:spacing w:val="-21"/>
          <w:w w:val="110"/>
        </w:rPr>
        <w:t> </w:t>
      </w:r>
      <w:r>
        <w:rPr>
          <w:rFonts w:ascii="Lucida Sans Unicode"/>
          <w:w w:val="110"/>
        </w:rPr>
        <w:t>CFR,</w:t>
      </w:r>
      <w:r>
        <w:rPr>
          <w:rFonts w:ascii="Lucida Sans Unicode"/>
          <w:spacing w:val="-21"/>
          <w:w w:val="110"/>
        </w:rPr>
        <w:t> </w:t>
      </w:r>
      <w:r>
        <w:rPr>
          <w:rFonts w:ascii="Lucida Sans Unicode"/>
          <w:w w:val="110"/>
        </w:rPr>
        <w:t>would</w:t>
      </w:r>
      <w:r>
        <w:rPr>
          <w:rFonts w:ascii="Lucida Sans Unicode"/>
          <w:spacing w:val="-21"/>
          <w:w w:val="110"/>
        </w:rPr>
        <w:t> </w:t>
      </w:r>
      <w:r>
        <w:rPr>
          <w:rFonts w:ascii="Lucida Sans Unicode"/>
          <w:w w:val="110"/>
        </w:rPr>
        <w:t>have</w:t>
      </w:r>
      <w:r>
        <w:rPr>
          <w:rFonts w:ascii="Lucida Sans Unicode"/>
          <w:spacing w:val="-21"/>
          <w:w w:val="110"/>
        </w:rPr>
        <w:t> </w:t>
      </w:r>
      <w:r>
        <w:rPr>
          <w:rFonts w:ascii="Lucida Sans Unicode"/>
          <w:w w:val="110"/>
        </w:rPr>
        <w:t>the</w:t>
      </w:r>
      <w:r>
        <w:rPr>
          <w:rFonts w:ascii="Lucida Sans Unicode"/>
          <w:spacing w:val="-21"/>
          <w:w w:val="110"/>
        </w:rPr>
        <w:t> </w:t>
      </w:r>
      <w:r>
        <w:rPr>
          <w:rFonts w:ascii="Lucida Sans Unicode"/>
          <w:w w:val="110"/>
        </w:rPr>
        <w:t>option </w:t>
      </w:r>
      <w:r>
        <w:rPr>
          <w:w w:val="110"/>
        </w:rPr>
        <w:t>to have that right applied directly.</w:t>
      </w:r>
      <w:r>
        <w:rPr>
          <w:spacing w:val="80"/>
          <w:w w:val="150"/>
        </w:rPr>
        <w:t> </w:t>
      </w:r>
      <w:r>
        <w:rPr>
          <w:w w:val="110"/>
        </w:rPr>
        <w:t>In the absence of implementing legislation, for example, they would have been able to use that right on </w:t>
      </w:r>
      <w:r>
        <w:rPr>
          <w:rFonts w:ascii="Lucida Sans Unicode"/>
        </w:rPr>
        <w:t>its own to fill in the legislative gap to find a remedy and, in the case </w:t>
      </w:r>
      <w:r>
        <w:rPr>
          <w:rFonts w:ascii="Lucida Sans Unicode"/>
        </w:rPr>
        <w:t>of </w:t>
      </w:r>
      <w:r>
        <w:rPr>
          <w:w w:val="110"/>
        </w:rPr>
        <w:t>incompatible legislation (including</w:t>
      </w:r>
    </w:p>
    <w:p>
      <w:pPr>
        <w:pStyle w:val="BodyText"/>
        <w:spacing w:line="268" w:lineRule="auto" w:before="23"/>
        <w:ind w:right="225"/>
      </w:pPr>
      <w:r>
        <w:rPr>
          <w:w w:val="115"/>
        </w:rPr>
        <w:t>primary</w:t>
      </w:r>
      <w:r>
        <w:rPr>
          <w:spacing w:val="-20"/>
          <w:w w:val="115"/>
        </w:rPr>
        <w:t> </w:t>
      </w:r>
      <w:r>
        <w:rPr>
          <w:w w:val="115"/>
        </w:rPr>
        <w:t>legislation),</w:t>
      </w:r>
      <w:r>
        <w:rPr>
          <w:spacing w:val="-19"/>
          <w:w w:val="115"/>
        </w:rPr>
        <w:t> </w:t>
      </w:r>
      <w:r>
        <w:rPr>
          <w:w w:val="115"/>
        </w:rPr>
        <w:t>they</w:t>
      </w:r>
      <w:r>
        <w:rPr>
          <w:spacing w:val="-19"/>
          <w:w w:val="115"/>
        </w:rPr>
        <w:t> </w:t>
      </w:r>
      <w:r>
        <w:rPr>
          <w:w w:val="115"/>
        </w:rPr>
        <w:t>would</w:t>
      </w:r>
      <w:r>
        <w:rPr>
          <w:spacing w:val="-19"/>
          <w:w w:val="115"/>
        </w:rPr>
        <w:t> </w:t>
      </w:r>
      <w:r>
        <w:rPr>
          <w:w w:val="115"/>
        </w:rPr>
        <w:t>have been able to have that legislation disapplied before domestic courts.</w:t>
      </w:r>
    </w:p>
    <w:p>
      <w:pPr>
        <w:pStyle w:val="BodyText"/>
        <w:spacing w:line="268" w:lineRule="auto"/>
        <w:ind w:right="499"/>
        <w:jc w:val="both"/>
      </w:pPr>
      <w:r>
        <w:rPr/>
        <w:t>The </w:t>
      </w:r>
      <w:r>
        <w:rPr>
          <w:rFonts w:ascii="Verdana" w:hAnsi="Verdana"/>
          <w:i/>
        </w:rPr>
        <w:t>Benkharbouche </w:t>
      </w:r>
      <w:r>
        <w:rPr/>
        <w:t>case provides </w:t>
      </w:r>
      <w:r>
        <w:rPr>
          <w:w w:val="110"/>
        </w:rPr>
        <w:t>the clearest example of the </w:t>
      </w:r>
      <w:r>
        <w:rPr>
          <w:w w:val="110"/>
        </w:rPr>
        <w:t>special protection that the direct effect of the Charter – in this case, Article</w:t>
      </w:r>
    </w:p>
    <w:p>
      <w:pPr>
        <w:pStyle w:val="BodyText"/>
        <w:spacing w:line="322" w:lineRule="exact"/>
        <w:jc w:val="both"/>
        <w:rPr>
          <w:rFonts w:ascii="Lucida Sans Unicode" w:hAnsi="Lucida Sans Unicode"/>
        </w:rPr>
      </w:pPr>
      <w:r>
        <w:rPr>
          <w:rFonts w:ascii="Lucida Sans Unicode" w:hAnsi="Lucida Sans Unicode"/>
        </w:rPr>
        <w:t>47</w:t>
      </w:r>
      <w:r>
        <w:rPr>
          <w:rFonts w:ascii="Lucida Sans Unicode" w:hAnsi="Lucida Sans Unicode"/>
          <w:spacing w:val="3"/>
        </w:rPr>
        <w:t> </w:t>
      </w:r>
      <w:r>
        <w:rPr>
          <w:rFonts w:ascii="Lucida Sans Unicode" w:hAnsi="Lucida Sans Unicode"/>
        </w:rPr>
        <w:t>–</w:t>
      </w:r>
      <w:r>
        <w:rPr>
          <w:rFonts w:ascii="Lucida Sans Unicode" w:hAnsi="Lucida Sans Unicode"/>
          <w:spacing w:val="3"/>
        </w:rPr>
        <w:t> </w:t>
      </w:r>
      <w:r>
        <w:rPr>
          <w:rFonts w:ascii="Lucida Sans Unicode" w:hAnsi="Lucida Sans Unicode"/>
        </w:rPr>
        <w:t>offered</w:t>
      </w:r>
      <w:r>
        <w:rPr>
          <w:rFonts w:ascii="Lucida Sans Unicode" w:hAnsi="Lucida Sans Unicode"/>
          <w:spacing w:val="4"/>
        </w:rPr>
        <w:t> </w:t>
      </w:r>
      <w:r>
        <w:rPr>
          <w:rFonts w:ascii="Lucida Sans Unicode" w:hAnsi="Lucida Sans Unicode"/>
        </w:rPr>
        <w:t>to</w:t>
      </w:r>
      <w:r>
        <w:rPr>
          <w:rFonts w:ascii="Lucida Sans Unicode" w:hAnsi="Lucida Sans Unicode"/>
          <w:spacing w:val="3"/>
        </w:rPr>
        <w:t> </w:t>
      </w:r>
      <w:r>
        <w:rPr>
          <w:rFonts w:ascii="Lucida Sans Unicode" w:hAnsi="Lucida Sans Unicode"/>
        </w:rPr>
        <w:t>claimants</w:t>
      </w:r>
      <w:r>
        <w:rPr>
          <w:rFonts w:ascii="Lucida Sans Unicode" w:hAnsi="Lucida Sans Unicode"/>
          <w:spacing w:val="4"/>
        </w:rPr>
        <w:t> </w:t>
      </w:r>
      <w:r>
        <w:rPr>
          <w:rFonts w:ascii="Lucida Sans Unicode" w:hAnsi="Lucida Sans Unicode"/>
          <w:spacing w:val="-2"/>
        </w:rPr>
        <w:t>seeking</w:t>
      </w:r>
    </w:p>
    <w:p>
      <w:pPr>
        <w:pStyle w:val="BodyText"/>
        <w:spacing w:line="237" w:lineRule="auto"/>
        <w:ind w:right="448"/>
        <w:jc w:val="both"/>
        <w:rPr>
          <w:rFonts w:ascii="Lucida Sans Unicode"/>
        </w:rPr>
      </w:pPr>
      <w:r>
        <w:rPr>
          <w:w w:val="115"/>
        </w:rPr>
        <w:t>to</w:t>
      </w:r>
      <w:r>
        <w:rPr>
          <w:spacing w:val="-20"/>
          <w:w w:val="115"/>
        </w:rPr>
        <w:t> </w:t>
      </w:r>
      <w:r>
        <w:rPr>
          <w:w w:val="115"/>
        </w:rPr>
        <w:t>counter</w:t>
      </w:r>
      <w:r>
        <w:rPr>
          <w:spacing w:val="-19"/>
          <w:w w:val="115"/>
        </w:rPr>
        <w:t> </w:t>
      </w:r>
      <w:r>
        <w:rPr>
          <w:w w:val="115"/>
        </w:rPr>
        <w:t>legislative</w:t>
      </w:r>
      <w:r>
        <w:rPr>
          <w:spacing w:val="-19"/>
          <w:w w:val="115"/>
        </w:rPr>
        <w:t> </w:t>
      </w:r>
      <w:r>
        <w:rPr>
          <w:w w:val="115"/>
        </w:rPr>
        <w:t>failures</w:t>
      </w:r>
      <w:r>
        <w:rPr>
          <w:spacing w:val="-19"/>
          <w:w w:val="115"/>
        </w:rPr>
        <w:t> </w:t>
      </w:r>
      <w:r>
        <w:rPr>
          <w:w w:val="115"/>
        </w:rPr>
        <w:t>at</w:t>
      </w:r>
      <w:r>
        <w:rPr>
          <w:spacing w:val="-19"/>
          <w:w w:val="115"/>
        </w:rPr>
        <w:t> </w:t>
      </w:r>
      <w:r>
        <w:rPr>
          <w:w w:val="115"/>
        </w:rPr>
        <w:t>the domestic level.</w:t>
      </w:r>
      <w:r>
        <w:rPr>
          <w:rFonts w:ascii="Lucida Sans Unicode"/>
          <w:w w:val="115"/>
          <w:vertAlign w:val="superscript"/>
        </w:rPr>
        <w:t>253</w:t>
      </w:r>
    </w:p>
    <w:p>
      <w:pPr>
        <w:pStyle w:val="BodyText"/>
        <w:spacing w:line="310" w:lineRule="exact" w:before="235"/>
        <w:ind w:right="546"/>
      </w:pPr>
      <w:r>
        <w:rPr>
          <w:rFonts w:ascii="Lucida Sans Unicode"/>
        </w:rPr>
        <w:t>In this case, the UK Supreme </w:t>
      </w:r>
      <w:r>
        <w:rPr>
          <w:rFonts w:ascii="Lucida Sans Unicode"/>
        </w:rPr>
        <w:t>Court </w:t>
      </w:r>
      <w:r>
        <w:rPr>
          <w:w w:val="115"/>
        </w:rPr>
        <w:t>highlighted that the applicability</w:t>
      </w:r>
      <w:r>
        <w:rPr>
          <w:spacing w:val="80"/>
          <w:w w:val="115"/>
        </w:rPr>
        <w:t> </w:t>
      </w:r>
      <w:r>
        <w:rPr>
          <w:w w:val="115"/>
        </w:rPr>
        <w:t>of the Charter (triggered by the presence of a relevant directive)</w:t>
      </w:r>
    </w:p>
    <w:p>
      <w:pPr>
        <w:pStyle w:val="BodyText"/>
        <w:spacing w:line="310" w:lineRule="exact" w:before="49"/>
        <w:ind w:right="600"/>
      </w:pPr>
      <w:r>
        <w:rPr/>
        <w:br w:type="column"/>
      </w:r>
      <w:r>
        <w:rPr>
          <w:w w:val="115"/>
        </w:rPr>
        <w:t>meant</w:t>
      </w:r>
      <w:r>
        <w:rPr>
          <w:spacing w:val="-4"/>
          <w:w w:val="115"/>
        </w:rPr>
        <w:t> </w:t>
      </w:r>
      <w:r>
        <w:rPr>
          <w:w w:val="115"/>
        </w:rPr>
        <w:t>that</w:t>
      </w:r>
      <w:r>
        <w:rPr>
          <w:spacing w:val="-4"/>
          <w:w w:val="115"/>
        </w:rPr>
        <w:t> </w:t>
      </w:r>
      <w:r>
        <w:rPr>
          <w:w w:val="115"/>
        </w:rPr>
        <w:t>domestic</w:t>
      </w:r>
      <w:r>
        <w:rPr>
          <w:spacing w:val="-4"/>
          <w:w w:val="115"/>
        </w:rPr>
        <w:t> </w:t>
      </w:r>
      <w:r>
        <w:rPr>
          <w:w w:val="115"/>
        </w:rPr>
        <w:t>courts</w:t>
      </w:r>
      <w:r>
        <w:rPr>
          <w:spacing w:val="-4"/>
          <w:w w:val="115"/>
        </w:rPr>
        <w:t> </w:t>
      </w:r>
      <w:r>
        <w:rPr>
          <w:w w:val="115"/>
        </w:rPr>
        <w:t>could resolve through disapplication disputes governed by primary legislation, where the only option available under the HRA would </w:t>
      </w:r>
      <w:r>
        <w:rPr>
          <w:rFonts w:ascii="Lucida Sans Unicode"/>
        </w:rPr>
        <w:t>have been a section 4 declaration </w:t>
      </w:r>
      <w:r>
        <w:rPr>
          <w:w w:val="115"/>
        </w:rPr>
        <w:t>of</w:t>
      </w:r>
      <w:r>
        <w:rPr>
          <w:spacing w:val="-15"/>
          <w:w w:val="115"/>
        </w:rPr>
        <w:t> </w:t>
      </w:r>
      <w:r>
        <w:rPr>
          <w:w w:val="115"/>
        </w:rPr>
        <w:t>incompatibility</w:t>
      </w:r>
      <w:r>
        <w:rPr>
          <w:spacing w:val="-15"/>
          <w:w w:val="115"/>
        </w:rPr>
        <w:t> </w:t>
      </w:r>
      <w:r>
        <w:rPr>
          <w:w w:val="115"/>
        </w:rPr>
        <w:t>and</w:t>
      </w:r>
      <w:r>
        <w:rPr>
          <w:spacing w:val="-15"/>
          <w:w w:val="115"/>
        </w:rPr>
        <w:t> </w:t>
      </w:r>
      <w:r>
        <w:rPr>
          <w:w w:val="115"/>
        </w:rPr>
        <w:t>consequent dismissal of the case.</w:t>
      </w:r>
    </w:p>
    <w:p>
      <w:pPr>
        <w:pStyle w:val="BodyText"/>
        <w:spacing w:before="24"/>
        <w:ind w:left="0"/>
      </w:pPr>
    </w:p>
    <w:p>
      <w:pPr>
        <w:pStyle w:val="BodyText"/>
        <w:spacing w:line="310" w:lineRule="exact"/>
        <w:ind w:right="157"/>
      </w:pPr>
      <w:r>
        <w:rPr>
          <w:w w:val="110"/>
        </w:rPr>
        <w:t>The</w:t>
      </w:r>
      <w:r>
        <w:rPr>
          <w:spacing w:val="-19"/>
          <w:w w:val="110"/>
        </w:rPr>
        <w:t> </w:t>
      </w:r>
      <w:r>
        <w:rPr>
          <w:w w:val="110"/>
        </w:rPr>
        <w:t>two</w:t>
      </w:r>
      <w:r>
        <w:rPr>
          <w:spacing w:val="-18"/>
          <w:w w:val="110"/>
        </w:rPr>
        <w:t> </w:t>
      </w:r>
      <w:r>
        <w:rPr>
          <w:w w:val="110"/>
        </w:rPr>
        <w:t>claimants</w:t>
      </w:r>
      <w:r>
        <w:rPr>
          <w:spacing w:val="-19"/>
          <w:w w:val="110"/>
        </w:rPr>
        <w:t> </w:t>
      </w:r>
      <w:r>
        <w:rPr>
          <w:w w:val="110"/>
        </w:rPr>
        <w:t>in</w:t>
      </w:r>
      <w:r>
        <w:rPr>
          <w:spacing w:val="-18"/>
          <w:w w:val="110"/>
        </w:rPr>
        <w:t> </w:t>
      </w:r>
      <w:r>
        <w:rPr>
          <w:rFonts w:ascii="Verdana"/>
          <w:i/>
          <w:w w:val="110"/>
        </w:rPr>
        <w:t>Benkharbouche</w:t>
      </w:r>
      <w:r>
        <w:rPr>
          <w:w w:val="110"/>
        </w:rPr>
        <w:t>, Ms Benkharbouche and Ms Janah, worked</w:t>
      </w:r>
      <w:r>
        <w:rPr>
          <w:spacing w:val="-5"/>
          <w:w w:val="110"/>
        </w:rPr>
        <w:t> </w:t>
      </w:r>
      <w:r>
        <w:rPr>
          <w:w w:val="110"/>
        </w:rPr>
        <w:t>as</w:t>
      </w:r>
      <w:r>
        <w:rPr>
          <w:spacing w:val="-5"/>
          <w:w w:val="110"/>
        </w:rPr>
        <w:t> </w:t>
      </w:r>
      <w:r>
        <w:rPr>
          <w:w w:val="110"/>
        </w:rPr>
        <w:t>a</w:t>
      </w:r>
      <w:r>
        <w:rPr>
          <w:spacing w:val="-5"/>
          <w:w w:val="110"/>
        </w:rPr>
        <w:t> </w:t>
      </w:r>
      <w:r>
        <w:rPr>
          <w:w w:val="110"/>
        </w:rPr>
        <w:t>cook</w:t>
      </w:r>
      <w:r>
        <w:rPr>
          <w:spacing w:val="-5"/>
          <w:w w:val="110"/>
        </w:rPr>
        <w:t> </w:t>
      </w:r>
      <w:r>
        <w:rPr>
          <w:w w:val="110"/>
        </w:rPr>
        <w:t>and</w:t>
      </w:r>
      <w:r>
        <w:rPr>
          <w:spacing w:val="-5"/>
          <w:w w:val="110"/>
        </w:rPr>
        <w:t> </w:t>
      </w:r>
      <w:r>
        <w:rPr>
          <w:w w:val="110"/>
        </w:rPr>
        <w:t>domestic</w:t>
      </w:r>
      <w:r>
        <w:rPr>
          <w:spacing w:val="-5"/>
          <w:w w:val="110"/>
        </w:rPr>
        <w:t> </w:t>
      </w:r>
      <w:r>
        <w:rPr>
          <w:w w:val="110"/>
        </w:rPr>
        <w:t>worker </w:t>
      </w:r>
      <w:r>
        <w:rPr>
          <w:rFonts w:ascii="Lucida Sans Unicode"/>
        </w:rPr>
        <w:t>at the Sudanese and Libyan embassies </w:t>
      </w:r>
      <w:r>
        <w:rPr>
          <w:w w:val="110"/>
        </w:rPr>
        <w:t>in London, respectively. They were both dismissed without due process, and it subsequently transpired that</w:t>
      </w:r>
      <w:r>
        <w:rPr>
          <w:spacing w:val="40"/>
          <w:w w:val="110"/>
        </w:rPr>
        <w:t> </w:t>
      </w:r>
      <w:r>
        <w:rPr>
          <w:w w:val="110"/>
        </w:rPr>
        <w:t>they had not been paid the minimum wage, that they had not been offered paid annual leave, and that they had not been compensated for overtime.</w:t>
      </w:r>
    </w:p>
    <w:p>
      <w:pPr>
        <w:pStyle w:val="BodyText"/>
        <w:spacing w:line="268" w:lineRule="auto" w:before="23"/>
        <w:ind w:right="420"/>
      </w:pPr>
      <w:r>
        <w:rPr>
          <w:w w:val="110"/>
        </w:rPr>
        <w:t>Ms Janah was additionally owed arrears of pay and had experienced racial</w:t>
      </w:r>
      <w:r>
        <w:rPr>
          <w:spacing w:val="-19"/>
          <w:w w:val="110"/>
        </w:rPr>
        <w:t> </w:t>
      </w:r>
      <w:r>
        <w:rPr>
          <w:w w:val="110"/>
        </w:rPr>
        <w:t>discrimination</w:t>
      </w:r>
      <w:r>
        <w:rPr>
          <w:spacing w:val="-18"/>
          <w:w w:val="110"/>
        </w:rPr>
        <w:t> </w:t>
      </w:r>
      <w:r>
        <w:rPr>
          <w:w w:val="110"/>
        </w:rPr>
        <w:t>and</w:t>
      </w:r>
      <w:r>
        <w:rPr>
          <w:spacing w:val="-19"/>
          <w:w w:val="110"/>
        </w:rPr>
        <w:t> </w:t>
      </w:r>
      <w:r>
        <w:rPr>
          <w:w w:val="110"/>
        </w:rPr>
        <w:t>harassment in the course of her employment.</w:t>
      </w:r>
    </w:p>
    <w:p>
      <w:pPr>
        <w:pStyle w:val="BodyText"/>
        <w:spacing w:line="268" w:lineRule="auto" w:before="3"/>
        <w:ind w:right="318"/>
      </w:pPr>
      <w:r>
        <w:rPr>
          <w:w w:val="110"/>
        </w:rPr>
        <w:t>These facts were not in dispute, but the two women were prevented from bringing claims for compensation against their employers, as these were actors enjoying immunity </w:t>
      </w:r>
      <w:r>
        <w:rPr>
          <w:w w:val="110"/>
        </w:rPr>
        <w:t>under</w:t>
      </w:r>
    </w:p>
    <w:p>
      <w:pPr>
        <w:pStyle w:val="BodyText"/>
        <w:spacing w:line="213" w:lineRule="auto"/>
        <w:ind w:right="178"/>
      </w:pPr>
      <w:r>
        <w:rPr>
          <w:rFonts w:ascii="Lucida Sans Unicode"/>
          <w:w w:val="105"/>
        </w:rPr>
        <w:t>sections</w:t>
      </w:r>
      <w:r>
        <w:rPr>
          <w:rFonts w:ascii="Lucida Sans Unicode"/>
          <w:spacing w:val="-1"/>
          <w:w w:val="105"/>
        </w:rPr>
        <w:t> </w:t>
      </w:r>
      <w:r>
        <w:rPr>
          <w:rFonts w:ascii="Lucida Sans Unicode"/>
          <w:w w:val="105"/>
        </w:rPr>
        <w:t>4(2)(b)</w:t>
      </w:r>
      <w:r>
        <w:rPr>
          <w:rFonts w:ascii="Lucida Sans Unicode"/>
          <w:spacing w:val="-1"/>
          <w:w w:val="105"/>
        </w:rPr>
        <w:t> </w:t>
      </w:r>
      <w:r>
        <w:rPr>
          <w:rFonts w:ascii="Lucida Sans Unicode"/>
          <w:w w:val="105"/>
        </w:rPr>
        <w:t>and</w:t>
      </w:r>
      <w:r>
        <w:rPr>
          <w:rFonts w:ascii="Lucida Sans Unicode"/>
          <w:spacing w:val="-1"/>
          <w:w w:val="105"/>
        </w:rPr>
        <w:t> </w:t>
      </w:r>
      <w:r>
        <w:rPr>
          <w:rFonts w:ascii="Lucida Sans Unicode"/>
          <w:w w:val="105"/>
        </w:rPr>
        <w:t>16(1)(a)</w:t>
      </w:r>
      <w:r>
        <w:rPr>
          <w:rFonts w:ascii="Lucida Sans Unicode"/>
          <w:spacing w:val="-1"/>
          <w:w w:val="105"/>
        </w:rPr>
        <w:t> </w:t>
      </w:r>
      <w:r>
        <w:rPr>
          <w:rFonts w:ascii="Lucida Sans Unicode"/>
          <w:w w:val="105"/>
        </w:rPr>
        <w:t>of</w:t>
      </w:r>
      <w:r>
        <w:rPr>
          <w:rFonts w:ascii="Lucida Sans Unicode"/>
          <w:spacing w:val="-1"/>
          <w:w w:val="105"/>
        </w:rPr>
        <w:t> </w:t>
      </w:r>
      <w:r>
        <w:rPr>
          <w:rFonts w:ascii="Lucida Sans Unicode"/>
          <w:w w:val="105"/>
        </w:rPr>
        <w:t>the State</w:t>
      </w:r>
      <w:r>
        <w:rPr>
          <w:rFonts w:ascii="Lucida Sans Unicode"/>
          <w:spacing w:val="-1"/>
          <w:w w:val="105"/>
        </w:rPr>
        <w:t> </w:t>
      </w:r>
      <w:r>
        <w:rPr>
          <w:rFonts w:ascii="Lucida Sans Unicode"/>
          <w:w w:val="105"/>
        </w:rPr>
        <w:t>Immunity</w:t>
      </w:r>
      <w:r>
        <w:rPr>
          <w:rFonts w:ascii="Lucida Sans Unicode"/>
          <w:spacing w:val="-1"/>
          <w:w w:val="105"/>
        </w:rPr>
        <w:t> </w:t>
      </w:r>
      <w:r>
        <w:rPr>
          <w:rFonts w:ascii="Lucida Sans Unicode"/>
          <w:w w:val="105"/>
        </w:rPr>
        <w:t>Act</w:t>
      </w:r>
      <w:r>
        <w:rPr>
          <w:rFonts w:ascii="Lucida Sans Unicode"/>
          <w:spacing w:val="-1"/>
          <w:w w:val="105"/>
        </w:rPr>
        <w:t> </w:t>
      </w:r>
      <w:r>
        <w:rPr>
          <w:rFonts w:ascii="Lucida Sans Unicode"/>
          <w:w w:val="105"/>
        </w:rPr>
        <w:t>1978</w:t>
      </w:r>
      <w:r>
        <w:rPr>
          <w:rFonts w:ascii="Lucida Sans Unicode"/>
          <w:spacing w:val="-1"/>
          <w:w w:val="105"/>
        </w:rPr>
        <w:t> </w:t>
      </w:r>
      <w:r>
        <w:rPr>
          <w:rFonts w:ascii="Lucida Sans Unicode"/>
          <w:w w:val="105"/>
        </w:rPr>
        <w:t>(SIA).</w:t>
      </w:r>
      <w:r>
        <w:rPr>
          <w:rFonts w:ascii="Lucida Sans Unicode"/>
          <w:spacing w:val="-1"/>
          <w:w w:val="105"/>
        </w:rPr>
        <w:t> </w:t>
      </w:r>
      <w:r>
        <w:rPr>
          <w:rFonts w:ascii="Lucida Sans Unicode"/>
          <w:w w:val="105"/>
        </w:rPr>
        <w:t>For </w:t>
      </w:r>
      <w:r>
        <w:rPr>
          <w:w w:val="105"/>
        </w:rPr>
        <w:t>this reason, Ms Benkharbouche and </w:t>
      </w:r>
      <w:r>
        <w:rPr>
          <w:w w:val="105"/>
        </w:rPr>
        <w:t>Ms</w:t>
      </w:r>
    </w:p>
    <w:p>
      <w:pPr>
        <w:pStyle w:val="BodyText"/>
        <w:spacing w:line="310" w:lineRule="exact" w:before="10"/>
        <w:ind w:right="116"/>
      </w:pPr>
      <w:r>
        <w:rPr>
          <w:w w:val="110"/>
        </w:rPr>
        <w:t>Janah invoked their right to a fair trial (including the right of access to court), which was protected under both</w:t>
      </w:r>
      <w:r>
        <w:rPr>
          <w:spacing w:val="80"/>
          <w:w w:val="150"/>
        </w:rPr>
        <w:t> </w:t>
      </w:r>
      <w:r>
        <w:rPr>
          <w:rFonts w:ascii="Lucida Sans Unicode"/>
        </w:rPr>
        <w:t>Article 6 ECHR and Article 47 CFR. </w:t>
      </w:r>
      <w:r>
        <w:rPr>
          <w:rFonts w:ascii="Lucida Sans Unicode"/>
        </w:rPr>
        <w:t>The </w:t>
      </w:r>
      <w:r>
        <w:rPr>
          <w:w w:val="110"/>
        </w:rPr>
        <w:t>claimants argued that this right had a binding effect on all actors, both public and private, so that domestic courts could proceed to hear the claim and award compensation for violations of labour law.</w:t>
      </w:r>
    </w:p>
    <w:p>
      <w:pPr>
        <w:spacing w:after="0" w:line="310" w:lineRule="exact"/>
        <w:sectPr>
          <w:type w:val="continuous"/>
          <w:pgSz w:w="11910" w:h="16840"/>
          <w:pgMar w:header="568" w:footer="580" w:top="0" w:bottom="280" w:left="1020" w:right="1020"/>
          <w:cols w:num="2" w:equalWidth="0">
            <w:col w:w="4746" w:space="299"/>
            <w:col w:w="4825"/>
          </w:cols>
        </w:sectPr>
      </w:pPr>
    </w:p>
    <w:p>
      <w:pPr>
        <w:pStyle w:val="BodyText"/>
        <w:spacing w:before="2"/>
        <w:ind w:left="0"/>
        <w:rPr>
          <w:sz w:val="18"/>
        </w:rPr>
      </w:pPr>
    </w:p>
    <w:p>
      <w:pPr>
        <w:pStyle w:val="BodyText"/>
        <w:spacing w:line="20" w:lineRule="exact"/>
        <w:rPr>
          <w:sz w:val="2"/>
        </w:rPr>
      </w:pPr>
      <w:r>
        <w:rPr>
          <w:sz w:val="2"/>
        </w:rPr>
        <mc:AlternateContent>
          <mc:Choice Requires="wps">
            <w:drawing>
              <wp:inline distT="0" distB="0" distL="0" distR="0">
                <wp:extent cx="6120130" cy="6350"/>
                <wp:effectExtent l="9525" t="0" r="0" b="3175"/>
                <wp:docPr id="162" name="Group 162"/>
                <wp:cNvGraphicFramePr>
                  <a:graphicFrameLocks/>
                </wp:cNvGraphicFramePr>
                <a:graphic>
                  <a:graphicData uri="http://schemas.microsoft.com/office/word/2010/wordprocessingGroup">
                    <wpg:wgp>
                      <wpg:cNvPr id="162" name="Group 162"/>
                      <wpg:cNvGrpSpPr/>
                      <wpg:grpSpPr>
                        <a:xfrm>
                          <a:off x="0" y="0"/>
                          <a:ext cx="6120130" cy="6350"/>
                          <a:chExt cx="6120130" cy="6350"/>
                        </a:xfrm>
                      </wpg:grpSpPr>
                      <wps:wsp>
                        <wps:cNvPr id="163" name="Graphic 163"/>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100"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14"/>
        </w:numPr>
        <w:tabs>
          <w:tab w:pos="565" w:val="left" w:leader="none"/>
          <w:tab w:pos="567" w:val="left" w:leader="none"/>
        </w:tabs>
        <w:spacing w:line="194" w:lineRule="auto" w:before="94" w:after="0"/>
        <w:ind w:left="567" w:right="590" w:hanging="454"/>
        <w:jc w:val="left"/>
        <w:rPr>
          <w:sz w:val="16"/>
        </w:rPr>
      </w:pPr>
      <w:r>
        <w:rPr>
          <w:rFonts w:ascii="Arial"/>
          <w:w w:val="105"/>
          <w:sz w:val="16"/>
        </w:rPr>
        <w:t>Note</w:t>
      </w:r>
      <w:r>
        <w:rPr>
          <w:rFonts w:ascii="Arial"/>
          <w:spacing w:val="36"/>
          <w:w w:val="105"/>
          <w:sz w:val="16"/>
        </w:rPr>
        <w:t> </w:t>
      </w:r>
      <w:r>
        <w:rPr>
          <w:rFonts w:ascii="Arial"/>
          <w:w w:val="105"/>
          <w:sz w:val="16"/>
        </w:rPr>
        <w:t>that,</w:t>
      </w:r>
      <w:r>
        <w:rPr>
          <w:rFonts w:ascii="Arial"/>
          <w:spacing w:val="36"/>
          <w:w w:val="105"/>
          <w:sz w:val="16"/>
        </w:rPr>
        <w:t> </w:t>
      </w:r>
      <w:r>
        <w:rPr>
          <w:rFonts w:ascii="Arial"/>
          <w:w w:val="105"/>
          <w:sz w:val="16"/>
        </w:rPr>
        <w:t>in</w:t>
      </w:r>
      <w:r>
        <w:rPr>
          <w:rFonts w:ascii="Arial"/>
          <w:spacing w:val="36"/>
          <w:w w:val="105"/>
          <w:sz w:val="16"/>
        </w:rPr>
        <w:t> </w:t>
      </w:r>
      <w:r>
        <w:rPr>
          <w:rFonts w:ascii="Arial"/>
          <w:w w:val="105"/>
          <w:sz w:val="16"/>
        </w:rPr>
        <w:t>EU</w:t>
      </w:r>
      <w:r>
        <w:rPr>
          <w:rFonts w:ascii="Arial"/>
          <w:spacing w:val="36"/>
          <w:w w:val="105"/>
          <w:sz w:val="16"/>
        </w:rPr>
        <w:t> </w:t>
      </w:r>
      <w:r>
        <w:rPr>
          <w:rFonts w:ascii="Arial"/>
          <w:w w:val="105"/>
          <w:sz w:val="16"/>
        </w:rPr>
        <w:t>law,</w:t>
      </w:r>
      <w:r>
        <w:rPr>
          <w:rFonts w:ascii="Arial"/>
          <w:spacing w:val="36"/>
          <w:w w:val="105"/>
          <w:sz w:val="16"/>
        </w:rPr>
        <w:t> </w:t>
      </w:r>
      <w:r>
        <w:rPr>
          <w:rFonts w:ascii="Arial"/>
          <w:w w:val="105"/>
          <w:sz w:val="16"/>
        </w:rPr>
        <w:t>fundamental</w:t>
      </w:r>
      <w:r>
        <w:rPr>
          <w:rFonts w:ascii="Arial"/>
          <w:spacing w:val="36"/>
          <w:w w:val="105"/>
          <w:sz w:val="16"/>
        </w:rPr>
        <w:t> </w:t>
      </w:r>
      <w:r>
        <w:rPr>
          <w:rFonts w:ascii="Arial"/>
          <w:w w:val="105"/>
          <w:sz w:val="16"/>
        </w:rPr>
        <w:t>rights</w:t>
      </w:r>
      <w:r>
        <w:rPr>
          <w:rFonts w:ascii="Arial"/>
          <w:spacing w:val="36"/>
          <w:w w:val="105"/>
          <w:sz w:val="16"/>
        </w:rPr>
        <w:t> </w:t>
      </w:r>
      <w:r>
        <w:rPr>
          <w:rFonts w:ascii="Arial"/>
          <w:w w:val="105"/>
          <w:sz w:val="16"/>
        </w:rPr>
        <w:t>can</w:t>
      </w:r>
      <w:r>
        <w:rPr>
          <w:rFonts w:ascii="Arial"/>
          <w:spacing w:val="36"/>
          <w:w w:val="105"/>
          <w:sz w:val="16"/>
        </w:rPr>
        <w:t> </w:t>
      </w:r>
      <w:r>
        <w:rPr>
          <w:rFonts w:ascii="Arial"/>
          <w:w w:val="105"/>
          <w:sz w:val="16"/>
        </w:rPr>
        <w:t>usually</w:t>
      </w:r>
      <w:r>
        <w:rPr>
          <w:rFonts w:ascii="Arial"/>
          <w:spacing w:val="36"/>
          <w:w w:val="105"/>
          <w:sz w:val="16"/>
        </w:rPr>
        <w:t> </w:t>
      </w:r>
      <w:r>
        <w:rPr>
          <w:rFonts w:ascii="Arial"/>
          <w:w w:val="105"/>
          <w:sz w:val="16"/>
        </w:rPr>
        <w:t>be</w:t>
      </w:r>
      <w:r>
        <w:rPr>
          <w:rFonts w:ascii="Arial"/>
          <w:spacing w:val="36"/>
          <w:w w:val="105"/>
          <w:sz w:val="16"/>
        </w:rPr>
        <w:t> </w:t>
      </w:r>
      <w:r>
        <w:rPr>
          <w:rFonts w:ascii="Arial"/>
          <w:w w:val="105"/>
          <w:sz w:val="16"/>
        </w:rPr>
        <w:t>invoked</w:t>
      </w:r>
      <w:r>
        <w:rPr>
          <w:rFonts w:ascii="Arial"/>
          <w:spacing w:val="36"/>
          <w:w w:val="105"/>
          <w:sz w:val="16"/>
        </w:rPr>
        <w:t> </w:t>
      </w:r>
      <w:r>
        <w:rPr>
          <w:rFonts w:ascii="Arial"/>
          <w:w w:val="105"/>
          <w:sz w:val="16"/>
        </w:rPr>
        <w:t>both</w:t>
      </w:r>
      <w:r>
        <w:rPr>
          <w:rFonts w:ascii="Arial"/>
          <w:spacing w:val="36"/>
          <w:w w:val="105"/>
          <w:sz w:val="16"/>
        </w:rPr>
        <w:t> </w:t>
      </w:r>
      <w:r>
        <w:rPr>
          <w:rFonts w:ascii="Arial"/>
          <w:w w:val="105"/>
          <w:sz w:val="16"/>
        </w:rPr>
        <w:t>by</w:t>
      </w:r>
      <w:r>
        <w:rPr>
          <w:rFonts w:ascii="Arial"/>
          <w:spacing w:val="36"/>
          <w:w w:val="105"/>
          <w:sz w:val="16"/>
        </w:rPr>
        <w:t> </w:t>
      </w:r>
      <w:r>
        <w:rPr>
          <w:rFonts w:ascii="Arial"/>
          <w:w w:val="105"/>
          <w:sz w:val="16"/>
        </w:rPr>
        <w:t>natural</w:t>
      </w:r>
      <w:r>
        <w:rPr>
          <w:rFonts w:ascii="Arial"/>
          <w:spacing w:val="36"/>
          <w:w w:val="105"/>
          <w:sz w:val="16"/>
        </w:rPr>
        <w:t> </w:t>
      </w:r>
      <w:r>
        <w:rPr>
          <w:rFonts w:ascii="Arial"/>
          <w:w w:val="105"/>
          <w:sz w:val="16"/>
        </w:rPr>
        <w:t>and</w:t>
      </w:r>
      <w:r>
        <w:rPr>
          <w:rFonts w:ascii="Arial"/>
          <w:spacing w:val="36"/>
          <w:w w:val="105"/>
          <w:sz w:val="16"/>
        </w:rPr>
        <w:t> </w:t>
      </w:r>
      <w:r>
        <w:rPr>
          <w:rFonts w:ascii="Arial"/>
          <w:w w:val="105"/>
          <w:sz w:val="16"/>
        </w:rPr>
        <w:t>by</w:t>
      </w:r>
      <w:r>
        <w:rPr>
          <w:rFonts w:ascii="Arial"/>
          <w:spacing w:val="36"/>
          <w:w w:val="105"/>
          <w:sz w:val="16"/>
        </w:rPr>
        <w:t> </w:t>
      </w:r>
      <w:r>
        <w:rPr>
          <w:rFonts w:ascii="Arial"/>
          <w:w w:val="105"/>
          <w:sz w:val="16"/>
        </w:rPr>
        <w:t>legal</w:t>
      </w:r>
      <w:r>
        <w:rPr>
          <w:rFonts w:ascii="Arial"/>
          <w:spacing w:val="36"/>
          <w:w w:val="105"/>
          <w:sz w:val="16"/>
        </w:rPr>
        <w:t> </w:t>
      </w:r>
      <w:r>
        <w:rPr>
          <w:rFonts w:ascii="Arial"/>
          <w:w w:val="105"/>
          <w:sz w:val="16"/>
        </w:rPr>
        <w:t>persons</w:t>
      </w:r>
      <w:r>
        <w:rPr>
          <w:rFonts w:ascii="Arial"/>
          <w:spacing w:val="36"/>
          <w:w w:val="105"/>
          <w:sz w:val="16"/>
        </w:rPr>
        <w:t> </w:t>
      </w:r>
      <w:r>
        <w:rPr>
          <w:rFonts w:ascii="Arial"/>
          <w:w w:val="105"/>
          <w:sz w:val="16"/>
        </w:rPr>
        <w:t>under </w:t>
      </w:r>
      <w:r>
        <w:rPr>
          <w:rFonts w:ascii="Arial"/>
          <w:spacing w:val="-2"/>
          <w:w w:val="105"/>
          <w:sz w:val="16"/>
        </w:rPr>
        <w:t>the same conditions: see </w:t>
      </w:r>
      <w:r>
        <w:rPr>
          <w:rFonts w:ascii="Verdana"/>
          <w:i/>
          <w:spacing w:val="-2"/>
          <w:w w:val="105"/>
          <w:sz w:val="16"/>
        </w:rPr>
        <w:t>Internationale</w:t>
      </w:r>
      <w:r>
        <w:rPr>
          <w:rFonts w:ascii="Verdana"/>
          <w:i/>
          <w:spacing w:val="-12"/>
          <w:w w:val="105"/>
          <w:sz w:val="16"/>
        </w:rPr>
        <w:t> </w:t>
      </w:r>
      <w:r>
        <w:rPr>
          <w:rFonts w:ascii="Verdana"/>
          <w:i/>
          <w:spacing w:val="-2"/>
          <w:w w:val="105"/>
          <w:sz w:val="16"/>
        </w:rPr>
        <w:t>Handelsgesellschaft</w:t>
      </w:r>
      <w:r>
        <w:rPr>
          <w:rFonts w:ascii="Verdana"/>
          <w:i/>
          <w:spacing w:val="-12"/>
          <w:w w:val="105"/>
          <w:sz w:val="16"/>
        </w:rPr>
        <w:t> </w:t>
      </w:r>
      <w:r>
        <w:rPr>
          <w:spacing w:val="-2"/>
          <w:w w:val="105"/>
          <w:sz w:val="16"/>
        </w:rPr>
        <w:t>(n</w:t>
      </w:r>
      <w:r>
        <w:rPr>
          <w:spacing w:val="-6"/>
          <w:w w:val="105"/>
          <w:sz w:val="16"/>
        </w:rPr>
        <w:t> </w:t>
      </w:r>
      <w:r>
        <w:rPr>
          <w:spacing w:val="-2"/>
          <w:w w:val="105"/>
          <w:sz w:val="16"/>
        </w:rPr>
        <w:t>54).</w:t>
      </w:r>
      <w:r>
        <w:rPr>
          <w:spacing w:val="-6"/>
          <w:w w:val="105"/>
          <w:sz w:val="16"/>
        </w:rPr>
        <w:t> </w:t>
      </w:r>
      <w:r>
        <w:rPr>
          <w:spacing w:val="-2"/>
          <w:w w:val="105"/>
          <w:sz w:val="16"/>
        </w:rPr>
        <w:t>For</w:t>
      </w:r>
      <w:r>
        <w:rPr>
          <w:spacing w:val="-6"/>
          <w:w w:val="105"/>
          <w:sz w:val="16"/>
        </w:rPr>
        <w:t> </w:t>
      </w:r>
      <w:r>
        <w:rPr>
          <w:spacing w:val="-2"/>
          <w:w w:val="105"/>
          <w:sz w:val="16"/>
        </w:rPr>
        <w:t>example,</w:t>
      </w:r>
      <w:r>
        <w:rPr>
          <w:spacing w:val="-6"/>
          <w:w w:val="105"/>
          <w:sz w:val="16"/>
        </w:rPr>
        <w:t> </w:t>
      </w:r>
      <w:r>
        <w:rPr>
          <w:spacing w:val="-2"/>
          <w:w w:val="105"/>
          <w:sz w:val="16"/>
        </w:rPr>
        <w:t>it</w:t>
      </w:r>
      <w:r>
        <w:rPr>
          <w:spacing w:val="-6"/>
          <w:w w:val="105"/>
          <w:sz w:val="16"/>
        </w:rPr>
        <w:t> </w:t>
      </w:r>
      <w:r>
        <w:rPr>
          <w:spacing w:val="-2"/>
          <w:w w:val="105"/>
          <w:sz w:val="16"/>
        </w:rPr>
        <w:t>is</w:t>
      </w:r>
      <w:r>
        <w:rPr>
          <w:spacing w:val="-6"/>
          <w:w w:val="105"/>
          <w:sz w:val="16"/>
        </w:rPr>
        <w:t> </w:t>
      </w:r>
      <w:r>
        <w:rPr>
          <w:spacing w:val="-2"/>
          <w:w w:val="105"/>
          <w:sz w:val="16"/>
        </w:rPr>
        <w:t>very</w:t>
      </w:r>
      <w:r>
        <w:rPr>
          <w:spacing w:val="-6"/>
          <w:w w:val="105"/>
          <w:sz w:val="16"/>
        </w:rPr>
        <w:t> </w:t>
      </w:r>
      <w:r>
        <w:rPr>
          <w:spacing w:val="-2"/>
          <w:w w:val="105"/>
          <w:sz w:val="16"/>
        </w:rPr>
        <w:t>common</w:t>
      </w:r>
      <w:r>
        <w:rPr>
          <w:spacing w:val="-6"/>
          <w:w w:val="105"/>
          <w:sz w:val="16"/>
        </w:rPr>
        <w:t> </w:t>
      </w:r>
      <w:r>
        <w:rPr>
          <w:spacing w:val="-2"/>
          <w:w w:val="105"/>
          <w:sz w:val="16"/>
        </w:rPr>
        <w:t>for</w:t>
      </w:r>
      <w:r>
        <w:rPr>
          <w:spacing w:val="-6"/>
          <w:w w:val="105"/>
          <w:sz w:val="16"/>
        </w:rPr>
        <w:t> </w:t>
      </w:r>
      <w:r>
        <w:rPr>
          <w:spacing w:val="-2"/>
          <w:w w:val="105"/>
          <w:sz w:val="16"/>
        </w:rPr>
        <w:t>private </w:t>
      </w:r>
      <w:r>
        <w:rPr>
          <w:w w:val="105"/>
          <w:sz w:val="16"/>
        </w:rPr>
        <w:t>companies</w:t>
      </w:r>
      <w:r>
        <w:rPr>
          <w:spacing w:val="-6"/>
          <w:w w:val="105"/>
          <w:sz w:val="16"/>
        </w:rPr>
        <w:t> </w:t>
      </w:r>
      <w:r>
        <w:rPr>
          <w:w w:val="105"/>
          <w:sz w:val="16"/>
        </w:rPr>
        <w:t>to</w:t>
      </w:r>
      <w:r>
        <w:rPr>
          <w:spacing w:val="-6"/>
          <w:w w:val="105"/>
          <w:sz w:val="16"/>
        </w:rPr>
        <w:t> </w:t>
      </w:r>
      <w:r>
        <w:rPr>
          <w:w w:val="105"/>
          <w:sz w:val="16"/>
        </w:rPr>
        <w:t>invoke</w:t>
      </w:r>
      <w:r>
        <w:rPr>
          <w:spacing w:val="-6"/>
          <w:w w:val="105"/>
          <w:sz w:val="16"/>
        </w:rPr>
        <w:t> </w:t>
      </w:r>
      <w:r>
        <w:rPr>
          <w:w w:val="105"/>
          <w:sz w:val="16"/>
        </w:rPr>
        <w:t>Article</w:t>
      </w:r>
      <w:r>
        <w:rPr>
          <w:spacing w:val="-6"/>
          <w:w w:val="105"/>
          <w:sz w:val="16"/>
        </w:rPr>
        <w:t> </w:t>
      </w:r>
      <w:r>
        <w:rPr>
          <w:w w:val="105"/>
          <w:sz w:val="16"/>
        </w:rPr>
        <w:t>47</w:t>
      </w:r>
      <w:r>
        <w:rPr>
          <w:spacing w:val="-6"/>
          <w:w w:val="105"/>
          <w:sz w:val="16"/>
        </w:rPr>
        <w:t> </w:t>
      </w:r>
      <w:r>
        <w:rPr>
          <w:w w:val="105"/>
          <w:sz w:val="16"/>
        </w:rPr>
        <w:t>CFR</w:t>
      </w:r>
      <w:r>
        <w:rPr>
          <w:spacing w:val="-6"/>
          <w:w w:val="105"/>
          <w:sz w:val="16"/>
        </w:rPr>
        <w:t> </w:t>
      </w:r>
      <w:r>
        <w:rPr>
          <w:w w:val="105"/>
          <w:sz w:val="16"/>
        </w:rPr>
        <w:t>in</w:t>
      </w:r>
      <w:r>
        <w:rPr>
          <w:spacing w:val="-6"/>
          <w:w w:val="105"/>
          <w:sz w:val="16"/>
        </w:rPr>
        <w:t> </w:t>
      </w:r>
      <w:r>
        <w:rPr>
          <w:w w:val="105"/>
          <w:sz w:val="16"/>
        </w:rPr>
        <w:t>the</w:t>
      </w:r>
      <w:r>
        <w:rPr>
          <w:spacing w:val="-6"/>
          <w:w w:val="105"/>
          <w:sz w:val="16"/>
        </w:rPr>
        <w:t> </w:t>
      </w:r>
      <w:r>
        <w:rPr>
          <w:w w:val="105"/>
          <w:sz w:val="16"/>
        </w:rPr>
        <w:t>context</w:t>
      </w:r>
      <w:r>
        <w:rPr>
          <w:spacing w:val="-6"/>
          <w:w w:val="105"/>
          <w:sz w:val="16"/>
        </w:rPr>
        <w:t> </w:t>
      </w:r>
      <w:r>
        <w:rPr>
          <w:w w:val="105"/>
          <w:sz w:val="16"/>
        </w:rPr>
        <w:t>of</w:t>
      </w:r>
      <w:r>
        <w:rPr>
          <w:spacing w:val="-6"/>
          <w:w w:val="105"/>
          <w:sz w:val="16"/>
        </w:rPr>
        <w:t> </w:t>
      </w:r>
      <w:r>
        <w:rPr>
          <w:w w:val="105"/>
          <w:sz w:val="16"/>
        </w:rPr>
        <w:t>antitrust</w:t>
      </w:r>
      <w:r>
        <w:rPr>
          <w:spacing w:val="-6"/>
          <w:w w:val="105"/>
          <w:sz w:val="16"/>
        </w:rPr>
        <w:t> </w:t>
      </w:r>
      <w:r>
        <w:rPr>
          <w:w w:val="105"/>
          <w:sz w:val="16"/>
        </w:rPr>
        <w:t>litigation</w:t>
      </w:r>
      <w:r>
        <w:rPr>
          <w:spacing w:val="-6"/>
          <w:w w:val="105"/>
          <w:sz w:val="16"/>
        </w:rPr>
        <w:t> </w:t>
      </w:r>
      <w:r>
        <w:rPr>
          <w:w w:val="105"/>
          <w:sz w:val="16"/>
        </w:rPr>
        <w:t>(see</w:t>
      </w:r>
      <w:r>
        <w:rPr>
          <w:spacing w:val="-6"/>
          <w:w w:val="105"/>
          <w:sz w:val="16"/>
        </w:rPr>
        <w:t> </w:t>
      </w:r>
      <w:r>
        <w:rPr>
          <w:w w:val="105"/>
          <w:sz w:val="16"/>
        </w:rPr>
        <w:t>further</w:t>
      </w:r>
      <w:r>
        <w:rPr>
          <w:spacing w:val="-6"/>
          <w:w w:val="105"/>
          <w:sz w:val="16"/>
        </w:rPr>
        <w:t> </w:t>
      </w:r>
      <w:r>
        <w:rPr>
          <w:w w:val="105"/>
          <w:sz w:val="16"/>
        </w:rPr>
        <w:t>Frantziou</w:t>
      </w:r>
      <w:r>
        <w:rPr>
          <w:spacing w:val="-6"/>
          <w:w w:val="105"/>
          <w:sz w:val="16"/>
        </w:rPr>
        <w:t> </w:t>
      </w:r>
      <w:r>
        <w:rPr>
          <w:w w:val="105"/>
          <w:sz w:val="16"/>
        </w:rPr>
        <w:t>2020</w:t>
      </w:r>
      <w:r>
        <w:rPr>
          <w:spacing w:val="-6"/>
          <w:w w:val="105"/>
          <w:sz w:val="16"/>
        </w:rPr>
        <w:t> </w:t>
      </w:r>
      <w:r>
        <w:rPr>
          <w:w w:val="105"/>
          <w:sz w:val="16"/>
        </w:rPr>
        <w:t>(n</w:t>
      </w:r>
      <w:r>
        <w:rPr>
          <w:spacing w:val="-6"/>
          <w:w w:val="105"/>
          <w:sz w:val="16"/>
        </w:rPr>
        <w:t> </w:t>
      </w:r>
      <w:r>
        <w:rPr>
          <w:w w:val="105"/>
          <w:sz w:val="16"/>
        </w:rPr>
        <w:t>89).</w:t>
      </w:r>
    </w:p>
    <w:p>
      <w:pPr>
        <w:pStyle w:val="ListParagraph"/>
        <w:numPr>
          <w:ilvl w:val="0"/>
          <w:numId w:val="14"/>
        </w:numPr>
        <w:tabs>
          <w:tab w:pos="565" w:val="left" w:leader="none"/>
        </w:tabs>
        <w:spacing w:line="215" w:lineRule="exact" w:before="0" w:after="0"/>
        <w:ind w:left="565" w:right="0" w:hanging="452"/>
        <w:jc w:val="left"/>
        <w:rPr>
          <w:sz w:val="16"/>
        </w:rPr>
      </w:pPr>
      <w:r>
        <w:rPr>
          <w:rFonts w:ascii="Verdana"/>
          <w:i/>
          <w:sz w:val="16"/>
        </w:rPr>
        <w:t>Benkharbouche</w:t>
      </w:r>
      <w:r>
        <w:rPr>
          <w:rFonts w:ascii="Verdana"/>
          <w:i/>
          <w:spacing w:val="-7"/>
          <w:sz w:val="16"/>
        </w:rPr>
        <w:t> </w:t>
      </w:r>
      <w:r>
        <w:rPr>
          <w:sz w:val="16"/>
        </w:rPr>
        <w:t>(n</w:t>
      </w:r>
      <w:r>
        <w:rPr>
          <w:spacing w:val="-1"/>
          <w:sz w:val="16"/>
        </w:rPr>
        <w:t> </w:t>
      </w:r>
      <w:r>
        <w:rPr>
          <w:spacing w:val="-2"/>
          <w:sz w:val="16"/>
        </w:rPr>
        <w:t>246).</w:t>
      </w:r>
    </w:p>
    <w:p>
      <w:pPr>
        <w:spacing w:after="0" w:line="215" w:lineRule="exact"/>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310" w:lineRule="exact" w:before="49"/>
        <w:ind w:right="172"/>
      </w:pPr>
      <w:r>
        <w:rPr>
          <w:rFonts w:ascii="Lucida Sans Unicode"/>
          <w:w w:val="105"/>
        </w:rPr>
        <w:t>The Supreme Court partly agreed. On the one hand, the SIA could not </w:t>
      </w:r>
      <w:r>
        <w:rPr>
          <w:w w:val="105"/>
        </w:rPr>
        <w:t>be</w:t>
      </w:r>
      <w:r>
        <w:rPr>
          <w:spacing w:val="40"/>
          <w:w w:val="105"/>
        </w:rPr>
        <w:t> </w:t>
      </w:r>
      <w:r>
        <w:rPr>
          <w:w w:val="105"/>
        </w:rPr>
        <w:t>interpreted</w:t>
      </w:r>
      <w:r>
        <w:rPr>
          <w:spacing w:val="40"/>
          <w:w w:val="105"/>
        </w:rPr>
        <w:t> </w:t>
      </w:r>
      <w:r>
        <w:rPr>
          <w:w w:val="105"/>
        </w:rPr>
        <w:t>in</w:t>
      </w:r>
      <w:r>
        <w:rPr>
          <w:spacing w:val="40"/>
          <w:w w:val="105"/>
        </w:rPr>
        <w:t> </w:t>
      </w:r>
      <w:r>
        <w:rPr>
          <w:w w:val="105"/>
        </w:rPr>
        <w:t>conformity</w:t>
      </w:r>
      <w:r>
        <w:rPr>
          <w:spacing w:val="40"/>
          <w:w w:val="105"/>
        </w:rPr>
        <w:t> </w:t>
      </w:r>
      <w:r>
        <w:rPr>
          <w:w w:val="105"/>
        </w:rPr>
        <w:t>with </w:t>
      </w:r>
      <w:r>
        <w:rPr>
          <w:rFonts w:ascii="Lucida Sans Unicode"/>
        </w:rPr>
        <w:t>human rights under section 3(1) </w:t>
      </w:r>
      <w:r>
        <w:rPr>
          <w:rFonts w:ascii="Lucida Sans Unicode"/>
        </w:rPr>
        <w:t>HRA, </w:t>
      </w:r>
      <w:r>
        <w:rPr>
          <w:w w:val="105"/>
        </w:rPr>
        <w:t>and as such no remedy was available under</w:t>
      </w:r>
      <w:r>
        <w:rPr>
          <w:spacing w:val="40"/>
          <w:w w:val="105"/>
        </w:rPr>
        <w:t> </w:t>
      </w:r>
      <w:r>
        <w:rPr>
          <w:w w:val="105"/>
        </w:rPr>
        <w:t>the</w:t>
      </w:r>
      <w:r>
        <w:rPr>
          <w:spacing w:val="40"/>
          <w:w w:val="105"/>
        </w:rPr>
        <w:t> </w:t>
      </w:r>
      <w:r>
        <w:rPr>
          <w:w w:val="105"/>
        </w:rPr>
        <w:t>HRA</w:t>
      </w:r>
      <w:r>
        <w:rPr>
          <w:spacing w:val="40"/>
          <w:w w:val="105"/>
        </w:rPr>
        <w:t> </w:t>
      </w:r>
      <w:r>
        <w:rPr>
          <w:w w:val="105"/>
        </w:rPr>
        <w:t>other</w:t>
      </w:r>
      <w:r>
        <w:rPr>
          <w:spacing w:val="40"/>
          <w:w w:val="105"/>
        </w:rPr>
        <w:t> </w:t>
      </w:r>
      <w:r>
        <w:rPr>
          <w:w w:val="105"/>
        </w:rPr>
        <w:t>than</w:t>
      </w:r>
      <w:r>
        <w:rPr>
          <w:spacing w:val="40"/>
          <w:w w:val="105"/>
        </w:rPr>
        <w:t> </w:t>
      </w:r>
      <w:r>
        <w:rPr>
          <w:w w:val="105"/>
        </w:rPr>
        <w:t>a</w:t>
      </w:r>
      <w:r>
        <w:rPr>
          <w:spacing w:val="40"/>
          <w:w w:val="105"/>
        </w:rPr>
        <w:t> </w:t>
      </w:r>
      <w:r>
        <w:rPr>
          <w:w w:val="105"/>
        </w:rPr>
        <w:t>section</w:t>
      </w:r>
      <w:r>
        <w:rPr>
          <w:spacing w:val="80"/>
          <w:w w:val="150"/>
        </w:rPr>
        <w:t> </w:t>
      </w:r>
      <w:r>
        <w:rPr>
          <w:rFonts w:ascii="Lucida Sans Unicode"/>
          <w:w w:val="105"/>
        </w:rPr>
        <w:t>4 declaration of incompatibility. On the other hand, the Supreme Court </w:t>
      </w:r>
      <w:r>
        <w:rPr>
          <w:w w:val="105"/>
        </w:rPr>
        <w:t>found</w:t>
      </w:r>
      <w:r>
        <w:rPr>
          <w:spacing w:val="40"/>
          <w:w w:val="105"/>
        </w:rPr>
        <w:t> </w:t>
      </w:r>
      <w:r>
        <w:rPr>
          <w:w w:val="105"/>
        </w:rPr>
        <w:t>that,</w:t>
      </w:r>
      <w:r>
        <w:rPr>
          <w:spacing w:val="40"/>
          <w:w w:val="105"/>
        </w:rPr>
        <w:t> </w:t>
      </w:r>
      <w:r>
        <w:rPr>
          <w:w w:val="105"/>
        </w:rPr>
        <w:t>since</w:t>
      </w:r>
      <w:r>
        <w:rPr>
          <w:spacing w:val="40"/>
          <w:w w:val="105"/>
        </w:rPr>
        <w:t> </w:t>
      </w:r>
      <w:r>
        <w:rPr>
          <w:w w:val="105"/>
        </w:rPr>
        <w:t>aspects</w:t>
      </w:r>
      <w:r>
        <w:rPr>
          <w:spacing w:val="40"/>
          <w:w w:val="105"/>
        </w:rPr>
        <w:t> </w:t>
      </w:r>
      <w:r>
        <w:rPr>
          <w:w w:val="105"/>
        </w:rPr>
        <w:t>of</w:t>
      </w:r>
      <w:r>
        <w:rPr>
          <w:spacing w:val="40"/>
          <w:w w:val="105"/>
        </w:rPr>
        <w:t> </w:t>
      </w:r>
      <w:r>
        <w:rPr>
          <w:w w:val="105"/>
        </w:rPr>
        <w:t>the</w:t>
      </w:r>
      <w:r>
        <w:rPr>
          <w:spacing w:val="40"/>
          <w:w w:val="105"/>
        </w:rPr>
        <w:t> </w:t>
      </w:r>
      <w:r>
        <w:rPr>
          <w:w w:val="105"/>
        </w:rPr>
        <w:t>case</w:t>
      </w:r>
    </w:p>
    <w:p>
      <w:pPr>
        <w:pStyle w:val="BodyText"/>
        <w:spacing w:line="310" w:lineRule="exact"/>
        <w:ind w:right="97"/>
      </w:pPr>
      <w:r>
        <w:rPr>
          <w:w w:val="110"/>
        </w:rPr>
        <w:t>engaged</w:t>
      </w:r>
      <w:r>
        <w:rPr>
          <w:spacing w:val="-1"/>
          <w:w w:val="110"/>
        </w:rPr>
        <w:t> </w:t>
      </w:r>
      <w:r>
        <w:rPr>
          <w:w w:val="110"/>
        </w:rPr>
        <w:t>the</w:t>
      </w:r>
      <w:r>
        <w:rPr>
          <w:spacing w:val="-1"/>
          <w:w w:val="110"/>
        </w:rPr>
        <w:t> </w:t>
      </w:r>
      <w:r>
        <w:rPr>
          <w:w w:val="110"/>
        </w:rPr>
        <w:t>scope</w:t>
      </w:r>
      <w:r>
        <w:rPr>
          <w:spacing w:val="-1"/>
          <w:w w:val="110"/>
        </w:rPr>
        <w:t> </w:t>
      </w:r>
      <w:r>
        <w:rPr>
          <w:w w:val="110"/>
        </w:rPr>
        <w:t>of</w:t>
      </w:r>
      <w:r>
        <w:rPr>
          <w:spacing w:val="-1"/>
          <w:w w:val="110"/>
        </w:rPr>
        <w:t> </w:t>
      </w:r>
      <w:r>
        <w:rPr>
          <w:w w:val="110"/>
        </w:rPr>
        <w:t>EU</w:t>
      </w:r>
      <w:r>
        <w:rPr>
          <w:spacing w:val="-1"/>
          <w:w w:val="110"/>
        </w:rPr>
        <w:t> </w:t>
      </w:r>
      <w:r>
        <w:rPr>
          <w:w w:val="110"/>
        </w:rPr>
        <w:t>law</w:t>
      </w:r>
      <w:r>
        <w:rPr>
          <w:spacing w:val="-1"/>
          <w:w w:val="110"/>
        </w:rPr>
        <w:t> </w:t>
      </w:r>
      <w:r>
        <w:rPr>
          <w:w w:val="110"/>
        </w:rPr>
        <w:t>because they concerned violations of the Working Time Regulations (secondary legislation implementing the Working Time Directive), the effect of Article</w:t>
      </w:r>
      <w:r>
        <w:rPr>
          <w:spacing w:val="80"/>
          <w:w w:val="150"/>
        </w:rPr>
        <w:t> </w:t>
      </w:r>
      <w:r>
        <w:rPr>
          <w:rFonts w:ascii="Lucida Sans Unicode"/>
          <w:w w:val="110"/>
        </w:rPr>
        <w:t>47</w:t>
      </w:r>
      <w:r>
        <w:rPr>
          <w:rFonts w:ascii="Lucida Sans Unicode"/>
          <w:spacing w:val="-20"/>
          <w:w w:val="110"/>
        </w:rPr>
        <w:t> </w:t>
      </w:r>
      <w:r>
        <w:rPr>
          <w:rFonts w:ascii="Lucida Sans Unicode"/>
          <w:w w:val="110"/>
        </w:rPr>
        <w:t>CFR</w:t>
      </w:r>
      <w:r>
        <w:rPr>
          <w:rFonts w:ascii="Lucida Sans Unicode"/>
          <w:spacing w:val="-20"/>
          <w:w w:val="110"/>
        </w:rPr>
        <w:t> </w:t>
      </w:r>
      <w:r>
        <w:rPr>
          <w:rFonts w:ascii="Lucida Sans Unicode"/>
          <w:w w:val="110"/>
        </w:rPr>
        <w:t>had</w:t>
      </w:r>
      <w:r>
        <w:rPr>
          <w:rFonts w:ascii="Lucida Sans Unicode"/>
          <w:spacing w:val="-20"/>
          <w:w w:val="110"/>
        </w:rPr>
        <w:t> </w:t>
      </w:r>
      <w:r>
        <w:rPr>
          <w:rFonts w:ascii="Lucida Sans Unicode"/>
          <w:w w:val="110"/>
        </w:rPr>
        <w:t>to</w:t>
      </w:r>
      <w:r>
        <w:rPr>
          <w:rFonts w:ascii="Lucida Sans Unicode"/>
          <w:spacing w:val="-20"/>
          <w:w w:val="110"/>
        </w:rPr>
        <w:t> </w:t>
      </w:r>
      <w:r>
        <w:rPr>
          <w:rFonts w:ascii="Lucida Sans Unicode"/>
          <w:w w:val="110"/>
        </w:rPr>
        <w:t>be</w:t>
      </w:r>
      <w:r>
        <w:rPr>
          <w:rFonts w:ascii="Lucida Sans Unicode"/>
          <w:spacing w:val="-20"/>
          <w:w w:val="110"/>
        </w:rPr>
        <w:t> </w:t>
      </w:r>
      <w:r>
        <w:rPr>
          <w:rFonts w:ascii="Lucida Sans Unicode"/>
          <w:w w:val="110"/>
        </w:rPr>
        <w:t>considered.</w:t>
      </w:r>
      <w:r>
        <w:rPr>
          <w:rFonts w:ascii="Lucida Sans Unicode"/>
          <w:spacing w:val="-20"/>
          <w:w w:val="110"/>
        </w:rPr>
        <w:t> </w:t>
      </w:r>
      <w:r>
        <w:rPr>
          <w:rFonts w:ascii="Lucida Sans Unicode"/>
          <w:w w:val="110"/>
        </w:rPr>
        <w:t>Even </w:t>
      </w:r>
      <w:r>
        <w:rPr>
          <w:w w:val="110"/>
        </w:rPr>
        <w:t>though the material scope of Articles </w:t>
      </w:r>
      <w:r>
        <w:rPr>
          <w:rFonts w:ascii="Lucida Sans Unicode"/>
          <w:w w:val="110"/>
        </w:rPr>
        <w:t>47</w:t>
      </w:r>
      <w:r>
        <w:rPr>
          <w:rFonts w:ascii="Lucida Sans Unicode"/>
          <w:spacing w:val="-10"/>
          <w:w w:val="110"/>
        </w:rPr>
        <w:t> </w:t>
      </w:r>
      <w:r>
        <w:rPr>
          <w:rFonts w:ascii="Lucida Sans Unicode"/>
          <w:w w:val="110"/>
        </w:rPr>
        <w:t>CFR</w:t>
      </w:r>
      <w:r>
        <w:rPr>
          <w:rFonts w:ascii="Lucida Sans Unicode"/>
          <w:spacing w:val="-10"/>
          <w:w w:val="110"/>
        </w:rPr>
        <w:t> </w:t>
      </w:r>
      <w:r>
        <w:rPr>
          <w:rFonts w:ascii="Lucida Sans Unicode"/>
          <w:w w:val="110"/>
        </w:rPr>
        <w:t>and</w:t>
      </w:r>
      <w:r>
        <w:rPr>
          <w:rFonts w:ascii="Lucida Sans Unicode"/>
          <w:spacing w:val="-10"/>
          <w:w w:val="110"/>
        </w:rPr>
        <w:t> </w:t>
      </w:r>
      <w:r>
        <w:rPr>
          <w:rFonts w:ascii="Lucida Sans Unicode"/>
          <w:w w:val="110"/>
        </w:rPr>
        <w:t>Article</w:t>
      </w:r>
      <w:r>
        <w:rPr>
          <w:rFonts w:ascii="Lucida Sans Unicode"/>
          <w:spacing w:val="-10"/>
          <w:w w:val="110"/>
        </w:rPr>
        <w:t> </w:t>
      </w:r>
      <w:r>
        <w:rPr>
          <w:rFonts w:ascii="Lucida Sans Unicode"/>
          <w:w w:val="110"/>
        </w:rPr>
        <w:t>6</w:t>
      </w:r>
      <w:r>
        <w:rPr>
          <w:rFonts w:ascii="Lucida Sans Unicode"/>
          <w:spacing w:val="-10"/>
          <w:w w:val="110"/>
        </w:rPr>
        <w:t> </w:t>
      </w:r>
      <w:r>
        <w:rPr>
          <w:rFonts w:ascii="Lucida Sans Unicode"/>
          <w:w w:val="110"/>
        </w:rPr>
        <w:t>ECHR</w:t>
      </w:r>
      <w:r>
        <w:rPr>
          <w:rFonts w:ascii="Lucida Sans Unicode"/>
          <w:spacing w:val="-10"/>
          <w:w w:val="110"/>
        </w:rPr>
        <w:t> </w:t>
      </w:r>
      <w:r>
        <w:rPr>
          <w:rFonts w:ascii="Lucida Sans Unicode"/>
          <w:w w:val="110"/>
        </w:rPr>
        <w:t>did</w:t>
      </w:r>
      <w:r>
        <w:rPr>
          <w:rFonts w:ascii="Lucida Sans Unicode"/>
          <w:spacing w:val="-10"/>
          <w:w w:val="110"/>
        </w:rPr>
        <w:t> </w:t>
      </w:r>
      <w:r>
        <w:rPr>
          <w:rFonts w:ascii="Lucida Sans Unicode"/>
          <w:w w:val="110"/>
        </w:rPr>
        <w:t>not </w:t>
      </w:r>
      <w:r>
        <w:rPr>
          <w:rFonts w:ascii="Lucida Sans Unicode"/>
        </w:rPr>
        <w:t>differ in this instance, Article 47 </w:t>
      </w:r>
      <w:r>
        <w:rPr>
          <w:w w:val="110"/>
        </w:rPr>
        <w:t>enjoyed horizontal direct effect,</w:t>
      </w:r>
    </w:p>
    <w:p>
      <w:pPr>
        <w:pStyle w:val="BodyText"/>
        <w:spacing w:line="310" w:lineRule="exact"/>
        <w:ind w:right="58"/>
        <w:rPr>
          <w:rFonts w:ascii="Lucida Sans Unicode"/>
        </w:rPr>
      </w:pPr>
      <w:r>
        <w:rPr>
          <w:w w:val="110"/>
        </w:rPr>
        <w:t>and it was therefore possible for the applicants</w:t>
      </w:r>
      <w:r>
        <w:rPr>
          <w:spacing w:val="40"/>
          <w:w w:val="110"/>
        </w:rPr>
        <w:t> </w:t>
      </w:r>
      <w:r>
        <w:rPr>
          <w:w w:val="110"/>
        </w:rPr>
        <w:t>to</w:t>
      </w:r>
      <w:r>
        <w:rPr>
          <w:spacing w:val="40"/>
          <w:w w:val="110"/>
        </w:rPr>
        <w:t> </w:t>
      </w:r>
      <w:r>
        <w:rPr>
          <w:w w:val="110"/>
        </w:rPr>
        <w:t>enjoy</w:t>
      </w:r>
      <w:r>
        <w:rPr>
          <w:spacing w:val="40"/>
          <w:w w:val="110"/>
        </w:rPr>
        <w:t> </w:t>
      </w:r>
      <w:r>
        <w:rPr>
          <w:w w:val="110"/>
        </w:rPr>
        <w:t>its</w:t>
      </w:r>
      <w:r>
        <w:rPr>
          <w:spacing w:val="40"/>
          <w:w w:val="110"/>
        </w:rPr>
        <w:t> </w:t>
      </w:r>
      <w:r>
        <w:rPr>
          <w:w w:val="110"/>
        </w:rPr>
        <w:t>full</w:t>
      </w:r>
      <w:r>
        <w:rPr>
          <w:spacing w:val="40"/>
          <w:w w:val="110"/>
        </w:rPr>
        <w:t> </w:t>
      </w:r>
      <w:r>
        <w:rPr>
          <w:w w:val="110"/>
        </w:rPr>
        <w:t>protection in this dispute, including through disapplication of incompatible </w:t>
      </w:r>
      <w:r>
        <w:rPr>
          <w:rFonts w:ascii="Lucida Sans Unicode"/>
        </w:rPr>
        <w:t>legislation. As Lord Sumption put it, </w:t>
      </w:r>
      <w:r>
        <w:rPr>
          <w:rFonts w:ascii="Lucida Sans Unicode"/>
        </w:rPr>
        <w:t>at </w:t>
      </w:r>
      <w:r>
        <w:rPr>
          <w:rFonts w:ascii="Lucida Sans Unicode"/>
          <w:w w:val="110"/>
        </w:rPr>
        <w:t>para 78:</w:t>
      </w:r>
    </w:p>
    <w:p>
      <w:pPr>
        <w:pStyle w:val="BodyText"/>
        <w:spacing w:line="310" w:lineRule="exact" w:before="300"/>
        <w:ind w:left="680" w:right="39"/>
      </w:pPr>
      <w:r>
        <w:rPr>
          <w:rFonts w:ascii="Lucida Sans Unicode"/>
          <w:color w:val="77328A"/>
          <w:w w:val="110"/>
        </w:rPr>
        <w:t>a</w:t>
      </w:r>
      <w:r>
        <w:rPr>
          <w:rFonts w:ascii="Lucida Sans Unicode"/>
          <w:color w:val="77328A"/>
          <w:spacing w:val="-9"/>
          <w:w w:val="110"/>
        </w:rPr>
        <w:t> </w:t>
      </w:r>
      <w:r>
        <w:rPr>
          <w:rFonts w:ascii="Lucida Sans Unicode"/>
          <w:color w:val="77328A"/>
          <w:w w:val="110"/>
        </w:rPr>
        <w:t>conflict</w:t>
      </w:r>
      <w:r>
        <w:rPr>
          <w:rFonts w:ascii="Lucida Sans Unicode"/>
          <w:color w:val="77328A"/>
          <w:spacing w:val="-9"/>
          <w:w w:val="110"/>
        </w:rPr>
        <w:t> </w:t>
      </w:r>
      <w:r>
        <w:rPr>
          <w:rFonts w:ascii="Lucida Sans Unicode"/>
          <w:color w:val="77328A"/>
          <w:w w:val="110"/>
        </w:rPr>
        <w:t>between</w:t>
      </w:r>
      <w:r>
        <w:rPr>
          <w:rFonts w:ascii="Lucida Sans Unicode"/>
          <w:color w:val="77328A"/>
          <w:spacing w:val="-9"/>
          <w:w w:val="110"/>
        </w:rPr>
        <w:t> </w:t>
      </w:r>
      <w:r>
        <w:rPr>
          <w:rFonts w:ascii="Lucida Sans Unicode"/>
          <w:color w:val="77328A"/>
          <w:w w:val="110"/>
        </w:rPr>
        <w:t>EU</w:t>
      </w:r>
      <w:r>
        <w:rPr>
          <w:rFonts w:ascii="Lucida Sans Unicode"/>
          <w:color w:val="77328A"/>
          <w:spacing w:val="-9"/>
          <w:w w:val="110"/>
        </w:rPr>
        <w:t> </w:t>
      </w:r>
      <w:r>
        <w:rPr>
          <w:rFonts w:ascii="Lucida Sans Unicode"/>
          <w:color w:val="77328A"/>
          <w:w w:val="110"/>
        </w:rPr>
        <w:t>law</w:t>
      </w:r>
      <w:r>
        <w:rPr>
          <w:rFonts w:ascii="Lucida Sans Unicode"/>
          <w:color w:val="77328A"/>
          <w:spacing w:val="-9"/>
          <w:w w:val="110"/>
        </w:rPr>
        <w:t> </w:t>
      </w:r>
      <w:r>
        <w:rPr>
          <w:rFonts w:ascii="Lucida Sans Unicode"/>
          <w:color w:val="77328A"/>
          <w:w w:val="110"/>
        </w:rPr>
        <w:t>and </w:t>
      </w:r>
      <w:r>
        <w:rPr>
          <w:color w:val="77328A"/>
          <w:w w:val="115"/>
        </w:rPr>
        <w:t>English domestic law must be resolved in favour of the former, and</w:t>
      </w:r>
      <w:r>
        <w:rPr>
          <w:color w:val="77328A"/>
          <w:spacing w:val="-20"/>
          <w:w w:val="115"/>
        </w:rPr>
        <w:t> </w:t>
      </w:r>
      <w:r>
        <w:rPr>
          <w:color w:val="77328A"/>
          <w:w w:val="115"/>
        </w:rPr>
        <w:t>the</w:t>
      </w:r>
      <w:r>
        <w:rPr>
          <w:color w:val="77328A"/>
          <w:spacing w:val="-19"/>
          <w:w w:val="115"/>
        </w:rPr>
        <w:t> </w:t>
      </w:r>
      <w:r>
        <w:rPr>
          <w:color w:val="77328A"/>
          <w:w w:val="115"/>
        </w:rPr>
        <w:t>latter</w:t>
      </w:r>
      <w:r>
        <w:rPr>
          <w:color w:val="77328A"/>
          <w:spacing w:val="-19"/>
          <w:w w:val="115"/>
        </w:rPr>
        <w:t> </w:t>
      </w:r>
      <w:r>
        <w:rPr>
          <w:color w:val="77328A"/>
          <w:w w:val="115"/>
        </w:rPr>
        <w:t>must</w:t>
      </w:r>
      <w:r>
        <w:rPr>
          <w:color w:val="77328A"/>
          <w:spacing w:val="-19"/>
          <w:w w:val="115"/>
        </w:rPr>
        <w:t> </w:t>
      </w:r>
      <w:r>
        <w:rPr>
          <w:color w:val="77328A"/>
          <w:w w:val="115"/>
        </w:rPr>
        <w:t>be</w:t>
      </w:r>
      <w:r>
        <w:rPr>
          <w:color w:val="77328A"/>
          <w:spacing w:val="-19"/>
          <w:w w:val="115"/>
        </w:rPr>
        <w:t> </w:t>
      </w:r>
      <w:r>
        <w:rPr>
          <w:color w:val="77328A"/>
          <w:w w:val="115"/>
        </w:rPr>
        <w:t>disapplied; whereas the remedy in the case of inconsistency with article 6 of the Human Rights Convention is a declaration of incompatibility.</w:t>
      </w:r>
    </w:p>
    <w:p>
      <w:pPr>
        <w:pStyle w:val="BodyText"/>
        <w:spacing w:before="35"/>
        <w:ind w:left="0"/>
      </w:pPr>
    </w:p>
    <w:p>
      <w:pPr>
        <w:pStyle w:val="BodyText"/>
        <w:spacing w:line="216" w:lineRule="auto"/>
        <w:ind w:right="39"/>
        <w:rPr>
          <w:rFonts w:ascii="Lucida Sans Unicode"/>
        </w:rPr>
      </w:pPr>
      <w:r>
        <w:rPr>
          <w:rFonts w:ascii="Lucida Sans Unicode"/>
        </w:rPr>
        <w:t>Since the extensive immunity imposed </w:t>
      </w:r>
      <w:r>
        <w:rPr>
          <w:rFonts w:ascii="Lucida Sans Unicode"/>
          <w:w w:val="105"/>
        </w:rPr>
        <w:t>by the SIA resulted in the absence of </w:t>
      </w:r>
      <w:r>
        <w:rPr>
          <w:w w:val="105"/>
        </w:rPr>
        <w:t>an</w:t>
      </w:r>
      <w:r>
        <w:rPr>
          <w:spacing w:val="40"/>
          <w:w w:val="105"/>
        </w:rPr>
        <w:t> </w:t>
      </w:r>
      <w:r>
        <w:rPr>
          <w:w w:val="105"/>
        </w:rPr>
        <w:t>effective</w:t>
      </w:r>
      <w:r>
        <w:rPr>
          <w:spacing w:val="40"/>
          <w:w w:val="105"/>
        </w:rPr>
        <w:t> </w:t>
      </w:r>
      <w:r>
        <w:rPr>
          <w:w w:val="105"/>
        </w:rPr>
        <w:t>remedy</w:t>
      </w:r>
      <w:r>
        <w:rPr>
          <w:spacing w:val="40"/>
          <w:w w:val="105"/>
        </w:rPr>
        <w:t> </w:t>
      </w:r>
      <w:r>
        <w:rPr>
          <w:w w:val="105"/>
        </w:rPr>
        <w:t>for</w:t>
      </w:r>
      <w:r>
        <w:rPr>
          <w:spacing w:val="40"/>
          <w:w w:val="105"/>
        </w:rPr>
        <w:t> </w:t>
      </w:r>
      <w:r>
        <w:rPr>
          <w:w w:val="105"/>
        </w:rPr>
        <w:t>the</w:t>
      </w:r>
      <w:r>
        <w:rPr>
          <w:spacing w:val="40"/>
          <w:w w:val="105"/>
        </w:rPr>
        <w:t> </w:t>
      </w:r>
      <w:r>
        <w:rPr>
          <w:w w:val="105"/>
        </w:rPr>
        <w:t>applicants, </w:t>
      </w:r>
      <w:r>
        <w:rPr>
          <w:rFonts w:ascii="Lucida Sans Unicode"/>
          <w:w w:val="105"/>
        </w:rPr>
        <w:t>it was contrary to Article 47, and the relevant provisions of the SIA had</w:t>
      </w:r>
    </w:p>
    <w:p>
      <w:pPr>
        <w:pStyle w:val="BodyText"/>
        <w:spacing w:line="268" w:lineRule="auto"/>
        <w:ind w:right="157"/>
      </w:pPr>
      <w:r>
        <w:rPr>
          <w:spacing w:val="-2"/>
          <w:w w:val="115"/>
        </w:rPr>
        <w:t>to</w:t>
      </w:r>
      <w:r>
        <w:rPr>
          <w:spacing w:val="-17"/>
          <w:w w:val="115"/>
        </w:rPr>
        <w:t> </w:t>
      </w:r>
      <w:r>
        <w:rPr>
          <w:spacing w:val="-2"/>
          <w:w w:val="115"/>
        </w:rPr>
        <w:t>be</w:t>
      </w:r>
      <w:r>
        <w:rPr>
          <w:spacing w:val="-17"/>
          <w:w w:val="115"/>
        </w:rPr>
        <w:t> </w:t>
      </w:r>
      <w:r>
        <w:rPr>
          <w:spacing w:val="-2"/>
          <w:w w:val="115"/>
        </w:rPr>
        <w:t>disapplied.</w:t>
      </w:r>
      <w:r>
        <w:rPr>
          <w:spacing w:val="-17"/>
          <w:w w:val="115"/>
        </w:rPr>
        <w:t> </w:t>
      </w:r>
      <w:r>
        <w:rPr>
          <w:spacing w:val="-2"/>
          <w:w w:val="115"/>
        </w:rPr>
        <w:t>This</w:t>
      </w:r>
      <w:r>
        <w:rPr>
          <w:spacing w:val="-17"/>
          <w:w w:val="115"/>
        </w:rPr>
        <w:t> </w:t>
      </w:r>
      <w:r>
        <w:rPr>
          <w:spacing w:val="-2"/>
          <w:w w:val="115"/>
        </w:rPr>
        <w:t>meant,</w:t>
      </w:r>
      <w:r>
        <w:rPr>
          <w:spacing w:val="-17"/>
          <w:w w:val="115"/>
        </w:rPr>
        <w:t> </w:t>
      </w:r>
      <w:r>
        <w:rPr>
          <w:spacing w:val="-2"/>
          <w:w w:val="115"/>
        </w:rPr>
        <w:t>in</w:t>
      </w:r>
      <w:r>
        <w:rPr>
          <w:spacing w:val="-17"/>
          <w:w w:val="115"/>
        </w:rPr>
        <w:t> </w:t>
      </w:r>
      <w:r>
        <w:rPr>
          <w:spacing w:val="-2"/>
          <w:w w:val="115"/>
        </w:rPr>
        <w:t>turn, </w:t>
      </w:r>
      <w:r>
        <w:rPr>
          <w:w w:val="115"/>
        </w:rPr>
        <w:t>that the provisions of secondary</w:t>
      </w:r>
    </w:p>
    <w:p>
      <w:pPr>
        <w:pStyle w:val="BodyText"/>
        <w:spacing w:line="268" w:lineRule="auto" w:before="72"/>
        <w:ind w:right="170"/>
      </w:pPr>
      <w:r>
        <w:rPr/>
        <w:br w:type="column"/>
      </w:r>
      <w:r>
        <w:rPr>
          <w:w w:val="115"/>
        </w:rPr>
        <w:t>legislation that had been excluded because of the employers’ immunity became</w:t>
      </w:r>
      <w:r>
        <w:rPr>
          <w:spacing w:val="-20"/>
          <w:w w:val="115"/>
        </w:rPr>
        <w:t> </w:t>
      </w:r>
      <w:r>
        <w:rPr>
          <w:w w:val="115"/>
        </w:rPr>
        <w:t>applicable,</w:t>
      </w:r>
      <w:r>
        <w:rPr>
          <w:spacing w:val="-19"/>
          <w:w w:val="115"/>
        </w:rPr>
        <w:t> </w:t>
      </w:r>
      <w:r>
        <w:rPr>
          <w:w w:val="115"/>
        </w:rPr>
        <w:t>thus</w:t>
      </w:r>
      <w:r>
        <w:rPr>
          <w:spacing w:val="-19"/>
          <w:w w:val="115"/>
        </w:rPr>
        <w:t> </w:t>
      </w:r>
      <w:r>
        <w:rPr>
          <w:w w:val="115"/>
        </w:rPr>
        <w:t>allowing</w:t>
      </w:r>
      <w:r>
        <w:rPr>
          <w:spacing w:val="-19"/>
          <w:w w:val="115"/>
        </w:rPr>
        <w:t> </w:t>
      </w:r>
      <w:r>
        <w:rPr>
          <w:w w:val="115"/>
        </w:rPr>
        <w:t>the claimants</w:t>
      </w:r>
      <w:r>
        <w:rPr>
          <w:spacing w:val="-12"/>
          <w:w w:val="115"/>
        </w:rPr>
        <w:t> </w:t>
      </w:r>
      <w:r>
        <w:rPr>
          <w:w w:val="115"/>
        </w:rPr>
        <w:t>to</w:t>
      </w:r>
      <w:r>
        <w:rPr>
          <w:spacing w:val="-12"/>
          <w:w w:val="115"/>
        </w:rPr>
        <w:t> </w:t>
      </w:r>
      <w:r>
        <w:rPr>
          <w:w w:val="115"/>
        </w:rPr>
        <w:t>enjoy</w:t>
      </w:r>
      <w:r>
        <w:rPr>
          <w:spacing w:val="-12"/>
          <w:w w:val="115"/>
        </w:rPr>
        <w:t> </w:t>
      </w:r>
      <w:r>
        <w:rPr>
          <w:w w:val="115"/>
        </w:rPr>
        <w:t>compensation</w:t>
      </w:r>
      <w:r>
        <w:rPr>
          <w:spacing w:val="-12"/>
          <w:w w:val="115"/>
        </w:rPr>
        <w:t> </w:t>
      </w:r>
      <w:r>
        <w:rPr>
          <w:w w:val="115"/>
        </w:rPr>
        <w:t>(as provided</w:t>
      </w:r>
      <w:r>
        <w:rPr>
          <w:spacing w:val="-19"/>
          <w:w w:val="115"/>
        </w:rPr>
        <w:t> </w:t>
      </w:r>
      <w:r>
        <w:rPr>
          <w:w w:val="115"/>
        </w:rPr>
        <w:t>in</w:t>
      </w:r>
      <w:r>
        <w:rPr>
          <w:spacing w:val="-19"/>
          <w:w w:val="115"/>
        </w:rPr>
        <w:t> </w:t>
      </w:r>
      <w:r>
        <w:rPr>
          <w:w w:val="115"/>
        </w:rPr>
        <w:t>secondary</w:t>
      </w:r>
      <w:r>
        <w:rPr>
          <w:spacing w:val="-19"/>
          <w:w w:val="115"/>
        </w:rPr>
        <w:t> </w:t>
      </w:r>
      <w:r>
        <w:rPr>
          <w:w w:val="115"/>
        </w:rPr>
        <w:t>legislation)</w:t>
      </w:r>
      <w:r>
        <w:rPr>
          <w:spacing w:val="-19"/>
          <w:w w:val="115"/>
        </w:rPr>
        <w:t> </w:t>
      </w:r>
      <w:r>
        <w:rPr>
          <w:w w:val="115"/>
        </w:rPr>
        <w:t>for the</w:t>
      </w:r>
      <w:r>
        <w:rPr>
          <w:spacing w:val="-8"/>
          <w:w w:val="115"/>
        </w:rPr>
        <w:t> </w:t>
      </w:r>
      <w:r>
        <w:rPr>
          <w:w w:val="115"/>
        </w:rPr>
        <w:t>elements</w:t>
      </w:r>
      <w:r>
        <w:rPr>
          <w:spacing w:val="-8"/>
          <w:w w:val="115"/>
        </w:rPr>
        <w:t> </w:t>
      </w:r>
      <w:r>
        <w:rPr>
          <w:w w:val="115"/>
        </w:rPr>
        <w:t>of</w:t>
      </w:r>
      <w:r>
        <w:rPr>
          <w:spacing w:val="-8"/>
          <w:w w:val="115"/>
        </w:rPr>
        <w:t> </w:t>
      </w:r>
      <w:r>
        <w:rPr>
          <w:w w:val="115"/>
        </w:rPr>
        <w:t>the</w:t>
      </w:r>
      <w:r>
        <w:rPr>
          <w:spacing w:val="-8"/>
          <w:w w:val="115"/>
        </w:rPr>
        <w:t> </w:t>
      </w:r>
      <w:r>
        <w:rPr>
          <w:w w:val="115"/>
        </w:rPr>
        <w:t>case</w:t>
      </w:r>
      <w:r>
        <w:rPr>
          <w:spacing w:val="-8"/>
          <w:w w:val="115"/>
        </w:rPr>
        <w:t> </w:t>
      </w:r>
      <w:r>
        <w:rPr>
          <w:w w:val="115"/>
        </w:rPr>
        <w:t>that</w:t>
      </w:r>
      <w:r>
        <w:rPr>
          <w:spacing w:val="-8"/>
          <w:w w:val="115"/>
        </w:rPr>
        <w:t> </w:t>
      </w:r>
      <w:r>
        <w:rPr>
          <w:w w:val="115"/>
        </w:rPr>
        <w:t>related to the application of EU law.</w:t>
      </w:r>
    </w:p>
    <w:p>
      <w:pPr>
        <w:pStyle w:val="BodyText"/>
        <w:spacing w:before="7"/>
        <w:ind w:left="0"/>
      </w:pPr>
    </w:p>
    <w:p>
      <w:pPr>
        <w:pStyle w:val="BodyText"/>
        <w:spacing w:line="310" w:lineRule="exact" w:before="1"/>
        <w:ind w:right="520"/>
      </w:pPr>
      <w:r>
        <w:rPr>
          <w:w w:val="115"/>
        </w:rPr>
        <w:t>It is important to note that the case</w:t>
      </w:r>
      <w:r>
        <w:rPr>
          <w:spacing w:val="-20"/>
          <w:w w:val="115"/>
        </w:rPr>
        <w:t> </w:t>
      </w:r>
      <w:r>
        <w:rPr>
          <w:w w:val="115"/>
        </w:rPr>
        <w:t>was</w:t>
      </w:r>
      <w:r>
        <w:rPr>
          <w:spacing w:val="-19"/>
          <w:w w:val="115"/>
        </w:rPr>
        <w:t> </w:t>
      </w:r>
      <w:r>
        <w:rPr>
          <w:w w:val="115"/>
        </w:rPr>
        <w:t>not,</w:t>
      </w:r>
      <w:r>
        <w:rPr>
          <w:spacing w:val="-19"/>
          <w:w w:val="115"/>
        </w:rPr>
        <w:t> </w:t>
      </w:r>
      <w:r>
        <w:rPr>
          <w:w w:val="115"/>
        </w:rPr>
        <w:t>from</w:t>
      </w:r>
      <w:r>
        <w:rPr>
          <w:spacing w:val="-19"/>
          <w:w w:val="115"/>
        </w:rPr>
        <w:t> </w:t>
      </w:r>
      <w:r>
        <w:rPr>
          <w:w w:val="115"/>
        </w:rPr>
        <w:t>the</w:t>
      </w:r>
      <w:r>
        <w:rPr>
          <w:spacing w:val="-19"/>
          <w:w w:val="115"/>
        </w:rPr>
        <w:t> </w:t>
      </w:r>
      <w:r>
        <w:rPr>
          <w:w w:val="115"/>
        </w:rPr>
        <w:t>perspective of EU or international law, wide- ranging</w:t>
      </w:r>
      <w:r>
        <w:rPr>
          <w:spacing w:val="-11"/>
          <w:w w:val="115"/>
        </w:rPr>
        <w:t> </w:t>
      </w:r>
      <w:r>
        <w:rPr>
          <w:w w:val="115"/>
        </w:rPr>
        <w:t>or</w:t>
      </w:r>
      <w:r>
        <w:rPr>
          <w:spacing w:val="-11"/>
          <w:w w:val="115"/>
        </w:rPr>
        <w:t> </w:t>
      </w:r>
      <w:r>
        <w:rPr>
          <w:w w:val="115"/>
        </w:rPr>
        <w:t>expansive</w:t>
      </w:r>
      <w:r>
        <w:rPr>
          <w:spacing w:val="-11"/>
          <w:w w:val="115"/>
        </w:rPr>
        <w:t> </w:t>
      </w:r>
      <w:r>
        <w:rPr>
          <w:w w:val="115"/>
        </w:rPr>
        <w:t>in</w:t>
      </w:r>
      <w:r>
        <w:rPr>
          <w:spacing w:val="-11"/>
          <w:w w:val="115"/>
        </w:rPr>
        <w:t> </w:t>
      </w:r>
      <w:r>
        <w:rPr>
          <w:w w:val="115"/>
        </w:rPr>
        <w:t>its</w:t>
      </w:r>
      <w:r>
        <w:rPr>
          <w:spacing w:val="-11"/>
          <w:w w:val="115"/>
        </w:rPr>
        <w:t> </w:t>
      </w:r>
      <w:r>
        <w:rPr>
          <w:w w:val="115"/>
        </w:rPr>
        <w:t>reading of</w:t>
      </w:r>
      <w:r>
        <w:rPr>
          <w:spacing w:val="-13"/>
          <w:w w:val="115"/>
        </w:rPr>
        <w:t> </w:t>
      </w:r>
      <w:r>
        <w:rPr>
          <w:w w:val="115"/>
        </w:rPr>
        <w:t>fundamental</w:t>
      </w:r>
      <w:r>
        <w:rPr>
          <w:spacing w:val="-13"/>
          <w:w w:val="115"/>
        </w:rPr>
        <w:t> </w:t>
      </w:r>
      <w:r>
        <w:rPr>
          <w:w w:val="115"/>
        </w:rPr>
        <w:t>rights.</w:t>
      </w:r>
      <w:r>
        <w:rPr>
          <w:rFonts w:ascii="Lucida Sans Unicode"/>
          <w:w w:val="115"/>
          <w:vertAlign w:val="superscript"/>
        </w:rPr>
        <w:t>254</w:t>
      </w:r>
      <w:r>
        <w:rPr>
          <w:rFonts w:ascii="Lucida Sans Unicode"/>
          <w:spacing w:val="-22"/>
          <w:w w:val="115"/>
          <w:vertAlign w:val="baseline"/>
        </w:rPr>
        <w:t> </w:t>
      </w:r>
      <w:r>
        <w:rPr>
          <w:w w:val="115"/>
          <w:vertAlign w:val="baseline"/>
        </w:rPr>
        <w:t>Rather,</w:t>
      </w:r>
      <w:r>
        <w:rPr>
          <w:spacing w:val="-12"/>
          <w:w w:val="115"/>
          <w:vertAlign w:val="baseline"/>
        </w:rPr>
        <w:t> </w:t>
      </w:r>
      <w:r>
        <w:rPr>
          <w:w w:val="115"/>
          <w:vertAlign w:val="baseline"/>
        </w:rPr>
        <w:t>it offered</w:t>
      </w:r>
      <w:r>
        <w:rPr>
          <w:spacing w:val="-20"/>
          <w:w w:val="115"/>
          <w:vertAlign w:val="baseline"/>
        </w:rPr>
        <w:t> </w:t>
      </w:r>
      <w:r>
        <w:rPr>
          <w:w w:val="115"/>
          <w:vertAlign w:val="baseline"/>
        </w:rPr>
        <w:t>a</w:t>
      </w:r>
      <w:r>
        <w:rPr>
          <w:spacing w:val="-19"/>
          <w:w w:val="115"/>
          <w:vertAlign w:val="baseline"/>
        </w:rPr>
        <w:t> </w:t>
      </w:r>
      <w:r>
        <w:rPr>
          <w:w w:val="115"/>
          <w:vertAlign w:val="baseline"/>
        </w:rPr>
        <w:t>clear</w:t>
      </w:r>
      <w:r>
        <w:rPr>
          <w:spacing w:val="-19"/>
          <w:w w:val="115"/>
          <w:vertAlign w:val="baseline"/>
        </w:rPr>
        <w:t> </w:t>
      </w:r>
      <w:r>
        <w:rPr>
          <w:w w:val="115"/>
          <w:vertAlign w:val="baseline"/>
        </w:rPr>
        <w:t>technical</w:t>
      </w:r>
      <w:r>
        <w:rPr>
          <w:spacing w:val="-19"/>
          <w:w w:val="115"/>
          <w:vertAlign w:val="baseline"/>
        </w:rPr>
        <w:t> </w:t>
      </w:r>
      <w:r>
        <w:rPr>
          <w:w w:val="115"/>
          <w:vertAlign w:val="baseline"/>
        </w:rPr>
        <w:t>illustration</w:t>
      </w:r>
    </w:p>
    <w:p>
      <w:pPr>
        <w:pStyle w:val="BodyText"/>
        <w:spacing w:line="268" w:lineRule="auto" w:before="22"/>
        <w:ind w:right="266"/>
      </w:pPr>
      <w:r>
        <w:rPr>
          <w:w w:val="115"/>
        </w:rPr>
        <w:t>of</w:t>
      </w:r>
      <w:r>
        <w:rPr>
          <w:spacing w:val="-13"/>
          <w:w w:val="115"/>
        </w:rPr>
        <w:t> </w:t>
      </w:r>
      <w:r>
        <w:rPr>
          <w:w w:val="115"/>
        </w:rPr>
        <w:t>the</w:t>
      </w:r>
      <w:r>
        <w:rPr>
          <w:spacing w:val="-13"/>
          <w:w w:val="115"/>
        </w:rPr>
        <w:t> </w:t>
      </w:r>
      <w:r>
        <w:rPr>
          <w:w w:val="115"/>
        </w:rPr>
        <w:t>ways</w:t>
      </w:r>
      <w:r>
        <w:rPr>
          <w:spacing w:val="-13"/>
          <w:w w:val="115"/>
        </w:rPr>
        <w:t> </w:t>
      </w:r>
      <w:r>
        <w:rPr>
          <w:w w:val="115"/>
        </w:rPr>
        <w:t>in</w:t>
      </w:r>
      <w:r>
        <w:rPr>
          <w:spacing w:val="-13"/>
          <w:w w:val="115"/>
        </w:rPr>
        <w:t> </w:t>
      </w:r>
      <w:r>
        <w:rPr>
          <w:w w:val="115"/>
        </w:rPr>
        <w:t>which</w:t>
      </w:r>
      <w:r>
        <w:rPr>
          <w:spacing w:val="-13"/>
          <w:w w:val="115"/>
        </w:rPr>
        <w:t> </w:t>
      </w:r>
      <w:r>
        <w:rPr>
          <w:w w:val="115"/>
        </w:rPr>
        <w:t>the</w:t>
      </w:r>
      <w:r>
        <w:rPr>
          <w:spacing w:val="-13"/>
          <w:w w:val="115"/>
        </w:rPr>
        <w:t> </w:t>
      </w:r>
      <w:r>
        <w:rPr>
          <w:w w:val="115"/>
        </w:rPr>
        <w:t>principles</w:t>
      </w:r>
      <w:r>
        <w:rPr>
          <w:spacing w:val="-13"/>
          <w:w w:val="115"/>
        </w:rPr>
        <w:t> </w:t>
      </w:r>
      <w:r>
        <w:rPr>
          <w:w w:val="115"/>
        </w:rPr>
        <w:t>of primacy and direct effect of EU law could affect the remedial position</w:t>
      </w:r>
    </w:p>
    <w:p>
      <w:pPr>
        <w:pStyle w:val="BodyText"/>
        <w:spacing w:line="268" w:lineRule="auto" w:before="3"/>
        <w:ind w:right="538"/>
      </w:pPr>
      <w:r>
        <w:rPr>
          <w:w w:val="110"/>
        </w:rPr>
        <w:t>of individuals seeking to employ human rights in domestic litigation prior to the UK’s withdrawal from the European Union, offering them a shorter and less complex legal pathway than the HRA, in cases where both were applicable. This </w:t>
      </w:r>
      <w:r>
        <w:rPr>
          <w:w w:val="110"/>
        </w:rPr>
        <w:t>is</w:t>
      </w:r>
    </w:p>
    <w:p>
      <w:pPr>
        <w:pStyle w:val="BodyText"/>
        <w:spacing w:line="268" w:lineRule="auto" w:before="6"/>
      </w:pPr>
      <w:r>
        <w:rPr>
          <w:w w:val="115"/>
        </w:rPr>
        <w:t>highlighted</w:t>
      </w:r>
      <w:r>
        <w:rPr>
          <w:spacing w:val="-13"/>
          <w:w w:val="115"/>
        </w:rPr>
        <w:t> </w:t>
      </w:r>
      <w:r>
        <w:rPr>
          <w:w w:val="115"/>
        </w:rPr>
        <w:t>by</w:t>
      </w:r>
      <w:r>
        <w:rPr>
          <w:spacing w:val="-13"/>
          <w:w w:val="115"/>
        </w:rPr>
        <w:t> </w:t>
      </w:r>
      <w:r>
        <w:rPr>
          <w:w w:val="115"/>
        </w:rPr>
        <w:t>the</w:t>
      </w:r>
      <w:r>
        <w:rPr>
          <w:spacing w:val="-13"/>
          <w:w w:val="115"/>
        </w:rPr>
        <w:t> </w:t>
      </w:r>
      <w:r>
        <w:rPr>
          <w:w w:val="115"/>
        </w:rPr>
        <w:t>fact</w:t>
      </w:r>
      <w:r>
        <w:rPr>
          <w:spacing w:val="-13"/>
          <w:w w:val="115"/>
        </w:rPr>
        <w:t> </w:t>
      </w:r>
      <w:r>
        <w:rPr>
          <w:w w:val="115"/>
        </w:rPr>
        <w:t>that</w:t>
      </w:r>
      <w:r>
        <w:rPr>
          <w:spacing w:val="-13"/>
          <w:w w:val="115"/>
        </w:rPr>
        <w:t> </w:t>
      </w:r>
      <w:r>
        <w:rPr>
          <w:w w:val="115"/>
        </w:rPr>
        <w:t>the</w:t>
      </w:r>
      <w:r>
        <w:rPr>
          <w:spacing w:val="-13"/>
          <w:w w:val="115"/>
        </w:rPr>
        <w:t> </w:t>
      </w:r>
      <w:r>
        <w:rPr>
          <w:w w:val="115"/>
        </w:rPr>
        <w:t>ECtHR subsequently also found violations</w:t>
      </w:r>
    </w:p>
    <w:p>
      <w:pPr>
        <w:pStyle w:val="BodyText"/>
        <w:spacing w:line="259" w:lineRule="auto" w:before="2"/>
        <w:ind w:right="374"/>
        <w:rPr>
          <w:rFonts w:ascii="Lucida Sans Unicode"/>
        </w:rPr>
      </w:pPr>
      <w:r>
        <w:rPr>
          <w:w w:val="110"/>
        </w:rPr>
        <w:t>of the right to an effective remedy (Article 6 ECHR), in conjunction </w:t>
      </w:r>
      <w:r>
        <w:rPr>
          <w:w w:val="110"/>
        </w:rPr>
        <w:t>with the</w:t>
      </w:r>
      <w:r>
        <w:rPr>
          <w:spacing w:val="40"/>
          <w:w w:val="110"/>
        </w:rPr>
        <w:t> </w:t>
      </w:r>
      <w:r>
        <w:rPr>
          <w:w w:val="110"/>
        </w:rPr>
        <w:t>right</w:t>
      </w:r>
      <w:r>
        <w:rPr>
          <w:spacing w:val="40"/>
          <w:w w:val="110"/>
        </w:rPr>
        <w:t> </w:t>
      </w:r>
      <w:r>
        <w:rPr>
          <w:w w:val="110"/>
        </w:rPr>
        <w:t>to</w:t>
      </w:r>
      <w:r>
        <w:rPr>
          <w:spacing w:val="40"/>
          <w:w w:val="110"/>
        </w:rPr>
        <w:t> </w:t>
      </w:r>
      <w:r>
        <w:rPr>
          <w:w w:val="110"/>
        </w:rPr>
        <w:t>non-discrimination</w:t>
      </w:r>
      <w:r>
        <w:rPr>
          <w:spacing w:val="40"/>
          <w:w w:val="110"/>
        </w:rPr>
        <w:t> </w:t>
      </w:r>
      <w:r>
        <w:rPr>
          <w:w w:val="110"/>
        </w:rPr>
        <w:t>(Art </w:t>
      </w:r>
      <w:r>
        <w:rPr>
          <w:rFonts w:ascii="Lucida Sans Unicode"/>
        </w:rPr>
        <w:t>14 ECHR), when the case ultimately</w:t>
      </w:r>
    </w:p>
    <w:p>
      <w:pPr>
        <w:pStyle w:val="BodyText"/>
        <w:spacing w:line="224" w:lineRule="exact"/>
      </w:pPr>
      <w:r>
        <w:rPr>
          <w:w w:val="115"/>
        </w:rPr>
        <w:t>reached</w:t>
      </w:r>
      <w:r>
        <w:rPr>
          <w:spacing w:val="-11"/>
          <w:w w:val="115"/>
        </w:rPr>
        <w:t> </w:t>
      </w:r>
      <w:r>
        <w:rPr>
          <w:w w:val="115"/>
        </w:rPr>
        <w:t>it</w:t>
      </w:r>
      <w:r>
        <w:rPr>
          <w:spacing w:val="-11"/>
          <w:w w:val="115"/>
        </w:rPr>
        <w:t> </w:t>
      </w:r>
      <w:r>
        <w:rPr>
          <w:w w:val="115"/>
        </w:rPr>
        <w:t>in</w:t>
      </w:r>
      <w:r>
        <w:rPr>
          <w:spacing w:val="-11"/>
          <w:w w:val="115"/>
        </w:rPr>
        <w:t> </w:t>
      </w:r>
      <w:r>
        <w:rPr>
          <w:w w:val="115"/>
        </w:rPr>
        <w:t>respect</w:t>
      </w:r>
      <w:r>
        <w:rPr>
          <w:spacing w:val="-11"/>
          <w:w w:val="115"/>
        </w:rPr>
        <w:t> </w:t>
      </w:r>
      <w:r>
        <w:rPr>
          <w:w w:val="115"/>
        </w:rPr>
        <w:t>of</w:t>
      </w:r>
      <w:r>
        <w:rPr>
          <w:spacing w:val="-11"/>
          <w:w w:val="115"/>
        </w:rPr>
        <w:t> </w:t>
      </w:r>
      <w:r>
        <w:rPr>
          <w:w w:val="115"/>
        </w:rPr>
        <w:t>the</w:t>
      </w:r>
      <w:r>
        <w:rPr>
          <w:spacing w:val="-10"/>
          <w:w w:val="115"/>
        </w:rPr>
        <w:t> </w:t>
      </w:r>
      <w:r>
        <w:rPr>
          <w:spacing w:val="-2"/>
          <w:w w:val="115"/>
        </w:rPr>
        <w:t>aspects</w:t>
      </w:r>
    </w:p>
    <w:p>
      <w:pPr>
        <w:pStyle w:val="BodyText"/>
        <w:spacing w:line="310" w:lineRule="exact" w:before="11"/>
        <w:ind w:right="153"/>
      </w:pPr>
      <w:r>
        <w:rPr>
          <w:w w:val="110"/>
        </w:rPr>
        <w:t>that did not concern EU law. A crucial point, however, is that the EU aspects of the case were settled at the </w:t>
      </w:r>
      <w:r>
        <w:rPr>
          <w:rFonts w:ascii="Lucida Sans Unicode"/>
        </w:rPr>
        <w:t>Supreme Court level in 2017, whereas </w:t>
      </w:r>
      <w:r>
        <w:rPr>
          <w:w w:val="110"/>
        </w:rPr>
        <w:t>the non-EU aspects were not resolved </w:t>
      </w:r>
      <w:r>
        <w:rPr>
          <w:rFonts w:ascii="Lucida Sans Unicode"/>
        </w:rPr>
        <w:t>until April 2022 in Strasbourg, thus taking an additional five years before</w:t>
      </w:r>
      <w:r>
        <w:rPr>
          <w:rFonts w:ascii="Lucida Sans Unicode"/>
          <w:spacing w:val="80"/>
        </w:rPr>
        <w:t> </w:t>
      </w:r>
      <w:r>
        <w:rPr>
          <w:rFonts w:ascii="Lucida Sans Unicode"/>
        </w:rPr>
        <w:t>a final judgment was pronounced, </w:t>
      </w:r>
      <w:r>
        <w:rPr>
          <w:rFonts w:ascii="Lucida Sans Unicode"/>
        </w:rPr>
        <w:t>and </w:t>
      </w:r>
      <w:r>
        <w:rPr>
          <w:w w:val="110"/>
        </w:rPr>
        <w:t>ultimately requiring further action on the part of the UK (a revision to the</w:t>
      </w:r>
    </w:p>
    <w:p>
      <w:pPr>
        <w:spacing w:after="0" w:line="310" w:lineRule="exact"/>
        <w:sectPr>
          <w:type w:val="continuous"/>
          <w:pgSz w:w="11910" w:h="16840"/>
          <w:pgMar w:header="568" w:footer="580" w:top="0" w:bottom="280" w:left="1020" w:right="1020"/>
          <w:cols w:num="2" w:equalWidth="0">
            <w:col w:w="4745" w:space="300"/>
            <w:col w:w="4825"/>
          </w:cols>
        </w:sectPr>
      </w:pPr>
    </w:p>
    <w:p>
      <w:pPr>
        <w:pStyle w:val="BodyText"/>
        <w:ind w:left="0"/>
        <w:rPr>
          <w:sz w:val="20"/>
        </w:rPr>
      </w:pPr>
    </w:p>
    <w:p>
      <w:pPr>
        <w:pStyle w:val="BodyText"/>
        <w:spacing w:before="124"/>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164" name="Group 164"/>
                <wp:cNvGraphicFramePr>
                  <a:graphicFrameLocks/>
                </wp:cNvGraphicFramePr>
                <a:graphic>
                  <a:graphicData uri="http://schemas.microsoft.com/office/word/2010/wordprocessingGroup">
                    <wpg:wgp>
                      <wpg:cNvPr id="164" name="Group 164"/>
                      <wpg:cNvGrpSpPr/>
                      <wpg:grpSpPr>
                        <a:xfrm>
                          <a:off x="0" y="0"/>
                          <a:ext cx="6120130" cy="6350"/>
                          <a:chExt cx="6120130" cy="6350"/>
                        </a:xfrm>
                      </wpg:grpSpPr>
                      <wps:wsp>
                        <wps:cNvPr id="165" name="Graphic 165"/>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101"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14"/>
        </w:numPr>
        <w:tabs>
          <w:tab w:pos="567" w:val="left" w:leader="none"/>
        </w:tabs>
        <w:spacing w:line="194" w:lineRule="auto" w:before="94" w:after="0"/>
        <w:ind w:left="567" w:right="122" w:hanging="454"/>
        <w:jc w:val="left"/>
        <w:rPr>
          <w:sz w:val="16"/>
        </w:rPr>
      </w:pPr>
      <w:r>
        <w:rPr>
          <w:sz w:val="16"/>
        </w:rPr>
        <w:t>Katja Ziegler, ‘Immunity versus Human Rights: The Right to a Remedy after </w:t>
      </w:r>
      <w:r>
        <w:rPr>
          <w:rFonts w:ascii="Verdana" w:hAnsi="Verdana"/>
          <w:i/>
          <w:sz w:val="16"/>
        </w:rPr>
        <w:t>Benkharbouche’</w:t>
      </w:r>
      <w:r>
        <w:rPr>
          <w:rFonts w:ascii="Verdana" w:hAnsi="Verdana"/>
          <w:i/>
          <w:spacing w:val="-5"/>
          <w:sz w:val="16"/>
        </w:rPr>
        <w:t> </w:t>
      </w:r>
      <w:r>
        <w:rPr>
          <w:sz w:val="16"/>
        </w:rPr>
        <w:t>(2017) 17 Human Rights Law Review 127, 148.</w:t>
      </w:r>
    </w:p>
    <w:p>
      <w:pPr>
        <w:spacing w:after="0" w:line="194" w:lineRule="auto"/>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204" w:lineRule="auto" w:before="73"/>
        <w:rPr>
          <w:rFonts w:ascii="Lucida Sans Unicode"/>
        </w:rPr>
      </w:pPr>
      <w:r>
        <w:rPr>
          <w:rFonts w:ascii="Lucida Sans Unicode"/>
          <w:w w:val="105"/>
        </w:rPr>
        <w:t>SIA, which was finally resolved by </w:t>
      </w:r>
      <w:r>
        <w:rPr>
          <w:rFonts w:ascii="Lucida Sans Unicode"/>
        </w:rPr>
        <w:t>remedial order in September </w:t>
      </w:r>
      <w:r>
        <w:rPr>
          <w:rFonts w:ascii="Lucida Sans Unicode"/>
        </w:rPr>
        <w:t>2022).</w:t>
      </w:r>
      <w:r>
        <w:rPr>
          <w:rFonts w:ascii="Lucida Sans Unicode"/>
          <w:vertAlign w:val="superscript"/>
        </w:rPr>
        <w:t>255</w:t>
      </w:r>
    </w:p>
    <w:p>
      <w:pPr>
        <w:pStyle w:val="BodyText"/>
        <w:spacing w:line="271" w:lineRule="auto" w:before="299"/>
        <w:ind w:right="444"/>
      </w:pPr>
      <w:r>
        <w:rPr>
          <w:w w:val="115"/>
        </w:rPr>
        <w:t>It is not surprising, therefore, that the</w:t>
      </w:r>
      <w:r>
        <w:rPr>
          <w:spacing w:val="-16"/>
          <w:w w:val="115"/>
        </w:rPr>
        <w:t> </w:t>
      </w:r>
      <w:r>
        <w:rPr>
          <w:w w:val="115"/>
        </w:rPr>
        <w:t>Charter</w:t>
      </w:r>
      <w:r>
        <w:rPr>
          <w:spacing w:val="-16"/>
          <w:w w:val="115"/>
        </w:rPr>
        <w:t> </w:t>
      </w:r>
      <w:r>
        <w:rPr>
          <w:w w:val="115"/>
        </w:rPr>
        <w:t>started</w:t>
      </w:r>
      <w:r>
        <w:rPr>
          <w:spacing w:val="-16"/>
          <w:w w:val="115"/>
        </w:rPr>
        <w:t> </w:t>
      </w:r>
      <w:r>
        <w:rPr>
          <w:w w:val="115"/>
        </w:rPr>
        <w:t>to</w:t>
      </w:r>
      <w:r>
        <w:rPr>
          <w:spacing w:val="-16"/>
          <w:w w:val="115"/>
        </w:rPr>
        <w:t> </w:t>
      </w:r>
      <w:r>
        <w:rPr>
          <w:w w:val="115"/>
        </w:rPr>
        <w:t>be</w:t>
      </w:r>
      <w:r>
        <w:rPr>
          <w:spacing w:val="-16"/>
          <w:w w:val="115"/>
        </w:rPr>
        <w:t> </w:t>
      </w:r>
      <w:r>
        <w:rPr>
          <w:w w:val="115"/>
        </w:rPr>
        <w:t>preferred in domestic litigation in situations where both EU law and the HRA </w:t>
      </w:r>
      <w:r>
        <w:rPr/>
        <w:t>were applicable. </w:t>
      </w:r>
      <w:r>
        <w:rPr>
          <w:rFonts w:ascii="Verdana"/>
          <w:i/>
        </w:rPr>
        <w:t>Benkharbouche </w:t>
      </w:r>
      <w:r>
        <w:rPr/>
        <w:t>is </w:t>
      </w:r>
      <w:r>
        <w:rPr>
          <w:w w:val="115"/>
        </w:rPr>
        <w:t>not an isolated case, with various other rulings having highlighted the broad implications that the possibility of disapplication had at</w:t>
      </w:r>
    </w:p>
    <w:p>
      <w:pPr>
        <w:pStyle w:val="BodyText"/>
        <w:spacing w:line="268" w:lineRule="auto"/>
        <w:ind w:right="98"/>
      </w:pPr>
      <w:r>
        <w:rPr>
          <w:w w:val="115"/>
        </w:rPr>
        <w:t>the domestic level, especially within </w:t>
      </w:r>
      <w:r>
        <w:rPr>
          <w:w w:val="110"/>
        </w:rPr>
        <w:t>private</w:t>
      </w:r>
      <w:r>
        <w:rPr>
          <w:spacing w:val="-19"/>
          <w:w w:val="110"/>
        </w:rPr>
        <w:t> </w:t>
      </w:r>
      <w:r>
        <w:rPr>
          <w:w w:val="110"/>
        </w:rPr>
        <w:t>law.</w:t>
      </w:r>
      <w:r>
        <w:rPr>
          <w:spacing w:val="-18"/>
          <w:w w:val="110"/>
        </w:rPr>
        <w:t> </w:t>
      </w:r>
      <w:r>
        <w:rPr>
          <w:rFonts w:ascii="Verdana"/>
          <w:i/>
          <w:w w:val="110"/>
        </w:rPr>
        <w:t>Walker</w:t>
      </w:r>
      <w:r>
        <w:rPr>
          <w:rFonts w:ascii="Verdana"/>
          <w:i/>
          <w:spacing w:val="-23"/>
          <w:w w:val="110"/>
        </w:rPr>
        <w:t> </w:t>
      </w:r>
      <w:r>
        <w:rPr>
          <w:rFonts w:ascii="Verdana"/>
          <w:i/>
          <w:w w:val="110"/>
        </w:rPr>
        <w:t>v</w:t>
      </w:r>
      <w:r>
        <w:rPr>
          <w:rFonts w:ascii="Verdana"/>
          <w:i/>
          <w:spacing w:val="-24"/>
          <w:w w:val="110"/>
        </w:rPr>
        <w:t> </w:t>
      </w:r>
      <w:r>
        <w:rPr>
          <w:rFonts w:ascii="Verdana"/>
          <w:i/>
          <w:w w:val="110"/>
        </w:rPr>
        <w:t>Innospec</w:t>
      </w:r>
      <w:r>
        <w:rPr>
          <w:rFonts w:ascii="Verdana"/>
          <w:i/>
          <w:w w:val="110"/>
        </w:rPr>
        <w:t> </w:t>
      </w:r>
      <w:r>
        <w:rPr>
          <w:w w:val="115"/>
        </w:rPr>
        <w:t>provides a good illustration in this regard, this time concerning an area of law (discrimination in the context of private employment pensions) </w:t>
      </w:r>
      <w:r>
        <w:rPr>
          <w:w w:val="110"/>
        </w:rPr>
        <w:t>where the Convention offers less </w:t>
      </w:r>
      <w:r>
        <w:rPr>
          <w:w w:val="110"/>
        </w:rPr>
        <w:t>clear</w:t>
      </w:r>
    </w:p>
    <w:p>
      <w:pPr>
        <w:pStyle w:val="BodyText"/>
        <w:spacing w:line="228" w:lineRule="auto"/>
      </w:pPr>
      <w:r>
        <w:rPr>
          <w:w w:val="115"/>
        </w:rPr>
        <w:t>protection.</w:t>
      </w:r>
      <w:r>
        <w:rPr>
          <w:rFonts w:ascii="Lucida Sans Unicode"/>
          <w:w w:val="115"/>
          <w:vertAlign w:val="superscript"/>
        </w:rPr>
        <w:t>256</w:t>
      </w:r>
      <w:r>
        <w:rPr>
          <w:rFonts w:ascii="Lucida Sans Unicode"/>
          <w:spacing w:val="-22"/>
          <w:w w:val="115"/>
          <w:vertAlign w:val="baseline"/>
        </w:rPr>
        <w:t> </w:t>
      </w:r>
      <w:r>
        <w:rPr>
          <w:w w:val="115"/>
          <w:vertAlign w:val="baseline"/>
        </w:rPr>
        <w:t>This</w:t>
      </w:r>
      <w:r>
        <w:rPr>
          <w:spacing w:val="-19"/>
          <w:w w:val="115"/>
          <w:vertAlign w:val="baseline"/>
        </w:rPr>
        <w:t> </w:t>
      </w:r>
      <w:r>
        <w:rPr>
          <w:w w:val="115"/>
          <w:vertAlign w:val="baseline"/>
        </w:rPr>
        <w:t>case</w:t>
      </w:r>
      <w:r>
        <w:rPr>
          <w:spacing w:val="-20"/>
          <w:w w:val="115"/>
          <w:vertAlign w:val="baseline"/>
        </w:rPr>
        <w:t> </w:t>
      </w:r>
      <w:r>
        <w:rPr>
          <w:w w:val="115"/>
          <w:vertAlign w:val="baseline"/>
        </w:rPr>
        <w:t>concerned </w:t>
      </w:r>
      <w:r>
        <w:rPr>
          <w:spacing w:val="-2"/>
          <w:w w:val="115"/>
          <w:vertAlign w:val="baseline"/>
        </w:rPr>
        <w:t>discrimination</w:t>
      </w:r>
      <w:r>
        <w:rPr>
          <w:spacing w:val="-17"/>
          <w:w w:val="115"/>
          <w:vertAlign w:val="baseline"/>
        </w:rPr>
        <w:t> </w:t>
      </w:r>
      <w:r>
        <w:rPr>
          <w:spacing w:val="-2"/>
          <w:w w:val="115"/>
          <w:vertAlign w:val="baseline"/>
        </w:rPr>
        <w:t>on</w:t>
      </w:r>
      <w:r>
        <w:rPr>
          <w:spacing w:val="-17"/>
          <w:w w:val="115"/>
          <w:vertAlign w:val="baseline"/>
        </w:rPr>
        <w:t> </w:t>
      </w:r>
      <w:r>
        <w:rPr>
          <w:spacing w:val="-2"/>
          <w:w w:val="115"/>
          <w:vertAlign w:val="baseline"/>
        </w:rPr>
        <w:t>grounds</w:t>
      </w:r>
      <w:r>
        <w:rPr>
          <w:spacing w:val="-17"/>
          <w:w w:val="115"/>
          <w:vertAlign w:val="baseline"/>
        </w:rPr>
        <w:t> </w:t>
      </w:r>
      <w:r>
        <w:rPr>
          <w:spacing w:val="-2"/>
          <w:w w:val="115"/>
          <w:vertAlign w:val="baseline"/>
        </w:rPr>
        <w:t>of</w:t>
      </w:r>
      <w:r>
        <w:rPr>
          <w:spacing w:val="-17"/>
          <w:w w:val="115"/>
          <w:vertAlign w:val="baseline"/>
        </w:rPr>
        <w:t> </w:t>
      </w:r>
      <w:r>
        <w:rPr>
          <w:spacing w:val="-2"/>
          <w:w w:val="115"/>
          <w:vertAlign w:val="baseline"/>
        </w:rPr>
        <w:t>sexual</w:t>
      </w:r>
    </w:p>
    <w:p>
      <w:pPr>
        <w:pStyle w:val="BodyText"/>
        <w:spacing w:line="314" w:lineRule="exact"/>
        <w:ind w:right="64"/>
      </w:pPr>
      <w:r>
        <w:rPr>
          <w:w w:val="115"/>
        </w:rPr>
        <w:t>orientation in the calculation of private</w:t>
      </w:r>
      <w:r>
        <w:rPr>
          <w:spacing w:val="-20"/>
          <w:w w:val="115"/>
        </w:rPr>
        <w:t> </w:t>
      </w:r>
      <w:r>
        <w:rPr>
          <w:w w:val="115"/>
        </w:rPr>
        <w:t>pension</w:t>
      </w:r>
      <w:r>
        <w:rPr>
          <w:spacing w:val="-19"/>
          <w:w w:val="115"/>
        </w:rPr>
        <w:t> </w:t>
      </w:r>
      <w:r>
        <w:rPr>
          <w:w w:val="115"/>
        </w:rPr>
        <w:t>entitlements,</w:t>
      </w:r>
      <w:r>
        <w:rPr>
          <w:spacing w:val="-19"/>
          <w:w w:val="115"/>
        </w:rPr>
        <w:t> </w:t>
      </w:r>
      <w:r>
        <w:rPr>
          <w:w w:val="115"/>
        </w:rPr>
        <w:t>contrary to the Framework Equality Directive </w:t>
      </w:r>
      <w:r>
        <w:rPr>
          <w:rFonts w:ascii="Lucida Sans Unicode"/>
        </w:rPr>
        <w:t>(2000/78/EC). In partly </w:t>
      </w:r>
      <w:r>
        <w:rPr>
          <w:rFonts w:ascii="Lucida Sans Unicode"/>
        </w:rPr>
        <w:t>implementing </w:t>
      </w:r>
      <w:r>
        <w:rPr>
          <w:w w:val="115"/>
        </w:rPr>
        <w:t>the Directive through the Equality</w:t>
      </w:r>
    </w:p>
    <w:p>
      <w:pPr>
        <w:pStyle w:val="BodyText"/>
        <w:spacing w:line="228" w:lineRule="auto"/>
      </w:pPr>
      <w:r>
        <w:rPr>
          <w:rFonts w:ascii="Lucida Sans Unicode"/>
        </w:rPr>
        <w:t>Act 2010, the UK had allowed for </w:t>
      </w:r>
      <w:r>
        <w:rPr>
          <w:rFonts w:ascii="Lucida Sans Unicode"/>
        </w:rPr>
        <w:t>the </w:t>
      </w:r>
      <w:r>
        <w:rPr>
          <w:w w:val="110"/>
        </w:rPr>
        <w:t>calculation of survivor pensions on</w:t>
      </w:r>
    </w:p>
    <w:p>
      <w:pPr>
        <w:pStyle w:val="BodyText"/>
        <w:spacing w:line="256" w:lineRule="auto" w:before="33"/>
        <w:ind w:right="444"/>
        <w:rPr>
          <w:rFonts w:ascii="Lucida Sans Unicode"/>
        </w:rPr>
      </w:pPr>
      <w:r>
        <w:rPr>
          <w:w w:val="110"/>
        </w:rPr>
        <w:t>equal terms between </w:t>
      </w:r>
      <w:r>
        <w:rPr>
          <w:w w:val="110"/>
        </w:rPr>
        <w:t>homosexual and heterosexual couples since 5 </w:t>
      </w:r>
      <w:r>
        <w:rPr>
          <w:rFonts w:ascii="Lucida Sans Unicode"/>
        </w:rPr>
        <w:t>December 2005 only (the day on</w:t>
      </w:r>
    </w:p>
    <w:p>
      <w:pPr>
        <w:pStyle w:val="BodyText"/>
        <w:spacing w:line="231" w:lineRule="exact"/>
      </w:pPr>
      <w:r>
        <w:rPr>
          <w:w w:val="105"/>
        </w:rPr>
        <w:t>which</w:t>
      </w:r>
      <w:r>
        <w:rPr>
          <w:spacing w:val="28"/>
          <w:w w:val="105"/>
        </w:rPr>
        <w:t> </w:t>
      </w:r>
      <w:r>
        <w:rPr>
          <w:w w:val="105"/>
        </w:rPr>
        <w:t>section</w:t>
      </w:r>
      <w:r>
        <w:rPr>
          <w:spacing w:val="28"/>
          <w:w w:val="105"/>
        </w:rPr>
        <w:t> </w:t>
      </w:r>
      <w:r>
        <w:rPr/>
        <w:t>1</w:t>
      </w:r>
      <w:r>
        <w:rPr>
          <w:spacing w:val="29"/>
          <w:w w:val="105"/>
        </w:rPr>
        <w:t> </w:t>
      </w:r>
      <w:r>
        <w:rPr>
          <w:w w:val="105"/>
        </w:rPr>
        <w:t>of</w:t>
      </w:r>
      <w:r>
        <w:rPr>
          <w:spacing w:val="28"/>
          <w:w w:val="105"/>
        </w:rPr>
        <w:t> </w:t>
      </w:r>
      <w:r>
        <w:rPr>
          <w:w w:val="105"/>
        </w:rPr>
        <w:t>the</w:t>
      </w:r>
      <w:r>
        <w:rPr>
          <w:spacing w:val="29"/>
          <w:w w:val="105"/>
        </w:rPr>
        <w:t> </w:t>
      </w:r>
      <w:r>
        <w:rPr>
          <w:w w:val="105"/>
        </w:rPr>
        <w:t>Civil</w:t>
      </w:r>
      <w:r>
        <w:rPr>
          <w:spacing w:val="28"/>
          <w:w w:val="105"/>
        </w:rPr>
        <w:t> </w:t>
      </w:r>
      <w:r>
        <w:rPr>
          <w:spacing w:val="-2"/>
          <w:w w:val="105"/>
        </w:rPr>
        <w:t>Partnership</w:t>
      </w:r>
    </w:p>
    <w:p>
      <w:pPr>
        <w:pStyle w:val="BodyText"/>
        <w:spacing w:line="314" w:lineRule="exact" w:before="12"/>
        <w:ind w:right="245"/>
      </w:pPr>
      <w:r>
        <w:rPr>
          <w:rFonts w:ascii="Lucida Sans Unicode"/>
        </w:rPr>
        <w:t>Act 2004 came into force). </w:t>
      </w:r>
      <w:r>
        <w:rPr>
          <w:rFonts w:ascii="Lucida Sans Unicode"/>
        </w:rPr>
        <w:t>Schedule </w:t>
      </w:r>
      <w:r>
        <w:rPr>
          <w:rFonts w:ascii="Lucida Sans Unicode"/>
          <w:w w:val="110"/>
        </w:rPr>
        <w:t>9</w:t>
      </w:r>
      <w:r>
        <w:rPr>
          <w:rFonts w:ascii="Lucida Sans Unicode"/>
          <w:spacing w:val="-21"/>
          <w:w w:val="110"/>
        </w:rPr>
        <w:t> </w:t>
      </w:r>
      <w:r>
        <w:rPr>
          <w:rFonts w:ascii="Lucida Sans Unicode"/>
          <w:w w:val="110"/>
        </w:rPr>
        <w:t>(18)</w:t>
      </w:r>
      <w:r>
        <w:rPr>
          <w:rFonts w:ascii="Lucida Sans Unicode"/>
          <w:spacing w:val="-21"/>
          <w:w w:val="110"/>
        </w:rPr>
        <w:t> </w:t>
      </w:r>
      <w:r>
        <w:rPr>
          <w:rFonts w:ascii="Lucida Sans Unicode"/>
          <w:w w:val="110"/>
        </w:rPr>
        <w:t>of</w:t>
      </w:r>
      <w:r>
        <w:rPr>
          <w:rFonts w:ascii="Lucida Sans Unicode"/>
          <w:spacing w:val="-21"/>
          <w:w w:val="110"/>
        </w:rPr>
        <w:t> </w:t>
      </w:r>
      <w:r>
        <w:rPr>
          <w:rFonts w:ascii="Lucida Sans Unicode"/>
          <w:w w:val="110"/>
        </w:rPr>
        <w:t>the</w:t>
      </w:r>
      <w:r>
        <w:rPr>
          <w:rFonts w:ascii="Lucida Sans Unicode"/>
          <w:spacing w:val="-21"/>
          <w:w w:val="110"/>
        </w:rPr>
        <w:t> </w:t>
      </w:r>
      <w:r>
        <w:rPr>
          <w:rFonts w:ascii="Lucida Sans Unicode"/>
          <w:w w:val="110"/>
        </w:rPr>
        <w:t>Equality</w:t>
      </w:r>
      <w:r>
        <w:rPr>
          <w:rFonts w:ascii="Lucida Sans Unicode"/>
          <w:spacing w:val="-21"/>
          <w:w w:val="110"/>
        </w:rPr>
        <w:t> </w:t>
      </w:r>
      <w:r>
        <w:rPr>
          <w:rFonts w:ascii="Lucida Sans Unicode"/>
          <w:w w:val="110"/>
        </w:rPr>
        <w:t>Act</w:t>
      </w:r>
      <w:r>
        <w:rPr>
          <w:rFonts w:ascii="Lucida Sans Unicode"/>
          <w:spacing w:val="-21"/>
          <w:w w:val="110"/>
        </w:rPr>
        <w:t> </w:t>
      </w:r>
      <w:r>
        <w:rPr>
          <w:rFonts w:ascii="Lucida Sans Unicode"/>
          <w:w w:val="110"/>
        </w:rPr>
        <w:t>excluded </w:t>
      </w:r>
      <w:r>
        <w:rPr>
          <w:w w:val="110"/>
        </w:rPr>
        <w:t>periods worked prior to the above date from the pension entitlement</w:t>
      </w:r>
    </w:p>
    <w:p>
      <w:pPr>
        <w:pStyle w:val="BodyText"/>
        <w:spacing w:before="23"/>
      </w:pPr>
      <w:r>
        <w:rPr>
          <w:w w:val="115"/>
        </w:rPr>
        <w:t>of</w:t>
      </w:r>
      <w:r>
        <w:rPr>
          <w:spacing w:val="-8"/>
          <w:w w:val="115"/>
        </w:rPr>
        <w:t> </w:t>
      </w:r>
      <w:r>
        <w:rPr>
          <w:w w:val="115"/>
        </w:rPr>
        <w:t>the</w:t>
      </w:r>
      <w:r>
        <w:rPr>
          <w:spacing w:val="-8"/>
          <w:w w:val="115"/>
        </w:rPr>
        <w:t> </w:t>
      </w:r>
      <w:r>
        <w:rPr>
          <w:w w:val="115"/>
        </w:rPr>
        <w:t>surviving</w:t>
      </w:r>
      <w:r>
        <w:rPr>
          <w:spacing w:val="-8"/>
          <w:w w:val="115"/>
        </w:rPr>
        <w:t> </w:t>
      </w:r>
      <w:r>
        <w:rPr>
          <w:w w:val="115"/>
        </w:rPr>
        <w:t>partner</w:t>
      </w:r>
      <w:r>
        <w:rPr>
          <w:spacing w:val="-8"/>
          <w:w w:val="115"/>
        </w:rPr>
        <w:t> </w:t>
      </w:r>
      <w:r>
        <w:rPr>
          <w:w w:val="115"/>
        </w:rPr>
        <w:t>in</w:t>
      </w:r>
      <w:r>
        <w:rPr>
          <w:spacing w:val="-8"/>
          <w:w w:val="115"/>
        </w:rPr>
        <w:t> </w:t>
      </w:r>
      <w:r>
        <w:rPr>
          <w:w w:val="115"/>
        </w:rPr>
        <w:t>a</w:t>
      </w:r>
      <w:r>
        <w:rPr>
          <w:spacing w:val="-8"/>
          <w:w w:val="115"/>
        </w:rPr>
        <w:t> </w:t>
      </w:r>
      <w:r>
        <w:rPr>
          <w:spacing w:val="-2"/>
          <w:w w:val="115"/>
        </w:rPr>
        <w:t>same-</w:t>
      </w:r>
    </w:p>
    <w:p>
      <w:pPr>
        <w:pStyle w:val="BodyText"/>
        <w:spacing w:line="322" w:lineRule="exact" w:before="40"/>
        <w:ind w:right="242"/>
        <w:rPr>
          <w:rFonts w:ascii="Lucida Sans Unicode"/>
        </w:rPr>
      </w:pPr>
      <w:r>
        <w:rPr/>
        <w:br w:type="column"/>
      </w:r>
      <w:r>
        <w:rPr>
          <w:rFonts w:ascii="Lucida Sans Unicode"/>
        </w:rPr>
        <w:t>sex partnership. The Supreme Court </w:t>
      </w:r>
      <w:r>
        <w:rPr>
          <w:w w:val="110"/>
        </w:rPr>
        <w:t>found that this exclusion was </w:t>
      </w:r>
      <w:r>
        <w:rPr>
          <w:w w:val="110"/>
        </w:rPr>
        <w:t>contrary to the Equality Directive, which gave further expression to the general principle of equality enshrined in </w:t>
      </w:r>
      <w:r>
        <w:rPr>
          <w:rFonts w:ascii="Lucida Sans Unicode"/>
          <w:spacing w:val="-2"/>
          <w:w w:val="110"/>
        </w:rPr>
        <w:t>Article</w:t>
      </w:r>
      <w:r>
        <w:rPr>
          <w:rFonts w:ascii="Lucida Sans Unicode"/>
          <w:spacing w:val="-19"/>
          <w:w w:val="110"/>
        </w:rPr>
        <w:t> </w:t>
      </w:r>
      <w:r>
        <w:rPr>
          <w:rFonts w:ascii="Lucida Sans Unicode"/>
          <w:spacing w:val="-2"/>
          <w:w w:val="105"/>
        </w:rPr>
        <w:t>21</w:t>
      </w:r>
      <w:r>
        <w:rPr>
          <w:rFonts w:ascii="Lucida Sans Unicode"/>
          <w:spacing w:val="-15"/>
          <w:w w:val="105"/>
        </w:rPr>
        <w:t> </w:t>
      </w:r>
      <w:r>
        <w:rPr>
          <w:rFonts w:ascii="Lucida Sans Unicode"/>
          <w:spacing w:val="-2"/>
          <w:w w:val="110"/>
        </w:rPr>
        <w:t>CFR,</w:t>
      </w:r>
      <w:r>
        <w:rPr>
          <w:rFonts w:ascii="Lucida Sans Unicode"/>
          <w:spacing w:val="-19"/>
          <w:w w:val="110"/>
        </w:rPr>
        <w:t> </w:t>
      </w:r>
      <w:r>
        <w:rPr>
          <w:rFonts w:ascii="Lucida Sans Unicode"/>
          <w:spacing w:val="-2"/>
          <w:w w:val="110"/>
        </w:rPr>
        <w:t>and</w:t>
      </w:r>
      <w:r>
        <w:rPr>
          <w:rFonts w:ascii="Lucida Sans Unicode"/>
          <w:spacing w:val="-19"/>
          <w:w w:val="110"/>
        </w:rPr>
        <w:t> </w:t>
      </w:r>
      <w:r>
        <w:rPr>
          <w:rFonts w:ascii="Lucida Sans Unicode"/>
          <w:spacing w:val="-2"/>
          <w:w w:val="110"/>
        </w:rPr>
        <w:t>which</w:t>
      </w:r>
      <w:r>
        <w:rPr>
          <w:rFonts w:ascii="Lucida Sans Unicode"/>
          <w:spacing w:val="-19"/>
          <w:w w:val="110"/>
        </w:rPr>
        <w:t> </w:t>
      </w:r>
      <w:r>
        <w:rPr>
          <w:rFonts w:ascii="Lucida Sans Unicode"/>
          <w:spacing w:val="-2"/>
          <w:w w:val="110"/>
        </w:rPr>
        <w:t>could</w:t>
      </w:r>
    </w:p>
    <w:p>
      <w:pPr>
        <w:pStyle w:val="BodyText"/>
        <w:spacing w:line="264" w:lineRule="auto" w:before="32"/>
        <w:ind w:right="500"/>
        <w:jc w:val="both"/>
        <w:rPr>
          <w:rFonts w:ascii="Lucida Sans Unicode" w:hAnsi="Lucida Sans Unicode"/>
        </w:rPr>
      </w:pPr>
      <w:r>
        <w:rPr>
          <w:w w:val="110"/>
        </w:rPr>
        <w:t>thus be relied upon directly </w:t>
      </w:r>
      <w:r>
        <w:rPr>
          <w:w w:val="110"/>
        </w:rPr>
        <w:t>against a</w:t>
      </w:r>
      <w:r>
        <w:rPr>
          <w:spacing w:val="-5"/>
          <w:w w:val="110"/>
        </w:rPr>
        <w:t> </w:t>
      </w:r>
      <w:r>
        <w:rPr>
          <w:w w:val="110"/>
        </w:rPr>
        <w:t>private</w:t>
      </w:r>
      <w:r>
        <w:rPr>
          <w:spacing w:val="-5"/>
          <w:w w:val="110"/>
        </w:rPr>
        <w:t> </w:t>
      </w:r>
      <w:r>
        <w:rPr>
          <w:w w:val="110"/>
        </w:rPr>
        <w:t>actor,</w:t>
      </w:r>
      <w:r>
        <w:rPr>
          <w:spacing w:val="-5"/>
          <w:w w:val="110"/>
        </w:rPr>
        <w:t> </w:t>
      </w:r>
      <w:r>
        <w:rPr>
          <w:w w:val="110"/>
        </w:rPr>
        <w:t>such</w:t>
      </w:r>
      <w:r>
        <w:rPr>
          <w:spacing w:val="-5"/>
          <w:w w:val="110"/>
        </w:rPr>
        <w:t> </w:t>
      </w:r>
      <w:r>
        <w:rPr>
          <w:w w:val="110"/>
        </w:rPr>
        <w:t>as</w:t>
      </w:r>
      <w:r>
        <w:rPr>
          <w:spacing w:val="-5"/>
          <w:w w:val="110"/>
        </w:rPr>
        <w:t> </w:t>
      </w:r>
      <w:r>
        <w:rPr>
          <w:w w:val="110"/>
        </w:rPr>
        <w:t>Mr</w:t>
      </w:r>
      <w:r>
        <w:rPr>
          <w:spacing w:val="-5"/>
          <w:w w:val="110"/>
        </w:rPr>
        <w:t> </w:t>
      </w:r>
      <w:r>
        <w:rPr>
          <w:w w:val="110"/>
        </w:rPr>
        <w:t>Walker’s </w:t>
      </w:r>
      <w:r>
        <w:rPr/>
        <w:t>employer</w:t>
      </w:r>
      <w:r>
        <w:rPr>
          <w:spacing w:val="46"/>
        </w:rPr>
        <w:t> </w:t>
      </w:r>
      <w:r>
        <w:rPr/>
        <w:t>(</w:t>
      </w:r>
      <w:r>
        <w:rPr>
          <w:rFonts w:ascii="Verdana" w:hAnsi="Verdana"/>
          <w:i/>
        </w:rPr>
        <w:t>Innospec</w:t>
      </w:r>
      <w:r>
        <w:rPr>
          <w:rFonts w:ascii="Lucida Sans Unicode" w:hAnsi="Lucida Sans Unicode"/>
        </w:rPr>
        <w:t>).</w:t>
      </w:r>
      <w:r>
        <w:rPr>
          <w:rFonts w:ascii="Lucida Sans Unicode" w:hAnsi="Lucida Sans Unicode"/>
          <w:spacing w:val="38"/>
        </w:rPr>
        <w:t> </w:t>
      </w:r>
      <w:r>
        <w:rPr>
          <w:rFonts w:ascii="Lucida Sans Unicode" w:hAnsi="Lucida Sans Unicode"/>
        </w:rPr>
        <w:t>The</w:t>
      </w:r>
      <w:r>
        <w:rPr>
          <w:rFonts w:ascii="Lucida Sans Unicode" w:hAnsi="Lucida Sans Unicode"/>
          <w:spacing w:val="38"/>
        </w:rPr>
        <w:t> </w:t>
      </w:r>
      <w:r>
        <w:rPr>
          <w:rFonts w:ascii="Lucida Sans Unicode" w:hAnsi="Lucida Sans Unicode"/>
          <w:spacing w:val="-2"/>
        </w:rPr>
        <w:t>Supreme</w:t>
      </w:r>
    </w:p>
    <w:p>
      <w:pPr>
        <w:pStyle w:val="BodyText"/>
        <w:spacing w:line="229" w:lineRule="exact"/>
      </w:pPr>
      <w:r>
        <w:rPr>
          <w:w w:val="115"/>
        </w:rPr>
        <w:t>Court</w:t>
      </w:r>
      <w:r>
        <w:rPr>
          <w:spacing w:val="-19"/>
          <w:w w:val="115"/>
        </w:rPr>
        <w:t> </w:t>
      </w:r>
      <w:r>
        <w:rPr>
          <w:w w:val="115"/>
        </w:rPr>
        <w:t>therefore</w:t>
      </w:r>
      <w:r>
        <w:rPr>
          <w:spacing w:val="-19"/>
          <w:w w:val="115"/>
        </w:rPr>
        <w:t> </w:t>
      </w:r>
      <w:r>
        <w:rPr>
          <w:w w:val="115"/>
        </w:rPr>
        <w:t>disapplied</w:t>
      </w:r>
      <w:r>
        <w:rPr>
          <w:spacing w:val="-18"/>
          <w:w w:val="115"/>
        </w:rPr>
        <w:t> </w:t>
      </w:r>
      <w:r>
        <w:rPr>
          <w:spacing w:val="-2"/>
          <w:w w:val="115"/>
        </w:rPr>
        <w:t>paragraph</w:t>
      </w:r>
    </w:p>
    <w:p>
      <w:pPr>
        <w:pStyle w:val="BodyText"/>
        <w:spacing w:line="256" w:lineRule="auto" w:before="8"/>
        <w:ind w:right="533"/>
      </w:pPr>
      <w:r>
        <w:rPr>
          <w:rFonts w:ascii="Lucida Sans Unicode"/>
          <w:w w:val="105"/>
        </w:rPr>
        <w:t>18</w:t>
      </w:r>
      <w:r>
        <w:rPr>
          <w:rFonts w:ascii="Lucida Sans Unicode"/>
          <w:spacing w:val="-19"/>
          <w:w w:val="105"/>
        </w:rPr>
        <w:t> </w:t>
      </w:r>
      <w:r>
        <w:rPr>
          <w:rFonts w:ascii="Lucida Sans Unicode"/>
          <w:w w:val="110"/>
        </w:rPr>
        <w:t>of</w:t>
      </w:r>
      <w:r>
        <w:rPr>
          <w:rFonts w:ascii="Lucida Sans Unicode"/>
          <w:spacing w:val="-21"/>
          <w:w w:val="110"/>
        </w:rPr>
        <w:t> </w:t>
      </w:r>
      <w:r>
        <w:rPr>
          <w:rFonts w:ascii="Lucida Sans Unicode"/>
          <w:w w:val="110"/>
        </w:rPr>
        <w:t>Schedule</w:t>
      </w:r>
      <w:r>
        <w:rPr>
          <w:rFonts w:ascii="Lucida Sans Unicode"/>
          <w:spacing w:val="-21"/>
          <w:w w:val="110"/>
        </w:rPr>
        <w:t> </w:t>
      </w:r>
      <w:r>
        <w:rPr>
          <w:rFonts w:ascii="Lucida Sans Unicode"/>
          <w:w w:val="110"/>
        </w:rPr>
        <w:t>9</w:t>
      </w:r>
      <w:r>
        <w:rPr>
          <w:rFonts w:ascii="Lucida Sans Unicode"/>
          <w:spacing w:val="-21"/>
          <w:w w:val="110"/>
        </w:rPr>
        <w:t> </w:t>
      </w:r>
      <w:r>
        <w:rPr>
          <w:rFonts w:ascii="Lucida Sans Unicode"/>
          <w:w w:val="110"/>
        </w:rPr>
        <w:t>of</w:t>
      </w:r>
      <w:r>
        <w:rPr>
          <w:rFonts w:ascii="Lucida Sans Unicode"/>
          <w:spacing w:val="-20"/>
          <w:w w:val="110"/>
        </w:rPr>
        <w:t> </w:t>
      </w:r>
      <w:r>
        <w:rPr>
          <w:rFonts w:ascii="Lucida Sans Unicode"/>
          <w:w w:val="110"/>
        </w:rPr>
        <w:t>the</w:t>
      </w:r>
      <w:r>
        <w:rPr>
          <w:rFonts w:ascii="Lucida Sans Unicode"/>
          <w:spacing w:val="-21"/>
          <w:w w:val="110"/>
        </w:rPr>
        <w:t> </w:t>
      </w:r>
      <w:r>
        <w:rPr>
          <w:rFonts w:ascii="Lucida Sans Unicode"/>
          <w:w w:val="110"/>
        </w:rPr>
        <w:t>Act</w:t>
      </w:r>
      <w:r>
        <w:rPr>
          <w:rFonts w:ascii="Lucida Sans Unicode"/>
          <w:spacing w:val="-21"/>
          <w:w w:val="110"/>
        </w:rPr>
        <w:t> </w:t>
      </w:r>
      <w:r>
        <w:rPr>
          <w:rFonts w:ascii="Lucida Sans Unicode"/>
          <w:w w:val="110"/>
        </w:rPr>
        <w:t>and </w:t>
      </w:r>
      <w:r>
        <w:rPr>
          <w:w w:val="110"/>
        </w:rPr>
        <w:t>ordered that pension </w:t>
      </w:r>
      <w:r>
        <w:rPr>
          <w:w w:val="110"/>
        </w:rPr>
        <w:t>entitlements</w:t>
      </w:r>
      <w:r>
        <w:rPr>
          <w:w w:val="110"/>
        </w:rPr>
        <w:t> be</w:t>
      </w:r>
      <w:r>
        <w:rPr>
          <w:spacing w:val="19"/>
          <w:w w:val="110"/>
        </w:rPr>
        <w:t> </w:t>
      </w:r>
      <w:r>
        <w:rPr>
          <w:w w:val="110"/>
        </w:rPr>
        <w:t>recalculated</w:t>
      </w:r>
      <w:r>
        <w:rPr>
          <w:spacing w:val="20"/>
          <w:w w:val="110"/>
        </w:rPr>
        <w:t> </w:t>
      </w:r>
      <w:r>
        <w:rPr>
          <w:w w:val="110"/>
        </w:rPr>
        <w:t>with</w:t>
      </w:r>
      <w:r>
        <w:rPr>
          <w:spacing w:val="20"/>
          <w:w w:val="110"/>
        </w:rPr>
        <w:t> </w:t>
      </w:r>
      <w:r>
        <w:rPr>
          <w:spacing w:val="-2"/>
          <w:w w:val="110"/>
        </w:rPr>
        <w:t>retrospective</w:t>
      </w:r>
    </w:p>
    <w:p>
      <w:pPr>
        <w:pStyle w:val="BodyText"/>
        <w:spacing w:line="280" w:lineRule="auto" w:before="18"/>
        <w:ind w:right="204"/>
      </w:pPr>
      <w:r>
        <w:rPr>
          <w:w w:val="115"/>
        </w:rPr>
        <w:t>effect,</w:t>
      </w:r>
      <w:r>
        <w:rPr>
          <w:spacing w:val="-20"/>
          <w:w w:val="115"/>
        </w:rPr>
        <w:t> </w:t>
      </w:r>
      <w:r>
        <w:rPr>
          <w:w w:val="115"/>
        </w:rPr>
        <w:t>in</w:t>
      </w:r>
      <w:r>
        <w:rPr>
          <w:spacing w:val="-19"/>
          <w:w w:val="115"/>
        </w:rPr>
        <w:t> </w:t>
      </w:r>
      <w:r>
        <w:rPr>
          <w:w w:val="115"/>
        </w:rPr>
        <w:t>line</w:t>
      </w:r>
      <w:r>
        <w:rPr>
          <w:spacing w:val="-19"/>
          <w:w w:val="115"/>
        </w:rPr>
        <w:t> </w:t>
      </w:r>
      <w:r>
        <w:rPr>
          <w:w w:val="115"/>
        </w:rPr>
        <w:t>with</w:t>
      </w:r>
      <w:r>
        <w:rPr>
          <w:spacing w:val="-19"/>
          <w:w w:val="115"/>
        </w:rPr>
        <w:t> </w:t>
      </w:r>
      <w:r>
        <w:rPr>
          <w:w w:val="115"/>
        </w:rPr>
        <w:t>the</w:t>
      </w:r>
      <w:r>
        <w:rPr>
          <w:spacing w:val="-19"/>
          <w:w w:val="115"/>
        </w:rPr>
        <w:t> </w:t>
      </w:r>
      <w:r>
        <w:rPr>
          <w:w w:val="115"/>
        </w:rPr>
        <w:t>CJEU</w:t>
      </w:r>
      <w:r>
        <w:rPr>
          <w:spacing w:val="-20"/>
          <w:w w:val="115"/>
        </w:rPr>
        <w:t> </w:t>
      </w:r>
      <w:r>
        <w:rPr>
          <w:w w:val="115"/>
        </w:rPr>
        <w:t>approach to interpretation (as discussed in</w:t>
      </w:r>
    </w:p>
    <w:p>
      <w:pPr>
        <w:pStyle w:val="BodyText"/>
        <w:spacing w:line="274" w:lineRule="exact"/>
        <w:rPr>
          <w:rFonts w:ascii="Verdana"/>
          <w:i/>
        </w:rPr>
      </w:pPr>
      <w:r>
        <w:rPr>
          <w:w w:val="110"/>
        </w:rPr>
        <w:t>the</w:t>
      </w:r>
      <w:r>
        <w:rPr>
          <w:spacing w:val="14"/>
          <w:w w:val="110"/>
        </w:rPr>
        <w:t> </w:t>
      </w:r>
      <w:r>
        <w:rPr>
          <w:w w:val="110"/>
        </w:rPr>
        <w:t>preceding</w:t>
      </w:r>
      <w:r>
        <w:rPr>
          <w:spacing w:val="15"/>
          <w:w w:val="110"/>
        </w:rPr>
        <w:t> </w:t>
      </w:r>
      <w:r>
        <w:rPr>
          <w:w w:val="110"/>
        </w:rPr>
        <w:t>chapter).</w:t>
      </w:r>
      <w:r>
        <w:rPr>
          <w:spacing w:val="14"/>
          <w:w w:val="110"/>
        </w:rPr>
        <w:t> </w:t>
      </w:r>
      <w:r>
        <w:rPr>
          <w:w w:val="110"/>
        </w:rPr>
        <w:t>The</w:t>
      </w:r>
      <w:r>
        <w:rPr>
          <w:spacing w:val="15"/>
          <w:w w:val="110"/>
        </w:rPr>
        <w:t> </w:t>
      </w:r>
      <w:r>
        <w:rPr>
          <w:rFonts w:ascii="Verdana"/>
          <w:i/>
          <w:spacing w:val="-2"/>
          <w:w w:val="110"/>
        </w:rPr>
        <w:t>Walker</w:t>
      </w:r>
    </w:p>
    <w:p>
      <w:pPr>
        <w:pStyle w:val="BodyText"/>
        <w:spacing w:line="322" w:lineRule="exact" w:before="14"/>
        <w:ind w:right="161"/>
        <w:rPr>
          <w:rFonts w:ascii="Lucida Sans Unicode"/>
        </w:rPr>
      </w:pPr>
      <w:r>
        <w:rPr>
          <w:rFonts w:ascii="Lucida Sans Unicode"/>
        </w:rPr>
        <w:t>case, therefore, had significant </w:t>
      </w:r>
      <w:r>
        <w:rPr>
          <w:w w:val="110"/>
        </w:rPr>
        <w:t>repercussions for employers contributing to private pension </w:t>
      </w:r>
      <w:r>
        <w:rPr>
          <w:w w:val="110"/>
        </w:rPr>
        <w:t>funds and for the administration of those </w:t>
      </w:r>
      <w:r>
        <w:rPr>
          <w:rFonts w:ascii="Lucida Sans Unicode"/>
        </w:rPr>
        <w:t>funds. Moreover, while Schedule 9</w:t>
      </w:r>
    </w:p>
    <w:p>
      <w:pPr>
        <w:pStyle w:val="BodyText"/>
        <w:spacing w:before="32"/>
        <w:ind w:right="440"/>
      </w:pPr>
      <w:r>
        <w:rPr>
          <w:w w:val="110"/>
        </w:rPr>
        <w:t>of the Equality Act has now been </w:t>
      </w:r>
      <w:r>
        <w:rPr>
          <w:rFonts w:ascii="Lucida Sans Unicode"/>
        </w:rPr>
        <w:t>modified, rendering the point </w:t>
      </w:r>
      <w:r>
        <w:rPr>
          <w:rFonts w:ascii="Lucida Sans Unicode"/>
        </w:rPr>
        <w:t>moot </w:t>
      </w:r>
      <w:r>
        <w:rPr>
          <w:w w:val="110"/>
        </w:rPr>
        <w:t>in this instance, it is important that </w:t>
      </w:r>
      <w:r>
        <w:rPr>
          <w:rFonts w:ascii="Lucida Sans Unicode"/>
          <w:w w:val="110"/>
        </w:rPr>
        <w:t>the</w:t>
      </w:r>
      <w:r>
        <w:rPr>
          <w:rFonts w:ascii="Lucida Sans Unicode"/>
          <w:spacing w:val="-21"/>
          <w:w w:val="110"/>
        </w:rPr>
        <w:t> </w:t>
      </w:r>
      <w:r>
        <w:rPr>
          <w:rFonts w:ascii="Lucida Sans Unicode"/>
          <w:w w:val="110"/>
        </w:rPr>
        <w:t>Supreme</w:t>
      </w:r>
      <w:r>
        <w:rPr>
          <w:rFonts w:ascii="Lucida Sans Unicode"/>
          <w:spacing w:val="-20"/>
          <w:w w:val="110"/>
        </w:rPr>
        <w:t> </w:t>
      </w:r>
      <w:r>
        <w:rPr>
          <w:rFonts w:ascii="Lucida Sans Unicode"/>
          <w:w w:val="110"/>
        </w:rPr>
        <w:t>Court</w:t>
      </w:r>
      <w:r>
        <w:rPr>
          <w:rFonts w:ascii="Lucida Sans Unicode"/>
          <w:spacing w:val="-21"/>
          <w:w w:val="110"/>
        </w:rPr>
        <w:t> </w:t>
      </w:r>
      <w:r>
        <w:rPr>
          <w:rFonts w:ascii="Lucida Sans Unicode"/>
          <w:w w:val="110"/>
        </w:rPr>
        <w:t>did</w:t>
      </w:r>
      <w:r>
        <w:rPr>
          <w:rFonts w:ascii="Lucida Sans Unicode"/>
          <w:spacing w:val="-20"/>
          <w:w w:val="110"/>
        </w:rPr>
        <w:t> </w:t>
      </w:r>
      <w:r>
        <w:rPr>
          <w:rFonts w:ascii="Lucida Sans Unicode"/>
          <w:w w:val="110"/>
        </w:rPr>
        <w:t>not</w:t>
      </w:r>
      <w:r>
        <w:rPr>
          <w:rFonts w:ascii="Lucida Sans Unicode"/>
          <w:spacing w:val="-21"/>
          <w:w w:val="110"/>
        </w:rPr>
        <w:t> </w:t>
      </w:r>
      <w:r>
        <w:rPr>
          <w:rFonts w:ascii="Lucida Sans Unicode"/>
          <w:w w:val="110"/>
        </w:rPr>
        <w:t>go</w:t>
      </w:r>
      <w:r>
        <w:rPr>
          <w:rFonts w:ascii="Lucida Sans Unicode"/>
          <w:spacing w:val="-20"/>
          <w:w w:val="110"/>
        </w:rPr>
        <w:t> </w:t>
      </w:r>
      <w:r>
        <w:rPr>
          <w:rFonts w:ascii="Lucida Sans Unicode"/>
          <w:w w:val="110"/>
        </w:rPr>
        <w:t>on </w:t>
      </w:r>
      <w:r>
        <w:rPr>
          <w:w w:val="110"/>
        </w:rPr>
        <w:t>to decide whether a declaration of</w:t>
      </w:r>
    </w:p>
    <w:p>
      <w:pPr>
        <w:pStyle w:val="BodyText"/>
        <w:spacing w:line="247" w:lineRule="auto" w:before="45"/>
        <w:ind w:right="161"/>
      </w:pPr>
      <w:r>
        <w:rPr>
          <w:w w:val="110"/>
        </w:rPr>
        <w:t>incompatibility should also be </w:t>
      </w:r>
      <w:r>
        <w:rPr>
          <w:w w:val="110"/>
        </w:rPr>
        <w:t>made </w:t>
      </w:r>
      <w:r>
        <w:rPr>
          <w:rFonts w:ascii="Lucida Sans Unicode"/>
        </w:rPr>
        <w:t>under section 4 HRA.</w:t>
      </w:r>
      <w:r>
        <w:rPr>
          <w:rFonts w:ascii="Lucida Sans Unicode"/>
          <w:vertAlign w:val="superscript"/>
        </w:rPr>
        <w:t>257</w:t>
      </w:r>
      <w:r>
        <w:rPr>
          <w:rFonts w:ascii="Lucida Sans Unicode"/>
          <w:vertAlign w:val="baseline"/>
        </w:rPr>
        <w:t> </w:t>
      </w:r>
      <w:r>
        <w:rPr>
          <w:vertAlign w:val="baseline"/>
        </w:rPr>
        <w:t>This shows,</w:t>
      </w:r>
    </w:p>
    <w:p>
      <w:pPr>
        <w:pStyle w:val="BodyText"/>
        <w:spacing w:line="306" w:lineRule="exact"/>
        <w:rPr>
          <w:rFonts w:ascii="Lucida Sans Unicode"/>
        </w:rPr>
      </w:pPr>
      <w:r>
        <w:rPr>
          <w:rFonts w:ascii="Lucida Sans Unicode"/>
        </w:rPr>
        <w:t>as</w:t>
      </w:r>
      <w:r>
        <w:rPr>
          <w:rFonts w:ascii="Lucida Sans Unicode"/>
          <w:spacing w:val="3"/>
        </w:rPr>
        <w:t> </w:t>
      </w:r>
      <w:r>
        <w:rPr>
          <w:rFonts w:ascii="Lucida Sans Unicode"/>
        </w:rPr>
        <w:t>Alison</w:t>
      </w:r>
      <w:r>
        <w:rPr>
          <w:rFonts w:ascii="Lucida Sans Unicode"/>
          <w:spacing w:val="3"/>
        </w:rPr>
        <w:t> </w:t>
      </w:r>
      <w:r>
        <w:rPr>
          <w:rFonts w:ascii="Lucida Sans Unicode"/>
        </w:rPr>
        <w:t>Young</w:t>
      </w:r>
      <w:r>
        <w:rPr>
          <w:rFonts w:ascii="Lucida Sans Unicode"/>
          <w:spacing w:val="3"/>
        </w:rPr>
        <w:t> </w:t>
      </w:r>
      <w:r>
        <w:rPr>
          <w:rFonts w:ascii="Lucida Sans Unicode"/>
        </w:rPr>
        <w:t>has</w:t>
      </w:r>
      <w:r>
        <w:rPr>
          <w:rFonts w:ascii="Lucida Sans Unicode"/>
          <w:spacing w:val="3"/>
        </w:rPr>
        <w:t> </w:t>
      </w:r>
      <w:r>
        <w:rPr>
          <w:rFonts w:ascii="Lucida Sans Unicode"/>
        </w:rPr>
        <w:t>noted,</w:t>
      </w:r>
      <w:r>
        <w:rPr>
          <w:rFonts w:ascii="Lucida Sans Unicode"/>
          <w:spacing w:val="3"/>
        </w:rPr>
        <w:t> </w:t>
      </w:r>
      <w:r>
        <w:rPr>
          <w:rFonts w:ascii="Lucida Sans Unicode"/>
        </w:rPr>
        <w:t>that</w:t>
      </w:r>
      <w:r>
        <w:rPr>
          <w:rFonts w:ascii="Lucida Sans Unicode"/>
          <w:spacing w:val="4"/>
        </w:rPr>
        <w:t> </w:t>
      </w:r>
      <w:r>
        <w:rPr>
          <w:rFonts w:ascii="Lucida Sans Unicode"/>
          <w:spacing w:val="-2"/>
        </w:rPr>
        <w:t>courts</w:t>
      </w:r>
    </w:p>
    <w:p>
      <w:pPr>
        <w:pStyle w:val="BodyText"/>
        <w:spacing w:line="280" w:lineRule="auto"/>
        <w:ind w:right="204"/>
      </w:pPr>
      <w:r>
        <w:rPr>
          <w:w w:val="115"/>
        </w:rPr>
        <w:t>in</w:t>
      </w:r>
      <w:r>
        <w:rPr>
          <w:spacing w:val="-20"/>
          <w:w w:val="115"/>
        </w:rPr>
        <w:t> </w:t>
      </w:r>
      <w:r>
        <w:rPr>
          <w:w w:val="115"/>
        </w:rPr>
        <w:t>the</w:t>
      </w:r>
      <w:r>
        <w:rPr>
          <w:spacing w:val="-19"/>
          <w:w w:val="115"/>
        </w:rPr>
        <w:t> </w:t>
      </w:r>
      <w:r>
        <w:rPr>
          <w:w w:val="115"/>
        </w:rPr>
        <w:t>UK</w:t>
      </w:r>
      <w:r>
        <w:rPr>
          <w:spacing w:val="-19"/>
          <w:w w:val="115"/>
        </w:rPr>
        <w:t> </w:t>
      </w:r>
      <w:r>
        <w:rPr>
          <w:w w:val="115"/>
        </w:rPr>
        <w:t>had</w:t>
      </w:r>
      <w:r>
        <w:rPr>
          <w:spacing w:val="-19"/>
          <w:w w:val="115"/>
        </w:rPr>
        <w:t> </w:t>
      </w:r>
      <w:r>
        <w:rPr>
          <w:w w:val="115"/>
        </w:rPr>
        <w:t>become</w:t>
      </w:r>
      <w:r>
        <w:rPr>
          <w:spacing w:val="-19"/>
          <w:w w:val="115"/>
        </w:rPr>
        <w:t> </w:t>
      </w:r>
      <w:r>
        <w:rPr>
          <w:w w:val="115"/>
        </w:rPr>
        <w:t>accustomed</w:t>
      </w:r>
      <w:r>
        <w:rPr>
          <w:spacing w:val="-20"/>
          <w:w w:val="115"/>
        </w:rPr>
        <w:t> </w:t>
      </w:r>
      <w:r>
        <w:rPr>
          <w:w w:val="115"/>
        </w:rPr>
        <w:t>to using disapplication under EU law,</w:t>
      </w:r>
    </w:p>
    <w:p>
      <w:pPr>
        <w:pStyle w:val="BodyText"/>
        <w:spacing w:line="280" w:lineRule="auto"/>
        <w:ind w:right="317"/>
      </w:pPr>
      <w:r>
        <w:rPr>
          <w:spacing w:val="-2"/>
          <w:w w:val="115"/>
        </w:rPr>
        <w:t>in</w:t>
      </w:r>
      <w:r>
        <w:rPr>
          <w:spacing w:val="-18"/>
          <w:w w:val="115"/>
        </w:rPr>
        <w:t> </w:t>
      </w:r>
      <w:r>
        <w:rPr>
          <w:spacing w:val="-2"/>
          <w:w w:val="115"/>
        </w:rPr>
        <w:t>some</w:t>
      </w:r>
      <w:r>
        <w:rPr>
          <w:spacing w:val="-17"/>
          <w:w w:val="115"/>
        </w:rPr>
        <w:t> </w:t>
      </w:r>
      <w:r>
        <w:rPr>
          <w:spacing w:val="-2"/>
          <w:w w:val="115"/>
        </w:rPr>
        <w:t>cases</w:t>
      </w:r>
      <w:r>
        <w:rPr>
          <w:spacing w:val="-17"/>
          <w:w w:val="115"/>
        </w:rPr>
        <w:t> </w:t>
      </w:r>
      <w:r>
        <w:rPr>
          <w:spacing w:val="-2"/>
          <w:w w:val="115"/>
        </w:rPr>
        <w:t>even</w:t>
      </w:r>
      <w:r>
        <w:rPr>
          <w:spacing w:val="-17"/>
          <w:w w:val="115"/>
        </w:rPr>
        <w:t> </w:t>
      </w:r>
      <w:r>
        <w:rPr>
          <w:spacing w:val="-2"/>
          <w:w w:val="115"/>
        </w:rPr>
        <w:t>instead</w:t>
      </w:r>
      <w:r>
        <w:rPr>
          <w:spacing w:val="-17"/>
          <w:w w:val="115"/>
        </w:rPr>
        <w:t> </w:t>
      </w:r>
      <w:r>
        <w:rPr>
          <w:spacing w:val="-2"/>
          <w:w w:val="115"/>
        </w:rPr>
        <w:t>of</w:t>
      </w:r>
      <w:r>
        <w:rPr>
          <w:spacing w:val="-18"/>
          <w:w w:val="115"/>
        </w:rPr>
        <w:t> </w:t>
      </w:r>
      <w:r>
        <w:rPr>
          <w:spacing w:val="-2"/>
          <w:w w:val="115"/>
        </w:rPr>
        <w:t>the </w:t>
      </w:r>
      <w:r>
        <w:rPr>
          <w:w w:val="115"/>
        </w:rPr>
        <w:t>HRA so that, over the last two decades, ‘what might once have </w:t>
      </w:r>
      <w:r>
        <w:rPr>
          <w:w w:val="110"/>
        </w:rPr>
        <w:t>seemed</w:t>
      </w:r>
      <w:r>
        <w:rPr>
          <w:spacing w:val="-3"/>
          <w:w w:val="110"/>
        </w:rPr>
        <w:t> </w:t>
      </w:r>
      <w:r>
        <w:rPr>
          <w:w w:val="110"/>
        </w:rPr>
        <w:t>controversial</w:t>
      </w:r>
      <w:r>
        <w:rPr>
          <w:spacing w:val="-3"/>
          <w:w w:val="110"/>
        </w:rPr>
        <w:t> </w:t>
      </w:r>
      <w:r>
        <w:rPr>
          <w:w w:val="110"/>
        </w:rPr>
        <w:t>has</w:t>
      </w:r>
      <w:r>
        <w:rPr>
          <w:spacing w:val="-3"/>
          <w:w w:val="110"/>
        </w:rPr>
        <w:t> </w:t>
      </w:r>
      <w:r>
        <w:rPr>
          <w:w w:val="110"/>
        </w:rPr>
        <w:t>become</w:t>
      </w:r>
    </w:p>
    <w:p>
      <w:pPr>
        <w:pStyle w:val="BodyText"/>
        <w:spacing w:line="327" w:lineRule="exact"/>
        <w:rPr>
          <w:rFonts w:ascii="Lucida Sans Unicode" w:hAnsi="Lucida Sans Unicode"/>
        </w:rPr>
      </w:pPr>
      <w:r>
        <w:rPr>
          <w:w w:val="115"/>
        </w:rPr>
        <w:t>run</w:t>
      </w:r>
      <w:r>
        <w:rPr>
          <w:spacing w:val="-4"/>
          <w:w w:val="115"/>
        </w:rPr>
        <w:t> </w:t>
      </w:r>
      <w:r>
        <w:rPr>
          <w:w w:val="115"/>
        </w:rPr>
        <w:t>of</w:t>
      </w:r>
      <w:r>
        <w:rPr>
          <w:spacing w:val="-3"/>
          <w:w w:val="115"/>
        </w:rPr>
        <w:t> </w:t>
      </w:r>
      <w:r>
        <w:rPr>
          <w:w w:val="115"/>
        </w:rPr>
        <w:t>the</w:t>
      </w:r>
      <w:r>
        <w:rPr>
          <w:spacing w:val="-3"/>
          <w:w w:val="115"/>
        </w:rPr>
        <w:t> </w:t>
      </w:r>
      <w:r>
        <w:rPr>
          <w:spacing w:val="-2"/>
          <w:w w:val="115"/>
        </w:rPr>
        <w:t>mill.’</w:t>
      </w:r>
      <w:r>
        <w:rPr>
          <w:rFonts w:ascii="Lucida Sans Unicode" w:hAnsi="Lucida Sans Unicode"/>
          <w:spacing w:val="-2"/>
          <w:w w:val="115"/>
          <w:vertAlign w:val="superscript"/>
        </w:rPr>
        <w:t>258</w:t>
      </w:r>
    </w:p>
    <w:p>
      <w:pPr>
        <w:spacing w:after="0" w:line="327" w:lineRule="exact"/>
        <w:rPr>
          <w:rFonts w:ascii="Lucida Sans Unicode" w:hAnsi="Lucida Sans Unicode"/>
        </w:rPr>
        <w:sectPr>
          <w:type w:val="continuous"/>
          <w:pgSz w:w="11910" w:h="16840"/>
          <w:pgMar w:header="568" w:footer="580" w:top="0" w:bottom="280" w:left="1020" w:right="1020"/>
          <w:cols w:num="2" w:equalWidth="0">
            <w:col w:w="4742" w:space="304"/>
            <w:col w:w="4824"/>
          </w:cols>
        </w:sectPr>
      </w:pPr>
    </w:p>
    <w:p>
      <w:pPr>
        <w:pStyle w:val="BodyText"/>
        <w:spacing w:before="6"/>
        <w:ind w:left="0"/>
        <w:rPr>
          <w:rFonts w:ascii="Lucida Sans Unicode"/>
          <w:sz w:val="12"/>
        </w:rPr>
      </w:pPr>
    </w:p>
    <w:p>
      <w:pPr>
        <w:pStyle w:val="BodyText"/>
        <w:spacing w:line="20" w:lineRule="exact"/>
        <w:rPr>
          <w:rFonts w:ascii="Lucida Sans Unicode"/>
          <w:sz w:val="2"/>
        </w:rPr>
      </w:pPr>
      <w:r>
        <w:rPr>
          <w:rFonts w:ascii="Lucida Sans Unicode"/>
          <w:sz w:val="2"/>
        </w:rPr>
        <mc:AlternateContent>
          <mc:Choice Requires="wps">
            <w:drawing>
              <wp:inline distT="0" distB="0" distL="0" distR="0">
                <wp:extent cx="6120130" cy="6350"/>
                <wp:effectExtent l="9525" t="0" r="0" b="3175"/>
                <wp:docPr id="166" name="Group 166"/>
                <wp:cNvGraphicFramePr>
                  <a:graphicFrameLocks/>
                </wp:cNvGraphicFramePr>
                <a:graphic>
                  <a:graphicData uri="http://schemas.microsoft.com/office/word/2010/wordprocessingGroup">
                    <wpg:wgp>
                      <wpg:cNvPr id="166" name="Group 166"/>
                      <wpg:cNvGrpSpPr/>
                      <wpg:grpSpPr>
                        <a:xfrm>
                          <a:off x="0" y="0"/>
                          <a:ext cx="6120130" cy="6350"/>
                          <a:chExt cx="6120130" cy="6350"/>
                        </a:xfrm>
                      </wpg:grpSpPr>
                      <wps:wsp>
                        <wps:cNvPr id="167" name="Graphic 167"/>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102" coordorigin="0,0" coordsize="9638,10">
                <v:line style="position:absolute" from="0,5" to="9638,5" stroked="true" strokeweight=".5pt" strokecolor="#77328a">
                  <v:stroke dashstyle="solid"/>
                </v:line>
              </v:group>
            </w:pict>
          </mc:Fallback>
        </mc:AlternateContent>
      </w:r>
      <w:r>
        <w:rPr>
          <w:rFonts w:ascii="Lucida Sans Unicode"/>
          <w:sz w:val="2"/>
        </w:rPr>
      </w:r>
    </w:p>
    <w:p>
      <w:pPr>
        <w:pStyle w:val="ListParagraph"/>
        <w:numPr>
          <w:ilvl w:val="0"/>
          <w:numId w:val="14"/>
        </w:numPr>
        <w:tabs>
          <w:tab w:pos="565" w:val="left" w:leader="none"/>
          <w:tab w:pos="567" w:val="left" w:leader="none"/>
        </w:tabs>
        <w:spacing w:line="194" w:lineRule="auto" w:before="94" w:after="0"/>
        <w:ind w:left="567" w:right="162" w:hanging="454"/>
        <w:jc w:val="left"/>
        <w:rPr>
          <w:sz w:val="16"/>
        </w:rPr>
      </w:pPr>
      <w:r>
        <w:rPr>
          <w:rFonts w:ascii="Verdana" w:hAnsi="Verdana"/>
          <w:i/>
          <w:sz w:val="16"/>
        </w:rPr>
        <w:t>Benkharbouche</w:t>
      </w:r>
      <w:r>
        <w:rPr>
          <w:rFonts w:ascii="Verdana" w:hAnsi="Verdana"/>
          <w:i/>
          <w:spacing w:val="-7"/>
          <w:sz w:val="16"/>
        </w:rPr>
        <w:t> </w:t>
      </w:r>
      <w:r>
        <w:rPr>
          <w:rFonts w:ascii="Verdana" w:hAnsi="Verdana"/>
          <w:i/>
          <w:sz w:val="16"/>
        </w:rPr>
        <w:t>and</w:t>
      </w:r>
      <w:r>
        <w:rPr>
          <w:rFonts w:ascii="Verdana" w:hAnsi="Verdana"/>
          <w:i/>
          <w:spacing w:val="-7"/>
          <w:sz w:val="16"/>
        </w:rPr>
        <w:t> </w:t>
      </w:r>
      <w:r>
        <w:rPr>
          <w:rFonts w:ascii="Verdana" w:hAnsi="Verdana"/>
          <w:i/>
          <w:sz w:val="16"/>
        </w:rPr>
        <w:t>Janah</w:t>
      </w:r>
      <w:r>
        <w:rPr>
          <w:rFonts w:ascii="Verdana" w:hAnsi="Verdana"/>
          <w:i/>
          <w:spacing w:val="-7"/>
          <w:sz w:val="16"/>
        </w:rPr>
        <w:t> </w:t>
      </w:r>
      <w:r>
        <w:rPr>
          <w:rFonts w:ascii="Verdana" w:hAnsi="Verdana"/>
          <w:i/>
          <w:sz w:val="16"/>
        </w:rPr>
        <w:t>v</w:t>
      </w:r>
      <w:r>
        <w:rPr>
          <w:rFonts w:ascii="Verdana" w:hAnsi="Verdana"/>
          <w:i/>
          <w:spacing w:val="-7"/>
          <w:sz w:val="16"/>
        </w:rPr>
        <w:t> </w:t>
      </w:r>
      <w:r>
        <w:rPr>
          <w:rFonts w:ascii="Verdana" w:hAnsi="Verdana"/>
          <w:i/>
          <w:sz w:val="16"/>
        </w:rPr>
        <w:t>the</w:t>
      </w:r>
      <w:r>
        <w:rPr>
          <w:rFonts w:ascii="Verdana" w:hAnsi="Verdana"/>
          <w:i/>
          <w:spacing w:val="-7"/>
          <w:sz w:val="16"/>
        </w:rPr>
        <w:t> </w:t>
      </w:r>
      <w:r>
        <w:rPr>
          <w:rFonts w:ascii="Verdana" w:hAnsi="Verdana"/>
          <w:i/>
          <w:sz w:val="16"/>
        </w:rPr>
        <w:t>United</w:t>
      </w:r>
      <w:r>
        <w:rPr>
          <w:rFonts w:ascii="Verdana" w:hAnsi="Verdana"/>
          <w:i/>
          <w:spacing w:val="-7"/>
          <w:sz w:val="16"/>
        </w:rPr>
        <w:t> </w:t>
      </w:r>
      <w:r>
        <w:rPr>
          <w:rFonts w:ascii="Verdana" w:hAnsi="Verdana"/>
          <w:i/>
          <w:sz w:val="16"/>
        </w:rPr>
        <w:t>Kingdom</w:t>
      </w:r>
      <w:r>
        <w:rPr>
          <w:sz w:val="16"/>
        </w:rPr>
        <w:t>,</w:t>
      </w:r>
      <w:r>
        <w:rPr>
          <w:spacing w:val="-1"/>
          <w:sz w:val="16"/>
        </w:rPr>
        <w:t> </w:t>
      </w:r>
      <w:r>
        <w:rPr>
          <w:sz w:val="16"/>
        </w:rPr>
        <w:t>App</w:t>
      </w:r>
      <w:r>
        <w:rPr>
          <w:spacing w:val="-1"/>
          <w:sz w:val="16"/>
        </w:rPr>
        <w:t> </w:t>
      </w:r>
      <w:r>
        <w:rPr>
          <w:sz w:val="16"/>
        </w:rPr>
        <w:t>nos</w:t>
      </w:r>
      <w:r>
        <w:rPr>
          <w:spacing w:val="-1"/>
          <w:sz w:val="16"/>
        </w:rPr>
        <w:t> </w:t>
      </w:r>
      <w:r>
        <w:rPr>
          <w:sz w:val="16"/>
        </w:rPr>
        <w:t>19059/18</w:t>
      </w:r>
      <w:r>
        <w:rPr>
          <w:spacing w:val="-1"/>
          <w:sz w:val="16"/>
        </w:rPr>
        <w:t> </w:t>
      </w:r>
      <w:r>
        <w:rPr>
          <w:sz w:val="16"/>
        </w:rPr>
        <w:t>and</w:t>
      </w:r>
      <w:r>
        <w:rPr>
          <w:spacing w:val="-1"/>
          <w:sz w:val="16"/>
        </w:rPr>
        <w:t> </w:t>
      </w:r>
      <w:r>
        <w:rPr>
          <w:sz w:val="16"/>
        </w:rPr>
        <w:t>19725/18,</w:t>
      </w:r>
      <w:r>
        <w:rPr>
          <w:spacing w:val="-1"/>
          <w:sz w:val="16"/>
        </w:rPr>
        <w:t> </w:t>
      </w:r>
      <w:r>
        <w:rPr>
          <w:sz w:val="16"/>
        </w:rPr>
        <w:t>ECtHR</w:t>
      </w:r>
      <w:r>
        <w:rPr>
          <w:spacing w:val="-1"/>
          <w:sz w:val="16"/>
        </w:rPr>
        <w:t> </w:t>
      </w:r>
      <w:r>
        <w:rPr>
          <w:sz w:val="16"/>
        </w:rPr>
        <w:t>05.4.2022.</w:t>
      </w:r>
      <w:r>
        <w:rPr>
          <w:spacing w:val="-1"/>
          <w:sz w:val="16"/>
        </w:rPr>
        <w:t> </w:t>
      </w:r>
      <w:r>
        <w:rPr>
          <w:sz w:val="16"/>
        </w:rPr>
        <w:t>On</w:t>
      </w:r>
      <w:r>
        <w:rPr>
          <w:spacing w:val="-1"/>
          <w:sz w:val="16"/>
        </w:rPr>
        <w:t> </w:t>
      </w:r>
      <w:r>
        <w:rPr>
          <w:sz w:val="16"/>
        </w:rPr>
        <w:t>the process and remedial order, see further: Joint Committee on Human Rights, ‘Draft State Immunity Act 1978 (Remedial) Order 2022: Second Report’, 7th report of Session 2022-23, HC 895, HL Paper 103, 29 November 2022, </w:t>
      </w:r>
      <w:r>
        <w:rPr>
          <w:rFonts w:ascii="Arial" w:hAnsi="Arial"/>
          <w:spacing w:val="-2"/>
          <w:sz w:val="16"/>
        </w:rPr>
        <w:t>available at </w:t>
      </w:r>
      <w:r>
        <w:rPr>
          <w:color w:val="77328A"/>
          <w:spacing w:val="-2"/>
          <w:sz w:val="16"/>
          <w:u w:val="single" w:color="77328A"/>
        </w:rPr>
        <w:t>https://committees.parliament.uk/publications/31758/documents/178682/default/#:~:text=On%207%20</w:t>
      </w:r>
      <w:r>
        <w:rPr>
          <w:color w:val="77328A"/>
          <w:spacing w:val="-2"/>
          <w:sz w:val="16"/>
          <w:u w:val="none"/>
        </w:rPr>
        <w:t> </w:t>
      </w:r>
      <w:r>
        <w:rPr>
          <w:color w:val="77328A"/>
          <w:spacing w:val="-2"/>
          <w:sz w:val="16"/>
          <w:u w:val="single" w:color="77328A"/>
        </w:rPr>
        <w:t>September%202022%2C%20the,Affairs%20and%20Secretary%20of%20State</w:t>
      </w:r>
    </w:p>
    <w:p>
      <w:pPr>
        <w:pStyle w:val="ListParagraph"/>
        <w:numPr>
          <w:ilvl w:val="0"/>
          <w:numId w:val="14"/>
        </w:numPr>
        <w:tabs>
          <w:tab w:pos="566" w:val="left" w:leader="none"/>
        </w:tabs>
        <w:spacing w:line="194" w:lineRule="exact" w:before="0" w:after="0"/>
        <w:ind w:left="566" w:right="0" w:hanging="453"/>
        <w:jc w:val="left"/>
        <w:rPr>
          <w:sz w:val="16"/>
        </w:rPr>
      </w:pPr>
      <w:r>
        <w:rPr>
          <w:rFonts w:ascii="Verdana"/>
          <w:i/>
          <w:sz w:val="16"/>
        </w:rPr>
        <w:t>Walker</w:t>
      </w:r>
      <w:r>
        <w:rPr>
          <w:rFonts w:ascii="Verdana"/>
          <w:i/>
          <w:spacing w:val="-10"/>
          <w:sz w:val="16"/>
        </w:rPr>
        <w:t> </w:t>
      </w:r>
      <w:r>
        <w:rPr>
          <w:rFonts w:ascii="Verdana"/>
          <w:i/>
          <w:sz w:val="16"/>
        </w:rPr>
        <w:t>(Appellant)</w:t>
      </w:r>
      <w:r>
        <w:rPr>
          <w:rFonts w:ascii="Verdana"/>
          <w:i/>
          <w:spacing w:val="-9"/>
          <w:sz w:val="16"/>
        </w:rPr>
        <w:t> </w:t>
      </w:r>
      <w:r>
        <w:rPr>
          <w:rFonts w:ascii="Verdana"/>
          <w:i/>
          <w:sz w:val="16"/>
        </w:rPr>
        <w:t>v</w:t>
      </w:r>
      <w:r>
        <w:rPr>
          <w:rFonts w:ascii="Verdana"/>
          <w:i/>
          <w:spacing w:val="-10"/>
          <w:sz w:val="16"/>
        </w:rPr>
        <w:t> </w:t>
      </w:r>
      <w:r>
        <w:rPr>
          <w:rFonts w:ascii="Verdana"/>
          <w:i/>
          <w:sz w:val="16"/>
        </w:rPr>
        <w:t>Innospec</w:t>
      </w:r>
      <w:r>
        <w:rPr>
          <w:rFonts w:ascii="Verdana"/>
          <w:i/>
          <w:spacing w:val="-9"/>
          <w:sz w:val="16"/>
        </w:rPr>
        <w:t> </w:t>
      </w:r>
      <w:r>
        <w:rPr>
          <w:rFonts w:ascii="Verdana"/>
          <w:i/>
          <w:sz w:val="16"/>
        </w:rPr>
        <w:t>Limited</w:t>
      </w:r>
      <w:r>
        <w:rPr>
          <w:rFonts w:ascii="Verdana"/>
          <w:i/>
          <w:spacing w:val="-9"/>
          <w:sz w:val="16"/>
        </w:rPr>
        <w:t> </w:t>
      </w:r>
      <w:r>
        <w:rPr>
          <w:rFonts w:ascii="Verdana"/>
          <w:i/>
          <w:sz w:val="16"/>
        </w:rPr>
        <w:t>and</w:t>
      </w:r>
      <w:r>
        <w:rPr>
          <w:rFonts w:ascii="Verdana"/>
          <w:i/>
          <w:spacing w:val="-10"/>
          <w:sz w:val="16"/>
        </w:rPr>
        <w:t> </w:t>
      </w:r>
      <w:r>
        <w:rPr>
          <w:rFonts w:ascii="Verdana"/>
          <w:i/>
          <w:sz w:val="16"/>
        </w:rPr>
        <w:t>others</w:t>
      </w:r>
      <w:r>
        <w:rPr>
          <w:rFonts w:ascii="Verdana"/>
          <w:i/>
          <w:spacing w:val="-9"/>
          <w:sz w:val="16"/>
        </w:rPr>
        <w:t> </w:t>
      </w:r>
      <w:r>
        <w:rPr>
          <w:sz w:val="16"/>
        </w:rPr>
        <w:t>[2017]</w:t>
      </w:r>
      <w:r>
        <w:rPr>
          <w:spacing w:val="-4"/>
          <w:sz w:val="16"/>
        </w:rPr>
        <w:t> </w:t>
      </w:r>
      <w:r>
        <w:rPr>
          <w:sz w:val="16"/>
        </w:rPr>
        <w:t>UKSC</w:t>
      </w:r>
      <w:r>
        <w:rPr>
          <w:spacing w:val="-3"/>
          <w:sz w:val="16"/>
        </w:rPr>
        <w:t> </w:t>
      </w:r>
      <w:r>
        <w:rPr>
          <w:spacing w:val="-5"/>
          <w:sz w:val="16"/>
        </w:rPr>
        <w:t>47.</w:t>
      </w:r>
    </w:p>
    <w:p>
      <w:pPr>
        <w:pStyle w:val="ListParagraph"/>
        <w:numPr>
          <w:ilvl w:val="0"/>
          <w:numId w:val="14"/>
        </w:numPr>
        <w:tabs>
          <w:tab w:pos="566" w:val="left" w:leader="none"/>
        </w:tabs>
        <w:spacing w:line="200" w:lineRule="exact" w:before="0" w:after="0"/>
        <w:ind w:left="566" w:right="0" w:hanging="453"/>
        <w:jc w:val="left"/>
        <w:rPr>
          <w:sz w:val="16"/>
        </w:rPr>
      </w:pPr>
      <w:r>
        <w:rPr>
          <w:rFonts w:ascii="Verdana"/>
          <w:i/>
          <w:sz w:val="16"/>
        </w:rPr>
        <w:t>Benkharbouche</w:t>
      </w:r>
      <w:r>
        <w:rPr>
          <w:rFonts w:ascii="Verdana"/>
          <w:i/>
          <w:spacing w:val="-6"/>
          <w:sz w:val="16"/>
        </w:rPr>
        <w:t> </w:t>
      </w:r>
      <w:r>
        <w:rPr>
          <w:sz w:val="16"/>
        </w:rPr>
        <w:t>(n 246), para </w:t>
      </w:r>
      <w:r>
        <w:rPr>
          <w:spacing w:val="-5"/>
          <w:sz w:val="16"/>
        </w:rPr>
        <w:t>75.</w:t>
      </w:r>
    </w:p>
    <w:p>
      <w:pPr>
        <w:pStyle w:val="ListParagraph"/>
        <w:numPr>
          <w:ilvl w:val="0"/>
          <w:numId w:val="14"/>
        </w:numPr>
        <w:tabs>
          <w:tab w:pos="567" w:val="left" w:leader="none"/>
        </w:tabs>
        <w:spacing w:line="194" w:lineRule="auto" w:before="11" w:after="0"/>
        <w:ind w:left="567" w:right="747" w:hanging="454"/>
        <w:jc w:val="left"/>
        <w:rPr>
          <w:rFonts w:ascii="Arial" w:hAnsi="Arial"/>
          <w:sz w:val="16"/>
        </w:rPr>
      </w:pPr>
      <w:r>
        <w:rPr>
          <w:sz w:val="16"/>
        </w:rPr>
        <w:t>Alison Young, ‘Benkharbouche and the Future of Disapplication’ UKCLA Blog 24 October 2017, available at: </w:t>
      </w:r>
      <w:r>
        <w:rPr>
          <w:color w:val="77328A"/>
          <w:spacing w:val="-4"/>
          <w:sz w:val="16"/>
          <w:u w:val="single" w:color="77328A"/>
        </w:rPr>
        <w:t>https://ukconstitutionallaw.org/2017/10/24/alison-young-benkharbouche-and-the- future-of-disapplication/</w:t>
      </w:r>
      <w:r>
        <w:rPr>
          <w:rFonts w:ascii="Arial" w:hAnsi="Arial"/>
          <w:spacing w:val="-4"/>
          <w:sz w:val="16"/>
          <w:u w:val="none"/>
        </w:rPr>
        <w:t>;</w:t>
      </w:r>
    </w:p>
    <w:p>
      <w:pPr>
        <w:spacing w:line="191" w:lineRule="exact" w:before="0"/>
        <w:ind w:left="567" w:right="0" w:firstLine="0"/>
        <w:jc w:val="left"/>
        <w:rPr>
          <w:rFonts w:ascii="Lucida Sans Unicode" w:hAnsi="Lucida Sans Unicode"/>
          <w:sz w:val="16"/>
        </w:rPr>
      </w:pPr>
      <w:r>
        <w:rPr>
          <w:rFonts w:ascii="Lucida Sans Unicode" w:hAnsi="Lucida Sans Unicode"/>
          <w:sz w:val="16"/>
        </w:rPr>
        <w:t>see</w:t>
      </w:r>
      <w:r>
        <w:rPr>
          <w:rFonts w:ascii="Lucida Sans Unicode" w:hAnsi="Lucida Sans Unicode"/>
          <w:spacing w:val="7"/>
          <w:sz w:val="16"/>
        </w:rPr>
        <w:t> </w:t>
      </w:r>
      <w:r>
        <w:rPr>
          <w:rFonts w:ascii="Lucida Sans Unicode" w:hAnsi="Lucida Sans Unicode"/>
          <w:sz w:val="16"/>
        </w:rPr>
        <w:t>also</w:t>
      </w:r>
      <w:r>
        <w:rPr>
          <w:rFonts w:ascii="Lucida Sans Unicode" w:hAnsi="Lucida Sans Unicode"/>
          <w:spacing w:val="7"/>
          <w:sz w:val="16"/>
        </w:rPr>
        <w:t> </w:t>
      </w:r>
      <w:r>
        <w:rPr>
          <w:rFonts w:ascii="Lucida Sans Unicode" w:hAnsi="Lucida Sans Unicode"/>
          <w:sz w:val="16"/>
        </w:rPr>
        <w:t>Alison</w:t>
      </w:r>
      <w:r>
        <w:rPr>
          <w:rFonts w:ascii="Lucida Sans Unicode" w:hAnsi="Lucida Sans Unicode"/>
          <w:spacing w:val="7"/>
          <w:sz w:val="16"/>
        </w:rPr>
        <w:t> </w:t>
      </w:r>
      <w:r>
        <w:rPr>
          <w:rFonts w:ascii="Lucida Sans Unicode" w:hAnsi="Lucida Sans Unicode"/>
          <w:sz w:val="16"/>
        </w:rPr>
        <w:t>Young,</w:t>
      </w:r>
      <w:r>
        <w:rPr>
          <w:rFonts w:ascii="Lucida Sans Unicode" w:hAnsi="Lucida Sans Unicode"/>
          <w:spacing w:val="7"/>
          <w:sz w:val="16"/>
        </w:rPr>
        <w:t> </w:t>
      </w:r>
      <w:r>
        <w:rPr>
          <w:rFonts w:ascii="Lucida Sans Unicode" w:hAnsi="Lucida Sans Unicode"/>
          <w:sz w:val="16"/>
        </w:rPr>
        <w:t>‘Fundamental</w:t>
      </w:r>
      <w:r>
        <w:rPr>
          <w:rFonts w:ascii="Lucida Sans Unicode" w:hAnsi="Lucida Sans Unicode"/>
          <w:spacing w:val="7"/>
          <w:sz w:val="16"/>
        </w:rPr>
        <w:t> </w:t>
      </w:r>
      <w:r>
        <w:rPr>
          <w:rFonts w:ascii="Lucida Sans Unicode" w:hAnsi="Lucida Sans Unicode"/>
          <w:sz w:val="16"/>
        </w:rPr>
        <w:t>Common</w:t>
      </w:r>
      <w:r>
        <w:rPr>
          <w:rFonts w:ascii="Lucida Sans Unicode" w:hAnsi="Lucida Sans Unicode"/>
          <w:spacing w:val="7"/>
          <w:sz w:val="16"/>
        </w:rPr>
        <w:t> </w:t>
      </w:r>
      <w:r>
        <w:rPr>
          <w:rFonts w:ascii="Lucida Sans Unicode" w:hAnsi="Lucida Sans Unicode"/>
          <w:sz w:val="16"/>
        </w:rPr>
        <w:t>Law</w:t>
      </w:r>
      <w:r>
        <w:rPr>
          <w:rFonts w:ascii="Lucida Sans Unicode" w:hAnsi="Lucida Sans Unicode"/>
          <w:spacing w:val="7"/>
          <w:sz w:val="16"/>
        </w:rPr>
        <w:t> </w:t>
      </w:r>
      <w:r>
        <w:rPr>
          <w:rFonts w:ascii="Lucida Sans Unicode" w:hAnsi="Lucida Sans Unicode"/>
          <w:sz w:val="16"/>
        </w:rPr>
        <w:t>Rights</w:t>
      </w:r>
      <w:r>
        <w:rPr>
          <w:rFonts w:ascii="Lucida Sans Unicode" w:hAnsi="Lucida Sans Unicode"/>
          <w:spacing w:val="7"/>
          <w:sz w:val="16"/>
        </w:rPr>
        <w:t> </w:t>
      </w:r>
      <w:r>
        <w:rPr>
          <w:rFonts w:ascii="Lucida Sans Unicode" w:hAnsi="Lucida Sans Unicode"/>
          <w:sz w:val="16"/>
        </w:rPr>
        <w:t>and</w:t>
      </w:r>
      <w:r>
        <w:rPr>
          <w:rFonts w:ascii="Lucida Sans Unicode" w:hAnsi="Lucida Sans Unicode"/>
          <w:spacing w:val="7"/>
          <w:sz w:val="16"/>
        </w:rPr>
        <w:t> </w:t>
      </w:r>
      <w:r>
        <w:rPr>
          <w:rFonts w:ascii="Lucida Sans Unicode" w:hAnsi="Lucida Sans Unicode"/>
          <w:sz w:val="16"/>
        </w:rPr>
        <w:t>Legislation’</w:t>
      </w:r>
      <w:r>
        <w:rPr>
          <w:rFonts w:ascii="Lucida Sans Unicode" w:hAnsi="Lucida Sans Unicode"/>
          <w:spacing w:val="7"/>
          <w:sz w:val="16"/>
        </w:rPr>
        <w:t> </w:t>
      </w:r>
      <w:r>
        <w:rPr>
          <w:rFonts w:ascii="Lucida Sans Unicode" w:hAnsi="Lucida Sans Unicode"/>
          <w:sz w:val="16"/>
        </w:rPr>
        <w:t>in</w:t>
      </w:r>
      <w:r>
        <w:rPr>
          <w:rFonts w:ascii="Lucida Sans Unicode" w:hAnsi="Lucida Sans Unicode"/>
          <w:spacing w:val="7"/>
          <w:sz w:val="16"/>
        </w:rPr>
        <w:t> </w:t>
      </w:r>
      <w:r>
        <w:rPr>
          <w:rFonts w:ascii="Lucida Sans Unicode" w:hAnsi="Lucida Sans Unicode"/>
          <w:sz w:val="16"/>
        </w:rPr>
        <w:t>Mark</w:t>
      </w:r>
      <w:r>
        <w:rPr>
          <w:rFonts w:ascii="Lucida Sans Unicode" w:hAnsi="Lucida Sans Unicode"/>
          <w:spacing w:val="7"/>
          <w:sz w:val="16"/>
        </w:rPr>
        <w:t> </w:t>
      </w:r>
      <w:r>
        <w:rPr>
          <w:rFonts w:ascii="Lucida Sans Unicode" w:hAnsi="Lucida Sans Unicode"/>
          <w:sz w:val="16"/>
        </w:rPr>
        <w:t>Elliott</w:t>
      </w:r>
      <w:r>
        <w:rPr>
          <w:rFonts w:ascii="Lucida Sans Unicode" w:hAnsi="Lucida Sans Unicode"/>
          <w:spacing w:val="7"/>
          <w:sz w:val="16"/>
        </w:rPr>
        <w:t> </w:t>
      </w:r>
      <w:r>
        <w:rPr>
          <w:rFonts w:ascii="Lucida Sans Unicode" w:hAnsi="Lucida Sans Unicode"/>
          <w:sz w:val="16"/>
        </w:rPr>
        <w:t>and</w:t>
      </w:r>
      <w:r>
        <w:rPr>
          <w:rFonts w:ascii="Lucida Sans Unicode" w:hAnsi="Lucida Sans Unicode"/>
          <w:spacing w:val="7"/>
          <w:sz w:val="16"/>
        </w:rPr>
        <w:t> </w:t>
      </w:r>
      <w:r>
        <w:rPr>
          <w:rFonts w:ascii="Lucida Sans Unicode" w:hAnsi="Lucida Sans Unicode"/>
          <w:sz w:val="16"/>
        </w:rPr>
        <w:t>Kirsty</w:t>
      </w:r>
      <w:r>
        <w:rPr>
          <w:rFonts w:ascii="Lucida Sans Unicode" w:hAnsi="Lucida Sans Unicode"/>
          <w:spacing w:val="7"/>
          <w:sz w:val="16"/>
        </w:rPr>
        <w:t> </w:t>
      </w:r>
      <w:r>
        <w:rPr>
          <w:rFonts w:ascii="Lucida Sans Unicode" w:hAnsi="Lucida Sans Unicode"/>
          <w:sz w:val="16"/>
        </w:rPr>
        <w:t>Hughes</w:t>
      </w:r>
      <w:r>
        <w:rPr>
          <w:rFonts w:ascii="Lucida Sans Unicode" w:hAnsi="Lucida Sans Unicode"/>
          <w:spacing w:val="7"/>
          <w:sz w:val="16"/>
        </w:rPr>
        <w:t> </w:t>
      </w:r>
      <w:r>
        <w:rPr>
          <w:rFonts w:ascii="Lucida Sans Unicode" w:hAnsi="Lucida Sans Unicode"/>
          <w:spacing w:val="-2"/>
          <w:sz w:val="16"/>
        </w:rPr>
        <w:t>(eds),</w:t>
      </w:r>
    </w:p>
    <w:p>
      <w:pPr>
        <w:spacing w:line="223" w:lineRule="exact" w:before="0"/>
        <w:ind w:left="567" w:right="0" w:firstLine="0"/>
        <w:jc w:val="left"/>
        <w:rPr>
          <w:rFonts w:ascii="Lucida Sans Unicode"/>
          <w:sz w:val="16"/>
        </w:rPr>
      </w:pPr>
      <w:r>
        <w:rPr>
          <w:rFonts w:ascii="Verdana"/>
          <w:i/>
          <w:sz w:val="16"/>
        </w:rPr>
        <w:t>Common</w:t>
      </w:r>
      <w:r>
        <w:rPr>
          <w:rFonts w:ascii="Verdana"/>
          <w:i/>
          <w:spacing w:val="-1"/>
          <w:sz w:val="16"/>
        </w:rPr>
        <w:t> </w:t>
      </w:r>
      <w:r>
        <w:rPr>
          <w:rFonts w:ascii="Verdana"/>
          <w:i/>
          <w:sz w:val="16"/>
        </w:rPr>
        <w:t>Law</w:t>
      </w:r>
      <w:r>
        <w:rPr>
          <w:rFonts w:ascii="Verdana"/>
          <w:i/>
          <w:spacing w:val="-1"/>
          <w:sz w:val="16"/>
        </w:rPr>
        <w:t> </w:t>
      </w:r>
      <w:r>
        <w:rPr>
          <w:rFonts w:ascii="Verdana"/>
          <w:i/>
          <w:sz w:val="16"/>
        </w:rPr>
        <w:t>Constitutional</w:t>
      </w:r>
      <w:r>
        <w:rPr>
          <w:rFonts w:ascii="Verdana"/>
          <w:i/>
          <w:spacing w:val="-1"/>
          <w:sz w:val="16"/>
        </w:rPr>
        <w:t> </w:t>
      </w:r>
      <w:r>
        <w:rPr>
          <w:rFonts w:ascii="Verdana"/>
          <w:i/>
          <w:sz w:val="16"/>
        </w:rPr>
        <w:t>Rights</w:t>
      </w:r>
      <w:r>
        <w:rPr>
          <w:rFonts w:ascii="Verdana"/>
          <w:i/>
          <w:spacing w:val="-1"/>
          <w:sz w:val="16"/>
        </w:rPr>
        <w:t> </w:t>
      </w:r>
      <w:r>
        <w:rPr>
          <w:rFonts w:ascii="Lucida Sans Unicode"/>
          <w:sz w:val="16"/>
        </w:rPr>
        <w:t>(Hart</w:t>
      </w:r>
      <w:r>
        <w:rPr>
          <w:rFonts w:ascii="Lucida Sans Unicode"/>
          <w:spacing w:val="5"/>
          <w:sz w:val="16"/>
        </w:rPr>
        <w:t> </w:t>
      </w:r>
      <w:r>
        <w:rPr>
          <w:rFonts w:ascii="Lucida Sans Unicode"/>
          <w:sz w:val="16"/>
        </w:rPr>
        <w:t>2020)</w:t>
      </w:r>
      <w:r>
        <w:rPr>
          <w:rFonts w:ascii="Lucida Sans Unicode"/>
          <w:spacing w:val="6"/>
          <w:sz w:val="16"/>
        </w:rPr>
        <w:t> </w:t>
      </w:r>
      <w:r>
        <w:rPr>
          <w:rFonts w:ascii="Lucida Sans Unicode"/>
          <w:spacing w:val="-4"/>
          <w:sz w:val="16"/>
        </w:rPr>
        <w:t>223.</w:t>
      </w:r>
    </w:p>
    <w:p>
      <w:pPr>
        <w:spacing w:after="0" w:line="223" w:lineRule="exact"/>
        <w:jc w:val="left"/>
        <w:rPr>
          <w:rFonts w:ascii="Lucida Sans Unicode"/>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310" w:lineRule="exact" w:before="49"/>
        <w:ind w:right="306"/>
      </w:pPr>
      <w:bookmarkStart w:name="b. Consistent Interpretation" w:id="69"/>
      <w:bookmarkEnd w:id="69"/>
      <w:r>
        <w:rPr/>
      </w:r>
      <w:bookmarkStart w:name="_bookmark29" w:id="70"/>
      <w:bookmarkEnd w:id="70"/>
      <w:r>
        <w:rPr/>
      </w:r>
      <w:r>
        <w:rPr>
          <w:w w:val="110"/>
        </w:rPr>
        <w:t>Crucially, from the perspective of</w:t>
      </w:r>
      <w:r>
        <w:rPr>
          <w:spacing w:val="40"/>
          <w:w w:val="110"/>
        </w:rPr>
        <w:t> </w:t>
      </w:r>
      <w:r>
        <w:rPr>
          <w:w w:val="110"/>
        </w:rPr>
        <w:t>the continued application of the Charter in Northern Ireland, this </w:t>
      </w:r>
      <w:r>
        <w:rPr>
          <w:w w:val="110"/>
        </w:rPr>
        <w:t>line of case law shows that the Charter had considerable added value in situations where both the Charter and</w:t>
      </w:r>
      <w:r>
        <w:rPr>
          <w:spacing w:val="-2"/>
          <w:w w:val="110"/>
        </w:rPr>
        <w:t> </w:t>
      </w:r>
      <w:r>
        <w:rPr>
          <w:w w:val="110"/>
        </w:rPr>
        <w:t>the</w:t>
      </w:r>
      <w:r>
        <w:rPr>
          <w:spacing w:val="-2"/>
          <w:w w:val="110"/>
        </w:rPr>
        <w:t> </w:t>
      </w:r>
      <w:r>
        <w:rPr>
          <w:w w:val="110"/>
        </w:rPr>
        <w:t>ECHR</w:t>
      </w:r>
      <w:r>
        <w:rPr>
          <w:spacing w:val="-2"/>
          <w:w w:val="110"/>
        </w:rPr>
        <w:t> </w:t>
      </w:r>
      <w:r>
        <w:rPr>
          <w:w w:val="110"/>
        </w:rPr>
        <w:t>apply,</w:t>
      </w:r>
      <w:r>
        <w:rPr>
          <w:spacing w:val="-2"/>
          <w:w w:val="110"/>
        </w:rPr>
        <w:t> </w:t>
      </w:r>
      <w:r>
        <w:rPr>
          <w:w w:val="110"/>
        </w:rPr>
        <w:t>and</w:t>
      </w:r>
      <w:r>
        <w:rPr>
          <w:spacing w:val="-2"/>
          <w:w w:val="110"/>
        </w:rPr>
        <w:t> </w:t>
      </w:r>
      <w:r>
        <w:rPr>
          <w:w w:val="110"/>
        </w:rPr>
        <w:t>especially </w:t>
      </w:r>
      <w:r>
        <w:rPr>
          <w:rFonts w:ascii="Lucida Sans Unicode" w:hAnsi="Lucida Sans Unicode"/>
          <w:w w:val="110"/>
        </w:rPr>
        <w:t>in</w:t>
      </w:r>
      <w:r>
        <w:rPr>
          <w:rFonts w:ascii="Lucida Sans Unicode" w:hAnsi="Lucida Sans Unicode"/>
          <w:spacing w:val="-21"/>
          <w:w w:val="110"/>
        </w:rPr>
        <w:t> </w:t>
      </w:r>
      <w:r>
        <w:rPr>
          <w:rFonts w:ascii="Lucida Sans Unicode" w:hAnsi="Lucida Sans Unicode"/>
          <w:w w:val="110"/>
        </w:rPr>
        <w:t>areas</w:t>
      </w:r>
      <w:r>
        <w:rPr>
          <w:rFonts w:ascii="Lucida Sans Unicode" w:hAnsi="Lucida Sans Unicode"/>
          <w:spacing w:val="-21"/>
          <w:w w:val="110"/>
        </w:rPr>
        <w:t> </w:t>
      </w:r>
      <w:r>
        <w:rPr>
          <w:rFonts w:ascii="Lucida Sans Unicode" w:hAnsi="Lucida Sans Unicode"/>
          <w:w w:val="110"/>
        </w:rPr>
        <w:t>where</w:t>
      </w:r>
      <w:r>
        <w:rPr>
          <w:rFonts w:ascii="Lucida Sans Unicode" w:hAnsi="Lucida Sans Unicode"/>
          <w:spacing w:val="-21"/>
          <w:w w:val="110"/>
        </w:rPr>
        <w:t> </w:t>
      </w:r>
      <w:r>
        <w:rPr>
          <w:rFonts w:ascii="Lucida Sans Unicode" w:hAnsi="Lucida Sans Unicode"/>
          <w:w w:val="110"/>
        </w:rPr>
        <w:t>the</w:t>
      </w:r>
      <w:r>
        <w:rPr>
          <w:rFonts w:ascii="Lucida Sans Unicode" w:hAnsi="Lucida Sans Unicode"/>
          <w:spacing w:val="-21"/>
          <w:w w:val="110"/>
        </w:rPr>
        <w:t> </w:t>
      </w:r>
      <w:r>
        <w:rPr>
          <w:rFonts w:ascii="Lucida Sans Unicode" w:hAnsi="Lucida Sans Unicode"/>
          <w:w w:val="110"/>
        </w:rPr>
        <w:t>Strasbourg </w:t>
      </w:r>
      <w:r>
        <w:rPr>
          <w:w w:val="110"/>
        </w:rPr>
        <w:t>Court’s case law may be viewed as less protective than EU law, such</w:t>
      </w:r>
    </w:p>
    <w:p>
      <w:pPr>
        <w:pStyle w:val="BodyText"/>
        <w:spacing w:line="310" w:lineRule="exact"/>
        <w:ind w:right="90"/>
      </w:pPr>
      <w:r>
        <w:rPr>
          <w:w w:val="110"/>
        </w:rPr>
        <w:t>as pensions and other welfare </w:t>
      </w:r>
      <w:r>
        <w:rPr>
          <w:rFonts w:ascii="Lucida Sans Unicode" w:hAnsi="Lucida Sans Unicode"/>
        </w:rPr>
        <w:t>benefits.</w:t>
      </w:r>
      <w:r>
        <w:rPr>
          <w:rFonts w:ascii="Lucida Sans Unicode" w:hAnsi="Lucida Sans Unicode"/>
          <w:vertAlign w:val="superscript"/>
        </w:rPr>
        <w:t>259</w:t>
      </w:r>
      <w:r>
        <w:rPr>
          <w:rFonts w:ascii="Lucida Sans Unicode" w:hAnsi="Lucida Sans Unicode"/>
          <w:spacing w:val="-5"/>
          <w:vertAlign w:val="baseline"/>
        </w:rPr>
        <w:t> </w:t>
      </w:r>
      <w:r>
        <w:rPr>
          <w:rFonts w:ascii="Lucida Sans Unicode" w:hAnsi="Lucida Sans Unicode"/>
          <w:vertAlign w:val="baseline"/>
        </w:rPr>
        <w:t>Similarly,</w:t>
      </w:r>
      <w:r>
        <w:rPr>
          <w:rFonts w:ascii="Lucida Sans Unicode" w:hAnsi="Lucida Sans Unicode"/>
          <w:spacing w:val="-5"/>
          <w:vertAlign w:val="baseline"/>
        </w:rPr>
        <w:t> </w:t>
      </w:r>
      <w:r>
        <w:rPr>
          <w:rFonts w:ascii="Lucida Sans Unicode" w:hAnsi="Lucida Sans Unicode"/>
          <w:vertAlign w:val="baseline"/>
        </w:rPr>
        <w:t>while</w:t>
      </w:r>
      <w:r>
        <w:rPr>
          <w:rFonts w:ascii="Lucida Sans Unicode" w:hAnsi="Lucida Sans Unicode"/>
          <w:spacing w:val="-5"/>
          <w:vertAlign w:val="baseline"/>
        </w:rPr>
        <w:t> </w:t>
      </w:r>
      <w:r>
        <w:rPr>
          <w:rFonts w:ascii="Lucida Sans Unicode" w:hAnsi="Lucida Sans Unicode"/>
          <w:vertAlign w:val="baseline"/>
        </w:rPr>
        <w:t>as</w:t>
      </w:r>
      <w:r>
        <w:rPr>
          <w:rFonts w:ascii="Lucida Sans Unicode" w:hAnsi="Lucida Sans Unicode"/>
          <w:spacing w:val="-5"/>
          <w:vertAlign w:val="baseline"/>
        </w:rPr>
        <w:t> </w:t>
      </w:r>
      <w:r>
        <w:rPr>
          <w:rFonts w:ascii="Lucida Sans Unicode" w:hAnsi="Lucida Sans Unicode"/>
          <w:vertAlign w:val="baseline"/>
        </w:rPr>
        <w:t>we</w:t>
      </w:r>
      <w:r>
        <w:rPr>
          <w:rFonts w:ascii="Lucida Sans Unicode" w:hAnsi="Lucida Sans Unicode"/>
          <w:spacing w:val="-5"/>
          <w:vertAlign w:val="baseline"/>
        </w:rPr>
        <w:t> </w:t>
      </w:r>
      <w:r>
        <w:rPr>
          <w:rFonts w:ascii="Lucida Sans Unicode" w:hAnsi="Lucida Sans Unicode"/>
          <w:vertAlign w:val="baseline"/>
        </w:rPr>
        <w:t>have </w:t>
      </w:r>
      <w:r>
        <w:rPr>
          <w:w w:val="110"/>
          <w:vertAlign w:val="baseline"/>
        </w:rPr>
        <w:t>previously argued the Charter mainly </w:t>
      </w:r>
      <w:r>
        <w:rPr>
          <w:rFonts w:ascii="Lucida Sans Unicode" w:hAnsi="Lucida Sans Unicode"/>
          <w:vertAlign w:val="baseline"/>
        </w:rPr>
        <w:t>codified fundamental rights that </w:t>
      </w:r>
      <w:r>
        <w:rPr>
          <w:rFonts w:ascii="Lucida Sans Unicode" w:hAnsi="Lucida Sans Unicode"/>
          <w:vertAlign w:val="baseline"/>
        </w:rPr>
        <w:t>were </w:t>
      </w:r>
      <w:r>
        <w:rPr>
          <w:w w:val="110"/>
          <w:vertAlign w:val="baseline"/>
        </w:rPr>
        <w:t>recognised as general principles of</w:t>
      </w:r>
      <w:r>
        <w:rPr>
          <w:spacing w:val="40"/>
          <w:w w:val="110"/>
          <w:vertAlign w:val="baseline"/>
        </w:rPr>
        <w:t> </w:t>
      </w:r>
      <w:r>
        <w:rPr>
          <w:w w:val="110"/>
          <w:vertAlign w:val="baseline"/>
        </w:rPr>
        <w:t>EU law, it was not ‘inconsequential’ in practice, in the sense that domestic courts started using the remedy of disapplication actively </w:t>
      </w:r>
      <w:r>
        <w:rPr>
          <w:rFonts w:ascii="Verdana" w:hAnsi="Verdana"/>
          <w:i/>
          <w:w w:val="110"/>
          <w:vertAlign w:val="baseline"/>
        </w:rPr>
        <w:t>after </w:t>
      </w:r>
      <w:r>
        <w:rPr>
          <w:w w:val="110"/>
          <w:vertAlign w:val="baseline"/>
        </w:rPr>
        <w:t>the entry into force of the Charter.</w:t>
      </w:r>
      <w:r>
        <w:rPr>
          <w:rFonts w:ascii="Lucida Sans Unicode" w:hAnsi="Lucida Sans Unicode"/>
          <w:w w:val="110"/>
          <w:vertAlign w:val="superscript"/>
        </w:rPr>
        <w:t>260</w:t>
      </w:r>
      <w:r>
        <w:rPr>
          <w:rFonts w:ascii="Lucida Sans Unicode" w:hAnsi="Lucida Sans Unicode"/>
          <w:w w:val="110"/>
          <w:vertAlign w:val="baseline"/>
        </w:rPr>
        <w:t> </w:t>
      </w:r>
      <w:r>
        <w:rPr>
          <w:w w:val="110"/>
          <w:vertAlign w:val="baseline"/>
        </w:rPr>
        <w:t>As Amos has noted, disapplication through</w:t>
      </w:r>
    </w:p>
    <w:p>
      <w:pPr>
        <w:pStyle w:val="BodyText"/>
        <w:spacing w:line="310" w:lineRule="exact"/>
      </w:pPr>
      <w:r>
        <w:rPr>
          <w:w w:val="115"/>
        </w:rPr>
        <w:t>the direct effect of EU law had been routinely used also by lower courts and</w:t>
      </w:r>
      <w:r>
        <w:rPr>
          <w:spacing w:val="-11"/>
          <w:w w:val="115"/>
        </w:rPr>
        <w:t> </w:t>
      </w:r>
      <w:r>
        <w:rPr>
          <w:w w:val="115"/>
        </w:rPr>
        <w:t>tribunals,</w:t>
      </w:r>
      <w:r>
        <w:rPr>
          <w:rFonts w:ascii="Lucida Sans Unicode"/>
          <w:w w:val="115"/>
          <w:vertAlign w:val="superscript"/>
        </w:rPr>
        <w:t>261</w:t>
      </w:r>
      <w:r>
        <w:rPr>
          <w:rFonts w:ascii="Lucida Sans Unicode"/>
          <w:spacing w:val="-21"/>
          <w:w w:val="115"/>
          <w:vertAlign w:val="baseline"/>
        </w:rPr>
        <w:t> </w:t>
      </w:r>
      <w:r>
        <w:rPr>
          <w:w w:val="115"/>
          <w:vertAlign w:val="baseline"/>
        </w:rPr>
        <w:t>which</w:t>
      </w:r>
      <w:r>
        <w:rPr>
          <w:spacing w:val="-11"/>
          <w:w w:val="115"/>
          <w:vertAlign w:val="baseline"/>
        </w:rPr>
        <w:t> </w:t>
      </w:r>
      <w:r>
        <w:rPr>
          <w:w w:val="115"/>
          <w:vertAlign w:val="baseline"/>
        </w:rPr>
        <w:t>under</w:t>
      </w:r>
      <w:r>
        <w:rPr>
          <w:spacing w:val="-11"/>
          <w:w w:val="115"/>
          <w:vertAlign w:val="baseline"/>
        </w:rPr>
        <w:t> </w:t>
      </w:r>
      <w:r>
        <w:rPr>
          <w:w w:val="115"/>
          <w:vertAlign w:val="baseline"/>
        </w:rPr>
        <w:t>the doctrine</w:t>
      </w:r>
      <w:r>
        <w:rPr>
          <w:spacing w:val="-15"/>
          <w:w w:val="115"/>
          <w:vertAlign w:val="baseline"/>
        </w:rPr>
        <w:t> </w:t>
      </w:r>
      <w:r>
        <w:rPr>
          <w:w w:val="115"/>
          <w:vertAlign w:val="baseline"/>
        </w:rPr>
        <w:t>of</w:t>
      </w:r>
      <w:r>
        <w:rPr>
          <w:spacing w:val="-15"/>
          <w:w w:val="115"/>
          <w:vertAlign w:val="baseline"/>
        </w:rPr>
        <w:t> </w:t>
      </w:r>
      <w:r>
        <w:rPr>
          <w:w w:val="115"/>
          <w:vertAlign w:val="baseline"/>
        </w:rPr>
        <w:t>primacy</w:t>
      </w:r>
      <w:r>
        <w:rPr>
          <w:spacing w:val="-15"/>
          <w:w w:val="115"/>
          <w:vertAlign w:val="baseline"/>
        </w:rPr>
        <w:t> </w:t>
      </w:r>
      <w:r>
        <w:rPr>
          <w:w w:val="115"/>
          <w:vertAlign w:val="baseline"/>
        </w:rPr>
        <w:t>were</w:t>
      </w:r>
      <w:r>
        <w:rPr>
          <w:spacing w:val="-15"/>
          <w:w w:val="115"/>
          <w:vertAlign w:val="baseline"/>
        </w:rPr>
        <w:t> </w:t>
      </w:r>
      <w:r>
        <w:rPr>
          <w:w w:val="115"/>
          <w:vertAlign w:val="baseline"/>
        </w:rPr>
        <w:t>also</w:t>
      </w:r>
      <w:r>
        <w:rPr>
          <w:spacing w:val="-15"/>
          <w:w w:val="115"/>
          <w:vertAlign w:val="baseline"/>
        </w:rPr>
        <w:t> </w:t>
      </w:r>
      <w:r>
        <w:rPr>
          <w:w w:val="115"/>
          <w:vertAlign w:val="baseline"/>
        </w:rPr>
        <w:t>obliged to disapply domestic legislation</w:t>
      </w:r>
    </w:p>
    <w:p>
      <w:pPr>
        <w:pStyle w:val="BodyText"/>
        <w:spacing w:line="310" w:lineRule="exact"/>
      </w:pPr>
      <w:r>
        <w:rPr>
          <w:w w:val="115"/>
        </w:rPr>
        <w:t>that</w:t>
      </w:r>
      <w:r>
        <w:rPr>
          <w:spacing w:val="-20"/>
          <w:w w:val="115"/>
        </w:rPr>
        <w:t> </w:t>
      </w:r>
      <w:r>
        <w:rPr>
          <w:w w:val="115"/>
        </w:rPr>
        <w:t>contradicts</w:t>
      </w:r>
      <w:r>
        <w:rPr>
          <w:spacing w:val="-15"/>
          <w:w w:val="115"/>
        </w:rPr>
        <w:t> </w:t>
      </w:r>
      <w:r>
        <w:rPr>
          <w:w w:val="115"/>
        </w:rPr>
        <w:t>EU</w:t>
      </w:r>
      <w:r>
        <w:rPr>
          <w:spacing w:val="-16"/>
          <w:w w:val="115"/>
        </w:rPr>
        <w:t> </w:t>
      </w:r>
      <w:r>
        <w:rPr>
          <w:w w:val="115"/>
        </w:rPr>
        <w:t>law.</w:t>
      </w:r>
      <w:r>
        <w:rPr>
          <w:rFonts w:ascii="Lucida Sans Unicode"/>
          <w:w w:val="115"/>
          <w:vertAlign w:val="superscript"/>
        </w:rPr>
        <w:t>262</w:t>
      </w:r>
      <w:r>
        <w:rPr>
          <w:rFonts w:ascii="Lucida Sans Unicode"/>
          <w:spacing w:val="-22"/>
          <w:w w:val="115"/>
          <w:vertAlign w:val="baseline"/>
        </w:rPr>
        <w:t> </w:t>
      </w:r>
      <w:r>
        <w:rPr>
          <w:w w:val="115"/>
          <w:vertAlign w:val="baseline"/>
        </w:rPr>
        <w:t>This</w:t>
      </w:r>
      <w:r>
        <w:rPr>
          <w:spacing w:val="-16"/>
          <w:w w:val="115"/>
          <w:vertAlign w:val="baseline"/>
        </w:rPr>
        <w:t> </w:t>
      </w:r>
      <w:r>
        <w:rPr>
          <w:w w:val="115"/>
          <w:vertAlign w:val="baseline"/>
        </w:rPr>
        <w:t>is particularly clear in the context of </w:t>
      </w:r>
      <w:r>
        <w:rPr>
          <w:spacing w:val="-2"/>
          <w:w w:val="115"/>
          <w:vertAlign w:val="baseline"/>
        </w:rPr>
        <w:t>employment</w:t>
      </w:r>
      <w:r>
        <w:rPr>
          <w:spacing w:val="-18"/>
          <w:w w:val="115"/>
          <w:vertAlign w:val="baseline"/>
        </w:rPr>
        <w:t> </w:t>
      </w:r>
      <w:r>
        <w:rPr>
          <w:spacing w:val="-2"/>
          <w:w w:val="115"/>
          <w:vertAlign w:val="baseline"/>
        </w:rPr>
        <w:t>and</w:t>
      </w:r>
      <w:r>
        <w:rPr>
          <w:spacing w:val="-17"/>
          <w:w w:val="115"/>
          <w:vertAlign w:val="baseline"/>
        </w:rPr>
        <w:t> </w:t>
      </w:r>
      <w:r>
        <w:rPr>
          <w:spacing w:val="-2"/>
          <w:w w:val="115"/>
          <w:vertAlign w:val="baseline"/>
        </w:rPr>
        <w:t>pensions</w:t>
      </w:r>
      <w:r>
        <w:rPr>
          <w:spacing w:val="-17"/>
          <w:w w:val="115"/>
          <w:vertAlign w:val="baseline"/>
        </w:rPr>
        <w:t> </w:t>
      </w:r>
      <w:r>
        <w:rPr>
          <w:spacing w:val="-2"/>
          <w:w w:val="115"/>
          <w:vertAlign w:val="baseline"/>
        </w:rPr>
        <w:t>law</w:t>
      </w:r>
      <w:r>
        <w:rPr>
          <w:spacing w:val="-17"/>
          <w:w w:val="115"/>
          <w:vertAlign w:val="baseline"/>
        </w:rPr>
        <w:t> </w:t>
      </w:r>
      <w:r>
        <w:rPr>
          <w:spacing w:val="-2"/>
          <w:w w:val="115"/>
          <w:vertAlign w:val="baseline"/>
        </w:rPr>
        <w:t>where, </w:t>
      </w:r>
      <w:r>
        <w:rPr>
          <w:w w:val="115"/>
          <w:vertAlign w:val="baseline"/>
        </w:rPr>
        <w:t>being</w:t>
      </w:r>
      <w:r>
        <w:rPr>
          <w:spacing w:val="-3"/>
          <w:w w:val="115"/>
          <w:vertAlign w:val="baseline"/>
        </w:rPr>
        <w:t> </w:t>
      </w:r>
      <w:r>
        <w:rPr>
          <w:w w:val="115"/>
          <w:vertAlign w:val="baseline"/>
        </w:rPr>
        <w:t>directly</w:t>
      </w:r>
      <w:r>
        <w:rPr>
          <w:spacing w:val="-3"/>
          <w:w w:val="115"/>
          <w:vertAlign w:val="baseline"/>
        </w:rPr>
        <w:t> </w:t>
      </w:r>
      <w:r>
        <w:rPr>
          <w:w w:val="115"/>
          <w:vertAlign w:val="baseline"/>
        </w:rPr>
        <w:t>effective</w:t>
      </w:r>
      <w:r>
        <w:rPr>
          <w:spacing w:val="-3"/>
          <w:w w:val="115"/>
          <w:vertAlign w:val="baseline"/>
        </w:rPr>
        <w:t> </w:t>
      </w:r>
      <w:r>
        <w:rPr>
          <w:w w:val="115"/>
          <w:vertAlign w:val="baseline"/>
        </w:rPr>
        <w:t>both</w:t>
      </w:r>
      <w:r>
        <w:rPr>
          <w:spacing w:val="-3"/>
          <w:w w:val="115"/>
          <w:vertAlign w:val="baseline"/>
        </w:rPr>
        <w:t> </w:t>
      </w:r>
      <w:r>
        <w:rPr>
          <w:w w:val="115"/>
          <w:vertAlign w:val="baseline"/>
        </w:rPr>
        <w:t>vertically and horizontally, EU fundamental rights</w:t>
      </w:r>
      <w:r>
        <w:rPr>
          <w:spacing w:val="-5"/>
          <w:w w:val="115"/>
          <w:vertAlign w:val="baseline"/>
        </w:rPr>
        <w:t> </w:t>
      </w:r>
      <w:r>
        <w:rPr>
          <w:w w:val="115"/>
          <w:vertAlign w:val="baseline"/>
        </w:rPr>
        <w:t>could</w:t>
      </w:r>
      <w:r>
        <w:rPr>
          <w:spacing w:val="-5"/>
          <w:w w:val="115"/>
          <w:vertAlign w:val="baseline"/>
        </w:rPr>
        <w:t> </w:t>
      </w:r>
      <w:r>
        <w:rPr>
          <w:w w:val="115"/>
          <w:vertAlign w:val="baseline"/>
        </w:rPr>
        <w:t>be</w:t>
      </w:r>
      <w:r>
        <w:rPr>
          <w:spacing w:val="-5"/>
          <w:w w:val="115"/>
          <w:vertAlign w:val="baseline"/>
        </w:rPr>
        <w:t> </w:t>
      </w:r>
      <w:r>
        <w:rPr>
          <w:w w:val="115"/>
          <w:vertAlign w:val="baseline"/>
        </w:rPr>
        <w:t>invoked</w:t>
      </w:r>
      <w:r>
        <w:rPr>
          <w:spacing w:val="-5"/>
          <w:w w:val="115"/>
          <w:vertAlign w:val="baseline"/>
        </w:rPr>
        <w:t> </w:t>
      </w:r>
      <w:r>
        <w:rPr>
          <w:w w:val="115"/>
          <w:vertAlign w:val="baseline"/>
        </w:rPr>
        <w:t>in</w:t>
      </w:r>
      <w:r>
        <w:rPr>
          <w:spacing w:val="-5"/>
          <w:w w:val="115"/>
          <w:vertAlign w:val="baseline"/>
        </w:rPr>
        <w:t> </w:t>
      </w:r>
      <w:r>
        <w:rPr>
          <w:w w:val="115"/>
          <w:vertAlign w:val="baseline"/>
        </w:rPr>
        <w:t>exactly</w:t>
      </w:r>
      <w:r>
        <w:rPr>
          <w:spacing w:val="-5"/>
          <w:w w:val="115"/>
          <w:vertAlign w:val="baseline"/>
        </w:rPr>
        <w:t> </w:t>
      </w:r>
      <w:r>
        <w:rPr>
          <w:w w:val="115"/>
          <w:vertAlign w:val="baseline"/>
        </w:rPr>
        <w:t>the same</w:t>
      </w:r>
      <w:r>
        <w:rPr>
          <w:spacing w:val="-15"/>
          <w:w w:val="115"/>
          <w:vertAlign w:val="baseline"/>
        </w:rPr>
        <w:t> </w:t>
      </w:r>
      <w:r>
        <w:rPr>
          <w:w w:val="115"/>
          <w:vertAlign w:val="baseline"/>
        </w:rPr>
        <w:t>way</w:t>
      </w:r>
      <w:r>
        <w:rPr>
          <w:spacing w:val="-15"/>
          <w:w w:val="115"/>
          <w:vertAlign w:val="baseline"/>
        </w:rPr>
        <w:t> </w:t>
      </w:r>
      <w:r>
        <w:rPr>
          <w:w w:val="115"/>
          <w:vertAlign w:val="baseline"/>
        </w:rPr>
        <w:t>in</w:t>
      </w:r>
      <w:r>
        <w:rPr>
          <w:spacing w:val="-15"/>
          <w:w w:val="115"/>
          <w:vertAlign w:val="baseline"/>
        </w:rPr>
        <w:t> </w:t>
      </w:r>
      <w:r>
        <w:rPr>
          <w:w w:val="115"/>
          <w:vertAlign w:val="baseline"/>
        </w:rPr>
        <w:t>private</w:t>
      </w:r>
      <w:r>
        <w:rPr>
          <w:spacing w:val="-15"/>
          <w:w w:val="115"/>
          <w:vertAlign w:val="baseline"/>
        </w:rPr>
        <w:t> </w:t>
      </w:r>
      <w:r>
        <w:rPr>
          <w:w w:val="115"/>
          <w:vertAlign w:val="baseline"/>
        </w:rPr>
        <w:t>law</w:t>
      </w:r>
      <w:r>
        <w:rPr>
          <w:spacing w:val="-15"/>
          <w:w w:val="115"/>
          <w:vertAlign w:val="baseline"/>
        </w:rPr>
        <w:t> </w:t>
      </w:r>
      <w:r>
        <w:rPr>
          <w:w w:val="115"/>
          <w:vertAlign w:val="baseline"/>
        </w:rPr>
        <w:t>matters</w:t>
      </w:r>
      <w:r>
        <w:rPr>
          <w:spacing w:val="-15"/>
          <w:w w:val="115"/>
          <w:vertAlign w:val="baseline"/>
        </w:rPr>
        <w:t> </w:t>
      </w:r>
      <w:r>
        <w:rPr>
          <w:w w:val="115"/>
          <w:vertAlign w:val="baseline"/>
        </w:rPr>
        <w:t>as</w:t>
      </w:r>
      <w:r>
        <w:rPr>
          <w:spacing w:val="-15"/>
          <w:w w:val="115"/>
          <w:vertAlign w:val="baseline"/>
        </w:rPr>
        <w:t> </w:t>
      </w:r>
      <w:r>
        <w:rPr>
          <w:w w:val="115"/>
          <w:vertAlign w:val="baseline"/>
        </w:rPr>
        <w:t>in</w:t>
      </w:r>
    </w:p>
    <w:p>
      <w:pPr>
        <w:pStyle w:val="BodyText"/>
        <w:spacing w:line="201" w:lineRule="auto" w:before="76"/>
        <w:ind w:right="242"/>
      </w:pPr>
      <w:r>
        <w:rPr/>
        <w:br w:type="column"/>
      </w:r>
      <w:r>
        <w:rPr>
          <w:w w:val="105"/>
        </w:rPr>
        <w:t>complaints against the state.</w:t>
      </w:r>
      <w:r>
        <w:rPr>
          <w:rFonts w:ascii="Lucida Sans Unicode"/>
          <w:w w:val="105"/>
          <w:vertAlign w:val="superscript"/>
        </w:rPr>
        <w:t>263</w:t>
      </w:r>
      <w:r>
        <w:rPr>
          <w:rFonts w:ascii="Lucida Sans Unicode"/>
          <w:w w:val="105"/>
          <w:vertAlign w:val="baseline"/>
        </w:rPr>
        <w:t> </w:t>
      </w:r>
      <w:r>
        <w:rPr>
          <w:rFonts w:ascii="Lucida Sans Unicode"/>
          <w:w w:val="105"/>
          <w:vertAlign w:val="baseline"/>
        </w:rPr>
        <w:t>Similar findings, following </w:t>
      </w:r>
      <w:r>
        <w:rPr>
          <w:rFonts w:ascii="Verdana"/>
          <w:i/>
          <w:w w:val="105"/>
          <w:vertAlign w:val="baseline"/>
        </w:rPr>
        <w:t>Walker</w:t>
      </w:r>
      <w:r>
        <w:rPr>
          <w:w w:val="105"/>
          <w:vertAlign w:val="baseline"/>
        </w:rPr>
        <w:t>, were</w:t>
      </w:r>
    </w:p>
    <w:p>
      <w:pPr>
        <w:spacing w:line="272" w:lineRule="exact" w:before="0"/>
        <w:ind w:left="113" w:right="0" w:firstLine="0"/>
        <w:jc w:val="left"/>
        <w:rPr>
          <w:sz w:val="24"/>
        </w:rPr>
      </w:pPr>
      <w:r>
        <w:rPr>
          <w:w w:val="105"/>
          <w:sz w:val="24"/>
        </w:rPr>
        <w:t>made</w:t>
      </w:r>
      <w:r>
        <w:rPr>
          <w:spacing w:val="2"/>
          <w:w w:val="105"/>
          <w:sz w:val="24"/>
        </w:rPr>
        <w:t> </w:t>
      </w:r>
      <w:r>
        <w:rPr>
          <w:w w:val="105"/>
          <w:sz w:val="24"/>
        </w:rPr>
        <w:t>in</w:t>
      </w:r>
      <w:r>
        <w:rPr>
          <w:spacing w:val="2"/>
          <w:w w:val="105"/>
          <w:sz w:val="24"/>
        </w:rPr>
        <w:t> </w:t>
      </w:r>
      <w:r>
        <w:rPr>
          <w:rFonts w:ascii="Verdana" w:hAnsi="Verdana"/>
          <w:i/>
          <w:w w:val="105"/>
          <w:sz w:val="24"/>
        </w:rPr>
        <w:t>Beattie</w:t>
      </w:r>
      <w:r>
        <w:rPr>
          <w:rFonts w:ascii="Verdana" w:hAnsi="Verdana"/>
          <w:i/>
          <w:spacing w:val="-16"/>
          <w:w w:val="105"/>
          <w:sz w:val="24"/>
        </w:rPr>
        <w:t> </w:t>
      </w:r>
      <w:r>
        <w:rPr>
          <w:w w:val="105"/>
          <w:sz w:val="24"/>
        </w:rPr>
        <w:t>–</w:t>
      </w:r>
      <w:r>
        <w:rPr>
          <w:spacing w:val="3"/>
          <w:w w:val="105"/>
          <w:sz w:val="24"/>
        </w:rPr>
        <w:t> </w:t>
      </w:r>
      <w:r>
        <w:rPr>
          <w:w w:val="105"/>
          <w:sz w:val="24"/>
        </w:rPr>
        <w:t>a</w:t>
      </w:r>
      <w:r>
        <w:rPr>
          <w:spacing w:val="2"/>
          <w:w w:val="105"/>
          <w:sz w:val="24"/>
        </w:rPr>
        <w:t> </w:t>
      </w:r>
      <w:r>
        <w:rPr>
          <w:w w:val="105"/>
          <w:sz w:val="24"/>
        </w:rPr>
        <w:t>case</w:t>
      </w:r>
      <w:r>
        <w:rPr>
          <w:spacing w:val="3"/>
          <w:w w:val="105"/>
          <w:sz w:val="24"/>
        </w:rPr>
        <w:t> </w:t>
      </w:r>
      <w:r>
        <w:rPr>
          <w:w w:val="105"/>
          <w:sz w:val="24"/>
        </w:rPr>
        <w:t>we</w:t>
      </w:r>
      <w:r>
        <w:rPr>
          <w:spacing w:val="2"/>
          <w:w w:val="105"/>
          <w:sz w:val="24"/>
        </w:rPr>
        <w:t> </w:t>
      </w:r>
      <w:r>
        <w:rPr>
          <w:spacing w:val="-2"/>
          <w:w w:val="105"/>
          <w:sz w:val="24"/>
        </w:rPr>
        <w:t>discuss</w:t>
      </w:r>
    </w:p>
    <w:p>
      <w:pPr>
        <w:pStyle w:val="BodyText"/>
        <w:spacing w:line="268" w:lineRule="auto" w:before="34"/>
        <w:ind w:right="440"/>
      </w:pPr>
      <w:r>
        <w:rPr>
          <w:w w:val="115"/>
        </w:rPr>
        <w:t>in more detail below, as it shows the</w:t>
      </w:r>
      <w:r>
        <w:rPr>
          <w:spacing w:val="-17"/>
          <w:w w:val="115"/>
        </w:rPr>
        <w:t> </w:t>
      </w:r>
      <w:r>
        <w:rPr>
          <w:w w:val="115"/>
        </w:rPr>
        <w:t>importance</w:t>
      </w:r>
      <w:r>
        <w:rPr>
          <w:spacing w:val="-17"/>
          <w:w w:val="115"/>
        </w:rPr>
        <w:t> </w:t>
      </w:r>
      <w:r>
        <w:rPr>
          <w:w w:val="115"/>
        </w:rPr>
        <w:t>of</w:t>
      </w:r>
      <w:r>
        <w:rPr>
          <w:spacing w:val="-17"/>
          <w:w w:val="115"/>
        </w:rPr>
        <w:t> </w:t>
      </w:r>
      <w:r>
        <w:rPr>
          <w:w w:val="115"/>
        </w:rPr>
        <w:t>the</w:t>
      </w:r>
      <w:r>
        <w:rPr>
          <w:spacing w:val="-17"/>
          <w:w w:val="115"/>
        </w:rPr>
        <w:t> </w:t>
      </w:r>
      <w:r>
        <w:rPr>
          <w:w w:val="115"/>
        </w:rPr>
        <w:t>EUWA</w:t>
      </w:r>
      <w:r>
        <w:rPr>
          <w:spacing w:val="-17"/>
          <w:w w:val="115"/>
        </w:rPr>
        <w:t> </w:t>
      </w:r>
      <w:r>
        <w:rPr>
          <w:w w:val="115"/>
        </w:rPr>
        <w:t>in</w:t>
      </w:r>
      <w:r>
        <w:rPr>
          <w:spacing w:val="-17"/>
          <w:w w:val="115"/>
        </w:rPr>
        <w:t> </w:t>
      </w:r>
      <w:r>
        <w:rPr>
          <w:w w:val="115"/>
        </w:rPr>
        <w:t>this </w:t>
      </w:r>
      <w:r>
        <w:rPr>
          <w:spacing w:val="-2"/>
          <w:w w:val="115"/>
        </w:rPr>
        <w:t>context.</w:t>
      </w:r>
    </w:p>
    <w:p>
      <w:pPr>
        <w:pStyle w:val="BodyText"/>
        <w:spacing w:before="27"/>
        <w:ind w:left="0"/>
      </w:pPr>
    </w:p>
    <w:p>
      <w:pPr>
        <w:pStyle w:val="BodyText"/>
        <w:spacing w:line="268" w:lineRule="auto"/>
        <w:ind w:right="317"/>
      </w:pPr>
      <w:r>
        <w:rPr>
          <w:w w:val="115"/>
        </w:rPr>
        <w:t>This pre-Brexit emphasis on disapplication</w:t>
      </w:r>
      <w:r>
        <w:rPr>
          <w:spacing w:val="-5"/>
          <w:w w:val="115"/>
        </w:rPr>
        <w:t> </w:t>
      </w:r>
      <w:r>
        <w:rPr>
          <w:w w:val="115"/>
        </w:rPr>
        <w:t>through</w:t>
      </w:r>
      <w:r>
        <w:rPr>
          <w:spacing w:val="-5"/>
          <w:w w:val="115"/>
        </w:rPr>
        <w:t> </w:t>
      </w:r>
      <w:r>
        <w:rPr>
          <w:w w:val="115"/>
        </w:rPr>
        <w:t>direct</w:t>
      </w:r>
      <w:r>
        <w:rPr>
          <w:spacing w:val="-5"/>
          <w:w w:val="115"/>
        </w:rPr>
        <w:t> </w:t>
      </w:r>
      <w:r>
        <w:rPr>
          <w:w w:val="115"/>
        </w:rPr>
        <w:t>effect before domestic courts is in some respects</w:t>
      </w:r>
      <w:r>
        <w:rPr>
          <w:spacing w:val="-20"/>
          <w:w w:val="115"/>
        </w:rPr>
        <w:t> </w:t>
      </w:r>
      <w:r>
        <w:rPr>
          <w:w w:val="115"/>
        </w:rPr>
        <w:t>unsurprising,</w:t>
      </w:r>
      <w:r>
        <w:rPr>
          <w:spacing w:val="-19"/>
          <w:w w:val="115"/>
        </w:rPr>
        <w:t> </w:t>
      </w:r>
      <w:r>
        <w:rPr>
          <w:w w:val="115"/>
        </w:rPr>
        <w:t>in</w:t>
      </w:r>
      <w:r>
        <w:rPr>
          <w:spacing w:val="-19"/>
          <w:w w:val="115"/>
        </w:rPr>
        <w:t> </w:t>
      </w:r>
      <w:r>
        <w:rPr>
          <w:w w:val="115"/>
        </w:rPr>
        <w:t>the</w:t>
      </w:r>
      <w:r>
        <w:rPr>
          <w:spacing w:val="-19"/>
          <w:w w:val="115"/>
        </w:rPr>
        <w:t> </w:t>
      </w:r>
      <w:r>
        <w:rPr>
          <w:w w:val="115"/>
        </w:rPr>
        <w:t>sense that direct effect is clearer than</w:t>
      </w:r>
    </w:p>
    <w:p>
      <w:pPr>
        <w:pStyle w:val="BodyText"/>
        <w:spacing w:line="268" w:lineRule="auto" w:before="4"/>
        <w:ind w:right="118"/>
      </w:pPr>
      <w:r>
        <w:rPr>
          <w:w w:val="115"/>
        </w:rPr>
        <w:t>the duty to interpret domestic law </w:t>
      </w:r>
      <w:r>
        <w:rPr>
          <w:spacing w:val="-4"/>
          <w:w w:val="115"/>
        </w:rPr>
        <w:t>consistently</w:t>
      </w:r>
      <w:r>
        <w:rPr>
          <w:spacing w:val="-15"/>
          <w:w w:val="115"/>
        </w:rPr>
        <w:t> </w:t>
      </w:r>
      <w:r>
        <w:rPr>
          <w:spacing w:val="-4"/>
          <w:w w:val="115"/>
        </w:rPr>
        <w:t>with</w:t>
      </w:r>
      <w:r>
        <w:rPr>
          <w:spacing w:val="-15"/>
          <w:w w:val="115"/>
        </w:rPr>
        <w:t> </w:t>
      </w:r>
      <w:r>
        <w:rPr>
          <w:spacing w:val="-4"/>
          <w:w w:val="115"/>
        </w:rPr>
        <w:t>EU</w:t>
      </w:r>
      <w:r>
        <w:rPr>
          <w:spacing w:val="-15"/>
          <w:w w:val="115"/>
        </w:rPr>
        <w:t> </w:t>
      </w:r>
      <w:r>
        <w:rPr>
          <w:spacing w:val="-4"/>
          <w:w w:val="115"/>
        </w:rPr>
        <w:t>law.</w:t>
      </w:r>
      <w:r>
        <w:rPr>
          <w:spacing w:val="-15"/>
          <w:w w:val="115"/>
        </w:rPr>
        <w:t> </w:t>
      </w:r>
      <w:r>
        <w:rPr>
          <w:spacing w:val="-4"/>
          <w:w w:val="115"/>
        </w:rPr>
        <w:t>However,</w:t>
      </w:r>
      <w:r>
        <w:rPr>
          <w:spacing w:val="-15"/>
          <w:w w:val="115"/>
        </w:rPr>
        <w:t> </w:t>
      </w:r>
      <w:r>
        <w:rPr>
          <w:spacing w:val="-4"/>
          <w:w w:val="115"/>
        </w:rPr>
        <w:t>it</w:t>
      </w:r>
      <w:r>
        <w:rPr>
          <w:spacing w:val="-15"/>
          <w:w w:val="115"/>
        </w:rPr>
        <w:t> </w:t>
      </w:r>
      <w:r>
        <w:rPr>
          <w:spacing w:val="-4"/>
          <w:w w:val="115"/>
        </w:rPr>
        <w:t>is </w:t>
      </w:r>
      <w:r>
        <w:rPr>
          <w:w w:val="115"/>
        </w:rPr>
        <w:t>equally</w:t>
      </w:r>
      <w:r>
        <w:rPr>
          <w:spacing w:val="-3"/>
          <w:w w:val="115"/>
        </w:rPr>
        <w:t> </w:t>
      </w:r>
      <w:r>
        <w:rPr>
          <w:w w:val="115"/>
        </w:rPr>
        <w:t>important</w:t>
      </w:r>
      <w:r>
        <w:rPr>
          <w:spacing w:val="-3"/>
          <w:w w:val="115"/>
        </w:rPr>
        <w:t> </w:t>
      </w:r>
      <w:r>
        <w:rPr>
          <w:w w:val="115"/>
        </w:rPr>
        <w:t>to</w:t>
      </w:r>
      <w:r>
        <w:rPr>
          <w:spacing w:val="-3"/>
          <w:w w:val="115"/>
        </w:rPr>
        <w:t> </w:t>
      </w:r>
      <w:r>
        <w:rPr>
          <w:w w:val="115"/>
        </w:rPr>
        <w:t>show,</w:t>
      </w:r>
      <w:r>
        <w:rPr>
          <w:spacing w:val="-3"/>
          <w:w w:val="115"/>
        </w:rPr>
        <w:t> </w:t>
      </w:r>
      <w:r>
        <w:rPr>
          <w:w w:val="115"/>
        </w:rPr>
        <w:t>as</w:t>
      </w:r>
      <w:r>
        <w:rPr>
          <w:spacing w:val="-3"/>
          <w:w w:val="115"/>
        </w:rPr>
        <w:t> </w:t>
      </w:r>
      <w:r>
        <w:rPr>
          <w:w w:val="115"/>
        </w:rPr>
        <w:t>already alluded to in Chapter </w:t>
      </w:r>
      <w:r>
        <w:rPr/>
        <w:t>1, </w:t>
      </w:r>
      <w:r>
        <w:rPr>
          <w:w w:val="115"/>
        </w:rPr>
        <w:t>that even the principle of consistent interpretation</w:t>
      </w:r>
    </w:p>
    <w:p>
      <w:pPr>
        <w:pStyle w:val="BodyText"/>
        <w:spacing w:line="325" w:lineRule="exact"/>
        <w:rPr>
          <w:rFonts w:ascii="Lucida Sans Unicode"/>
        </w:rPr>
      </w:pPr>
      <w:r>
        <w:rPr>
          <w:rFonts w:ascii="Lucida Sans Unicode"/>
          <w:w w:val="105"/>
        </w:rPr>
        <w:t>under</w:t>
      </w:r>
      <w:r>
        <w:rPr>
          <w:rFonts w:ascii="Lucida Sans Unicode"/>
          <w:spacing w:val="-18"/>
          <w:w w:val="105"/>
        </w:rPr>
        <w:t> </w:t>
      </w:r>
      <w:r>
        <w:rPr>
          <w:rFonts w:ascii="Lucida Sans Unicode"/>
          <w:w w:val="105"/>
        </w:rPr>
        <w:t>EU</w:t>
      </w:r>
      <w:r>
        <w:rPr>
          <w:rFonts w:ascii="Lucida Sans Unicode"/>
          <w:spacing w:val="-18"/>
          <w:w w:val="105"/>
        </w:rPr>
        <w:t> </w:t>
      </w:r>
      <w:r>
        <w:rPr>
          <w:rFonts w:ascii="Lucida Sans Unicode"/>
          <w:w w:val="105"/>
        </w:rPr>
        <w:t>law</w:t>
      </w:r>
      <w:r>
        <w:rPr>
          <w:rFonts w:ascii="Lucida Sans Unicode"/>
          <w:spacing w:val="-18"/>
          <w:w w:val="105"/>
        </w:rPr>
        <w:t> </w:t>
      </w:r>
      <w:r>
        <w:rPr>
          <w:rFonts w:ascii="Lucida Sans Unicode"/>
          <w:w w:val="105"/>
        </w:rPr>
        <w:t>has</w:t>
      </w:r>
      <w:r>
        <w:rPr>
          <w:rFonts w:ascii="Lucida Sans Unicode"/>
          <w:spacing w:val="-18"/>
          <w:w w:val="105"/>
        </w:rPr>
        <w:t> </w:t>
      </w:r>
      <w:r>
        <w:rPr>
          <w:rFonts w:ascii="Lucida Sans Unicode"/>
          <w:w w:val="105"/>
        </w:rPr>
        <w:t>benefits</w:t>
      </w:r>
      <w:r>
        <w:rPr>
          <w:rFonts w:ascii="Lucida Sans Unicode"/>
          <w:spacing w:val="-17"/>
          <w:w w:val="105"/>
        </w:rPr>
        <w:t> </w:t>
      </w:r>
      <w:r>
        <w:rPr>
          <w:rFonts w:ascii="Lucida Sans Unicode"/>
          <w:spacing w:val="-2"/>
          <w:w w:val="105"/>
        </w:rPr>
        <w:t>compared</w:t>
      </w:r>
    </w:p>
    <w:p>
      <w:pPr>
        <w:pStyle w:val="BodyText"/>
        <w:spacing w:line="266" w:lineRule="exact"/>
      </w:pPr>
      <w:r>
        <w:rPr>
          <w:w w:val="115"/>
        </w:rPr>
        <w:t>to the</w:t>
      </w:r>
      <w:r>
        <w:rPr>
          <w:spacing w:val="1"/>
          <w:w w:val="115"/>
        </w:rPr>
        <w:t> </w:t>
      </w:r>
      <w:r>
        <w:rPr>
          <w:w w:val="115"/>
        </w:rPr>
        <w:t>application of</w:t>
      </w:r>
      <w:r>
        <w:rPr>
          <w:spacing w:val="1"/>
          <w:w w:val="115"/>
        </w:rPr>
        <w:t> </w:t>
      </w:r>
      <w:r>
        <w:rPr>
          <w:w w:val="115"/>
        </w:rPr>
        <w:t>the </w:t>
      </w:r>
      <w:r>
        <w:rPr>
          <w:spacing w:val="-4"/>
          <w:w w:val="115"/>
        </w:rPr>
        <w:t>ECHR.</w:t>
      </w:r>
    </w:p>
    <w:p>
      <w:pPr>
        <w:pStyle w:val="BodyText"/>
        <w:spacing w:before="35"/>
        <w:ind w:left="0"/>
      </w:pPr>
    </w:p>
    <w:p>
      <w:pPr>
        <w:pStyle w:val="ListParagraph"/>
        <w:numPr>
          <w:ilvl w:val="0"/>
          <w:numId w:val="16"/>
        </w:numPr>
        <w:tabs>
          <w:tab w:pos="411" w:val="left" w:leader="none"/>
        </w:tabs>
        <w:spacing w:line="310" w:lineRule="exact" w:before="1" w:after="0"/>
        <w:ind w:left="113" w:right="828" w:firstLine="0"/>
        <w:jc w:val="left"/>
        <w:rPr>
          <w:rFonts w:ascii="Arial"/>
          <w:sz w:val="24"/>
        </w:rPr>
      </w:pPr>
      <w:r>
        <w:rPr>
          <w:rFonts w:ascii="Tahoma"/>
          <w:b/>
          <w:color w:val="77328A"/>
          <w:sz w:val="24"/>
        </w:rPr>
        <w:t>Consistent Interpretation </w:t>
      </w:r>
      <w:r>
        <w:rPr>
          <w:rFonts w:ascii="Arial"/>
          <w:w w:val="110"/>
          <w:sz w:val="24"/>
        </w:rPr>
        <w:t>While the duty of consistent interpretation</w:t>
      </w:r>
      <w:r>
        <w:rPr>
          <w:w w:val="110"/>
          <w:sz w:val="24"/>
          <w:vertAlign w:val="superscript"/>
        </w:rPr>
        <w:t>264</w:t>
      </w:r>
      <w:r>
        <w:rPr>
          <w:spacing w:val="-5"/>
          <w:w w:val="110"/>
          <w:sz w:val="24"/>
          <w:vertAlign w:val="baseline"/>
        </w:rPr>
        <w:t> </w:t>
      </w:r>
      <w:r>
        <w:rPr>
          <w:rFonts w:ascii="Arial"/>
          <w:w w:val="110"/>
          <w:sz w:val="24"/>
          <w:vertAlign w:val="baseline"/>
        </w:rPr>
        <w:t>was available to domestic courts before Brexit, there was a degree of reticence in</w:t>
      </w:r>
      <w:r>
        <w:rPr>
          <w:rFonts w:ascii="Arial"/>
          <w:spacing w:val="2"/>
          <w:w w:val="110"/>
          <w:sz w:val="24"/>
          <w:vertAlign w:val="baseline"/>
        </w:rPr>
        <w:t> </w:t>
      </w:r>
      <w:r>
        <w:rPr>
          <w:rFonts w:ascii="Arial"/>
          <w:w w:val="110"/>
          <w:sz w:val="24"/>
          <w:vertAlign w:val="baseline"/>
        </w:rPr>
        <w:t>employing</w:t>
      </w:r>
      <w:r>
        <w:rPr>
          <w:rFonts w:ascii="Arial"/>
          <w:spacing w:val="2"/>
          <w:w w:val="110"/>
          <w:sz w:val="24"/>
          <w:vertAlign w:val="baseline"/>
        </w:rPr>
        <w:t> </w:t>
      </w:r>
      <w:r>
        <w:rPr>
          <w:rFonts w:ascii="Arial"/>
          <w:w w:val="110"/>
          <w:sz w:val="24"/>
          <w:vertAlign w:val="baseline"/>
        </w:rPr>
        <w:t>it,</w:t>
      </w:r>
      <w:r>
        <w:rPr>
          <w:rFonts w:ascii="Arial"/>
          <w:spacing w:val="2"/>
          <w:w w:val="110"/>
          <w:sz w:val="24"/>
          <w:vertAlign w:val="baseline"/>
        </w:rPr>
        <w:t> </w:t>
      </w:r>
      <w:r>
        <w:rPr>
          <w:rFonts w:ascii="Arial"/>
          <w:w w:val="110"/>
          <w:sz w:val="24"/>
          <w:vertAlign w:val="baseline"/>
        </w:rPr>
        <w:t>as</w:t>
      </w:r>
      <w:r>
        <w:rPr>
          <w:rFonts w:ascii="Arial"/>
          <w:spacing w:val="3"/>
          <w:w w:val="110"/>
          <w:sz w:val="24"/>
          <w:vertAlign w:val="baseline"/>
        </w:rPr>
        <w:t> </w:t>
      </w:r>
      <w:r>
        <w:rPr>
          <w:rFonts w:ascii="Arial"/>
          <w:w w:val="110"/>
          <w:sz w:val="24"/>
          <w:vertAlign w:val="baseline"/>
        </w:rPr>
        <w:t>it</w:t>
      </w:r>
      <w:r>
        <w:rPr>
          <w:rFonts w:ascii="Arial"/>
          <w:spacing w:val="2"/>
          <w:w w:val="110"/>
          <w:sz w:val="24"/>
          <w:vertAlign w:val="baseline"/>
        </w:rPr>
        <w:t> </w:t>
      </w:r>
      <w:r>
        <w:rPr>
          <w:rFonts w:ascii="Arial"/>
          <w:w w:val="110"/>
          <w:sz w:val="24"/>
          <w:vertAlign w:val="baseline"/>
        </w:rPr>
        <w:t>was</w:t>
      </w:r>
      <w:r>
        <w:rPr>
          <w:rFonts w:ascii="Arial"/>
          <w:spacing w:val="2"/>
          <w:w w:val="110"/>
          <w:sz w:val="24"/>
          <w:vertAlign w:val="baseline"/>
        </w:rPr>
        <w:t> </w:t>
      </w:r>
      <w:r>
        <w:rPr>
          <w:rFonts w:ascii="Arial"/>
          <w:w w:val="110"/>
          <w:sz w:val="24"/>
          <w:vertAlign w:val="baseline"/>
        </w:rPr>
        <w:t>seen</w:t>
      </w:r>
      <w:r>
        <w:rPr>
          <w:rFonts w:ascii="Arial"/>
          <w:spacing w:val="3"/>
          <w:w w:val="110"/>
          <w:sz w:val="24"/>
          <w:vertAlign w:val="baseline"/>
        </w:rPr>
        <w:t> </w:t>
      </w:r>
      <w:r>
        <w:rPr>
          <w:rFonts w:ascii="Arial"/>
          <w:spacing w:val="-5"/>
          <w:w w:val="110"/>
          <w:sz w:val="24"/>
          <w:vertAlign w:val="baseline"/>
        </w:rPr>
        <w:t>as</w:t>
      </w:r>
    </w:p>
    <w:p>
      <w:pPr>
        <w:pStyle w:val="BodyText"/>
        <w:spacing w:line="252" w:lineRule="auto" w:before="22"/>
        <w:ind w:right="644"/>
        <w:jc w:val="both"/>
      </w:pPr>
      <w:r>
        <w:rPr>
          <w:w w:val="115"/>
        </w:rPr>
        <w:t>extending</w:t>
      </w:r>
      <w:r>
        <w:rPr>
          <w:spacing w:val="-20"/>
          <w:w w:val="115"/>
        </w:rPr>
        <w:t> </w:t>
      </w:r>
      <w:r>
        <w:rPr>
          <w:w w:val="115"/>
        </w:rPr>
        <w:t>the</w:t>
      </w:r>
      <w:r>
        <w:rPr>
          <w:spacing w:val="-19"/>
          <w:w w:val="115"/>
        </w:rPr>
        <w:t> </w:t>
      </w:r>
      <w:r>
        <w:rPr>
          <w:w w:val="115"/>
        </w:rPr>
        <w:t>‘ordinary</w:t>
      </w:r>
      <w:r>
        <w:rPr>
          <w:spacing w:val="-19"/>
          <w:w w:val="115"/>
        </w:rPr>
        <w:t> </w:t>
      </w:r>
      <w:r>
        <w:rPr>
          <w:w w:val="115"/>
        </w:rPr>
        <w:t>canons’</w:t>
      </w:r>
      <w:r>
        <w:rPr>
          <w:spacing w:val="-19"/>
          <w:w w:val="115"/>
        </w:rPr>
        <w:t> </w:t>
      </w:r>
      <w:r>
        <w:rPr>
          <w:w w:val="115"/>
        </w:rPr>
        <w:t>of statutory interpretation employed </w:t>
      </w:r>
      <w:r>
        <w:rPr>
          <w:w w:val="110"/>
        </w:rPr>
        <w:t>by UK courts.</w:t>
      </w:r>
      <w:r>
        <w:rPr>
          <w:rFonts w:ascii="Lucida Sans Unicode" w:hAnsi="Lucida Sans Unicode"/>
          <w:w w:val="110"/>
          <w:vertAlign w:val="superscript"/>
        </w:rPr>
        <w:t>265</w:t>
      </w:r>
      <w:r>
        <w:rPr>
          <w:rFonts w:ascii="Lucida Sans Unicode" w:hAnsi="Lucida Sans Unicode"/>
          <w:spacing w:val="-9"/>
          <w:w w:val="110"/>
          <w:vertAlign w:val="baseline"/>
        </w:rPr>
        <w:t> </w:t>
      </w:r>
      <w:r>
        <w:rPr>
          <w:w w:val="110"/>
          <w:vertAlign w:val="baseline"/>
        </w:rPr>
        <w:t>Instead, as noted</w:t>
      </w:r>
    </w:p>
    <w:p>
      <w:pPr>
        <w:pStyle w:val="BodyText"/>
        <w:spacing w:line="239" w:lineRule="exact"/>
      </w:pPr>
      <w:r>
        <w:rPr>
          <w:spacing w:val="-2"/>
          <w:w w:val="115"/>
        </w:rPr>
        <w:t>above,</w:t>
      </w:r>
      <w:r>
        <w:rPr>
          <w:spacing w:val="-12"/>
          <w:w w:val="115"/>
        </w:rPr>
        <w:t> </w:t>
      </w:r>
      <w:r>
        <w:rPr>
          <w:spacing w:val="-2"/>
          <w:w w:val="115"/>
        </w:rPr>
        <w:t>domestic</w:t>
      </w:r>
      <w:r>
        <w:rPr>
          <w:spacing w:val="-11"/>
          <w:w w:val="115"/>
        </w:rPr>
        <w:t> </w:t>
      </w:r>
      <w:r>
        <w:rPr>
          <w:spacing w:val="-2"/>
          <w:w w:val="115"/>
        </w:rPr>
        <w:t>courts</w:t>
      </w:r>
      <w:r>
        <w:rPr>
          <w:spacing w:val="-11"/>
          <w:w w:val="115"/>
        </w:rPr>
        <w:t> </w:t>
      </w:r>
      <w:r>
        <w:rPr>
          <w:spacing w:val="-2"/>
          <w:w w:val="115"/>
        </w:rPr>
        <w:t>made</w:t>
      </w:r>
      <w:r>
        <w:rPr>
          <w:spacing w:val="-11"/>
          <w:w w:val="115"/>
        </w:rPr>
        <w:t> </w:t>
      </w:r>
      <w:r>
        <w:rPr>
          <w:spacing w:val="-2"/>
          <w:w w:val="115"/>
        </w:rPr>
        <w:t>full</w:t>
      </w:r>
      <w:r>
        <w:rPr>
          <w:spacing w:val="-12"/>
          <w:w w:val="115"/>
        </w:rPr>
        <w:t> </w:t>
      </w:r>
      <w:r>
        <w:rPr>
          <w:spacing w:val="-5"/>
          <w:w w:val="115"/>
        </w:rPr>
        <w:t>use</w:t>
      </w:r>
    </w:p>
    <w:p>
      <w:pPr>
        <w:pStyle w:val="BodyText"/>
        <w:spacing w:line="268" w:lineRule="auto" w:before="34"/>
        <w:ind w:right="533"/>
      </w:pPr>
      <w:r>
        <w:rPr>
          <w:w w:val="115"/>
        </w:rPr>
        <w:t>of the possibility of disapplication, which</w:t>
      </w:r>
      <w:r>
        <w:rPr>
          <w:spacing w:val="-17"/>
          <w:w w:val="115"/>
        </w:rPr>
        <w:t> </w:t>
      </w:r>
      <w:r>
        <w:rPr>
          <w:w w:val="115"/>
        </w:rPr>
        <w:t>they</w:t>
      </w:r>
      <w:r>
        <w:rPr>
          <w:spacing w:val="-17"/>
          <w:w w:val="115"/>
        </w:rPr>
        <w:t> </w:t>
      </w:r>
      <w:r>
        <w:rPr>
          <w:w w:val="115"/>
        </w:rPr>
        <w:t>understood</w:t>
      </w:r>
      <w:r>
        <w:rPr>
          <w:spacing w:val="-17"/>
          <w:w w:val="115"/>
        </w:rPr>
        <w:t> </w:t>
      </w:r>
      <w:r>
        <w:rPr>
          <w:w w:val="115"/>
        </w:rPr>
        <w:t>as</w:t>
      </w:r>
      <w:r>
        <w:rPr>
          <w:spacing w:val="-17"/>
          <w:w w:val="115"/>
        </w:rPr>
        <w:t> </w:t>
      </w:r>
      <w:r>
        <w:rPr>
          <w:w w:val="115"/>
        </w:rPr>
        <w:t>a</w:t>
      </w:r>
      <w:r>
        <w:rPr>
          <w:spacing w:val="-17"/>
          <w:w w:val="115"/>
        </w:rPr>
        <w:t> </w:t>
      </w:r>
      <w:r>
        <w:rPr>
          <w:w w:val="115"/>
        </w:rPr>
        <w:t>strictly EU-derived</w:t>
      </w:r>
      <w:r>
        <w:rPr>
          <w:spacing w:val="-10"/>
          <w:w w:val="115"/>
        </w:rPr>
        <w:t> </w:t>
      </w:r>
      <w:r>
        <w:rPr>
          <w:w w:val="115"/>
        </w:rPr>
        <w:t>remedy.</w:t>
      </w:r>
      <w:r>
        <w:rPr>
          <w:spacing w:val="-10"/>
          <w:w w:val="115"/>
        </w:rPr>
        <w:t> </w:t>
      </w:r>
      <w:r>
        <w:rPr>
          <w:w w:val="115"/>
        </w:rPr>
        <w:t>There</w:t>
      </w:r>
      <w:r>
        <w:rPr>
          <w:spacing w:val="-10"/>
          <w:w w:val="115"/>
        </w:rPr>
        <w:t> </w:t>
      </w:r>
      <w:r>
        <w:rPr>
          <w:w w:val="115"/>
        </w:rPr>
        <w:t>are,</w:t>
      </w:r>
      <w:r>
        <w:rPr>
          <w:spacing w:val="-10"/>
          <w:w w:val="115"/>
        </w:rPr>
        <w:t> </w:t>
      </w:r>
      <w:r>
        <w:rPr>
          <w:w w:val="115"/>
        </w:rPr>
        <w:t>of</w:t>
      </w:r>
    </w:p>
    <w:p>
      <w:pPr>
        <w:spacing w:after="0" w:line="268" w:lineRule="auto"/>
        <w:sectPr>
          <w:type w:val="continuous"/>
          <w:pgSz w:w="11910" w:h="16840"/>
          <w:pgMar w:header="568" w:footer="580" w:top="0" w:bottom="280" w:left="1020" w:right="1020"/>
          <w:cols w:num="2" w:equalWidth="0">
            <w:col w:w="4677" w:space="369"/>
            <w:col w:w="4824"/>
          </w:cols>
        </w:sectPr>
      </w:pPr>
    </w:p>
    <w:p>
      <w:pPr>
        <w:pStyle w:val="BodyText"/>
        <w:spacing w:before="5"/>
        <w:ind w:left="0"/>
        <w:rPr>
          <w:sz w:val="16"/>
        </w:rPr>
      </w:pPr>
    </w:p>
    <w:p>
      <w:pPr>
        <w:pStyle w:val="BodyText"/>
        <w:spacing w:line="20" w:lineRule="exact"/>
        <w:rPr>
          <w:sz w:val="2"/>
        </w:rPr>
      </w:pPr>
      <w:r>
        <w:rPr>
          <w:sz w:val="2"/>
        </w:rPr>
        <mc:AlternateContent>
          <mc:Choice Requires="wps">
            <w:drawing>
              <wp:inline distT="0" distB="0" distL="0" distR="0">
                <wp:extent cx="6120130" cy="6350"/>
                <wp:effectExtent l="9525" t="0" r="0" b="3175"/>
                <wp:docPr id="168" name="Group 168"/>
                <wp:cNvGraphicFramePr>
                  <a:graphicFrameLocks/>
                </wp:cNvGraphicFramePr>
                <a:graphic>
                  <a:graphicData uri="http://schemas.microsoft.com/office/word/2010/wordprocessingGroup">
                    <wpg:wgp>
                      <wpg:cNvPr id="168" name="Group 168"/>
                      <wpg:cNvGrpSpPr/>
                      <wpg:grpSpPr>
                        <a:xfrm>
                          <a:off x="0" y="0"/>
                          <a:ext cx="6120130" cy="6350"/>
                          <a:chExt cx="6120130" cy="6350"/>
                        </a:xfrm>
                      </wpg:grpSpPr>
                      <wps:wsp>
                        <wps:cNvPr id="169" name="Graphic 169"/>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103"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14"/>
        </w:numPr>
        <w:tabs>
          <w:tab w:pos="567" w:val="left" w:leader="none"/>
        </w:tabs>
        <w:spacing w:line="194" w:lineRule="auto" w:before="94" w:after="0"/>
        <w:ind w:left="567" w:right="185" w:hanging="454"/>
        <w:jc w:val="left"/>
        <w:rPr>
          <w:sz w:val="16"/>
        </w:rPr>
      </w:pPr>
      <w:r>
        <w:rPr>
          <w:rFonts w:ascii="Arial" w:hAnsi="Arial"/>
          <w:w w:val="110"/>
          <w:sz w:val="16"/>
        </w:rPr>
        <w:t>Unlike</w:t>
      </w:r>
      <w:r>
        <w:rPr>
          <w:rFonts w:ascii="Arial" w:hAnsi="Arial"/>
          <w:spacing w:val="-1"/>
          <w:w w:val="110"/>
          <w:sz w:val="16"/>
        </w:rPr>
        <w:t> </w:t>
      </w:r>
      <w:r>
        <w:rPr>
          <w:rFonts w:ascii="Verdana" w:hAnsi="Verdana"/>
          <w:i/>
          <w:w w:val="110"/>
          <w:sz w:val="16"/>
        </w:rPr>
        <w:t>Benkharbouche</w:t>
      </w:r>
      <w:r>
        <w:rPr>
          <w:rFonts w:ascii="Arial" w:hAnsi="Arial"/>
          <w:w w:val="110"/>
          <w:sz w:val="16"/>
        </w:rPr>
        <w:t>,</w:t>
      </w:r>
      <w:r>
        <w:rPr>
          <w:rFonts w:ascii="Arial" w:hAnsi="Arial"/>
          <w:spacing w:val="-1"/>
          <w:w w:val="110"/>
          <w:sz w:val="16"/>
        </w:rPr>
        <w:t> </w:t>
      </w:r>
      <w:r>
        <w:rPr>
          <w:rFonts w:ascii="Arial" w:hAnsi="Arial"/>
          <w:w w:val="110"/>
          <w:sz w:val="16"/>
        </w:rPr>
        <w:t>it</w:t>
      </w:r>
      <w:r>
        <w:rPr>
          <w:rFonts w:ascii="Arial" w:hAnsi="Arial"/>
          <w:spacing w:val="-1"/>
          <w:w w:val="110"/>
          <w:sz w:val="16"/>
        </w:rPr>
        <w:t> </w:t>
      </w:r>
      <w:r>
        <w:rPr>
          <w:rFonts w:ascii="Arial" w:hAnsi="Arial"/>
          <w:w w:val="110"/>
          <w:sz w:val="16"/>
        </w:rPr>
        <w:t>is</w:t>
      </w:r>
      <w:r>
        <w:rPr>
          <w:rFonts w:ascii="Arial" w:hAnsi="Arial"/>
          <w:spacing w:val="-1"/>
          <w:w w:val="110"/>
          <w:sz w:val="16"/>
        </w:rPr>
        <w:t> </w:t>
      </w:r>
      <w:r>
        <w:rPr>
          <w:rFonts w:ascii="Arial" w:hAnsi="Arial"/>
          <w:w w:val="110"/>
          <w:sz w:val="16"/>
        </w:rPr>
        <w:t>not</w:t>
      </w:r>
      <w:r>
        <w:rPr>
          <w:rFonts w:ascii="Arial" w:hAnsi="Arial"/>
          <w:spacing w:val="-1"/>
          <w:w w:val="110"/>
          <w:sz w:val="16"/>
        </w:rPr>
        <w:t> </w:t>
      </w:r>
      <w:r>
        <w:rPr>
          <w:rFonts w:ascii="Arial" w:hAnsi="Arial"/>
          <w:w w:val="110"/>
          <w:sz w:val="16"/>
        </w:rPr>
        <w:t>clear</w:t>
      </w:r>
      <w:r>
        <w:rPr>
          <w:rFonts w:ascii="Arial" w:hAnsi="Arial"/>
          <w:spacing w:val="-1"/>
          <w:w w:val="110"/>
          <w:sz w:val="16"/>
        </w:rPr>
        <w:t> </w:t>
      </w:r>
      <w:r>
        <w:rPr>
          <w:rFonts w:ascii="Arial" w:hAnsi="Arial"/>
          <w:w w:val="110"/>
          <w:sz w:val="16"/>
        </w:rPr>
        <w:t>that</w:t>
      </w:r>
      <w:r>
        <w:rPr>
          <w:rFonts w:ascii="Arial" w:hAnsi="Arial"/>
          <w:spacing w:val="-1"/>
          <w:w w:val="110"/>
          <w:sz w:val="16"/>
        </w:rPr>
        <w:t> </w:t>
      </w:r>
      <w:r>
        <w:rPr>
          <w:rFonts w:ascii="Arial" w:hAnsi="Arial"/>
          <w:w w:val="110"/>
          <w:sz w:val="16"/>
        </w:rPr>
        <w:t>a</w:t>
      </w:r>
      <w:r>
        <w:rPr>
          <w:rFonts w:ascii="Arial" w:hAnsi="Arial"/>
          <w:spacing w:val="-1"/>
          <w:w w:val="110"/>
          <w:sz w:val="16"/>
        </w:rPr>
        <w:t> </w:t>
      </w:r>
      <w:r>
        <w:rPr>
          <w:rFonts w:ascii="Arial" w:hAnsi="Arial"/>
          <w:w w:val="110"/>
          <w:sz w:val="16"/>
        </w:rPr>
        <w:t>declaration</w:t>
      </w:r>
      <w:r>
        <w:rPr>
          <w:rFonts w:ascii="Arial" w:hAnsi="Arial"/>
          <w:spacing w:val="-1"/>
          <w:w w:val="110"/>
          <w:sz w:val="16"/>
        </w:rPr>
        <w:t> </w:t>
      </w:r>
      <w:r>
        <w:rPr>
          <w:rFonts w:ascii="Arial" w:hAnsi="Arial"/>
          <w:w w:val="110"/>
          <w:sz w:val="16"/>
        </w:rPr>
        <w:t>would</w:t>
      </w:r>
      <w:r>
        <w:rPr>
          <w:rFonts w:ascii="Arial" w:hAnsi="Arial"/>
          <w:spacing w:val="-1"/>
          <w:w w:val="110"/>
          <w:sz w:val="16"/>
        </w:rPr>
        <w:t> </w:t>
      </w:r>
      <w:r>
        <w:rPr>
          <w:rFonts w:ascii="Arial" w:hAnsi="Arial"/>
          <w:w w:val="110"/>
          <w:sz w:val="16"/>
        </w:rPr>
        <w:t>have</w:t>
      </w:r>
      <w:r>
        <w:rPr>
          <w:rFonts w:ascii="Arial" w:hAnsi="Arial"/>
          <w:spacing w:val="-1"/>
          <w:w w:val="110"/>
          <w:sz w:val="16"/>
        </w:rPr>
        <w:t> </w:t>
      </w:r>
      <w:r>
        <w:rPr>
          <w:rFonts w:ascii="Arial" w:hAnsi="Arial"/>
          <w:w w:val="110"/>
          <w:sz w:val="16"/>
        </w:rPr>
        <w:t>been</w:t>
      </w:r>
      <w:r>
        <w:rPr>
          <w:rFonts w:ascii="Arial" w:hAnsi="Arial"/>
          <w:spacing w:val="-1"/>
          <w:w w:val="110"/>
          <w:sz w:val="16"/>
        </w:rPr>
        <w:t> </w:t>
      </w:r>
      <w:r>
        <w:rPr>
          <w:rFonts w:ascii="Arial" w:hAnsi="Arial"/>
          <w:w w:val="110"/>
          <w:sz w:val="16"/>
        </w:rPr>
        <w:t>issued</w:t>
      </w:r>
      <w:r>
        <w:rPr>
          <w:rFonts w:ascii="Arial" w:hAnsi="Arial"/>
          <w:spacing w:val="-1"/>
          <w:w w:val="110"/>
          <w:sz w:val="16"/>
        </w:rPr>
        <w:t> </w:t>
      </w:r>
      <w:r>
        <w:rPr>
          <w:rFonts w:ascii="Arial" w:hAnsi="Arial"/>
          <w:w w:val="110"/>
          <w:sz w:val="16"/>
        </w:rPr>
        <w:t>on</w:t>
      </w:r>
      <w:r>
        <w:rPr>
          <w:rFonts w:ascii="Arial" w:hAnsi="Arial"/>
          <w:spacing w:val="-1"/>
          <w:w w:val="110"/>
          <w:sz w:val="16"/>
        </w:rPr>
        <w:t> </w:t>
      </w:r>
      <w:r>
        <w:rPr>
          <w:rFonts w:ascii="Arial" w:hAnsi="Arial"/>
          <w:w w:val="110"/>
          <w:sz w:val="16"/>
        </w:rPr>
        <w:t>this</w:t>
      </w:r>
      <w:r>
        <w:rPr>
          <w:rFonts w:ascii="Arial" w:hAnsi="Arial"/>
          <w:spacing w:val="-1"/>
          <w:w w:val="110"/>
          <w:sz w:val="16"/>
        </w:rPr>
        <w:t> </w:t>
      </w:r>
      <w:r>
        <w:rPr>
          <w:rFonts w:ascii="Arial" w:hAnsi="Arial"/>
          <w:w w:val="110"/>
          <w:sz w:val="16"/>
        </w:rPr>
        <w:t>point,</w:t>
      </w:r>
      <w:r>
        <w:rPr>
          <w:rFonts w:ascii="Arial" w:hAnsi="Arial"/>
          <w:spacing w:val="-1"/>
          <w:w w:val="110"/>
          <w:sz w:val="16"/>
        </w:rPr>
        <w:t> </w:t>
      </w:r>
      <w:r>
        <w:rPr>
          <w:rFonts w:ascii="Arial" w:hAnsi="Arial"/>
          <w:w w:val="110"/>
          <w:sz w:val="16"/>
        </w:rPr>
        <w:t>as</w:t>
      </w:r>
      <w:r>
        <w:rPr>
          <w:rFonts w:ascii="Arial" w:hAnsi="Arial"/>
          <w:spacing w:val="-1"/>
          <w:w w:val="110"/>
          <w:sz w:val="16"/>
        </w:rPr>
        <w:t> </w:t>
      </w:r>
      <w:r>
        <w:rPr>
          <w:rFonts w:ascii="Arial" w:hAnsi="Arial"/>
          <w:w w:val="110"/>
          <w:sz w:val="16"/>
        </w:rPr>
        <w:t>non-discrimination </w:t>
      </w:r>
      <w:r>
        <w:rPr>
          <w:sz w:val="16"/>
        </w:rPr>
        <w:t>in respect of pension entitlements is an aspect of the Strasbourg Court’s case law which is less protective than</w:t>
      </w:r>
    </w:p>
    <w:p>
      <w:pPr>
        <w:spacing w:line="204" w:lineRule="exact" w:before="0"/>
        <w:ind w:left="567" w:right="0" w:firstLine="0"/>
        <w:jc w:val="left"/>
        <w:rPr>
          <w:rFonts w:ascii="Lucida Sans Unicode" w:hAnsi="Lucida Sans Unicode"/>
          <w:sz w:val="16"/>
        </w:rPr>
      </w:pPr>
      <w:r>
        <w:rPr>
          <w:sz w:val="16"/>
        </w:rPr>
        <w:t>EU law: see,</w:t>
      </w:r>
      <w:r>
        <w:rPr>
          <w:spacing w:val="1"/>
          <w:sz w:val="16"/>
        </w:rPr>
        <w:t> </w:t>
      </w:r>
      <w:r>
        <w:rPr>
          <w:sz w:val="16"/>
        </w:rPr>
        <w:t>e.g., </w:t>
      </w:r>
      <w:r>
        <w:rPr>
          <w:rFonts w:ascii="Verdana" w:hAnsi="Verdana"/>
          <w:i/>
          <w:sz w:val="16"/>
        </w:rPr>
        <w:t>Aldeguer</w:t>
      </w:r>
      <w:r>
        <w:rPr>
          <w:rFonts w:ascii="Verdana" w:hAnsi="Verdana"/>
          <w:i/>
          <w:spacing w:val="-11"/>
          <w:sz w:val="16"/>
        </w:rPr>
        <w:t> </w:t>
      </w:r>
      <w:r>
        <w:rPr>
          <w:rFonts w:ascii="Verdana" w:hAnsi="Verdana"/>
          <w:i/>
          <w:sz w:val="16"/>
        </w:rPr>
        <w:t>Tomás</w:t>
      </w:r>
      <w:r>
        <w:rPr>
          <w:rFonts w:ascii="Verdana" w:hAnsi="Verdana"/>
          <w:i/>
          <w:spacing w:val="-12"/>
          <w:sz w:val="16"/>
        </w:rPr>
        <w:t> </w:t>
      </w:r>
      <w:r>
        <w:rPr>
          <w:rFonts w:ascii="Verdana" w:hAnsi="Verdana"/>
          <w:i/>
          <w:sz w:val="16"/>
        </w:rPr>
        <w:t>v</w:t>
      </w:r>
      <w:r>
        <w:rPr>
          <w:rFonts w:ascii="Verdana" w:hAnsi="Verdana"/>
          <w:i/>
          <w:spacing w:val="-11"/>
          <w:sz w:val="16"/>
        </w:rPr>
        <w:t> </w:t>
      </w:r>
      <w:r>
        <w:rPr>
          <w:rFonts w:ascii="Verdana" w:hAnsi="Verdana"/>
          <w:i/>
          <w:sz w:val="16"/>
        </w:rPr>
        <w:t>Spain</w:t>
      </w:r>
      <w:r>
        <w:rPr>
          <w:rFonts w:ascii="Lucida Sans Unicode" w:hAnsi="Lucida Sans Unicode"/>
          <w:sz w:val="16"/>
        </w:rPr>
        <w:t>,</w:t>
      </w:r>
      <w:r>
        <w:rPr>
          <w:rFonts w:ascii="Lucida Sans Unicode" w:hAnsi="Lucida Sans Unicode"/>
          <w:spacing w:val="-6"/>
          <w:sz w:val="16"/>
        </w:rPr>
        <w:t> </w:t>
      </w:r>
      <w:r>
        <w:rPr>
          <w:rFonts w:ascii="Lucida Sans Unicode" w:hAnsi="Lucida Sans Unicode"/>
          <w:sz w:val="16"/>
        </w:rPr>
        <w:t>App.</w:t>
      </w:r>
      <w:r>
        <w:rPr>
          <w:rFonts w:ascii="Lucida Sans Unicode" w:hAnsi="Lucida Sans Unicode"/>
          <w:spacing w:val="-5"/>
          <w:sz w:val="16"/>
        </w:rPr>
        <w:t> </w:t>
      </w:r>
      <w:r>
        <w:rPr>
          <w:rFonts w:ascii="Lucida Sans Unicode" w:hAnsi="Lucida Sans Unicode"/>
          <w:sz w:val="16"/>
        </w:rPr>
        <w:t>No.35214/09,</w:t>
      </w:r>
      <w:r>
        <w:rPr>
          <w:rFonts w:ascii="Lucida Sans Unicode" w:hAnsi="Lucida Sans Unicode"/>
          <w:spacing w:val="-6"/>
          <w:sz w:val="16"/>
        </w:rPr>
        <w:t> </w:t>
      </w:r>
      <w:r>
        <w:rPr>
          <w:rFonts w:ascii="Lucida Sans Unicode" w:hAnsi="Lucida Sans Unicode"/>
          <w:sz w:val="16"/>
        </w:rPr>
        <w:t>judgment</w:t>
      </w:r>
      <w:r>
        <w:rPr>
          <w:rFonts w:ascii="Lucida Sans Unicode" w:hAnsi="Lucida Sans Unicode"/>
          <w:spacing w:val="-5"/>
          <w:sz w:val="16"/>
        </w:rPr>
        <w:t> </w:t>
      </w:r>
      <w:r>
        <w:rPr>
          <w:rFonts w:ascii="Lucida Sans Unicode" w:hAnsi="Lucida Sans Unicode"/>
          <w:sz w:val="16"/>
        </w:rPr>
        <w:t>of</w:t>
      </w:r>
      <w:r>
        <w:rPr>
          <w:rFonts w:ascii="Lucida Sans Unicode" w:hAnsi="Lucida Sans Unicode"/>
          <w:spacing w:val="-6"/>
          <w:sz w:val="16"/>
        </w:rPr>
        <w:t> </w:t>
      </w:r>
      <w:r>
        <w:rPr>
          <w:rFonts w:ascii="Lucida Sans Unicode" w:hAnsi="Lucida Sans Unicode"/>
          <w:sz w:val="16"/>
        </w:rPr>
        <w:t>14</w:t>
      </w:r>
      <w:r>
        <w:rPr>
          <w:rFonts w:ascii="Lucida Sans Unicode" w:hAnsi="Lucida Sans Unicode"/>
          <w:spacing w:val="-5"/>
          <w:sz w:val="16"/>
        </w:rPr>
        <w:t> </w:t>
      </w:r>
      <w:r>
        <w:rPr>
          <w:rFonts w:ascii="Lucida Sans Unicode" w:hAnsi="Lucida Sans Unicode"/>
          <w:sz w:val="16"/>
        </w:rPr>
        <w:t>June</w:t>
      </w:r>
      <w:r>
        <w:rPr>
          <w:rFonts w:ascii="Lucida Sans Unicode" w:hAnsi="Lucida Sans Unicode"/>
          <w:spacing w:val="-6"/>
          <w:sz w:val="16"/>
        </w:rPr>
        <w:t> </w:t>
      </w:r>
      <w:r>
        <w:rPr>
          <w:rFonts w:ascii="Lucida Sans Unicode" w:hAnsi="Lucida Sans Unicode"/>
          <w:sz w:val="16"/>
        </w:rPr>
        <w:t>2016.</w:t>
      </w:r>
      <w:r>
        <w:rPr>
          <w:rFonts w:ascii="Lucida Sans Unicode" w:hAnsi="Lucida Sans Unicode"/>
          <w:spacing w:val="-6"/>
          <w:sz w:val="16"/>
        </w:rPr>
        <w:t> </w:t>
      </w:r>
      <w:r>
        <w:rPr>
          <w:rFonts w:ascii="Lucida Sans Unicode" w:hAnsi="Lucida Sans Unicode"/>
          <w:sz w:val="16"/>
        </w:rPr>
        <w:t>The</w:t>
      </w:r>
      <w:r>
        <w:rPr>
          <w:rFonts w:ascii="Lucida Sans Unicode" w:hAnsi="Lucida Sans Unicode"/>
          <w:spacing w:val="-5"/>
          <w:sz w:val="16"/>
        </w:rPr>
        <w:t> </w:t>
      </w:r>
      <w:r>
        <w:rPr>
          <w:rFonts w:ascii="Lucida Sans Unicode" w:hAnsi="Lucida Sans Unicode"/>
          <w:sz w:val="16"/>
        </w:rPr>
        <w:t>added</w:t>
      </w:r>
      <w:r>
        <w:rPr>
          <w:rFonts w:ascii="Lucida Sans Unicode" w:hAnsi="Lucida Sans Unicode"/>
          <w:spacing w:val="-6"/>
          <w:sz w:val="16"/>
        </w:rPr>
        <w:t> </w:t>
      </w:r>
      <w:r>
        <w:rPr>
          <w:rFonts w:ascii="Lucida Sans Unicode" w:hAnsi="Lucida Sans Unicode"/>
          <w:sz w:val="16"/>
        </w:rPr>
        <w:t>value</w:t>
      </w:r>
      <w:r>
        <w:rPr>
          <w:rFonts w:ascii="Lucida Sans Unicode" w:hAnsi="Lucida Sans Unicode"/>
          <w:spacing w:val="-5"/>
          <w:sz w:val="16"/>
        </w:rPr>
        <w:t> </w:t>
      </w:r>
      <w:r>
        <w:rPr>
          <w:rFonts w:ascii="Lucida Sans Unicode" w:hAnsi="Lucida Sans Unicode"/>
          <w:sz w:val="16"/>
        </w:rPr>
        <w:t>of</w:t>
      </w:r>
      <w:r>
        <w:rPr>
          <w:rFonts w:ascii="Lucida Sans Unicode" w:hAnsi="Lucida Sans Unicode"/>
          <w:spacing w:val="-6"/>
          <w:sz w:val="16"/>
        </w:rPr>
        <w:t> </w:t>
      </w:r>
      <w:r>
        <w:rPr>
          <w:rFonts w:ascii="Lucida Sans Unicode" w:hAnsi="Lucida Sans Unicode"/>
          <w:spacing w:val="-5"/>
          <w:sz w:val="16"/>
        </w:rPr>
        <w:t>the</w:t>
      </w:r>
    </w:p>
    <w:p>
      <w:pPr>
        <w:spacing w:line="206" w:lineRule="auto" w:before="11"/>
        <w:ind w:left="567" w:right="305" w:firstLine="0"/>
        <w:jc w:val="left"/>
        <w:rPr>
          <w:rFonts w:ascii="Lucida Sans Unicode" w:hAnsi="Lucida Sans Unicode"/>
          <w:sz w:val="16"/>
        </w:rPr>
      </w:pPr>
      <w:r>
        <w:rPr>
          <w:w w:val="105"/>
          <w:sz w:val="16"/>
        </w:rPr>
        <w:t>Charter</w:t>
      </w:r>
      <w:r>
        <w:rPr>
          <w:spacing w:val="23"/>
          <w:w w:val="105"/>
          <w:sz w:val="16"/>
        </w:rPr>
        <w:t> </w:t>
      </w:r>
      <w:r>
        <w:rPr>
          <w:w w:val="105"/>
          <w:sz w:val="16"/>
        </w:rPr>
        <w:t>in</w:t>
      </w:r>
      <w:r>
        <w:rPr>
          <w:spacing w:val="23"/>
          <w:w w:val="105"/>
          <w:sz w:val="16"/>
        </w:rPr>
        <w:t> </w:t>
      </w:r>
      <w:r>
        <w:rPr>
          <w:w w:val="105"/>
          <w:sz w:val="16"/>
        </w:rPr>
        <w:t>the</w:t>
      </w:r>
      <w:r>
        <w:rPr>
          <w:spacing w:val="23"/>
          <w:w w:val="105"/>
          <w:sz w:val="16"/>
        </w:rPr>
        <w:t> </w:t>
      </w:r>
      <w:r>
        <w:rPr>
          <w:w w:val="105"/>
          <w:sz w:val="16"/>
        </w:rPr>
        <w:t>context</w:t>
      </w:r>
      <w:r>
        <w:rPr>
          <w:spacing w:val="23"/>
          <w:w w:val="105"/>
          <w:sz w:val="16"/>
        </w:rPr>
        <w:t> </w:t>
      </w:r>
      <w:r>
        <w:rPr>
          <w:w w:val="105"/>
          <w:sz w:val="16"/>
        </w:rPr>
        <w:t>of</w:t>
      </w:r>
      <w:r>
        <w:rPr>
          <w:spacing w:val="23"/>
          <w:w w:val="105"/>
          <w:sz w:val="16"/>
        </w:rPr>
        <w:t> </w:t>
      </w:r>
      <w:r>
        <w:rPr>
          <w:w w:val="105"/>
          <w:sz w:val="16"/>
        </w:rPr>
        <w:t>welfare</w:t>
      </w:r>
      <w:r>
        <w:rPr>
          <w:spacing w:val="23"/>
          <w:w w:val="105"/>
          <w:sz w:val="16"/>
        </w:rPr>
        <w:t> </w:t>
      </w:r>
      <w:r>
        <w:rPr>
          <w:w w:val="105"/>
          <w:sz w:val="16"/>
        </w:rPr>
        <w:t>is</w:t>
      </w:r>
      <w:r>
        <w:rPr>
          <w:spacing w:val="23"/>
          <w:w w:val="105"/>
          <w:sz w:val="16"/>
        </w:rPr>
        <w:t> </w:t>
      </w:r>
      <w:r>
        <w:rPr>
          <w:w w:val="105"/>
          <w:sz w:val="16"/>
        </w:rPr>
        <w:t>also</w:t>
      </w:r>
      <w:r>
        <w:rPr>
          <w:spacing w:val="23"/>
          <w:w w:val="105"/>
          <w:sz w:val="16"/>
        </w:rPr>
        <w:t> </w:t>
      </w:r>
      <w:r>
        <w:rPr>
          <w:w w:val="105"/>
          <w:sz w:val="16"/>
        </w:rPr>
        <w:t>evident</w:t>
      </w:r>
      <w:r>
        <w:rPr>
          <w:spacing w:val="23"/>
          <w:w w:val="105"/>
          <w:sz w:val="16"/>
        </w:rPr>
        <w:t> </w:t>
      </w:r>
      <w:r>
        <w:rPr>
          <w:w w:val="105"/>
          <w:sz w:val="16"/>
        </w:rPr>
        <w:t>in</w:t>
      </w:r>
      <w:r>
        <w:rPr>
          <w:spacing w:val="23"/>
          <w:w w:val="105"/>
          <w:sz w:val="16"/>
        </w:rPr>
        <w:t> </w:t>
      </w:r>
      <w:r>
        <w:rPr>
          <w:w w:val="105"/>
          <w:sz w:val="16"/>
        </w:rPr>
        <w:t>the</w:t>
      </w:r>
      <w:r>
        <w:rPr>
          <w:spacing w:val="23"/>
          <w:w w:val="105"/>
          <w:sz w:val="16"/>
        </w:rPr>
        <w:t> </w:t>
      </w:r>
      <w:r>
        <w:rPr>
          <w:w w:val="105"/>
          <w:sz w:val="16"/>
        </w:rPr>
        <w:t>growing</w:t>
      </w:r>
      <w:r>
        <w:rPr>
          <w:spacing w:val="23"/>
          <w:w w:val="105"/>
          <w:sz w:val="16"/>
        </w:rPr>
        <w:t> </w:t>
      </w:r>
      <w:r>
        <w:rPr>
          <w:w w:val="105"/>
          <w:sz w:val="16"/>
        </w:rPr>
        <w:t>case</w:t>
      </w:r>
      <w:r>
        <w:rPr>
          <w:spacing w:val="23"/>
          <w:w w:val="105"/>
          <w:sz w:val="16"/>
        </w:rPr>
        <w:t> </w:t>
      </w:r>
      <w:r>
        <w:rPr>
          <w:w w:val="105"/>
          <w:sz w:val="16"/>
        </w:rPr>
        <w:t>law</w:t>
      </w:r>
      <w:r>
        <w:rPr>
          <w:spacing w:val="23"/>
          <w:w w:val="105"/>
          <w:sz w:val="16"/>
        </w:rPr>
        <w:t> </w:t>
      </w:r>
      <w:r>
        <w:rPr>
          <w:w w:val="105"/>
          <w:sz w:val="16"/>
        </w:rPr>
        <w:t>on</w:t>
      </w:r>
      <w:r>
        <w:rPr>
          <w:spacing w:val="23"/>
          <w:w w:val="105"/>
          <w:sz w:val="16"/>
        </w:rPr>
        <w:t> </w:t>
      </w:r>
      <w:r>
        <w:rPr>
          <w:w w:val="105"/>
          <w:sz w:val="16"/>
        </w:rPr>
        <w:t>Article</w:t>
      </w:r>
      <w:r>
        <w:rPr>
          <w:spacing w:val="23"/>
          <w:w w:val="105"/>
          <w:sz w:val="16"/>
        </w:rPr>
        <w:t> </w:t>
      </w:r>
      <w:r>
        <w:rPr>
          <w:w w:val="95"/>
          <w:sz w:val="16"/>
        </w:rPr>
        <w:t>1</w:t>
      </w:r>
      <w:r>
        <w:rPr>
          <w:spacing w:val="23"/>
          <w:w w:val="105"/>
          <w:sz w:val="16"/>
        </w:rPr>
        <w:t> </w:t>
      </w:r>
      <w:r>
        <w:rPr>
          <w:w w:val="105"/>
          <w:sz w:val="16"/>
        </w:rPr>
        <w:t>CFR,</w:t>
      </w:r>
      <w:r>
        <w:rPr>
          <w:spacing w:val="23"/>
          <w:w w:val="105"/>
          <w:sz w:val="16"/>
        </w:rPr>
        <w:t> </w:t>
      </w:r>
      <w:r>
        <w:rPr>
          <w:w w:val="105"/>
          <w:sz w:val="16"/>
        </w:rPr>
        <w:t>as</w:t>
      </w:r>
      <w:r>
        <w:rPr>
          <w:spacing w:val="23"/>
          <w:w w:val="105"/>
          <w:sz w:val="16"/>
        </w:rPr>
        <w:t> </w:t>
      </w:r>
      <w:r>
        <w:rPr>
          <w:w w:val="105"/>
          <w:sz w:val="16"/>
        </w:rPr>
        <w:t>further</w:t>
      </w:r>
      <w:r>
        <w:rPr>
          <w:spacing w:val="23"/>
          <w:w w:val="105"/>
          <w:sz w:val="16"/>
        </w:rPr>
        <w:t> </w:t>
      </w:r>
      <w:r>
        <w:rPr>
          <w:w w:val="105"/>
          <w:sz w:val="16"/>
        </w:rPr>
        <w:t>discussed</w:t>
      </w:r>
      <w:r>
        <w:rPr>
          <w:spacing w:val="23"/>
          <w:w w:val="105"/>
          <w:sz w:val="16"/>
        </w:rPr>
        <w:t> </w:t>
      </w:r>
      <w:r>
        <w:rPr>
          <w:w w:val="105"/>
          <w:sz w:val="16"/>
        </w:rPr>
        <w:t>in </w:t>
      </w:r>
      <w:r>
        <w:rPr>
          <w:rFonts w:ascii="Lucida Sans Unicode" w:hAnsi="Lucida Sans Unicode"/>
          <w:w w:val="105"/>
          <w:sz w:val="16"/>
        </w:rPr>
        <w:t>Chapter</w:t>
      </w:r>
      <w:r>
        <w:rPr>
          <w:rFonts w:ascii="Lucida Sans Unicode" w:hAnsi="Lucida Sans Unicode"/>
          <w:spacing w:val="-14"/>
          <w:w w:val="105"/>
          <w:sz w:val="16"/>
        </w:rPr>
        <w:t> </w:t>
      </w:r>
      <w:r>
        <w:rPr>
          <w:rFonts w:ascii="Lucida Sans Unicode" w:hAnsi="Lucida Sans Unicode"/>
          <w:w w:val="95"/>
          <w:sz w:val="16"/>
        </w:rPr>
        <w:t>1.</w:t>
      </w:r>
      <w:r>
        <w:rPr>
          <w:rFonts w:ascii="Lucida Sans Unicode" w:hAnsi="Lucida Sans Unicode"/>
          <w:spacing w:val="-10"/>
          <w:w w:val="95"/>
          <w:sz w:val="16"/>
        </w:rPr>
        <w:t> </w:t>
      </w:r>
      <w:r>
        <w:rPr>
          <w:rFonts w:ascii="Lucida Sans Unicode" w:hAnsi="Lucida Sans Unicode"/>
          <w:w w:val="105"/>
          <w:sz w:val="16"/>
        </w:rPr>
        <w:t>See,</w:t>
      </w:r>
      <w:r>
        <w:rPr>
          <w:rFonts w:ascii="Lucida Sans Unicode" w:hAnsi="Lucida Sans Unicode"/>
          <w:spacing w:val="-13"/>
          <w:w w:val="105"/>
          <w:sz w:val="16"/>
        </w:rPr>
        <w:t> </w:t>
      </w:r>
      <w:r>
        <w:rPr>
          <w:rFonts w:ascii="Lucida Sans Unicode" w:hAnsi="Lucida Sans Unicode"/>
          <w:w w:val="105"/>
          <w:sz w:val="16"/>
        </w:rPr>
        <w:t>to</w:t>
      </w:r>
      <w:r>
        <w:rPr>
          <w:rFonts w:ascii="Lucida Sans Unicode" w:hAnsi="Lucida Sans Unicode"/>
          <w:spacing w:val="-13"/>
          <w:w w:val="105"/>
          <w:sz w:val="16"/>
        </w:rPr>
        <w:t> </w:t>
      </w:r>
      <w:r>
        <w:rPr>
          <w:rFonts w:ascii="Lucida Sans Unicode" w:hAnsi="Lucida Sans Unicode"/>
          <w:w w:val="105"/>
          <w:sz w:val="16"/>
        </w:rPr>
        <w:t>this</w:t>
      </w:r>
      <w:r>
        <w:rPr>
          <w:rFonts w:ascii="Lucida Sans Unicode" w:hAnsi="Lucida Sans Unicode"/>
          <w:spacing w:val="-14"/>
          <w:w w:val="105"/>
          <w:sz w:val="16"/>
        </w:rPr>
        <w:t> </w:t>
      </w:r>
      <w:r>
        <w:rPr>
          <w:rFonts w:ascii="Lucida Sans Unicode" w:hAnsi="Lucida Sans Unicode"/>
          <w:w w:val="105"/>
          <w:sz w:val="16"/>
        </w:rPr>
        <w:t>end,</w:t>
      </w:r>
      <w:r>
        <w:rPr>
          <w:rFonts w:ascii="Lucida Sans Unicode" w:hAnsi="Lucida Sans Unicode"/>
          <w:spacing w:val="-13"/>
          <w:w w:val="105"/>
          <w:sz w:val="16"/>
        </w:rPr>
        <w:t> </w:t>
      </w:r>
      <w:r>
        <w:rPr>
          <w:rFonts w:ascii="Lucida Sans Unicode" w:hAnsi="Lucida Sans Unicode"/>
          <w:w w:val="105"/>
          <w:sz w:val="16"/>
        </w:rPr>
        <w:t>the</w:t>
      </w:r>
      <w:r>
        <w:rPr>
          <w:rFonts w:ascii="Lucida Sans Unicode" w:hAnsi="Lucida Sans Unicode"/>
          <w:spacing w:val="-13"/>
          <w:w w:val="105"/>
          <w:sz w:val="16"/>
        </w:rPr>
        <w:t> </w:t>
      </w:r>
      <w:r>
        <w:rPr>
          <w:rFonts w:ascii="Lucida Sans Unicode" w:hAnsi="Lucida Sans Unicode"/>
          <w:w w:val="105"/>
          <w:sz w:val="16"/>
        </w:rPr>
        <w:t>judgments</w:t>
      </w:r>
      <w:r>
        <w:rPr>
          <w:rFonts w:ascii="Lucida Sans Unicode" w:hAnsi="Lucida Sans Unicode"/>
          <w:spacing w:val="-14"/>
          <w:w w:val="105"/>
          <w:sz w:val="16"/>
        </w:rPr>
        <w:t> </w:t>
      </w:r>
      <w:r>
        <w:rPr>
          <w:rFonts w:ascii="Lucida Sans Unicode" w:hAnsi="Lucida Sans Unicode"/>
          <w:w w:val="105"/>
          <w:sz w:val="16"/>
        </w:rPr>
        <w:t>in</w:t>
      </w:r>
      <w:r>
        <w:rPr>
          <w:rFonts w:ascii="Lucida Sans Unicode" w:hAnsi="Lucida Sans Unicode"/>
          <w:spacing w:val="-12"/>
          <w:w w:val="105"/>
          <w:sz w:val="16"/>
        </w:rPr>
        <w:t> </w:t>
      </w:r>
      <w:r>
        <w:rPr>
          <w:rFonts w:ascii="Verdana" w:hAnsi="Verdana"/>
          <w:i/>
          <w:w w:val="105"/>
          <w:sz w:val="16"/>
        </w:rPr>
        <w:t>CG</w:t>
      </w:r>
      <w:r>
        <w:rPr>
          <w:rFonts w:ascii="Verdana" w:hAnsi="Verdana"/>
          <w:i/>
          <w:spacing w:val="-15"/>
          <w:w w:val="105"/>
          <w:sz w:val="16"/>
        </w:rPr>
        <w:t> </w:t>
      </w:r>
      <w:r>
        <w:rPr>
          <w:w w:val="105"/>
          <w:sz w:val="16"/>
        </w:rPr>
        <w:t>and</w:t>
      </w:r>
      <w:r>
        <w:rPr>
          <w:spacing w:val="-6"/>
          <w:w w:val="105"/>
          <w:sz w:val="16"/>
        </w:rPr>
        <w:t> </w:t>
      </w:r>
      <w:r>
        <w:rPr>
          <w:rFonts w:ascii="Verdana" w:hAnsi="Verdana"/>
          <w:i/>
          <w:w w:val="105"/>
          <w:sz w:val="16"/>
        </w:rPr>
        <w:t>AT</w:t>
      </w:r>
      <w:r>
        <w:rPr>
          <w:rFonts w:ascii="Verdana" w:hAnsi="Verdana"/>
          <w:i/>
          <w:spacing w:val="-15"/>
          <w:w w:val="105"/>
          <w:sz w:val="16"/>
        </w:rPr>
        <w:t> </w:t>
      </w:r>
      <w:r>
        <w:rPr>
          <w:rFonts w:ascii="Lucida Sans Unicode" w:hAnsi="Lucida Sans Unicode"/>
          <w:w w:val="105"/>
          <w:sz w:val="16"/>
        </w:rPr>
        <w:t>(n</w:t>
      </w:r>
      <w:r>
        <w:rPr>
          <w:rFonts w:ascii="Lucida Sans Unicode" w:hAnsi="Lucida Sans Unicode"/>
          <w:spacing w:val="-13"/>
          <w:w w:val="105"/>
          <w:sz w:val="16"/>
        </w:rPr>
        <w:t> </w:t>
      </w:r>
      <w:r>
        <w:rPr>
          <w:rFonts w:ascii="Lucida Sans Unicode" w:hAnsi="Lucida Sans Unicode"/>
          <w:w w:val="105"/>
          <w:sz w:val="16"/>
        </w:rPr>
        <w:t>26),</w:t>
      </w:r>
      <w:r>
        <w:rPr>
          <w:rFonts w:ascii="Lucida Sans Unicode" w:hAnsi="Lucida Sans Unicode"/>
          <w:spacing w:val="-13"/>
          <w:w w:val="105"/>
          <w:sz w:val="16"/>
        </w:rPr>
        <w:t> </w:t>
      </w:r>
      <w:r>
        <w:rPr>
          <w:rFonts w:ascii="Lucida Sans Unicode" w:hAnsi="Lucida Sans Unicode"/>
          <w:w w:val="105"/>
          <w:sz w:val="16"/>
        </w:rPr>
        <w:t>the</w:t>
      </w:r>
      <w:r>
        <w:rPr>
          <w:rFonts w:ascii="Lucida Sans Unicode" w:hAnsi="Lucida Sans Unicode"/>
          <w:spacing w:val="-13"/>
          <w:w w:val="105"/>
          <w:sz w:val="16"/>
        </w:rPr>
        <w:t> </w:t>
      </w:r>
      <w:r>
        <w:rPr>
          <w:rFonts w:ascii="Lucida Sans Unicode" w:hAnsi="Lucida Sans Unicode"/>
          <w:w w:val="105"/>
          <w:sz w:val="16"/>
        </w:rPr>
        <w:t>latter</w:t>
      </w:r>
      <w:r>
        <w:rPr>
          <w:rFonts w:ascii="Lucida Sans Unicode" w:hAnsi="Lucida Sans Unicode"/>
          <w:spacing w:val="-13"/>
          <w:w w:val="105"/>
          <w:sz w:val="16"/>
        </w:rPr>
        <w:t> </w:t>
      </w:r>
      <w:r>
        <w:rPr>
          <w:rFonts w:ascii="Lucida Sans Unicode" w:hAnsi="Lucida Sans Unicode"/>
          <w:w w:val="105"/>
          <w:sz w:val="16"/>
        </w:rPr>
        <w:t>finding</w:t>
      </w:r>
      <w:r>
        <w:rPr>
          <w:rFonts w:ascii="Lucida Sans Unicode" w:hAnsi="Lucida Sans Unicode"/>
          <w:spacing w:val="-13"/>
          <w:w w:val="105"/>
          <w:sz w:val="16"/>
        </w:rPr>
        <w:t> </w:t>
      </w:r>
      <w:r>
        <w:rPr>
          <w:rFonts w:ascii="Lucida Sans Unicode" w:hAnsi="Lucida Sans Unicode"/>
          <w:w w:val="105"/>
          <w:sz w:val="16"/>
        </w:rPr>
        <w:t>in</w:t>
      </w:r>
      <w:r>
        <w:rPr>
          <w:rFonts w:ascii="Lucida Sans Unicode" w:hAnsi="Lucida Sans Unicode"/>
          <w:spacing w:val="-13"/>
          <w:w w:val="105"/>
          <w:sz w:val="16"/>
        </w:rPr>
        <w:t> </w:t>
      </w:r>
      <w:r>
        <w:rPr>
          <w:rFonts w:ascii="Lucida Sans Unicode" w:hAnsi="Lucida Sans Unicode"/>
          <w:w w:val="105"/>
          <w:sz w:val="16"/>
        </w:rPr>
        <w:t>clear</w:t>
      </w:r>
      <w:r>
        <w:rPr>
          <w:rFonts w:ascii="Lucida Sans Unicode" w:hAnsi="Lucida Sans Unicode"/>
          <w:spacing w:val="-13"/>
          <w:w w:val="105"/>
          <w:sz w:val="16"/>
        </w:rPr>
        <w:t> </w:t>
      </w:r>
      <w:r>
        <w:rPr>
          <w:rFonts w:ascii="Lucida Sans Unicode" w:hAnsi="Lucida Sans Unicode"/>
          <w:w w:val="105"/>
          <w:sz w:val="16"/>
        </w:rPr>
        <w:t>terms</w:t>
      </w:r>
      <w:r>
        <w:rPr>
          <w:rFonts w:ascii="Lucida Sans Unicode" w:hAnsi="Lucida Sans Unicode"/>
          <w:spacing w:val="-13"/>
          <w:w w:val="105"/>
          <w:sz w:val="16"/>
        </w:rPr>
        <w:t> </w:t>
      </w:r>
      <w:r>
        <w:rPr>
          <w:rFonts w:ascii="Lucida Sans Unicode" w:hAnsi="Lucida Sans Unicode"/>
          <w:w w:val="105"/>
          <w:sz w:val="16"/>
        </w:rPr>
        <w:t>that</w:t>
      </w:r>
      <w:r>
        <w:rPr>
          <w:rFonts w:ascii="Lucida Sans Unicode" w:hAnsi="Lucida Sans Unicode"/>
          <w:spacing w:val="-13"/>
          <w:w w:val="105"/>
          <w:sz w:val="16"/>
        </w:rPr>
        <w:t> </w:t>
      </w:r>
      <w:r>
        <w:rPr>
          <w:rFonts w:ascii="Lucida Sans Unicode" w:hAnsi="Lucida Sans Unicode"/>
          <w:w w:val="105"/>
          <w:sz w:val="16"/>
        </w:rPr>
        <w:t>the</w:t>
      </w:r>
      <w:r>
        <w:rPr>
          <w:rFonts w:ascii="Lucida Sans Unicode" w:hAnsi="Lucida Sans Unicode"/>
          <w:spacing w:val="-13"/>
          <w:w w:val="105"/>
          <w:sz w:val="16"/>
        </w:rPr>
        <w:t> </w:t>
      </w:r>
      <w:r>
        <w:rPr>
          <w:rFonts w:ascii="Lucida Sans Unicode" w:hAnsi="Lucida Sans Unicode"/>
          <w:w w:val="105"/>
          <w:sz w:val="16"/>
        </w:rPr>
        <w:t>Charter not</w:t>
      </w:r>
      <w:r>
        <w:rPr>
          <w:rFonts w:ascii="Lucida Sans Unicode" w:hAnsi="Lucida Sans Unicode"/>
          <w:spacing w:val="-13"/>
          <w:w w:val="105"/>
          <w:sz w:val="16"/>
        </w:rPr>
        <w:t> </w:t>
      </w:r>
      <w:r>
        <w:rPr>
          <w:rFonts w:ascii="Lucida Sans Unicode" w:hAnsi="Lucida Sans Unicode"/>
          <w:w w:val="105"/>
          <w:sz w:val="16"/>
        </w:rPr>
        <w:t>only</w:t>
      </w:r>
      <w:r>
        <w:rPr>
          <w:rFonts w:ascii="Lucida Sans Unicode" w:hAnsi="Lucida Sans Unicode"/>
          <w:spacing w:val="-13"/>
          <w:w w:val="105"/>
          <w:sz w:val="16"/>
        </w:rPr>
        <w:t> </w:t>
      </w:r>
      <w:r>
        <w:rPr>
          <w:rFonts w:ascii="Lucida Sans Unicode" w:hAnsi="Lucida Sans Unicode"/>
          <w:w w:val="105"/>
          <w:sz w:val="16"/>
        </w:rPr>
        <w:t>has</w:t>
      </w:r>
      <w:r>
        <w:rPr>
          <w:rFonts w:ascii="Lucida Sans Unicode" w:hAnsi="Lucida Sans Unicode"/>
          <w:spacing w:val="-13"/>
          <w:w w:val="105"/>
          <w:sz w:val="16"/>
        </w:rPr>
        <w:t> </w:t>
      </w:r>
      <w:r>
        <w:rPr>
          <w:rFonts w:ascii="Lucida Sans Unicode" w:hAnsi="Lucida Sans Unicode"/>
          <w:w w:val="105"/>
          <w:sz w:val="16"/>
        </w:rPr>
        <w:t>remedial</w:t>
      </w:r>
      <w:r>
        <w:rPr>
          <w:rFonts w:ascii="Lucida Sans Unicode" w:hAnsi="Lucida Sans Unicode"/>
          <w:spacing w:val="-13"/>
          <w:w w:val="105"/>
          <w:sz w:val="16"/>
        </w:rPr>
        <w:t> </w:t>
      </w:r>
      <w:r>
        <w:rPr>
          <w:rFonts w:ascii="Lucida Sans Unicode" w:hAnsi="Lucida Sans Unicode"/>
          <w:w w:val="105"/>
          <w:sz w:val="16"/>
        </w:rPr>
        <w:t>added</w:t>
      </w:r>
      <w:r>
        <w:rPr>
          <w:rFonts w:ascii="Lucida Sans Unicode" w:hAnsi="Lucida Sans Unicode"/>
          <w:spacing w:val="-13"/>
          <w:w w:val="105"/>
          <w:sz w:val="16"/>
        </w:rPr>
        <w:t> </w:t>
      </w:r>
      <w:r>
        <w:rPr>
          <w:rFonts w:ascii="Lucida Sans Unicode" w:hAnsi="Lucida Sans Unicode"/>
          <w:w w:val="105"/>
          <w:sz w:val="16"/>
        </w:rPr>
        <w:t>value</w:t>
      </w:r>
      <w:r>
        <w:rPr>
          <w:rFonts w:ascii="Lucida Sans Unicode" w:hAnsi="Lucida Sans Unicode"/>
          <w:spacing w:val="-13"/>
          <w:w w:val="105"/>
          <w:sz w:val="16"/>
        </w:rPr>
        <w:t> </w:t>
      </w:r>
      <w:r>
        <w:rPr>
          <w:rFonts w:ascii="Lucida Sans Unicode" w:hAnsi="Lucida Sans Unicode"/>
          <w:w w:val="105"/>
          <w:sz w:val="16"/>
        </w:rPr>
        <w:t>(para</w:t>
      </w:r>
      <w:r>
        <w:rPr>
          <w:rFonts w:ascii="Lucida Sans Unicode" w:hAnsi="Lucida Sans Unicode"/>
          <w:spacing w:val="-13"/>
          <w:w w:val="105"/>
          <w:sz w:val="16"/>
        </w:rPr>
        <w:t> </w:t>
      </w:r>
      <w:r>
        <w:rPr>
          <w:rFonts w:ascii="Lucida Sans Unicode" w:hAnsi="Lucida Sans Unicode"/>
          <w:w w:val="105"/>
          <w:sz w:val="16"/>
        </w:rPr>
        <w:t>106),</w:t>
      </w:r>
      <w:r>
        <w:rPr>
          <w:rFonts w:ascii="Lucida Sans Unicode" w:hAnsi="Lucida Sans Unicode"/>
          <w:spacing w:val="-13"/>
          <w:w w:val="105"/>
          <w:sz w:val="16"/>
        </w:rPr>
        <w:t> </w:t>
      </w:r>
      <w:r>
        <w:rPr>
          <w:rFonts w:ascii="Lucida Sans Unicode" w:hAnsi="Lucida Sans Unicode"/>
          <w:w w:val="105"/>
          <w:sz w:val="16"/>
        </w:rPr>
        <w:t>but</w:t>
      </w:r>
      <w:r>
        <w:rPr>
          <w:rFonts w:ascii="Lucida Sans Unicode" w:hAnsi="Lucida Sans Unicode"/>
          <w:spacing w:val="-13"/>
          <w:w w:val="105"/>
          <w:sz w:val="16"/>
        </w:rPr>
        <w:t> </w:t>
      </w:r>
      <w:r>
        <w:rPr>
          <w:rFonts w:ascii="Lucida Sans Unicode" w:hAnsi="Lucida Sans Unicode"/>
          <w:w w:val="105"/>
          <w:sz w:val="16"/>
        </w:rPr>
        <w:t>also</w:t>
      </w:r>
      <w:r>
        <w:rPr>
          <w:rFonts w:ascii="Lucida Sans Unicode" w:hAnsi="Lucida Sans Unicode"/>
          <w:spacing w:val="-13"/>
          <w:w w:val="105"/>
          <w:sz w:val="16"/>
        </w:rPr>
        <w:t> </w:t>
      </w:r>
      <w:r>
        <w:rPr>
          <w:rFonts w:ascii="Lucida Sans Unicode" w:hAnsi="Lucida Sans Unicode"/>
          <w:w w:val="105"/>
          <w:sz w:val="16"/>
        </w:rPr>
        <w:t>that</w:t>
      </w:r>
      <w:r>
        <w:rPr>
          <w:rFonts w:ascii="Lucida Sans Unicode" w:hAnsi="Lucida Sans Unicode"/>
          <w:spacing w:val="-13"/>
          <w:w w:val="105"/>
          <w:sz w:val="16"/>
        </w:rPr>
        <w:t> </w:t>
      </w:r>
      <w:r>
        <w:rPr>
          <w:rFonts w:ascii="Lucida Sans Unicode" w:hAnsi="Lucida Sans Unicode"/>
          <w:w w:val="105"/>
          <w:sz w:val="16"/>
        </w:rPr>
        <w:t>ECHR</w:t>
      </w:r>
      <w:r>
        <w:rPr>
          <w:rFonts w:ascii="Lucida Sans Unicode" w:hAnsi="Lucida Sans Unicode"/>
          <w:spacing w:val="-13"/>
          <w:w w:val="105"/>
          <w:sz w:val="16"/>
        </w:rPr>
        <w:t> </w:t>
      </w:r>
      <w:r>
        <w:rPr>
          <w:rFonts w:ascii="Lucida Sans Unicode" w:hAnsi="Lucida Sans Unicode"/>
          <w:w w:val="105"/>
          <w:sz w:val="16"/>
        </w:rPr>
        <w:t>would</w:t>
      </w:r>
      <w:r>
        <w:rPr>
          <w:rFonts w:ascii="Lucida Sans Unicode" w:hAnsi="Lucida Sans Unicode"/>
          <w:spacing w:val="-13"/>
          <w:w w:val="105"/>
          <w:sz w:val="16"/>
        </w:rPr>
        <w:t> </w:t>
      </w:r>
      <w:r>
        <w:rPr>
          <w:rFonts w:ascii="Lucida Sans Unicode" w:hAnsi="Lucida Sans Unicode"/>
          <w:w w:val="105"/>
          <w:sz w:val="16"/>
        </w:rPr>
        <w:t>only</w:t>
      </w:r>
      <w:r>
        <w:rPr>
          <w:rFonts w:ascii="Lucida Sans Unicode" w:hAnsi="Lucida Sans Unicode"/>
          <w:spacing w:val="-13"/>
          <w:w w:val="105"/>
          <w:sz w:val="16"/>
        </w:rPr>
        <w:t> </w:t>
      </w:r>
      <w:r>
        <w:rPr>
          <w:rFonts w:ascii="Lucida Sans Unicode" w:hAnsi="Lucida Sans Unicode"/>
          <w:w w:val="105"/>
          <w:sz w:val="16"/>
        </w:rPr>
        <w:t>apply</w:t>
      </w:r>
      <w:r>
        <w:rPr>
          <w:rFonts w:ascii="Lucida Sans Unicode" w:hAnsi="Lucida Sans Unicode"/>
          <w:spacing w:val="-13"/>
          <w:w w:val="105"/>
          <w:sz w:val="16"/>
        </w:rPr>
        <w:t> </w:t>
      </w:r>
      <w:r>
        <w:rPr>
          <w:rFonts w:ascii="Lucida Sans Unicode" w:hAnsi="Lucida Sans Unicode"/>
          <w:w w:val="105"/>
          <w:sz w:val="16"/>
        </w:rPr>
        <w:t>to</w:t>
      </w:r>
      <w:r>
        <w:rPr>
          <w:rFonts w:ascii="Lucida Sans Unicode" w:hAnsi="Lucida Sans Unicode"/>
          <w:spacing w:val="-13"/>
          <w:w w:val="105"/>
          <w:sz w:val="16"/>
        </w:rPr>
        <w:t> </w:t>
      </w:r>
      <w:r>
        <w:rPr>
          <w:rFonts w:ascii="Lucida Sans Unicode" w:hAnsi="Lucida Sans Unicode"/>
          <w:w w:val="105"/>
          <w:sz w:val="16"/>
        </w:rPr>
        <w:t>a</w:t>
      </w:r>
      <w:r>
        <w:rPr>
          <w:rFonts w:ascii="Lucida Sans Unicode" w:hAnsi="Lucida Sans Unicode"/>
          <w:spacing w:val="-13"/>
          <w:w w:val="105"/>
          <w:sz w:val="16"/>
        </w:rPr>
        <w:t> </w:t>
      </w:r>
      <w:r>
        <w:rPr>
          <w:rFonts w:ascii="Lucida Sans Unicode" w:hAnsi="Lucida Sans Unicode"/>
          <w:w w:val="105"/>
          <w:sz w:val="16"/>
        </w:rPr>
        <w:t>‘only</w:t>
      </w:r>
      <w:r>
        <w:rPr>
          <w:rFonts w:ascii="Lucida Sans Unicode" w:hAnsi="Lucida Sans Unicode"/>
          <w:spacing w:val="-13"/>
          <w:w w:val="105"/>
          <w:sz w:val="16"/>
        </w:rPr>
        <w:t> </w:t>
      </w:r>
      <w:r>
        <w:rPr>
          <w:rFonts w:ascii="Lucida Sans Unicode" w:hAnsi="Lucida Sans Unicode"/>
          <w:w w:val="105"/>
          <w:sz w:val="16"/>
        </w:rPr>
        <w:t>a</w:t>
      </w:r>
      <w:r>
        <w:rPr>
          <w:rFonts w:ascii="Lucida Sans Unicode" w:hAnsi="Lucida Sans Unicode"/>
          <w:spacing w:val="-13"/>
          <w:w w:val="105"/>
          <w:sz w:val="16"/>
        </w:rPr>
        <w:t> </w:t>
      </w:r>
      <w:r>
        <w:rPr>
          <w:rFonts w:ascii="Lucida Sans Unicode" w:hAnsi="Lucida Sans Unicode"/>
          <w:w w:val="105"/>
          <w:sz w:val="16"/>
        </w:rPr>
        <w:t>subset’</w:t>
      </w:r>
      <w:r>
        <w:rPr>
          <w:rFonts w:ascii="Lucida Sans Unicode" w:hAnsi="Lucida Sans Unicode"/>
          <w:spacing w:val="-13"/>
          <w:w w:val="105"/>
          <w:sz w:val="16"/>
        </w:rPr>
        <w:t> </w:t>
      </w:r>
      <w:r>
        <w:rPr>
          <w:rFonts w:ascii="Lucida Sans Unicode" w:hAnsi="Lucida Sans Unicode"/>
          <w:w w:val="105"/>
          <w:sz w:val="16"/>
        </w:rPr>
        <w:t>of</w:t>
      </w:r>
      <w:r>
        <w:rPr>
          <w:rFonts w:ascii="Lucida Sans Unicode" w:hAnsi="Lucida Sans Unicode"/>
          <w:spacing w:val="-13"/>
          <w:w w:val="105"/>
          <w:sz w:val="16"/>
        </w:rPr>
        <w:t> </w:t>
      </w:r>
      <w:r>
        <w:rPr>
          <w:rFonts w:ascii="Lucida Sans Unicode" w:hAnsi="Lucida Sans Unicode"/>
          <w:w w:val="105"/>
          <w:sz w:val="16"/>
        </w:rPr>
        <w:t>cases covered by Article </w:t>
      </w:r>
      <w:r>
        <w:rPr>
          <w:rFonts w:ascii="Lucida Sans Unicode" w:hAnsi="Lucida Sans Unicode"/>
          <w:w w:val="95"/>
          <w:sz w:val="16"/>
        </w:rPr>
        <w:t>1 </w:t>
      </w:r>
      <w:r>
        <w:rPr>
          <w:rFonts w:ascii="Lucida Sans Unicode" w:hAnsi="Lucida Sans Unicode"/>
          <w:w w:val="105"/>
          <w:sz w:val="16"/>
        </w:rPr>
        <w:t>CFR (para 110).</w:t>
      </w:r>
    </w:p>
    <w:p>
      <w:pPr>
        <w:pStyle w:val="ListParagraph"/>
        <w:numPr>
          <w:ilvl w:val="0"/>
          <w:numId w:val="14"/>
        </w:numPr>
        <w:tabs>
          <w:tab w:pos="565" w:val="left" w:leader="none"/>
        </w:tabs>
        <w:spacing w:line="191" w:lineRule="exact" w:before="0" w:after="0"/>
        <w:ind w:left="565" w:right="0" w:hanging="452"/>
        <w:jc w:val="left"/>
        <w:rPr>
          <w:rFonts w:ascii="Arial" w:hAnsi="Arial"/>
          <w:sz w:val="16"/>
        </w:rPr>
      </w:pPr>
      <w:r>
        <w:rPr>
          <w:rFonts w:ascii="Arial" w:hAnsi="Arial"/>
          <w:w w:val="110"/>
          <w:sz w:val="16"/>
        </w:rPr>
        <w:t>Takis</w:t>
      </w:r>
      <w:r>
        <w:rPr>
          <w:rFonts w:ascii="Arial" w:hAnsi="Arial"/>
          <w:spacing w:val="8"/>
          <w:w w:val="110"/>
          <w:sz w:val="16"/>
        </w:rPr>
        <w:t> </w:t>
      </w:r>
      <w:r>
        <w:rPr>
          <w:rFonts w:ascii="Arial" w:hAnsi="Arial"/>
          <w:w w:val="110"/>
          <w:sz w:val="16"/>
        </w:rPr>
        <w:t>Tridimas</w:t>
      </w:r>
      <w:r>
        <w:rPr>
          <w:rFonts w:ascii="Arial" w:hAnsi="Arial"/>
          <w:spacing w:val="9"/>
          <w:w w:val="110"/>
          <w:sz w:val="16"/>
        </w:rPr>
        <w:t> </w:t>
      </w:r>
      <w:r>
        <w:rPr>
          <w:rFonts w:ascii="Arial" w:hAnsi="Arial"/>
          <w:w w:val="110"/>
          <w:sz w:val="16"/>
        </w:rPr>
        <w:t>and</w:t>
      </w:r>
      <w:r>
        <w:rPr>
          <w:rFonts w:ascii="Arial" w:hAnsi="Arial"/>
          <w:spacing w:val="9"/>
          <w:w w:val="110"/>
          <w:sz w:val="16"/>
        </w:rPr>
        <w:t> </w:t>
      </w:r>
      <w:r>
        <w:rPr>
          <w:rFonts w:ascii="Arial" w:hAnsi="Arial"/>
          <w:w w:val="110"/>
          <w:sz w:val="16"/>
        </w:rPr>
        <w:t>Lady</w:t>
      </w:r>
      <w:r>
        <w:rPr>
          <w:rFonts w:ascii="Arial" w:hAnsi="Arial"/>
          <w:spacing w:val="9"/>
          <w:w w:val="110"/>
          <w:sz w:val="16"/>
        </w:rPr>
        <w:t> </w:t>
      </w:r>
      <w:r>
        <w:rPr>
          <w:rFonts w:ascii="Arial" w:hAnsi="Arial"/>
          <w:w w:val="110"/>
          <w:sz w:val="16"/>
        </w:rPr>
        <w:t>Arden,</w:t>
      </w:r>
      <w:r>
        <w:rPr>
          <w:rFonts w:ascii="Arial" w:hAnsi="Arial"/>
          <w:spacing w:val="8"/>
          <w:w w:val="110"/>
          <w:sz w:val="16"/>
        </w:rPr>
        <w:t> </w:t>
      </w:r>
      <w:r>
        <w:rPr>
          <w:rFonts w:ascii="Arial" w:hAnsi="Arial"/>
          <w:w w:val="110"/>
          <w:sz w:val="16"/>
        </w:rPr>
        <w:t>‘Limited</w:t>
      </w:r>
      <w:r>
        <w:rPr>
          <w:rFonts w:ascii="Arial" w:hAnsi="Arial"/>
          <w:spacing w:val="9"/>
          <w:w w:val="110"/>
          <w:sz w:val="16"/>
        </w:rPr>
        <w:t> </w:t>
      </w:r>
      <w:r>
        <w:rPr>
          <w:rFonts w:ascii="Arial" w:hAnsi="Arial"/>
          <w:w w:val="110"/>
          <w:sz w:val="16"/>
        </w:rPr>
        <w:t>but</w:t>
      </w:r>
      <w:r>
        <w:rPr>
          <w:rFonts w:ascii="Arial" w:hAnsi="Arial"/>
          <w:spacing w:val="9"/>
          <w:w w:val="110"/>
          <w:sz w:val="16"/>
        </w:rPr>
        <w:t> </w:t>
      </w:r>
      <w:r>
        <w:rPr>
          <w:rFonts w:ascii="Arial" w:hAnsi="Arial"/>
          <w:w w:val="110"/>
          <w:sz w:val="16"/>
        </w:rPr>
        <w:t>not</w:t>
      </w:r>
      <w:r>
        <w:rPr>
          <w:rFonts w:ascii="Arial" w:hAnsi="Arial"/>
          <w:spacing w:val="9"/>
          <w:w w:val="110"/>
          <w:sz w:val="16"/>
        </w:rPr>
        <w:t> </w:t>
      </w:r>
      <w:r>
        <w:rPr>
          <w:rFonts w:ascii="Arial" w:hAnsi="Arial"/>
          <w:w w:val="110"/>
          <w:sz w:val="16"/>
        </w:rPr>
        <w:t>Inconsequential:</w:t>
      </w:r>
      <w:r>
        <w:rPr>
          <w:rFonts w:ascii="Arial" w:hAnsi="Arial"/>
          <w:spacing w:val="9"/>
          <w:w w:val="110"/>
          <w:sz w:val="16"/>
        </w:rPr>
        <w:t> </w:t>
      </w:r>
      <w:r>
        <w:rPr>
          <w:rFonts w:ascii="Arial" w:hAnsi="Arial"/>
          <w:w w:val="110"/>
          <w:sz w:val="16"/>
        </w:rPr>
        <w:t>the</w:t>
      </w:r>
      <w:r>
        <w:rPr>
          <w:rFonts w:ascii="Arial" w:hAnsi="Arial"/>
          <w:spacing w:val="8"/>
          <w:w w:val="110"/>
          <w:sz w:val="16"/>
        </w:rPr>
        <w:t> </w:t>
      </w:r>
      <w:r>
        <w:rPr>
          <w:rFonts w:ascii="Arial" w:hAnsi="Arial"/>
          <w:w w:val="110"/>
          <w:sz w:val="16"/>
        </w:rPr>
        <w:t>Application</w:t>
      </w:r>
      <w:r>
        <w:rPr>
          <w:rFonts w:ascii="Arial" w:hAnsi="Arial"/>
          <w:spacing w:val="9"/>
          <w:w w:val="110"/>
          <w:sz w:val="16"/>
        </w:rPr>
        <w:t> </w:t>
      </w:r>
      <w:r>
        <w:rPr>
          <w:rFonts w:ascii="Arial" w:hAnsi="Arial"/>
          <w:w w:val="110"/>
          <w:sz w:val="16"/>
        </w:rPr>
        <w:t>of</w:t>
      </w:r>
      <w:r>
        <w:rPr>
          <w:rFonts w:ascii="Arial" w:hAnsi="Arial"/>
          <w:spacing w:val="9"/>
          <w:w w:val="110"/>
          <w:sz w:val="16"/>
        </w:rPr>
        <w:t> </w:t>
      </w:r>
      <w:r>
        <w:rPr>
          <w:rFonts w:ascii="Arial" w:hAnsi="Arial"/>
          <w:w w:val="110"/>
          <w:sz w:val="16"/>
        </w:rPr>
        <w:t>the</w:t>
      </w:r>
      <w:r>
        <w:rPr>
          <w:rFonts w:ascii="Arial" w:hAnsi="Arial"/>
          <w:spacing w:val="9"/>
          <w:w w:val="110"/>
          <w:sz w:val="16"/>
        </w:rPr>
        <w:t> </w:t>
      </w:r>
      <w:r>
        <w:rPr>
          <w:rFonts w:ascii="Arial" w:hAnsi="Arial"/>
          <w:w w:val="110"/>
          <w:sz w:val="16"/>
        </w:rPr>
        <w:t>Charter</w:t>
      </w:r>
      <w:r>
        <w:rPr>
          <w:rFonts w:ascii="Arial" w:hAnsi="Arial"/>
          <w:spacing w:val="9"/>
          <w:w w:val="110"/>
          <w:sz w:val="16"/>
        </w:rPr>
        <w:t> </w:t>
      </w:r>
      <w:r>
        <w:rPr>
          <w:rFonts w:ascii="Arial" w:hAnsi="Arial"/>
          <w:w w:val="110"/>
          <w:sz w:val="16"/>
        </w:rPr>
        <w:t>by</w:t>
      </w:r>
      <w:r>
        <w:rPr>
          <w:rFonts w:ascii="Arial" w:hAnsi="Arial"/>
          <w:spacing w:val="8"/>
          <w:w w:val="110"/>
          <w:sz w:val="16"/>
        </w:rPr>
        <w:t> </w:t>
      </w:r>
      <w:r>
        <w:rPr>
          <w:rFonts w:ascii="Arial" w:hAnsi="Arial"/>
          <w:w w:val="110"/>
          <w:sz w:val="16"/>
        </w:rPr>
        <w:t>the</w:t>
      </w:r>
      <w:r>
        <w:rPr>
          <w:rFonts w:ascii="Arial" w:hAnsi="Arial"/>
          <w:spacing w:val="9"/>
          <w:w w:val="110"/>
          <w:sz w:val="16"/>
        </w:rPr>
        <w:t> </w:t>
      </w:r>
      <w:r>
        <w:rPr>
          <w:rFonts w:ascii="Arial" w:hAnsi="Arial"/>
          <w:w w:val="110"/>
          <w:sz w:val="16"/>
        </w:rPr>
        <w:t>Courts</w:t>
      </w:r>
      <w:r>
        <w:rPr>
          <w:rFonts w:ascii="Arial" w:hAnsi="Arial"/>
          <w:spacing w:val="9"/>
          <w:w w:val="110"/>
          <w:sz w:val="16"/>
        </w:rPr>
        <w:t> </w:t>
      </w:r>
      <w:r>
        <w:rPr>
          <w:rFonts w:ascii="Arial" w:hAnsi="Arial"/>
          <w:spacing w:val="-5"/>
          <w:w w:val="110"/>
          <w:sz w:val="16"/>
        </w:rPr>
        <w:t>of</w:t>
      </w:r>
    </w:p>
    <w:p>
      <w:pPr>
        <w:spacing w:line="230" w:lineRule="auto" w:before="0"/>
        <w:ind w:left="567" w:right="0" w:firstLine="0"/>
        <w:jc w:val="left"/>
        <w:rPr>
          <w:rFonts w:ascii="Lucida Sans Unicode" w:hAnsi="Lucida Sans Unicode"/>
          <w:sz w:val="16"/>
        </w:rPr>
      </w:pPr>
      <w:r>
        <w:rPr>
          <w:w w:val="105"/>
          <w:sz w:val="16"/>
        </w:rPr>
        <w:t>England and Wales’ in Michal Bobek and Jeremias Adams-Prassl (eds), </w:t>
      </w:r>
      <w:r>
        <w:rPr>
          <w:rFonts w:ascii="Verdana" w:hAnsi="Verdana"/>
          <w:i/>
          <w:w w:val="105"/>
          <w:sz w:val="16"/>
        </w:rPr>
        <w:t>The</w:t>
      </w:r>
      <w:r>
        <w:rPr>
          <w:rFonts w:ascii="Verdana" w:hAnsi="Verdana"/>
          <w:i/>
          <w:spacing w:val="-10"/>
          <w:w w:val="105"/>
          <w:sz w:val="16"/>
        </w:rPr>
        <w:t> </w:t>
      </w:r>
      <w:r>
        <w:rPr>
          <w:rFonts w:ascii="Verdana" w:hAnsi="Verdana"/>
          <w:i/>
          <w:w w:val="105"/>
          <w:sz w:val="16"/>
        </w:rPr>
        <w:t>EU</w:t>
      </w:r>
      <w:r>
        <w:rPr>
          <w:rFonts w:ascii="Verdana" w:hAnsi="Verdana"/>
          <w:i/>
          <w:spacing w:val="-10"/>
          <w:w w:val="105"/>
          <w:sz w:val="16"/>
        </w:rPr>
        <w:t> </w:t>
      </w:r>
      <w:r>
        <w:rPr>
          <w:rFonts w:ascii="Verdana" w:hAnsi="Verdana"/>
          <w:i/>
          <w:w w:val="105"/>
          <w:sz w:val="16"/>
        </w:rPr>
        <w:t>Charter</w:t>
      </w:r>
      <w:r>
        <w:rPr>
          <w:rFonts w:ascii="Verdana" w:hAnsi="Verdana"/>
          <w:i/>
          <w:spacing w:val="-10"/>
          <w:w w:val="105"/>
          <w:sz w:val="16"/>
        </w:rPr>
        <w:t> </w:t>
      </w:r>
      <w:r>
        <w:rPr>
          <w:rFonts w:ascii="Verdana" w:hAnsi="Verdana"/>
          <w:i/>
          <w:w w:val="105"/>
          <w:sz w:val="16"/>
        </w:rPr>
        <w:t>of</w:t>
      </w:r>
      <w:r>
        <w:rPr>
          <w:rFonts w:ascii="Verdana" w:hAnsi="Verdana"/>
          <w:i/>
          <w:spacing w:val="-10"/>
          <w:w w:val="105"/>
          <w:sz w:val="16"/>
        </w:rPr>
        <w:t> </w:t>
      </w:r>
      <w:r>
        <w:rPr>
          <w:rFonts w:ascii="Verdana" w:hAnsi="Verdana"/>
          <w:i/>
          <w:w w:val="105"/>
          <w:sz w:val="16"/>
        </w:rPr>
        <w:t>Fundamental</w:t>
      </w:r>
      <w:r>
        <w:rPr>
          <w:rFonts w:ascii="Verdana" w:hAnsi="Verdana"/>
          <w:i/>
          <w:spacing w:val="-10"/>
          <w:w w:val="105"/>
          <w:sz w:val="16"/>
        </w:rPr>
        <w:t> </w:t>
      </w:r>
      <w:r>
        <w:rPr>
          <w:rFonts w:ascii="Verdana" w:hAnsi="Verdana"/>
          <w:i/>
          <w:w w:val="105"/>
          <w:sz w:val="16"/>
        </w:rPr>
        <w:t>Rights</w:t>
      </w:r>
      <w:r>
        <w:rPr>
          <w:rFonts w:ascii="Verdana" w:hAnsi="Verdana"/>
          <w:i/>
          <w:spacing w:val="-10"/>
          <w:w w:val="105"/>
          <w:sz w:val="16"/>
        </w:rPr>
        <w:t> </w:t>
      </w:r>
      <w:r>
        <w:rPr>
          <w:rFonts w:ascii="Verdana" w:hAnsi="Verdana"/>
          <w:i/>
          <w:w w:val="105"/>
          <w:sz w:val="16"/>
        </w:rPr>
        <w:t>in</w:t>
      </w:r>
      <w:r>
        <w:rPr>
          <w:rFonts w:ascii="Verdana" w:hAnsi="Verdana"/>
          <w:i/>
          <w:spacing w:val="-10"/>
          <w:w w:val="105"/>
          <w:sz w:val="16"/>
        </w:rPr>
        <w:t> </w:t>
      </w:r>
      <w:r>
        <w:rPr>
          <w:rFonts w:ascii="Verdana" w:hAnsi="Verdana"/>
          <w:i/>
          <w:w w:val="105"/>
          <w:sz w:val="16"/>
        </w:rPr>
        <w:t>the</w:t>
      </w:r>
      <w:r>
        <w:rPr>
          <w:rFonts w:ascii="Verdana" w:hAnsi="Verdana"/>
          <w:i/>
          <w:w w:val="105"/>
          <w:sz w:val="16"/>
        </w:rPr>
        <w:t> </w:t>
      </w:r>
      <w:r>
        <w:rPr>
          <w:rFonts w:ascii="Verdana" w:hAnsi="Verdana"/>
          <w:i/>
          <w:spacing w:val="-2"/>
          <w:w w:val="105"/>
          <w:sz w:val="16"/>
        </w:rPr>
        <w:t>Member</w:t>
      </w:r>
      <w:r>
        <w:rPr>
          <w:rFonts w:ascii="Verdana" w:hAnsi="Verdana"/>
          <w:i/>
          <w:spacing w:val="-13"/>
          <w:w w:val="105"/>
          <w:sz w:val="16"/>
        </w:rPr>
        <w:t> </w:t>
      </w:r>
      <w:r>
        <w:rPr>
          <w:rFonts w:ascii="Verdana" w:hAnsi="Verdana"/>
          <w:i/>
          <w:spacing w:val="-2"/>
          <w:w w:val="105"/>
          <w:sz w:val="16"/>
        </w:rPr>
        <w:t>States</w:t>
      </w:r>
      <w:r>
        <w:rPr>
          <w:rFonts w:ascii="Verdana" w:hAnsi="Verdana"/>
          <w:i/>
          <w:spacing w:val="-13"/>
          <w:w w:val="105"/>
          <w:sz w:val="16"/>
        </w:rPr>
        <w:t> </w:t>
      </w:r>
      <w:r>
        <w:rPr>
          <w:rFonts w:ascii="Lucida Sans Unicode" w:hAnsi="Lucida Sans Unicode"/>
          <w:spacing w:val="-2"/>
          <w:w w:val="105"/>
          <w:sz w:val="16"/>
        </w:rPr>
        <w:t>(Oxford:</w:t>
      </w:r>
      <w:r>
        <w:rPr>
          <w:rFonts w:ascii="Lucida Sans Unicode" w:hAnsi="Lucida Sans Unicode"/>
          <w:spacing w:val="-6"/>
          <w:w w:val="105"/>
          <w:sz w:val="16"/>
        </w:rPr>
        <w:t> </w:t>
      </w:r>
      <w:r>
        <w:rPr>
          <w:rFonts w:ascii="Lucida Sans Unicode" w:hAnsi="Lucida Sans Unicode"/>
          <w:spacing w:val="-2"/>
          <w:w w:val="105"/>
          <w:sz w:val="16"/>
        </w:rPr>
        <w:t>Hart</w:t>
      </w:r>
      <w:r>
        <w:rPr>
          <w:rFonts w:ascii="Lucida Sans Unicode" w:hAnsi="Lucida Sans Unicode"/>
          <w:spacing w:val="-7"/>
          <w:w w:val="105"/>
          <w:sz w:val="16"/>
        </w:rPr>
        <w:t> </w:t>
      </w:r>
      <w:r>
        <w:rPr>
          <w:rFonts w:ascii="Lucida Sans Unicode" w:hAnsi="Lucida Sans Unicode"/>
          <w:spacing w:val="-2"/>
          <w:w w:val="105"/>
          <w:sz w:val="16"/>
        </w:rPr>
        <w:t>2020)</w:t>
      </w:r>
      <w:r>
        <w:rPr>
          <w:rFonts w:ascii="Lucida Sans Unicode" w:hAnsi="Lucida Sans Unicode"/>
          <w:spacing w:val="-7"/>
          <w:w w:val="105"/>
          <w:sz w:val="16"/>
        </w:rPr>
        <w:t> </w:t>
      </w:r>
      <w:r>
        <w:rPr>
          <w:rFonts w:ascii="Lucida Sans Unicode" w:hAnsi="Lucida Sans Unicode"/>
          <w:spacing w:val="-2"/>
          <w:w w:val="105"/>
          <w:sz w:val="16"/>
        </w:rPr>
        <w:t>331,</w:t>
      </w:r>
      <w:r>
        <w:rPr>
          <w:rFonts w:ascii="Lucida Sans Unicode" w:hAnsi="Lucida Sans Unicode"/>
          <w:spacing w:val="-7"/>
          <w:w w:val="105"/>
          <w:sz w:val="16"/>
        </w:rPr>
        <w:t> </w:t>
      </w:r>
      <w:r>
        <w:rPr>
          <w:rFonts w:ascii="Lucida Sans Unicode" w:hAnsi="Lucida Sans Unicode"/>
          <w:spacing w:val="-2"/>
          <w:w w:val="105"/>
          <w:sz w:val="16"/>
        </w:rPr>
        <w:t>338-9.</w:t>
      </w:r>
    </w:p>
    <w:p>
      <w:pPr>
        <w:pStyle w:val="ListParagraph"/>
        <w:numPr>
          <w:ilvl w:val="0"/>
          <w:numId w:val="14"/>
        </w:numPr>
        <w:tabs>
          <w:tab w:pos="566" w:val="left" w:leader="none"/>
        </w:tabs>
        <w:spacing w:line="179" w:lineRule="exact" w:before="0" w:after="0"/>
        <w:ind w:left="566" w:right="0" w:hanging="453"/>
        <w:jc w:val="left"/>
        <w:rPr>
          <w:sz w:val="16"/>
        </w:rPr>
      </w:pPr>
      <w:r>
        <w:rPr>
          <w:w w:val="105"/>
          <w:sz w:val="16"/>
        </w:rPr>
        <w:t>Merris</w:t>
      </w:r>
      <w:r>
        <w:rPr>
          <w:spacing w:val="-12"/>
          <w:w w:val="105"/>
          <w:sz w:val="16"/>
        </w:rPr>
        <w:t> </w:t>
      </w:r>
      <w:r>
        <w:rPr>
          <w:w w:val="105"/>
          <w:sz w:val="16"/>
        </w:rPr>
        <w:t>Amos,</w:t>
      </w:r>
      <w:r>
        <w:rPr>
          <w:spacing w:val="-11"/>
          <w:w w:val="105"/>
          <w:sz w:val="16"/>
        </w:rPr>
        <w:t> </w:t>
      </w:r>
      <w:r>
        <w:rPr>
          <w:w w:val="105"/>
          <w:sz w:val="16"/>
        </w:rPr>
        <w:t>‘Red</w:t>
      </w:r>
      <w:r>
        <w:rPr>
          <w:spacing w:val="-12"/>
          <w:w w:val="105"/>
          <w:sz w:val="16"/>
        </w:rPr>
        <w:t> </w:t>
      </w:r>
      <w:r>
        <w:rPr>
          <w:w w:val="105"/>
          <w:sz w:val="16"/>
        </w:rPr>
        <w:t>Herrings</w:t>
      </w:r>
      <w:r>
        <w:rPr>
          <w:spacing w:val="-11"/>
          <w:w w:val="105"/>
          <w:sz w:val="16"/>
        </w:rPr>
        <w:t> </w:t>
      </w:r>
      <w:r>
        <w:rPr>
          <w:w w:val="105"/>
          <w:sz w:val="16"/>
        </w:rPr>
        <w:t>and</w:t>
      </w:r>
      <w:r>
        <w:rPr>
          <w:spacing w:val="-11"/>
          <w:w w:val="105"/>
          <w:sz w:val="16"/>
        </w:rPr>
        <w:t> </w:t>
      </w:r>
      <w:r>
        <w:rPr>
          <w:w w:val="105"/>
          <w:sz w:val="16"/>
        </w:rPr>
        <w:t>Reductions:</w:t>
      </w:r>
      <w:r>
        <w:rPr>
          <w:spacing w:val="-12"/>
          <w:w w:val="105"/>
          <w:sz w:val="16"/>
        </w:rPr>
        <w:t> </w:t>
      </w:r>
      <w:r>
        <w:rPr>
          <w:w w:val="105"/>
          <w:sz w:val="16"/>
        </w:rPr>
        <w:t>Human</w:t>
      </w:r>
      <w:r>
        <w:rPr>
          <w:spacing w:val="-11"/>
          <w:w w:val="105"/>
          <w:sz w:val="16"/>
        </w:rPr>
        <w:t> </w:t>
      </w:r>
      <w:r>
        <w:rPr>
          <w:w w:val="105"/>
          <w:sz w:val="16"/>
        </w:rPr>
        <w:t>Rights</w:t>
      </w:r>
      <w:r>
        <w:rPr>
          <w:spacing w:val="-12"/>
          <w:w w:val="105"/>
          <w:sz w:val="16"/>
        </w:rPr>
        <w:t> </w:t>
      </w:r>
      <w:r>
        <w:rPr>
          <w:w w:val="105"/>
          <w:sz w:val="16"/>
        </w:rPr>
        <w:t>and</w:t>
      </w:r>
      <w:r>
        <w:rPr>
          <w:spacing w:val="-11"/>
          <w:w w:val="105"/>
          <w:sz w:val="16"/>
        </w:rPr>
        <w:t> </w:t>
      </w:r>
      <w:r>
        <w:rPr>
          <w:w w:val="105"/>
          <w:sz w:val="16"/>
        </w:rPr>
        <w:t>the</w:t>
      </w:r>
      <w:r>
        <w:rPr>
          <w:spacing w:val="-11"/>
          <w:w w:val="105"/>
          <w:sz w:val="16"/>
        </w:rPr>
        <w:t> </w:t>
      </w:r>
      <w:r>
        <w:rPr>
          <w:w w:val="105"/>
          <w:sz w:val="16"/>
        </w:rPr>
        <w:t>EU</w:t>
      </w:r>
      <w:r>
        <w:rPr>
          <w:spacing w:val="-12"/>
          <w:w w:val="105"/>
          <w:sz w:val="16"/>
        </w:rPr>
        <w:t> </w:t>
      </w:r>
      <w:r>
        <w:rPr>
          <w:w w:val="105"/>
          <w:sz w:val="16"/>
        </w:rPr>
        <w:t>(Withdrawal)</w:t>
      </w:r>
      <w:r>
        <w:rPr>
          <w:spacing w:val="-11"/>
          <w:w w:val="105"/>
          <w:sz w:val="16"/>
        </w:rPr>
        <w:t> </w:t>
      </w:r>
      <w:r>
        <w:rPr>
          <w:w w:val="105"/>
          <w:sz w:val="16"/>
        </w:rPr>
        <w:t>Bill’,</w:t>
      </w:r>
      <w:r>
        <w:rPr>
          <w:spacing w:val="-12"/>
          <w:w w:val="105"/>
          <w:sz w:val="16"/>
        </w:rPr>
        <w:t> </w:t>
      </w:r>
      <w:r>
        <w:rPr>
          <w:w w:val="105"/>
          <w:sz w:val="16"/>
        </w:rPr>
        <w:t>UKCLA</w:t>
      </w:r>
      <w:r>
        <w:rPr>
          <w:spacing w:val="-11"/>
          <w:w w:val="105"/>
          <w:sz w:val="16"/>
        </w:rPr>
        <w:t> </w:t>
      </w:r>
      <w:r>
        <w:rPr>
          <w:w w:val="105"/>
          <w:sz w:val="16"/>
        </w:rPr>
        <w:t>Blog</w:t>
      </w:r>
      <w:r>
        <w:rPr>
          <w:spacing w:val="-11"/>
          <w:w w:val="105"/>
          <w:sz w:val="16"/>
        </w:rPr>
        <w:t> </w:t>
      </w:r>
      <w:r>
        <w:rPr>
          <w:w w:val="105"/>
          <w:sz w:val="16"/>
        </w:rPr>
        <w:t>4</w:t>
      </w:r>
      <w:r>
        <w:rPr>
          <w:spacing w:val="-12"/>
          <w:w w:val="105"/>
          <w:sz w:val="16"/>
        </w:rPr>
        <w:t> </w:t>
      </w:r>
      <w:r>
        <w:rPr>
          <w:spacing w:val="-2"/>
          <w:w w:val="105"/>
          <w:sz w:val="16"/>
        </w:rPr>
        <w:t>October</w:t>
      </w:r>
    </w:p>
    <w:p>
      <w:pPr>
        <w:spacing w:line="218" w:lineRule="auto" w:before="0"/>
        <w:ind w:left="567" w:right="334" w:firstLine="0"/>
        <w:jc w:val="left"/>
        <w:rPr>
          <w:sz w:val="16"/>
        </w:rPr>
      </w:pPr>
      <w:r>
        <w:rPr>
          <w:rFonts w:ascii="Lucida Sans Unicode"/>
          <w:spacing w:val="-4"/>
          <w:sz w:val="16"/>
        </w:rPr>
        <w:t>2017 at: </w:t>
      </w:r>
      <w:hyperlink r:id="rId41">
        <w:r>
          <w:rPr>
            <w:rFonts w:ascii="Lucida Sans Unicode"/>
            <w:color w:val="77328A"/>
            <w:spacing w:val="-4"/>
            <w:sz w:val="16"/>
            <w:u w:val="single" w:color="77328A"/>
          </w:rPr>
          <w:t>https://ukconstitutionallaw.org/2017/10/04/merris-amos-red-herrings-and-reductions-human-rights-and-</w:t>
        </w:r>
      </w:hyperlink>
      <w:r>
        <w:rPr>
          <w:rFonts w:ascii="Lucida Sans Unicode"/>
          <w:color w:val="77328A"/>
          <w:spacing w:val="-4"/>
          <w:sz w:val="16"/>
          <w:u w:val="none"/>
        </w:rPr>
        <w:t> </w:t>
      </w:r>
      <w:hyperlink r:id="rId41">
        <w:r>
          <w:rPr>
            <w:color w:val="77328A"/>
            <w:spacing w:val="-2"/>
            <w:w w:val="105"/>
            <w:sz w:val="16"/>
            <w:u w:val="single" w:color="77328A"/>
          </w:rPr>
          <w:t>the-eu-withdrawal-bill/</w:t>
        </w:r>
      </w:hyperlink>
    </w:p>
    <w:p>
      <w:pPr>
        <w:pStyle w:val="ListParagraph"/>
        <w:numPr>
          <w:ilvl w:val="0"/>
          <w:numId w:val="14"/>
        </w:numPr>
        <w:tabs>
          <w:tab w:pos="566" w:val="left" w:leader="none"/>
        </w:tabs>
        <w:spacing w:line="216" w:lineRule="exact" w:before="0" w:after="0"/>
        <w:ind w:left="566" w:right="0" w:hanging="453"/>
        <w:jc w:val="left"/>
        <w:rPr>
          <w:sz w:val="16"/>
        </w:rPr>
      </w:pPr>
      <w:r>
        <w:rPr>
          <w:sz w:val="16"/>
        </w:rPr>
        <w:t>See</w:t>
      </w:r>
      <w:r>
        <w:rPr>
          <w:spacing w:val="20"/>
          <w:sz w:val="16"/>
        </w:rPr>
        <w:t> </w:t>
      </w:r>
      <w:r>
        <w:rPr>
          <w:sz w:val="16"/>
        </w:rPr>
        <w:t>Chapter</w:t>
      </w:r>
      <w:r>
        <w:rPr>
          <w:spacing w:val="20"/>
          <w:sz w:val="16"/>
        </w:rPr>
        <w:t> </w:t>
      </w:r>
      <w:r>
        <w:rPr>
          <w:spacing w:val="-5"/>
          <w:sz w:val="16"/>
        </w:rPr>
        <w:t>1.</w:t>
      </w:r>
    </w:p>
    <w:p>
      <w:pPr>
        <w:pStyle w:val="ListParagraph"/>
        <w:numPr>
          <w:ilvl w:val="0"/>
          <w:numId w:val="14"/>
        </w:numPr>
        <w:tabs>
          <w:tab w:pos="565" w:val="left" w:leader="none"/>
        </w:tabs>
        <w:spacing w:line="200" w:lineRule="exact" w:before="0" w:after="0"/>
        <w:ind w:left="565" w:right="0" w:hanging="452"/>
        <w:jc w:val="left"/>
        <w:rPr>
          <w:rFonts w:ascii="Arial"/>
          <w:sz w:val="16"/>
        </w:rPr>
      </w:pPr>
      <w:r>
        <w:rPr>
          <w:rFonts w:ascii="Arial"/>
          <w:w w:val="115"/>
          <w:sz w:val="16"/>
        </w:rPr>
        <w:t>Frantziou</w:t>
      </w:r>
      <w:r>
        <w:rPr>
          <w:rFonts w:ascii="Arial"/>
          <w:spacing w:val="-9"/>
          <w:w w:val="115"/>
          <w:sz w:val="16"/>
        </w:rPr>
        <w:t> </w:t>
      </w:r>
      <w:r>
        <w:rPr>
          <w:rFonts w:ascii="Arial"/>
          <w:w w:val="115"/>
          <w:sz w:val="16"/>
        </w:rPr>
        <w:t>(n</w:t>
      </w:r>
      <w:r>
        <w:rPr>
          <w:rFonts w:ascii="Arial"/>
          <w:spacing w:val="-8"/>
          <w:w w:val="115"/>
          <w:sz w:val="16"/>
        </w:rPr>
        <w:t> </w:t>
      </w:r>
      <w:r>
        <w:rPr>
          <w:rFonts w:ascii="Arial"/>
          <w:spacing w:val="-4"/>
          <w:w w:val="115"/>
          <w:sz w:val="16"/>
        </w:rPr>
        <w:t>77).</w:t>
      </w:r>
    </w:p>
    <w:p>
      <w:pPr>
        <w:pStyle w:val="ListParagraph"/>
        <w:numPr>
          <w:ilvl w:val="0"/>
          <w:numId w:val="14"/>
        </w:numPr>
        <w:tabs>
          <w:tab w:pos="565" w:val="left" w:leader="none"/>
        </w:tabs>
        <w:spacing w:line="200" w:lineRule="exact" w:before="0" w:after="0"/>
        <w:ind w:left="565" w:right="0" w:hanging="452"/>
        <w:jc w:val="left"/>
        <w:rPr>
          <w:rFonts w:ascii="Arial"/>
          <w:sz w:val="16"/>
        </w:rPr>
      </w:pPr>
      <w:r>
        <w:rPr>
          <w:rFonts w:ascii="Verdana"/>
          <w:i/>
          <w:sz w:val="16"/>
        </w:rPr>
        <w:t>Marleasing;</w:t>
      </w:r>
      <w:r>
        <w:rPr>
          <w:rFonts w:ascii="Verdana"/>
          <w:i/>
          <w:spacing w:val="1"/>
          <w:sz w:val="16"/>
        </w:rPr>
        <w:t> </w:t>
      </w:r>
      <w:r>
        <w:rPr>
          <w:rFonts w:ascii="Verdana"/>
          <w:i/>
          <w:sz w:val="16"/>
        </w:rPr>
        <w:t>von</w:t>
      </w:r>
      <w:r>
        <w:rPr>
          <w:rFonts w:ascii="Verdana"/>
          <w:i/>
          <w:spacing w:val="2"/>
          <w:sz w:val="16"/>
        </w:rPr>
        <w:t> </w:t>
      </w:r>
      <w:r>
        <w:rPr>
          <w:rFonts w:ascii="Verdana"/>
          <w:i/>
          <w:sz w:val="16"/>
        </w:rPr>
        <w:t>Colson</w:t>
      </w:r>
      <w:r>
        <w:rPr>
          <w:rFonts w:ascii="Verdana"/>
          <w:i/>
          <w:spacing w:val="1"/>
          <w:sz w:val="16"/>
        </w:rPr>
        <w:t> </w:t>
      </w:r>
      <w:r>
        <w:rPr>
          <w:rFonts w:ascii="Verdana"/>
          <w:i/>
          <w:sz w:val="16"/>
        </w:rPr>
        <w:t>and</w:t>
      </w:r>
      <w:r>
        <w:rPr>
          <w:rFonts w:ascii="Verdana"/>
          <w:i/>
          <w:spacing w:val="2"/>
          <w:sz w:val="16"/>
        </w:rPr>
        <w:t> </w:t>
      </w:r>
      <w:r>
        <w:rPr>
          <w:rFonts w:ascii="Verdana"/>
          <w:i/>
          <w:sz w:val="16"/>
        </w:rPr>
        <w:t>Kamann</w:t>
      </w:r>
      <w:r>
        <w:rPr>
          <w:rFonts w:ascii="Verdana"/>
          <w:i/>
          <w:spacing w:val="2"/>
          <w:sz w:val="16"/>
        </w:rPr>
        <w:t> </w:t>
      </w:r>
      <w:r>
        <w:rPr>
          <w:rFonts w:ascii="Arial"/>
          <w:sz w:val="16"/>
        </w:rPr>
        <w:t>(both</w:t>
      </w:r>
      <w:r>
        <w:rPr>
          <w:rFonts w:ascii="Arial"/>
          <w:spacing w:val="13"/>
          <w:sz w:val="16"/>
        </w:rPr>
        <w:t> </w:t>
      </w:r>
      <w:r>
        <w:rPr>
          <w:rFonts w:ascii="Arial"/>
          <w:sz w:val="16"/>
        </w:rPr>
        <w:t>cited</w:t>
      </w:r>
      <w:r>
        <w:rPr>
          <w:rFonts w:ascii="Arial"/>
          <w:spacing w:val="14"/>
          <w:sz w:val="16"/>
        </w:rPr>
        <w:t> </w:t>
      </w:r>
      <w:r>
        <w:rPr>
          <w:rFonts w:ascii="Arial"/>
          <w:sz w:val="16"/>
        </w:rPr>
        <w:t>at</w:t>
      </w:r>
      <w:r>
        <w:rPr>
          <w:rFonts w:ascii="Arial"/>
          <w:spacing w:val="14"/>
          <w:sz w:val="16"/>
        </w:rPr>
        <w:t> </w:t>
      </w:r>
      <w:r>
        <w:rPr>
          <w:rFonts w:ascii="Arial"/>
          <w:sz w:val="16"/>
        </w:rPr>
        <w:t>n</w:t>
      </w:r>
      <w:r>
        <w:rPr>
          <w:rFonts w:ascii="Arial"/>
          <w:spacing w:val="14"/>
          <w:sz w:val="16"/>
        </w:rPr>
        <w:t> </w:t>
      </w:r>
      <w:r>
        <w:rPr>
          <w:rFonts w:ascii="Arial"/>
          <w:spacing w:val="-4"/>
          <w:sz w:val="16"/>
        </w:rPr>
        <w:t>57).</w:t>
      </w:r>
    </w:p>
    <w:p>
      <w:pPr>
        <w:pStyle w:val="ListParagraph"/>
        <w:numPr>
          <w:ilvl w:val="0"/>
          <w:numId w:val="14"/>
        </w:numPr>
        <w:tabs>
          <w:tab w:pos="567" w:val="left" w:leader="none"/>
        </w:tabs>
        <w:spacing w:line="194" w:lineRule="auto" w:before="0" w:after="0"/>
        <w:ind w:left="567" w:right="855" w:hanging="454"/>
        <w:jc w:val="left"/>
        <w:rPr>
          <w:sz w:val="16"/>
        </w:rPr>
      </w:pPr>
      <w:r>
        <w:rPr>
          <w:rFonts w:ascii="Verdana" w:hAnsi="Verdana"/>
          <w:i/>
          <w:sz w:val="16"/>
        </w:rPr>
        <w:t>Gilham</w:t>
      </w:r>
      <w:r>
        <w:rPr>
          <w:rFonts w:ascii="Verdana" w:hAnsi="Verdana"/>
          <w:i/>
          <w:spacing w:val="-2"/>
          <w:sz w:val="16"/>
        </w:rPr>
        <w:t> </w:t>
      </w:r>
      <w:r>
        <w:rPr>
          <w:rFonts w:ascii="Verdana" w:hAnsi="Verdana"/>
          <w:i/>
          <w:sz w:val="16"/>
        </w:rPr>
        <w:t>v</w:t>
      </w:r>
      <w:r>
        <w:rPr>
          <w:rFonts w:ascii="Verdana" w:hAnsi="Verdana"/>
          <w:i/>
          <w:spacing w:val="-2"/>
          <w:sz w:val="16"/>
        </w:rPr>
        <w:t> </w:t>
      </w:r>
      <w:r>
        <w:rPr>
          <w:rFonts w:ascii="Verdana" w:hAnsi="Verdana"/>
          <w:i/>
          <w:sz w:val="16"/>
        </w:rPr>
        <w:t>Ministry</w:t>
      </w:r>
      <w:r>
        <w:rPr>
          <w:rFonts w:ascii="Verdana" w:hAnsi="Verdana"/>
          <w:i/>
          <w:spacing w:val="-2"/>
          <w:sz w:val="16"/>
        </w:rPr>
        <w:t> </w:t>
      </w:r>
      <w:r>
        <w:rPr>
          <w:rFonts w:ascii="Verdana" w:hAnsi="Verdana"/>
          <w:i/>
          <w:sz w:val="16"/>
        </w:rPr>
        <w:t>of</w:t>
      </w:r>
      <w:r>
        <w:rPr>
          <w:rFonts w:ascii="Verdana" w:hAnsi="Verdana"/>
          <w:i/>
          <w:spacing w:val="-2"/>
          <w:sz w:val="16"/>
        </w:rPr>
        <w:t> </w:t>
      </w:r>
      <w:r>
        <w:rPr>
          <w:rFonts w:ascii="Verdana" w:hAnsi="Verdana"/>
          <w:i/>
          <w:sz w:val="16"/>
        </w:rPr>
        <w:t>Justice</w:t>
      </w:r>
      <w:r>
        <w:rPr>
          <w:rFonts w:ascii="Verdana" w:hAnsi="Verdana"/>
          <w:i/>
          <w:spacing w:val="-2"/>
          <w:sz w:val="16"/>
        </w:rPr>
        <w:t> </w:t>
      </w:r>
      <w:r>
        <w:rPr>
          <w:sz w:val="16"/>
        </w:rPr>
        <w:t>[2019] UKSC 44</w:t>
      </w:r>
      <w:r>
        <w:rPr>
          <w:rFonts w:ascii="Verdana" w:hAnsi="Verdana"/>
          <w:i/>
          <w:sz w:val="16"/>
        </w:rPr>
        <w:t>,</w:t>
      </w:r>
      <w:r>
        <w:rPr>
          <w:rFonts w:ascii="Verdana" w:hAnsi="Verdana"/>
          <w:i/>
          <w:spacing w:val="-2"/>
          <w:sz w:val="16"/>
        </w:rPr>
        <w:t> </w:t>
      </w:r>
      <w:r>
        <w:rPr>
          <w:sz w:val="16"/>
        </w:rPr>
        <w:t>at para 39, per Lady Hale. See further M. Brenncke, ‘Statutory Interpretation and the Role of Courts after Brexit’ (2020) 25:4 E.P.L. 637, 653.</w:t>
      </w:r>
    </w:p>
    <w:p>
      <w:pPr>
        <w:spacing w:after="0" w:line="194" w:lineRule="auto"/>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310" w:lineRule="exact" w:before="49"/>
        <w:ind w:right="150"/>
        <w:rPr>
          <w:rFonts w:ascii="Verdana"/>
          <w:i/>
        </w:rPr>
      </w:pPr>
      <w:r>
        <w:rPr>
          <w:w w:val="110"/>
        </w:rPr>
        <w:t>course, early (pre-Charter) examples of strong uses of consistent interpretation,</w:t>
      </w:r>
      <w:r>
        <w:rPr>
          <w:spacing w:val="40"/>
          <w:w w:val="110"/>
        </w:rPr>
        <w:t> </w:t>
      </w:r>
      <w:r>
        <w:rPr>
          <w:w w:val="110"/>
        </w:rPr>
        <w:t>which</w:t>
      </w:r>
      <w:r>
        <w:rPr>
          <w:spacing w:val="40"/>
          <w:w w:val="110"/>
        </w:rPr>
        <w:t> </w:t>
      </w:r>
      <w:r>
        <w:rPr>
          <w:w w:val="110"/>
        </w:rPr>
        <w:t>also</w:t>
      </w:r>
      <w:r>
        <w:rPr>
          <w:spacing w:val="40"/>
          <w:w w:val="110"/>
        </w:rPr>
        <w:t> </w:t>
      </w:r>
      <w:r>
        <w:rPr>
          <w:w w:val="110"/>
        </w:rPr>
        <w:t>cover</w:t>
      </w:r>
      <w:r>
        <w:rPr>
          <w:spacing w:val="40"/>
          <w:w w:val="110"/>
        </w:rPr>
        <w:t> </w:t>
      </w:r>
      <w:r>
        <w:rPr>
          <w:rFonts w:ascii="Lucida Sans Unicode"/>
        </w:rPr>
        <w:t>fields subsequently occupied by the </w:t>
      </w:r>
      <w:r>
        <w:rPr>
          <w:w w:val="110"/>
        </w:rPr>
        <w:t>general principles and, ultimately, Charter-based</w:t>
      </w:r>
      <w:r>
        <w:rPr>
          <w:spacing w:val="-17"/>
          <w:w w:val="110"/>
        </w:rPr>
        <w:t> </w:t>
      </w:r>
      <w:r>
        <w:rPr>
          <w:w w:val="110"/>
        </w:rPr>
        <w:t>case</w:t>
      </w:r>
      <w:r>
        <w:rPr>
          <w:spacing w:val="-17"/>
          <w:w w:val="110"/>
        </w:rPr>
        <w:t> </w:t>
      </w:r>
      <w:r>
        <w:rPr>
          <w:w w:val="110"/>
        </w:rPr>
        <w:t>law.</w:t>
      </w:r>
      <w:r>
        <w:rPr>
          <w:spacing w:val="-17"/>
          <w:w w:val="110"/>
        </w:rPr>
        <w:t> </w:t>
      </w:r>
      <w:r>
        <w:rPr>
          <w:w w:val="110"/>
        </w:rPr>
        <w:t>For</w:t>
      </w:r>
      <w:r>
        <w:rPr>
          <w:spacing w:val="-17"/>
          <w:w w:val="110"/>
        </w:rPr>
        <w:t> </w:t>
      </w:r>
      <w:r>
        <w:rPr>
          <w:w w:val="110"/>
        </w:rPr>
        <w:t>example, this is amply demonstrated in the context of equality and employment protection by cases such as </w:t>
      </w:r>
      <w:r>
        <w:rPr>
          <w:rFonts w:ascii="Verdana"/>
          <w:i/>
          <w:w w:val="110"/>
        </w:rPr>
        <w:t>Litster</w:t>
      </w:r>
      <w:r>
        <w:rPr>
          <w:rFonts w:ascii="Verdana"/>
          <w:i/>
          <w:w w:val="110"/>
        </w:rPr>
        <w:t> </w:t>
      </w:r>
      <w:r>
        <w:rPr>
          <w:w w:val="110"/>
        </w:rPr>
        <w:t>and</w:t>
      </w:r>
      <w:r>
        <w:rPr>
          <w:spacing w:val="-19"/>
          <w:w w:val="110"/>
        </w:rPr>
        <w:t> </w:t>
      </w:r>
      <w:r>
        <w:rPr>
          <w:rFonts w:ascii="Verdana"/>
          <w:i/>
          <w:w w:val="110"/>
        </w:rPr>
        <w:t>Pickstone.</w:t>
      </w:r>
      <w:r>
        <w:rPr>
          <w:rFonts w:ascii="Verdana"/>
          <w:i/>
          <w:w w:val="110"/>
          <w:vertAlign w:val="superscript"/>
        </w:rPr>
        <w:t>266</w:t>
      </w:r>
    </w:p>
    <w:p>
      <w:pPr>
        <w:pStyle w:val="BodyText"/>
        <w:spacing w:before="15"/>
        <w:ind w:left="0"/>
        <w:rPr>
          <w:rFonts w:ascii="Verdana"/>
          <w:i/>
        </w:rPr>
      </w:pPr>
    </w:p>
    <w:p>
      <w:pPr>
        <w:pStyle w:val="BodyText"/>
        <w:spacing w:line="249" w:lineRule="auto"/>
        <w:ind w:right="294"/>
      </w:pPr>
      <w:r>
        <w:rPr>
          <w:w w:val="110"/>
        </w:rPr>
        <w:t>In </w:t>
      </w:r>
      <w:r>
        <w:rPr>
          <w:rFonts w:ascii="Verdana" w:hAnsi="Verdana"/>
          <w:i/>
          <w:w w:val="110"/>
        </w:rPr>
        <w:t>Pickstone</w:t>
      </w:r>
      <w:r>
        <w:rPr>
          <w:rFonts w:ascii="Verdana" w:hAnsi="Verdana"/>
          <w:i/>
          <w:spacing w:val="-9"/>
          <w:w w:val="110"/>
        </w:rPr>
        <w:t> </w:t>
      </w:r>
      <w:r>
        <w:rPr>
          <w:w w:val="110"/>
        </w:rPr>
        <w:t>– an equal pay dispute within the private sector – the </w:t>
      </w:r>
      <w:r>
        <w:rPr>
          <w:w w:val="110"/>
        </w:rPr>
        <w:t>House of Lords had implied an entire</w:t>
      </w:r>
      <w:r>
        <w:rPr>
          <w:spacing w:val="80"/>
          <w:w w:val="150"/>
        </w:rPr>
        <w:t> </w:t>
      </w:r>
      <w:r>
        <w:rPr>
          <w:rFonts w:ascii="Lucida Sans Unicode" w:hAnsi="Lucida Sans Unicode"/>
        </w:rPr>
        <w:t>phrase into the 1983 Equal Pay </w:t>
      </w:r>
      <w:r>
        <w:rPr>
          <w:w w:val="110"/>
        </w:rPr>
        <w:t>Regulations, which had permitted</w:t>
      </w:r>
    </w:p>
    <w:p>
      <w:pPr>
        <w:pStyle w:val="BodyText"/>
        <w:spacing w:line="268" w:lineRule="auto" w:before="18"/>
        <w:ind w:right="216"/>
      </w:pPr>
      <w:r>
        <w:rPr>
          <w:w w:val="115"/>
        </w:rPr>
        <w:t>a woman to claim equal pay for work</w:t>
      </w:r>
      <w:r>
        <w:rPr>
          <w:spacing w:val="-20"/>
          <w:w w:val="115"/>
        </w:rPr>
        <w:t> </w:t>
      </w:r>
      <w:r>
        <w:rPr>
          <w:w w:val="115"/>
        </w:rPr>
        <w:t>of</w:t>
      </w:r>
      <w:r>
        <w:rPr>
          <w:spacing w:val="-19"/>
          <w:w w:val="115"/>
        </w:rPr>
        <w:t> </w:t>
      </w:r>
      <w:r>
        <w:rPr>
          <w:w w:val="115"/>
        </w:rPr>
        <w:t>equal</w:t>
      </w:r>
      <w:r>
        <w:rPr>
          <w:spacing w:val="-19"/>
          <w:w w:val="115"/>
        </w:rPr>
        <w:t> </w:t>
      </w:r>
      <w:r>
        <w:rPr>
          <w:w w:val="115"/>
        </w:rPr>
        <w:t>value</w:t>
      </w:r>
      <w:r>
        <w:rPr>
          <w:spacing w:val="-19"/>
          <w:w w:val="115"/>
        </w:rPr>
        <w:t> </w:t>
      </w:r>
      <w:r>
        <w:rPr>
          <w:w w:val="115"/>
        </w:rPr>
        <w:t>only</w:t>
      </w:r>
      <w:r>
        <w:rPr>
          <w:spacing w:val="-19"/>
          <w:w w:val="115"/>
        </w:rPr>
        <w:t> </w:t>
      </w:r>
      <w:r>
        <w:rPr>
          <w:w w:val="115"/>
        </w:rPr>
        <w:t>where</w:t>
      </w:r>
      <w:r>
        <w:rPr>
          <w:spacing w:val="-20"/>
          <w:w w:val="115"/>
        </w:rPr>
        <w:t> </w:t>
      </w:r>
      <w:r>
        <w:rPr>
          <w:w w:val="115"/>
        </w:rPr>
        <w:t>no man</w:t>
      </w:r>
      <w:r>
        <w:rPr>
          <w:spacing w:val="-4"/>
          <w:w w:val="115"/>
        </w:rPr>
        <w:t> </w:t>
      </w:r>
      <w:r>
        <w:rPr>
          <w:w w:val="115"/>
        </w:rPr>
        <w:t>was</w:t>
      </w:r>
      <w:r>
        <w:rPr>
          <w:spacing w:val="-4"/>
          <w:w w:val="115"/>
        </w:rPr>
        <w:t> </w:t>
      </w:r>
      <w:r>
        <w:rPr>
          <w:w w:val="115"/>
        </w:rPr>
        <w:t>employed</w:t>
      </w:r>
      <w:r>
        <w:rPr>
          <w:spacing w:val="-4"/>
          <w:w w:val="115"/>
        </w:rPr>
        <w:t> </w:t>
      </w:r>
      <w:r>
        <w:rPr>
          <w:w w:val="115"/>
        </w:rPr>
        <w:t>in</w:t>
      </w:r>
      <w:r>
        <w:rPr>
          <w:spacing w:val="-4"/>
          <w:w w:val="115"/>
        </w:rPr>
        <w:t> </w:t>
      </w:r>
      <w:r>
        <w:rPr>
          <w:w w:val="115"/>
        </w:rPr>
        <w:t>exactly</w:t>
      </w:r>
      <w:r>
        <w:rPr>
          <w:spacing w:val="-4"/>
          <w:w w:val="115"/>
        </w:rPr>
        <w:t> </w:t>
      </w:r>
      <w:r>
        <w:rPr>
          <w:w w:val="115"/>
        </w:rPr>
        <w:t>the same</w:t>
      </w:r>
      <w:r>
        <w:rPr>
          <w:spacing w:val="-19"/>
          <w:w w:val="115"/>
        </w:rPr>
        <w:t> </w:t>
      </w:r>
      <w:r>
        <w:rPr>
          <w:w w:val="115"/>
        </w:rPr>
        <w:t>position,</w:t>
      </w:r>
      <w:r>
        <w:rPr>
          <w:spacing w:val="-19"/>
          <w:w w:val="115"/>
        </w:rPr>
        <w:t> </w:t>
      </w:r>
      <w:r>
        <w:rPr>
          <w:w w:val="115"/>
        </w:rPr>
        <w:t>so</w:t>
      </w:r>
      <w:r>
        <w:rPr>
          <w:spacing w:val="-19"/>
          <w:w w:val="115"/>
        </w:rPr>
        <w:t> </w:t>
      </w:r>
      <w:r>
        <w:rPr>
          <w:w w:val="115"/>
        </w:rPr>
        <w:t>as</w:t>
      </w:r>
      <w:r>
        <w:rPr>
          <w:spacing w:val="-19"/>
          <w:w w:val="115"/>
        </w:rPr>
        <w:t> </w:t>
      </w:r>
      <w:r>
        <w:rPr>
          <w:w w:val="115"/>
        </w:rPr>
        <w:t>to</w:t>
      </w:r>
      <w:r>
        <w:rPr>
          <w:spacing w:val="-19"/>
          <w:w w:val="115"/>
        </w:rPr>
        <w:t> </w:t>
      </w:r>
      <w:r>
        <w:rPr>
          <w:w w:val="115"/>
        </w:rPr>
        <w:t>render</w:t>
      </w:r>
      <w:r>
        <w:rPr>
          <w:spacing w:val="-19"/>
          <w:w w:val="115"/>
        </w:rPr>
        <w:t> </w:t>
      </w:r>
      <w:r>
        <w:rPr>
          <w:w w:val="115"/>
        </w:rPr>
        <w:t>the</w:t>
      </w:r>
    </w:p>
    <w:p>
      <w:pPr>
        <w:pStyle w:val="BodyText"/>
        <w:spacing w:line="324" w:lineRule="exact"/>
        <w:rPr>
          <w:rFonts w:ascii="Lucida Sans Unicode"/>
        </w:rPr>
      </w:pPr>
      <w:r>
        <w:rPr>
          <w:w w:val="115"/>
        </w:rPr>
        <w:t>protection</w:t>
      </w:r>
      <w:r>
        <w:rPr>
          <w:spacing w:val="-8"/>
          <w:w w:val="115"/>
        </w:rPr>
        <w:t> </w:t>
      </w:r>
      <w:r>
        <w:rPr>
          <w:w w:val="115"/>
        </w:rPr>
        <w:t>of</w:t>
      </w:r>
      <w:r>
        <w:rPr>
          <w:spacing w:val="-7"/>
          <w:w w:val="115"/>
        </w:rPr>
        <w:t> </w:t>
      </w:r>
      <w:r>
        <w:rPr>
          <w:w w:val="115"/>
        </w:rPr>
        <w:t>equal</w:t>
      </w:r>
      <w:r>
        <w:rPr>
          <w:spacing w:val="-7"/>
          <w:w w:val="115"/>
        </w:rPr>
        <w:t> </w:t>
      </w:r>
      <w:r>
        <w:rPr>
          <w:w w:val="115"/>
        </w:rPr>
        <w:t>pay</w:t>
      </w:r>
      <w:r>
        <w:rPr>
          <w:spacing w:val="-7"/>
          <w:w w:val="115"/>
        </w:rPr>
        <w:t> </w:t>
      </w:r>
      <w:r>
        <w:rPr>
          <w:spacing w:val="-2"/>
          <w:w w:val="115"/>
        </w:rPr>
        <w:t>effective.</w:t>
      </w:r>
      <w:r>
        <w:rPr>
          <w:rFonts w:ascii="Lucida Sans Unicode"/>
          <w:spacing w:val="-2"/>
          <w:w w:val="115"/>
          <w:vertAlign w:val="superscript"/>
        </w:rPr>
        <w:t>267</w:t>
      </w:r>
    </w:p>
    <w:p>
      <w:pPr>
        <w:pStyle w:val="BodyText"/>
        <w:spacing w:line="268" w:lineRule="auto"/>
        <w:ind w:right="216"/>
      </w:pPr>
      <w:r>
        <w:rPr>
          <w:w w:val="110"/>
        </w:rPr>
        <w:t>The Court’s approach was based on </w:t>
      </w:r>
      <w:r>
        <w:rPr>
          <w:w w:val="115"/>
        </w:rPr>
        <w:t>an examination of the purpose of the</w:t>
      </w:r>
      <w:r>
        <w:rPr>
          <w:spacing w:val="-20"/>
          <w:w w:val="115"/>
        </w:rPr>
        <w:t> </w:t>
      </w:r>
      <w:r>
        <w:rPr>
          <w:w w:val="115"/>
        </w:rPr>
        <w:t>legislation</w:t>
      </w:r>
      <w:r>
        <w:rPr>
          <w:spacing w:val="-19"/>
          <w:w w:val="115"/>
        </w:rPr>
        <w:t> </w:t>
      </w:r>
      <w:r>
        <w:rPr>
          <w:w w:val="115"/>
        </w:rPr>
        <w:t>and</w:t>
      </w:r>
      <w:r>
        <w:rPr>
          <w:spacing w:val="-19"/>
          <w:w w:val="115"/>
        </w:rPr>
        <w:t> </w:t>
      </w:r>
      <w:r>
        <w:rPr>
          <w:w w:val="115"/>
        </w:rPr>
        <w:t>a</w:t>
      </w:r>
      <w:r>
        <w:rPr>
          <w:spacing w:val="-19"/>
          <w:w w:val="115"/>
        </w:rPr>
        <w:t> </w:t>
      </w:r>
      <w:r>
        <w:rPr>
          <w:w w:val="115"/>
        </w:rPr>
        <w:t>presumption</w:t>
      </w:r>
      <w:r>
        <w:rPr>
          <w:spacing w:val="-19"/>
          <w:w w:val="115"/>
        </w:rPr>
        <w:t> </w:t>
      </w:r>
      <w:r>
        <w:rPr>
          <w:w w:val="115"/>
        </w:rPr>
        <w:t>of</w:t>
      </w:r>
    </w:p>
    <w:p>
      <w:pPr>
        <w:pStyle w:val="BodyText"/>
        <w:spacing w:line="323" w:lineRule="exact"/>
        <w:rPr>
          <w:rFonts w:ascii="Lucida Sans Unicode"/>
        </w:rPr>
      </w:pPr>
      <w:r>
        <w:rPr>
          <w:w w:val="110"/>
        </w:rPr>
        <w:t>compliance</w:t>
      </w:r>
      <w:r>
        <w:rPr>
          <w:spacing w:val="16"/>
          <w:w w:val="110"/>
        </w:rPr>
        <w:t> </w:t>
      </w:r>
      <w:r>
        <w:rPr>
          <w:w w:val="110"/>
        </w:rPr>
        <w:t>with</w:t>
      </w:r>
      <w:r>
        <w:rPr>
          <w:spacing w:val="16"/>
          <w:w w:val="110"/>
        </w:rPr>
        <w:t> </w:t>
      </w:r>
      <w:r>
        <w:rPr>
          <w:w w:val="110"/>
        </w:rPr>
        <w:t>Treaty</w:t>
      </w:r>
      <w:r>
        <w:rPr>
          <w:spacing w:val="17"/>
          <w:w w:val="110"/>
        </w:rPr>
        <w:t> </w:t>
      </w:r>
      <w:r>
        <w:rPr>
          <w:spacing w:val="-2"/>
          <w:w w:val="110"/>
        </w:rPr>
        <w:t>obligations.</w:t>
      </w:r>
      <w:r>
        <w:rPr>
          <w:rFonts w:ascii="Lucida Sans Unicode"/>
          <w:spacing w:val="-2"/>
          <w:w w:val="110"/>
          <w:vertAlign w:val="superscript"/>
        </w:rPr>
        <w:t>268</w:t>
      </w:r>
    </w:p>
    <w:p>
      <w:pPr>
        <w:pStyle w:val="BodyText"/>
        <w:spacing w:line="237" w:lineRule="auto"/>
        <w:ind w:right="150"/>
      </w:pPr>
      <w:r>
        <w:rPr>
          <w:w w:val="110"/>
        </w:rPr>
        <w:t>In a similar vein, albeit in a </w:t>
      </w:r>
      <w:r>
        <w:rPr>
          <w:w w:val="110"/>
        </w:rPr>
        <w:t>different </w:t>
      </w:r>
      <w:r>
        <w:rPr>
          <w:rFonts w:ascii="Lucida Sans Unicode"/>
          <w:w w:val="110"/>
        </w:rPr>
        <w:t>field,</w:t>
      </w:r>
      <w:r>
        <w:rPr>
          <w:rFonts w:ascii="Lucida Sans Unicode"/>
          <w:spacing w:val="-13"/>
          <w:w w:val="110"/>
        </w:rPr>
        <w:t> </w:t>
      </w:r>
      <w:r>
        <w:rPr>
          <w:rFonts w:ascii="Lucida Sans Unicode"/>
          <w:w w:val="110"/>
        </w:rPr>
        <w:t>in</w:t>
      </w:r>
      <w:r>
        <w:rPr>
          <w:rFonts w:ascii="Lucida Sans Unicode"/>
          <w:spacing w:val="-13"/>
          <w:w w:val="110"/>
        </w:rPr>
        <w:t> </w:t>
      </w:r>
      <w:r>
        <w:rPr>
          <w:rFonts w:ascii="Verdana"/>
          <w:i/>
          <w:w w:val="110"/>
        </w:rPr>
        <w:t>Litster</w:t>
      </w:r>
      <w:r>
        <w:rPr>
          <w:w w:val="110"/>
        </w:rPr>
        <w:t>,</w:t>
      </w:r>
      <w:r>
        <w:rPr>
          <w:spacing w:val="-3"/>
          <w:w w:val="110"/>
        </w:rPr>
        <w:t> </w:t>
      </w:r>
      <w:r>
        <w:rPr>
          <w:w w:val="110"/>
        </w:rPr>
        <w:t>the</w:t>
      </w:r>
      <w:r>
        <w:rPr>
          <w:spacing w:val="-3"/>
          <w:w w:val="110"/>
        </w:rPr>
        <w:t> </w:t>
      </w:r>
      <w:r>
        <w:rPr>
          <w:w w:val="110"/>
        </w:rPr>
        <w:t>House</w:t>
      </w:r>
      <w:r>
        <w:rPr>
          <w:spacing w:val="-3"/>
          <w:w w:val="110"/>
        </w:rPr>
        <w:t> </w:t>
      </w:r>
      <w:r>
        <w:rPr>
          <w:w w:val="110"/>
        </w:rPr>
        <w:t>of</w:t>
      </w:r>
    </w:p>
    <w:p>
      <w:pPr>
        <w:pStyle w:val="BodyText"/>
        <w:spacing w:line="255" w:lineRule="exact"/>
      </w:pPr>
      <w:r>
        <w:rPr>
          <w:w w:val="115"/>
        </w:rPr>
        <w:t>Lords</w:t>
      </w:r>
      <w:r>
        <w:rPr>
          <w:spacing w:val="-17"/>
          <w:w w:val="115"/>
        </w:rPr>
        <w:t> </w:t>
      </w:r>
      <w:r>
        <w:rPr>
          <w:w w:val="115"/>
        </w:rPr>
        <w:t>took</w:t>
      </w:r>
      <w:r>
        <w:rPr>
          <w:spacing w:val="-16"/>
          <w:w w:val="115"/>
        </w:rPr>
        <w:t> </w:t>
      </w:r>
      <w:r>
        <w:rPr>
          <w:w w:val="115"/>
        </w:rPr>
        <w:t>a</w:t>
      </w:r>
      <w:r>
        <w:rPr>
          <w:spacing w:val="-16"/>
          <w:w w:val="115"/>
        </w:rPr>
        <w:t> </w:t>
      </w:r>
      <w:r>
        <w:rPr>
          <w:w w:val="115"/>
        </w:rPr>
        <w:t>purposive</w:t>
      </w:r>
      <w:r>
        <w:rPr>
          <w:spacing w:val="-17"/>
          <w:w w:val="115"/>
        </w:rPr>
        <w:t> </w:t>
      </w:r>
      <w:r>
        <w:rPr>
          <w:w w:val="115"/>
        </w:rPr>
        <w:t>view</w:t>
      </w:r>
      <w:r>
        <w:rPr>
          <w:spacing w:val="-16"/>
          <w:w w:val="115"/>
        </w:rPr>
        <w:t> </w:t>
      </w:r>
      <w:r>
        <w:rPr>
          <w:spacing w:val="-5"/>
          <w:w w:val="115"/>
        </w:rPr>
        <w:t>of</w:t>
      </w:r>
    </w:p>
    <w:p>
      <w:pPr>
        <w:pStyle w:val="BodyText"/>
        <w:spacing w:line="310" w:lineRule="exact"/>
        <w:ind w:right="38"/>
        <w:rPr>
          <w:rFonts w:ascii="Lucida Sans Unicode" w:hAnsi="Lucida Sans Unicode"/>
        </w:rPr>
      </w:pPr>
      <w:r>
        <w:rPr>
          <w:w w:val="110"/>
        </w:rPr>
        <w:t>compensation following a collective redundancy, imposing on the transferee of the company the duty to pay compensation for unfair </w:t>
      </w:r>
      <w:r>
        <w:rPr>
          <w:w w:val="110"/>
        </w:rPr>
        <w:t>dismissal. This was done to ensure that the employees’ right not to be dismissed prior to the company’s transfer, as expressed in the (then) Business </w:t>
      </w:r>
      <w:r>
        <w:rPr>
          <w:rFonts w:ascii="Lucida Sans Unicode" w:hAnsi="Lucida Sans Unicode"/>
        </w:rPr>
        <w:t>Transfers Directive 77/187/ EEC, did</w:t>
      </w:r>
    </w:p>
    <w:p>
      <w:pPr>
        <w:pStyle w:val="BodyText"/>
        <w:spacing w:line="310" w:lineRule="exact" w:before="49"/>
        <w:ind w:right="259"/>
        <w:rPr>
          <w:rFonts w:ascii="Lucida Sans Unicode" w:hAnsi="Lucida Sans Unicode"/>
        </w:rPr>
      </w:pPr>
      <w:r>
        <w:rPr/>
        <w:br w:type="column"/>
      </w:r>
      <w:r>
        <w:rPr>
          <w:w w:val="110"/>
        </w:rPr>
        <w:t>not become simply ‘illusory’.</w:t>
      </w:r>
      <w:r>
        <w:rPr>
          <w:rFonts w:ascii="Lucida Sans Unicode" w:hAnsi="Lucida Sans Unicode"/>
          <w:w w:val="110"/>
          <w:vertAlign w:val="superscript"/>
        </w:rPr>
        <w:t>269</w:t>
      </w:r>
      <w:r>
        <w:rPr>
          <w:rFonts w:ascii="Lucida Sans Unicode" w:hAnsi="Lucida Sans Unicode"/>
          <w:w w:val="110"/>
          <w:vertAlign w:val="baseline"/>
        </w:rPr>
        <w:t> </w:t>
      </w:r>
      <w:r>
        <w:rPr>
          <w:w w:val="110"/>
          <w:vertAlign w:val="baseline"/>
        </w:rPr>
        <w:t>After the entry into force of the Charter, however, there was a discernible move in domestic law towards disapplication, rather than </w:t>
      </w:r>
      <w:r>
        <w:rPr>
          <w:w w:val="110"/>
          <w:vertAlign w:val="baseline"/>
        </w:rPr>
        <w:t>consistent </w:t>
      </w:r>
      <w:r>
        <w:rPr>
          <w:spacing w:val="-2"/>
          <w:w w:val="110"/>
          <w:vertAlign w:val="baseline"/>
        </w:rPr>
        <w:t>interpretation.</w:t>
      </w:r>
      <w:r>
        <w:rPr>
          <w:rFonts w:ascii="Lucida Sans Unicode" w:hAnsi="Lucida Sans Unicode"/>
          <w:spacing w:val="-2"/>
          <w:w w:val="110"/>
          <w:vertAlign w:val="superscript"/>
        </w:rPr>
        <w:t>270</w:t>
      </w:r>
    </w:p>
    <w:p>
      <w:pPr>
        <w:pStyle w:val="BodyText"/>
        <w:spacing w:line="266" w:lineRule="auto" w:before="323"/>
        <w:ind w:right="317"/>
      </w:pPr>
      <w:r>
        <w:rPr>
          <w:w w:val="115"/>
        </w:rPr>
        <w:t>The domestic preference for disapplication</w:t>
      </w:r>
      <w:r>
        <w:rPr>
          <w:spacing w:val="-11"/>
          <w:w w:val="115"/>
        </w:rPr>
        <w:t> </w:t>
      </w:r>
      <w:r>
        <w:rPr>
          <w:w w:val="115"/>
        </w:rPr>
        <w:t>is</w:t>
      </w:r>
      <w:r>
        <w:rPr>
          <w:spacing w:val="-11"/>
          <w:w w:val="115"/>
        </w:rPr>
        <w:t> </w:t>
      </w:r>
      <w:r>
        <w:rPr>
          <w:w w:val="115"/>
        </w:rPr>
        <w:t>evident</w:t>
      </w:r>
      <w:r>
        <w:rPr>
          <w:spacing w:val="-11"/>
          <w:w w:val="115"/>
        </w:rPr>
        <w:t> </w:t>
      </w:r>
      <w:r>
        <w:rPr>
          <w:w w:val="115"/>
        </w:rPr>
        <w:t>from</w:t>
      </w:r>
      <w:r>
        <w:rPr>
          <w:spacing w:val="-11"/>
          <w:w w:val="115"/>
        </w:rPr>
        <w:t> </w:t>
      </w:r>
      <w:r>
        <w:rPr>
          <w:w w:val="115"/>
        </w:rPr>
        <w:t>cases </w:t>
      </w:r>
      <w:r>
        <w:rPr>
          <w:w w:val="110"/>
        </w:rPr>
        <w:t>like </w:t>
      </w:r>
      <w:r>
        <w:rPr>
          <w:rFonts w:ascii="Verdana" w:hAnsi="Verdana"/>
          <w:i/>
          <w:w w:val="110"/>
        </w:rPr>
        <w:t>Vidal-Hall</w:t>
      </w:r>
      <w:r>
        <w:rPr>
          <w:rFonts w:ascii="Verdana" w:hAnsi="Verdana"/>
          <w:i/>
          <w:spacing w:val="-18"/>
          <w:w w:val="110"/>
        </w:rPr>
        <w:t> </w:t>
      </w:r>
      <w:r>
        <w:rPr>
          <w:w w:val="110"/>
        </w:rPr>
        <w:t>– a case concerning </w:t>
      </w:r>
      <w:r>
        <w:rPr>
          <w:w w:val="115"/>
        </w:rPr>
        <w:t>the</w:t>
      </w:r>
      <w:r>
        <w:rPr>
          <w:spacing w:val="-15"/>
          <w:w w:val="115"/>
        </w:rPr>
        <w:t> </w:t>
      </w:r>
      <w:r>
        <w:rPr>
          <w:w w:val="115"/>
        </w:rPr>
        <w:t>collection</w:t>
      </w:r>
      <w:r>
        <w:rPr>
          <w:spacing w:val="-15"/>
          <w:w w:val="115"/>
        </w:rPr>
        <w:t> </w:t>
      </w:r>
      <w:r>
        <w:rPr>
          <w:w w:val="115"/>
        </w:rPr>
        <w:t>and</w:t>
      </w:r>
      <w:r>
        <w:rPr>
          <w:spacing w:val="-15"/>
          <w:w w:val="115"/>
        </w:rPr>
        <w:t> </w:t>
      </w:r>
      <w:r>
        <w:rPr>
          <w:w w:val="115"/>
        </w:rPr>
        <w:t>storing</w:t>
      </w:r>
      <w:r>
        <w:rPr>
          <w:spacing w:val="-15"/>
          <w:w w:val="115"/>
        </w:rPr>
        <w:t> </w:t>
      </w:r>
      <w:r>
        <w:rPr>
          <w:w w:val="115"/>
        </w:rPr>
        <w:t>of</w:t>
      </w:r>
      <w:r>
        <w:rPr>
          <w:spacing w:val="-15"/>
          <w:w w:val="115"/>
        </w:rPr>
        <w:t> </w:t>
      </w:r>
      <w:r>
        <w:rPr>
          <w:w w:val="115"/>
        </w:rPr>
        <w:t>cookies by</w:t>
      </w:r>
      <w:r>
        <w:rPr>
          <w:spacing w:val="-15"/>
          <w:w w:val="115"/>
        </w:rPr>
        <w:t> </w:t>
      </w:r>
      <w:r>
        <w:rPr>
          <w:w w:val="115"/>
        </w:rPr>
        <w:t>Google</w:t>
      </w:r>
      <w:r>
        <w:rPr>
          <w:spacing w:val="-15"/>
          <w:w w:val="115"/>
        </w:rPr>
        <w:t> </w:t>
      </w:r>
      <w:r>
        <w:rPr>
          <w:w w:val="115"/>
        </w:rPr>
        <w:t>for</w:t>
      </w:r>
      <w:r>
        <w:rPr>
          <w:spacing w:val="-15"/>
          <w:w w:val="115"/>
        </w:rPr>
        <w:t> </w:t>
      </w:r>
      <w:r>
        <w:rPr>
          <w:w w:val="115"/>
        </w:rPr>
        <w:t>advertising</w:t>
      </w:r>
      <w:r>
        <w:rPr>
          <w:spacing w:val="-15"/>
          <w:w w:val="115"/>
        </w:rPr>
        <w:t> </w:t>
      </w:r>
      <w:r>
        <w:rPr>
          <w:w w:val="115"/>
        </w:rPr>
        <w:t>purposes.</w:t>
      </w:r>
    </w:p>
    <w:p>
      <w:pPr>
        <w:pStyle w:val="BodyText"/>
        <w:spacing w:line="230" w:lineRule="auto" w:before="9"/>
        <w:ind w:right="471"/>
      </w:pPr>
      <w:r>
        <w:rPr>
          <w:w w:val="110"/>
        </w:rPr>
        <w:t>In</w:t>
      </w:r>
      <w:r>
        <w:rPr>
          <w:spacing w:val="40"/>
          <w:w w:val="110"/>
        </w:rPr>
        <w:t> </w:t>
      </w:r>
      <w:r>
        <w:rPr>
          <w:w w:val="110"/>
        </w:rPr>
        <w:t>that</w:t>
      </w:r>
      <w:r>
        <w:rPr>
          <w:spacing w:val="40"/>
          <w:w w:val="110"/>
        </w:rPr>
        <w:t> </w:t>
      </w:r>
      <w:r>
        <w:rPr>
          <w:w w:val="110"/>
        </w:rPr>
        <w:t>case,</w:t>
      </w:r>
      <w:r>
        <w:rPr>
          <w:spacing w:val="40"/>
          <w:w w:val="110"/>
        </w:rPr>
        <w:t> </w:t>
      </w:r>
      <w:r>
        <w:rPr>
          <w:w w:val="110"/>
        </w:rPr>
        <w:t>the</w:t>
      </w:r>
      <w:r>
        <w:rPr>
          <w:spacing w:val="40"/>
          <w:w w:val="110"/>
        </w:rPr>
        <w:t> </w:t>
      </w:r>
      <w:r>
        <w:rPr>
          <w:w w:val="110"/>
        </w:rPr>
        <w:t>Court</w:t>
      </w:r>
      <w:r>
        <w:rPr>
          <w:spacing w:val="40"/>
          <w:w w:val="110"/>
        </w:rPr>
        <w:t> </w:t>
      </w:r>
      <w:r>
        <w:rPr>
          <w:w w:val="110"/>
        </w:rPr>
        <w:t>of</w:t>
      </w:r>
      <w:r>
        <w:rPr>
          <w:spacing w:val="40"/>
          <w:w w:val="110"/>
        </w:rPr>
        <w:t> </w:t>
      </w:r>
      <w:r>
        <w:rPr>
          <w:w w:val="110"/>
        </w:rPr>
        <w:t>Appeal </w:t>
      </w:r>
      <w:r>
        <w:rPr>
          <w:rFonts w:ascii="Lucida Sans Unicode"/>
          <w:w w:val="110"/>
        </w:rPr>
        <w:t>of</w:t>
      </w:r>
      <w:r>
        <w:rPr>
          <w:rFonts w:ascii="Lucida Sans Unicode"/>
          <w:spacing w:val="-21"/>
          <w:w w:val="110"/>
        </w:rPr>
        <w:t> </w:t>
      </w:r>
      <w:r>
        <w:rPr>
          <w:rFonts w:ascii="Lucida Sans Unicode"/>
          <w:w w:val="110"/>
        </w:rPr>
        <w:t>England</w:t>
      </w:r>
      <w:r>
        <w:rPr>
          <w:rFonts w:ascii="Lucida Sans Unicode"/>
          <w:spacing w:val="-21"/>
          <w:w w:val="110"/>
        </w:rPr>
        <w:t> </w:t>
      </w:r>
      <w:r>
        <w:rPr>
          <w:rFonts w:ascii="Lucida Sans Unicode"/>
          <w:w w:val="110"/>
        </w:rPr>
        <w:t>and</w:t>
      </w:r>
      <w:r>
        <w:rPr>
          <w:rFonts w:ascii="Lucida Sans Unicode"/>
          <w:spacing w:val="-21"/>
          <w:w w:val="110"/>
        </w:rPr>
        <w:t> </w:t>
      </w:r>
      <w:r>
        <w:rPr>
          <w:rFonts w:ascii="Lucida Sans Unicode"/>
          <w:w w:val="110"/>
        </w:rPr>
        <w:t>Wales</w:t>
      </w:r>
      <w:r>
        <w:rPr>
          <w:rFonts w:ascii="Lucida Sans Unicode"/>
          <w:spacing w:val="-21"/>
          <w:w w:val="110"/>
        </w:rPr>
        <w:t> </w:t>
      </w:r>
      <w:r>
        <w:rPr>
          <w:rFonts w:ascii="Lucida Sans Unicode"/>
          <w:w w:val="110"/>
        </w:rPr>
        <w:t>confirmed </w:t>
      </w:r>
      <w:r>
        <w:rPr>
          <w:w w:val="110"/>
        </w:rPr>
        <w:t>that, as primary EU law, exactly </w:t>
      </w:r>
      <w:r>
        <w:rPr>
          <w:w w:val="110"/>
        </w:rPr>
        <w:t>the</w:t>
      </w:r>
    </w:p>
    <w:p>
      <w:pPr>
        <w:pStyle w:val="BodyText"/>
        <w:spacing w:line="266" w:lineRule="auto" w:before="38"/>
        <w:ind w:right="372"/>
      </w:pPr>
      <w:r>
        <w:rPr>
          <w:w w:val="115"/>
        </w:rPr>
        <w:t>same principles of interpretation apply to the Charter as provisions</w:t>
      </w:r>
      <w:r>
        <w:rPr>
          <w:w w:val="115"/>
        </w:rPr>
        <w:t> </w:t>
      </w:r>
      <w:r>
        <w:rPr>
          <w:spacing w:val="-4"/>
          <w:w w:val="110"/>
        </w:rPr>
        <w:t>of</w:t>
      </w:r>
      <w:r>
        <w:rPr>
          <w:spacing w:val="-13"/>
          <w:w w:val="110"/>
        </w:rPr>
        <w:t> </w:t>
      </w:r>
      <w:r>
        <w:rPr>
          <w:spacing w:val="-4"/>
          <w:w w:val="110"/>
        </w:rPr>
        <w:t>the</w:t>
      </w:r>
      <w:r>
        <w:rPr>
          <w:spacing w:val="-7"/>
          <w:w w:val="110"/>
        </w:rPr>
        <w:t> </w:t>
      </w:r>
      <w:r>
        <w:rPr>
          <w:spacing w:val="-4"/>
          <w:w w:val="110"/>
        </w:rPr>
        <w:t>Treaties</w:t>
      </w:r>
      <w:r>
        <w:rPr>
          <w:rFonts w:ascii="Verdana" w:hAnsi="Verdana"/>
          <w:i/>
          <w:spacing w:val="-4"/>
          <w:w w:val="110"/>
        </w:rPr>
        <w:t>.</w:t>
      </w:r>
      <w:r>
        <w:rPr>
          <w:rFonts w:ascii="Verdana" w:hAnsi="Verdana"/>
          <w:i/>
          <w:spacing w:val="-4"/>
          <w:w w:val="110"/>
          <w:vertAlign w:val="superscript"/>
        </w:rPr>
        <w:t>271</w:t>
      </w:r>
      <w:r>
        <w:rPr>
          <w:rFonts w:ascii="Verdana" w:hAnsi="Verdana"/>
          <w:i/>
          <w:spacing w:val="-22"/>
          <w:w w:val="110"/>
          <w:vertAlign w:val="baseline"/>
        </w:rPr>
        <w:t> </w:t>
      </w:r>
      <w:r>
        <w:rPr>
          <w:spacing w:val="-4"/>
          <w:w w:val="110"/>
          <w:vertAlign w:val="baseline"/>
        </w:rPr>
        <w:t>However,</w:t>
      </w:r>
      <w:r>
        <w:rPr>
          <w:spacing w:val="-7"/>
          <w:w w:val="110"/>
          <w:vertAlign w:val="baseline"/>
        </w:rPr>
        <w:t> </w:t>
      </w:r>
      <w:r>
        <w:rPr>
          <w:spacing w:val="-4"/>
          <w:w w:val="110"/>
          <w:vertAlign w:val="baseline"/>
        </w:rPr>
        <w:t>the</w:t>
      </w:r>
      <w:r>
        <w:rPr>
          <w:spacing w:val="-8"/>
          <w:w w:val="110"/>
          <w:vertAlign w:val="baseline"/>
        </w:rPr>
        <w:t> </w:t>
      </w:r>
      <w:r>
        <w:rPr>
          <w:spacing w:val="-4"/>
          <w:w w:val="110"/>
          <w:vertAlign w:val="baseline"/>
        </w:rPr>
        <w:t>Court </w:t>
      </w:r>
      <w:r>
        <w:rPr>
          <w:w w:val="115"/>
          <w:vertAlign w:val="baseline"/>
        </w:rPr>
        <w:t>of Appeal found that the duty of consistent interpretation falls short of</w:t>
      </w:r>
      <w:r>
        <w:rPr>
          <w:spacing w:val="-7"/>
          <w:w w:val="115"/>
          <w:vertAlign w:val="baseline"/>
        </w:rPr>
        <w:t> </w:t>
      </w:r>
      <w:r>
        <w:rPr>
          <w:w w:val="115"/>
          <w:vertAlign w:val="baseline"/>
        </w:rPr>
        <w:t>interpretation</w:t>
      </w:r>
      <w:r>
        <w:rPr>
          <w:spacing w:val="-7"/>
          <w:w w:val="115"/>
          <w:vertAlign w:val="baseline"/>
        </w:rPr>
        <w:t> </w:t>
      </w:r>
      <w:r>
        <w:rPr>
          <w:w w:val="115"/>
          <w:vertAlign w:val="baseline"/>
        </w:rPr>
        <w:t>that</w:t>
      </w:r>
      <w:r>
        <w:rPr>
          <w:spacing w:val="-7"/>
          <w:w w:val="115"/>
          <w:vertAlign w:val="baseline"/>
        </w:rPr>
        <w:t> </w:t>
      </w:r>
      <w:r>
        <w:rPr>
          <w:w w:val="115"/>
          <w:vertAlign w:val="baseline"/>
        </w:rPr>
        <w:t>is</w:t>
      </w:r>
      <w:r>
        <w:rPr>
          <w:spacing w:val="-7"/>
          <w:w w:val="115"/>
          <w:vertAlign w:val="baseline"/>
        </w:rPr>
        <w:t> </w:t>
      </w:r>
      <w:r>
        <w:rPr>
          <w:w w:val="115"/>
          <w:vertAlign w:val="baseline"/>
        </w:rPr>
        <w:t>‘inconsistent with a fundamental feature of the</w:t>
      </w:r>
    </w:p>
    <w:p>
      <w:pPr>
        <w:pStyle w:val="BodyText"/>
        <w:spacing w:line="225" w:lineRule="auto"/>
        <w:ind w:right="242"/>
      </w:pPr>
      <w:r>
        <w:rPr>
          <w:w w:val="110"/>
        </w:rPr>
        <w:t>legislation’</w:t>
      </w:r>
      <w:r>
        <w:rPr>
          <w:rFonts w:ascii="Lucida Sans Unicode" w:hAnsi="Lucida Sans Unicode"/>
          <w:w w:val="110"/>
          <w:vertAlign w:val="superscript"/>
        </w:rPr>
        <w:t>272</w:t>
      </w:r>
      <w:r>
        <w:rPr>
          <w:rFonts w:ascii="Lucida Sans Unicode" w:hAnsi="Lucida Sans Unicode"/>
          <w:spacing w:val="-12"/>
          <w:w w:val="110"/>
          <w:vertAlign w:val="baseline"/>
        </w:rPr>
        <w:t> </w:t>
      </w:r>
      <w:r>
        <w:rPr>
          <w:w w:val="110"/>
          <w:vertAlign w:val="baseline"/>
        </w:rPr>
        <w:t>–</w:t>
      </w:r>
      <w:r>
        <w:rPr>
          <w:spacing w:val="-2"/>
          <w:w w:val="110"/>
          <w:vertAlign w:val="baseline"/>
        </w:rPr>
        <w:t> </w:t>
      </w:r>
      <w:r>
        <w:rPr>
          <w:w w:val="110"/>
          <w:vertAlign w:val="baseline"/>
        </w:rPr>
        <w:t>a</w:t>
      </w:r>
      <w:r>
        <w:rPr>
          <w:spacing w:val="-2"/>
          <w:w w:val="110"/>
          <w:vertAlign w:val="baseline"/>
        </w:rPr>
        <w:t> </w:t>
      </w:r>
      <w:r>
        <w:rPr>
          <w:w w:val="110"/>
          <w:vertAlign w:val="baseline"/>
        </w:rPr>
        <w:t>limitation</w:t>
      </w:r>
      <w:r>
        <w:rPr>
          <w:spacing w:val="-2"/>
          <w:w w:val="110"/>
          <w:vertAlign w:val="baseline"/>
        </w:rPr>
        <w:t> </w:t>
      </w:r>
      <w:r>
        <w:rPr>
          <w:w w:val="110"/>
          <w:vertAlign w:val="baseline"/>
        </w:rPr>
        <w:t>applicable </w:t>
      </w:r>
      <w:r>
        <w:rPr>
          <w:w w:val="115"/>
          <w:vertAlign w:val="baseline"/>
        </w:rPr>
        <w:t>to the interpretive duty under the</w:t>
      </w:r>
    </w:p>
    <w:p>
      <w:pPr>
        <w:spacing w:line="237" w:lineRule="auto" w:before="23"/>
        <w:ind w:left="113" w:right="161" w:firstLine="0"/>
        <w:jc w:val="left"/>
        <w:rPr>
          <w:rFonts w:ascii="Verdana" w:hAnsi="Verdana"/>
          <w:i/>
          <w:sz w:val="24"/>
        </w:rPr>
      </w:pPr>
      <w:r>
        <w:rPr>
          <w:w w:val="110"/>
          <w:sz w:val="24"/>
        </w:rPr>
        <w:t>HRA since the (then) House of Lords’ </w:t>
      </w:r>
      <w:r>
        <w:rPr>
          <w:sz w:val="24"/>
        </w:rPr>
        <w:t>ruling in </w:t>
      </w:r>
      <w:r>
        <w:rPr>
          <w:rFonts w:ascii="Verdana" w:hAnsi="Verdana"/>
          <w:i/>
          <w:sz w:val="24"/>
        </w:rPr>
        <w:t>Ghaidan</w:t>
      </w:r>
      <w:r>
        <w:rPr>
          <w:rFonts w:ascii="Verdana" w:hAnsi="Verdana"/>
          <w:i/>
          <w:spacing w:val="-10"/>
          <w:sz w:val="24"/>
        </w:rPr>
        <w:t> </w:t>
      </w:r>
      <w:r>
        <w:rPr>
          <w:rFonts w:ascii="Verdana" w:hAnsi="Verdana"/>
          <w:i/>
          <w:sz w:val="24"/>
        </w:rPr>
        <w:t>v</w:t>
      </w:r>
      <w:r>
        <w:rPr>
          <w:rFonts w:ascii="Verdana" w:hAnsi="Verdana"/>
          <w:i/>
          <w:spacing w:val="-10"/>
          <w:sz w:val="24"/>
        </w:rPr>
        <w:t> </w:t>
      </w:r>
      <w:r>
        <w:rPr>
          <w:rFonts w:ascii="Verdana" w:hAnsi="Verdana"/>
          <w:i/>
          <w:sz w:val="24"/>
        </w:rPr>
        <w:t>Godin-Mendoza</w:t>
      </w:r>
      <w:r>
        <w:rPr>
          <w:sz w:val="24"/>
        </w:rPr>
        <w:t>.</w:t>
      </w:r>
      <w:r>
        <w:rPr>
          <w:rFonts w:ascii="Lucida Sans Unicode" w:hAnsi="Lucida Sans Unicode"/>
          <w:sz w:val="24"/>
          <w:vertAlign w:val="superscript"/>
        </w:rPr>
        <w:t>273</w:t>
      </w:r>
      <w:r>
        <w:rPr>
          <w:rFonts w:ascii="Lucida Sans Unicode" w:hAnsi="Lucida Sans Unicode"/>
          <w:sz w:val="24"/>
          <w:vertAlign w:val="baseline"/>
        </w:rPr>
        <w:t> </w:t>
      </w:r>
      <w:r>
        <w:rPr>
          <w:w w:val="110"/>
          <w:sz w:val="24"/>
          <w:vertAlign w:val="baseline"/>
        </w:rPr>
        <w:t>Cognisant of the possibility of disapplication, the court in </w:t>
      </w:r>
      <w:r>
        <w:rPr>
          <w:rFonts w:ascii="Verdana" w:hAnsi="Verdana"/>
          <w:i/>
          <w:w w:val="110"/>
          <w:sz w:val="24"/>
          <w:vertAlign w:val="baseline"/>
        </w:rPr>
        <w:t>Vidal-</w:t>
      </w:r>
    </w:p>
    <w:p>
      <w:pPr>
        <w:pStyle w:val="BodyText"/>
        <w:spacing w:line="259" w:lineRule="auto" w:before="21"/>
        <w:ind w:right="317"/>
        <w:rPr>
          <w:rFonts w:ascii="Lucida Sans Unicode"/>
        </w:rPr>
      </w:pPr>
      <w:r>
        <w:rPr>
          <w:rFonts w:ascii="Verdana"/>
          <w:i/>
          <w:w w:val="110"/>
        </w:rPr>
        <w:t>Hall </w:t>
      </w:r>
      <w:r>
        <w:rPr>
          <w:w w:val="110"/>
        </w:rPr>
        <w:t>read this limitation into the EU law duty of consistent </w:t>
      </w:r>
      <w:r>
        <w:rPr>
          <w:w w:val="110"/>
        </w:rPr>
        <w:t>interpretation and,</w:t>
      </w:r>
      <w:r>
        <w:rPr>
          <w:spacing w:val="35"/>
          <w:w w:val="110"/>
        </w:rPr>
        <w:t> </w:t>
      </w:r>
      <w:r>
        <w:rPr>
          <w:w w:val="110"/>
        </w:rPr>
        <w:t>for</w:t>
      </w:r>
      <w:r>
        <w:rPr>
          <w:spacing w:val="35"/>
          <w:w w:val="110"/>
        </w:rPr>
        <w:t> </w:t>
      </w:r>
      <w:r>
        <w:rPr>
          <w:w w:val="110"/>
        </w:rPr>
        <w:t>this</w:t>
      </w:r>
      <w:r>
        <w:rPr>
          <w:spacing w:val="35"/>
          <w:w w:val="110"/>
        </w:rPr>
        <w:t> </w:t>
      </w:r>
      <w:r>
        <w:rPr>
          <w:w w:val="110"/>
        </w:rPr>
        <w:t>reason,</w:t>
      </w:r>
      <w:r>
        <w:rPr>
          <w:spacing w:val="35"/>
          <w:w w:val="110"/>
        </w:rPr>
        <w:t> </w:t>
      </w:r>
      <w:r>
        <w:rPr>
          <w:w w:val="110"/>
        </w:rPr>
        <w:t>did</w:t>
      </w:r>
      <w:r>
        <w:rPr>
          <w:spacing w:val="35"/>
          <w:w w:val="110"/>
        </w:rPr>
        <w:t> </w:t>
      </w:r>
      <w:r>
        <w:rPr>
          <w:w w:val="110"/>
        </w:rPr>
        <w:t>not</w:t>
      </w:r>
      <w:r>
        <w:rPr>
          <w:spacing w:val="35"/>
          <w:w w:val="110"/>
        </w:rPr>
        <w:t> </w:t>
      </w:r>
      <w:r>
        <w:rPr>
          <w:w w:val="110"/>
        </w:rPr>
        <w:t>go</w:t>
      </w:r>
      <w:r>
        <w:rPr>
          <w:spacing w:val="35"/>
          <w:w w:val="110"/>
        </w:rPr>
        <w:t> </w:t>
      </w:r>
      <w:r>
        <w:rPr>
          <w:w w:val="110"/>
        </w:rPr>
        <w:t>on </w:t>
      </w:r>
      <w:r>
        <w:rPr>
          <w:rFonts w:ascii="Lucida Sans Unicode"/>
        </w:rPr>
        <w:t>to read down sections 13(2)(a) and</w:t>
      </w:r>
    </w:p>
    <w:p>
      <w:pPr>
        <w:pStyle w:val="BodyText"/>
        <w:spacing w:line="222" w:lineRule="exact"/>
      </w:pPr>
      <w:r>
        <w:rPr>
          <w:w w:val="115"/>
        </w:rPr>
        <w:t>(b)</w:t>
      </w:r>
      <w:r>
        <w:rPr>
          <w:spacing w:val="-3"/>
          <w:w w:val="115"/>
        </w:rPr>
        <w:t> </w:t>
      </w:r>
      <w:r>
        <w:rPr>
          <w:w w:val="115"/>
        </w:rPr>
        <w:t>of</w:t>
      </w:r>
      <w:r>
        <w:rPr>
          <w:spacing w:val="-3"/>
          <w:w w:val="115"/>
        </w:rPr>
        <w:t> </w:t>
      </w:r>
      <w:r>
        <w:rPr>
          <w:w w:val="115"/>
        </w:rPr>
        <w:t>the</w:t>
      </w:r>
      <w:r>
        <w:rPr>
          <w:spacing w:val="-2"/>
          <w:w w:val="115"/>
        </w:rPr>
        <w:t> </w:t>
      </w:r>
      <w:r>
        <w:rPr>
          <w:w w:val="115"/>
        </w:rPr>
        <w:t>Data</w:t>
      </w:r>
      <w:r>
        <w:rPr>
          <w:spacing w:val="-3"/>
          <w:w w:val="115"/>
        </w:rPr>
        <w:t> </w:t>
      </w:r>
      <w:r>
        <w:rPr>
          <w:w w:val="115"/>
        </w:rPr>
        <w:t>Protection</w:t>
      </w:r>
      <w:r>
        <w:rPr>
          <w:spacing w:val="-2"/>
          <w:w w:val="115"/>
        </w:rPr>
        <w:t> </w:t>
      </w:r>
      <w:r>
        <w:rPr>
          <w:w w:val="115"/>
        </w:rPr>
        <w:t>Act</w:t>
      </w:r>
      <w:r>
        <w:rPr>
          <w:spacing w:val="-3"/>
          <w:w w:val="115"/>
        </w:rPr>
        <w:t> </w:t>
      </w:r>
      <w:r>
        <w:rPr>
          <w:spacing w:val="-5"/>
          <w:w w:val="115"/>
        </w:rPr>
        <w:t>in</w:t>
      </w:r>
    </w:p>
    <w:p>
      <w:pPr>
        <w:pStyle w:val="BodyText"/>
        <w:spacing w:line="310" w:lineRule="exact" w:before="11"/>
        <w:ind w:right="312"/>
      </w:pPr>
      <w:r>
        <w:rPr>
          <w:w w:val="110"/>
        </w:rPr>
        <w:t>order to comply with the protection</w:t>
      </w:r>
      <w:r>
        <w:rPr>
          <w:spacing w:val="80"/>
          <w:w w:val="110"/>
        </w:rPr>
        <w:t> </w:t>
      </w:r>
      <w:r>
        <w:rPr>
          <w:rFonts w:ascii="Lucida Sans Unicode"/>
          <w:spacing w:val="-2"/>
          <w:w w:val="110"/>
        </w:rPr>
        <w:t>of</w:t>
      </w:r>
      <w:r>
        <w:rPr>
          <w:rFonts w:ascii="Lucida Sans Unicode"/>
          <w:spacing w:val="-18"/>
          <w:w w:val="110"/>
        </w:rPr>
        <w:t> </w:t>
      </w:r>
      <w:r>
        <w:rPr>
          <w:rFonts w:ascii="Lucida Sans Unicode"/>
          <w:spacing w:val="-2"/>
          <w:w w:val="110"/>
        </w:rPr>
        <w:t>privacy</w:t>
      </w:r>
      <w:r>
        <w:rPr>
          <w:rFonts w:ascii="Lucida Sans Unicode"/>
          <w:spacing w:val="-18"/>
          <w:w w:val="110"/>
        </w:rPr>
        <w:t> </w:t>
      </w:r>
      <w:r>
        <w:rPr>
          <w:rFonts w:ascii="Lucida Sans Unicode"/>
          <w:spacing w:val="-2"/>
          <w:w w:val="110"/>
        </w:rPr>
        <w:t>enshrined</w:t>
      </w:r>
      <w:r>
        <w:rPr>
          <w:rFonts w:ascii="Lucida Sans Unicode"/>
          <w:spacing w:val="-18"/>
          <w:w w:val="110"/>
        </w:rPr>
        <w:t> </w:t>
      </w:r>
      <w:r>
        <w:rPr>
          <w:rFonts w:ascii="Lucida Sans Unicode"/>
          <w:spacing w:val="-2"/>
          <w:w w:val="110"/>
        </w:rPr>
        <w:t>in</w:t>
      </w:r>
      <w:r>
        <w:rPr>
          <w:rFonts w:ascii="Lucida Sans Unicode"/>
          <w:spacing w:val="-18"/>
          <w:w w:val="110"/>
        </w:rPr>
        <w:t> </w:t>
      </w:r>
      <w:r>
        <w:rPr>
          <w:rFonts w:ascii="Lucida Sans Unicode"/>
          <w:spacing w:val="-2"/>
          <w:w w:val="110"/>
        </w:rPr>
        <w:t>Article</w:t>
      </w:r>
      <w:r>
        <w:rPr>
          <w:rFonts w:ascii="Lucida Sans Unicode"/>
          <w:spacing w:val="-18"/>
          <w:w w:val="110"/>
        </w:rPr>
        <w:t> </w:t>
      </w:r>
      <w:r>
        <w:rPr>
          <w:rFonts w:ascii="Lucida Sans Unicode"/>
          <w:spacing w:val="-2"/>
          <w:w w:val="110"/>
        </w:rPr>
        <w:t>8</w:t>
      </w:r>
      <w:r>
        <w:rPr>
          <w:rFonts w:ascii="Lucida Sans Unicode"/>
          <w:spacing w:val="-18"/>
          <w:w w:val="110"/>
        </w:rPr>
        <w:t> </w:t>
      </w:r>
      <w:r>
        <w:rPr>
          <w:rFonts w:ascii="Lucida Sans Unicode"/>
          <w:spacing w:val="-2"/>
          <w:w w:val="110"/>
        </w:rPr>
        <w:t>of </w:t>
      </w:r>
      <w:r>
        <w:rPr>
          <w:w w:val="110"/>
        </w:rPr>
        <w:t>the EU Charter (the general </w:t>
      </w:r>
      <w:r>
        <w:rPr>
          <w:w w:val="110"/>
        </w:rPr>
        <w:t>principle of data protection), instead going</w:t>
      </w:r>
    </w:p>
    <w:p>
      <w:pPr>
        <w:spacing w:after="0" w:line="310" w:lineRule="exact"/>
        <w:sectPr>
          <w:type w:val="continuous"/>
          <w:pgSz w:w="11910" w:h="16840"/>
          <w:pgMar w:header="568" w:footer="580" w:top="0" w:bottom="280" w:left="1020" w:right="1020"/>
          <w:cols w:num="2" w:equalWidth="0">
            <w:col w:w="4712" w:space="334"/>
            <w:col w:w="4824"/>
          </w:cols>
        </w:sectPr>
      </w:pPr>
    </w:p>
    <w:p>
      <w:pPr>
        <w:pStyle w:val="BodyText"/>
        <w:spacing w:before="122"/>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170" name="Group 170"/>
                <wp:cNvGraphicFramePr>
                  <a:graphicFrameLocks/>
                </wp:cNvGraphicFramePr>
                <a:graphic>
                  <a:graphicData uri="http://schemas.microsoft.com/office/word/2010/wordprocessingGroup">
                    <wpg:wgp>
                      <wpg:cNvPr id="170" name="Group 170"/>
                      <wpg:cNvGrpSpPr/>
                      <wpg:grpSpPr>
                        <a:xfrm>
                          <a:off x="0" y="0"/>
                          <a:ext cx="6120130" cy="6350"/>
                          <a:chExt cx="6120130" cy="6350"/>
                        </a:xfrm>
                      </wpg:grpSpPr>
                      <wps:wsp>
                        <wps:cNvPr id="171" name="Graphic 171"/>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104"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14"/>
        </w:numPr>
        <w:tabs>
          <w:tab w:pos="565" w:val="left" w:leader="none"/>
        </w:tabs>
        <w:spacing w:line="223" w:lineRule="exact" w:before="61" w:after="0"/>
        <w:ind w:left="565" w:right="0" w:hanging="452"/>
        <w:jc w:val="left"/>
        <w:rPr>
          <w:sz w:val="16"/>
        </w:rPr>
      </w:pPr>
      <w:r>
        <w:rPr>
          <w:rFonts w:ascii="Verdana"/>
          <w:i/>
          <w:sz w:val="16"/>
        </w:rPr>
        <w:t>Litster</w:t>
      </w:r>
      <w:r>
        <w:rPr>
          <w:rFonts w:ascii="Verdana"/>
          <w:i/>
          <w:spacing w:val="-8"/>
          <w:sz w:val="16"/>
        </w:rPr>
        <w:t> </w:t>
      </w:r>
      <w:r>
        <w:rPr>
          <w:rFonts w:ascii="Verdana"/>
          <w:i/>
          <w:sz w:val="16"/>
        </w:rPr>
        <w:t>v</w:t>
      </w:r>
      <w:r>
        <w:rPr>
          <w:rFonts w:ascii="Verdana"/>
          <w:i/>
          <w:spacing w:val="-7"/>
          <w:sz w:val="16"/>
        </w:rPr>
        <w:t> </w:t>
      </w:r>
      <w:r>
        <w:rPr>
          <w:rFonts w:ascii="Verdana"/>
          <w:i/>
          <w:sz w:val="16"/>
        </w:rPr>
        <w:t>Forth</w:t>
      </w:r>
      <w:r>
        <w:rPr>
          <w:rFonts w:ascii="Verdana"/>
          <w:i/>
          <w:spacing w:val="-7"/>
          <w:sz w:val="16"/>
        </w:rPr>
        <w:t> </w:t>
      </w:r>
      <w:r>
        <w:rPr>
          <w:rFonts w:ascii="Verdana"/>
          <w:i/>
          <w:sz w:val="16"/>
        </w:rPr>
        <w:t>Dry</w:t>
      </w:r>
      <w:r>
        <w:rPr>
          <w:rFonts w:ascii="Verdana"/>
          <w:i/>
          <w:spacing w:val="-7"/>
          <w:sz w:val="16"/>
        </w:rPr>
        <w:t> </w:t>
      </w:r>
      <w:r>
        <w:rPr>
          <w:rFonts w:ascii="Verdana"/>
          <w:i/>
          <w:sz w:val="16"/>
        </w:rPr>
        <w:t>Dock</w:t>
      </w:r>
      <w:r>
        <w:rPr>
          <w:rFonts w:ascii="Verdana"/>
          <w:i/>
          <w:spacing w:val="-8"/>
          <w:sz w:val="16"/>
        </w:rPr>
        <w:t> </w:t>
      </w:r>
      <w:r>
        <w:rPr>
          <w:rFonts w:ascii="Verdana"/>
          <w:i/>
          <w:sz w:val="16"/>
        </w:rPr>
        <w:t>and</w:t>
      </w:r>
      <w:r>
        <w:rPr>
          <w:rFonts w:ascii="Verdana"/>
          <w:i/>
          <w:spacing w:val="-7"/>
          <w:sz w:val="16"/>
        </w:rPr>
        <w:t> </w:t>
      </w:r>
      <w:r>
        <w:rPr>
          <w:rFonts w:ascii="Verdana"/>
          <w:i/>
          <w:sz w:val="16"/>
        </w:rPr>
        <w:t>Engineering</w:t>
      </w:r>
      <w:r>
        <w:rPr>
          <w:rFonts w:ascii="Verdana"/>
          <w:i/>
          <w:spacing w:val="-7"/>
          <w:sz w:val="16"/>
        </w:rPr>
        <w:t> </w:t>
      </w:r>
      <w:r>
        <w:rPr>
          <w:rFonts w:ascii="Verdana"/>
          <w:i/>
          <w:sz w:val="16"/>
        </w:rPr>
        <w:t>Co</w:t>
      </w:r>
      <w:r>
        <w:rPr>
          <w:rFonts w:ascii="Verdana"/>
          <w:i/>
          <w:spacing w:val="-7"/>
          <w:sz w:val="16"/>
        </w:rPr>
        <w:t> </w:t>
      </w:r>
      <w:r>
        <w:rPr>
          <w:rFonts w:ascii="Verdana"/>
          <w:i/>
          <w:sz w:val="16"/>
        </w:rPr>
        <w:t>Ltd</w:t>
      </w:r>
      <w:r>
        <w:rPr>
          <w:rFonts w:ascii="Verdana"/>
          <w:i/>
          <w:spacing w:val="-8"/>
          <w:sz w:val="16"/>
        </w:rPr>
        <w:t> </w:t>
      </w:r>
      <w:r>
        <w:rPr>
          <w:sz w:val="16"/>
        </w:rPr>
        <w:t>[1988]</w:t>
      </w:r>
      <w:r>
        <w:rPr>
          <w:spacing w:val="-1"/>
          <w:sz w:val="16"/>
        </w:rPr>
        <w:t> </w:t>
      </w:r>
      <w:r>
        <w:rPr>
          <w:sz w:val="16"/>
        </w:rPr>
        <w:t>UKHL</w:t>
      </w:r>
      <w:r>
        <w:rPr>
          <w:spacing w:val="-1"/>
          <w:sz w:val="16"/>
        </w:rPr>
        <w:t> </w:t>
      </w:r>
      <w:r>
        <w:rPr>
          <w:sz w:val="16"/>
        </w:rPr>
        <w:t>10;</w:t>
      </w:r>
      <w:r>
        <w:rPr>
          <w:spacing w:val="-1"/>
          <w:sz w:val="16"/>
        </w:rPr>
        <w:t> </w:t>
      </w:r>
      <w:r>
        <w:rPr>
          <w:rFonts w:ascii="Verdana"/>
          <w:i/>
          <w:sz w:val="16"/>
        </w:rPr>
        <w:t>Pickstone</w:t>
      </w:r>
      <w:r>
        <w:rPr>
          <w:rFonts w:ascii="Verdana"/>
          <w:i/>
          <w:spacing w:val="-8"/>
          <w:sz w:val="16"/>
        </w:rPr>
        <w:t> </w:t>
      </w:r>
      <w:r>
        <w:rPr>
          <w:rFonts w:ascii="Verdana"/>
          <w:i/>
          <w:sz w:val="16"/>
        </w:rPr>
        <w:t>v</w:t>
      </w:r>
      <w:r>
        <w:rPr>
          <w:rFonts w:ascii="Verdana"/>
          <w:i/>
          <w:spacing w:val="-7"/>
          <w:sz w:val="16"/>
        </w:rPr>
        <w:t> </w:t>
      </w:r>
      <w:r>
        <w:rPr>
          <w:rFonts w:ascii="Verdana"/>
          <w:i/>
          <w:sz w:val="16"/>
        </w:rPr>
        <w:t>Freemans</w:t>
      </w:r>
      <w:r>
        <w:rPr>
          <w:rFonts w:ascii="Verdana"/>
          <w:i/>
          <w:spacing w:val="-7"/>
          <w:sz w:val="16"/>
        </w:rPr>
        <w:t> </w:t>
      </w:r>
      <w:r>
        <w:rPr>
          <w:rFonts w:ascii="Verdana"/>
          <w:i/>
          <w:sz w:val="16"/>
        </w:rPr>
        <w:t>Plc</w:t>
      </w:r>
      <w:r>
        <w:rPr>
          <w:rFonts w:ascii="Verdana"/>
          <w:i/>
          <w:spacing w:val="-7"/>
          <w:sz w:val="16"/>
        </w:rPr>
        <w:t> </w:t>
      </w:r>
      <w:r>
        <w:rPr>
          <w:sz w:val="16"/>
        </w:rPr>
        <w:t>[1988]</w:t>
      </w:r>
      <w:r>
        <w:rPr>
          <w:spacing w:val="-2"/>
          <w:sz w:val="16"/>
        </w:rPr>
        <w:t> </w:t>
      </w:r>
      <w:r>
        <w:rPr>
          <w:sz w:val="16"/>
        </w:rPr>
        <w:t>UKHL</w:t>
      </w:r>
      <w:r>
        <w:rPr>
          <w:spacing w:val="-1"/>
          <w:sz w:val="16"/>
        </w:rPr>
        <w:t> </w:t>
      </w:r>
      <w:r>
        <w:rPr>
          <w:spacing w:val="-5"/>
          <w:sz w:val="16"/>
        </w:rPr>
        <w:t>2.</w:t>
      </w:r>
    </w:p>
    <w:p>
      <w:pPr>
        <w:pStyle w:val="ListParagraph"/>
        <w:numPr>
          <w:ilvl w:val="0"/>
          <w:numId w:val="14"/>
        </w:numPr>
        <w:tabs>
          <w:tab w:pos="565" w:val="left" w:leader="none"/>
        </w:tabs>
        <w:spacing w:line="200" w:lineRule="exact" w:before="0" w:after="0"/>
        <w:ind w:left="565" w:right="0" w:hanging="452"/>
        <w:jc w:val="left"/>
        <w:rPr>
          <w:sz w:val="16"/>
        </w:rPr>
      </w:pPr>
      <w:r>
        <w:rPr>
          <w:rFonts w:ascii="Verdana" w:hAnsi="Verdana"/>
          <w:i/>
          <w:sz w:val="16"/>
        </w:rPr>
        <w:t>Pickstone,</w:t>
      </w:r>
      <w:r>
        <w:rPr>
          <w:rFonts w:ascii="Verdana" w:hAnsi="Verdana"/>
          <w:i/>
          <w:spacing w:val="-7"/>
          <w:sz w:val="16"/>
        </w:rPr>
        <w:t> </w:t>
      </w:r>
      <w:r>
        <w:rPr>
          <w:rFonts w:ascii="Verdana" w:hAnsi="Verdana"/>
          <w:i/>
          <w:sz w:val="16"/>
        </w:rPr>
        <w:t>ibid,</w:t>
      </w:r>
      <w:r>
        <w:rPr>
          <w:rFonts w:ascii="Verdana" w:hAnsi="Verdana"/>
          <w:i/>
          <w:spacing w:val="-6"/>
          <w:sz w:val="16"/>
        </w:rPr>
        <w:t> </w:t>
      </w:r>
      <w:r>
        <w:rPr>
          <w:sz w:val="16"/>
        </w:rPr>
        <w:t>para 12, per</w:t>
      </w:r>
      <w:r>
        <w:rPr>
          <w:spacing w:val="-1"/>
          <w:sz w:val="16"/>
        </w:rPr>
        <w:t> </w:t>
      </w:r>
      <w:r>
        <w:rPr>
          <w:sz w:val="16"/>
        </w:rPr>
        <w:t>Lord Templeman: ‘as between</w:t>
      </w:r>
      <w:r>
        <w:rPr>
          <w:spacing w:val="-1"/>
          <w:sz w:val="16"/>
        </w:rPr>
        <w:t> </w:t>
      </w:r>
      <w:r>
        <w:rPr>
          <w:sz w:val="16"/>
        </w:rPr>
        <w:t>the woman and the</w:t>
      </w:r>
      <w:r>
        <w:rPr>
          <w:spacing w:val="-1"/>
          <w:sz w:val="16"/>
        </w:rPr>
        <w:t> </w:t>
      </w:r>
      <w:r>
        <w:rPr>
          <w:sz w:val="16"/>
        </w:rPr>
        <w:t>man with whom she</w:t>
      </w:r>
      <w:r>
        <w:rPr>
          <w:spacing w:val="-1"/>
          <w:sz w:val="16"/>
        </w:rPr>
        <w:t> </w:t>
      </w:r>
      <w:r>
        <w:rPr>
          <w:sz w:val="16"/>
        </w:rPr>
        <w:t>claims </w:t>
      </w:r>
      <w:r>
        <w:rPr>
          <w:spacing w:val="-2"/>
          <w:sz w:val="16"/>
        </w:rPr>
        <w:t>equality’.</w:t>
      </w:r>
    </w:p>
    <w:p>
      <w:pPr>
        <w:pStyle w:val="ListParagraph"/>
        <w:numPr>
          <w:ilvl w:val="0"/>
          <w:numId w:val="14"/>
        </w:numPr>
        <w:tabs>
          <w:tab w:pos="566" w:val="left" w:leader="none"/>
        </w:tabs>
        <w:spacing w:line="200" w:lineRule="exact" w:before="0" w:after="0"/>
        <w:ind w:left="566" w:right="0" w:hanging="453"/>
        <w:jc w:val="left"/>
        <w:rPr>
          <w:rFonts w:ascii="Arial"/>
          <w:sz w:val="16"/>
        </w:rPr>
      </w:pPr>
      <w:r>
        <w:rPr>
          <w:rFonts w:ascii="Arial"/>
          <w:w w:val="110"/>
          <w:sz w:val="16"/>
        </w:rPr>
        <w:t>Ibid,</w:t>
      </w:r>
      <w:r>
        <w:rPr>
          <w:rFonts w:ascii="Arial"/>
          <w:spacing w:val="-6"/>
          <w:w w:val="110"/>
          <w:sz w:val="16"/>
        </w:rPr>
        <w:t> </w:t>
      </w:r>
      <w:r>
        <w:rPr>
          <w:rFonts w:ascii="Arial"/>
          <w:w w:val="110"/>
          <w:sz w:val="16"/>
        </w:rPr>
        <w:t>para</w:t>
      </w:r>
      <w:r>
        <w:rPr>
          <w:rFonts w:ascii="Arial"/>
          <w:spacing w:val="-5"/>
          <w:w w:val="110"/>
          <w:sz w:val="16"/>
        </w:rPr>
        <w:t> </w:t>
      </w:r>
      <w:r>
        <w:rPr>
          <w:rFonts w:ascii="Arial"/>
          <w:w w:val="110"/>
          <w:sz w:val="16"/>
        </w:rPr>
        <w:t>19,</w:t>
      </w:r>
      <w:r>
        <w:rPr>
          <w:rFonts w:ascii="Arial"/>
          <w:spacing w:val="-5"/>
          <w:w w:val="110"/>
          <w:sz w:val="16"/>
        </w:rPr>
        <w:t> </w:t>
      </w:r>
      <w:r>
        <w:rPr>
          <w:rFonts w:ascii="Arial"/>
          <w:w w:val="110"/>
          <w:sz w:val="16"/>
        </w:rPr>
        <w:t>per</w:t>
      </w:r>
      <w:r>
        <w:rPr>
          <w:rFonts w:ascii="Arial"/>
          <w:spacing w:val="-5"/>
          <w:w w:val="110"/>
          <w:sz w:val="16"/>
        </w:rPr>
        <w:t> </w:t>
      </w:r>
      <w:r>
        <w:rPr>
          <w:rFonts w:ascii="Arial"/>
          <w:w w:val="110"/>
          <w:sz w:val="16"/>
        </w:rPr>
        <w:t>Lord</w:t>
      </w:r>
      <w:r>
        <w:rPr>
          <w:rFonts w:ascii="Arial"/>
          <w:spacing w:val="-6"/>
          <w:w w:val="110"/>
          <w:sz w:val="16"/>
        </w:rPr>
        <w:t> </w:t>
      </w:r>
      <w:r>
        <w:rPr>
          <w:rFonts w:ascii="Arial"/>
          <w:spacing w:val="-2"/>
          <w:w w:val="110"/>
          <w:sz w:val="16"/>
        </w:rPr>
        <w:t>Oliver.</w:t>
      </w:r>
    </w:p>
    <w:p>
      <w:pPr>
        <w:pStyle w:val="ListParagraph"/>
        <w:numPr>
          <w:ilvl w:val="0"/>
          <w:numId w:val="14"/>
        </w:numPr>
        <w:tabs>
          <w:tab w:pos="565" w:val="left" w:leader="none"/>
        </w:tabs>
        <w:spacing w:line="200" w:lineRule="exact" w:before="0" w:after="0"/>
        <w:ind w:left="565" w:right="0" w:hanging="452"/>
        <w:jc w:val="left"/>
        <w:rPr>
          <w:sz w:val="16"/>
        </w:rPr>
      </w:pPr>
      <w:r>
        <w:rPr>
          <w:rFonts w:ascii="Verdana"/>
          <w:i/>
          <w:sz w:val="16"/>
        </w:rPr>
        <w:t>Litster</w:t>
      </w:r>
      <w:r>
        <w:rPr>
          <w:rFonts w:ascii="Verdana"/>
          <w:i/>
          <w:spacing w:val="-4"/>
          <w:sz w:val="16"/>
        </w:rPr>
        <w:t> </w:t>
      </w:r>
      <w:r>
        <w:rPr>
          <w:sz w:val="16"/>
        </w:rPr>
        <w:t>(n</w:t>
      </w:r>
      <w:r>
        <w:rPr>
          <w:spacing w:val="2"/>
          <w:sz w:val="16"/>
        </w:rPr>
        <w:t> </w:t>
      </w:r>
      <w:r>
        <w:rPr>
          <w:sz w:val="16"/>
        </w:rPr>
        <w:t>266)</w:t>
      </w:r>
      <w:r>
        <w:rPr>
          <w:spacing w:val="3"/>
          <w:sz w:val="16"/>
        </w:rPr>
        <w:t> </w:t>
      </w:r>
      <w:r>
        <w:rPr>
          <w:sz w:val="16"/>
        </w:rPr>
        <w:t>para</w:t>
      </w:r>
      <w:r>
        <w:rPr>
          <w:spacing w:val="2"/>
          <w:sz w:val="16"/>
        </w:rPr>
        <w:t> </w:t>
      </w:r>
      <w:r>
        <w:rPr>
          <w:sz w:val="16"/>
        </w:rPr>
        <w:t>23,</w:t>
      </w:r>
      <w:r>
        <w:rPr>
          <w:spacing w:val="3"/>
          <w:sz w:val="16"/>
        </w:rPr>
        <w:t> </w:t>
      </w:r>
      <w:r>
        <w:rPr>
          <w:sz w:val="16"/>
        </w:rPr>
        <w:t>per</w:t>
      </w:r>
      <w:r>
        <w:rPr>
          <w:spacing w:val="2"/>
          <w:sz w:val="16"/>
        </w:rPr>
        <w:t> </w:t>
      </w:r>
      <w:r>
        <w:rPr>
          <w:sz w:val="16"/>
        </w:rPr>
        <w:t>Lord</w:t>
      </w:r>
      <w:r>
        <w:rPr>
          <w:spacing w:val="2"/>
          <w:sz w:val="16"/>
        </w:rPr>
        <w:t> </w:t>
      </w:r>
      <w:r>
        <w:rPr>
          <w:spacing w:val="-2"/>
          <w:sz w:val="16"/>
        </w:rPr>
        <w:t>Oliver.</w:t>
      </w:r>
    </w:p>
    <w:p>
      <w:pPr>
        <w:pStyle w:val="ListParagraph"/>
        <w:numPr>
          <w:ilvl w:val="0"/>
          <w:numId w:val="14"/>
        </w:numPr>
        <w:tabs>
          <w:tab w:pos="565" w:val="left" w:leader="none"/>
          <w:tab w:pos="567" w:val="left" w:leader="none"/>
        </w:tabs>
        <w:spacing w:line="194" w:lineRule="auto" w:before="10" w:after="0"/>
        <w:ind w:left="567" w:right="795" w:hanging="454"/>
        <w:jc w:val="left"/>
        <w:rPr>
          <w:sz w:val="16"/>
        </w:rPr>
      </w:pPr>
      <w:r>
        <w:rPr>
          <w:sz w:val="16"/>
        </w:rPr>
        <w:t>Alison Young, ‘Benkharbouche and the Future of Disapplication’ UKCLA Blog 24 October 2017 at </w:t>
      </w:r>
      <w:r>
        <w:rPr>
          <w:color w:val="77328A"/>
          <w:spacing w:val="-4"/>
          <w:sz w:val="16"/>
          <w:u w:val="single" w:color="77328A"/>
        </w:rPr>
        <w:t>https://ukconstitutionallaw.org/2017/10/24/alison-young-benkharbouche-and-the-future-of-disapplication/</w:t>
      </w:r>
      <w:r>
        <w:rPr>
          <w:rFonts w:ascii="Arial" w:hAnsi="Arial"/>
          <w:spacing w:val="-4"/>
          <w:sz w:val="16"/>
          <w:u w:val="none"/>
        </w:rPr>
        <w:t>; </w:t>
      </w:r>
      <w:r>
        <w:rPr>
          <w:sz w:val="16"/>
          <w:u w:val="none"/>
        </w:rPr>
        <w:t>see also A. Young, ‘Fundamental Common Law Rights and Legislation’ in M Elliott and K Hughes (eds), </w:t>
      </w:r>
      <w:r>
        <w:rPr>
          <w:rFonts w:ascii="Verdana" w:hAnsi="Verdana"/>
          <w:i/>
          <w:sz w:val="16"/>
          <w:u w:val="none"/>
        </w:rPr>
        <w:t>Common Law Constitutional Rights </w:t>
      </w:r>
      <w:r>
        <w:rPr>
          <w:sz w:val="16"/>
          <w:u w:val="none"/>
        </w:rPr>
        <w:t>(Oxford: Hart, 2020) 223.</w:t>
      </w:r>
    </w:p>
    <w:p>
      <w:pPr>
        <w:pStyle w:val="ListParagraph"/>
        <w:numPr>
          <w:ilvl w:val="0"/>
          <w:numId w:val="14"/>
        </w:numPr>
        <w:tabs>
          <w:tab w:pos="567" w:val="left" w:leader="none"/>
        </w:tabs>
        <w:spacing w:line="193" w:lineRule="exact" w:before="0" w:after="0"/>
        <w:ind w:left="567" w:right="0" w:hanging="454"/>
        <w:jc w:val="left"/>
        <w:rPr>
          <w:sz w:val="16"/>
        </w:rPr>
      </w:pPr>
      <w:r>
        <w:rPr>
          <w:rFonts w:ascii="Verdana"/>
          <w:i/>
          <w:sz w:val="16"/>
        </w:rPr>
        <w:t>Vidal-Hall</w:t>
      </w:r>
      <w:r>
        <w:rPr>
          <w:rFonts w:ascii="Verdana"/>
          <w:i/>
          <w:spacing w:val="-7"/>
          <w:sz w:val="16"/>
        </w:rPr>
        <w:t> </w:t>
      </w:r>
      <w:r>
        <w:rPr>
          <w:rFonts w:ascii="Verdana"/>
          <w:i/>
          <w:sz w:val="16"/>
        </w:rPr>
        <w:t>v</w:t>
      </w:r>
      <w:r>
        <w:rPr>
          <w:rFonts w:ascii="Verdana"/>
          <w:i/>
          <w:spacing w:val="-6"/>
          <w:sz w:val="16"/>
        </w:rPr>
        <w:t> </w:t>
      </w:r>
      <w:r>
        <w:rPr>
          <w:rFonts w:ascii="Verdana"/>
          <w:i/>
          <w:sz w:val="16"/>
        </w:rPr>
        <w:t>Google,</w:t>
      </w:r>
      <w:r>
        <w:rPr>
          <w:rFonts w:ascii="Verdana"/>
          <w:i/>
          <w:spacing w:val="-6"/>
          <w:sz w:val="16"/>
        </w:rPr>
        <w:t> </w:t>
      </w:r>
      <w:r>
        <w:rPr>
          <w:rFonts w:ascii="Verdana"/>
          <w:i/>
          <w:sz w:val="16"/>
        </w:rPr>
        <w:t>Inc.</w:t>
      </w:r>
      <w:r>
        <w:rPr>
          <w:rFonts w:ascii="Verdana"/>
          <w:i/>
          <w:spacing w:val="-7"/>
          <w:sz w:val="16"/>
        </w:rPr>
        <w:t> </w:t>
      </w:r>
      <w:r>
        <w:rPr>
          <w:sz w:val="16"/>
        </w:rPr>
        <w:t>[2015] EWCA Civ</w:t>
      </w:r>
      <w:r>
        <w:rPr>
          <w:spacing w:val="-1"/>
          <w:sz w:val="16"/>
        </w:rPr>
        <w:t> </w:t>
      </w:r>
      <w:r>
        <w:rPr>
          <w:spacing w:val="-4"/>
          <w:sz w:val="16"/>
        </w:rPr>
        <w:t>311.</w:t>
      </w:r>
    </w:p>
    <w:p>
      <w:pPr>
        <w:pStyle w:val="ListParagraph"/>
        <w:numPr>
          <w:ilvl w:val="0"/>
          <w:numId w:val="14"/>
        </w:numPr>
        <w:tabs>
          <w:tab w:pos="564" w:val="left" w:leader="none"/>
        </w:tabs>
        <w:spacing w:line="200" w:lineRule="exact" w:before="0" w:after="0"/>
        <w:ind w:left="564" w:right="0" w:hanging="451"/>
        <w:jc w:val="left"/>
        <w:rPr>
          <w:sz w:val="16"/>
        </w:rPr>
      </w:pPr>
      <w:r>
        <w:rPr>
          <w:rFonts w:ascii="Verdana"/>
          <w:i/>
          <w:spacing w:val="-2"/>
          <w:sz w:val="16"/>
        </w:rPr>
        <w:t>Ibid,</w:t>
      </w:r>
      <w:r>
        <w:rPr>
          <w:rFonts w:ascii="Verdana"/>
          <w:i/>
          <w:spacing w:val="-12"/>
          <w:sz w:val="16"/>
        </w:rPr>
        <w:t> </w:t>
      </w:r>
      <w:r>
        <w:rPr>
          <w:spacing w:val="-2"/>
          <w:sz w:val="16"/>
        </w:rPr>
        <w:t>para</w:t>
      </w:r>
      <w:r>
        <w:rPr>
          <w:spacing w:val="-5"/>
          <w:sz w:val="16"/>
        </w:rPr>
        <w:t> 88.</w:t>
      </w:r>
    </w:p>
    <w:p>
      <w:pPr>
        <w:pStyle w:val="ListParagraph"/>
        <w:numPr>
          <w:ilvl w:val="0"/>
          <w:numId w:val="14"/>
        </w:numPr>
        <w:tabs>
          <w:tab w:pos="565" w:val="left" w:leader="none"/>
        </w:tabs>
        <w:spacing w:line="223" w:lineRule="exact" w:before="0" w:after="0"/>
        <w:ind w:left="565" w:right="0" w:hanging="452"/>
        <w:jc w:val="left"/>
        <w:rPr>
          <w:rFonts w:ascii="Arial"/>
          <w:sz w:val="16"/>
        </w:rPr>
      </w:pPr>
      <w:r>
        <w:rPr>
          <w:rFonts w:ascii="Verdana"/>
          <w:i/>
          <w:spacing w:val="-2"/>
          <w:sz w:val="16"/>
        </w:rPr>
        <w:t>Ibid</w:t>
      </w:r>
      <w:r>
        <w:rPr>
          <w:rFonts w:ascii="Arial"/>
          <w:spacing w:val="-2"/>
          <w:sz w:val="16"/>
        </w:rPr>
        <w:t>.</w:t>
      </w:r>
    </w:p>
    <w:p>
      <w:pPr>
        <w:spacing w:after="0" w:line="223" w:lineRule="exact"/>
        <w:jc w:val="left"/>
        <w:rPr>
          <w:rFonts w:ascii="Arial"/>
          <w:sz w:val="16"/>
        </w:rPr>
        <w:sectPr>
          <w:type w:val="continuous"/>
          <w:pgSz w:w="11910" w:h="16840"/>
          <w:pgMar w:header="568" w:footer="580" w:top="0" w:bottom="280" w:left="1020" w:right="1020"/>
        </w:sectPr>
      </w:pPr>
    </w:p>
    <w:p>
      <w:pPr>
        <w:pStyle w:val="BodyText"/>
        <w:ind w:left="0"/>
        <w:rPr>
          <w:sz w:val="20"/>
        </w:rPr>
      </w:pPr>
    </w:p>
    <w:p>
      <w:pPr>
        <w:pStyle w:val="BodyText"/>
        <w:ind w:left="0"/>
        <w:rPr>
          <w:sz w:val="20"/>
        </w:rPr>
      </w:pPr>
    </w:p>
    <w:p>
      <w:pPr>
        <w:pStyle w:val="BodyText"/>
        <w:spacing w:before="21"/>
        <w:ind w:left="0"/>
        <w:rPr>
          <w:sz w:val="20"/>
        </w:rPr>
      </w:pPr>
    </w:p>
    <w:p>
      <w:pPr>
        <w:spacing w:after="0"/>
        <w:rPr>
          <w:sz w:val="20"/>
        </w:rPr>
        <w:sectPr>
          <w:pgSz w:w="11910" w:h="16840"/>
          <w:pgMar w:header="568" w:footer="580" w:top="840" w:bottom="780" w:left="1020" w:right="1020"/>
        </w:sectPr>
      </w:pPr>
    </w:p>
    <w:p>
      <w:pPr>
        <w:pStyle w:val="BodyText"/>
        <w:spacing w:line="310" w:lineRule="exact" w:before="76"/>
        <w:ind w:right="38"/>
        <w:rPr>
          <w:rFonts w:ascii="Lucida Sans Unicode" w:hAnsi="Lucida Sans Unicode"/>
        </w:rPr>
      </w:pPr>
      <w:bookmarkStart w:name="c. Reparation through state liability an" w:id="71"/>
      <w:bookmarkEnd w:id="71"/>
      <w:r>
        <w:rPr/>
      </w:r>
      <w:bookmarkStart w:name="_bookmark30" w:id="72"/>
      <w:bookmarkEnd w:id="72"/>
      <w:r>
        <w:rPr/>
      </w:r>
      <w:r>
        <w:rPr>
          <w:rFonts w:ascii="Lucida Sans Unicode" w:hAnsi="Lucida Sans Unicode"/>
          <w:spacing w:val="-2"/>
          <w:w w:val="110"/>
        </w:rPr>
        <w:t>on</w:t>
      </w:r>
      <w:r>
        <w:rPr>
          <w:rFonts w:ascii="Lucida Sans Unicode" w:hAnsi="Lucida Sans Unicode"/>
          <w:spacing w:val="-17"/>
          <w:w w:val="110"/>
        </w:rPr>
        <w:t> </w:t>
      </w:r>
      <w:r>
        <w:rPr>
          <w:rFonts w:ascii="Lucida Sans Unicode" w:hAnsi="Lucida Sans Unicode"/>
          <w:spacing w:val="-2"/>
          <w:w w:val="110"/>
        </w:rPr>
        <w:t>to</w:t>
      </w:r>
      <w:r>
        <w:rPr>
          <w:rFonts w:ascii="Lucida Sans Unicode" w:hAnsi="Lucida Sans Unicode"/>
          <w:spacing w:val="-17"/>
          <w:w w:val="110"/>
        </w:rPr>
        <w:t> </w:t>
      </w:r>
      <w:r>
        <w:rPr>
          <w:rFonts w:ascii="Lucida Sans Unicode" w:hAnsi="Lucida Sans Unicode"/>
          <w:spacing w:val="-2"/>
          <w:w w:val="110"/>
        </w:rPr>
        <w:t>disapply</w:t>
      </w:r>
      <w:r>
        <w:rPr>
          <w:rFonts w:ascii="Lucida Sans Unicode" w:hAnsi="Lucida Sans Unicode"/>
          <w:spacing w:val="-17"/>
          <w:w w:val="110"/>
        </w:rPr>
        <w:t> </w:t>
      </w:r>
      <w:r>
        <w:rPr>
          <w:rFonts w:ascii="Lucida Sans Unicode" w:hAnsi="Lucida Sans Unicode"/>
          <w:spacing w:val="-2"/>
          <w:w w:val="110"/>
        </w:rPr>
        <w:t>it.</w:t>
      </w:r>
      <w:r>
        <w:rPr>
          <w:rFonts w:ascii="Lucida Sans Unicode" w:hAnsi="Lucida Sans Unicode"/>
          <w:spacing w:val="-17"/>
          <w:w w:val="110"/>
        </w:rPr>
        <w:t> </w:t>
      </w:r>
      <w:r>
        <w:rPr>
          <w:rFonts w:ascii="Lucida Sans Unicode" w:hAnsi="Lucida Sans Unicode"/>
          <w:spacing w:val="-2"/>
          <w:w w:val="110"/>
        </w:rPr>
        <w:t>Since</w:t>
      </w:r>
      <w:r>
        <w:rPr>
          <w:rFonts w:ascii="Lucida Sans Unicode" w:hAnsi="Lucida Sans Unicode"/>
          <w:spacing w:val="-17"/>
          <w:w w:val="110"/>
        </w:rPr>
        <w:t> </w:t>
      </w:r>
      <w:r>
        <w:rPr>
          <w:rFonts w:ascii="Lucida Sans Unicode" w:hAnsi="Lucida Sans Unicode"/>
          <w:spacing w:val="-2"/>
          <w:w w:val="110"/>
        </w:rPr>
        <w:t>Parliament </w:t>
      </w:r>
      <w:r>
        <w:rPr>
          <w:w w:val="110"/>
        </w:rPr>
        <w:t>had ‘deliberately’ chosen to limit compensation to cases of </w:t>
      </w:r>
      <w:r>
        <w:rPr>
          <w:w w:val="110"/>
        </w:rPr>
        <w:t>economic loss and this was an ‘important element’ of the overall scheme of compensation provided by the legislation, consistent interpretation was impossible.</w:t>
      </w:r>
      <w:r>
        <w:rPr>
          <w:rFonts w:ascii="Lucida Sans Unicode" w:hAnsi="Lucida Sans Unicode"/>
          <w:w w:val="110"/>
          <w:vertAlign w:val="superscript"/>
        </w:rPr>
        <w:t>274</w:t>
      </w:r>
    </w:p>
    <w:p>
      <w:pPr>
        <w:pStyle w:val="BodyText"/>
        <w:spacing w:line="266" w:lineRule="auto" w:before="323"/>
        <w:ind w:right="38"/>
      </w:pPr>
      <w:r>
        <w:rPr>
          <w:w w:val="110"/>
        </w:rPr>
        <w:t>Nevertheless, this approach does not necessarily correspond to the limits placed</w:t>
      </w:r>
      <w:r>
        <w:rPr>
          <w:spacing w:val="40"/>
          <w:w w:val="110"/>
        </w:rPr>
        <w:t> </w:t>
      </w:r>
      <w:r>
        <w:rPr>
          <w:w w:val="110"/>
        </w:rPr>
        <w:t>on</w:t>
      </w:r>
      <w:r>
        <w:rPr>
          <w:spacing w:val="40"/>
          <w:w w:val="110"/>
        </w:rPr>
        <w:t> </w:t>
      </w:r>
      <w:r>
        <w:rPr>
          <w:w w:val="110"/>
        </w:rPr>
        <w:t>consistent</w:t>
      </w:r>
      <w:r>
        <w:rPr>
          <w:spacing w:val="40"/>
          <w:w w:val="110"/>
        </w:rPr>
        <w:t> </w:t>
      </w:r>
      <w:r>
        <w:rPr>
          <w:w w:val="110"/>
        </w:rPr>
        <w:t>interpretation</w:t>
      </w:r>
      <w:r>
        <w:rPr>
          <w:spacing w:val="80"/>
          <w:w w:val="110"/>
        </w:rPr>
        <w:t> </w:t>
      </w:r>
      <w:r>
        <w:rPr>
          <w:w w:val="110"/>
        </w:rPr>
        <w:t>at</w:t>
      </w:r>
      <w:r>
        <w:rPr>
          <w:spacing w:val="-6"/>
          <w:w w:val="110"/>
        </w:rPr>
        <w:t> </w:t>
      </w:r>
      <w:r>
        <w:rPr>
          <w:w w:val="110"/>
        </w:rPr>
        <w:t>the</w:t>
      </w:r>
      <w:r>
        <w:rPr>
          <w:spacing w:val="-6"/>
          <w:w w:val="110"/>
        </w:rPr>
        <w:t> </w:t>
      </w:r>
      <w:r>
        <w:rPr>
          <w:w w:val="110"/>
        </w:rPr>
        <w:t>EU</w:t>
      </w:r>
      <w:r>
        <w:rPr>
          <w:spacing w:val="-6"/>
          <w:w w:val="110"/>
        </w:rPr>
        <w:t> </w:t>
      </w:r>
      <w:r>
        <w:rPr>
          <w:w w:val="110"/>
        </w:rPr>
        <w:t>level,</w:t>
      </w:r>
      <w:r>
        <w:rPr>
          <w:spacing w:val="-6"/>
          <w:w w:val="110"/>
        </w:rPr>
        <w:t> </w:t>
      </w:r>
      <w:r>
        <w:rPr>
          <w:w w:val="110"/>
        </w:rPr>
        <w:t>as</w:t>
      </w:r>
      <w:r>
        <w:rPr>
          <w:spacing w:val="-6"/>
          <w:w w:val="110"/>
        </w:rPr>
        <w:t> </w:t>
      </w:r>
      <w:r>
        <w:rPr>
          <w:w w:val="110"/>
        </w:rPr>
        <w:t>derived</w:t>
      </w:r>
      <w:r>
        <w:rPr>
          <w:spacing w:val="-6"/>
          <w:w w:val="110"/>
        </w:rPr>
        <w:t> </w:t>
      </w:r>
      <w:r>
        <w:rPr>
          <w:w w:val="110"/>
        </w:rPr>
        <w:t>from</w:t>
      </w:r>
      <w:r>
        <w:rPr>
          <w:spacing w:val="-6"/>
          <w:w w:val="110"/>
        </w:rPr>
        <w:t> </w:t>
      </w:r>
      <w:r>
        <w:rPr>
          <w:w w:val="110"/>
        </w:rPr>
        <w:t>cases </w:t>
      </w:r>
      <w:r>
        <w:rPr/>
        <w:t>such as </w:t>
      </w:r>
      <w:r>
        <w:rPr>
          <w:rFonts w:ascii="Verdana"/>
          <w:i/>
        </w:rPr>
        <w:t>Pfeiffer </w:t>
      </w:r>
      <w:r>
        <w:rPr/>
        <w:t>and </w:t>
      </w:r>
      <w:r>
        <w:rPr>
          <w:rFonts w:ascii="Verdana"/>
          <w:i/>
        </w:rPr>
        <w:t>Dansk Industri</w:t>
      </w:r>
      <w:r>
        <w:rPr/>
        <w:t>.</w:t>
      </w:r>
    </w:p>
    <w:p>
      <w:pPr>
        <w:pStyle w:val="BodyText"/>
        <w:spacing w:line="268" w:lineRule="auto"/>
        <w:ind w:right="242"/>
      </w:pPr>
      <w:r>
        <w:rPr>
          <w:spacing w:val="-2"/>
          <w:w w:val="115"/>
        </w:rPr>
        <w:t>As</w:t>
      </w:r>
      <w:r>
        <w:rPr>
          <w:spacing w:val="-18"/>
          <w:w w:val="115"/>
        </w:rPr>
        <w:t> </w:t>
      </w:r>
      <w:r>
        <w:rPr>
          <w:spacing w:val="-2"/>
          <w:w w:val="115"/>
        </w:rPr>
        <w:t>further</w:t>
      </w:r>
      <w:r>
        <w:rPr>
          <w:spacing w:val="-17"/>
          <w:w w:val="115"/>
        </w:rPr>
        <w:t> </w:t>
      </w:r>
      <w:r>
        <w:rPr>
          <w:spacing w:val="-2"/>
          <w:w w:val="115"/>
        </w:rPr>
        <w:t>explained</w:t>
      </w:r>
      <w:r>
        <w:rPr>
          <w:spacing w:val="-17"/>
          <w:w w:val="115"/>
        </w:rPr>
        <w:t> </w:t>
      </w:r>
      <w:r>
        <w:rPr>
          <w:spacing w:val="-2"/>
          <w:w w:val="115"/>
        </w:rPr>
        <w:t>in</w:t>
      </w:r>
      <w:r>
        <w:rPr>
          <w:spacing w:val="-17"/>
          <w:w w:val="115"/>
        </w:rPr>
        <w:t> </w:t>
      </w:r>
      <w:r>
        <w:rPr>
          <w:spacing w:val="-2"/>
          <w:w w:val="115"/>
        </w:rPr>
        <w:t>Chapter</w:t>
      </w:r>
      <w:r>
        <w:rPr>
          <w:spacing w:val="-17"/>
          <w:w w:val="115"/>
        </w:rPr>
        <w:t> </w:t>
      </w:r>
      <w:r>
        <w:rPr>
          <w:spacing w:val="-2"/>
        </w:rPr>
        <w:t>1,</w:t>
      </w:r>
      <w:r>
        <w:rPr>
          <w:spacing w:val="-15"/>
        </w:rPr>
        <w:t> </w:t>
      </w:r>
      <w:r>
        <w:rPr>
          <w:spacing w:val="-2"/>
          <w:w w:val="115"/>
        </w:rPr>
        <w:t>in </w:t>
      </w:r>
      <w:r>
        <w:rPr>
          <w:w w:val="115"/>
        </w:rPr>
        <w:t>those</w:t>
      </w:r>
      <w:r>
        <w:rPr>
          <w:spacing w:val="-9"/>
          <w:w w:val="115"/>
        </w:rPr>
        <w:t> </w:t>
      </w:r>
      <w:r>
        <w:rPr>
          <w:w w:val="115"/>
        </w:rPr>
        <w:t>cases,</w:t>
      </w:r>
      <w:r>
        <w:rPr>
          <w:spacing w:val="-9"/>
          <w:w w:val="115"/>
        </w:rPr>
        <w:t> </w:t>
      </w:r>
      <w:r>
        <w:rPr>
          <w:w w:val="115"/>
        </w:rPr>
        <w:t>domestic</w:t>
      </w:r>
      <w:r>
        <w:rPr>
          <w:spacing w:val="-9"/>
          <w:w w:val="115"/>
        </w:rPr>
        <w:t> </w:t>
      </w:r>
      <w:r>
        <w:rPr>
          <w:w w:val="115"/>
        </w:rPr>
        <w:t>courts</w:t>
      </w:r>
      <w:r>
        <w:rPr>
          <w:spacing w:val="-9"/>
          <w:w w:val="115"/>
        </w:rPr>
        <w:t> </w:t>
      </w:r>
      <w:r>
        <w:rPr>
          <w:w w:val="115"/>
        </w:rPr>
        <w:t>were invited</w:t>
      </w:r>
      <w:r>
        <w:rPr>
          <w:spacing w:val="-20"/>
          <w:w w:val="115"/>
        </w:rPr>
        <w:t> </w:t>
      </w:r>
      <w:r>
        <w:rPr>
          <w:w w:val="115"/>
        </w:rPr>
        <w:t>to</w:t>
      </w:r>
      <w:r>
        <w:rPr>
          <w:spacing w:val="-19"/>
          <w:w w:val="115"/>
        </w:rPr>
        <w:t> </w:t>
      </w:r>
      <w:r>
        <w:rPr>
          <w:w w:val="115"/>
        </w:rPr>
        <w:t>employ</w:t>
      </w:r>
      <w:r>
        <w:rPr>
          <w:spacing w:val="-19"/>
          <w:w w:val="115"/>
        </w:rPr>
        <w:t> </w:t>
      </w:r>
      <w:r>
        <w:rPr>
          <w:w w:val="115"/>
        </w:rPr>
        <w:t>creative</w:t>
      </w:r>
      <w:r>
        <w:rPr>
          <w:spacing w:val="-19"/>
          <w:w w:val="115"/>
        </w:rPr>
        <w:t> </w:t>
      </w:r>
      <w:r>
        <w:rPr>
          <w:w w:val="115"/>
        </w:rPr>
        <w:t>solutions for reading in or down domestic legislation, being encouraged to search</w:t>
      </w:r>
      <w:r>
        <w:rPr>
          <w:spacing w:val="-4"/>
          <w:w w:val="115"/>
        </w:rPr>
        <w:t> </w:t>
      </w:r>
      <w:r>
        <w:rPr>
          <w:w w:val="115"/>
        </w:rPr>
        <w:t>the</w:t>
      </w:r>
      <w:r>
        <w:rPr>
          <w:spacing w:val="-4"/>
          <w:w w:val="115"/>
        </w:rPr>
        <w:t> </w:t>
      </w:r>
      <w:r>
        <w:rPr>
          <w:w w:val="115"/>
        </w:rPr>
        <w:t>entire</w:t>
      </w:r>
      <w:r>
        <w:rPr>
          <w:spacing w:val="-4"/>
          <w:w w:val="115"/>
        </w:rPr>
        <w:t> </w:t>
      </w:r>
      <w:r>
        <w:rPr>
          <w:w w:val="115"/>
        </w:rPr>
        <w:t>body</w:t>
      </w:r>
      <w:r>
        <w:rPr>
          <w:spacing w:val="-4"/>
          <w:w w:val="115"/>
        </w:rPr>
        <w:t> </w:t>
      </w:r>
      <w:r>
        <w:rPr>
          <w:w w:val="115"/>
        </w:rPr>
        <w:t>of</w:t>
      </w:r>
      <w:r>
        <w:rPr>
          <w:spacing w:val="-4"/>
          <w:w w:val="115"/>
        </w:rPr>
        <w:t> </w:t>
      </w:r>
      <w:r>
        <w:rPr>
          <w:w w:val="115"/>
        </w:rPr>
        <w:t>domestic law for evidence of a compatible</w:t>
      </w:r>
    </w:p>
    <w:p>
      <w:pPr>
        <w:pStyle w:val="BodyText"/>
        <w:spacing w:line="327" w:lineRule="exact"/>
      </w:pPr>
      <w:r>
        <w:rPr>
          <w:w w:val="110"/>
        </w:rPr>
        <w:t>reading.</w:t>
      </w:r>
      <w:r>
        <w:rPr>
          <w:rFonts w:ascii="Lucida Sans Unicode"/>
          <w:w w:val="110"/>
          <w:vertAlign w:val="superscript"/>
        </w:rPr>
        <w:t>275</w:t>
      </w:r>
      <w:r>
        <w:rPr>
          <w:rFonts w:ascii="Lucida Sans Unicode"/>
          <w:spacing w:val="-21"/>
          <w:w w:val="110"/>
          <w:vertAlign w:val="baseline"/>
        </w:rPr>
        <w:t> </w:t>
      </w:r>
      <w:r>
        <w:rPr>
          <w:w w:val="110"/>
          <w:vertAlign w:val="baseline"/>
        </w:rPr>
        <w:t>In</w:t>
      </w:r>
      <w:r>
        <w:rPr>
          <w:spacing w:val="-19"/>
          <w:w w:val="110"/>
          <w:vertAlign w:val="baseline"/>
        </w:rPr>
        <w:t> </w:t>
      </w:r>
      <w:r>
        <w:rPr>
          <w:w w:val="110"/>
          <w:vertAlign w:val="baseline"/>
        </w:rPr>
        <w:t>turn,</w:t>
      </w:r>
      <w:r>
        <w:rPr>
          <w:spacing w:val="-17"/>
          <w:w w:val="110"/>
          <w:vertAlign w:val="baseline"/>
        </w:rPr>
        <w:t> </w:t>
      </w:r>
      <w:r>
        <w:rPr>
          <w:w w:val="110"/>
          <w:vertAlign w:val="baseline"/>
        </w:rPr>
        <w:t>while</w:t>
      </w:r>
      <w:r>
        <w:rPr>
          <w:spacing w:val="-16"/>
          <w:w w:val="110"/>
          <w:vertAlign w:val="baseline"/>
        </w:rPr>
        <w:t> </w:t>
      </w:r>
      <w:r>
        <w:rPr>
          <w:spacing w:val="-2"/>
          <w:w w:val="110"/>
          <w:vertAlign w:val="baseline"/>
        </w:rPr>
        <w:t>consistent</w:t>
      </w:r>
    </w:p>
    <w:p>
      <w:pPr>
        <w:pStyle w:val="BodyText"/>
        <w:spacing w:line="268" w:lineRule="auto"/>
        <w:ind w:right="38"/>
      </w:pPr>
      <w:r>
        <w:rPr>
          <w:w w:val="115"/>
        </w:rPr>
        <w:t>interpretation was recognised in domestic</w:t>
      </w:r>
      <w:r>
        <w:rPr>
          <w:spacing w:val="-6"/>
          <w:w w:val="115"/>
        </w:rPr>
        <w:t> </w:t>
      </w:r>
      <w:r>
        <w:rPr>
          <w:w w:val="115"/>
        </w:rPr>
        <w:t>law</w:t>
      </w:r>
      <w:r>
        <w:rPr>
          <w:spacing w:val="-6"/>
          <w:w w:val="115"/>
        </w:rPr>
        <w:t> </w:t>
      </w:r>
      <w:r>
        <w:rPr>
          <w:w w:val="115"/>
        </w:rPr>
        <w:t>before</w:t>
      </w:r>
      <w:r>
        <w:rPr>
          <w:spacing w:val="-6"/>
          <w:w w:val="115"/>
        </w:rPr>
        <w:t> </w:t>
      </w:r>
      <w:r>
        <w:rPr>
          <w:w w:val="115"/>
        </w:rPr>
        <w:t>Brexit,</w:t>
      </w:r>
      <w:r>
        <w:rPr>
          <w:spacing w:val="-6"/>
          <w:w w:val="115"/>
        </w:rPr>
        <w:t> </w:t>
      </w:r>
      <w:r>
        <w:rPr>
          <w:w w:val="115"/>
        </w:rPr>
        <w:t>it</w:t>
      </w:r>
      <w:r>
        <w:rPr>
          <w:spacing w:val="-6"/>
          <w:w w:val="115"/>
        </w:rPr>
        <w:t> </w:t>
      </w:r>
      <w:r>
        <w:rPr>
          <w:w w:val="115"/>
        </w:rPr>
        <w:t>can</w:t>
      </w:r>
      <w:r>
        <w:rPr>
          <w:spacing w:val="-6"/>
          <w:w w:val="115"/>
        </w:rPr>
        <w:t> </w:t>
      </w:r>
      <w:r>
        <w:rPr>
          <w:w w:val="115"/>
        </w:rPr>
        <w:t>be questioned</w:t>
      </w:r>
      <w:r>
        <w:rPr>
          <w:spacing w:val="-7"/>
          <w:w w:val="115"/>
        </w:rPr>
        <w:t> </w:t>
      </w:r>
      <w:r>
        <w:rPr>
          <w:w w:val="115"/>
        </w:rPr>
        <w:t>whether</w:t>
      </w:r>
      <w:r>
        <w:rPr>
          <w:spacing w:val="-7"/>
          <w:w w:val="115"/>
        </w:rPr>
        <w:t> </w:t>
      </w:r>
      <w:r>
        <w:rPr>
          <w:w w:val="115"/>
        </w:rPr>
        <w:t>domestic</w:t>
      </w:r>
      <w:r>
        <w:rPr>
          <w:spacing w:val="-7"/>
          <w:w w:val="115"/>
        </w:rPr>
        <w:t> </w:t>
      </w:r>
      <w:r>
        <w:rPr>
          <w:w w:val="115"/>
        </w:rPr>
        <w:t>courts applied</w:t>
      </w:r>
      <w:r>
        <w:rPr>
          <w:spacing w:val="-11"/>
          <w:w w:val="115"/>
        </w:rPr>
        <w:t> </w:t>
      </w:r>
      <w:r>
        <w:rPr>
          <w:w w:val="115"/>
        </w:rPr>
        <w:t>it</w:t>
      </w:r>
      <w:r>
        <w:rPr>
          <w:spacing w:val="-11"/>
          <w:w w:val="115"/>
        </w:rPr>
        <w:t> </w:t>
      </w:r>
      <w:r>
        <w:rPr>
          <w:w w:val="115"/>
        </w:rPr>
        <w:t>to</w:t>
      </w:r>
      <w:r>
        <w:rPr>
          <w:spacing w:val="-11"/>
          <w:w w:val="115"/>
        </w:rPr>
        <w:t> </w:t>
      </w:r>
      <w:r>
        <w:rPr>
          <w:w w:val="115"/>
        </w:rPr>
        <w:t>the</w:t>
      </w:r>
      <w:r>
        <w:rPr>
          <w:spacing w:val="-11"/>
          <w:w w:val="115"/>
        </w:rPr>
        <w:t> </w:t>
      </w:r>
      <w:r>
        <w:rPr>
          <w:w w:val="115"/>
        </w:rPr>
        <w:t>full</w:t>
      </w:r>
      <w:r>
        <w:rPr>
          <w:spacing w:val="-11"/>
          <w:w w:val="115"/>
        </w:rPr>
        <w:t> </w:t>
      </w:r>
      <w:r>
        <w:rPr>
          <w:w w:val="115"/>
        </w:rPr>
        <w:t>extent</w:t>
      </w:r>
      <w:r>
        <w:rPr>
          <w:spacing w:val="-11"/>
          <w:w w:val="115"/>
        </w:rPr>
        <w:t> </w:t>
      </w:r>
      <w:r>
        <w:rPr>
          <w:w w:val="115"/>
        </w:rPr>
        <w:t>envisaged by the CJEU. As Lady Arden noted</w:t>
      </w:r>
    </w:p>
    <w:p>
      <w:pPr>
        <w:pStyle w:val="BodyText"/>
        <w:spacing w:line="268" w:lineRule="auto"/>
        <w:ind w:right="38"/>
      </w:pPr>
      <w:r>
        <w:rPr>
          <w:w w:val="110"/>
        </w:rPr>
        <w:t>in </w:t>
      </w:r>
      <w:r>
        <w:rPr>
          <w:rFonts w:ascii="Verdana"/>
          <w:i/>
          <w:w w:val="110"/>
        </w:rPr>
        <w:t>IDT</w:t>
      </w:r>
      <w:r>
        <w:rPr>
          <w:rFonts w:ascii="Verdana"/>
          <w:i/>
          <w:spacing w:val="-4"/>
          <w:w w:val="110"/>
        </w:rPr>
        <w:t> </w:t>
      </w:r>
      <w:r>
        <w:rPr>
          <w:rFonts w:ascii="Verdana"/>
          <w:i/>
          <w:w w:val="110"/>
        </w:rPr>
        <w:t>Card</w:t>
      </w:r>
      <w:r>
        <w:rPr>
          <w:w w:val="110"/>
        </w:rPr>
        <w:t>, the precise limits of consistent interpretation have not been fully tested under domestic </w:t>
      </w:r>
      <w:r>
        <w:rPr>
          <w:w w:val="110"/>
        </w:rPr>
        <w:t>law and may not yet go as far as the EU</w:t>
      </w:r>
    </w:p>
    <w:p>
      <w:pPr>
        <w:pStyle w:val="BodyText"/>
        <w:spacing w:line="322" w:lineRule="exact"/>
      </w:pPr>
      <w:r>
        <w:rPr>
          <w:w w:val="110"/>
        </w:rPr>
        <w:t>duty.</w:t>
      </w:r>
      <w:r>
        <w:rPr>
          <w:rFonts w:ascii="Lucida Sans Unicode"/>
          <w:w w:val="110"/>
          <w:vertAlign w:val="superscript"/>
        </w:rPr>
        <w:t>276</w:t>
      </w:r>
      <w:r>
        <w:rPr>
          <w:rFonts w:ascii="Lucida Sans Unicode"/>
          <w:spacing w:val="-20"/>
          <w:w w:val="110"/>
          <w:vertAlign w:val="baseline"/>
        </w:rPr>
        <w:t> </w:t>
      </w:r>
      <w:r>
        <w:rPr>
          <w:w w:val="110"/>
          <w:vertAlign w:val="baseline"/>
        </w:rPr>
        <w:t>This</w:t>
      </w:r>
      <w:r>
        <w:rPr>
          <w:spacing w:val="-10"/>
          <w:w w:val="110"/>
          <w:vertAlign w:val="baseline"/>
        </w:rPr>
        <w:t> </w:t>
      </w:r>
      <w:r>
        <w:rPr>
          <w:w w:val="110"/>
          <w:vertAlign w:val="baseline"/>
        </w:rPr>
        <w:t>open</w:t>
      </w:r>
      <w:r>
        <w:rPr>
          <w:spacing w:val="-10"/>
          <w:w w:val="110"/>
          <w:vertAlign w:val="baseline"/>
        </w:rPr>
        <w:t> </w:t>
      </w:r>
      <w:r>
        <w:rPr>
          <w:w w:val="110"/>
          <w:vertAlign w:val="baseline"/>
        </w:rPr>
        <w:t>question</w:t>
      </w:r>
      <w:r>
        <w:rPr>
          <w:spacing w:val="-10"/>
          <w:w w:val="110"/>
          <w:vertAlign w:val="baseline"/>
        </w:rPr>
        <w:t> </w:t>
      </w:r>
      <w:r>
        <w:rPr>
          <w:w w:val="110"/>
          <w:vertAlign w:val="baseline"/>
        </w:rPr>
        <w:t>on</w:t>
      </w:r>
      <w:r>
        <w:rPr>
          <w:spacing w:val="-10"/>
          <w:w w:val="110"/>
          <w:vertAlign w:val="baseline"/>
        </w:rPr>
        <w:t> </w:t>
      </w:r>
      <w:r>
        <w:rPr>
          <w:spacing w:val="-5"/>
          <w:w w:val="110"/>
          <w:vertAlign w:val="baseline"/>
        </w:rPr>
        <w:t>the</w:t>
      </w:r>
    </w:p>
    <w:p>
      <w:pPr>
        <w:pStyle w:val="BodyText"/>
        <w:spacing w:line="232" w:lineRule="auto"/>
        <w:ind w:right="38"/>
        <w:rPr>
          <w:rFonts w:ascii="Lucida Sans Unicode"/>
        </w:rPr>
      </w:pPr>
      <w:r>
        <w:rPr>
          <w:w w:val="110"/>
        </w:rPr>
        <w:t>limits of consistent interpretation is </w:t>
      </w:r>
      <w:r>
        <w:rPr>
          <w:rFonts w:ascii="Lucida Sans Unicode"/>
        </w:rPr>
        <w:t>likely</w:t>
      </w:r>
      <w:r>
        <w:rPr>
          <w:rFonts w:ascii="Lucida Sans Unicode"/>
          <w:spacing w:val="-1"/>
        </w:rPr>
        <w:t> </w:t>
      </w:r>
      <w:r>
        <w:rPr>
          <w:rFonts w:ascii="Lucida Sans Unicode"/>
        </w:rPr>
        <w:t>to</w:t>
      </w:r>
      <w:r>
        <w:rPr>
          <w:rFonts w:ascii="Lucida Sans Unicode"/>
          <w:spacing w:val="-1"/>
        </w:rPr>
        <w:t> </w:t>
      </w:r>
      <w:r>
        <w:rPr>
          <w:rFonts w:ascii="Lucida Sans Unicode"/>
        </w:rPr>
        <w:t>acquire</w:t>
      </w:r>
      <w:r>
        <w:rPr>
          <w:rFonts w:ascii="Lucida Sans Unicode"/>
          <w:spacing w:val="-1"/>
        </w:rPr>
        <w:t> </w:t>
      </w:r>
      <w:r>
        <w:rPr>
          <w:rFonts w:ascii="Lucida Sans Unicode"/>
        </w:rPr>
        <w:t>significance</w:t>
      </w:r>
      <w:r>
        <w:rPr>
          <w:rFonts w:ascii="Lucida Sans Unicode"/>
          <w:spacing w:val="-1"/>
        </w:rPr>
        <w:t> </w:t>
      </w:r>
      <w:r>
        <w:rPr>
          <w:rFonts w:ascii="Lucida Sans Unicode"/>
        </w:rPr>
        <w:t>in</w:t>
      </w:r>
      <w:r>
        <w:rPr>
          <w:rFonts w:ascii="Lucida Sans Unicode"/>
          <w:spacing w:val="-1"/>
        </w:rPr>
        <w:t> </w:t>
      </w:r>
      <w:r>
        <w:rPr>
          <w:rFonts w:ascii="Lucida Sans Unicode"/>
        </w:rPr>
        <w:t>future </w:t>
      </w:r>
      <w:r>
        <w:rPr>
          <w:w w:val="110"/>
        </w:rPr>
        <w:t>case law, especially in areas where disapplication is unavailable.</w:t>
      </w:r>
      <w:r>
        <w:rPr>
          <w:rFonts w:ascii="Lucida Sans Unicode"/>
          <w:w w:val="110"/>
          <w:vertAlign w:val="superscript"/>
        </w:rPr>
        <w:t>277</w:t>
      </w:r>
    </w:p>
    <w:p>
      <w:pPr>
        <w:pStyle w:val="Heading4"/>
        <w:numPr>
          <w:ilvl w:val="0"/>
          <w:numId w:val="16"/>
        </w:numPr>
        <w:tabs>
          <w:tab w:pos="390" w:val="left" w:leader="none"/>
        </w:tabs>
        <w:spacing w:line="256" w:lineRule="auto" w:before="84" w:after="0"/>
        <w:ind w:left="113" w:right="393" w:firstLine="0"/>
        <w:jc w:val="left"/>
      </w:pPr>
      <w:r>
        <w:rPr>
          <w:b w:val="0"/>
        </w:rPr>
        <w:br w:type="column"/>
      </w:r>
      <w:r>
        <w:rPr>
          <w:color w:val="77328A"/>
        </w:rPr>
        <w:t>Reparation</w:t>
      </w:r>
      <w:r>
        <w:rPr>
          <w:color w:val="77328A"/>
          <w:spacing w:val="-4"/>
        </w:rPr>
        <w:t> </w:t>
      </w:r>
      <w:r>
        <w:rPr>
          <w:color w:val="77328A"/>
        </w:rPr>
        <w:t>through</w:t>
      </w:r>
      <w:r>
        <w:rPr>
          <w:color w:val="77328A"/>
          <w:spacing w:val="-4"/>
        </w:rPr>
        <w:t> </w:t>
      </w:r>
      <w:r>
        <w:rPr>
          <w:color w:val="77328A"/>
        </w:rPr>
        <w:t>state</w:t>
      </w:r>
      <w:r>
        <w:rPr>
          <w:color w:val="77328A"/>
          <w:spacing w:val="-4"/>
        </w:rPr>
        <w:t> </w:t>
      </w:r>
      <w:r>
        <w:rPr>
          <w:color w:val="77328A"/>
        </w:rPr>
        <w:t>liability and Article 47</w:t>
      </w:r>
    </w:p>
    <w:p>
      <w:pPr>
        <w:pStyle w:val="BodyText"/>
        <w:spacing w:line="252" w:lineRule="auto" w:before="15"/>
        <w:ind w:right="242"/>
        <w:rPr>
          <w:rFonts w:ascii="Lucida Sans Unicode" w:hAnsi="Lucida Sans Unicode"/>
        </w:rPr>
      </w:pPr>
      <w:r>
        <w:rPr>
          <w:w w:val="110"/>
        </w:rPr>
        <w:t>Finally, as noted earlier, material losses</w:t>
      </w:r>
      <w:r>
        <w:rPr>
          <w:spacing w:val="-3"/>
          <w:w w:val="110"/>
        </w:rPr>
        <w:t> </w:t>
      </w:r>
      <w:r>
        <w:rPr>
          <w:w w:val="110"/>
        </w:rPr>
        <w:t>incurred</w:t>
      </w:r>
      <w:r>
        <w:rPr>
          <w:spacing w:val="-3"/>
          <w:w w:val="110"/>
        </w:rPr>
        <w:t> </w:t>
      </w:r>
      <w:r>
        <w:rPr>
          <w:w w:val="110"/>
        </w:rPr>
        <w:t>because</w:t>
      </w:r>
      <w:r>
        <w:rPr>
          <w:spacing w:val="-3"/>
          <w:w w:val="110"/>
        </w:rPr>
        <w:t> </w:t>
      </w:r>
      <w:r>
        <w:rPr>
          <w:w w:val="110"/>
        </w:rPr>
        <w:t>of</w:t>
      </w:r>
      <w:r>
        <w:rPr>
          <w:spacing w:val="-3"/>
          <w:w w:val="110"/>
        </w:rPr>
        <w:t> </w:t>
      </w:r>
      <w:r>
        <w:rPr>
          <w:w w:val="110"/>
        </w:rPr>
        <w:t>the</w:t>
      </w:r>
      <w:r>
        <w:rPr>
          <w:spacing w:val="-3"/>
          <w:w w:val="110"/>
        </w:rPr>
        <w:t> </w:t>
      </w:r>
      <w:r>
        <w:rPr>
          <w:w w:val="110"/>
        </w:rPr>
        <w:t>state’s </w:t>
      </w:r>
      <w:r>
        <w:rPr>
          <w:rFonts w:ascii="Lucida Sans Unicode" w:hAnsi="Lucida Sans Unicode"/>
        </w:rPr>
        <w:t>sufficiently serious misapplication or</w:t>
      </w:r>
    </w:p>
    <w:p>
      <w:pPr>
        <w:pStyle w:val="BodyText"/>
        <w:spacing w:line="237" w:lineRule="exact"/>
      </w:pPr>
      <w:r>
        <w:rPr>
          <w:w w:val="115"/>
        </w:rPr>
        <w:t>misinterpretation</w:t>
      </w:r>
      <w:r>
        <w:rPr>
          <w:spacing w:val="-10"/>
          <w:w w:val="115"/>
        </w:rPr>
        <w:t> </w:t>
      </w:r>
      <w:r>
        <w:rPr>
          <w:w w:val="115"/>
        </w:rPr>
        <w:t>of</w:t>
      </w:r>
      <w:r>
        <w:rPr>
          <w:spacing w:val="-10"/>
          <w:w w:val="115"/>
        </w:rPr>
        <w:t> </w:t>
      </w:r>
      <w:r>
        <w:rPr>
          <w:w w:val="115"/>
        </w:rPr>
        <w:t>legislation</w:t>
      </w:r>
      <w:r>
        <w:rPr>
          <w:spacing w:val="-9"/>
          <w:w w:val="115"/>
        </w:rPr>
        <w:t> </w:t>
      </w:r>
      <w:r>
        <w:rPr>
          <w:spacing w:val="-2"/>
          <w:w w:val="115"/>
        </w:rPr>
        <w:t>could</w:t>
      </w:r>
    </w:p>
    <w:p>
      <w:pPr>
        <w:pStyle w:val="BodyText"/>
        <w:spacing w:line="310" w:lineRule="exact" w:before="13"/>
        <w:ind w:right="119"/>
      </w:pPr>
      <w:r>
        <w:rPr>
          <w:w w:val="115"/>
        </w:rPr>
        <w:t>result</w:t>
      </w:r>
      <w:r>
        <w:rPr>
          <w:spacing w:val="-9"/>
          <w:w w:val="115"/>
        </w:rPr>
        <w:t> </w:t>
      </w:r>
      <w:r>
        <w:rPr>
          <w:w w:val="115"/>
        </w:rPr>
        <w:t>in</w:t>
      </w:r>
      <w:r>
        <w:rPr>
          <w:spacing w:val="-9"/>
          <w:w w:val="115"/>
        </w:rPr>
        <w:t> </w:t>
      </w:r>
      <w:r>
        <w:rPr>
          <w:w w:val="115"/>
        </w:rPr>
        <w:t>state</w:t>
      </w:r>
      <w:r>
        <w:rPr>
          <w:spacing w:val="-9"/>
          <w:w w:val="115"/>
        </w:rPr>
        <w:t> </w:t>
      </w:r>
      <w:r>
        <w:rPr>
          <w:w w:val="115"/>
        </w:rPr>
        <w:t>liability</w:t>
      </w:r>
      <w:r>
        <w:rPr>
          <w:spacing w:val="-9"/>
          <w:w w:val="115"/>
        </w:rPr>
        <w:t> </w:t>
      </w:r>
      <w:r>
        <w:rPr>
          <w:w w:val="115"/>
        </w:rPr>
        <w:t>in</w:t>
      </w:r>
      <w:r>
        <w:rPr>
          <w:spacing w:val="-9"/>
          <w:w w:val="115"/>
        </w:rPr>
        <w:t> </w:t>
      </w:r>
      <w:r>
        <w:rPr>
          <w:w w:val="115"/>
        </w:rPr>
        <w:t>damages.</w:t>
      </w:r>
      <w:r>
        <w:rPr>
          <w:rFonts w:ascii="Lucida Sans Unicode" w:hAnsi="Lucida Sans Unicode"/>
          <w:w w:val="115"/>
          <w:vertAlign w:val="superscript"/>
        </w:rPr>
        <w:t>278</w:t>
      </w:r>
      <w:r>
        <w:rPr>
          <w:rFonts w:ascii="Lucida Sans Unicode" w:hAnsi="Lucida Sans Unicode"/>
          <w:w w:val="115"/>
          <w:vertAlign w:val="baseline"/>
        </w:rPr>
        <w:t> </w:t>
      </w:r>
      <w:r>
        <w:rPr>
          <w:rFonts w:ascii="Lucida Sans Unicode" w:hAnsi="Lucida Sans Unicode"/>
          <w:vertAlign w:val="baseline"/>
        </w:rPr>
        <w:t>This is because ‘[t]he full </w:t>
      </w:r>
      <w:r>
        <w:rPr>
          <w:rFonts w:ascii="Lucida Sans Unicode" w:hAnsi="Lucida Sans Unicode"/>
          <w:vertAlign w:val="baseline"/>
        </w:rPr>
        <w:t>effectiveness </w:t>
      </w:r>
      <w:r>
        <w:rPr>
          <w:w w:val="115"/>
          <w:vertAlign w:val="baseline"/>
        </w:rPr>
        <w:t>of Community rules would be impaired and the protection of the rights which they grant would be weakened if individuals were unable to</w:t>
      </w:r>
      <w:r>
        <w:rPr>
          <w:spacing w:val="-14"/>
          <w:w w:val="115"/>
          <w:vertAlign w:val="baseline"/>
        </w:rPr>
        <w:t> </w:t>
      </w:r>
      <w:r>
        <w:rPr>
          <w:w w:val="115"/>
          <w:vertAlign w:val="baseline"/>
        </w:rPr>
        <w:t>obtain</w:t>
      </w:r>
      <w:r>
        <w:rPr>
          <w:spacing w:val="-14"/>
          <w:w w:val="115"/>
          <w:vertAlign w:val="baseline"/>
        </w:rPr>
        <w:t> </w:t>
      </w:r>
      <w:r>
        <w:rPr>
          <w:w w:val="115"/>
          <w:vertAlign w:val="baseline"/>
        </w:rPr>
        <w:t>redress</w:t>
      </w:r>
      <w:r>
        <w:rPr>
          <w:spacing w:val="-14"/>
          <w:w w:val="115"/>
          <w:vertAlign w:val="baseline"/>
        </w:rPr>
        <w:t> </w:t>
      </w:r>
      <w:r>
        <w:rPr>
          <w:w w:val="115"/>
          <w:vertAlign w:val="baseline"/>
        </w:rPr>
        <w:t>when</w:t>
      </w:r>
      <w:r>
        <w:rPr>
          <w:spacing w:val="-14"/>
          <w:w w:val="115"/>
          <w:vertAlign w:val="baseline"/>
        </w:rPr>
        <w:t> </w:t>
      </w:r>
      <w:r>
        <w:rPr>
          <w:w w:val="115"/>
          <w:vertAlign w:val="baseline"/>
        </w:rPr>
        <w:t>their</w:t>
      </w:r>
      <w:r>
        <w:rPr>
          <w:spacing w:val="-14"/>
          <w:w w:val="115"/>
          <w:vertAlign w:val="baseline"/>
        </w:rPr>
        <w:t> </w:t>
      </w:r>
      <w:r>
        <w:rPr>
          <w:w w:val="115"/>
          <w:vertAlign w:val="baseline"/>
        </w:rPr>
        <w:t>rights</w:t>
      </w:r>
      <w:r>
        <w:rPr>
          <w:spacing w:val="-14"/>
          <w:w w:val="115"/>
          <w:vertAlign w:val="baseline"/>
        </w:rPr>
        <w:t> </w:t>
      </w:r>
      <w:r>
        <w:rPr>
          <w:w w:val="115"/>
          <w:vertAlign w:val="baseline"/>
        </w:rPr>
        <w:t>are infringed by a breach of Community </w:t>
      </w:r>
      <w:r>
        <w:rPr>
          <w:rFonts w:ascii="Lucida Sans Unicode" w:hAnsi="Lucida Sans Unicode"/>
          <w:w w:val="110"/>
          <w:vertAlign w:val="baseline"/>
        </w:rPr>
        <w:t>law</w:t>
      </w:r>
      <w:r>
        <w:rPr>
          <w:rFonts w:ascii="Lucida Sans Unicode" w:hAnsi="Lucida Sans Unicode"/>
          <w:spacing w:val="-21"/>
          <w:w w:val="110"/>
          <w:vertAlign w:val="baseline"/>
        </w:rPr>
        <w:t> </w:t>
      </w:r>
      <w:r>
        <w:rPr>
          <w:rFonts w:ascii="Lucida Sans Unicode" w:hAnsi="Lucida Sans Unicode"/>
          <w:w w:val="110"/>
          <w:vertAlign w:val="baseline"/>
        </w:rPr>
        <w:t>for</w:t>
      </w:r>
      <w:r>
        <w:rPr>
          <w:rFonts w:ascii="Lucida Sans Unicode" w:hAnsi="Lucida Sans Unicode"/>
          <w:spacing w:val="-21"/>
          <w:w w:val="110"/>
          <w:vertAlign w:val="baseline"/>
        </w:rPr>
        <w:t> </w:t>
      </w:r>
      <w:r>
        <w:rPr>
          <w:rFonts w:ascii="Lucida Sans Unicode" w:hAnsi="Lucida Sans Unicode"/>
          <w:w w:val="110"/>
          <w:vertAlign w:val="baseline"/>
        </w:rPr>
        <w:t>which</w:t>
      </w:r>
      <w:r>
        <w:rPr>
          <w:rFonts w:ascii="Lucida Sans Unicode" w:hAnsi="Lucida Sans Unicode"/>
          <w:spacing w:val="-21"/>
          <w:w w:val="110"/>
          <w:vertAlign w:val="baseline"/>
        </w:rPr>
        <w:t> </w:t>
      </w:r>
      <w:r>
        <w:rPr>
          <w:rFonts w:ascii="Lucida Sans Unicode" w:hAnsi="Lucida Sans Unicode"/>
          <w:w w:val="110"/>
          <w:vertAlign w:val="baseline"/>
        </w:rPr>
        <w:t>a</w:t>
      </w:r>
      <w:r>
        <w:rPr>
          <w:rFonts w:ascii="Lucida Sans Unicode" w:hAnsi="Lucida Sans Unicode"/>
          <w:spacing w:val="-21"/>
          <w:w w:val="110"/>
          <w:vertAlign w:val="baseline"/>
        </w:rPr>
        <w:t> </w:t>
      </w:r>
      <w:r>
        <w:rPr>
          <w:rFonts w:ascii="Lucida Sans Unicode" w:hAnsi="Lucida Sans Unicode"/>
          <w:w w:val="110"/>
          <w:vertAlign w:val="baseline"/>
        </w:rPr>
        <w:t>Member</w:t>
      </w:r>
      <w:r>
        <w:rPr>
          <w:rFonts w:ascii="Lucida Sans Unicode" w:hAnsi="Lucida Sans Unicode"/>
          <w:spacing w:val="-21"/>
          <w:w w:val="110"/>
          <w:vertAlign w:val="baseline"/>
        </w:rPr>
        <w:t> </w:t>
      </w:r>
      <w:r>
        <w:rPr>
          <w:rFonts w:ascii="Lucida Sans Unicode" w:hAnsi="Lucida Sans Unicode"/>
          <w:w w:val="110"/>
          <w:vertAlign w:val="baseline"/>
        </w:rPr>
        <w:t>State</w:t>
      </w:r>
      <w:r>
        <w:rPr>
          <w:rFonts w:ascii="Lucida Sans Unicode" w:hAnsi="Lucida Sans Unicode"/>
          <w:spacing w:val="-20"/>
          <w:w w:val="110"/>
          <w:vertAlign w:val="baseline"/>
        </w:rPr>
        <w:t> </w:t>
      </w:r>
      <w:r>
        <w:rPr>
          <w:rFonts w:ascii="Lucida Sans Unicode" w:hAnsi="Lucida Sans Unicode"/>
          <w:w w:val="110"/>
          <w:vertAlign w:val="baseline"/>
        </w:rPr>
        <w:t>can</w:t>
      </w:r>
      <w:r>
        <w:rPr>
          <w:rFonts w:ascii="Lucida Sans Unicode" w:hAnsi="Lucida Sans Unicode"/>
          <w:spacing w:val="-21"/>
          <w:w w:val="110"/>
          <w:vertAlign w:val="baseline"/>
        </w:rPr>
        <w:t> </w:t>
      </w:r>
      <w:r>
        <w:rPr>
          <w:rFonts w:ascii="Lucida Sans Unicode" w:hAnsi="Lucida Sans Unicode"/>
          <w:w w:val="110"/>
          <w:vertAlign w:val="baseline"/>
        </w:rPr>
        <w:t>be </w:t>
      </w:r>
      <w:r>
        <w:rPr>
          <w:w w:val="115"/>
          <w:vertAlign w:val="baseline"/>
        </w:rPr>
        <w:t>held</w:t>
      </w:r>
      <w:r>
        <w:rPr>
          <w:spacing w:val="-20"/>
          <w:w w:val="115"/>
          <w:vertAlign w:val="baseline"/>
        </w:rPr>
        <w:t> </w:t>
      </w:r>
      <w:r>
        <w:rPr>
          <w:w w:val="115"/>
          <w:vertAlign w:val="baseline"/>
        </w:rPr>
        <w:t>responsible’.</w:t>
      </w:r>
      <w:r>
        <w:rPr>
          <w:rFonts w:ascii="Lucida Sans Unicode" w:hAnsi="Lucida Sans Unicode"/>
          <w:w w:val="115"/>
          <w:vertAlign w:val="superscript"/>
        </w:rPr>
        <w:t>279</w:t>
      </w:r>
      <w:r>
        <w:rPr>
          <w:rFonts w:ascii="Lucida Sans Unicode" w:hAnsi="Lucida Sans Unicode"/>
          <w:spacing w:val="-21"/>
          <w:w w:val="115"/>
          <w:vertAlign w:val="baseline"/>
        </w:rPr>
        <w:t> </w:t>
      </w:r>
      <w:r>
        <w:rPr>
          <w:w w:val="115"/>
          <w:vertAlign w:val="baseline"/>
        </w:rPr>
        <w:t>Domestic</w:t>
      </w:r>
      <w:r>
        <w:rPr>
          <w:spacing w:val="-20"/>
          <w:w w:val="115"/>
          <w:vertAlign w:val="baseline"/>
        </w:rPr>
        <w:t> </w:t>
      </w:r>
      <w:r>
        <w:rPr>
          <w:w w:val="115"/>
          <w:vertAlign w:val="baseline"/>
        </w:rPr>
        <w:t>courts have recognised and applied the rule </w:t>
      </w:r>
      <w:r>
        <w:rPr>
          <w:w w:val="110"/>
          <w:vertAlign w:val="baseline"/>
        </w:rPr>
        <w:t>in</w:t>
      </w:r>
      <w:r>
        <w:rPr>
          <w:spacing w:val="-19"/>
          <w:w w:val="110"/>
          <w:vertAlign w:val="baseline"/>
        </w:rPr>
        <w:t> </w:t>
      </w:r>
      <w:r>
        <w:rPr>
          <w:rFonts w:ascii="Verdana" w:hAnsi="Verdana"/>
          <w:i/>
          <w:w w:val="110"/>
          <w:vertAlign w:val="baseline"/>
        </w:rPr>
        <w:t>Francovich</w:t>
      </w:r>
      <w:r>
        <w:rPr>
          <w:rFonts w:ascii="Verdana" w:hAnsi="Verdana"/>
          <w:i/>
          <w:spacing w:val="-23"/>
          <w:w w:val="110"/>
          <w:vertAlign w:val="baseline"/>
        </w:rPr>
        <w:t> </w:t>
      </w:r>
      <w:r>
        <w:rPr>
          <w:w w:val="110"/>
          <w:vertAlign w:val="baseline"/>
        </w:rPr>
        <w:t>since</w:t>
      </w:r>
      <w:r>
        <w:rPr>
          <w:spacing w:val="-18"/>
          <w:w w:val="110"/>
          <w:vertAlign w:val="baseline"/>
        </w:rPr>
        <w:t> </w:t>
      </w:r>
      <w:r>
        <w:rPr>
          <w:w w:val="110"/>
          <w:vertAlign w:val="baseline"/>
        </w:rPr>
        <w:t>the</w:t>
      </w:r>
      <w:r>
        <w:rPr>
          <w:spacing w:val="-19"/>
          <w:w w:val="110"/>
          <w:vertAlign w:val="baseline"/>
        </w:rPr>
        <w:t> </w:t>
      </w:r>
      <w:r>
        <w:rPr>
          <w:rFonts w:ascii="Verdana" w:hAnsi="Verdana"/>
          <w:i/>
          <w:w w:val="110"/>
          <w:vertAlign w:val="baseline"/>
        </w:rPr>
        <w:t>Factortame</w:t>
      </w:r>
      <w:r>
        <w:rPr>
          <w:rFonts w:ascii="Verdana" w:hAnsi="Verdana"/>
          <w:i/>
          <w:w w:val="110"/>
          <w:vertAlign w:val="baseline"/>
        </w:rPr>
        <w:t> </w:t>
      </w:r>
      <w:r>
        <w:rPr>
          <w:rFonts w:ascii="Verdana" w:hAnsi="Verdana"/>
          <w:i/>
          <w:spacing w:val="-2"/>
          <w:w w:val="115"/>
          <w:vertAlign w:val="baseline"/>
        </w:rPr>
        <w:t>(no</w:t>
      </w:r>
      <w:r>
        <w:rPr>
          <w:rFonts w:ascii="Verdana" w:hAnsi="Verdana"/>
          <w:i/>
          <w:spacing w:val="-26"/>
          <w:w w:val="115"/>
          <w:vertAlign w:val="baseline"/>
        </w:rPr>
        <w:t> </w:t>
      </w:r>
      <w:r>
        <w:rPr>
          <w:rFonts w:ascii="Verdana" w:hAnsi="Verdana"/>
          <w:i/>
          <w:spacing w:val="-2"/>
          <w:w w:val="115"/>
          <w:vertAlign w:val="baseline"/>
        </w:rPr>
        <w:t>4)</w:t>
      </w:r>
      <w:r>
        <w:rPr>
          <w:rFonts w:ascii="Verdana" w:hAnsi="Verdana"/>
          <w:i/>
          <w:spacing w:val="-26"/>
          <w:w w:val="115"/>
          <w:vertAlign w:val="baseline"/>
        </w:rPr>
        <w:t> </w:t>
      </w:r>
      <w:r>
        <w:rPr>
          <w:spacing w:val="-2"/>
          <w:w w:val="115"/>
          <w:vertAlign w:val="baseline"/>
        </w:rPr>
        <w:t>ruling.</w:t>
      </w:r>
      <w:r>
        <w:rPr>
          <w:rFonts w:ascii="Lucida Sans Unicode" w:hAnsi="Lucida Sans Unicode"/>
          <w:spacing w:val="-2"/>
          <w:w w:val="115"/>
          <w:vertAlign w:val="superscript"/>
        </w:rPr>
        <w:t>280</w:t>
      </w:r>
      <w:r>
        <w:rPr>
          <w:rFonts w:ascii="Lucida Sans Unicode" w:hAnsi="Lucida Sans Unicode"/>
          <w:spacing w:val="-20"/>
          <w:w w:val="115"/>
          <w:vertAlign w:val="baseline"/>
        </w:rPr>
        <w:t> </w:t>
      </w:r>
      <w:r>
        <w:rPr>
          <w:spacing w:val="-2"/>
          <w:w w:val="115"/>
          <w:vertAlign w:val="baseline"/>
        </w:rPr>
        <w:t>Further,</w:t>
      </w:r>
      <w:r>
        <w:rPr>
          <w:spacing w:val="-17"/>
          <w:w w:val="115"/>
          <w:vertAlign w:val="baseline"/>
        </w:rPr>
        <w:t> </w:t>
      </w:r>
      <w:r>
        <w:rPr>
          <w:spacing w:val="-2"/>
          <w:w w:val="115"/>
          <w:vertAlign w:val="baseline"/>
        </w:rPr>
        <w:t>while</w:t>
      </w:r>
      <w:r>
        <w:rPr>
          <w:spacing w:val="-17"/>
          <w:w w:val="115"/>
          <w:vertAlign w:val="baseline"/>
        </w:rPr>
        <w:t> </w:t>
      </w:r>
      <w:r>
        <w:rPr>
          <w:spacing w:val="-2"/>
          <w:w w:val="115"/>
          <w:vertAlign w:val="baseline"/>
        </w:rPr>
        <w:t>state </w:t>
      </w:r>
      <w:r>
        <w:rPr>
          <w:w w:val="115"/>
          <w:vertAlign w:val="baseline"/>
        </w:rPr>
        <w:t>liability cases did not typically concern the Charter, domestic courts had understood and embraced alternative ways of remedying violations of EU fundamental rights.</w:t>
      </w:r>
    </w:p>
    <w:p>
      <w:pPr>
        <w:pStyle w:val="BodyText"/>
        <w:spacing w:line="310" w:lineRule="exact"/>
        <w:ind w:right="317"/>
      </w:pPr>
      <w:r>
        <w:rPr>
          <w:w w:val="110"/>
        </w:rPr>
        <w:t>In the ruling in </w:t>
      </w:r>
      <w:r>
        <w:rPr>
          <w:rFonts w:ascii="Verdana"/>
          <w:i/>
          <w:w w:val="110"/>
        </w:rPr>
        <w:t>Benkharbouche,</w:t>
      </w:r>
      <w:r>
        <w:rPr>
          <w:rFonts w:ascii="Verdana"/>
          <w:i/>
          <w:spacing w:val="-18"/>
          <w:w w:val="110"/>
        </w:rPr>
        <w:t> </w:t>
      </w:r>
      <w:r>
        <w:rPr>
          <w:w w:val="110"/>
        </w:rPr>
        <w:t>for instance, domestic courts </w:t>
      </w:r>
      <w:r>
        <w:rPr>
          <w:w w:val="110"/>
        </w:rPr>
        <w:t>recognised </w:t>
      </w:r>
      <w:r>
        <w:rPr>
          <w:rFonts w:ascii="Lucida Sans Unicode"/>
          <w:w w:val="110"/>
        </w:rPr>
        <w:t>the</w:t>
      </w:r>
      <w:r>
        <w:rPr>
          <w:rFonts w:ascii="Lucida Sans Unicode"/>
          <w:spacing w:val="-21"/>
          <w:w w:val="110"/>
        </w:rPr>
        <w:t> </w:t>
      </w:r>
      <w:r>
        <w:rPr>
          <w:rFonts w:ascii="Lucida Sans Unicode"/>
          <w:w w:val="110"/>
        </w:rPr>
        <w:t>direct</w:t>
      </w:r>
      <w:r>
        <w:rPr>
          <w:rFonts w:ascii="Lucida Sans Unicode"/>
          <w:spacing w:val="-21"/>
          <w:w w:val="110"/>
        </w:rPr>
        <w:t> </w:t>
      </w:r>
      <w:r>
        <w:rPr>
          <w:rFonts w:ascii="Lucida Sans Unicode"/>
          <w:w w:val="110"/>
        </w:rPr>
        <w:t>effect</w:t>
      </w:r>
      <w:r>
        <w:rPr>
          <w:rFonts w:ascii="Lucida Sans Unicode"/>
          <w:spacing w:val="-21"/>
          <w:w w:val="110"/>
        </w:rPr>
        <w:t> </w:t>
      </w:r>
      <w:r>
        <w:rPr>
          <w:rFonts w:ascii="Lucida Sans Unicode"/>
          <w:w w:val="110"/>
        </w:rPr>
        <w:t>of</w:t>
      </w:r>
      <w:r>
        <w:rPr>
          <w:rFonts w:ascii="Lucida Sans Unicode"/>
          <w:spacing w:val="-21"/>
          <w:w w:val="110"/>
        </w:rPr>
        <w:t> </w:t>
      </w:r>
      <w:r>
        <w:rPr>
          <w:rFonts w:ascii="Lucida Sans Unicode"/>
          <w:w w:val="110"/>
        </w:rPr>
        <w:t>Article</w:t>
      </w:r>
      <w:r>
        <w:rPr>
          <w:rFonts w:ascii="Lucida Sans Unicode"/>
          <w:spacing w:val="-21"/>
          <w:w w:val="110"/>
        </w:rPr>
        <w:t> </w:t>
      </w:r>
      <w:r>
        <w:rPr>
          <w:rFonts w:ascii="Lucida Sans Unicode"/>
          <w:w w:val="110"/>
        </w:rPr>
        <w:t>47</w:t>
      </w:r>
      <w:r>
        <w:rPr>
          <w:rFonts w:ascii="Lucida Sans Unicode"/>
          <w:spacing w:val="-21"/>
          <w:w w:val="110"/>
        </w:rPr>
        <w:t> </w:t>
      </w:r>
      <w:r>
        <w:rPr>
          <w:rFonts w:ascii="Lucida Sans Unicode"/>
          <w:w w:val="110"/>
        </w:rPr>
        <w:t>and </w:t>
      </w:r>
      <w:r>
        <w:rPr>
          <w:w w:val="110"/>
        </w:rPr>
        <w:t>used this provision to disapply incompatible legislation and thereby provide an effective remedy (an approach that was subsequently consolidated by the CJEU in </w:t>
      </w:r>
      <w:r>
        <w:rPr>
          <w:rFonts w:ascii="Verdana"/>
          <w:i/>
          <w:spacing w:val="-2"/>
        </w:rPr>
        <w:t>Egenberger</w:t>
      </w:r>
      <w:r>
        <w:rPr>
          <w:rFonts w:ascii="Verdana"/>
          <w:i/>
          <w:spacing w:val="-2"/>
          <w:vertAlign w:val="superscript"/>
        </w:rPr>
        <w:t>281</w:t>
      </w:r>
      <w:r>
        <w:rPr>
          <w:spacing w:val="-2"/>
          <w:vertAlign w:val="baseline"/>
        </w:rPr>
        <w:t>).</w:t>
      </w:r>
    </w:p>
    <w:p>
      <w:pPr>
        <w:spacing w:after="0" w:line="310" w:lineRule="exact"/>
        <w:sectPr>
          <w:type w:val="continuous"/>
          <w:pgSz w:w="11910" w:h="16840"/>
          <w:pgMar w:header="568" w:footer="580" w:top="0" w:bottom="280" w:left="1020" w:right="1020"/>
          <w:cols w:num="2" w:equalWidth="0">
            <w:col w:w="4596" w:space="450"/>
            <w:col w:w="4824"/>
          </w:cols>
        </w:sectPr>
      </w:pPr>
    </w:p>
    <w:p>
      <w:pPr>
        <w:pStyle w:val="BodyText"/>
        <w:ind w:left="0"/>
        <w:rPr>
          <w:sz w:val="20"/>
        </w:rPr>
      </w:pPr>
    </w:p>
    <w:p>
      <w:pPr>
        <w:pStyle w:val="BodyText"/>
        <w:ind w:left="0"/>
        <w:rPr>
          <w:sz w:val="20"/>
        </w:rPr>
      </w:pPr>
    </w:p>
    <w:p>
      <w:pPr>
        <w:pStyle w:val="BodyText"/>
        <w:ind w:left="0"/>
        <w:rPr>
          <w:sz w:val="20"/>
        </w:rPr>
      </w:pPr>
    </w:p>
    <w:p>
      <w:pPr>
        <w:pStyle w:val="BodyText"/>
        <w:spacing w:before="83"/>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172" name="Group 172"/>
                <wp:cNvGraphicFramePr>
                  <a:graphicFrameLocks/>
                </wp:cNvGraphicFramePr>
                <a:graphic>
                  <a:graphicData uri="http://schemas.microsoft.com/office/word/2010/wordprocessingGroup">
                    <wpg:wgp>
                      <wpg:cNvPr id="172" name="Group 172"/>
                      <wpg:cNvGrpSpPr/>
                      <wpg:grpSpPr>
                        <a:xfrm>
                          <a:off x="0" y="0"/>
                          <a:ext cx="6120130" cy="6350"/>
                          <a:chExt cx="6120130" cy="6350"/>
                        </a:xfrm>
                      </wpg:grpSpPr>
                      <wps:wsp>
                        <wps:cNvPr id="173" name="Graphic 173"/>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105"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14"/>
        </w:numPr>
        <w:tabs>
          <w:tab w:pos="565" w:val="left" w:leader="none"/>
        </w:tabs>
        <w:spacing w:line="223" w:lineRule="exact" w:before="61" w:after="0"/>
        <w:ind w:left="565" w:right="0" w:hanging="452"/>
        <w:jc w:val="left"/>
        <w:rPr>
          <w:sz w:val="16"/>
        </w:rPr>
      </w:pPr>
      <w:r>
        <w:rPr>
          <w:rFonts w:ascii="Verdana"/>
          <w:i/>
          <w:w w:val="90"/>
          <w:sz w:val="16"/>
        </w:rPr>
        <w:t>Ibid,</w:t>
      </w:r>
      <w:r>
        <w:rPr>
          <w:rFonts w:ascii="Verdana"/>
          <w:i/>
          <w:spacing w:val="8"/>
          <w:sz w:val="16"/>
        </w:rPr>
        <w:t> </w:t>
      </w:r>
      <w:r>
        <w:rPr>
          <w:w w:val="90"/>
          <w:sz w:val="16"/>
        </w:rPr>
        <w:t>paras</w:t>
      </w:r>
      <w:r>
        <w:rPr>
          <w:spacing w:val="14"/>
          <w:sz w:val="16"/>
        </w:rPr>
        <w:t> </w:t>
      </w:r>
      <w:r>
        <w:rPr>
          <w:w w:val="90"/>
          <w:sz w:val="16"/>
        </w:rPr>
        <w:t>91-</w:t>
      </w:r>
      <w:r>
        <w:rPr>
          <w:spacing w:val="-5"/>
          <w:w w:val="90"/>
          <w:sz w:val="16"/>
        </w:rPr>
        <w:t>92.</w:t>
      </w:r>
    </w:p>
    <w:p>
      <w:pPr>
        <w:pStyle w:val="ListParagraph"/>
        <w:numPr>
          <w:ilvl w:val="0"/>
          <w:numId w:val="14"/>
        </w:numPr>
        <w:tabs>
          <w:tab w:pos="567" w:val="left" w:leader="none"/>
        </w:tabs>
        <w:spacing w:line="194" w:lineRule="auto" w:before="10" w:after="0"/>
        <w:ind w:left="567" w:right="159" w:hanging="454"/>
        <w:jc w:val="left"/>
        <w:rPr>
          <w:sz w:val="16"/>
        </w:rPr>
      </w:pPr>
      <w:r>
        <w:rPr>
          <w:rFonts w:ascii="Verdana"/>
          <w:i/>
          <w:sz w:val="16"/>
        </w:rPr>
        <w:t>Pfeiffer</w:t>
      </w:r>
      <w:r>
        <w:rPr>
          <w:rFonts w:ascii="Verdana"/>
          <w:i/>
          <w:spacing w:val="-7"/>
          <w:sz w:val="16"/>
        </w:rPr>
        <w:t> </w:t>
      </w:r>
      <w:r>
        <w:rPr>
          <w:sz w:val="16"/>
        </w:rPr>
        <w:t>(n</w:t>
      </w:r>
      <w:r>
        <w:rPr>
          <w:spacing w:val="-1"/>
          <w:sz w:val="16"/>
        </w:rPr>
        <w:t> </w:t>
      </w:r>
      <w:r>
        <w:rPr>
          <w:sz w:val="16"/>
        </w:rPr>
        <w:t>62);</w:t>
      </w:r>
      <w:r>
        <w:rPr>
          <w:spacing w:val="-1"/>
          <w:sz w:val="16"/>
        </w:rPr>
        <w:t> </w:t>
      </w:r>
      <w:r>
        <w:rPr>
          <w:sz w:val="16"/>
        </w:rPr>
        <w:t>Case</w:t>
      </w:r>
      <w:r>
        <w:rPr>
          <w:spacing w:val="-1"/>
          <w:sz w:val="16"/>
        </w:rPr>
        <w:t> </w:t>
      </w:r>
      <w:r>
        <w:rPr>
          <w:sz w:val="16"/>
        </w:rPr>
        <w:t>C-212/04,</w:t>
      </w:r>
      <w:r>
        <w:rPr>
          <w:spacing w:val="-1"/>
          <w:sz w:val="16"/>
        </w:rPr>
        <w:t> </w:t>
      </w:r>
      <w:r>
        <w:rPr>
          <w:rFonts w:ascii="Verdana"/>
          <w:i/>
          <w:sz w:val="16"/>
        </w:rPr>
        <w:t>Adeneler</w:t>
      </w:r>
      <w:r>
        <w:rPr>
          <w:rFonts w:ascii="Verdana"/>
          <w:i/>
          <w:spacing w:val="-7"/>
          <w:sz w:val="16"/>
        </w:rPr>
        <w:t> </w:t>
      </w:r>
      <w:r>
        <w:rPr>
          <w:rFonts w:ascii="Verdana"/>
          <w:i/>
          <w:sz w:val="16"/>
        </w:rPr>
        <w:t>and</w:t>
      </w:r>
      <w:r>
        <w:rPr>
          <w:rFonts w:ascii="Verdana"/>
          <w:i/>
          <w:spacing w:val="-7"/>
          <w:sz w:val="16"/>
        </w:rPr>
        <w:t> </w:t>
      </w:r>
      <w:r>
        <w:rPr>
          <w:rFonts w:ascii="Verdana"/>
          <w:i/>
          <w:sz w:val="16"/>
        </w:rPr>
        <w:t>Others</w:t>
      </w:r>
      <w:r>
        <w:rPr>
          <w:rFonts w:ascii="Verdana"/>
          <w:i/>
          <w:spacing w:val="-7"/>
          <w:sz w:val="16"/>
        </w:rPr>
        <w:t> </w:t>
      </w:r>
      <w:r>
        <w:rPr>
          <w:rFonts w:ascii="Verdana"/>
          <w:i/>
          <w:sz w:val="16"/>
        </w:rPr>
        <w:t>v</w:t>
      </w:r>
      <w:r>
        <w:rPr>
          <w:rFonts w:ascii="Verdana"/>
          <w:i/>
          <w:spacing w:val="-7"/>
          <w:sz w:val="16"/>
        </w:rPr>
        <w:t> </w:t>
      </w:r>
      <w:r>
        <w:rPr>
          <w:rFonts w:ascii="Verdana"/>
          <w:i/>
          <w:sz w:val="16"/>
        </w:rPr>
        <w:t>Ellinikos</w:t>
      </w:r>
      <w:r>
        <w:rPr>
          <w:rFonts w:ascii="Verdana"/>
          <w:i/>
          <w:spacing w:val="-7"/>
          <w:sz w:val="16"/>
        </w:rPr>
        <w:t> </w:t>
      </w:r>
      <w:r>
        <w:rPr>
          <w:rFonts w:ascii="Verdana"/>
          <w:i/>
          <w:sz w:val="16"/>
        </w:rPr>
        <w:t>Organismos</w:t>
      </w:r>
      <w:r>
        <w:rPr>
          <w:rFonts w:ascii="Verdana"/>
          <w:i/>
          <w:spacing w:val="-7"/>
          <w:sz w:val="16"/>
        </w:rPr>
        <w:t> </w:t>
      </w:r>
      <w:r>
        <w:rPr>
          <w:rFonts w:ascii="Verdana"/>
          <w:i/>
          <w:sz w:val="16"/>
        </w:rPr>
        <w:t>Galaktos</w:t>
      </w:r>
      <w:r>
        <w:rPr>
          <w:rFonts w:ascii="Verdana"/>
          <w:i/>
          <w:spacing w:val="-7"/>
          <w:sz w:val="16"/>
        </w:rPr>
        <w:t> </w:t>
      </w:r>
      <w:r>
        <w:rPr>
          <w:sz w:val="16"/>
        </w:rPr>
        <w:t>(ELOG)</w:t>
      </w:r>
      <w:r>
        <w:rPr>
          <w:spacing w:val="-1"/>
          <w:sz w:val="16"/>
        </w:rPr>
        <w:t> </w:t>
      </w:r>
      <w:r>
        <w:rPr>
          <w:sz w:val="16"/>
        </w:rPr>
        <w:t>EU:C:2006:443;</w:t>
      </w:r>
      <w:r>
        <w:rPr>
          <w:spacing w:val="-1"/>
          <w:sz w:val="16"/>
        </w:rPr>
        <w:t> </w:t>
      </w:r>
      <w:r>
        <w:rPr>
          <w:rFonts w:ascii="Verdana"/>
          <w:i/>
          <w:sz w:val="16"/>
        </w:rPr>
        <w:t>Dansk</w:t>
      </w:r>
      <w:r>
        <w:rPr>
          <w:rFonts w:ascii="Verdana"/>
          <w:i/>
          <w:sz w:val="16"/>
        </w:rPr>
        <w:t> Industri </w:t>
      </w:r>
      <w:r>
        <w:rPr>
          <w:sz w:val="16"/>
        </w:rPr>
        <w:t>(n 58).</w:t>
      </w:r>
    </w:p>
    <w:p>
      <w:pPr>
        <w:pStyle w:val="ListParagraph"/>
        <w:numPr>
          <w:ilvl w:val="0"/>
          <w:numId w:val="14"/>
        </w:numPr>
        <w:tabs>
          <w:tab w:pos="565" w:val="left" w:leader="none"/>
        </w:tabs>
        <w:spacing w:line="191" w:lineRule="exact" w:before="0" w:after="0"/>
        <w:ind w:left="565" w:right="0" w:hanging="452"/>
        <w:jc w:val="left"/>
        <w:rPr>
          <w:sz w:val="16"/>
        </w:rPr>
      </w:pPr>
      <w:r>
        <w:rPr>
          <w:rFonts w:ascii="Verdana"/>
          <w:i/>
          <w:sz w:val="16"/>
        </w:rPr>
        <w:t>Revenue</w:t>
      </w:r>
      <w:r>
        <w:rPr>
          <w:rFonts w:ascii="Verdana"/>
          <w:i/>
          <w:spacing w:val="-7"/>
          <w:sz w:val="16"/>
        </w:rPr>
        <w:t> </w:t>
      </w:r>
      <w:r>
        <w:rPr>
          <w:rFonts w:ascii="Verdana"/>
          <w:i/>
          <w:sz w:val="16"/>
        </w:rPr>
        <w:t>and</w:t>
      </w:r>
      <w:r>
        <w:rPr>
          <w:rFonts w:ascii="Verdana"/>
          <w:i/>
          <w:spacing w:val="-7"/>
          <w:sz w:val="16"/>
        </w:rPr>
        <w:t> </w:t>
      </w:r>
      <w:r>
        <w:rPr>
          <w:rFonts w:ascii="Verdana"/>
          <w:i/>
          <w:sz w:val="16"/>
        </w:rPr>
        <w:t>Customs</w:t>
      </w:r>
      <w:r>
        <w:rPr>
          <w:rFonts w:ascii="Verdana"/>
          <w:i/>
          <w:spacing w:val="-7"/>
          <w:sz w:val="16"/>
        </w:rPr>
        <w:t> </w:t>
      </w:r>
      <w:r>
        <w:rPr>
          <w:rFonts w:ascii="Verdana"/>
          <w:i/>
          <w:sz w:val="16"/>
        </w:rPr>
        <w:t>v</w:t>
      </w:r>
      <w:r>
        <w:rPr>
          <w:rFonts w:ascii="Verdana"/>
          <w:i/>
          <w:spacing w:val="-7"/>
          <w:sz w:val="16"/>
        </w:rPr>
        <w:t> </w:t>
      </w:r>
      <w:r>
        <w:rPr>
          <w:rFonts w:ascii="Verdana"/>
          <w:i/>
          <w:sz w:val="16"/>
        </w:rPr>
        <w:t>IDT</w:t>
      </w:r>
      <w:r>
        <w:rPr>
          <w:rFonts w:ascii="Verdana"/>
          <w:i/>
          <w:spacing w:val="-6"/>
          <w:sz w:val="16"/>
        </w:rPr>
        <w:t> </w:t>
      </w:r>
      <w:r>
        <w:rPr>
          <w:rFonts w:ascii="Verdana"/>
          <w:i/>
          <w:sz w:val="16"/>
        </w:rPr>
        <w:t>Card</w:t>
      </w:r>
      <w:r>
        <w:rPr>
          <w:rFonts w:ascii="Verdana"/>
          <w:i/>
          <w:spacing w:val="-7"/>
          <w:sz w:val="16"/>
        </w:rPr>
        <w:t> </w:t>
      </w:r>
      <w:r>
        <w:rPr>
          <w:rFonts w:ascii="Verdana"/>
          <w:i/>
          <w:sz w:val="16"/>
        </w:rPr>
        <w:t>Services</w:t>
      </w:r>
      <w:r>
        <w:rPr>
          <w:rFonts w:ascii="Verdana"/>
          <w:i/>
          <w:spacing w:val="-7"/>
          <w:sz w:val="16"/>
        </w:rPr>
        <w:t> </w:t>
      </w:r>
      <w:r>
        <w:rPr>
          <w:rFonts w:ascii="Verdana"/>
          <w:i/>
          <w:sz w:val="16"/>
        </w:rPr>
        <w:t>Ireland</w:t>
      </w:r>
      <w:r>
        <w:rPr>
          <w:rFonts w:ascii="Verdana"/>
          <w:i/>
          <w:spacing w:val="-7"/>
          <w:sz w:val="16"/>
        </w:rPr>
        <w:t> </w:t>
      </w:r>
      <w:r>
        <w:rPr>
          <w:rFonts w:ascii="Verdana"/>
          <w:i/>
          <w:sz w:val="16"/>
        </w:rPr>
        <w:t>Ltd</w:t>
      </w:r>
      <w:r>
        <w:rPr>
          <w:rFonts w:ascii="Verdana"/>
          <w:i/>
          <w:spacing w:val="-7"/>
          <w:sz w:val="16"/>
        </w:rPr>
        <w:t> </w:t>
      </w:r>
      <w:r>
        <w:rPr>
          <w:sz w:val="16"/>
        </w:rPr>
        <w:t>[2006] EWCA</w:t>
      </w:r>
      <w:r>
        <w:rPr>
          <w:spacing w:val="-1"/>
          <w:sz w:val="16"/>
        </w:rPr>
        <w:t> </w:t>
      </w:r>
      <w:r>
        <w:rPr>
          <w:sz w:val="16"/>
        </w:rPr>
        <w:t>Civ</w:t>
      </w:r>
      <w:r>
        <w:rPr>
          <w:spacing w:val="-1"/>
          <w:sz w:val="16"/>
        </w:rPr>
        <w:t> </w:t>
      </w:r>
      <w:r>
        <w:rPr>
          <w:sz w:val="16"/>
        </w:rPr>
        <w:t>29</w:t>
      </w:r>
      <w:r>
        <w:rPr>
          <w:spacing w:val="-1"/>
          <w:sz w:val="16"/>
        </w:rPr>
        <w:t> </w:t>
      </w:r>
      <w:r>
        <w:rPr>
          <w:sz w:val="16"/>
        </w:rPr>
        <w:t>at para</w:t>
      </w:r>
      <w:r>
        <w:rPr>
          <w:spacing w:val="-1"/>
          <w:sz w:val="16"/>
        </w:rPr>
        <w:t> </w:t>
      </w:r>
      <w:r>
        <w:rPr>
          <w:sz w:val="16"/>
        </w:rPr>
        <w:t>91,</w:t>
      </w:r>
      <w:r>
        <w:rPr>
          <w:spacing w:val="-1"/>
          <w:sz w:val="16"/>
        </w:rPr>
        <w:t> </w:t>
      </w:r>
      <w:r>
        <w:rPr>
          <w:sz w:val="16"/>
        </w:rPr>
        <w:t>per</w:t>
      </w:r>
      <w:r>
        <w:rPr>
          <w:spacing w:val="-1"/>
          <w:sz w:val="16"/>
        </w:rPr>
        <w:t> </w:t>
      </w:r>
      <w:r>
        <w:rPr>
          <w:sz w:val="16"/>
        </w:rPr>
        <w:t>Arden </w:t>
      </w:r>
      <w:r>
        <w:rPr>
          <w:spacing w:val="-5"/>
          <w:sz w:val="16"/>
        </w:rPr>
        <w:t>LJ.</w:t>
      </w:r>
    </w:p>
    <w:p>
      <w:pPr>
        <w:pStyle w:val="ListParagraph"/>
        <w:numPr>
          <w:ilvl w:val="0"/>
          <w:numId w:val="14"/>
        </w:numPr>
        <w:tabs>
          <w:tab w:pos="566" w:val="left" w:leader="none"/>
        </w:tabs>
        <w:spacing w:line="200" w:lineRule="exact" w:before="0" w:after="0"/>
        <w:ind w:left="566" w:right="0" w:hanging="453"/>
        <w:jc w:val="left"/>
        <w:rPr>
          <w:rFonts w:ascii="Arial"/>
          <w:sz w:val="16"/>
        </w:rPr>
      </w:pPr>
      <w:r>
        <w:rPr>
          <w:rFonts w:ascii="Arial"/>
          <w:w w:val="110"/>
          <w:sz w:val="16"/>
        </w:rPr>
        <w:t>This</w:t>
      </w:r>
      <w:r>
        <w:rPr>
          <w:rFonts w:ascii="Arial"/>
          <w:spacing w:val="4"/>
          <w:w w:val="110"/>
          <w:sz w:val="16"/>
        </w:rPr>
        <w:t> </w:t>
      </w:r>
      <w:r>
        <w:rPr>
          <w:rFonts w:ascii="Arial"/>
          <w:w w:val="110"/>
          <w:sz w:val="16"/>
        </w:rPr>
        <w:t>would</w:t>
      </w:r>
      <w:r>
        <w:rPr>
          <w:rFonts w:ascii="Arial"/>
          <w:spacing w:val="4"/>
          <w:w w:val="110"/>
          <w:sz w:val="16"/>
        </w:rPr>
        <w:t> </w:t>
      </w:r>
      <w:r>
        <w:rPr>
          <w:rFonts w:ascii="Arial"/>
          <w:w w:val="110"/>
          <w:sz w:val="16"/>
        </w:rPr>
        <w:t>be</w:t>
      </w:r>
      <w:r>
        <w:rPr>
          <w:rFonts w:ascii="Arial"/>
          <w:spacing w:val="4"/>
          <w:w w:val="110"/>
          <w:sz w:val="16"/>
        </w:rPr>
        <w:t> </w:t>
      </w:r>
      <w:r>
        <w:rPr>
          <w:rFonts w:ascii="Arial"/>
          <w:w w:val="110"/>
          <w:sz w:val="16"/>
        </w:rPr>
        <w:t>situations</w:t>
      </w:r>
      <w:r>
        <w:rPr>
          <w:rFonts w:ascii="Arial"/>
          <w:spacing w:val="4"/>
          <w:w w:val="110"/>
          <w:sz w:val="16"/>
        </w:rPr>
        <w:t> </w:t>
      </w:r>
      <w:r>
        <w:rPr>
          <w:rFonts w:ascii="Arial"/>
          <w:w w:val="110"/>
          <w:sz w:val="16"/>
        </w:rPr>
        <w:t>in</w:t>
      </w:r>
      <w:r>
        <w:rPr>
          <w:rFonts w:ascii="Arial"/>
          <w:spacing w:val="4"/>
          <w:w w:val="110"/>
          <w:sz w:val="16"/>
        </w:rPr>
        <w:t> </w:t>
      </w:r>
      <w:r>
        <w:rPr>
          <w:rFonts w:ascii="Arial"/>
          <w:w w:val="110"/>
          <w:sz w:val="16"/>
        </w:rPr>
        <w:t>which</w:t>
      </w:r>
      <w:r>
        <w:rPr>
          <w:rFonts w:ascii="Arial"/>
          <w:spacing w:val="5"/>
          <w:w w:val="110"/>
          <w:sz w:val="16"/>
        </w:rPr>
        <w:t> </w:t>
      </w:r>
      <w:r>
        <w:rPr>
          <w:rFonts w:ascii="Arial"/>
          <w:w w:val="110"/>
          <w:sz w:val="16"/>
        </w:rPr>
        <w:t>EU</w:t>
      </w:r>
      <w:r>
        <w:rPr>
          <w:rFonts w:ascii="Arial"/>
          <w:spacing w:val="4"/>
          <w:w w:val="110"/>
          <w:sz w:val="16"/>
        </w:rPr>
        <w:t> </w:t>
      </w:r>
      <w:r>
        <w:rPr>
          <w:rFonts w:ascii="Arial"/>
          <w:w w:val="110"/>
          <w:sz w:val="16"/>
        </w:rPr>
        <w:t>law</w:t>
      </w:r>
      <w:r>
        <w:rPr>
          <w:rFonts w:ascii="Arial"/>
          <w:spacing w:val="4"/>
          <w:w w:val="110"/>
          <w:sz w:val="16"/>
        </w:rPr>
        <w:t> </w:t>
      </w:r>
      <w:r>
        <w:rPr>
          <w:rFonts w:ascii="Arial"/>
          <w:w w:val="110"/>
          <w:sz w:val="16"/>
        </w:rPr>
        <w:t>does</w:t>
      </w:r>
      <w:r>
        <w:rPr>
          <w:rFonts w:ascii="Arial"/>
          <w:spacing w:val="4"/>
          <w:w w:val="110"/>
          <w:sz w:val="16"/>
        </w:rPr>
        <w:t> </w:t>
      </w:r>
      <w:r>
        <w:rPr>
          <w:rFonts w:ascii="Arial"/>
          <w:w w:val="110"/>
          <w:sz w:val="16"/>
        </w:rPr>
        <w:t>not</w:t>
      </w:r>
      <w:r>
        <w:rPr>
          <w:rFonts w:ascii="Arial"/>
          <w:spacing w:val="4"/>
          <w:w w:val="110"/>
          <w:sz w:val="16"/>
        </w:rPr>
        <w:t> </w:t>
      </w:r>
      <w:r>
        <w:rPr>
          <w:rFonts w:ascii="Arial"/>
          <w:w w:val="110"/>
          <w:sz w:val="16"/>
        </w:rPr>
        <w:t>have</w:t>
      </w:r>
      <w:r>
        <w:rPr>
          <w:rFonts w:ascii="Arial"/>
          <w:spacing w:val="5"/>
          <w:w w:val="110"/>
          <w:sz w:val="16"/>
        </w:rPr>
        <w:t> </w:t>
      </w:r>
      <w:r>
        <w:rPr>
          <w:rFonts w:ascii="Arial"/>
          <w:w w:val="110"/>
          <w:sz w:val="16"/>
        </w:rPr>
        <w:t>direct</w:t>
      </w:r>
      <w:r>
        <w:rPr>
          <w:rFonts w:ascii="Arial"/>
          <w:spacing w:val="4"/>
          <w:w w:val="110"/>
          <w:sz w:val="16"/>
        </w:rPr>
        <w:t> </w:t>
      </w:r>
      <w:r>
        <w:rPr>
          <w:rFonts w:ascii="Arial"/>
          <w:spacing w:val="-2"/>
          <w:w w:val="110"/>
          <w:sz w:val="16"/>
        </w:rPr>
        <w:t>effect.</w:t>
      </w:r>
    </w:p>
    <w:p>
      <w:pPr>
        <w:pStyle w:val="ListParagraph"/>
        <w:numPr>
          <w:ilvl w:val="0"/>
          <w:numId w:val="14"/>
        </w:numPr>
        <w:tabs>
          <w:tab w:pos="565" w:val="left" w:leader="none"/>
        </w:tabs>
        <w:spacing w:line="200" w:lineRule="exact" w:before="0" w:after="0"/>
        <w:ind w:left="565" w:right="0" w:hanging="452"/>
        <w:jc w:val="left"/>
        <w:rPr>
          <w:sz w:val="16"/>
        </w:rPr>
      </w:pPr>
      <w:r>
        <w:rPr>
          <w:rFonts w:ascii="Verdana"/>
          <w:i/>
          <w:sz w:val="16"/>
        </w:rPr>
        <w:t>Francovich</w:t>
      </w:r>
      <w:r>
        <w:rPr>
          <w:rFonts w:ascii="Verdana"/>
          <w:i/>
          <w:spacing w:val="2"/>
          <w:sz w:val="16"/>
        </w:rPr>
        <w:t> </w:t>
      </w:r>
      <w:r>
        <w:rPr>
          <w:sz w:val="16"/>
        </w:rPr>
        <w:t>(n</w:t>
      </w:r>
      <w:r>
        <w:rPr>
          <w:spacing w:val="9"/>
          <w:sz w:val="16"/>
        </w:rPr>
        <w:t> </w:t>
      </w:r>
      <w:r>
        <w:rPr>
          <w:sz w:val="16"/>
        </w:rPr>
        <w:t>50),</w:t>
      </w:r>
      <w:r>
        <w:rPr>
          <w:spacing w:val="8"/>
          <w:sz w:val="16"/>
        </w:rPr>
        <w:t> </w:t>
      </w:r>
      <w:r>
        <w:rPr>
          <w:sz w:val="16"/>
        </w:rPr>
        <w:t>para</w:t>
      </w:r>
      <w:r>
        <w:rPr>
          <w:spacing w:val="9"/>
          <w:sz w:val="16"/>
        </w:rPr>
        <w:t> </w:t>
      </w:r>
      <w:r>
        <w:rPr>
          <w:spacing w:val="-5"/>
          <w:sz w:val="16"/>
        </w:rPr>
        <w:t>33.</w:t>
      </w:r>
    </w:p>
    <w:p>
      <w:pPr>
        <w:pStyle w:val="ListParagraph"/>
        <w:numPr>
          <w:ilvl w:val="0"/>
          <w:numId w:val="14"/>
        </w:numPr>
        <w:tabs>
          <w:tab w:pos="565" w:val="left" w:leader="none"/>
        </w:tabs>
        <w:spacing w:line="200" w:lineRule="exact" w:before="0" w:after="0"/>
        <w:ind w:left="565" w:right="0" w:hanging="452"/>
        <w:jc w:val="left"/>
        <w:rPr>
          <w:rFonts w:ascii="Arial"/>
          <w:sz w:val="16"/>
        </w:rPr>
      </w:pPr>
      <w:r>
        <w:rPr>
          <w:rFonts w:ascii="Verdana"/>
          <w:i/>
          <w:spacing w:val="-2"/>
          <w:sz w:val="16"/>
        </w:rPr>
        <w:t>Ibid</w:t>
      </w:r>
      <w:r>
        <w:rPr>
          <w:rFonts w:ascii="Arial"/>
          <w:spacing w:val="-2"/>
          <w:sz w:val="16"/>
        </w:rPr>
        <w:t>.</w:t>
      </w:r>
    </w:p>
    <w:p>
      <w:pPr>
        <w:pStyle w:val="ListParagraph"/>
        <w:numPr>
          <w:ilvl w:val="0"/>
          <w:numId w:val="14"/>
        </w:numPr>
        <w:tabs>
          <w:tab w:pos="565" w:val="left" w:leader="none"/>
        </w:tabs>
        <w:spacing w:line="200" w:lineRule="exact" w:before="0" w:after="0"/>
        <w:ind w:left="565" w:right="0" w:hanging="452"/>
        <w:jc w:val="left"/>
        <w:rPr>
          <w:sz w:val="16"/>
        </w:rPr>
      </w:pPr>
      <w:r>
        <w:rPr>
          <w:rFonts w:ascii="Verdana"/>
          <w:i/>
          <w:sz w:val="16"/>
        </w:rPr>
        <w:t>R</w:t>
      </w:r>
      <w:r>
        <w:rPr>
          <w:rFonts w:ascii="Verdana"/>
          <w:i/>
          <w:spacing w:val="-10"/>
          <w:sz w:val="16"/>
        </w:rPr>
        <w:t> </w:t>
      </w:r>
      <w:r>
        <w:rPr>
          <w:rFonts w:ascii="Verdana"/>
          <w:i/>
          <w:sz w:val="16"/>
        </w:rPr>
        <w:t>v</w:t>
      </w:r>
      <w:r>
        <w:rPr>
          <w:rFonts w:ascii="Verdana"/>
          <w:i/>
          <w:spacing w:val="-9"/>
          <w:sz w:val="16"/>
        </w:rPr>
        <w:t> </w:t>
      </w:r>
      <w:r>
        <w:rPr>
          <w:rFonts w:ascii="Verdana"/>
          <w:i/>
          <w:sz w:val="16"/>
        </w:rPr>
        <w:t>Secretary</w:t>
      </w:r>
      <w:r>
        <w:rPr>
          <w:rFonts w:ascii="Verdana"/>
          <w:i/>
          <w:spacing w:val="-10"/>
          <w:sz w:val="16"/>
        </w:rPr>
        <w:t> </w:t>
      </w:r>
      <w:r>
        <w:rPr>
          <w:rFonts w:ascii="Verdana"/>
          <w:i/>
          <w:sz w:val="16"/>
        </w:rPr>
        <w:t>of</w:t>
      </w:r>
      <w:r>
        <w:rPr>
          <w:rFonts w:ascii="Verdana"/>
          <w:i/>
          <w:spacing w:val="-9"/>
          <w:sz w:val="16"/>
        </w:rPr>
        <w:t> </w:t>
      </w:r>
      <w:r>
        <w:rPr>
          <w:rFonts w:ascii="Verdana"/>
          <w:i/>
          <w:sz w:val="16"/>
        </w:rPr>
        <w:t>State</w:t>
      </w:r>
      <w:r>
        <w:rPr>
          <w:rFonts w:ascii="Verdana"/>
          <w:i/>
          <w:spacing w:val="-10"/>
          <w:sz w:val="16"/>
        </w:rPr>
        <w:t> </w:t>
      </w:r>
      <w:r>
        <w:rPr>
          <w:rFonts w:ascii="Verdana"/>
          <w:i/>
          <w:sz w:val="16"/>
        </w:rPr>
        <w:t>for</w:t>
      </w:r>
      <w:r>
        <w:rPr>
          <w:rFonts w:ascii="Verdana"/>
          <w:i/>
          <w:spacing w:val="-9"/>
          <w:sz w:val="16"/>
        </w:rPr>
        <w:t> </w:t>
      </w:r>
      <w:r>
        <w:rPr>
          <w:rFonts w:ascii="Verdana"/>
          <w:i/>
          <w:sz w:val="16"/>
        </w:rPr>
        <w:t>Transport,</w:t>
      </w:r>
      <w:r>
        <w:rPr>
          <w:rFonts w:ascii="Verdana"/>
          <w:i/>
          <w:spacing w:val="-9"/>
          <w:sz w:val="16"/>
        </w:rPr>
        <w:t> </w:t>
      </w:r>
      <w:r>
        <w:rPr>
          <w:rFonts w:ascii="Verdana"/>
          <w:i/>
          <w:sz w:val="16"/>
        </w:rPr>
        <w:t>Ex</w:t>
      </w:r>
      <w:r>
        <w:rPr>
          <w:rFonts w:ascii="Verdana"/>
          <w:i/>
          <w:spacing w:val="-10"/>
          <w:sz w:val="16"/>
        </w:rPr>
        <w:t> </w:t>
      </w:r>
      <w:r>
        <w:rPr>
          <w:rFonts w:ascii="Verdana"/>
          <w:i/>
          <w:sz w:val="16"/>
        </w:rPr>
        <w:t>Parte</w:t>
      </w:r>
      <w:r>
        <w:rPr>
          <w:rFonts w:ascii="Verdana"/>
          <w:i/>
          <w:spacing w:val="-9"/>
          <w:sz w:val="16"/>
        </w:rPr>
        <w:t> </w:t>
      </w:r>
      <w:r>
        <w:rPr>
          <w:rFonts w:ascii="Verdana"/>
          <w:i/>
          <w:sz w:val="16"/>
        </w:rPr>
        <w:t>Factortame</w:t>
      </w:r>
      <w:r>
        <w:rPr>
          <w:rFonts w:ascii="Verdana"/>
          <w:i/>
          <w:spacing w:val="-10"/>
          <w:sz w:val="16"/>
        </w:rPr>
        <w:t> </w:t>
      </w:r>
      <w:r>
        <w:rPr>
          <w:rFonts w:ascii="Verdana"/>
          <w:i/>
          <w:sz w:val="16"/>
        </w:rPr>
        <w:t>Ltd</w:t>
      </w:r>
      <w:r>
        <w:rPr>
          <w:rFonts w:ascii="Verdana"/>
          <w:i/>
          <w:spacing w:val="-9"/>
          <w:sz w:val="16"/>
        </w:rPr>
        <w:t> </w:t>
      </w:r>
      <w:r>
        <w:rPr>
          <w:rFonts w:ascii="Verdana"/>
          <w:i/>
          <w:sz w:val="16"/>
        </w:rPr>
        <w:t>and</w:t>
      </w:r>
      <w:r>
        <w:rPr>
          <w:rFonts w:ascii="Verdana"/>
          <w:i/>
          <w:spacing w:val="-10"/>
          <w:sz w:val="16"/>
        </w:rPr>
        <w:t> </w:t>
      </w:r>
      <w:r>
        <w:rPr>
          <w:rFonts w:ascii="Verdana"/>
          <w:i/>
          <w:sz w:val="16"/>
        </w:rPr>
        <w:t>Others</w:t>
      </w:r>
      <w:r>
        <w:rPr>
          <w:rFonts w:ascii="Verdana"/>
          <w:i/>
          <w:spacing w:val="-9"/>
          <w:sz w:val="16"/>
        </w:rPr>
        <w:t> </w:t>
      </w:r>
      <w:r>
        <w:rPr>
          <w:sz w:val="16"/>
        </w:rPr>
        <w:t>[1999]</w:t>
      </w:r>
      <w:r>
        <w:rPr>
          <w:spacing w:val="-3"/>
          <w:sz w:val="16"/>
        </w:rPr>
        <w:t> </w:t>
      </w:r>
      <w:r>
        <w:rPr>
          <w:sz w:val="16"/>
        </w:rPr>
        <w:t>UKHL</w:t>
      </w:r>
      <w:r>
        <w:rPr>
          <w:spacing w:val="-4"/>
          <w:sz w:val="16"/>
        </w:rPr>
        <w:t> </w:t>
      </w:r>
      <w:r>
        <w:rPr>
          <w:spacing w:val="-5"/>
          <w:sz w:val="16"/>
        </w:rPr>
        <w:t>44.</w:t>
      </w:r>
    </w:p>
    <w:p>
      <w:pPr>
        <w:pStyle w:val="ListParagraph"/>
        <w:numPr>
          <w:ilvl w:val="0"/>
          <w:numId w:val="14"/>
        </w:numPr>
        <w:tabs>
          <w:tab w:pos="566" w:val="left" w:leader="none"/>
        </w:tabs>
        <w:spacing w:line="223" w:lineRule="exact" w:before="0" w:after="0"/>
        <w:ind w:left="566" w:right="0" w:hanging="453"/>
        <w:jc w:val="left"/>
        <w:rPr>
          <w:rFonts w:ascii="Arial"/>
          <w:sz w:val="16"/>
        </w:rPr>
      </w:pPr>
      <w:r>
        <w:rPr>
          <w:rFonts w:ascii="Verdana"/>
          <w:i/>
          <w:sz w:val="16"/>
        </w:rPr>
        <w:t>Egenberger</w:t>
      </w:r>
      <w:r>
        <w:rPr>
          <w:rFonts w:ascii="Verdana"/>
          <w:i/>
          <w:spacing w:val="3"/>
          <w:sz w:val="16"/>
        </w:rPr>
        <w:t> </w:t>
      </w:r>
      <w:r>
        <w:rPr>
          <w:rFonts w:ascii="Arial"/>
          <w:sz w:val="16"/>
        </w:rPr>
        <w:t>(n</w:t>
      </w:r>
      <w:r>
        <w:rPr>
          <w:rFonts w:ascii="Arial"/>
          <w:spacing w:val="16"/>
          <w:sz w:val="16"/>
        </w:rPr>
        <w:t> </w:t>
      </w:r>
      <w:r>
        <w:rPr>
          <w:rFonts w:ascii="Arial"/>
          <w:spacing w:val="-4"/>
          <w:sz w:val="16"/>
        </w:rPr>
        <w:t>66).</w:t>
      </w:r>
    </w:p>
    <w:p>
      <w:pPr>
        <w:spacing w:after="0" w:line="223" w:lineRule="exact"/>
        <w:jc w:val="left"/>
        <w:rPr>
          <w:rFonts w:ascii="Arial"/>
          <w:sz w:val="16"/>
        </w:rPr>
        <w:sectPr>
          <w:type w:val="continuous"/>
          <w:pgSz w:w="11910" w:h="16840"/>
          <w:pgMar w:header="568" w:footer="580" w:top="0" w:bottom="280" w:left="1020" w:right="1020"/>
        </w:sectPr>
      </w:pPr>
    </w:p>
    <w:p>
      <w:pPr>
        <w:pStyle w:val="BodyText"/>
        <w:ind w:left="0"/>
        <w:rPr>
          <w:sz w:val="20"/>
        </w:rPr>
      </w:pPr>
    </w:p>
    <w:p>
      <w:pPr>
        <w:pStyle w:val="BodyText"/>
        <w:ind w:left="0"/>
        <w:rPr>
          <w:sz w:val="20"/>
        </w:rPr>
      </w:pPr>
    </w:p>
    <w:p>
      <w:pPr>
        <w:pStyle w:val="BodyText"/>
        <w:spacing w:before="9"/>
        <w:ind w:left="0"/>
        <w:rPr>
          <w:sz w:val="20"/>
        </w:rPr>
      </w:pPr>
    </w:p>
    <w:p>
      <w:pPr>
        <w:spacing w:after="0"/>
        <w:rPr>
          <w:sz w:val="20"/>
        </w:rPr>
        <w:sectPr>
          <w:pgSz w:w="11910" w:h="16840"/>
          <w:pgMar w:header="568" w:footer="580" w:top="840" w:bottom="780" w:left="1020" w:right="1020"/>
        </w:sectPr>
      </w:pPr>
    </w:p>
    <w:p>
      <w:pPr>
        <w:pStyle w:val="Heading3"/>
        <w:numPr>
          <w:ilvl w:val="0"/>
          <w:numId w:val="15"/>
        </w:numPr>
        <w:tabs>
          <w:tab w:pos="680" w:val="left" w:leader="none"/>
        </w:tabs>
        <w:spacing w:line="256" w:lineRule="auto" w:before="80" w:after="0"/>
        <w:ind w:left="680" w:right="38" w:hanging="567"/>
        <w:jc w:val="left"/>
      </w:pPr>
      <w:bookmarkStart w:name="3.  The Continued Effects of the Charter" w:id="73"/>
      <w:bookmarkEnd w:id="73"/>
      <w:r>
        <w:rPr>
          <w:b w:val="0"/>
        </w:rPr>
      </w:r>
      <w:bookmarkStart w:name="a. Disapplication and state liability" w:id="74"/>
      <w:bookmarkEnd w:id="74"/>
      <w:r>
        <w:rPr>
          <w:b w:val="0"/>
        </w:rPr>
      </w:r>
      <w:bookmarkStart w:name="_bookmark31" w:id="75"/>
      <w:bookmarkEnd w:id="75"/>
      <w:r>
        <w:rPr>
          <w:b w:val="0"/>
        </w:rPr>
      </w:r>
      <w:r>
        <w:rPr>
          <w:color w:val="77328A"/>
        </w:rPr>
        <w:t>The Continued Effects of the Charter under Art 4 and</w:t>
      </w:r>
      <w:r>
        <w:rPr>
          <w:color w:val="77328A"/>
          <w:spacing w:val="-16"/>
        </w:rPr>
        <w:t> </w:t>
      </w:r>
      <w:r>
        <w:rPr>
          <w:color w:val="77328A"/>
        </w:rPr>
        <w:t>the</w:t>
      </w:r>
      <w:r>
        <w:rPr>
          <w:color w:val="77328A"/>
          <w:spacing w:val="-16"/>
        </w:rPr>
        <w:t> </w:t>
      </w:r>
      <w:r>
        <w:rPr>
          <w:color w:val="77328A"/>
        </w:rPr>
        <w:t>Annex</w:t>
      </w:r>
      <w:r>
        <w:rPr>
          <w:color w:val="77328A"/>
          <w:spacing w:val="-16"/>
        </w:rPr>
        <w:t> </w:t>
      </w:r>
      <w:r>
        <w:rPr>
          <w:color w:val="77328A"/>
        </w:rPr>
        <w:t>1</w:t>
      </w:r>
      <w:r>
        <w:rPr>
          <w:color w:val="77328A"/>
          <w:spacing w:val="-16"/>
        </w:rPr>
        <w:t> </w:t>
      </w:r>
      <w:r>
        <w:rPr>
          <w:color w:val="77328A"/>
        </w:rPr>
        <w:t>Directives</w:t>
      </w:r>
    </w:p>
    <w:p>
      <w:pPr>
        <w:pStyle w:val="BodyText"/>
        <w:spacing w:line="247" w:lineRule="auto" w:before="135"/>
        <w:ind w:right="30"/>
      </w:pPr>
      <w:r>
        <w:rPr>
          <w:rFonts w:ascii="Lucida Sans Unicode"/>
        </w:rPr>
        <w:t>As we noted in Chapter 3, in </w:t>
      </w:r>
      <w:r>
        <w:rPr>
          <w:rFonts w:ascii="Lucida Sans Unicode"/>
        </w:rPr>
        <w:t>situations </w:t>
      </w:r>
      <w:r>
        <w:rPr>
          <w:w w:val="105"/>
        </w:rPr>
        <w:t>where EU law operates under the Windsor Framework </w:t>
      </w:r>
      <w:r>
        <w:rPr>
          <w:rFonts w:ascii="Verdana"/>
          <w:i/>
          <w:w w:val="105"/>
        </w:rPr>
        <w:t>as EU law</w:t>
      </w:r>
      <w:r>
        <w:rPr>
          <w:w w:val="105"/>
        </w:rPr>
        <w:t>,</w:t>
      </w:r>
    </w:p>
    <w:p>
      <w:pPr>
        <w:pStyle w:val="BodyText"/>
        <w:spacing w:line="235" w:lineRule="auto" w:before="28"/>
        <w:ind w:right="509"/>
        <w:jc w:val="both"/>
      </w:pPr>
      <w:r>
        <w:rPr>
          <w:w w:val="105"/>
        </w:rPr>
        <w:t>such as in respect of the </w:t>
      </w:r>
      <w:r>
        <w:rPr>
          <w:w w:val="105"/>
        </w:rPr>
        <w:t>directives </w:t>
      </w:r>
      <w:r>
        <w:rPr>
          <w:rFonts w:ascii="Lucida Sans Unicode"/>
        </w:rPr>
        <w:t>specifically</w:t>
      </w:r>
      <w:r>
        <w:rPr>
          <w:rFonts w:ascii="Lucida Sans Unicode"/>
          <w:spacing w:val="-1"/>
        </w:rPr>
        <w:t> </w:t>
      </w:r>
      <w:r>
        <w:rPr>
          <w:rFonts w:ascii="Lucida Sans Unicode"/>
        </w:rPr>
        <w:t>listed</w:t>
      </w:r>
      <w:r>
        <w:rPr>
          <w:rFonts w:ascii="Lucida Sans Unicode"/>
          <w:spacing w:val="-1"/>
        </w:rPr>
        <w:t> </w:t>
      </w:r>
      <w:r>
        <w:rPr>
          <w:rFonts w:ascii="Lucida Sans Unicode"/>
        </w:rPr>
        <w:t>in</w:t>
      </w:r>
      <w:r>
        <w:rPr>
          <w:rFonts w:ascii="Lucida Sans Unicode"/>
          <w:spacing w:val="-1"/>
        </w:rPr>
        <w:t> </w:t>
      </w:r>
      <w:r>
        <w:rPr>
          <w:rFonts w:ascii="Lucida Sans Unicode"/>
        </w:rPr>
        <w:t>Annex</w:t>
      </w:r>
      <w:r>
        <w:rPr>
          <w:rFonts w:ascii="Lucida Sans Unicode"/>
          <w:spacing w:val="-1"/>
        </w:rPr>
        <w:t> </w:t>
      </w:r>
      <w:r>
        <w:rPr>
          <w:rFonts w:ascii="Lucida Sans Unicode"/>
        </w:rPr>
        <w:t>1</w:t>
      </w:r>
      <w:r>
        <w:rPr>
          <w:rFonts w:ascii="Lucida Sans Unicode"/>
          <w:spacing w:val="-1"/>
        </w:rPr>
        <w:t> </w:t>
      </w:r>
      <w:r>
        <w:rPr>
          <w:rFonts w:ascii="Lucida Sans Unicode"/>
        </w:rPr>
        <w:t>of</w:t>
      </w:r>
      <w:r>
        <w:rPr>
          <w:rFonts w:ascii="Lucida Sans Unicode"/>
          <w:spacing w:val="-1"/>
        </w:rPr>
        <w:t> </w:t>
      </w:r>
      <w:r>
        <w:rPr>
          <w:rFonts w:ascii="Lucida Sans Unicode"/>
        </w:rPr>
        <w:t>the </w:t>
      </w:r>
      <w:r>
        <w:rPr>
          <w:w w:val="105"/>
        </w:rPr>
        <w:t>Windsor</w:t>
      </w:r>
      <w:r>
        <w:rPr>
          <w:spacing w:val="48"/>
          <w:w w:val="105"/>
        </w:rPr>
        <w:t> </w:t>
      </w:r>
      <w:r>
        <w:rPr>
          <w:w w:val="105"/>
        </w:rPr>
        <w:t>Framework,</w:t>
      </w:r>
      <w:r>
        <w:rPr>
          <w:spacing w:val="48"/>
          <w:w w:val="105"/>
        </w:rPr>
        <w:t> </w:t>
      </w:r>
      <w:r>
        <w:rPr>
          <w:w w:val="105"/>
        </w:rPr>
        <w:t>the</w:t>
      </w:r>
      <w:r>
        <w:rPr>
          <w:spacing w:val="48"/>
          <w:w w:val="105"/>
        </w:rPr>
        <w:t> </w:t>
      </w:r>
      <w:r>
        <w:rPr>
          <w:w w:val="105"/>
        </w:rPr>
        <w:t>full</w:t>
      </w:r>
      <w:r>
        <w:rPr>
          <w:spacing w:val="48"/>
          <w:w w:val="105"/>
        </w:rPr>
        <w:t> </w:t>
      </w:r>
      <w:r>
        <w:rPr>
          <w:w w:val="105"/>
        </w:rPr>
        <w:t>set</w:t>
      </w:r>
      <w:r>
        <w:rPr>
          <w:spacing w:val="48"/>
          <w:w w:val="105"/>
        </w:rPr>
        <w:t> </w:t>
      </w:r>
      <w:r>
        <w:rPr>
          <w:spacing w:val="-5"/>
          <w:w w:val="105"/>
        </w:rPr>
        <w:t>of</w:t>
      </w:r>
    </w:p>
    <w:p>
      <w:pPr>
        <w:pStyle w:val="BodyText"/>
        <w:spacing w:line="276" w:lineRule="auto" w:before="44"/>
        <w:ind w:right="159"/>
      </w:pPr>
      <w:r>
        <w:rPr>
          <w:w w:val="110"/>
        </w:rPr>
        <w:t>rights and remedies associated </w:t>
      </w:r>
      <w:r>
        <w:rPr>
          <w:w w:val="110"/>
        </w:rPr>
        <w:t>with EU law remains applicable, in the same way as it applied pre-Brexit.</w:t>
      </w:r>
    </w:p>
    <w:p>
      <w:pPr>
        <w:pStyle w:val="BodyText"/>
        <w:spacing w:line="264" w:lineRule="auto"/>
        <w:ind w:right="159"/>
        <w:rPr>
          <w:rFonts w:ascii="Lucida Sans Unicode"/>
        </w:rPr>
      </w:pPr>
      <w:r>
        <w:rPr>
          <w:w w:val="110"/>
        </w:rPr>
        <w:t>Even in the alternative view, where the Annex </w:t>
      </w:r>
      <w:r>
        <w:rPr/>
        <w:t>1</w:t>
      </w:r>
      <w:r>
        <w:rPr>
          <w:w w:val="110"/>
        </w:rPr>
        <w:t> directives do not apply</w:t>
      </w:r>
      <w:r>
        <w:rPr>
          <w:spacing w:val="80"/>
          <w:w w:val="110"/>
        </w:rPr>
        <w:t> </w:t>
      </w:r>
      <w:r>
        <w:rPr>
          <w:w w:val="110"/>
        </w:rPr>
        <w:t>as EU law but only insofar as they are </w:t>
      </w:r>
      <w:r>
        <w:rPr>
          <w:rFonts w:ascii="Lucida Sans Unicode"/>
        </w:rPr>
        <w:t>referred</w:t>
      </w:r>
      <w:r>
        <w:rPr>
          <w:rFonts w:ascii="Lucida Sans Unicode"/>
          <w:spacing w:val="3"/>
        </w:rPr>
        <w:t> </w:t>
      </w:r>
      <w:r>
        <w:rPr>
          <w:rFonts w:ascii="Lucida Sans Unicode"/>
        </w:rPr>
        <w:t>to</w:t>
      </w:r>
      <w:r>
        <w:rPr>
          <w:rFonts w:ascii="Lucida Sans Unicode"/>
          <w:spacing w:val="3"/>
        </w:rPr>
        <w:t> </w:t>
      </w:r>
      <w:r>
        <w:rPr>
          <w:rFonts w:ascii="Lucida Sans Unicode"/>
        </w:rPr>
        <w:t>in</w:t>
      </w:r>
      <w:r>
        <w:rPr>
          <w:rFonts w:ascii="Lucida Sans Unicode"/>
          <w:spacing w:val="3"/>
        </w:rPr>
        <w:t> </w:t>
      </w:r>
      <w:r>
        <w:rPr>
          <w:rFonts w:ascii="Lucida Sans Unicode"/>
        </w:rPr>
        <w:t>the</w:t>
      </w:r>
      <w:r>
        <w:rPr>
          <w:rFonts w:ascii="Lucida Sans Unicode"/>
          <w:spacing w:val="3"/>
        </w:rPr>
        <w:t> </w:t>
      </w:r>
      <w:r>
        <w:rPr>
          <w:rFonts w:ascii="Lucida Sans Unicode"/>
        </w:rPr>
        <w:t>text</w:t>
      </w:r>
      <w:r>
        <w:rPr>
          <w:rFonts w:ascii="Lucida Sans Unicode"/>
          <w:spacing w:val="3"/>
        </w:rPr>
        <w:t> </w:t>
      </w:r>
      <w:r>
        <w:rPr>
          <w:rFonts w:ascii="Lucida Sans Unicode"/>
        </w:rPr>
        <w:t>of</w:t>
      </w:r>
      <w:r>
        <w:rPr>
          <w:rFonts w:ascii="Lucida Sans Unicode"/>
          <w:spacing w:val="3"/>
        </w:rPr>
        <w:t> </w:t>
      </w:r>
      <w:r>
        <w:rPr>
          <w:rFonts w:ascii="Lucida Sans Unicode"/>
        </w:rPr>
        <w:t>Article</w:t>
      </w:r>
      <w:r>
        <w:rPr>
          <w:rFonts w:ascii="Lucida Sans Unicode"/>
          <w:spacing w:val="3"/>
        </w:rPr>
        <w:t> </w:t>
      </w:r>
      <w:r>
        <w:rPr>
          <w:rFonts w:ascii="Lucida Sans Unicode"/>
        </w:rPr>
        <w:t>2</w:t>
      </w:r>
      <w:r>
        <w:rPr>
          <w:rFonts w:ascii="Lucida Sans Unicode"/>
          <w:spacing w:val="3"/>
        </w:rPr>
        <w:t> </w:t>
      </w:r>
      <w:r>
        <w:rPr>
          <w:rFonts w:ascii="Lucida Sans Unicode"/>
          <w:spacing w:val="-5"/>
        </w:rPr>
        <w:t>WF,</w:t>
      </w:r>
    </w:p>
    <w:p>
      <w:pPr>
        <w:pStyle w:val="BodyText"/>
        <w:spacing w:line="227" w:lineRule="exact"/>
      </w:pPr>
      <w:r>
        <w:rPr>
          <w:w w:val="115"/>
        </w:rPr>
        <w:t>the</w:t>
      </w:r>
      <w:r>
        <w:rPr>
          <w:spacing w:val="-13"/>
          <w:w w:val="115"/>
        </w:rPr>
        <w:t> </w:t>
      </w:r>
      <w:r>
        <w:rPr>
          <w:w w:val="115"/>
        </w:rPr>
        <w:t>remedy</w:t>
      </w:r>
      <w:r>
        <w:rPr>
          <w:spacing w:val="-12"/>
          <w:w w:val="115"/>
        </w:rPr>
        <w:t> </w:t>
      </w:r>
      <w:r>
        <w:rPr>
          <w:w w:val="115"/>
        </w:rPr>
        <w:t>of</w:t>
      </w:r>
      <w:r>
        <w:rPr>
          <w:spacing w:val="-13"/>
          <w:w w:val="115"/>
        </w:rPr>
        <w:t> </w:t>
      </w:r>
      <w:r>
        <w:rPr>
          <w:w w:val="115"/>
        </w:rPr>
        <w:t>disapplication</w:t>
      </w:r>
      <w:r>
        <w:rPr>
          <w:spacing w:val="-12"/>
          <w:w w:val="115"/>
        </w:rPr>
        <w:t> </w:t>
      </w:r>
      <w:r>
        <w:rPr>
          <w:spacing w:val="-2"/>
          <w:w w:val="115"/>
        </w:rPr>
        <w:t>remains</w:t>
      </w:r>
    </w:p>
    <w:p>
      <w:pPr>
        <w:pStyle w:val="BodyText"/>
        <w:spacing w:line="316" w:lineRule="exact" w:before="11"/>
        <w:ind w:right="139"/>
      </w:pPr>
      <w:r>
        <w:rPr>
          <w:rFonts w:ascii="Lucida Sans Unicode"/>
          <w:spacing w:val="-2"/>
          <w:w w:val="110"/>
        </w:rPr>
        <w:t>because</w:t>
      </w:r>
      <w:r>
        <w:rPr>
          <w:rFonts w:ascii="Lucida Sans Unicode"/>
          <w:spacing w:val="-17"/>
          <w:w w:val="110"/>
        </w:rPr>
        <w:t> </w:t>
      </w:r>
      <w:r>
        <w:rPr>
          <w:rFonts w:ascii="Lucida Sans Unicode"/>
          <w:spacing w:val="-2"/>
          <w:w w:val="110"/>
        </w:rPr>
        <w:t>Article</w:t>
      </w:r>
      <w:r>
        <w:rPr>
          <w:rFonts w:ascii="Lucida Sans Unicode"/>
          <w:spacing w:val="-17"/>
          <w:w w:val="110"/>
        </w:rPr>
        <w:t> </w:t>
      </w:r>
      <w:r>
        <w:rPr>
          <w:rFonts w:ascii="Lucida Sans Unicode"/>
          <w:spacing w:val="-2"/>
          <w:w w:val="110"/>
        </w:rPr>
        <w:t>2</w:t>
      </w:r>
      <w:r>
        <w:rPr>
          <w:rFonts w:ascii="Lucida Sans Unicode"/>
          <w:spacing w:val="-17"/>
          <w:w w:val="110"/>
        </w:rPr>
        <w:t> </w:t>
      </w:r>
      <w:r>
        <w:rPr>
          <w:rFonts w:ascii="Lucida Sans Unicode"/>
          <w:spacing w:val="-2"/>
          <w:w w:val="110"/>
        </w:rPr>
        <w:t>is</w:t>
      </w:r>
      <w:r>
        <w:rPr>
          <w:rFonts w:ascii="Lucida Sans Unicode"/>
          <w:spacing w:val="-17"/>
          <w:w w:val="110"/>
        </w:rPr>
        <w:t> </w:t>
      </w:r>
      <w:r>
        <w:rPr>
          <w:rFonts w:ascii="Lucida Sans Unicode"/>
          <w:spacing w:val="-2"/>
          <w:w w:val="110"/>
        </w:rPr>
        <w:t>itself</w:t>
      </w:r>
      <w:r>
        <w:rPr>
          <w:rFonts w:ascii="Lucida Sans Unicode"/>
          <w:spacing w:val="-17"/>
          <w:w w:val="110"/>
        </w:rPr>
        <w:t> </w:t>
      </w:r>
      <w:r>
        <w:rPr>
          <w:rFonts w:ascii="Lucida Sans Unicode"/>
          <w:spacing w:val="-2"/>
          <w:w w:val="110"/>
        </w:rPr>
        <w:t>directly </w:t>
      </w:r>
      <w:r>
        <w:rPr>
          <w:w w:val="110"/>
        </w:rPr>
        <w:t>effective.</w:t>
      </w:r>
      <w:r>
        <w:rPr>
          <w:rFonts w:ascii="Lucida Sans Unicode"/>
          <w:w w:val="110"/>
          <w:vertAlign w:val="superscript"/>
        </w:rPr>
        <w:t>282</w:t>
      </w:r>
      <w:r>
        <w:rPr>
          <w:rFonts w:ascii="Lucida Sans Unicode"/>
          <w:w w:val="110"/>
          <w:vertAlign w:val="baseline"/>
        </w:rPr>
        <w:t> </w:t>
      </w:r>
      <w:r>
        <w:rPr>
          <w:w w:val="110"/>
          <w:vertAlign w:val="baseline"/>
        </w:rPr>
        <w:t>Unlike in the rest of the UK, therefore, in Northern Ireland, EU law</w:t>
      </w:r>
      <w:r>
        <w:rPr>
          <w:spacing w:val="40"/>
          <w:w w:val="110"/>
          <w:vertAlign w:val="baseline"/>
        </w:rPr>
        <w:t> </w:t>
      </w:r>
      <w:r>
        <w:rPr>
          <w:w w:val="110"/>
          <w:vertAlign w:val="baseline"/>
        </w:rPr>
        <w:t>carries</w:t>
      </w:r>
      <w:r>
        <w:rPr>
          <w:spacing w:val="40"/>
          <w:w w:val="110"/>
          <w:vertAlign w:val="baseline"/>
        </w:rPr>
        <w:t> </w:t>
      </w:r>
      <w:r>
        <w:rPr>
          <w:w w:val="110"/>
          <w:vertAlign w:val="baseline"/>
        </w:rPr>
        <w:t>Charter</w:t>
      </w:r>
      <w:r>
        <w:rPr>
          <w:spacing w:val="40"/>
          <w:w w:val="110"/>
          <w:vertAlign w:val="baseline"/>
        </w:rPr>
        <w:t> </w:t>
      </w:r>
      <w:r>
        <w:rPr>
          <w:w w:val="110"/>
          <w:vertAlign w:val="baseline"/>
        </w:rPr>
        <w:t>applicability</w:t>
      </w:r>
      <w:r>
        <w:rPr>
          <w:spacing w:val="40"/>
          <w:w w:val="110"/>
          <w:vertAlign w:val="baseline"/>
        </w:rPr>
        <w:t> </w:t>
      </w:r>
      <w:r>
        <w:rPr>
          <w:w w:val="110"/>
          <w:vertAlign w:val="baseline"/>
        </w:rPr>
        <w:t>with </w:t>
      </w:r>
      <w:r>
        <w:rPr>
          <w:rFonts w:ascii="Lucida Sans Unicode"/>
          <w:w w:val="110"/>
          <w:vertAlign w:val="baseline"/>
        </w:rPr>
        <w:t>it</w:t>
      </w:r>
      <w:r>
        <w:rPr>
          <w:rFonts w:ascii="Lucida Sans Unicode"/>
          <w:spacing w:val="-15"/>
          <w:w w:val="110"/>
          <w:vertAlign w:val="baseline"/>
        </w:rPr>
        <w:t> </w:t>
      </w:r>
      <w:r>
        <w:rPr>
          <w:rFonts w:ascii="Lucida Sans Unicode"/>
          <w:w w:val="110"/>
          <w:vertAlign w:val="baseline"/>
        </w:rPr>
        <w:t>via</w:t>
      </w:r>
      <w:r>
        <w:rPr>
          <w:rFonts w:ascii="Lucida Sans Unicode"/>
          <w:spacing w:val="-15"/>
          <w:w w:val="110"/>
          <w:vertAlign w:val="baseline"/>
        </w:rPr>
        <w:t> </w:t>
      </w:r>
      <w:r>
        <w:rPr>
          <w:rFonts w:ascii="Lucida Sans Unicode"/>
          <w:w w:val="110"/>
          <w:vertAlign w:val="baseline"/>
        </w:rPr>
        <w:t>Articles</w:t>
      </w:r>
      <w:r>
        <w:rPr>
          <w:rFonts w:ascii="Lucida Sans Unicode"/>
          <w:spacing w:val="-15"/>
          <w:w w:val="110"/>
          <w:vertAlign w:val="baseline"/>
        </w:rPr>
        <w:t> </w:t>
      </w:r>
      <w:r>
        <w:rPr>
          <w:rFonts w:ascii="Lucida Sans Unicode"/>
          <w:w w:val="110"/>
          <w:vertAlign w:val="baseline"/>
        </w:rPr>
        <w:t>4</w:t>
      </w:r>
      <w:r>
        <w:rPr>
          <w:rFonts w:ascii="Lucida Sans Unicode"/>
          <w:spacing w:val="-15"/>
          <w:w w:val="110"/>
          <w:vertAlign w:val="baseline"/>
        </w:rPr>
        <w:t> </w:t>
      </w:r>
      <w:r>
        <w:rPr>
          <w:rFonts w:ascii="Lucida Sans Unicode"/>
          <w:w w:val="110"/>
          <w:vertAlign w:val="baseline"/>
        </w:rPr>
        <w:t>of</w:t>
      </w:r>
      <w:r>
        <w:rPr>
          <w:rFonts w:ascii="Lucida Sans Unicode"/>
          <w:spacing w:val="-15"/>
          <w:w w:val="110"/>
          <w:vertAlign w:val="baseline"/>
        </w:rPr>
        <w:t> </w:t>
      </w:r>
      <w:r>
        <w:rPr>
          <w:rFonts w:ascii="Lucida Sans Unicode"/>
          <w:w w:val="110"/>
          <w:vertAlign w:val="baseline"/>
        </w:rPr>
        <w:t>the</w:t>
      </w:r>
      <w:r>
        <w:rPr>
          <w:rFonts w:ascii="Lucida Sans Unicode"/>
          <w:spacing w:val="-15"/>
          <w:w w:val="110"/>
          <w:vertAlign w:val="baseline"/>
        </w:rPr>
        <w:t> </w:t>
      </w:r>
      <w:r>
        <w:rPr>
          <w:rFonts w:ascii="Lucida Sans Unicode"/>
          <w:w w:val="110"/>
          <w:vertAlign w:val="baseline"/>
        </w:rPr>
        <w:t>Withdrawal Agreement</w:t>
      </w:r>
      <w:r>
        <w:rPr>
          <w:rFonts w:ascii="Lucida Sans Unicode"/>
          <w:spacing w:val="-20"/>
          <w:w w:val="110"/>
          <w:vertAlign w:val="baseline"/>
        </w:rPr>
        <w:t> </w:t>
      </w:r>
      <w:r>
        <w:rPr>
          <w:rFonts w:ascii="Lucida Sans Unicode"/>
          <w:w w:val="110"/>
          <w:vertAlign w:val="baseline"/>
        </w:rPr>
        <w:t>and</w:t>
      </w:r>
      <w:r>
        <w:rPr>
          <w:rFonts w:ascii="Lucida Sans Unicode"/>
          <w:spacing w:val="-20"/>
          <w:w w:val="110"/>
          <w:vertAlign w:val="baseline"/>
        </w:rPr>
        <w:t> </w:t>
      </w:r>
      <w:r>
        <w:rPr>
          <w:rFonts w:ascii="Lucida Sans Unicode"/>
          <w:w w:val="110"/>
          <w:vertAlign w:val="baseline"/>
        </w:rPr>
        <w:t>Article</w:t>
      </w:r>
      <w:r>
        <w:rPr>
          <w:rFonts w:ascii="Lucida Sans Unicode"/>
          <w:spacing w:val="-20"/>
          <w:w w:val="110"/>
          <w:vertAlign w:val="baseline"/>
        </w:rPr>
        <w:t> </w:t>
      </w:r>
      <w:r>
        <w:rPr>
          <w:rFonts w:ascii="Lucida Sans Unicode"/>
          <w:w w:val="110"/>
          <w:vertAlign w:val="baseline"/>
        </w:rPr>
        <w:t>2</w:t>
      </w:r>
      <w:r>
        <w:rPr>
          <w:rFonts w:ascii="Lucida Sans Unicode"/>
          <w:spacing w:val="-20"/>
          <w:w w:val="110"/>
          <w:vertAlign w:val="baseline"/>
        </w:rPr>
        <w:t> </w:t>
      </w:r>
      <w:r>
        <w:rPr>
          <w:rFonts w:ascii="Lucida Sans Unicode"/>
          <w:w w:val="110"/>
          <w:vertAlign w:val="baseline"/>
        </w:rPr>
        <w:t>of</w:t>
      </w:r>
      <w:r>
        <w:rPr>
          <w:rFonts w:ascii="Lucida Sans Unicode"/>
          <w:spacing w:val="-20"/>
          <w:w w:val="110"/>
          <w:vertAlign w:val="baseline"/>
        </w:rPr>
        <w:t> </w:t>
      </w:r>
      <w:r>
        <w:rPr>
          <w:rFonts w:ascii="Lucida Sans Unicode"/>
          <w:w w:val="110"/>
          <w:vertAlign w:val="baseline"/>
        </w:rPr>
        <w:t>the </w:t>
      </w:r>
      <w:r>
        <w:rPr>
          <w:w w:val="110"/>
          <w:vertAlign w:val="baseline"/>
        </w:rPr>
        <w:t>Windsor Framework, with an obligation</w:t>
      </w:r>
      <w:r>
        <w:rPr>
          <w:spacing w:val="40"/>
          <w:w w:val="110"/>
          <w:vertAlign w:val="baseline"/>
        </w:rPr>
        <w:t> </w:t>
      </w:r>
      <w:r>
        <w:rPr>
          <w:w w:val="110"/>
          <w:vertAlign w:val="baseline"/>
        </w:rPr>
        <w:t>of</w:t>
      </w:r>
      <w:r>
        <w:rPr>
          <w:spacing w:val="40"/>
          <w:w w:val="110"/>
          <w:vertAlign w:val="baseline"/>
        </w:rPr>
        <w:t> </w:t>
      </w:r>
      <w:r>
        <w:rPr>
          <w:w w:val="110"/>
          <w:vertAlign w:val="baseline"/>
        </w:rPr>
        <w:t>dynamic</w:t>
      </w:r>
      <w:r>
        <w:rPr>
          <w:spacing w:val="40"/>
          <w:w w:val="110"/>
          <w:vertAlign w:val="baseline"/>
        </w:rPr>
        <w:t> </w:t>
      </w:r>
      <w:r>
        <w:rPr>
          <w:w w:val="110"/>
          <w:vertAlign w:val="baseline"/>
        </w:rPr>
        <w:t>alignment</w:t>
      </w:r>
      <w:r>
        <w:rPr>
          <w:spacing w:val="40"/>
          <w:w w:val="110"/>
          <w:vertAlign w:val="baseline"/>
        </w:rPr>
        <w:t> </w:t>
      </w:r>
      <w:r>
        <w:rPr>
          <w:w w:val="110"/>
          <w:vertAlign w:val="baseline"/>
        </w:rPr>
        <w:t>and a</w:t>
      </w:r>
      <w:r>
        <w:rPr>
          <w:spacing w:val="40"/>
          <w:w w:val="110"/>
          <w:vertAlign w:val="baseline"/>
        </w:rPr>
        <w:t> </w:t>
      </w:r>
      <w:r>
        <w:rPr>
          <w:w w:val="110"/>
          <w:vertAlign w:val="baseline"/>
        </w:rPr>
        <w:t>concomitant</w:t>
      </w:r>
      <w:r>
        <w:rPr>
          <w:spacing w:val="40"/>
          <w:w w:val="110"/>
          <w:vertAlign w:val="baseline"/>
        </w:rPr>
        <w:t> </w:t>
      </w:r>
      <w:r>
        <w:rPr>
          <w:w w:val="110"/>
          <w:vertAlign w:val="baseline"/>
        </w:rPr>
        <w:t>duty</w:t>
      </w:r>
      <w:r>
        <w:rPr>
          <w:spacing w:val="40"/>
          <w:w w:val="110"/>
          <w:vertAlign w:val="baseline"/>
        </w:rPr>
        <w:t> </w:t>
      </w:r>
      <w:r>
        <w:rPr>
          <w:w w:val="110"/>
          <w:vertAlign w:val="baseline"/>
        </w:rPr>
        <w:t>to</w:t>
      </w:r>
      <w:r>
        <w:rPr>
          <w:spacing w:val="40"/>
          <w:w w:val="110"/>
          <w:vertAlign w:val="baseline"/>
        </w:rPr>
        <w:t> </w:t>
      </w:r>
      <w:r>
        <w:rPr>
          <w:w w:val="110"/>
          <w:vertAlign w:val="baseline"/>
        </w:rPr>
        <w:t>conform</w:t>
      </w:r>
      <w:r>
        <w:rPr>
          <w:spacing w:val="40"/>
          <w:w w:val="110"/>
          <w:vertAlign w:val="baseline"/>
        </w:rPr>
        <w:t> </w:t>
      </w:r>
      <w:r>
        <w:rPr>
          <w:w w:val="110"/>
          <w:vertAlign w:val="baseline"/>
        </w:rPr>
        <w:t>to</w:t>
      </w:r>
      <w:r>
        <w:rPr>
          <w:spacing w:val="80"/>
          <w:w w:val="110"/>
          <w:vertAlign w:val="baseline"/>
        </w:rPr>
        <w:t> </w:t>
      </w:r>
      <w:r>
        <w:rPr>
          <w:w w:val="110"/>
          <w:vertAlign w:val="baseline"/>
        </w:rPr>
        <w:t>the </w:t>
      </w:r>
      <w:r>
        <w:rPr>
          <w:rFonts w:ascii="Verdana"/>
          <w:i/>
          <w:w w:val="110"/>
          <w:vertAlign w:val="baseline"/>
        </w:rPr>
        <w:t>evolving</w:t>
      </w:r>
      <w:r>
        <w:rPr>
          <w:rFonts w:ascii="Verdana"/>
          <w:i/>
          <w:spacing w:val="-11"/>
          <w:w w:val="110"/>
          <w:vertAlign w:val="baseline"/>
        </w:rPr>
        <w:t> </w:t>
      </w:r>
      <w:r>
        <w:rPr>
          <w:w w:val="110"/>
          <w:vertAlign w:val="baseline"/>
        </w:rPr>
        <w:t>case law of the CJEU </w:t>
      </w:r>
      <w:r>
        <w:rPr>
          <w:rFonts w:ascii="Lucida Sans Unicode"/>
          <w:w w:val="110"/>
          <w:vertAlign w:val="baseline"/>
        </w:rPr>
        <w:t>under</w:t>
      </w:r>
      <w:r>
        <w:rPr>
          <w:rFonts w:ascii="Lucida Sans Unicode"/>
          <w:spacing w:val="-21"/>
          <w:w w:val="110"/>
          <w:vertAlign w:val="baseline"/>
        </w:rPr>
        <w:t> </w:t>
      </w:r>
      <w:r>
        <w:rPr>
          <w:rFonts w:ascii="Lucida Sans Unicode"/>
          <w:w w:val="110"/>
          <w:vertAlign w:val="baseline"/>
        </w:rPr>
        <w:t>Article</w:t>
      </w:r>
      <w:r>
        <w:rPr>
          <w:rFonts w:ascii="Lucida Sans Unicode"/>
          <w:spacing w:val="-21"/>
          <w:w w:val="110"/>
          <w:vertAlign w:val="baseline"/>
        </w:rPr>
        <w:t> </w:t>
      </w:r>
      <w:r>
        <w:rPr>
          <w:rFonts w:ascii="Lucida Sans Unicode"/>
          <w:vertAlign w:val="baseline"/>
        </w:rPr>
        <w:t>13</w:t>
      </w:r>
      <w:r>
        <w:rPr>
          <w:rFonts w:ascii="Lucida Sans Unicode"/>
          <w:spacing w:val="-19"/>
          <w:vertAlign w:val="baseline"/>
        </w:rPr>
        <w:t> </w:t>
      </w:r>
      <w:r>
        <w:rPr>
          <w:rFonts w:ascii="Lucida Sans Unicode"/>
          <w:w w:val="110"/>
          <w:vertAlign w:val="baseline"/>
        </w:rPr>
        <w:t>of</w:t>
      </w:r>
      <w:r>
        <w:rPr>
          <w:rFonts w:ascii="Lucida Sans Unicode"/>
          <w:spacing w:val="-21"/>
          <w:w w:val="110"/>
          <w:vertAlign w:val="baseline"/>
        </w:rPr>
        <w:t> </w:t>
      </w:r>
      <w:r>
        <w:rPr>
          <w:rFonts w:ascii="Lucida Sans Unicode"/>
          <w:w w:val="110"/>
          <w:vertAlign w:val="baseline"/>
        </w:rPr>
        <w:t>the</w:t>
      </w:r>
      <w:r>
        <w:rPr>
          <w:rFonts w:ascii="Lucida Sans Unicode"/>
          <w:spacing w:val="-21"/>
          <w:w w:val="110"/>
          <w:vertAlign w:val="baseline"/>
        </w:rPr>
        <w:t> </w:t>
      </w:r>
      <w:r>
        <w:rPr>
          <w:rFonts w:ascii="Lucida Sans Unicode"/>
          <w:w w:val="110"/>
          <w:vertAlign w:val="baseline"/>
        </w:rPr>
        <w:t>Windsor </w:t>
      </w:r>
      <w:r>
        <w:rPr>
          <w:rFonts w:ascii="Lucida Sans Unicode"/>
          <w:spacing w:val="-2"/>
          <w:w w:val="110"/>
          <w:vertAlign w:val="baseline"/>
        </w:rPr>
        <w:t>Framework</w:t>
      </w:r>
      <w:r>
        <w:rPr>
          <w:rFonts w:ascii="Lucida Sans Unicode"/>
          <w:spacing w:val="-19"/>
          <w:w w:val="110"/>
          <w:vertAlign w:val="baseline"/>
        </w:rPr>
        <w:t> </w:t>
      </w:r>
      <w:r>
        <w:rPr>
          <w:rFonts w:ascii="Lucida Sans Unicode"/>
          <w:spacing w:val="-2"/>
          <w:w w:val="110"/>
          <w:vertAlign w:val="baseline"/>
        </w:rPr>
        <w:t>in</w:t>
      </w:r>
      <w:r>
        <w:rPr>
          <w:rFonts w:ascii="Lucida Sans Unicode"/>
          <w:spacing w:val="-19"/>
          <w:w w:val="110"/>
          <w:vertAlign w:val="baseline"/>
        </w:rPr>
        <w:t> </w:t>
      </w:r>
      <w:r>
        <w:rPr>
          <w:rFonts w:ascii="Lucida Sans Unicode"/>
          <w:spacing w:val="-2"/>
          <w:w w:val="110"/>
          <w:vertAlign w:val="baseline"/>
        </w:rPr>
        <w:t>respect</w:t>
      </w:r>
      <w:r>
        <w:rPr>
          <w:rFonts w:ascii="Lucida Sans Unicode"/>
          <w:spacing w:val="-19"/>
          <w:w w:val="110"/>
          <w:vertAlign w:val="baseline"/>
        </w:rPr>
        <w:t> </w:t>
      </w:r>
      <w:r>
        <w:rPr>
          <w:rFonts w:ascii="Lucida Sans Unicode"/>
          <w:spacing w:val="-2"/>
          <w:w w:val="110"/>
          <w:vertAlign w:val="baseline"/>
        </w:rPr>
        <w:t>of</w:t>
      </w:r>
      <w:r>
        <w:rPr>
          <w:rFonts w:ascii="Lucida Sans Unicode"/>
          <w:spacing w:val="-19"/>
          <w:w w:val="110"/>
          <w:vertAlign w:val="baseline"/>
        </w:rPr>
        <w:t> </w:t>
      </w:r>
      <w:r>
        <w:rPr>
          <w:rFonts w:ascii="Lucida Sans Unicode"/>
          <w:spacing w:val="-2"/>
          <w:w w:val="110"/>
          <w:vertAlign w:val="baseline"/>
        </w:rPr>
        <w:t>specifically </w:t>
      </w:r>
      <w:r>
        <w:rPr>
          <w:w w:val="110"/>
          <w:vertAlign w:val="baseline"/>
        </w:rPr>
        <w:t>listed legislation (i.e., in respect of </w:t>
      </w:r>
      <w:r>
        <w:rPr>
          <w:rFonts w:ascii="Lucida Sans Unicode"/>
          <w:w w:val="110"/>
          <w:vertAlign w:val="baseline"/>
        </w:rPr>
        <w:t>Article</w:t>
      </w:r>
      <w:r>
        <w:rPr>
          <w:rFonts w:ascii="Lucida Sans Unicode"/>
          <w:spacing w:val="-21"/>
          <w:w w:val="110"/>
          <w:vertAlign w:val="baseline"/>
        </w:rPr>
        <w:t> </w:t>
      </w:r>
      <w:r>
        <w:rPr>
          <w:rFonts w:ascii="Lucida Sans Unicode"/>
          <w:vertAlign w:val="baseline"/>
        </w:rPr>
        <w:t>2,</w:t>
      </w:r>
      <w:r>
        <w:rPr>
          <w:rFonts w:ascii="Lucida Sans Unicode"/>
          <w:spacing w:val="-19"/>
          <w:vertAlign w:val="baseline"/>
        </w:rPr>
        <w:t> </w:t>
      </w:r>
      <w:r>
        <w:rPr>
          <w:rFonts w:ascii="Lucida Sans Unicode"/>
          <w:w w:val="110"/>
          <w:vertAlign w:val="baseline"/>
        </w:rPr>
        <w:t>this</w:t>
      </w:r>
      <w:r>
        <w:rPr>
          <w:rFonts w:ascii="Lucida Sans Unicode"/>
          <w:spacing w:val="-21"/>
          <w:w w:val="110"/>
          <w:vertAlign w:val="baseline"/>
        </w:rPr>
        <w:t> </w:t>
      </w:r>
      <w:r>
        <w:rPr>
          <w:rFonts w:ascii="Lucida Sans Unicode"/>
          <w:w w:val="110"/>
          <w:vertAlign w:val="baseline"/>
        </w:rPr>
        <w:t>duty</w:t>
      </w:r>
      <w:r>
        <w:rPr>
          <w:rFonts w:ascii="Lucida Sans Unicode"/>
          <w:spacing w:val="-21"/>
          <w:w w:val="110"/>
          <w:vertAlign w:val="baseline"/>
        </w:rPr>
        <w:t> </w:t>
      </w:r>
      <w:r>
        <w:rPr>
          <w:rFonts w:ascii="Lucida Sans Unicode"/>
          <w:w w:val="110"/>
          <w:vertAlign w:val="baseline"/>
        </w:rPr>
        <w:t>applies</w:t>
      </w:r>
      <w:r>
        <w:rPr>
          <w:rFonts w:ascii="Lucida Sans Unicode"/>
          <w:spacing w:val="-21"/>
          <w:w w:val="110"/>
          <w:vertAlign w:val="baseline"/>
        </w:rPr>
        <w:t> </w:t>
      </w:r>
      <w:r>
        <w:rPr>
          <w:rFonts w:ascii="Lucida Sans Unicode"/>
          <w:w w:val="110"/>
          <w:vertAlign w:val="baseline"/>
        </w:rPr>
        <w:t>to</w:t>
      </w:r>
      <w:r>
        <w:rPr>
          <w:rFonts w:ascii="Lucida Sans Unicode"/>
          <w:spacing w:val="-21"/>
          <w:w w:val="110"/>
          <w:vertAlign w:val="baseline"/>
        </w:rPr>
        <w:t> </w:t>
      </w:r>
      <w:r>
        <w:rPr>
          <w:rFonts w:ascii="Lucida Sans Unicode"/>
          <w:w w:val="110"/>
          <w:vertAlign w:val="baseline"/>
        </w:rPr>
        <w:t>the </w:t>
      </w:r>
      <w:r>
        <w:rPr>
          <w:w w:val="110"/>
          <w:vertAlign w:val="baseline"/>
        </w:rPr>
        <w:t>Annex</w:t>
      </w:r>
      <w:r>
        <w:rPr>
          <w:spacing w:val="-2"/>
          <w:w w:val="110"/>
          <w:vertAlign w:val="baseline"/>
        </w:rPr>
        <w:t> </w:t>
      </w:r>
      <w:r>
        <w:rPr>
          <w:vertAlign w:val="baseline"/>
        </w:rPr>
        <w:t>1 </w:t>
      </w:r>
      <w:r>
        <w:rPr>
          <w:w w:val="110"/>
          <w:vertAlign w:val="baseline"/>
        </w:rPr>
        <w:t>Directives</w:t>
      </w:r>
      <w:r>
        <w:rPr>
          <w:spacing w:val="-2"/>
          <w:w w:val="110"/>
          <w:vertAlign w:val="baseline"/>
        </w:rPr>
        <w:t> </w:t>
      </w:r>
      <w:r>
        <w:rPr>
          <w:w w:val="110"/>
          <w:vertAlign w:val="baseline"/>
        </w:rPr>
        <w:t>but</w:t>
      </w:r>
      <w:r>
        <w:rPr>
          <w:spacing w:val="-2"/>
          <w:w w:val="110"/>
          <w:vertAlign w:val="baseline"/>
        </w:rPr>
        <w:t> </w:t>
      </w:r>
      <w:r>
        <w:rPr>
          <w:w w:val="110"/>
          <w:vertAlign w:val="baseline"/>
        </w:rPr>
        <w:t>not</w:t>
      </w:r>
      <w:r>
        <w:rPr>
          <w:spacing w:val="-2"/>
          <w:w w:val="110"/>
          <w:vertAlign w:val="baseline"/>
        </w:rPr>
        <w:t> </w:t>
      </w:r>
      <w:r>
        <w:rPr>
          <w:w w:val="110"/>
          <w:vertAlign w:val="baseline"/>
        </w:rPr>
        <w:t>necessarily </w:t>
      </w:r>
      <w:r>
        <w:rPr>
          <w:rFonts w:ascii="Lucida Sans Unicode"/>
          <w:vertAlign w:val="baseline"/>
        </w:rPr>
        <w:t>in respect of the RSEO section of the </w:t>
      </w:r>
      <w:r>
        <w:rPr>
          <w:spacing w:val="-2"/>
          <w:w w:val="110"/>
          <w:vertAlign w:val="baseline"/>
        </w:rPr>
        <w:t>GFA).</w:t>
      </w:r>
    </w:p>
    <w:p>
      <w:pPr>
        <w:pStyle w:val="BodyText"/>
        <w:spacing w:before="66"/>
        <w:ind w:left="0"/>
      </w:pPr>
    </w:p>
    <w:p>
      <w:pPr>
        <w:pStyle w:val="BodyText"/>
        <w:spacing w:line="273" w:lineRule="auto"/>
        <w:ind w:right="259"/>
        <w:rPr>
          <w:rFonts w:ascii="Verdana"/>
          <w:i/>
        </w:rPr>
      </w:pPr>
      <w:r>
        <w:rPr>
          <w:spacing w:val="-2"/>
          <w:w w:val="115"/>
        </w:rPr>
        <w:t>The</w:t>
      </w:r>
      <w:r>
        <w:rPr>
          <w:spacing w:val="-17"/>
          <w:w w:val="115"/>
        </w:rPr>
        <w:t> </w:t>
      </w:r>
      <w:r>
        <w:rPr>
          <w:spacing w:val="-2"/>
          <w:w w:val="115"/>
        </w:rPr>
        <w:t>key</w:t>
      </w:r>
      <w:r>
        <w:rPr>
          <w:spacing w:val="-17"/>
          <w:w w:val="115"/>
        </w:rPr>
        <w:t> </w:t>
      </w:r>
      <w:r>
        <w:rPr>
          <w:spacing w:val="-2"/>
          <w:w w:val="115"/>
        </w:rPr>
        <w:t>question</w:t>
      </w:r>
      <w:r>
        <w:rPr>
          <w:spacing w:val="-17"/>
          <w:w w:val="115"/>
        </w:rPr>
        <w:t> </w:t>
      </w:r>
      <w:r>
        <w:rPr>
          <w:spacing w:val="-2"/>
          <w:w w:val="115"/>
        </w:rPr>
        <w:t>that</w:t>
      </w:r>
      <w:r>
        <w:rPr>
          <w:spacing w:val="-17"/>
          <w:w w:val="115"/>
        </w:rPr>
        <w:t> </w:t>
      </w:r>
      <w:r>
        <w:rPr>
          <w:spacing w:val="-2"/>
          <w:w w:val="115"/>
        </w:rPr>
        <w:t>arises,</w:t>
      </w:r>
      <w:r>
        <w:rPr>
          <w:spacing w:val="-17"/>
          <w:w w:val="115"/>
        </w:rPr>
        <w:t> </w:t>
      </w:r>
      <w:r>
        <w:rPr>
          <w:spacing w:val="-2"/>
          <w:w w:val="115"/>
        </w:rPr>
        <w:t>then,</w:t>
      </w:r>
      <w:r>
        <w:rPr>
          <w:spacing w:val="-17"/>
          <w:w w:val="115"/>
        </w:rPr>
        <w:t> </w:t>
      </w:r>
      <w:r>
        <w:rPr>
          <w:spacing w:val="-2"/>
          <w:w w:val="115"/>
        </w:rPr>
        <w:t>is </w:t>
      </w:r>
      <w:r>
        <w:rPr>
          <w:w w:val="115"/>
        </w:rPr>
        <w:t>whether remedies that do not exist in domestic law independently of</w:t>
      </w:r>
      <w:r>
        <w:rPr>
          <w:w w:val="115"/>
        </w:rPr>
        <w:t> EU law can be considered to apply in Northern Ireland as part of the non-diminution obligation. A narrow reading</w:t>
      </w:r>
      <w:r>
        <w:rPr>
          <w:spacing w:val="-13"/>
          <w:w w:val="115"/>
        </w:rPr>
        <w:t> </w:t>
      </w:r>
      <w:r>
        <w:rPr>
          <w:w w:val="115"/>
        </w:rPr>
        <w:t>might</w:t>
      </w:r>
      <w:r>
        <w:rPr>
          <w:spacing w:val="-12"/>
          <w:w w:val="115"/>
        </w:rPr>
        <w:t> </w:t>
      </w:r>
      <w:r>
        <w:rPr>
          <w:w w:val="115"/>
        </w:rPr>
        <w:t>distinguish</w:t>
      </w:r>
      <w:r>
        <w:rPr>
          <w:spacing w:val="-12"/>
          <w:w w:val="115"/>
        </w:rPr>
        <w:t> </w:t>
      </w:r>
      <w:r>
        <w:rPr>
          <w:w w:val="115"/>
        </w:rPr>
        <w:t>the</w:t>
      </w:r>
      <w:r>
        <w:rPr>
          <w:spacing w:val="-12"/>
          <w:w w:val="115"/>
        </w:rPr>
        <w:t> </w:t>
      </w:r>
      <w:r>
        <w:rPr>
          <w:rFonts w:ascii="Verdana"/>
          <w:i/>
          <w:spacing w:val="-4"/>
          <w:w w:val="105"/>
        </w:rPr>
        <w:t>effects</w:t>
      </w:r>
    </w:p>
    <w:p>
      <w:pPr>
        <w:pStyle w:val="BodyText"/>
        <w:spacing w:line="266" w:lineRule="auto" w:before="111"/>
        <w:ind w:right="129"/>
      </w:pPr>
      <w:r>
        <w:rPr/>
        <w:br w:type="column"/>
      </w:r>
      <w:r>
        <w:rPr>
          <w:w w:val="115"/>
        </w:rPr>
        <w:t>of the Charter rights from the rights themselves.</w:t>
      </w:r>
      <w:r>
        <w:rPr>
          <w:spacing w:val="-19"/>
          <w:w w:val="115"/>
        </w:rPr>
        <w:t> </w:t>
      </w:r>
      <w:r>
        <w:rPr>
          <w:w w:val="115"/>
        </w:rPr>
        <w:t>This</w:t>
      </w:r>
      <w:r>
        <w:rPr>
          <w:spacing w:val="-19"/>
          <w:w w:val="115"/>
        </w:rPr>
        <w:t> </w:t>
      </w:r>
      <w:r>
        <w:rPr>
          <w:w w:val="115"/>
        </w:rPr>
        <w:t>would</w:t>
      </w:r>
      <w:r>
        <w:rPr>
          <w:spacing w:val="-19"/>
          <w:w w:val="115"/>
        </w:rPr>
        <w:t> </w:t>
      </w:r>
      <w:r>
        <w:rPr>
          <w:w w:val="115"/>
        </w:rPr>
        <w:t>recognise</w:t>
      </w:r>
      <w:r>
        <w:rPr>
          <w:spacing w:val="-19"/>
          <w:w w:val="115"/>
        </w:rPr>
        <w:t> </w:t>
      </w:r>
      <w:r>
        <w:rPr>
          <w:w w:val="115"/>
        </w:rPr>
        <w:t>the </w:t>
      </w:r>
      <w:r>
        <w:rPr>
          <w:w w:val="110"/>
        </w:rPr>
        <w:t>interpretative</w:t>
      </w:r>
      <w:r>
        <w:rPr>
          <w:spacing w:val="-15"/>
          <w:w w:val="110"/>
        </w:rPr>
        <w:t> </w:t>
      </w:r>
      <w:r>
        <w:rPr>
          <w:rFonts w:ascii="Verdana"/>
          <w:i/>
          <w:w w:val="110"/>
        </w:rPr>
        <w:t>relevance</w:t>
      </w:r>
      <w:r>
        <w:rPr>
          <w:rFonts w:ascii="Verdana"/>
          <w:i/>
          <w:spacing w:val="-23"/>
          <w:w w:val="110"/>
        </w:rPr>
        <w:t> </w:t>
      </w:r>
      <w:r>
        <w:rPr>
          <w:w w:val="110"/>
        </w:rPr>
        <w:t>of</w:t>
      </w:r>
      <w:r>
        <w:rPr>
          <w:spacing w:val="-9"/>
          <w:w w:val="110"/>
        </w:rPr>
        <w:t> </w:t>
      </w:r>
      <w:r>
        <w:rPr>
          <w:w w:val="110"/>
        </w:rPr>
        <w:t>the</w:t>
      </w:r>
      <w:r>
        <w:rPr>
          <w:spacing w:val="-9"/>
          <w:w w:val="110"/>
        </w:rPr>
        <w:t> </w:t>
      </w:r>
      <w:r>
        <w:rPr>
          <w:w w:val="110"/>
        </w:rPr>
        <w:t>Charter </w:t>
      </w:r>
      <w:r>
        <w:rPr>
          <w:w w:val="115"/>
        </w:rPr>
        <w:t>(literally or through the guise of the general</w:t>
      </w:r>
      <w:r>
        <w:rPr>
          <w:spacing w:val="-3"/>
          <w:w w:val="115"/>
        </w:rPr>
        <w:t> </w:t>
      </w:r>
      <w:r>
        <w:rPr>
          <w:w w:val="115"/>
        </w:rPr>
        <w:t>principles</w:t>
      </w:r>
      <w:r>
        <w:rPr>
          <w:spacing w:val="-3"/>
          <w:w w:val="115"/>
        </w:rPr>
        <w:t> </w:t>
      </w:r>
      <w:r>
        <w:rPr>
          <w:w w:val="115"/>
        </w:rPr>
        <w:t>that</w:t>
      </w:r>
      <w:r>
        <w:rPr>
          <w:spacing w:val="-3"/>
          <w:w w:val="115"/>
        </w:rPr>
        <w:t> </w:t>
      </w:r>
      <w:r>
        <w:rPr>
          <w:w w:val="115"/>
        </w:rPr>
        <w:t>preceded</w:t>
      </w:r>
      <w:r>
        <w:rPr>
          <w:spacing w:val="-3"/>
          <w:w w:val="115"/>
        </w:rPr>
        <w:t> </w:t>
      </w:r>
      <w:r>
        <w:rPr>
          <w:w w:val="115"/>
        </w:rPr>
        <w:t>it)</w:t>
      </w:r>
      <w:r>
        <w:rPr>
          <w:spacing w:val="-3"/>
          <w:w w:val="115"/>
        </w:rPr>
        <w:t> </w:t>
      </w:r>
      <w:r>
        <w:rPr>
          <w:w w:val="115"/>
        </w:rPr>
        <w:t>to the determination of cases pertaining to the Annex </w:t>
      </w:r>
      <w:r>
        <w:rPr/>
        <w:t>1 </w:t>
      </w:r>
      <w:r>
        <w:rPr>
          <w:w w:val="115"/>
        </w:rPr>
        <w:t>directives, but without at the same time making it possible</w:t>
      </w:r>
    </w:p>
    <w:p>
      <w:pPr>
        <w:pStyle w:val="BodyText"/>
        <w:spacing w:line="268" w:lineRule="auto" w:before="13"/>
        <w:ind w:right="317"/>
      </w:pPr>
      <w:r>
        <w:rPr>
          <w:w w:val="115"/>
        </w:rPr>
        <w:t>to rely on the remedies of state liability or, crucially, disapplication </w:t>
      </w:r>
      <w:r>
        <w:rPr>
          <w:w w:val="110"/>
        </w:rPr>
        <w:t>(since</w:t>
      </w:r>
      <w:r>
        <w:rPr>
          <w:spacing w:val="-4"/>
          <w:w w:val="110"/>
        </w:rPr>
        <w:t> </w:t>
      </w:r>
      <w:r>
        <w:rPr>
          <w:w w:val="110"/>
        </w:rPr>
        <w:t>these</w:t>
      </w:r>
      <w:r>
        <w:rPr>
          <w:spacing w:val="-4"/>
          <w:w w:val="110"/>
        </w:rPr>
        <w:t> </w:t>
      </w:r>
      <w:r>
        <w:rPr>
          <w:w w:val="110"/>
        </w:rPr>
        <w:t>remedies</w:t>
      </w:r>
      <w:r>
        <w:rPr>
          <w:spacing w:val="-4"/>
          <w:w w:val="110"/>
        </w:rPr>
        <w:t> </w:t>
      </w:r>
      <w:r>
        <w:rPr>
          <w:w w:val="110"/>
        </w:rPr>
        <w:t>are</w:t>
      </w:r>
      <w:r>
        <w:rPr>
          <w:spacing w:val="-4"/>
          <w:w w:val="110"/>
        </w:rPr>
        <w:t> </w:t>
      </w:r>
      <w:r>
        <w:rPr>
          <w:w w:val="110"/>
        </w:rPr>
        <w:t>no</w:t>
      </w:r>
      <w:r>
        <w:rPr>
          <w:spacing w:val="-4"/>
          <w:w w:val="110"/>
        </w:rPr>
        <w:t> </w:t>
      </w:r>
      <w:r>
        <w:rPr>
          <w:spacing w:val="-2"/>
          <w:w w:val="110"/>
        </w:rPr>
        <w:t>longer</w:t>
      </w:r>
    </w:p>
    <w:p>
      <w:pPr>
        <w:pStyle w:val="BodyText"/>
        <w:spacing w:line="230" w:lineRule="auto" w:before="12"/>
        <w:ind w:right="161"/>
      </w:pPr>
      <w:r>
        <w:rPr>
          <w:w w:val="110"/>
        </w:rPr>
        <w:t>available for domestic courts to use </w:t>
      </w:r>
      <w:r>
        <w:rPr>
          <w:rFonts w:ascii="Lucida Sans Unicode"/>
        </w:rPr>
        <w:t>under the terms of Schedule 1 </w:t>
      </w:r>
      <w:r>
        <w:rPr>
          <w:rFonts w:ascii="Lucida Sans Unicode"/>
        </w:rPr>
        <w:t>EUWA, </w:t>
      </w:r>
      <w:r>
        <w:rPr>
          <w:w w:val="110"/>
        </w:rPr>
        <w:t>except insofar as this is required</w:t>
      </w:r>
    </w:p>
    <w:p>
      <w:pPr>
        <w:pStyle w:val="BodyText"/>
        <w:spacing w:line="310" w:lineRule="exact" w:before="15"/>
        <w:ind w:right="440"/>
        <w:rPr>
          <w:rFonts w:ascii="Lucida Sans Unicode"/>
        </w:rPr>
      </w:pPr>
      <w:r>
        <w:rPr>
          <w:w w:val="110"/>
        </w:rPr>
        <w:t>under section 7A EUWA and the terms of the Withdrawal Agreement, as discussed earlier). As we explain further below, however, this reading</w:t>
      </w:r>
      <w:r>
        <w:rPr>
          <w:spacing w:val="40"/>
          <w:w w:val="110"/>
        </w:rPr>
        <w:t> </w:t>
      </w:r>
      <w:r>
        <w:rPr>
          <w:w w:val="110"/>
        </w:rPr>
        <w:t>is neither supported by existing authority nor does it practically </w:t>
      </w:r>
      <w:r>
        <w:rPr>
          <w:w w:val="110"/>
        </w:rPr>
        <w:t>meet the condition of non-diminution set </w:t>
      </w:r>
      <w:r>
        <w:rPr>
          <w:rFonts w:ascii="Lucida Sans Unicode"/>
          <w:w w:val="110"/>
        </w:rPr>
        <w:t>out</w:t>
      </w:r>
      <w:r>
        <w:rPr>
          <w:rFonts w:ascii="Lucida Sans Unicode"/>
          <w:spacing w:val="-4"/>
          <w:w w:val="110"/>
        </w:rPr>
        <w:t> </w:t>
      </w:r>
      <w:r>
        <w:rPr>
          <w:rFonts w:ascii="Lucida Sans Unicode"/>
          <w:w w:val="110"/>
        </w:rPr>
        <w:t>in</w:t>
      </w:r>
      <w:r>
        <w:rPr>
          <w:rFonts w:ascii="Lucida Sans Unicode"/>
          <w:spacing w:val="-4"/>
          <w:w w:val="110"/>
        </w:rPr>
        <w:t> </w:t>
      </w:r>
      <w:r>
        <w:rPr>
          <w:rFonts w:ascii="Lucida Sans Unicode"/>
          <w:w w:val="110"/>
        </w:rPr>
        <w:t>Article</w:t>
      </w:r>
      <w:r>
        <w:rPr>
          <w:rFonts w:ascii="Lucida Sans Unicode"/>
          <w:spacing w:val="-4"/>
          <w:w w:val="110"/>
        </w:rPr>
        <w:t> </w:t>
      </w:r>
      <w:r>
        <w:rPr>
          <w:rFonts w:ascii="Lucida Sans Unicode"/>
          <w:w w:val="110"/>
        </w:rPr>
        <w:t>2.</w:t>
      </w:r>
    </w:p>
    <w:p>
      <w:pPr>
        <w:pStyle w:val="ListParagraph"/>
        <w:numPr>
          <w:ilvl w:val="0"/>
          <w:numId w:val="17"/>
        </w:numPr>
        <w:tabs>
          <w:tab w:pos="395" w:val="left" w:leader="none"/>
        </w:tabs>
        <w:spacing w:line="268" w:lineRule="auto" w:before="309" w:after="0"/>
        <w:ind w:left="113" w:right="366" w:firstLine="0"/>
        <w:jc w:val="left"/>
        <w:rPr>
          <w:rFonts w:ascii="Arial"/>
          <w:sz w:val="24"/>
        </w:rPr>
      </w:pPr>
      <w:r>
        <w:rPr>
          <w:rFonts w:ascii="Tahoma"/>
          <w:b/>
          <w:color w:val="77328A"/>
          <w:sz w:val="24"/>
        </w:rPr>
        <w:t>Disapplication and state liability</w:t>
      </w:r>
      <w:r>
        <w:rPr>
          <w:rFonts w:ascii="Tahoma"/>
          <w:b/>
          <w:color w:val="77328A"/>
          <w:spacing w:val="40"/>
          <w:w w:val="110"/>
          <w:sz w:val="24"/>
        </w:rPr>
        <w:t> </w:t>
      </w:r>
      <w:r>
        <w:rPr>
          <w:rFonts w:ascii="Arial"/>
          <w:w w:val="110"/>
          <w:sz w:val="24"/>
        </w:rPr>
        <w:t>If</w:t>
      </w:r>
      <w:r>
        <w:rPr>
          <w:rFonts w:ascii="Arial"/>
          <w:spacing w:val="-11"/>
          <w:w w:val="110"/>
          <w:sz w:val="24"/>
        </w:rPr>
        <w:t> </w:t>
      </w:r>
      <w:r>
        <w:rPr>
          <w:rFonts w:ascii="Arial"/>
          <w:w w:val="110"/>
          <w:sz w:val="24"/>
        </w:rPr>
        <w:t>we</w:t>
      </w:r>
      <w:r>
        <w:rPr>
          <w:rFonts w:ascii="Arial"/>
          <w:spacing w:val="-11"/>
          <w:w w:val="110"/>
          <w:sz w:val="24"/>
        </w:rPr>
        <w:t> </w:t>
      </w:r>
      <w:r>
        <w:rPr>
          <w:rFonts w:ascii="Arial"/>
          <w:w w:val="110"/>
          <w:sz w:val="24"/>
        </w:rPr>
        <w:t>imagine</w:t>
      </w:r>
      <w:r>
        <w:rPr>
          <w:rFonts w:ascii="Arial"/>
          <w:spacing w:val="-11"/>
          <w:w w:val="110"/>
          <w:sz w:val="24"/>
        </w:rPr>
        <w:t> </w:t>
      </w:r>
      <w:r>
        <w:rPr>
          <w:rFonts w:ascii="Arial"/>
          <w:w w:val="110"/>
          <w:sz w:val="24"/>
        </w:rPr>
        <w:t>that</w:t>
      </w:r>
      <w:r>
        <w:rPr>
          <w:rFonts w:ascii="Arial"/>
          <w:spacing w:val="-11"/>
          <w:w w:val="110"/>
          <w:sz w:val="24"/>
        </w:rPr>
        <w:t> </w:t>
      </w:r>
      <w:r>
        <w:rPr>
          <w:rFonts w:ascii="Arial"/>
          <w:w w:val="110"/>
          <w:sz w:val="24"/>
        </w:rPr>
        <w:t>a</w:t>
      </w:r>
      <w:r>
        <w:rPr>
          <w:rFonts w:ascii="Arial"/>
          <w:spacing w:val="-11"/>
          <w:w w:val="110"/>
          <w:sz w:val="24"/>
        </w:rPr>
        <w:t> </w:t>
      </w:r>
      <w:r>
        <w:rPr>
          <w:rFonts w:ascii="Arial"/>
          <w:w w:val="110"/>
          <w:sz w:val="24"/>
        </w:rPr>
        <w:t>case</w:t>
      </w:r>
      <w:r>
        <w:rPr>
          <w:rFonts w:ascii="Arial"/>
          <w:spacing w:val="-11"/>
          <w:w w:val="110"/>
          <w:sz w:val="24"/>
        </w:rPr>
        <w:t> </w:t>
      </w:r>
      <w:r>
        <w:rPr>
          <w:rFonts w:ascii="Arial"/>
          <w:w w:val="110"/>
          <w:sz w:val="24"/>
        </w:rPr>
        <w:t>like</w:t>
      </w:r>
      <w:r>
        <w:rPr>
          <w:rFonts w:ascii="Arial"/>
          <w:spacing w:val="-11"/>
          <w:w w:val="110"/>
          <w:sz w:val="24"/>
        </w:rPr>
        <w:t> </w:t>
      </w:r>
      <w:r>
        <w:rPr>
          <w:rFonts w:ascii="Verdana"/>
          <w:i/>
          <w:w w:val="110"/>
          <w:sz w:val="24"/>
        </w:rPr>
        <w:t>Walker</w:t>
      </w:r>
      <w:r>
        <w:rPr>
          <w:rFonts w:ascii="Verdana"/>
          <w:i/>
          <w:w w:val="110"/>
          <w:sz w:val="24"/>
        </w:rPr>
        <w:t> </w:t>
      </w:r>
      <w:r>
        <w:rPr>
          <w:rFonts w:ascii="Arial"/>
          <w:w w:val="115"/>
          <w:sz w:val="24"/>
        </w:rPr>
        <w:t>came before domestic courts in Northern</w:t>
      </w:r>
      <w:r>
        <w:rPr>
          <w:rFonts w:ascii="Arial"/>
          <w:spacing w:val="-20"/>
          <w:w w:val="115"/>
          <w:sz w:val="24"/>
        </w:rPr>
        <w:t> </w:t>
      </w:r>
      <w:r>
        <w:rPr>
          <w:rFonts w:ascii="Arial"/>
          <w:w w:val="115"/>
          <w:sz w:val="24"/>
        </w:rPr>
        <w:t>Ireland</w:t>
      </w:r>
      <w:r>
        <w:rPr>
          <w:rFonts w:ascii="Arial"/>
          <w:spacing w:val="-19"/>
          <w:w w:val="115"/>
          <w:sz w:val="24"/>
        </w:rPr>
        <w:t> </w:t>
      </w:r>
      <w:r>
        <w:rPr>
          <w:rFonts w:ascii="Arial"/>
          <w:w w:val="115"/>
          <w:sz w:val="24"/>
        </w:rPr>
        <w:t>today,</w:t>
      </w:r>
      <w:r>
        <w:rPr>
          <w:rFonts w:ascii="Arial"/>
          <w:spacing w:val="-19"/>
          <w:w w:val="115"/>
          <w:sz w:val="24"/>
        </w:rPr>
        <w:t> </w:t>
      </w:r>
      <w:r>
        <w:rPr>
          <w:rFonts w:ascii="Arial"/>
          <w:w w:val="115"/>
          <w:sz w:val="24"/>
        </w:rPr>
        <w:t>the</w:t>
      </w:r>
      <w:r>
        <w:rPr>
          <w:rFonts w:ascii="Arial"/>
          <w:spacing w:val="-19"/>
          <w:w w:val="115"/>
          <w:sz w:val="24"/>
        </w:rPr>
        <w:t> </w:t>
      </w:r>
      <w:r>
        <w:rPr>
          <w:rFonts w:ascii="Arial"/>
          <w:w w:val="115"/>
          <w:sz w:val="24"/>
        </w:rPr>
        <w:t>situation might be considered to operate as follows.</w:t>
      </w:r>
      <w:r>
        <w:rPr>
          <w:rFonts w:ascii="Arial"/>
          <w:spacing w:val="-14"/>
          <w:w w:val="115"/>
          <w:sz w:val="24"/>
        </w:rPr>
        <w:t> </w:t>
      </w:r>
      <w:r>
        <w:rPr>
          <w:rFonts w:ascii="Arial"/>
          <w:w w:val="115"/>
          <w:sz w:val="24"/>
        </w:rPr>
        <w:t>The</w:t>
      </w:r>
      <w:r>
        <w:rPr>
          <w:rFonts w:ascii="Arial"/>
          <w:spacing w:val="-14"/>
          <w:w w:val="115"/>
          <w:sz w:val="24"/>
        </w:rPr>
        <w:t> </w:t>
      </w:r>
      <w:r>
        <w:rPr>
          <w:rFonts w:ascii="Arial"/>
          <w:w w:val="115"/>
          <w:sz w:val="24"/>
        </w:rPr>
        <w:t>case,</w:t>
      </w:r>
      <w:r>
        <w:rPr>
          <w:rFonts w:ascii="Arial"/>
          <w:spacing w:val="-14"/>
          <w:w w:val="115"/>
          <w:sz w:val="24"/>
        </w:rPr>
        <w:t> </w:t>
      </w:r>
      <w:r>
        <w:rPr>
          <w:rFonts w:ascii="Arial"/>
          <w:w w:val="115"/>
          <w:sz w:val="24"/>
        </w:rPr>
        <w:t>as</w:t>
      </w:r>
      <w:r>
        <w:rPr>
          <w:rFonts w:ascii="Arial"/>
          <w:spacing w:val="-14"/>
          <w:w w:val="115"/>
          <w:sz w:val="24"/>
        </w:rPr>
        <w:t> </w:t>
      </w:r>
      <w:r>
        <w:rPr>
          <w:rFonts w:ascii="Arial"/>
          <w:w w:val="115"/>
          <w:sz w:val="24"/>
        </w:rPr>
        <w:t>noted</w:t>
      </w:r>
      <w:r>
        <w:rPr>
          <w:rFonts w:ascii="Arial"/>
          <w:spacing w:val="-14"/>
          <w:w w:val="115"/>
          <w:sz w:val="24"/>
        </w:rPr>
        <w:t> </w:t>
      </w:r>
      <w:r>
        <w:rPr>
          <w:rFonts w:ascii="Arial"/>
          <w:w w:val="115"/>
          <w:sz w:val="24"/>
        </w:rPr>
        <w:t>above, concerned sexual orientation discrimination in the calculation of pension entitlements by a private employer. First, it is clear that</w:t>
      </w:r>
    </w:p>
    <w:p>
      <w:pPr>
        <w:pStyle w:val="BodyText"/>
        <w:spacing w:line="268" w:lineRule="auto"/>
        <w:ind w:right="740"/>
      </w:pPr>
      <w:r>
        <w:rPr>
          <w:w w:val="110"/>
        </w:rPr>
        <w:t>such a case falls within the </w:t>
      </w:r>
      <w:r>
        <w:rPr>
          <w:w w:val="110"/>
        </w:rPr>
        <w:t>scope of Windsor Framework Annex </w:t>
      </w:r>
      <w:r>
        <w:rPr/>
        <w:t>1</w:t>
      </w:r>
    </w:p>
    <w:p>
      <w:pPr>
        <w:pStyle w:val="BodyText"/>
        <w:spacing w:line="230" w:lineRule="auto" w:before="4"/>
        <w:ind w:right="254"/>
        <w:jc w:val="both"/>
      </w:pPr>
      <w:r>
        <w:rPr>
          <w:w w:val="110"/>
        </w:rPr>
        <w:t>because it concerns a listed directive </w:t>
      </w:r>
      <w:r>
        <w:rPr>
          <w:rFonts w:ascii="Lucida Sans Unicode"/>
        </w:rPr>
        <w:t>(Directive 2000/78/EC) and, as </w:t>
      </w:r>
      <w:r>
        <w:rPr>
          <w:rFonts w:ascii="Lucida Sans Unicode"/>
        </w:rPr>
        <w:t>such, </w:t>
      </w:r>
      <w:r>
        <w:rPr>
          <w:w w:val="110"/>
        </w:rPr>
        <w:t>domestic courts would have a duty</w:t>
      </w:r>
    </w:p>
    <w:p>
      <w:pPr>
        <w:pStyle w:val="BodyText"/>
        <w:spacing w:line="268" w:lineRule="auto" w:before="38"/>
        <w:ind w:right="253"/>
        <w:jc w:val="both"/>
      </w:pPr>
      <w:r>
        <w:rPr>
          <w:w w:val="115"/>
        </w:rPr>
        <w:t>to</w:t>
      </w:r>
      <w:r>
        <w:rPr>
          <w:spacing w:val="-8"/>
          <w:w w:val="115"/>
        </w:rPr>
        <w:t> </w:t>
      </w:r>
      <w:r>
        <w:rPr>
          <w:w w:val="115"/>
        </w:rPr>
        <w:t>take</w:t>
      </w:r>
      <w:r>
        <w:rPr>
          <w:spacing w:val="-8"/>
          <w:w w:val="115"/>
        </w:rPr>
        <w:t> </w:t>
      </w:r>
      <w:r>
        <w:rPr>
          <w:w w:val="115"/>
        </w:rPr>
        <w:t>into</w:t>
      </w:r>
      <w:r>
        <w:rPr>
          <w:spacing w:val="-8"/>
          <w:w w:val="115"/>
        </w:rPr>
        <w:t> </w:t>
      </w:r>
      <w:r>
        <w:rPr>
          <w:w w:val="115"/>
        </w:rPr>
        <w:t>account</w:t>
      </w:r>
      <w:r>
        <w:rPr>
          <w:spacing w:val="-8"/>
          <w:w w:val="115"/>
        </w:rPr>
        <w:t> </w:t>
      </w:r>
      <w:r>
        <w:rPr>
          <w:w w:val="115"/>
        </w:rPr>
        <w:t>the</w:t>
      </w:r>
      <w:r>
        <w:rPr>
          <w:spacing w:val="-8"/>
          <w:w w:val="115"/>
        </w:rPr>
        <w:t> </w:t>
      </w:r>
      <w:r>
        <w:rPr>
          <w:w w:val="115"/>
        </w:rPr>
        <w:t>Charter</w:t>
      </w:r>
      <w:r>
        <w:rPr>
          <w:spacing w:val="-8"/>
          <w:w w:val="115"/>
        </w:rPr>
        <w:t> </w:t>
      </w:r>
      <w:r>
        <w:rPr>
          <w:w w:val="115"/>
        </w:rPr>
        <w:t>and/ or the general principles of EU law</w:t>
      </w:r>
    </w:p>
    <w:p>
      <w:pPr>
        <w:pStyle w:val="BodyText"/>
        <w:spacing w:line="268" w:lineRule="auto" w:before="2"/>
        <w:ind w:right="317"/>
      </w:pPr>
      <w:r>
        <w:rPr>
          <w:w w:val="115"/>
        </w:rPr>
        <w:t>in interpreting the Directive. But if, say, because of the operation of a </w:t>
      </w:r>
      <w:r>
        <w:rPr>
          <w:spacing w:val="-2"/>
          <w:w w:val="115"/>
        </w:rPr>
        <w:t>numerical</w:t>
      </w:r>
      <w:r>
        <w:rPr>
          <w:spacing w:val="-18"/>
          <w:w w:val="115"/>
        </w:rPr>
        <w:t> </w:t>
      </w:r>
      <w:r>
        <w:rPr>
          <w:spacing w:val="-2"/>
          <w:w w:val="115"/>
        </w:rPr>
        <w:t>or</w:t>
      </w:r>
      <w:r>
        <w:rPr>
          <w:spacing w:val="-17"/>
          <w:w w:val="115"/>
        </w:rPr>
        <w:t> </w:t>
      </w:r>
      <w:r>
        <w:rPr>
          <w:spacing w:val="-2"/>
          <w:w w:val="115"/>
        </w:rPr>
        <w:t>other</w:t>
      </w:r>
      <w:r>
        <w:rPr>
          <w:spacing w:val="-17"/>
          <w:w w:val="115"/>
        </w:rPr>
        <w:t> </w:t>
      </w:r>
      <w:r>
        <w:rPr>
          <w:spacing w:val="-2"/>
          <w:w w:val="115"/>
        </w:rPr>
        <w:t>clearly</w:t>
      </w:r>
      <w:r>
        <w:rPr>
          <w:spacing w:val="-17"/>
          <w:w w:val="115"/>
        </w:rPr>
        <w:t> </w:t>
      </w:r>
      <w:r>
        <w:rPr>
          <w:spacing w:val="-2"/>
          <w:w w:val="115"/>
        </w:rPr>
        <w:t>expressed </w:t>
      </w:r>
      <w:r>
        <w:rPr>
          <w:w w:val="115"/>
        </w:rPr>
        <w:t>threshold, it proved impossible to</w:t>
      </w:r>
    </w:p>
    <w:p>
      <w:pPr>
        <w:spacing w:after="0" w:line="268" w:lineRule="auto"/>
        <w:sectPr>
          <w:type w:val="continuous"/>
          <w:pgSz w:w="11910" w:h="16840"/>
          <w:pgMar w:header="568" w:footer="580" w:top="0" w:bottom="280" w:left="1020" w:right="1020"/>
          <w:cols w:num="2" w:equalWidth="0">
            <w:col w:w="4747" w:space="299"/>
            <w:col w:w="4824"/>
          </w:cols>
        </w:sectPr>
      </w:pPr>
    </w:p>
    <w:p>
      <w:pPr>
        <w:pStyle w:val="BodyText"/>
        <w:ind w:left="0"/>
        <w:rPr>
          <w:sz w:val="13"/>
        </w:rPr>
      </w:pPr>
    </w:p>
    <w:p>
      <w:pPr>
        <w:pStyle w:val="BodyText"/>
        <w:spacing w:line="20" w:lineRule="exact"/>
        <w:rPr>
          <w:sz w:val="2"/>
        </w:rPr>
      </w:pPr>
      <w:r>
        <w:rPr>
          <w:sz w:val="2"/>
        </w:rPr>
        <mc:AlternateContent>
          <mc:Choice Requires="wps">
            <w:drawing>
              <wp:inline distT="0" distB="0" distL="0" distR="0">
                <wp:extent cx="6120130" cy="6350"/>
                <wp:effectExtent l="9525" t="0" r="0" b="3175"/>
                <wp:docPr id="174" name="Group 174"/>
                <wp:cNvGraphicFramePr>
                  <a:graphicFrameLocks/>
                </wp:cNvGraphicFramePr>
                <a:graphic>
                  <a:graphicData uri="http://schemas.microsoft.com/office/word/2010/wordprocessingGroup">
                    <wpg:wgp>
                      <wpg:cNvPr id="174" name="Group 174"/>
                      <wpg:cNvGrpSpPr/>
                      <wpg:grpSpPr>
                        <a:xfrm>
                          <a:off x="0" y="0"/>
                          <a:ext cx="6120130" cy="6350"/>
                          <a:chExt cx="6120130" cy="6350"/>
                        </a:xfrm>
                      </wpg:grpSpPr>
                      <wps:wsp>
                        <wps:cNvPr id="175" name="Graphic 175"/>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106"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14"/>
        </w:numPr>
        <w:tabs>
          <w:tab w:pos="566" w:val="left" w:leader="none"/>
        </w:tabs>
        <w:spacing w:line="240" w:lineRule="auto" w:before="61" w:after="0"/>
        <w:ind w:left="566" w:right="0" w:hanging="453"/>
        <w:jc w:val="left"/>
        <w:rPr>
          <w:sz w:val="16"/>
        </w:rPr>
      </w:pPr>
      <w:r>
        <w:rPr>
          <w:sz w:val="16"/>
        </w:rPr>
        <w:t>See</w:t>
      </w:r>
      <w:r>
        <w:rPr>
          <w:spacing w:val="6"/>
          <w:sz w:val="16"/>
        </w:rPr>
        <w:t> </w:t>
      </w:r>
      <w:r>
        <w:rPr>
          <w:sz w:val="16"/>
        </w:rPr>
        <w:t>our</w:t>
      </w:r>
      <w:r>
        <w:rPr>
          <w:spacing w:val="7"/>
          <w:sz w:val="16"/>
        </w:rPr>
        <w:t> </w:t>
      </w:r>
      <w:r>
        <w:rPr>
          <w:sz w:val="16"/>
        </w:rPr>
        <w:t>analysis</w:t>
      </w:r>
      <w:r>
        <w:rPr>
          <w:spacing w:val="7"/>
          <w:sz w:val="16"/>
        </w:rPr>
        <w:t> </w:t>
      </w:r>
      <w:r>
        <w:rPr>
          <w:sz w:val="16"/>
        </w:rPr>
        <w:t>in</w:t>
      </w:r>
      <w:r>
        <w:rPr>
          <w:spacing w:val="7"/>
          <w:sz w:val="16"/>
        </w:rPr>
        <w:t> </w:t>
      </w:r>
      <w:r>
        <w:rPr>
          <w:sz w:val="16"/>
        </w:rPr>
        <w:t>Chapter</w:t>
      </w:r>
      <w:r>
        <w:rPr>
          <w:spacing w:val="7"/>
          <w:sz w:val="16"/>
        </w:rPr>
        <w:t> </w:t>
      </w:r>
      <w:r>
        <w:rPr>
          <w:sz w:val="16"/>
        </w:rPr>
        <w:t>2(3)</w:t>
      </w:r>
      <w:r>
        <w:rPr>
          <w:spacing w:val="6"/>
          <w:sz w:val="16"/>
        </w:rPr>
        <w:t> </w:t>
      </w:r>
      <w:r>
        <w:rPr>
          <w:sz w:val="16"/>
        </w:rPr>
        <w:t>for</w:t>
      </w:r>
      <w:r>
        <w:rPr>
          <w:spacing w:val="7"/>
          <w:sz w:val="16"/>
        </w:rPr>
        <w:t> </w:t>
      </w:r>
      <w:r>
        <w:rPr>
          <w:sz w:val="16"/>
        </w:rPr>
        <w:t>a</w:t>
      </w:r>
      <w:r>
        <w:rPr>
          <w:spacing w:val="7"/>
          <w:sz w:val="16"/>
        </w:rPr>
        <w:t> </w:t>
      </w:r>
      <w:r>
        <w:rPr>
          <w:sz w:val="16"/>
        </w:rPr>
        <w:t>more</w:t>
      </w:r>
      <w:r>
        <w:rPr>
          <w:spacing w:val="7"/>
          <w:sz w:val="16"/>
        </w:rPr>
        <w:t> </w:t>
      </w:r>
      <w:r>
        <w:rPr>
          <w:sz w:val="16"/>
        </w:rPr>
        <w:t>detailed</w:t>
      </w:r>
      <w:r>
        <w:rPr>
          <w:spacing w:val="7"/>
          <w:sz w:val="16"/>
        </w:rPr>
        <w:t> </w:t>
      </w:r>
      <w:r>
        <w:rPr>
          <w:spacing w:val="-2"/>
          <w:sz w:val="16"/>
        </w:rPr>
        <w:t>explanation.</w:t>
      </w:r>
    </w:p>
    <w:p>
      <w:pPr>
        <w:spacing w:after="0" w:line="240" w:lineRule="auto"/>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273" w:lineRule="auto" w:before="72"/>
        <w:ind w:right="259"/>
      </w:pPr>
      <w:r>
        <w:rPr>
          <w:w w:val="115"/>
        </w:rPr>
        <w:t>reach an interpretation of domestic legislation</w:t>
      </w:r>
      <w:r>
        <w:rPr>
          <w:spacing w:val="-20"/>
          <w:w w:val="115"/>
        </w:rPr>
        <w:t> </w:t>
      </w:r>
      <w:r>
        <w:rPr>
          <w:w w:val="115"/>
        </w:rPr>
        <w:t>consistent</w:t>
      </w:r>
      <w:r>
        <w:rPr>
          <w:spacing w:val="-19"/>
          <w:w w:val="115"/>
        </w:rPr>
        <w:t> </w:t>
      </w:r>
      <w:r>
        <w:rPr>
          <w:w w:val="115"/>
        </w:rPr>
        <w:t>with</w:t>
      </w:r>
      <w:r>
        <w:rPr>
          <w:spacing w:val="-19"/>
          <w:w w:val="115"/>
        </w:rPr>
        <w:t> </w:t>
      </w:r>
      <w:r>
        <w:rPr>
          <w:w w:val="115"/>
        </w:rPr>
        <w:t>the</w:t>
      </w:r>
      <w:r>
        <w:rPr>
          <w:spacing w:val="-19"/>
          <w:w w:val="115"/>
        </w:rPr>
        <w:t> </w:t>
      </w:r>
      <w:r>
        <w:rPr>
          <w:w w:val="115"/>
        </w:rPr>
        <w:t>terms of the Directive read in the light of the Charter, then domestic courts would have to consider whether they have the right to disapply the incompatible legislation or, where relevant, offer damages under</w:t>
      </w:r>
    </w:p>
    <w:p>
      <w:pPr>
        <w:pStyle w:val="BodyText"/>
        <w:spacing w:line="266" w:lineRule="auto" w:before="9"/>
        <w:ind w:right="38"/>
      </w:pPr>
      <w:r>
        <w:rPr>
          <w:w w:val="110"/>
        </w:rPr>
        <w:t>the state liability doctrine. In turn, because</w:t>
      </w:r>
      <w:r>
        <w:rPr>
          <w:spacing w:val="-13"/>
          <w:w w:val="110"/>
        </w:rPr>
        <w:t> </w:t>
      </w:r>
      <w:r>
        <w:rPr>
          <w:w w:val="110"/>
        </w:rPr>
        <w:t>section</w:t>
      </w:r>
      <w:r>
        <w:rPr>
          <w:spacing w:val="-13"/>
          <w:w w:val="110"/>
        </w:rPr>
        <w:t> </w:t>
      </w:r>
      <w:r>
        <w:rPr>
          <w:w w:val="110"/>
        </w:rPr>
        <w:t>7A</w:t>
      </w:r>
      <w:r>
        <w:rPr>
          <w:spacing w:val="-13"/>
          <w:w w:val="110"/>
        </w:rPr>
        <w:t> </w:t>
      </w:r>
      <w:r>
        <w:rPr>
          <w:w w:val="110"/>
        </w:rPr>
        <w:t>EUWA</w:t>
      </w:r>
      <w:r>
        <w:rPr>
          <w:spacing w:val="-13"/>
          <w:w w:val="110"/>
        </w:rPr>
        <w:t> </w:t>
      </w:r>
      <w:r>
        <w:rPr>
          <w:w w:val="110"/>
        </w:rPr>
        <w:t>supersedes the limitations written into the EUWA and the REULA, the </w:t>
      </w:r>
      <w:r>
        <w:rPr>
          <w:rFonts w:ascii="Verdana"/>
          <w:i/>
          <w:w w:val="110"/>
        </w:rPr>
        <w:t>Walker</w:t>
      </w:r>
      <w:r>
        <w:rPr>
          <w:rFonts w:ascii="Verdana"/>
          <w:i/>
          <w:spacing w:val="-9"/>
          <w:w w:val="110"/>
        </w:rPr>
        <w:t> </w:t>
      </w:r>
      <w:r>
        <w:rPr>
          <w:w w:val="110"/>
        </w:rPr>
        <w:t>case </w:t>
      </w:r>
      <w:r>
        <w:rPr/>
        <w:t>would be decided </w:t>
      </w:r>
      <w:r>
        <w:rPr>
          <w:rFonts w:ascii="Verdana"/>
          <w:i/>
        </w:rPr>
        <w:t>in exactly the same</w:t>
      </w:r>
      <w:r>
        <w:rPr>
          <w:rFonts w:ascii="Verdana"/>
          <w:i/>
        </w:rPr>
        <w:t> </w:t>
      </w:r>
      <w:r>
        <w:rPr>
          <w:rFonts w:ascii="Verdana"/>
          <w:i/>
          <w:w w:val="110"/>
        </w:rPr>
        <w:t>manner</w:t>
      </w:r>
      <w:r>
        <w:rPr>
          <w:w w:val="110"/>
        </w:rPr>
        <w:t>, i.e. giving rise to the full</w:t>
      </w:r>
    </w:p>
    <w:p>
      <w:pPr>
        <w:pStyle w:val="BodyText"/>
        <w:spacing w:line="235" w:lineRule="auto" w:before="7"/>
        <w:ind w:right="395"/>
        <w:jc w:val="both"/>
      </w:pPr>
      <w:r>
        <w:rPr>
          <w:w w:val="110"/>
        </w:rPr>
        <w:t>set of remedies previously </w:t>
      </w:r>
      <w:r>
        <w:rPr>
          <w:w w:val="110"/>
        </w:rPr>
        <w:t>available </w:t>
      </w:r>
      <w:r>
        <w:rPr>
          <w:rFonts w:ascii="Lucida Sans Unicode"/>
        </w:rPr>
        <w:t>for violations of EU law in this field, </w:t>
      </w:r>
      <w:r>
        <w:rPr>
          <w:w w:val="110"/>
        </w:rPr>
        <w:t>including disapplication and state</w:t>
      </w:r>
    </w:p>
    <w:p>
      <w:pPr>
        <w:pStyle w:val="BodyText"/>
        <w:spacing w:line="273" w:lineRule="auto" w:before="40"/>
        <w:ind w:right="38"/>
      </w:pPr>
      <w:r>
        <w:rPr>
          <w:w w:val="110"/>
        </w:rPr>
        <w:t>liability.</w:t>
      </w:r>
      <w:r>
        <w:rPr>
          <w:spacing w:val="-5"/>
          <w:w w:val="110"/>
        </w:rPr>
        <w:t> </w:t>
      </w:r>
      <w:r>
        <w:rPr>
          <w:w w:val="110"/>
        </w:rPr>
        <w:t>Further,</w:t>
      </w:r>
      <w:r>
        <w:rPr>
          <w:spacing w:val="-5"/>
          <w:w w:val="110"/>
        </w:rPr>
        <w:t> </w:t>
      </w:r>
      <w:r>
        <w:rPr>
          <w:w w:val="110"/>
        </w:rPr>
        <w:t>in</w:t>
      </w:r>
      <w:r>
        <w:rPr>
          <w:spacing w:val="-5"/>
          <w:w w:val="110"/>
        </w:rPr>
        <w:t> </w:t>
      </w:r>
      <w:r>
        <w:rPr>
          <w:w w:val="110"/>
        </w:rPr>
        <w:t>such</w:t>
      </w:r>
      <w:r>
        <w:rPr>
          <w:spacing w:val="-5"/>
          <w:w w:val="110"/>
        </w:rPr>
        <w:t> </w:t>
      </w:r>
      <w:r>
        <w:rPr>
          <w:w w:val="110"/>
        </w:rPr>
        <w:t>a</w:t>
      </w:r>
      <w:r>
        <w:rPr>
          <w:spacing w:val="-5"/>
          <w:w w:val="110"/>
        </w:rPr>
        <w:t> </w:t>
      </w:r>
      <w:r>
        <w:rPr>
          <w:w w:val="110"/>
        </w:rPr>
        <w:t>scenario,</w:t>
      </w:r>
      <w:r>
        <w:rPr>
          <w:spacing w:val="-5"/>
          <w:w w:val="110"/>
        </w:rPr>
        <w:t> </w:t>
      </w:r>
      <w:r>
        <w:rPr>
          <w:w w:val="110"/>
        </w:rPr>
        <w:t>the </w:t>
      </w:r>
      <w:r>
        <w:rPr>
          <w:w w:val="115"/>
        </w:rPr>
        <w:t>Charter</w:t>
      </w:r>
      <w:r>
        <w:rPr>
          <w:spacing w:val="-17"/>
          <w:w w:val="115"/>
        </w:rPr>
        <w:t> </w:t>
      </w:r>
      <w:r>
        <w:rPr>
          <w:w w:val="115"/>
        </w:rPr>
        <w:t>would</w:t>
      </w:r>
      <w:r>
        <w:rPr>
          <w:spacing w:val="-17"/>
          <w:w w:val="115"/>
        </w:rPr>
        <w:t> </w:t>
      </w:r>
      <w:r>
        <w:rPr>
          <w:w w:val="115"/>
        </w:rPr>
        <w:t>not</w:t>
      </w:r>
      <w:r>
        <w:rPr>
          <w:spacing w:val="-17"/>
          <w:w w:val="115"/>
        </w:rPr>
        <w:t> </w:t>
      </w:r>
      <w:r>
        <w:rPr>
          <w:w w:val="115"/>
        </w:rPr>
        <w:t>only</w:t>
      </w:r>
      <w:r>
        <w:rPr>
          <w:spacing w:val="-17"/>
          <w:w w:val="115"/>
        </w:rPr>
        <w:t> </w:t>
      </w:r>
      <w:r>
        <w:rPr>
          <w:w w:val="115"/>
        </w:rPr>
        <w:t>have</w:t>
      </w:r>
      <w:r>
        <w:rPr>
          <w:spacing w:val="-17"/>
          <w:w w:val="115"/>
        </w:rPr>
        <w:t> </w:t>
      </w:r>
      <w:r>
        <w:rPr>
          <w:w w:val="115"/>
        </w:rPr>
        <w:t>the</w:t>
      </w:r>
      <w:r>
        <w:rPr>
          <w:spacing w:val="-17"/>
          <w:w w:val="115"/>
        </w:rPr>
        <w:t> </w:t>
      </w:r>
      <w:r>
        <w:rPr>
          <w:w w:val="115"/>
        </w:rPr>
        <w:t>same remedial value that it previously had in domestic law, but would indeed be able to carry forward these effects to future interpretations of the Charter</w:t>
      </w:r>
    </w:p>
    <w:p>
      <w:pPr>
        <w:pStyle w:val="BodyText"/>
        <w:spacing w:line="273" w:lineRule="auto" w:before="6"/>
        <w:ind w:right="30"/>
      </w:pPr>
      <w:r>
        <w:rPr>
          <w:w w:val="110"/>
        </w:rPr>
        <w:t>in</w:t>
      </w:r>
      <w:r>
        <w:rPr>
          <w:spacing w:val="-3"/>
          <w:w w:val="110"/>
        </w:rPr>
        <w:t> </w:t>
      </w:r>
      <w:r>
        <w:rPr>
          <w:w w:val="110"/>
        </w:rPr>
        <w:t>the</w:t>
      </w:r>
      <w:r>
        <w:rPr>
          <w:spacing w:val="-3"/>
          <w:w w:val="110"/>
        </w:rPr>
        <w:t> </w:t>
      </w:r>
      <w:r>
        <w:rPr>
          <w:w w:val="110"/>
        </w:rPr>
        <w:t>case</w:t>
      </w:r>
      <w:r>
        <w:rPr>
          <w:spacing w:val="-3"/>
          <w:w w:val="110"/>
        </w:rPr>
        <w:t> </w:t>
      </w:r>
      <w:r>
        <w:rPr>
          <w:w w:val="110"/>
        </w:rPr>
        <w:t>law,</w:t>
      </w:r>
      <w:r>
        <w:rPr>
          <w:spacing w:val="-3"/>
          <w:w w:val="110"/>
        </w:rPr>
        <w:t> </w:t>
      </w:r>
      <w:r>
        <w:rPr>
          <w:w w:val="110"/>
        </w:rPr>
        <w:t>which</w:t>
      </w:r>
      <w:r>
        <w:rPr>
          <w:spacing w:val="-3"/>
          <w:w w:val="110"/>
        </w:rPr>
        <w:t> </w:t>
      </w:r>
      <w:r>
        <w:rPr>
          <w:w w:val="110"/>
        </w:rPr>
        <w:t>remain</w:t>
      </w:r>
      <w:r>
        <w:rPr>
          <w:spacing w:val="-3"/>
          <w:w w:val="110"/>
        </w:rPr>
        <w:t> </w:t>
      </w:r>
      <w:r>
        <w:rPr>
          <w:w w:val="110"/>
        </w:rPr>
        <w:t>relevant </w:t>
      </w:r>
      <w:r>
        <w:rPr>
          <w:w w:val="115"/>
        </w:rPr>
        <w:t>through the dynamic alignment </w:t>
      </w:r>
      <w:r>
        <w:rPr>
          <w:spacing w:val="-2"/>
          <w:w w:val="115"/>
        </w:rPr>
        <w:t>obligation.</w:t>
      </w:r>
    </w:p>
    <w:p>
      <w:pPr>
        <w:pStyle w:val="BodyText"/>
        <w:spacing w:before="28"/>
        <w:ind w:left="0"/>
      </w:pPr>
    </w:p>
    <w:p>
      <w:pPr>
        <w:pStyle w:val="BodyText"/>
        <w:spacing w:line="273" w:lineRule="auto"/>
        <w:ind w:right="159"/>
      </w:pPr>
      <w:r>
        <w:rPr>
          <w:w w:val="110"/>
        </w:rPr>
        <w:t>This approach would most clearly result in the maintenance of post- Brexit</w:t>
      </w:r>
      <w:r>
        <w:rPr>
          <w:spacing w:val="-4"/>
          <w:w w:val="110"/>
        </w:rPr>
        <w:t> </w:t>
      </w:r>
      <w:r>
        <w:rPr>
          <w:w w:val="110"/>
        </w:rPr>
        <w:t>equivalence</w:t>
      </w:r>
      <w:r>
        <w:rPr>
          <w:spacing w:val="-4"/>
          <w:w w:val="110"/>
        </w:rPr>
        <w:t> </w:t>
      </w:r>
      <w:r>
        <w:rPr>
          <w:w w:val="110"/>
        </w:rPr>
        <w:t>and</w:t>
      </w:r>
      <w:r>
        <w:rPr>
          <w:spacing w:val="-4"/>
          <w:w w:val="110"/>
        </w:rPr>
        <w:t> </w:t>
      </w:r>
      <w:r>
        <w:rPr>
          <w:w w:val="110"/>
        </w:rPr>
        <w:t>enjoys</w:t>
      </w:r>
      <w:r>
        <w:rPr>
          <w:spacing w:val="-4"/>
          <w:w w:val="110"/>
        </w:rPr>
        <w:t> </w:t>
      </w:r>
      <w:r>
        <w:rPr>
          <w:w w:val="110"/>
        </w:rPr>
        <w:t>some support in case law about the contested remedies. With regard</w:t>
      </w:r>
    </w:p>
    <w:p>
      <w:pPr>
        <w:pStyle w:val="BodyText"/>
        <w:spacing w:line="230" w:lineRule="auto" w:before="14"/>
        <w:ind w:right="159"/>
      </w:pPr>
      <w:r>
        <w:rPr>
          <w:w w:val="110"/>
        </w:rPr>
        <w:t>to disapplication, the Employment </w:t>
      </w:r>
      <w:r>
        <w:rPr>
          <w:rFonts w:ascii="Lucida Sans Unicode"/>
        </w:rPr>
        <w:t>Appeals Tribunal recently affirmed </w:t>
      </w:r>
      <w:r>
        <w:rPr>
          <w:rFonts w:ascii="Lucida Sans Unicode"/>
        </w:rPr>
        <w:t>in </w:t>
      </w:r>
      <w:r>
        <w:rPr>
          <w:rFonts w:ascii="Verdana"/>
          <w:i/>
          <w:w w:val="110"/>
        </w:rPr>
        <w:t>Beattie </w:t>
      </w:r>
      <w:r>
        <w:rPr>
          <w:w w:val="110"/>
        </w:rPr>
        <w:t>that situations governed by</w:t>
      </w:r>
    </w:p>
    <w:p>
      <w:pPr>
        <w:pStyle w:val="BodyText"/>
        <w:spacing w:line="254" w:lineRule="auto" w:before="39"/>
        <w:ind w:right="134"/>
        <w:jc w:val="both"/>
        <w:rPr>
          <w:rFonts w:ascii="Lucida Sans Unicode"/>
        </w:rPr>
      </w:pPr>
      <w:r>
        <w:rPr>
          <w:w w:val="110"/>
        </w:rPr>
        <w:t>EU law can proceed on the basis that they give rise to disapplication in the </w:t>
      </w:r>
      <w:r>
        <w:rPr/>
        <w:t>same way as in </w:t>
      </w:r>
      <w:r>
        <w:rPr>
          <w:rFonts w:ascii="Verdana"/>
          <w:i/>
        </w:rPr>
        <w:t>Walker v Innospec.</w:t>
      </w:r>
      <w:r>
        <w:rPr>
          <w:rFonts w:ascii="Verdana"/>
          <w:i/>
          <w:vertAlign w:val="superscript"/>
        </w:rPr>
        <w:t>283</w:t>
      </w:r>
      <w:r>
        <w:rPr>
          <w:rFonts w:ascii="Verdana"/>
          <w:i/>
          <w:vertAlign w:val="baseline"/>
        </w:rPr>
        <w:t> </w:t>
      </w:r>
      <w:r>
        <w:rPr>
          <w:rFonts w:ascii="Lucida Sans Unicode"/>
          <w:vertAlign w:val="baseline"/>
        </w:rPr>
        <w:t>Similarly, the continued availability of </w:t>
      </w:r>
      <w:r>
        <w:rPr>
          <w:w w:val="110"/>
          <w:vertAlign w:val="baseline"/>
        </w:rPr>
        <w:t>state liability in damages to situations falling within the scope of EU law </w:t>
      </w:r>
      <w:r>
        <w:rPr>
          <w:w w:val="110"/>
          <w:vertAlign w:val="baseline"/>
        </w:rPr>
        <w:t>was </w:t>
      </w:r>
      <w:r>
        <w:rPr>
          <w:rFonts w:ascii="Lucida Sans Unicode"/>
          <w:vertAlign w:val="baseline"/>
        </w:rPr>
        <w:t>recently confirmed by the ruling in</w:t>
      </w:r>
    </w:p>
    <w:p>
      <w:pPr>
        <w:pStyle w:val="BodyText"/>
        <w:spacing w:line="324" w:lineRule="exact" w:before="38"/>
        <w:ind w:right="113"/>
      </w:pPr>
      <w:r>
        <w:rPr/>
        <w:br w:type="column"/>
      </w:r>
      <w:r>
        <w:rPr>
          <w:rFonts w:ascii="Verdana" w:hAnsi="Verdana"/>
          <w:i/>
          <w:w w:val="105"/>
        </w:rPr>
        <w:t>Jersey Choice</w:t>
      </w:r>
      <w:r>
        <w:rPr>
          <w:w w:val="105"/>
        </w:rPr>
        <w:t>. In this case, the Court</w:t>
      </w:r>
      <w:r>
        <w:rPr>
          <w:spacing w:val="40"/>
          <w:w w:val="105"/>
        </w:rPr>
        <w:t> </w:t>
      </w:r>
      <w:r>
        <w:rPr>
          <w:w w:val="105"/>
        </w:rPr>
        <w:t>of Appeal of England and Wales was</w:t>
      </w:r>
      <w:r>
        <w:rPr>
          <w:spacing w:val="40"/>
          <w:w w:val="105"/>
        </w:rPr>
        <w:t> </w:t>
      </w:r>
      <w:r>
        <w:rPr>
          <w:w w:val="105"/>
        </w:rPr>
        <w:t>concerned with a claim in damages</w:t>
      </w:r>
      <w:r>
        <w:rPr>
          <w:spacing w:val="40"/>
          <w:w w:val="105"/>
        </w:rPr>
        <w:t> </w:t>
      </w:r>
      <w:r>
        <w:rPr>
          <w:w w:val="105"/>
        </w:rPr>
        <w:t>founded upon the UK’s failure to</w:t>
      </w:r>
      <w:r>
        <w:rPr>
          <w:spacing w:val="40"/>
          <w:w w:val="105"/>
        </w:rPr>
        <w:t> </w:t>
      </w:r>
      <w:r>
        <w:rPr>
          <w:rFonts w:ascii="Lucida Sans Unicode" w:hAnsi="Lucida Sans Unicode"/>
        </w:rPr>
        <w:t>properly implement Directive 83/181/ </w:t>
      </w:r>
      <w:r>
        <w:rPr>
          <w:w w:val="105"/>
        </w:rPr>
        <w:t>EEC. The claim could only succeed on the basis that there had been a breach</w:t>
      </w:r>
      <w:r>
        <w:rPr>
          <w:spacing w:val="40"/>
          <w:w w:val="105"/>
        </w:rPr>
        <w:t> </w:t>
      </w:r>
      <w:r>
        <w:rPr>
          <w:rFonts w:ascii="Lucida Sans Unicode" w:hAnsi="Lucida Sans Unicode"/>
          <w:w w:val="105"/>
        </w:rPr>
        <w:t>of</w:t>
      </w:r>
      <w:r>
        <w:rPr>
          <w:rFonts w:ascii="Lucida Sans Unicode" w:hAnsi="Lucida Sans Unicode"/>
          <w:spacing w:val="-20"/>
          <w:w w:val="105"/>
        </w:rPr>
        <w:t> </w:t>
      </w:r>
      <w:r>
        <w:rPr>
          <w:rFonts w:ascii="Lucida Sans Unicode" w:hAnsi="Lucida Sans Unicode"/>
          <w:w w:val="105"/>
        </w:rPr>
        <w:t>general</w:t>
      </w:r>
      <w:r>
        <w:rPr>
          <w:rFonts w:ascii="Lucida Sans Unicode" w:hAnsi="Lucida Sans Unicode"/>
          <w:spacing w:val="-20"/>
          <w:w w:val="105"/>
        </w:rPr>
        <w:t> </w:t>
      </w:r>
      <w:r>
        <w:rPr>
          <w:rFonts w:ascii="Lucida Sans Unicode" w:hAnsi="Lucida Sans Unicode"/>
          <w:w w:val="105"/>
        </w:rPr>
        <w:t>principles</w:t>
      </w:r>
      <w:r>
        <w:rPr>
          <w:rFonts w:ascii="Lucida Sans Unicode" w:hAnsi="Lucida Sans Unicode"/>
          <w:spacing w:val="-20"/>
          <w:w w:val="105"/>
        </w:rPr>
        <w:t> </w:t>
      </w:r>
      <w:r>
        <w:rPr>
          <w:rFonts w:ascii="Lucida Sans Unicode" w:hAnsi="Lucida Sans Unicode"/>
          <w:w w:val="105"/>
        </w:rPr>
        <w:t>of</w:t>
      </w:r>
      <w:r>
        <w:rPr>
          <w:rFonts w:ascii="Lucida Sans Unicode" w:hAnsi="Lucida Sans Unicode"/>
          <w:spacing w:val="-20"/>
          <w:w w:val="105"/>
        </w:rPr>
        <w:t> </w:t>
      </w:r>
      <w:r>
        <w:rPr>
          <w:rFonts w:ascii="Lucida Sans Unicode" w:hAnsi="Lucida Sans Unicode"/>
          <w:w w:val="105"/>
        </w:rPr>
        <w:t>equality,</w:t>
      </w:r>
      <w:r>
        <w:rPr>
          <w:rFonts w:ascii="Lucida Sans Unicode" w:hAnsi="Lucida Sans Unicode"/>
          <w:spacing w:val="-20"/>
          <w:w w:val="105"/>
        </w:rPr>
        <w:t> </w:t>
      </w:r>
      <w:r>
        <w:rPr>
          <w:rFonts w:ascii="Lucida Sans Unicode" w:hAnsi="Lucida Sans Unicode"/>
          <w:w w:val="105"/>
        </w:rPr>
        <w:t>fiscal </w:t>
      </w:r>
      <w:r>
        <w:rPr>
          <w:w w:val="105"/>
        </w:rPr>
        <w:t>neutrality,</w:t>
      </w:r>
      <w:r>
        <w:rPr>
          <w:spacing w:val="52"/>
          <w:w w:val="150"/>
        </w:rPr>
        <w:t> </w:t>
      </w:r>
      <w:r>
        <w:rPr>
          <w:w w:val="105"/>
        </w:rPr>
        <w:t>or</w:t>
      </w:r>
      <w:r>
        <w:rPr>
          <w:spacing w:val="53"/>
          <w:w w:val="150"/>
        </w:rPr>
        <w:t> </w:t>
      </w:r>
      <w:r>
        <w:rPr>
          <w:w w:val="105"/>
        </w:rPr>
        <w:t>proportionality.</w:t>
      </w:r>
      <w:r>
        <w:rPr>
          <w:spacing w:val="53"/>
          <w:w w:val="150"/>
        </w:rPr>
        <w:t> </w:t>
      </w:r>
      <w:r>
        <w:rPr>
          <w:w w:val="105"/>
        </w:rPr>
        <w:t>The</w:t>
      </w:r>
      <w:r>
        <w:rPr>
          <w:spacing w:val="80"/>
          <w:w w:val="150"/>
        </w:rPr>
        <w:t> </w:t>
      </w:r>
      <w:r>
        <w:rPr>
          <w:w w:val="105"/>
        </w:rPr>
        <w:t>Court of Appeal of England and Wales</w:t>
      </w:r>
      <w:r>
        <w:rPr>
          <w:spacing w:val="80"/>
          <w:w w:val="105"/>
        </w:rPr>
        <w:t> </w:t>
      </w:r>
      <w:r>
        <w:rPr>
          <w:w w:val="105"/>
        </w:rPr>
        <w:t>held</w:t>
      </w:r>
      <w:r>
        <w:rPr>
          <w:spacing w:val="40"/>
          <w:w w:val="105"/>
        </w:rPr>
        <w:t> </w:t>
      </w:r>
      <w:r>
        <w:rPr>
          <w:w w:val="105"/>
        </w:rPr>
        <w:t>that</w:t>
      </w:r>
      <w:r>
        <w:rPr>
          <w:spacing w:val="40"/>
          <w:w w:val="105"/>
        </w:rPr>
        <w:t> </w:t>
      </w:r>
      <w:r>
        <w:rPr>
          <w:w w:val="105"/>
        </w:rPr>
        <w:t>the</w:t>
      </w:r>
      <w:r>
        <w:rPr>
          <w:spacing w:val="40"/>
          <w:w w:val="105"/>
        </w:rPr>
        <w:t> </w:t>
      </w:r>
      <w:r>
        <w:rPr>
          <w:w w:val="105"/>
        </w:rPr>
        <w:t>UK’s</w:t>
      </w:r>
      <w:r>
        <w:rPr>
          <w:spacing w:val="40"/>
          <w:w w:val="105"/>
        </w:rPr>
        <w:t> </w:t>
      </w:r>
      <w:r>
        <w:rPr>
          <w:w w:val="105"/>
        </w:rPr>
        <w:t>withdrawal</w:t>
      </w:r>
      <w:r>
        <w:rPr>
          <w:spacing w:val="40"/>
          <w:w w:val="105"/>
        </w:rPr>
        <w:t> </w:t>
      </w:r>
      <w:r>
        <w:rPr>
          <w:w w:val="105"/>
        </w:rPr>
        <w:t>from</w:t>
      </w:r>
      <w:r>
        <w:rPr>
          <w:spacing w:val="40"/>
          <w:w w:val="105"/>
        </w:rPr>
        <w:t> </w:t>
      </w:r>
      <w:r>
        <w:rPr>
          <w:w w:val="105"/>
        </w:rPr>
        <w:t>the EU</w:t>
      </w:r>
      <w:r>
        <w:rPr>
          <w:spacing w:val="40"/>
          <w:w w:val="105"/>
        </w:rPr>
        <w:t> </w:t>
      </w:r>
      <w:r>
        <w:rPr>
          <w:w w:val="105"/>
        </w:rPr>
        <w:t>did</w:t>
      </w:r>
      <w:r>
        <w:rPr>
          <w:spacing w:val="40"/>
          <w:w w:val="105"/>
        </w:rPr>
        <w:t> </w:t>
      </w:r>
      <w:r>
        <w:rPr>
          <w:w w:val="105"/>
        </w:rPr>
        <w:t>not</w:t>
      </w:r>
      <w:r>
        <w:rPr>
          <w:spacing w:val="40"/>
          <w:w w:val="105"/>
        </w:rPr>
        <w:t> </w:t>
      </w:r>
      <w:r>
        <w:rPr>
          <w:w w:val="105"/>
        </w:rPr>
        <w:t>impact</w:t>
      </w:r>
      <w:r>
        <w:rPr>
          <w:spacing w:val="40"/>
          <w:w w:val="105"/>
        </w:rPr>
        <w:t> </w:t>
      </w:r>
      <w:r>
        <w:rPr>
          <w:w w:val="105"/>
        </w:rPr>
        <w:t>upon</w:t>
      </w:r>
      <w:r>
        <w:rPr>
          <w:spacing w:val="40"/>
          <w:w w:val="105"/>
        </w:rPr>
        <w:t> </w:t>
      </w:r>
      <w:r>
        <w:rPr>
          <w:w w:val="105"/>
        </w:rPr>
        <w:t>the</w:t>
      </w:r>
      <w:r>
        <w:rPr>
          <w:spacing w:val="40"/>
          <w:w w:val="105"/>
        </w:rPr>
        <w:t> </w:t>
      </w:r>
      <w:r>
        <w:rPr>
          <w:w w:val="105"/>
        </w:rPr>
        <w:t>claimant’s ‘right to pursue its damages claim, its</w:t>
      </w:r>
      <w:r>
        <w:rPr>
          <w:spacing w:val="80"/>
          <w:w w:val="105"/>
        </w:rPr>
        <w:t> </w:t>
      </w:r>
      <w:r>
        <w:rPr>
          <w:w w:val="105"/>
        </w:rPr>
        <w:t>reliance upon its rights under the EU</w:t>
      </w:r>
      <w:r>
        <w:rPr>
          <w:spacing w:val="80"/>
          <w:w w:val="105"/>
        </w:rPr>
        <w:t> </w:t>
      </w:r>
      <w:r>
        <w:rPr>
          <w:w w:val="105"/>
        </w:rPr>
        <w:t>Charter</w:t>
      </w:r>
      <w:r>
        <w:rPr>
          <w:spacing w:val="40"/>
          <w:w w:val="105"/>
        </w:rPr>
        <w:t> </w:t>
      </w:r>
      <w:r>
        <w:rPr>
          <w:w w:val="105"/>
        </w:rPr>
        <w:t>and/or</w:t>
      </w:r>
      <w:r>
        <w:rPr>
          <w:spacing w:val="40"/>
          <w:w w:val="105"/>
        </w:rPr>
        <w:t> </w:t>
      </w:r>
      <w:r>
        <w:rPr>
          <w:w w:val="105"/>
        </w:rPr>
        <w:t>its</w:t>
      </w:r>
      <w:r>
        <w:rPr>
          <w:spacing w:val="40"/>
          <w:w w:val="105"/>
        </w:rPr>
        <w:t> </w:t>
      </w:r>
      <w:r>
        <w:rPr>
          <w:w w:val="105"/>
        </w:rPr>
        <w:t>reliance</w:t>
      </w:r>
      <w:r>
        <w:rPr>
          <w:spacing w:val="40"/>
          <w:w w:val="105"/>
        </w:rPr>
        <w:t> </w:t>
      </w:r>
      <w:r>
        <w:rPr>
          <w:w w:val="105"/>
        </w:rPr>
        <w:t>upon</w:t>
      </w:r>
      <w:r>
        <w:rPr>
          <w:spacing w:val="40"/>
          <w:w w:val="105"/>
        </w:rPr>
        <w:t> </w:t>
      </w:r>
      <w:r>
        <w:rPr>
          <w:w w:val="105"/>
        </w:rPr>
        <w:t>rights under general principles of EU law’.</w:t>
      </w:r>
      <w:r>
        <w:rPr>
          <w:rFonts w:ascii="Lucida Sans Unicode" w:hAnsi="Lucida Sans Unicode"/>
          <w:w w:val="105"/>
          <w:vertAlign w:val="superscript"/>
        </w:rPr>
        <w:t>284</w:t>
      </w:r>
      <w:r>
        <w:rPr>
          <w:rFonts w:ascii="Lucida Sans Unicode" w:hAnsi="Lucida Sans Unicode"/>
          <w:w w:val="105"/>
          <w:vertAlign w:val="baseline"/>
        </w:rPr>
        <w:t> </w:t>
      </w:r>
      <w:r>
        <w:rPr>
          <w:w w:val="105"/>
          <w:vertAlign w:val="baseline"/>
        </w:rPr>
        <w:t>This was because:</w:t>
      </w:r>
    </w:p>
    <w:p>
      <w:pPr>
        <w:pStyle w:val="BodyText"/>
        <w:spacing w:before="20"/>
        <w:ind w:left="0"/>
      </w:pPr>
    </w:p>
    <w:p>
      <w:pPr>
        <w:pStyle w:val="BodyText"/>
        <w:spacing w:line="324" w:lineRule="exact"/>
        <w:ind w:right="113"/>
        <w:rPr>
          <w:rFonts w:ascii="Lucida Sans Unicode" w:hAnsi="Lucida Sans Unicode"/>
        </w:rPr>
      </w:pPr>
      <w:r>
        <w:rPr>
          <w:w w:val="115"/>
        </w:rPr>
        <w:t>‘the removal of a right of action </w:t>
      </w:r>
      <w:r>
        <w:rPr>
          <w:spacing w:val="-2"/>
          <w:w w:val="115"/>
        </w:rPr>
        <w:t>relating</w:t>
      </w:r>
      <w:r>
        <w:rPr>
          <w:spacing w:val="-14"/>
          <w:w w:val="115"/>
        </w:rPr>
        <w:t> </w:t>
      </w:r>
      <w:r>
        <w:rPr>
          <w:spacing w:val="-2"/>
          <w:w w:val="115"/>
        </w:rPr>
        <w:t>to</w:t>
      </w:r>
      <w:r>
        <w:rPr>
          <w:spacing w:val="-14"/>
          <w:w w:val="115"/>
        </w:rPr>
        <w:t> </w:t>
      </w:r>
      <w:r>
        <w:rPr>
          <w:spacing w:val="-2"/>
          <w:w w:val="115"/>
        </w:rPr>
        <w:t>general</w:t>
      </w:r>
      <w:r>
        <w:rPr>
          <w:spacing w:val="-14"/>
          <w:w w:val="115"/>
        </w:rPr>
        <w:t> </w:t>
      </w:r>
      <w:r>
        <w:rPr>
          <w:spacing w:val="-2"/>
          <w:w w:val="115"/>
        </w:rPr>
        <w:t>principles</w:t>
      </w:r>
      <w:r>
        <w:rPr>
          <w:spacing w:val="-14"/>
          <w:w w:val="115"/>
        </w:rPr>
        <w:t> </w:t>
      </w:r>
      <w:r>
        <w:rPr>
          <w:spacing w:val="-2"/>
          <w:w w:val="115"/>
        </w:rPr>
        <w:t>of</w:t>
      </w:r>
      <w:r>
        <w:rPr>
          <w:spacing w:val="-14"/>
          <w:w w:val="115"/>
        </w:rPr>
        <w:t> </w:t>
      </w:r>
      <w:r>
        <w:rPr>
          <w:spacing w:val="-2"/>
          <w:w w:val="115"/>
        </w:rPr>
        <w:t>EU</w:t>
      </w:r>
      <w:r>
        <w:rPr>
          <w:spacing w:val="-14"/>
          <w:w w:val="115"/>
        </w:rPr>
        <w:t> </w:t>
      </w:r>
      <w:r>
        <w:rPr>
          <w:spacing w:val="-2"/>
          <w:w w:val="115"/>
        </w:rPr>
        <w:t>law </w:t>
      </w:r>
      <w:r>
        <w:rPr>
          <w:w w:val="115"/>
        </w:rPr>
        <w:t>does not apply to any proceedings </w:t>
      </w:r>
      <w:r>
        <w:rPr>
          <w:rFonts w:ascii="Lucida Sans Unicode" w:hAnsi="Lucida Sans Unicode"/>
          <w:spacing w:val="-2"/>
          <w:w w:val="110"/>
        </w:rPr>
        <w:t>commenced</w:t>
      </w:r>
      <w:r>
        <w:rPr>
          <w:rFonts w:ascii="Lucida Sans Unicode" w:hAnsi="Lucida Sans Unicode"/>
          <w:spacing w:val="-19"/>
          <w:w w:val="110"/>
        </w:rPr>
        <w:t> </w:t>
      </w:r>
      <w:r>
        <w:rPr>
          <w:rFonts w:ascii="Lucida Sans Unicode" w:hAnsi="Lucida Sans Unicode"/>
          <w:spacing w:val="-2"/>
          <w:w w:val="110"/>
        </w:rPr>
        <w:t>within</w:t>
      </w:r>
      <w:r>
        <w:rPr>
          <w:rFonts w:ascii="Lucida Sans Unicode" w:hAnsi="Lucida Sans Unicode"/>
          <w:spacing w:val="-18"/>
          <w:w w:val="110"/>
        </w:rPr>
        <w:t> </w:t>
      </w:r>
      <w:r>
        <w:rPr>
          <w:rFonts w:ascii="Lucida Sans Unicode" w:hAnsi="Lucida Sans Unicode"/>
          <w:spacing w:val="-2"/>
          <w:w w:val="110"/>
        </w:rPr>
        <w:t>the</w:t>
      </w:r>
      <w:r>
        <w:rPr>
          <w:rFonts w:ascii="Lucida Sans Unicode" w:hAnsi="Lucida Sans Unicode"/>
          <w:spacing w:val="-19"/>
          <w:w w:val="110"/>
        </w:rPr>
        <w:t> </w:t>
      </w:r>
      <w:r>
        <w:rPr>
          <w:rFonts w:ascii="Lucida Sans Unicode" w:hAnsi="Lucida Sans Unicode"/>
          <w:spacing w:val="-2"/>
          <w:w w:val="110"/>
        </w:rPr>
        <w:t>period</w:t>
      </w:r>
      <w:r>
        <w:rPr>
          <w:rFonts w:ascii="Lucida Sans Unicode" w:hAnsi="Lucida Sans Unicode"/>
          <w:spacing w:val="-18"/>
          <w:w w:val="110"/>
        </w:rPr>
        <w:t> </w:t>
      </w:r>
      <w:r>
        <w:rPr>
          <w:rFonts w:ascii="Lucida Sans Unicode" w:hAnsi="Lucida Sans Unicode"/>
          <w:spacing w:val="-2"/>
          <w:w w:val="110"/>
        </w:rPr>
        <w:t>of</w:t>
      </w:r>
      <w:r>
        <w:rPr>
          <w:rFonts w:ascii="Lucida Sans Unicode" w:hAnsi="Lucida Sans Unicode"/>
          <w:spacing w:val="-19"/>
          <w:w w:val="110"/>
        </w:rPr>
        <w:t> </w:t>
      </w:r>
      <w:r>
        <w:rPr>
          <w:rFonts w:ascii="Lucida Sans Unicode" w:hAnsi="Lucida Sans Unicode"/>
          <w:spacing w:val="-2"/>
          <w:w w:val="110"/>
        </w:rPr>
        <w:t>3 </w:t>
      </w:r>
      <w:r>
        <w:rPr>
          <w:w w:val="115"/>
        </w:rPr>
        <w:t>years beginning with IP completion </w:t>
      </w:r>
      <w:r>
        <w:rPr>
          <w:rFonts w:ascii="Lucida Sans Unicode" w:hAnsi="Lucida Sans Unicode"/>
        </w:rPr>
        <w:t>day [i.e. 31 December 2020] insofar as </w:t>
      </w:r>
      <w:r>
        <w:rPr>
          <w:w w:val="115"/>
        </w:rPr>
        <w:t>the proceedings involved a challenge to</w:t>
      </w:r>
      <w:r>
        <w:rPr>
          <w:spacing w:val="-15"/>
          <w:w w:val="115"/>
        </w:rPr>
        <w:t> </w:t>
      </w:r>
      <w:r>
        <w:rPr>
          <w:w w:val="115"/>
        </w:rPr>
        <w:t>acts</w:t>
      </w:r>
      <w:r>
        <w:rPr>
          <w:spacing w:val="-15"/>
          <w:w w:val="115"/>
        </w:rPr>
        <w:t> </w:t>
      </w:r>
      <w:r>
        <w:rPr>
          <w:w w:val="115"/>
        </w:rPr>
        <w:t>occurring</w:t>
      </w:r>
      <w:r>
        <w:rPr>
          <w:spacing w:val="-15"/>
          <w:w w:val="115"/>
        </w:rPr>
        <w:t> </w:t>
      </w:r>
      <w:r>
        <w:rPr>
          <w:w w:val="115"/>
        </w:rPr>
        <w:t>before</w:t>
      </w:r>
      <w:r>
        <w:rPr>
          <w:spacing w:val="-15"/>
          <w:w w:val="115"/>
        </w:rPr>
        <w:t> </w:t>
      </w:r>
      <w:r>
        <w:rPr>
          <w:w w:val="115"/>
        </w:rPr>
        <w:t>IP</w:t>
      </w:r>
      <w:r>
        <w:rPr>
          <w:spacing w:val="-15"/>
          <w:w w:val="115"/>
        </w:rPr>
        <w:t> </w:t>
      </w:r>
      <w:r>
        <w:rPr>
          <w:w w:val="115"/>
        </w:rPr>
        <w:t>completion day</w:t>
      </w:r>
      <w:r>
        <w:rPr>
          <w:spacing w:val="-5"/>
          <w:w w:val="115"/>
        </w:rPr>
        <w:t> </w:t>
      </w:r>
      <w:r>
        <w:rPr>
          <w:w w:val="115"/>
        </w:rPr>
        <w:t>and</w:t>
      </w:r>
      <w:r>
        <w:rPr>
          <w:spacing w:val="-5"/>
          <w:w w:val="115"/>
        </w:rPr>
        <w:t> </w:t>
      </w:r>
      <w:r>
        <w:rPr>
          <w:w w:val="115"/>
        </w:rPr>
        <w:t>the</w:t>
      </w:r>
      <w:r>
        <w:rPr>
          <w:spacing w:val="-5"/>
          <w:w w:val="115"/>
        </w:rPr>
        <w:t> </w:t>
      </w:r>
      <w:r>
        <w:rPr>
          <w:w w:val="115"/>
        </w:rPr>
        <w:t>challenge</w:t>
      </w:r>
      <w:r>
        <w:rPr>
          <w:spacing w:val="-5"/>
          <w:w w:val="115"/>
        </w:rPr>
        <w:t> </w:t>
      </w:r>
      <w:r>
        <w:rPr>
          <w:w w:val="115"/>
        </w:rPr>
        <w:t>was</w:t>
      </w:r>
      <w:r>
        <w:rPr>
          <w:spacing w:val="-5"/>
          <w:w w:val="115"/>
        </w:rPr>
        <w:t> </w:t>
      </w:r>
      <w:r>
        <w:rPr>
          <w:w w:val="115"/>
        </w:rPr>
        <w:t>not</w:t>
      </w:r>
      <w:r>
        <w:rPr>
          <w:spacing w:val="-5"/>
          <w:w w:val="115"/>
        </w:rPr>
        <w:t> </w:t>
      </w:r>
      <w:r>
        <w:rPr>
          <w:w w:val="115"/>
        </w:rPr>
        <w:t>for</w:t>
      </w:r>
      <w:r>
        <w:rPr>
          <w:spacing w:val="-5"/>
          <w:w w:val="115"/>
        </w:rPr>
        <w:t> </w:t>
      </w:r>
      <w:r>
        <w:rPr>
          <w:w w:val="115"/>
        </w:rPr>
        <w:t>the disapplication or quashing of an Act of Parliament or a rule of law which was</w:t>
      </w:r>
      <w:r>
        <w:rPr>
          <w:spacing w:val="-13"/>
          <w:w w:val="115"/>
        </w:rPr>
        <w:t> </w:t>
      </w:r>
      <w:r>
        <w:rPr>
          <w:w w:val="115"/>
        </w:rPr>
        <w:t>not</w:t>
      </w:r>
      <w:r>
        <w:rPr>
          <w:spacing w:val="-13"/>
          <w:w w:val="115"/>
        </w:rPr>
        <w:t> </w:t>
      </w:r>
      <w:r>
        <w:rPr>
          <w:w w:val="115"/>
        </w:rPr>
        <w:t>an</w:t>
      </w:r>
      <w:r>
        <w:rPr>
          <w:spacing w:val="-13"/>
          <w:w w:val="115"/>
        </w:rPr>
        <w:t> </w:t>
      </w:r>
      <w:r>
        <w:rPr>
          <w:w w:val="115"/>
        </w:rPr>
        <w:t>enactment</w:t>
      </w:r>
      <w:r>
        <w:rPr>
          <w:spacing w:val="-13"/>
          <w:w w:val="115"/>
        </w:rPr>
        <w:t> </w:t>
      </w:r>
      <w:r>
        <w:rPr>
          <w:w w:val="115"/>
        </w:rPr>
        <w:t>or</w:t>
      </w:r>
      <w:r>
        <w:rPr>
          <w:spacing w:val="-13"/>
          <w:w w:val="115"/>
        </w:rPr>
        <w:t> </w:t>
      </w:r>
      <w:r>
        <w:rPr>
          <w:w w:val="115"/>
        </w:rPr>
        <w:t>certain</w:t>
      </w:r>
      <w:r>
        <w:rPr>
          <w:spacing w:val="-13"/>
          <w:w w:val="115"/>
        </w:rPr>
        <w:t> </w:t>
      </w:r>
      <w:r>
        <w:rPr>
          <w:w w:val="115"/>
        </w:rPr>
        <w:t>other </w:t>
      </w:r>
      <w:r>
        <w:rPr>
          <w:rFonts w:ascii="Lucida Sans Unicode" w:hAnsi="Lucida Sans Unicode"/>
          <w:w w:val="110"/>
        </w:rPr>
        <w:t>specified</w:t>
      </w:r>
      <w:r>
        <w:rPr>
          <w:rFonts w:ascii="Lucida Sans Unicode" w:hAnsi="Lucida Sans Unicode"/>
          <w:spacing w:val="-21"/>
          <w:w w:val="110"/>
        </w:rPr>
        <w:t> </w:t>
      </w:r>
      <w:r>
        <w:rPr>
          <w:rFonts w:ascii="Lucida Sans Unicode" w:hAnsi="Lucida Sans Unicode"/>
          <w:w w:val="110"/>
        </w:rPr>
        <w:t>laws</w:t>
      </w:r>
      <w:r>
        <w:rPr>
          <w:rFonts w:ascii="Lucida Sans Unicode" w:hAnsi="Lucida Sans Unicode"/>
          <w:spacing w:val="-21"/>
          <w:w w:val="110"/>
        </w:rPr>
        <w:t> </w:t>
      </w:r>
      <w:r>
        <w:rPr>
          <w:rFonts w:ascii="Lucida Sans Unicode" w:hAnsi="Lucida Sans Unicode"/>
          <w:w w:val="110"/>
        </w:rPr>
        <w:t>(see</w:t>
      </w:r>
      <w:r>
        <w:rPr>
          <w:rFonts w:ascii="Lucida Sans Unicode" w:hAnsi="Lucida Sans Unicode"/>
          <w:spacing w:val="-21"/>
          <w:w w:val="110"/>
        </w:rPr>
        <w:t> </w:t>
      </w:r>
      <w:r>
        <w:rPr>
          <w:rFonts w:ascii="Lucida Sans Unicode" w:hAnsi="Lucida Sans Unicode"/>
          <w:w w:val="110"/>
        </w:rPr>
        <w:t>section</w:t>
      </w:r>
      <w:r>
        <w:rPr>
          <w:rFonts w:ascii="Lucida Sans Unicode" w:hAnsi="Lucida Sans Unicode"/>
          <w:spacing w:val="-21"/>
          <w:w w:val="110"/>
        </w:rPr>
        <w:t> </w:t>
      </w:r>
      <w:r>
        <w:rPr>
          <w:rFonts w:ascii="Lucida Sans Unicode" w:hAnsi="Lucida Sans Unicode"/>
          <w:w w:val="110"/>
        </w:rPr>
        <w:t>23(7)</w:t>
      </w:r>
    </w:p>
    <w:p>
      <w:pPr>
        <w:pStyle w:val="BodyText"/>
        <w:spacing w:line="252" w:lineRule="auto"/>
        <w:ind w:right="429"/>
      </w:pPr>
      <w:r>
        <w:rPr>
          <w:rFonts w:ascii="Lucida Sans Unicode"/>
          <w:w w:val="110"/>
        </w:rPr>
        <w:t>and</w:t>
      </w:r>
      <w:r>
        <w:rPr>
          <w:rFonts w:ascii="Lucida Sans Unicode"/>
          <w:spacing w:val="-21"/>
          <w:w w:val="110"/>
        </w:rPr>
        <w:t> </w:t>
      </w:r>
      <w:r>
        <w:rPr>
          <w:rFonts w:ascii="Lucida Sans Unicode"/>
          <w:w w:val="110"/>
        </w:rPr>
        <w:t>Schedule</w:t>
      </w:r>
      <w:r>
        <w:rPr>
          <w:rFonts w:ascii="Lucida Sans Unicode"/>
          <w:spacing w:val="-21"/>
          <w:w w:val="110"/>
        </w:rPr>
        <w:t> </w:t>
      </w:r>
      <w:r>
        <w:rPr>
          <w:rFonts w:ascii="Lucida Sans Unicode"/>
          <w:w w:val="110"/>
        </w:rPr>
        <w:t>8</w:t>
      </w:r>
      <w:r>
        <w:rPr>
          <w:rFonts w:ascii="Lucida Sans Unicode"/>
          <w:spacing w:val="-21"/>
          <w:w w:val="110"/>
        </w:rPr>
        <w:t> </w:t>
      </w:r>
      <w:r>
        <w:rPr>
          <w:rFonts w:ascii="Lucida Sans Unicode"/>
          <w:w w:val="110"/>
        </w:rPr>
        <w:t>paragraph</w:t>
      </w:r>
      <w:r>
        <w:rPr>
          <w:rFonts w:ascii="Lucida Sans Unicode"/>
          <w:spacing w:val="-21"/>
          <w:w w:val="110"/>
        </w:rPr>
        <w:t> </w:t>
      </w:r>
      <w:r>
        <w:rPr>
          <w:rFonts w:ascii="Lucida Sans Unicode"/>
          <w:w w:val="110"/>
        </w:rPr>
        <w:t>39(5)). </w:t>
      </w:r>
      <w:r>
        <w:rPr>
          <w:w w:val="110"/>
        </w:rPr>
        <w:t>And further the removal of the </w:t>
      </w:r>
      <w:r>
        <w:rPr>
          <w:w w:val="110"/>
        </w:rPr>
        <w:t>right to </w:t>
      </w:r>
      <w:r>
        <w:rPr>
          <w:rFonts w:ascii="Verdana"/>
          <w:i/>
          <w:w w:val="110"/>
        </w:rPr>
        <w:t>Francovich </w:t>
      </w:r>
      <w:r>
        <w:rPr>
          <w:w w:val="110"/>
        </w:rPr>
        <w:t>damages does not</w:t>
      </w:r>
    </w:p>
    <w:p>
      <w:pPr>
        <w:pStyle w:val="BodyText"/>
        <w:spacing w:line="242" w:lineRule="auto" w:before="20"/>
        <w:ind w:right="317"/>
      </w:pPr>
      <w:r>
        <w:rPr>
          <w:w w:val="105"/>
        </w:rPr>
        <w:t>apply to proceedings commenced</w:t>
      </w:r>
      <w:r>
        <w:rPr>
          <w:spacing w:val="80"/>
          <w:w w:val="105"/>
        </w:rPr>
        <w:t> </w:t>
      </w:r>
      <w:r>
        <w:rPr>
          <w:rFonts w:ascii="Lucida Sans Unicode"/>
          <w:spacing w:val="-2"/>
          <w:w w:val="105"/>
        </w:rPr>
        <w:t>within</w:t>
      </w:r>
      <w:r>
        <w:rPr>
          <w:rFonts w:ascii="Lucida Sans Unicode"/>
          <w:spacing w:val="-18"/>
          <w:w w:val="105"/>
        </w:rPr>
        <w:t> </w:t>
      </w:r>
      <w:r>
        <w:rPr>
          <w:rFonts w:ascii="Lucida Sans Unicode"/>
          <w:spacing w:val="-2"/>
          <w:w w:val="105"/>
        </w:rPr>
        <w:t>the</w:t>
      </w:r>
      <w:r>
        <w:rPr>
          <w:rFonts w:ascii="Lucida Sans Unicode"/>
          <w:spacing w:val="-18"/>
          <w:w w:val="105"/>
        </w:rPr>
        <w:t> </w:t>
      </w:r>
      <w:r>
        <w:rPr>
          <w:rFonts w:ascii="Lucida Sans Unicode"/>
          <w:spacing w:val="-2"/>
          <w:w w:val="105"/>
        </w:rPr>
        <w:t>period</w:t>
      </w:r>
      <w:r>
        <w:rPr>
          <w:rFonts w:ascii="Lucida Sans Unicode"/>
          <w:spacing w:val="-18"/>
          <w:w w:val="105"/>
        </w:rPr>
        <w:t> </w:t>
      </w:r>
      <w:r>
        <w:rPr>
          <w:rFonts w:ascii="Lucida Sans Unicode"/>
          <w:spacing w:val="-2"/>
          <w:w w:val="105"/>
        </w:rPr>
        <w:t>of</w:t>
      </w:r>
      <w:r>
        <w:rPr>
          <w:rFonts w:ascii="Lucida Sans Unicode"/>
          <w:spacing w:val="-18"/>
          <w:w w:val="105"/>
        </w:rPr>
        <w:t> </w:t>
      </w:r>
      <w:r>
        <w:rPr>
          <w:rFonts w:ascii="Lucida Sans Unicode"/>
          <w:spacing w:val="-2"/>
          <w:w w:val="105"/>
        </w:rPr>
        <w:t>2</w:t>
      </w:r>
      <w:r>
        <w:rPr>
          <w:rFonts w:ascii="Lucida Sans Unicode"/>
          <w:spacing w:val="-18"/>
          <w:w w:val="105"/>
        </w:rPr>
        <w:t> </w:t>
      </w:r>
      <w:r>
        <w:rPr>
          <w:rFonts w:ascii="Lucida Sans Unicode"/>
          <w:spacing w:val="-2"/>
          <w:w w:val="105"/>
        </w:rPr>
        <w:t>years</w:t>
      </w:r>
      <w:r>
        <w:rPr>
          <w:rFonts w:ascii="Lucida Sans Unicode"/>
          <w:spacing w:val="-18"/>
          <w:w w:val="105"/>
        </w:rPr>
        <w:t> </w:t>
      </w:r>
      <w:r>
        <w:rPr>
          <w:rFonts w:ascii="Lucida Sans Unicode"/>
          <w:spacing w:val="-2"/>
          <w:w w:val="105"/>
        </w:rPr>
        <w:t>starting </w:t>
      </w:r>
      <w:r>
        <w:rPr>
          <w:w w:val="105"/>
        </w:rPr>
        <w:t>with</w:t>
      </w:r>
      <w:r>
        <w:rPr>
          <w:spacing w:val="40"/>
          <w:w w:val="105"/>
        </w:rPr>
        <w:t> </w:t>
      </w:r>
      <w:r>
        <w:rPr>
          <w:w w:val="105"/>
        </w:rPr>
        <w:t>IP</w:t>
      </w:r>
      <w:r>
        <w:rPr>
          <w:spacing w:val="40"/>
          <w:w w:val="105"/>
        </w:rPr>
        <w:t> </w:t>
      </w:r>
      <w:r>
        <w:rPr>
          <w:w w:val="105"/>
        </w:rPr>
        <w:t>completion</w:t>
      </w:r>
      <w:r>
        <w:rPr>
          <w:spacing w:val="40"/>
          <w:w w:val="105"/>
        </w:rPr>
        <w:t> </w:t>
      </w:r>
      <w:r>
        <w:rPr>
          <w:w w:val="105"/>
        </w:rPr>
        <w:t>day</w:t>
      </w:r>
      <w:r>
        <w:rPr>
          <w:spacing w:val="40"/>
          <w:w w:val="105"/>
        </w:rPr>
        <w:t> </w:t>
      </w:r>
      <w:r>
        <w:rPr>
          <w:w w:val="105"/>
        </w:rPr>
        <w:t>insofar</w:t>
      </w:r>
      <w:r>
        <w:rPr>
          <w:spacing w:val="40"/>
          <w:w w:val="105"/>
        </w:rPr>
        <w:t> </w:t>
      </w:r>
      <w:r>
        <w:rPr>
          <w:w w:val="105"/>
        </w:rPr>
        <w:t>as</w:t>
      </w:r>
    </w:p>
    <w:p>
      <w:pPr>
        <w:pStyle w:val="BodyText"/>
        <w:spacing w:line="264" w:lineRule="auto" w:before="41"/>
        <w:ind w:right="161"/>
        <w:rPr>
          <w:rFonts w:ascii="Lucida Sans Unicode"/>
        </w:rPr>
      </w:pPr>
      <w:r>
        <w:rPr>
          <w:w w:val="110"/>
        </w:rPr>
        <w:t>the proceedings relate to anything which occurred before IP </w:t>
      </w:r>
      <w:r>
        <w:rPr>
          <w:w w:val="110"/>
        </w:rPr>
        <w:t>completion </w:t>
      </w:r>
      <w:r>
        <w:rPr>
          <w:rFonts w:ascii="Lucida Sans Unicode"/>
          <w:w w:val="110"/>
        </w:rPr>
        <w:t>day</w:t>
      </w:r>
      <w:r>
        <w:rPr>
          <w:rFonts w:ascii="Lucida Sans Unicode"/>
          <w:spacing w:val="-16"/>
          <w:w w:val="110"/>
        </w:rPr>
        <w:t> </w:t>
      </w:r>
      <w:r>
        <w:rPr>
          <w:rFonts w:ascii="Lucida Sans Unicode"/>
          <w:w w:val="110"/>
        </w:rPr>
        <w:t>(section</w:t>
      </w:r>
      <w:r>
        <w:rPr>
          <w:rFonts w:ascii="Lucida Sans Unicode"/>
          <w:spacing w:val="-16"/>
          <w:w w:val="110"/>
        </w:rPr>
        <w:t> </w:t>
      </w:r>
      <w:r>
        <w:rPr>
          <w:rFonts w:ascii="Lucida Sans Unicode"/>
          <w:w w:val="110"/>
        </w:rPr>
        <w:t>23(7)</w:t>
      </w:r>
      <w:r>
        <w:rPr>
          <w:rFonts w:ascii="Lucida Sans Unicode"/>
          <w:spacing w:val="-16"/>
          <w:w w:val="110"/>
        </w:rPr>
        <w:t> </w:t>
      </w:r>
      <w:r>
        <w:rPr>
          <w:rFonts w:ascii="Lucida Sans Unicode"/>
          <w:w w:val="110"/>
        </w:rPr>
        <w:t>and</w:t>
      </w:r>
      <w:r>
        <w:rPr>
          <w:rFonts w:ascii="Lucida Sans Unicode"/>
          <w:spacing w:val="-16"/>
          <w:w w:val="110"/>
        </w:rPr>
        <w:t> </w:t>
      </w:r>
      <w:r>
        <w:rPr>
          <w:rFonts w:ascii="Lucida Sans Unicode"/>
          <w:w w:val="110"/>
        </w:rPr>
        <w:t>Schedule</w:t>
      </w:r>
      <w:r>
        <w:rPr>
          <w:rFonts w:ascii="Lucida Sans Unicode"/>
          <w:spacing w:val="-16"/>
          <w:w w:val="110"/>
        </w:rPr>
        <w:t> </w:t>
      </w:r>
      <w:r>
        <w:rPr>
          <w:rFonts w:ascii="Lucida Sans Unicode"/>
          <w:w w:val="110"/>
        </w:rPr>
        <w:t>8</w:t>
      </w:r>
    </w:p>
    <w:p>
      <w:pPr>
        <w:pStyle w:val="BodyText"/>
        <w:spacing w:line="289" w:lineRule="exact"/>
        <w:rPr>
          <w:rFonts w:ascii="Lucida Sans Unicode" w:hAnsi="Lucida Sans Unicode"/>
        </w:rPr>
      </w:pPr>
      <w:r>
        <w:rPr>
          <w:rFonts w:ascii="Lucida Sans Unicode" w:hAnsi="Lucida Sans Unicode"/>
        </w:rPr>
        <w:t>paragraph</w:t>
      </w:r>
      <w:r>
        <w:rPr>
          <w:rFonts w:ascii="Lucida Sans Unicode" w:hAnsi="Lucida Sans Unicode"/>
          <w:spacing w:val="19"/>
        </w:rPr>
        <w:t> </w:t>
      </w:r>
      <w:r>
        <w:rPr>
          <w:rFonts w:ascii="Lucida Sans Unicode" w:hAnsi="Lucida Sans Unicode"/>
          <w:spacing w:val="-2"/>
        </w:rPr>
        <w:t>39(7))’</w:t>
      </w:r>
      <w:r>
        <w:rPr>
          <w:rFonts w:ascii="Lucida Sans Unicode" w:hAnsi="Lucida Sans Unicode"/>
          <w:spacing w:val="-2"/>
          <w:vertAlign w:val="superscript"/>
        </w:rPr>
        <w:t>285</w:t>
      </w:r>
    </w:p>
    <w:p>
      <w:pPr>
        <w:spacing w:after="0" w:line="289" w:lineRule="exact"/>
        <w:rPr>
          <w:rFonts w:ascii="Lucida Sans Unicode" w:hAnsi="Lucida Sans Unicode"/>
        </w:rPr>
        <w:sectPr>
          <w:type w:val="continuous"/>
          <w:pgSz w:w="11910" w:h="16840"/>
          <w:pgMar w:header="568" w:footer="580" w:top="0" w:bottom="280" w:left="1020" w:right="1020"/>
          <w:cols w:num="2" w:equalWidth="0">
            <w:col w:w="4747" w:space="299"/>
            <w:col w:w="4824"/>
          </w:cols>
        </w:sectPr>
      </w:pPr>
    </w:p>
    <w:p>
      <w:pPr>
        <w:pStyle w:val="BodyText"/>
        <w:spacing w:before="8" w:after="1"/>
        <w:ind w:left="0"/>
        <w:rPr>
          <w:rFonts w:ascii="Lucida Sans Unicode"/>
          <w:sz w:val="6"/>
        </w:rPr>
      </w:pPr>
    </w:p>
    <w:p>
      <w:pPr>
        <w:pStyle w:val="BodyText"/>
        <w:spacing w:line="20" w:lineRule="exact"/>
        <w:rPr>
          <w:rFonts w:ascii="Lucida Sans Unicode"/>
          <w:sz w:val="2"/>
        </w:rPr>
      </w:pPr>
      <w:r>
        <w:rPr>
          <w:rFonts w:ascii="Lucida Sans Unicode"/>
          <w:sz w:val="2"/>
        </w:rPr>
        <mc:AlternateContent>
          <mc:Choice Requires="wps">
            <w:drawing>
              <wp:inline distT="0" distB="0" distL="0" distR="0">
                <wp:extent cx="6120130" cy="6350"/>
                <wp:effectExtent l="9525" t="0" r="0" b="3175"/>
                <wp:docPr id="176" name="Group 176"/>
                <wp:cNvGraphicFramePr>
                  <a:graphicFrameLocks/>
                </wp:cNvGraphicFramePr>
                <a:graphic>
                  <a:graphicData uri="http://schemas.microsoft.com/office/word/2010/wordprocessingGroup">
                    <wpg:wgp>
                      <wpg:cNvPr id="176" name="Group 176"/>
                      <wpg:cNvGrpSpPr/>
                      <wpg:grpSpPr>
                        <a:xfrm>
                          <a:off x="0" y="0"/>
                          <a:ext cx="6120130" cy="6350"/>
                          <a:chExt cx="6120130" cy="6350"/>
                        </a:xfrm>
                      </wpg:grpSpPr>
                      <wps:wsp>
                        <wps:cNvPr id="177" name="Graphic 177"/>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107" coordorigin="0,0" coordsize="9638,10">
                <v:line style="position:absolute" from="0,5" to="9638,5" stroked="true" strokeweight=".5pt" strokecolor="#77328a">
                  <v:stroke dashstyle="solid"/>
                </v:line>
              </v:group>
            </w:pict>
          </mc:Fallback>
        </mc:AlternateContent>
      </w:r>
      <w:r>
        <w:rPr>
          <w:rFonts w:ascii="Lucida Sans Unicode"/>
          <w:sz w:val="2"/>
        </w:rPr>
      </w:r>
    </w:p>
    <w:p>
      <w:pPr>
        <w:pStyle w:val="ListParagraph"/>
        <w:numPr>
          <w:ilvl w:val="0"/>
          <w:numId w:val="14"/>
        </w:numPr>
        <w:tabs>
          <w:tab w:pos="565" w:val="left" w:leader="none"/>
        </w:tabs>
        <w:spacing w:line="223" w:lineRule="exact" w:before="61" w:after="0"/>
        <w:ind w:left="565" w:right="0" w:hanging="452"/>
        <w:jc w:val="left"/>
        <w:rPr>
          <w:sz w:val="16"/>
        </w:rPr>
      </w:pPr>
      <w:r>
        <w:rPr>
          <w:rFonts w:ascii="Verdana"/>
          <w:i/>
          <w:sz w:val="16"/>
        </w:rPr>
        <w:t>Secretary</w:t>
      </w:r>
      <w:r>
        <w:rPr>
          <w:rFonts w:ascii="Verdana"/>
          <w:i/>
          <w:spacing w:val="-12"/>
          <w:sz w:val="16"/>
        </w:rPr>
        <w:t> </w:t>
      </w:r>
      <w:r>
        <w:rPr>
          <w:rFonts w:ascii="Verdana"/>
          <w:i/>
          <w:sz w:val="16"/>
        </w:rPr>
        <w:t>of</w:t>
      </w:r>
      <w:r>
        <w:rPr>
          <w:rFonts w:ascii="Verdana"/>
          <w:i/>
          <w:spacing w:val="-12"/>
          <w:sz w:val="16"/>
        </w:rPr>
        <w:t> </w:t>
      </w:r>
      <w:r>
        <w:rPr>
          <w:rFonts w:ascii="Verdana"/>
          <w:i/>
          <w:sz w:val="16"/>
        </w:rPr>
        <w:t>State</w:t>
      </w:r>
      <w:r>
        <w:rPr>
          <w:rFonts w:ascii="Verdana"/>
          <w:i/>
          <w:spacing w:val="-12"/>
          <w:sz w:val="16"/>
        </w:rPr>
        <w:t> </w:t>
      </w:r>
      <w:r>
        <w:rPr>
          <w:rFonts w:ascii="Verdana"/>
          <w:i/>
          <w:sz w:val="16"/>
        </w:rPr>
        <w:t>for</w:t>
      </w:r>
      <w:r>
        <w:rPr>
          <w:rFonts w:ascii="Verdana"/>
          <w:i/>
          <w:spacing w:val="-11"/>
          <w:sz w:val="16"/>
        </w:rPr>
        <w:t> </w:t>
      </w:r>
      <w:r>
        <w:rPr>
          <w:rFonts w:ascii="Verdana"/>
          <w:i/>
          <w:sz w:val="16"/>
        </w:rPr>
        <w:t>Work</w:t>
      </w:r>
      <w:r>
        <w:rPr>
          <w:rFonts w:ascii="Verdana"/>
          <w:i/>
          <w:spacing w:val="-12"/>
          <w:sz w:val="16"/>
        </w:rPr>
        <w:t> </w:t>
      </w:r>
      <w:r>
        <w:rPr>
          <w:rFonts w:ascii="Verdana"/>
          <w:i/>
          <w:sz w:val="16"/>
        </w:rPr>
        <w:t>and</w:t>
      </w:r>
      <w:r>
        <w:rPr>
          <w:rFonts w:ascii="Verdana"/>
          <w:i/>
          <w:spacing w:val="-12"/>
          <w:sz w:val="16"/>
        </w:rPr>
        <w:t> </w:t>
      </w:r>
      <w:r>
        <w:rPr>
          <w:rFonts w:ascii="Verdana"/>
          <w:i/>
          <w:sz w:val="16"/>
        </w:rPr>
        <w:t>Pensions</w:t>
      </w:r>
      <w:r>
        <w:rPr>
          <w:rFonts w:ascii="Verdana"/>
          <w:i/>
          <w:spacing w:val="-12"/>
          <w:sz w:val="16"/>
        </w:rPr>
        <w:t> </w:t>
      </w:r>
      <w:r>
        <w:rPr>
          <w:rFonts w:ascii="Verdana"/>
          <w:i/>
          <w:sz w:val="16"/>
        </w:rPr>
        <w:t>v</w:t>
      </w:r>
      <w:r>
        <w:rPr>
          <w:rFonts w:ascii="Verdana"/>
          <w:i/>
          <w:spacing w:val="-11"/>
          <w:sz w:val="16"/>
        </w:rPr>
        <w:t> </w:t>
      </w:r>
      <w:r>
        <w:rPr>
          <w:rFonts w:ascii="Verdana"/>
          <w:i/>
          <w:sz w:val="16"/>
        </w:rPr>
        <w:t>Beattie</w:t>
      </w:r>
      <w:r>
        <w:rPr>
          <w:rFonts w:ascii="Verdana"/>
          <w:i/>
          <w:spacing w:val="-12"/>
          <w:sz w:val="16"/>
        </w:rPr>
        <w:t> </w:t>
      </w:r>
      <w:r>
        <w:rPr>
          <w:rFonts w:ascii="Verdana"/>
          <w:i/>
          <w:sz w:val="16"/>
        </w:rPr>
        <w:t>and</w:t>
      </w:r>
      <w:r>
        <w:rPr>
          <w:rFonts w:ascii="Verdana"/>
          <w:i/>
          <w:spacing w:val="-12"/>
          <w:sz w:val="16"/>
        </w:rPr>
        <w:t> </w:t>
      </w:r>
      <w:r>
        <w:rPr>
          <w:rFonts w:ascii="Verdana"/>
          <w:i/>
          <w:sz w:val="16"/>
        </w:rPr>
        <w:t>ors</w:t>
      </w:r>
      <w:r>
        <w:rPr>
          <w:rFonts w:ascii="Verdana"/>
          <w:i/>
          <w:spacing w:val="-12"/>
          <w:sz w:val="16"/>
        </w:rPr>
        <w:t> </w:t>
      </w:r>
      <w:r>
        <w:rPr>
          <w:sz w:val="16"/>
        </w:rPr>
        <w:t>[2022]</w:t>
      </w:r>
      <w:r>
        <w:rPr>
          <w:spacing w:val="-5"/>
          <w:sz w:val="16"/>
        </w:rPr>
        <w:t> </w:t>
      </w:r>
      <w:r>
        <w:rPr>
          <w:sz w:val="16"/>
        </w:rPr>
        <w:t>EAT</w:t>
      </w:r>
      <w:r>
        <w:rPr>
          <w:spacing w:val="-6"/>
          <w:sz w:val="16"/>
        </w:rPr>
        <w:t> </w:t>
      </w:r>
      <w:r>
        <w:rPr>
          <w:sz w:val="16"/>
        </w:rPr>
        <w:t>163,</w:t>
      </w:r>
      <w:r>
        <w:rPr>
          <w:spacing w:val="-6"/>
          <w:sz w:val="16"/>
        </w:rPr>
        <w:t> </w:t>
      </w:r>
      <w:r>
        <w:rPr>
          <w:sz w:val="16"/>
        </w:rPr>
        <w:t>para</w:t>
      </w:r>
      <w:r>
        <w:rPr>
          <w:spacing w:val="-6"/>
          <w:sz w:val="16"/>
        </w:rPr>
        <w:t> </w:t>
      </w:r>
      <w:r>
        <w:rPr>
          <w:spacing w:val="-4"/>
          <w:sz w:val="16"/>
        </w:rPr>
        <w:t>139.</w:t>
      </w:r>
    </w:p>
    <w:p>
      <w:pPr>
        <w:pStyle w:val="ListParagraph"/>
        <w:numPr>
          <w:ilvl w:val="0"/>
          <w:numId w:val="14"/>
        </w:numPr>
        <w:tabs>
          <w:tab w:pos="565" w:val="left" w:leader="none"/>
        </w:tabs>
        <w:spacing w:line="200" w:lineRule="exact" w:before="0" w:after="0"/>
        <w:ind w:left="565" w:right="0" w:hanging="452"/>
        <w:jc w:val="left"/>
        <w:rPr>
          <w:sz w:val="16"/>
        </w:rPr>
      </w:pPr>
      <w:r>
        <w:rPr>
          <w:rFonts w:ascii="Verdana" w:hAnsi="Verdana"/>
          <w:i/>
          <w:sz w:val="16"/>
        </w:rPr>
        <w:t>Jersey</w:t>
      </w:r>
      <w:r>
        <w:rPr>
          <w:rFonts w:ascii="Verdana" w:hAnsi="Verdana"/>
          <w:i/>
          <w:spacing w:val="-15"/>
          <w:sz w:val="16"/>
        </w:rPr>
        <w:t> </w:t>
      </w:r>
      <w:r>
        <w:rPr>
          <w:rFonts w:ascii="Verdana" w:hAnsi="Verdana"/>
          <w:i/>
          <w:sz w:val="16"/>
        </w:rPr>
        <w:t>Choice</w:t>
      </w:r>
      <w:r>
        <w:rPr>
          <w:rFonts w:ascii="Verdana" w:hAnsi="Verdana"/>
          <w:i/>
          <w:spacing w:val="-14"/>
          <w:sz w:val="16"/>
        </w:rPr>
        <w:t> </w:t>
      </w:r>
      <w:r>
        <w:rPr>
          <w:rFonts w:ascii="Verdana" w:hAnsi="Verdana"/>
          <w:i/>
          <w:sz w:val="16"/>
        </w:rPr>
        <w:t>Limited</w:t>
      </w:r>
      <w:r>
        <w:rPr>
          <w:rFonts w:ascii="Verdana" w:hAnsi="Verdana"/>
          <w:i/>
          <w:spacing w:val="-14"/>
          <w:sz w:val="16"/>
        </w:rPr>
        <w:t> </w:t>
      </w:r>
      <w:r>
        <w:rPr>
          <w:rFonts w:ascii="Verdana" w:hAnsi="Verdana"/>
          <w:i/>
          <w:sz w:val="16"/>
        </w:rPr>
        <w:t>v</w:t>
      </w:r>
      <w:r>
        <w:rPr>
          <w:rFonts w:ascii="Verdana" w:hAnsi="Verdana"/>
          <w:i/>
          <w:spacing w:val="-14"/>
          <w:sz w:val="16"/>
        </w:rPr>
        <w:t> </w:t>
      </w:r>
      <w:r>
        <w:rPr>
          <w:rFonts w:ascii="Verdana" w:hAnsi="Verdana"/>
          <w:i/>
          <w:sz w:val="16"/>
        </w:rPr>
        <w:t>Her</w:t>
      </w:r>
      <w:r>
        <w:rPr>
          <w:rFonts w:ascii="Verdana" w:hAnsi="Verdana"/>
          <w:i/>
          <w:spacing w:val="-14"/>
          <w:sz w:val="16"/>
        </w:rPr>
        <w:t> </w:t>
      </w:r>
      <w:r>
        <w:rPr>
          <w:rFonts w:ascii="Verdana" w:hAnsi="Verdana"/>
          <w:i/>
          <w:sz w:val="16"/>
        </w:rPr>
        <w:t>Majesty’s</w:t>
      </w:r>
      <w:r>
        <w:rPr>
          <w:rFonts w:ascii="Verdana" w:hAnsi="Verdana"/>
          <w:i/>
          <w:spacing w:val="-14"/>
          <w:sz w:val="16"/>
        </w:rPr>
        <w:t> </w:t>
      </w:r>
      <w:r>
        <w:rPr>
          <w:rFonts w:ascii="Verdana" w:hAnsi="Verdana"/>
          <w:i/>
          <w:sz w:val="16"/>
        </w:rPr>
        <w:t>Treasury</w:t>
      </w:r>
      <w:r>
        <w:rPr>
          <w:rFonts w:ascii="Verdana" w:hAnsi="Verdana"/>
          <w:i/>
          <w:spacing w:val="-14"/>
          <w:sz w:val="16"/>
        </w:rPr>
        <w:t> </w:t>
      </w:r>
      <w:r>
        <w:rPr>
          <w:sz w:val="16"/>
        </w:rPr>
        <w:t>[2021]</w:t>
      </w:r>
      <w:r>
        <w:rPr>
          <w:spacing w:val="-10"/>
          <w:sz w:val="16"/>
        </w:rPr>
        <w:t> </w:t>
      </w:r>
      <w:r>
        <w:rPr>
          <w:sz w:val="16"/>
        </w:rPr>
        <w:t>EWCA</w:t>
      </w:r>
      <w:r>
        <w:rPr>
          <w:spacing w:val="-8"/>
          <w:sz w:val="16"/>
        </w:rPr>
        <w:t> </w:t>
      </w:r>
      <w:r>
        <w:rPr>
          <w:sz w:val="16"/>
        </w:rPr>
        <w:t>Civ</w:t>
      </w:r>
      <w:r>
        <w:rPr>
          <w:spacing w:val="-8"/>
          <w:sz w:val="16"/>
        </w:rPr>
        <w:t> </w:t>
      </w:r>
      <w:r>
        <w:rPr>
          <w:sz w:val="16"/>
        </w:rPr>
        <w:t>1941,</w:t>
      </w:r>
      <w:r>
        <w:rPr>
          <w:spacing w:val="-9"/>
          <w:sz w:val="16"/>
        </w:rPr>
        <w:t> </w:t>
      </w:r>
      <w:r>
        <w:rPr>
          <w:sz w:val="16"/>
        </w:rPr>
        <w:t>para</w:t>
      </w:r>
      <w:r>
        <w:rPr>
          <w:spacing w:val="-8"/>
          <w:sz w:val="16"/>
        </w:rPr>
        <w:t> </w:t>
      </w:r>
      <w:r>
        <w:rPr>
          <w:spacing w:val="-5"/>
          <w:sz w:val="16"/>
        </w:rPr>
        <w:t>25.</w:t>
      </w:r>
    </w:p>
    <w:p>
      <w:pPr>
        <w:pStyle w:val="ListParagraph"/>
        <w:numPr>
          <w:ilvl w:val="0"/>
          <w:numId w:val="14"/>
        </w:numPr>
        <w:tabs>
          <w:tab w:pos="566" w:val="left" w:leader="none"/>
        </w:tabs>
        <w:spacing w:line="223" w:lineRule="exact" w:before="0" w:after="0"/>
        <w:ind w:left="566" w:right="0" w:hanging="453"/>
        <w:jc w:val="left"/>
        <w:rPr>
          <w:rFonts w:ascii="Arial"/>
          <w:sz w:val="16"/>
        </w:rPr>
      </w:pPr>
      <w:r>
        <w:rPr>
          <w:rFonts w:ascii="Verdana"/>
          <w:i/>
          <w:spacing w:val="-2"/>
          <w:sz w:val="16"/>
        </w:rPr>
        <w:t>Ibid</w:t>
      </w:r>
      <w:r>
        <w:rPr>
          <w:rFonts w:ascii="Arial"/>
          <w:spacing w:val="-2"/>
          <w:sz w:val="16"/>
        </w:rPr>
        <w:t>.</w:t>
      </w:r>
    </w:p>
    <w:p>
      <w:pPr>
        <w:spacing w:after="0" w:line="223" w:lineRule="exact"/>
        <w:jc w:val="left"/>
        <w:rPr>
          <w:rFonts w:ascii="Arial"/>
          <w:sz w:val="16"/>
        </w:rPr>
        <w:sectPr>
          <w:type w:val="continuous"/>
          <w:pgSz w:w="11910" w:h="16840"/>
          <w:pgMar w:header="568" w:footer="580" w:top="0" w:bottom="280" w:left="1020" w:right="1020"/>
        </w:sectPr>
      </w:pPr>
    </w:p>
    <w:p>
      <w:pPr>
        <w:pStyle w:val="BodyText"/>
        <w:ind w:left="0"/>
        <w:rPr>
          <w:sz w:val="20"/>
        </w:rPr>
      </w:pPr>
    </w:p>
    <w:p>
      <w:pPr>
        <w:pStyle w:val="BodyText"/>
        <w:ind w:left="0"/>
        <w:rPr>
          <w:sz w:val="20"/>
        </w:rPr>
      </w:pPr>
    </w:p>
    <w:p>
      <w:pPr>
        <w:pStyle w:val="BodyText"/>
        <w:spacing w:before="48"/>
        <w:ind w:left="0"/>
        <w:rPr>
          <w:sz w:val="20"/>
        </w:rPr>
      </w:pPr>
    </w:p>
    <w:p>
      <w:pPr>
        <w:spacing w:after="0"/>
        <w:rPr>
          <w:sz w:val="20"/>
        </w:rPr>
        <w:sectPr>
          <w:pgSz w:w="11910" w:h="16840"/>
          <w:pgMar w:header="568" w:footer="580" w:top="840" w:bottom="780" w:left="1020" w:right="1020"/>
        </w:sectPr>
      </w:pPr>
    </w:p>
    <w:p>
      <w:pPr>
        <w:pStyle w:val="BodyText"/>
        <w:spacing w:line="268" w:lineRule="auto" w:before="56"/>
      </w:pPr>
      <w:bookmarkStart w:name="b. Consistent interpretation of EU and i" w:id="76"/>
      <w:bookmarkEnd w:id="76"/>
      <w:r>
        <w:rPr/>
      </w:r>
      <w:bookmarkStart w:name="_bookmark32" w:id="77"/>
      <w:bookmarkEnd w:id="77"/>
      <w:r>
        <w:rPr/>
      </w:r>
      <w:r>
        <w:rPr/>
        <w:t>While both </w:t>
      </w:r>
      <w:r>
        <w:rPr>
          <w:rFonts w:ascii="Verdana"/>
          <w:i/>
        </w:rPr>
        <w:t>Beattie </w:t>
      </w:r>
      <w:r>
        <w:rPr/>
        <w:t>and </w:t>
      </w:r>
      <w:r>
        <w:rPr>
          <w:rFonts w:ascii="Verdana"/>
          <w:i/>
        </w:rPr>
        <w:t>Jersey Choice</w:t>
      </w:r>
      <w:r>
        <w:rPr>
          <w:rFonts w:ascii="Verdana"/>
          <w:i/>
        </w:rPr>
        <w:t> </w:t>
      </w:r>
      <w:r>
        <w:rPr>
          <w:spacing w:val="-2"/>
          <w:w w:val="115"/>
        </w:rPr>
        <w:t>concerned</w:t>
      </w:r>
      <w:r>
        <w:rPr>
          <w:spacing w:val="-18"/>
          <w:w w:val="115"/>
        </w:rPr>
        <w:t> </w:t>
      </w:r>
      <w:r>
        <w:rPr>
          <w:spacing w:val="-2"/>
          <w:w w:val="115"/>
        </w:rPr>
        <w:t>a</w:t>
      </w:r>
      <w:r>
        <w:rPr>
          <w:spacing w:val="-17"/>
          <w:w w:val="115"/>
        </w:rPr>
        <w:t> </w:t>
      </w:r>
      <w:r>
        <w:rPr>
          <w:spacing w:val="-2"/>
          <w:w w:val="115"/>
        </w:rPr>
        <w:t>situation</w:t>
      </w:r>
      <w:r>
        <w:rPr>
          <w:spacing w:val="-17"/>
          <w:w w:val="115"/>
        </w:rPr>
        <w:t> </w:t>
      </w:r>
      <w:r>
        <w:rPr>
          <w:spacing w:val="-2"/>
          <w:w w:val="115"/>
        </w:rPr>
        <w:t>in</w:t>
      </w:r>
      <w:r>
        <w:rPr>
          <w:spacing w:val="-17"/>
          <w:w w:val="115"/>
        </w:rPr>
        <w:t> </w:t>
      </w:r>
      <w:r>
        <w:rPr>
          <w:spacing w:val="-2"/>
          <w:w w:val="115"/>
        </w:rPr>
        <w:t>which</w:t>
      </w:r>
      <w:r>
        <w:rPr>
          <w:spacing w:val="-17"/>
          <w:w w:val="115"/>
        </w:rPr>
        <w:t> </w:t>
      </w:r>
      <w:r>
        <w:rPr>
          <w:spacing w:val="-2"/>
          <w:w w:val="115"/>
        </w:rPr>
        <w:t>EU</w:t>
      </w:r>
      <w:r>
        <w:rPr>
          <w:spacing w:val="-18"/>
          <w:w w:val="115"/>
        </w:rPr>
        <w:t> </w:t>
      </w:r>
      <w:r>
        <w:rPr>
          <w:spacing w:val="-2"/>
          <w:w w:val="115"/>
        </w:rPr>
        <w:t>law </w:t>
      </w:r>
      <w:r>
        <w:rPr>
          <w:w w:val="115"/>
        </w:rPr>
        <w:t>applied because the proceedings or </w:t>
      </w:r>
      <w:r>
        <w:rPr>
          <w:w w:val="110"/>
        </w:rPr>
        <w:t>challenged act, respectively, predated </w:t>
      </w:r>
      <w:r>
        <w:rPr>
          <w:w w:val="115"/>
        </w:rPr>
        <w:t>the end of the implementation</w:t>
      </w:r>
    </w:p>
    <w:p>
      <w:pPr>
        <w:pStyle w:val="BodyText"/>
        <w:spacing w:line="201" w:lineRule="auto" w:before="6"/>
        <w:rPr>
          <w:rFonts w:ascii="Lucida Sans Unicode"/>
        </w:rPr>
      </w:pPr>
      <w:r>
        <w:rPr>
          <w:rFonts w:ascii="Lucida Sans Unicode"/>
        </w:rPr>
        <w:t>period (i.e. they occurred before 31 December 2020), they provide </w:t>
      </w:r>
      <w:r>
        <w:rPr>
          <w:rFonts w:ascii="Lucida Sans Unicode"/>
        </w:rPr>
        <w:t>useful analogies with the Article 4 WA</w:t>
      </w:r>
    </w:p>
    <w:p>
      <w:pPr>
        <w:pStyle w:val="BodyText"/>
        <w:spacing w:line="317" w:lineRule="exact"/>
      </w:pPr>
      <w:r>
        <w:rPr>
          <w:w w:val="105"/>
        </w:rPr>
        <w:t>and</w:t>
      </w:r>
      <w:r>
        <w:rPr>
          <w:spacing w:val="-10"/>
          <w:w w:val="105"/>
        </w:rPr>
        <w:t> </w:t>
      </w:r>
      <w:r>
        <w:rPr>
          <w:w w:val="105"/>
        </w:rPr>
        <w:t>Annex</w:t>
      </w:r>
      <w:r>
        <w:rPr>
          <w:spacing w:val="-9"/>
          <w:w w:val="105"/>
        </w:rPr>
        <w:t> </w:t>
      </w:r>
      <w:r>
        <w:rPr>
          <w:w w:val="105"/>
        </w:rPr>
        <w:t>1</w:t>
      </w:r>
      <w:r>
        <w:rPr>
          <w:rFonts w:ascii="Lucida Sans Unicode"/>
          <w:w w:val="105"/>
          <w:vertAlign w:val="superscript"/>
        </w:rPr>
        <w:t>286</w:t>
      </w:r>
      <w:r>
        <w:rPr>
          <w:rFonts w:ascii="Lucida Sans Unicode"/>
          <w:spacing w:val="-18"/>
          <w:w w:val="105"/>
          <w:vertAlign w:val="baseline"/>
        </w:rPr>
        <w:t> </w:t>
      </w:r>
      <w:r>
        <w:rPr>
          <w:w w:val="105"/>
          <w:vertAlign w:val="baseline"/>
        </w:rPr>
        <w:t>measures,</w:t>
      </w:r>
      <w:r>
        <w:rPr>
          <w:spacing w:val="-9"/>
          <w:w w:val="105"/>
          <w:vertAlign w:val="baseline"/>
        </w:rPr>
        <w:t> </w:t>
      </w:r>
      <w:r>
        <w:rPr>
          <w:spacing w:val="-2"/>
          <w:w w:val="105"/>
          <w:vertAlign w:val="baseline"/>
        </w:rPr>
        <w:t>because</w:t>
      </w:r>
    </w:p>
    <w:p>
      <w:pPr>
        <w:pStyle w:val="BodyText"/>
        <w:spacing w:line="268" w:lineRule="auto"/>
      </w:pPr>
      <w:r>
        <w:rPr>
          <w:w w:val="115"/>
        </w:rPr>
        <w:t>they show that domestic courts will continue to treat situations governed by</w:t>
      </w:r>
      <w:r>
        <w:rPr>
          <w:spacing w:val="-3"/>
          <w:w w:val="115"/>
        </w:rPr>
        <w:t> </w:t>
      </w:r>
      <w:r>
        <w:rPr>
          <w:w w:val="115"/>
        </w:rPr>
        <w:t>EU</w:t>
      </w:r>
      <w:r>
        <w:rPr>
          <w:spacing w:val="-3"/>
          <w:w w:val="115"/>
        </w:rPr>
        <w:t> </w:t>
      </w:r>
      <w:r>
        <w:rPr>
          <w:w w:val="115"/>
        </w:rPr>
        <w:t>law</w:t>
      </w:r>
      <w:r>
        <w:rPr>
          <w:spacing w:val="-3"/>
          <w:w w:val="115"/>
        </w:rPr>
        <w:t> </w:t>
      </w:r>
      <w:r>
        <w:rPr>
          <w:w w:val="115"/>
        </w:rPr>
        <w:t>in</w:t>
      </w:r>
      <w:r>
        <w:rPr>
          <w:spacing w:val="-3"/>
          <w:w w:val="115"/>
        </w:rPr>
        <w:t> </w:t>
      </w:r>
      <w:r>
        <w:rPr>
          <w:w w:val="115"/>
        </w:rPr>
        <w:t>the</w:t>
      </w:r>
      <w:r>
        <w:rPr>
          <w:spacing w:val="-3"/>
          <w:w w:val="115"/>
        </w:rPr>
        <w:t> </w:t>
      </w:r>
      <w:r>
        <w:rPr>
          <w:w w:val="115"/>
        </w:rPr>
        <w:t>same</w:t>
      </w:r>
      <w:r>
        <w:rPr>
          <w:spacing w:val="-3"/>
          <w:w w:val="115"/>
        </w:rPr>
        <w:t> </w:t>
      </w:r>
      <w:r>
        <w:rPr>
          <w:w w:val="115"/>
        </w:rPr>
        <w:t>way</w:t>
      </w:r>
      <w:r>
        <w:rPr>
          <w:spacing w:val="-3"/>
          <w:w w:val="115"/>
        </w:rPr>
        <w:t> </w:t>
      </w:r>
      <w:r>
        <w:rPr>
          <w:w w:val="115"/>
        </w:rPr>
        <w:t>as</w:t>
      </w:r>
      <w:r>
        <w:rPr>
          <w:spacing w:val="-3"/>
          <w:w w:val="115"/>
        </w:rPr>
        <w:t> </w:t>
      </w:r>
      <w:r>
        <w:rPr>
          <w:w w:val="115"/>
        </w:rPr>
        <w:t>they would have done before Brexit, and that the remedies of disapplication and state liability remain relevant thereto.</w:t>
      </w:r>
      <w:r>
        <w:rPr>
          <w:spacing w:val="-6"/>
          <w:w w:val="115"/>
        </w:rPr>
        <w:t> </w:t>
      </w:r>
      <w:r>
        <w:rPr>
          <w:w w:val="115"/>
        </w:rPr>
        <w:t>Moreover,</w:t>
      </w:r>
      <w:r>
        <w:rPr>
          <w:spacing w:val="-6"/>
          <w:w w:val="115"/>
        </w:rPr>
        <w:t> </w:t>
      </w:r>
      <w:r>
        <w:rPr>
          <w:w w:val="115"/>
        </w:rPr>
        <w:t>the</w:t>
      </w:r>
      <w:r>
        <w:rPr>
          <w:spacing w:val="-6"/>
          <w:w w:val="115"/>
        </w:rPr>
        <w:t> </w:t>
      </w:r>
      <w:r>
        <w:rPr>
          <w:w w:val="115"/>
        </w:rPr>
        <w:t>applicability</w:t>
      </w:r>
      <w:r>
        <w:rPr>
          <w:spacing w:val="-6"/>
          <w:w w:val="115"/>
        </w:rPr>
        <w:t> </w:t>
      </w:r>
      <w:r>
        <w:rPr>
          <w:w w:val="115"/>
        </w:rPr>
        <w:t>of the</w:t>
      </w:r>
      <w:r>
        <w:rPr>
          <w:spacing w:val="-11"/>
          <w:w w:val="115"/>
        </w:rPr>
        <w:t> </w:t>
      </w:r>
      <w:r>
        <w:rPr>
          <w:w w:val="115"/>
        </w:rPr>
        <w:t>Charter</w:t>
      </w:r>
      <w:r>
        <w:rPr>
          <w:spacing w:val="-11"/>
          <w:w w:val="115"/>
        </w:rPr>
        <w:t> </w:t>
      </w:r>
      <w:r>
        <w:rPr>
          <w:w w:val="115"/>
        </w:rPr>
        <w:t>and,</w:t>
      </w:r>
      <w:r>
        <w:rPr>
          <w:spacing w:val="-11"/>
          <w:w w:val="115"/>
        </w:rPr>
        <w:t> </w:t>
      </w:r>
      <w:r>
        <w:rPr>
          <w:w w:val="115"/>
        </w:rPr>
        <w:t>with</w:t>
      </w:r>
      <w:r>
        <w:rPr>
          <w:spacing w:val="-11"/>
          <w:w w:val="115"/>
        </w:rPr>
        <w:t> </w:t>
      </w:r>
      <w:r>
        <w:rPr>
          <w:w w:val="115"/>
        </w:rPr>
        <w:t>it,</w:t>
      </w:r>
      <w:r>
        <w:rPr>
          <w:spacing w:val="-11"/>
          <w:w w:val="115"/>
        </w:rPr>
        <w:t> </w:t>
      </w:r>
      <w:r>
        <w:rPr>
          <w:w w:val="115"/>
        </w:rPr>
        <w:t>the</w:t>
      </w:r>
      <w:r>
        <w:rPr>
          <w:spacing w:val="-11"/>
          <w:w w:val="115"/>
        </w:rPr>
        <w:t> </w:t>
      </w:r>
      <w:r>
        <w:rPr>
          <w:spacing w:val="-2"/>
          <w:w w:val="115"/>
        </w:rPr>
        <w:t>possibility</w:t>
      </w:r>
    </w:p>
    <w:p>
      <w:pPr>
        <w:pStyle w:val="BodyText"/>
        <w:spacing w:line="328" w:lineRule="exact"/>
        <w:rPr>
          <w:rFonts w:ascii="Lucida Sans Unicode"/>
        </w:rPr>
      </w:pPr>
      <w:r>
        <w:rPr>
          <w:rFonts w:ascii="Lucida Sans Unicode"/>
        </w:rPr>
        <w:t>of</w:t>
      </w:r>
      <w:r>
        <w:rPr>
          <w:rFonts w:ascii="Lucida Sans Unicode"/>
          <w:spacing w:val="6"/>
        </w:rPr>
        <w:t> </w:t>
      </w:r>
      <w:r>
        <w:rPr>
          <w:rFonts w:ascii="Lucida Sans Unicode"/>
        </w:rPr>
        <w:t>disapplication,</w:t>
      </w:r>
      <w:r>
        <w:rPr>
          <w:rFonts w:ascii="Lucida Sans Unicode"/>
          <w:spacing w:val="6"/>
        </w:rPr>
        <w:t> </w:t>
      </w:r>
      <w:r>
        <w:rPr>
          <w:rFonts w:ascii="Lucida Sans Unicode"/>
        </w:rPr>
        <w:t>was</w:t>
      </w:r>
      <w:r>
        <w:rPr>
          <w:rFonts w:ascii="Lucida Sans Unicode"/>
          <w:spacing w:val="6"/>
        </w:rPr>
        <w:t> </w:t>
      </w:r>
      <w:r>
        <w:rPr>
          <w:rFonts w:ascii="Lucida Sans Unicode"/>
        </w:rPr>
        <w:t>also</w:t>
      </w:r>
      <w:r>
        <w:rPr>
          <w:rFonts w:ascii="Lucida Sans Unicode"/>
          <w:spacing w:val="6"/>
        </w:rPr>
        <w:t> </w:t>
      </w:r>
      <w:r>
        <w:rPr>
          <w:rFonts w:ascii="Lucida Sans Unicode"/>
          <w:spacing w:val="-2"/>
        </w:rPr>
        <w:t>confirmed</w:t>
      </w:r>
    </w:p>
    <w:p>
      <w:pPr>
        <w:pStyle w:val="BodyText"/>
        <w:spacing w:line="247" w:lineRule="auto"/>
        <w:ind w:right="116"/>
      </w:pPr>
      <w:r>
        <w:rPr>
          <w:w w:val="110"/>
        </w:rPr>
        <w:t>in the judgment of the Court of</w:t>
      </w:r>
      <w:r>
        <w:rPr>
          <w:spacing w:val="80"/>
          <w:w w:val="110"/>
        </w:rPr>
        <w:t> </w:t>
      </w:r>
      <w:r>
        <w:rPr>
          <w:w w:val="110"/>
        </w:rPr>
        <w:t>Appeal</w:t>
      </w:r>
      <w:r>
        <w:rPr>
          <w:spacing w:val="-15"/>
          <w:w w:val="110"/>
        </w:rPr>
        <w:t> </w:t>
      </w:r>
      <w:r>
        <w:rPr>
          <w:w w:val="110"/>
        </w:rPr>
        <w:t>of</w:t>
      </w:r>
      <w:r>
        <w:rPr>
          <w:spacing w:val="-15"/>
          <w:w w:val="110"/>
        </w:rPr>
        <w:t> </w:t>
      </w:r>
      <w:r>
        <w:rPr>
          <w:w w:val="110"/>
        </w:rPr>
        <w:t>England</w:t>
      </w:r>
      <w:r>
        <w:rPr>
          <w:spacing w:val="-15"/>
          <w:w w:val="110"/>
        </w:rPr>
        <w:t> </w:t>
      </w:r>
      <w:r>
        <w:rPr>
          <w:w w:val="110"/>
        </w:rPr>
        <w:t>and</w:t>
      </w:r>
      <w:r>
        <w:rPr>
          <w:spacing w:val="-15"/>
          <w:w w:val="110"/>
        </w:rPr>
        <w:t> </w:t>
      </w:r>
      <w:r>
        <w:rPr>
          <w:w w:val="110"/>
        </w:rPr>
        <w:t>Wales</w:t>
      </w:r>
      <w:r>
        <w:rPr>
          <w:spacing w:val="-15"/>
          <w:w w:val="110"/>
        </w:rPr>
        <w:t> </w:t>
      </w:r>
      <w:r>
        <w:rPr>
          <w:w w:val="110"/>
        </w:rPr>
        <w:t>in</w:t>
      </w:r>
      <w:r>
        <w:rPr>
          <w:spacing w:val="-15"/>
          <w:w w:val="110"/>
        </w:rPr>
        <w:t> </w:t>
      </w:r>
      <w:r>
        <w:rPr>
          <w:rFonts w:ascii="Verdana" w:hAnsi="Verdana"/>
          <w:i/>
          <w:w w:val="110"/>
        </w:rPr>
        <w:t>AT</w:t>
      </w:r>
      <w:r>
        <w:rPr>
          <w:rFonts w:ascii="Verdana" w:hAnsi="Verdana"/>
          <w:i/>
          <w:w w:val="110"/>
          <w:vertAlign w:val="superscript"/>
        </w:rPr>
        <w:t>287</w:t>
      </w:r>
      <w:r>
        <w:rPr>
          <w:rFonts w:ascii="Verdana" w:hAnsi="Verdana"/>
          <w:i/>
          <w:w w:val="110"/>
          <w:vertAlign w:val="baseline"/>
        </w:rPr>
        <w:t> </w:t>
      </w:r>
      <w:r>
        <w:rPr>
          <w:w w:val="110"/>
          <w:vertAlign w:val="baseline"/>
        </w:rPr>
        <w:t>– a case that interprets the use of the </w:t>
      </w:r>
      <w:r>
        <w:rPr>
          <w:rFonts w:ascii="Lucida Sans Unicode" w:hAnsi="Lucida Sans Unicode"/>
          <w:w w:val="110"/>
          <w:vertAlign w:val="baseline"/>
        </w:rPr>
        <w:t>Charter</w:t>
      </w:r>
      <w:r>
        <w:rPr>
          <w:rFonts w:ascii="Lucida Sans Unicode" w:hAnsi="Lucida Sans Unicode"/>
          <w:spacing w:val="-21"/>
          <w:w w:val="110"/>
          <w:vertAlign w:val="baseline"/>
        </w:rPr>
        <w:t> </w:t>
      </w:r>
      <w:r>
        <w:rPr>
          <w:rFonts w:ascii="Lucida Sans Unicode" w:hAnsi="Lucida Sans Unicode"/>
          <w:w w:val="110"/>
          <w:vertAlign w:val="baseline"/>
        </w:rPr>
        <w:t>in</w:t>
      </w:r>
      <w:r>
        <w:rPr>
          <w:rFonts w:ascii="Lucida Sans Unicode" w:hAnsi="Lucida Sans Unicode"/>
          <w:spacing w:val="-21"/>
          <w:w w:val="110"/>
          <w:vertAlign w:val="baseline"/>
        </w:rPr>
        <w:t> </w:t>
      </w:r>
      <w:r>
        <w:rPr>
          <w:rFonts w:ascii="Lucida Sans Unicode" w:hAnsi="Lucida Sans Unicode"/>
          <w:w w:val="110"/>
          <w:vertAlign w:val="baseline"/>
        </w:rPr>
        <w:t>the</w:t>
      </w:r>
      <w:r>
        <w:rPr>
          <w:rFonts w:ascii="Lucida Sans Unicode" w:hAnsi="Lucida Sans Unicode"/>
          <w:spacing w:val="-21"/>
          <w:w w:val="110"/>
          <w:vertAlign w:val="baseline"/>
        </w:rPr>
        <w:t> </w:t>
      </w:r>
      <w:r>
        <w:rPr>
          <w:rFonts w:ascii="Lucida Sans Unicode" w:hAnsi="Lucida Sans Unicode"/>
          <w:w w:val="110"/>
          <w:vertAlign w:val="baseline"/>
        </w:rPr>
        <w:t>context</w:t>
      </w:r>
      <w:r>
        <w:rPr>
          <w:rFonts w:ascii="Lucida Sans Unicode" w:hAnsi="Lucida Sans Unicode"/>
          <w:spacing w:val="-21"/>
          <w:w w:val="110"/>
          <w:vertAlign w:val="baseline"/>
        </w:rPr>
        <w:t> </w:t>
      </w:r>
      <w:r>
        <w:rPr>
          <w:rFonts w:ascii="Lucida Sans Unicode" w:hAnsi="Lucida Sans Unicode"/>
          <w:w w:val="110"/>
          <w:vertAlign w:val="baseline"/>
        </w:rPr>
        <w:t>of</w:t>
      </w:r>
      <w:r>
        <w:rPr>
          <w:rFonts w:ascii="Lucida Sans Unicode" w:hAnsi="Lucida Sans Unicode"/>
          <w:spacing w:val="-21"/>
          <w:w w:val="110"/>
          <w:vertAlign w:val="baseline"/>
        </w:rPr>
        <w:t> </w:t>
      </w:r>
      <w:r>
        <w:rPr>
          <w:rFonts w:ascii="Lucida Sans Unicode" w:hAnsi="Lucida Sans Unicode"/>
          <w:w w:val="110"/>
          <w:vertAlign w:val="baseline"/>
        </w:rPr>
        <w:t>Article</w:t>
      </w:r>
      <w:r>
        <w:rPr>
          <w:rFonts w:ascii="Lucida Sans Unicode" w:hAnsi="Lucida Sans Unicode"/>
          <w:spacing w:val="-21"/>
          <w:w w:val="110"/>
          <w:vertAlign w:val="baseline"/>
        </w:rPr>
        <w:t> </w:t>
      </w:r>
      <w:r>
        <w:rPr>
          <w:rFonts w:ascii="Lucida Sans Unicode" w:hAnsi="Lucida Sans Unicode"/>
          <w:w w:val="110"/>
          <w:vertAlign w:val="baseline"/>
        </w:rPr>
        <w:t>4 </w:t>
      </w:r>
      <w:r>
        <w:rPr>
          <w:w w:val="110"/>
          <w:vertAlign w:val="baseline"/>
        </w:rPr>
        <w:t>WA after the end of the transitional</w:t>
      </w:r>
    </w:p>
    <w:p>
      <w:pPr>
        <w:pStyle w:val="BodyText"/>
        <w:spacing w:line="268" w:lineRule="auto"/>
        <w:ind w:right="116"/>
      </w:pPr>
      <w:r>
        <w:rPr>
          <w:w w:val="115"/>
        </w:rPr>
        <w:t>period,</w:t>
      </w:r>
      <w:r>
        <w:rPr>
          <w:spacing w:val="-17"/>
          <w:w w:val="115"/>
        </w:rPr>
        <w:t> </w:t>
      </w:r>
      <w:r>
        <w:rPr>
          <w:w w:val="115"/>
        </w:rPr>
        <w:t>which</w:t>
      </w:r>
      <w:r>
        <w:rPr>
          <w:spacing w:val="-17"/>
          <w:w w:val="115"/>
        </w:rPr>
        <w:t> </w:t>
      </w:r>
      <w:r>
        <w:rPr>
          <w:w w:val="115"/>
        </w:rPr>
        <w:t>further</w:t>
      </w:r>
      <w:r>
        <w:rPr>
          <w:spacing w:val="-17"/>
          <w:w w:val="115"/>
        </w:rPr>
        <w:t> </w:t>
      </w:r>
      <w:r>
        <w:rPr>
          <w:w w:val="115"/>
        </w:rPr>
        <w:t>supports</w:t>
      </w:r>
      <w:r>
        <w:rPr>
          <w:spacing w:val="-17"/>
          <w:w w:val="115"/>
        </w:rPr>
        <w:t> </w:t>
      </w:r>
      <w:r>
        <w:rPr>
          <w:w w:val="115"/>
        </w:rPr>
        <w:t>a broad view of its applicability.</w:t>
      </w:r>
    </w:p>
    <w:p>
      <w:pPr>
        <w:pStyle w:val="BodyText"/>
        <w:spacing w:line="310" w:lineRule="exact" w:before="275"/>
        <w:ind w:right="279"/>
        <w:rPr>
          <w:rFonts w:ascii="Lucida Sans Unicode"/>
        </w:rPr>
      </w:pPr>
      <w:r>
        <w:rPr>
          <w:w w:val="110"/>
        </w:rPr>
        <w:t>That case concerned the disbursement of Universal Credit to a destitute EU national who </w:t>
      </w:r>
      <w:r>
        <w:rPr>
          <w:w w:val="110"/>
        </w:rPr>
        <w:t>enjoyed pre-settled status and was covered </w:t>
      </w:r>
      <w:r>
        <w:rPr>
          <w:rFonts w:ascii="Lucida Sans Unicode"/>
          <w:w w:val="110"/>
        </w:rPr>
        <w:t>by</w:t>
      </w:r>
      <w:r>
        <w:rPr>
          <w:rFonts w:ascii="Lucida Sans Unicode"/>
          <w:spacing w:val="-21"/>
          <w:w w:val="110"/>
        </w:rPr>
        <w:t> </w:t>
      </w:r>
      <w:r>
        <w:rPr>
          <w:rFonts w:ascii="Lucida Sans Unicode"/>
          <w:w w:val="110"/>
        </w:rPr>
        <w:t>the</w:t>
      </w:r>
      <w:r>
        <w:rPr>
          <w:rFonts w:ascii="Lucida Sans Unicode"/>
          <w:spacing w:val="-21"/>
          <w:w w:val="110"/>
        </w:rPr>
        <w:t> </w:t>
      </w:r>
      <w:r>
        <w:rPr>
          <w:rFonts w:ascii="Lucida Sans Unicode"/>
          <w:w w:val="110"/>
        </w:rPr>
        <w:t>terms</w:t>
      </w:r>
      <w:r>
        <w:rPr>
          <w:rFonts w:ascii="Lucida Sans Unicode"/>
          <w:spacing w:val="-21"/>
          <w:w w:val="110"/>
        </w:rPr>
        <w:t> </w:t>
      </w:r>
      <w:r>
        <w:rPr>
          <w:rFonts w:ascii="Lucida Sans Unicode"/>
          <w:w w:val="110"/>
        </w:rPr>
        <w:t>of</w:t>
      </w:r>
      <w:r>
        <w:rPr>
          <w:rFonts w:ascii="Lucida Sans Unicode"/>
          <w:spacing w:val="-21"/>
          <w:w w:val="110"/>
        </w:rPr>
        <w:t> </w:t>
      </w:r>
      <w:r>
        <w:rPr>
          <w:rFonts w:ascii="Lucida Sans Unicode"/>
          <w:w w:val="110"/>
        </w:rPr>
        <w:t>Article</w:t>
      </w:r>
      <w:r>
        <w:rPr>
          <w:rFonts w:ascii="Lucida Sans Unicode"/>
          <w:spacing w:val="-21"/>
          <w:w w:val="110"/>
        </w:rPr>
        <w:t> </w:t>
      </w:r>
      <w:r>
        <w:rPr>
          <w:rFonts w:ascii="Lucida Sans Unicode"/>
          <w:w w:val="105"/>
        </w:rPr>
        <w:t>13</w:t>
      </w:r>
      <w:r>
        <w:rPr>
          <w:rFonts w:ascii="Lucida Sans Unicode"/>
          <w:spacing w:val="-20"/>
          <w:w w:val="105"/>
        </w:rPr>
        <w:t> </w:t>
      </w:r>
      <w:r>
        <w:rPr>
          <w:rFonts w:ascii="Lucida Sans Unicode"/>
          <w:w w:val="110"/>
        </w:rPr>
        <w:t>WA.</w:t>
      </w:r>
    </w:p>
    <w:p>
      <w:pPr>
        <w:pStyle w:val="BodyText"/>
        <w:spacing w:line="310" w:lineRule="exact"/>
        <w:ind w:right="282"/>
      </w:pPr>
      <w:r>
        <w:rPr>
          <w:w w:val="115"/>
        </w:rPr>
        <w:t>The court found that the Charter applied</w:t>
      </w:r>
      <w:r>
        <w:rPr>
          <w:spacing w:val="-11"/>
          <w:w w:val="115"/>
        </w:rPr>
        <w:t> </w:t>
      </w:r>
      <w:r>
        <w:rPr>
          <w:w w:val="115"/>
        </w:rPr>
        <w:t>and</w:t>
      </w:r>
      <w:r>
        <w:rPr>
          <w:spacing w:val="-11"/>
          <w:w w:val="115"/>
        </w:rPr>
        <w:t> </w:t>
      </w:r>
      <w:r>
        <w:rPr>
          <w:w w:val="115"/>
        </w:rPr>
        <w:t>should</w:t>
      </w:r>
      <w:r>
        <w:rPr>
          <w:spacing w:val="-11"/>
          <w:w w:val="115"/>
        </w:rPr>
        <w:t> </w:t>
      </w:r>
      <w:r>
        <w:rPr>
          <w:w w:val="115"/>
        </w:rPr>
        <w:t>be</w:t>
      </w:r>
      <w:r>
        <w:rPr>
          <w:spacing w:val="-11"/>
          <w:w w:val="115"/>
        </w:rPr>
        <w:t> </w:t>
      </w:r>
      <w:r>
        <w:rPr>
          <w:w w:val="115"/>
        </w:rPr>
        <w:t>assessed</w:t>
      </w:r>
      <w:r>
        <w:rPr>
          <w:spacing w:val="-11"/>
          <w:w w:val="115"/>
        </w:rPr>
        <w:t> </w:t>
      </w:r>
      <w:r>
        <w:rPr>
          <w:w w:val="115"/>
        </w:rPr>
        <w:t>as</w:t>
      </w:r>
      <w:r>
        <w:rPr>
          <w:w w:val="115"/>
        </w:rPr>
        <w:t> </w:t>
      </w:r>
      <w:r>
        <w:rPr>
          <w:w w:val="110"/>
        </w:rPr>
        <w:t>a</w:t>
      </w:r>
      <w:r>
        <w:rPr>
          <w:spacing w:val="-10"/>
          <w:w w:val="110"/>
        </w:rPr>
        <w:t> </w:t>
      </w:r>
      <w:r>
        <w:rPr>
          <w:w w:val="110"/>
        </w:rPr>
        <w:t>‘standalone</w:t>
      </w:r>
      <w:r>
        <w:rPr>
          <w:spacing w:val="-10"/>
          <w:w w:val="110"/>
        </w:rPr>
        <w:t> </w:t>
      </w:r>
      <w:r>
        <w:rPr>
          <w:w w:val="110"/>
        </w:rPr>
        <w:t>ground’,</w:t>
      </w:r>
      <w:r>
        <w:rPr>
          <w:rFonts w:ascii="Lucida Sans Unicode" w:hAnsi="Lucida Sans Unicode"/>
          <w:w w:val="110"/>
          <w:vertAlign w:val="superscript"/>
        </w:rPr>
        <w:t>288</w:t>
      </w:r>
      <w:r>
        <w:rPr>
          <w:rFonts w:ascii="Lucida Sans Unicode" w:hAnsi="Lucida Sans Unicode"/>
          <w:spacing w:val="-20"/>
          <w:w w:val="110"/>
          <w:vertAlign w:val="baseline"/>
        </w:rPr>
        <w:t> </w:t>
      </w:r>
      <w:r>
        <w:rPr>
          <w:w w:val="110"/>
          <w:vertAlign w:val="baseline"/>
        </w:rPr>
        <w:t>despite</w:t>
      </w:r>
      <w:r>
        <w:rPr>
          <w:spacing w:val="-10"/>
          <w:w w:val="110"/>
          <w:vertAlign w:val="baseline"/>
        </w:rPr>
        <w:t> </w:t>
      </w:r>
      <w:r>
        <w:rPr>
          <w:w w:val="110"/>
          <w:vertAlign w:val="baseline"/>
        </w:rPr>
        <w:t>the </w:t>
      </w:r>
      <w:r>
        <w:rPr>
          <w:w w:val="115"/>
          <w:vertAlign w:val="baseline"/>
        </w:rPr>
        <w:t>fact</w:t>
      </w:r>
      <w:r>
        <w:rPr>
          <w:spacing w:val="-3"/>
          <w:w w:val="115"/>
          <w:vertAlign w:val="baseline"/>
        </w:rPr>
        <w:t> </w:t>
      </w:r>
      <w:r>
        <w:rPr>
          <w:w w:val="115"/>
          <w:vertAlign w:val="baseline"/>
        </w:rPr>
        <w:t>that</w:t>
      </w:r>
      <w:r>
        <w:rPr>
          <w:spacing w:val="-3"/>
          <w:w w:val="115"/>
          <w:vertAlign w:val="baseline"/>
        </w:rPr>
        <w:t> </w:t>
      </w:r>
      <w:r>
        <w:rPr>
          <w:w w:val="115"/>
          <w:vertAlign w:val="baseline"/>
        </w:rPr>
        <w:t>the</w:t>
      </w:r>
      <w:r>
        <w:rPr>
          <w:spacing w:val="-3"/>
          <w:w w:val="115"/>
          <w:vertAlign w:val="baseline"/>
        </w:rPr>
        <w:t> </w:t>
      </w:r>
      <w:r>
        <w:rPr>
          <w:w w:val="115"/>
          <w:vertAlign w:val="baseline"/>
        </w:rPr>
        <w:t>ECHR</w:t>
      </w:r>
      <w:r>
        <w:rPr>
          <w:spacing w:val="-3"/>
          <w:w w:val="115"/>
          <w:vertAlign w:val="baseline"/>
        </w:rPr>
        <w:t> </w:t>
      </w:r>
      <w:r>
        <w:rPr>
          <w:w w:val="115"/>
          <w:vertAlign w:val="baseline"/>
        </w:rPr>
        <w:t>may</w:t>
      </w:r>
      <w:r>
        <w:rPr>
          <w:spacing w:val="-3"/>
          <w:w w:val="115"/>
          <w:vertAlign w:val="baseline"/>
        </w:rPr>
        <w:t> </w:t>
      </w:r>
      <w:r>
        <w:rPr>
          <w:w w:val="115"/>
          <w:vertAlign w:val="baseline"/>
        </w:rPr>
        <w:t>also</w:t>
      </w:r>
      <w:r>
        <w:rPr>
          <w:spacing w:val="-3"/>
          <w:w w:val="115"/>
          <w:vertAlign w:val="baseline"/>
        </w:rPr>
        <w:t> </w:t>
      </w:r>
      <w:r>
        <w:rPr>
          <w:w w:val="115"/>
          <w:vertAlign w:val="baseline"/>
        </w:rPr>
        <w:t>have been relevant to the applicant’s</w:t>
      </w:r>
    </w:p>
    <w:p>
      <w:pPr>
        <w:pStyle w:val="BodyText"/>
        <w:spacing w:line="220" w:lineRule="auto" w:before="6"/>
        <w:ind w:right="210"/>
      </w:pPr>
      <w:r>
        <w:rPr>
          <w:rFonts w:ascii="Lucida Sans Unicode"/>
        </w:rPr>
        <w:t>case. Moreover, the court specifically </w:t>
      </w:r>
      <w:r>
        <w:rPr>
          <w:w w:val="110"/>
        </w:rPr>
        <w:t>rejected the argument that, when </w:t>
      </w:r>
      <w:r>
        <w:rPr>
          <w:rFonts w:ascii="Lucida Sans Unicode"/>
          <w:spacing w:val="-2"/>
          <w:w w:val="110"/>
        </w:rPr>
        <w:t>invoked</w:t>
      </w:r>
      <w:r>
        <w:rPr>
          <w:rFonts w:ascii="Lucida Sans Unicode"/>
          <w:spacing w:val="-19"/>
          <w:w w:val="110"/>
        </w:rPr>
        <w:t> </w:t>
      </w:r>
      <w:r>
        <w:rPr>
          <w:rFonts w:ascii="Lucida Sans Unicode"/>
          <w:spacing w:val="-2"/>
          <w:w w:val="110"/>
        </w:rPr>
        <w:t>in</w:t>
      </w:r>
      <w:r>
        <w:rPr>
          <w:rFonts w:ascii="Lucida Sans Unicode"/>
          <w:spacing w:val="-19"/>
          <w:w w:val="110"/>
        </w:rPr>
        <w:t> </w:t>
      </w:r>
      <w:r>
        <w:rPr>
          <w:rFonts w:ascii="Lucida Sans Unicode"/>
          <w:spacing w:val="-2"/>
          <w:w w:val="110"/>
        </w:rPr>
        <w:t>the</w:t>
      </w:r>
      <w:r>
        <w:rPr>
          <w:rFonts w:ascii="Lucida Sans Unicode"/>
          <w:spacing w:val="-19"/>
          <w:w w:val="110"/>
        </w:rPr>
        <w:t> </w:t>
      </w:r>
      <w:r>
        <w:rPr>
          <w:rFonts w:ascii="Lucida Sans Unicode"/>
          <w:spacing w:val="-2"/>
          <w:w w:val="110"/>
        </w:rPr>
        <w:t>context</w:t>
      </w:r>
      <w:r>
        <w:rPr>
          <w:rFonts w:ascii="Lucida Sans Unicode"/>
          <w:spacing w:val="-19"/>
          <w:w w:val="110"/>
        </w:rPr>
        <w:t> </w:t>
      </w:r>
      <w:r>
        <w:rPr>
          <w:rFonts w:ascii="Lucida Sans Unicode"/>
          <w:spacing w:val="-2"/>
          <w:w w:val="110"/>
        </w:rPr>
        <w:t>of</w:t>
      </w:r>
      <w:r>
        <w:rPr>
          <w:rFonts w:ascii="Lucida Sans Unicode"/>
          <w:spacing w:val="-19"/>
          <w:w w:val="110"/>
        </w:rPr>
        <w:t> </w:t>
      </w:r>
      <w:r>
        <w:rPr>
          <w:rFonts w:ascii="Lucida Sans Unicode"/>
          <w:spacing w:val="-2"/>
          <w:w w:val="110"/>
        </w:rPr>
        <w:t>Article</w:t>
      </w:r>
      <w:r>
        <w:rPr>
          <w:rFonts w:ascii="Lucida Sans Unicode"/>
          <w:spacing w:val="-18"/>
          <w:w w:val="110"/>
        </w:rPr>
        <w:t> </w:t>
      </w:r>
      <w:r>
        <w:rPr>
          <w:rFonts w:ascii="Lucida Sans Unicode"/>
          <w:spacing w:val="-2"/>
          <w:w w:val="110"/>
        </w:rPr>
        <w:t>4 </w:t>
      </w:r>
      <w:r>
        <w:rPr>
          <w:rFonts w:ascii="Lucida Sans Unicode"/>
        </w:rPr>
        <w:t>WA, the Charter should be confined</w:t>
      </w:r>
      <w:r>
        <w:rPr>
          <w:rFonts w:ascii="Lucida Sans Unicode"/>
          <w:spacing w:val="40"/>
          <w:w w:val="110"/>
        </w:rPr>
        <w:t> </w:t>
      </w:r>
      <w:r>
        <w:rPr>
          <w:w w:val="110"/>
        </w:rPr>
        <w:t>to powers equivalent to those </w:t>
      </w:r>
      <w:r>
        <w:rPr>
          <w:w w:val="110"/>
        </w:rPr>
        <w:t>arising</w:t>
      </w:r>
    </w:p>
    <w:p>
      <w:pPr>
        <w:pStyle w:val="BodyText"/>
        <w:spacing w:line="310" w:lineRule="exact" w:before="49"/>
        <w:ind w:right="440"/>
      </w:pPr>
      <w:r>
        <w:rPr/>
        <w:br w:type="column"/>
      </w:r>
      <w:r>
        <w:rPr>
          <w:w w:val="110"/>
        </w:rPr>
        <w:t>under the HRA. On the contrary, </w:t>
      </w:r>
      <w:r>
        <w:rPr>
          <w:w w:val="110"/>
        </w:rPr>
        <w:t>the court highlighted that the Charter ‘confers direct effect upon litigants and</w:t>
      </w:r>
      <w:r>
        <w:rPr>
          <w:spacing w:val="40"/>
          <w:w w:val="110"/>
        </w:rPr>
        <w:t> </w:t>
      </w:r>
      <w:r>
        <w:rPr>
          <w:w w:val="110"/>
        </w:rPr>
        <w:t>a</w:t>
      </w:r>
      <w:r>
        <w:rPr>
          <w:spacing w:val="40"/>
          <w:w w:val="110"/>
        </w:rPr>
        <w:t> </w:t>
      </w:r>
      <w:r>
        <w:rPr>
          <w:w w:val="110"/>
        </w:rPr>
        <w:t>connected</w:t>
      </w:r>
      <w:r>
        <w:rPr>
          <w:spacing w:val="40"/>
          <w:w w:val="110"/>
        </w:rPr>
        <w:t> </w:t>
      </w:r>
      <w:r>
        <w:rPr>
          <w:w w:val="110"/>
        </w:rPr>
        <w:t>power</w:t>
      </w:r>
      <w:r>
        <w:rPr>
          <w:spacing w:val="40"/>
          <w:w w:val="110"/>
        </w:rPr>
        <w:t> </w:t>
      </w:r>
      <w:r>
        <w:rPr>
          <w:w w:val="110"/>
        </w:rPr>
        <w:t>and</w:t>
      </w:r>
      <w:r>
        <w:rPr>
          <w:spacing w:val="40"/>
          <w:w w:val="110"/>
        </w:rPr>
        <w:t> </w:t>
      </w:r>
      <w:r>
        <w:rPr>
          <w:w w:val="110"/>
        </w:rPr>
        <w:t>duty on national courts to disapply inconsistent domestic law, an important point emphasised in the Explanatory Notes accompanying </w:t>
      </w:r>
      <w:r>
        <w:rPr>
          <w:rFonts w:ascii="Lucida Sans Unicode" w:hAnsi="Lucida Sans Unicode"/>
          <w:w w:val="110"/>
        </w:rPr>
        <w:t>section</w:t>
      </w:r>
      <w:r>
        <w:rPr>
          <w:rFonts w:ascii="Lucida Sans Unicode" w:hAnsi="Lucida Sans Unicode"/>
          <w:spacing w:val="-21"/>
          <w:w w:val="110"/>
        </w:rPr>
        <w:t> </w:t>
      </w:r>
      <w:r>
        <w:rPr>
          <w:rFonts w:ascii="Lucida Sans Unicode" w:hAnsi="Lucida Sans Unicode"/>
          <w:w w:val="110"/>
        </w:rPr>
        <w:t>7A</w:t>
      </w:r>
      <w:r>
        <w:rPr>
          <w:rFonts w:ascii="Lucida Sans Unicode" w:hAnsi="Lucida Sans Unicode"/>
          <w:spacing w:val="-21"/>
          <w:w w:val="110"/>
        </w:rPr>
        <w:t> </w:t>
      </w:r>
      <w:r>
        <w:rPr>
          <w:rFonts w:ascii="Lucida Sans Unicode" w:hAnsi="Lucida Sans Unicode"/>
          <w:w w:val="110"/>
        </w:rPr>
        <w:t>EU(W)A</w:t>
      </w:r>
      <w:r>
        <w:rPr>
          <w:rFonts w:ascii="Lucida Sans Unicode" w:hAnsi="Lucida Sans Unicode"/>
          <w:spacing w:val="-21"/>
          <w:w w:val="110"/>
        </w:rPr>
        <w:t> </w:t>
      </w:r>
      <w:r>
        <w:rPr>
          <w:rFonts w:ascii="Lucida Sans Unicode" w:hAnsi="Lucida Sans Unicode"/>
          <w:w w:val="110"/>
        </w:rPr>
        <w:t>2018[…].</w:t>
      </w:r>
      <w:r>
        <w:rPr>
          <w:rFonts w:ascii="Lucida Sans Unicode" w:hAnsi="Lucida Sans Unicode"/>
          <w:spacing w:val="-21"/>
          <w:w w:val="110"/>
        </w:rPr>
        <w:t> </w:t>
      </w:r>
      <w:r>
        <w:rPr>
          <w:rFonts w:ascii="Lucida Sans Unicode" w:hAnsi="Lucida Sans Unicode"/>
          <w:w w:val="110"/>
        </w:rPr>
        <w:t>That </w:t>
      </w:r>
      <w:r>
        <w:rPr>
          <w:w w:val="110"/>
        </w:rPr>
        <w:t>potency is missing from the HRA</w:t>
      </w:r>
    </w:p>
    <w:p>
      <w:pPr>
        <w:pStyle w:val="BodyText"/>
        <w:spacing w:line="310" w:lineRule="exact"/>
        <w:ind w:right="156"/>
        <w:rPr>
          <w:rFonts w:ascii="Lucida Sans Unicode" w:hAnsi="Lucida Sans Unicode"/>
        </w:rPr>
      </w:pPr>
      <w:r>
        <w:rPr>
          <w:rFonts w:ascii="Lucida Sans Unicode" w:hAnsi="Lucida Sans Unicode"/>
        </w:rPr>
        <w:t>1998 when equivalent rights are being </w:t>
      </w:r>
      <w:r>
        <w:rPr>
          <w:w w:val="110"/>
        </w:rPr>
        <w:t>enforced where the remedies </w:t>
      </w:r>
      <w:r>
        <w:rPr>
          <w:w w:val="110"/>
        </w:rPr>
        <w:t>available to a court do not stretch to the power</w:t>
      </w:r>
      <w:r>
        <w:rPr>
          <w:spacing w:val="80"/>
          <w:w w:val="110"/>
        </w:rPr>
        <w:t> </w:t>
      </w:r>
      <w:r>
        <w:rPr>
          <w:w w:val="110"/>
        </w:rPr>
        <w:t>of disapplication.’</w:t>
      </w:r>
      <w:r>
        <w:rPr>
          <w:rFonts w:ascii="Lucida Sans Unicode" w:hAnsi="Lucida Sans Unicode"/>
          <w:w w:val="110"/>
          <w:vertAlign w:val="superscript"/>
        </w:rPr>
        <w:t>289</w:t>
      </w:r>
      <w:r>
        <w:rPr>
          <w:rFonts w:ascii="Lucida Sans Unicode" w:hAnsi="Lucida Sans Unicode"/>
          <w:w w:val="110"/>
          <w:vertAlign w:val="baseline"/>
        </w:rPr>
        <w:t> </w:t>
      </w:r>
      <w:r>
        <w:rPr>
          <w:w w:val="110"/>
          <w:vertAlign w:val="baseline"/>
        </w:rPr>
        <w:t>The case thus </w:t>
      </w:r>
      <w:r>
        <w:rPr>
          <w:rFonts w:ascii="Lucida Sans Unicode" w:hAnsi="Lucida Sans Unicode"/>
          <w:vertAlign w:val="baseline"/>
        </w:rPr>
        <w:t>confirmed both that an applicant is at </w:t>
      </w:r>
      <w:r>
        <w:rPr>
          <w:w w:val="110"/>
          <w:vertAlign w:val="baseline"/>
        </w:rPr>
        <w:t>liberty</w:t>
      </w:r>
      <w:r>
        <w:rPr>
          <w:spacing w:val="40"/>
          <w:w w:val="110"/>
          <w:vertAlign w:val="baseline"/>
        </w:rPr>
        <w:t> </w:t>
      </w:r>
      <w:r>
        <w:rPr>
          <w:w w:val="110"/>
          <w:vertAlign w:val="baseline"/>
        </w:rPr>
        <w:t>to</w:t>
      </w:r>
      <w:r>
        <w:rPr>
          <w:spacing w:val="40"/>
          <w:w w:val="110"/>
          <w:vertAlign w:val="baseline"/>
        </w:rPr>
        <w:t> </w:t>
      </w:r>
      <w:r>
        <w:rPr>
          <w:w w:val="110"/>
          <w:vertAlign w:val="baseline"/>
        </w:rPr>
        <w:t>rely</w:t>
      </w:r>
      <w:r>
        <w:rPr>
          <w:spacing w:val="40"/>
          <w:w w:val="110"/>
          <w:vertAlign w:val="baseline"/>
        </w:rPr>
        <w:t> </w:t>
      </w:r>
      <w:r>
        <w:rPr>
          <w:w w:val="110"/>
          <w:vertAlign w:val="baseline"/>
        </w:rPr>
        <w:t>on</w:t>
      </w:r>
      <w:r>
        <w:rPr>
          <w:spacing w:val="40"/>
          <w:w w:val="110"/>
          <w:vertAlign w:val="baseline"/>
        </w:rPr>
        <w:t> </w:t>
      </w:r>
      <w:r>
        <w:rPr>
          <w:w w:val="110"/>
          <w:vertAlign w:val="baseline"/>
        </w:rPr>
        <w:t>the</w:t>
      </w:r>
      <w:r>
        <w:rPr>
          <w:spacing w:val="40"/>
          <w:w w:val="110"/>
          <w:vertAlign w:val="baseline"/>
        </w:rPr>
        <w:t> </w:t>
      </w:r>
      <w:r>
        <w:rPr>
          <w:w w:val="110"/>
          <w:vertAlign w:val="baseline"/>
        </w:rPr>
        <w:t>Charter</w:t>
      </w:r>
      <w:r>
        <w:rPr>
          <w:spacing w:val="40"/>
          <w:w w:val="110"/>
          <w:vertAlign w:val="baseline"/>
        </w:rPr>
        <w:t> </w:t>
      </w:r>
      <w:r>
        <w:rPr>
          <w:w w:val="110"/>
          <w:vertAlign w:val="baseline"/>
        </w:rPr>
        <w:t>instead of the ECHR/HRA where the former provides more extensive protection,</w:t>
      </w:r>
      <w:r>
        <w:rPr>
          <w:spacing w:val="40"/>
          <w:w w:val="110"/>
          <w:vertAlign w:val="baseline"/>
        </w:rPr>
        <w:t> </w:t>
      </w:r>
      <w:r>
        <w:rPr>
          <w:w w:val="110"/>
          <w:vertAlign w:val="baseline"/>
        </w:rPr>
        <w:t>but also that disapplication remains available prospectively, in cases </w:t>
      </w:r>
      <w:r>
        <w:rPr>
          <w:rFonts w:ascii="Lucida Sans Unicode" w:hAnsi="Lucida Sans Unicode"/>
          <w:w w:val="110"/>
          <w:vertAlign w:val="baseline"/>
        </w:rPr>
        <w:t>arising</w:t>
      </w:r>
      <w:r>
        <w:rPr>
          <w:rFonts w:ascii="Lucida Sans Unicode" w:hAnsi="Lucida Sans Unicode"/>
          <w:spacing w:val="-16"/>
          <w:w w:val="110"/>
          <w:vertAlign w:val="baseline"/>
        </w:rPr>
        <w:t> </w:t>
      </w:r>
      <w:r>
        <w:rPr>
          <w:rFonts w:ascii="Lucida Sans Unicode" w:hAnsi="Lucida Sans Unicode"/>
          <w:w w:val="110"/>
          <w:vertAlign w:val="baseline"/>
        </w:rPr>
        <w:t>under</w:t>
      </w:r>
      <w:r>
        <w:rPr>
          <w:rFonts w:ascii="Lucida Sans Unicode" w:hAnsi="Lucida Sans Unicode"/>
          <w:spacing w:val="-16"/>
          <w:w w:val="110"/>
          <w:vertAlign w:val="baseline"/>
        </w:rPr>
        <w:t> </w:t>
      </w:r>
      <w:r>
        <w:rPr>
          <w:rFonts w:ascii="Lucida Sans Unicode" w:hAnsi="Lucida Sans Unicode"/>
          <w:w w:val="110"/>
          <w:vertAlign w:val="baseline"/>
        </w:rPr>
        <w:t>Article</w:t>
      </w:r>
      <w:r>
        <w:rPr>
          <w:rFonts w:ascii="Lucida Sans Unicode" w:hAnsi="Lucida Sans Unicode"/>
          <w:spacing w:val="-16"/>
          <w:w w:val="110"/>
          <w:vertAlign w:val="baseline"/>
        </w:rPr>
        <w:t> </w:t>
      </w:r>
      <w:r>
        <w:rPr>
          <w:rFonts w:ascii="Lucida Sans Unicode" w:hAnsi="Lucida Sans Unicode"/>
          <w:w w:val="110"/>
          <w:vertAlign w:val="baseline"/>
        </w:rPr>
        <w:t>4</w:t>
      </w:r>
      <w:r>
        <w:rPr>
          <w:rFonts w:ascii="Lucida Sans Unicode" w:hAnsi="Lucida Sans Unicode"/>
          <w:spacing w:val="-16"/>
          <w:w w:val="110"/>
          <w:vertAlign w:val="baseline"/>
        </w:rPr>
        <w:t> </w:t>
      </w:r>
      <w:r>
        <w:rPr>
          <w:rFonts w:ascii="Lucida Sans Unicode" w:hAnsi="Lucida Sans Unicode"/>
          <w:w w:val="110"/>
          <w:vertAlign w:val="baseline"/>
        </w:rPr>
        <w:t>WA</w:t>
      </w:r>
      <w:r>
        <w:rPr>
          <w:rFonts w:ascii="Lucida Sans Unicode" w:hAnsi="Lucida Sans Unicode"/>
          <w:spacing w:val="-16"/>
          <w:w w:val="110"/>
          <w:vertAlign w:val="baseline"/>
        </w:rPr>
        <w:t> </w:t>
      </w:r>
      <w:r>
        <w:rPr>
          <w:rFonts w:ascii="Lucida Sans Unicode" w:hAnsi="Lucida Sans Unicode"/>
          <w:w w:val="110"/>
          <w:vertAlign w:val="baseline"/>
        </w:rPr>
        <w:t>that </w:t>
      </w:r>
      <w:r>
        <w:rPr>
          <w:w w:val="110"/>
          <w:vertAlign w:val="baseline"/>
        </w:rPr>
        <w:t>involve the Charter.</w:t>
      </w:r>
      <w:r>
        <w:rPr>
          <w:rFonts w:ascii="Lucida Sans Unicode" w:hAnsi="Lucida Sans Unicode"/>
          <w:w w:val="110"/>
          <w:vertAlign w:val="superscript"/>
        </w:rPr>
        <w:t>290</w:t>
      </w:r>
    </w:p>
    <w:p>
      <w:pPr>
        <w:pStyle w:val="Heading4"/>
        <w:numPr>
          <w:ilvl w:val="0"/>
          <w:numId w:val="17"/>
        </w:numPr>
        <w:tabs>
          <w:tab w:pos="411" w:val="left" w:leader="none"/>
        </w:tabs>
        <w:spacing w:line="256" w:lineRule="auto" w:before="308" w:after="0"/>
        <w:ind w:left="113" w:right="548" w:firstLine="0"/>
        <w:jc w:val="both"/>
      </w:pPr>
      <w:r>
        <w:rPr>
          <w:color w:val="77328A"/>
        </w:rPr>
        <w:t>Consistent interpretation of EU and implementing legislation </w:t>
      </w:r>
      <w:r>
        <w:rPr>
          <w:color w:val="77328A"/>
        </w:rPr>
        <w:t>with the Charter</w:t>
      </w:r>
    </w:p>
    <w:p>
      <w:pPr>
        <w:pStyle w:val="BodyText"/>
        <w:spacing w:line="268" w:lineRule="auto" w:before="15"/>
        <w:ind w:right="274"/>
      </w:pPr>
      <w:r>
        <w:rPr>
          <w:w w:val="110"/>
        </w:rPr>
        <w:t>The Charter also informs the broader application of EU law under the Windsor Framework. The </w:t>
      </w:r>
      <w:r>
        <w:rPr>
          <w:rFonts w:ascii="Verdana"/>
          <w:i/>
          <w:w w:val="110"/>
        </w:rPr>
        <w:t>Fransson</w:t>
      </w:r>
      <w:r>
        <w:rPr>
          <w:rFonts w:ascii="Verdana"/>
          <w:i/>
          <w:w w:val="110"/>
        </w:rPr>
        <w:t> </w:t>
      </w:r>
      <w:r>
        <w:rPr>
          <w:w w:val="110"/>
        </w:rPr>
        <w:t>case, the basic facts of which were discussed in Chapter </w:t>
      </w:r>
      <w:r>
        <w:rPr/>
        <w:t>1, </w:t>
      </w:r>
      <w:r>
        <w:rPr>
          <w:w w:val="110"/>
        </w:rPr>
        <w:t>demonstrates this. This case is instructive because</w:t>
      </w:r>
      <w:r>
        <w:rPr>
          <w:spacing w:val="80"/>
          <w:w w:val="110"/>
        </w:rPr>
        <w:t> </w:t>
      </w:r>
      <w:r>
        <w:rPr>
          <w:w w:val="110"/>
        </w:rPr>
        <w:t>it demonstrates how the Charter right at issue was invoked not to interpret provisions of the Directive as such,</w:t>
      </w:r>
      <w:r>
        <w:rPr>
          <w:spacing w:val="40"/>
          <w:w w:val="110"/>
        </w:rPr>
        <w:t> </w:t>
      </w:r>
      <w:r>
        <w:rPr>
          <w:w w:val="110"/>
        </w:rPr>
        <w:t>but</w:t>
      </w:r>
      <w:r>
        <w:rPr>
          <w:spacing w:val="40"/>
          <w:w w:val="110"/>
        </w:rPr>
        <w:t> </w:t>
      </w:r>
      <w:r>
        <w:rPr>
          <w:w w:val="110"/>
        </w:rPr>
        <w:t>measures</w:t>
      </w:r>
      <w:r>
        <w:rPr>
          <w:spacing w:val="40"/>
          <w:w w:val="110"/>
        </w:rPr>
        <w:t> </w:t>
      </w:r>
      <w:r>
        <w:rPr>
          <w:w w:val="110"/>
        </w:rPr>
        <w:t>merely</w:t>
      </w:r>
      <w:r>
        <w:rPr>
          <w:spacing w:val="40"/>
          <w:w w:val="110"/>
        </w:rPr>
        <w:t> </w:t>
      </w:r>
      <w:r>
        <w:rPr>
          <w:w w:val="110"/>
        </w:rPr>
        <w:t>falling</w:t>
      </w:r>
      <w:r>
        <w:rPr>
          <w:spacing w:val="40"/>
          <w:w w:val="110"/>
        </w:rPr>
        <w:t> </w:t>
      </w:r>
      <w:r>
        <w:rPr>
          <w:w w:val="110"/>
        </w:rPr>
        <w:t>within the scope of a duty stipulated by EU</w:t>
      </w:r>
    </w:p>
    <w:p>
      <w:pPr>
        <w:pStyle w:val="BodyText"/>
        <w:spacing w:line="230" w:lineRule="auto" w:before="1"/>
        <w:ind w:right="160"/>
        <w:jc w:val="both"/>
      </w:pPr>
      <w:r>
        <w:rPr>
          <w:w w:val="110"/>
        </w:rPr>
        <w:t>secondary legislation (in this case, the </w:t>
      </w:r>
      <w:r>
        <w:rPr>
          <w:rFonts w:ascii="Lucida Sans Unicode"/>
        </w:rPr>
        <w:t>main aim of directive 77/388/EEC </w:t>
      </w:r>
      <w:r>
        <w:rPr>
          <w:rFonts w:ascii="Lucida Sans Unicode"/>
        </w:rPr>
        <w:t>was </w:t>
      </w:r>
      <w:r>
        <w:rPr>
          <w:w w:val="110"/>
        </w:rPr>
        <w:t>to ensure uniformity of VAT rules in</w:t>
      </w:r>
    </w:p>
    <w:p>
      <w:pPr>
        <w:pStyle w:val="BodyText"/>
        <w:spacing w:before="37"/>
        <w:jc w:val="both"/>
      </w:pPr>
      <w:r>
        <w:rPr>
          <w:w w:val="110"/>
        </w:rPr>
        <w:t>the</w:t>
      </w:r>
      <w:r>
        <w:rPr>
          <w:spacing w:val="15"/>
          <w:w w:val="110"/>
        </w:rPr>
        <w:t> </w:t>
      </w:r>
      <w:r>
        <w:rPr>
          <w:spacing w:val="-4"/>
          <w:w w:val="110"/>
        </w:rPr>
        <w:t>EU).</w:t>
      </w:r>
    </w:p>
    <w:p>
      <w:pPr>
        <w:spacing w:after="0"/>
        <w:jc w:val="both"/>
        <w:sectPr>
          <w:type w:val="continuous"/>
          <w:pgSz w:w="11910" w:h="16840"/>
          <w:pgMar w:header="568" w:footer="580" w:top="0" w:bottom="280" w:left="1020" w:right="1020"/>
          <w:cols w:num="2" w:equalWidth="0">
            <w:col w:w="4694" w:space="352"/>
            <w:col w:w="4824"/>
          </w:cols>
        </w:sectPr>
      </w:pPr>
    </w:p>
    <w:p>
      <w:pPr>
        <w:pStyle w:val="BodyText"/>
        <w:spacing w:before="100"/>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178" name="Group 178"/>
                <wp:cNvGraphicFramePr>
                  <a:graphicFrameLocks/>
                </wp:cNvGraphicFramePr>
                <a:graphic>
                  <a:graphicData uri="http://schemas.microsoft.com/office/word/2010/wordprocessingGroup">
                    <wpg:wgp>
                      <wpg:cNvPr id="178" name="Group 178"/>
                      <wpg:cNvGrpSpPr/>
                      <wpg:grpSpPr>
                        <a:xfrm>
                          <a:off x="0" y="0"/>
                          <a:ext cx="6120130" cy="6350"/>
                          <a:chExt cx="6120130" cy="6350"/>
                        </a:xfrm>
                      </wpg:grpSpPr>
                      <wps:wsp>
                        <wps:cNvPr id="179" name="Graphic 179"/>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108"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14"/>
        </w:numPr>
        <w:tabs>
          <w:tab w:pos="566" w:val="left" w:leader="none"/>
        </w:tabs>
        <w:spacing w:line="223" w:lineRule="exact" w:before="61" w:after="0"/>
        <w:ind w:left="566" w:right="0" w:hanging="453"/>
        <w:jc w:val="left"/>
        <w:rPr>
          <w:sz w:val="16"/>
        </w:rPr>
      </w:pPr>
      <w:r>
        <w:rPr>
          <w:sz w:val="16"/>
        </w:rPr>
        <w:t>On</w:t>
      </w:r>
      <w:r>
        <w:rPr>
          <w:spacing w:val="2"/>
          <w:sz w:val="16"/>
        </w:rPr>
        <w:t> </w:t>
      </w:r>
      <w:r>
        <w:rPr>
          <w:sz w:val="16"/>
        </w:rPr>
        <w:t>the</w:t>
      </w:r>
      <w:r>
        <w:rPr>
          <w:spacing w:val="3"/>
          <w:sz w:val="16"/>
        </w:rPr>
        <w:t> </w:t>
      </w:r>
      <w:r>
        <w:rPr>
          <w:sz w:val="16"/>
        </w:rPr>
        <w:t>specific</w:t>
      </w:r>
      <w:r>
        <w:rPr>
          <w:spacing w:val="3"/>
          <w:sz w:val="16"/>
        </w:rPr>
        <w:t> </w:t>
      </w:r>
      <w:r>
        <w:rPr>
          <w:sz w:val="16"/>
        </w:rPr>
        <w:t>case</w:t>
      </w:r>
      <w:r>
        <w:rPr>
          <w:spacing w:val="2"/>
          <w:sz w:val="16"/>
        </w:rPr>
        <w:t> </w:t>
      </w:r>
      <w:r>
        <w:rPr>
          <w:sz w:val="16"/>
        </w:rPr>
        <w:t>of</w:t>
      </w:r>
      <w:r>
        <w:rPr>
          <w:spacing w:val="3"/>
          <w:sz w:val="16"/>
        </w:rPr>
        <w:t> </w:t>
      </w:r>
      <w:r>
        <w:rPr>
          <w:sz w:val="16"/>
        </w:rPr>
        <w:t>the</w:t>
      </w:r>
      <w:r>
        <w:rPr>
          <w:spacing w:val="3"/>
          <w:sz w:val="16"/>
        </w:rPr>
        <w:t> </w:t>
      </w:r>
      <w:r>
        <w:rPr>
          <w:sz w:val="16"/>
        </w:rPr>
        <w:t>Annex</w:t>
      </w:r>
      <w:r>
        <w:rPr>
          <w:spacing w:val="3"/>
          <w:sz w:val="16"/>
        </w:rPr>
        <w:t> </w:t>
      </w:r>
      <w:r>
        <w:rPr>
          <w:w w:val="95"/>
          <w:sz w:val="16"/>
        </w:rPr>
        <w:t>1</w:t>
      </w:r>
      <w:r>
        <w:rPr>
          <w:spacing w:val="2"/>
          <w:sz w:val="16"/>
        </w:rPr>
        <w:t> </w:t>
      </w:r>
      <w:r>
        <w:rPr>
          <w:sz w:val="16"/>
        </w:rPr>
        <w:t>Directives</w:t>
      </w:r>
      <w:r>
        <w:rPr>
          <w:spacing w:val="3"/>
          <w:sz w:val="16"/>
        </w:rPr>
        <w:t> </w:t>
      </w:r>
      <w:r>
        <w:rPr>
          <w:sz w:val="16"/>
        </w:rPr>
        <w:t>see</w:t>
      </w:r>
      <w:r>
        <w:rPr>
          <w:spacing w:val="3"/>
          <w:sz w:val="16"/>
        </w:rPr>
        <w:t> </w:t>
      </w:r>
      <w:r>
        <w:rPr>
          <w:sz w:val="16"/>
        </w:rPr>
        <w:t>the</w:t>
      </w:r>
      <w:r>
        <w:rPr>
          <w:spacing w:val="3"/>
          <w:sz w:val="16"/>
        </w:rPr>
        <w:t> </w:t>
      </w:r>
      <w:r>
        <w:rPr>
          <w:sz w:val="16"/>
        </w:rPr>
        <w:t>discussion</w:t>
      </w:r>
      <w:r>
        <w:rPr>
          <w:spacing w:val="2"/>
          <w:sz w:val="16"/>
        </w:rPr>
        <w:t> </w:t>
      </w:r>
      <w:r>
        <w:rPr>
          <w:sz w:val="16"/>
        </w:rPr>
        <w:t>Chapter</w:t>
      </w:r>
      <w:r>
        <w:rPr>
          <w:spacing w:val="3"/>
          <w:sz w:val="16"/>
        </w:rPr>
        <w:t> </w:t>
      </w:r>
      <w:r>
        <w:rPr>
          <w:sz w:val="16"/>
        </w:rPr>
        <w:t>2</w:t>
      </w:r>
      <w:r>
        <w:rPr>
          <w:spacing w:val="3"/>
          <w:sz w:val="16"/>
        </w:rPr>
        <w:t> </w:t>
      </w:r>
      <w:r>
        <w:rPr>
          <w:spacing w:val="-2"/>
          <w:sz w:val="16"/>
        </w:rPr>
        <w:t>above.</w:t>
      </w:r>
    </w:p>
    <w:p>
      <w:pPr>
        <w:pStyle w:val="ListParagraph"/>
        <w:numPr>
          <w:ilvl w:val="0"/>
          <w:numId w:val="14"/>
        </w:numPr>
        <w:tabs>
          <w:tab w:pos="565" w:val="left" w:leader="none"/>
        </w:tabs>
        <w:spacing w:line="200" w:lineRule="exact" w:before="0" w:after="0"/>
        <w:ind w:left="565" w:right="0" w:hanging="452"/>
        <w:jc w:val="left"/>
        <w:rPr>
          <w:sz w:val="16"/>
        </w:rPr>
      </w:pPr>
      <w:r>
        <w:rPr>
          <w:rFonts w:ascii="Verdana"/>
          <w:i/>
          <w:w w:val="105"/>
          <w:sz w:val="16"/>
        </w:rPr>
        <w:t>AT</w:t>
      </w:r>
      <w:r>
        <w:rPr>
          <w:rFonts w:ascii="Verdana"/>
          <w:i/>
          <w:spacing w:val="-7"/>
          <w:w w:val="105"/>
          <w:sz w:val="16"/>
        </w:rPr>
        <w:t> </w:t>
      </w:r>
      <w:r>
        <w:rPr>
          <w:w w:val="105"/>
          <w:sz w:val="16"/>
        </w:rPr>
        <w:t>(n </w:t>
      </w:r>
      <w:r>
        <w:rPr>
          <w:spacing w:val="-4"/>
          <w:w w:val="105"/>
          <w:sz w:val="16"/>
        </w:rPr>
        <w:t>26).</w:t>
      </w:r>
    </w:p>
    <w:p>
      <w:pPr>
        <w:pStyle w:val="ListParagraph"/>
        <w:numPr>
          <w:ilvl w:val="0"/>
          <w:numId w:val="14"/>
        </w:numPr>
        <w:tabs>
          <w:tab w:pos="566" w:val="left" w:leader="none"/>
        </w:tabs>
        <w:spacing w:line="200" w:lineRule="exact" w:before="0" w:after="0"/>
        <w:ind w:left="566" w:right="0" w:hanging="453"/>
        <w:jc w:val="left"/>
        <w:rPr>
          <w:sz w:val="16"/>
        </w:rPr>
      </w:pPr>
      <w:r>
        <w:rPr>
          <w:rFonts w:ascii="Verdana"/>
          <w:i/>
          <w:sz w:val="16"/>
        </w:rPr>
        <w:t>Ibid</w:t>
      </w:r>
      <w:r>
        <w:rPr>
          <w:sz w:val="16"/>
        </w:rPr>
        <w:t>,</w:t>
      </w:r>
      <w:r>
        <w:rPr>
          <w:spacing w:val="-12"/>
          <w:sz w:val="16"/>
        </w:rPr>
        <w:t> </w:t>
      </w:r>
      <w:r>
        <w:rPr>
          <w:sz w:val="16"/>
        </w:rPr>
        <w:t>para</w:t>
      </w:r>
      <w:r>
        <w:rPr>
          <w:spacing w:val="-11"/>
          <w:sz w:val="16"/>
        </w:rPr>
        <w:t> </w:t>
      </w:r>
      <w:r>
        <w:rPr>
          <w:spacing w:val="-4"/>
          <w:sz w:val="16"/>
        </w:rPr>
        <w:t>105.</w:t>
      </w:r>
    </w:p>
    <w:p>
      <w:pPr>
        <w:pStyle w:val="ListParagraph"/>
        <w:numPr>
          <w:ilvl w:val="0"/>
          <w:numId w:val="14"/>
        </w:numPr>
        <w:tabs>
          <w:tab w:pos="566" w:val="left" w:leader="none"/>
        </w:tabs>
        <w:spacing w:line="200" w:lineRule="exact" w:before="0" w:after="0"/>
        <w:ind w:left="566" w:right="0" w:hanging="453"/>
        <w:jc w:val="left"/>
        <w:rPr>
          <w:sz w:val="16"/>
        </w:rPr>
      </w:pPr>
      <w:r>
        <w:rPr>
          <w:rFonts w:ascii="Verdana"/>
          <w:i/>
          <w:sz w:val="16"/>
        </w:rPr>
        <w:t>Ibid</w:t>
      </w:r>
      <w:r>
        <w:rPr>
          <w:sz w:val="16"/>
        </w:rPr>
        <w:t>,</w:t>
      </w:r>
      <w:r>
        <w:rPr>
          <w:spacing w:val="-12"/>
          <w:sz w:val="16"/>
        </w:rPr>
        <w:t> </w:t>
      </w:r>
      <w:r>
        <w:rPr>
          <w:sz w:val="16"/>
        </w:rPr>
        <w:t>para</w:t>
      </w:r>
      <w:r>
        <w:rPr>
          <w:spacing w:val="-11"/>
          <w:sz w:val="16"/>
        </w:rPr>
        <w:t> </w:t>
      </w:r>
      <w:r>
        <w:rPr>
          <w:spacing w:val="-4"/>
          <w:sz w:val="16"/>
        </w:rPr>
        <w:t>106.</w:t>
      </w:r>
    </w:p>
    <w:p>
      <w:pPr>
        <w:pStyle w:val="ListParagraph"/>
        <w:numPr>
          <w:ilvl w:val="0"/>
          <w:numId w:val="14"/>
        </w:numPr>
        <w:tabs>
          <w:tab w:pos="565" w:val="left" w:leader="none"/>
        </w:tabs>
        <w:spacing w:line="223" w:lineRule="exact" w:before="0" w:after="0"/>
        <w:ind w:left="565" w:right="0" w:hanging="452"/>
        <w:jc w:val="left"/>
        <w:rPr>
          <w:rFonts w:ascii="Arial"/>
          <w:sz w:val="16"/>
        </w:rPr>
      </w:pPr>
      <w:r>
        <w:rPr>
          <w:rFonts w:ascii="Arial"/>
          <w:w w:val="110"/>
          <w:sz w:val="16"/>
        </w:rPr>
        <w:t>NB:</w:t>
      </w:r>
      <w:r>
        <w:rPr>
          <w:rFonts w:ascii="Arial"/>
          <w:spacing w:val="4"/>
          <w:w w:val="110"/>
          <w:sz w:val="16"/>
        </w:rPr>
        <w:t> </w:t>
      </w:r>
      <w:r>
        <w:rPr>
          <w:rFonts w:ascii="Arial"/>
          <w:w w:val="110"/>
          <w:sz w:val="16"/>
        </w:rPr>
        <w:t>state</w:t>
      </w:r>
      <w:r>
        <w:rPr>
          <w:rFonts w:ascii="Arial"/>
          <w:spacing w:val="4"/>
          <w:w w:val="110"/>
          <w:sz w:val="16"/>
        </w:rPr>
        <w:t> </w:t>
      </w:r>
      <w:r>
        <w:rPr>
          <w:rFonts w:ascii="Arial"/>
          <w:w w:val="110"/>
          <w:sz w:val="16"/>
        </w:rPr>
        <w:t>liability</w:t>
      </w:r>
      <w:r>
        <w:rPr>
          <w:rFonts w:ascii="Arial"/>
          <w:spacing w:val="4"/>
          <w:w w:val="110"/>
          <w:sz w:val="16"/>
        </w:rPr>
        <w:t> </w:t>
      </w:r>
      <w:r>
        <w:rPr>
          <w:rFonts w:ascii="Arial"/>
          <w:w w:val="110"/>
          <w:sz w:val="16"/>
        </w:rPr>
        <w:t>in</w:t>
      </w:r>
      <w:r>
        <w:rPr>
          <w:rFonts w:ascii="Arial"/>
          <w:spacing w:val="4"/>
          <w:w w:val="110"/>
          <w:sz w:val="16"/>
        </w:rPr>
        <w:t> </w:t>
      </w:r>
      <w:r>
        <w:rPr>
          <w:rFonts w:ascii="Arial"/>
          <w:w w:val="110"/>
          <w:sz w:val="16"/>
        </w:rPr>
        <w:t>damages</w:t>
      </w:r>
      <w:r>
        <w:rPr>
          <w:rFonts w:ascii="Arial"/>
          <w:spacing w:val="4"/>
          <w:w w:val="110"/>
          <w:sz w:val="16"/>
        </w:rPr>
        <w:t> </w:t>
      </w:r>
      <w:r>
        <w:rPr>
          <w:rFonts w:ascii="Arial"/>
          <w:w w:val="110"/>
          <w:sz w:val="16"/>
        </w:rPr>
        <w:t>was</w:t>
      </w:r>
      <w:r>
        <w:rPr>
          <w:rFonts w:ascii="Arial"/>
          <w:spacing w:val="5"/>
          <w:w w:val="110"/>
          <w:sz w:val="16"/>
        </w:rPr>
        <w:t> </w:t>
      </w:r>
      <w:r>
        <w:rPr>
          <w:rFonts w:ascii="Arial"/>
          <w:w w:val="110"/>
          <w:sz w:val="16"/>
        </w:rPr>
        <w:t>not</w:t>
      </w:r>
      <w:r>
        <w:rPr>
          <w:rFonts w:ascii="Arial"/>
          <w:spacing w:val="4"/>
          <w:w w:val="110"/>
          <w:sz w:val="16"/>
        </w:rPr>
        <w:t> </w:t>
      </w:r>
      <w:r>
        <w:rPr>
          <w:rFonts w:ascii="Arial"/>
          <w:w w:val="110"/>
          <w:sz w:val="16"/>
        </w:rPr>
        <w:t>at</w:t>
      </w:r>
      <w:r>
        <w:rPr>
          <w:rFonts w:ascii="Arial"/>
          <w:spacing w:val="4"/>
          <w:w w:val="110"/>
          <w:sz w:val="16"/>
        </w:rPr>
        <w:t> </w:t>
      </w:r>
      <w:r>
        <w:rPr>
          <w:rFonts w:ascii="Arial"/>
          <w:w w:val="110"/>
          <w:sz w:val="16"/>
        </w:rPr>
        <w:t>issue</w:t>
      </w:r>
      <w:r>
        <w:rPr>
          <w:rFonts w:ascii="Arial"/>
          <w:spacing w:val="4"/>
          <w:w w:val="110"/>
          <w:sz w:val="16"/>
        </w:rPr>
        <w:t> </w:t>
      </w:r>
      <w:r>
        <w:rPr>
          <w:rFonts w:ascii="Arial"/>
          <w:w w:val="110"/>
          <w:sz w:val="16"/>
        </w:rPr>
        <w:t>in</w:t>
      </w:r>
      <w:r>
        <w:rPr>
          <w:rFonts w:ascii="Arial"/>
          <w:spacing w:val="4"/>
          <w:w w:val="110"/>
          <w:sz w:val="16"/>
        </w:rPr>
        <w:t> </w:t>
      </w:r>
      <w:r>
        <w:rPr>
          <w:rFonts w:ascii="Arial"/>
          <w:w w:val="110"/>
          <w:sz w:val="16"/>
        </w:rPr>
        <w:t>that</w:t>
      </w:r>
      <w:r>
        <w:rPr>
          <w:rFonts w:ascii="Arial"/>
          <w:spacing w:val="5"/>
          <w:w w:val="110"/>
          <w:sz w:val="16"/>
        </w:rPr>
        <w:t> </w:t>
      </w:r>
      <w:r>
        <w:rPr>
          <w:rFonts w:ascii="Arial"/>
          <w:spacing w:val="-4"/>
          <w:w w:val="110"/>
          <w:sz w:val="16"/>
        </w:rPr>
        <w:t>case.</w:t>
      </w:r>
    </w:p>
    <w:p>
      <w:pPr>
        <w:spacing w:after="0" w:line="223" w:lineRule="exact"/>
        <w:jc w:val="left"/>
        <w:rPr>
          <w:rFonts w:ascii="Arial"/>
          <w:sz w:val="16"/>
        </w:rPr>
        <w:sectPr>
          <w:type w:val="continuous"/>
          <w:pgSz w:w="11910" w:h="16840"/>
          <w:pgMar w:header="568" w:footer="580" w:top="0" w:bottom="280" w:left="1020" w:right="1020"/>
        </w:sectPr>
      </w:pPr>
    </w:p>
    <w:p>
      <w:pPr>
        <w:pStyle w:val="BodyText"/>
        <w:ind w:left="0"/>
        <w:rPr>
          <w:sz w:val="20"/>
        </w:rPr>
      </w:pPr>
    </w:p>
    <w:p>
      <w:pPr>
        <w:pStyle w:val="BodyText"/>
        <w:ind w:left="0"/>
        <w:rPr>
          <w:sz w:val="20"/>
        </w:rPr>
      </w:pPr>
    </w:p>
    <w:p>
      <w:pPr>
        <w:pStyle w:val="BodyText"/>
        <w:spacing w:before="48"/>
        <w:ind w:left="0"/>
        <w:rPr>
          <w:sz w:val="20"/>
        </w:rPr>
      </w:pPr>
    </w:p>
    <w:p>
      <w:pPr>
        <w:spacing w:after="0"/>
        <w:rPr>
          <w:sz w:val="20"/>
        </w:rPr>
        <w:sectPr>
          <w:pgSz w:w="11910" w:h="16840"/>
          <w:pgMar w:header="568" w:footer="580" w:top="840" w:bottom="780" w:left="1020" w:right="1020"/>
        </w:sectPr>
      </w:pPr>
    </w:p>
    <w:p>
      <w:pPr>
        <w:pStyle w:val="BodyText"/>
        <w:spacing w:line="310" w:lineRule="exact" w:before="49"/>
        <w:ind w:right="253"/>
      </w:pPr>
      <w:r>
        <w:rPr>
          <w:w w:val="110"/>
        </w:rPr>
        <w:t>The substantive question in this case </w:t>
      </w:r>
      <w:r>
        <w:rPr>
          <w:rFonts w:ascii="Lucida Sans Unicode" w:hAnsi="Lucida Sans Unicode"/>
          <w:w w:val="110"/>
        </w:rPr>
        <w:t>was</w:t>
      </w:r>
      <w:r>
        <w:rPr>
          <w:rFonts w:ascii="Lucida Sans Unicode" w:hAnsi="Lucida Sans Unicode"/>
          <w:spacing w:val="-18"/>
          <w:w w:val="110"/>
        </w:rPr>
        <w:t> </w:t>
      </w:r>
      <w:r>
        <w:rPr>
          <w:rFonts w:ascii="Lucida Sans Unicode" w:hAnsi="Lucida Sans Unicode"/>
          <w:w w:val="110"/>
        </w:rPr>
        <w:t>whether</w:t>
      </w:r>
      <w:r>
        <w:rPr>
          <w:rFonts w:ascii="Lucida Sans Unicode" w:hAnsi="Lucida Sans Unicode"/>
          <w:spacing w:val="-18"/>
          <w:w w:val="110"/>
        </w:rPr>
        <w:t> </w:t>
      </w:r>
      <w:r>
        <w:rPr>
          <w:rFonts w:ascii="Lucida Sans Unicode" w:hAnsi="Lucida Sans Unicode"/>
          <w:w w:val="110"/>
        </w:rPr>
        <w:t>Article</w:t>
      </w:r>
      <w:r>
        <w:rPr>
          <w:rFonts w:ascii="Lucida Sans Unicode" w:hAnsi="Lucida Sans Unicode"/>
          <w:spacing w:val="-18"/>
          <w:w w:val="110"/>
        </w:rPr>
        <w:t> </w:t>
      </w:r>
      <w:r>
        <w:rPr>
          <w:rFonts w:ascii="Lucida Sans Unicode" w:hAnsi="Lucida Sans Unicode"/>
          <w:w w:val="110"/>
        </w:rPr>
        <w:t>50</w:t>
      </w:r>
      <w:r>
        <w:rPr>
          <w:rFonts w:ascii="Lucida Sans Unicode" w:hAnsi="Lucida Sans Unicode"/>
          <w:spacing w:val="-18"/>
          <w:w w:val="110"/>
        </w:rPr>
        <w:t> </w:t>
      </w:r>
      <w:r>
        <w:rPr>
          <w:rFonts w:ascii="Lucida Sans Unicode" w:hAnsi="Lucida Sans Unicode"/>
          <w:w w:val="110"/>
        </w:rPr>
        <w:t>CFR</w:t>
      </w:r>
      <w:r>
        <w:rPr>
          <w:rFonts w:ascii="Lucida Sans Unicode" w:hAnsi="Lucida Sans Unicode"/>
          <w:spacing w:val="-18"/>
          <w:w w:val="110"/>
        </w:rPr>
        <w:t> </w:t>
      </w:r>
      <w:r>
        <w:rPr>
          <w:rFonts w:ascii="Lucida Sans Unicode" w:hAnsi="Lucida Sans Unicode"/>
          <w:w w:val="110"/>
        </w:rPr>
        <w:t>should </w:t>
      </w:r>
      <w:r>
        <w:rPr>
          <w:w w:val="110"/>
        </w:rPr>
        <w:t>be interpreted as precluding criminal proceedings for tax evasion from being brought against a defendant where a tax penalty has already</w:t>
      </w:r>
      <w:r>
        <w:rPr>
          <w:spacing w:val="80"/>
          <w:w w:val="110"/>
        </w:rPr>
        <w:t> </w:t>
      </w:r>
      <w:r>
        <w:rPr>
          <w:w w:val="110"/>
        </w:rPr>
        <w:t>been imposed upon him for the</w:t>
      </w:r>
      <w:r>
        <w:rPr>
          <w:spacing w:val="80"/>
          <w:w w:val="150"/>
        </w:rPr>
        <w:t> </w:t>
      </w:r>
      <w:r>
        <w:rPr>
          <w:w w:val="110"/>
        </w:rPr>
        <w:t>same acts. The Court’s answer was </w:t>
      </w:r>
      <w:r>
        <w:rPr>
          <w:rFonts w:ascii="Lucida Sans Unicode" w:hAnsi="Lucida Sans Unicode"/>
          <w:w w:val="110"/>
        </w:rPr>
        <w:t>that</w:t>
      </w:r>
      <w:r>
        <w:rPr>
          <w:rFonts w:ascii="Lucida Sans Unicode" w:hAnsi="Lucida Sans Unicode"/>
          <w:spacing w:val="-21"/>
          <w:w w:val="110"/>
        </w:rPr>
        <w:t> </w:t>
      </w:r>
      <w:r>
        <w:rPr>
          <w:rFonts w:ascii="Lucida Sans Unicode" w:hAnsi="Lucida Sans Unicode"/>
          <w:w w:val="110"/>
        </w:rPr>
        <w:t>the</w:t>
      </w:r>
      <w:r>
        <w:rPr>
          <w:rFonts w:ascii="Lucida Sans Unicode" w:hAnsi="Lucida Sans Unicode"/>
          <w:spacing w:val="-21"/>
          <w:w w:val="110"/>
        </w:rPr>
        <w:t> </w:t>
      </w:r>
      <w:r>
        <w:rPr>
          <w:rFonts w:ascii="Lucida Sans Unicode" w:hAnsi="Lucida Sans Unicode"/>
          <w:w w:val="110"/>
        </w:rPr>
        <w:t>applicability</w:t>
      </w:r>
      <w:r>
        <w:rPr>
          <w:rFonts w:ascii="Lucida Sans Unicode" w:hAnsi="Lucida Sans Unicode"/>
          <w:spacing w:val="-21"/>
          <w:w w:val="110"/>
        </w:rPr>
        <w:t> </w:t>
      </w:r>
      <w:r>
        <w:rPr>
          <w:rFonts w:ascii="Lucida Sans Unicode" w:hAnsi="Lucida Sans Unicode"/>
          <w:w w:val="110"/>
        </w:rPr>
        <w:t>of</w:t>
      </w:r>
      <w:r>
        <w:rPr>
          <w:rFonts w:ascii="Lucida Sans Unicode" w:hAnsi="Lucida Sans Unicode"/>
          <w:spacing w:val="-21"/>
          <w:w w:val="110"/>
        </w:rPr>
        <w:t> </w:t>
      </w:r>
      <w:r>
        <w:rPr>
          <w:rFonts w:ascii="Lucida Sans Unicode" w:hAnsi="Lucida Sans Unicode"/>
          <w:w w:val="110"/>
        </w:rPr>
        <w:t>Article</w:t>
      </w:r>
      <w:r>
        <w:rPr>
          <w:rFonts w:ascii="Lucida Sans Unicode" w:hAnsi="Lucida Sans Unicode"/>
          <w:spacing w:val="-21"/>
          <w:w w:val="110"/>
        </w:rPr>
        <w:t> </w:t>
      </w:r>
      <w:r>
        <w:rPr>
          <w:rFonts w:ascii="Lucida Sans Unicode" w:hAnsi="Lucida Sans Unicode"/>
          <w:w w:val="110"/>
        </w:rPr>
        <w:t>50 </w:t>
      </w:r>
      <w:r>
        <w:rPr>
          <w:w w:val="110"/>
        </w:rPr>
        <w:t>CFR depended on whether the tax penalty would have to be </w:t>
      </w:r>
      <w:r>
        <w:rPr>
          <w:w w:val="110"/>
        </w:rPr>
        <w:t>considered ‘criminal in nature’; an assessment</w:t>
      </w:r>
    </w:p>
    <w:p>
      <w:pPr>
        <w:pStyle w:val="BodyText"/>
        <w:spacing w:line="247" w:lineRule="auto" w:before="23"/>
      </w:pPr>
      <w:r>
        <w:rPr>
          <w:w w:val="110"/>
        </w:rPr>
        <w:t>to be carried out by the referring national court according to the so- called</w:t>
      </w:r>
      <w:r>
        <w:rPr>
          <w:spacing w:val="-1"/>
          <w:w w:val="110"/>
        </w:rPr>
        <w:t> </w:t>
      </w:r>
      <w:r>
        <w:rPr>
          <w:rFonts w:ascii="Verdana"/>
          <w:i/>
          <w:w w:val="110"/>
        </w:rPr>
        <w:t>Engel</w:t>
      </w:r>
      <w:r>
        <w:rPr>
          <w:rFonts w:ascii="Verdana"/>
          <w:i/>
          <w:spacing w:val="-20"/>
          <w:w w:val="110"/>
        </w:rPr>
        <w:t> </w:t>
      </w:r>
      <w:r>
        <w:rPr>
          <w:w w:val="110"/>
        </w:rPr>
        <w:t>criteria</w:t>
      </w:r>
      <w:r>
        <w:rPr>
          <w:spacing w:val="-1"/>
          <w:w w:val="110"/>
        </w:rPr>
        <w:t> </w:t>
      </w:r>
      <w:r>
        <w:rPr>
          <w:w w:val="110"/>
        </w:rPr>
        <w:t>established</w:t>
      </w:r>
      <w:r>
        <w:rPr>
          <w:spacing w:val="-1"/>
          <w:w w:val="110"/>
        </w:rPr>
        <w:t> </w:t>
      </w:r>
      <w:r>
        <w:rPr>
          <w:w w:val="110"/>
        </w:rPr>
        <w:t>by</w:t>
      </w:r>
      <w:r>
        <w:rPr>
          <w:spacing w:val="-1"/>
          <w:w w:val="110"/>
        </w:rPr>
        <w:t> </w:t>
      </w:r>
      <w:r>
        <w:rPr>
          <w:w w:val="110"/>
        </w:rPr>
        <w:t>the European Court of Human Rights.</w:t>
      </w:r>
      <w:r>
        <w:rPr>
          <w:rFonts w:ascii="Lucida Sans Unicode"/>
          <w:w w:val="110"/>
          <w:vertAlign w:val="superscript"/>
        </w:rPr>
        <w:t>291</w:t>
      </w:r>
      <w:r>
        <w:rPr>
          <w:rFonts w:ascii="Lucida Sans Unicode"/>
          <w:w w:val="110"/>
          <w:vertAlign w:val="baseline"/>
        </w:rPr>
        <w:t> </w:t>
      </w:r>
      <w:r>
        <w:rPr>
          <w:w w:val="110"/>
          <w:vertAlign w:val="baseline"/>
        </w:rPr>
        <w:t>This question was to be decided</w:t>
      </w:r>
    </w:p>
    <w:p>
      <w:pPr>
        <w:pStyle w:val="BodyText"/>
        <w:spacing w:line="220" w:lineRule="auto" w:before="34"/>
        <w:ind w:right="48"/>
      </w:pPr>
      <w:r>
        <w:rPr>
          <w:w w:val="110"/>
        </w:rPr>
        <w:t>by the referring court. The actual </w:t>
      </w:r>
      <w:r>
        <w:rPr/>
        <w:t>consequences of </w:t>
      </w:r>
      <w:r>
        <w:rPr>
          <w:rFonts w:ascii="Verdana"/>
          <w:i/>
        </w:rPr>
        <w:t>Fransson </w:t>
      </w:r>
      <w:r>
        <w:rPr>
          <w:rFonts w:ascii="Lucida Sans Unicode"/>
        </w:rPr>
        <w:t>in </w:t>
      </w:r>
      <w:r>
        <w:rPr>
          <w:rFonts w:ascii="Lucida Sans Unicode"/>
        </w:rPr>
        <w:t>Swedish </w:t>
      </w:r>
      <w:r>
        <w:rPr>
          <w:rFonts w:ascii="Lucida Sans Unicode"/>
          <w:spacing w:val="-2"/>
          <w:w w:val="110"/>
        </w:rPr>
        <w:t>law</w:t>
      </w:r>
      <w:r>
        <w:rPr>
          <w:rFonts w:ascii="Lucida Sans Unicode"/>
          <w:spacing w:val="-19"/>
          <w:w w:val="110"/>
        </w:rPr>
        <w:t> </w:t>
      </w:r>
      <w:r>
        <w:rPr>
          <w:rFonts w:ascii="Lucida Sans Unicode"/>
          <w:spacing w:val="-2"/>
          <w:w w:val="110"/>
        </w:rPr>
        <w:t>were</w:t>
      </w:r>
      <w:r>
        <w:rPr>
          <w:rFonts w:ascii="Lucida Sans Unicode"/>
          <w:spacing w:val="-19"/>
          <w:w w:val="110"/>
        </w:rPr>
        <w:t> </w:t>
      </w:r>
      <w:r>
        <w:rPr>
          <w:rFonts w:ascii="Lucida Sans Unicode"/>
          <w:spacing w:val="-2"/>
          <w:w w:val="110"/>
        </w:rPr>
        <w:t>considerable:</w:t>
      </w:r>
      <w:r>
        <w:rPr>
          <w:rFonts w:ascii="Lucida Sans Unicode"/>
          <w:spacing w:val="-19"/>
          <w:w w:val="110"/>
        </w:rPr>
        <w:t> </w:t>
      </w:r>
      <w:r>
        <w:rPr>
          <w:rFonts w:ascii="Lucida Sans Unicode"/>
          <w:spacing w:val="-2"/>
          <w:w w:val="110"/>
        </w:rPr>
        <w:t>the</w:t>
      </w:r>
      <w:r>
        <w:rPr>
          <w:rFonts w:ascii="Lucida Sans Unicode"/>
          <w:spacing w:val="-19"/>
          <w:w w:val="110"/>
        </w:rPr>
        <w:t> </w:t>
      </w:r>
      <w:r>
        <w:rPr>
          <w:rFonts w:ascii="Lucida Sans Unicode"/>
          <w:spacing w:val="-2"/>
          <w:w w:val="110"/>
        </w:rPr>
        <w:t>Swedish </w:t>
      </w:r>
      <w:r>
        <w:rPr>
          <w:w w:val="110"/>
        </w:rPr>
        <w:t>courts held that in the case there</w:t>
      </w:r>
    </w:p>
    <w:p>
      <w:pPr>
        <w:pStyle w:val="BodyText"/>
        <w:spacing w:line="230" w:lineRule="auto" w:before="8"/>
        <w:ind w:right="183"/>
        <w:rPr>
          <w:rFonts w:ascii="Lucida Sans Unicode"/>
        </w:rPr>
      </w:pPr>
      <w:r>
        <w:rPr>
          <w:rFonts w:ascii="Lucida Sans Unicode"/>
          <w:w w:val="105"/>
        </w:rPr>
        <w:t>was a violation of Article 50 CFR; </w:t>
      </w:r>
      <w:r>
        <w:rPr>
          <w:w w:val="105"/>
        </w:rPr>
        <w:t>and this resulted in a large number </w:t>
      </w:r>
      <w:r>
        <w:rPr>
          <w:w w:val="105"/>
        </w:rPr>
        <w:t>of</w:t>
      </w:r>
      <w:r>
        <w:rPr>
          <w:spacing w:val="40"/>
          <w:w w:val="105"/>
        </w:rPr>
        <w:t> </w:t>
      </w:r>
      <w:r>
        <w:rPr>
          <w:rFonts w:ascii="Lucida Sans Unicode"/>
        </w:rPr>
        <w:t>petitions</w:t>
      </w:r>
      <w:r>
        <w:rPr>
          <w:rFonts w:ascii="Lucida Sans Unicode"/>
          <w:spacing w:val="8"/>
        </w:rPr>
        <w:t> </w:t>
      </w:r>
      <w:r>
        <w:rPr>
          <w:rFonts w:ascii="Lucida Sans Unicode"/>
        </w:rPr>
        <w:t>for</w:t>
      </w:r>
      <w:r>
        <w:rPr>
          <w:rFonts w:ascii="Lucida Sans Unicode"/>
          <w:spacing w:val="8"/>
        </w:rPr>
        <w:t> </w:t>
      </w:r>
      <w:r>
        <w:rPr>
          <w:rFonts w:ascii="Lucida Sans Unicode"/>
        </w:rPr>
        <w:t>a</w:t>
      </w:r>
      <w:r>
        <w:rPr>
          <w:rFonts w:ascii="Lucida Sans Unicode"/>
          <w:spacing w:val="8"/>
        </w:rPr>
        <w:t> </w:t>
      </w:r>
      <w:r>
        <w:rPr>
          <w:rFonts w:ascii="Lucida Sans Unicode"/>
        </w:rPr>
        <w:t>retrial</w:t>
      </w:r>
      <w:r>
        <w:rPr>
          <w:rFonts w:ascii="Lucida Sans Unicode"/>
          <w:spacing w:val="8"/>
        </w:rPr>
        <w:t> </w:t>
      </w:r>
      <w:r>
        <w:rPr>
          <w:rFonts w:ascii="Lucida Sans Unicode"/>
        </w:rPr>
        <w:t>in</w:t>
      </w:r>
      <w:r>
        <w:rPr>
          <w:rFonts w:ascii="Lucida Sans Unicode"/>
          <w:spacing w:val="9"/>
        </w:rPr>
        <w:t> </w:t>
      </w:r>
      <w:r>
        <w:rPr>
          <w:rFonts w:ascii="Lucida Sans Unicode"/>
        </w:rPr>
        <w:t>Sweden</w:t>
      </w:r>
      <w:r>
        <w:rPr>
          <w:rFonts w:ascii="Lucida Sans Unicode"/>
          <w:spacing w:val="8"/>
        </w:rPr>
        <w:t> </w:t>
      </w:r>
      <w:r>
        <w:rPr>
          <w:rFonts w:ascii="Lucida Sans Unicode"/>
          <w:spacing w:val="-4"/>
        </w:rPr>
        <w:t>given</w:t>
      </w:r>
    </w:p>
    <w:p>
      <w:pPr>
        <w:pStyle w:val="BodyText"/>
        <w:spacing w:line="305" w:lineRule="exact"/>
        <w:rPr>
          <w:rFonts w:ascii="Lucida Sans Unicode"/>
        </w:rPr>
      </w:pPr>
      <w:r>
        <w:rPr>
          <w:rFonts w:ascii="Lucida Sans Unicode"/>
        </w:rPr>
        <w:t>that</w:t>
      </w:r>
      <w:r>
        <w:rPr>
          <w:rFonts w:ascii="Lucida Sans Unicode"/>
          <w:spacing w:val="4"/>
        </w:rPr>
        <w:t> </w:t>
      </w:r>
      <w:r>
        <w:rPr>
          <w:rFonts w:ascii="Lucida Sans Unicode"/>
        </w:rPr>
        <w:t>more</w:t>
      </w:r>
      <w:r>
        <w:rPr>
          <w:rFonts w:ascii="Lucida Sans Unicode"/>
          <w:spacing w:val="5"/>
        </w:rPr>
        <w:t> </w:t>
      </w:r>
      <w:r>
        <w:rPr>
          <w:rFonts w:ascii="Lucida Sans Unicode"/>
        </w:rPr>
        <w:t>than</w:t>
      </w:r>
      <w:r>
        <w:rPr>
          <w:rFonts w:ascii="Lucida Sans Unicode"/>
          <w:spacing w:val="5"/>
        </w:rPr>
        <w:t> </w:t>
      </w:r>
      <w:r>
        <w:rPr>
          <w:rFonts w:ascii="Lucida Sans Unicode"/>
        </w:rPr>
        <w:t>1,000</w:t>
      </w:r>
      <w:r>
        <w:rPr>
          <w:rFonts w:ascii="Lucida Sans Unicode"/>
          <w:spacing w:val="5"/>
        </w:rPr>
        <w:t> </w:t>
      </w:r>
      <w:r>
        <w:rPr>
          <w:rFonts w:ascii="Lucida Sans Unicode"/>
        </w:rPr>
        <w:t>people</w:t>
      </w:r>
      <w:r>
        <w:rPr>
          <w:rFonts w:ascii="Lucida Sans Unicode"/>
          <w:spacing w:val="4"/>
        </w:rPr>
        <w:t> </w:t>
      </w:r>
      <w:r>
        <w:rPr>
          <w:rFonts w:ascii="Lucida Sans Unicode"/>
        </w:rPr>
        <w:t>had</w:t>
      </w:r>
      <w:r>
        <w:rPr>
          <w:rFonts w:ascii="Lucida Sans Unicode"/>
          <w:spacing w:val="5"/>
        </w:rPr>
        <w:t> </w:t>
      </w:r>
      <w:r>
        <w:rPr>
          <w:rFonts w:ascii="Lucida Sans Unicode"/>
          <w:spacing w:val="-4"/>
        </w:rPr>
        <w:t>been</w:t>
      </w:r>
    </w:p>
    <w:p>
      <w:pPr>
        <w:pStyle w:val="BodyText"/>
        <w:spacing w:line="220" w:lineRule="auto" w:before="8"/>
        <w:ind w:right="168"/>
      </w:pPr>
      <w:r>
        <w:rPr>
          <w:w w:val="110"/>
        </w:rPr>
        <w:t>convicted in contravention of Article </w:t>
      </w:r>
      <w:r>
        <w:rPr>
          <w:rFonts w:ascii="Lucida Sans Unicode"/>
          <w:w w:val="110"/>
        </w:rPr>
        <w:t>50</w:t>
      </w:r>
      <w:r>
        <w:rPr>
          <w:rFonts w:ascii="Lucida Sans Unicode"/>
          <w:spacing w:val="-15"/>
          <w:w w:val="110"/>
        </w:rPr>
        <w:t> </w:t>
      </w:r>
      <w:r>
        <w:rPr>
          <w:rFonts w:ascii="Lucida Sans Unicode"/>
          <w:w w:val="110"/>
        </w:rPr>
        <w:t>CFR</w:t>
      </w:r>
      <w:r>
        <w:rPr>
          <w:rFonts w:ascii="Lucida Sans Unicode"/>
          <w:spacing w:val="-15"/>
          <w:w w:val="110"/>
        </w:rPr>
        <w:t> </w:t>
      </w:r>
      <w:r>
        <w:rPr>
          <w:rFonts w:ascii="Lucida Sans Unicode"/>
          <w:w w:val="110"/>
        </w:rPr>
        <w:t>as</w:t>
      </w:r>
      <w:r>
        <w:rPr>
          <w:rFonts w:ascii="Lucida Sans Unicode"/>
          <w:spacing w:val="-15"/>
          <w:w w:val="110"/>
        </w:rPr>
        <w:t> </w:t>
      </w:r>
      <w:r>
        <w:rPr>
          <w:rFonts w:ascii="Lucida Sans Unicode"/>
          <w:w w:val="110"/>
        </w:rPr>
        <w:t>now</w:t>
      </w:r>
      <w:r>
        <w:rPr>
          <w:rFonts w:ascii="Lucida Sans Unicode"/>
          <w:spacing w:val="-15"/>
          <w:w w:val="110"/>
        </w:rPr>
        <w:t> </w:t>
      </w:r>
      <w:r>
        <w:rPr>
          <w:rFonts w:ascii="Lucida Sans Unicode"/>
          <w:w w:val="110"/>
        </w:rPr>
        <w:t>interpreted</w:t>
      </w:r>
      <w:r>
        <w:rPr>
          <w:rFonts w:ascii="Lucida Sans Unicode"/>
          <w:spacing w:val="-15"/>
          <w:w w:val="110"/>
        </w:rPr>
        <w:t> </w:t>
      </w:r>
      <w:r>
        <w:rPr>
          <w:rFonts w:ascii="Lucida Sans Unicode"/>
          <w:w w:val="110"/>
        </w:rPr>
        <w:t>by</w:t>
      </w:r>
      <w:r>
        <w:rPr>
          <w:rFonts w:ascii="Lucida Sans Unicode"/>
          <w:spacing w:val="-15"/>
          <w:w w:val="110"/>
        </w:rPr>
        <w:t> </w:t>
      </w:r>
      <w:r>
        <w:rPr>
          <w:rFonts w:ascii="Lucida Sans Unicode"/>
          <w:w w:val="110"/>
        </w:rPr>
        <w:t>the Swedish</w:t>
      </w:r>
      <w:r>
        <w:rPr>
          <w:rFonts w:ascii="Lucida Sans Unicode"/>
          <w:spacing w:val="-21"/>
          <w:w w:val="110"/>
        </w:rPr>
        <w:t> </w:t>
      </w:r>
      <w:r>
        <w:rPr>
          <w:rFonts w:ascii="Lucida Sans Unicode"/>
          <w:w w:val="110"/>
        </w:rPr>
        <w:t>courts.</w:t>
      </w:r>
      <w:r>
        <w:rPr>
          <w:rFonts w:ascii="Lucida Sans Unicode"/>
          <w:w w:val="110"/>
          <w:vertAlign w:val="superscript"/>
        </w:rPr>
        <w:t>292</w:t>
      </w:r>
      <w:r>
        <w:rPr>
          <w:rFonts w:ascii="Lucida Sans Unicode"/>
          <w:spacing w:val="-21"/>
          <w:w w:val="110"/>
          <w:vertAlign w:val="baseline"/>
        </w:rPr>
        <w:t> </w:t>
      </w:r>
      <w:r>
        <w:rPr>
          <w:w w:val="110"/>
          <w:vertAlign w:val="baseline"/>
        </w:rPr>
        <w:t>This</w:t>
      </w:r>
      <w:r>
        <w:rPr>
          <w:spacing w:val="-11"/>
          <w:w w:val="110"/>
          <w:vertAlign w:val="baseline"/>
        </w:rPr>
        <w:t> </w:t>
      </w:r>
      <w:r>
        <w:rPr>
          <w:w w:val="110"/>
          <w:vertAlign w:val="baseline"/>
        </w:rPr>
        <w:t>shows</w:t>
      </w:r>
      <w:r>
        <w:rPr>
          <w:spacing w:val="-11"/>
          <w:w w:val="110"/>
          <w:vertAlign w:val="baseline"/>
        </w:rPr>
        <w:t> </w:t>
      </w:r>
      <w:r>
        <w:rPr>
          <w:w w:val="110"/>
          <w:vertAlign w:val="baseline"/>
        </w:rPr>
        <w:t>that an</w:t>
      </w:r>
      <w:r>
        <w:rPr>
          <w:spacing w:val="-11"/>
          <w:w w:val="110"/>
          <w:vertAlign w:val="baseline"/>
        </w:rPr>
        <w:t> </w:t>
      </w:r>
      <w:r>
        <w:rPr>
          <w:w w:val="110"/>
          <w:vertAlign w:val="baseline"/>
        </w:rPr>
        <w:t>EU</w:t>
      </w:r>
      <w:r>
        <w:rPr>
          <w:spacing w:val="-11"/>
          <w:w w:val="110"/>
          <w:vertAlign w:val="baseline"/>
        </w:rPr>
        <w:t> </w:t>
      </w:r>
      <w:r>
        <w:rPr>
          <w:w w:val="110"/>
          <w:vertAlign w:val="baseline"/>
        </w:rPr>
        <w:t>measure</w:t>
      </w:r>
      <w:r>
        <w:rPr>
          <w:spacing w:val="-11"/>
          <w:w w:val="110"/>
          <w:vertAlign w:val="baseline"/>
        </w:rPr>
        <w:t> </w:t>
      </w:r>
      <w:r>
        <w:rPr>
          <w:w w:val="110"/>
          <w:vertAlign w:val="baseline"/>
        </w:rPr>
        <w:t>having,</w:t>
      </w:r>
      <w:r>
        <w:rPr>
          <w:spacing w:val="-11"/>
          <w:w w:val="110"/>
          <w:vertAlign w:val="baseline"/>
        </w:rPr>
        <w:t> </w:t>
      </w:r>
      <w:r>
        <w:rPr>
          <w:w w:val="110"/>
          <w:vertAlign w:val="baseline"/>
        </w:rPr>
        <w:t>in</w:t>
      </w:r>
      <w:r>
        <w:rPr>
          <w:spacing w:val="-11"/>
          <w:w w:val="110"/>
          <w:vertAlign w:val="baseline"/>
        </w:rPr>
        <w:t> </w:t>
      </w:r>
      <w:r>
        <w:rPr>
          <w:w w:val="110"/>
          <w:vertAlign w:val="baseline"/>
        </w:rPr>
        <w:t>principle,</w:t>
      </w:r>
      <w:r>
        <w:rPr>
          <w:spacing w:val="-11"/>
          <w:w w:val="110"/>
          <w:vertAlign w:val="baseline"/>
        </w:rPr>
        <w:t> </w:t>
      </w:r>
      <w:r>
        <w:rPr>
          <w:w w:val="110"/>
          <w:vertAlign w:val="baseline"/>
        </w:rPr>
        <w:t>a</w:t>
      </w:r>
    </w:p>
    <w:p>
      <w:pPr>
        <w:pStyle w:val="BodyText"/>
        <w:spacing w:line="259" w:lineRule="auto" w:before="36"/>
        <w:ind w:right="48"/>
        <w:rPr>
          <w:rFonts w:ascii="Lucida Sans Unicode"/>
        </w:rPr>
      </w:pPr>
      <w:r>
        <w:rPr>
          <w:w w:val="110"/>
        </w:rPr>
        <w:t>different aim (the harmonisation of VAT) can be used as a vehicle for the expansion of fundamental rights in </w:t>
      </w:r>
      <w:r>
        <w:rPr>
          <w:w w:val="110"/>
        </w:rPr>
        <w:t>the </w:t>
      </w:r>
      <w:r>
        <w:rPr>
          <w:rFonts w:ascii="Lucida Sans Unicode"/>
        </w:rPr>
        <w:t>field in which the directive operates.</w:t>
      </w:r>
    </w:p>
    <w:p>
      <w:pPr>
        <w:pStyle w:val="BodyText"/>
        <w:spacing w:line="310" w:lineRule="exact" w:before="224"/>
        <w:ind w:right="31"/>
      </w:pPr>
      <w:r>
        <w:rPr>
          <w:w w:val="110"/>
        </w:rPr>
        <w:t>In a similar vein, in areas coming </w:t>
      </w:r>
      <w:r>
        <w:rPr>
          <w:rFonts w:ascii="Lucida Sans Unicode"/>
          <w:w w:val="110"/>
        </w:rPr>
        <w:t>within</w:t>
      </w:r>
      <w:r>
        <w:rPr>
          <w:rFonts w:ascii="Lucida Sans Unicode"/>
          <w:spacing w:val="-17"/>
          <w:w w:val="110"/>
        </w:rPr>
        <w:t> </w:t>
      </w:r>
      <w:r>
        <w:rPr>
          <w:rFonts w:ascii="Lucida Sans Unicode"/>
          <w:w w:val="110"/>
        </w:rPr>
        <w:t>the</w:t>
      </w:r>
      <w:r>
        <w:rPr>
          <w:rFonts w:ascii="Lucida Sans Unicode"/>
          <w:spacing w:val="-17"/>
          <w:w w:val="110"/>
        </w:rPr>
        <w:t> </w:t>
      </w:r>
      <w:r>
        <w:rPr>
          <w:rFonts w:ascii="Lucida Sans Unicode"/>
          <w:w w:val="110"/>
        </w:rPr>
        <w:t>scope</w:t>
      </w:r>
      <w:r>
        <w:rPr>
          <w:rFonts w:ascii="Lucida Sans Unicode"/>
          <w:spacing w:val="-17"/>
          <w:w w:val="110"/>
        </w:rPr>
        <w:t> </w:t>
      </w:r>
      <w:r>
        <w:rPr>
          <w:rFonts w:ascii="Lucida Sans Unicode"/>
          <w:w w:val="110"/>
        </w:rPr>
        <w:t>of</w:t>
      </w:r>
      <w:r>
        <w:rPr>
          <w:rFonts w:ascii="Lucida Sans Unicode"/>
          <w:spacing w:val="-17"/>
          <w:w w:val="110"/>
        </w:rPr>
        <w:t> </w:t>
      </w:r>
      <w:r>
        <w:rPr>
          <w:rFonts w:ascii="Lucida Sans Unicode"/>
          <w:w w:val="110"/>
        </w:rPr>
        <w:t>Article</w:t>
      </w:r>
      <w:r>
        <w:rPr>
          <w:rFonts w:ascii="Lucida Sans Unicode"/>
          <w:spacing w:val="-17"/>
          <w:w w:val="110"/>
        </w:rPr>
        <w:t> </w:t>
      </w:r>
      <w:r>
        <w:rPr>
          <w:rFonts w:ascii="Lucida Sans Unicode"/>
          <w:w w:val="110"/>
        </w:rPr>
        <w:t>4</w:t>
      </w:r>
      <w:r>
        <w:rPr>
          <w:rFonts w:ascii="Lucida Sans Unicode"/>
          <w:spacing w:val="-17"/>
          <w:w w:val="110"/>
        </w:rPr>
        <w:t> </w:t>
      </w:r>
      <w:r>
        <w:rPr>
          <w:rFonts w:ascii="Lucida Sans Unicode"/>
          <w:w w:val="110"/>
        </w:rPr>
        <w:t>WA,</w:t>
      </w:r>
      <w:r>
        <w:rPr>
          <w:rFonts w:ascii="Lucida Sans Unicode"/>
          <w:spacing w:val="-17"/>
          <w:w w:val="110"/>
        </w:rPr>
        <w:t> </w:t>
      </w:r>
      <w:r>
        <w:rPr>
          <w:rFonts w:ascii="Lucida Sans Unicode"/>
          <w:w w:val="110"/>
        </w:rPr>
        <w:t>the </w:t>
      </w:r>
      <w:r>
        <w:rPr>
          <w:w w:val="110"/>
        </w:rPr>
        <w:t>Charter will continue to have a broad interpretive value. First, in line with the</w:t>
      </w:r>
    </w:p>
    <w:p>
      <w:pPr>
        <w:spacing w:line="310" w:lineRule="exact" w:before="49"/>
        <w:ind w:left="113" w:right="170" w:firstLine="0"/>
        <w:jc w:val="left"/>
        <w:rPr>
          <w:sz w:val="24"/>
        </w:rPr>
      </w:pPr>
      <w:r>
        <w:rPr/>
        <w:br w:type="column"/>
      </w:r>
      <w:r>
        <w:rPr>
          <w:rFonts w:ascii="Lucida Sans Unicode"/>
          <w:sz w:val="24"/>
        </w:rPr>
        <w:t>findings</w:t>
      </w:r>
      <w:r>
        <w:rPr>
          <w:rFonts w:ascii="Lucida Sans Unicode"/>
          <w:spacing w:val="-12"/>
          <w:sz w:val="24"/>
        </w:rPr>
        <w:t> </w:t>
      </w:r>
      <w:r>
        <w:rPr>
          <w:rFonts w:ascii="Lucida Sans Unicode"/>
          <w:sz w:val="24"/>
        </w:rPr>
        <w:t>in</w:t>
      </w:r>
      <w:r>
        <w:rPr>
          <w:rFonts w:ascii="Lucida Sans Unicode"/>
          <w:spacing w:val="-12"/>
          <w:sz w:val="24"/>
        </w:rPr>
        <w:t> </w:t>
      </w:r>
      <w:r>
        <w:rPr>
          <w:rFonts w:ascii="Verdana"/>
          <w:i/>
          <w:sz w:val="24"/>
        </w:rPr>
        <w:t>Kamberaj</w:t>
      </w:r>
      <w:r>
        <w:rPr>
          <w:rFonts w:ascii="Verdana"/>
          <w:i/>
          <w:spacing w:val="-21"/>
          <w:sz w:val="24"/>
        </w:rPr>
        <w:t> </w:t>
      </w:r>
      <w:r>
        <w:rPr>
          <w:sz w:val="24"/>
        </w:rPr>
        <w:t>and</w:t>
      </w:r>
      <w:r>
        <w:rPr>
          <w:spacing w:val="-3"/>
          <w:sz w:val="24"/>
        </w:rPr>
        <w:t> </w:t>
      </w:r>
      <w:r>
        <w:rPr>
          <w:rFonts w:ascii="Verdana"/>
          <w:i/>
          <w:sz w:val="24"/>
        </w:rPr>
        <w:t>Commission</w:t>
      </w:r>
      <w:r>
        <w:rPr>
          <w:rFonts w:ascii="Verdana"/>
          <w:i/>
          <w:sz w:val="24"/>
        </w:rPr>
        <w:t> </w:t>
      </w:r>
      <w:r>
        <w:rPr>
          <w:rFonts w:ascii="Verdana"/>
          <w:i/>
          <w:w w:val="110"/>
          <w:sz w:val="24"/>
        </w:rPr>
        <w:t>v Poland</w:t>
      </w:r>
      <w:r>
        <w:rPr>
          <w:w w:val="110"/>
          <w:sz w:val="24"/>
        </w:rPr>
        <w:t>, the interpretation of all provisions of the Treaties, as well</w:t>
      </w:r>
    </w:p>
    <w:p>
      <w:pPr>
        <w:pStyle w:val="BodyText"/>
        <w:spacing w:line="310" w:lineRule="exact"/>
        <w:ind w:right="266"/>
      </w:pPr>
      <w:r>
        <w:rPr>
          <w:w w:val="115"/>
        </w:rPr>
        <w:t>as of secondary legislation, must conform</w:t>
      </w:r>
      <w:r>
        <w:rPr>
          <w:spacing w:val="-8"/>
          <w:w w:val="115"/>
        </w:rPr>
        <w:t> </w:t>
      </w:r>
      <w:r>
        <w:rPr>
          <w:w w:val="115"/>
        </w:rPr>
        <w:t>to</w:t>
      </w:r>
      <w:r>
        <w:rPr>
          <w:spacing w:val="-8"/>
          <w:w w:val="115"/>
        </w:rPr>
        <w:t> </w:t>
      </w:r>
      <w:r>
        <w:rPr>
          <w:w w:val="115"/>
        </w:rPr>
        <w:t>the</w:t>
      </w:r>
      <w:r>
        <w:rPr>
          <w:spacing w:val="-8"/>
          <w:w w:val="115"/>
        </w:rPr>
        <w:t> </w:t>
      </w:r>
      <w:r>
        <w:rPr>
          <w:w w:val="115"/>
        </w:rPr>
        <w:t>Charter.</w:t>
      </w:r>
      <w:r>
        <w:rPr>
          <w:rFonts w:ascii="Lucida Sans Unicode"/>
          <w:w w:val="115"/>
          <w:vertAlign w:val="superscript"/>
        </w:rPr>
        <w:t>293</w:t>
      </w:r>
      <w:r>
        <w:rPr>
          <w:rFonts w:ascii="Lucida Sans Unicode"/>
          <w:spacing w:val="-19"/>
          <w:w w:val="115"/>
          <w:vertAlign w:val="baseline"/>
        </w:rPr>
        <w:t> </w:t>
      </w:r>
      <w:r>
        <w:rPr>
          <w:w w:val="115"/>
          <w:vertAlign w:val="baseline"/>
        </w:rPr>
        <w:t>Any</w:t>
      </w:r>
      <w:r>
        <w:rPr>
          <w:spacing w:val="-8"/>
          <w:w w:val="115"/>
          <w:vertAlign w:val="baseline"/>
        </w:rPr>
        <w:t> </w:t>
      </w:r>
      <w:r>
        <w:rPr>
          <w:w w:val="115"/>
          <w:vertAlign w:val="baseline"/>
        </w:rPr>
        <w:t>EU law</w:t>
      </w:r>
      <w:r>
        <w:rPr>
          <w:spacing w:val="-20"/>
          <w:w w:val="115"/>
          <w:vertAlign w:val="baseline"/>
        </w:rPr>
        <w:t> </w:t>
      </w:r>
      <w:r>
        <w:rPr>
          <w:w w:val="115"/>
          <w:vertAlign w:val="baseline"/>
        </w:rPr>
        <w:t>made</w:t>
      </w:r>
      <w:r>
        <w:rPr>
          <w:spacing w:val="-19"/>
          <w:w w:val="115"/>
          <w:vertAlign w:val="baseline"/>
        </w:rPr>
        <w:t> </w:t>
      </w:r>
      <w:r>
        <w:rPr>
          <w:w w:val="115"/>
          <w:vertAlign w:val="baseline"/>
        </w:rPr>
        <w:t>applicable</w:t>
      </w:r>
      <w:r>
        <w:rPr>
          <w:spacing w:val="-19"/>
          <w:w w:val="115"/>
          <w:vertAlign w:val="baseline"/>
        </w:rPr>
        <w:t> </w:t>
      </w:r>
      <w:r>
        <w:rPr>
          <w:w w:val="115"/>
          <w:vertAlign w:val="baseline"/>
        </w:rPr>
        <w:t>by</w:t>
      </w:r>
      <w:r>
        <w:rPr>
          <w:spacing w:val="-19"/>
          <w:w w:val="115"/>
          <w:vertAlign w:val="baseline"/>
        </w:rPr>
        <w:t> </w:t>
      </w:r>
      <w:r>
        <w:rPr>
          <w:w w:val="115"/>
          <w:vertAlign w:val="baseline"/>
        </w:rPr>
        <w:t>the</w:t>
      </w:r>
      <w:r>
        <w:rPr>
          <w:spacing w:val="-19"/>
          <w:w w:val="115"/>
          <w:vertAlign w:val="baseline"/>
        </w:rPr>
        <w:t> </w:t>
      </w:r>
      <w:r>
        <w:rPr>
          <w:w w:val="115"/>
          <w:vertAlign w:val="baseline"/>
        </w:rPr>
        <w:t>Windsor Framework must be interpreted</w:t>
      </w:r>
    </w:p>
    <w:p>
      <w:pPr>
        <w:pStyle w:val="BodyText"/>
        <w:spacing w:line="310" w:lineRule="exact"/>
        <w:ind w:right="266"/>
      </w:pPr>
      <w:r>
        <w:rPr>
          <w:w w:val="105"/>
        </w:rPr>
        <w:t>in light of the Charter. Most of the</w:t>
      </w:r>
      <w:r>
        <w:rPr>
          <w:spacing w:val="80"/>
          <w:w w:val="105"/>
        </w:rPr>
        <w:t> </w:t>
      </w:r>
      <w:r>
        <w:rPr>
          <w:rFonts w:ascii="Lucida Sans Unicode" w:hAnsi="Lucida Sans Unicode"/>
          <w:w w:val="105"/>
        </w:rPr>
        <w:t>provisions</w:t>
      </w:r>
      <w:r>
        <w:rPr>
          <w:rFonts w:ascii="Lucida Sans Unicode" w:hAnsi="Lucida Sans Unicode"/>
          <w:spacing w:val="-20"/>
          <w:w w:val="105"/>
        </w:rPr>
        <w:t> </w:t>
      </w:r>
      <w:r>
        <w:rPr>
          <w:rFonts w:ascii="Lucida Sans Unicode" w:hAnsi="Lucida Sans Unicode"/>
          <w:w w:val="105"/>
        </w:rPr>
        <w:t>are</w:t>
      </w:r>
      <w:r>
        <w:rPr>
          <w:rFonts w:ascii="Lucida Sans Unicode" w:hAnsi="Lucida Sans Unicode"/>
          <w:spacing w:val="-20"/>
          <w:w w:val="105"/>
        </w:rPr>
        <w:t> </w:t>
      </w:r>
      <w:r>
        <w:rPr>
          <w:rFonts w:ascii="Lucida Sans Unicode" w:hAnsi="Lucida Sans Unicode"/>
          <w:w w:val="105"/>
        </w:rPr>
        <w:t>found</w:t>
      </w:r>
      <w:r>
        <w:rPr>
          <w:rFonts w:ascii="Lucida Sans Unicode" w:hAnsi="Lucida Sans Unicode"/>
          <w:spacing w:val="-20"/>
          <w:w w:val="105"/>
        </w:rPr>
        <w:t> </w:t>
      </w:r>
      <w:r>
        <w:rPr>
          <w:rFonts w:ascii="Lucida Sans Unicode" w:hAnsi="Lucida Sans Unicode"/>
          <w:w w:val="105"/>
        </w:rPr>
        <w:t>in</w:t>
      </w:r>
      <w:r>
        <w:rPr>
          <w:rFonts w:ascii="Lucida Sans Unicode" w:hAnsi="Lucida Sans Unicode"/>
          <w:spacing w:val="-20"/>
          <w:w w:val="105"/>
        </w:rPr>
        <w:t> </w:t>
      </w:r>
      <w:r>
        <w:rPr>
          <w:rFonts w:ascii="Lucida Sans Unicode" w:hAnsi="Lucida Sans Unicode"/>
          <w:w w:val="105"/>
        </w:rPr>
        <w:t>Annexes</w:t>
      </w:r>
      <w:r>
        <w:rPr>
          <w:rFonts w:ascii="Lucida Sans Unicode" w:hAnsi="Lucida Sans Unicode"/>
          <w:spacing w:val="-20"/>
          <w:w w:val="105"/>
        </w:rPr>
        <w:t> </w:t>
      </w:r>
      <w:r>
        <w:rPr>
          <w:rFonts w:ascii="Lucida Sans Unicode" w:hAnsi="Lucida Sans Unicode"/>
          <w:w w:val="105"/>
        </w:rPr>
        <w:t>2-5 </w:t>
      </w:r>
      <w:r>
        <w:rPr>
          <w:w w:val="105"/>
        </w:rPr>
        <w:t>Windsor Framework and are – </w:t>
      </w:r>
      <w:r>
        <w:rPr>
          <w:w w:val="105"/>
        </w:rPr>
        <w:t>broadly</w:t>
      </w:r>
      <w:r>
        <w:rPr>
          <w:spacing w:val="40"/>
          <w:w w:val="105"/>
        </w:rPr>
        <w:t> </w:t>
      </w:r>
      <w:r>
        <w:rPr>
          <w:w w:val="105"/>
        </w:rPr>
        <w:t>speaking</w:t>
      </w:r>
      <w:r>
        <w:rPr>
          <w:spacing w:val="40"/>
          <w:w w:val="105"/>
        </w:rPr>
        <w:t> </w:t>
      </w:r>
      <w:r>
        <w:rPr>
          <w:w w:val="105"/>
        </w:rPr>
        <w:t>–</w:t>
      </w:r>
      <w:r>
        <w:rPr>
          <w:spacing w:val="40"/>
          <w:w w:val="105"/>
        </w:rPr>
        <w:t> </w:t>
      </w:r>
      <w:r>
        <w:rPr>
          <w:w w:val="105"/>
        </w:rPr>
        <w:t>of</w:t>
      </w:r>
      <w:r>
        <w:rPr>
          <w:spacing w:val="40"/>
          <w:w w:val="105"/>
        </w:rPr>
        <w:t> </w:t>
      </w:r>
      <w:r>
        <w:rPr>
          <w:w w:val="105"/>
        </w:rPr>
        <w:t>a</w:t>
      </w:r>
      <w:r>
        <w:rPr>
          <w:spacing w:val="40"/>
          <w:w w:val="105"/>
        </w:rPr>
        <w:t> </w:t>
      </w:r>
      <w:r>
        <w:rPr>
          <w:w w:val="105"/>
        </w:rPr>
        <w:t>commercial</w:t>
      </w:r>
      <w:r>
        <w:rPr>
          <w:spacing w:val="40"/>
          <w:w w:val="105"/>
        </w:rPr>
        <w:t> </w:t>
      </w:r>
      <w:r>
        <w:rPr>
          <w:w w:val="105"/>
        </w:rPr>
        <w:t>nature.</w:t>
      </w:r>
    </w:p>
    <w:p>
      <w:pPr>
        <w:pStyle w:val="BodyText"/>
        <w:spacing w:line="252" w:lineRule="auto" w:before="23"/>
        <w:ind w:right="538"/>
        <w:rPr>
          <w:rFonts w:ascii="Lucida Sans Unicode"/>
        </w:rPr>
      </w:pPr>
      <w:r>
        <w:rPr>
          <w:w w:val="110"/>
        </w:rPr>
        <w:t>This means that the Charter rights most relevant to their </w:t>
      </w:r>
      <w:r>
        <w:rPr>
          <w:w w:val="110"/>
        </w:rPr>
        <w:t>interpretation are</w:t>
      </w:r>
      <w:r>
        <w:rPr>
          <w:spacing w:val="-17"/>
          <w:w w:val="110"/>
        </w:rPr>
        <w:t> </w:t>
      </w:r>
      <w:r>
        <w:rPr>
          <w:w w:val="110"/>
        </w:rPr>
        <w:t>Articles</w:t>
      </w:r>
      <w:r>
        <w:rPr>
          <w:spacing w:val="-17"/>
          <w:w w:val="110"/>
        </w:rPr>
        <w:t> </w:t>
      </w:r>
      <w:r>
        <w:rPr>
          <w:w w:val="110"/>
        </w:rPr>
        <w:t>15-17</w:t>
      </w:r>
      <w:r>
        <w:rPr>
          <w:spacing w:val="-17"/>
          <w:w w:val="110"/>
        </w:rPr>
        <w:t> </w:t>
      </w:r>
      <w:r>
        <w:rPr>
          <w:w w:val="110"/>
        </w:rPr>
        <w:t>CFR.</w:t>
      </w:r>
      <w:r>
        <w:rPr>
          <w:rFonts w:ascii="Lucida Sans Unicode"/>
          <w:w w:val="110"/>
          <w:vertAlign w:val="superscript"/>
        </w:rPr>
        <w:t>294</w:t>
      </w:r>
    </w:p>
    <w:p>
      <w:pPr>
        <w:pStyle w:val="BodyText"/>
        <w:spacing w:line="310" w:lineRule="exact" w:before="240"/>
        <w:ind w:right="413"/>
      </w:pPr>
      <w:r>
        <w:rPr>
          <w:w w:val="110"/>
        </w:rPr>
        <w:t>A wider range of Charter rights </w:t>
      </w:r>
      <w:r>
        <w:rPr>
          <w:w w:val="110"/>
        </w:rPr>
        <w:t>may be relevant in the interpretation of </w:t>
      </w:r>
      <w:r>
        <w:rPr>
          <w:rFonts w:ascii="Lucida Sans Unicode" w:hAnsi="Lucida Sans Unicode"/>
          <w:w w:val="110"/>
        </w:rPr>
        <w:t>Article</w:t>
      </w:r>
      <w:r>
        <w:rPr>
          <w:rFonts w:ascii="Lucida Sans Unicode" w:hAnsi="Lucida Sans Unicode"/>
          <w:spacing w:val="-18"/>
          <w:w w:val="110"/>
        </w:rPr>
        <w:t> </w:t>
      </w:r>
      <w:r>
        <w:rPr>
          <w:rFonts w:ascii="Lucida Sans Unicode" w:hAnsi="Lucida Sans Unicode"/>
          <w:w w:val="110"/>
        </w:rPr>
        <w:t>36</w:t>
      </w:r>
      <w:r>
        <w:rPr>
          <w:rFonts w:ascii="Lucida Sans Unicode" w:hAnsi="Lucida Sans Unicode"/>
          <w:spacing w:val="-18"/>
          <w:w w:val="110"/>
        </w:rPr>
        <w:t> </w:t>
      </w:r>
      <w:r>
        <w:rPr>
          <w:rFonts w:ascii="Lucida Sans Unicode" w:hAnsi="Lucida Sans Unicode"/>
          <w:w w:val="110"/>
        </w:rPr>
        <w:t>TFEU</w:t>
      </w:r>
      <w:r>
        <w:rPr>
          <w:rFonts w:ascii="Lucida Sans Unicode" w:hAnsi="Lucida Sans Unicode"/>
          <w:spacing w:val="-18"/>
          <w:w w:val="110"/>
        </w:rPr>
        <w:t> </w:t>
      </w:r>
      <w:r>
        <w:rPr>
          <w:rFonts w:ascii="Lucida Sans Unicode" w:hAnsi="Lucida Sans Unicode"/>
          <w:w w:val="110"/>
        </w:rPr>
        <w:t>–</w:t>
      </w:r>
      <w:r>
        <w:rPr>
          <w:rFonts w:ascii="Lucida Sans Unicode" w:hAnsi="Lucida Sans Unicode"/>
          <w:spacing w:val="-18"/>
          <w:w w:val="110"/>
        </w:rPr>
        <w:t> </w:t>
      </w:r>
      <w:r>
        <w:rPr>
          <w:rFonts w:ascii="Lucida Sans Unicode" w:hAnsi="Lucida Sans Unicode"/>
          <w:w w:val="110"/>
        </w:rPr>
        <w:t>made</w:t>
      </w:r>
      <w:r>
        <w:rPr>
          <w:rFonts w:ascii="Lucida Sans Unicode" w:hAnsi="Lucida Sans Unicode"/>
          <w:spacing w:val="-18"/>
          <w:w w:val="110"/>
        </w:rPr>
        <w:t> </w:t>
      </w:r>
      <w:r>
        <w:rPr>
          <w:rFonts w:ascii="Lucida Sans Unicode" w:hAnsi="Lucida Sans Unicode"/>
          <w:w w:val="110"/>
        </w:rPr>
        <w:t>applicable </w:t>
      </w:r>
      <w:r>
        <w:rPr>
          <w:w w:val="110"/>
        </w:rPr>
        <w:t>by Article 7 (1) Windsor Framework – which is a provision allowing for derogations from free movement</w:t>
      </w:r>
    </w:p>
    <w:p>
      <w:pPr>
        <w:pStyle w:val="BodyText"/>
        <w:spacing w:line="268" w:lineRule="auto" w:before="23"/>
      </w:pPr>
      <w:r>
        <w:rPr>
          <w:w w:val="115"/>
        </w:rPr>
        <w:t>of goods ‘for reasons of grounds of public</w:t>
      </w:r>
      <w:r>
        <w:rPr>
          <w:spacing w:val="-8"/>
          <w:w w:val="115"/>
        </w:rPr>
        <w:t> </w:t>
      </w:r>
      <w:r>
        <w:rPr>
          <w:w w:val="115"/>
        </w:rPr>
        <w:t>morality,</w:t>
      </w:r>
      <w:r>
        <w:rPr>
          <w:spacing w:val="-8"/>
          <w:w w:val="115"/>
        </w:rPr>
        <w:t> </w:t>
      </w:r>
      <w:r>
        <w:rPr>
          <w:w w:val="115"/>
        </w:rPr>
        <w:t>public</w:t>
      </w:r>
      <w:r>
        <w:rPr>
          <w:spacing w:val="-8"/>
          <w:w w:val="115"/>
        </w:rPr>
        <w:t> </w:t>
      </w:r>
      <w:r>
        <w:rPr>
          <w:w w:val="115"/>
        </w:rPr>
        <w:t>policy</w:t>
      </w:r>
      <w:r>
        <w:rPr>
          <w:spacing w:val="-8"/>
          <w:w w:val="115"/>
        </w:rPr>
        <w:t> </w:t>
      </w:r>
      <w:r>
        <w:rPr>
          <w:w w:val="115"/>
        </w:rPr>
        <w:t>or</w:t>
      </w:r>
      <w:r>
        <w:rPr>
          <w:spacing w:val="-8"/>
          <w:w w:val="115"/>
        </w:rPr>
        <w:t> </w:t>
      </w:r>
      <w:r>
        <w:rPr>
          <w:w w:val="115"/>
        </w:rPr>
        <w:t>public security; the protection of health</w:t>
      </w:r>
    </w:p>
    <w:p>
      <w:pPr>
        <w:pStyle w:val="BodyText"/>
        <w:spacing w:line="268" w:lineRule="auto" w:before="3"/>
        <w:ind w:right="204"/>
      </w:pPr>
      <w:r>
        <w:rPr>
          <w:w w:val="110"/>
        </w:rPr>
        <w:t>and life of humans, animals or plants; the protection of national treasures possessing artistic, historic or archaeological value; or the </w:t>
      </w:r>
      <w:r>
        <w:rPr>
          <w:w w:val="110"/>
        </w:rPr>
        <w:t>protection of</w:t>
      </w:r>
      <w:r>
        <w:rPr>
          <w:spacing w:val="40"/>
          <w:w w:val="110"/>
        </w:rPr>
        <w:t> </w:t>
      </w:r>
      <w:r>
        <w:rPr>
          <w:w w:val="110"/>
        </w:rPr>
        <w:t>industrial</w:t>
      </w:r>
      <w:r>
        <w:rPr>
          <w:spacing w:val="40"/>
          <w:w w:val="110"/>
        </w:rPr>
        <w:t> </w:t>
      </w:r>
      <w:r>
        <w:rPr>
          <w:w w:val="110"/>
        </w:rPr>
        <w:t>and</w:t>
      </w:r>
      <w:r>
        <w:rPr>
          <w:spacing w:val="40"/>
          <w:w w:val="110"/>
        </w:rPr>
        <w:t> </w:t>
      </w:r>
      <w:r>
        <w:rPr>
          <w:w w:val="110"/>
        </w:rPr>
        <w:t>commercial</w:t>
      </w:r>
      <w:r>
        <w:rPr>
          <w:spacing w:val="80"/>
          <w:w w:val="110"/>
        </w:rPr>
        <w:t> </w:t>
      </w:r>
      <w:r>
        <w:rPr>
          <w:w w:val="110"/>
        </w:rPr>
        <w:t>property’.</w:t>
      </w:r>
      <w:r>
        <w:rPr>
          <w:spacing w:val="40"/>
          <w:w w:val="110"/>
        </w:rPr>
        <w:t> </w:t>
      </w:r>
      <w:r>
        <w:rPr>
          <w:w w:val="110"/>
        </w:rPr>
        <w:t>According</w:t>
      </w:r>
      <w:r>
        <w:rPr>
          <w:spacing w:val="40"/>
          <w:w w:val="110"/>
        </w:rPr>
        <w:t> </w:t>
      </w:r>
      <w:r>
        <w:rPr>
          <w:w w:val="110"/>
        </w:rPr>
        <w:t>to</w:t>
      </w:r>
      <w:r>
        <w:rPr>
          <w:spacing w:val="40"/>
          <w:w w:val="110"/>
        </w:rPr>
        <w:t> </w:t>
      </w:r>
      <w:r>
        <w:rPr>
          <w:w w:val="110"/>
        </w:rPr>
        <w:t>the</w:t>
      </w:r>
      <w:r>
        <w:rPr>
          <w:spacing w:val="40"/>
          <w:w w:val="110"/>
        </w:rPr>
        <w:t> </w:t>
      </w:r>
      <w:r>
        <w:rPr>
          <w:w w:val="110"/>
        </w:rPr>
        <w:t>case</w:t>
      </w:r>
      <w:r>
        <w:rPr>
          <w:spacing w:val="40"/>
          <w:w w:val="110"/>
        </w:rPr>
        <w:t> </w:t>
      </w:r>
      <w:r>
        <w:rPr>
          <w:w w:val="110"/>
        </w:rPr>
        <w:t>law of the CJEU, these derogations must be interpreted in accordance with the fundamental rights guaranteed by the</w:t>
      </w:r>
    </w:p>
    <w:p>
      <w:pPr>
        <w:pStyle w:val="BodyText"/>
        <w:spacing w:line="201" w:lineRule="auto" w:before="12"/>
        <w:ind w:right="266"/>
        <w:rPr>
          <w:rFonts w:ascii="Lucida Sans Unicode"/>
        </w:rPr>
      </w:pPr>
      <w:r>
        <w:rPr>
          <w:w w:val="110"/>
        </w:rPr>
        <w:t>Charter</w:t>
      </w:r>
      <w:r>
        <w:rPr>
          <w:rFonts w:ascii="Lucida Sans Unicode"/>
          <w:w w:val="110"/>
          <w:vertAlign w:val="superscript"/>
        </w:rPr>
        <w:t>295</w:t>
      </w:r>
      <w:r>
        <w:rPr>
          <w:rFonts w:ascii="Lucida Sans Unicode"/>
          <w:spacing w:val="-19"/>
          <w:w w:val="110"/>
          <w:vertAlign w:val="baseline"/>
        </w:rPr>
        <w:t> </w:t>
      </w:r>
      <w:r>
        <w:rPr>
          <w:w w:val="110"/>
          <w:vertAlign w:val="baseline"/>
        </w:rPr>
        <w:t>and</w:t>
      </w:r>
      <w:r>
        <w:rPr>
          <w:spacing w:val="-9"/>
          <w:w w:val="110"/>
          <w:vertAlign w:val="baseline"/>
        </w:rPr>
        <w:t> </w:t>
      </w:r>
      <w:r>
        <w:rPr>
          <w:w w:val="110"/>
          <w:vertAlign w:val="baseline"/>
        </w:rPr>
        <w:t>the</w:t>
      </w:r>
      <w:r>
        <w:rPr>
          <w:spacing w:val="-9"/>
          <w:w w:val="110"/>
          <w:vertAlign w:val="baseline"/>
        </w:rPr>
        <w:t> </w:t>
      </w:r>
      <w:r>
        <w:rPr>
          <w:w w:val="110"/>
          <w:vertAlign w:val="baseline"/>
        </w:rPr>
        <w:t>general</w:t>
      </w:r>
      <w:r>
        <w:rPr>
          <w:spacing w:val="-9"/>
          <w:w w:val="110"/>
          <w:vertAlign w:val="baseline"/>
        </w:rPr>
        <w:t> </w:t>
      </w:r>
      <w:r>
        <w:rPr>
          <w:w w:val="110"/>
          <w:vertAlign w:val="baseline"/>
        </w:rPr>
        <w:t>principles of EU law.</w:t>
      </w:r>
      <w:r>
        <w:rPr>
          <w:rFonts w:ascii="Lucida Sans Unicode"/>
          <w:w w:val="110"/>
          <w:vertAlign w:val="superscript"/>
        </w:rPr>
        <w:t>296</w:t>
      </w:r>
    </w:p>
    <w:p>
      <w:pPr>
        <w:pStyle w:val="BodyText"/>
        <w:spacing w:line="268" w:lineRule="auto" w:before="280"/>
        <w:ind w:right="178"/>
      </w:pPr>
      <w:r>
        <w:rPr/>
        <w:t>The case of </w:t>
      </w:r>
      <w:r>
        <w:rPr>
          <w:rFonts w:ascii="Verdana"/>
          <w:i/>
        </w:rPr>
        <w:t>Schmidberger </w:t>
      </w:r>
      <w:r>
        <w:rPr/>
        <w:t>provides </w:t>
      </w:r>
      <w:r>
        <w:rPr/>
        <w:t>an</w:t>
      </w:r>
      <w:r>
        <w:rPr>
          <w:w w:val="110"/>
        </w:rPr>
        <w:t> example how the free movement of</w:t>
      </w:r>
    </w:p>
    <w:p>
      <w:pPr>
        <w:spacing w:after="0" w:line="268" w:lineRule="auto"/>
        <w:sectPr>
          <w:type w:val="continuous"/>
          <w:pgSz w:w="11910" w:h="16840"/>
          <w:pgMar w:header="568" w:footer="580" w:top="0" w:bottom="280" w:left="1020" w:right="1020"/>
          <w:cols w:num="2" w:equalWidth="0">
            <w:col w:w="4746" w:space="299"/>
            <w:col w:w="4825"/>
          </w:cols>
        </w:sectPr>
      </w:pPr>
    </w:p>
    <w:p>
      <w:pPr>
        <w:pStyle w:val="BodyText"/>
        <w:spacing w:before="206"/>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180" name="Group 180"/>
                <wp:cNvGraphicFramePr>
                  <a:graphicFrameLocks/>
                </wp:cNvGraphicFramePr>
                <a:graphic>
                  <a:graphicData uri="http://schemas.microsoft.com/office/word/2010/wordprocessingGroup">
                    <wpg:wgp>
                      <wpg:cNvPr id="180" name="Group 180"/>
                      <wpg:cNvGrpSpPr/>
                      <wpg:grpSpPr>
                        <a:xfrm>
                          <a:off x="0" y="0"/>
                          <a:ext cx="6120130" cy="6350"/>
                          <a:chExt cx="6120130" cy="6350"/>
                        </a:xfrm>
                      </wpg:grpSpPr>
                      <wps:wsp>
                        <wps:cNvPr id="181" name="Graphic 181"/>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109"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14"/>
        </w:numPr>
        <w:tabs>
          <w:tab w:pos="566" w:val="left" w:leader="none"/>
        </w:tabs>
        <w:spacing w:line="223" w:lineRule="exact" w:before="61" w:after="0"/>
        <w:ind w:left="566" w:right="0" w:hanging="453"/>
        <w:jc w:val="left"/>
        <w:rPr>
          <w:sz w:val="16"/>
        </w:rPr>
      </w:pPr>
      <w:r>
        <w:rPr>
          <w:rFonts w:ascii="Verdana"/>
          <w:i/>
          <w:sz w:val="16"/>
        </w:rPr>
        <w:t>Engel</w:t>
      </w:r>
      <w:r>
        <w:rPr>
          <w:rFonts w:ascii="Verdana"/>
          <w:i/>
          <w:spacing w:val="-10"/>
          <w:sz w:val="16"/>
        </w:rPr>
        <w:t> </w:t>
      </w:r>
      <w:r>
        <w:rPr>
          <w:rFonts w:ascii="Verdana"/>
          <w:i/>
          <w:sz w:val="16"/>
        </w:rPr>
        <w:t>and</w:t>
      </w:r>
      <w:r>
        <w:rPr>
          <w:rFonts w:ascii="Verdana"/>
          <w:i/>
          <w:spacing w:val="-9"/>
          <w:sz w:val="16"/>
        </w:rPr>
        <w:t> </w:t>
      </w:r>
      <w:r>
        <w:rPr>
          <w:rFonts w:ascii="Verdana"/>
          <w:i/>
          <w:sz w:val="16"/>
        </w:rPr>
        <w:t>Others</w:t>
      </w:r>
      <w:r>
        <w:rPr>
          <w:rFonts w:ascii="Verdana"/>
          <w:i/>
          <w:spacing w:val="-9"/>
          <w:sz w:val="16"/>
        </w:rPr>
        <w:t> </w:t>
      </w:r>
      <w:r>
        <w:rPr>
          <w:rFonts w:ascii="Verdana"/>
          <w:i/>
          <w:sz w:val="16"/>
        </w:rPr>
        <w:t>v</w:t>
      </w:r>
      <w:r>
        <w:rPr>
          <w:rFonts w:ascii="Verdana"/>
          <w:i/>
          <w:spacing w:val="-10"/>
          <w:sz w:val="16"/>
        </w:rPr>
        <w:t> </w:t>
      </w:r>
      <w:r>
        <w:rPr>
          <w:rFonts w:ascii="Verdana"/>
          <w:i/>
          <w:sz w:val="16"/>
        </w:rPr>
        <w:t>The</w:t>
      </w:r>
      <w:r>
        <w:rPr>
          <w:rFonts w:ascii="Verdana"/>
          <w:i/>
          <w:spacing w:val="-9"/>
          <w:sz w:val="16"/>
        </w:rPr>
        <w:t> </w:t>
      </w:r>
      <w:r>
        <w:rPr>
          <w:rFonts w:ascii="Verdana"/>
          <w:i/>
          <w:sz w:val="16"/>
        </w:rPr>
        <w:t>Netherlands</w:t>
      </w:r>
      <w:r>
        <w:rPr>
          <w:rFonts w:ascii="Verdana"/>
          <w:i/>
          <w:spacing w:val="-9"/>
          <w:sz w:val="16"/>
        </w:rPr>
        <w:t> </w:t>
      </w:r>
      <w:r>
        <w:rPr>
          <w:sz w:val="16"/>
        </w:rPr>
        <w:t>(1976)</w:t>
      </w:r>
      <w:r>
        <w:rPr>
          <w:spacing w:val="-4"/>
          <w:sz w:val="16"/>
        </w:rPr>
        <w:t> </w:t>
      </w:r>
      <w:r>
        <w:rPr>
          <w:sz w:val="16"/>
        </w:rPr>
        <w:t>Series</w:t>
      </w:r>
      <w:r>
        <w:rPr>
          <w:spacing w:val="-3"/>
          <w:sz w:val="16"/>
        </w:rPr>
        <w:t> </w:t>
      </w:r>
      <w:r>
        <w:rPr>
          <w:sz w:val="16"/>
        </w:rPr>
        <w:t>A</w:t>
      </w:r>
      <w:r>
        <w:rPr>
          <w:spacing w:val="-3"/>
          <w:sz w:val="16"/>
        </w:rPr>
        <w:t> </w:t>
      </w:r>
      <w:r>
        <w:rPr>
          <w:sz w:val="16"/>
        </w:rPr>
        <w:t>No</w:t>
      </w:r>
      <w:r>
        <w:rPr>
          <w:spacing w:val="-4"/>
          <w:sz w:val="16"/>
        </w:rPr>
        <w:t> </w:t>
      </w:r>
      <w:r>
        <w:rPr>
          <w:spacing w:val="-5"/>
          <w:sz w:val="16"/>
        </w:rPr>
        <w:t>22.</w:t>
      </w:r>
    </w:p>
    <w:p>
      <w:pPr>
        <w:pStyle w:val="ListParagraph"/>
        <w:numPr>
          <w:ilvl w:val="0"/>
          <w:numId w:val="14"/>
        </w:numPr>
        <w:tabs>
          <w:tab w:pos="567" w:val="left" w:leader="none"/>
        </w:tabs>
        <w:spacing w:line="218" w:lineRule="auto" w:before="0" w:after="0"/>
        <w:ind w:left="567" w:right="432" w:hanging="454"/>
        <w:jc w:val="left"/>
        <w:rPr>
          <w:sz w:val="16"/>
        </w:rPr>
      </w:pPr>
      <w:r>
        <w:rPr>
          <w:sz w:val="16"/>
        </w:rPr>
        <w:t>Maria Bergström, ‘The Impact of Case C-617/10: Åkerberg Fransson at National Level - The Swedish Example’ in </w:t>
      </w:r>
      <w:r>
        <w:rPr>
          <w:rFonts w:ascii="Arial" w:hAnsi="Arial"/>
          <w:w w:val="105"/>
          <w:sz w:val="16"/>
        </w:rPr>
        <w:t>Valsamis Mitsilegas, Alberto di Martino and Leandro Mancano (eds), </w:t>
      </w:r>
      <w:r>
        <w:rPr>
          <w:rFonts w:ascii="Verdana" w:hAnsi="Verdana"/>
          <w:i/>
          <w:w w:val="105"/>
          <w:sz w:val="16"/>
        </w:rPr>
        <w:t>The</w:t>
      </w:r>
      <w:r>
        <w:rPr>
          <w:rFonts w:ascii="Verdana" w:hAnsi="Verdana"/>
          <w:i/>
          <w:spacing w:val="-6"/>
          <w:w w:val="105"/>
          <w:sz w:val="16"/>
        </w:rPr>
        <w:t> </w:t>
      </w:r>
      <w:r>
        <w:rPr>
          <w:rFonts w:ascii="Verdana" w:hAnsi="Verdana"/>
          <w:i/>
          <w:w w:val="105"/>
          <w:sz w:val="16"/>
        </w:rPr>
        <w:t>Court</w:t>
      </w:r>
      <w:r>
        <w:rPr>
          <w:rFonts w:ascii="Verdana" w:hAnsi="Verdana"/>
          <w:i/>
          <w:spacing w:val="-6"/>
          <w:w w:val="105"/>
          <w:sz w:val="16"/>
        </w:rPr>
        <w:t> </w:t>
      </w:r>
      <w:r>
        <w:rPr>
          <w:rFonts w:ascii="Verdana" w:hAnsi="Verdana"/>
          <w:i/>
          <w:w w:val="105"/>
          <w:sz w:val="16"/>
        </w:rPr>
        <w:t>of</w:t>
      </w:r>
      <w:r>
        <w:rPr>
          <w:rFonts w:ascii="Verdana" w:hAnsi="Verdana"/>
          <w:i/>
          <w:spacing w:val="-6"/>
          <w:w w:val="105"/>
          <w:sz w:val="16"/>
        </w:rPr>
        <w:t> </w:t>
      </w:r>
      <w:r>
        <w:rPr>
          <w:rFonts w:ascii="Verdana" w:hAnsi="Verdana"/>
          <w:i/>
          <w:w w:val="105"/>
          <w:sz w:val="16"/>
        </w:rPr>
        <w:t>Justice</w:t>
      </w:r>
      <w:r>
        <w:rPr>
          <w:rFonts w:ascii="Verdana" w:hAnsi="Verdana"/>
          <w:i/>
          <w:spacing w:val="-6"/>
          <w:w w:val="105"/>
          <w:sz w:val="16"/>
        </w:rPr>
        <w:t> </w:t>
      </w:r>
      <w:r>
        <w:rPr>
          <w:rFonts w:ascii="Verdana" w:hAnsi="Verdana"/>
          <w:i/>
          <w:w w:val="105"/>
          <w:sz w:val="16"/>
        </w:rPr>
        <w:t>and</w:t>
      </w:r>
      <w:r>
        <w:rPr>
          <w:rFonts w:ascii="Verdana" w:hAnsi="Verdana"/>
          <w:i/>
          <w:spacing w:val="-6"/>
          <w:w w:val="105"/>
          <w:sz w:val="16"/>
        </w:rPr>
        <w:t> </w:t>
      </w:r>
      <w:r>
        <w:rPr>
          <w:rFonts w:ascii="Verdana" w:hAnsi="Verdana"/>
          <w:i/>
          <w:w w:val="105"/>
          <w:sz w:val="16"/>
        </w:rPr>
        <w:t>European</w:t>
      </w:r>
      <w:r>
        <w:rPr>
          <w:rFonts w:ascii="Verdana" w:hAnsi="Verdana"/>
          <w:i/>
          <w:spacing w:val="-6"/>
          <w:w w:val="105"/>
          <w:sz w:val="16"/>
        </w:rPr>
        <w:t> </w:t>
      </w:r>
      <w:r>
        <w:rPr>
          <w:rFonts w:ascii="Verdana" w:hAnsi="Verdana"/>
          <w:i/>
          <w:w w:val="105"/>
          <w:sz w:val="16"/>
        </w:rPr>
        <w:t>Criminal</w:t>
      </w:r>
      <w:r>
        <w:rPr>
          <w:rFonts w:ascii="Verdana" w:hAnsi="Verdana"/>
          <w:i/>
          <w:w w:val="105"/>
          <w:sz w:val="16"/>
        </w:rPr>
        <w:t> Law </w:t>
      </w:r>
      <w:r>
        <w:rPr>
          <w:w w:val="105"/>
          <w:sz w:val="16"/>
        </w:rPr>
        <w:t>(Hart 2019) 259, 260.</w:t>
      </w:r>
    </w:p>
    <w:p>
      <w:pPr>
        <w:pStyle w:val="ListParagraph"/>
        <w:numPr>
          <w:ilvl w:val="0"/>
          <w:numId w:val="14"/>
        </w:numPr>
        <w:tabs>
          <w:tab w:pos="565" w:val="left" w:leader="none"/>
        </w:tabs>
        <w:spacing w:line="182" w:lineRule="exact" w:before="0" w:after="0"/>
        <w:ind w:left="565" w:right="0" w:hanging="452"/>
        <w:jc w:val="left"/>
        <w:rPr>
          <w:sz w:val="16"/>
        </w:rPr>
      </w:pPr>
      <w:r>
        <w:rPr>
          <w:sz w:val="16"/>
        </w:rPr>
        <w:t>See e.g.</w:t>
      </w:r>
      <w:r>
        <w:rPr>
          <w:spacing w:val="1"/>
          <w:sz w:val="16"/>
        </w:rPr>
        <w:t> </w:t>
      </w:r>
      <w:r>
        <w:rPr>
          <w:rFonts w:ascii="Verdana"/>
          <w:i/>
          <w:sz w:val="16"/>
        </w:rPr>
        <w:t>Kamberaj</w:t>
      </w:r>
      <w:r>
        <w:rPr>
          <w:rFonts w:ascii="Verdana"/>
          <w:i/>
          <w:spacing w:val="-5"/>
          <w:sz w:val="16"/>
        </w:rPr>
        <w:t> </w:t>
      </w:r>
      <w:r>
        <w:rPr>
          <w:sz w:val="16"/>
        </w:rPr>
        <w:t>(n</w:t>
      </w:r>
      <w:r>
        <w:rPr>
          <w:spacing w:val="1"/>
          <w:sz w:val="16"/>
        </w:rPr>
        <w:t> </w:t>
      </w:r>
      <w:r>
        <w:rPr>
          <w:sz w:val="16"/>
        </w:rPr>
        <w:t>44);</w:t>
      </w:r>
      <w:r>
        <w:rPr>
          <w:spacing w:val="1"/>
          <w:sz w:val="16"/>
        </w:rPr>
        <w:t> </w:t>
      </w:r>
      <w:r>
        <w:rPr>
          <w:rFonts w:ascii="Verdana"/>
          <w:i/>
          <w:sz w:val="16"/>
        </w:rPr>
        <w:t>Commission</w:t>
      </w:r>
      <w:r>
        <w:rPr>
          <w:rFonts w:ascii="Verdana"/>
          <w:i/>
          <w:spacing w:val="-5"/>
          <w:sz w:val="16"/>
        </w:rPr>
        <w:t> </w:t>
      </w:r>
      <w:r>
        <w:rPr>
          <w:rFonts w:ascii="Verdana"/>
          <w:i/>
          <w:sz w:val="16"/>
        </w:rPr>
        <w:t>v</w:t>
      </w:r>
      <w:r>
        <w:rPr>
          <w:rFonts w:ascii="Verdana"/>
          <w:i/>
          <w:spacing w:val="-6"/>
          <w:sz w:val="16"/>
        </w:rPr>
        <w:t> </w:t>
      </w:r>
      <w:r>
        <w:rPr>
          <w:rFonts w:ascii="Verdana"/>
          <w:i/>
          <w:sz w:val="16"/>
        </w:rPr>
        <w:t>Poland</w:t>
      </w:r>
      <w:r>
        <w:rPr>
          <w:rFonts w:ascii="Verdana"/>
          <w:i/>
          <w:spacing w:val="-5"/>
          <w:sz w:val="16"/>
        </w:rPr>
        <w:t> </w:t>
      </w:r>
      <w:r>
        <w:rPr>
          <w:sz w:val="16"/>
        </w:rPr>
        <w:t>(n</w:t>
      </w:r>
      <w:r>
        <w:rPr>
          <w:spacing w:val="1"/>
          <w:sz w:val="16"/>
        </w:rPr>
        <w:t> </w:t>
      </w:r>
      <w:r>
        <w:rPr>
          <w:spacing w:val="-4"/>
          <w:sz w:val="16"/>
        </w:rPr>
        <w:t>64).</w:t>
      </w:r>
    </w:p>
    <w:p>
      <w:pPr>
        <w:pStyle w:val="ListParagraph"/>
        <w:numPr>
          <w:ilvl w:val="0"/>
          <w:numId w:val="14"/>
        </w:numPr>
        <w:tabs>
          <w:tab w:pos="567" w:val="left" w:leader="none"/>
        </w:tabs>
        <w:spacing w:line="218" w:lineRule="auto" w:before="0" w:after="0"/>
        <w:ind w:left="567" w:right="152" w:hanging="454"/>
        <w:jc w:val="left"/>
        <w:rPr>
          <w:rFonts w:ascii="Arial"/>
          <w:sz w:val="16"/>
        </w:rPr>
      </w:pPr>
      <w:r>
        <w:rPr>
          <w:rFonts w:ascii="Arial"/>
          <w:w w:val="115"/>
          <w:sz w:val="16"/>
        </w:rPr>
        <w:t>Article</w:t>
      </w:r>
      <w:r>
        <w:rPr>
          <w:rFonts w:ascii="Arial"/>
          <w:spacing w:val="-7"/>
          <w:w w:val="115"/>
          <w:sz w:val="16"/>
        </w:rPr>
        <w:t> </w:t>
      </w:r>
      <w:r>
        <w:rPr>
          <w:rFonts w:ascii="Arial"/>
          <w:w w:val="115"/>
          <w:sz w:val="16"/>
        </w:rPr>
        <w:t>15</w:t>
      </w:r>
      <w:r>
        <w:rPr>
          <w:rFonts w:ascii="Arial"/>
          <w:spacing w:val="-7"/>
          <w:w w:val="115"/>
          <w:sz w:val="16"/>
        </w:rPr>
        <w:t> </w:t>
      </w:r>
      <w:r>
        <w:rPr>
          <w:rFonts w:ascii="Arial"/>
          <w:w w:val="115"/>
          <w:sz w:val="16"/>
        </w:rPr>
        <w:t>guarantees</w:t>
      </w:r>
      <w:r>
        <w:rPr>
          <w:rFonts w:ascii="Arial"/>
          <w:spacing w:val="-7"/>
          <w:w w:val="115"/>
          <w:sz w:val="16"/>
        </w:rPr>
        <w:t> </w:t>
      </w:r>
      <w:r>
        <w:rPr>
          <w:rFonts w:ascii="Arial"/>
          <w:w w:val="115"/>
          <w:sz w:val="16"/>
        </w:rPr>
        <w:t>the</w:t>
      </w:r>
      <w:r>
        <w:rPr>
          <w:rFonts w:ascii="Arial"/>
          <w:spacing w:val="-7"/>
          <w:w w:val="115"/>
          <w:sz w:val="16"/>
        </w:rPr>
        <w:t> </w:t>
      </w:r>
      <w:r>
        <w:rPr>
          <w:rFonts w:ascii="Arial"/>
          <w:w w:val="115"/>
          <w:sz w:val="16"/>
        </w:rPr>
        <w:t>freedom</w:t>
      </w:r>
      <w:r>
        <w:rPr>
          <w:rFonts w:ascii="Arial"/>
          <w:spacing w:val="-7"/>
          <w:w w:val="115"/>
          <w:sz w:val="16"/>
        </w:rPr>
        <w:t> </w:t>
      </w:r>
      <w:r>
        <w:rPr>
          <w:rFonts w:ascii="Arial"/>
          <w:w w:val="115"/>
          <w:sz w:val="16"/>
        </w:rPr>
        <w:t>to</w:t>
      </w:r>
      <w:r>
        <w:rPr>
          <w:rFonts w:ascii="Arial"/>
          <w:spacing w:val="-7"/>
          <w:w w:val="115"/>
          <w:sz w:val="16"/>
        </w:rPr>
        <w:t> </w:t>
      </w:r>
      <w:r>
        <w:rPr>
          <w:rFonts w:ascii="Arial"/>
          <w:w w:val="115"/>
          <w:sz w:val="16"/>
        </w:rPr>
        <w:t>choose</w:t>
      </w:r>
      <w:r>
        <w:rPr>
          <w:rFonts w:ascii="Arial"/>
          <w:spacing w:val="-7"/>
          <w:w w:val="115"/>
          <w:sz w:val="16"/>
        </w:rPr>
        <w:t> </w:t>
      </w:r>
      <w:r>
        <w:rPr>
          <w:rFonts w:ascii="Arial"/>
          <w:w w:val="115"/>
          <w:sz w:val="16"/>
        </w:rPr>
        <w:t>and</w:t>
      </w:r>
      <w:r>
        <w:rPr>
          <w:rFonts w:ascii="Arial"/>
          <w:spacing w:val="-7"/>
          <w:w w:val="115"/>
          <w:sz w:val="16"/>
        </w:rPr>
        <w:t> </w:t>
      </w:r>
      <w:r>
        <w:rPr>
          <w:rFonts w:ascii="Arial"/>
          <w:w w:val="115"/>
          <w:sz w:val="16"/>
        </w:rPr>
        <w:t>occupation</w:t>
      </w:r>
      <w:r>
        <w:rPr>
          <w:rFonts w:ascii="Arial"/>
          <w:spacing w:val="-7"/>
          <w:w w:val="115"/>
          <w:sz w:val="16"/>
        </w:rPr>
        <w:t> </w:t>
      </w:r>
      <w:r>
        <w:rPr>
          <w:rFonts w:ascii="Arial"/>
          <w:w w:val="115"/>
          <w:sz w:val="16"/>
        </w:rPr>
        <w:t>and</w:t>
      </w:r>
      <w:r>
        <w:rPr>
          <w:rFonts w:ascii="Arial"/>
          <w:spacing w:val="-7"/>
          <w:w w:val="115"/>
          <w:sz w:val="16"/>
        </w:rPr>
        <w:t> </w:t>
      </w:r>
      <w:r>
        <w:rPr>
          <w:rFonts w:ascii="Arial"/>
          <w:w w:val="115"/>
          <w:sz w:val="16"/>
        </w:rPr>
        <w:t>a</w:t>
      </w:r>
      <w:r>
        <w:rPr>
          <w:rFonts w:ascii="Arial"/>
          <w:spacing w:val="-7"/>
          <w:w w:val="115"/>
          <w:sz w:val="16"/>
        </w:rPr>
        <w:t> </w:t>
      </w:r>
      <w:r>
        <w:rPr>
          <w:rFonts w:ascii="Arial"/>
          <w:w w:val="115"/>
          <w:sz w:val="16"/>
        </w:rPr>
        <w:t>right</w:t>
      </w:r>
      <w:r>
        <w:rPr>
          <w:rFonts w:ascii="Arial"/>
          <w:spacing w:val="-7"/>
          <w:w w:val="115"/>
          <w:sz w:val="16"/>
        </w:rPr>
        <w:t> </w:t>
      </w:r>
      <w:r>
        <w:rPr>
          <w:rFonts w:ascii="Arial"/>
          <w:w w:val="115"/>
          <w:sz w:val="16"/>
        </w:rPr>
        <w:t>to</w:t>
      </w:r>
      <w:r>
        <w:rPr>
          <w:rFonts w:ascii="Arial"/>
          <w:spacing w:val="-7"/>
          <w:w w:val="115"/>
          <w:sz w:val="16"/>
        </w:rPr>
        <w:t> </w:t>
      </w:r>
      <w:r>
        <w:rPr>
          <w:rFonts w:ascii="Arial"/>
          <w:w w:val="115"/>
          <w:sz w:val="16"/>
        </w:rPr>
        <w:t>engage</w:t>
      </w:r>
      <w:r>
        <w:rPr>
          <w:rFonts w:ascii="Arial"/>
          <w:spacing w:val="-7"/>
          <w:w w:val="115"/>
          <w:sz w:val="16"/>
        </w:rPr>
        <w:t> </w:t>
      </w:r>
      <w:r>
        <w:rPr>
          <w:rFonts w:ascii="Arial"/>
          <w:w w:val="115"/>
          <w:sz w:val="16"/>
        </w:rPr>
        <w:t>in</w:t>
      </w:r>
      <w:r>
        <w:rPr>
          <w:rFonts w:ascii="Arial"/>
          <w:spacing w:val="-7"/>
          <w:w w:val="115"/>
          <w:sz w:val="16"/>
        </w:rPr>
        <w:t> </w:t>
      </w:r>
      <w:r>
        <w:rPr>
          <w:rFonts w:ascii="Arial"/>
          <w:w w:val="115"/>
          <w:sz w:val="16"/>
        </w:rPr>
        <w:t>work;</w:t>
      </w:r>
      <w:r>
        <w:rPr>
          <w:rFonts w:ascii="Arial"/>
          <w:spacing w:val="-7"/>
          <w:w w:val="115"/>
          <w:sz w:val="16"/>
        </w:rPr>
        <w:t> </w:t>
      </w:r>
      <w:r>
        <w:rPr>
          <w:rFonts w:ascii="Arial"/>
          <w:w w:val="115"/>
          <w:sz w:val="16"/>
        </w:rPr>
        <w:t>Article</w:t>
      </w:r>
      <w:r>
        <w:rPr>
          <w:rFonts w:ascii="Arial"/>
          <w:spacing w:val="-7"/>
          <w:w w:val="115"/>
          <w:sz w:val="16"/>
        </w:rPr>
        <w:t> </w:t>
      </w:r>
      <w:r>
        <w:rPr>
          <w:rFonts w:ascii="Arial"/>
          <w:w w:val="115"/>
          <w:sz w:val="16"/>
        </w:rPr>
        <w:t>16</w:t>
      </w:r>
      <w:r>
        <w:rPr>
          <w:rFonts w:ascii="Arial"/>
          <w:spacing w:val="-7"/>
          <w:w w:val="115"/>
          <w:sz w:val="16"/>
        </w:rPr>
        <w:t> </w:t>
      </w:r>
      <w:r>
        <w:rPr>
          <w:rFonts w:ascii="Arial"/>
          <w:w w:val="115"/>
          <w:sz w:val="16"/>
        </w:rPr>
        <w:t>guarantees the</w:t>
      </w:r>
      <w:r>
        <w:rPr>
          <w:rFonts w:ascii="Arial"/>
          <w:spacing w:val="-10"/>
          <w:w w:val="115"/>
          <w:sz w:val="16"/>
        </w:rPr>
        <w:t> </w:t>
      </w:r>
      <w:r>
        <w:rPr>
          <w:rFonts w:ascii="Arial"/>
          <w:w w:val="115"/>
          <w:sz w:val="16"/>
        </w:rPr>
        <w:t>freedom</w:t>
      </w:r>
      <w:r>
        <w:rPr>
          <w:rFonts w:ascii="Arial"/>
          <w:spacing w:val="-10"/>
          <w:w w:val="115"/>
          <w:sz w:val="16"/>
        </w:rPr>
        <w:t> </w:t>
      </w:r>
      <w:r>
        <w:rPr>
          <w:rFonts w:ascii="Arial"/>
          <w:w w:val="115"/>
          <w:sz w:val="16"/>
        </w:rPr>
        <w:t>to</w:t>
      </w:r>
      <w:r>
        <w:rPr>
          <w:rFonts w:ascii="Arial"/>
          <w:spacing w:val="-10"/>
          <w:w w:val="115"/>
          <w:sz w:val="16"/>
        </w:rPr>
        <w:t> </w:t>
      </w:r>
      <w:r>
        <w:rPr>
          <w:rFonts w:ascii="Arial"/>
          <w:w w:val="115"/>
          <w:sz w:val="16"/>
        </w:rPr>
        <w:t>conduct</w:t>
      </w:r>
      <w:r>
        <w:rPr>
          <w:rFonts w:ascii="Arial"/>
          <w:spacing w:val="-10"/>
          <w:w w:val="115"/>
          <w:sz w:val="16"/>
        </w:rPr>
        <w:t> </w:t>
      </w:r>
      <w:r>
        <w:rPr>
          <w:rFonts w:ascii="Arial"/>
          <w:w w:val="115"/>
          <w:sz w:val="16"/>
        </w:rPr>
        <w:t>a</w:t>
      </w:r>
      <w:r>
        <w:rPr>
          <w:rFonts w:ascii="Arial"/>
          <w:spacing w:val="-10"/>
          <w:w w:val="115"/>
          <w:sz w:val="16"/>
        </w:rPr>
        <w:t> </w:t>
      </w:r>
      <w:r>
        <w:rPr>
          <w:rFonts w:ascii="Arial"/>
          <w:w w:val="115"/>
          <w:sz w:val="16"/>
        </w:rPr>
        <w:t>business;</w:t>
      </w:r>
      <w:r>
        <w:rPr>
          <w:rFonts w:ascii="Arial"/>
          <w:spacing w:val="-10"/>
          <w:w w:val="115"/>
          <w:sz w:val="16"/>
        </w:rPr>
        <w:t> </w:t>
      </w:r>
      <w:r>
        <w:rPr>
          <w:rFonts w:ascii="Arial"/>
          <w:w w:val="115"/>
          <w:sz w:val="16"/>
        </w:rPr>
        <w:t>and</w:t>
      </w:r>
      <w:r>
        <w:rPr>
          <w:rFonts w:ascii="Arial"/>
          <w:spacing w:val="-10"/>
          <w:w w:val="115"/>
          <w:sz w:val="16"/>
        </w:rPr>
        <w:t> </w:t>
      </w:r>
      <w:r>
        <w:rPr>
          <w:rFonts w:ascii="Arial"/>
          <w:w w:val="115"/>
          <w:sz w:val="16"/>
        </w:rPr>
        <w:t>Article</w:t>
      </w:r>
      <w:r>
        <w:rPr>
          <w:rFonts w:ascii="Arial"/>
          <w:spacing w:val="-10"/>
          <w:w w:val="115"/>
          <w:sz w:val="16"/>
        </w:rPr>
        <w:t> </w:t>
      </w:r>
      <w:r>
        <w:rPr>
          <w:rFonts w:ascii="Arial"/>
          <w:w w:val="115"/>
          <w:sz w:val="16"/>
        </w:rPr>
        <w:t>17</w:t>
      </w:r>
      <w:r>
        <w:rPr>
          <w:rFonts w:ascii="Arial"/>
          <w:spacing w:val="-10"/>
          <w:w w:val="115"/>
          <w:sz w:val="16"/>
        </w:rPr>
        <w:t> </w:t>
      </w:r>
      <w:r>
        <w:rPr>
          <w:rFonts w:ascii="Arial"/>
          <w:w w:val="115"/>
          <w:sz w:val="16"/>
        </w:rPr>
        <w:t>guarantees</w:t>
      </w:r>
      <w:r>
        <w:rPr>
          <w:rFonts w:ascii="Arial"/>
          <w:spacing w:val="-10"/>
          <w:w w:val="115"/>
          <w:sz w:val="16"/>
        </w:rPr>
        <w:t> </w:t>
      </w:r>
      <w:r>
        <w:rPr>
          <w:rFonts w:ascii="Arial"/>
          <w:w w:val="115"/>
          <w:sz w:val="16"/>
        </w:rPr>
        <w:t>the</w:t>
      </w:r>
      <w:r>
        <w:rPr>
          <w:rFonts w:ascii="Arial"/>
          <w:spacing w:val="-10"/>
          <w:w w:val="115"/>
          <w:sz w:val="16"/>
        </w:rPr>
        <w:t> </w:t>
      </w:r>
      <w:r>
        <w:rPr>
          <w:rFonts w:ascii="Arial"/>
          <w:w w:val="115"/>
          <w:sz w:val="16"/>
        </w:rPr>
        <w:t>right</w:t>
      </w:r>
      <w:r>
        <w:rPr>
          <w:rFonts w:ascii="Arial"/>
          <w:spacing w:val="-10"/>
          <w:w w:val="115"/>
          <w:sz w:val="16"/>
        </w:rPr>
        <w:t> </w:t>
      </w:r>
      <w:r>
        <w:rPr>
          <w:rFonts w:ascii="Arial"/>
          <w:w w:val="115"/>
          <w:sz w:val="16"/>
        </w:rPr>
        <w:t>to</w:t>
      </w:r>
      <w:r>
        <w:rPr>
          <w:rFonts w:ascii="Arial"/>
          <w:spacing w:val="-10"/>
          <w:w w:val="115"/>
          <w:sz w:val="16"/>
        </w:rPr>
        <w:t> </w:t>
      </w:r>
      <w:r>
        <w:rPr>
          <w:rFonts w:ascii="Arial"/>
          <w:w w:val="115"/>
          <w:sz w:val="16"/>
        </w:rPr>
        <w:t>property</w:t>
      </w:r>
      <w:r>
        <w:rPr>
          <w:rFonts w:ascii="Arial"/>
          <w:spacing w:val="-10"/>
          <w:w w:val="115"/>
          <w:sz w:val="16"/>
        </w:rPr>
        <w:t> </w:t>
      </w:r>
      <w:r>
        <w:rPr>
          <w:rFonts w:ascii="Arial"/>
          <w:w w:val="115"/>
          <w:sz w:val="16"/>
        </w:rPr>
        <w:t>(including</w:t>
      </w:r>
      <w:r>
        <w:rPr>
          <w:rFonts w:ascii="Arial"/>
          <w:spacing w:val="-10"/>
          <w:w w:val="115"/>
          <w:sz w:val="16"/>
        </w:rPr>
        <w:t> </w:t>
      </w:r>
      <w:r>
        <w:rPr>
          <w:rFonts w:ascii="Arial"/>
          <w:w w:val="115"/>
          <w:sz w:val="16"/>
        </w:rPr>
        <w:t>intellectual</w:t>
      </w:r>
      <w:r>
        <w:rPr>
          <w:rFonts w:ascii="Arial"/>
          <w:spacing w:val="-10"/>
          <w:w w:val="115"/>
          <w:sz w:val="16"/>
        </w:rPr>
        <w:t> </w:t>
      </w:r>
      <w:r>
        <w:rPr>
          <w:rFonts w:ascii="Arial"/>
          <w:w w:val="115"/>
          <w:sz w:val="16"/>
        </w:rPr>
        <w:t>property).</w:t>
      </w:r>
    </w:p>
    <w:p>
      <w:pPr>
        <w:pStyle w:val="ListParagraph"/>
        <w:numPr>
          <w:ilvl w:val="0"/>
          <w:numId w:val="14"/>
        </w:numPr>
        <w:tabs>
          <w:tab w:pos="566" w:val="left" w:leader="none"/>
        </w:tabs>
        <w:spacing w:line="216" w:lineRule="exact" w:before="0" w:after="0"/>
        <w:ind w:left="566" w:right="0" w:hanging="453"/>
        <w:jc w:val="left"/>
        <w:rPr>
          <w:sz w:val="16"/>
        </w:rPr>
      </w:pPr>
      <w:r>
        <w:rPr>
          <w:rFonts w:ascii="Trebuchet MS"/>
          <w:i/>
          <w:sz w:val="16"/>
        </w:rPr>
        <w:t>Pfleger</w:t>
      </w:r>
      <w:r>
        <w:rPr>
          <w:rFonts w:ascii="Trebuchet MS"/>
          <w:i/>
          <w:spacing w:val="28"/>
          <w:sz w:val="16"/>
        </w:rPr>
        <w:t> </w:t>
      </w:r>
      <w:r>
        <w:rPr>
          <w:sz w:val="16"/>
        </w:rPr>
        <w:t>(n</w:t>
      </w:r>
      <w:r>
        <w:rPr>
          <w:spacing w:val="26"/>
          <w:sz w:val="16"/>
        </w:rPr>
        <w:t> </w:t>
      </w:r>
      <w:r>
        <w:rPr>
          <w:spacing w:val="-4"/>
          <w:sz w:val="16"/>
        </w:rPr>
        <w:t>13).</w:t>
      </w:r>
    </w:p>
    <w:p>
      <w:pPr>
        <w:pStyle w:val="ListParagraph"/>
        <w:numPr>
          <w:ilvl w:val="0"/>
          <w:numId w:val="14"/>
        </w:numPr>
        <w:tabs>
          <w:tab w:pos="565" w:val="left" w:leader="none"/>
        </w:tabs>
        <w:spacing w:line="223" w:lineRule="exact" w:before="0" w:after="0"/>
        <w:ind w:left="565" w:right="0" w:hanging="452"/>
        <w:jc w:val="left"/>
        <w:rPr>
          <w:sz w:val="16"/>
        </w:rPr>
      </w:pPr>
      <w:r>
        <w:rPr>
          <w:rFonts w:ascii="Verdana"/>
          <w:i/>
          <w:sz w:val="16"/>
        </w:rPr>
        <w:t>ERT</w:t>
      </w:r>
      <w:r>
        <w:rPr>
          <w:rFonts w:ascii="Verdana"/>
          <w:i/>
          <w:spacing w:val="2"/>
          <w:sz w:val="16"/>
        </w:rPr>
        <w:t> </w:t>
      </w:r>
      <w:r>
        <w:rPr>
          <w:sz w:val="16"/>
        </w:rPr>
        <w:t>(n</w:t>
      </w:r>
      <w:r>
        <w:rPr>
          <w:spacing w:val="8"/>
          <w:sz w:val="16"/>
        </w:rPr>
        <w:t> </w:t>
      </w:r>
      <w:r>
        <w:rPr>
          <w:spacing w:val="-4"/>
          <w:sz w:val="16"/>
        </w:rPr>
        <w:t>13).</w:t>
      </w:r>
    </w:p>
    <w:p>
      <w:pPr>
        <w:spacing w:after="0" w:line="223" w:lineRule="exact"/>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322" w:lineRule="exact" w:before="40"/>
        <w:ind w:right="52"/>
      </w:pPr>
      <w:r>
        <w:rPr>
          <w:w w:val="110"/>
        </w:rPr>
        <w:t>goods can clash with a fundamental right (freedom of assembly). It is </w:t>
      </w:r>
      <w:r>
        <w:rPr>
          <w:w w:val="110"/>
        </w:rPr>
        <w:t>not inconceivable that a similar situation could arise under the Windsor </w:t>
      </w:r>
      <w:r>
        <w:rPr/>
        <w:t>Framework.</w:t>
      </w:r>
      <w:r>
        <w:rPr>
          <w:rFonts w:ascii="Lucida Sans Unicode"/>
          <w:vertAlign w:val="superscript"/>
        </w:rPr>
        <w:t>297</w:t>
      </w:r>
      <w:r>
        <w:rPr>
          <w:rFonts w:ascii="Lucida Sans Unicode"/>
          <w:vertAlign w:val="baseline"/>
        </w:rPr>
        <w:t> </w:t>
      </w:r>
      <w:r>
        <w:rPr>
          <w:vertAlign w:val="baseline"/>
        </w:rPr>
        <w:t>In </w:t>
      </w:r>
      <w:r>
        <w:rPr>
          <w:rFonts w:ascii="Verdana"/>
          <w:i/>
          <w:vertAlign w:val="baseline"/>
        </w:rPr>
        <w:t>Schmidberger, </w:t>
      </w:r>
      <w:r>
        <w:rPr>
          <w:vertAlign w:val="baseline"/>
        </w:rPr>
        <w:t>the </w:t>
      </w:r>
      <w:r>
        <w:rPr>
          <w:w w:val="110"/>
          <w:vertAlign w:val="baseline"/>
        </w:rPr>
        <w:t>Austrian authorities ordered the closure of the Brenner motorway</w:t>
      </w:r>
    </w:p>
    <w:p>
      <w:pPr>
        <w:pStyle w:val="BodyText"/>
        <w:spacing w:line="268" w:lineRule="auto" w:before="31"/>
        <w:ind w:right="358"/>
        <w:rPr>
          <w:rFonts w:ascii="Lucida Sans Unicode" w:hAnsi="Lucida Sans Unicode"/>
        </w:rPr>
      </w:pPr>
      <w:r>
        <w:rPr>
          <w:w w:val="110"/>
        </w:rPr>
        <w:t>– the major transit route for </w:t>
      </w:r>
      <w:r>
        <w:rPr>
          <w:w w:val="110"/>
        </w:rPr>
        <w:t>goods</w:t>
      </w:r>
      <w:r>
        <w:rPr>
          <w:w w:val="110"/>
        </w:rPr>
        <w:t> connecting Germany and Italy through Austria – for a duration of </w:t>
      </w:r>
      <w:r>
        <w:rPr>
          <w:rFonts w:ascii="Lucida Sans Unicode" w:hAnsi="Lucida Sans Unicode"/>
        </w:rPr>
        <w:t>30 hours so that a demonstration</w:t>
      </w:r>
    </w:p>
    <w:p>
      <w:pPr>
        <w:pStyle w:val="BodyText"/>
        <w:spacing w:line="223" w:lineRule="exact"/>
      </w:pPr>
      <w:r>
        <w:rPr>
          <w:w w:val="110"/>
        </w:rPr>
        <w:t>organised</w:t>
      </w:r>
      <w:r>
        <w:rPr>
          <w:spacing w:val="11"/>
          <w:w w:val="110"/>
        </w:rPr>
        <w:t> </w:t>
      </w:r>
      <w:r>
        <w:rPr>
          <w:w w:val="110"/>
        </w:rPr>
        <w:t>by</w:t>
      </w:r>
      <w:r>
        <w:rPr>
          <w:spacing w:val="11"/>
          <w:w w:val="110"/>
        </w:rPr>
        <w:t> </w:t>
      </w:r>
      <w:r>
        <w:rPr>
          <w:w w:val="110"/>
        </w:rPr>
        <w:t>an</w:t>
      </w:r>
      <w:r>
        <w:rPr>
          <w:spacing w:val="11"/>
          <w:w w:val="110"/>
        </w:rPr>
        <w:t> </w:t>
      </w:r>
      <w:r>
        <w:rPr>
          <w:w w:val="110"/>
        </w:rPr>
        <w:t>environmental</w:t>
      </w:r>
      <w:r>
        <w:rPr>
          <w:spacing w:val="11"/>
          <w:w w:val="110"/>
        </w:rPr>
        <w:t> </w:t>
      </w:r>
      <w:r>
        <w:rPr>
          <w:spacing w:val="-2"/>
          <w:w w:val="110"/>
        </w:rPr>
        <w:t>group</w:t>
      </w:r>
    </w:p>
    <w:p>
      <w:pPr>
        <w:pStyle w:val="BodyText"/>
        <w:spacing w:line="322" w:lineRule="exact" w:before="13"/>
        <w:ind w:right="85"/>
      </w:pPr>
      <w:r>
        <w:rPr>
          <w:w w:val="110"/>
        </w:rPr>
        <w:t>could take place. The demonstration and the fact that it had been given permission by the authorities had</w:t>
      </w:r>
      <w:r>
        <w:rPr>
          <w:spacing w:val="40"/>
          <w:w w:val="110"/>
        </w:rPr>
        <w:t> </w:t>
      </w:r>
      <w:r>
        <w:rPr>
          <w:w w:val="110"/>
        </w:rPr>
        <w:t>been announced well in advance. The claimant in the case was a haulage company, which claimed that it had </w:t>
      </w:r>
      <w:r>
        <w:rPr>
          <w:rFonts w:ascii="Lucida Sans Unicode" w:hAnsi="Lucida Sans Unicode"/>
        </w:rPr>
        <w:t>suffered a loss (lost profits; having to </w:t>
      </w:r>
      <w:r>
        <w:rPr>
          <w:w w:val="110"/>
        </w:rPr>
        <w:t>pay drivers’ wages; etc) due to the motorway closure. The claimant </w:t>
      </w:r>
      <w:r>
        <w:rPr>
          <w:w w:val="110"/>
        </w:rPr>
        <w:t>relied on EU state liability, which required it </w:t>
      </w:r>
      <w:r>
        <w:rPr>
          <w:rFonts w:ascii="Lucida Sans Unicode" w:hAnsi="Lucida Sans Unicode"/>
        </w:rPr>
        <w:t>to show a ‘sufficiently serious breach’ </w:t>
      </w:r>
      <w:r>
        <w:rPr>
          <w:w w:val="110"/>
        </w:rPr>
        <w:t>of EU law.</w:t>
      </w:r>
    </w:p>
    <w:p>
      <w:pPr>
        <w:pStyle w:val="BodyText"/>
        <w:spacing w:before="21"/>
        <w:ind w:left="0"/>
      </w:pPr>
    </w:p>
    <w:p>
      <w:pPr>
        <w:pStyle w:val="BodyText"/>
        <w:spacing w:line="322" w:lineRule="exact"/>
        <w:ind w:right="358"/>
      </w:pPr>
      <w:r>
        <w:rPr>
          <w:w w:val="115"/>
        </w:rPr>
        <w:t>The CJEU accepted that the free movement</w:t>
      </w:r>
      <w:r>
        <w:rPr>
          <w:spacing w:val="-20"/>
          <w:w w:val="115"/>
        </w:rPr>
        <w:t> </w:t>
      </w:r>
      <w:r>
        <w:rPr>
          <w:w w:val="115"/>
        </w:rPr>
        <w:t>of</w:t>
      </w:r>
      <w:r>
        <w:rPr>
          <w:spacing w:val="-19"/>
          <w:w w:val="115"/>
        </w:rPr>
        <w:t> </w:t>
      </w:r>
      <w:r>
        <w:rPr>
          <w:w w:val="115"/>
        </w:rPr>
        <w:t>goods</w:t>
      </w:r>
      <w:r>
        <w:rPr>
          <w:spacing w:val="-19"/>
          <w:w w:val="115"/>
        </w:rPr>
        <w:t> </w:t>
      </w:r>
      <w:r>
        <w:rPr>
          <w:w w:val="115"/>
        </w:rPr>
        <w:t>guaranteed</w:t>
      </w:r>
      <w:r>
        <w:rPr>
          <w:spacing w:val="-19"/>
          <w:w w:val="115"/>
        </w:rPr>
        <w:t> </w:t>
      </w:r>
      <w:r>
        <w:rPr>
          <w:w w:val="115"/>
        </w:rPr>
        <w:t>by </w:t>
      </w:r>
      <w:r>
        <w:rPr>
          <w:rFonts w:ascii="Lucida Sans Unicode" w:hAnsi="Lucida Sans Unicode"/>
          <w:w w:val="110"/>
        </w:rPr>
        <w:t>Article</w:t>
      </w:r>
      <w:r>
        <w:rPr>
          <w:rFonts w:ascii="Lucida Sans Unicode" w:hAnsi="Lucida Sans Unicode"/>
          <w:spacing w:val="-15"/>
          <w:w w:val="110"/>
        </w:rPr>
        <w:t> </w:t>
      </w:r>
      <w:r>
        <w:rPr>
          <w:rFonts w:ascii="Lucida Sans Unicode" w:hAnsi="Lucida Sans Unicode"/>
          <w:w w:val="110"/>
        </w:rPr>
        <w:t>34</w:t>
      </w:r>
      <w:r>
        <w:rPr>
          <w:rFonts w:ascii="Lucida Sans Unicode" w:hAnsi="Lucida Sans Unicode"/>
          <w:spacing w:val="-15"/>
          <w:w w:val="110"/>
        </w:rPr>
        <w:t> </w:t>
      </w:r>
      <w:r>
        <w:rPr>
          <w:rFonts w:ascii="Lucida Sans Unicode" w:hAnsi="Lucida Sans Unicode"/>
          <w:w w:val="110"/>
        </w:rPr>
        <w:t>TFEU</w:t>
      </w:r>
      <w:r>
        <w:rPr>
          <w:rFonts w:ascii="Lucida Sans Unicode" w:hAnsi="Lucida Sans Unicode"/>
          <w:spacing w:val="-15"/>
          <w:w w:val="110"/>
        </w:rPr>
        <w:t> </w:t>
      </w:r>
      <w:r>
        <w:rPr>
          <w:rFonts w:ascii="Lucida Sans Unicode" w:hAnsi="Lucida Sans Unicode"/>
          <w:w w:val="110"/>
        </w:rPr>
        <w:t>–</w:t>
      </w:r>
      <w:r>
        <w:rPr>
          <w:rFonts w:ascii="Lucida Sans Unicode" w:hAnsi="Lucida Sans Unicode"/>
          <w:spacing w:val="-15"/>
          <w:w w:val="110"/>
        </w:rPr>
        <w:t> </w:t>
      </w:r>
      <w:r>
        <w:rPr>
          <w:rFonts w:ascii="Lucida Sans Unicode" w:hAnsi="Lucida Sans Unicode"/>
          <w:w w:val="110"/>
        </w:rPr>
        <w:t>which</w:t>
      </w:r>
      <w:r>
        <w:rPr>
          <w:rFonts w:ascii="Lucida Sans Unicode" w:hAnsi="Lucida Sans Unicode"/>
          <w:spacing w:val="-15"/>
          <w:w w:val="110"/>
        </w:rPr>
        <w:t> </w:t>
      </w:r>
      <w:r>
        <w:rPr>
          <w:rFonts w:ascii="Lucida Sans Unicode" w:hAnsi="Lucida Sans Unicode"/>
          <w:w w:val="110"/>
        </w:rPr>
        <w:t>remains </w:t>
      </w:r>
      <w:r>
        <w:rPr>
          <w:w w:val="115"/>
        </w:rPr>
        <w:t>applicable in Northern Ireland</w:t>
      </w:r>
    </w:p>
    <w:p>
      <w:pPr>
        <w:pStyle w:val="BodyText"/>
        <w:spacing w:line="264" w:lineRule="auto" w:before="32"/>
        <w:ind w:right="52"/>
      </w:pPr>
      <w:r>
        <w:rPr>
          <w:w w:val="115"/>
        </w:rPr>
        <w:t>due to Article 7 (1) WF – not only concerned</w:t>
      </w:r>
      <w:r>
        <w:rPr>
          <w:spacing w:val="-19"/>
          <w:w w:val="115"/>
        </w:rPr>
        <w:t> </w:t>
      </w:r>
      <w:r>
        <w:rPr>
          <w:w w:val="115"/>
        </w:rPr>
        <w:t>imports</w:t>
      </w:r>
      <w:r>
        <w:rPr>
          <w:spacing w:val="-19"/>
          <w:w w:val="115"/>
        </w:rPr>
        <w:t> </w:t>
      </w:r>
      <w:r>
        <w:rPr>
          <w:w w:val="115"/>
        </w:rPr>
        <w:t>of</w:t>
      </w:r>
      <w:r>
        <w:rPr>
          <w:spacing w:val="-19"/>
          <w:w w:val="115"/>
        </w:rPr>
        <w:t> </w:t>
      </w:r>
      <w:r>
        <w:rPr>
          <w:w w:val="115"/>
        </w:rPr>
        <w:t>goods,</w:t>
      </w:r>
      <w:r>
        <w:rPr>
          <w:spacing w:val="-19"/>
          <w:w w:val="115"/>
        </w:rPr>
        <w:t> </w:t>
      </w:r>
      <w:r>
        <w:rPr>
          <w:w w:val="115"/>
        </w:rPr>
        <w:t>but</w:t>
      </w:r>
      <w:r>
        <w:rPr>
          <w:spacing w:val="-19"/>
          <w:w w:val="115"/>
        </w:rPr>
        <w:t> </w:t>
      </w:r>
      <w:r>
        <w:rPr>
          <w:w w:val="115"/>
        </w:rPr>
        <w:t>also their</w:t>
      </w:r>
      <w:r>
        <w:rPr>
          <w:spacing w:val="-7"/>
          <w:w w:val="115"/>
        </w:rPr>
        <w:t> </w:t>
      </w:r>
      <w:r>
        <w:rPr>
          <w:w w:val="115"/>
        </w:rPr>
        <w:t>transit.</w:t>
      </w:r>
      <w:r>
        <w:rPr>
          <w:rFonts w:ascii="Lucida Sans Unicode" w:hAnsi="Lucida Sans Unicode"/>
          <w:w w:val="115"/>
          <w:vertAlign w:val="superscript"/>
        </w:rPr>
        <w:t>298</w:t>
      </w:r>
      <w:r>
        <w:rPr>
          <w:rFonts w:ascii="Lucida Sans Unicode" w:hAnsi="Lucida Sans Unicode"/>
          <w:spacing w:val="-17"/>
          <w:w w:val="115"/>
          <w:vertAlign w:val="baseline"/>
        </w:rPr>
        <w:t> </w:t>
      </w:r>
      <w:r>
        <w:rPr>
          <w:w w:val="115"/>
          <w:vertAlign w:val="baseline"/>
        </w:rPr>
        <w:t>Hence</w:t>
      </w:r>
      <w:r>
        <w:rPr>
          <w:spacing w:val="-7"/>
          <w:w w:val="115"/>
          <w:vertAlign w:val="baseline"/>
        </w:rPr>
        <w:t> </w:t>
      </w:r>
      <w:r>
        <w:rPr>
          <w:w w:val="115"/>
          <w:vertAlign w:val="baseline"/>
        </w:rPr>
        <w:t>the</w:t>
      </w:r>
      <w:r>
        <w:rPr>
          <w:spacing w:val="-7"/>
          <w:w w:val="115"/>
          <w:vertAlign w:val="baseline"/>
        </w:rPr>
        <w:t> </w:t>
      </w:r>
      <w:r>
        <w:rPr>
          <w:w w:val="115"/>
          <w:vertAlign w:val="baseline"/>
        </w:rPr>
        <w:t>decision</w:t>
      </w:r>
    </w:p>
    <w:p>
      <w:pPr>
        <w:pStyle w:val="BodyText"/>
        <w:spacing w:line="229" w:lineRule="exact"/>
      </w:pPr>
      <w:r>
        <w:rPr>
          <w:w w:val="115"/>
        </w:rPr>
        <w:t>not</w:t>
      </w:r>
      <w:r>
        <w:rPr>
          <w:spacing w:val="-6"/>
          <w:w w:val="115"/>
        </w:rPr>
        <w:t> </w:t>
      </w:r>
      <w:r>
        <w:rPr>
          <w:w w:val="115"/>
        </w:rPr>
        <w:t>to</w:t>
      </w:r>
      <w:r>
        <w:rPr>
          <w:spacing w:val="-6"/>
          <w:w w:val="115"/>
        </w:rPr>
        <w:t> </w:t>
      </w:r>
      <w:r>
        <w:rPr>
          <w:w w:val="115"/>
        </w:rPr>
        <w:t>ban</w:t>
      </w:r>
      <w:r>
        <w:rPr>
          <w:spacing w:val="-6"/>
          <w:w w:val="115"/>
        </w:rPr>
        <w:t> </w:t>
      </w:r>
      <w:r>
        <w:rPr>
          <w:w w:val="115"/>
        </w:rPr>
        <w:t>the</w:t>
      </w:r>
      <w:r>
        <w:rPr>
          <w:spacing w:val="-6"/>
          <w:w w:val="115"/>
        </w:rPr>
        <w:t> </w:t>
      </w:r>
      <w:r>
        <w:rPr>
          <w:w w:val="115"/>
        </w:rPr>
        <w:t>demonstration</w:t>
      </w:r>
      <w:r>
        <w:rPr>
          <w:spacing w:val="-6"/>
          <w:w w:val="115"/>
        </w:rPr>
        <w:t> </w:t>
      </w:r>
      <w:r>
        <w:rPr>
          <w:spacing w:val="-5"/>
          <w:w w:val="115"/>
        </w:rPr>
        <w:t>was</w:t>
      </w:r>
    </w:p>
    <w:p>
      <w:pPr>
        <w:pStyle w:val="BodyText"/>
        <w:spacing w:line="322" w:lineRule="exact" w:before="13"/>
        <w:ind w:right="213"/>
        <w:rPr>
          <w:rFonts w:ascii="Lucida Sans Unicode" w:hAnsi="Lucida Sans Unicode"/>
        </w:rPr>
      </w:pPr>
      <w:r>
        <w:rPr>
          <w:w w:val="110"/>
        </w:rPr>
        <w:t>capable of restricting intra-EU </w:t>
      </w:r>
      <w:r>
        <w:rPr>
          <w:w w:val="110"/>
        </w:rPr>
        <w:t>trade, so that this decision amounted to a ‘measure having equivalent effect to a quantitative restriction’ and was </w:t>
      </w:r>
      <w:r>
        <w:rPr>
          <w:rFonts w:ascii="Lucida Sans Unicode" w:hAnsi="Lucida Sans Unicode"/>
        </w:rPr>
        <w:t>thus incompatible with Article 34 </w:t>
      </w:r>
      <w:r>
        <w:rPr>
          <w:w w:val="110"/>
        </w:rPr>
        <w:t>TFEU, unless it could be objectively </w:t>
      </w:r>
      <w:r>
        <w:rPr>
          <w:rFonts w:ascii="Lucida Sans Unicode" w:hAnsi="Lucida Sans Unicode"/>
          <w:spacing w:val="-2"/>
          <w:w w:val="110"/>
        </w:rPr>
        <w:t>justified.</w:t>
      </w:r>
      <w:r>
        <w:rPr>
          <w:rFonts w:ascii="Lucida Sans Unicode" w:hAnsi="Lucida Sans Unicode"/>
          <w:spacing w:val="-2"/>
          <w:w w:val="110"/>
          <w:vertAlign w:val="superscript"/>
        </w:rPr>
        <w:t>299</w:t>
      </w:r>
    </w:p>
    <w:p>
      <w:pPr>
        <w:pStyle w:val="BodyText"/>
        <w:spacing w:line="314" w:lineRule="exact" w:before="46"/>
        <w:ind w:right="533"/>
        <w:rPr>
          <w:rFonts w:ascii="Lucida Sans Unicode" w:hAnsi="Lucida Sans Unicode"/>
        </w:rPr>
      </w:pPr>
      <w:r>
        <w:rPr/>
        <w:br w:type="column"/>
      </w:r>
      <w:r>
        <w:rPr>
          <w:w w:val="110"/>
        </w:rPr>
        <w:t>It then held that fundamental </w:t>
      </w:r>
      <w:r>
        <w:rPr>
          <w:w w:val="110"/>
        </w:rPr>
        <w:t>rights could be invoked as a legitimate </w:t>
      </w:r>
      <w:r>
        <w:rPr>
          <w:rFonts w:ascii="Lucida Sans Unicode" w:hAnsi="Lucida Sans Unicode"/>
        </w:rPr>
        <w:t>interest which ‘in principle justifies </w:t>
      </w:r>
      <w:r>
        <w:rPr>
          <w:w w:val="110"/>
        </w:rPr>
        <w:t>a restriction of the obligations </w:t>
      </w:r>
      <w:r>
        <w:rPr>
          <w:rFonts w:ascii="Lucida Sans Unicode" w:hAnsi="Lucida Sans Unicode"/>
        </w:rPr>
        <w:t>imposed by [EU] law, even under a</w:t>
      </w:r>
    </w:p>
    <w:p>
      <w:pPr>
        <w:pStyle w:val="BodyText"/>
        <w:spacing w:line="256" w:lineRule="auto" w:before="24"/>
        <w:ind w:right="242"/>
      </w:pPr>
      <w:r>
        <w:rPr>
          <w:w w:val="115"/>
        </w:rPr>
        <w:t>fundamental</w:t>
      </w:r>
      <w:r>
        <w:rPr>
          <w:spacing w:val="-9"/>
          <w:w w:val="115"/>
        </w:rPr>
        <w:t> </w:t>
      </w:r>
      <w:r>
        <w:rPr>
          <w:w w:val="115"/>
        </w:rPr>
        <w:t>freedom</w:t>
      </w:r>
      <w:r>
        <w:rPr>
          <w:spacing w:val="-9"/>
          <w:w w:val="115"/>
        </w:rPr>
        <w:t> </w:t>
      </w:r>
      <w:r>
        <w:rPr>
          <w:w w:val="115"/>
        </w:rPr>
        <w:t>guaranteed</w:t>
      </w:r>
      <w:r>
        <w:rPr>
          <w:spacing w:val="-9"/>
          <w:w w:val="115"/>
        </w:rPr>
        <w:t> </w:t>
      </w:r>
      <w:r>
        <w:rPr>
          <w:w w:val="115"/>
        </w:rPr>
        <w:t>by the</w:t>
      </w:r>
      <w:r>
        <w:rPr>
          <w:spacing w:val="-20"/>
          <w:w w:val="115"/>
        </w:rPr>
        <w:t> </w:t>
      </w:r>
      <w:r>
        <w:rPr>
          <w:w w:val="115"/>
        </w:rPr>
        <w:t>treaty</w:t>
      </w:r>
      <w:r>
        <w:rPr>
          <w:spacing w:val="-19"/>
          <w:w w:val="115"/>
        </w:rPr>
        <w:t> </w:t>
      </w:r>
      <w:r>
        <w:rPr>
          <w:w w:val="115"/>
        </w:rPr>
        <w:t>such</w:t>
      </w:r>
      <w:r>
        <w:rPr>
          <w:spacing w:val="-19"/>
          <w:w w:val="115"/>
        </w:rPr>
        <w:t> </w:t>
      </w:r>
      <w:r>
        <w:rPr>
          <w:w w:val="115"/>
        </w:rPr>
        <w:t>as</w:t>
      </w:r>
      <w:r>
        <w:rPr>
          <w:spacing w:val="-19"/>
          <w:w w:val="115"/>
        </w:rPr>
        <w:t> </w:t>
      </w:r>
      <w:r>
        <w:rPr>
          <w:w w:val="115"/>
        </w:rPr>
        <w:t>the</w:t>
      </w:r>
      <w:r>
        <w:rPr>
          <w:spacing w:val="-19"/>
          <w:w w:val="115"/>
        </w:rPr>
        <w:t> </w:t>
      </w:r>
      <w:r>
        <w:rPr>
          <w:w w:val="115"/>
        </w:rPr>
        <w:t>free</w:t>
      </w:r>
      <w:r>
        <w:rPr>
          <w:spacing w:val="-20"/>
          <w:w w:val="115"/>
        </w:rPr>
        <w:t> </w:t>
      </w:r>
      <w:r>
        <w:rPr>
          <w:w w:val="115"/>
        </w:rPr>
        <w:t>movement of</w:t>
      </w:r>
      <w:r>
        <w:rPr>
          <w:spacing w:val="-17"/>
          <w:w w:val="115"/>
        </w:rPr>
        <w:t> </w:t>
      </w:r>
      <w:r>
        <w:rPr>
          <w:w w:val="115"/>
        </w:rPr>
        <w:t>goods.’</w:t>
      </w:r>
      <w:r>
        <w:rPr>
          <w:rFonts w:ascii="Lucida Sans Unicode" w:hAnsi="Lucida Sans Unicode"/>
          <w:w w:val="115"/>
          <w:vertAlign w:val="superscript"/>
        </w:rPr>
        <w:t>300</w:t>
      </w:r>
      <w:r>
        <w:rPr>
          <w:rFonts w:ascii="Lucida Sans Unicode" w:hAnsi="Lucida Sans Unicode"/>
          <w:spacing w:val="-22"/>
          <w:w w:val="115"/>
          <w:vertAlign w:val="baseline"/>
        </w:rPr>
        <w:t> </w:t>
      </w:r>
      <w:r>
        <w:rPr>
          <w:w w:val="115"/>
          <w:vertAlign w:val="baseline"/>
        </w:rPr>
        <w:t>The</w:t>
      </w:r>
      <w:r>
        <w:rPr>
          <w:spacing w:val="-14"/>
          <w:w w:val="115"/>
          <w:vertAlign w:val="baseline"/>
        </w:rPr>
        <w:t> </w:t>
      </w:r>
      <w:r>
        <w:rPr>
          <w:w w:val="115"/>
          <w:vertAlign w:val="baseline"/>
        </w:rPr>
        <w:t>CJEU</w:t>
      </w:r>
      <w:r>
        <w:rPr>
          <w:spacing w:val="-14"/>
          <w:w w:val="115"/>
          <w:vertAlign w:val="baseline"/>
        </w:rPr>
        <w:t> </w:t>
      </w:r>
      <w:r>
        <w:rPr>
          <w:w w:val="115"/>
          <w:vertAlign w:val="baseline"/>
        </w:rPr>
        <w:t>then</w:t>
      </w:r>
      <w:r>
        <w:rPr>
          <w:spacing w:val="-14"/>
          <w:w w:val="115"/>
          <w:vertAlign w:val="baseline"/>
        </w:rPr>
        <w:t> </w:t>
      </w:r>
      <w:r>
        <w:rPr>
          <w:w w:val="115"/>
          <w:vertAlign w:val="baseline"/>
        </w:rPr>
        <w:t>pointed</w:t>
      </w:r>
    </w:p>
    <w:p>
      <w:pPr>
        <w:pStyle w:val="BodyText"/>
        <w:spacing w:line="231" w:lineRule="exact"/>
      </w:pPr>
      <w:r>
        <w:rPr>
          <w:w w:val="115"/>
        </w:rPr>
        <w:t>out</w:t>
      </w:r>
      <w:r>
        <w:rPr>
          <w:spacing w:val="-6"/>
          <w:w w:val="115"/>
        </w:rPr>
        <w:t> </w:t>
      </w:r>
      <w:r>
        <w:rPr>
          <w:w w:val="115"/>
        </w:rPr>
        <w:t>that</w:t>
      </w:r>
      <w:r>
        <w:rPr>
          <w:spacing w:val="-5"/>
          <w:w w:val="115"/>
        </w:rPr>
        <w:t> </w:t>
      </w:r>
      <w:r>
        <w:rPr>
          <w:w w:val="115"/>
        </w:rPr>
        <w:t>free</w:t>
      </w:r>
      <w:r>
        <w:rPr>
          <w:spacing w:val="-5"/>
          <w:w w:val="115"/>
        </w:rPr>
        <w:t> </w:t>
      </w:r>
      <w:r>
        <w:rPr>
          <w:w w:val="115"/>
        </w:rPr>
        <w:t>movement</w:t>
      </w:r>
      <w:r>
        <w:rPr>
          <w:spacing w:val="-5"/>
          <w:w w:val="115"/>
        </w:rPr>
        <w:t> </w:t>
      </w:r>
      <w:r>
        <w:rPr>
          <w:w w:val="115"/>
        </w:rPr>
        <w:t>of</w:t>
      </w:r>
      <w:r>
        <w:rPr>
          <w:spacing w:val="-5"/>
          <w:w w:val="115"/>
        </w:rPr>
        <w:t> </w:t>
      </w:r>
      <w:r>
        <w:rPr>
          <w:spacing w:val="-2"/>
          <w:w w:val="115"/>
        </w:rPr>
        <w:t>goods</w:t>
      </w:r>
    </w:p>
    <w:p>
      <w:pPr>
        <w:pStyle w:val="BodyText"/>
        <w:spacing w:line="314" w:lineRule="exact" w:before="11"/>
        <w:ind w:right="440"/>
      </w:pPr>
      <w:r>
        <w:rPr>
          <w:w w:val="110"/>
        </w:rPr>
        <w:t>is</w:t>
      </w:r>
      <w:r>
        <w:rPr>
          <w:spacing w:val="40"/>
          <w:w w:val="110"/>
        </w:rPr>
        <w:t> </w:t>
      </w:r>
      <w:r>
        <w:rPr>
          <w:w w:val="110"/>
        </w:rPr>
        <w:t>subject</w:t>
      </w:r>
      <w:r>
        <w:rPr>
          <w:spacing w:val="40"/>
          <w:w w:val="110"/>
        </w:rPr>
        <w:t> </w:t>
      </w:r>
      <w:r>
        <w:rPr>
          <w:w w:val="110"/>
        </w:rPr>
        <w:t>to</w:t>
      </w:r>
      <w:r>
        <w:rPr>
          <w:spacing w:val="40"/>
          <w:w w:val="110"/>
        </w:rPr>
        <w:t> </w:t>
      </w:r>
      <w:r>
        <w:rPr>
          <w:w w:val="110"/>
        </w:rPr>
        <w:t>restrictions</w:t>
      </w:r>
      <w:r>
        <w:rPr>
          <w:spacing w:val="40"/>
          <w:w w:val="110"/>
        </w:rPr>
        <w:t> </w:t>
      </w:r>
      <w:r>
        <w:rPr>
          <w:w w:val="110"/>
        </w:rPr>
        <w:t>according </w:t>
      </w:r>
      <w:r>
        <w:rPr>
          <w:rFonts w:ascii="Lucida Sans Unicode" w:hAnsi="Lucida Sans Unicode"/>
        </w:rPr>
        <w:t>to Article 36 TFEU – also applicable </w:t>
      </w:r>
      <w:r>
        <w:rPr>
          <w:w w:val="110"/>
        </w:rPr>
        <w:t>in Northern Ireland – as well as the unwritten overriding (or </w:t>
      </w:r>
      <w:r>
        <w:rPr>
          <w:w w:val="110"/>
        </w:rPr>
        <w:t>mandatory) requirements.</w:t>
      </w:r>
      <w:r>
        <w:rPr>
          <w:rFonts w:ascii="Lucida Sans Unicode" w:hAnsi="Lucida Sans Unicode"/>
          <w:w w:val="110"/>
          <w:vertAlign w:val="superscript"/>
        </w:rPr>
        <w:t>301</w:t>
      </w:r>
      <w:r>
        <w:rPr>
          <w:rFonts w:ascii="Lucida Sans Unicode" w:hAnsi="Lucida Sans Unicode"/>
          <w:w w:val="110"/>
          <w:vertAlign w:val="baseline"/>
        </w:rPr>
        <w:t> </w:t>
      </w:r>
      <w:r>
        <w:rPr>
          <w:w w:val="110"/>
          <w:vertAlign w:val="baseline"/>
        </w:rPr>
        <w:t>It then carried out</w:t>
      </w:r>
    </w:p>
    <w:p>
      <w:pPr>
        <w:pStyle w:val="BodyText"/>
        <w:spacing w:line="273" w:lineRule="auto" w:before="24"/>
        <w:ind w:right="414"/>
      </w:pPr>
      <w:r>
        <w:rPr>
          <w:w w:val="110"/>
        </w:rPr>
        <w:t>a proportionality exercise weighing the interests concerned – the free movement</w:t>
      </w:r>
      <w:r>
        <w:rPr>
          <w:spacing w:val="40"/>
          <w:w w:val="110"/>
        </w:rPr>
        <w:t> </w:t>
      </w:r>
      <w:r>
        <w:rPr>
          <w:w w:val="110"/>
        </w:rPr>
        <w:t>of</w:t>
      </w:r>
      <w:r>
        <w:rPr>
          <w:spacing w:val="40"/>
          <w:w w:val="110"/>
        </w:rPr>
        <w:t> </w:t>
      </w:r>
      <w:r>
        <w:rPr>
          <w:w w:val="110"/>
        </w:rPr>
        <w:t>goods</w:t>
      </w:r>
      <w:r>
        <w:rPr>
          <w:spacing w:val="40"/>
          <w:w w:val="110"/>
        </w:rPr>
        <w:t> </w:t>
      </w:r>
      <w:r>
        <w:rPr>
          <w:w w:val="110"/>
        </w:rPr>
        <w:t>on</w:t>
      </w:r>
      <w:r>
        <w:rPr>
          <w:spacing w:val="40"/>
          <w:w w:val="110"/>
        </w:rPr>
        <w:t> </w:t>
      </w:r>
      <w:r>
        <w:rPr>
          <w:w w:val="110"/>
        </w:rPr>
        <w:t>the</w:t>
      </w:r>
      <w:r>
        <w:rPr>
          <w:spacing w:val="40"/>
          <w:w w:val="110"/>
        </w:rPr>
        <w:t> </w:t>
      </w:r>
      <w:r>
        <w:rPr>
          <w:w w:val="110"/>
        </w:rPr>
        <w:t>one side and freedom of expression </w:t>
      </w:r>
      <w:r>
        <w:rPr>
          <w:w w:val="110"/>
        </w:rPr>
        <w:t>and</w:t>
      </w:r>
    </w:p>
    <w:p>
      <w:pPr>
        <w:pStyle w:val="BodyText"/>
        <w:spacing w:line="273" w:lineRule="auto"/>
        <w:ind w:right="118"/>
      </w:pPr>
      <w:r>
        <w:rPr>
          <w:w w:val="110"/>
        </w:rPr>
        <w:t>assembly on the other – and </w:t>
      </w:r>
      <w:r>
        <w:rPr>
          <w:w w:val="110"/>
        </w:rPr>
        <w:t>balancing </w:t>
      </w:r>
      <w:r>
        <w:rPr>
          <w:w w:val="115"/>
        </w:rPr>
        <w:t>them and concluded that Austria</w:t>
      </w:r>
    </w:p>
    <w:p>
      <w:pPr>
        <w:pStyle w:val="BodyText"/>
        <w:spacing w:line="320" w:lineRule="exact"/>
        <w:rPr>
          <w:rFonts w:ascii="Lucida Sans Unicode"/>
        </w:rPr>
      </w:pPr>
      <w:r>
        <w:rPr>
          <w:rFonts w:ascii="Lucida Sans Unicode"/>
          <w:w w:val="105"/>
        </w:rPr>
        <w:t>had</w:t>
      </w:r>
      <w:r>
        <w:rPr>
          <w:rFonts w:ascii="Lucida Sans Unicode"/>
          <w:spacing w:val="-8"/>
          <w:w w:val="105"/>
        </w:rPr>
        <w:t> </w:t>
      </w:r>
      <w:r>
        <w:rPr>
          <w:rFonts w:ascii="Lucida Sans Unicode"/>
          <w:w w:val="105"/>
        </w:rPr>
        <w:t>not</w:t>
      </w:r>
      <w:r>
        <w:rPr>
          <w:rFonts w:ascii="Lucida Sans Unicode"/>
          <w:spacing w:val="-7"/>
          <w:w w:val="105"/>
        </w:rPr>
        <w:t> </w:t>
      </w:r>
      <w:r>
        <w:rPr>
          <w:rFonts w:ascii="Lucida Sans Unicode"/>
          <w:w w:val="105"/>
        </w:rPr>
        <w:t>violated</w:t>
      </w:r>
      <w:r>
        <w:rPr>
          <w:rFonts w:ascii="Lucida Sans Unicode"/>
          <w:spacing w:val="-7"/>
          <w:w w:val="105"/>
        </w:rPr>
        <w:t> </w:t>
      </w:r>
      <w:r>
        <w:rPr>
          <w:rFonts w:ascii="Lucida Sans Unicode"/>
          <w:w w:val="105"/>
        </w:rPr>
        <w:t>Article</w:t>
      </w:r>
      <w:r>
        <w:rPr>
          <w:rFonts w:ascii="Lucida Sans Unicode"/>
          <w:spacing w:val="-7"/>
          <w:w w:val="105"/>
        </w:rPr>
        <w:t> </w:t>
      </w:r>
      <w:r>
        <w:rPr>
          <w:rFonts w:ascii="Lucida Sans Unicode"/>
          <w:w w:val="105"/>
        </w:rPr>
        <w:t>34</w:t>
      </w:r>
      <w:r>
        <w:rPr>
          <w:rFonts w:ascii="Lucida Sans Unicode"/>
          <w:spacing w:val="-8"/>
          <w:w w:val="105"/>
        </w:rPr>
        <w:t> </w:t>
      </w:r>
      <w:r>
        <w:rPr>
          <w:rFonts w:ascii="Lucida Sans Unicode"/>
          <w:w w:val="105"/>
        </w:rPr>
        <w:t>TFEU</w:t>
      </w:r>
      <w:r>
        <w:rPr>
          <w:rFonts w:ascii="Lucida Sans Unicode"/>
          <w:spacing w:val="-7"/>
          <w:w w:val="105"/>
        </w:rPr>
        <w:t> </w:t>
      </w:r>
      <w:r>
        <w:rPr>
          <w:rFonts w:ascii="Lucida Sans Unicode"/>
          <w:spacing w:val="-5"/>
          <w:w w:val="105"/>
        </w:rPr>
        <w:t>by</w:t>
      </w:r>
    </w:p>
    <w:p>
      <w:pPr>
        <w:pStyle w:val="BodyText"/>
        <w:spacing w:line="273" w:lineRule="auto"/>
        <w:ind w:right="440"/>
      </w:pPr>
      <w:r>
        <w:rPr>
          <w:w w:val="115"/>
        </w:rPr>
        <w:t>allowing the demonstration to go ahead</w:t>
      </w:r>
      <w:r>
        <w:rPr>
          <w:spacing w:val="-20"/>
          <w:w w:val="115"/>
        </w:rPr>
        <w:t> </w:t>
      </w:r>
      <w:r>
        <w:rPr>
          <w:w w:val="115"/>
        </w:rPr>
        <w:t>as</w:t>
      </w:r>
      <w:r>
        <w:rPr>
          <w:spacing w:val="-19"/>
          <w:w w:val="115"/>
        </w:rPr>
        <w:t> </w:t>
      </w:r>
      <w:r>
        <w:rPr>
          <w:w w:val="115"/>
        </w:rPr>
        <w:t>it</w:t>
      </w:r>
      <w:r>
        <w:rPr>
          <w:spacing w:val="-19"/>
          <w:w w:val="115"/>
        </w:rPr>
        <w:t> </w:t>
      </w:r>
      <w:r>
        <w:rPr>
          <w:w w:val="115"/>
        </w:rPr>
        <w:t>enjoyed</w:t>
      </w:r>
      <w:r>
        <w:rPr>
          <w:spacing w:val="-19"/>
          <w:w w:val="115"/>
        </w:rPr>
        <w:t> </w:t>
      </w:r>
      <w:r>
        <w:rPr>
          <w:w w:val="115"/>
        </w:rPr>
        <w:t>wide</w:t>
      </w:r>
      <w:r>
        <w:rPr>
          <w:spacing w:val="-19"/>
          <w:w w:val="115"/>
        </w:rPr>
        <w:t> </w:t>
      </w:r>
      <w:r>
        <w:rPr>
          <w:w w:val="115"/>
        </w:rPr>
        <w:t>discretion </w:t>
      </w:r>
      <w:r>
        <w:rPr>
          <w:w w:val="110"/>
        </w:rPr>
        <w:t>in</w:t>
      </w:r>
      <w:r>
        <w:rPr>
          <w:spacing w:val="-4"/>
          <w:w w:val="110"/>
        </w:rPr>
        <w:t> </w:t>
      </w:r>
      <w:r>
        <w:rPr>
          <w:w w:val="110"/>
        </w:rPr>
        <w:t>this</w:t>
      </w:r>
      <w:r>
        <w:rPr>
          <w:spacing w:val="-2"/>
          <w:w w:val="110"/>
        </w:rPr>
        <w:t> </w:t>
      </w:r>
      <w:r>
        <w:rPr>
          <w:w w:val="110"/>
        </w:rPr>
        <w:t>case.</w:t>
      </w:r>
      <w:r>
        <w:rPr>
          <w:spacing w:val="-2"/>
          <w:w w:val="110"/>
        </w:rPr>
        <w:t> </w:t>
      </w:r>
      <w:r>
        <w:rPr>
          <w:w w:val="110"/>
        </w:rPr>
        <w:t>There</w:t>
      </w:r>
      <w:r>
        <w:rPr>
          <w:spacing w:val="-2"/>
          <w:w w:val="110"/>
        </w:rPr>
        <w:t> </w:t>
      </w:r>
      <w:r>
        <w:rPr>
          <w:w w:val="110"/>
        </w:rPr>
        <w:t>was</w:t>
      </w:r>
      <w:r>
        <w:rPr>
          <w:spacing w:val="-2"/>
          <w:w w:val="110"/>
        </w:rPr>
        <w:t> </w:t>
      </w:r>
      <w:r>
        <w:rPr>
          <w:w w:val="110"/>
        </w:rPr>
        <w:t>therefore</w:t>
      </w:r>
      <w:r>
        <w:rPr>
          <w:spacing w:val="-2"/>
          <w:w w:val="110"/>
        </w:rPr>
        <w:t> </w:t>
      </w:r>
      <w:r>
        <w:rPr>
          <w:w w:val="110"/>
        </w:rPr>
        <w:t>no breach</w:t>
      </w:r>
      <w:r>
        <w:rPr>
          <w:spacing w:val="1"/>
          <w:w w:val="110"/>
        </w:rPr>
        <w:t> </w:t>
      </w:r>
      <w:r>
        <w:rPr>
          <w:w w:val="110"/>
        </w:rPr>
        <w:t>of</w:t>
      </w:r>
      <w:r>
        <w:rPr>
          <w:spacing w:val="2"/>
          <w:w w:val="110"/>
        </w:rPr>
        <w:t> </w:t>
      </w:r>
      <w:r>
        <w:rPr>
          <w:w w:val="110"/>
        </w:rPr>
        <w:t>EU</w:t>
      </w:r>
      <w:r>
        <w:rPr>
          <w:spacing w:val="2"/>
          <w:w w:val="110"/>
        </w:rPr>
        <w:t> </w:t>
      </w:r>
      <w:r>
        <w:rPr>
          <w:w w:val="110"/>
        </w:rPr>
        <w:t>law,</w:t>
      </w:r>
      <w:r>
        <w:rPr>
          <w:spacing w:val="1"/>
          <w:w w:val="110"/>
        </w:rPr>
        <w:t> </w:t>
      </w:r>
      <w:r>
        <w:rPr>
          <w:w w:val="110"/>
        </w:rPr>
        <w:t>which</w:t>
      </w:r>
      <w:r>
        <w:rPr>
          <w:spacing w:val="2"/>
          <w:w w:val="110"/>
        </w:rPr>
        <w:t> </w:t>
      </w:r>
      <w:r>
        <w:rPr>
          <w:w w:val="110"/>
        </w:rPr>
        <w:t>meant</w:t>
      </w:r>
      <w:r>
        <w:rPr>
          <w:spacing w:val="2"/>
          <w:w w:val="110"/>
        </w:rPr>
        <w:t> </w:t>
      </w:r>
      <w:r>
        <w:rPr>
          <w:spacing w:val="-4"/>
          <w:w w:val="110"/>
        </w:rPr>
        <w:t>that</w:t>
      </w:r>
    </w:p>
    <w:p>
      <w:pPr>
        <w:pStyle w:val="BodyText"/>
        <w:spacing w:line="273" w:lineRule="auto"/>
        <w:ind w:right="147"/>
      </w:pPr>
      <w:r>
        <w:rPr>
          <w:w w:val="115"/>
        </w:rPr>
        <w:t>there</w:t>
      </w:r>
      <w:r>
        <w:rPr>
          <w:spacing w:val="-20"/>
          <w:w w:val="115"/>
        </w:rPr>
        <w:t> </w:t>
      </w:r>
      <w:r>
        <w:rPr>
          <w:w w:val="115"/>
        </w:rPr>
        <w:t>was</w:t>
      </w:r>
      <w:r>
        <w:rPr>
          <w:spacing w:val="-19"/>
          <w:w w:val="115"/>
        </w:rPr>
        <w:t> </w:t>
      </w:r>
      <w:r>
        <w:rPr>
          <w:w w:val="115"/>
        </w:rPr>
        <w:t>no</w:t>
      </w:r>
      <w:r>
        <w:rPr>
          <w:spacing w:val="-19"/>
          <w:w w:val="115"/>
        </w:rPr>
        <w:t> </w:t>
      </w:r>
      <w:r>
        <w:rPr>
          <w:w w:val="115"/>
        </w:rPr>
        <w:t>basis</w:t>
      </w:r>
      <w:r>
        <w:rPr>
          <w:spacing w:val="-19"/>
          <w:w w:val="115"/>
        </w:rPr>
        <w:t> </w:t>
      </w:r>
      <w:r>
        <w:rPr>
          <w:w w:val="115"/>
        </w:rPr>
        <w:t>for</w:t>
      </w:r>
      <w:r>
        <w:rPr>
          <w:spacing w:val="-19"/>
          <w:w w:val="115"/>
        </w:rPr>
        <w:t> </w:t>
      </w:r>
      <w:r>
        <w:rPr>
          <w:w w:val="115"/>
        </w:rPr>
        <w:t>a</w:t>
      </w:r>
      <w:r>
        <w:rPr>
          <w:spacing w:val="-20"/>
          <w:w w:val="115"/>
        </w:rPr>
        <w:t> </w:t>
      </w:r>
      <w:r>
        <w:rPr>
          <w:w w:val="115"/>
        </w:rPr>
        <w:t>claim</w:t>
      </w:r>
      <w:r>
        <w:rPr>
          <w:spacing w:val="-19"/>
          <w:w w:val="115"/>
        </w:rPr>
        <w:t> </w:t>
      </w:r>
      <w:r>
        <w:rPr>
          <w:w w:val="115"/>
        </w:rPr>
        <w:t>of</w:t>
      </w:r>
      <w:r>
        <w:rPr>
          <w:spacing w:val="-19"/>
          <w:w w:val="115"/>
        </w:rPr>
        <w:t> </w:t>
      </w:r>
      <w:r>
        <w:rPr>
          <w:w w:val="115"/>
        </w:rPr>
        <w:t>state </w:t>
      </w:r>
      <w:r>
        <w:rPr>
          <w:spacing w:val="-2"/>
          <w:w w:val="115"/>
        </w:rPr>
        <w:t>liability.</w:t>
      </w:r>
    </w:p>
    <w:p>
      <w:pPr>
        <w:pStyle w:val="BodyText"/>
        <w:spacing w:line="271" w:lineRule="auto" w:before="264"/>
        <w:ind w:right="239"/>
      </w:pPr>
      <w:r>
        <w:rPr/>
        <w:t>The </w:t>
      </w:r>
      <w:r>
        <w:rPr>
          <w:rFonts w:ascii="Verdana"/>
          <w:i/>
        </w:rPr>
        <w:t>Schmidberger </w:t>
      </w:r>
      <w:r>
        <w:rPr/>
        <w:t>case demonstrates</w:t>
      </w:r>
      <w:r>
        <w:rPr>
          <w:w w:val="110"/>
        </w:rPr>
        <w:t> how the CJEU has interpreted EU law applicable in Northern Ireland under the Windsor Framework in light of fundamental rights. It should be </w:t>
      </w:r>
      <w:r>
        <w:rPr>
          <w:w w:val="110"/>
        </w:rPr>
        <w:t>noted that the </w:t>
      </w:r>
      <w:r>
        <w:rPr>
          <w:rFonts w:ascii="Verdana"/>
          <w:i/>
          <w:w w:val="110"/>
        </w:rPr>
        <w:t>Schmidberger</w:t>
      </w:r>
      <w:r>
        <w:rPr>
          <w:rFonts w:ascii="Verdana"/>
          <w:i/>
          <w:spacing w:val="-19"/>
          <w:w w:val="110"/>
        </w:rPr>
        <w:t> </w:t>
      </w:r>
      <w:r>
        <w:rPr>
          <w:w w:val="110"/>
        </w:rPr>
        <w:t>case arose before</w:t>
      </w:r>
      <w:r>
        <w:rPr>
          <w:spacing w:val="40"/>
          <w:w w:val="110"/>
        </w:rPr>
        <w:t> </w:t>
      </w:r>
      <w:r>
        <w:rPr>
          <w:w w:val="110"/>
        </w:rPr>
        <w:t>the</w:t>
      </w:r>
      <w:r>
        <w:rPr>
          <w:spacing w:val="40"/>
          <w:w w:val="110"/>
        </w:rPr>
        <w:t> </w:t>
      </w:r>
      <w:r>
        <w:rPr>
          <w:w w:val="110"/>
        </w:rPr>
        <w:t>Charter</w:t>
      </w:r>
      <w:r>
        <w:rPr>
          <w:spacing w:val="40"/>
          <w:w w:val="110"/>
        </w:rPr>
        <w:t> </w:t>
      </w:r>
      <w:r>
        <w:rPr>
          <w:w w:val="110"/>
        </w:rPr>
        <w:t>became</w:t>
      </w:r>
      <w:r>
        <w:rPr>
          <w:spacing w:val="40"/>
          <w:w w:val="110"/>
        </w:rPr>
        <w:t> </w:t>
      </w:r>
      <w:r>
        <w:rPr>
          <w:w w:val="110"/>
        </w:rPr>
        <w:t>binding, so that the CJEU based its decision</w:t>
      </w:r>
      <w:r>
        <w:rPr>
          <w:spacing w:val="80"/>
          <w:w w:val="110"/>
        </w:rPr>
        <w:t> </w:t>
      </w:r>
      <w:r>
        <w:rPr>
          <w:w w:val="110"/>
        </w:rPr>
        <w:t>on EU fundamental rights guaranteed as general principles of EU law. If</w:t>
      </w:r>
    </w:p>
    <w:p>
      <w:pPr>
        <w:pStyle w:val="BodyText"/>
        <w:spacing w:line="273" w:lineRule="auto"/>
        <w:ind w:right="317"/>
      </w:pPr>
      <w:r>
        <w:rPr>
          <w:w w:val="115"/>
        </w:rPr>
        <w:t>the case arose today, it would in all likelihood</w:t>
      </w:r>
      <w:r>
        <w:rPr>
          <w:spacing w:val="-7"/>
          <w:w w:val="115"/>
        </w:rPr>
        <w:t> </w:t>
      </w:r>
      <w:r>
        <w:rPr>
          <w:w w:val="115"/>
        </w:rPr>
        <w:t>be</w:t>
      </w:r>
      <w:r>
        <w:rPr>
          <w:spacing w:val="-7"/>
          <w:w w:val="115"/>
        </w:rPr>
        <w:t> </w:t>
      </w:r>
      <w:r>
        <w:rPr>
          <w:w w:val="115"/>
        </w:rPr>
        <w:t>argued</w:t>
      </w:r>
      <w:r>
        <w:rPr>
          <w:spacing w:val="-7"/>
          <w:w w:val="115"/>
        </w:rPr>
        <w:t> </w:t>
      </w:r>
      <w:r>
        <w:rPr>
          <w:w w:val="115"/>
        </w:rPr>
        <w:t>and</w:t>
      </w:r>
      <w:r>
        <w:rPr>
          <w:spacing w:val="-7"/>
          <w:w w:val="115"/>
        </w:rPr>
        <w:t> </w:t>
      </w:r>
      <w:r>
        <w:rPr>
          <w:w w:val="115"/>
        </w:rPr>
        <w:t>decided</w:t>
      </w:r>
      <w:r>
        <w:rPr>
          <w:spacing w:val="-7"/>
          <w:w w:val="115"/>
        </w:rPr>
        <w:t> </w:t>
      </w:r>
      <w:r>
        <w:rPr>
          <w:w w:val="115"/>
        </w:rPr>
        <w:t>in the</w:t>
      </w:r>
      <w:r>
        <w:rPr>
          <w:spacing w:val="-19"/>
          <w:w w:val="115"/>
        </w:rPr>
        <w:t> </w:t>
      </w:r>
      <w:r>
        <w:rPr>
          <w:w w:val="115"/>
        </w:rPr>
        <w:t>same</w:t>
      </w:r>
      <w:r>
        <w:rPr>
          <w:spacing w:val="-18"/>
          <w:w w:val="115"/>
        </w:rPr>
        <w:t> </w:t>
      </w:r>
      <w:r>
        <w:rPr>
          <w:w w:val="115"/>
        </w:rPr>
        <w:t>manner</w:t>
      </w:r>
      <w:r>
        <w:rPr>
          <w:spacing w:val="-18"/>
          <w:w w:val="115"/>
        </w:rPr>
        <w:t> </w:t>
      </w:r>
      <w:r>
        <w:rPr>
          <w:w w:val="115"/>
        </w:rPr>
        <w:t>with</w:t>
      </w:r>
      <w:r>
        <w:rPr>
          <w:spacing w:val="-19"/>
          <w:w w:val="115"/>
        </w:rPr>
        <w:t> </w:t>
      </w:r>
      <w:r>
        <w:rPr>
          <w:w w:val="115"/>
        </w:rPr>
        <w:t>the</w:t>
      </w:r>
      <w:r>
        <w:rPr>
          <w:spacing w:val="-18"/>
          <w:w w:val="115"/>
        </w:rPr>
        <w:t> </w:t>
      </w:r>
      <w:r>
        <w:rPr>
          <w:spacing w:val="-2"/>
          <w:w w:val="115"/>
        </w:rPr>
        <w:t>exception</w:t>
      </w:r>
    </w:p>
    <w:p>
      <w:pPr>
        <w:spacing w:after="0" w:line="273" w:lineRule="auto"/>
        <w:sectPr>
          <w:type w:val="continuous"/>
          <w:pgSz w:w="11910" w:h="16840"/>
          <w:pgMar w:header="568" w:footer="580" w:top="0" w:bottom="280" w:left="1020" w:right="1020"/>
          <w:cols w:num="2" w:equalWidth="0">
            <w:col w:w="4680" w:space="366"/>
            <w:col w:w="4824"/>
          </w:cols>
        </w:sectPr>
      </w:pPr>
    </w:p>
    <w:p>
      <w:pPr>
        <w:pStyle w:val="BodyText"/>
        <w:spacing w:before="11"/>
        <w:ind w:left="0"/>
        <w:rPr>
          <w:sz w:val="12"/>
        </w:rPr>
      </w:pPr>
    </w:p>
    <w:p>
      <w:pPr>
        <w:pStyle w:val="BodyText"/>
        <w:spacing w:line="20" w:lineRule="exact"/>
        <w:rPr>
          <w:sz w:val="2"/>
        </w:rPr>
      </w:pPr>
      <w:r>
        <w:rPr>
          <w:sz w:val="2"/>
        </w:rPr>
        <mc:AlternateContent>
          <mc:Choice Requires="wps">
            <w:drawing>
              <wp:inline distT="0" distB="0" distL="0" distR="0">
                <wp:extent cx="6120130" cy="6350"/>
                <wp:effectExtent l="9525" t="0" r="0" b="3175"/>
                <wp:docPr id="182" name="Group 182"/>
                <wp:cNvGraphicFramePr>
                  <a:graphicFrameLocks/>
                </wp:cNvGraphicFramePr>
                <a:graphic>
                  <a:graphicData uri="http://schemas.microsoft.com/office/word/2010/wordprocessingGroup">
                    <wpg:wgp>
                      <wpg:cNvPr id="182" name="Group 182"/>
                      <wpg:cNvGrpSpPr/>
                      <wpg:grpSpPr>
                        <a:xfrm>
                          <a:off x="0" y="0"/>
                          <a:ext cx="6120130" cy="6350"/>
                          <a:chExt cx="6120130" cy="6350"/>
                        </a:xfrm>
                      </wpg:grpSpPr>
                      <wps:wsp>
                        <wps:cNvPr id="183" name="Graphic 183"/>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110"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14"/>
        </w:numPr>
        <w:tabs>
          <w:tab w:pos="565" w:val="left" w:leader="none"/>
        </w:tabs>
        <w:spacing w:line="223" w:lineRule="exact" w:before="61" w:after="0"/>
        <w:ind w:left="565" w:right="0" w:hanging="452"/>
        <w:jc w:val="left"/>
        <w:rPr>
          <w:sz w:val="16"/>
        </w:rPr>
      </w:pPr>
      <w:r>
        <w:rPr>
          <w:spacing w:val="-2"/>
          <w:sz w:val="16"/>
        </w:rPr>
        <w:t>Case</w:t>
      </w:r>
      <w:r>
        <w:rPr>
          <w:spacing w:val="-5"/>
          <w:sz w:val="16"/>
        </w:rPr>
        <w:t> </w:t>
      </w:r>
      <w:r>
        <w:rPr>
          <w:spacing w:val="-2"/>
          <w:sz w:val="16"/>
        </w:rPr>
        <w:t>C-112/00</w:t>
      </w:r>
      <w:r>
        <w:rPr>
          <w:spacing w:val="-4"/>
          <w:sz w:val="16"/>
        </w:rPr>
        <w:t> </w:t>
      </w:r>
      <w:r>
        <w:rPr>
          <w:rFonts w:ascii="Verdana" w:hAnsi="Verdana"/>
          <w:i/>
          <w:spacing w:val="-2"/>
          <w:sz w:val="16"/>
        </w:rPr>
        <w:t>Eugen</w:t>
      </w:r>
      <w:r>
        <w:rPr>
          <w:rFonts w:ascii="Verdana" w:hAnsi="Verdana"/>
          <w:i/>
          <w:spacing w:val="-11"/>
          <w:sz w:val="16"/>
        </w:rPr>
        <w:t> </w:t>
      </w:r>
      <w:r>
        <w:rPr>
          <w:rFonts w:ascii="Verdana" w:hAnsi="Verdana"/>
          <w:i/>
          <w:spacing w:val="-2"/>
          <w:sz w:val="16"/>
        </w:rPr>
        <w:t>Schmidberger,</w:t>
      </w:r>
      <w:r>
        <w:rPr>
          <w:rFonts w:ascii="Verdana" w:hAnsi="Verdana"/>
          <w:i/>
          <w:spacing w:val="-10"/>
          <w:sz w:val="16"/>
        </w:rPr>
        <w:t> </w:t>
      </w:r>
      <w:r>
        <w:rPr>
          <w:rFonts w:ascii="Verdana" w:hAnsi="Verdana"/>
          <w:i/>
          <w:spacing w:val="-2"/>
          <w:sz w:val="16"/>
        </w:rPr>
        <w:t>Internationale</w:t>
      </w:r>
      <w:r>
        <w:rPr>
          <w:rFonts w:ascii="Verdana" w:hAnsi="Verdana"/>
          <w:i/>
          <w:spacing w:val="-11"/>
          <w:sz w:val="16"/>
        </w:rPr>
        <w:t> </w:t>
      </w:r>
      <w:r>
        <w:rPr>
          <w:rFonts w:ascii="Verdana" w:hAnsi="Verdana"/>
          <w:i/>
          <w:spacing w:val="-2"/>
          <w:sz w:val="16"/>
        </w:rPr>
        <w:t>Transporte</w:t>
      </w:r>
      <w:r>
        <w:rPr>
          <w:rFonts w:ascii="Verdana" w:hAnsi="Verdana"/>
          <w:i/>
          <w:spacing w:val="-10"/>
          <w:sz w:val="16"/>
        </w:rPr>
        <w:t> </w:t>
      </w:r>
      <w:r>
        <w:rPr>
          <w:rFonts w:ascii="Verdana" w:hAnsi="Verdana"/>
          <w:i/>
          <w:spacing w:val="-2"/>
          <w:sz w:val="16"/>
        </w:rPr>
        <w:t>und</w:t>
      </w:r>
      <w:r>
        <w:rPr>
          <w:rFonts w:ascii="Verdana" w:hAnsi="Verdana"/>
          <w:i/>
          <w:spacing w:val="-10"/>
          <w:sz w:val="16"/>
        </w:rPr>
        <w:t> </w:t>
      </w:r>
      <w:r>
        <w:rPr>
          <w:rFonts w:ascii="Verdana" w:hAnsi="Verdana"/>
          <w:i/>
          <w:spacing w:val="-2"/>
          <w:sz w:val="16"/>
        </w:rPr>
        <w:t>Planzüge</w:t>
      </w:r>
      <w:r>
        <w:rPr>
          <w:rFonts w:ascii="Verdana" w:hAnsi="Verdana"/>
          <w:i/>
          <w:spacing w:val="-11"/>
          <w:sz w:val="16"/>
        </w:rPr>
        <w:t> </w:t>
      </w:r>
      <w:r>
        <w:rPr>
          <w:rFonts w:ascii="Verdana" w:hAnsi="Verdana"/>
          <w:i/>
          <w:spacing w:val="-2"/>
          <w:sz w:val="16"/>
        </w:rPr>
        <w:t>v</w:t>
      </w:r>
      <w:r>
        <w:rPr>
          <w:rFonts w:ascii="Verdana" w:hAnsi="Verdana"/>
          <w:i/>
          <w:spacing w:val="-10"/>
          <w:sz w:val="16"/>
        </w:rPr>
        <w:t> </w:t>
      </w:r>
      <w:r>
        <w:rPr>
          <w:rFonts w:ascii="Verdana" w:hAnsi="Verdana"/>
          <w:i/>
          <w:spacing w:val="-2"/>
          <w:sz w:val="16"/>
        </w:rPr>
        <w:t>Republik</w:t>
      </w:r>
      <w:r>
        <w:rPr>
          <w:rFonts w:ascii="Verdana" w:hAnsi="Verdana"/>
          <w:i/>
          <w:spacing w:val="-11"/>
          <w:sz w:val="16"/>
        </w:rPr>
        <w:t> </w:t>
      </w:r>
      <w:r>
        <w:rPr>
          <w:rFonts w:ascii="Verdana" w:hAnsi="Verdana"/>
          <w:i/>
          <w:spacing w:val="-2"/>
          <w:sz w:val="16"/>
        </w:rPr>
        <w:t>Österreich</w:t>
      </w:r>
      <w:r>
        <w:rPr>
          <w:rFonts w:ascii="Verdana" w:hAnsi="Verdana"/>
          <w:i/>
          <w:spacing w:val="-10"/>
          <w:sz w:val="16"/>
        </w:rPr>
        <w:t> </w:t>
      </w:r>
      <w:r>
        <w:rPr>
          <w:spacing w:val="-2"/>
          <w:sz w:val="16"/>
        </w:rPr>
        <w:t>EU:C:2003:333.</w:t>
      </w:r>
    </w:p>
    <w:p>
      <w:pPr>
        <w:pStyle w:val="ListParagraph"/>
        <w:numPr>
          <w:ilvl w:val="0"/>
          <w:numId w:val="14"/>
        </w:numPr>
        <w:tabs>
          <w:tab w:pos="566" w:val="left" w:leader="none"/>
        </w:tabs>
        <w:spacing w:line="200" w:lineRule="exact" w:before="0" w:after="0"/>
        <w:ind w:left="566" w:right="0" w:hanging="453"/>
        <w:jc w:val="left"/>
        <w:rPr>
          <w:rFonts w:ascii="Arial"/>
          <w:sz w:val="16"/>
        </w:rPr>
      </w:pPr>
      <w:r>
        <w:rPr>
          <w:rFonts w:ascii="Verdana"/>
          <w:i/>
          <w:sz w:val="16"/>
        </w:rPr>
        <w:t>Ibid</w:t>
      </w:r>
      <w:r>
        <w:rPr>
          <w:rFonts w:ascii="Arial"/>
          <w:sz w:val="16"/>
        </w:rPr>
        <w:t>,</w:t>
      </w:r>
      <w:r>
        <w:rPr>
          <w:rFonts w:ascii="Arial"/>
          <w:spacing w:val="10"/>
          <w:sz w:val="16"/>
        </w:rPr>
        <w:t> </w:t>
      </w:r>
      <w:r>
        <w:rPr>
          <w:rFonts w:ascii="Arial"/>
          <w:sz w:val="16"/>
        </w:rPr>
        <w:t>para</w:t>
      </w:r>
      <w:r>
        <w:rPr>
          <w:rFonts w:ascii="Arial"/>
          <w:spacing w:val="10"/>
          <w:sz w:val="16"/>
        </w:rPr>
        <w:t> </w:t>
      </w:r>
      <w:r>
        <w:rPr>
          <w:rFonts w:ascii="Arial"/>
          <w:spacing w:val="-5"/>
          <w:sz w:val="16"/>
        </w:rPr>
        <w:t>61.</w:t>
      </w:r>
    </w:p>
    <w:p>
      <w:pPr>
        <w:pStyle w:val="ListParagraph"/>
        <w:numPr>
          <w:ilvl w:val="0"/>
          <w:numId w:val="14"/>
        </w:numPr>
        <w:tabs>
          <w:tab w:pos="565" w:val="left" w:leader="none"/>
        </w:tabs>
        <w:spacing w:line="200" w:lineRule="exact" w:before="0" w:after="0"/>
        <w:ind w:left="565" w:right="0" w:hanging="452"/>
        <w:jc w:val="left"/>
        <w:rPr>
          <w:sz w:val="16"/>
        </w:rPr>
      </w:pPr>
      <w:r>
        <w:rPr>
          <w:rFonts w:ascii="Verdana"/>
          <w:i/>
          <w:sz w:val="16"/>
        </w:rPr>
        <w:t>Ibid</w:t>
      </w:r>
      <w:r>
        <w:rPr>
          <w:sz w:val="16"/>
        </w:rPr>
        <w:t>,</w:t>
      </w:r>
      <w:r>
        <w:rPr>
          <w:spacing w:val="-12"/>
          <w:sz w:val="16"/>
        </w:rPr>
        <w:t> </w:t>
      </w:r>
      <w:r>
        <w:rPr>
          <w:sz w:val="16"/>
        </w:rPr>
        <w:t>para</w:t>
      </w:r>
      <w:r>
        <w:rPr>
          <w:spacing w:val="-11"/>
          <w:sz w:val="16"/>
        </w:rPr>
        <w:t> </w:t>
      </w:r>
      <w:r>
        <w:rPr>
          <w:spacing w:val="-5"/>
          <w:sz w:val="16"/>
        </w:rPr>
        <w:t>64.</w:t>
      </w:r>
    </w:p>
    <w:p>
      <w:pPr>
        <w:pStyle w:val="ListParagraph"/>
        <w:numPr>
          <w:ilvl w:val="0"/>
          <w:numId w:val="14"/>
        </w:numPr>
        <w:tabs>
          <w:tab w:pos="565" w:val="left" w:leader="none"/>
        </w:tabs>
        <w:spacing w:line="200" w:lineRule="exact" w:before="0" w:after="0"/>
        <w:ind w:left="565" w:right="0" w:hanging="452"/>
        <w:jc w:val="left"/>
        <w:rPr>
          <w:sz w:val="16"/>
        </w:rPr>
      </w:pPr>
      <w:r>
        <w:rPr>
          <w:rFonts w:ascii="Verdana"/>
          <w:i/>
          <w:sz w:val="16"/>
        </w:rPr>
        <w:t>Ibid</w:t>
      </w:r>
      <w:r>
        <w:rPr>
          <w:sz w:val="16"/>
        </w:rPr>
        <w:t>,</w:t>
      </w:r>
      <w:r>
        <w:rPr>
          <w:spacing w:val="-12"/>
          <w:sz w:val="16"/>
        </w:rPr>
        <w:t> </w:t>
      </w:r>
      <w:r>
        <w:rPr>
          <w:sz w:val="16"/>
        </w:rPr>
        <w:t>para</w:t>
      </w:r>
      <w:r>
        <w:rPr>
          <w:spacing w:val="-11"/>
          <w:sz w:val="16"/>
        </w:rPr>
        <w:t> </w:t>
      </w:r>
      <w:r>
        <w:rPr>
          <w:spacing w:val="-5"/>
          <w:sz w:val="16"/>
        </w:rPr>
        <w:t>74.</w:t>
      </w:r>
    </w:p>
    <w:p>
      <w:pPr>
        <w:pStyle w:val="ListParagraph"/>
        <w:numPr>
          <w:ilvl w:val="0"/>
          <w:numId w:val="14"/>
        </w:numPr>
        <w:tabs>
          <w:tab w:pos="566" w:val="left" w:leader="none"/>
        </w:tabs>
        <w:spacing w:line="223" w:lineRule="exact" w:before="0" w:after="0"/>
        <w:ind w:left="566" w:right="0" w:hanging="453"/>
        <w:jc w:val="left"/>
        <w:rPr>
          <w:sz w:val="16"/>
        </w:rPr>
      </w:pPr>
      <w:r>
        <w:rPr>
          <w:rFonts w:ascii="Verdana"/>
          <w:i/>
          <w:sz w:val="16"/>
        </w:rPr>
        <w:t>Ibid</w:t>
      </w:r>
      <w:r>
        <w:rPr>
          <w:sz w:val="16"/>
        </w:rPr>
        <w:t>,</w:t>
      </w:r>
      <w:r>
        <w:rPr>
          <w:spacing w:val="-12"/>
          <w:sz w:val="16"/>
        </w:rPr>
        <w:t> </w:t>
      </w:r>
      <w:r>
        <w:rPr>
          <w:sz w:val="16"/>
        </w:rPr>
        <w:t>para</w:t>
      </w:r>
      <w:r>
        <w:rPr>
          <w:spacing w:val="-11"/>
          <w:sz w:val="16"/>
        </w:rPr>
        <w:t> </w:t>
      </w:r>
      <w:r>
        <w:rPr>
          <w:spacing w:val="-5"/>
          <w:sz w:val="16"/>
        </w:rPr>
        <w:t>78.</w:t>
      </w:r>
    </w:p>
    <w:p>
      <w:pPr>
        <w:spacing w:after="0" w:line="223" w:lineRule="exact"/>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268" w:lineRule="auto" w:before="72"/>
        <w:ind w:right="239"/>
        <w:jc w:val="both"/>
      </w:pPr>
      <w:r>
        <w:rPr>
          <w:w w:val="115"/>
        </w:rPr>
        <w:t>that</w:t>
      </w:r>
      <w:r>
        <w:rPr>
          <w:spacing w:val="-20"/>
          <w:w w:val="115"/>
        </w:rPr>
        <w:t> </w:t>
      </w:r>
      <w:r>
        <w:rPr>
          <w:w w:val="115"/>
        </w:rPr>
        <w:t>instead</w:t>
      </w:r>
      <w:r>
        <w:rPr>
          <w:spacing w:val="-19"/>
          <w:w w:val="115"/>
        </w:rPr>
        <w:t> </w:t>
      </w:r>
      <w:r>
        <w:rPr>
          <w:w w:val="115"/>
        </w:rPr>
        <w:t>of</w:t>
      </w:r>
      <w:r>
        <w:rPr>
          <w:spacing w:val="-19"/>
          <w:w w:val="115"/>
        </w:rPr>
        <w:t> </w:t>
      </w:r>
      <w:r>
        <w:rPr>
          <w:w w:val="115"/>
        </w:rPr>
        <w:t>the</w:t>
      </w:r>
      <w:r>
        <w:rPr>
          <w:spacing w:val="-19"/>
          <w:w w:val="115"/>
        </w:rPr>
        <w:t> </w:t>
      </w:r>
      <w:r>
        <w:rPr>
          <w:w w:val="115"/>
        </w:rPr>
        <w:t>general</w:t>
      </w:r>
      <w:r>
        <w:rPr>
          <w:spacing w:val="-19"/>
          <w:w w:val="115"/>
        </w:rPr>
        <w:t> </w:t>
      </w:r>
      <w:r>
        <w:rPr>
          <w:w w:val="115"/>
        </w:rPr>
        <w:t>principles the</w:t>
      </w:r>
      <w:r>
        <w:rPr>
          <w:spacing w:val="-15"/>
          <w:w w:val="115"/>
        </w:rPr>
        <w:t> </w:t>
      </w:r>
      <w:r>
        <w:rPr>
          <w:w w:val="115"/>
        </w:rPr>
        <w:t>Charter</w:t>
      </w:r>
      <w:r>
        <w:rPr>
          <w:spacing w:val="-15"/>
          <w:w w:val="115"/>
        </w:rPr>
        <w:t> </w:t>
      </w:r>
      <w:r>
        <w:rPr>
          <w:w w:val="115"/>
        </w:rPr>
        <w:t>would</w:t>
      </w:r>
      <w:r>
        <w:rPr>
          <w:spacing w:val="-15"/>
          <w:w w:val="115"/>
        </w:rPr>
        <w:t> </w:t>
      </w:r>
      <w:r>
        <w:rPr>
          <w:w w:val="115"/>
        </w:rPr>
        <w:t>be</w:t>
      </w:r>
      <w:r>
        <w:rPr>
          <w:spacing w:val="-15"/>
          <w:w w:val="115"/>
        </w:rPr>
        <w:t> </w:t>
      </w:r>
      <w:r>
        <w:rPr>
          <w:w w:val="115"/>
        </w:rPr>
        <w:t>invoked</w:t>
      </w:r>
      <w:r>
        <w:rPr>
          <w:spacing w:val="-15"/>
          <w:w w:val="115"/>
        </w:rPr>
        <w:t> </w:t>
      </w:r>
      <w:r>
        <w:rPr>
          <w:w w:val="115"/>
        </w:rPr>
        <w:t>as</w:t>
      </w:r>
      <w:r>
        <w:rPr>
          <w:spacing w:val="-15"/>
          <w:w w:val="115"/>
        </w:rPr>
        <w:t> </w:t>
      </w:r>
      <w:r>
        <w:rPr>
          <w:w w:val="115"/>
        </w:rPr>
        <w:t>the main</w:t>
      </w:r>
      <w:r>
        <w:rPr>
          <w:spacing w:val="-20"/>
          <w:w w:val="115"/>
        </w:rPr>
        <w:t> </w:t>
      </w:r>
      <w:r>
        <w:rPr>
          <w:w w:val="115"/>
        </w:rPr>
        <w:t>source</w:t>
      </w:r>
      <w:r>
        <w:rPr>
          <w:spacing w:val="-19"/>
          <w:w w:val="115"/>
        </w:rPr>
        <w:t> </w:t>
      </w:r>
      <w:r>
        <w:rPr>
          <w:w w:val="115"/>
        </w:rPr>
        <w:t>of</w:t>
      </w:r>
      <w:r>
        <w:rPr>
          <w:spacing w:val="-19"/>
          <w:w w:val="115"/>
        </w:rPr>
        <w:t> </w:t>
      </w:r>
      <w:r>
        <w:rPr>
          <w:w w:val="115"/>
        </w:rPr>
        <w:t>fundamental</w:t>
      </w:r>
      <w:r>
        <w:rPr>
          <w:spacing w:val="-19"/>
          <w:w w:val="115"/>
        </w:rPr>
        <w:t> </w:t>
      </w:r>
      <w:r>
        <w:rPr>
          <w:w w:val="115"/>
        </w:rPr>
        <w:t>rights</w:t>
      </w:r>
      <w:r>
        <w:rPr>
          <w:spacing w:val="-19"/>
          <w:w w:val="115"/>
        </w:rPr>
        <w:t> </w:t>
      </w:r>
      <w:r>
        <w:rPr>
          <w:w w:val="115"/>
        </w:rPr>
        <w:t>in the EU legal order.</w:t>
      </w:r>
    </w:p>
    <w:p>
      <w:pPr>
        <w:pStyle w:val="BodyText"/>
        <w:spacing w:before="14"/>
        <w:ind w:left="0"/>
      </w:pPr>
    </w:p>
    <w:p>
      <w:pPr>
        <w:pStyle w:val="BodyText"/>
        <w:spacing w:line="237" w:lineRule="auto"/>
        <w:ind w:right="650"/>
      </w:pPr>
      <w:r>
        <w:rPr>
          <w:w w:val="105"/>
        </w:rPr>
        <w:t>Case C-579/19 </w:t>
      </w:r>
      <w:r>
        <w:rPr>
          <w:rFonts w:ascii="Verdana"/>
          <w:i/>
          <w:w w:val="105"/>
        </w:rPr>
        <w:t>Food Standards</w:t>
      </w:r>
      <w:r>
        <w:rPr>
          <w:rFonts w:ascii="Verdana"/>
          <w:i/>
          <w:w w:val="105"/>
        </w:rPr>
        <w:t> Agency </w:t>
      </w:r>
      <w:r>
        <w:rPr>
          <w:w w:val="105"/>
        </w:rPr>
        <w:t>is another example, </w:t>
      </w:r>
      <w:r>
        <w:rPr>
          <w:w w:val="105"/>
        </w:rPr>
        <w:t>which concerns EU secondary law.</w:t>
      </w:r>
      <w:r>
        <w:rPr>
          <w:rFonts w:ascii="Lucida Sans Unicode"/>
          <w:w w:val="105"/>
          <w:vertAlign w:val="superscript"/>
        </w:rPr>
        <w:t>302</w:t>
      </w:r>
      <w:r>
        <w:rPr>
          <w:rFonts w:ascii="Lucida Sans Unicode"/>
          <w:spacing w:val="80"/>
          <w:w w:val="105"/>
          <w:vertAlign w:val="baseline"/>
        </w:rPr>
        <w:t> </w:t>
      </w:r>
      <w:r>
        <w:rPr>
          <w:w w:val="105"/>
          <w:vertAlign w:val="baseline"/>
        </w:rPr>
        <w:t>The case concerned Regulations</w:t>
      </w:r>
    </w:p>
    <w:p>
      <w:pPr>
        <w:pStyle w:val="BodyText"/>
        <w:spacing w:line="310" w:lineRule="exact" w:before="14"/>
        <w:rPr>
          <w:rFonts w:ascii="Lucida Sans Unicode"/>
        </w:rPr>
      </w:pPr>
      <w:r>
        <w:rPr>
          <w:rFonts w:ascii="Lucida Sans Unicode"/>
        </w:rPr>
        <w:t>854/2004 and 882/2004,</w:t>
      </w:r>
      <w:r>
        <w:rPr>
          <w:rFonts w:ascii="Lucida Sans Unicode"/>
          <w:vertAlign w:val="superscript"/>
        </w:rPr>
        <w:t>303</w:t>
      </w:r>
      <w:r>
        <w:rPr>
          <w:rFonts w:ascii="Lucida Sans Unicode"/>
          <w:vertAlign w:val="baseline"/>
        </w:rPr>
        <w:t> </w:t>
      </w:r>
      <w:r>
        <w:rPr>
          <w:vertAlign w:val="baseline"/>
        </w:rPr>
        <w:t>which </w:t>
      </w:r>
      <w:r>
        <w:rPr>
          <w:vertAlign w:val="baseline"/>
        </w:rPr>
        <w:t>are </w:t>
      </w:r>
      <w:r>
        <w:rPr>
          <w:w w:val="110"/>
          <w:vertAlign w:val="baseline"/>
        </w:rPr>
        <w:t>both applicable in Northern Ireland according to Windsor Framework </w:t>
      </w:r>
      <w:r>
        <w:rPr>
          <w:rFonts w:ascii="Lucida Sans Unicode"/>
          <w:spacing w:val="-2"/>
          <w:w w:val="110"/>
          <w:vertAlign w:val="baseline"/>
        </w:rPr>
        <w:t>Annex</w:t>
      </w:r>
      <w:r>
        <w:rPr>
          <w:rFonts w:ascii="Lucida Sans Unicode"/>
          <w:spacing w:val="-19"/>
          <w:w w:val="110"/>
          <w:vertAlign w:val="baseline"/>
        </w:rPr>
        <w:t> </w:t>
      </w:r>
      <w:r>
        <w:rPr>
          <w:rFonts w:ascii="Lucida Sans Unicode"/>
          <w:spacing w:val="-2"/>
          <w:w w:val="110"/>
          <w:vertAlign w:val="baseline"/>
        </w:rPr>
        <w:t>2.</w:t>
      </w:r>
      <w:r>
        <w:rPr>
          <w:rFonts w:ascii="Lucida Sans Unicode"/>
          <w:spacing w:val="-19"/>
          <w:w w:val="110"/>
          <w:vertAlign w:val="baseline"/>
        </w:rPr>
        <w:t> </w:t>
      </w:r>
      <w:r>
        <w:rPr>
          <w:rFonts w:ascii="Lucida Sans Unicode"/>
          <w:spacing w:val="-2"/>
          <w:w w:val="110"/>
          <w:vertAlign w:val="baseline"/>
        </w:rPr>
        <w:t>According</w:t>
      </w:r>
      <w:r>
        <w:rPr>
          <w:rFonts w:ascii="Lucida Sans Unicode"/>
          <w:spacing w:val="-19"/>
          <w:w w:val="110"/>
          <w:vertAlign w:val="baseline"/>
        </w:rPr>
        <w:t> </w:t>
      </w:r>
      <w:r>
        <w:rPr>
          <w:rFonts w:ascii="Lucida Sans Unicode"/>
          <w:spacing w:val="-2"/>
          <w:w w:val="110"/>
          <w:vertAlign w:val="baseline"/>
        </w:rPr>
        <w:t>to</w:t>
      </w:r>
      <w:r>
        <w:rPr>
          <w:rFonts w:ascii="Lucida Sans Unicode"/>
          <w:spacing w:val="-19"/>
          <w:w w:val="110"/>
          <w:vertAlign w:val="baseline"/>
        </w:rPr>
        <w:t> </w:t>
      </w:r>
      <w:r>
        <w:rPr>
          <w:rFonts w:ascii="Lucida Sans Unicode"/>
          <w:spacing w:val="-2"/>
          <w:w w:val="110"/>
          <w:vertAlign w:val="baseline"/>
        </w:rPr>
        <w:t>Article</w:t>
      </w:r>
      <w:r>
        <w:rPr>
          <w:rFonts w:ascii="Lucida Sans Unicode"/>
          <w:spacing w:val="-19"/>
          <w:w w:val="110"/>
          <w:vertAlign w:val="baseline"/>
        </w:rPr>
        <w:t> </w:t>
      </w:r>
      <w:r>
        <w:rPr>
          <w:rFonts w:ascii="Lucida Sans Unicode"/>
          <w:spacing w:val="-2"/>
          <w:w w:val="110"/>
          <w:vertAlign w:val="baseline"/>
        </w:rPr>
        <w:t>54</w:t>
      </w:r>
    </w:p>
    <w:p>
      <w:pPr>
        <w:pStyle w:val="BodyText"/>
        <w:spacing w:line="310" w:lineRule="exact"/>
        <w:ind w:right="361"/>
      </w:pPr>
      <w:r>
        <w:rPr>
          <w:rFonts w:ascii="Lucida Sans Unicode" w:hAnsi="Lucida Sans Unicode"/>
          <w:w w:val="110"/>
        </w:rPr>
        <w:t>(3)</w:t>
      </w:r>
      <w:r>
        <w:rPr>
          <w:rFonts w:ascii="Lucida Sans Unicode" w:hAnsi="Lucida Sans Unicode"/>
          <w:spacing w:val="-21"/>
          <w:w w:val="110"/>
        </w:rPr>
        <w:t> </w:t>
      </w:r>
      <w:r>
        <w:rPr>
          <w:rFonts w:ascii="Lucida Sans Unicode" w:hAnsi="Lucida Sans Unicode"/>
          <w:w w:val="110"/>
        </w:rPr>
        <w:t>of</w:t>
      </w:r>
      <w:r>
        <w:rPr>
          <w:rFonts w:ascii="Lucida Sans Unicode" w:hAnsi="Lucida Sans Unicode"/>
          <w:spacing w:val="-21"/>
          <w:w w:val="110"/>
        </w:rPr>
        <w:t> </w:t>
      </w:r>
      <w:r>
        <w:rPr>
          <w:rFonts w:ascii="Lucida Sans Unicode" w:hAnsi="Lucida Sans Unicode"/>
          <w:w w:val="110"/>
        </w:rPr>
        <w:t>Regulation</w:t>
      </w:r>
      <w:r>
        <w:rPr>
          <w:rFonts w:ascii="Lucida Sans Unicode" w:hAnsi="Lucida Sans Unicode"/>
          <w:spacing w:val="-21"/>
          <w:w w:val="110"/>
        </w:rPr>
        <w:t> </w:t>
      </w:r>
      <w:r>
        <w:rPr>
          <w:rFonts w:ascii="Lucida Sans Unicode" w:hAnsi="Lucida Sans Unicode"/>
          <w:w w:val="110"/>
        </w:rPr>
        <w:t>882/2004</w:t>
      </w:r>
      <w:r>
        <w:rPr>
          <w:rFonts w:ascii="Lucida Sans Unicode" w:hAnsi="Lucida Sans Unicode"/>
          <w:spacing w:val="-21"/>
          <w:w w:val="110"/>
        </w:rPr>
        <w:t> </w:t>
      </w:r>
      <w:r>
        <w:rPr>
          <w:rFonts w:ascii="Lucida Sans Unicode" w:hAnsi="Lucida Sans Unicode"/>
          <w:w w:val="110"/>
        </w:rPr>
        <w:t>the </w:t>
      </w:r>
      <w:r>
        <w:rPr>
          <w:w w:val="110"/>
        </w:rPr>
        <w:t>operator</w:t>
      </w:r>
      <w:r>
        <w:rPr>
          <w:spacing w:val="40"/>
          <w:w w:val="110"/>
        </w:rPr>
        <w:t> </w:t>
      </w:r>
      <w:r>
        <w:rPr>
          <w:w w:val="110"/>
        </w:rPr>
        <w:t>of</w:t>
      </w:r>
      <w:r>
        <w:rPr>
          <w:spacing w:val="40"/>
          <w:w w:val="110"/>
        </w:rPr>
        <w:t> </w:t>
      </w:r>
      <w:r>
        <w:rPr>
          <w:w w:val="110"/>
        </w:rPr>
        <w:t>a</w:t>
      </w:r>
      <w:r>
        <w:rPr>
          <w:spacing w:val="40"/>
          <w:w w:val="110"/>
        </w:rPr>
        <w:t> </w:t>
      </w:r>
      <w:r>
        <w:rPr>
          <w:w w:val="110"/>
        </w:rPr>
        <w:t>slaughterhouse</w:t>
      </w:r>
      <w:r>
        <w:rPr>
          <w:spacing w:val="40"/>
          <w:w w:val="110"/>
        </w:rPr>
        <w:t> </w:t>
      </w:r>
      <w:r>
        <w:rPr>
          <w:w w:val="110"/>
        </w:rPr>
        <w:t>has</w:t>
      </w:r>
      <w:r>
        <w:rPr>
          <w:w w:val="110"/>
        </w:rPr>
        <w:t> to be informed of rights of appeal against decisions taken under the Regulation, notably a decision by</w:t>
      </w:r>
      <w:r>
        <w:rPr>
          <w:spacing w:val="80"/>
          <w:w w:val="110"/>
        </w:rPr>
        <w:t> </w:t>
      </w:r>
      <w:r>
        <w:rPr>
          <w:rFonts w:ascii="Lucida Sans Unicode" w:hAnsi="Lucida Sans Unicode"/>
        </w:rPr>
        <w:t>an official veterinarian – such as </w:t>
      </w:r>
      <w:r>
        <w:rPr>
          <w:rFonts w:ascii="Lucida Sans Unicode" w:hAnsi="Lucida Sans Unicode"/>
        </w:rPr>
        <w:t>the</w:t>
      </w:r>
      <w:r>
        <w:rPr>
          <w:rFonts w:ascii="Lucida Sans Unicode" w:hAnsi="Lucida Sans Unicode"/>
        </w:rPr>
        <w:t> </w:t>
      </w:r>
      <w:r>
        <w:rPr>
          <w:w w:val="110"/>
        </w:rPr>
        <w:t>one in the case before the Court – </w:t>
      </w:r>
      <w:r>
        <w:rPr>
          <w:rFonts w:ascii="Lucida Sans Unicode" w:hAnsi="Lucida Sans Unicode"/>
          <w:spacing w:val="-2"/>
          <w:w w:val="110"/>
        </w:rPr>
        <w:t>not</w:t>
      </w:r>
      <w:r>
        <w:rPr>
          <w:rFonts w:ascii="Lucida Sans Unicode" w:hAnsi="Lucida Sans Unicode"/>
          <w:spacing w:val="-19"/>
          <w:w w:val="110"/>
        </w:rPr>
        <w:t> </w:t>
      </w:r>
      <w:r>
        <w:rPr>
          <w:rFonts w:ascii="Lucida Sans Unicode" w:hAnsi="Lucida Sans Unicode"/>
          <w:spacing w:val="-2"/>
          <w:w w:val="110"/>
        </w:rPr>
        <w:t>to</w:t>
      </w:r>
      <w:r>
        <w:rPr>
          <w:rFonts w:ascii="Lucida Sans Unicode" w:hAnsi="Lucida Sans Unicode"/>
          <w:spacing w:val="-19"/>
          <w:w w:val="110"/>
        </w:rPr>
        <w:t> </w:t>
      </w:r>
      <w:r>
        <w:rPr>
          <w:rFonts w:ascii="Lucida Sans Unicode" w:hAnsi="Lucida Sans Unicode"/>
          <w:spacing w:val="-2"/>
          <w:w w:val="110"/>
        </w:rPr>
        <w:t>affix</w:t>
      </w:r>
      <w:r>
        <w:rPr>
          <w:rFonts w:ascii="Lucida Sans Unicode" w:hAnsi="Lucida Sans Unicode"/>
          <w:spacing w:val="-19"/>
          <w:w w:val="110"/>
        </w:rPr>
        <w:t> </w:t>
      </w:r>
      <w:r>
        <w:rPr>
          <w:rFonts w:ascii="Lucida Sans Unicode" w:hAnsi="Lucida Sans Unicode"/>
          <w:spacing w:val="-2"/>
          <w:w w:val="110"/>
        </w:rPr>
        <w:t>a</w:t>
      </w:r>
      <w:r>
        <w:rPr>
          <w:rFonts w:ascii="Lucida Sans Unicode" w:hAnsi="Lucida Sans Unicode"/>
          <w:spacing w:val="-19"/>
          <w:w w:val="110"/>
        </w:rPr>
        <w:t> </w:t>
      </w:r>
      <w:r>
        <w:rPr>
          <w:rFonts w:ascii="Lucida Sans Unicode" w:hAnsi="Lucida Sans Unicode"/>
          <w:spacing w:val="-2"/>
          <w:w w:val="110"/>
        </w:rPr>
        <w:t>hygiene</w:t>
      </w:r>
      <w:r>
        <w:rPr>
          <w:rFonts w:ascii="Lucida Sans Unicode" w:hAnsi="Lucida Sans Unicode"/>
          <w:spacing w:val="-19"/>
          <w:w w:val="110"/>
        </w:rPr>
        <w:t> </w:t>
      </w:r>
      <w:r>
        <w:rPr>
          <w:rFonts w:ascii="Lucida Sans Unicode" w:hAnsi="Lucida Sans Unicode"/>
          <w:spacing w:val="-2"/>
          <w:w w:val="110"/>
        </w:rPr>
        <w:t>mark</w:t>
      </w:r>
      <w:r>
        <w:rPr>
          <w:rFonts w:ascii="Lucida Sans Unicode" w:hAnsi="Lucida Sans Unicode"/>
          <w:spacing w:val="-18"/>
          <w:w w:val="110"/>
        </w:rPr>
        <w:t> </w:t>
      </w:r>
      <w:r>
        <w:rPr>
          <w:rFonts w:ascii="Lucida Sans Unicode" w:hAnsi="Lucida Sans Unicode"/>
          <w:spacing w:val="-2"/>
          <w:w w:val="110"/>
        </w:rPr>
        <w:t>to</w:t>
      </w:r>
      <w:r>
        <w:rPr>
          <w:rFonts w:ascii="Lucida Sans Unicode" w:hAnsi="Lucida Sans Unicode"/>
          <w:spacing w:val="-19"/>
          <w:w w:val="110"/>
        </w:rPr>
        <w:t> </w:t>
      </w:r>
      <w:r>
        <w:rPr>
          <w:rFonts w:ascii="Lucida Sans Unicode" w:hAnsi="Lucida Sans Unicode"/>
          <w:spacing w:val="-2"/>
          <w:w w:val="110"/>
        </w:rPr>
        <w:t>the </w:t>
      </w:r>
      <w:r>
        <w:rPr>
          <w:w w:val="110"/>
        </w:rPr>
        <w:t>carcass of a slaughtered animal, which means that it cannot be sold for human consumption. One of </w:t>
      </w:r>
      <w:r>
        <w:rPr>
          <w:w w:val="110"/>
        </w:rPr>
        <w:t>the</w:t>
      </w:r>
    </w:p>
    <w:p>
      <w:pPr>
        <w:pStyle w:val="BodyText"/>
        <w:spacing w:line="268" w:lineRule="auto" w:before="23"/>
      </w:pPr>
      <w:r>
        <w:rPr>
          <w:w w:val="110"/>
        </w:rPr>
        <w:t>questions in the case was whether </w:t>
      </w:r>
      <w:r>
        <w:rPr>
          <w:w w:val="110"/>
        </w:rPr>
        <w:t>the limited judicial review against such</w:t>
      </w:r>
    </w:p>
    <w:p>
      <w:pPr>
        <w:pStyle w:val="BodyText"/>
        <w:spacing w:line="259" w:lineRule="auto" w:before="2"/>
        <w:ind w:right="194"/>
        <w:rPr>
          <w:rFonts w:ascii="Lucida Sans Unicode"/>
        </w:rPr>
      </w:pPr>
      <w:r>
        <w:rPr>
          <w:w w:val="110"/>
        </w:rPr>
        <w:t>a decision available in England and Wales was compatible with the right</w:t>
      </w:r>
      <w:r>
        <w:rPr>
          <w:spacing w:val="80"/>
          <w:w w:val="110"/>
        </w:rPr>
        <w:t> </w:t>
      </w:r>
      <w:r>
        <w:rPr>
          <w:w w:val="110"/>
        </w:rPr>
        <w:t>to an effective remedy guaranteed </w:t>
      </w:r>
      <w:r>
        <w:rPr>
          <w:w w:val="110"/>
        </w:rPr>
        <w:t>by </w:t>
      </w:r>
      <w:r>
        <w:rPr>
          <w:rFonts w:ascii="Lucida Sans Unicode"/>
          <w:w w:val="110"/>
        </w:rPr>
        <w:t>Article</w:t>
      </w:r>
      <w:r>
        <w:rPr>
          <w:rFonts w:ascii="Lucida Sans Unicode"/>
          <w:spacing w:val="-6"/>
          <w:w w:val="110"/>
        </w:rPr>
        <w:t> </w:t>
      </w:r>
      <w:r>
        <w:rPr>
          <w:rFonts w:ascii="Lucida Sans Unicode"/>
          <w:w w:val="110"/>
        </w:rPr>
        <w:t>47</w:t>
      </w:r>
      <w:r>
        <w:rPr>
          <w:rFonts w:ascii="Lucida Sans Unicode"/>
          <w:spacing w:val="-6"/>
          <w:w w:val="110"/>
        </w:rPr>
        <w:t> </w:t>
      </w:r>
      <w:r>
        <w:rPr>
          <w:rFonts w:ascii="Lucida Sans Unicode"/>
          <w:w w:val="110"/>
        </w:rPr>
        <w:t>CFR.</w:t>
      </w:r>
      <w:r>
        <w:rPr>
          <w:rFonts w:ascii="Lucida Sans Unicode"/>
          <w:spacing w:val="-6"/>
          <w:w w:val="110"/>
        </w:rPr>
        <w:t> </w:t>
      </w:r>
      <w:r>
        <w:rPr>
          <w:rFonts w:ascii="Lucida Sans Unicode"/>
          <w:w w:val="110"/>
        </w:rPr>
        <w:t>The</w:t>
      </w:r>
      <w:r>
        <w:rPr>
          <w:rFonts w:ascii="Lucida Sans Unicode"/>
          <w:spacing w:val="-6"/>
          <w:w w:val="110"/>
        </w:rPr>
        <w:t> </w:t>
      </w:r>
      <w:r>
        <w:rPr>
          <w:rFonts w:ascii="Lucida Sans Unicode"/>
          <w:w w:val="110"/>
        </w:rPr>
        <w:t>CJEU</w:t>
      </w:r>
      <w:r>
        <w:rPr>
          <w:rFonts w:ascii="Lucida Sans Unicode"/>
          <w:spacing w:val="-6"/>
          <w:w w:val="110"/>
        </w:rPr>
        <w:t> </w:t>
      </w:r>
      <w:r>
        <w:rPr>
          <w:rFonts w:ascii="Lucida Sans Unicode"/>
          <w:w w:val="110"/>
        </w:rPr>
        <w:t>held</w:t>
      </w:r>
      <w:r>
        <w:rPr>
          <w:rFonts w:ascii="Lucida Sans Unicode"/>
          <w:spacing w:val="-6"/>
          <w:w w:val="110"/>
        </w:rPr>
        <w:t> </w:t>
      </w:r>
      <w:r>
        <w:rPr>
          <w:rFonts w:ascii="Lucida Sans Unicode"/>
          <w:w w:val="110"/>
        </w:rPr>
        <w:t>that</w:t>
      </w:r>
    </w:p>
    <w:p>
      <w:pPr>
        <w:pStyle w:val="BodyText"/>
        <w:spacing w:line="224" w:lineRule="exact"/>
      </w:pPr>
      <w:r>
        <w:rPr>
          <w:w w:val="115"/>
        </w:rPr>
        <w:t>for</w:t>
      </w:r>
      <w:r>
        <w:rPr>
          <w:spacing w:val="2"/>
          <w:w w:val="115"/>
        </w:rPr>
        <w:t> </w:t>
      </w:r>
      <w:r>
        <w:rPr>
          <w:w w:val="115"/>
        </w:rPr>
        <w:t>a</w:t>
      </w:r>
      <w:r>
        <w:rPr>
          <w:spacing w:val="3"/>
          <w:w w:val="115"/>
        </w:rPr>
        <w:t> </w:t>
      </w:r>
      <w:r>
        <w:rPr>
          <w:w w:val="115"/>
        </w:rPr>
        <w:t>court</w:t>
      </w:r>
      <w:r>
        <w:rPr>
          <w:spacing w:val="3"/>
          <w:w w:val="115"/>
        </w:rPr>
        <w:t> </w:t>
      </w:r>
      <w:r>
        <w:rPr>
          <w:w w:val="115"/>
        </w:rPr>
        <w:t>or</w:t>
      </w:r>
      <w:r>
        <w:rPr>
          <w:spacing w:val="3"/>
          <w:w w:val="115"/>
        </w:rPr>
        <w:t> </w:t>
      </w:r>
      <w:r>
        <w:rPr>
          <w:w w:val="115"/>
        </w:rPr>
        <w:t>tribunal</w:t>
      </w:r>
      <w:r>
        <w:rPr>
          <w:spacing w:val="3"/>
          <w:w w:val="115"/>
        </w:rPr>
        <w:t> </w:t>
      </w:r>
      <w:r>
        <w:rPr>
          <w:w w:val="115"/>
        </w:rPr>
        <w:t>to</w:t>
      </w:r>
      <w:r>
        <w:rPr>
          <w:spacing w:val="3"/>
          <w:w w:val="115"/>
        </w:rPr>
        <w:t> </w:t>
      </w:r>
      <w:r>
        <w:rPr>
          <w:spacing w:val="-2"/>
          <w:w w:val="115"/>
        </w:rPr>
        <w:t>determine</w:t>
      </w:r>
    </w:p>
    <w:p>
      <w:pPr>
        <w:pStyle w:val="BodyText"/>
        <w:spacing w:line="268" w:lineRule="auto" w:before="34"/>
      </w:pPr>
      <w:r>
        <w:rPr>
          <w:w w:val="115"/>
        </w:rPr>
        <w:t>a dispute concerning rights and </w:t>
      </w:r>
      <w:r>
        <w:rPr>
          <w:spacing w:val="-2"/>
          <w:w w:val="115"/>
        </w:rPr>
        <w:t>obligations</w:t>
      </w:r>
      <w:r>
        <w:rPr>
          <w:spacing w:val="-18"/>
          <w:w w:val="115"/>
        </w:rPr>
        <w:t> </w:t>
      </w:r>
      <w:r>
        <w:rPr>
          <w:spacing w:val="-2"/>
          <w:w w:val="115"/>
        </w:rPr>
        <w:t>under</w:t>
      </w:r>
      <w:r>
        <w:rPr>
          <w:spacing w:val="-17"/>
          <w:w w:val="115"/>
        </w:rPr>
        <w:t> </w:t>
      </w:r>
      <w:r>
        <w:rPr>
          <w:spacing w:val="-2"/>
          <w:w w:val="115"/>
        </w:rPr>
        <w:t>EU</w:t>
      </w:r>
      <w:r>
        <w:rPr>
          <w:spacing w:val="-17"/>
          <w:w w:val="115"/>
        </w:rPr>
        <w:t> </w:t>
      </w:r>
      <w:r>
        <w:rPr>
          <w:spacing w:val="-2"/>
          <w:w w:val="115"/>
        </w:rPr>
        <w:t>law,</w:t>
      </w:r>
      <w:r>
        <w:rPr>
          <w:spacing w:val="-17"/>
          <w:w w:val="115"/>
        </w:rPr>
        <w:t> </w:t>
      </w:r>
      <w:r>
        <w:rPr>
          <w:spacing w:val="-2"/>
          <w:w w:val="115"/>
        </w:rPr>
        <w:t>it</w:t>
      </w:r>
      <w:r>
        <w:rPr>
          <w:spacing w:val="-17"/>
          <w:w w:val="115"/>
        </w:rPr>
        <w:t> </w:t>
      </w:r>
      <w:r>
        <w:rPr>
          <w:spacing w:val="-2"/>
          <w:w w:val="115"/>
        </w:rPr>
        <w:t>must</w:t>
      </w:r>
      <w:r>
        <w:rPr>
          <w:spacing w:val="-18"/>
          <w:w w:val="115"/>
        </w:rPr>
        <w:t> </w:t>
      </w:r>
      <w:r>
        <w:rPr>
          <w:spacing w:val="-2"/>
          <w:w w:val="115"/>
        </w:rPr>
        <w:t>have </w:t>
      </w:r>
      <w:r>
        <w:rPr>
          <w:w w:val="115"/>
        </w:rPr>
        <w:t>power to consider all the questions</w:t>
      </w:r>
    </w:p>
    <w:p>
      <w:pPr>
        <w:pStyle w:val="BodyText"/>
        <w:spacing w:line="230" w:lineRule="auto" w:before="11"/>
        <w:ind w:right="152"/>
      </w:pPr>
      <w:r>
        <w:rPr>
          <w:w w:val="115"/>
        </w:rPr>
        <w:t>of fact and law that are relevant to </w:t>
      </w:r>
      <w:r>
        <w:rPr/>
        <w:t>the case.</w:t>
      </w:r>
      <w:r>
        <w:rPr>
          <w:rFonts w:ascii="Lucida Sans Unicode"/>
          <w:vertAlign w:val="superscript"/>
        </w:rPr>
        <w:t>304</w:t>
      </w:r>
      <w:r>
        <w:rPr>
          <w:rFonts w:ascii="Lucida Sans Unicode"/>
          <w:vertAlign w:val="baseline"/>
        </w:rPr>
        <w:t> Yet this was not the case </w:t>
      </w:r>
      <w:r>
        <w:rPr>
          <w:spacing w:val="-2"/>
          <w:w w:val="115"/>
          <w:vertAlign w:val="baseline"/>
        </w:rPr>
        <w:t>because</w:t>
      </w:r>
      <w:r>
        <w:rPr>
          <w:spacing w:val="-18"/>
          <w:w w:val="115"/>
          <w:vertAlign w:val="baseline"/>
        </w:rPr>
        <w:t> </w:t>
      </w:r>
      <w:r>
        <w:rPr>
          <w:spacing w:val="-2"/>
          <w:w w:val="115"/>
          <w:vertAlign w:val="baseline"/>
        </w:rPr>
        <w:t>the</w:t>
      </w:r>
      <w:r>
        <w:rPr>
          <w:spacing w:val="-17"/>
          <w:w w:val="115"/>
          <w:vertAlign w:val="baseline"/>
        </w:rPr>
        <w:t> </w:t>
      </w:r>
      <w:r>
        <w:rPr>
          <w:spacing w:val="-2"/>
          <w:w w:val="115"/>
          <w:vertAlign w:val="baseline"/>
        </w:rPr>
        <w:t>powers</w:t>
      </w:r>
      <w:r>
        <w:rPr>
          <w:spacing w:val="-17"/>
          <w:w w:val="115"/>
          <w:vertAlign w:val="baseline"/>
        </w:rPr>
        <w:t> </w:t>
      </w:r>
      <w:r>
        <w:rPr>
          <w:spacing w:val="-2"/>
          <w:w w:val="115"/>
          <w:vertAlign w:val="baseline"/>
        </w:rPr>
        <w:t>of</w:t>
      </w:r>
      <w:r>
        <w:rPr>
          <w:spacing w:val="-17"/>
          <w:w w:val="115"/>
          <w:vertAlign w:val="baseline"/>
        </w:rPr>
        <w:t> </w:t>
      </w:r>
      <w:r>
        <w:rPr>
          <w:spacing w:val="-2"/>
          <w:w w:val="115"/>
          <w:vertAlign w:val="baseline"/>
        </w:rPr>
        <w:t>judicial</w:t>
      </w:r>
      <w:r>
        <w:rPr>
          <w:spacing w:val="-17"/>
          <w:w w:val="115"/>
          <w:vertAlign w:val="baseline"/>
        </w:rPr>
        <w:t> </w:t>
      </w:r>
      <w:r>
        <w:rPr>
          <w:spacing w:val="-2"/>
          <w:w w:val="115"/>
          <w:vertAlign w:val="baseline"/>
        </w:rPr>
        <w:t>review</w:t>
      </w:r>
    </w:p>
    <w:p>
      <w:pPr>
        <w:pStyle w:val="BodyText"/>
        <w:spacing w:line="268" w:lineRule="auto" w:before="38"/>
        <w:ind w:right="361"/>
      </w:pPr>
      <w:r>
        <w:rPr>
          <w:spacing w:val="-2"/>
          <w:w w:val="115"/>
        </w:rPr>
        <w:t>of</w:t>
      </w:r>
      <w:r>
        <w:rPr>
          <w:spacing w:val="-17"/>
          <w:w w:val="115"/>
        </w:rPr>
        <w:t> </w:t>
      </w:r>
      <w:r>
        <w:rPr>
          <w:spacing w:val="-2"/>
          <w:w w:val="115"/>
        </w:rPr>
        <w:t>the</w:t>
      </w:r>
      <w:r>
        <w:rPr>
          <w:spacing w:val="-17"/>
          <w:w w:val="115"/>
        </w:rPr>
        <w:t> </w:t>
      </w:r>
      <w:r>
        <w:rPr>
          <w:spacing w:val="-2"/>
          <w:w w:val="115"/>
        </w:rPr>
        <w:t>courts</w:t>
      </w:r>
      <w:r>
        <w:rPr>
          <w:spacing w:val="-17"/>
          <w:w w:val="115"/>
        </w:rPr>
        <w:t> </w:t>
      </w:r>
      <w:r>
        <w:rPr>
          <w:spacing w:val="-2"/>
          <w:w w:val="115"/>
        </w:rPr>
        <w:t>in</w:t>
      </w:r>
      <w:r>
        <w:rPr>
          <w:spacing w:val="-17"/>
          <w:w w:val="115"/>
        </w:rPr>
        <w:t> </w:t>
      </w:r>
      <w:r>
        <w:rPr>
          <w:spacing w:val="-2"/>
          <w:w w:val="115"/>
        </w:rPr>
        <w:t>England</w:t>
      </w:r>
      <w:r>
        <w:rPr>
          <w:spacing w:val="-17"/>
          <w:w w:val="115"/>
        </w:rPr>
        <w:t> </w:t>
      </w:r>
      <w:r>
        <w:rPr>
          <w:spacing w:val="-2"/>
          <w:w w:val="115"/>
        </w:rPr>
        <w:t>and</w:t>
      </w:r>
      <w:r>
        <w:rPr>
          <w:spacing w:val="-17"/>
          <w:w w:val="115"/>
        </w:rPr>
        <w:t> </w:t>
      </w:r>
      <w:r>
        <w:rPr>
          <w:spacing w:val="-2"/>
          <w:w w:val="115"/>
        </w:rPr>
        <w:t>Wales </w:t>
      </w:r>
      <w:r>
        <w:rPr>
          <w:w w:val="115"/>
        </w:rPr>
        <w:t>in the case did not go so far as to</w:t>
      </w:r>
    </w:p>
    <w:p>
      <w:pPr>
        <w:pStyle w:val="BodyText"/>
        <w:spacing w:line="310" w:lineRule="exact" w:before="49"/>
        <w:ind w:right="235"/>
      </w:pPr>
      <w:r>
        <w:rPr/>
        <w:br w:type="column"/>
      </w:r>
      <w:r>
        <w:rPr>
          <w:w w:val="110"/>
        </w:rPr>
        <w:t>constitute an appeal on the merits of the decision. Instead, the courts were limited</w:t>
      </w:r>
      <w:r>
        <w:rPr>
          <w:spacing w:val="40"/>
          <w:w w:val="110"/>
        </w:rPr>
        <w:t> </w:t>
      </w:r>
      <w:r>
        <w:rPr>
          <w:w w:val="110"/>
        </w:rPr>
        <w:t>to</w:t>
      </w:r>
      <w:r>
        <w:rPr>
          <w:spacing w:val="40"/>
          <w:w w:val="110"/>
        </w:rPr>
        <w:t> </w:t>
      </w:r>
      <w:r>
        <w:rPr>
          <w:w w:val="110"/>
        </w:rPr>
        <w:t>reviewing</w:t>
      </w:r>
      <w:r>
        <w:rPr>
          <w:spacing w:val="40"/>
          <w:w w:val="110"/>
        </w:rPr>
        <w:t> </w:t>
      </w:r>
      <w:r>
        <w:rPr>
          <w:w w:val="110"/>
        </w:rPr>
        <w:t>the</w:t>
      </w:r>
      <w:r>
        <w:rPr>
          <w:spacing w:val="40"/>
          <w:w w:val="110"/>
        </w:rPr>
        <w:t> </w:t>
      </w:r>
      <w:r>
        <w:rPr>
          <w:w w:val="110"/>
        </w:rPr>
        <w:t>decision</w:t>
      </w:r>
      <w:r>
        <w:rPr>
          <w:spacing w:val="40"/>
          <w:w w:val="110"/>
        </w:rPr>
        <w:t> </w:t>
      </w:r>
      <w:r>
        <w:rPr>
          <w:w w:val="110"/>
        </w:rPr>
        <w:t>of the veterinarian declaring the carcass </w:t>
      </w:r>
      <w:r>
        <w:rPr>
          <w:rFonts w:ascii="Lucida Sans Unicode"/>
        </w:rPr>
        <w:t>unfit for human consumption as to its </w:t>
      </w:r>
      <w:r>
        <w:rPr>
          <w:w w:val="110"/>
        </w:rPr>
        <w:t>lawfulness, which includes whether</w:t>
      </w:r>
      <w:r>
        <w:rPr>
          <w:spacing w:val="80"/>
          <w:w w:val="110"/>
        </w:rPr>
        <w:t> </w:t>
      </w:r>
      <w:r>
        <w:rPr>
          <w:w w:val="110"/>
        </w:rPr>
        <w:t>the veterinarian acted for an </w:t>
      </w:r>
      <w:r>
        <w:rPr>
          <w:w w:val="110"/>
        </w:rPr>
        <w:t>improper purpose, failed to apply the correct legal test or reached a decision</w:t>
      </w:r>
    </w:p>
    <w:p>
      <w:pPr>
        <w:pStyle w:val="BodyText"/>
        <w:spacing w:line="237" w:lineRule="auto" w:before="25"/>
        <w:ind w:right="317"/>
        <w:rPr>
          <w:rFonts w:ascii="Lucida Sans Unicode"/>
        </w:rPr>
      </w:pPr>
      <w:r>
        <w:rPr>
          <w:w w:val="110"/>
        </w:rPr>
        <w:t>that was irrational or taken </w:t>
      </w:r>
      <w:r>
        <w:rPr>
          <w:w w:val="110"/>
        </w:rPr>
        <w:t>without </w:t>
      </w:r>
      <w:r>
        <w:rPr>
          <w:rFonts w:ascii="Lucida Sans Unicode"/>
        </w:rPr>
        <w:t>sufficient evidential basis.</w:t>
      </w:r>
    </w:p>
    <w:p>
      <w:pPr>
        <w:pStyle w:val="BodyText"/>
        <w:spacing w:line="310" w:lineRule="exact" w:before="257"/>
        <w:ind w:right="246"/>
        <w:rPr>
          <w:rFonts w:ascii="Lucida Sans Unicode" w:hAnsi="Lucida Sans Unicode"/>
        </w:rPr>
      </w:pPr>
      <w:r>
        <w:rPr>
          <w:w w:val="110"/>
        </w:rPr>
        <w:t>The CJEU decided that the </w:t>
      </w:r>
      <w:r>
        <w:rPr>
          <w:rFonts w:ascii="Lucida Sans Unicode" w:hAnsi="Lucida Sans Unicode"/>
        </w:rPr>
        <w:t>Regulations ‘read in light of Article </w:t>
      </w:r>
      <w:r>
        <w:rPr>
          <w:rFonts w:ascii="Lucida Sans Unicode" w:hAnsi="Lucida Sans Unicode"/>
        </w:rPr>
        <w:t>47 </w:t>
      </w:r>
      <w:r>
        <w:rPr>
          <w:w w:val="110"/>
        </w:rPr>
        <w:t>CFR’ did not require more expansive powers of judicial review. This was </w:t>
      </w:r>
      <w:r>
        <w:rPr>
          <w:rFonts w:ascii="Lucida Sans Unicode" w:hAnsi="Lucida Sans Unicode"/>
        </w:rPr>
        <w:t>chiefly because the veterinarian had</w:t>
      </w:r>
      <w:r>
        <w:rPr>
          <w:rFonts w:ascii="Lucida Sans Unicode" w:hAnsi="Lucida Sans Unicode"/>
          <w:spacing w:val="80"/>
          <w:w w:val="110"/>
        </w:rPr>
        <w:t> </w:t>
      </w:r>
      <w:r>
        <w:rPr>
          <w:w w:val="110"/>
        </w:rPr>
        <w:t>to carry out a complex technical assessment and possessed broad discretion. In light of the objective of </w:t>
      </w:r>
      <w:r>
        <w:rPr>
          <w:rFonts w:ascii="Lucida Sans Unicode" w:hAnsi="Lucida Sans Unicode"/>
        </w:rPr>
        <w:t>protecting public health, Article 47 </w:t>
      </w:r>
      <w:r>
        <w:rPr>
          <w:w w:val="110"/>
        </w:rPr>
        <w:t>CFR therefore did not require judicial supervision of all of the veterinarian’s </w:t>
      </w:r>
      <w:r>
        <w:rPr>
          <w:rFonts w:ascii="Lucida Sans Unicode" w:hAnsi="Lucida Sans Unicode"/>
        </w:rPr>
        <w:t>assessments of the very specific facts </w:t>
      </w:r>
      <w:r>
        <w:rPr>
          <w:w w:val="110"/>
        </w:rPr>
        <w:t>of the case.</w:t>
      </w:r>
      <w:r>
        <w:rPr>
          <w:rFonts w:ascii="Lucida Sans Unicode" w:hAnsi="Lucida Sans Unicode"/>
          <w:w w:val="110"/>
          <w:vertAlign w:val="superscript"/>
        </w:rPr>
        <w:t>305</w:t>
      </w:r>
    </w:p>
    <w:p>
      <w:pPr>
        <w:spacing w:after="0" w:line="310" w:lineRule="exact"/>
        <w:rPr>
          <w:rFonts w:ascii="Lucida Sans Unicode" w:hAnsi="Lucida Sans Unicode"/>
        </w:rPr>
        <w:sectPr>
          <w:type w:val="continuous"/>
          <w:pgSz w:w="11910" w:h="16840"/>
          <w:pgMar w:header="568" w:footer="580" w:top="0" w:bottom="280" w:left="1020" w:right="1020"/>
          <w:cols w:num="2" w:equalWidth="0">
            <w:col w:w="4724" w:space="322"/>
            <w:col w:w="4824"/>
          </w:cols>
        </w:sectPr>
      </w:pPr>
    </w:p>
    <w:p>
      <w:pPr>
        <w:pStyle w:val="BodyText"/>
        <w:spacing w:before="10"/>
        <w:ind w:left="0"/>
        <w:rPr>
          <w:rFonts w:ascii="Lucida Sans Unicode"/>
          <w:sz w:val="20"/>
        </w:rPr>
      </w:pPr>
    </w:p>
    <w:p>
      <w:pPr>
        <w:pStyle w:val="BodyText"/>
        <w:spacing w:line="20" w:lineRule="exact"/>
        <w:rPr>
          <w:rFonts w:ascii="Lucida Sans Unicode"/>
          <w:sz w:val="2"/>
        </w:rPr>
      </w:pPr>
      <w:r>
        <w:rPr>
          <w:rFonts w:ascii="Lucida Sans Unicode"/>
          <w:sz w:val="2"/>
        </w:rPr>
        <mc:AlternateContent>
          <mc:Choice Requires="wps">
            <w:drawing>
              <wp:inline distT="0" distB="0" distL="0" distR="0">
                <wp:extent cx="6120130" cy="6350"/>
                <wp:effectExtent l="9525" t="0" r="0" b="3175"/>
                <wp:docPr id="184" name="Group 184"/>
                <wp:cNvGraphicFramePr>
                  <a:graphicFrameLocks/>
                </wp:cNvGraphicFramePr>
                <a:graphic>
                  <a:graphicData uri="http://schemas.microsoft.com/office/word/2010/wordprocessingGroup">
                    <wpg:wgp>
                      <wpg:cNvPr id="184" name="Group 184"/>
                      <wpg:cNvGrpSpPr/>
                      <wpg:grpSpPr>
                        <a:xfrm>
                          <a:off x="0" y="0"/>
                          <a:ext cx="6120130" cy="6350"/>
                          <a:chExt cx="6120130" cy="6350"/>
                        </a:xfrm>
                      </wpg:grpSpPr>
                      <wps:wsp>
                        <wps:cNvPr id="185" name="Graphic 185"/>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111" coordorigin="0,0" coordsize="9638,10">
                <v:line style="position:absolute" from="0,5" to="9638,5" stroked="true" strokeweight=".5pt" strokecolor="#77328a">
                  <v:stroke dashstyle="solid"/>
                </v:line>
              </v:group>
            </w:pict>
          </mc:Fallback>
        </mc:AlternateContent>
      </w:r>
      <w:r>
        <w:rPr>
          <w:rFonts w:ascii="Lucida Sans Unicode"/>
          <w:sz w:val="2"/>
        </w:rPr>
      </w:r>
    </w:p>
    <w:p>
      <w:pPr>
        <w:pStyle w:val="ListParagraph"/>
        <w:numPr>
          <w:ilvl w:val="0"/>
          <w:numId w:val="14"/>
        </w:numPr>
        <w:tabs>
          <w:tab w:pos="566" w:val="left" w:leader="none"/>
        </w:tabs>
        <w:spacing w:line="223" w:lineRule="exact" w:before="61" w:after="0"/>
        <w:ind w:left="566" w:right="0" w:hanging="453"/>
        <w:jc w:val="left"/>
        <w:rPr>
          <w:sz w:val="16"/>
        </w:rPr>
      </w:pPr>
      <w:r>
        <w:rPr>
          <w:rFonts w:ascii="Arial"/>
          <w:sz w:val="16"/>
        </w:rPr>
        <w:t>Case</w:t>
      </w:r>
      <w:r>
        <w:rPr>
          <w:rFonts w:ascii="Arial"/>
          <w:spacing w:val="20"/>
          <w:sz w:val="16"/>
        </w:rPr>
        <w:t> </w:t>
      </w:r>
      <w:r>
        <w:rPr>
          <w:rFonts w:ascii="Arial"/>
          <w:sz w:val="16"/>
        </w:rPr>
        <w:t>C-579/19</w:t>
      </w:r>
      <w:r>
        <w:rPr>
          <w:rFonts w:ascii="Arial"/>
          <w:spacing w:val="21"/>
          <w:sz w:val="16"/>
        </w:rPr>
        <w:t> </w:t>
      </w:r>
      <w:r>
        <w:rPr>
          <w:rFonts w:ascii="Verdana"/>
          <w:i/>
          <w:sz w:val="16"/>
        </w:rPr>
        <w:t>Food</w:t>
      </w:r>
      <w:r>
        <w:rPr>
          <w:rFonts w:ascii="Verdana"/>
          <w:i/>
          <w:spacing w:val="8"/>
          <w:sz w:val="16"/>
        </w:rPr>
        <w:t> </w:t>
      </w:r>
      <w:r>
        <w:rPr>
          <w:rFonts w:ascii="Verdana"/>
          <w:i/>
          <w:sz w:val="16"/>
        </w:rPr>
        <w:t>Standards</w:t>
      </w:r>
      <w:r>
        <w:rPr>
          <w:rFonts w:ascii="Verdana"/>
          <w:i/>
          <w:spacing w:val="9"/>
          <w:sz w:val="16"/>
        </w:rPr>
        <w:t> </w:t>
      </w:r>
      <w:r>
        <w:rPr>
          <w:rFonts w:ascii="Verdana"/>
          <w:i/>
          <w:sz w:val="16"/>
        </w:rPr>
        <w:t>Agency</w:t>
      </w:r>
      <w:r>
        <w:rPr>
          <w:rFonts w:ascii="Verdana"/>
          <w:i/>
          <w:spacing w:val="8"/>
          <w:sz w:val="16"/>
        </w:rPr>
        <w:t> </w:t>
      </w:r>
      <w:r>
        <w:rPr>
          <w:spacing w:val="-2"/>
          <w:sz w:val="16"/>
        </w:rPr>
        <w:t>EU:C:2021:665.</w:t>
      </w:r>
    </w:p>
    <w:p>
      <w:pPr>
        <w:pStyle w:val="ListParagraph"/>
        <w:numPr>
          <w:ilvl w:val="0"/>
          <w:numId w:val="14"/>
        </w:numPr>
        <w:tabs>
          <w:tab w:pos="565" w:val="left" w:leader="none"/>
          <w:tab w:pos="567" w:val="left" w:leader="none"/>
        </w:tabs>
        <w:spacing w:line="194" w:lineRule="auto" w:before="10" w:after="0"/>
        <w:ind w:left="567" w:right="228" w:hanging="454"/>
        <w:jc w:val="left"/>
        <w:rPr>
          <w:sz w:val="16"/>
        </w:rPr>
      </w:pPr>
      <w:r>
        <w:rPr>
          <w:sz w:val="16"/>
        </w:rPr>
        <w:t>Regulation</w:t>
      </w:r>
      <w:r>
        <w:rPr>
          <w:spacing w:val="20"/>
          <w:sz w:val="16"/>
        </w:rPr>
        <w:t> </w:t>
      </w:r>
      <w:r>
        <w:rPr>
          <w:sz w:val="16"/>
        </w:rPr>
        <w:t>854/2004</w:t>
      </w:r>
      <w:r>
        <w:rPr>
          <w:spacing w:val="20"/>
          <w:sz w:val="16"/>
        </w:rPr>
        <w:t> </w:t>
      </w:r>
      <w:r>
        <w:rPr>
          <w:sz w:val="16"/>
        </w:rPr>
        <w:t>of</w:t>
      </w:r>
      <w:r>
        <w:rPr>
          <w:spacing w:val="20"/>
          <w:sz w:val="16"/>
        </w:rPr>
        <w:t> </w:t>
      </w:r>
      <w:r>
        <w:rPr>
          <w:sz w:val="16"/>
        </w:rPr>
        <w:t>the</w:t>
      </w:r>
      <w:r>
        <w:rPr>
          <w:spacing w:val="20"/>
          <w:sz w:val="16"/>
        </w:rPr>
        <w:t> </w:t>
      </w:r>
      <w:r>
        <w:rPr>
          <w:sz w:val="16"/>
        </w:rPr>
        <w:t>European</w:t>
      </w:r>
      <w:r>
        <w:rPr>
          <w:spacing w:val="20"/>
          <w:sz w:val="16"/>
        </w:rPr>
        <w:t> </w:t>
      </w:r>
      <w:r>
        <w:rPr>
          <w:sz w:val="16"/>
        </w:rPr>
        <w:t>Parliament</w:t>
      </w:r>
      <w:r>
        <w:rPr>
          <w:spacing w:val="20"/>
          <w:sz w:val="16"/>
        </w:rPr>
        <w:t> </w:t>
      </w:r>
      <w:r>
        <w:rPr>
          <w:sz w:val="16"/>
        </w:rPr>
        <w:t>and</w:t>
      </w:r>
      <w:r>
        <w:rPr>
          <w:spacing w:val="20"/>
          <w:sz w:val="16"/>
        </w:rPr>
        <w:t> </w:t>
      </w:r>
      <w:r>
        <w:rPr>
          <w:sz w:val="16"/>
        </w:rPr>
        <w:t>of</w:t>
      </w:r>
      <w:r>
        <w:rPr>
          <w:spacing w:val="20"/>
          <w:sz w:val="16"/>
        </w:rPr>
        <w:t> </w:t>
      </w:r>
      <w:r>
        <w:rPr>
          <w:sz w:val="16"/>
        </w:rPr>
        <w:t>the</w:t>
      </w:r>
      <w:r>
        <w:rPr>
          <w:spacing w:val="20"/>
          <w:sz w:val="16"/>
        </w:rPr>
        <w:t> </w:t>
      </w:r>
      <w:r>
        <w:rPr>
          <w:sz w:val="16"/>
        </w:rPr>
        <w:t>Council</w:t>
      </w:r>
      <w:r>
        <w:rPr>
          <w:spacing w:val="20"/>
          <w:sz w:val="16"/>
        </w:rPr>
        <w:t> </w:t>
      </w:r>
      <w:r>
        <w:rPr>
          <w:sz w:val="16"/>
        </w:rPr>
        <w:t>of</w:t>
      </w:r>
      <w:r>
        <w:rPr>
          <w:spacing w:val="20"/>
          <w:sz w:val="16"/>
        </w:rPr>
        <w:t> </w:t>
      </w:r>
      <w:r>
        <w:rPr>
          <w:sz w:val="16"/>
        </w:rPr>
        <w:t>29</w:t>
      </w:r>
      <w:r>
        <w:rPr>
          <w:spacing w:val="20"/>
          <w:sz w:val="16"/>
        </w:rPr>
        <w:t> </w:t>
      </w:r>
      <w:r>
        <w:rPr>
          <w:sz w:val="16"/>
        </w:rPr>
        <w:t>April</w:t>
      </w:r>
      <w:r>
        <w:rPr>
          <w:spacing w:val="20"/>
          <w:sz w:val="16"/>
        </w:rPr>
        <w:t> </w:t>
      </w:r>
      <w:r>
        <w:rPr>
          <w:sz w:val="16"/>
        </w:rPr>
        <w:t>2004</w:t>
      </w:r>
      <w:r>
        <w:rPr>
          <w:spacing w:val="20"/>
          <w:sz w:val="16"/>
        </w:rPr>
        <w:t> </w:t>
      </w:r>
      <w:r>
        <w:rPr>
          <w:sz w:val="16"/>
        </w:rPr>
        <w:t>laying</w:t>
      </w:r>
      <w:r>
        <w:rPr>
          <w:spacing w:val="20"/>
          <w:sz w:val="16"/>
        </w:rPr>
        <w:t> </w:t>
      </w:r>
      <w:r>
        <w:rPr>
          <w:sz w:val="16"/>
        </w:rPr>
        <w:t>down</w:t>
      </w:r>
      <w:r>
        <w:rPr>
          <w:spacing w:val="20"/>
          <w:sz w:val="16"/>
        </w:rPr>
        <w:t> </w:t>
      </w:r>
      <w:r>
        <w:rPr>
          <w:sz w:val="16"/>
        </w:rPr>
        <w:t>specific</w:t>
      </w:r>
      <w:r>
        <w:rPr>
          <w:spacing w:val="20"/>
          <w:sz w:val="16"/>
        </w:rPr>
        <w:t> </w:t>
      </w:r>
      <w:r>
        <w:rPr>
          <w:sz w:val="16"/>
        </w:rPr>
        <w:t>rules for the organisation of official controls on products of animal origin intended for human consumption [2004] </w:t>
      </w:r>
      <w:r>
        <w:rPr>
          <w:w w:val="115"/>
          <w:sz w:val="16"/>
        </w:rPr>
        <w:t>OJ </w:t>
      </w:r>
      <w:r>
        <w:rPr>
          <w:sz w:val="16"/>
        </w:rPr>
        <w:t>L 226/83; Regulation 882/2004 of the European Parliament and of the Council of 29 April 2004 on official controls performed to ensure the verification of compliance with feed and food law, animal health and animal welfare rules [2004] </w:t>
      </w:r>
      <w:r>
        <w:rPr>
          <w:w w:val="115"/>
          <w:sz w:val="16"/>
        </w:rPr>
        <w:t>OJ </w:t>
      </w:r>
      <w:r>
        <w:rPr>
          <w:sz w:val="16"/>
        </w:rPr>
        <w:t>L 165/1 (since replaced by Regulation 2017/625).</w:t>
      </w:r>
    </w:p>
    <w:p>
      <w:pPr>
        <w:pStyle w:val="ListParagraph"/>
        <w:numPr>
          <w:ilvl w:val="0"/>
          <w:numId w:val="14"/>
        </w:numPr>
        <w:tabs>
          <w:tab w:pos="565" w:val="left" w:leader="none"/>
        </w:tabs>
        <w:spacing w:line="194" w:lineRule="exact" w:before="0" w:after="0"/>
        <w:ind w:left="565" w:right="0" w:hanging="452"/>
        <w:jc w:val="left"/>
        <w:rPr>
          <w:sz w:val="16"/>
        </w:rPr>
      </w:pPr>
      <w:r>
        <w:rPr>
          <w:rFonts w:ascii="Verdana"/>
          <w:i/>
          <w:sz w:val="16"/>
        </w:rPr>
        <w:t>Ibid</w:t>
      </w:r>
      <w:r>
        <w:rPr>
          <w:sz w:val="16"/>
        </w:rPr>
        <w:t>,</w:t>
      </w:r>
      <w:r>
        <w:rPr>
          <w:spacing w:val="-12"/>
          <w:sz w:val="16"/>
        </w:rPr>
        <w:t> </w:t>
      </w:r>
      <w:r>
        <w:rPr>
          <w:sz w:val="16"/>
        </w:rPr>
        <w:t>para</w:t>
      </w:r>
      <w:r>
        <w:rPr>
          <w:spacing w:val="-11"/>
          <w:sz w:val="16"/>
        </w:rPr>
        <w:t> </w:t>
      </w:r>
      <w:r>
        <w:rPr>
          <w:spacing w:val="-5"/>
          <w:sz w:val="16"/>
        </w:rPr>
        <w:t>80.</w:t>
      </w:r>
    </w:p>
    <w:p>
      <w:pPr>
        <w:pStyle w:val="ListParagraph"/>
        <w:numPr>
          <w:ilvl w:val="0"/>
          <w:numId w:val="14"/>
        </w:numPr>
        <w:tabs>
          <w:tab w:pos="566" w:val="left" w:leader="none"/>
        </w:tabs>
        <w:spacing w:line="223" w:lineRule="exact" w:before="0" w:after="0"/>
        <w:ind w:left="566" w:right="0" w:hanging="453"/>
        <w:jc w:val="left"/>
        <w:rPr>
          <w:sz w:val="16"/>
        </w:rPr>
      </w:pPr>
      <w:r>
        <w:rPr>
          <w:rFonts w:ascii="Verdana"/>
          <w:i/>
          <w:spacing w:val="-2"/>
          <w:sz w:val="16"/>
        </w:rPr>
        <w:t>Ibid</w:t>
      </w:r>
      <w:r>
        <w:rPr>
          <w:spacing w:val="-2"/>
          <w:sz w:val="16"/>
        </w:rPr>
        <w:t>,</w:t>
      </w:r>
      <w:r>
        <w:rPr>
          <w:spacing w:val="-7"/>
          <w:sz w:val="16"/>
        </w:rPr>
        <w:t> </w:t>
      </w:r>
      <w:r>
        <w:rPr>
          <w:spacing w:val="-2"/>
          <w:sz w:val="16"/>
        </w:rPr>
        <w:t>paras</w:t>
      </w:r>
      <w:r>
        <w:rPr>
          <w:spacing w:val="-7"/>
          <w:sz w:val="16"/>
        </w:rPr>
        <w:t> </w:t>
      </w:r>
      <w:r>
        <w:rPr>
          <w:spacing w:val="-2"/>
          <w:sz w:val="16"/>
        </w:rPr>
        <w:t>85,</w:t>
      </w:r>
      <w:r>
        <w:rPr>
          <w:spacing w:val="-6"/>
          <w:sz w:val="16"/>
        </w:rPr>
        <w:t> </w:t>
      </w:r>
      <w:r>
        <w:rPr>
          <w:spacing w:val="-2"/>
          <w:sz w:val="16"/>
        </w:rPr>
        <w:t>88,</w:t>
      </w:r>
      <w:r>
        <w:rPr>
          <w:spacing w:val="-7"/>
          <w:sz w:val="16"/>
        </w:rPr>
        <w:t> </w:t>
      </w:r>
      <w:r>
        <w:rPr>
          <w:spacing w:val="-5"/>
          <w:sz w:val="16"/>
        </w:rPr>
        <w:t>91.</w:t>
      </w:r>
    </w:p>
    <w:p>
      <w:pPr>
        <w:spacing w:after="0" w:line="223" w:lineRule="exact"/>
        <w:jc w:val="left"/>
        <w:rPr>
          <w:sz w:val="16"/>
        </w:rPr>
        <w:sectPr>
          <w:type w:val="continuous"/>
          <w:pgSz w:w="11910" w:h="16840"/>
          <w:pgMar w:header="568" w:footer="580" w:top="0" w:bottom="280" w:left="1020" w:right="1020"/>
        </w:sectPr>
      </w:pPr>
    </w:p>
    <w:p>
      <w:pPr>
        <w:pStyle w:val="Heading1"/>
        <w:spacing w:line="680" w:lineRule="exact" w:before="734"/>
      </w:pPr>
      <w:bookmarkStart w:name="Chapter 5: Post-Brexit Developments and " w:id="78"/>
      <w:bookmarkEnd w:id="78"/>
      <w:r>
        <w:rPr/>
      </w:r>
      <w:bookmarkStart w:name="1. Introductory remarks " w:id="79"/>
      <w:bookmarkEnd w:id="79"/>
      <w:r>
        <w:rPr/>
      </w:r>
      <w:bookmarkStart w:name="2.  The ‘Dynamic Alignment’ Obligation" w:id="80"/>
      <w:bookmarkEnd w:id="80"/>
      <w:r>
        <w:rPr/>
      </w:r>
      <w:bookmarkStart w:name="_bookmark33" w:id="81"/>
      <w:bookmarkEnd w:id="81"/>
      <w:r>
        <w:rPr/>
      </w:r>
      <w:r>
        <w:rPr>
          <w:color w:val="77328A"/>
          <w:w w:val="110"/>
        </w:rPr>
        <w:t>Chapter</w:t>
      </w:r>
      <w:r>
        <w:rPr>
          <w:color w:val="77328A"/>
          <w:spacing w:val="57"/>
          <w:w w:val="110"/>
        </w:rPr>
        <w:t> </w:t>
      </w:r>
      <w:r>
        <w:rPr>
          <w:color w:val="77328A"/>
          <w:spacing w:val="-5"/>
          <w:w w:val="110"/>
        </w:rPr>
        <w:t>5:</w:t>
      </w:r>
    </w:p>
    <w:p>
      <w:pPr>
        <w:spacing w:line="466" w:lineRule="exact" w:before="0"/>
        <w:ind w:left="113" w:right="0" w:firstLine="0"/>
        <w:jc w:val="left"/>
        <w:rPr>
          <w:rFonts w:ascii="Tahoma"/>
          <w:b/>
          <w:sz w:val="40"/>
        </w:rPr>
      </w:pPr>
      <w:r>
        <w:rPr>
          <w:rFonts w:ascii="Tahoma"/>
          <w:b/>
          <w:color w:val="77328A"/>
          <w:sz w:val="40"/>
        </w:rPr>
        <w:t>Post-Brexit</w:t>
      </w:r>
      <w:r>
        <w:rPr>
          <w:rFonts w:ascii="Tahoma"/>
          <w:b/>
          <w:color w:val="77328A"/>
          <w:spacing w:val="4"/>
          <w:sz w:val="40"/>
        </w:rPr>
        <w:t> </w:t>
      </w:r>
      <w:r>
        <w:rPr>
          <w:rFonts w:ascii="Tahoma"/>
          <w:b/>
          <w:color w:val="77328A"/>
          <w:sz w:val="40"/>
        </w:rPr>
        <w:t>Developments</w:t>
      </w:r>
      <w:r>
        <w:rPr>
          <w:rFonts w:ascii="Tahoma"/>
          <w:b/>
          <w:color w:val="77328A"/>
          <w:spacing w:val="4"/>
          <w:sz w:val="40"/>
        </w:rPr>
        <w:t> </w:t>
      </w:r>
      <w:r>
        <w:rPr>
          <w:rFonts w:ascii="Tahoma"/>
          <w:b/>
          <w:color w:val="77328A"/>
          <w:sz w:val="40"/>
        </w:rPr>
        <w:t>and</w:t>
      </w:r>
      <w:r>
        <w:rPr>
          <w:rFonts w:ascii="Tahoma"/>
          <w:b/>
          <w:color w:val="77328A"/>
          <w:spacing w:val="5"/>
          <w:sz w:val="40"/>
        </w:rPr>
        <w:t> </w:t>
      </w:r>
      <w:r>
        <w:rPr>
          <w:rFonts w:ascii="Tahoma"/>
          <w:b/>
          <w:color w:val="77328A"/>
          <w:sz w:val="40"/>
        </w:rPr>
        <w:t>the</w:t>
      </w:r>
      <w:r>
        <w:rPr>
          <w:rFonts w:ascii="Tahoma"/>
          <w:b/>
          <w:color w:val="77328A"/>
          <w:spacing w:val="4"/>
          <w:sz w:val="40"/>
        </w:rPr>
        <w:t> </w:t>
      </w:r>
      <w:r>
        <w:rPr>
          <w:rFonts w:ascii="Tahoma"/>
          <w:b/>
          <w:color w:val="77328A"/>
          <w:spacing w:val="-2"/>
          <w:sz w:val="40"/>
        </w:rPr>
        <w:t>Charter</w:t>
      </w:r>
    </w:p>
    <w:p>
      <w:pPr>
        <w:pStyle w:val="BodyText"/>
        <w:spacing w:before="130"/>
        <w:ind w:left="0"/>
        <w:rPr>
          <w:rFonts w:ascii="Tahoma"/>
          <w:b/>
          <w:sz w:val="20"/>
        </w:rPr>
      </w:pPr>
    </w:p>
    <w:p>
      <w:pPr>
        <w:spacing w:after="0"/>
        <w:rPr>
          <w:rFonts w:ascii="Tahoma"/>
          <w:sz w:val="20"/>
        </w:rPr>
        <w:sectPr>
          <w:pgSz w:w="11910" w:h="16840"/>
          <w:pgMar w:header="568" w:footer="580" w:top="840" w:bottom="780" w:left="1020" w:right="1020"/>
        </w:sectPr>
      </w:pPr>
    </w:p>
    <w:p>
      <w:pPr>
        <w:pStyle w:val="Heading3"/>
        <w:numPr>
          <w:ilvl w:val="0"/>
          <w:numId w:val="18"/>
        </w:numPr>
        <w:tabs>
          <w:tab w:pos="680" w:val="left" w:leader="none"/>
        </w:tabs>
        <w:spacing w:line="240" w:lineRule="auto" w:before="80" w:after="0"/>
        <w:ind w:left="680" w:right="0" w:hanging="567"/>
        <w:jc w:val="left"/>
      </w:pPr>
      <w:r>
        <w:rPr>
          <w:color w:val="77328A"/>
        </w:rPr>
        <w:t>Introductory</w:t>
      </w:r>
      <w:r>
        <w:rPr>
          <w:color w:val="77328A"/>
          <w:spacing w:val="-19"/>
        </w:rPr>
        <w:t> </w:t>
      </w:r>
      <w:r>
        <w:rPr>
          <w:color w:val="77328A"/>
          <w:spacing w:val="-2"/>
        </w:rPr>
        <w:t>remarks</w:t>
      </w:r>
    </w:p>
    <w:p>
      <w:pPr>
        <w:pStyle w:val="BodyText"/>
        <w:spacing w:line="310" w:lineRule="exact" w:before="170"/>
        <w:ind w:right="41"/>
        <w:rPr>
          <w:rFonts w:ascii="Lucida Sans Unicode"/>
        </w:rPr>
      </w:pPr>
      <w:r>
        <w:rPr>
          <w:rFonts w:ascii="Lucida Sans Unicode"/>
        </w:rPr>
        <w:t>In Chapters 3 and 4, we explored </w:t>
      </w:r>
      <w:r>
        <w:rPr>
          <w:rFonts w:ascii="Lucida Sans Unicode"/>
        </w:rPr>
        <w:t>the </w:t>
      </w:r>
      <w:r>
        <w:rPr>
          <w:w w:val="110"/>
        </w:rPr>
        <w:t>continued operation of the Charter and its effects in Northern Ireland, focusing in particular on existing </w:t>
      </w:r>
      <w:r>
        <w:rPr>
          <w:rFonts w:ascii="Lucida Sans Unicode"/>
          <w:w w:val="110"/>
        </w:rPr>
        <w:t>obligations</w:t>
      </w:r>
      <w:r>
        <w:rPr>
          <w:rFonts w:ascii="Lucida Sans Unicode"/>
          <w:spacing w:val="-20"/>
          <w:w w:val="110"/>
        </w:rPr>
        <w:t> </w:t>
      </w:r>
      <w:r>
        <w:rPr>
          <w:rFonts w:ascii="Lucida Sans Unicode"/>
          <w:w w:val="110"/>
        </w:rPr>
        <w:t>under</w:t>
      </w:r>
      <w:r>
        <w:rPr>
          <w:rFonts w:ascii="Lucida Sans Unicode"/>
          <w:spacing w:val="-20"/>
          <w:w w:val="110"/>
        </w:rPr>
        <w:t> </w:t>
      </w:r>
      <w:r>
        <w:rPr>
          <w:rFonts w:ascii="Lucida Sans Unicode"/>
          <w:w w:val="110"/>
        </w:rPr>
        <w:t>Articles</w:t>
      </w:r>
      <w:r>
        <w:rPr>
          <w:rFonts w:ascii="Lucida Sans Unicode"/>
          <w:spacing w:val="-20"/>
          <w:w w:val="110"/>
        </w:rPr>
        <w:t> </w:t>
      </w:r>
      <w:r>
        <w:rPr>
          <w:rFonts w:ascii="Lucida Sans Unicode"/>
          <w:w w:val="110"/>
        </w:rPr>
        <w:t>4</w:t>
      </w:r>
      <w:r>
        <w:rPr>
          <w:rFonts w:ascii="Lucida Sans Unicode"/>
          <w:spacing w:val="-20"/>
          <w:w w:val="110"/>
        </w:rPr>
        <w:t> </w:t>
      </w:r>
      <w:r>
        <w:rPr>
          <w:rFonts w:ascii="Lucida Sans Unicode"/>
          <w:w w:val="110"/>
        </w:rPr>
        <w:t>WA</w:t>
      </w:r>
    </w:p>
    <w:p>
      <w:pPr>
        <w:pStyle w:val="BodyText"/>
        <w:spacing w:line="310" w:lineRule="exact"/>
        <w:ind w:right="38"/>
      </w:pPr>
      <w:r>
        <w:rPr>
          <w:rFonts w:ascii="Lucida Sans Unicode" w:hAnsi="Lucida Sans Unicode"/>
          <w:spacing w:val="-4"/>
          <w:w w:val="110"/>
        </w:rPr>
        <w:t>and</w:t>
      </w:r>
      <w:r>
        <w:rPr>
          <w:rFonts w:ascii="Lucida Sans Unicode" w:hAnsi="Lucida Sans Unicode"/>
          <w:spacing w:val="-16"/>
          <w:w w:val="110"/>
        </w:rPr>
        <w:t> </w:t>
      </w:r>
      <w:r>
        <w:rPr>
          <w:rFonts w:ascii="Lucida Sans Unicode" w:hAnsi="Lucida Sans Unicode"/>
          <w:spacing w:val="-4"/>
          <w:w w:val="110"/>
        </w:rPr>
        <w:t>2</w:t>
      </w:r>
      <w:r>
        <w:rPr>
          <w:rFonts w:ascii="Lucida Sans Unicode" w:hAnsi="Lucida Sans Unicode"/>
          <w:spacing w:val="-16"/>
          <w:w w:val="110"/>
        </w:rPr>
        <w:t> </w:t>
      </w:r>
      <w:r>
        <w:rPr>
          <w:rFonts w:ascii="Lucida Sans Unicode" w:hAnsi="Lucida Sans Unicode"/>
          <w:spacing w:val="-4"/>
          <w:w w:val="110"/>
        </w:rPr>
        <w:t>WF.</w:t>
      </w:r>
      <w:r>
        <w:rPr>
          <w:rFonts w:ascii="Lucida Sans Unicode" w:hAnsi="Lucida Sans Unicode"/>
          <w:spacing w:val="-16"/>
          <w:w w:val="110"/>
        </w:rPr>
        <w:t> </w:t>
      </w:r>
      <w:r>
        <w:rPr>
          <w:rFonts w:ascii="Lucida Sans Unicode" w:hAnsi="Lucida Sans Unicode"/>
          <w:spacing w:val="-4"/>
          <w:w w:val="110"/>
        </w:rPr>
        <w:t>In</w:t>
      </w:r>
      <w:r>
        <w:rPr>
          <w:rFonts w:ascii="Lucida Sans Unicode" w:hAnsi="Lucida Sans Unicode"/>
          <w:spacing w:val="-16"/>
          <w:w w:val="110"/>
        </w:rPr>
        <w:t> </w:t>
      </w:r>
      <w:r>
        <w:rPr>
          <w:rFonts w:ascii="Lucida Sans Unicode" w:hAnsi="Lucida Sans Unicode"/>
          <w:spacing w:val="-4"/>
          <w:w w:val="110"/>
        </w:rPr>
        <w:t>this,</w:t>
      </w:r>
      <w:r>
        <w:rPr>
          <w:rFonts w:ascii="Lucida Sans Unicode" w:hAnsi="Lucida Sans Unicode"/>
          <w:spacing w:val="-16"/>
          <w:w w:val="110"/>
        </w:rPr>
        <w:t> </w:t>
      </w:r>
      <w:r>
        <w:rPr>
          <w:rFonts w:ascii="Lucida Sans Unicode" w:hAnsi="Lucida Sans Unicode"/>
          <w:spacing w:val="-4"/>
          <w:w w:val="110"/>
        </w:rPr>
        <w:t>final</w:t>
      </w:r>
      <w:r>
        <w:rPr>
          <w:rFonts w:ascii="Lucida Sans Unicode" w:hAnsi="Lucida Sans Unicode"/>
          <w:spacing w:val="-16"/>
          <w:w w:val="110"/>
        </w:rPr>
        <w:t> </w:t>
      </w:r>
      <w:r>
        <w:rPr>
          <w:rFonts w:ascii="Lucida Sans Unicode" w:hAnsi="Lucida Sans Unicode"/>
          <w:spacing w:val="-4"/>
          <w:w w:val="110"/>
        </w:rPr>
        <w:t>chapter,</w:t>
      </w:r>
      <w:r>
        <w:rPr>
          <w:rFonts w:ascii="Lucida Sans Unicode" w:hAnsi="Lucida Sans Unicode"/>
          <w:spacing w:val="-16"/>
          <w:w w:val="110"/>
        </w:rPr>
        <w:t> </w:t>
      </w:r>
      <w:r>
        <w:rPr>
          <w:rFonts w:ascii="Lucida Sans Unicode" w:hAnsi="Lucida Sans Unicode"/>
          <w:spacing w:val="-4"/>
          <w:w w:val="110"/>
        </w:rPr>
        <w:t>we </w:t>
      </w:r>
      <w:r>
        <w:rPr>
          <w:w w:val="110"/>
        </w:rPr>
        <w:t>turn to the relevance of </w:t>
      </w:r>
      <w:r>
        <w:rPr>
          <w:rFonts w:ascii="Verdana" w:hAnsi="Verdana"/>
          <w:i/>
          <w:w w:val="110"/>
        </w:rPr>
        <w:t>future </w:t>
      </w:r>
      <w:r>
        <w:rPr>
          <w:w w:val="110"/>
        </w:rPr>
        <w:t>EU law to these areas. Whereas, as we </w:t>
      </w:r>
      <w:r>
        <w:rPr>
          <w:rFonts w:ascii="Lucida Sans Unicode" w:hAnsi="Lucida Sans Unicode"/>
        </w:rPr>
        <w:t>already highlighted in Chapter 3, Article 4 WA itself can be </w:t>
      </w:r>
      <w:r>
        <w:rPr>
          <w:rFonts w:ascii="Lucida Sans Unicode" w:hAnsi="Lucida Sans Unicode"/>
        </w:rPr>
        <w:t>considered </w:t>
      </w:r>
      <w:r>
        <w:rPr>
          <w:w w:val="110"/>
        </w:rPr>
        <w:t>to comprise an obligation to observe post-transition CJEU case law that interprets obligations arising under the Withdrawal Agreement, this chapter shows that the Windsor Framework goes considerably</w:t>
      </w:r>
      <w:r>
        <w:rPr>
          <w:spacing w:val="40"/>
          <w:w w:val="110"/>
        </w:rPr>
        <w:t> </w:t>
      </w:r>
      <w:r>
        <w:rPr>
          <w:w w:val="110"/>
        </w:rPr>
        <w:t>beyond this duty as a result of the ‘dynamic alignment’ obligation</w:t>
      </w:r>
    </w:p>
    <w:p>
      <w:pPr>
        <w:pStyle w:val="BodyText"/>
        <w:spacing w:line="310" w:lineRule="exact"/>
        <w:ind w:right="213"/>
        <w:rPr>
          <w:rFonts w:ascii="Lucida Sans Unicode" w:hAnsi="Lucida Sans Unicode"/>
        </w:rPr>
      </w:pPr>
      <w:r>
        <w:rPr>
          <w:rFonts w:ascii="Lucida Sans Unicode" w:hAnsi="Lucida Sans Unicode"/>
          <w:w w:val="110"/>
        </w:rPr>
        <w:t>set</w:t>
      </w:r>
      <w:r>
        <w:rPr>
          <w:rFonts w:ascii="Lucida Sans Unicode" w:hAnsi="Lucida Sans Unicode"/>
          <w:spacing w:val="-21"/>
          <w:w w:val="110"/>
        </w:rPr>
        <w:t> </w:t>
      </w:r>
      <w:r>
        <w:rPr>
          <w:rFonts w:ascii="Lucida Sans Unicode" w:hAnsi="Lucida Sans Unicode"/>
          <w:w w:val="110"/>
        </w:rPr>
        <w:t>out</w:t>
      </w:r>
      <w:r>
        <w:rPr>
          <w:rFonts w:ascii="Lucida Sans Unicode" w:hAnsi="Lucida Sans Unicode"/>
          <w:spacing w:val="-21"/>
          <w:w w:val="110"/>
        </w:rPr>
        <w:t> </w:t>
      </w:r>
      <w:r>
        <w:rPr>
          <w:rFonts w:ascii="Lucida Sans Unicode" w:hAnsi="Lucida Sans Unicode"/>
          <w:w w:val="110"/>
        </w:rPr>
        <w:t>in</w:t>
      </w:r>
      <w:r>
        <w:rPr>
          <w:rFonts w:ascii="Lucida Sans Unicode" w:hAnsi="Lucida Sans Unicode"/>
          <w:spacing w:val="-21"/>
          <w:w w:val="110"/>
        </w:rPr>
        <w:t> </w:t>
      </w:r>
      <w:r>
        <w:rPr>
          <w:rFonts w:ascii="Lucida Sans Unicode" w:hAnsi="Lucida Sans Unicode"/>
          <w:w w:val="110"/>
        </w:rPr>
        <w:t>Article</w:t>
      </w:r>
      <w:r>
        <w:rPr>
          <w:rFonts w:ascii="Lucida Sans Unicode" w:hAnsi="Lucida Sans Unicode"/>
          <w:spacing w:val="-21"/>
          <w:w w:val="110"/>
        </w:rPr>
        <w:t> </w:t>
      </w:r>
      <w:r>
        <w:rPr>
          <w:rFonts w:ascii="Lucida Sans Unicode" w:hAnsi="Lucida Sans Unicode"/>
          <w:w w:val="105"/>
        </w:rPr>
        <w:t>13</w:t>
      </w:r>
      <w:r>
        <w:rPr>
          <w:rFonts w:ascii="Lucida Sans Unicode" w:hAnsi="Lucida Sans Unicode"/>
          <w:spacing w:val="-20"/>
          <w:w w:val="105"/>
        </w:rPr>
        <w:t> </w:t>
      </w:r>
      <w:r>
        <w:rPr>
          <w:rFonts w:ascii="Lucida Sans Unicode" w:hAnsi="Lucida Sans Unicode"/>
          <w:w w:val="110"/>
        </w:rPr>
        <w:t>(3)</w:t>
      </w:r>
      <w:r>
        <w:rPr>
          <w:rFonts w:ascii="Lucida Sans Unicode" w:hAnsi="Lucida Sans Unicode"/>
          <w:spacing w:val="-21"/>
          <w:w w:val="110"/>
        </w:rPr>
        <w:t> </w:t>
      </w:r>
      <w:r>
        <w:rPr>
          <w:rFonts w:ascii="Lucida Sans Unicode" w:hAnsi="Lucida Sans Unicode"/>
          <w:w w:val="110"/>
        </w:rPr>
        <w:t>WF.</w:t>
      </w:r>
      <w:r>
        <w:rPr>
          <w:rFonts w:ascii="Lucida Sans Unicode" w:hAnsi="Lucida Sans Unicode"/>
          <w:spacing w:val="-21"/>
          <w:w w:val="110"/>
        </w:rPr>
        <w:t> </w:t>
      </w:r>
      <w:r>
        <w:rPr>
          <w:rFonts w:ascii="Lucida Sans Unicode" w:hAnsi="Lucida Sans Unicode"/>
          <w:w w:val="110"/>
        </w:rPr>
        <w:t>This </w:t>
      </w:r>
      <w:r>
        <w:rPr>
          <w:w w:val="110"/>
        </w:rPr>
        <w:t>chapter sets out the basic features</w:t>
      </w:r>
      <w:r>
        <w:rPr>
          <w:spacing w:val="40"/>
          <w:w w:val="110"/>
        </w:rPr>
        <w:t> </w:t>
      </w:r>
      <w:r>
        <w:rPr>
          <w:w w:val="110"/>
        </w:rPr>
        <w:t>of the dynamic alignment </w:t>
      </w:r>
      <w:r>
        <w:rPr>
          <w:w w:val="110"/>
        </w:rPr>
        <w:t>obligation </w:t>
      </w:r>
      <w:r>
        <w:rPr>
          <w:rFonts w:ascii="Lucida Sans Unicode" w:hAnsi="Lucida Sans Unicode"/>
        </w:rPr>
        <w:t>and the so-called ‘Stormont brake’ </w:t>
      </w:r>
      <w:r>
        <w:rPr>
          <w:w w:val="110"/>
        </w:rPr>
        <w:t>mechanism. It then goes on to </w:t>
      </w:r>
      <w:r>
        <w:rPr>
          <w:rFonts w:ascii="Lucida Sans Unicode" w:hAnsi="Lucida Sans Unicode"/>
          <w:w w:val="110"/>
        </w:rPr>
        <w:t>provide</w:t>
      </w:r>
      <w:r>
        <w:rPr>
          <w:rFonts w:ascii="Lucida Sans Unicode" w:hAnsi="Lucida Sans Unicode"/>
          <w:spacing w:val="-21"/>
          <w:w w:val="110"/>
        </w:rPr>
        <w:t> </w:t>
      </w:r>
      <w:r>
        <w:rPr>
          <w:rFonts w:ascii="Lucida Sans Unicode" w:hAnsi="Lucida Sans Unicode"/>
          <w:w w:val="110"/>
        </w:rPr>
        <w:t>a</w:t>
      </w:r>
      <w:r>
        <w:rPr>
          <w:rFonts w:ascii="Lucida Sans Unicode" w:hAnsi="Lucida Sans Unicode"/>
          <w:spacing w:val="-21"/>
          <w:w w:val="110"/>
        </w:rPr>
        <w:t> </w:t>
      </w:r>
      <w:r>
        <w:rPr>
          <w:rFonts w:ascii="Lucida Sans Unicode" w:hAnsi="Lucida Sans Unicode"/>
          <w:w w:val="110"/>
        </w:rPr>
        <w:t>set</w:t>
      </w:r>
      <w:r>
        <w:rPr>
          <w:rFonts w:ascii="Lucida Sans Unicode" w:hAnsi="Lucida Sans Unicode"/>
          <w:spacing w:val="-21"/>
          <w:w w:val="110"/>
        </w:rPr>
        <w:t> </w:t>
      </w:r>
      <w:r>
        <w:rPr>
          <w:rFonts w:ascii="Lucida Sans Unicode" w:hAnsi="Lucida Sans Unicode"/>
          <w:w w:val="110"/>
        </w:rPr>
        <w:t>of</w:t>
      </w:r>
      <w:r>
        <w:rPr>
          <w:rFonts w:ascii="Lucida Sans Unicode" w:hAnsi="Lucida Sans Unicode"/>
          <w:spacing w:val="-21"/>
          <w:w w:val="110"/>
        </w:rPr>
        <w:t> </w:t>
      </w:r>
      <w:r>
        <w:rPr>
          <w:rFonts w:ascii="Lucida Sans Unicode" w:hAnsi="Lucida Sans Unicode"/>
          <w:w w:val="110"/>
        </w:rPr>
        <w:t>reflections</w:t>
      </w:r>
      <w:r>
        <w:rPr>
          <w:rFonts w:ascii="Lucida Sans Unicode" w:hAnsi="Lucida Sans Unicode"/>
          <w:spacing w:val="-21"/>
          <w:w w:val="110"/>
        </w:rPr>
        <w:t> </w:t>
      </w:r>
      <w:r>
        <w:rPr>
          <w:rFonts w:ascii="Lucida Sans Unicode" w:hAnsi="Lucida Sans Unicode"/>
          <w:w w:val="110"/>
        </w:rPr>
        <w:t>on</w:t>
      </w:r>
    </w:p>
    <w:p>
      <w:pPr>
        <w:pStyle w:val="BodyText"/>
        <w:spacing w:line="259" w:lineRule="auto" w:before="23"/>
        <w:ind w:right="41"/>
        <w:rPr>
          <w:rFonts w:ascii="Lucida Sans Unicode"/>
        </w:rPr>
      </w:pPr>
      <w:r>
        <w:rPr>
          <w:w w:val="115"/>
        </w:rPr>
        <w:t>how dynamic alignment might become</w:t>
      </w:r>
      <w:r>
        <w:rPr>
          <w:spacing w:val="-18"/>
          <w:w w:val="115"/>
        </w:rPr>
        <w:t> </w:t>
      </w:r>
      <w:r>
        <w:rPr>
          <w:w w:val="115"/>
        </w:rPr>
        <w:t>relevant</w:t>
      </w:r>
      <w:r>
        <w:rPr>
          <w:spacing w:val="-18"/>
          <w:w w:val="115"/>
        </w:rPr>
        <w:t> </w:t>
      </w:r>
      <w:r>
        <w:rPr>
          <w:w w:val="115"/>
        </w:rPr>
        <w:t>in</w:t>
      </w:r>
      <w:r>
        <w:rPr>
          <w:spacing w:val="-18"/>
          <w:w w:val="115"/>
        </w:rPr>
        <w:t> </w:t>
      </w:r>
      <w:r>
        <w:rPr>
          <w:w w:val="115"/>
        </w:rPr>
        <w:t>the</w:t>
      </w:r>
      <w:r>
        <w:rPr>
          <w:spacing w:val="-18"/>
          <w:w w:val="115"/>
        </w:rPr>
        <w:t> </w:t>
      </w:r>
      <w:r>
        <w:rPr>
          <w:w w:val="115"/>
        </w:rPr>
        <w:t>context</w:t>
      </w:r>
      <w:r>
        <w:rPr>
          <w:spacing w:val="-18"/>
          <w:w w:val="115"/>
        </w:rPr>
        <w:t> </w:t>
      </w:r>
      <w:r>
        <w:rPr>
          <w:w w:val="115"/>
        </w:rPr>
        <w:t>of fundamental rights in particular, </w:t>
      </w:r>
      <w:r>
        <w:rPr>
          <w:rFonts w:ascii="Lucida Sans Unicode"/>
          <w:w w:val="115"/>
        </w:rPr>
        <w:t>under</w:t>
      </w:r>
      <w:r>
        <w:rPr>
          <w:rFonts w:ascii="Lucida Sans Unicode"/>
          <w:spacing w:val="-22"/>
          <w:w w:val="115"/>
        </w:rPr>
        <w:t> </w:t>
      </w:r>
      <w:r>
        <w:rPr>
          <w:rFonts w:ascii="Lucida Sans Unicode"/>
          <w:w w:val="115"/>
        </w:rPr>
        <w:t>Article</w:t>
      </w:r>
      <w:r>
        <w:rPr>
          <w:rFonts w:ascii="Lucida Sans Unicode"/>
          <w:spacing w:val="-22"/>
          <w:w w:val="115"/>
        </w:rPr>
        <w:t> </w:t>
      </w:r>
      <w:r>
        <w:rPr>
          <w:rFonts w:ascii="Lucida Sans Unicode"/>
          <w:w w:val="115"/>
        </w:rPr>
        <w:t>2</w:t>
      </w:r>
      <w:r>
        <w:rPr>
          <w:rFonts w:ascii="Lucida Sans Unicode"/>
          <w:spacing w:val="-22"/>
          <w:w w:val="115"/>
        </w:rPr>
        <w:t> </w:t>
      </w:r>
      <w:r>
        <w:rPr>
          <w:rFonts w:ascii="Lucida Sans Unicode"/>
          <w:w w:val="115"/>
        </w:rPr>
        <w:t>WF.</w:t>
      </w:r>
    </w:p>
    <w:p>
      <w:pPr>
        <w:pStyle w:val="Heading3"/>
        <w:numPr>
          <w:ilvl w:val="0"/>
          <w:numId w:val="18"/>
        </w:numPr>
        <w:tabs>
          <w:tab w:pos="680" w:val="left" w:leader="none"/>
        </w:tabs>
        <w:spacing w:line="252" w:lineRule="auto" w:before="80" w:after="0"/>
        <w:ind w:left="680" w:right="303" w:hanging="567"/>
        <w:jc w:val="left"/>
      </w:pPr>
      <w:r>
        <w:rPr>
          <w:b w:val="0"/>
        </w:rPr>
        <w:br w:type="column"/>
      </w:r>
      <w:r>
        <w:rPr>
          <w:color w:val="77328A"/>
        </w:rPr>
        <w:t>The ‘Dynamic </w:t>
      </w:r>
      <w:r>
        <w:rPr>
          <w:color w:val="77328A"/>
        </w:rPr>
        <w:t>Alignment’ </w:t>
      </w:r>
      <w:r>
        <w:rPr>
          <w:color w:val="77328A"/>
          <w:spacing w:val="-2"/>
        </w:rPr>
        <w:t>Obligation</w:t>
      </w:r>
    </w:p>
    <w:p>
      <w:pPr>
        <w:pStyle w:val="BodyText"/>
        <w:spacing w:line="244" w:lineRule="auto" w:before="131"/>
        <w:ind w:right="147"/>
      </w:pPr>
      <w:r>
        <w:rPr>
          <w:rFonts w:ascii="Lucida Sans Unicode" w:hAnsi="Lucida Sans Unicode"/>
          <w:w w:val="110"/>
        </w:rPr>
        <w:t>Article</w:t>
      </w:r>
      <w:r>
        <w:rPr>
          <w:rFonts w:ascii="Lucida Sans Unicode" w:hAnsi="Lucida Sans Unicode"/>
          <w:spacing w:val="-21"/>
          <w:w w:val="110"/>
        </w:rPr>
        <w:t> </w:t>
      </w:r>
      <w:r>
        <w:rPr>
          <w:rFonts w:ascii="Lucida Sans Unicode" w:hAnsi="Lucida Sans Unicode"/>
          <w:w w:val="105"/>
        </w:rPr>
        <w:t>13</w:t>
      </w:r>
      <w:r>
        <w:rPr>
          <w:rFonts w:ascii="Lucida Sans Unicode" w:hAnsi="Lucida Sans Unicode"/>
          <w:spacing w:val="-20"/>
          <w:w w:val="105"/>
        </w:rPr>
        <w:t> </w:t>
      </w:r>
      <w:r>
        <w:rPr>
          <w:rFonts w:ascii="Lucida Sans Unicode" w:hAnsi="Lucida Sans Unicode"/>
          <w:w w:val="110"/>
        </w:rPr>
        <w:t>(3)</w:t>
      </w:r>
      <w:r>
        <w:rPr>
          <w:rFonts w:ascii="Lucida Sans Unicode" w:hAnsi="Lucida Sans Unicode"/>
          <w:spacing w:val="-21"/>
          <w:w w:val="110"/>
        </w:rPr>
        <w:t> </w:t>
      </w:r>
      <w:r>
        <w:rPr>
          <w:rFonts w:ascii="Lucida Sans Unicode" w:hAnsi="Lucida Sans Unicode"/>
          <w:w w:val="110"/>
        </w:rPr>
        <w:t>Windsor</w:t>
      </w:r>
      <w:r>
        <w:rPr>
          <w:rFonts w:ascii="Lucida Sans Unicode" w:hAnsi="Lucida Sans Unicode"/>
          <w:spacing w:val="-21"/>
          <w:w w:val="110"/>
        </w:rPr>
        <w:t> </w:t>
      </w:r>
      <w:r>
        <w:rPr>
          <w:rFonts w:ascii="Lucida Sans Unicode" w:hAnsi="Lucida Sans Unicode"/>
          <w:w w:val="110"/>
        </w:rPr>
        <w:t>Framework </w:t>
      </w:r>
      <w:r>
        <w:rPr>
          <w:w w:val="110"/>
        </w:rPr>
        <w:t>stipulates an exception to the general rule in Article 6 (1) WA by stating that ‘unless otherwise provided, where </w:t>
      </w:r>
      <w:r>
        <w:rPr>
          <w:w w:val="110"/>
        </w:rPr>
        <w:t>this </w:t>
      </w:r>
      <w:r>
        <w:rPr>
          <w:rFonts w:ascii="Lucida Sans Unicode" w:hAnsi="Lucida Sans Unicode"/>
          <w:w w:val="110"/>
        </w:rPr>
        <w:t>Protocol</w:t>
      </w:r>
      <w:r>
        <w:rPr>
          <w:rFonts w:ascii="Lucida Sans Unicode" w:hAnsi="Lucida Sans Unicode"/>
          <w:spacing w:val="-16"/>
          <w:w w:val="110"/>
        </w:rPr>
        <w:t> </w:t>
      </w:r>
      <w:r>
        <w:rPr>
          <w:rFonts w:ascii="Lucida Sans Unicode" w:hAnsi="Lucida Sans Unicode"/>
          <w:w w:val="110"/>
        </w:rPr>
        <w:t>[viz.</w:t>
      </w:r>
      <w:r>
        <w:rPr>
          <w:rFonts w:ascii="Lucida Sans Unicode" w:hAnsi="Lucida Sans Unicode"/>
          <w:spacing w:val="-16"/>
          <w:w w:val="110"/>
        </w:rPr>
        <w:t> </w:t>
      </w:r>
      <w:r>
        <w:rPr>
          <w:rFonts w:ascii="Lucida Sans Unicode" w:hAnsi="Lucida Sans Unicode"/>
          <w:w w:val="110"/>
        </w:rPr>
        <w:t>Windsor</w:t>
      </w:r>
      <w:r>
        <w:rPr>
          <w:rFonts w:ascii="Lucida Sans Unicode" w:hAnsi="Lucida Sans Unicode"/>
          <w:spacing w:val="-16"/>
          <w:w w:val="110"/>
        </w:rPr>
        <w:t> </w:t>
      </w:r>
      <w:r>
        <w:rPr>
          <w:rFonts w:ascii="Lucida Sans Unicode" w:hAnsi="Lucida Sans Unicode"/>
          <w:w w:val="110"/>
        </w:rPr>
        <w:t>Framework] </w:t>
      </w:r>
      <w:r>
        <w:rPr>
          <w:w w:val="110"/>
        </w:rPr>
        <w:t>makes reference to a Union act, that reference shall be read as referring</w:t>
      </w:r>
    </w:p>
    <w:p>
      <w:pPr>
        <w:pStyle w:val="BodyText"/>
        <w:spacing w:line="254" w:lineRule="auto" w:before="13"/>
        <w:ind w:right="317"/>
        <w:rPr>
          <w:rFonts w:ascii="Lucida Sans Unicode" w:hAnsi="Lucida Sans Unicode"/>
        </w:rPr>
      </w:pPr>
      <w:r>
        <w:rPr>
          <w:w w:val="110"/>
        </w:rPr>
        <w:t>to that Union act as amended or replaced’.</w:t>
      </w:r>
      <w:r>
        <w:rPr>
          <w:spacing w:val="-13"/>
          <w:w w:val="110"/>
        </w:rPr>
        <w:t> </w:t>
      </w:r>
      <w:r>
        <w:rPr>
          <w:w w:val="110"/>
        </w:rPr>
        <w:t>This</w:t>
      </w:r>
      <w:r>
        <w:rPr>
          <w:spacing w:val="-13"/>
          <w:w w:val="110"/>
        </w:rPr>
        <w:t> </w:t>
      </w:r>
      <w:r>
        <w:rPr>
          <w:w w:val="110"/>
        </w:rPr>
        <w:t>has</w:t>
      </w:r>
      <w:r>
        <w:rPr>
          <w:spacing w:val="-13"/>
          <w:w w:val="110"/>
        </w:rPr>
        <w:t> </w:t>
      </w:r>
      <w:r>
        <w:rPr>
          <w:w w:val="110"/>
        </w:rPr>
        <w:t>the</w:t>
      </w:r>
      <w:r>
        <w:rPr>
          <w:spacing w:val="-13"/>
          <w:w w:val="110"/>
        </w:rPr>
        <w:t> </w:t>
      </w:r>
      <w:r>
        <w:rPr>
          <w:w w:val="110"/>
        </w:rPr>
        <w:t>consequence that any Union act (except those </w:t>
      </w:r>
      <w:r>
        <w:rPr>
          <w:rFonts w:ascii="Lucida Sans Unicode" w:hAnsi="Lucida Sans Unicode"/>
          <w:w w:val="110"/>
        </w:rPr>
        <w:t>caught</w:t>
      </w:r>
      <w:r>
        <w:rPr>
          <w:rFonts w:ascii="Lucida Sans Unicode" w:hAnsi="Lucida Sans Unicode"/>
          <w:spacing w:val="-20"/>
          <w:w w:val="110"/>
        </w:rPr>
        <w:t> </w:t>
      </w:r>
      <w:r>
        <w:rPr>
          <w:rFonts w:ascii="Lucida Sans Unicode" w:hAnsi="Lucida Sans Unicode"/>
          <w:w w:val="110"/>
        </w:rPr>
        <w:t>by</w:t>
      </w:r>
      <w:r>
        <w:rPr>
          <w:rFonts w:ascii="Lucida Sans Unicode" w:hAnsi="Lucida Sans Unicode"/>
          <w:spacing w:val="-20"/>
          <w:w w:val="110"/>
        </w:rPr>
        <w:t> </w:t>
      </w:r>
      <w:r>
        <w:rPr>
          <w:rFonts w:ascii="Lucida Sans Unicode" w:hAnsi="Lucida Sans Unicode"/>
          <w:w w:val="110"/>
        </w:rPr>
        <w:t>the</w:t>
      </w:r>
      <w:r>
        <w:rPr>
          <w:rFonts w:ascii="Lucida Sans Unicode" w:hAnsi="Lucida Sans Unicode"/>
          <w:spacing w:val="-20"/>
          <w:w w:val="110"/>
        </w:rPr>
        <w:t> </w:t>
      </w:r>
      <w:r>
        <w:rPr>
          <w:rFonts w:ascii="Lucida Sans Unicode" w:hAnsi="Lucida Sans Unicode"/>
          <w:w w:val="110"/>
        </w:rPr>
        <w:t>Stormont</w:t>
      </w:r>
      <w:r>
        <w:rPr>
          <w:rFonts w:ascii="Lucida Sans Unicode" w:hAnsi="Lucida Sans Unicode"/>
          <w:spacing w:val="-20"/>
          <w:w w:val="110"/>
        </w:rPr>
        <w:t> </w:t>
      </w:r>
      <w:r>
        <w:rPr>
          <w:rFonts w:ascii="Lucida Sans Unicode" w:hAnsi="Lucida Sans Unicode"/>
          <w:w w:val="110"/>
        </w:rPr>
        <w:t>brake</w:t>
      </w:r>
    </w:p>
    <w:p>
      <w:pPr>
        <w:pStyle w:val="BodyText"/>
        <w:spacing w:line="269" w:lineRule="exact"/>
        <w:rPr>
          <w:rFonts w:ascii="Lucida Sans Unicode"/>
        </w:rPr>
      </w:pPr>
      <w:r>
        <w:rPr>
          <w:rFonts w:ascii="Lucida Sans Unicode"/>
        </w:rPr>
        <w:t>provided</w:t>
      </w:r>
      <w:r>
        <w:rPr>
          <w:rFonts w:ascii="Lucida Sans Unicode"/>
          <w:spacing w:val="3"/>
        </w:rPr>
        <w:t> </w:t>
      </w:r>
      <w:r>
        <w:rPr>
          <w:rFonts w:ascii="Lucida Sans Unicode"/>
        </w:rPr>
        <w:t>under</w:t>
      </w:r>
      <w:r>
        <w:rPr>
          <w:rFonts w:ascii="Lucida Sans Unicode"/>
          <w:spacing w:val="3"/>
        </w:rPr>
        <w:t> </w:t>
      </w:r>
      <w:r>
        <w:rPr>
          <w:rFonts w:ascii="Lucida Sans Unicode"/>
        </w:rPr>
        <w:t>Article</w:t>
      </w:r>
      <w:r>
        <w:rPr>
          <w:rFonts w:ascii="Lucida Sans Unicode"/>
          <w:spacing w:val="3"/>
        </w:rPr>
        <w:t> </w:t>
      </w:r>
      <w:r>
        <w:rPr>
          <w:rFonts w:ascii="Lucida Sans Unicode"/>
        </w:rPr>
        <w:t>13(3a),</w:t>
      </w:r>
      <w:r>
        <w:rPr>
          <w:rFonts w:ascii="Lucida Sans Unicode"/>
          <w:spacing w:val="3"/>
        </w:rPr>
        <w:t> </w:t>
      </w:r>
      <w:r>
        <w:rPr>
          <w:rFonts w:ascii="Lucida Sans Unicode"/>
        </w:rPr>
        <w:t>as</w:t>
      </w:r>
      <w:r>
        <w:rPr>
          <w:rFonts w:ascii="Lucida Sans Unicode"/>
          <w:spacing w:val="3"/>
        </w:rPr>
        <w:t> </w:t>
      </w:r>
      <w:r>
        <w:rPr>
          <w:rFonts w:ascii="Lucida Sans Unicode"/>
          <w:spacing w:val="-5"/>
        </w:rPr>
        <w:t>set</w:t>
      </w:r>
    </w:p>
    <w:p>
      <w:pPr>
        <w:pStyle w:val="BodyText"/>
        <w:spacing w:line="266" w:lineRule="auto"/>
        <w:ind w:right="147"/>
      </w:pPr>
      <w:r>
        <w:rPr>
          <w:w w:val="115"/>
        </w:rPr>
        <w:t>out</w:t>
      </w:r>
      <w:r>
        <w:rPr>
          <w:spacing w:val="-9"/>
          <w:w w:val="115"/>
        </w:rPr>
        <w:t> </w:t>
      </w:r>
      <w:r>
        <w:rPr>
          <w:w w:val="115"/>
        </w:rPr>
        <w:t>below)</w:t>
      </w:r>
      <w:r>
        <w:rPr>
          <w:spacing w:val="-9"/>
          <w:w w:val="115"/>
        </w:rPr>
        <w:t> </w:t>
      </w:r>
      <w:r>
        <w:rPr>
          <w:w w:val="115"/>
        </w:rPr>
        <w:t>mentioned</w:t>
      </w:r>
      <w:r>
        <w:rPr>
          <w:spacing w:val="-9"/>
          <w:w w:val="115"/>
        </w:rPr>
        <w:t> </w:t>
      </w:r>
      <w:r>
        <w:rPr>
          <w:w w:val="115"/>
        </w:rPr>
        <w:t>in</w:t>
      </w:r>
      <w:r>
        <w:rPr>
          <w:spacing w:val="-9"/>
          <w:w w:val="115"/>
        </w:rPr>
        <w:t> </w:t>
      </w:r>
      <w:r>
        <w:rPr>
          <w:w w:val="115"/>
        </w:rPr>
        <w:t>the</w:t>
      </w:r>
      <w:r>
        <w:rPr>
          <w:spacing w:val="-9"/>
          <w:w w:val="115"/>
        </w:rPr>
        <w:t> </w:t>
      </w:r>
      <w:r>
        <w:rPr>
          <w:w w:val="115"/>
        </w:rPr>
        <w:t>Windsor Framework</w:t>
      </w:r>
      <w:r>
        <w:rPr>
          <w:spacing w:val="-1"/>
          <w:w w:val="115"/>
        </w:rPr>
        <w:t> </w:t>
      </w:r>
      <w:r>
        <w:rPr>
          <w:w w:val="115"/>
        </w:rPr>
        <w:t>–</w:t>
      </w:r>
      <w:r>
        <w:rPr>
          <w:spacing w:val="-1"/>
          <w:w w:val="115"/>
        </w:rPr>
        <w:t> </w:t>
      </w:r>
      <w:r>
        <w:rPr>
          <w:w w:val="115"/>
        </w:rPr>
        <w:t>notably</w:t>
      </w:r>
      <w:r>
        <w:rPr>
          <w:spacing w:val="-1"/>
          <w:w w:val="115"/>
        </w:rPr>
        <w:t> </w:t>
      </w:r>
      <w:r>
        <w:rPr>
          <w:w w:val="115"/>
        </w:rPr>
        <w:t>in</w:t>
      </w:r>
      <w:r>
        <w:rPr>
          <w:spacing w:val="-1"/>
          <w:w w:val="115"/>
        </w:rPr>
        <w:t> </w:t>
      </w:r>
      <w:r>
        <w:rPr>
          <w:w w:val="115"/>
        </w:rPr>
        <w:t>its</w:t>
      </w:r>
      <w:r>
        <w:rPr>
          <w:spacing w:val="-1"/>
          <w:w w:val="115"/>
        </w:rPr>
        <w:t> </w:t>
      </w:r>
      <w:r>
        <w:rPr>
          <w:w w:val="115"/>
        </w:rPr>
        <w:t>annexes</w:t>
      </w:r>
    </w:p>
    <w:p>
      <w:pPr>
        <w:pStyle w:val="BodyText"/>
        <w:spacing w:line="266" w:lineRule="auto"/>
        <w:ind w:right="118"/>
      </w:pPr>
      <w:r>
        <w:rPr>
          <w:w w:val="115"/>
        </w:rPr>
        <w:t>– is automatically and dynamically amended</w:t>
      </w:r>
      <w:r>
        <w:rPr>
          <w:spacing w:val="-20"/>
          <w:w w:val="115"/>
        </w:rPr>
        <w:t> </w:t>
      </w:r>
      <w:r>
        <w:rPr>
          <w:w w:val="115"/>
        </w:rPr>
        <w:t>or</w:t>
      </w:r>
      <w:r>
        <w:rPr>
          <w:spacing w:val="-19"/>
          <w:w w:val="115"/>
        </w:rPr>
        <w:t> </w:t>
      </w:r>
      <w:r>
        <w:rPr>
          <w:w w:val="115"/>
        </w:rPr>
        <w:t>replaced</w:t>
      </w:r>
      <w:r>
        <w:rPr>
          <w:spacing w:val="-19"/>
          <w:w w:val="115"/>
        </w:rPr>
        <w:t> </w:t>
      </w:r>
      <w:r>
        <w:rPr>
          <w:w w:val="115"/>
        </w:rPr>
        <w:t>if</w:t>
      </w:r>
      <w:r>
        <w:rPr>
          <w:spacing w:val="-19"/>
          <w:w w:val="115"/>
        </w:rPr>
        <w:t> </w:t>
      </w:r>
      <w:r>
        <w:rPr>
          <w:w w:val="115"/>
        </w:rPr>
        <w:t>the</w:t>
      </w:r>
      <w:r>
        <w:rPr>
          <w:spacing w:val="-19"/>
          <w:w w:val="115"/>
        </w:rPr>
        <w:t> </w:t>
      </w:r>
      <w:r>
        <w:rPr>
          <w:w w:val="115"/>
        </w:rPr>
        <w:t>underlying</w:t>
      </w:r>
      <w:r>
        <w:rPr>
          <w:w w:val="115"/>
        </w:rPr>
        <w:t> EU</w:t>
      </w:r>
      <w:r>
        <w:rPr>
          <w:spacing w:val="-12"/>
          <w:w w:val="115"/>
        </w:rPr>
        <w:t> </w:t>
      </w:r>
      <w:r>
        <w:rPr>
          <w:w w:val="115"/>
        </w:rPr>
        <w:t>act</w:t>
      </w:r>
      <w:r>
        <w:rPr>
          <w:spacing w:val="-12"/>
          <w:w w:val="115"/>
        </w:rPr>
        <w:t> </w:t>
      </w:r>
      <w:r>
        <w:rPr>
          <w:w w:val="115"/>
        </w:rPr>
        <w:t>is</w:t>
      </w:r>
      <w:r>
        <w:rPr>
          <w:spacing w:val="-12"/>
          <w:w w:val="115"/>
        </w:rPr>
        <w:t> </w:t>
      </w:r>
      <w:r>
        <w:rPr>
          <w:w w:val="115"/>
        </w:rPr>
        <w:t>amended</w:t>
      </w:r>
      <w:r>
        <w:rPr>
          <w:spacing w:val="-12"/>
          <w:w w:val="115"/>
        </w:rPr>
        <w:t> </w:t>
      </w:r>
      <w:r>
        <w:rPr>
          <w:w w:val="115"/>
        </w:rPr>
        <w:t>or</w:t>
      </w:r>
      <w:r>
        <w:rPr>
          <w:spacing w:val="-12"/>
          <w:w w:val="115"/>
        </w:rPr>
        <w:t> </w:t>
      </w:r>
      <w:r>
        <w:rPr>
          <w:w w:val="115"/>
        </w:rPr>
        <w:t>replaced</w:t>
      </w:r>
      <w:r>
        <w:rPr>
          <w:spacing w:val="-12"/>
          <w:w w:val="115"/>
        </w:rPr>
        <w:t> </w:t>
      </w:r>
      <w:r>
        <w:rPr>
          <w:w w:val="115"/>
        </w:rPr>
        <w:t>by</w:t>
      </w:r>
      <w:r>
        <w:rPr>
          <w:spacing w:val="-12"/>
          <w:w w:val="115"/>
        </w:rPr>
        <w:t> </w:t>
      </w:r>
      <w:r>
        <w:rPr>
          <w:w w:val="115"/>
        </w:rPr>
        <w:t>the European</w:t>
      </w:r>
      <w:r>
        <w:rPr>
          <w:spacing w:val="-20"/>
          <w:w w:val="115"/>
        </w:rPr>
        <w:t> </w:t>
      </w:r>
      <w:r>
        <w:rPr>
          <w:w w:val="115"/>
        </w:rPr>
        <w:t>Union.</w:t>
      </w:r>
      <w:r>
        <w:rPr>
          <w:spacing w:val="-19"/>
          <w:w w:val="115"/>
        </w:rPr>
        <w:t> </w:t>
      </w:r>
      <w:r>
        <w:rPr>
          <w:w w:val="115"/>
        </w:rPr>
        <w:t>The</w:t>
      </w:r>
      <w:r>
        <w:rPr>
          <w:spacing w:val="-19"/>
          <w:w w:val="115"/>
        </w:rPr>
        <w:t> </w:t>
      </w:r>
      <w:r>
        <w:rPr>
          <w:w w:val="115"/>
        </w:rPr>
        <w:t>consequences for the applicability of the Charter</w:t>
      </w:r>
    </w:p>
    <w:p>
      <w:pPr>
        <w:pStyle w:val="BodyText"/>
        <w:spacing w:line="311" w:lineRule="exact"/>
        <w:rPr>
          <w:rFonts w:ascii="Lucida Sans Unicode"/>
        </w:rPr>
      </w:pPr>
      <w:r>
        <w:rPr>
          <w:rFonts w:ascii="Lucida Sans Unicode"/>
        </w:rPr>
        <w:t>are</w:t>
      </w:r>
      <w:r>
        <w:rPr>
          <w:rFonts w:ascii="Lucida Sans Unicode"/>
          <w:spacing w:val="3"/>
        </w:rPr>
        <w:t> </w:t>
      </w:r>
      <w:r>
        <w:rPr>
          <w:rFonts w:ascii="Lucida Sans Unicode"/>
        </w:rPr>
        <w:t>twofold:</w:t>
      </w:r>
      <w:r>
        <w:rPr>
          <w:rFonts w:ascii="Lucida Sans Unicode"/>
          <w:spacing w:val="4"/>
        </w:rPr>
        <w:t> </w:t>
      </w:r>
      <w:r>
        <w:rPr>
          <w:rFonts w:ascii="Lucida Sans Unicode"/>
        </w:rPr>
        <w:t>first,</w:t>
      </w:r>
      <w:r>
        <w:rPr>
          <w:rFonts w:ascii="Lucida Sans Unicode"/>
          <w:spacing w:val="4"/>
        </w:rPr>
        <w:t> </w:t>
      </w:r>
      <w:r>
        <w:rPr>
          <w:rFonts w:ascii="Lucida Sans Unicode"/>
        </w:rPr>
        <w:t>the</w:t>
      </w:r>
      <w:r>
        <w:rPr>
          <w:rFonts w:ascii="Lucida Sans Unicode"/>
          <w:spacing w:val="4"/>
        </w:rPr>
        <w:t> </w:t>
      </w:r>
      <w:r>
        <w:rPr>
          <w:rFonts w:ascii="Lucida Sans Unicode"/>
        </w:rPr>
        <w:t>Charter</w:t>
      </w:r>
      <w:r>
        <w:rPr>
          <w:rFonts w:ascii="Lucida Sans Unicode"/>
          <w:spacing w:val="3"/>
        </w:rPr>
        <w:t> </w:t>
      </w:r>
      <w:r>
        <w:rPr>
          <w:rFonts w:ascii="Lucida Sans Unicode"/>
        </w:rPr>
        <w:t>can</w:t>
      </w:r>
      <w:r>
        <w:rPr>
          <w:rFonts w:ascii="Lucida Sans Unicode"/>
          <w:spacing w:val="4"/>
        </w:rPr>
        <w:t> </w:t>
      </w:r>
      <w:r>
        <w:rPr>
          <w:rFonts w:ascii="Lucida Sans Unicode"/>
          <w:spacing w:val="-5"/>
        </w:rPr>
        <w:t>be</w:t>
      </w:r>
    </w:p>
    <w:p>
      <w:pPr>
        <w:pStyle w:val="BodyText"/>
        <w:spacing w:line="266" w:lineRule="auto"/>
        <w:ind w:right="259"/>
      </w:pPr>
      <w:r>
        <w:rPr>
          <w:w w:val="115"/>
        </w:rPr>
        <w:t>invoked to interpret the amended</w:t>
      </w:r>
      <w:r>
        <w:rPr>
          <w:spacing w:val="40"/>
          <w:w w:val="115"/>
        </w:rPr>
        <w:t> </w:t>
      </w:r>
      <w:r>
        <w:rPr>
          <w:w w:val="115"/>
        </w:rPr>
        <w:t>act</w:t>
      </w:r>
      <w:r>
        <w:rPr>
          <w:spacing w:val="-17"/>
          <w:w w:val="115"/>
        </w:rPr>
        <w:t> </w:t>
      </w:r>
      <w:r>
        <w:rPr>
          <w:w w:val="115"/>
        </w:rPr>
        <w:t>or</w:t>
      </w:r>
      <w:r>
        <w:rPr>
          <w:spacing w:val="-17"/>
          <w:w w:val="115"/>
        </w:rPr>
        <w:t> </w:t>
      </w:r>
      <w:r>
        <w:rPr>
          <w:w w:val="115"/>
        </w:rPr>
        <w:t>its</w:t>
      </w:r>
      <w:r>
        <w:rPr>
          <w:spacing w:val="-17"/>
          <w:w w:val="115"/>
        </w:rPr>
        <w:t> </w:t>
      </w:r>
      <w:r>
        <w:rPr>
          <w:w w:val="115"/>
        </w:rPr>
        <w:t>replacement;</w:t>
      </w:r>
      <w:r>
        <w:rPr>
          <w:spacing w:val="-17"/>
          <w:w w:val="115"/>
        </w:rPr>
        <w:t> </w:t>
      </w:r>
      <w:r>
        <w:rPr>
          <w:w w:val="115"/>
        </w:rPr>
        <w:t>and</w:t>
      </w:r>
      <w:r>
        <w:rPr>
          <w:spacing w:val="-17"/>
          <w:w w:val="115"/>
        </w:rPr>
        <w:t> </w:t>
      </w:r>
      <w:r>
        <w:rPr>
          <w:w w:val="115"/>
        </w:rPr>
        <w:t>secondly, the</w:t>
      </w:r>
      <w:r>
        <w:rPr>
          <w:spacing w:val="-8"/>
          <w:w w:val="115"/>
        </w:rPr>
        <w:t> </w:t>
      </w:r>
      <w:r>
        <w:rPr>
          <w:w w:val="115"/>
        </w:rPr>
        <w:t>applicability</w:t>
      </w:r>
      <w:r>
        <w:rPr>
          <w:spacing w:val="-8"/>
          <w:w w:val="115"/>
        </w:rPr>
        <w:t> </w:t>
      </w:r>
      <w:r>
        <w:rPr>
          <w:w w:val="115"/>
        </w:rPr>
        <w:t>of</w:t>
      </w:r>
      <w:r>
        <w:rPr>
          <w:spacing w:val="-8"/>
          <w:w w:val="115"/>
        </w:rPr>
        <w:t> </w:t>
      </w:r>
      <w:r>
        <w:rPr>
          <w:w w:val="115"/>
        </w:rPr>
        <w:t>the</w:t>
      </w:r>
      <w:r>
        <w:rPr>
          <w:spacing w:val="-8"/>
          <w:w w:val="115"/>
        </w:rPr>
        <w:t> </w:t>
      </w:r>
      <w:r>
        <w:rPr>
          <w:w w:val="115"/>
        </w:rPr>
        <w:t>Charter</w:t>
      </w:r>
      <w:r>
        <w:rPr>
          <w:spacing w:val="-8"/>
          <w:w w:val="115"/>
        </w:rPr>
        <w:t> </w:t>
      </w:r>
      <w:r>
        <w:rPr>
          <w:w w:val="115"/>
        </w:rPr>
        <w:t>would have to be assessed in light of the amended act or its replacement, i.e. the Charter could apply in a broader set of cases in the Northern Ireland </w:t>
      </w:r>
      <w:r>
        <w:rPr>
          <w:w w:val="110"/>
        </w:rPr>
        <w:t>legal order as a consequence of such </w:t>
      </w:r>
      <w:r>
        <w:rPr>
          <w:w w:val="115"/>
        </w:rPr>
        <w:t>dynamic alignment. An example to illustrate this might be the (long-</w:t>
      </w:r>
    </w:p>
    <w:p>
      <w:pPr>
        <w:pStyle w:val="BodyText"/>
        <w:spacing w:line="254" w:lineRule="auto"/>
        <w:ind w:right="242"/>
        <w:rPr>
          <w:rFonts w:ascii="Lucida Sans Unicode" w:hAnsi="Lucida Sans Unicode"/>
        </w:rPr>
      </w:pPr>
      <w:r>
        <w:rPr>
          <w:w w:val="110"/>
        </w:rPr>
        <w:t>envisaged, but not yet </w:t>
      </w:r>
      <w:r>
        <w:rPr>
          <w:w w:val="110"/>
        </w:rPr>
        <w:t>accomplished) extension of the anti-discrimination protections contained in Directive </w:t>
      </w:r>
      <w:r>
        <w:rPr>
          <w:rFonts w:ascii="Lucida Sans Unicode" w:hAnsi="Lucida Sans Unicode"/>
        </w:rPr>
        <w:t>2000/78 – currently applicable in</w:t>
      </w:r>
    </w:p>
    <w:p>
      <w:pPr>
        <w:pStyle w:val="BodyText"/>
        <w:spacing w:line="223" w:lineRule="exact"/>
      </w:pPr>
      <w:r>
        <w:rPr>
          <w:w w:val="115"/>
        </w:rPr>
        <w:t>the</w:t>
      </w:r>
      <w:r>
        <w:rPr>
          <w:spacing w:val="-10"/>
          <w:w w:val="115"/>
        </w:rPr>
        <w:t> </w:t>
      </w:r>
      <w:r>
        <w:rPr>
          <w:w w:val="115"/>
        </w:rPr>
        <w:t>employment</w:t>
      </w:r>
      <w:r>
        <w:rPr>
          <w:spacing w:val="-9"/>
          <w:w w:val="115"/>
        </w:rPr>
        <w:t> </w:t>
      </w:r>
      <w:r>
        <w:rPr>
          <w:w w:val="115"/>
        </w:rPr>
        <w:t>context</w:t>
      </w:r>
      <w:r>
        <w:rPr>
          <w:spacing w:val="-10"/>
          <w:w w:val="115"/>
        </w:rPr>
        <w:t> </w:t>
      </w:r>
      <w:r>
        <w:rPr>
          <w:w w:val="115"/>
        </w:rPr>
        <w:t>–</w:t>
      </w:r>
      <w:r>
        <w:rPr>
          <w:spacing w:val="-9"/>
          <w:w w:val="115"/>
        </w:rPr>
        <w:t> </w:t>
      </w:r>
      <w:r>
        <w:rPr>
          <w:w w:val="115"/>
        </w:rPr>
        <w:t>to</w:t>
      </w:r>
      <w:r>
        <w:rPr>
          <w:spacing w:val="-10"/>
          <w:w w:val="115"/>
        </w:rPr>
        <w:t> </w:t>
      </w:r>
      <w:r>
        <w:rPr>
          <w:spacing w:val="-5"/>
          <w:w w:val="115"/>
        </w:rPr>
        <w:t>the</w:t>
      </w:r>
    </w:p>
    <w:p>
      <w:pPr>
        <w:pStyle w:val="BodyText"/>
        <w:spacing w:line="364" w:lineRule="exact"/>
        <w:rPr>
          <w:rFonts w:ascii="Lucida Sans Unicode"/>
        </w:rPr>
      </w:pPr>
      <w:r>
        <w:rPr>
          <w:w w:val="110"/>
        </w:rPr>
        <w:t>provision</w:t>
      </w:r>
      <w:r>
        <w:rPr>
          <w:spacing w:val="7"/>
          <w:w w:val="110"/>
        </w:rPr>
        <w:t> </w:t>
      </w:r>
      <w:r>
        <w:rPr>
          <w:w w:val="110"/>
        </w:rPr>
        <w:t>of</w:t>
      </w:r>
      <w:r>
        <w:rPr>
          <w:spacing w:val="8"/>
          <w:w w:val="110"/>
        </w:rPr>
        <w:t> </w:t>
      </w:r>
      <w:r>
        <w:rPr>
          <w:w w:val="110"/>
        </w:rPr>
        <w:t>services</w:t>
      </w:r>
      <w:r>
        <w:rPr>
          <w:spacing w:val="8"/>
          <w:w w:val="110"/>
        </w:rPr>
        <w:t> </w:t>
      </w:r>
      <w:r>
        <w:rPr>
          <w:w w:val="110"/>
        </w:rPr>
        <w:t>and</w:t>
      </w:r>
      <w:r>
        <w:rPr>
          <w:spacing w:val="8"/>
          <w:w w:val="110"/>
        </w:rPr>
        <w:t> </w:t>
      </w:r>
      <w:r>
        <w:rPr>
          <w:spacing w:val="-2"/>
          <w:w w:val="110"/>
        </w:rPr>
        <w:t>goods.</w:t>
      </w:r>
      <w:r>
        <w:rPr>
          <w:rFonts w:ascii="Lucida Sans Unicode"/>
          <w:spacing w:val="-2"/>
          <w:w w:val="110"/>
          <w:vertAlign w:val="superscript"/>
        </w:rPr>
        <w:t>306</w:t>
      </w:r>
    </w:p>
    <w:p>
      <w:pPr>
        <w:spacing w:after="0" w:line="364" w:lineRule="exact"/>
        <w:rPr>
          <w:rFonts w:ascii="Lucida Sans Unicode"/>
        </w:rPr>
        <w:sectPr>
          <w:type w:val="continuous"/>
          <w:pgSz w:w="11910" w:h="16840"/>
          <w:pgMar w:header="568" w:footer="580" w:top="0" w:bottom="280" w:left="1020" w:right="1020"/>
          <w:cols w:num="2" w:equalWidth="0">
            <w:col w:w="4582" w:space="464"/>
            <w:col w:w="4824"/>
          </w:cols>
        </w:sectPr>
      </w:pPr>
    </w:p>
    <w:p>
      <w:pPr>
        <w:pStyle w:val="BodyText"/>
        <w:spacing w:line="20" w:lineRule="exact"/>
        <w:rPr>
          <w:rFonts w:ascii="Lucida Sans Unicode"/>
          <w:sz w:val="2"/>
        </w:rPr>
      </w:pPr>
      <w:r>
        <w:rPr>
          <w:rFonts w:ascii="Lucida Sans Unicode"/>
          <w:sz w:val="2"/>
        </w:rPr>
        <mc:AlternateContent>
          <mc:Choice Requires="wps">
            <w:drawing>
              <wp:inline distT="0" distB="0" distL="0" distR="0">
                <wp:extent cx="6120130" cy="6350"/>
                <wp:effectExtent l="9525" t="0" r="0" b="3175"/>
                <wp:docPr id="186" name="Group 186"/>
                <wp:cNvGraphicFramePr>
                  <a:graphicFrameLocks/>
                </wp:cNvGraphicFramePr>
                <a:graphic>
                  <a:graphicData uri="http://schemas.microsoft.com/office/word/2010/wordprocessingGroup">
                    <wpg:wgp>
                      <wpg:cNvPr id="186" name="Group 186"/>
                      <wpg:cNvGrpSpPr/>
                      <wpg:grpSpPr>
                        <a:xfrm>
                          <a:off x="0" y="0"/>
                          <a:ext cx="6120130" cy="6350"/>
                          <a:chExt cx="6120130" cy="6350"/>
                        </a:xfrm>
                      </wpg:grpSpPr>
                      <wps:wsp>
                        <wps:cNvPr id="187" name="Graphic 187"/>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112" coordorigin="0,0" coordsize="9638,10">
                <v:line style="position:absolute" from="0,5" to="9638,5" stroked="true" strokeweight=".5pt" strokecolor="#77328a">
                  <v:stroke dashstyle="solid"/>
                </v:line>
              </v:group>
            </w:pict>
          </mc:Fallback>
        </mc:AlternateContent>
      </w:r>
      <w:r>
        <w:rPr>
          <w:rFonts w:ascii="Lucida Sans Unicode"/>
          <w:sz w:val="2"/>
        </w:rPr>
      </w:r>
    </w:p>
    <w:p>
      <w:pPr>
        <w:pStyle w:val="ListParagraph"/>
        <w:numPr>
          <w:ilvl w:val="0"/>
          <w:numId w:val="14"/>
        </w:numPr>
        <w:tabs>
          <w:tab w:pos="565" w:val="left" w:leader="none"/>
          <w:tab w:pos="567" w:val="left" w:leader="none"/>
        </w:tabs>
        <w:spacing w:line="194" w:lineRule="auto" w:before="193" w:after="0"/>
        <w:ind w:left="567" w:right="230" w:hanging="454"/>
        <w:jc w:val="left"/>
        <w:rPr>
          <w:sz w:val="16"/>
        </w:rPr>
      </w:pPr>
      <w:r>
        <w:rPr>
          <w:rFonts w:ascii="Arial"/>
          <w:w w:val="110"/>
          <w:sz w:val="16"/>
        </w:rPr>
        <w:t>European Commission, Proposal for a Council Directive on implementing the principle of equal treatment between </w:t>
      </w:r>
      <w:r>
        <w:rPr>
          <w:sz w:val="16"/>
        </w:rPr>
        <w:t>persons irrespective of religion or belief, disability, age or sexual orientation, COM(2008) 426 final.</w:t>
      </w:r>
    </w:p>
    <w:p>
      <w:pPr>
        <w:spacing w:after="0" w:line="194" w:lineRule="auto"/>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310" w:lineRule="exact" w:before="49"/>
        <w:ind w:right="254"/>
      </w:pPr>
      <w:r>
        <w:rPr>
          <w:w w:val="110"/>
        </w:rPr>
        <w:t>This would mean that the parallel prohibition of discrimination </w:t>
      </w:r>
      <w:r>
        <w:rPr>
          <w:rFonts w:ascii="Lucida Sans Unicode" w:hAnsi="Lucida Sans Unicode"/>
        </w:rPr>
        <w:t>contained</w:t>
      </w:r>
      <w:r>
        <w:rPr>
          <w:rFonts w:ascii="Lucida Sans Unicode" w:hAnsi="Lucida Sans Unicode"/>
          <w:spacing w:val="-3"/>
        </w:rPr>
        <w:t> </w:t>
      </w:r>
      <w:r>
        <w:rPr>
          <w:rFonts w:ascii="Lucida Sans Unicode" w:hAnsi="Lucida Sans Unicode"/>
        </w:rPr>
        <w:t>in</w:t>
      </w:r>
      <w:r>
        <w:rPr>
          <w:rFonts w:ascii="Lucida Sans Unicode" w:hAnsi="Lucida Sans Unicode"/>
          <w:spacing w:val="-3"/>
        </w:rPr>
        <w:t> </w:t>
      </w:r>
      <w:r>
        <w:rPr>
          <w:rFonts w:ascii="Lucida Sans Unicode" w:hAnsi="Lucida Sans Unicode"/>
        </w:rPr>
        <w:t>Article</w:t>
      </w:r>
      <w:r>
        <w:rPr>
          <w:rFonts w:ascii="Lucida Sans Unicode" w:hAnsi="Lucida Sans Unicode"/>
          <w:spacing w:val="-3"/>
        </w:rPr>
        <w:t> </w:t>
      </w:r>
      <w:r>
        <w:rPr>
          <w:rFonts w:ascii="Lucida Sans Unicode" w:hAnsi="Lucida Sans Unicode"/>
        </w:rPr>
        <w:t>21</w:t>
      </w:r>
      <w:r>
        <w:rPr>
          <w:rFonts w:ascii="Lucida Sans Unicode" w:hAnsi="Lucida Sans Unicode"/>
          <w:spacing w:val="-3"/>
        </w:rPr>
        <w:t> </w:t>
      </w:r>
      <w:r>
        <w:rPr>
          <w:rFonts w:ascii="Lucida Sans Unicode" w:hAnsi="Lucida Sans Unicode"/>
        </w:rPr>
        <w:t>of</w:t>
      </w:r>
      <w:r>
        <w:rPr>
          <w:rFonts w:ascii="Lucida Sans Unicode" w:hAnsi="Lucida Sans Unicode"/>
          <w:spacing w:val="-3"/>
        </w:rPr>
        <w:t> </w:t>
      </w:r>
      <w:r>
        <w:rPr>
          <w:rFonts w:ascii="Lucida Sans Unicode" w:hAnsi="Lucida Sans Unicode"/>
        </w:rPr>
        <w:t>the</w:t>
      </w:r>
      <w:r>
        <w:rPr>
          <w:rFonts w:ascii="Lucida Sans Unicode" w:hAnsi="Lucida Sans Unicode"/>
          <w:spacing w:val="-3"/>
        </w:rPr>
        <w:t> </w:t>
      </w:r>
      <w:r>
        <w:rPr>
          <w:rFonts w:ascii="Lucida Sans Unicode" w:hAnsi="Lucida Sans Unicode"/>
        </w:rPr>
        <w:t>Charter </w:t>
      </w:r>
      <w:r>
        <w:rPr>
          <w:w w:val="110"/>
        </w:rPr>
        <w:t>could be invoked in cases involving the provision of services and goods as well – a clear extension of the</w:t>
      </w:r>
    </w:p>
    <w:p>
      <w:pPr>
        <w:pStyle w:val="BodyText"/>
        <w:spacing w:line="268" w:lineRule="auto" w:before="23"/>
      </w:pPr>
      <w:r>
        <w:rPr>
          <w:w w:val="110"/>
        </w:rPr>
        <w:t>Charter’s reach in the Northern </w:t>
      </w:r>
      <w:r>
        <w:rPr>
          <w:w w:val="110"/>
        </w:rPr>
        <w:t>Ireland legal order.</w:t>
      </w:r>
    </w:p>
    <w:p>
      <w:pPr>
        <w:pStyle w:val="BodyText"/>
        <w:spacing w:before="26"/>
        <w:ind w:left="0"/>
      </w:pPr>
    </w:p>
    <w:p>
      <w:pPr>
        <w:pStyle w:val="BodyText"/>
        <w:spacing w:line="268" w:lineRule="auto"/>
        <w:ind w:right="124"/>
      </w:pPr>
      <w:r>
        <w:rPr>
          <w:w w:val="115"/>
        </w:rPr>
        <w:t>At the same time, it is important to recall</w:t>
      </w:r>
      <w:r>
        <w:rPr>
          <w:spacing w:val="-3"/>
          <w:w w:val="115"/>
        </w:rPr>
        <w:t> </w:t>
      </w:r>
      <w:r>
        <w:rPr>
          <w:w w:val="115"/>
        </w:rPr>
        <w:t>that</w:t>
      </w:r>
      <w:r>
        <w:rPr>
          <w:spacing w:val="-3"/>
          <w:w w:val="115"/>
        </w:rPr>
        <w:t> </w:t>
      </w:r>
      <w:r>
        <w:rPr>
          <w:w w:val="115"/>
        </w:rPr>
        <w:t>CJEU</w:t>
      </w:r>
      <w:r>
        <w:rPr>
          <w:spacing w:val="-3"/>
          <w:w w:val="115"/>
        </w:rPr>
        <w:t> </w:t>
      </w:r>
      <w:r>
        <w:rPr>
          <w:w w:val="115"/>
        </w:rPr>
        <w:t>case</w:t>
      </w:r>
      <w:r>
        <w:rPr>
          <w:spacing w:val="-3"/>
          <w:w w:val="115"/>
        </w:rPr>
        <w:t> </w:t>
      </w:r>
      <w:r>
        <w:rPr>
          <w:w w:val="115"/>
        </w:rPr>
        <w:t>law</w:t>
      </w:r>
      <w:r>
        <w:rPr>
          <w:spacing w:val="-3"/>
          <w:w w:val="115"/>
        </w:rPr>
        <w:t> </w:t>
      </w:r>
      <w:r>
        <w:rPr>
          <w:w w:val="115"/>
        </w:rPr>
        <w:t>changing </w:t>
      </w:r>
      <w:r>
        <w:rPr>
          <w:spacing w:val="-2"/>
          <w:w w:val="115"/>
        </w:rPr>
        <w:t>the</w:t>
      </w:r>
      <w:r>
        <w:rPr>
          <w:spacing w:val="-18"/>
          <w:w w:val="115"/>
        </w:rPr>
        <w:t> </w:t>
      </w:r>
      <w:r>
        <w:rPr>
          <w:spacing w:val="-2"/>
          <w:w w:val="115"/>
        </w:rPr>
        <w:t>perceived</w:t>
      </w:r>
      <w:r>
        <w:rPr>
          <w:spacing w:val="-17"/>
          <w:w w:val="115"/>
        </w:rPr>
        <w:t> </w:t>
      </w:r>
      <w:r>
        <w:rPr>
          <w:spacing w:val="-2"/>
          <w:w w:val="115"/>
        </w:rPr>
        <w:t>scope</w:t>
      </w:r>
      <w:r>
        <w:rPr>
          <w:spacing w:val="-17"/>
          <w:w w:val="115"/>
        </w:rPr>
        <w:t> </w:t>
      </w:r>
      <w:r>
        <w:rPr>
          <w:spacing w:val="-2"/>
          <w:w w:val="115"/>
        </w:rPr>
        <w:t>of</w:t>
      </w:r>
      <w:r>
        <w:rPr>
          <w:spacing w:val="-17"/>
          <w:w w:val="115"/>
        </w:rPr>
        <w:t> </w:t>
      </w:r>
      <w:r>
        <w:rPr>
          <w:spacing w:val="-2"/>
          <w:w w:val="115"/>
        </w:rPr>
        <w:t>EU</w:t>
      </w:r>
      <w:r>
        <w:rPr>
          <w:spacing w:val="-17"/>
          <w:w w:val="115"/>
        </w:rPr>
        <w:t> </w:t>
      </w:r>
      <w:r>
        <w:rPr>
          <w:spacing w:val="-2"/>
          <w:w w:val="115"/>
        </w:rPr>
        <w:t>measures </w:t>
      </w:r>
      <w:r>
        <w:rPr>
          <w:w w:val="110"/>
        </w:rPr>
        <w:t>is</w:t>
      </w:r>
      <w:r>
        <w:rPr>
          <w:spacing w:val="-16"/>
          <w:w w:val="110"/>
        </w:rPr>
        <w:t> </w:t>
      </w:r>
      <w:r>
        <w:rPr>
          <w:w w:val="110"/>
        </w:rPr>
        <w:t>also</w:t>
      </w:r>
      <w:r>
        <w:rPr>
          <w:spacing w:val="-16"/>
          <w:w w:val="110"/>
        </w:rPr>
        <w:t> </w:t>
      </w:r>
      <w:r>
        <w:rPr>
          <w:w w:val="110"/>
        </w:rPr>
        <w:t>relevant</w:t>
      </w:r>
      <w:r>
        <w:rPr>
          <w:spacing w:val="-16"/>
          <w:w w:val="110"/>
        </w:rPr>
        <w:t> </w:t>
      </w:r>
      <w:r>
        <w:rPr>
          <w:w w:val="110"/>
        </w:rPr>
        <w:t>to</w:t>
      </w:r>
      <w:r>
        <w:rPr>
          <w:spacing w:val="-16"/>
          <w:w w:val="110"/>
        </w:rPr>
        <w:t> </w:t>
      </w:r>
      <w:r>
        <w:rPr>
          <w:w w:val="110"/>
        </w:rPr>
        <w:t>annexed</w:t>
      </w:r>
      <w:r>
        <w:rPr>
          <w:spacing w:val="-16"/>
          <w:w w:val="110"/>
        </w:rPr>
        <w:t> </w:t>
      </w:r>
      <w:r>
        <w:rPr>
          <w:w w:val="110"/>
        </w:rPr>
        <w:t>measures, </w:t>
      </w:r>
      <w:r>
        <w:rPr>
          <w:w w:val="115"/>
        </w:rPr>
        <w:t>even in the absence of legislative changes. Dynamic alignment</w:t>
      </w:r>
    </w:p>
    <w:p>
      <w:pPr>
        <w:pStyle w:val="BodyText"/>
        <w:spacing w:line="264" w:lineRule="auto" w:before="5"/>
        <w:ind w:right="667"/>
      </w:pPr>
      <w:r>
        <w:rPr>
          <w:w w:val="110"/>
        </w:rPr>
        <w:t>around the six Annex </w:t>
      </w:r>
      <w:r>
        <w:rPr/>
        <w:t>1 </w:t>
      </w:r>
      <w:r>
        <w:rPr>
          <w:w w:val="110"/>
        </w:rPr>
        <w:t>directives </w:t>
      </w:r>
      <w:r>
        <w:rPr>
          <w:rFonts w:ascii="Verdana"/>
          <w:i/>
        </w:rPr>
        <w:t>automatically </w:t>
      </w:r>
      <w:r>
        <w:rPr/>
        <w:t>tracks the </w:t>
      </w:r>
      <w:r>
        <w:rPr/>
        <w:t>evolution</w:t>
      </w:r>
      <w:r>
        <w:rPr>
          <w:spacing w:val="40"/>
          <w:w w:val="110"/>
        </w:rPr>
        <w:t> </w:t>
      </w:r>
      <w:r>
        <w:rPr>
          <w:w w:val="110"/>
        </w:rPr>
        <w:t>of</w:t>
      </w:r>
      <w:r>
        <w:rPr>
          <w:spacing w:val="40"/>
          <w:w w:val="110"/>
        </w:rPr>
        <w:t> </w:t>
      </w:r>
      <w:r>
        <w:rPr>
          <w:w w:val="110"/>
        </w:rPr>
        <w:t>these</w:t>
      </w:r>
      <w:r>
        <w:rPr>
          <w:spacing w:val="40"/>
          <w:w w:val="110"/>
        </w:rPr>
        <w:t> </w:t>
      </w:r>
      <w:r>
        <w:rPr>
          <w:w w:val="110"/>
        </w:rPr>
        <w:t>directives,</w:t>
      </w:r>
      <w:r>
        <w:rPr>
          <w:spacing w:val="40"/>
          <w:w w:val="110"/>
        </w:rPr>
        <w:t> </w:t>
      </w:r>
      <w:r>
        <w:rPr>
          <w:w w:val="110"/>
        </w:rPr>
        <w:t>including</w:t>
      </w:r>
      <w:r>
        <w:rPr>
          <w:spacing w:val="80"/>
          <w:w w:val="110"/>
        </w:rPr>
        <w:t> </w:t>
      </w:r>
      <w:r>
        <w:rPr>
          <w:w w:val="110"/>
        </w:rPr>
        <w:t>their amendment (to any extent</w:t>
      </w:r>
    </w:p>
    <w:p>
      <w:pPr>
        <w:pStyle w:val="BodyText"/>
        <w:spacing w:line="252" w:lineRule="auto" w:before="8"/>
        <w:ind w:right="98"/>
      </w:pPr>
      <w:r>
        <w:rPr>
          <w:spacing w:val="-2"/>
          <w:w w:val="115"/>
        </w:rPr>
        <w:t>whatsoever)</w:t>
      </w:r>
      <w:r>
        <w:rPr>
          <w:spacing w:val="-18"/>
          <w:w w:val="115"/>
        </w:rPr>
        <w:t> </w:t>
      </w:r>
      <w:r>
        <w:rPr>
          <w:spacing w:val="-2"/>
          <w:w w:val="115"/>
        </w:rPr>
        <w:t>or</w:t>
      </w:r>
      <w:r>
        <w:rPr>
          <w:spacing w:val="-17"/>
          <w:w w:val="115"/>
        </w:rPr>
        <w:t> </w:t>
      </w:r>
      <w:r>
        <w:rPr>
          <w:spacing w:val="-2"/>
          <w:w w:val="115"/>
        </w:rPr>
        <w:t>replacement</w:t>
      </w:r>
      <w:r>
        <w:rPr>
          <w:spacing w:val="-17"/>
          <w:w w:val="115"/>
        </w:rPr>
        <w:t> </w:t>
      </w:r>
      <w:r>
        <w:rPr>
          <w:spacing w:val="-2"/>
          <w:w w:val="115"/>
        </w:rPr>
        <w:t>and</w:t>
      </w:r>
      <w:r>
        <w:rPr>
          <w:spacing w:val="-17"/>
          <w:w w:val="115"/>
        </w:rPr>
        <w:t> </w:t>
      </w:r>
      <w:r>
        <w:rPr>
          <w:spacing w:val="-2"/>
          <w:w w:val="115"/>
        </w:rPr>
        <w:t>any </w:t>
      </w:r>
      <w:r>
        <w:rPr>
          <w:w w:val="115"/>
        </w:rPr>
        <w:t>change</w:t>
      </w:r>
      <w:r>
        <w:rPr>
          <w:spacing w:val="-8"/>
          <w:w w:val="115"/>
        </w:rPr>
        <w:t> </w:t>
      </w:r>
      <w:r>
        <w:rPr>
          <w:w w:val="115"/>
        </w:rPr>
        <w:t>to</w:t>
      </w:r>
      <w:r>
        <w:rPr>
          <w:spacing w:val="-8"/>
          <w:w w:val="115"/>
        </w:rPr>
        <w:t> </w:t>
      </w:r>
      <w:r>
        <w:rPr>
          <w:w w:val="115"/>
        </w:rPr>
        <w:t>the</w:t>
      </w:r>
      <w:r>
        <w:rPr>
          <w:spacing w:val="-8"/>
          <w:w w:val="115"/>
        </w:rPr>
        <w:t> </w:t>
      </w:r>
      <w:r>
        <w:rPr>
          <w:w w:val="115"/>
        </w:rPr>
        <w:t>case</w:t>
      </w:r>
      <w:r>
        <w:rPr>
          <w:spacing w:val="-8"/>
          <w:w w:val="115"/>
        </w:rPr>
        <w:t> </w:t>
      </w:r>
      <w:r>
        <w:rPr>
          <w:w w:val="115"/>
        </w:rPr>
        <w:t>law</w:t>
      </w:r>
      <w:r>
        <w:rPr>
          <w:spacing w:val="-8"/>
          <w:w w:val="115"/>
        </w:rPr>
        <w:t> </w:t>
      </w:r>
      <w:r>
        <w:rPr>
          <w:w w:val="115"/>
        </w:rPr>
        <w:t>of</w:t>
      </w:r>
      <w:r>
        <w:rPr>
          <w:spacing w:val="-8"/>
          <w:w w:val="115"/>
        </w:rPr>
        <w:t> </w:t>
      </w:r>
      <w:r>
        <w:rPr>
          <w:w w:val="115"/>
        </w:rPr>
        <w:t>the</w:t>
      </w:r>
      <w:r>
        <w:rPr>
          <w:spacing w:val="-8"/>
          <w:w w:val="115"/>
        </w:rPr>
        <w:t> </w:t>
      </w:r>
      <w:r>
        <w:rPr>
          <w:w w:val="115"/>
        </w:rPr>
        <w:t>CJEU concerning</w:t>
      </w:r>
      <w:r>
        <w:rPr>
          <w:spacing w:val="-12"/>
          <w:w w:val="115"/>
        </w:rPr>
        <w:t> </w:t>
      </w:r>
      <w:r>
        <w:rPr>
          <w:w w:val="115"/>
        </w:rPr>
        <w:t>these</w:t>
      </w:r>
      <w:r>
        <w:rPr>
          <w:spacing w:val="-12"/>
          <w:w w:val="115"/>
        </w:rPr>
        <w:t> </w:t>
      </w:r>
      <w:r>
        <w:rPr>
          <w:w w:val="115"/>
        </w:rPr>
        <w:t>directives.</w:t>
      </w:r>
      <w:r>
        <w:rPr>
          <w:rFonts w:ascii="Lucida Sans Unicode"/>
          <w:w w:val="115"/>
          <w:vertAlign w:val="superscript"/>
        </w:rPr>
        <w:t>307</w:t>
      </w:r>
      <w:r>
        <w:rPr>
          <w:rFonts w:ascii="Lucida Sans Unicode"/>
          <w:spacing w:val="-22"/>
          <w:w w:val="115"/>
          <w:vertAlign w:val="baseline"/>
        </w:rPr>
        <w:t> </w:t>
      </w:r>
      <w:r>
        <w:rPr>
          <w:w w:val="115"/>
          <w:vertAlign w:val="baseline"/>
        </w:rPr>
        <w:t>For</w:t>
      </w:r>
    </w:p>
    <w:p>
      <w:pPr>
        <w:pStyle w:val="BodyText"/>
        <w:spacing w:line="239" w:lineRule="exact"/>
      </w:pPr>
      <w:r>
        <w:rPr>
          <w:w w:val="115"/>
        </w:rPr>
        <w:t>example,</w:t>
      </w:r>
      <w:r>
        <w:rPr>
          <w:spacing w:val="-13"/>
          <w:w w:val="115"/>
        </w:rPr>
        <w:t> </w:t>
      </w:r>
      <w:r>
        <w:rPr>
          <w:w w:val="115"/>
        </w:rPr>
        <w:t>it</w:t>
      </w:r>
      <w:r>
        <w:rPr>
          <w:spacing w:val="-13"/>
          <w:w w:val="115"/>
        </w:rPr>
        <w:t> </w:t>
      </w:r>
      <w:r>
        <w:rPr>
          <w:w w:val="115"/>
        </w:rPr>
        <w:t>is</w:t>
      </w:r>
      <w:r>
        <w:rPr>
          <w:spacing w:val="-12"/>
          <w:w w:val="115"/>
        </w:rPr>
        <w:t> </w:t>
      </w:r>
      <w:r>
        <w:rPr>
          <w:w w:val="115"/>
        </w:rPr>
        <w:t>noteworthy</w:t>
      </w:r>
      <w:r>
        <w:rPr>
          <w:spacing w:val="-13"/>
          <w:w w:val="115"/>
        </w:rPr>
        <w:t> </w:t>
      </w:r>
      <w:r>
        <w:rPr>
          <w:w w:val="115"/>
        </w:rPr>
        <w:t>that</w:t>
      </w:r>
      <w:r>
        <w:rPr>
          <w:spacing w:val="-12"/>
          <w:w w:val="115"/>
        </w:rPr>
        <w:t> </w:t>
      </w:r>
      <w:r>
        <w:rPr>
          <w:spacing w:val="-4"/>
          <w:w w:val="115"/>
        </w:rPr>
        <w:t>CJEU</w:t>
      </w:r>
    </w:p>
    <w:p>
      <w:pPr>
        <w:pStyle w:val="BodyText"/>
        <w:spacing w:line="252" w:lineRule="auto" w:before="34"/>
        <w:ind w:right="336"/>
        <w:rPr>
          <w:rFonts w:ascii="Lucida Sans Unicode"/>
        </w:rPr>
      </w:pPr>
      <w:r>
        <w:rPr>
          <w:w w:val="110"/>
        </w:rPr>
        <w:t>case</w:t>
      </w:r>
      <w:r>
        <w:rPr>
          <w:spacing w:val="-5"/>
          <w:w w:val="110"/>
        </w:rPr>
        <w:t> </w:t>
      </w:r>
      <w:r>
        <w:rPr>
          <w:w w:val="110"/>
        </w:rPr>
        <w:t>law</w:t>
      </w:r>
      <w:r>
        <w:rPr>
          <w:spacing w:val="-5"/>
          <w:w w:val="110"/>
        </w:rPr>
        <w:t> </w:t>
      </w:r>
      <w:r>
        <w:rPr>
          <w:w w:val="110"/>
        </w:rPr>
        <w:t>has</w:t>
      </w:r>
      <w:r>
        <w:rPr>
          <w:spacing w:val="-5"/>
          <w:w w:val="110"/>
        </w:rPr>
        <w:t> </w:t>
      </w:r>
      <w:r>
        <w:rPr>
          <w:w w:val="110"/>
        </w:rPr>
        <w:t>made</w:t>
      </w:r>
      <w:r>
        <w:rPr>
          <w:spacing w:val="-5"/>
          <w:w w:val="110"/>
        </w:rPr>
        <w:t> </w:t>
      </w:r>
      <w:r>
        <w:rPr>
          <w:w w:val="110"/>
        </w:rPr>
        <w:t>leaps</w:t>
      </w:r>
      <w:r>
        <w:rPr>
          <w:spacing w:val="-5"/>
          <w:w w:val="110"/>
        </w:rPr>
        <w:t> </w:t>
      </w:r>
      <w:r>
        <w:rPr>
          <w:w w:val="110"/>
        </w:rPr>
        <w:t>in</w:t>
      </w:r>
      <w:r>
        <w:rPr>
          <w:spacing w:val="-5"/>
          <w:w w:val="110"/>
        </w:rPr>
        <w:t> </w:t>
      </w:r>
      <w:r>
        <w:rPr>
          <w:w w:val="110"/>
        </w:rPr>
        <w:t>terms</w:t>
      </w:r>
      <w:r>
        <w:rPr>
          <w:spacing w:val="-5"/>
          <w:w w:val="110"/>
        </w:rPr>
        <w:t> </w:t>
      </w:r>
      <w:r>
        <w:rPr>
          <w:w w:val="110"/>
        </w:rPr>
        <w:t>of the</w:t>
      </w:r>
      <w:r>
        <w:rPr>
          <w:spacing w:val="40"/>
          <w:w w:val="110"/>
        </w:rPr>
        <w:t> </w:t>
      </w:r>
      <w:r>
        <w:rPr>
          <w:w w:val="110"/>
        </w:rPr>
        <w:t>interpretation</w:t>
      </w:r>
      <w:r>
        <w:rPr>
          <w:spacing w:val="40"/>
          <w:w w:val="110"/>
        </w:rPr>
        <w:t> </w:t>
      </w:r>
      <w:r>
        <w:rPr>
          <w:w w:val="110"/>
        </w:rPr>
        <w:t>of</w:t>
      </w:r>
      <w:r>
        <w:rPr>
          <w:spacing w:val="40"/>
          <w:w w:val="110"/>
        </w:rPr>
        <w:t> </w:t>
      </w:r>
      <w:r>
        <w:rPr>
          <w:w w:val="110"/>
        </w:rPr>
        <w:t>worker</w:t>
      </w:r>
      <w:r>
        <w:rPr>
          <w:spacing w:val="40"/>
          <w:w w:val="110"/>
        </w:rPr>
        <w:t> </w:t>
      </w:r>
      <w:r>
        <w:rPr>
          <w:w w:val="110"/>
        </w:rPr>
        <w:t>status </w:t>
      </w:r>
      <w:r>
        <w:rPr>
          <w:rFonts w:ascii="Lucida Sans Unicode"/>
        </w:rPr>
        <w:t>in Directive 2000/78/EC in the last</w:t>
      </w:r>
    </w:p>
    <w:p>
      <w:pPr>
        <w:pStyle w:val="BodyText"/>
        <w:spacing w:line="239" w:lineRule="exact"/>
      </w:pPr>
      <w:r>
        <w:rPr>
          <w:spacing w:val="-2"/>
          <w:w w:val="115"/>
        </w:rPr>
        <w:t>two</w:t>
      </w:r>
      <w:r>
        <w:rPr>
          <w:spacing w:val="-13"/>
          <w:w w:val="115"/>
        </w:rPr>
        <w:t> </w:t>
      </w:r>
      <w:r>
        <w:rPr>
          <w:spacing w:val="-2"/>
          <w:w w:val="115"/>
        </w:rPr>
        <w:t>years,</w:t>
      </w:r>
      <w:r>
        <w:rPr>
          <w:spacing w:val="-13"/>
          <w:w w:val="115"/>
        </w:rPr>
        <w:t> </w:t>
      </w:r>
      <w:r>
        <w:rPr>
          <w:spacing w:val="-2"/>
          <w:w w:val="115"/>
        </w:rPr>
        <w:t>which</w:t>
      </w:r>
      <w:r>
        <w:rPr>
          <w:spacing w:val="-12"/>
          <w:w w:val="115"/>
        </w:rPr>
        <w:t> </w:t>
      </w:r>
      <w:r>
        <w:rPr>
          <w:spacing w:val="-2"/>
          <w:w w:val="115"/>
        </w:rPr>
        <w:t>should</w:t>
      </w:r>
      <w:r>
        <w:rPr>
          <w:spacing w:val="-13"/>
          <w:w w:val="115"/>
        </w:rPr>
        <w:t> </w:t>
      </w:r>
      <w:r>
        <w:rPr>
          <w:spacing w:val="-2"/>
          <w:w w:val="115"/>
        </w:rPr>
        <w:t>be</w:t>
      </w:r>
      <w:r>
        <w:rPr>
          <w:spacing w:val="-12"/>
          <w:w w:val="115"/>
        </w:rPr>
        <w:t> </w:t>
      </w:r>
      <w:r>
        <w:rPr>
          <w:spacing w:val="-2"/>
          <w:w w:val="115"/>
        </w:rPr>
        <w:t>taken</w:t>
      </w:r>
      <w:r>
        <w:rPr>
          <w:spacing w:val="-13"/>
          <w:w w:val="115"/>
        </w:rPr>
        <w:t> </w:t>
      </w:r>
      <w:r>
        <w:rPr>
          <w:spacing w:val="-4"/>
          <w:w w:val="115"/>
        </w:rPr>
        <w:t>into</w:t>
      </w:r>
    </w:p>
    <w:p>
      <w:pPr>
        <w:spacing w:line="256" w:lineRule="auto" w:before="34"/>
        <w:ind w:left="113" w:right="520" w:firstLine="0"/>
        <w:jc w:val="left"/>
        <w:rPr>
          <w:rFonts w:ascii="Lucida Sans Unicode" w:hAnsi="Lucida Sans Unicode"/>
          <w:sz w:val="24"/>
        </w:rPr>
      </w:pPr>
      <w:r>
        <w:rPr>
          <w:w w:val="110"/>
          <w:sz w:val="24"/>
        </w:rPr>
        <w:t>account in applying that directive. </w:t>
      </w:r>
      <w:r>
        <w:rPr>
          <w:sz w:val="24"/>
        </w:rPr>
        <w:t>In both </w:t>
      </w:r>
      <w:r>
        <w:rPr>
          <w:rFonts w:ascii="Verdana" w:hAnsi="Verdana"/>
          <w:i/>
          <w:sz w:val="24"/>
        </w:rPr>
        <w:t>TP « (Monteur audiovisuel</w:t>
      </w:r>
      <w:r>
        <w:rPr>
          <w:rFonts w:ascii="Verdana" w:hAnsi="Verdana"/>
          <w:i/>
          <w:sz w:val="24"/>
        </w:rPr>
        <w:t> pour la télévision publique)» </w:t>
      </w:r>
      <w:r>
        <w:rPr>
          <w:sz w:val="24"/>
        </w:rPr>
        <w:t>and </w:t>
      </w:r>
      <w:r>
        <w:rPr>
          <w:rFonts w:ascii="Verdana" w:hAnsi="Verdana"/>
          <w:i/>
          <w:sz w:val="24"/>
        </w:rPr>
        <w:t>HK v Danmark and HK/Privat, </w:t>
      </w:r>
      <w:r>
        <w:rPr>
          <w:sz w:val="24"/>
        </w:rPr>
        <w:t>the </w:t>
      </w:r>
      <w:r>
        <w:rPr>
          <w:w w:val="110"/>
          <w:sz w:val="24"/>
        </w:rPr>
        <w:t>CJEU read the application of the directive</w:t>
      </w:r>
      <w:r>
        <w:rPr>
          <w:spacing w:val="40"/>
          <w:w w:val="110"/>
          <w:sz w:val="24"/>
        </w:rPr>
        <w:t> </w:t>
      </w:r>
      <w:r>
        <w:rPr>
          <w:w w:val="110"/>
          <w:sz w:val="24"/>
        </w:rPr>
        <w:t>to</w:t>
      </w:r>
      <w:r>
        <w:rPr>
          <w:spacing w:val="40"/>
          <w:w w:val="110"/>
          <w:sz w:val="24"/>
        </w:rPr>
        <w:t> </w:t>
      </w:r>
      <w:r>
        <w:rPr>
          <w:w w:val="110"/>
          <w:sz w:val="24"/>
        </w:rPr>
        <w:t>workers</w:t>
      </w:r>
      <w:r>
        <w:rPr>
          <w:spacing w:val="40"/>
          <w:w w:val="110"/>
          <w:sz w:val="24"/>
        </w:rPr>
        <w:t> </w:t>
      </w:r>
      <w:r>
        <w:rPr>
          <w:w w:val="110"/>
          <w:sz w:val="24"/>
        </w:rPr>
        <w:t>broadly,</w:t>
      </w:r>
      <w:r>
        <w:rPr>
          <w:spacing w:val="40"/>
          <w:w w:val="110"/>
          <w:sz w:val="24"/>
        </w:rPr>
        <w:t> </w:t>
      </w:r>
      <w:r>
        <w:rPr>
          <w:w w:val="110"/>
          <w:sz w:val="24"/>
        </w:rPr>
        <w:t>in </w:t>
      </w:r>
      <w:r>
        <w:rPr>
          <w:rFonts w:ascii="Lucida Sans Unicode" w:hAnsi="Lucida Sans Unicode"/>
          <w:sz w:val="24"/>
        </w:rPr>
        <w:t>the light of Article 21 CFR, </w:t>
      </w:r>
      <w:r>
        <w:rPr>
          <w:rFonts w:ascii="Lucida Sans Unicode" w:hAnsi="Lucida Sans Unicode"/>
          <w:sz w:val="24"/>
        </w:rPr>
        <w:t>thereby</w:t>
      </w:r>
    </w:p>
    <w:p>
      <w:pPr>
        <w:pStyle w:val="BodyText"/>
        <w:spacing w:line="228" w:lineRule="exact"/>
      </w:pPr>
      <w:r>
        <w:rPr>
          <w:spacing w:val="-2"/>
          <w:w w:val="115"/>
        </w:rPr>
        <w:t>extending</w:t>
      </w:r>
      <w:r>
        <w:rPr>
          <w:spacing w:val="-8"/>
          <w:w w:val="115"/>
        </w:rPr>
        <w:t> </w:t>
      </w:r>
      <w:r>
        <w:rPr>
          <w:spacing w:val="-2"/>
          <w:w w:val="115"/>
        </w:rPr>
        <w:t>the</w:t>
      </w:r>
      <w:r>
        <w:rPr>
          <w:spacing w:val="-8"/>
          <w:w w:val="115"/>
        </w:rPr>
        <w:t> </w:t>
      </w:r>
      <w:r>
        <w:rPr>
          <w:spacing w:val="-2"/>
          <w:w w:val="115"/>
        </w:rPr>
        <w:t>directive’s</w:t>
      </w:r>
      <w:r>
        <w:rPr>
          <w:spacing w:val="-8"/>
          <w:w w:val="115"/>
        </w:rPr>
        <w:t> </w:t>
      </w:r>
      <w:r>
        <w:rPr>
          <w:spacing w:val="-2"/>
          <w:w w:val="115"/>
        </w:rPr>
        <w:t>protection</w:t>
      </w:r>
    </w:p>
    <w:p>
      <w:pPr>
        <w:pStyle w:val="BodyText"/>
        <w:spacing w:line="268" w:lineRule="auto" w:before="34"/>
        <w:ind w:right="421"/>
      </w:pPr>
      <w:r>
        <w:rPr>
          <w:w w:val="115"/>
        </w:rPr>
        <w:t>of</w:t>
      </w:r>
      <w:r>
        <w:rPr>
          <w:spacing w:val="-20"/>
          <w:w w:val="115"/>
        </w:rPr>
        <w:t> </w:t>
      </w:r>
      <w:r>
        <w:rPr>
          <w:w w:val="115"/>
        </w:rPr>
        <w:t>sexual</w:t>
      </w:r>
      <w:r>
        <w:rPr>
          <w:spacing w:val="-19"/>
          <w:w w:val="115"/>
        </w:rPr>
        <w:t> </w:t>
      </w:r>
      <w:r>
        <w:rPr>
          <w:w w:val="115"/>
        </w:rPr>
        <w:t>orientation</w:t>
      </w:r>
      <w:r>
        <w:rPr>
          <w:spacing w:val="-19"/>
          <w:w w:val="115"/>
        </w:rPr>
        <w:t> </w:t>
      </w:r>
      <w:r>
        <w:rPr>
          <w:w w:val="115"/>
        </w:rPr>
        <w:t>discrimination to some self-employed contract workers (albeit not to all providers</w:t>
      </w:r>
    </w:p>
    <w:p>
      <w:pPr>
        <w:pStyle w:val="BodyText"/>
        <w:spacing w:line="310" w:lineRule="exact" w:before="49"/>
        <w:ind w:right="317"/>
      </w:pPr>
      <w:r>
        <w:rPr/>
        <w:br w:type="column"/>
      </w:r>
      <w:r>
        <w:rPr>
          <w:w w:val="115"/>
        </w:rPr>
        <w:t>of</w:t>
      </w:r>
      <w:r>
        <w:rPr>
          <w:spacing w:val="-12"/>
          <w:w w:val="115"/>
        </w:rPr>
        <w:t> </w:t>
      </w:r>
      <w:r>
        <w:rPr>
          <w:w w:val="115"/>
        </w:rPr>
        <w:t>goods</w:t>
      </w:r>
      <w:r>
        <w:rPr>
          <w:spacing w:val="-12"/>
          <w:w w:val="115"/>
        </w:rPr>
        <w:t> </w:t>
      </w:r>
      <w:r>
        <w:rPr>
          <w:w w:val="115"/>
        </w:rPr>
        <w:t>and</w:t>
      </w:r>
      <w:r>
        <w:rPr>
          <w:spacing w:val="-12"/>
          <w:w w:val="115"/>
        </w:rPr>
        <w:t> </w:t>
      </w:r>
      <w:r>
        <w:rPr>
          <w:w w:val="115"/>
        </w:rPr>
        <w:t>services).</w:t>
      </w:r>
      <w:r>
        <w:rPr>
          <w:rFonts w:ascii="Lucida Sans Unicode"/>
          <w:w w:val="115"/>
          <w:vertAlign w:val="superscript"/>
        </w:rPr>
        <w:t>308</w:t>
      </w:r>
      <w:r>
        <w:rPr>
          <w:rFonts w:ascii="Lucida Sans Unicode"/>
          <w:spacing w:val="-22"/>
          <w:w w:val="115"/>
          <w:vertAlign w:val="baseline"/>
        </w:rPr>
        <w:t> </w:t>
      </w:r>
      <w:r>
        <w:rPr>
          <w:w w:val="115"/>
          <w:vertAlign w:val="baseline"/>
        </w:rPr>
        <w:t>This means that, even though Directive </w:t>
      </w:r>
      <w:r>
        <w:rPr>
          <w:rFonts w:ascii="Lucida Sans Unicode"/>
          <w:vertAlign w:val="baseline"/>
        </w:rPr>
        <w:t>2000/78/EC has not been </w:t>
      </w:r>
      <w:r>
        <w:rPr>
          <w:rFonts w:ascii="Lucida Sans Unicode"/>
          <w:vertAlign w:val="baseline"/>
        </w:rPr>
        <w:t>amended, </w:t>
      </w:r>
      <w:r>
        <w:rPr>
          <w:w w:val="115"/>
          <w:vertAlign w:val="baseline"/>
        </w:rPr>
        <w:t>the dynamic alignment obligation requires that we take into account relevant interpretations of the case law that read that directive in the light of fundamental rights, even</w:t>
      </w:r>
    </w:p>
    <w:p>
      <w:pPr>
        <w:pStyle w:val="BodyText"/>
        <w:spacing w:line="268" w:lineRule="auto" w:before="23"/>
        <w:ind w:right="317"/>
      </w:pPr>
      <w:r>
        <w:rPr>
          <w:w w:val="115"/>
        </w:rPr>
        <w:t>if that case law is subsequent to Brexit. The need for tracking EU </w:t>
      </w:r>
      <w:r>
        <w:rPr>
          <w:w w:val="110"/>
        </w:rPr>
        <w:t>case</w:t>
      </w:r>
      <w:r>
        <w:rPr>
          <w:spacing w:val="-5"/>
          <w:w w:val="110"/>
        </w:rPr>
        <w:t> </w:t>
      </w:r>
      <w:r>
        <w:rPr>
          <w:w w:val="110"/>
        </w:rPr>
        <w:t>law</w:t>
      </w:r>
      <w:r>
        <w:rPr>
          <w:spacing w:val="-5"/>
          <w:w w:val="110"/>
        </w:rPr>
        <w:t> </w:t>
      </w:r>
      <w:r>
        <w:rPr>
          <w:w w:val="110"/>
        </w:rPr>
        <w:t>developments</w:t>
      </w:r>
      <w:r>
        <w:rPr>
          <w:spacing w:val="-5"/>
          <w:w w:val="110"/>
        </w:rPr>
        <w:t> </w:t>
      </w:r>
      <w:r>
        <w:rPr>
          <w:w w:val="110"/>
        </w:rPr>
        <w:t>has</w:t>
      </w:r>
      <w:r>
        <w:rPr>
          <w:spacing w:val="-5"/>
          <w:w w:val="110"/>
        </w:rPr>
        <w:t> </w:t>
      </w:r>
      <w:r>
        <w:rPr>
          <w:w w:val="110"/>
        </w:rPr>
        <w:t>already </w:t>
      </w:r>
      <w:r>
        <w:rPr>
          <w:w w:val="115"/>
        </w:rPr>
        <w:t>been</w:t>
      </w:r>
      <w:r>
        <w:rPr>
          <w:spacing w:val="-7"/>
          <w:w w:val="115"/>
        </w:rPr>
        <w:t> </w:t>
      </w:r>
      <w:r>
        <w:rPr>
          <w:w w:val="115"/>
        </w:rPr>
        <w:t>recognised</w:t>
      </w:r>
      <w:r>
        <w:rPr>
          <w:spacing w:val="-7"/>
          <w:w w:val="115"/>
        </w:rPr>
        <w:t> </w:t>
      </w:r>
      <w:r>
        <w:rPr>
          <w:w w:val="115"/>
        </w:rPr>
        <w:t>by</w:t>
      </w:r>
      <w:r>
        <w:rPr>
          <w:spacing w:val="-7"/>
          <w:w w:val="115"/>
        </w:rPr>
        <w:t> </w:t>
      </w:r>
      <w:r>
        <w:rPr>
          <w:w w:val="115"/>
        </w:rPr>
        <w:t>the</w:t>
      </w:r>
      <w:r>
        <w:rPr>
          <w:spacing w:val="-7"/>
          <w:w w:val="115"/>
        </w:rPr>
        <w:t> </w:t>
      </w:r>
      <w:r>
        <w:rPr>
          <w:w w:val="115"/>
        </w:rPr>
        <w:t>Dedicated Mechanism and it is positive that</w:t>
      </w:r>
    </w:p>
    <w:p>
      <w:pPr>
        <w:pStyle w:val="BodyText"/>
        <w:spacing w:line="230" w:lineRule="auto" w:before="14"/>
        <w:ind w:right="242"/>
      </w:pPr>
      <w:r>
        <w:rPr>
          <w:w w:val="110"/>
        </w:rPr>
        <w:t>large-scale tracking has already </w:t>
      </w:r>
      <w:r>
        <w:rPr>
          <w:w w:val="110"/>
        </w:rPr>
        <w:t>been </w:t>
      </w:r>
      <w:r>
        <w:rPr>
          <w:w w:val="115"/>
        </w:rPr>
        <w:t>taking</w:t>
      </w:r>
      <w:r>
        <w:rPr>
          <w:spacing w:val="-2"/>
          <w:w w:val="115"/>
        </w:rPr>
        <w:t> </w:t>
      </w:r>
      <w:r>
        <w:rPr>
          <w:w w:val="115"/>
        </w:rPr>
        <w:t>place</w:t>
      </w:r>
      <w:r>
        <w:rPr>
          <w:spacing w:val="-2"/>
          <w:w w:val="115"/>
        </w:rPr>
        <w:t> </w:t>
      </w:r>
      <w:r>
        <w:rPr>
          <w:w w:val="115"/>
        </w:rPr>
        <w:t>in</w:t>
      </w:r>
      <w:r>
        <w:rPr>
          <w:spacing w:val="-2"/>
          <w:w w:val="115"/>
        </w:rPr>
        <w:t> </w:t>
      </w:r>
      <w:r>
        <w:rPr>
          <w:w w:val="115"/>
        </w:rPr>
        <w:t>Northern</w:t>
      </w:r>
      <w:r>
        <w:rPr>
          <w:spacing w:val="-2"/>
          <w:w w:val="115"/>
        </w:rPr>
        <w:t> </w:t>
      </w:r>
      <w:r>
        <w:rPr>
          <w:w w:val="115"/>
        </w:rPr>
        <w:t>Ireland.</w:t>
      </w:r>
      <w:r>
        <w:rPr>
          <w:rFonts w:ascii="Lucida Sans Unicode"/>
          <w:w w:val="115"/>
          <w:vertAlign w:val="superscript"/>
        </w:rPr>
        <w:t>309</w:t>
      </w:r>
      <w:r>
        <w:rPr>
          <w:rFonts w:ascii="Lucida Sans Unicode"/>
          <w:w w:val="115"/>
          <w:vertAlign w:val="baseline"/>
        </w:rPr>
        <w:t> </w:t>
      </w:r>
      <w:r>
        <w:rPr>
          <w:w w:val="115"/>
          <w:vertAlign w:val="baseline"/>
        </w:rPr>
        <w:t>Indeed, it stems from that analysis</w:t>
      </w:r>
    </w:p>
    <w:p>
      <w:pPr>
        <w:pStyle w:val="BodyText"/>
        <w:spacing w:line="268" w:lineRule="auto" w:before="37"/>
        <w:ind w:right="147"/>
      </w:pPr>
      <w:r>
        <w:rPr>
          <w:w w:val="110"/>
        </w:rPr>
        <w:t>that the Charter and general </w:t>
      </w:r>
      <w:r>
        <w:rPr>
          <w:w w:val="110"/>
        </w:rPr>
        <w:t>principles of EU law are especially meaningful</w:t>
      </w:r>
    </w:p>
    <w:p>
      <w:pPr>
        <w:pStyle w:val="BodyText"/>
        <w:spacing w:line="230" w:lineRule="auto" w:before="10"/>
        <w:ind w:right="206"/>
        <w:jc w:val="both"/>
      </w:pPr>
      <w:r>
        <w:rPr>
          <w:w w:val="110"/>
        </w:rPr>
        <w:t>in this context, having already formed </w:t>
      </w:r>
      <w:r>
        <w:rPr>
          <w:rFonts w:ascii="Lucida Sans Unicode"/>
        </w:rPr>
        <w:t>the basis of significant </w:t>
      </w:r>
      <w:r>
        <w:rPr>
          <w:rFonts w:ascii="Lucida Sans Unicode"/>
        </w:rPr>
        <w:t>interpretations </w:t>
      </w:r>
      <w:r>
        <w:rPr>
          <w:w w:val="110"/>
        </w:rPr>
        <w:t>of aspects of annexed measures in</w:t>
      </w:r>
    </w:p>
    <w:p>
      <w:pPr>
        <w:pStyle w:val="BodyText"/>
        <w:spacing w:line="310" w:lineRule="exact" w:before="15"/>
        <w:ind w:right="147"/>
        <w:rPr>
          <w:rFonts w:ascii="Lucida Sans Unicode"/>
        </w:rPr>
      </w:pPr>
      <w:r>
        <w:rPr>
          <w:w w:val="115"/>
        </w:rPr>
        <w:t>EU</w:t>
      </w:r>
      <w:r>
        <w:rPr>
          <w:spacing w:val="-15"/>
          <w:w w:val="115"/>
        </w:rPr>
        <w:t> </w:t>
      </w:r>
      <w:r>
        <w:rPr>
          <w:w w:val="115"/>
        </w:rPr>
        <w:t>case</w:t>
      </w:r>
      <w:r>
        <w:rPr>
          <w:spacing w:val="-15"/>
          <w:w w:val="115"/>
        </w:rPr>
        <w:t> </w:t>
      </w:r>
      <w:r>
        <w:rPr>
          <w:w w:val="115"/>
        </w:rPr>
        <w:t>law,</w:t>
      </w:r>
      <w:r>
        <w:rPr>
          <w:spacing w:val="-15"/>
          <w:w w:val="115"/>
        </w:rPr>
        <w:t> </w:t>
      </w:r>
      <w:r>
        <w:rPr>
          <w:w w:val="115"/>
        </w:rPr>
        <w:t>such</w:t>
      </w:r>
      <w:r>
        <w:rPr>
          <w:spacing w:val="-15"/>
          <w:w w:val="115"/>
        </w:rPr>
        <w:t> </w:t>
      </w:r>
      <w:r>
        <w:rPr>
          <w:w w:val="115"/>
        </w:rPr>
        <w:t>as</w:t>
      </w:r>
      <w:r>
        <w:rPr>
          <w:spacing w:val="-15"/>
          <w:w w:val="115"/>
        </w:rPr>
        <w:t> </w:t>
      </w:r>
      <w:r>
        <w:rPr>
          <w:w w:val="115"/>
        </w:rPr>
        <w:t>strengthening domestic remedies for racial </w:t>
      </w:r>
      <w:r>
        <w:rPr>
          <w:w w:val="110"/>
        </w:rPr>
        <w:t>discrimination; heightening </w:t>
      </w:r>
      <w:r>
        <w:rPr>
          <w:w w:val="110"/>
        </w:rPr>
        <w:t>safeguards </w:t>
      </w:r>
      <w:r>
        <w:rPr>
          <w:w w:val="115"/>
        </w:rPr>
        <w:t>for disability discrimination in the employment context; and clarifying the role of religious symbols in the workplace</w:t>
      </w:r>
      <w:r>
        <w:rPr>
          <w:spacing w:val="-5"/>
          <w:w w:val="115"/>
        </w:rPr>
        <w:t> </w:t>
      </w:r>
      <w:r>
        <w:rPr>
          <w:w w:val="115"/>
        </w:rPr>
        <w:t>(issues</w:t>
      </w:r>
      <w:r>
        <w:rPr>
          <w:spacing w:val="-5"/>
          <w:w w:val="115"/>
        </w:rPr>
        <w:t> </w:t>
      </w:r>
      <w:r>
        <w:rPr>
          <w:w w:val="115"/>
        </w:rPr>
        <w:t>discussed</w:t>
      </w:r>
      <w:r>
        <w:rPr>
          <w:spacing w:val="-5"/>
          <w:w w:val="115"/>
        </w:rPr>
        <w:t> </w:t>
      </w:r>
      <w:r>
        <w:rPr>
          <w:w w:val="115"/>
        </w:rPr>
        <w:t>in</w:t>
      </w:r>
      <w:r>
        <w:rPr>
          <w:spacing w:val="-5"/>
          <w:w w:val="115"/>
        </w:rPr>
        <w:t> </w:t>
      </w:r>
      <w:r>
        <w:rPr>
          <w:w w:val="115"/>
        </w:rPr>
        <w:t>more detail</w:t>
      </w:r>
      <w:r>
        <w:rPr>
          <w:spacing w:val="-1"/>
          <w:w w:val="115"/>
        </w:rPr>
        <w:t> </w:t>
      </w:r>
      <w:r>
        <w:rPr>
          <w:w w:val="115"/>
        </w:rPr>
        <w:t>in</w:t>
      </w:r>
      <w:r>
        <w:rPr>
          <w:spacing w:val="-1"/>
          <w:w w:val="115"/>
        </w:rPr>
        <w:t> </w:t>
      </w:r>
      <w:r>
        <w:rPr>
          <w:w w:val="115"/>
        </w:rPr>
        <w:t>an</w:t>
      </w:r>
      <w:r>
        <w:rPr>
          <w:spacing w:val="-1"/>
          <w:w w:val="115"/>
        </w:rPr>
        <w:t> </w:t>
      </w:r>
      <w:r>
        <w:rPr>
          <w:w w:val="115"/>
        </w:rPr>
        <w:t>earlier</w:t>
      </w:r>
      <w:r>
        <w:rPr>
          <w:spacing w:val="-1"/>
          <w:w w:val="115"/>
        </w:rPr>
        <w:t> </w:t>
      </w:r>
      <w:r>
        <w:rPr>
          <w:w w:val="115"/>
        </w:rPr>
        <w:t>report).</w:t>
      </w:r>
      <w:r>
        <w:rPr>
          <w:rFonts w:ascii="Lucida Sans Unicode"/>
          <w:w w:val="115"/>
          <w:vertAlign w:val="superscript"/>
        </w:rPr>
        <w:t>310</w:t>
      </w:r>
    </w:p>
    <w:p>
      <w:pPr>
        <w:spacing w:after="0" w:line="310" w:lineRule="exact"/>
        <w:rPr>
          <w:rFonts w:ascii="Lucida Sans Unicode"/>
        </w:rPr>
        <w:sectPr>
          <w:type w:val="continuous"/>
          <w:pgSz w:w="11910" w:h="16840"/>
          <w:pgMar w:header="568" w:footer="580" w:top="0" w:bottom="280" w:left="1020" w:right="1020"/>
          <w:cols w:num="2" w:equalWidth="0">
            <w:col w:w="4731" w:space="315"/>
            <w:col w:w="4824"/>
          </w:cols>
        </w:sectPr>
      </w:pPr>
    </w:p>
    <w:p>
      <w:pPr>
        <w:pStyle w:val="BodyText"/>
        <w:spacing w:before="14"/>
        <w:ind w:left="0"/>
        <w:rPr>
          <w:rFonts w:ascii="Lucida Sans Unicode"/>
          <w:sz w:val="14"/>
        </w:rPr>
      </w:pPr>
    </w:p>
    <w:p>
      <w:pPr>
        <w:pStyle w:val="BodyText"/>
        <w:spacing w:line="20" w:lineRule="exact"/>
        <w:rPr>
          <w:rFonts w:ascii="Lucida Sans Unicode"/>
          <w:sz w:val="2"/>
        </w:rPr>
      </w:pPr>
      <w:r>
        <w:rPr>
          <w:rFonts w:ascii="Lucida Sans Unicode"/>
          <w:sz w:val="2"/>
        </w:rPr>
        <mc:AlternateContent>
          <mc:Choice Requires="wps">
            <w:drawing>
              <wp:inline distT="0" distB="0" distL="0" distR="0">
                <wp:extent cx="6120130" cy="6350"/>
                <wp:effectExtent l="9525" t="0" r="0" b="3175"/>
                <wp:docPr id="188" name="Group 188"/>
                <wp:cNvGraphicFramePr>
                  <a:graphicFrameLocks/>
                </wp:cNvGraphicFramePr>
                <a:graphic>
                  <a:graphicData uri="http://schemas.microsoft.com/office/word/2010/wordprocessingGroup">
                    <wpg:wgp>
                      <wpg:cNvPr id="188" name="Group 188"/>
                      <wpg:cNvGrpSpPr/>
                      <wpg:grpSpPr>
                        <a:xfrm>
                          <a:off x="0" y="0"/>
                          <a:ext cx="6120130" cy="6350"/>
                          <a:chExt cx="6120130" cy="6350"/>
                        </a:xfrm>
                      </wpg:grpSpPr>
                      <wps:wsp>
                        <wps:cNvPr id="189" name="Graphic 189"/>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113" coordorigin="0,0" coordsize="9638,10">
                <v:line style="position:absolute" from="0,5" to="9638,5" stroked="true" strokeweight=".5pt" strokecolor="#77328a">
                  <v:stroke dashstyle="solid"/>
                </v:line>
              </v:group>
            </w:pict>
          </mc:Fallback>
        </mc:AlternateContent>
      </w:r>
      <w:r>
        <w:rPr>
          <w:rFonts w:ascii="Lucida Sans Unicode"/>
          <w:sz w:val="2"/>
        </w:rPr>
      </w:r>
    </w:p>
    <w:p>
      <w:pPr>
        <w:pStyle w:val="ListParagraph"/>
        <w:numPr>
          <w:ilvl w:val="0"/>
          <w:numId w:val="14"/>
        </w:numPr>
        <w:tabs>
          <w:tab w:pos="565" w:val="left" w:leader="none"/>
          <w:tab w:pos="567" w:val="left" w:leader="none"/>
        </w:tabs>
        <w:spacing w:line="200" w:lineRule="exact" w:before="76" w:after="0"/>
        <w:ind w:left="567" w:right="351" w:hanging="454"/>
        <w:jc w:val="left"/>
        <w:rPr>
          <w:sz w:val="16"/>
        </w:rPr>
      </w:pPr>
      <w:r>
        <w:rPr>
          <w:rFonts w:ascii="Arial" w:hAnsi="Arial"/>
          <w:w w:val="105"/>
          <w:sz w:val="16"/>
        </w:rPr>
        <w:t>Craig</w:t>
      </w:r>
      <w:r>
        <w:rPr>
          <w:rFonts w:ascii="Arial" w:hAnsi="Arial"/>
          <w:spacing w:val="-2"/>
          <w:w w:val="105"/>
          <w:sz w:val="16"/>
        </w:rPr>
        <w:t> </w:t>
      </w:r>
      <w:r>
        <w:rPr>
          <w:rFonts w:ascii="Verdana" w:hAnsi="Verdana"/>
          <w:i/>
          <w:w w:val="105"/>
          <w:sz w:val="16"/>
        </w:rPr>
        <w:t>et</w:t>
      </w:r>
      <w:r>
        <w:rPr>
          <w:rFonts w:ascii="Verdana" w:hAnsi="Verdana"/>
          <w:i/>
          <w:spacing w:val="-14"/>
          <w:w w:val="105"/>
          <w:sz w:val="16"/>
        </w:rPr>
        <w:t> </w:t>
      </w:r>
      <w:r>
        <w:rPr>
          <w:rFonts w:ascii="Verdana" w:hAnsi="Verdana"/>
          <w:i/>
          <w:w w:val="105"/>
          <w:sz w:val="16"/>
        </w:rPr>
        <w:t>al</w:t>
      </w:r>
      <w:r>
        <w:rPr>
          <w:rFonts w:ascii="Verdana" w:hAnsi="Verdana"/>
          <w:i/>
          <w:spacing w:val="-14"/>
          <w:w w:val="105"/>
          <w:sz w:val="16"/>
        </w:rPr>
        <w:t> </w:t>
      </w:r>
      <w:r>
        <w:rPr>
          <w:w w:val="105"/>
          <w:sz w:val="16"/>
        </w:rPr>
        <w:t>(n</w:t>
      </w:r>
      <w:r>
        <w:rPr>
          <w:spacing w:val="-8"/>
          <w:w w:val="105"/>
          <w:sz w:val="16"/>
        </w:rPr>
        <w:t> </w:t>
      </w:r>
      <w:r>
        <w:rPr>
          <w:w w:val="105"/>
          <w:sz w:val="16"/>
        </w:rPr>
        <w:t>5),</w:t>
      </w:r>
      <w:r>
        <w:rPr>
          <w:spacing w:val="-8"/>
          <w:w w:val="105"/>
          <w:sz w:val="16"/>
        </w:rPr>
        <w:t> </w:t>
      </w:r>
      <w:r>
        <w:rPr>
          <w:w w:val="105"/>
          <w:sz w:val="16"/>
        </w:rPr>
        <w:t>20.</w:t>
      </w:r>
      <w:r>
        <w:rPr>
          <w:spacing w:val="-8"/>
          <w:w w:val="105"/>
          <w:sz w:val="16"/>
        </w:rPr>
        <w:t> </w:t>
      </w:r>
      <w:r>
        <w:rPr>
          <w:w w:val="105"/>
          <w:sz w:val="16"/>
        </w:rPr>
        <w:t>See</w:t>
      </w:r>
      <w:r>
        <w:rPr>
          <w:spacing w:val="-8"/>
          <w:w w:val="105"/>
          <w:sz w:val="16"/>
        </w:rPr>
        <w:t> </w:t>
      </w:r>
      <w:r>
        <w:rPr>
          <w:w w:val="105"/>
          <w:sz w:val="16"/>
        </w:rPr>
        <w:t>also</w:t>
      </w:r>
      <w:r>
        <w:rPr>
          <w:spacing w:val="-8"/>
          <w:w w:val="105"/>
          <w:sz w:val="16"/>
        </w:rPr>
        <w:t> </w:t>
      </w:r>
      <w:r>
        <w:rPr>
          <w:w w:val="105"/>
          <w:sz w:val="16"/>
        </w:rPr>
        <w:t>Windsor</w:t>
      </w:r>
      <w:r>
        <w:rPr>
          <w:spacing w:val="-8"/>
          <w:w w:val="105"/>
          <w:sz w:val="16"/>
        </w:rPr>
        <w:t> </w:t>
      </w:r>
      <w:r>
        <w:rPr>
          <w:w w:val="105"/>
          <w:sz w:val="16"/>
        </w:rPr>
        <w:t>Framework,</w:t>
      </w:r>
      <w:r>
        <w:rPr>
          <w:spacing w:val="-8"/>
          <w:w w:val="105"/>
          <w:sz w:val="16"/>
        </w:rPr>
        <w:t> </w:t>
      </w:r>
      <w:r>
        <w:rPr>
          <w:w w:val="105"/>
          <w:sz w:val="16"/>
        </w:rPr>
        <w:t>Art</w:t>
      </w:r>
      <w:r>
        <w:rPr>
          <w:spacing w:val="-8"/>
          <w:w w:val="105"/>
          <w:sz w:val="16"/>
        </w:rPr>
        <w:t> </w:t>
      </w:r>
      <w:r>
        <w:rPr>
          <w:w w:val="105"/>
          <w:sz w:val="16"/>
        </w:rPr>
        <w:t>13(3).</w:t>
      </w:r>
      <w:r>
        <w:rPr>
          <w:spacing w:val="-8"/>
          <w:w w:val="105"/>
          <w:sz w:val="16"/>
        </w:rPr>
        <w:t> </w:t>
      </w:r>
      <w:r>
        <w:rPr>
          <w:w w:val="105"/>
          <w:sz w:val="16"/>
        </w:rPr>
        <w:t>The</w:t>
      </w:r>
      <w:r>
        <w:rPr>
          <w:spacing w:val="-8"/>
          <w:w w:val="105"/>
          <w:sz w:val="16"/>
        </w:rPr>
        <w:t> </w:t>
      </w:r>
      <w:r>
        <w:rPr>
          <w:w w:val="105"/>
          <w:sz w:val="16"/>
        </w:rPr>
        <w:t>proposed</w:t>
      </w:r>
      <w:r>
        <w:rPr>
          <w:spacing w:val="-8"/>
          <w:w w:val="105"/>
          <w:sz w:val="16"/>
        </w:rPr>
        <w:t> </w:t>
      </w:r>
      <w:r>
        <w:rPr>
          <w:w w:val="105"/>
          <w:sz w:val="16"/>
        </w:rPr>
        <w:t>‘Stormont</w:t>
      </w:r>
      <w:r>
        <w:rPr>
          <w:spacing w:val="-8"/>
          <w:w w:val="105"/>
          <w:sz w:val="16"/>
        </w:rPr>
        <w:t> </w:t>
      </w:r>
      <w:r>
        <w:rPr>
          <w:w w:val="105"/>
          <w:sz w:val="16"/>
        </w:rPr>
        <w:t>brake’</w:t>
      </w:r>
      <w:r>
        <w:rPr>
          <w:spacing w:val="-8"/>
          <w:w w:val="105"/>
          <w:sz w:val="16"/>
        </w:rPr>
        <w:t> </w:t>
      </w:r>
      <w:r>
        <w:rPr>
          <w:w w:val="105"/>
          <w:sz w:val="16"/>
        </w:rPr>
        <w:t>under</w:t>
      </w:r>
      <w:r>
        <w:rPr>
          <w:spacing w:val="-8"/>
          <w:w w:val="105"/>
          <w:sz w:val="16"/>
        </w:rPr>
        <w:t> </w:t>
      </w:r>
      <w:r>
        <w:rPr>
          <w:w w:val="105"/>
          <w:sz w:val="16"/>
        </w:rPr>
        <w:t>draft</w:t>
      </w:r>
      <w:r>
        <w:rPr>
          <w:spacing w:val="-8"/>
          <w:w w:val="105"/>
          <w:sz w:val="16"/>
        </w:rPr>
        <w:t> </w:t>
      </w:r>
      <w:r>
        <w:rPr>
          <w:w w:val="105"/>
          <w:sz w:val="16"/>
        </w:rPr>
        <w:t>Article 13(3a)</w:t>
      </w:r>
      <w:r>
        <w:rPr>
          <w:spacing w:val="-14"/>
          <w:w w:val="105"/>
          <w:sz w:val="16"/>
        </w:rPr>
        <w:t> </w:t>
      </w:r>
      <w:r>
        <w:rPr>
          <w:w w:val="105"/>
          <w:sz w:val="16"/>
        </w:rPr>
        <w:t>applies</w:t>
      </w:r>
      <w:r>
        <w:rPr>
          <w:spacing w:val="-13"/>
          <w:w w:val="105"/>
          <w:sz w:val="16"/>
        </w:rPr>
        <w:t> </w:t>
      </w:r>
      <w:r>
        <w:rPr>
          <w:w w:val="105"/>
          <w:sz w:val="16"/>
        </w:rPr>
        <w:t>to</w:t>
      </w:r>
      <w:r>
        <w:rPr>
          <w:spacing w:val="-13"/>
          <w:w w:val="105"/>
          <w:sz w:val="16"/>
        </w:rPr>
        <w:t> </w:t>
      </w:r>
      <w:r>
        <w:rPr>
          <w:w w:val="105"/>
          <w:sz w:val="16"/>
        </w:rPr>
        <w:t>headings</w:t>
      </w:r>
      <w:r>
        <w:rPr>
          <w:spacing w:val="-14"/>
          <w:w w:val="105"/>
          <w:sz w:val="16"/>
        </w:rPr>
        <w:t> </w:t>
      </w:r>
      <w:r>
        <w:rPr>
          <w:w w:val="95"/>
          <w:sz w:val="16"/>
        </w:rPr>
        <w:t>1</w:t>
      </w:r>
      <w:r>
        <w:rPr>
          <w:spacing w:val="-10"/>
          <w:w w:val="95"/>
          <w:sz w:val="16"/>
        </w:rPr>
        <w:t> </w:t>
      </w:r>
      <w:r>
        <w:rPr>
          <w:w w:val="105"/>
          <w:sz w:val="16"/>
        </w:rPr>
        <w:t>and</w:t>
      </w:r>
      <w:r>
        <w:rPr>
          <w:spacing w:val="-13"/>
          <w:w w:val="105"/>
          <w:sz w:val="16"/>
        </w:rPr>
        <w:t> </w:t>
      </w:r>
      <w:r>
        <w:rPr>
          <w:w w:val="105"/>
          <w:sz w:val="16"/>
        </w:rPr>
        <w:t>7-47</w:t>
      </w:r>
      <w:r>
        <w:rPr>
          <w:spacing w:val="-13"/>
          <w:w w:val="105"/>
          <w:sz w:val="16"/>
        </w:rPr>
        <w:t> </w:t>
      </w:r>
      <w:r>
        <w:rPr>
          <w:w w:val="105"/>
          <w:sz w:val="16"/>
        </w:rPr>
        <w:t>of</w:t>
      </w:r>
      <w:r>
        <w:rPr>
          <w:spacing w:val="-14"/>
          <w:w w:val="105"/>
          <w:sz w:val="16"/>
        </w:rPr>
        <w:t> </w:t>
      </w:r>
      <w:r>
        <w:rPr>
          <w:w w:val="105"/>
          <w:sz w:val="16"/>
        </w:rPr>
        <w:t>Annex</w:t>
      </w:r>
      <w:r>
        <w:rPr>
          <w:spacing w:val="-13"/>
          <w:w w:val="105"/>
          <w:sz w:val="16"/>
        </w:rPr>
        <w:t> </w:t>
      </w:r>
      <w:r>
        <w:rPr>
          <w:w w:val="105"/>
          <w:sz w:val="16"/>
        </w:rPr>
        <w:t>2</w:t>
      </w:r>
      <w:r>
        <w:rPr>
          <w:spacing w:val="-13"/>
          <w:w w:val="105"/>
          <w:sz w:val="16"/>
        </w:rPr>
        <w:t> </w:t>
      </w:r>
      <w:r>
        <w:rPr>
          <w:w w:val="105"/>
          <w:sz w:val="16"/>
        </w:rPr>
        <w:t>and</w:t>
      </w:r>
      <w:r>
        <w:rPr>
          <w:spacing w:val="-14"/>
          <w:w w:val="105"/>
          <w:sz w:val="16"/>
        </w:rPr>
        <w:t> </w:t>
      </w:r>
      <w:r>
        <w:rPr>
          <w:w w:val="105"/>
          <w:sz w:val="16"/>
        </w:rPr>
        <w:t>does</w:t>
      </w:r>
      <w:r>
        <w:rPr>
          <w:spacing w:val="-13"/>
          <w:w w:val="105"/>
          <w:sz w:val="16"/>
        </w:rPr>
        <w:t> </w:t>
      </w:r>
      <w:r>
        <w:rPr>
          <w:w w:val="105"/>
          <w:sz w:val="16"/>
        </w:rPr>
        <w:t>not</w:t>
      </w:r>
      <w:r>
        <w:rPr>
          <w:spacing w:val="-13"/>
          <w:w w:val="105"/>
          <w:sz w:val="16"/>
        </w:rPr>
        <w:t> </w:t>
      </w:r>
      <w:r>
        <w:rPr>
          <w:w w:val="105"/>
          <w:sz w:val="16"/>
        </w:rPr>
        <w:t>apply</w:t>
      </w:r>
      <w:r>
        <w:rPr>
          <w:spacing w:val="-13"/>
          <w:w w:val="105"/>
          <w:sz w:val="16"/>
        </w:rPr>
        <w:t> </w:t>
      </w:r>
      <w:r>
        <w:rPr>
          <w:w w:val="105"/>
          <w:sz w:val="16"/>
        </w:rPr>
        <w:t>to</w:t>
      </w:r>
      <w:r>
        <w:rPr>
          <w:spacing w:val="-14"/>
          <w:w w:val="105"/>
          <w:sz w:val="16"/>
        </w:rPr>
        <w:t> </w:t>
      </w:r>
      <w:r>
        <w:rPr>
          <w:w w:val="105"/>
          <w:sz w:val="16"/>
        </w:rPr>
        <w:t>Annex</w:t>
      </w:r>
      <w:r>
        <w:rPr>
          <w:spacing w:val="-13"/>
          <w:w w:val="105"/>
          <w:sz w:val="16"/>
        </w:rPr>
        <w:t> </w:t>
      </w:r>
      <w:r>
        <w:rPr>
          <w:w w:val="95"/>
          <w:sz w:val="16"/>
        </w:rPr>
        <w:t>1,</w:t>
      </w:r>
      <w:r>
        <w:rPr>
          <w:spacing w:val="-10"/>
          <w:w w:val="95"/>
          <w:sz w:val="16"/>
        </w:rPr>
        <w:t> </w:t>
      </w:r>
      <w:r>
        <w:rPr>
          <w:w w:val="105"/>
          <w:sz w:val="16"/>
        </w:rPr>
        <w:t>thus</w:t>
      </w:r>
      <w:r>
        <w:rPr>
          <w:spacing w:val="-13"/>
          <w:w w:val="105"/>
          <w:sz w:val="16"/>
        </w:rPr>
        <w:t> </w:t>
      </w:r>
      <w:r>
        <w:rPr>
          <w:w w:val="105"/>
          <w:sz w:val="16"/>
        </w:rPr>
        <w:t>we</w:t>
      </w:r>
      <w:r>
        <w:rPr>
          <w:spacing w:val="-14"/>
          <w:w w:val="105"/>
          <w:sz w:val="16"/>
        </w:rPr>
        <w:t> </w:t>
      </w:r>
      <w:r>
        <w:rPr>
          <w:w w:val="105"/>
          <w:sz w:val="16"/>
        </w:rPr>
        <w:t>understand</w:t>
      </w:r>
      <w:r>
        <w:rPr>
          <w:spacing w:val="-13"/>
          <w:w w:val="105"/>
          <w:sz w:val="16"/>
        </w:rPr>
        <w:t> </w:t>
      </w:r>
      <w:r>
        <w:rPr>
          <w:w w:val="105"/>
          <w:sz w:val="16"/>
        </w:rPr>
        <w:t>that</w:t>
      </w:r>
      <w:r>
        <w:rPr>
          <w:spacing w:val="-13"/>
          <w:w w:val="105"/>
          <w:sz w:val="16"/>
        </w:rPr>
        <w:t> </w:t>
      </w:r>
      <w:r>
        <w:rPr>
          <w:w w:val="105"/>
          <w:sz w:val="16"/>
        </w:rPr>
        <w:t>the </w:t>
      </w:r>
      <w:r>
        <w:rPr>
          <w:rFonts w:ascii="Arial" w:hAnsi="Arial"/>
          <w:w w:val="105"/>
          <w:sz w:val="16"/>
        </w:rPr>
        <w:t>dynamic</w:t>
      </w:r>
      <w:r>
        <w:rPr>
          <w:rFonts w:ascii="Arial" w:hAnsi="Arial"/>
          <w:spacing w:val="21"/>
          <w:w w:val="105"/>
          <w:sz w:val="16"/>
        </w:rPr>
        <w:t> </w:t>
      </w:r>
      <w:r>
        <w:rPr>
          <w:rFonts w:ascii="Arial" w:hAnsi="Arial"/>
          <w:w w:val="105"/>
          <w:sz w:val="16"/>
        </w:rPr>
        <w:t>alignment</w:t>
      </w:r>
      <w:r>
        <w:rPr>
          <w:rFonts w:ascii="Arial" w:hAnsi="Arial"/>
          <w:spacing w:val="21"/>
          <w:w w:val="105"/>
          <w:sz w:val="16"/>
        </w:rPr>
        <w:t> </w:t>
      </w:r>
      <w:r>
        <w:rPr>
          <w:rFonts w:ascii="Arial" w:hAnsi="Arial"/>
          <w:w w:val="105"/>
          <w:sz w:val="16"/>
        </w:rPr>
        <w:t>requirement</w:t>
      </w:r>
      <w:r>
        <w:rPr>
          <w:rFonts w:ascii="Arial" w:hAnsi="Arial"/>
          <w:spacing w:val="21"/>
          <w:w w:val="105"/>
          <w:sz w:val="16"/>
        </w:rPr>
        <w:t> </w:t>
      </w:r>
      <w:r>
        <w:rPr>
          <w:rFonts w:ascii="Arial" w:hAnsi="Arial"/>
          <w:w w:val="105"/>
          <w:sz w:val="16"/>
        </w:rPr>
        <w:t>for</w:t>
      </w:r>
      <w:r>
        <w:rPr>
          <w:rFonts w:ascii="Arial" w:hAnsi="Arial"/>
          <w:spacing w:val="21"/>
          <w:w w:val="105"/>
          <w:sz w:val="16"/>
        </w:rPr>
        <w:t> </w:t>
      </w:r>
      <w:r>
        <w:rPr>
          <w:rFonts w:ascii="Arial" w:hAnsi="Arial"/>
          <w:w w:val="105"/>
          <w:sz w:val="16"/>
        </w:rPr>
        <w:t>the</w:t>
      </w:r>
      <w:r>
        <w:rPr>
          <w:rFonts w:ascii="Arial" w:hAnsi="Arial"/>
          <w:spacing w:val="21"/>
          <w:w w:val="105"/>
          <w:sz w:val="16"/>
        </w:rPr>
        <w:t> </w:t>
      </w:r>
      <w:r>
        <w:rPr>
          <w:rFonts w:ascii="Arial" w:hAnsi="Arial"/>
          <w:w w:val="105"/>
          <w:sz w:val="16"/>
        </w:rPr>
        <w:t>Annex</w:t>
      </w:r>
      <w:r>
        <w:rPr>
          <w:rFonts w:ascii="Arial" w:hAnsi="Arial"/>
          <w:spacing w:val="21"/>
          <w:w w:val="105"/>
          <w:sz w:val="16"/>
        </w:rPr>
        <w:t> </w:t>
      </w:r>
      <w:r>
        <w:rPr>
          <w:rFonts w:ascii="Arial" w:hAnsi="Arial"/>
          <w:w w:val="95"/>
          <w:sz w:val="16"/>
        </w:rPr>
        <w:t>1</w:t>
      </w:r>
      <w:r>
        <w:rPr>
          <w:rFonts w:ascii="Arial" w:hAnsi="Arial"/>
          <w:spacing w:val="21"/>
          <w:w w:val="105"/>
          <w:sz w:val="16"/>
        </w:rPr>
        <w:t> </w:t>
      </w:r>
      <w:r>
        <w:rPr>
          <w:rFonts w:ascii="Arial" w:hAnsi="Arial"/>
          <w:w w:val="105"/>
          <w:sz w:val="16"/>
        </w:rPr>
        <w:t>directives</w:t>
      </w:r>
      <w:r>
        <w:rPr>
          <w:rFonts w:ascii="Arial" w:hAnsi="Arial"/>
          <w:spacing w:val="21"/>
          <w:w w:val="105"/>
          <w:sz w:val="16"/>
        </w:rPr>
        <w:t> </w:t>
      </w:r>
      <w:r>
        <w:rPr>
          <w:rFonts w:ascii="Arial" w:hAnsi="Arial"/>
          <w:w w:val="105"/>
          <w:sz w:val="16"/>
        </w:rPr>
        <w:t>will</w:t>
      </w:r>
      <w:r>
        <w:rPr>
          <w:rFonts w:ascii="Arial" w:hAnsi="Arial"/>
          <w:spacing w:val="21"/>
          <w:w w:val="105"/>
          <w:sz w:val="16"/>
        </w:rPr>
        <w:t> </w:t>
      </w:r>
      <w:r>
        <w:rPr>
          <w:rFonts w:ascii="Arial" w:hAnsi="Arial"/>
          <w:w w:val="105"/>
          <w:sz w:val="16"/>
        </w:rPr>
        <w:t>remain</w:t>
      </w:r>
      <w:r>
        <w:rPr>
          <w:rFonts w:ascii="Arial" w:hAnsi="Arial"/>
          <w:spacing w:val="21"/>
          <w:w w:val="105"/>
          <w:sz w:val="16"/>
        </w:rPr>
        <w:t> </w:t>
      </w:r>
      <w:r>
        <w:rPr>
          <w:rFonts w:ascii="Arial" w:hAnsi="Arial"/>
          <w:w w:val="105"/>
          <w:sz w:val="16"/>
        </w:rPr>
        <w:t>as</w:t>
      </w:r>
      <w:r>
        <w:rPr>
          <w:rFonts w:ascii="Arial" w:hAnsi="Arial"/>
          <w:spacing w:val="21"/>
          <w:w w:val="105"/>
          <w:sz w:val="16"/>
        </w:rPr>
        <w:t> </w:t>
      </w:r>
      <w:r>
        <w:rPr>
          <w:rFonts w:ascii="Arial" w:hAnsi="Arial"/>
          <w:w w:val="105"/>
          <w:sz w:val="16"/>
        </w:rPr>
        <w:t>they</w:t>
      </w:r>
      <w:r>
        <w:rPr>
          <w:rFonts w:ascii="Arial" w:hAnsi="Arial"/>
          <w:spacing w:val="21"/>
          <w:w w:val="105"/>
          <w:sz w:val="16"/>
        </w:rPr>
        <w:t> </w:t>
      </w:r>
      <w:r>
        <w:rPr>
          <w:rFonts w:ascii="Arial" w:hAnsi="Arial"/>
          <w:w w:val="105"/>
          <w:sz w:val="16"/>
        </w:rPr>
        <w:t>currently</w:t>
      </w:r>
      <w:r>
        <w:rPr>
          <w:rFonts w:ascii="Arial" w:hAnsi="Arial"/>
          <w:spacing w:val="21"/>
          <w:w w:val="105"/>
          <w:sz w:val="16"/>
        </w:rPr>
        <w:t> </w:t>
      </w:r>
      <w:r>
        <w:rPr>
          <w:rFonts w:ascii="Arial" w:hAnsi="Arial"/>
          <w:w w:val="105"/>
          <w:sz w:val="16"/>
        </w:rPr>
        <w:t>are,</w:t>
      </w:r>
      <w:r>
        <w:rPr>
          <w:rFonts w:ascii="Arial" w:hAnsi="Arial"/>
          <w:spacing w:val="21"/>
          <w:w w:val="105"/>
          <w:sz w:val="16"/>
        </w:rPr>
        <w:t> </w:t>
      </w:r>
      <w:r>
        <w:rPr>
          <w:rFonts w:ascii="Arial" w:hAnsi="Arial"/>
          <w:w w:val="105"/>
          <w:sz w:val="16"/>
        </w:rPr>
        <w:t>see</w:t>
      </w:r>
      <w:r>
        <w:rPr>
          <w:rFonts w:ascii="Arial" w:hAnsi="Arial"/>
          <w:spacing w:val="21"/>
          <w:w w:val="105"/>
          <w:sz w:val="16"/>
        </w:rPr>
        <w:t> </w:t>
      </w:r>
      <w:hyperlink r:id="rId42">
        <w:r>
          <w:rPr>
            <w:rFonts w:ascii="Verdana" w:hAnsi="Verdana"/>
            <w:i/>
            <w:color w:val="77328A"/>
            <w:w w:val="105"/>
            <w:sz w:val="16"/>
            <w:u w:val="single" w:color="77328A"/>
          </w:rPr>
          <w:t>Draft Decision of </w:t>
        </w:r>
      </w:hyperlink>
      <w:r>
        <w:rPr>
          <w:rFonts w:ascii="Verdana" w:hAnsi="Verdana"/>
          <w:i/>
          <w:color w:val="77328A"/>
          <w:w w:val="105"/>
          <w:sz w:val="16"/>
          <w:u w:val="none"/>
        </w:rPr>
        <w:t> </w:t>
      </w:r>
      <w:hyperlink r:id="rId42">
        <w:r>
          <w:rPr>
            <w:rFonts w:ascii="Verdana" w:hAnsi="Verdana"/>
            <w:i/>
            <w:color w:val="77328A"/>
            <w:sz w:val="16"/>
            <w:u w:val="single" w:color="77328A"/>
          </w:rPr>
          <w:t>the Withdrawal Agreement Joint Committee on laying down arrangements relating to the Windsor Framework</w:t>
        </w:r>
      </w:hyperlink>
      <w:r>
        <w:rPr>
          <w:rFonts w:ascii="Arial" w:hAnsi="Arial"/>
          <w:sz w:val="16"/>
          <w:u w:val="none"/>
        </w:rPr>
        <w:t>, </w:t>
      </w:r>
      <w:r>
        <w:rPr>
          <w:w w:val="105"/>
          <w:sz w:val="16"/>
          <w:u w:val="none"/>
        </w:rPr>
        <w:t>Article 2.</w:t>
      </w:r>
    </w:p>
    <w:p>
      <w:pPr>
        <w:pStyle w:val="ListParagraph"/>
        <w:numPr>
          <w:ilvl w:val="0"/>
          <w:numId w:val="14"/>
        </w:numPr>
        <w:tabs>
          <w:tab w:pos="567" w:val="left" w:leader="none"/>
        </w:tabs>
        <w:spacing w:line="194" w:lineRule="auto" w:before="18" w:after="0"/>
        <w:ind w:left="567" w:right="258" w:hanging="454"/>
        <w:jc w:val="left"/>
        <w:rPr>
          <w:rFonts w:ascii="Arial"/>
          <w:sz w:val="16"/>
        </w:rPr>
      </w:pPr>
      <w:r>
        <w:rPr>
          <w:sz w:val="16"/>
        </w:rPr>
        <w:t>Chiara de Capitani, Anti-discrimination and labour rights: CJEU confirms protection from discrimination (including on grounds of sexual orientation) covers self-employed workers (EU Law Analysis, 23 March 2023), available at: </w:t>
      </w:r>
      <w:hyperlink r:id="rId43">
        <w:r>
          <w:rPr>
            <w:color w:val="77328A"/>
            <w:spacing w:val="-2"/>
            <w:sz w:val="16"/>
            <w:u w:val="single" w:color="77328A"/>
          </w:rPr>
          <w:t>https://eulawanalysis.blogspot.com/2023/03/anti-discrimination-and-labour-rights.html</w:t>
        </w:r>
      </w:hyperlink>
      <w:r>
        <w:rPr>
          <w:rFonts w:ascii="Arial"/>
          <w:spacing w:val="-2"/>
          <w:sz w:val="16"/>
          <w:u w:val="none"/>
        </w:rPr>
        <w:t>.</w:t>
      </w:r>
    </w:p>
    <w:p>
      <w:pPr>
        <w:pStyle w:val="ListParagraph"/>
        <w:numPr>
          <w:ilvl w:val="0"/>
          <w:numId w:val="14"/>
        </w:numPr>
        <w:tabs>
          <w:tab w:pos="565" w:val="left" w:leader="none"/>
        </w:tabs>
        <w:spacing w:line="192" w:lineRule="exact" w:before="0" w:after="0"/>
        <w:ind w:left="565" w:right="0" w:hanging="452"/>
        <w:jc w:val="left"/>
        <w:rPr>
          <w:sz w:val="16"/>
        </w:rPr>
      </w:pPr>
      <w:r>
        <w:rPr>
          <w:rFonts w:ascii="Arial"/>
          <w:sz w:val="16"/>
        </w:rPr>
        <w:t>Craig</w:t>
      </w:r>
      <w:r>
        <w:rPr>
          <w:rFonts w:ascii="Arial"/>
          <w:spacing w:val="9"/>
          <w:sz w:val="16"/>
        </w:rPr>
        <w:t> </w:t>
      </w:r>
      <w:r>
        <w:rPr>
          <w:rFonts w:ascii="Verdana"/>
          <w:i/>
          <w:sz w:val="16"/>
        </w:rPr>
        <w:t>et</w:t>
      </w:r>
      <w:r>
        <w:rPr>
          <w:rFonts w:ascii="Verdana"/>
          <w:i/>
          <w:spacing w:val="-2"/>
          <w:sz w:val="16"/>
        </w:rPr>
        <w:t> </w:t>
      </w:r>
      <w:r>
        <w:rPr>
          <w:rFonts w:ascii="Verdana"/>
          <w:i/>
          <w:sz w:val="16"/>
        </w:rPr>
        <w:t>al</w:t>
      </w:r>
      <w:r>
        <w:rPr>
          <w:rFonts w:ascii="Verdana"/>
          <w:i/>
          <w:spacing w:val="-3"/>
          <w:sz w:val="16"/>
        </w:rPr>
        <w:t> </w:t>
      </w:r>
      <w:r>
        <w:rPr>
          <w:sz w:val="16"/>
        </w:rPr>
        <w:t>(n</w:t>
      </w:r>
      <w:r>
        <w:rPr>
          <w:spacing w:val="4"/>
          <w:sz w:val="16"/>
        </w:rPr>
        <w:t> </w:t>
      </w:r>
      <w:r>
        <w:rPr>
          <w:sz w:val="16"/>
        </w:rPr>
        <w:t>5),</w:t>
      </w:r>
      <w:r>
        <w:rPr>
          <w:spacing w:val="4"/>
          <w:sz w:val="16"/>
        </w:rPr>
        <w:t> </w:t>
      </w:r>
      <w:r>
        <w:rPr>
          <w:sz w:val="16"/>
        </w:rPr>
        <w:t>chapters</w:t>
      </w:r>
      <w:r>
        <w:rPr>
          <w:spacing w:val="3"/>
          <w:sz w:val="16"/>
        </w:rPr>
        <w:t> </w:t>
      </w:r>
      <w:r>
        <w:rPr>
          <w:sz w:val="16"/>
        </w:rPr>
        <w:t>4</w:t>
      </w:r>
      <w:r>
        <w:rPr>
          <w:spacing w:val="4"/>
          <w:sz w:val="16"/>
        </w:rPr>
        <w:t> </w:t>
      </w:r>
      <w:r>
        <w:rPr>
          <w:sz w:val="16"/>
        </w:rPr>
        <w:t>and</w:t>
      </w:r>
      <w:r>
        <w:rPr>
          <w:spacing w:val="4"/>
          <w:sz w:val="16"/>
        </w:rPr>
        <w:t> </w:t>
      </w:r>
      <w:r>
        <w:rPr>
          <w:sz w:val="16"/>
        </w:rPr>
        <w:t>5</w:t>
      </w:r>
      <w:r>
        <w:rPr>
          <w:spacing w:val="3"/>
          <w:sz w:val="16"/>
        </w:rPr>
        <w:t> </w:t>
      </w:r>
      <w:r>
        <w:rPr>
          <w:sz w:val="16"/>
        </w:rPr>
        <w:t>and</w:t>
      </w:r>
      <w:r>
        <w:rPr>
          <w:spacing w:val="4"/>
          <w:sz w:val="16"/>
        </w:rPr>
        <w:t> </w:t>
      </w:r>
      <w:r>
        <w:rPr>
          <w:sz w:val="16"/>
        </w:rPr>
        <w:t>appendices</w:t>
      </w:r>
      <w:r>
        <w:rPr>
          <w:spacing w:val="4"/>
          <w:sz w:val="16"/>
        </w:rPr>
        <w:t> </w:t>
      </w:r>
      <w:r>
        <w:rPr>
          <w:w w:val="95"/>
          <w:sz w:val="16"/>
        </w:rPr>
        <w:t>1</w:t>
      </w:r>
      <w:r>
        <w:rPr>
          <w:spacing w:val="3"/>
          <w:sz w:val="16"/>
        </w:rPr>
        <w:t> </w:t>
      </w:r>
      <w:r>
        <w:rPr>
          <w:sz w:val="16"/>
        </w:rPr>
        <w:t>and</w:t>
      </w:r>
      <w:r>
        <w:rPr>
          <w:spacing w:val="4"/>
          <w:sz w:val="16"/>
        </w:rPr>
        <w:t> </w:t>
      </w:r>
      <w:r>
        <w:rPr>
          <w:spacing w:val="-5"/>
          <w:sz w:val="16"/>
        </w:rPr>
        <w:t>2.</w:t>
      </w:r>
    </w:p>
    <w:p>
      <w:pPr>
        <w:pStyle w:val="ListParagraph"/>
        <w:numPr>
          <w:ilvl w:val="0"/>
          <w:numId w:val="14"/>
        </w:numPr>
        <w:tabs>
          <w:tab w:pos="566" w:val="left" w:leader="none"/>
        </w:tabs>
        <w:spacing w:line="223" w:lineRule="exact" w:before="0" w:after="0"/>
        <w:ind w:left="566" w:right="0" w:hanging="453"/>
        <w:jc w:val="left"/>
        <w:rPr>
          <w:rFonts w:ascii="Arial"/>
          <w:sz w:val="16"/>
        </w:rPr>
      </w:pPr>
      <w:r>
        <w:rPr>
          <w:rFonts w:ascii="Verdana"/>
          <w:i/>
          <w:spacing w:val="-2"/>
          <w:sz w:val="16"/>
        </w:rPr>
        <w:t>Ibid</w:t>
      </w:r>
      <w:r>
        <w:rPr>
          <w:rFonts w:ascii="Arial"/>
          <w:spacing w:val="-2"/>
          <w:sz w:val="16"/>
        </w:rPr>
        <w:t>.</w:t>
      </w:r>
    </w:p>
    <w:p>
      <w:pPr>
        <w:spacing w:after="0" w:line="223" w:lineRule="exact"/>
        <w:jc w:val="left"/>
        <w:rPr>
          <w:rFonts w:ascii="Arial"/>
          <w:sz w:val="16"/>
        </w:rPr>
        <w:sectPr>
          <w:type w:val="continuous"/>
          <w:pgSz w:w="11910" w:h="16840"/>
          <w:pgMar w:header="568" w:footer="580" w:top="0" w:bottom="280" w:left="1020" w:right="1020"/>
        </w:sectPr>
      </w:pPr>
    </w:p>
    <w:p>
      <w:pPr>
        <w:pStyle w:val="BodyText"/>
        <w:ind w:left="0"/>
        <w:rPr>
          <w:sz w:val="20"/>
        </w:rPr>
      </w:pPr>
    </w:p>
    <w:p>
      <w:pPr>
        <w:pStyle w:val="BodyText"/>
        <w:ind w:left="0"/>
        <w:rPr>
          <w:sz w:val="20"/>
        </w:rPr>
      </w:pPr>
    </w:p>
    <w:p>
      <w:pPr>
        <w:pStyle w:val="BodyText"/>
        <w:spacing w:before="9"/>
        <w:ind w:left="0"/>
        <w:rPr>
          <w:sz w:val="20"/>
        </w:rPr>
      </w:pPr>
    </w:p>
    <w:p>
      <w:pPr>
        <w:spacing w:after="0"/>
        <w:rPr>
          <w:sz w:val="20"/>
        </w:rPr>
        <w:sectPr>
          <w:pgSz w:w="11910" w:h="16840"/>
          <w:pgMar w:header="568" w:footer="580" w:top="840" w:bottom="780" w:left="1020" w:right="1020"/>
        </w:sectPr>
      </w:pPr>
    </w:p>
    <w:p>
      <w:pPr>
        <w:pStyle w:val="Heading3"/>
        <w:numPr>
          <w:ilvl w:val="0"/>
          <w:numId w:val="18"/>
        </w:numPr>
        <w:tabs>
          <w:tab w:pos="680" w:val="left" w:leader="none"/>
        </w:tabs>
        <w:spacing w:line="256" w:lineRule="auto" w:before="80" w:after="0"/>
        <w:ind w:left="680" w:right="965" w:hanging="567"/>
        <w:jc w:val="left"/>
      </w:pPr>
      <w:bookmarkStart w:name="3.  Post-Brexit EU law that neither amen" w:id="82"/>
      <w:bookmarkEnd w:id="82"/>
      <w:r>
        <w:rPr>
          <w:b w:val="0"/>
        </w:rPr>
      </w:r>
      <w:bookmarkStart w:name="_bookmark34" w:id="83"/>
      <w:bookmarkEnd w:id="83"/>
      <w:r>
        <w:rPr>
          <w:b w:val="0"/>
        </w:rPr>
      </w:r>
      <w:r>
        <w:rPr>
          <w:color w:val="77328A"/>
        </w:rPr>
        <w:t>Post-Brexit EU law that</w:t>
      </w:r>
      <w:r>
        <w:rPr>
          <w:color w:val="77328A"/>
          <w:spacing w:val="-7"/>
        </w:rPr>
        <w:t> </w:t>
      </w:r>
      <w:r>
        <w:rPr>
          <w:color w:val="77328A"/>
        </w:rPr>
        <w:t>neither</w:t>
      </w:r>
      <w:r>
        <w:rPr>
          <w:color w:val="77328A"/>
          <w:spacing w:val="-7"/>
        </w:rPr>
        <w:t> </w:t>
      </w:r>
      <w:r>
        <w:rPr>
          <w:color w:val="77328A"/>
        </w:rPr>
        <w:t>amends nor replaces EU law referenced in the Windsor</w:t>
      </w:r>
      <w:r>
        <w:rPr>
          <w:color w:val="77328A"/>
          <w:spacing w:val="-1"/>
        </w:rPr>
        <w:t> </w:t>
      </w:r>
      <w:r>
        <w:rPr>
          <w:color w:val="77328A"/>
        </w:rPr>
        <w:t>Framework</w:t>
      </w:r>
    </w:p>
    <w:p>
      <w:pPr>
        <w:pStyle w:val="BodyText"/>
        <w:spacing w:line="276" w:lineRule="auto" w:before="173"/>
      </w:pPr>
      <w:r>
        <w:rPr>
          <w:w w:val="115"/>
        </w:rPr>
        <w:t>Outside</w:t>
      </w:r>
      <w:r>
        <w:rPr>
          <w:spacing w:val="-11"/>
          <w:w w:val="115"/>
        </w:rPr>
        <w:t> </w:t>
      </w:r>
      <w:r>
        <w:rPr>
          <w:w w:val="115"/>
        </w:rPr>
        <w:t>the</w:t>
      </w:r>
      <w:r>
        <w:rPr>
          <w:spacing w:val="-11"/>
          <w:w w:val="115"/>
        </w:rPr>
        <w:t> </w:t>
      </w:r>
      <w:r>
        <w:rPr>
          <w:w w:val="115"/>
        </w:rPr>
        <w:t>straightforward</w:t>
      </w:r>
      <w:r>
        <w:rPr>
          <w:spacing w:val="-11"/>
          <w:w w:val="115"/>
        </w:rPr>
        <w:t> </w:t>
      </w:r>
      <w:r>
        <w:rPr>
          <w:w w:val="115"/>
        </w:rPr>
        <w:t>obligation of</w:t>
      </w:r>
      <w:r>
        <w:rPr>
          <w:spacing w:val="-13"/>
          <w:w w:val="115"/>
        </w:rPr>
        <w:t> </w:t>
      </w:r>
      <w:r>
        <w:rPr>
          <w:w w:val="115"/>
        </w:rPr>
        <w:t>dynamic</w:t>
      </w:r>
      <w:r>
        <w:rPr>
          <w:spacing w:val="-13"/>
          <w:w w:val="115"/>
        </w:rPr>
        <w:t> </w:t>
      </w:r>
      <w:r>
        <w:rPr>
          <w:w w:val="115"/>
        </w:rPr>
        <w:t>alignment</w:t>
      </w:r>
      <w:r>
        <w:rPr>
          <w:spacing w:val="-13"/>
          <w:w w:val="115"/>
        </w:rPr>
        <w:t> </w:t>
      </w:r>
      <w:r>
        <w:rPr>
          <w:w w:val="115"/>
        </w:rPr>
        <w:t>for</w:t>
      </w:r>
      <w:r>
        <w:rPr>
          <w:spacing w:val="-13"/>
          <w:w w:val="115"/>
        </w:rPr>
        <w:t> </w:t>
      </w:r>
      <w:r>
        <w:rPr>
          <w:w w:val="115"/>
        </w:rPr>
        <w:t>the</w:t>
      </w:r>
      <w:r>
        <w:rPr>
          <w:spacing w:val="-13"/>
          <w:w w:val="115"/>
        </w:rPr>
        <w:t> </w:t>
      </w:r>
      <w:r>
        <w:rPr>
          <w:w w:val="115"/>
        </w:rPr>
        <w:t>annexed measures,</w:t>
      </w:r>
      <w:r>
        <w:rPr>
          <w:spacing w:val="-1"/>
          <w:w w:val="115"/>
        </w:rPr>
        <w:t> </w:t>
      </w:r>
      <w:r>
        <w:rPr>
          <w:w w:val="115"/>
        </w:rPr>
        <w:t>one</w:t>
      </w:r>
      <w:r>
        <w:rPr>
          <w:spacing w:val="-1"/>
          <w:w w:val="115"/>
        </w:rPr>
        <w:t> </w:t>
      </w:r>
      <w:r>
        <w:rPr>
          <w:w w:val="115"/>
        </w:rPr>
        <w:t>can</w:t>
      </w:r>
      <w:r>
        <w:rPr>
          <w:spacing w:val="-1"/>
          <w:w w:val="115"/>
        </w:rPr>
        <w:t> </w:t>
      </w:r>
      <w:r>
        <w:rPr>
          <w:w w:val="115"/>
        </w:rPr>
        <w:t>identify</w:t>
      </w:r>
      <w:r>
        <w:rPr>
          <w:spacing w:val="-1"/>
          <w:w w:val="115"/>
        </w:rPr>
        <w:t> </w:t>
      </w:r>
      <w:r>
        <w:rPr>
          <w:w w:val="115"/>
        </w:rPr>
        <w:t>a</w:t>
      </w:r>
      <w:r>
        <w:rPr>
          <w:spacing w:val="-1"/>
          <w:w w:val="115"/>
        </w:rPr>
        <w:t> </w:t>
      </w:r>
      <w:r>
        <w:rPr>
          <w:w w:val="115"/>
        </w:rPr>
        <w:t>number of less clear-cut issues.</w:t>
      </w:r>
    </w:p>
    <w:p>
      <w:pPr>
        <w:pStyle w:val="BodyText"/>
        <w:spacing w:before="23"/>
        <w:ind w:left="0"/>
      </w:pPr>
    </w:p>
    <w:p>
      <w:pPr>
        <w:pStyle w:val="BodyText"/>
        <w:spacing w:line="276" w:lineRule="auto"/>
        <w:ind w:right="203"/>
      </w:pPr>
      <w:r>
        <w:rPr>
          <w:w w:val="110"/>
        </w:rPr>
        <w:t>As shown above, the Charter </w:t>
      </w:r>
      <w:r>
        <w:rPr>
          <w:w w:val="110"/>
        </w:rPr>
        <w:t>informs </w:t>
      </w:r>
      <w:r>
        <w:rPr>
          <w:w w:val="115"/>
        </w:rPr>
        <w:t>the interpretation and application</w:t>
      </w:r>
    </w:p>
    <w:p>
      <w:pPr>
        <w:pStyle w:val="BodyText"/>
        <w:spacing w:line="276" w:lineRule="auto"/>
        <w:ind w:right="203"/>
      </w:pPr>
      <w:r>
        <w:rPr>
          <w:w w:val="110"/>
        </w:rPr>
        <w:t>of</w:t>
      </w:r>
      <w:r>
        <w:rPr>
          <w:spacing w:val="40"/>
          <w:w w:val="110"/>
        </w:rPr>
        <w:t> </w:t>
      </w:r>
      <w:r>
        <w:rPr>
          <w:w w:val="110"/>
        </w:rPr>
        <w:t>the</w:t>
      </w:r>
      <w:r>
        <w:rPr>
          <w:spacing w:val="40"/>
          <w:w w:val="110"/>
        </w:rPr>
        <w:t> </w:t>
      </w:r>
      <w:r>
        <w:rPr>
          <w:w w:val="110"/>
        </w:rPr>
        <w:t>Withdrawal</w:t>
      </w:r>
      <w:r>
        <w:rPr>
          <w:spacing w:val="40"/>
          <w:w w:val="110"/>
        </w:rPr>
        <w:t> </w:t>
      </w:r>
      <w:r>
        <w:rPr>
          <w:w w:val="110"/>
        </w:rPr>
        <w:t>Agreement</w:t>
      </w:r>
      <w:r>
        <w:rPr>
          <w:spacing w:val="40"/>
          <w:w w:val="110"/>
        </w:rPr>
        <w:t> </w:t>
      </w:r>
      <w:r>
        <w:rPr>
          <w:w w:val="110"/>
        </w:rPr>
        <w:t>and any EU law relevant to the Windsor Framework. Where such EU law is replaced or amended, the Windsor Framework envisages automatic dynamic alignment for a </w:t>
      </w:r>
      <w:r>
        <w:rPr>
          <w:w w:val="110"/>
        </w:rPr>
        <w:t>considerable part of this law. By contrast, where new EU law is adopted that falls</w:t>
      </w:r>
      <w:r>
        <w:rPr>
          <w:spacing w:val="40"/>
          <w:w w:val="110"/>
        </w:rPr>
        <w:t> </w:t>
      </w:r>
      <w:r>
        <w:rPr>
          <w:w w:val="110"/>
        </w:rPr>
        <w:t>within the scope of the Windsor Framework but does not amend or replace a Union act listed in one of</w:t>
      </w:r>
      <w:r>
        <w:rPr>
          <w:spacing w:val="40"/>
          <w:w w:val="110"/>
        </w:rPr>
        <w:t> </w:t>
      </w:r>
      <w:r>
        <w:rPr>
          <w:w w:val="110"/>
        </w:rPr>
        <w:t>the annexes, or that is subject to</w:t>
      </w:r>
    </w:p>
    <w:p>
      <w:pPr>
        <w:pStyle w:val="BodyText"/>
        <w:spacing w:line="321" w:lineRule="exact"/>
        <w:rPr>
          <w:rFonts w:ascii="Lucida Sans Unicode"/>
        </w:rPr>
      </w:pPr>
      <w:r>
        <w:rPr>
          <w:rFonts w:ascii="Lucida Sans Unicode"/>
        </w:rPr>
        <w:t>the</w:t>
      </w:r>
      <w:r>
        <w:rPr>
          <w:rFonts w:ascii="Lucida Sans Unicode"/>
          <w:spacing w:val="5"/>
        </w:rPr>
        <w:t> </w:t>
      </w:r>
      <w:r>
        <w:rPr>
          <w:rFonts w:ascii="Lucida Sans Unicode"/>
        </w:rPr>
        <w:t>Stormont</w:t>
      </w:r>
      <w:r>
        <w:rPr>
          <w:rFonts w:ascii="Lucida Sans Unicode"/>
          <w:spacing w:val="6"/>
        </w:rPr>
        <w:t> </w:t>
      </w:r>
      <w:r>
        <w:rPr>
          <w:rFonts w:ascii="Lucida Sans Unicode"/>
        </w:rPr>
        <w:t>brake,</w:t>
      </w:r>
      <w:r>
        <w:rPr>
          <w:rFonts w:ascii="Lucida Sans Unicode"/>
          <w:spacing w:val="5"/>
        </w:rPr>
        <w:t> </w:t>
      </w:r>
      <w:r>
        <w:rPr>
          <w:rFonts w:ascii="Lucida Sans Unicode"/>
        </w:rPr>
        <w:t>then</w:t>
      </w:r>
      <w:r>
        <w:rPr>
          <w:rFonts w:ascii="Lucida Sans Unicode"/>
          <w:spacing w:val="6"/>
        </w:rPr>
        <w:t> </w:t>
      </w:r>
      <w:r>
        <w:rPr>
          <w:rFonts w:ascii="Lucida Sans Unicode"/>
        </w:rPr>
        <w:t>a</w:t>
      </w:r>
      <w:r>
        <w:rPr>
          <w:rFonts w:ascii="Lucida Sans Unicode"/>
          <w:spacing w:val="6"/>
        </w:rPr>
        <w:t> </w:t>
      </w:r>
      <w:r>
        <w:rPr>
          <w:rFonts w:ascii="Lucida Sans Unicode"/>
          <w:spacing w:val="-2"/>
        </w:rPr>
        <w:t>Joint</w:t>
      </w:r>
    </w:p>
    <w:p>
      <w:pPr>
        <w:pStyle w:val="BodyText"/>
        <w:spacing w:line="259" w:lineRule="auto"/>
        <w:ind w:right="406"/>
        <w:jc w:val="both"/>
        <w:rPr>
          <w:rFonts w:ascii="Lucida Sans Unicode"/>
        </w:rPr>
      </w:pPr>
      <w:r>
        <w:rPr>
          <w:w w:val="110"/>
        </w:rPr>
        <w:t>Committee decision is necessary </w:t>
      </w:r>
      <w:r>
        <w:rPr>
          <w:w w:val="110"/>
        </w:rPr>
        <w:t>to adopt such new EU law. Where this </w:t>
      </w:r>
      <w:r>
        <w:rPr>
          <w:rFonts w:ascii="Lucida Sans Unicode"/>
        </w:rPr>
        <w:t>happens,</w:t>
      </w:r>
      <w:r>
        <w:rPr>
          <w:rFonts w:ascii="Lucida Sans Unicode"/>
          <w:spacing w:val="21"/>
        </w:rPr>
        <w:t> </w:t>
      </w:r>
      <w:r>
        <w:rPr>
          <w:rFonts w:ascii="Lucida Sans Unicode"/>
        </w:rPr>
        <w:t>Article</w:t>
      </w:r>
      <w:r>
        <w:rPr>
          <w:rFonts w:ascii="Lucida Sans Unicode"/>
          <w:spacing w:val="21"/>
        </w:rPr>
        <w:t> </w:t>
      </w:r>
      <w:r>
        <w:rPr>
          <w:rFonts w:ascii="Lucida Sans Unicode"/>
        </w:rPr>
        <w:t>4</w:t>
      </w:r>
      <w:r>
        <w:rPr>
          <w:rFonts w:ascii="Lucida Sans Unicode"/>
          <w:spacing w:val="22"/>
        </w:rPr>
        <w:t> </w:t>
      </w:r>
      <w:r>
        <w:rPr>
          <w:rFonts w:ascii="Lucida Sans Unicode"/>
        </w:rPr>
        <w:t>WA</w:t>
      </w:r>
      <w:r>
        <w:rPr>
          <w:rFonts w:ascii="Lucida Sans Unicode"/>
          <w:spacing w:val="21"/>
        </w:rPr>
        <w:t> </w:t>
      </w:r>
      <w:r>
        <w:rPr>
          <w:rFonts w:ascii="Lucida Sans Unicode"/>
        </w:rPr>
        <w:t>would</w:t>
      </w:r>
      <w:r>
        <w:rPr>
          <w:rFonts w:ascii="Lucida Sans Unicode"/>
          <w:spacing w:val="21"/>
        </w:rPr>
        <w:t> </w:t>
      </w:r>
      <w:r>
        <w:rPr>
          <w:rFonts w:ascii="Lucida Sans Unicode"/>
          <w:spacing w:val="-4"/>
        </w:rPr>
        <w:t>mean</w:t>
      </w:r>
    </w:p>
    <w:p>
      <w:pPr>
        <w:pStyle w:val="BodyText"/>
        <w:spacing w:line="233" w:lineRule="exact"/>
        <w:jc w:val="both"/>
      </w:pPr>
      <w:r>
        <w:rPr>
          <w:w w:val="115"/>
        </w:rPr>
        <w:t>that</w:t>
      </w:r>
      <w:r>
        <w:rPr>
          <w:spacing w:val="-17"/>
          <w:w w:val="115"/>
        </w:rPr>
        <w:t> </w:t>
      </w:r>
      <w:r>
        <w:rPr>
          <w:w w:val="115"/>
        </w:rPr>
        <w:t>the</w:t>
      </w:r>
      <w:r>
        <w:rPr>
          <w:spacing w:val="-16"/>
          <w:w w:val="115"/>
        </w:rPr>
        <w:t> </w:t>
      </w:r>
      <w:r>
        <w:rPr>
          <w:w w:val="115"/>
        </w:rPr>
        <w:t>Charter</w:t>
      </w:r>
      <w:r>
        <w:rPr>
          <w:spacing w:val="-16"/>
          <w:w w:val="115"/>
        </w:rPr>
        <w:t> </w:t>
      </w:r>
      <w:r>
        <w:rPr>
          <w:w w:val="115"/>
        </w:rPr>
        <w:t>applies</w:t>
      </w:r>
      <w:r>
        <w:rPr>
          <w:spacing w:val="-17"/>
          <w:w w:val="115"/>
        </w:rPr>
        <w:t> </w:t>
      </w:r>
      <w:r>
        <w:rPr>
          <w:w w:val="115"/>
        </w:rPr>
        <w:t>as</w:t>
      </w:r>
      <w:r>
        <w:rPr>
          <w:spacing w:val="-16"/>
          <w:w w:val="115"/>
        </w:rPr>
        <w:t> </w:t>
      </w:r>
      <w:r>
        <w:rPr>
          <w:w w:val="115"/>
        </w:rPr>
        <w:t>outlined</w:t>
      </w:r>
      <w:r>
        <w:rPr>
          <w:spacing w:val="-16"/>
          <w:w w:val="115"/>
        </w:rPr>
        <w:t> </w:t>
      </w:r>
      <w:r>
        <w:rPr>
          <w:spacing w:val="-5"/>
          <w:w w:val="115"/>
        </w:rPr>
        <w:t>in</w:t>
      </w:r>
    </w:p>
    <w:p>
      <w:pPr>
        <w:pStyle w:val="BodyText"/>
        <w:jc w:val="both"/>
        <w:rPr>
          <w:rFonts w:ascii="Lucida Sans Unicode"/>
        </w:rPr>
      </w:pPr>
      <w:r>
        <w:rPr>
          <w:rFonts w:ascii="Lucida Sans Unicode"/>
        </w:rPr>
        <w:t>Chapter</w:t>
      </w:r>
      <w:r>
        <w:rPr>
          <w:rFonts w:ascii="Lucida Sans Unicode"/>
          <w:spacing w:val="26"/>
        </w:rPr>
        <w:t> </w:t>
      </w:r>
      <w:r>
        <w:rPr>
          <w:rFonts w:ascii="Lucida Sans Unicode"/>
          <w:spacing w:val="-7"/>
        </w:rPr>
        <w:t>3.</w:t>
      </w:r>
    </w:p>
    <w:p>
      <w:pPr>
        <w:pStyle w:val="BodyText"/>
        <w:spacing w:line="276" w:lineRule="auto" w:before="282"/>
        <w:ind w:right="471"/>
      </w:pPr>
      <w:r>
        <w:rPr>
          <w:w w:val="115"/>
        </w:rPr>
        <w:t>However, if no agreement in the Joint Committee can be reached, the</w:t>
      </w:r>
      <w:r>
        <w:rPr>
          <w:spacing w:val="-11"/>
          <w:w w:val="115"/>
        </w:rPr>
        <w:t> </w:t>
      </w:r>
      <w:r>
        <w:rPr>
          <w:w w:val="115"/>
        </w:rPr>
        <w:t>following</w:t>
      </w:r>
      <w:r>
        <w:rPr>
          <w:spacing w:val="-11"/>
          <w:w w:val="115"/>
        </w:rPr>
        <w:t> </w:t>
      </w:r>
      <w:r>
        <w:rPr>
          <w:w w:val="115"/>
        </w:rPr>
        <w:t>issue</w:t>
      </w:r>
      <w:r>
        <w:rPr>
          <w:spacing w:val="-11"/>
          <w:w w:val="115"/>
        </w:rPr>
        <w:t> </w:t>
      </w:r>
      <w:r>
        <w:rPr>
          <w:w w:val="115"/>
        </w:rPr>
        <w:t>may</w:t>
      </w:r>
      <w:r>
        <w:rPr>
          <w:spacing w:val="-11"/>
          <w:w w:val="115"/>
        </w:rPr>
        <w:t> </w:t>
      </w:r>
      <w:r>
        <w:rPr>
          <w:w w:val="115"/>
        </w:rPr>
        <w:t>arise.</w:t>
      </w:r>
      <w:r>
        <w:rPr>
          <w:spacing w:val="-11"/>
          <w:w w:val="115"/>
        </w:rPr>
        <w:t> </w:t>
      </w:r>
      <w:r>
        <w:rPr>
          <w:w w:val="115"/>
        </w:rPr>
        <w:t>Any </w:t>
      </w:r>
      <w:r>
        <w:rPr>
          <w:spacing w:val="-2"/>
          <w:w w:val="115"/>
        </w:rPr>
        <w:t>failure</w:t>
      </w:r>
      <w:r>
        <w:rPr>
          <w:spacing w:val="-11"/>
          <w:w w:val="115"/>
        </w:rPr>
        <w:t> </w:t>
      </w:r>
      <w:r>
        <w:rPr>
          <w:spacing w:val="-2"/>
          <w:w w:val="115"/>
        </w:rPr>
        <w:t>to</w:t>
      </w:r>
      <w:r>
        <w:rPr>
          <w:spacing w:val="-11"/>
          <w:w w:val="115"/>
        </w:rPr>
        <w:t> </w:t>
      </w:r>
      <w:r>
        <w:rPr>
          <w:spacing w:val="-2"/>
          <w:w w:val="115"/>
        </w:rPr>
        <w:t>resolve</w:t>
      </w:r>
      <w:r>
        <w:rPr>
          <w:spacing w:val="-11"/>
          <w:w w:val="115"/>
        </w:rPr>
        <w:t> </w:t>
      </w:r>
      <w:r>
        <w:rPr>
          <w:spacing w:val="-2"/>
          <w:w w:val="115"/>
        </w:rPr>
        <w:t>a</w:t>
      </w:r>
      <w:r>
        <w:rPr>
          <w:spacing w:val="-10"/>
          <w:w w:val="115"/>
        </w:rPr>
        <w:t> </w:t>
      </w:r>
      <w:r>
        <w:rPr>
          <w:spacing w:val="-2"/>
          <w:w w:val="115"/>
        </w:rPr>
        <w:t>dispute</w:t>
      </w:r>
      <w:r>
        <w:rPr>
          <w:spacing w:val="-11"/>
          <w:w w:val="115"/>
        </w:rPr>
        <w:t> </w:t>
      </w:r>
      <w:r>
        <w:rPr>
          <w:spacing w:val="-2"/>
          <w:w w:val="115"/>
        </w:rPr>
        <w:t>in</w:t>
      </w:r>
      <w:r>
        <w:rPr>
          <w:spacing w:val="-11"/>
          <w:w w:val="115"/>
        </w:rPr>
        <w:t> </w:t>
      </w:r>
      <w:r>
        <w:rPr>
          <w:spacing w:val="-4"/>
          <w:w w:val="115"/>
        </w:rPr>
        <w:t>these</w:t>
      </w:r>
    </w:p>
    <w:p>
      <w:pPr>
        <w:pStyle w:val="BodyText"/>
        <w:spacing w:line="276" w:lineRule="auto"/>
      </w:pPr>
      <w:r>
        <w:rPr>
          <w:w w:val="110"/>
        </w:rPr>
        <w:t>circumstances may have </w:t>
      </w:r>
      <w:r>
        <w:rPr>
          <w:w w:val="110"/>
        </w:rPr>
        <w:t>problematic </w:t>
      </w:r>
      <w:r>
        <w:rPr>
          <w:spacing w:val="-2"/>
          <w:w w:val="110"/>
        </w:rPr>
        <w:t>consequences.</w:t>
      </w:r>
    </w:p>
    <w:p>
      <w:pPr>
        <w:pStyle w:val="BodyText"/>
        <w:spacing w:before="27"/>
        <w:ind w:left="0"/>
      </w:pPr>
    </w:p>
    <w:p>
      <w:pPr>
        <w:pStyle w:val="BodyText"/>
        <w:spacing w:line="235" w:lineRule="auto"/>
        <w:ind w:right="106"/>
      </w:pPr>
      <w:r>
        <w:rPr>
          <w:w w:val="110"/>
        </w:rPr>
        <w:t>First, the Windsor Framework does </w:t>
      </w:r>
      <w:r>
        <w:rPr>
          <w:rFonts w:ascii="Lucida Sans Unicode" w:hAnsi="Lucida Sans Unicode"/>
          <w:w w:val="110"/>
        </w:rPr>
        <w:t>not</w:t>
      </w:r>
      <w:r>
        <w:rPr>
          <w:rFonts w:ascii="Lucida Sans Unicode" w:hAnsi="Lucida Sans Unicode"/>
          <w:spacing w:val="-21"/>
          <w:w w:val="110"/>
        </w:rPr>
        <w:t> </w:t>
      </w:r>
      <w:r>
        <w:rPr>
          <w:rFonts w:ascii="Lucida Sans Unicode" w:hAnsi="Lucida Sans Unicode"/>
          <w:w w:val="110"/>
        </w:rPr>
        <w:t>define</w:t>
      </w:r>
      <w:r>
        <w:rPr>
          <w:rFonts w:ascii="Lucida Sans Unicode" w:hAnsi="Lucida Sans Unicode"/>
          <w:spacing w:val="-21"/>
          <w:w w:val="110"/>
        </w:rPr>
        <w:t> </w:t>
      </w:r>
      <w:r>
        <w:rPr>
          <w:rFonts w:ascii="Lucida Sans Unicode" w:hAnsi="Lucida Sans Unicode"/>
          <w:w w:val="110"/>
        </w:rPr>
        <w:t>‘new’</w:t>
      </w:r>
      <w:r>
        <w:rPr>
          <w:rFonts w:ascii="Lucida Sans Unicode" w:hAnsi="Lucida Sans Unicode"/>
          <w:spacing w:val="-21"/>
          <w:w w:val="110"/>
        </w:rPr>
        <w:t> </w:t>
      </w:r>
      <w:r>
        <w:rPr>
          <w:rFonts w:ascii="Lucida Sans Unicode" w:hAnsi="Lucida Sans Unicode"/>
          <w:w w:val="110"/>
        </w:rPr>
        <w:t>EU</w:t>
      </w:r>
      <w:r>
        <w:rPr>
          <w:rFonts w:ascii="Lucida Sans Unicode" w:hAnsi="Lucida Sans Unicode"/>
          <w:spacing w:val="-21"/>
          <w:w w:val="110"/>
        </w:rPr>
        <w:t> </w:t>
      </w:r>
      <w:r>
        <w:rPr>
          <w:rFonts w:ascii="Lucida Sans Unicode" w:hAnsi="Lucida Sans Unicode"/>
          <w:w w:val="110"/>
        </w:rPr>
        <w:t>law</w:t>
      </w:r>
      <w:r>
        <w:rPr>
          <w:rFonts w:ascii="Lucida Sans Unicode" w:hAnsi="Lucida Sans Unicode"/>
          <w:spacing w:val="-21"/>
          <w:w w:val="110"/>
        </w:rPr>
        <w:t> </w:t>
      </w:r>
      <w:r>
        <w:rPr>
          <w:rFonts w:ascii="Lucida Sans Unicode" w:hAnsi="Lucida Sans Unicode"/>
          <w:w w:val="110"/>
        </w:rPr>
        <w:t>beyond </w:t>
      </w:r>
      <w:r>
        <w:rPr>
          <w:w w:val="110"/>
        </w:rPr>
        <w:t>describing it as ‘neither amending </w:t>
      </w:r>
      <w:r>
        <w:rPr>
          <w:w w:val="110"/>
        </w:rPr>
        <w:t>nor</w:t>
      </w:r>
    </w:p>
    <w:p>
      <w:pPr>
        <w:pStyle w:val="BodyText"/>
        <w:spacing w:line="312" w:lineRule="exact" w:before="86"/>
        <w:ind w:right="373"/>
      </w:pPr>
      <w:r>
        <w:rPr/>
        <w:br w:type="column"/>
      </w:r>
      <w:r>
        <w:rPr>
          <w:w w:val="105"/>
        </w:rPr>
        <w:t>replacing’ EU law </w:t>
      </w:r>
      <w:r>
        <w:rPr>
          <w:w w:val="110"/>
        </w:rPr>
        <w:t>to </w:t>
      </w:r>
      <w:r>
        <w:rPr>
          <w:w w:val="105"/>
        </w:rPr>
        <w:t>which it refers.</w:t>
      </w:r>
      <w:r>
        <w:rPr>
          <w:spacing w:val="40"/>
          <w:w w:val="105"/>
        </w:rPr>
        <w:t> </w:t>
      </w:r>
      <w:r>
        <w:rPr>
          <w:rFonts w:ascii="Lucida Sans Unicode" w:hAnsi="Lucida Sans Unicode"/>
          <w:w w:val="105"/>
        </w:rPr>
        <w:t>This</w:t>
      </w:r>
      <w:r>
        <w:rPr>
          <w:rFonts w:ascii="Lucida Sans Unicode" w:hAnsi="Lucida Sans Unicode"/>
          <w:spacing w:val="-20"/>
          <w:w w:val="105"/>
        </w:rPr>
        <w:t> </w:t>
      </w:r>
      <w:r>
        <w:rPr>
          <w:rFonts w:ascii="Lucida Sans Unicode" w:hAnsi="Lucida Sans Unicode"/>
          <w:w w:val="105"/>
        </w:rPr>
        <w:t>may,</w:t>
      </w:r>
      <w:r>
        <w:rPr>
          <w:rFonts w:ascii="Lucida Sans Unicode" w:hAnsi="Lucida Sans Unicode"/>
          <w:spacing w:val="-20"/>
          <w:w w:val="105"/>
        </w:rPr>
        <w:t> </w:t>
      </w:r>
      <w:r>
        <w:rPr>
          <w:rFonts w:ascii="Lucida Sans Unicode" w:hAnsi="Lucida Sans Unicode"/>
          <w:w w:val="105"/>
        </w:rPr>
        <w:t>as</w:t>
      </w:r>
      <w:r>
        <w:rPr>
          <w:rFonts w:ascii="Lucida Sans Unicode" w:hAnsi="Lucida Sans Unicode"/>
          <w:spacing w:val="-20"/>
          <w:w w:val="105"/>
        </w:rPr>
        <w:t> </w:t>
      </w:r>
      <w:r>
        <w:rPr>
          <w:rFonts w:ascii="Lucida Sans Unicode" w:hAnsi="Lucida Sans Unicode"/>
          <w:w w:val="105"/>
        </w:rPr>
        <w:t>Steve</w:t>
      </w:r>
      <w:r>
        <w:rPr>
          <w:rFonts w:ascii="Lucida Sans Unicode" w:hAnsi="Lucida Sans Unicode"/>
          <w:spacing w:val="-20"/>
          <w:w w:val="105"/>
        </w:rPr>
        <w:t> </w:t>
      </w:r>
      <w:r>
        <w:rPr>
          <w:rFonts w:ascii="Lucida Sans Unicode" w:hAnsi="Lucida Sans Unicode"/>
          <w:w w:val="105"/>
        </w:rPr>
        <w:t>Peers</w:t>
      </w:r>
      <w:r>
        <w:rPr>
          <w:rFonts w:ascii="Lucida Sans Unicode" w:hAnsi="Lucida Sans Unicode"/>
          <w:spacing w:val="-20"/>
          <w:w w:val="105"/>
        </w:rPr>
        <w:t> </w:t>
      </w:r>
      <w:r>
        <w:rPr>
          <w:rFonts w:ascii="Lucida Sans Unicode" w:hAnsi="Lucida Sans Unicode"/>
          <w:w w:val="105"/>
        </w:rPr>
        <w:t>sets</w:t>
      </w:r>
      <w:r>
        <w:rPr>
          <w:rFonts w:ascii="Lucida Sans Unicode" w:hAnsi="Lucida Sans Unicode"/>
          <w:spacing w:val="-20"/>
          <w:w w:val="105"/>
        </w:rPr>
        <w:t> </w:t>
      </w:r>
      <w:r>
        <w:rPr>
          <w:rFonts w:ascii="Lucida Sans Unicode" w:hAnsi="Lucida Sans Unicode"/>
          <w:w w:val="105"/>
        </w:rPr>
        <w:t>out,</w:t>
      </w:r>
      <w:r>
        <w:rPr>
          <w:rFonts w:ascii="Lucida Sans Unicode" w:hAnsi="Lucida Sans Unicode"/>
          <w:w w:val="105"/>
          <w:vertAlign w:val="superscript"/>
        </w:rPr>
        <w:t>311</w:t>
      </w:r>
      <w:r>
        <w:rPr>
          <w:rFonts w:ascii="Lucida Sans Unicode" w:hAnsi="Lucida Sans Unicode"/>
          <w:w w:val="105"/>
          <w:vertAlign w:val="baseline"/>
        </w:rPr>
        <w:t> </w:t>
      </w:r>
      <w:r>
        <w:rPr>
          <w:w w:val="105"/>
          <w:vertAlign w:val="baseline"/>
        </w:rPr>
        <w:t>be problematic in circumstances</w:t>
      </w:r>
      <w:r>
        <w:rPr>
          <w:spacing w:val="80"/>
          <w:w w:val="105"/>
          <w:vertAlign w:val="baseline"/>
        </w:rPr>
        <w:t> </w:t>
      </w:r>
      <w:r>
        <w:rPr>
          <w:w w:val="105"/>
          <w:vertAlign w:val="baseline"/>
        </w:rPr>
        <w:t>where an EU law makes only </w:t>
      </w:r>
      <w:r>
        <w:rPr>
          <w:w w:val="105"/>
          <w:vertAlign w:val="baseline"/>
        </w:rPr>
        <w:t>modest changes </w:t>
      </w:r>
      <w:r>
        <w:rPr>
          <w:w w:val="110"/>
          <w:vertAlign w:val="baseline"/>
        </w:rPr>
        <w:t>to </w:t>
      </w:r>
      <w:r>
        <w:rPr>
          <w:w w:val="105"/>
          <w:vertAlign w:val="baseline"/>
        </w:rPr>
        <w:t>any measure of EU law listed</w:t>
      </w:r>
      <w:r>
        <w:rPr>
          <w:spacing w:val="40"/>
          <w:w w:val="105"/>
          <w:vertAlign w:val="baseline"/>
        </w:rPr>
        <w:t> </w:t>
      </w:r>
      <w:r>
        <w:rPr>
          <w:w w:val="105"/>
          <w:vertAlign w:val="baseline"/>
        </w:rPr>
        <w:t>in</w:t>
      </w:r>
      <w:r>
        <w:rPr>
          <w:spacing w:val="40"/>
          <w:w w:val="105"/>
          <w:vertAlign w:val="baseline"/>
        </w:rPr>
        <w:t> </w:t>
      </w:r>
      <w:r>
        <w:rPr>
          <w:w w:val="105"/>
          <w:vertAlign w:val="baseline"/>
        </w:rPr>
        <w:t>the</w:t>
      </w:r>
      <w:r>
        <w:rPr>
          <w:spacing w:val="40"/>
          <w:w w:val="105"/>
          <w:vertAlign w:val="baseline"/>
        </w:rPr>
        <w:t> </w:t>
      </w:r>
      <w:r>
        <w:rPr>
          <w:w w:val="105"/>
          <w:vertAlign w:val="baseline"/>
        </w:rPr>
        <w:t>Windsor</w:t>
      </w:r>
      <w:r>
        <w:rPr>
          <w:spacing w:val="40"/>
          <w:w w:val="105"/>
          <w:vertAlign w:val="baseline"/>
        </w:rPr>
        <w:t> </w:t>
      </w:r>
      <w:r>
        <w:rPr>
          <w:w w:val="105"/>
          <w:vertAlign w:val="baseline"/>
        </w:rPr>
        <w:t>Framework</w:t>
      </w:r>
    </w:p>
    <w:p>
      <w:pPr>
        <w:pStyle w:val="BodyText"/>
        <w:spacing w:line="312" w:lineRule="exact" w:before="4"/>
        <w:ind w:right="327"/>
      </w:pPr>
      <w:r>
        <w:rPr>
          <w:w w:val="115"/>
        </w:rPr>
        <w:t>but</w:t>
      </w:r>
      <w:r>
        <w:rPr>
          <w:spacing w:val="-4"/>
          <w:w w:val="115"/>
        </w:rPr>
        <w:t> </w:t>
      </w:r>
      <w:r>
        <w:rPr>
          <w:w w:val="115"/>
        </w:rPr>
        <w:t>otherwise</w:t>
      </w:r>
      <w:r>
        <w:rPr>
          <w:spacing w:val="-4"/>
          <w:w w:val="115"/>
        </w:rPr>
        <w:t> </w:t>
      </w:r>
      <w:r>
        <w:rPr>
          <w:w w:val="115"/>
        </w:rPr>
        <w:t>has</w:t>
      </w:r>
      <w:r>
        <w:rPr>
          <w:spacing w:val="-4"/>
          <w:w w:val="115"/>
        </w:rPr>
        <w:t> </w:t>
      </w:r>
      <w:r>
        <w:rPr>
          <w:w w:val="115"/>
        </w:rPr>
        <w:t>no</w:t>
      </w:r>
      <w:r>
        <w:rPr>
          <w:spacing w:val="-4"/>
          <w:w w:val="115"/>
        </w:rPr>
        <w:t> </w:t>
      </w:r>
      <w:r>
        <w:rPr>
          <w:w w:val="115"/>
        </w:rPr>
        <w:t>relationship</w:t>
      </w:r>
      <w:r>
        <w:rPr>
          <w:spacing w:val="-4"/>
          <w:w w:val="115"/>
        </w:rPr>
        <w:t> </w:t>
      </w:r>
      <w:r>
        <w:rPr>
          <w:w w:val="115"/>
        </w:rPr>
        <w:t>to that measure. If this is considered ‘new’,</w:t>
      </w:r>
      <w:r>
        <w:rPr>
          <w:spacing w:val="-4"/>
          <w:w w:val="115"/>
        </w:rPr>
        <w:t> </w:t>
      </w:r>
      <w:r>
        <w:rPr>
          <w:w w:val="115"/>
        </w:rPr>
        <w:t>so</w:t>
      </w:r>
      <w:r>
        <w:rPr>
          <w:spacing w:val="-4"/>
          <w:w w:val="115"/>
        </w:rPr>
        <w:t> </w:t>
      </w:r>
      <w:r>
        <w:rPr>
          <w:w w:val="115"/>
        </w:rPr>
        <w:t>that</w:t>
      </w:r>
      <w:r>
        <w:rPr>
          <w:spacing w:val="-4"/>
          <w:w w:val="115"/>
        </w:rPr>
        <w:t> </w:t>
      </w:r>
      <w:r>
        <w:rPr>
          <w:w w:val="115"/>
        </w:rPr>
        <w:t>the</w:t>
      </w:r>
      <w:r>
        <w:rPr>
          <w:spacing w:val="-4"/>
          <w:w w:val="115"/>
        </w:rPr>
        <w:t> </w:t>
      </w:r>
      <w:r>
        <w:rPr>
          <w:w w:val="115"/>
        </w:rPr>
        <w:t>UK</w:t>
      </w:r>
      <w:r>
        <w:rPr>
          <w:spacing w:val="-4"/>
          <w:w w:val="115"/>
        </w:rPr>
        <w:t> </w:t>
      </w:r>
      <w:r>
        <w:rPr>
          <w:w w:val="115"/>
        </w:rPr>
        <w:t>is</w:t>
      </w:r>
      <w:r>
        <w:rPr>
          <w:spacing w:val="-4"/>
          <w:w w:val="115"/>
        </w:rPr>
        <w:t> </w:t>
      </w:r>
      <w:r>
        <w:rPr>
          <w:w w:val="115"/>
        </w:rPr>
        <w:t>able</w:t>
      </w:r>
      <w:r>
        <w:rPr>
          <w:spacing w:val="-4"/>
          <w:w w:val="115"/>
        </w:rPr>
        <w:t> </w:t>
      </w:r>
      <w:r>
        <w:rPr>
          <w:w w:val="115"/>
        </w:rPr>
        <w:t>to</w:t>
      </w:r>
      <w:r>
        <w:rPr>
          <w:spacing w:val="-4"/>
          <w:w w:val="115"/>
        </w:rPr>
        <w:t> </w:t>
      </w:r>
      <w:r>
        <w:rPr>
          <w:w w:val="115"/>
        </w:rPr>
        <w:t>avail </w:t>
      </w:r>
      <w:r>
        <w:rPr>
          <w:rFonts w:ascii="Lucida Sans Unicode" w:hAnsi="Lucida Sans Unicode"/>
        </w:rPr>
        <w:t>of Article 13(4) Windsor Framework, </w:t>
      </w:r>
      <w:r>
        <w:rPr>
          <w:w w:val="115"/>
        </w:rPr>
        <w:t>any changes made within the EU would not apply to Northern Ireland (pending the resolution of the </w:t>
      </w:r>
      <w:r>
        <w:rPr>
          <w:spacing w:val="-2"/>
          <w:w w:val="115"/>
        </w:rPr>
        <w:t>dispute</w:t>
      </w:r>
      <w:r>
        <w:rPr>
          <w:spacing w:val="-18"/>
          <w:w w:val="115"/>
        </w:rPr>
        <w:t> </w:t>
      </w:r>
      <w:r>
        <w:rPr>
          <w:spacing w:val="-2"/>
          <w:w w:val="115"/>
        </w:rPr>
        <w:t>concerning</w:t>
      </w:r>
      <w:r>
        <w:rPr>
          <w:spacing w:val="-17"/>
          <w:w w:val="115"/>
        </w:rPr>
        <w:t> </w:t>
      </w:r>
      <w:r>
        <w:rPr>
          <w:spacing w:val="-2"/>
          <w:w w:val="115"/>
        </w:rPr>
        <w:t>the</w:t>
      </w:r>
      <w:r>
        <w:rPr>
          <w:spacing w:val="-17"/>
          <w:w w:val="115"/>
        </w:rPr>
        <w:t> </w:t>
      </w:r>
      <w:r>
        <w:rPr>
          <w:spacing w:val="-2"/>
          <w:w w:val="115"/>
        </w:rPr>
        <w:t>new</w:t>
      </w:r>
      <w:r>
        <w:rPr>
          <w:spacing w:val="-17"/>
          <w:w w:val="115"/>
        </w:rPr>
        <w:t> </w:t>
      </w:r>
      <w:r>
        <w:rPr>
          <w:spacing w:val="-2"/>
          <w:w w:val="115"/>
        </w:rPr>
        <w:t>EU</w:t>
      </w:r>
      <w:r>
        <w:rPr>
          <w:spacing w:val="-17"/>
          <w:w w:val="115"/>
        </w:rPr>
        <w:t> </w:t>
      </w:r>
      <w:r>
        <w:rPr>
          <w:spacing w:val="-2"/>
          <w:w w:val="115"/>
        </w:rPr>
        <w:t>law), </w:t>
      </w:r>
      <w:r>
        <w:rPr>
          <w:w w:val="115"/>
        </w:rPr>
        <w:t>but the unchanged version of the EU law referred to in the Windsor </w:t>
      </w:r>
      <w:r>
        <w:rPr>
          <w:spacing w:val="-2"/>
          <w:w w:val="115"/>
        </w:rPr>
        <w:t>Framework</w:t>
      </w:r>
      <w:r>
        <w:rPr>
          <w:spacing w:val="-11"/>
          <w:w w:val="115"/>
        </w:rPr>
        <w:t> </w:t>
      </w:r>
      <w:r>
        <w:rPr>
          <w:spacing w:val="-2"/>
          <w:w w:val="115"/>
        </w:rPr>
        <w:t>would</w:t>
      </w:r>
      <w:r>
        <w:rPr>
          <w:spacing w:val="-11"/>
          <w:w w:val="115"/>
        </w:rPr>
        <w:t> </w:t>
      </w:r>
      <w:r>
        <w:rPr>
          <w:spacing w:val="-2"/>
          <w:w w:val="115"/>
        </w:rPr>
        <w:t>remain</w:t>
      </w:r>
      <w:r>
        <w:rPr>
          <w:spacing w:val="-11"/>
          <w:w w:val="115"/>
        </w:rPr>
        <w:t> </w:t>
      </w:r>
      <w:r>
        <w:rPr>
          <w:spacing w:val="-2"/>
          <w:w w:val="115"/>
        </w:rPr>
        <w:t>applicable </w:t>
      </w:r>
      <w:r>
        <w:rPr>
          <w:w w:val="115"/>
        </w:rPr>
        <w:t>in Northern Ireland. Of itself, this does</w:t>
      </w:r>
      <w:r>
        <w:rPr>
          <w:spacing w:val="-18"/>
          <w:w w:val="115"/>
        </w:rPr>
        <w:t> </w:t>
      </w:r>
      <w:r>
        <w:rPr>
          <w:w w:val="115"/>
        </w:rPr>
        <w:t>not</w:t>
      </w:r>
      <w:r>
        <w:rPr>
          <w:spacing w:val="-18"/>
          <w:w w:val="115"/>
        </w:rPr>
        <w:t> </w:t>
      </w:r>
      <w:r>
        <w:rPr>
          <w:w w:val="115"/>
        </w:rPr>
        <w:t>pose</w:t>
      </w:r>
      <w:r>
        <w:rPr>
          <w:spacing w:val="-18"/>
          <w:w w:val="115"/>
        </w:rPr>
        <w:t> </w:t>
      </w:r>
      <w:r>
        <w:rPr>
          <w:w w:val="115"/>
        </w:rPr>
        <w:t>a</w:t>
      </w:r>
      <w:r>
        <w:rPr>
          <w:spacing w:val="-18"/>
          <w:w w:val="115"/>
        </w:rPr>
        <w:t> </w:t>
      </w:r>
      <w:r>
        <w:rPr>
          <w:w w:val="115"/>
        </w:rPr>
        <w:t>problem</w:t>
      </w:r>
      <w:r>
        <w:rPr>
          <w:spacing w:val="-18"/>
          <w:w w:val="115"/>
        </w:rPr>
        <w:t> </w:t>
      </w:r>
      <w:r>
        <w:rPr>
          <w:w w:val="115"/>
        </w:rPr>
        <w:t>for</w:t>
      </w:r>
      <w:r>
        <w:rPr>
          <w:spacing w:val="-18"/>
          <w:w w:val="115"/>
        </w:rPr>
        <w:t> </w:t>
      </w:r>
      <w:r>
        <w:rPr>
          <w:w w:val="115"/>
        </w:rPr>
        <w:t>Charter applicability.</w:t>
      </w:r>
      <w:r>
        <w:rPr>
          <w:spacing w:val="-5"/>
          <w:w w:val="115"/>
        </w:rPr>
        <w:t> </w:t>
      </w:r>
      <w:r>
        <w:rPr>
          <w:w w:val="115"/>
        </w:rPr>
        <w:t>However,</w:t>
      </w:r>
      <w:r>
        <w:rPr>
          <w:spacing w:val="-5"/>
          <w:w w:val="115"/>
        </w:rPr>
        <w:t> </w:t>
      </w:r>
      <w:r>
        <w:rPr>
          <w:w w:val="115"/>
        </w:rPr>
        <w:t>if</w:t>
      </w:r>
      <w:r>
        <w:rPr>
          <w:spacing w:val="-5"/>
          <w:w w:val="115"/>
        </w:rPr>
        <w:t> </w:t>
      </w:r>
      <w:r>
        <w:rPr>
          <w:w w:val="115"/>
        </w:rPr>
        <w:t>the</w:t>
      </w:r>
      <w:r>
        <w:rPr>
          <w:spacing w:val="-5"/>
          <w:w w:val="115"/>
        </w:rPr>
        <w:t> </w:t>
      </w:r>
      <w:r>
        <w:rPr>
          <w:w w:val="115"/>
        </w:rPr>
        <w:t>CJEU </w:t>
      </w:r>
      <w:r>
        <w:rPr>
          <w:w w:val="110"/>
        </w:rPr>
        <w:t>should subsequently use the Charter </w:t>
      </w:r>
      <w:r>
        <w:rPr>
          <w:w w:val="115"/>
        </w:rPr>
        <w:t>to</w:t>
      </w:r>
      <w:r>
        <w:rPr>
          <w:spacing w:val="-20"/>
          <w:w w:val="115"/>
        </w:rPr>
        <w:t> </w:t>
      </w:r>
      <w:r>
        <w:rPr>
          <w:w w:val="115"/>
        </w:rPr>
        <w:t>interpret</w:t>
      </w:r>
      <w:r>
        <w:rPr>
          <w:spacing w:val="-19"/>
          <w:w w:val="115"/>
        </w:rPr>
        <w:t> </w:t>
      </w:r>
      <w:r>
        <w:rPr>
          <w:w w:val="115"/>
        </w:rPr>
        <w:t>the</w:t>
      </w:r>
      <w:r>
        <w:rPr>
          <w:spacing w:val="-19"/>
          <w:w w:val="115"/>
        </w:rPr>
        <w:t> </w:t>
      </w:r>
      <w:r>
        <w:rPr>
          <w:rFonts w:ascii="Verdana" w:hAnsi="Verdana"/>
          <w:i/>
          <w:w w:val="115"/>
        </w:rPr>
        <w:t>amended</w:t>
      </w:r>
      <w:r>
        <w:rPr>
          <w:rFonts w:ascii="Verdana" w:hAnsi="Verdana"/>
          <w:i/>
          <w:spacing w:val="-26"/>
          <w:w w:val="115"/>
        </w:rPr>
        <w:t> </w:t>
      </w:r>
      <w:r>
        <w:rPr>
          <w:w w:val="115"/>
        </w:rPr>
        <w:t>measure, then</w:t>
      </w:r>
      <w:r>
        <w:rPr>
          <w:spacing w:val="-16"/>
          <w:w w:val="115"/>
        </w:rPr>
        <w:t> </w:t>
      </w:r>
      <w:r>
        <w:rPr>
          <w:w w:val="115"/>
        </w:rPr>
        <w:t>the</w:t>
      </w:r>
      <w:r>
        <w:rPr>
          <w:spacing w:val="-16"/>
          <w:w w:val="115"/>
        </w:rPr>
        <w:t> </w:t>
      </w:r>
      <w:r>
        <w:rPr>
          <w:w w:val="115"/>
        </w:rPr>
        <w:t>consequent</w:t>
      </w:r>
      <w:r>
        <w:rPr>
          <w:spacing w:val="-16"/>
          <w:w w:val="115"/>
        </w:rPr>
        <w:t> </w:t>
      </w:r>
      <w:r>
        <w:rPr>
          <w:w w:val="115"/>
        </w:rPr>
        <w:t>judgment</w:t>
      </w:r>
      <w:r>
        <w:rPr>
          <w:spacing w:val="-16"/>
          <w:w w:val="115"/>
        </w:rPr>
        <w:t> </w:t>
      </w:r>
      <w:r>
        <w:rPr>
          <w:w w:val="115"/>
        </w:rPr>
        <w:t>may, depending on its impact on the</w:t>
      </w:r>
    </w:p>
    <w:p>
      <w:pPr>
        <w:pStyle w:val="BodyText"/>
        <w:spacing w:line="312" w:lineRule="exact" w:before="10"/>
        <w:ind w:right="317"/>
      </w:pPr>
      <w:r>
        <w:rPr>
          <w:rFonts w:ascii="Verdana"/>
          <w:i/>
        </w:rPr>
        <w:t>unamended </w:t>
      </w:r>
      <w:r>
        <w:rPr/>
        <w:t>remainder of the </w:t>
      </w:r>
      <w:r>
        <w:rPr/>
        <w:t>measure,</w:t>
      </w:r>
      <w:r>
        <w:rPr>
          <w:spacing w:val="40"/>
          <w:w w:val="110"/>
        </w:rPr>
        <w:t> </w:t>
      </w:r>
      <w:r>
        <w:rPr>
          <w:w w:val="110"/>
        </w:rPr>
        <w:t>fall</w:t>
      </w:r>
      <w:r>
        <w:rPr>
          <w:spacing w:val="56"/>
          <w:w w:val="110"/>
        </w:rPr>
        <w:t> </w:t>
      </w:r>
      <w:r>
        <w:rPr>
          <w:w w:val="110"/>
        </w:rPr>
        <w:t>within</w:t>
      </w:r>
      <w:r>
        <w:rPr>
          <w:spacing w:val="56"/>
          <w:w w:val="110"/>
        </w:rPr>
        <w:t> </w:t>
      </w:r>
      <w:r>
        <w:rPr>
          <w:w w:val="110"/>
        </w:rPr>
        <w:t>the</w:t>
      </w:r>
      <w:r>
        <w:rPr>
          <w:spacing w:val="56"/>
          <w:w w:val="110"/>
        </w:rPr>
        <w:t> </w:t>
      </w:r>
      <w:r>
        <w:rPr>
          <w:w w:val="110"/>
        </w:rPr>
        <w:t>interpretational</w:t>
      </w:r>
      <w:r>
        <w:rPr>
          <w:spacing w:val="40"/>
          <w:w w:val="110"/>
        </w:rPr>
        <w:t> </w:t>
      </w:r>
      <w:r>
        <w:rPr>
          <w:rFonts w:ascii="Lucida Sans Unicode"/>
        </w:rPr>
        <w:t>mandate under Article 13(2) Windsor </w:t>
      </w:r>
      <w:r>
        <w:rPr>
          <w:w w:val="110"/>
        </w:rPr>
        <w:t>Framework as it may well have to</w:t>
      </w:r>
    </w:p>
    <w:p>
      <w:pPr>
        <w:pStyle w:val="BodyText"/>
        <w:spacing w:line="271" w:lineRule="auto" w:before="27"/>
        <w:ind w:right="440"/>
      </w:pPr>
      <w:r>
        <w:rPr>
          <w:w w:val="115"/>
        </w:rPr>
        <w:t>be regarded ‘relevant case law’. </w:t>
      </w:r>
      <w:r>
        <w:rPr>
          <w:spacing w:val="-2"/>
          <w:w w:val="115"/>
        </w:rPr>
        <w:t>This</w:t>
      </w:r>
      <w:r>
        <w:rPr>
          <w:spacing w:val="-18"/>
          <w:w w:val="115"/>
        </w:rPr>
        <w:t> </w:t>
      </w:r>
      <w:r>
        <w:rPr>
          <w:spacing w:val="-2"/>
          <w:w w:val="115"/>
        </w:rPr>
        <w:t>would</w:t>
      </w:r>
      <w:r>
        <w:rPr>
          <w:spacing w:val="-17"/>
          <w:w w:val="115"/>
        </w:rPr>
        <w:t> </w:t>
      </w:r>
      <w:r>
        <w:rPr>
          <w:spacing w:val="-2"/>
          <w:w w:val="115"/>
        </w:rPr>
        <w:t>require</w:t>
      </w:r>
      <w:r>
        <w:rPr>
          <w:spacing w:val="-17"/>
          <w:w w:val="115"/>
        </w:rPr>
        <w:t> </w:t>
      </w:r>
      <w:r>
        <w:rPr>
          <w:spacing w:val="-2"/>
          <w:w w:val="115"/>
        </w:rPr>
        <w:t>Northern</w:t>
      </w:r>
      <w:r>
        <w:rPr>
          <w:spacing w:val="-17"/>
          <w:w w:val="115"/>
        </w:rPr>
        <w:t> </w:t>
      </w:r>
      <w:r>
        <w:rPr>
          <w:spacing w:val="-2"/>
          <w:w w:val="115"/>
        </w:rPr>
        <w:t>Ireland </w:t>
      </w:r>
      <w:r>
        <w:rPr>
          <w:w w:val="115"/>
        </w:rPr>
        <w:t>authorities to determine whether</w:t>
      </w:r>
    </w:p>
    <w:p>
      <w:pPr>
        <w:pStyle w:val="BodyText"/>
        <w:spacing w:line="261" w:lineRule="auto" w:before="2"/>
        <w:ind w:right="180"/>
        <w:rPr>
          <w:rFonts w:ascii="Lucida Sans Unicode"/>
        </w:rPr>
      </w:pPr>
      <w:r>
        <w:rPr>
          <w:w w:val="110"/>
        </w:rPr>
        <w:t>there is an impact on the old </w:t>
      </w:r>
      <w:r>
        <w:rPr>
          <w:w w:val="110"/>
        </w:rPr>
        <w:t>measure, and the extent of such an impact,</w:t>
      </w:r>
      <w:r>
        <w:rPr>
          <w:spacing w:val="40"/>
          <w:w w:val="110"/>
        </w:rPr>
        <w:t> </w:t>
      </w:r>
      <w:r>
        <w:rPr>
          <w:w w:val="110"/>
        </w:rPr>
        <w:t>when assessing whether to discharge </w:t>
      </w:r>
      <w:r>
        <w:rPr>
          <w:rFonts w:ascii="Lucida Sans Unicode"/>
        </w:rPr>
        <w:t>the Article 13(2) duty. Thus, although</w:t>
      </w:r>
    </w:p>
    <w:p>
      <w:pPr>
        <w:pStyle w:val="BodyText"/>
        <w:spacing w:line="222" w:lineRule="exact"/>
      </w:pPr>
      <w:r>
        <w:rPr>
          <w:w w:val="110"/>
        </w:rPr>
        <w:t>the</w:t>
      </w:r>
      <w:r>
        <w:rPr>
          <w:spacing w:val="9"/>
          <w:w w:val="110"/>
        </w:rPr>
        <w:t> </w:t>
      </w:r>
      <w:r>
        <w:rPr>
          <w:w w:val="110"/>
        </w:rPr>
        <w:t>Windsor</w:t>
      </w:r>
      <w:r>
        <w:rPr>
          <w:spacing w:val="9"/>
          <w:w w:val="110"/>
        </w:rPr>
        <w:t> </w:t>
      </w:r>
      <w:r>
        <w:rPr>
          <w:w w:val="110"/>
        </w:rPr>
        <w:t>Framework</w:t>
      </w:r>
      <w:r>
        <w:rPr>
          <w:spacing w:val="10"/>
          <w:w w:val="110"/>
        </w:rPr>
        <w:t> </w:t>
      </w:r>
      <w:r>
        <w:rPr>
          <w:w w:val="110"/>
        </w:rPr>
        <w:t>makes</w:t>
      </w:r>
      <w:r>
        <w:rPr>
          <w:spacing w:val="9"/>
          <w:w w:val="110"/>
        </w:rPr>
        <w:t> </w:t>
      </w:r>
      <w:r>
        <w:rPr>
          <w:spacing w:val="-10"/>
          <w:w w:val="110"/>
        </w:rPr>
        <w:t>a</w:t>
      </w:r>
    </w:p>
    <w:p>
      <w:pPr>
        <w:pStyle w:val="BodyText"/>
        <w:spacing w:line="312" w:lineRule="exact" w:before="12"/>
        <w:ind w:right="317"/>
      </w:pPr>
      <w:r>
        <w:rPr>
          <w:w w:val="110"/>
        </w:rPr>
        <w:t>distinction between the EU law it expressly lists (mandating dynamic alignment to this law) and other (including prospective) EU law, the </w:t>
      </w:r>
      <w:r>
        <w:rPr>
          <w:rFonts w:ascii="Lucida Sans Unicode"/>
        </w:rPr>
        <w:t>interpretive duty under Article 13(2) </w:t>
      </w:r>
      <w:r>
        <w:rPr>
          <w:w w:val="110"/>
        </w:rPr>
        <w:t>bridges this distinction in </w:t>
      </w:r>
      <w:r>
        <w:rPr>
          <w:w w:val="110"/>
        </w:rPr>
        <w:t>potentially unpredictable ways.</w:t>
      </w:r>
    </w:p>
    <w:p>
      <w:pPr>
        <w:spacing w:after="0" w:line="312" w:lineRule="exact"/>
        <w:sectPr>
          <w:type w:val="continuous"/>
          <w:pgSz w:w="11910" w:h="16840"/>
          <w:pgMar w:header="568" w:footer="580" w:top="0" w:bottom="280" w:left="1020" w:right="1020"/>
          <w:cols w:num="2" w:equalWidth="0">
            <w:col w:w="4733" w:space="313"/>
            <w:col w:w="4824"/>
          </w:cols>
        </w:sectPr>
      </w:pPr>
    </w:p>
    <w:p>
      <w:pPr>
        <w:pStyle w:val="BodyText"/>
        <w:ind w:left="0"/>
        <w:rPr>
          <w:sz w:val="16"/>
        </w:rPr>
      </w:pPr>
    </w:p>
    <w:p>
      <w:pPr>
        <w:pStyle w:val="BodyText"/>
        <w:spacing w:line="20" w:lineRule="exact"/>
        <w:rPr>
          <w:sz w:val="2"/>
        </w:rPr>
      </w:pPr>
      <w:r>
        <w:rPr>
          <w:sz w:val="2"/>
        </w:rPr>
        <mc:AlternateContent>
          <mc:Choice Requires="wps">
            <w:drawing>
              <wp:inline distT="0" distB="0" distL="0" distR="0">
                <wp:extent cx="6120130" cy="6350"/>
                <wp:effectExtent l="9525" t="0" r="0" b="3175"/>
                <wp:docPr id="190" name="Group 190"/>
                <wp:cNvGraphicFramePr>
                  <a:graphicFrameLocks/>
                </wp:cNvGraphicFramePr>
                <a:graphic>
                  <a:graphicData uri="http://schemas.microsoft.com/office/word/2010/wordprocessingGroup">
                    <wpg:wgp>
                      <wpg:cNvPr id="190" name="Group 190"/>
                      <wpg:cNvGrpSpPr/>
                      <wpg:grpSpPr>
                        <a:xfrm>
                          <a:off x="0" y="0"/>
                          <a:ext cx="6120130" cy="6350"/>
                          <a:chExt cx="6120130" cy="6350"/>
                        </a:xfrm>
                      </wpg:grpSpPr>
                      <wps:wsp>
                        <wps:cNvPr id="191" name="Graphic 191"/>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114"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14"/>
        </w:numPr>
        <w:tabs>
          <w:tab w:pos="567" w:val="left" w:leader="none"/>
        </w:tabs>
        <w:spacing w:line="194" w:lineRule="auto" w:before="94" w:after="0"/>
        <w:ind w:left="567" w:right="700" w:hanging="454"/>
        <w:jc w:val="left"/>
        <w:rPr>
          <w:sz w:val="16"/>
        </w:rPr>
      </w:pPr>
      <w:r>
        <w:rPr>
          <w:w w:val="105"/>
          <w:sz w:val="16"/>
        </w:rPr>
        <w:t>Steve</w:t>
      </w:r>
      <w:r>
        <w:rPr>
          <w:spacing w:val="-11"/>
          <w:w w:val="105"/>
          <w:sz w:val="16"/>
        </w:rPr>
        <w:t> </w:t>
      </w:r>
      <w:r>
        <w:rPr>
          <w:w w:val="105"/>
          <w:sz w:val="16"/>
        </w:rPr>
        <w:t>Peers,</w:t>
      </w:r>
      <w:r>
        <w:rPr>
          <w:spacing w:val="-11"/>
          <w:w w:val="105"/>
          <w:sz w:val="16"/>
        </w:rPr>
        <w:t> </w:t>
      </w:r>
      <w:r>
        <w:rPr>
          <w:w w:val="105"/>
          <w:sz w:val="16"/>
        </w:rPr>
        <w:t>‘</w:t>
      </w:r>
      <w:hyperlink r:id="rId44">
        <w:r>
          <w:rPr>
            <w:color w:val="77328A"/>
            <w:w w:val="105"/>
            <w:sz w:val="16"/>
            <w:u w:val="single" w:color="77328A"/>
          </w:rPr>
          <w:t>Just</w:t>
        </w:r>
        <w:r>
          <w:rPr>
            <w:color w:val="77328A"/>
            <w:spacing w:val="-11"/>
            <w:w w:val="105"/>
            <w:sz w:val="16"/>
            <w:u w:val="single" w:color="77328A"/>
          </w:rPr>
          <w:t> </w:t>
        </w:r>
        <w:r>
          <w:rPr>
            <w:color w:val="77328A"/>
            <w:w w:val="105"/>
            <w:sz w:val="16"/>
            <w:u w:val="single" w:color="77328A"/>
          </w:rPr>
          <w:t>Say</w:t>
        </w:r>
        <w:r>
          <w:rPr>
            <w:color w:val="77328A"/>
            <w:spacing w:val="-11"/>
            <w:w w:val="105"/>
            <w:sz w:val="16"/>
            <w:u w:val="single" w:color="77328A"/>
          </w:rPr>
          <w:t> </w:t>
        </w:r>
        <w:r>
          <w:rPr>
            <w:color w:val="77328A"/>
            <w:w w:val="105"/>
            <w:sz w:val="16"/>
            <w:u w:val="single" w:color="77328A"/>
          </w:rPr>
          <w:t>No?</w:t>
        </w:r>
        <w:r>
          <w:rPr>
            <w:color w:val="77328A"/>
            <w:spacing w:val="-11"/>
            <w:w w:val="105"/>
            <w:sz w:val="16"/>
            <w:u w:val="single" w:color="77328A"/>
          </w:rPr>
          <w:t> </w:t>
        </w:r>
        <w:r>
          <w:rPr>
            <w:color w:val="77328A"/>
            <w:w w:val="105"/>
            <w:sz w:val="16"/>
            <w:u w:val="single" w:color="77328A"/>
          </w:rPr>
          <w:t>The</w:t>
        </w:r>
        <w:r>
          <w:rPr>
            <w:color w:val="77328A"/>
            <w:spacing w:val="-11"/>
            <w:w w:val="105"/>
            <w:sz w:val="16"/>
            <w:u w:val="single" w:color="77328A"/>
          </w:rPr>
          <w:t> </w:t>
        </w:r>
        <w:r>
          <w:rPr>
            <w:color w:val="77328A"/>
            <w:w w:val="105"/>
            <w:sz w:val="16"/>
            <w:u w:val="single" w:color="77328A"/>
          </w:rPr>
          <w:t>new</w:t>
        </w:r>
        <w:r>
          <w:rPr>
            <w:color w:val="77328A"/>
            <w:spacing w:val="-11"/>
            <w:w w:val="105"/>
            <w:sz w:val="16"/>
            <w:u w:val="single" w:color="77328A"/>
          </w:rPr>
          <w:t> </w:t>
        </w:r>
        <w:r>
          <w:rPr>
            <w:color w:val="77328A"/>
            <w:w w:val="105"/>
            <w:sz w:val="16"/>
            <w:u w:val="single" w:color="77328A"/>
          </w:rPr>
          <w:t>‘Stormont</w:t>
        </w:r>
        <w:r>
          <w:rPr>
            <w:color w:val="77328A"/>
            <w:spacing w:val="-11"/>
            <w:w w:val="105"/>
            <w:sz w:val="16"/>
            <w:u w:val="single" w:color="77328A"/>
          </w:rPr>
          <w:t> </w:t>
        </w:r>
        <w:r>
          <w:rPr>
            <w:color w:val="77328A"/>
            <w:w w:val="105"/>
            <w:sz w:val="16"/>
            <w:u w:val="single" w:color="77328A"/>
          </w:rPr>
          <w:t>Brake’</w:t>
        </w:r>
        <w:r>
          <w:rPr>
            <w:color w:val="77328A"/>
            <w:spacing w:val="-11"/>
            <w:w w:val="105"/>
            <w:sz w:val="16"/>
            <w:u w:val="single" w:color="77328A"/>
          </w:rPr>
          <w:t> </w:t>
        </w:r>
        <w:r>
          <w:rPr>
            <w:color w:val="77328A"/>
            <w:w w:val="105"/>
            <w:sz w:val="16"/>
            <w:u w:val="single" w:color="77328A"/>
          </w:rPr>
          <w:t>in</w:t>
        </w:r>
        <w:r>
          <w:rPr>
            <w:color w:val="77328A"/>
            <w:spacing w:val="-11"/>
            <w:w w:val="105"/>
            <w:sz w:val="16"/>
            <w:u w:val="single" w:color="77328A"/>
          </w:rPr>
          <w:t> </w:t>
        </w:r>
        <w:r>
          <w:rPr>
            <w:color w:val="77328A"/>
            <w:w w:val="105"/>
            <w:sz w:val="16"/>
            <w:u w:val="single" w:color="77328A"/>
          </w:rPr>
          <w:t>the</w:t>
        </w:r>
        <w:r>
          <w:rPr>
            <w:color w:val="77328A"/>
            <w:spacing w:val="-11"/>
            <w:w w:val="105"/>
            <w:sz w:val="16"/>
            <w:u w:val="single" w:color="77328A"/>
          </w:rPr>
          <w:t> </w:t>
        </w:r>
        <w:r>
          <w:rPr>
            <w:color w:val="77328A"/>
            <w:w w:val="105"/>
            <w:sz w:val="16"/>
            <w:u w:val="single" w:color="77328A"/>
          </w:rPr>
          <w:t>Windsor</w:t>
        </w:r>
        <w:r>
          <w:rPr>
            <w:color w:val="77328A"/>
            <w:spacing w:val="-11"/>
            <w:w w:val="105"/>
            <w:sz w:val="16"/>
            <w:u w:val="single" w:color="77328A"/>
          </w:rPr>
          <w:t> </w:t>
        </w:r>
        <w:r>
          <w:rPr>
            <w:color w:val="77328A"/>
            <w:w w:val="105"/>
            <w:sz w:val="16"/>
            <w:u w:val="single" w:color="77328A"/>
          </w:rPr>
          <w:t>Framework</w:t>
        </w:r>
        <w:r>
          <w:rPr>
            <w:color w:val="77328A"/>
            <w:spacing w:val="-11"/>
            <w:w w:val="105"/>
            <w:sz w:val="16"/>
            <w:u w:val="single" w:color="77328A"/>
          </w:rPr>
          <w:t> </w:t>
        </w:r>
        <w:r>
          <w:rPr>
            <w:color w:val="77328A"/>
            <w:w w:val="105"/>
            <w:sz w:val="16"/>
            <w:u w:val="single" w:color="77328A"/>
          </w:rPr>
          <w:t>(part</w:t>
        </w:r>
        <w:r>
          <w:rPr>
            <w:color w:val="77328A"/>
            <w:spacing w:val="-11"/>
            <w:w w:val="105"/>
            <w:sz w:val="16"/>
            <w:u w:val="single" w:color="77328A"/>
          </w:rPr>
          <w:t> </w:t>
        </w:r>
        <w:r>
          <w:rPr>
            <w:color w:val="77328A"/>
            <w:w w:val="105"/>
            <w:sz w:val="16"/>
            <w:u w:val="single" w:color="77328A"/>
          </w:rPr>
          <w:t>2</w:t>
        </w:r>
        <w:r>
          <w:rPr>
            <w:color w:val="77328A"/>
            <w:spacing w:val="-11"/>
            <w:w w:val="105"/>
            <w:sz w:val="16"/>
            <w:u w:val="single" w:color="77328A"/>
          </w:rPr>
          <w:t> </w:t>
        </w:r>
        <w:r>
          <w:rPr>
            <w:color w:val="77328A"/>
            <w:w w:val="105"/>
            <w:sz w:val="16"/>
            <w:u w:val="single" w:color="77328A"/>
          </w:rPr>
          <w:t>of</w:t>
        </w:r>
        <w:r>
          <w:rPr>
            <w:color w:val="77328A"/>
            <w:spacing w:val="-11"/>
            <w:w w:val="105"/>
            <w:sz w:val="16"/>
            <w:u w:val="single" w:color="77328A"/>
          </w:rPr>
          <w:t> </w:t>
        </w:r>
        <w:r>
          <w:rPr>
            <w:color w:val="77328A"/>
            <w:w w:val="105"/>
            <w:sz w:val="16"/>
            <w:u w:val="single" w:color="77328A"/>
          </w:rPr>
          <w:t>the</w:t>
        </w:r>
        <w:r>
          <w:rPr>
            <w:color w:val="77328A"/>
            <w:spacing w:val="-11"/>
            <w:w w:val="105"/>
            <w:sz w:val="16"/>
            <w:u w:val="single" w:color="77328A"/>
          </w:rPr>
          <w:t> </w:t>
        </w:r>
        <w:r>
          <w:rPr>
            <w:color w:val="77328A"/>
            <w:w w:val="105"/>
            <w:sz w:val="16"/>
            <w:u w:val="single" w:color="77328A"/>
          </w:rPr>
          <w:t>analysis</w:t>
        </w:r>
        <w:r>
          <w:rPr>
            <w:color w:val="77328A"/>
            <w:spacing w:val="-11"/>
            <w:w w:val="105"/>
            <w:sz w:val="16"/>
            <w:u w:val="single" w:color="77328A"/>
          </w:rPr>
          <w:t> </w:t>
        </w:r>
        <w:r>
          <w:rPr>
            <w:color w:val="77328A"/>
            <w:w w:val="105"/>
            <w:sz w:val="16"/>
            <w:u w:val="single" w:color="77328A"/>
          </w:rPr>
          <w:t>of</w:t>
        </w:r>
        <w:r>
          <w:rPr>
            <w:color w:val="77328A"/>
            <w:spacing w:val="-11"/>
            <w:w w:val="105"/>
            <w:sz w:val="16"/>
            <w:u w:val="single" w:color="77328A"/>
          </w:rPr>
          <w:t> </w:t>
        </w:r>
        <w:r>
          <w:rPr>
            <w:color w:val="77328A"/>
            <w:w w:val="105"/>
            <w:sz w:val="16"/>
            <w:u w:val="single" w:color="77328A"/>
          </w:rPr>
          <w:t>the</w:t>
        </w:r>
      </w:hyperlink>
      <w:r>
        <w:rPr>
          <w:color w:val="77328A"/>
          <w:w w:val="105"/>
          <w:sz w:val="16"/>
          <w:u w:val="none"/>
        </w:rPr>
        <w:t> </w:t>
      </w:r>
      <w:hyperlink r:id="rId44">
        <w:r>
          <w:rPr>
            <w:rFonts w:ascii="Arial" w:hAnsi="Arial"/>
            <w:color w:val="77328A"/>
            <w:w w:val="105"/>
            <w:sz w:val="16"/>
            <w:u w:val="single" w:color="77328A"/>
          </w:rPr>
          <w:t>framework)</w:t>
        </w:r>
      </w:hyperlink>
      <w:r>
        <w:rPr>
          <w:w w:val="105"/>
          <w:sz w:val="16"/>
          <w:u w:val="none"/>
        </w:rPr>
        <w:t>’ EU Law Analysis, 5 March 2023.</w:t>
      </w:r>
    </w:p>
    <w:p>
      <w:pPr>
        <w:spacing w:after="0" w:line="194" w:lineRule="auto"/>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232" w:lineRule="auto" w:before="79"/>
        <w:ind w:right="309"/>
      </w:pPr>
      <w:bookmarkStart w:name="4. The Stormont brake" w:id="84"/>
      <w:bookmarkEnd w:id="84"/>
      <w:r>
        <w:rPr/>
      </w:r>
      <w:bookmarkStart w:name="5.  How the Stormont Brake functions in " w:id="85"/>
      <w:bookmarkEnd w:id="85"/>
      <w:r>
        <w:rPr/>
      </w:r>
      <w:bookmarkStart w:name="_bookmark35" w:id="86"/>
      <w:bookmarkEnd w:id="86"/>
      <w:r>
        <w:rPr/>
      </w:r>
      <w:r>
        <w:rPr>
          <w:w w:val="105"/>
        </w:rPr>
        <w:t>The same issue would in theory </w:t>
      </w:r>
      <w:r>
        <w:rPr>
          <w:w w:val="105"/>
        </w:rPr>
        <w:t>arise</w:t>
      </w:r>
      <w:r>
        <w:rPr>
          <w:spacing w:val="40"/>
          <w:w w:val="105"/>
        </w:rPr>
        <w:t> </w:t>
      </w:r>
      <w:r>
        <w:rPr>
          <w:rFonts w:ascii="Lucida Sans Unicode"/>
          <w:w w:val="105"/>
        </w:rPr>
        <w:t>if the Stormont brake mechanism </w:t>
      </w:r>
      <w:r>
        <w:rPr>
          <w:w w:val="105"/>
        </w:rPr>
        <w:t>were used, as we explore below.</w:t>
      </w:r>
    </w:p>
    <w:p>
      <w:pPr>
        <w:pStyle w:val="BodyText"/>
        <w:spacing w:before="54"/>
        <w:ind w:left="0"/>
      </w:pPr>
    </w:p>
    <w:p>
      <w:pPr>
        <w:pStyle w:val="Heading3"/>
        <w:numPr>
          <w:ilvl w:val="0"/>
          <w:numId w:val="18"/>
        </w:numPr>
        <w:tabs>
          <w:tab w:pos="680" w:val="left" w:leader="none"/>
        </w:tabs>
        <w:spacing w:line="240" w:lineRule="auto" w:before="0" w:after="0"/>
        <w:ind w:left="680" w:right="0" w:hanging="567"/>
        <w:jc w:val="left"/>
      </w:pPr>
      <w:r>
        <w:rPr>
          <w:color w:val="77328A"/>
        </w:rPr>
        <w:t>The</w:t>
      </w:r>
      <w:r>
        <w:rPr>
          <w:color w:val="77328A"/>
          <w:spacing w:val="9"/>
        </w:rPr>
        <w:t> </w:t>
      </w:r>
      <w:r>
        <w:rPr>
          <w:color w:val="77328A"/>
        </w:rPr>
        <w:t>Stormont</w:t>
      </w:r>
      <w:r>
        <w:rPr>
          <w:color w:val="77328A"/>
          <w:spacing w:val="10"/>
        </w:rPr>
        <w:t> </w:t>
      </w:r>
      <w:r>
        <w:rPr>
          <w:color w:val="77328A"/>
          <w:spacing w:val="-2"/>
        </w:rPr>
        <w:t>brake</w:t>
      </w:r>
    </w:p>
    <w:p>
      <w:pPr>
        <w:pStyle w:val="BodyText"/>
        <w:spacing w:line="232" w:lineRule="auto" w:before="165"/>
        <w:ind w:right="540"/>
        <w:rPr>
          <w:rFonts w:ascii="Lucida Sans Unicode"/>
        </w:rPr>
      </w:pPr>
      <w:r>
        <w:rPr>
          <w:rFonts w:ascii="Lucida Sans Unicode"/>
        </w:rPr>
        <w:t>The so-called Stormont brake </w:t>
      </w:r>
      <w:r>
        <w:rPr>
          <w:w w:val="110"/>
        </w:rPr>
        <w:t>mechanism entered into force on</w:t>
      </w:r>
      <w:r>
        <w:rPr>
          <w:spacing w:val="40"/>
          <w:w w:val="110"/>
        </w:rPr>
        <w:t> </w:t>
      </w:r>
      <w:r>
        <w:rPr>
          <w:rFonts w:ascii="Lucida Sans Unicode"/>
          <w:spacing w:val="-2"/>
          <w:w w:val="110"/>
        </w:rPr>
        <w:t>2</w:t>
      </w:r>
      <w:r>
        <w:rPr>
          <w:rFonts w:ascii="Lucida Sans Unicode"/>
          <w:spacing w:val="-18"/>
          <w:w w:val="110"/>
        </w:rPr>
        <w:t> </w:t>
      </w:r>
      <w:r>
        <w:rPr>
          <w:rFonts w:ascii="Lucida Sans Unicode"/>
          <w:spacing w:val="-2"/>
          <w:w w:val="110"/>
        </w:rPr>
        <w:t>February</w:t>
      </w:r>
      <w:r>
        <w:rPr>
          <w:rFonts w:ascii="Lucida Sans Unicode"/>
          <w:spacing w:val="-18"/>
          <w:w w:val="110"/>
        </w:rPr>
        <w:t> </w:t>
      </w:r>
      <w:r>
        <w:rPr>
          <w:rFonts w:ascii="Lucida Sans Unicode"/>
          <w:spacing w:val="-2"/>
          <w:w w:val="110"/>
        </w:rPr>
        <w:t>2024</w:t>
      </w:r>
      <w:r>
        <w:rPr>
          <w:rFonts w:ascii="Lucida Sans Unicode"/>
          <w:spacing w:val="-18"/>
          <w:w w:val="110"/>
        </w:rPr>
        <w:t> </w:t>
      </w:r>
      <w:r>
        <w:rPr>
          <w:rFonts w:ascii="Lucida Sans Unicode"/>
          <w:spacing w:val="-2"/>
          <w:w w:val="110"/>
        </w:rPr>
        <w:t>following</w:t>
      </w:r>
      <w:r>
        <w:rPr>
          <w:rFonts w:ascii="Lucida Sans Unicode"/>
          <w:spacing w:val="-18"/>
          <w:w w:val="110"/>
        </w:rPr>
        <w:t> </w:t>
      </w:r>
      <w:r>
        <w:rPr>
          <w:rFonts w:ascii="Lucida Sans Unicode"/>
          <w:spacing w:val="-2"/>
          <w:w w:val="110"/>
        </w:rPr>
        <w:t>the </w:t>
      </w:r>
      <w:r>
        <w:rPr>
          <w:w w:val="110"/>
        </w:rPr>
        <w:t>entry into force of the Windsor </w:t>
      </w:r>
      <w:r>
        <w:rPr>
          <w:rFonts w:ascii="Lucida Sans Unicode"/>
        </w:rPr>
        <w:t>Framework (Democratic </w:t>
      </w:r>
      <w:r>
        <w:rPr>
          <w:rFonts w:ascii="Lucida Sans Unicode"/>
        </w:rPr>
        <w:t>Scrutiny)</w:t>
      </w:r>
    </w:p>
    <w:p>
      <w:pPr>
        <w:pStyle w:val="BodyText"/>
        <w:spacing w:line="283" w:lineRule="exact"/>
      </w:pPr>
      <w:r>
        <w:rPr>
          <w:w w:val="105"/>
        </w:rPr>
        <w:t>Regulations.</w:t>
      </w:r>
      <w:r>
        <w:rPr>
          <w:rFonts w:ascii="Lucida Sans Unicode"/>
          <w:w w:val="105"/>
          <w:vertAlign w:val="superscript"/>
        </w:rPr>
        <w:t>312</w:t>
      </w:r>
      <w:r>
        <w:rPr>
          <w:rFonts w:ascii="Lucida Sans Unicode"/>
          <w:spacing w:val="-38"/>
          <w:w w:val="105"/>
          <w:vertAlign w:val="baseline"/>
        </w:rPr>
        <w:t> </w:t>
      </w:r>
      <w:r>
        <w:rPr>
          <w:rFonts w:ascii="Lucida Sans Unicode"/>
          <w:vertAlign w:val="superscript"/>
        </w:rPr>
        <w:t>313</w:t>
      </w:r>
      <w:r>
        <w:rPr>
          <w:rFonts w:ascii="Lucida Sans Unicode"/>
          <w:spacing w:val="-19"/>
          <w:vertAlign w:val="baseline"/>
        </w:rPr>
        <w:t> </w:t>
      </w:r>
      <w:r>
        <w:rPr>
          <w:w w:val="105"/>
          <w:vertAlign w:val="baseline"/>
        </w:rPr>
        <w:t>A</w:t>
      </w:r>
      <w:r>
        <w:rPr>
          <w:spacing w:val="-18"/>
          <w:w w:val="105"/>
          <w:vertAlign w:val="baseline"/>
        </w:rPr>
        <w:t> </w:t>
      </w:r>
      <w:r>
        <w:rPr>
          <w:w w:val="105"/>
          <w:vertAlign w:val="baseline"/>
        </w:rPr>
        <w:t>number</w:t>
      </w:r>
      <w:r>
        <w:rPr>
          <w:spacing w:val="-11"/>
          <w:w w:val="105"/>
          <w:vertAlign w:val="baseline"/>
        </w:rPr>
        <w:t> </w:t>
      </w:r>
      <w:r>
        <w:rPr>
          <w:spacing w:val="-5"/>
          <w:w w:val="105"/>
          <w:vertAlign w:val="baseline"/>
        </w:rPr>
        <w:t>of</w:t>
      </w:r>
    </w:p>
    <w:p>
      <w:pPr>
        <w:pStyle w:val="BodyText"/>
        <w:spacing w:line="213" w:lineRule="auto"/>
        <w:ind w:right="47"/>
      </w:pPr>
      <w:r>
        <w:rPr>
          <w:rFonts w:ascii="Lucida Sans Unicode"/>
          <w:spacing w:val="-2"/>
          <w:w w:val="105"/>
        </w:rPr>
        <w:t>conditions</w:t>
      </w:r>
      <w:r>
        <w:rPr>
          <w:rFonts w:ascii="Lucida Sans Unicode"/>
          <w:spacing w:val="-18"/>
          <w:w w:val="105"/>
        </w:rPr>
        <w:t> </w:t>
      </w:r>
      <w:r>
        <w:rPr>
          <w:rFonts w:ascii="Lucida Sans Unicode"/>
          <w:spacing w:val="-2"/>
          <w:w w:val="105"/>
        </w:rPr>
        <w:t>need</w:t>
      </w:r>
      <w:r>
        <w:rPr>
          <w:rFonts w:ascii="Lucida Sans Unicode"/>
          <w:spacing w:val="-18"/>
          <w:w w:val="105"/>
        </w:rPr>
        <w:t> </w:t>
      </w:r>
      <w:r>
        <w:rPr>
          <w:rFonts w:ascii="Lucida Sans Unicode"/>
          <w:spacing w:val="-2"/>
          <w:w w:val="105"/>
        </w:rPr>
        <w:t>to</w:t>
      </w:r>
      <w:r>
        <w:rPr>
          <w:rFonts w:ascii="Lucida Sans Unicode"/>
          <w:spacing w:val="-18"/>
          <w:w w:val="105"/>
        </w:rPr>
        <w:t> </w:t>
      </w:r>
      <w:r>
        <w:rPr>
          <w:rFonts w:ascii="Lucida Sans Unicode"/>
          <w:spacing w:val="-2"/>
          <w:w w:val="105"/>
        </w:rPr>
        <w:t>be</w:t>
      </w:r>
      <w:r>
        <w:rPr>
          <w:rFonts w:ascii="Lucida Sans Unicode"/>
          <w:spacing w:val="-18"/>
          <w:w w:val="105"/>
        </w:rPr>
        <w:t> </w:t>
      </w:r>
      <w:r>
        <w:rPr>
          <w:rFonts w:ascii="Lucida Sans Unicode"/>
          <w:spacing w:val="-2"/>
          <w:w w:val="105"/>
        </w:rPr>
        <w:t>satisfied</w:t>
      </w:r>
      <w:r>
        <w:rPr>
          <w:rFonts w:ascii="Lucida Sans Unicode"/>
          <w:spacing w:val="-18"/>
          <w:w w:val="105"/>
        </w:rPr>
        <w:t> </w:t>
      </w:r>
      <w:r>
        <w:rPr>
          <w:rFonts w:ascii="Lucida Sans Unicode"/>
          <w:spacing w:val="-2"/>
          <w:w w:val="105"/>
        </w:rPr>
        <w:t>before </w:t>
      </w:r>
      <w:r>
        <w:rPr>
          <w:w w:val="105"/>
        </w:rPr>
        <w:t>the brake can be triggered.</w:t>
      </w:r>
      <w:r>
        <w:rPr>
          <w:rFonts w:ascii="Lucida Sans Unicode"/>
          <w:w w:val="105"/>
          <w:vertAlign w:val="superscript"/>
        </w:rPr>
        <w:t>314</w:t>
      </w:r>
      <w:r>
        <w:rPr>
          <w:rFonts w:ascii="Lucida Sans Unicode"/>
          <w:w w:val="105"/>
          <w:vertAlign w:val="baseline"/>
        </w:rPr>
        <w:t> </w:t>
      </w:r>
      <w:r>
        <w:rPr>
          <w:w w:val="105"/>
          <w:vertAlign w:val="baseline"/>
        </w:rPr>
        <w:t>The</w:t>
      </w:r>
      <w:r>
        <w:rPr>
          <w:spacing w:val="40"/>
          <w:w w:val="105"/>
          <w:vertAlign w:val="baseline"/>
        </w:rPr>
        <w:t> </w:t>
      </w:r>
      <w:r>
        <w:rPr>
          <w:w w:val="105"/>
          <w:vertAlign w:val="baseline"/>
        </w:rPr>
        <w:t>detail</w:t>
      </w:r>
      <w:r>
        <w:rPr>
          <w:spacing w:val="40"/>
          <w:w w:val="105"/>
          <w:vertAlign w:val="baseline"/>
        </w:rPr>
        <w:t> </w:t>
      </w:r>
      <w:r>
        <w:rPr>
          <w:w w:val="105"/>
          <w:vertAlign w:val="baseline"/>
        </w:rPr>
        <w:t>of</w:t>
      </w:r>
      <w:r>
        <w:rPr>
          <w:spacing w:val="40"/>
          <w:w w:val="105"/>
          <w:vertAlign w:val="baseline"/>
        </w:rPr>
        <w:t> </w:t>
      </w:r>
      <w:r>
        <w:rPr>
          <w:w w:val="105"/>
          <w:vertAlign w:val="baseline"/>
        </w:rPr>
        <w:t>these</w:t>
      </w:r>
      <w:r>
        <w:rPr>
          <w:spacing w:val="40"/>
          <w:w w:val="105"/>
          <w:vertAlign w:val="baseline"/>
        </w:rPr>
        <w:t> </w:t>
      </w:r>
      <w:r>
        <w:rPr>
          <w:w w:val="105"/>
          <w:vertAlign w:val="baseline"/>
        </w:rPr>
        <w:t>conditions</w:t>
      </w:r>
      <w:r>
        <w:rPr>
          <w:spacing w:val="40"/>
          <w:w w:val="105"/>
          <w:vertAlign w:val="baseline"/>
        </w:rPr>
        <w:t> </w:t>
      </w:r>
      <w:r>
        <w:rPr>
          <w:w w:val="105"/>
          <w:vertAlign w:val="baseline"/>
        </w:rPr>
        <w:t>is</w:t>
      </w:r>
      <w:r>
        <w:rPr>
          <w:spacing w:val="40"/>
          <w:w w:val="105"/>
          <w:vertAlign w:val="baseline"/>
        </w:rPr>
        <w:t> </w:t>
      </w:r>
      <w:r>
        <w:rPr>
          <w:w w:val="105"/>
          <w:vertAlign w:val="baseline"/>
        </w:rPr>
        <w:t>not</w:t>
      </w:r>
      <w:r>
        <w:rPr>
          <w:spacing w:val="40"/>
          <w:w w:val="105"/>
          <w:vertAlign w:val="baseline"/>
        </w:rPr>
        <w:t> </w:t>
      </w:r>
      <w:r>
        <w:rPr>
          <w:w w:val="105"/>
          <w:vertAlign w:val="baseline"/>
        </w:rPr>
        <w:t>as</w:t>
      </w:r>
    </w:p>
    <w:p>
      <w:pPr>
        <w:pStyle w:val="BodyText"/>
        <w:spacing w:line="312" w:lineRule="exact" w:before="18"/>
        <w:ind w:right="133"/>
        <w:rPr>
          <w:rFonts w:ascii="Lucida Sans Unicode"/>
        </w:rPr>
      </w:pPr>
      <w:r>
        <w:rPr>
          <w:w w:val="110"/>
        </w:rPr>
        <w:t>relevant to the question of Charter applicability as the effect of the </w:t>
      </w:r>
      <w:r>
        <w:rPr>
          <w:w w:val="110"/>
        </w:rPr>
        <w:t>brake being</w:t>
      </w:r>
      <w:r>
        <w:rPr>
          <w:spacing w:val="39"/>
          <w:w w:val="110"/>
        </w:rPr>
        <w:t> </w:t>
      </w:r>
      <w:r>
        <w:rPr>
          <w:w w:val="110"/>
        </w:rPr>
        <w:t>triggered.</w:t>
      </w:r>
      <w:r>
        <w:rPr>
          <w:spacing w:val="39"/>
          <w:w w:val="110"/>
        </w:rPr>
        <w:t> </w:t>
      </w:r>
      <w:r>
        <w:rPr>
          <w:w w:val="110"/>
        </w:rPr>
        <w:t>This</w:t>
      </w:r>
      <w:r>
        <w:rPr>
          <w:spacing w:val="39"/>
          <w:w w:val="110"/>
        </w:rPr>
        <w:t> </w:t>
      </w:r>
      <w:r>
        <w:rPr>
          <w:w w:val="110"/>
        </w:rPr>
        <w:t>is</w:t>
      </w:r>
      <w:r>
        <w:rPr>
          <w:spacing w:val="39"/>
          <w:w w:val="110"/>
        </w:rPr>
        <w:t> </w:t>
      </w:r>
      <w:r>
        <w:rPr>
          <w:w w:val="110"/>
        </w:rPr>
        <w:t>because,</w:t>
      </w:r>
      <w:r>
        <w:rPr>
          <w:spacing w:val="39"/>
          <w:w w:val="110"/>
        </w:rPr>
        <w:t> </w:t>
      </w:r>
      <w:r>
        <w:rPr>
          <w:w w:val="110"/>
        </w:rPr>
        <w:t>if the brake is successfully triggered,</w:t>
      </w:r>
      <w:r>
        <w:rPr>
          <w:spacing w:val="80"/>
          <w:w w:val="110"/>
        </w:rPr>
        <w:t> </w:t>
      </w:r>
      <w:r>
        <w:rPr>
          <w:w w:val="110"/>
        </w:rPr>
        <w:t>the replacing or amending EU act which would have become applicable in Northern Ireland but for the brake, does not apply. Instead, a process is </w:t>
      </w:r>
      <w:r>
        <w:rPr>
          <w:rFonts w:ascii="Lucida Sans Unicode"/>
        </w:rPr>
        <w:t>triggered under Article 13(4) of the </w:t>
      </w:r>
      <w:r>
        <w:rPr>
          <w:w w:val="110"/>
        </w:rPr>
        <w:t>Windsor Framework in respect of the amending or replacing EU act.</w:t>
      </w:r>
      <w:r>
        <w:rPr>
          <w:rFonts w:ascii="Lucida Sans Unicode"/>
          <w:w w:val="110"/>
          <w:vertAlign w:val="superscript"/>
        </w:rPr>
        <w:t>315</w:t>
      </w:r>
    </w:p>
    <w:p>
      <w:pPr>
        <w:pStyle w:val="BodyText"/>
        <w:spacing w:line="312" w:lineRule="exact" w:before="297"/>
        <w:ind w:right="309"/>
      </w:pPr>
      <w:r>
        <w:rPr>
          <w:w w:val="110"/>
        </w:rPr>
        <w:t>This process mandates that the</w:t>
      </w:r>
      <w:r>
        <w:rPr>
          <w:spacing w:val="40"/>
          <w:w w:val="110"/>
        </w:rPr>
        <w:t> </w:t>
      </w:r>
      <w:r>
        <w:rPr>
          <w:w w:val="110"/>
        </w:rPr>
        <w:t>Joint Committee under the </w:t>
      </w:r>
      <w:r>
        <w:rPr>
          <w:w w:val="110"/>
        </w:rPr>
        <w:t>Windsor Framework exchange views on the </w:t>
      </w:r>
      <w:r>
        <w:rPr>
          <w:rFonts w:ascii="Lucida Sans Unicode" w:hAnsi="Lucida Sans Unicode"/>
        </w:rPr>
        <w:t>‘implications of the [replacing or </w:t>
      </w:r>
      <w:r>
        <w:rPr>
          <w:rFonts w:ascii="Lucida Sans Unicode" w:hAnsi="Lucida Sans Unicode"/>
          <w:w w:val="110"/>
        </w:rPr>
        <w:t>amending</w:t>
      </w:r>
      <w:r>
        <w:rPr>
          <w:rFonts w:ascii="Lucida Sans Unicode" w:hAnsi="Lucida Sans Unicode"/>
          <w:spacing w:val="-13"/>
          <w:w w:val="110"/>
        </w:rPr>
        <w:t> </w:t>
      </w:r>
      <w:r>
        <w:rPr>
          <w:rFonts w:ascii="Lucida Sans Unicode" w:hAnsi="Lucida Sans Unicode"/>
          <w:w w:val="110"/>
        </w:rPr>
        <w:t>EU</w:t>
      </w:r>
      <w:r>
        <w:rPr>
          <w:rFonts w:ascii="Lucida Sans Unicode" w:hAnsi="Lucida Sans Unicode"/>
          <w:spacing w:val="-13"/>
          <w:w w:val="110"/>
        </w:rPr>
        <w:t> </w:t>
      </w:r>
      <w:r>
        <w:rPr>
          <w:rFonts w:ascii="Lucida Sans Unicode" w:hAnsi="Lucida Sans Unicode"/>
          <w:w w:val="110"/>
        </w:rPr>
        <w:t>act]</w:t>
      </w:r>
      <w:r>
        <w:rPr>
          <w:rFonts w:ascii="Lucida Sans Unicode" w:hAnsi="Lucida Sans Unicode"/>
          <w:spacing w:val="-13"/>
          <w:w w:val="110"/>
        </w:rPr>
        <w:t> </w:t>
      </w:r>
      <w:r>
        <w:rPr>
          <w:rFonts w:ascii="Lucida Sans Unicode" w:hAnsi="Lucida Sans Unicode"/>
          <w:w w:val="110"/>
        </w:rPr>
        <w:t>for</w:t>
      </w:r>
      <w:r>
        <w:rPr>
          <w:rFonts w:ascii="Lucida Sans Unicode" w:hAnsi="Lucida Sans Unicode"/>
          <w:spacing w:val="-13"/>
          <w:w w:val="110"/>
        </w:rPr>
        <w:t> </w:t>
      </w:r>
      <w:r>
        <w:rPr>
          <w:rFonts w:ascii="Lucida Sans Unicode" w:hAnsi="Lucida Sans Unicode"/>
          <w:w w:val="110"/>
        </w:rPr>
        <w:t>the</w:t>
      </w:r>
      <w:r>
        <w:rPr>
          <w:rFonts w:ascii="Lucida Sans Unicode" w:hAnsi="Lucida Sans Unicode"/>
          <w:spacing w:val="-13"/>
          <w:w w:val="110"/>
        </w:rPr>
        <w:t> </w:t>
      </w:r>
      <w:r>
        <w:rPr>
          <w:rFonts w:ascii="Lucida Sans Unicode" w:hAnsi="Lucida Sans Unicode"/>
          <w:w w:val="110"/>
        </w:rPr>
        <w:t>proper functioning</w:t>
      </w:r>
      <w:r>
        <w:rPr>
          <w:rFonts w:ascii="Lucida Sans Unicode" w:hAnsi="Lucida Sans Unicode"/>
          <w:spacing w:val="-14"/>
          <w:w w:val="110"/>
        </w:rPr>
        <w:t> </w:t>
      </w:r>
      <w:r>
        <w:rPr>
          <w:rFonts w:ascii="Lucida Sans Unicode" w:hAnsi="Lucida Sans Unicode"/>
          <w:w w:val="110"/>
        </w:rPr>
        <w:t>of</w:t>
      </w:r>
      <w:r>
        <w:rPr>
          <w:rFonts w:ascii="Lucida Sans Unicode" w:hAnsi="Lucida Sans Unicode"/>
          <w:spacing w:val="-14"/>
          <w:w w:val="110"/>
        </w:rPr>
        <w:t> </w:t>
      </w:r>
      <w:r>
        <w:rPr>
          <w:rFonts w:ascii="Lucida Sans Unicode" w:hAnsi="Lucida Sans Unicode"/>
          <w:w w:val="110"/>
        </w:rPr>
        <w:t>[the</w:t>
      </w:r>
      <w:r>
        <w:rPr>
          <w:rFonts w:ascii="Lucida Sans Unicode" w:hAnsi="Lucida Sans Unicode"/>
          <w:spacing w:val="-14"/>
          <w:w w:val="110"/>
        </w:rPr>
        <w:t> </w:t>
      </w:r>
      <w:r>
        <w:rPr>
          <w:rFonts w:ascii="Lucida Sans Unicode" w:hAnsi="Lucida Sans Unicode"/>
          <w:w w:val="110"/>
        </w:rPr>
        <w:t>Windsor </w:t>
      </w:r>
      <w:r>
        <w:rPr>
          <w:rFonts w:ascii="Lucida Sans Unicode" w:hAnsi="Lucida Sans Unicode"/>
        </w:rPr>
        <w:t>Framework]’.</w:t>
      </w:r>
      <w:r>
        <w:rPr>
          <w:rFonts w:ascii="Lucida Sans Unicode" w:hAnsi="Lucida Sans Unicode"/>
          <w:vertAlign w:val="superscript"/>
        </w:rPr>
        <w:t>316</w:t>
      </w:r>
      <w:r>
        <w:rPr>
          <w:rFonts w:ascii="Lucida Sans Unicode" w:hAnsi="Lucida Sans Unicode"/>
          <w:vertAlign w:val="baseline"/>
        </w:rPr>
        <w:t> </w:t>
      </w:r>
      <w:r>
        <w:rPr>
          <w:vertAlign w:val="baseline"/>
        </w:rPr>
        <w:t>This is then followed </w:t>
      </w:r>
      <w:r>
        <w:rPr>
          <w:w w:val="110"/>
          <w:vertAlign w:val="baseline"/>
        </w:rPr>
        <w:t>either by the Joint Committee deciding to add the amending or replacing EU act to the Windsor</w:t>
      </w:r>
    </w:p>
    <w:p>
      <w:pPr>
        <w:pStyle w:val="BodyText"/>
        <w:spacing w:line="320" w:lineRule="exact" w:before="41"/>
        <w:ind w:right="147"/>
        <w:rPr>
          <w:rFonts w:ascii="Lucida Sans Unicode" w:hAnsi="Lucida Sans Unicode"/>
        </w:rPr>
      </w:pPr>
      <w:r>
        <w:rPr/>
        <w:br w:type="column"/>
      </w:r>
      <w:r>
        <w:rPr>
          <w:w w:val="110"/>
        </w:rPr>
        <w:t>Framework (in which case the </w:t>
      </w:r>
      <w:r>
        <w:rPr>
          <w:w w:val="110"/>
        </w:rPr>
        <w:t>relevant act applies in Northern Ireland).</w:t>
      </w:r>
      <w:r>
        <w:rPr>
          <w:rFonts w:ascii="Lucida Sans Unicode" w:hAnsi="Lucida Sans Unicode"/>
          <w:w w:val="110"/>
          <w:vertAlign w:val="superscript"/>
        </w:rPr>
        <w:t>317</w:t>
      </w:r>
      <w:r>
        <w:rPr>
          <w:rFonts w:ascii="Lucida Sans Unicode" w:hAnsi="Lucida Sans Unicode"/>
          <w:w w:val="110"/>
          <w:vertAlign w:val="baseline"/>
        </w:rPr>
        <w:t> </w:t>
      </w:r>
      <w:r>
        <w:rPr>
          <w:w w:val="110"/>
          <w:vertAlign w:val="baseline"/>
        </w:rPr>
        <w:t>Failing agreement on such a decision, the Joint Committee is required to ‘examine all further possibilities to </w:t>
      </w:r>
      <w:r>
        <w:rPr>
          <w:rFonts w:ascii="Lucida Sans Unicode" w:hAnsi="Lucida Sans Unicode"/>
          <w:vertAlign w:val="baseline"/>
        </w:rPr>
        <w:t>maintain the good functioning of [the </w:t>
      </w:r>
      <w:r>
        <w:rPr>
          <w:rFonts w:ascii="Lucida Sans Unicode" w:hAnsi="Lucida Sans Unicode"/>
          <w:w w:val="110"/>
          <w:vertAlign w:val="baseline"/>
        </w:rPr>
        <w:t>Windsor</w:t>
      </w:r>
      <w:r>
        <w:rPr>
          <w:rFonts w:ascii="Lucida Sans Unicode" w:hAnsi="Lucida Sans Unicode"/>
          <w:spacing w:val="-17"/>
          <w:w w:val="110"/>
          <w:vertAlign w:val="baseline"/>
        </w:rPr>
        <w:t> </w:t>
      </w:r>
      <w:r>
        <w:rPr>
          <w:rFonts w:ascii="Lucida Sans Unicode" w:hAnsi="Lucida Sans Unicode"/>
          <w:w w:val="110"/>
          <w:vertAlign w:val="baseline"/>
        </w:rPr>
        <w:t>Framework]</w:t>
      </w:r>
      <w:r>
        <w:rPr>
          <w:rFonts w:ascii="Lucida Sans Unicode" w:hAnsi="Lucida Sans Unicode"/>
          <w:spacing w:val="-17"/>
          <w:w w:val="110"/>
          <w:vertAlign w:val="baseline"/>
        </w:rPr>
        <w:t> </w:t>
      </w:r>
      <w:r>
        <w:rPr>
          <w:rFonts w:ascii="Lucida Sans Unicode" w:hAnsi="Lucida Sans Unicode"/>
          <w:w w:val="110"/>
          <w:vertAlign w:val="baseline"/>
        </w:rPr>
        <w:t>and</w:t>
      </w:r>
      <w:r>
        <w:rPr>
          <w:rFonts w:ascii="Lucida Sans Unicode" w:hAnsi="Lucida Sans Unicode"/>
          <w:spacing w:val="-17"/>
          <w:w w:val="110"/>
          <w:vertAlign w:val="baseline"/>
        </w:rPr>
        <w:t> </w:t>
      </w:r>
      <w:r>
        <w:rPr>
          <w:rFonts w:ascii="Lucida Sans Unicode" w:hAnsi="Lucida Sans Unicode"/>
          <w:w w:val="110"/>
          <w:vertAlign w:val="baseline"/>
        </w:rPr>
        <w:t>take</w:t>
      </w:r>
      <w:r>
        <w:rPr>
          <w:rFonts w:ascii="Lucida Sans Unicode" w:hAnsi="Lucida Sans Unicode"/>
          <w:spacing w:val="-17"/>
          <w:w w:val="110"/>
          <w:vertAlign w:val="baseline"/>
        </w:rPr>
        <w:t> </w:t>
      </w:r>
      <w:r>
        <w:rPr>
          <w:rFonts w:ascii="Lucida Sans Unicode" w:hAnsi="Lucida Sans Unicode"/>
          <w:w w:val="110"/>
          <w:vertAlign w:val="baseline"/>
        </w:rPr>
        <w:t>any </w:t>
      </w:r>
      <w:r>
        <w:rPr>
          <w:w w:val="110"/>
          <w:vertAlign w:val="baseline"/>
        </w:rPr>
        <w:t>decision necessary to this effect’.</w:t>
      </w:r>
      <w:r>
        <w:rPr>
          <w:rFonts w:ascii="Lucida Sans Unicode" w:hAnsi="Lucida Sans Unicode"/>
          <w:w w:val="110"/>
          <w:vertAlign w:val="superscript"/>
        </w:rPr>
        <w:t>318</w:t>
      </w:r>
      <w:r>
        <w:rPr>
          <w:rFonts w:ascii="Lucida Sans Unicode" w:hAnsi="Lucida Sans Unicode"/>
          <w:w w:val="110"/>
          <w:vertAlign w:val="baseline"/>
        </w:rPr>
        <w:t> </w:t>
      </w:r>
      <w:r>
        <w:rPr>
          <w:w w:val="110"/>
          <w:vertAlign w:val="baseline"/>
        </w:rPr>
        <w:t>The absence of either outcome allows the EU to take ‘appropriate remedial measures’ after giving notice to this effect to the UK government.</w:t>
      </w:r>
      <w:r>
        <w:rPr>
          <w:rFonts w:ascii="Lucida Sans Unicode" w:hAnsi="Lucida Sans Unicode"/>
          <w:w w:val="110"/>
          <w:vertAlign w:val="superscript"/>
        </w:rPr>
        <w:t>319</w:t>
      </w:r>
    </w:p>
    <w:p>
      <w:pPr>
        <w:pStyle w:val="Heading3"/>
        <w:numPr>
          <w:ilvl w:val="0"/>
          <w:numId w:val="18"/>
        </w:numPr>
        <w:tabs>
          <w:tab w:pos="680" w:val="left" w:leader="none"/>
        </w:tabs>
        <w:spacing w:line="259" w:lineRule="auto" w:before="318" w:after="0"/>
        <w:ind w:left="680" w:right="396" w:hanging="567"/>
        <w:jc w:val="left"/>
      </w:pPr>
      <w:r>
        <w:rPr>
          <w:color w:val="77328A"/>
        </w:rPr>
        <w:t>How</w:t>
      </w:r>
      <w:r>
        <w:rPr>
          <w:color w:val="77328A"/>
          <w:spacing w:val="-9"/>
        </w:rPr>
        <w:t> </w:t>
      </w:r>
      <w:r>
        <w:rPr>
          <w:color w:val="77328A"/>
        </w:rPr>
        <w:t>the</w:t>
      </w:r>
      <w:r>
        <w:rPr>
          <w:color w:val="77328A"/>
          <w:spacing w:val="-9"/>
        </w:rPr>
        <w:t> </w:t>
      </w:r>
      <w:r>
        <w:rPr>
          <w:color w:val="77328A"/>
        </w:rPr>
        <w:t>Stormont</w:t>
      </w:r>
      <w:r>
        <w:rPr>
          <w:color w:val="77328A"/>
          <w:spacing w:val="-9"/>
        </w:rPr>
        <w:t> </w:t>
      </w:r>
      <w:r>
        <w:rPr>
          <w:color w:val="77328A"/>
        </w:rPr>
        <w:t>Brake functions in practice</w:t>
      </w:r>
    </w:p>
    <w:p>
      <w:pPr>
        <w:pStyle w:val="BodyText"/>
        <w:spacing w:line="320" w:lineRule="exact" w:before="140"/>
        <w:ind w:right="147"/>
      </w:pPr>
      <w:r>
        <w:rPr>
          <w:rFonts w:ascii="Lucida Sans Unicode"/>
          <w:spacing w:val="-2"/>
          <w:w w:val="110"/>
        </w:rPr>
        <w:t>The</w:t>
      </w:r>
      <w:r>
        <w:rPr>
          <w:rFonts w:ascii="Lucida Sans Unicode"/>
          <w:spacing w:val="-19"/>
          <w:w w:val="110"/>
        </w:rPr>
        <w:t> </w:t>
      </w:r>
      <w:r>
        <w:rPr>
          <w:rFonts w:ascii="Lucida Sans Unicode"/>
          <w:spacing w:val="-2"/>
          <w:w w:val="110"/>
        </w:rPr>
        <w:t>effect</w:t>
      </w:r>
      <w:r>
        <w:rPr>
          <w:rFonts w:ascii="Lucida Sans Unicode"/>
          <w:spacing w:val="-19"/>
          <w:w w:val="110"/>
        </w:rPr>
        <w:t> </w:t>
      </w:r>
      <w:r>
        <w:rPr>
          <w:rFonts w:ascii="Lucida Sans Unicode"/>
          <w:spacing w:val="-2"/>
          <w:w w:val="110"/>
        </w:rPr>
        <w:t>of</w:t>
      </w:r>
      <w:r>
        <w:rPr>
          <w:rFonts w:ascii="Lucida Sans Unicode"/>
          <w:spacing w:val="-19"/>
          <w:w w:val="110"/>
        </w:rPr>
        <w:t> </w:t>
      </w:r>
      <w:r>
        <w:rPr>
          <w:rFonts w:ascii="Lucida Sans Unicode"/>
          <w:spacing w:val="-2"/>
          <w:w w:val="110"/>
        </w:rPr>
        <w:t>the</w:t>
      </w:r>
      <w:r>
        <w:rPr>
          <w:rFonts w:ascii="Lucida Sans Unicode"/>
          <w:spacing w:val="-19"/>
          <w:w w:val="110"/>
        </w:rPr>
        <w:t> </w:t>
      </w:r>
      <w:r>
        <w:rPr>
          <w:rFonts w:ascii="Lucida Sans Unicode"/>
          <w:spacing w:val="-2"/>
          <w:w w:val="110"/>
        </w:rPr>
        <w:t>Stormont</w:t>
      </w:r>
      <w:r>
        <w:rPr>
          <w:rFonts w:ascii="Lucida Sans Unicode"/>
          <w:spacing w:val="-19"/>
          <w:w w:val="110"/>
        </w:rPr>
        <w:t> </w:t>
      </w:r>
      <w:r>
        <w:rPr>
          <w:rFonts w:ascii="Lucida Sans Unicode"/>
          <w:spacing w:val="-2"/>
          <w:w w:val="110"/>
        </w:rPr>
        <w:t>Brake</w:t>
      </w:r>
      <w:r>
        <w:rPr>
          <w:rFonts w:ascii="Lucida Sans Unicode"/>
          <w:spacing w:val="-19"/>
          <w:w w:val="110"/>
        </w:rPr>
        <w:t> </w:t>
      </w:r>
      <w:r>
        <w:rPr>
          <w:rFonts w:ascii="Lucida Sans Unicode"/>
          <w:spacing w:val="-2"/>
          <w:w w:val="110"/>
        </w:rPr>
        <w:t>can </w:t>
      </w:r>
      <w:r>
        <w:rPr>
          <w:w w:val="115"/>
        </w:rPr>
        <w:t>be</w:t>
      </w:r>
      <w:r>
        <w:rPr>
          <w:spacing w:val="-1"/>
          <w:w w:val="115"/>
        </w:rPr>
        <w:t> </w:t>
      </w:r>
      <w:r>
        <w:rPr>
          <w:w w:val="115"/>
        </w:rPr>
        <w:t>summarised</w:t>
      </w:r>
      <w:r>
        <w:rPr>
          <w:spacing w:val="-1"/>
          <w:w w:val="115"/>
        </w:rPr>
        <w:t> </w:t>
      </w:r>
      <w:r>
        <w:rPr>
          <w:w w:val="115"/>
        </w:rPr>
        <w:t>into</w:t>
      </w:r>
      <w:r>
        <w:rPr>
          <w:spacing w:val="-1"/>
          <w:w w:val="115"/>
        </w:rPr>
        <w:t> </w:t>
      </w:r>
      <w:r>
        <w:rPr>
          <w:w w:val="115"/>
        </w:rPr>
        <w:t>either</w:t>
      </w:r>
      <w:r>
        <w:rPr>
          <w:spacing w:val="-1"/>
          <w:w w:val="115"/>
        </w:rPr>
        <w:t> </w:t>
      </w:r>
      <w:r>
        <w:rPr>
          <w:w w:val="115"/>
        </w:rPr>
        <w:t>one</w:t>
      </w:r>
      <w:r>
        <w:rPr>
          <w:spacing w:val="-1"/>
          <w:w w:val="115"/>
        </w:rPr>
        <w:t> </w:t>
      </w:r>
      <w:r>
        <w:rPr>
          <w:w w:val="115"/>
        </w:rPr>
        <w:t>of</w:t>
      </w:r>
      <w:r>
        <w:rPr>
          <w:spacing w:val="-1"/>
          <w:w w:val="115"/>
        </w:rPr>
        <w:t> </w:t>
      </w:r>
      <w:r>
        <w:rPr>
          <w:w w:val="115"/>
        </w:rPr>
        <w:t>two outcomes:</w:t>
      </w:r>
      <w:r>
        <w:rPr>
          <w:spacing w:val="-6"/>
          <w:w w:val="115"/>
        </w:rPr>
        <w:t> </w:t>
      </w:r>
      <w:r>
        <w:rPr>
          <w:w w:val="115"/>
        </w:rPr>
        <w:t>the</w:t>
      </w:r>
      <w:r>
        <w:rPr>
          <w:spacing w:val="-6"/>
          <w:w w:val="115"/>
        </w:rPr>
        <w:t> </w:t>
      </w:r>
      <w:r>
        <w:rPr>
          <w:w w:val="115"/>
        </w:rPr>
        <w:t>amending</w:t>
      </w:r>
      <w:r>
        <w:rPr>
          <w:spacing w:val="-6"/>
          <w:w w:val="115"/>
        </w:rPr>
        <w:t> </w:t>
      </w:r>
      <w:r>
        <w:rPr>
          <w:w w:val="115"/>
        </w:rPr>
        <w:t>or</w:t>
      </w:r>
      <w:r>
        <w:rPr>
          <w:spacing w:val="-6"/>
          <w:w w:val="115"/>
        </w:rPr>
        <w:t> </w:t>
      </w:r>
      <w:r>
        <w:rPr>
          <w:w w:val="115"/>
        </w:rPr>
        <w:t>replacing EU act is added to the Windsor Framework and thus takes effect in Northern Ireland (subject, as all EU acts are, to the Charter). It follows </w:t>
      </w:r>
      <w:r>
        <w:rPr>
          <w:rFonts w:ascii="Lucida Sans Unicode"/>
          <w:w w:val="110"/>
        </w:rPr>
        <w:t>from</w:t>
      </w:r>
      <w:r>
        <w:rPr>
          <w:rFonts w:ascii="Lucida Sans Unicode"/>
          <w:spacing w:val="-21"/>
          <w:w w:val="110"/>
        </w:rPr>
        <w:t> </w:t>
      </w:r>
      <w:r>
        <w:rPr>
          <w:rFonts w:ascii="Lucida Sans Unicode"/>
          <w:w w:val="110"/>
        </w:rPr>
        <w:t>Article</w:t>
      </w:r>
      <w:r>
        <w:rPr>
          <w:rFonts w:ascii="Lucida Sans Unicode"/>
          <w:spacing w:val="-21"/>
          <w:w w:val="110"/>
        </w:rPr>
        <w:t> </w:t>
      </w:r>
      <w:r>
        <w:rPr>
          <w:rFonts w:ascii="Lucida Sans Unicode"/>
          <w:w w:val="105"/>
        </w:rPr>
        <w:t>13</w:t>
      </w:r>
      <w:r>
        <w:rPr>
          <w:rFonts w:ascii="Lucida Sans Unicode"/>
          <w:spacing w:val="-20"/>
          <w:w w:val="105"/>
        </w:rPr>
        <w:t> </w:t>
      </w:r>
      <w:r>
        <w:rPr>
          <w:rFonts w:ascii="Lucida Sans Unicode"/>
          <w:w w:val="110"/>
        </w:rPr>
        <w:t>(2)</w:t>
      </w:r>
      <w:r>
        <w:rPr>
          <w:rFonts w:ascii="Lucida Sans Unicode"/>
          <w:spacing w:val="-21"/>
          <w:w w:val="110"/>
        </w:rPr>
        <w:t> </w:t>
      </w:r>
      <w:r>
        <w:rPr>
          <w:rFonts w:ascii="Lucida Sans Unicode"/>
          <w:w w:val="110"/>
        </w:rPr>
        <w:t>of</w:t>
      </w:r>
      <w:r>
        <w:rPr>
          <w:rFonts w:ascii="Lucida Sans Unicode"/>
          <w:spacing w:val="-21"/>
          <w:w w:val="110"/>
        </w:rPr>
        <w:t> </w:t>
      </w:r>
      <w:r>
        <w:rPr>
          <w:rFonts w:ascii="Lucida Sans Unicode"/>
          <w:w w:val="110"/>
        </w:rPr>
        <w:t>the</w:t>
      </w:r>
      <w:r>
        <w:rPr>
          <w:rFonts w:ascii="Lucida Sans Unicode"/>
          <w:spacing w:val="-21"/>
          <w:w w:val="110"/>
        </w:rPr>
        <w:t> </w:t>
      </w:r>
      <w:r>
        <w:rPr>
          <w:rFonts w:ascii="Lucida Sans Unicode"/>
          <w:w w:val="110"/>
        </w:rPr>
        <w:t>Windsor </w:t>
      </w:r>
      <w:r>
        <w:rPr>
          <w:w w:val="115"/>
        </w:rPr>
        <w:t>Framework that the act is then interpreted in accordance with CJEU case</w:t>
      </w:r>
      <w:r>
        <w:rPr>
          <w:spacing w:val="-17"/>
          <w:w w:val="115"/>
        </w:rPr>
        <w:t> </w:t>
      </w:r>
      <w:r>
        <w:rPr>
          <w:w w:val="115"/>
        </w:rPr>
        <w:t>law,</w:t>
      </w:r>
      <w:r>
        <w:rPr>
          <w:spacing w:val="-17"/>
          <w:w w:val="115"/>
        </w:rPr>
        <w:t> </w:t>
      </w:r>
      <w:r>
        <w:rPr>
          <w:w w:val="115"/>
        </w:rPr>
        <w:t>including</w:t>
      </w:r>
      <w:r>
        <w:rPr>
          <w:spacing w:val="-17"/>
          <w:w w:val="115"/>
        </w:rPr>
        <w:t> </w:t>
      </w:r>
      <w:r>
        <w:rPr>
          <w:w w:val="115"/>
        </w:rPr>
        <w:t>on</w:t>
      </w:r>
      <w:r>
        <w:rPr>
          <w:spacing w:val="-17"/>
          <w:w w:val="115"/>
        </w:rPr>
        <w:t> </w:t>
      </w:r>
      <w:r>
        <w:rPr>
          <w:w w:val="115"/>
        </w:rPr>
        <w:t>the</w:t>
      </w:r>
      <w:r>
        <w:rPr>
          <w:spacing w:val="-17"/>
          <w:w w:val="115"/>
        </w:rPr>
        <w:t> </w:t>
      </w:r>
      <w:r>
        <w:rPr>
          <w:w w:val="115"/>
        </w:rPr>
        <w:t>Charter.</w:t>
      </w:r>
      <w:r>
        <w:rPr>
          <w:spacing w:val="-17"/>
          <w:w w:val="115"/>
        </w:rPr>
        <w:t> </w:t>
      </w:r>
      <w:r>
        <w:rPr>
          <w:w w:val="115"/>
        </w:rPr>
        <w:t>Or it</w:t>
      </w:r>
      <w:r>
        <w:rPr>
          <w:spacing w:val="-20"/>
          <w:w w:val="115"/>
        </w:rPr>
        <w:t> </w:t>
      </w:r>
      <w:r>
        <w:rPr>
          <w:w w:val="115"/>
        </w:rPr>
        <w:t>is</w:t>
      </w:r>
      <w:r>
        <w:rPr>
          <w:spacing w:val="-19"/>
          <w:w w:val="115"/>
        </w:rPr>
        <w:t> </w:t>
      </w:r>
      <w:r>
        <w:rPr>
          <w:w w:val="115"/>
        </w:rPr>
        <w:t>not</w:t>
      </w:r>
      <w:r>
        <w:rPr>
          <w:spacing w:val="-19"/>
          <w:w w:val="115"/>
        </w:rPr>
        <w:t> </w:t>
      </w:r>
      <w:r>
        <w:rPr>
          <w:w w:val="115"/>
        </w:rPr>
        <w:t>added</w:t>
      </w:r>
      <w:r>
        <w:rPr>
          <w:spacing w:val="-19"/>
          <w:w w:val="115"/>
        </w:rPr>
        <w:t> </w:t>
      </w:r>
      <w:r>
        <w:rPr>
          <w:w w:val="115"/>
        </w:rPr>
        <w:t>and</w:t>
      </w:r>
      <w:r>
        <w:rPr>
          <w:spacing w:val="-19"/>
          <w:w w:val="115"/>
        </w:rPr>
        <w:t> </w:t>
      </w:r>
      <w:r>
        <w:rPr>
          <w:w w:val="115"/>
        </w:rPr>
        <w:t>consequently</w:t>
      </w:r>
      <w:r>
        <w:rPr>
          <w:spacing w:val="-19"/>
          <w:w w:val="115"/>
        </w:rPr>
        <w:t> </w:t>
      </w:r>
      <w:r>
        <w:rPr>
          <w:w w:val="115"/>
        </w:rPr>
        <w:t>does not take effect in Northern Ireland.</w:t>
      </w:r>
    </w:p>
    <w:p>
      <w:pPr>
        <w:pStyle w:val="BodyText"/>
        <w:spacing w:before="15"/>
        <w:ind w:left="0"/>
      </w:pPr>
    </w:p>
    <w:p>
      <w:pPr>
        <w:pStyle w:val="BodyText"/>
        <w:spacing w:line="320" w:lineRule="exact"/>
        <w:ind w:right="234"/>
      </w:pPr>
      <w:r>
        <w:rPr>
          <w:rFonts w:ascii="Lucida Sans Unicode"/>
          <w:w w:val="105"/>
        </w:rPr>
        <w:t>In</w:t>
      </w:r>
      <w:r>
        <w:rPr>
          <w:rFonts w:ascii="Lucida Sans Unicode"/>
          <w:spacing w:val="-20"/>
          <w:w w:val="105"/>
        </w:rPr>
        <w:t> </w:t>
      </w:r>
      <w:r>
        <w:rPr>
          <w:rFonts w:ascii="Lucida Sans Unicode"/>
          <w:w w:val="105"/>
        </w:rPr>
        <w:t>the</w:t>
      </w:r>
      <w:r>
        <w:rPr>
          <w:rFonts w:ascii="Lucida Sans Unicode"/>
          <w:spacing w:val="-20"/>
          <w:w w:val="105"/>
        </w:rPr>
        <w:t> </w:t>
      </w:r>
      <w:r>
        <w:rPr>
          <w:rFonts w:ascii="Lucida Sans Unicode"/>
          <w:w w:val="105"/>
        </w:rPr>
        <w:t>latter</w:t>
      </w:r>
      <w:r>
        <w:rPr>
          <w:rFonts w:ascii="Lucida Sans Unicode"/>
          <w:spacing w:val="-20"/>
          <w:w w:val="105"/>
        </w:rPr>
        <w:t> </w:t>
      </w:r>
      <w:r>
        <w:rPr>
          <w:rFonts w:ascii="Lucida Sans Unicode"/>
          <w:w w:val="105"/>
        </w:rPr>
        <w:t>case</w:t>
      </w:r>
      <w:r>
        <w:rPr>
          <w:rFonts w:ascii="Lucida Sans Unicode"/>
          <w:spacing w:val="-20"/>
          <w:w w:val="105"/>
        </w:rPr>
        <w:t> </w:t>
      </w:r>
      <w:r>
        <w:rPr>
          <w:rFonts w:ascii="Lucida Sans Unicode"/>
          <w:w w:val="105"/>
        </w:rPr>
        <w:t>a</w:t>
      </w:r>
      <w:r>
        <w:rPr>
          <w:rFonts w:ascii="Lucida Sans Unicode"/>
          <w:spacing w:val="-20"/>
          <w:w w:val="105"/>
        </w:rPr>
        <w:t> </w:t>
      </w:r>
      <w:r>
        <w:rPr>
          <w:rFonts w:ascii="Lucida Sans Unicode"/>
          <w:w w:val="105"/>
        </w:rPr>
        <w:t>potential</w:t>
      </w:r>
      <w:r>
        <w:rPr>
          <w:rFonts w:ascii="Lucida Sans Unicode"/>
          <w:spacing w:val="-20"/>
          <w:w w:val="105"/>
        </w:rPr>
        <w:t> </w:t>
      </w:r>
      <w:r>
        <w:rPr>
          <w:rFonts w:ascii="Lucida Sans Unicode"/>
          <w:w w:val="105"/>
        </w:rPr>
        <w:t>difficulty </w:t>
      </w:r>
      <w:r>
        <w:rPr>
          <w:w w:val="105"/>
        </w:rPr>
        <w:t>arises.</w:t>
      </w:r>
      <w:r>
        <w:rPr>
          <w:spacing w:val="40"/>
          <w:w w:val="105"/>
        </w:rPr>
        <w:t> </w:t>
      </w:r>
      <w:r>
        <w:rPr>
          <w:w w:val="105"/>
        </w:rPr>
        <w:t>Consider</w:t>
      </w:r>
      <w:r>
        <w:rPr>
          <w:spacing w:val="40"/>
          <w:w w:val="105"/>
        </w:rPr>
        <w:t> </w:t>
      </w:r>
      <w:r>
        <w:rPr>
          <w:w w:val="105"/>
        </w:rPr>
        <w:t>a</w:t>
      </w:r>
      <w:r>
        <w:rPr>
          <w:spacing w:val="40"/>
          <w:w w:val="105"/>
        </w:rPr>
        <w:t> </w:t>
      </w:r>
      <w:r>
        <w:rPr>
          <w:w w:val="105"/>
        </w:rPr>
        <w:t>situation</w:t>
      </w:r>
      <w:r>
        <w:rPr>
          <w:spacing w:val="40"/>
          <w:w w:val="105"/>
        </w:rPr>
        <w:t> </w:t>
      </w:r>
      <w:r>
        <w:rPr>
          <w:w w:val="105"/>
        </w:rPr>
        <w:t>in</w:t>
      </w:r>
      <w:r>
        <w:rPr>
          <w:spacing w:val="40"/>
          <w:w w:val="105"/>
        </w:rPr>
        <w:t> </w:t>
      </w:r>
      <w:r>
        <w:rPr>
          <w:w w:val="105"/>
        </w:rPr>
        <w:t>which an</w:t>
      </w:r>
      <w:r>
        <w:rPr>
          <w:spacing w:val="40"/>
          <w:w w:val="105"/>
        </w:rPr>
        <w:t> </w:t>
      </w:r>
      <w:r>
        <w:rPr>
          <w:w w:val="105"/>
        </w:rPr>
        <w:t>EU</w:t>
      </w:r>
      <w:r>
        <w:rPr>
          <w:spacing w:val="40"/>
          <w:w w:val="105"/>
        </w:rPr>
        <w:t> </w:t>
      </w:r>
      <w:r>
        <w:rPr>
          <w:w w:val="105"/>
        </w:rPr>
        <w:t>act,</w:t>
      </w:r>
      <w:r>
        <w:rPr>
          <w:spacing w:val="40"/>
          <w:w w:val="105"/>
        </w:rPr>
        <w:t> </w:t>
      </w:r>
      <w:r>
        <w:rPr>
          <w:w w:val="105"/>
        </w:rPr>
        <w:t>X,</w:t>
      </w:r>
      <w:r>
        <w:rPr>
          <w:spacing w:val="40"/>
          <w:w w:val="105"/>
        </w:rPr>
        <w:t> </w:t>
      </w:r>
      <w:r>
        <w:rPr>
          <w:w w:val="105"/>
        </w:rPr>
        <w:t>is</w:t>
      </w:r>
      <w:r>
        <w:rPr>
          <w:spacing w:val="40"/>
          <w:w w:val="105"/>
        </w:rPr>
        <w:t> </w:t>
      </w:r>
      <w:r>
        <w:rPr>
          <w:w w:val="105"/>
        </w:rPr>
        <w:t>replaced</w:t>
      </w:r>
      <w:r>
        <w:rPr>
          <w:spacing w:val="40"/>
          <w:w w:val="105"/>
        </w:rPr>
        <w:t> </w:t>
      </w:r>
      <w:r>
        <w:rPr>
          <w:w w:val="105"/>
        </w:rPr>
        <w:t>by</w:t>
      </w:r>
      <w:r>
        <w:rPr>
          <w:spacing w:val="40"/>
          <w:w w:val="105"/>
        </w:rPr>
        <w:t> </w:t>
      </w:r>
      <w:r>
        <w:rPr>
          <w:w w:val="105"/>
        </w:rPr>
        <w:t>another </w:t>
      </w:r>
      <w:r>
        <w:rPr>
          <w:rFonts w:ascii="Lucida Sans Unicode"/>
          <w:spacing w:val="-2"/>
          <w:w w:val="105"/>
        </w:rPr>
        <w:t>EU</w:t>
      </w:r>
      <w:r>
        <w:rPr>
          <w:rFonts w:ascii="Lucida Sans Unicode"/>
          <w:spacing w:val="-17"/>
          <w:w w:val="105"/>
        </w:rPr>
        <w:t> </w:t>
      </w:r>
      <w:r>
        <w:rPr>
          <w:rFonts w:ascii="Lucida Sans Unicode"/>
          <w:spacing w:val="-2"/>
          <w:w w:val="105"/>
        </w:rPr>
        <w:t>act,</w:t>
      </w:r>
      <w:r>
        <w:rPr>
          <w:rFonts w:ascii="Lucida Sans Unicode"/>
          <w:spacing w:val="-17"/>
          <w:w w:val="105"/>
        </w:rPr>
        <w:t> </w:t>
      </w:r>
      <w:r>
        <w:rPr>
          <w:rFonts w:ascii="Lucida Sans Unicode"/>
          <w:spacing w:val="-2"/>
          <w:w w:val="105"/>
        </w:rPr>
        <w:t>Y.</w:t>
      </w:r>
      <w:r>
        <w:rPr>
          <w:rFonts w:ascii="Lucida Sans Unicode"/>
          <w:spacing w:val="-17"/>
          <w:w w:val="105"/>
        </w:rPr>
        <w:t> </w:t>
      </w:r>
      <w:r>
        <w:rPr>
          <w:rFonts w:ascii="Lucida Sans Unicode"/>
          <w:spacing w:val="-2"/>
          <w:w w:val="105"/>
        </w:rPr>
        <w:t>Upon</w:t>
      </w:r>
      <w:r>
        <w:rPr>
          <w:rFonts w:ascii="Lucida Sans Unicode"/>
          <w:spacing w:val="-17"/>
          <w:w w:val="105"/>
        </w:rPr>
        <w:t> </w:t>
      </w:r>
      <w:r>
        <w:rPr>
          <w:rFonts w:ascii="Lucida Sans Unicode"/>
          <w:spacing w:val="-2"/>
          <w:w w:val="105"/>
        </w:rPr>
        <w:t>the</w:t>
      </w:r>
      <w:r>
        <w:rPr>
          <w:rFonts w:ascii="Lucida Sans Unicode"/>
          <w:spacing w:val="-17"/>
          <w:w w:val="105"/>
        </w:rPr>
        <w:t> </w:t>
      </w:r>
      <w:r>
        <w:rPr>
          <w:rFonts w:ascii="Lucida Sans Unicode"/>
          <w:spacing w:val="-2"/>
          <w:w w:val="105"/>
        </w:rPr>
        <w:t>successful</w:t>
      </w:r>
      <w:r>
        <w:rPr>
          <w:rFonts w:ascii="Lucida Sans Unicode"/>
          <w:spacing w:val="-17"/>
          <w:w w:val="105"/>
        </w:rPr>
        <w:t> </w:t>
      </w:r>
      <w:r>
        <w:rPr>
          <w:rFonts w:ascii="Lucida Sans Unicode"/>
          <w:spacing w:val="-2"/>
          <w:w w:val="105"/>
        </w:rPr>
        <w:t>trigger </w:t>
      </w:r>
      <w:r>
        <w:rPr>
          <w:rFonts w:ascii="Lucida Sans Unicode"/>
          <w:w w:val="105"/>
        </w:rPr>
        <w:t>of the Stormont brake, X remains </w:t>
      </w:r>
      <w:r>
        <w:rPr>
          <w:w w:val="105"/>
        </w:rPr>
        <w:t>applicable</w:t>
      </w:r>
      <w:r>
        <w:rPr>
          <w:spacing w:val="40"/>
          <w:w w:val="105"/>
        </w:rPr>
        <w:t> </w:t>
      </w:r>
      <w:r>
        <w:rPr>
          <w:w w:val="105"/>
        </w:rPr>
        <w:t>in</w:t>
      </w:r>
      <w:r>
        <w:rPr>
          <w:spacing w:val="40"/>
          <w:w w:val="105"/>
        </w:rPr>
        <w:t> </w:t>
      </w:r>
      <w:r>
        <w:rPr>
          <w:w w:val="105"/>
        </w:rPr>
        <w:t>Northern</w:t>
      </w:r>
      <w:r>
        <w:rPr>
          <w:spacing w:val="40"/>
          <w:w w:val="105"/>
        </w:rPr>
        <w:t> </w:t>
      </w:r>
      <w:r>
        <w:rPr>
          <w:w w:val="105"/>
        </w:rPr>
        <w:t>Ireland</w:t>
      </w:r>
    </w:p>
    <w:p>
      <w:pPr>
        <w:spacing w:after="0" w:line="320" w:lineRule="exact"/>
        <w:sectPr>
          <w:type w:val="continuous"/>
          <w:pgSz w:w="11910" w:h="16840"/>
          <w:pgMar w:header="568" w:footer="580" w:top="0" w:bottom="280" w:left="1020" w:right="1020"/>
          <w:cols w:num="2" w:equalWidth="0">
            <w:col w:w="4663" w:space="383"/>
            <w:col w:w="4824"/>
          </w:cols>
        </w:sectPr>
      </w:pPr>
    </w:p>
    <w:p>
      <w:pPr>
        <w:pStyle w:val="BodyText"/>
        <w:spacing w:before="4"/>
        <w:ind w:left="0"/>
        <w:rPr>
          <w:sz w:val="15"/>
        </w:rPr>
      </w:pPr>
    </w:p>
    <w:p>
      <w:pPr>
        <w:pStyle w:val="BodyText"/>
        <w:spacing w:line="20" w:lineRule="exact"/>
        <w:rPr>
          <w:sz w:val="2"/>
        </w:rPr>
      </w:pPr>
      <w:r>
        <w:rPr>
          <w:sz w:val="2"/>
        </w:rPr>
        <mc:AlternateContent>
          <mc:Choice Requires="wps">
            <w:drawing>
              <wp:inline distT="0" distB="0" distL="0" distR="0">
                <wp:extent cx="6120130" cy="6350"/>
                <wp:effectExtent l="9525" t="0" r="0" b="3175"/>
                <wp:docPr id="192" name="Group 192"/>
                <wp:cNvGraphicFramePr>
                  <a:graphicFrameLocks/>
                </wp:cNvGraphicFramePr>
                <a:graphic>
                  <a:graphicData uri="http://schemas.microsoft.com/office/word/2010/wordprocessingGroup">
                    <wpg:wgp>
                      <wpg:cNvPr id="192" name="Group 192"/>
                      <wpg:cNvGrpSpPr/>
                      <wpg:grpSpPr>
                        <a:xfrm>
                          <a:off x="0" y="0"/>
                          <a:ext cx="6120130" cy="6350"/>
                          <a:chExt cx="6120130" cy="6350"/>
                        </a:xfrm>
                      </wpg:grpSpPr>
                      <wps:wsp>
                        <wps:cNvPr id="193" name="Graphic 193"/>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115"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14"/>
        </w:numPr>
        <w:tabs>
          <w:tab w:pos="567" w:val="left" w:leader="none"/>
        </w:tabs>
        <w:spacing w:line="194" w:lineRule="auto" w:before="94" w:after="0"/>
        <w:ind w:left="567" w:right="848" w:hanging="454"/>
        <w:jc w:val="left"/>
        <w:rPr>
          <w:sz w:val="16"/>
        </w:rPr>
      </w:pPr>
      <w:r>
        <w:rPr>
          <w:w w:val="105"/>
          <w:sz w:val="16"/>
        </w:rPr>
        <w:t>The Windsor Framework (Democratic Scrutiny) Regulations 2024: </w:t>
      </w:r>
      <w:r>
        <w:rPr>
          <w:rFonts w:ascii="Arial"/>
          <w:color w:val="77328A"/>
          <w:w w:val="105"/>
          <w:sz w:val="16"/>
          <w:u w:val="single" w:color="77328A"/>
        </w:rPr>
        <w:t>https://assets.publishing.service.gov.uk/</w:t>
      </w:r>
      <w:r>
        <w:rPr>
          <w:rFonts w:ascii="Arial"/>
          <w:color w:val="77328A"/>
          <w:w w:val="105"/>
          <w:sz w:val="16"/>
          <w:u w:val="none"/>
        </w:rPr>
        <w:t> </w:t>
      </w:r>
      <w:r>
        <w:rPr>
          <w:color w:val="77328A"/>
          <w:spacing w:val="-2"/>
          <w:w w:val="105"/>
          <w:sz w:val="16"/>
          <w:u w:val="single" w:color="77328A"/>
        </w:rPr>
        <w:t>media/65c225c2688c390013334c30/Letter_to_Assembly_on_the_Democratic_Scrutiny_Regulations.pdf</w:t>
      </w:r>
    </w:p>
    <w:p>
      <w:pPr>
        <w:pStyle w:val="ListParagraph"/>
        <w:numPr>
          <w:ilvl w:val="0"/>
          <w:numId w:val="14"/>
        </w:numPr>
        <w:tabs>
          <w:tab w:pos="567" w:val="left" w:leader="none"/>
        </w:tabs>
        <w:spacing w:line="204" w:lineRule="exact" w:before="0" w:after="0"/>
        <w:ind w:left="567" w:right="0" w:hanging="454"/>
        <w:jc w:val="left"/>
        <w:rPr>
          <w:sz w:val="16"/>
        </w:rPr>
      </w:pPr>
      <w:r>
        <w:rPr>
          <w:sz w:val="16"/>
        </w:rPr>
        <w:t>Decision</w:t>
      </w:r>
      <w:r>
        <w:rPr>
          <w:spacing w:val="6"/>
          <w:sz w:val="16"/>
        </w:rPr>
        <w:t> </w:t>
      </w:r>
      <w:r>
        <w:rPr>
          <w:sz w:val="16"/>
        </w:rPr>
        <w:t>No</w:t>
      </w:r>
      <w:r>
        <w:rPr>
          <w:spacing w:val="7"/>
          <w:sz w:val="16"/>
        </w:rPr>
        <w:t> </w:t>
      </w:r>
      <w:r>
        <w:rPr>
          <w:sz w:val="16"/>
        </w:rPr>
        <w:t>1/2023</w:t>
      </w:r>
      <w:r>
        <w:rPr>
          <w:spacing w:val="7"/>
          <w:sz w:val="16"/>
        </w:rPr>
        <w:t> </w:t>
      </w:r>
      <w:r>
        <w:rPr>
          <w:sz w:val="16"/>
        </w:rPr>
        <w:t>of</w:t>
      </w:r>
      <w:r>
        <w:rPr>
          <w:spacing w:val="7"/>
          <w:sz w:val="16"/>
        </w:rPr>
        <w:t> </w:t>
      </w:r>
      <w:r>
        <w:rPr>
          <w:sz w:val="16"/>
        </w:rPr>
        <w:t>the</w:t>
      </w:r>
      <w:r>
        <w:rPr>
          <w:spacing w:val="7"/>
          <w:sz w:val="16"/>
        </w:rPr>
        <w:t> </w:t>
      </w:r>
      <w:r>
        <w:rPr>
          <w:sz w:val="16"/>
        </w:rPr>
        <w:t>Joint</w:t>
      </w:r>
      <w:r>
        <w:rPr>
          <w:spacing w:val="7"/>
          <w:sz w:val="16"/>
        </w:rPr>
        <w:t> </w:t>
      </w:r>
      <w:r>
        <w:rPr>
          <w:sz w:val="16"/>
        </w:rPr>
        <w:t>Committee</w:t>
      </w:r>
      <w:r>
        <w:rPr>
          <w:spacing w:val="7"/>
          <w:sz w:val="16"/>
        </w:rPr>
        <w:t> </w:t>
      </w:r>
      <w:r>
        <w:rPr>
          <w:sz w:val="16"/>
        </w:rPr>
        <w:t>established</w:t>
      </w:r>
      <w:r>
        <w:rPr>
          <w:spacing w:val="7"/>
          <w:sz w:val="16"/>
        </w:rPr>
        <w:t> </w:t>
      </w:r>
      <w:r>
        <w:rPr>
          <w:sz w:val="16"/>
        </w:rPr>
        <w:t>by</w:t>
      </w:r>
      <w:r>
        <w:rPr>
          <w:spacing w:val="7"/>
          <w:sz w:val="16"/>
        </w:rPr>
        <w:t> </w:t>
      </w:r>
      <w:r>
        <w:rPr>
          <w:sz w:val="16"/>
        </w:rPr>
        <w:t>the</w:t>
      </w:r>
      <w:r>
        <w:rPr>
          <w:spacing w:val="6"/>
          <w:sz w:val="16"/>
        </w:rPr>
        <w:t> </w:t>
      </w:r>
      <w:r>
        <w:rPr>
          <w:sz w:val="16"/>
        </w:rPr>
        <w:t>Agreement</w:t>
      </w:r>
      <w:r>
        <w:rPr>
          <w:spacing w:val="7"/>
          <w:sz w:val="16"/>
        </w:rPr>
        <w:t> </w:t>
      </w:r>
      <w:r>
        <w:rPr>
          <w:sz w:val="16"/>
        </w:rPr>
        <w:t>on</w:t>
      </w:r>
      <w:r>
        <w:rPr>
          <w:spacing w:val="7"/>
          <w:sz w:val="16"/>
        </w:rPr>
        <w:t> </w:t>
      </w:r>
      <w:r>
        <w:rPr>
          <w:sz w:val="16"/>
        </w:rPr>
        <w:t>the</w:t>
      </w:r>
      <w:r>
        <w:rPr>
          <w:spacing w:val="7"/>
          <w:sz w:val="16"/>
        </w:rPr>
        <w:t> </w:t>
      </w:r>
      <w:r>
        <w:rPr>
          <w:sz w:val="16"/>
        </w:rPr>
        <w:t>withdrawal</w:t>
      </w:r>
      <w:r>
        <w:rPr>
          <w:spacing w:val="7"/>
          <w:sz w:val="16"/>
        </w:rPr>
        <w:t> </w:t>
      </w:r>
      <w:r>
        <w:rPr>
          <w:sz w:val="16"/>
        </w:rPr>
        <w:t>of</w:t>
      </w:r>
      <w:r>
        <w:rPr>
          <w:spacing w:val="7"/>
          <w:sz w:val="16"/>
        </w:rPr>
        <w:t> </w:t>
      </w:r>
      <w:r>
        <w:rPr>
          <w:sz w:val="16"/>
        </w:rPr>
        <w:t>the</w:t>
      </w:r>
      <w:r>
        <w:rPr>
          <w:spacing w:val="7"/>
          <w:sz w:val="16"/>
        </w:rPr>
        <w:t> </w:t>
      </w:r>
      <w:r>
        <w:rPr>
          <w:spacing w:val="-2"/>
          <w:sz w:val="16"/>
        </w:rPr>
        <w:t>United</w:t>
      </w:r>
    </w:p>
    <w:p>
      <w:pPr>
        <w:spacing w:line="211" w:lineRule="auto" w:before="8"/>
        <w:ind w:left="567" w:right="165" w:firstLine="0"/>
        <w:jc w:val="left"/>
        <w:rPr>
          <w:rFonts w:ascii="Lucida Sans Unicode"/>
          <w:sz w:val="16"/>
        </w:rPr>
      </w:pPr>
      <w:r>
        <w:rPr>
          <w:w w:val="105"/>
          <w:sz w:val="16"/>
        </w:rPr>
        <w:t>Kingdom</w:t>
      </w:r>
      <w:r>
        <w:rPr>
          <w:spacing w:val="40"/>
          <w:w w:val="105"/>
          <w:sz w:val="16"/>
        </w:rPr>
        <w:t> </w:t>
      </w:r>
      <w:r>
        <w:rPr>
          <w:w w:val="105"/>
          <w:sz w:val="16"/>
        </w:rPr>
        <w:t>of</w:t>
      </w:r>
      <w:r>
        <w:rPr>
          <w:spacing w:val="40"/>
          <w:w w:val="105"/>
          <w:sz w:val="16"/>
        </w:rPr>
        <w:t> </w:t>
      </w:r>
      <w:r>
        <w:rPr>
          <w:w w:val="105"/>
          <w:sz w:val="16"/>
        </w:rPr>
        <w:t>Great</w:t>
      </w:r>
      <w:r>
        <w:rPr>
          <w:spacing w:val="40"/>
          <w:w w:val="105"/>
          <w:sz w:val="16"/>
        </w:rPr>
        <w:t> </w:t>
      </w:r>
      <w:r>
        <w:rPr>
          <w:w w:val="105"/>
          <w:sz w:val="16"/>
        </w:rPr>
        <w:t>Britain</w:t>
      </w:r>
      <w:r>
        <w:rPr>
          <w:spacing w:val="40"/>
          <w:w w:val="105"/>
          <w:sz w:val="16"/>
        </w:rPr>
        <w:t> </w:t>
      </w:r>
      <w:r>
        <w:rPr>
          <w:w w:val="105"/>
          <w:sz w:val="16"/>
        </w:rPr>
        <w:t>and</w:t>
      </w:r>
      <w:r>
        <w:rPr>
          <w:spacing w:val="40"/>
          <w:w w:val="105"/>
          <w:sz w:val="16"/>
        </w:rPr>
        <w:t> </w:t>
      </w:r>
      <w:r>
        <w:rPr>
          <w:w w:val="105"/>
          <w:sz w:val="16"/>
        </w:rPr>
        <w:t>Northern</w:t>
      </w:r>
      <w:r>
        <w:rPr>
          <w:spacing w:val="40"/>
          <w:w w:val="105"/>
          <w:sz w:val="16"/>
        </w:rPr>
        <w:t> </w:t>
      </w:r>
      <w:r>
        <w:rPr>
          <w:w w:val="105"/>
          <w:sz w:val="16"/>
        </w:rPr>
        <w:t>Ireland</w:t>
      </w:r>
      <w:r>
        <w:rPr>
          <w:spacing w:val="40"/>
          <w:w w:val="105"/>
          <w:sz w:val="16"/>
        </w:rPr>
        <w:t> </w:t>
      </w:r>
      <w:r>
        <w:rPr>
          <w:w w:val="105"/>
          <w:sz w:val="16"/>
        </w:rPr>
        <w:t>from</w:t>
      </w:r>
      <w:r>
        <w:rPr>
          <w:spacing w:val="40"/>
          <w:w w:val="105"/>
          <w:sz w:val="16"/>
        </w:rPr>
        <w:t> </w:t>
      </w:r>
      <w:r>
        <w:rPr>
          <w:w w:val="105"/>
          <w:sz w:val="16"/>
        </w:rPr>
        <w:t>the</w:t>
      </w:r>
      <w:r>
        <w:rPr>
          <w:spacing w:val="40"/>
          <w:w w:val="105"/>
          <w:sz w:val="16"/>
        </w:rPr>
        <w:t> </w:t>
      </w:r>
      <w:r>
        <w:rPr>
          <w:w w:val="105"/>
          <w:sz w:val="16"/>
        </w:rPr>
        <w:t>European</w:t>
      </w:r>
      <w:r>
        <w:rPr>
          <w:spacing w:val="40"/>
          <w:w w:val="105"/>
          <w:sz w:val="16"/>
        </w:rPr>
        <w:t> </w:t>
      </w:r>
      <w:r>
        <w:rPr>
          <w:w w:val="105"/>
          <w:sz w:val="16"/>
        </w:rPr>
        <w:t>Union</w:t>
      </w:r>
      <w:r>
        <w:rPr>
          <w:spacing w:val="40"/>
          <w:w w:val="105"/>
          <w:sz w:val="16"/>
        </w:rPr>
        <w:t> </w:t>
      </w:r>
      <w:r>
        <w:rPr>
          <w:w w:val="105"/>
          <w:sz w:val="16"/>
        </w:rPr>
        <w:t>and</w:t>
      </w:r>
      <w:r>
        <w:rPr>
          <w:spacing w:val="40"/>
          <w:w w:val="105"/>
          <w:sz w:val="16"/>
        </w:rPr>
        <w:t> </w:t>
      </w:r>
      <w:r>
        <w:rPr>
          <w:w w:val="105"/>
          <w:sz w:val="16"/>
        </w:rPr>
        <w:t>the</w:t>
      </w:r>
      <w:r>
        <w:rPr>
          <w:spacing w:val="40"/>
          <w:w w:val="105"/>
          <w:sz w:val="16"/>
        </w:rPr>
        <w:t> </w:t>
      </w:r>
      <w:r>
        <w:rPr>
          <w:w w:val="105"/>
          <w:sz w:val="16"/>
        </w:rPr>
        <w:t>European</w:t>
      </w:r>
      <w:r>
        <w:rPr>
          <w:spacing w:val="40"/>
          <w:w w:val="105"/>
          <w:sz w:val="16"/>
        </w:rPr>
        <w:t> </w:t>
      </w:r>
      <w:r>
        <w:rPr>
          <w:w w:val="105"/>
          <w:sz w:val="16"/>
        </w:rPr>
        <w:t>Atomic</w:t>
      </w:r>
      <w:r>
        <w:rPr>
          <w:spacing w:val="40"/>
          <w:w w:val="105"/>
          <w:sz w:val="16"/>
        </w:rPr>
        <w:t> </w:t>
      </w:r>
      <w:r>
        <w:rPr>
          <w:w w:val="105"/>
          <w:sz w:val="16"/>
        </w:rPr>
        <w:t>Energy </w:t>
      </w:r>
      <w:r>
        <w:rPr>
          <w:rFonts w:ascii="Lucida Sans Unicode"/>
          <w:spacing w:val="-2"/>
          <w:w w:val="105"/>
          <w:sz w:val="16"/>
        </w:rPr>
        <w:t>Community</w:t>
      </w:r>
      <w:r>
        <w:rPr>
          <w:rFonts w:ascii="Lucida Sans Unicode"/>
          <w:spacing w:val="-7"/>
          <w:w w:val="105"/>
          <w:sz w:val="16"/>
        </w:rPr>
        <w:t> </w:t>
      </w:r>
      <w:r>
        <w:rPr>
          <w:rFonts w:ascii="Lucida Sans Unicode"/>
          <w:spacing w:val="-2"/>
          <w:w w:val="105"/>
          <w:sz w:val="16"/>
        </w:rPr>
        <w:t>of</w:t>
      </w:r>
      <w:r>
        <w:rPr>
          <w:rFonts w:ascii="Lucida Sans Unicode"/>
          <w:spacing w:val="-7"/>
          <w:w w:val="105"/>
          <w:sz w:val="16"/>
        </w:rPr>
        <w:t> </w:t>
      </w:r>
      <w:r>
        <w:rPr>
          <w:rFonts w:ascii="Lucida Sans Unicode"/>
          <w:spacing w:val="-2"/>
          <w:w w:val="105"/>
          <w:sz w:val="16"/>
        </w:rPr>
        <w:t>24</w:t>
      </w:r>
      <w:r>
        <w:rPr>
          <w:rFonts w:ascii="Lucida Sans Unicode"/>
          <w:spacing w:val="-7"/>
          <w:w w:val="105"/>
          <w:sz w:val="16"/>
        </w:rPr>
        <w:t> </w:t>
      </w:r>
      <w:r>
        <w:rPr>
          <w:rFonts w:ascii="Lucida Sans Unicode"/>
          <w:spacing w:val="-2"/>
          <w:w w:val="105"/>
          <w:sz w:val="16"/>
        </w:rPr>
        <w:t>March</w:t>
      </w:r>
      <w:r>
        <w:rPr>
          <w:rFonts w:ascii="Lucida Sans Unicode"/>
          <w:spacing w:val="-7"/>
          <w:w w:val="105"/>
          <w:sz w:val="16"/>
        </w:rPr>
        <w:t> </w:t>
      </w:r>
      <w:r>
        <w:rPr>
          <w:rFonts w:ascii="Lucida Sans Unicode"/>
          <w:spacing w:val="-2"/>
          <w:w w:val="105"/>
          <w:sz w:val="16"/>
        </w:rPr>
        <w:t>2023</w:t>
      </w:r>
      <w:r>
        <w:rPr>
          <w:rFonts w:ascii="Lucida Sans Unicode"/>
          <w:spacing w:val="-7"/>
          <w:w w:val="105"/>
          <w:sz w:val="16"/>
        </w:rPr>
        <w:t> </w:t>
      </w:r>
      <w:r>
        <w:rPr>
          <w:rFonts w:ascii="Lucida Sans Unicode"/>
          <w:spacing w:val="-2"/>
          <w:w w:val="105"/>
          <w:sz w:val="16"/>
        </w:rPr>
        <w:t>laying</w:t>
      </w:r>
      <w:r>
        <w:rPr>
          <w:rFonts w:ascii="Lucida Sans Unicode"/>
          <w:spacing w:val="-7"/>
          <w:w w:val="105"/>
          <w:sz w:val="16"/>
        </w:rPr>
        <w:t> </w:t>
      </w:r>
      <w:r>
        <w:rPr>
          <w:rFonts w:ascii="Lucida Sans Unicode"/>
          <w:spacing w:val="-2"/>
          <w:w w:val="105"/>
          <w:sz w:val="16"/>
        </w:rPr>
        <w:t>down</w:t>
      </w:r>
      <w:r>
        <w:rPr>
          <w:rFonts w:ascii="Lucida Sans Unicode"/>
          <w:spacing w:val="-7"/>
          <w:w w:val="105"/>
          <w:sz w:val="16"/>
        </w:rPr>
        <w:t> </w:t>
      </w:r>
      <w:r>
        <w:rPr>
          <w:rFonts w:ascii="Lucida Sans Unicode"/>
          <w:spacing w:val="-2"/>
          <w:w w:val="105"/>
          <w:sz w:val="16"/>
        </w:rPr>
        <w:t>arrangements</w:t>
      </w:r>
      <w:r>
        <w:rPr>
          <w:rFonts w:ascii="Lucida Sans Unicode"/>
          <w:spacing w:val="-7"/>
          <w:w w:val="105"/>
          <w:sz w:val="16"/>
        </w:rPr>
        <w:t> </w:t>
      </w:r>
      <w:r>
        <w:rPr>
          <w:rFonts w:ascii="Lucida Sans Unicode"/>
          <w:spacing w:val="-2"/>
          <w:w w:val="105"/>
          <w:sz w:val="16"/>
        </w:rPr>
        <w:t>relating</w:t>
      </w:r>
      <w:r>
        <w:rPr>
          <w:rFonts w:ascii="Lucida Sans Unicode"/>
          <w:spacing w:val="-7"/>
          <w:w w:val="105"/>
          <w:sz w:val="16"/>
        </w:rPr>
        <w:t> </w:t>
      </w:r>
      <w:r>
        <w:rPr>
          <w:rFonts w:ascii="Lucida Sans Unicode"/>
          <w:spacing w:val="-2"/>
          <w:w w:val="105"/>
          <w:sz w:val="16"/>
        </w:rPr>
        <w:t>to</w:t>
      </w:r>
      <w:r>
        <w:rPr>
          <w:rFonts w:ascii="Lucida Sans Unicode"/>
          <w:spacing w:val="-7"/>
          <w:w w:val="105"/>
          <w:sz w:val="16"/>
        </w:rPr>
        <w:t> </w:t>
      </w:r>
      <w:r>
        <w:rPr>
          <w:rFonts w:ascii="Lucida Sans Unicode"/>
          <w:spacing w:val="-2"/>
          <w:w w:val="105"/>
          <w:sz w:val="16"/>
        </w:rPr>
        <w:t>the</w:t>
      </w:r>
      <w:r>
        <w:rPr>
          <w:rFonts w:ascii="Lucida Sans Unicode"/>
          <w:spacing w:val="-7"/>
          <w:w w:val="105"/>
          <w:sz w:val="16"/>
        </w:rPr>
        <w:t> </w:t>
      </w:r>
      <w:r>
        <w:rPr>
          <w:rFonts w:ascii="Lucida Sans Unicode"/>
          <w:spacing w:val="-2"/>
          <w:w w:val="105"/>
          <w:sz w:val="16"/>
        </w:rPr>
        <w:t>Windsor</w:t>
      </w:r>
      <w:r>
        <w:rPr>
          <w:rFonts w:ascii="Lucida Sans Unicode"/>
          <w:spacing w:val="-7"/>
          <w:w w:val="105"/>
          <w:sz w:val="16"/>
        </w:rPr>
        <w:t> </w:t>
      </w:r>
      <w:r>
        <w:rPr>
          <w:rFonts w:ascii="Lucida Sans Unicode"/>
          <w:spacing w:val="-2"/>
          <w:w w:val="105"/>
          <w:sz w:val="16"/>
        </w:rPr>
        <w:t>Framework</w:t>
      </w:r>
      <w:r>
        <w:rPr>
          <w:rFonts w:ascii="Lucida Sans Unicode"/>
          <w:spacing w:val="-7"/>
          <w:w w:val="105"/>
          <w:sz w:val="16"/>
        </w:rPr>
        <w:t> </w:t>
      </w:r>
      <w:r>
        <w:rPr>
          <w:rFonts w:ascii="Lucida Sans Unicode"/>
          <w:spacing w:val="-2"/>
          <w:w w:val="105"/>
          <w:sz w:val="16"/>
        </w:rPr>
        <w:t>[2023/819]</w:t>
      </w:r>
      <w:r>
        <w:rPr>
          <w:rFonts w:ascii="Lucida Sans Unicode"/>
          <w:spacing w:val="-7"/>
          <w:w w:val="105"/>
          <w:sz w:val="16"/>
        </w:rPr>
        <w:t> </w:t>
      </w:r>
      <w:r>
        <w:rPr>
          <w:rFonts w:ascii="Lucida Sans Unicode"/>
          <w:spacing w:val="-2"/>
          <w:w w:val="105"/>
          <w:sz w:val="16"/>
        </w:rPr>
        <w:t>[2023]</w:t>
      </w:r>
      <w:r>
        <w:rPr>
          <w:rFonts w:ascii="Lucida Sans Unicode"/>
          <w:spacing w:val="-7"/>
          <w:w w:val="105"/>
          <w:sz w:val="16"/>
        </w:rPr>
        <w:t> </w:t>
      </w:r>
      <w:r>
        <w:rPr>
          <w:rFonts w:ascii="Lucida Sans Unicode"/>
          <w:spacing w:val="-2"/>
          <w:w w:val="115"/>
          <w:sz w:val="16"/>
        </w:rPr>
        <w:t>OJ </w:t>
      </w:r>
      <w:r>
        <w:rPr>
          <w:rFonts w:ascii="Lucida Sans Unicode"/>
          <w:w w:val="105"/>
          <w:sz w:val="16"/>
        </w:rPr>
        <w:t>I</w:t>
      </w:r>
      <w:r>
        <w:rPr>
          <w:rFonts w:ascii="Lucida Sans Unicode"/>
          <w:spacing w:val="-14"/>
          <w:w w:val="105"/>
          <w:sz w:val="16"/>
        </w:rPr>
        <w:t> </w:t>
      </w:r>
      <w:r>
        <w:rPr>
          <w:rFonts w:ascii="Lucida Sans Unicode"/>
          <w:w w:val="105"/>
          <w:sz w:val="16"/>
        </w:rPr>
        <w:t>102/61,</w:t>
      </w:r>
      <w:r>
        <w:rPr>
          <w:rFonts w:ascii="Lucida Sans Unicode"/>
          <w:spacing w:val="-13"/>
          <w:w w:val="105"/>
          <w:sz w:val="16"/>
        </w:rPr>
        <w:t> </w:t>
      </w:r>
      <w:r>
        <w:rPr>
          <w:rFonts w:ascii="Lucida Sans Unicode"/>
          <w:w w:val="105"/>
          <w:sz w:val="16"/>
        </w:rPr>
        <w:t>Annex</w:t>
      </w:r>
      <w:r>
        <w:rPr>
          <w:rFonts w:ascii="Lucida Sans Unicode"/>
          <w:spacing w:val="-13"/>
          <w:w w:val="105"/>
          <w:sz w:val="16"/>
        </w:rPr>
        <w:t> </w:t>
      </w:r>
      <w:r>
        <w:rPr>
          <w:rFonts w:ascii="Lucida Sans Unicode"/>
          <w:w w:val="105"/>
          <w:sz w:val="16"/>
        </w:rPr>
        <w:t>I,</w:t>
      </w:r>
      <w:r>
        <w:rPr>
          <w:rFonts w:ascii="Lucida Sans Unicode"/>
          <w:spacing w:val="-14"/>
          <w:w w:val="105"/>
          <w:sz w:val="16"/>
        </w:rPr>
        <w:t> </w:t>
      </w:r>
      <w:r>
        <w:rPr>
          <w:rFonts w:ascii="Lucida Sans Unicode"/>
          <w:w w:val="105"/>
          <w:sz w:val="16"/>
        </w:rPr>
        <w:t>para</w:t>
      </w:r>
      <w:r>
        <w:rPr>
          <w:rFonts w:ascii="Lucida Sans Unicode"/>
          <w:spacing w:val="-13"/>
          <w:w w:val="105"/>
          <w:sz w:val="16"/>
        </w:rPr>
        <w:t> </w:t>
      </w:r>
      <w:r>
        <w:rPr>
          <w:rFonts w:ascii="Lucida Sans Unicode"/>
          <w:w w:val="105"/>
          <w:sz w:val="16"/>
        </w:rPr>
        <w:t>1(a).</w:t>
      </w:r>
    </w:p>
    <w:p>
      <w:pPr>
        <w:pStyle w:val="ListParagraph"/>
        <w:numPr>
          <w:ilvl w:val="0"/>
          <w:numId w:val="14"/>
        </w:numPr>
        <w:tabs>
          <w:tab w:pos="566" w:val="left" w:leader="none"/>
        </w:tabs>
        <w:spacing w:line="185" w:lineRule="exact" w:before="0" w:after="0"/>
        <w:ind w:left="566" w:right="0" w:hanging="453"/>
        <w:jc w:val="left"/>
        <w:rPr>
          <w:sz w:val="16"/>
        </w:rPr>
      </w:pPr>
      <w:r>
        <w:rPr>
          <w:rFonts w:ascii="Verdana"/>
          <w:i/>
          <w:sz w:val="16"/>
        </w:rPr>
        <w:t>Ibid</w:t>
      </w:r>
      <w:r>
        <w:rPr>
          <w:sz w:val="16"/>
        </w:rPr>
        <w:t>.,</w:t>
      </w:r>
      <w:r>
        <w:rPr>
          <w:spacing w:val="-12"/>
          <w:sz w:val="16"/>
        </w:rPr>
        <w:t> </w:t>
      </w:r>
      <w:r>
        <w:rPr>
          <w:sz w:val="16"/>
        </w:rPr>
        <w:t>Annex</w:t>
      </w:r>
      <w:r>
        <w:rPr>
          <w:spacing w:val="-12"/>
          <w:sz w:val="16"/>
        </w:rPr>
        <w:t> </w:t>
      </w:r>
      <w:r>
        <w:rPr>
          <w:sz w:val="16"/>
        </w:rPr>
        <w:t>I,</w:t>
      </w:r>
      <w:r>
        <w:rPr>
          <w:spacing w:val="-11"/>
          <w:sz w:val="16"/>
        </w:rPr>
        <w:t> </w:t>
      </w:r>
      <w:r>
        <w:rPr>
          <w:sz w:val="16"/>
        </w:rPr>
        <w:t>para</w:t>
      </w:r>
      <w:r>
        <w:rPr>
          <w:spacing w:val="-12"/>
          <w:sz w:val="16"/>
        </w:rPr>
        <w:t> </w:t>
      </w:r>
      <w:r>
        <w:rPr>
          <w:sz w:val="16"/>
        </w:rPr>
        <w:t>1(b)</w:t>
      </w:r>
      <w:r>
        <w:rPr>
          <w:spacing w:val="-12"/>
          <w:sz w:val="16"/>
        </w:rPr>
        <w:t> </w:t>
      </w:r>
      <w:r>
        <w:rPr>
          <w:sz w:val="16"/>
        </w:rPr>
        <w:t>and</w:t>
      </w:r>
      <w:r>
        <w:rPr>
          <w:spacing w:val="-11"/>
          <w:sz w:val="16"/>
        </w:rPr>
        <w:t> </w:t>
      </w:r>
      <w:r>
        <w:rPr>
          <w:sz w:val="16"/>
        </w:rPr>
        <w:t>1(c).</w:t>
      </w:r>
      <w:r>
        <w:rPr>
          <w:spacing w:val="-12"/>
          <w:sz w:val="16"/>
        </w:rPr>
        <w:t> </w:t>
      </w:r>
      <w:r>
        <w:rPr>
          <w:sz w:val="16"/>
        </w:rPr>
        <w:t>See</w:t>
      </w:r>
      <w:r>
        <w:rPr>
          <w:spacing w:val="-12"/>
          <w:sz w:val="16"/>
        </w:rPr>
        <w:t> </w:t>
      </w:r>
      <w:r>
        <w:rPr>
          <w:sz w:val="16"/>
        </w:rPr>
        <w:t>also,</w:t>
      </w:r>
      <w:r>
        <w:rPr>
          <w:spacing w:val="-11"/>
          <w:sz w:val="16"/>
        </w:rPr>
        <w:t> </w:t>
      </w:r>
      <w:r>
        <w:rPr>
          <w:sz w:val="16"/>
        </w:rPr>
        <w:t>the</w:t>
      </w:r>
      <w:r>
        <w:rPr>
          <w:spacing w:val="-12"/>
          <w:sz w:val="16"/>
        </w:rPr>
        <w:t> </w:t>
      </w:r>
      <w:r>
        <w:rPr>
          <w:sz w:val="16"/>
        </w:rPr>
        <w:t>Northern</w:t>
      </w:r>
      <w:r>
        <w:rPr>
          <w:spacing w:val="-12"/>
          <w:sz w:val="16"/>
        </w:rPr>
        <w:t> </w:t>
      </w:r>
      <w:r>
        <w:rPr>
          <w:sz w:val="16"/>
        </w:rPr>
        <w:t>Ireland</w:t>
      </w:r>
      <w:r>
        <w:rPr>
          <w:spacing w:val="-11"/>
          <w:sz w:val="16"/>
        </w:rPr>
        <w:t> </w:t>
      </w:r>
      <w:r>
        <w:rPr>
          <w:sz w:val="16"/>
        </w:rPr>
        <w:t>Act</w:t>
      </w:r>
      <w:r>
        <w:rPr>
          <w:spacing w:val="-12"/>
          <w:sz w:val="16"/>
        </w:rPr>
        <w:t> </w:t>
      </w:r>
      <w:r>
        <w:rPr>
          <w:sz w:val="16"/>
        </w:rPr>
        <w:t>1998,</w:t>
      </w:r>
      <w:r>
        <w:rPr>
          <w:spacing w:val="-12"/>
          <w:sz w:val="16"/>
        </w:rPr>
        <w:t> </w:t>
      </w:r>
      <w:r>
        <w:rPr>
          <w:sz w:val="16"/>
        </w:rPr>
        <w:t>sch</w:t>
      </w:r>
      <w:r>
        <w:rPr>
          <w:spacing w:val="-11"/>
          <w:sz w:val="16"/>
        </w:rPr>
        <w:t> </w:t>
      </w:r>
      <w:r>
        <w:rPr>
          <w:sz w:val="16"/>
        </w:rPr>
        <w:t>6B,</w:t>
      </w:r>
      <w:r>
        <w:rPr>
          <w:spacing w:val="-12"/>
          <w:sz w:val="16"/>
        </w:rPr>
        <w:t> </w:t>
      </w:r>
      <w:r>
        <w:rPr>
          <w:sz w:val="16"/>
        </w:rPr>
        <w:t>para</w:t>
      </w:r>
      <w:r>
        <w:rPr>
          <w:spacing w:val="-12"/>
          <w:sz w:val="16"/>
        </w:rPr>
        <w:t> </w:t>
      </w:r>
      <w:r>
        <w:rPr>
          <w:sz w:val="16"/>
        </w:rPr>
        <w:t>11-</w:t>
      </w:r>
      <w:r>
        <w:rPr>
          <w:spacing w:val="-5"/>
          <w:sz w:val="16"/>
        </w:rPr>
        <w:t>14.</w:t>
      </w:r>
    </w:p>
    <w:p>
      <w:pPr>
        <w:pStyle w:val="ListParagraph"/>
        <w:numPr>
          <w:ilvl w:val="0"/>
          <w:numId w:val="14"/>
        </w:numPr>
        <w:tabs>
          <w:tab w:pos="567" w:val="left" w:leader="none"/>
        </w:tabs>
        <w:spacing w:line="200" w:lineRule="exact" w:before="0" w:after="0"/>
        <w:ind w:left="567" w:right="0" w:hanging="454"/>
        <w:jc w:val="left"/>
        <w:rPr>
          <w:sz w:val="16"/>
        </w:rPr>
      </w:pPr>
      <w:r>
        <w:rPr>
          <w:sz w:val="16"/>
        </w:rPr>
        <w:t>WF,</w:t>
      </w:r>
      <w:r>
        <w:rPr>
          <w:spacing w:val="1"/>
          <w:sz w:val="16"/>
        </w:rPr>
        <w:t> </w:t>
      </w:r>
      <w:r>
        <w:rPr>
          <w:sz w:val="16"/>
        </w:rPr>
        <w:t>Article</w:t>
      </w:r>
      <w:r>
        <w:rPr>
          <w:spacing w:val="1"/>
          <w:sz w:val="16"/>
        </w:rPr>
        <w:t> </w:t>
      </w:r>
      <w:r>
        <w:rPr>
          <w:sz w:val="16"/>
        </w:rPr>
        <w:t>13(3a),</w:t>
      </w:r>
      <w:r>
        <w:rPr>
          <w:spacing w:val="1"/>
          <w:sz w:val="16"/>
        </w:rPr>
        <w:t> </w:t>
      </w:r>
      <w:r>
        <w:rPr>
          <w:sz w:val="16"/>
        </w:rPr>
        <w:t>sixth</w:t>
      </w:r>
      <w:r>
        <w:rPr>
          <w:spacing w:val="1"/>
          <w:sz w:val="16"/>
        </w:rPr>
        <w:t> </w:t>
      </w:r>
      <w:r>
        <w:rPr>
          <w:spacing w:val="-2"/>
          <w:sz w:val="16"/>
        </w:rPr>
        <w:t>subparagraph.</w:t>
      </w:r>
    </w:p>
    <w:p>
      <w:pPr>
        <w:pStyle w:val="ListParagraph"/>
        <w:numPr>
          <w:ilvl w:val="0"/>
          <w:numId w:val="14"/>
        </w:numPr>
        <w:tabs>
          <w:tab w:pos="566" w:val="left" w:leader="none"/>
        </w:tabs>
        <w:spacing w:line="200" w:lineRule="exact" w:before="0" w:after="0"/>
        <w:ind w:left="566" w:right="0" w:hanging="453"/>
        <w:jc w:val="left"/>
        <w:rPr>
          <w:sz w:val="16"/>
        </w:rPr>
      </w:pPr>
      <w:r>
        <w:rPr>
          <w:rFonts w:ascii="Verdana"/>
          <w:i/>
          <w:sz w:val="16"/>
        </w:rPr>
        <w:t>Ibid</w:t>
      </w:r>
      <w:r>
        <w:rPr>
          <w:sz w:val="16"/>
        </w:rPr>
        <w:t>.,</w:t>
      </w:r>
      <w:r>
        <w:rPr>
          <w:spacing w:val="-9"/>
          <w:sz w:val="16"/>
        </w:rPr>
        <w:t> </w:t>
      </w:r>
      <w:r>
        <w:rPr>
          <w:sz w:val="16"/>
        </w:rPr>
        <w:t>Article</w:t>
      </w:r>
      <w:r>
        <w:rPr>
          <w:spacing w:val="-8"/>
          <w:sz w:val="16"/>
        </w:rPr>
        <w:t> </w:t>
      </w:r>
      <w:r>
        <w:rPr>
          <w:spacing w:val="-2"/>
          <w:sz w:val="16"/>
        </w:rPr>
        <w:t>13(4).</w:t>
      </w:r>
    </w:p>
    <w:p>
      <w:pPr>
        <w:pStyle w:val="ListParagraph"/>
        <w:numPr>
          <w:ilvl w:val="0"/>
          <w:numId w:val="14"/>
        </w:numPr>
        <w:tabs>
          <w:tab w:pos="567" w:val="left" w:leader="none"/>
        </w:tabs>
        <w:spacing w:line="200" w:lineRule="exact" w:before="0" w:after="0"/>
        <w:ind w:left="567" w:right="0" w:hanging="454"/>
        <w:jc w:val="left"/>
        <w:rPr>
          <w:sz w:val="16"/>
        </w:rPr>
      </w:pPr>
      <w:r>
        <w:rPr>
          <w:rFonts w:ascii="Verdana"/>
          <w:i/>
          <w:sz w:val="16"/>
        </w:rPr>
        <w:t>Ibid</w:t>
      </w:r>
      <w:r>
        <w:rPr>
          <w:sz w:val="16"/>
        </w:rPr>
        <w:t>.,</w:t>
      </w:r>
      <w:r>
        <w:rPr>
          <w:spacing w:val="-2"/>
          <w:sz w:val="16"/>
        </w:rPr>
        <w:t> </w:t>
      </w:r>
      <w:r>
        <w:rPr>
          <w:sz w:val="16"/>
        </w:rPr>
        <w:t>Article</w:t>
      </w:r>
      <w:r>
        <w:rPr>
          <w:spacing w:val="-1"/>
          <w:sz w:val="16"/>
        </w:rPr>
        <w:t> </w:t>
      </w:r>
      <w:r>
        <w:rPr>
          <w:sz w:val="16"/>
        </w:rPr>
        <w:t>13(4),</w:t>
      </w:r>
      <w:r>
        <w:rPr>
          <w:spacing w:val="-2"/>
          <w:sz w:val="16"/>
        </w:rPr>
        <w:t> </w:t>
      </w:r>
      <w:r>
        <w:rPr>
          <w:sz w:val="16"/>
        </w:rPr>
        <w:t>second</w:t>
      </w:r>
      <w:r>
        <w:rPr>
          <w:spacing w:val="-2"/>
          <w:sz w:val="16"/>
        </w:rPr>
        <w:t> </w:t>
      </w:r>
      <w:r>
        <w:rPr>
          <w:sz w:val="16"/>
        </w:rPr>
        <w:t>subparagraph</w:t>
      </w:r>
      <w:r>
        <w:rPr>
          <w:spacing w:val="-1"/>
          <w:sz w:val="16"/>
        </w:rPr>
        <w:t> </w:t>
      </w:r>
      <w:r>
        <w:rPr>
          <w:spacing w:val="-4"/>
          <w:sz w:val="16"/>
        </w:rPr>
        <w:t>(a).</w:t>
      </w:r>
    </w:p>
    <w:p>
      <w:pPr>
        <w:pStyle w:val="ListParagraph"/>
        <w:numPr>
          <w:ilvl w:val="0"/>
          <w:numId w:val="14"/>
        </w:numPr>
        <w:tabs>
          <w:tab w:pos="565" w:val="left" w:leader="none"/>
        </w:tabs>
        <w:spacing w:line="200" w:lineRule="exact" w:before="0" w:after="0"/>
        <w:ind w:left="565" w:right="0" w:hanging="452"/>
        <w:jc w:val="left"/>
        <w:rPr>
          <w:sz w:val="16"/>
        </w:rPr>
      </w:pPr>
      <w:r>
        <w:rPr>
          <w:rFonts w:ascii="Verdana"/>
          <w:i/>
          <w:sz w:val="16"/>
        </w:rPr>
        <w:t>Ibid</w:t>
      </w:r>
      <w:r>
        <w:rPr>
          <w:sz w:val="16"/>
        </w:rPr>
        <w:t>.,</w:t>
      </w:r>
      <w:r>
        <w:rPr>
          <w:spacing w:val="-2"/>
          <w:sz w:val="16"/>
        </w:rPr>
        <w:t> </w:t>
      </w:r>
      <w:r>
        <w:rPr>
          <w:sz w:val="16"/>
        </w:rPr>
        <w:t>Article</w:t>
      </w:r>
      <w:r>
        <w:rPr>
          <w:spacing w:val="-1"/>
          <w:sz w:val="16"/>
        </w:rPr>
        <w:t> </w:t>
      </w:r>
      <w:r>
        <w:rPr>
          <w:sz w:val="16"/>
        </w:rPr>
        <w:t>13(4),</w:t>
      </w:r>
      <w:r>
        <w:rPr>
          <w:spacing w:val="-2"/>
          <w:sz w:val="16"/>
        </w:rPr>
        <w:t> </w:t>
      </w:r>
      <w:r>
        <w:rPr>
          <w:sz w:val="16"/>
        </w:rPr>
        <w:t>second</w:t>
      </w:r>
      <w:r>
        <w:rPr>
          <w:spacing w:val="-2"/>
          <w:sz w:val="16"/>
        </w:rPr>
        <w:t> </w:t>
      </w:r>
      <w:r>
        <w:rPr>
          <w:sz w:val="16"/>
        </w:rPr>
        <w:t>subparagraph</w:t>
      </w:r>
      <w:r>
        <w:rPr>
          <w:spacing w:val="-1"/>
          <w:sz w:val="16"/>
        </w:rPr>
        <w:t> </w:t>
      </w:r>
      <w:r>
        <w:rPr>
          <w:spacing w:val="-4"/>
          <w:sz w:val="16"/>
        </w:rPr>
        <w:t>(b).</w:t>
      </w:r>
    </w:p>
    <w:p>
      <w:pPr>
        <w:pStyle w:val="ListParagraph"/>
        <w:numPr>
          <w:ilvl w:val="0"/>
          <w:numId w:val="14"/>
        </w:numPr>
        <w:tabs>
          <w:tab w:pos="566" w:val="left" w:leader="none"/>
        </w:tabs>
        <w:spacing w:line="223" w:lineRule="exact" w:before="0" w:after="0"/>
        <w:ind w:left="566" w:right="0" w:hanging="453"/>
        <w:jc w:val="left"/>
        <w:rPr>
          <w:sz w:val="16"/>
        </w:rPr>
      </w:pPr>
      <w:r>
        <w:rPr>
          <w:rFonts w:ascii="Verdana"/>
          <w:i/>
          <w:sz w:val="16"/>
        </w:rPr>
        <w:t>Ibid</w:t>
      </w:r>
      <w:r>
        <w:rPr>
          <w:sz w:val="16"/>
        </w:rPr>
        <w:t>.,</w:t>
      </w:r>
      <w:r>
        <w:rPr>
          <w:spacing w:val="-11"/>
          <w:sz w:val="16"/>
        </w:rPr>
        <w:t> </w:t>
      </w:r>
      <w:r>
        <w:rPr>
          <w:sz w:val="16"/>
        </w:rPr>
        <w:t>Article</w:t>
      </w:r>
      <w:r>
        <w:rPr>
          <w:spacing w:val="-11"/>
          <w:sz w:val="16"/>
        </w:rPr>
        <w:t> </w:t>
      </w:r>
      <w:r>
        <w:rPr>
          <w:sz w:val="16"/>
        </w:rPr>
        <w:t>13(4),</w:t>
      </w:r>
      <w:r>
        <w:rPr>
          <w:spacing w:val="-11"/>
          <w:sz w:val="16"/>
        </w:rPr>
        <w:t> </w:t>
      </w:r>
      <w:r>
        <w:rPr>
          <w:sz w:val="16"/>
        </w:rPr>
        <w:t>third</w:t>
      </w:r>
      <w:r>
        <w:rPr>
          <w:spacing w:val="-10"/>
          <w:sz w:val="16"/>
        </w:rPr>
        <w:t> </w:t>
      </w:r>
      <w:r>
        <w:rPr>
          <w:spacing w:val="-2"/>
          <w:sz w:val="16"/>
        </w:rPr>
        <w:t>subparagraph.</w:t>
      </w:r>
    </w:p>
    <w:p>
      <w:pPr>
        <w:spacing w:after="0" w:line="223" w:lineRule="exact"/>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310" w:lineRule="exact" w:before="49"/>
        <w:ind w:right="385"/>
      </w:pPr>
      <w:bookmarkStart w:name="6.  Dynamic alignment and Article 2 Wind" w:id="87"/>
      <w:bookmarkEnd w:id="87"/>
      <w:r>
        <w:rPr/>
      </w:r>
      <w:bookmarkStart w:name="_bookmark36" w:id="88"/>
      <w:bookmarkEnd w:id="88"/>
      <w:r>
        <w:rPr/>
      </w:r>
      <w:r>
        <w:rPr>
          <w:rFonts w:ascii="Lucida Sans Unicode"/>
          <w:spacing w:val="-2"/>
          <w:w w:val="110"/>
        </w:rPr>
        <w:t>while</w:t>
      </w:r>
      <w:r>
        <w:rPr>
          <w:rFonts w:ascii="Lucida Sans Unicode"/>
          <w:spacing w:val="-18"/>
          <w:w w:val="110"/>
        </w:rPr>
        <w:t> </w:t>
      </w:r>
      <w:r>
        <w:rPr>
          <w:rFonts w:ascii="Lucida Sans Unicode"/>
          <w:spacing w:val="-2"/>
          <w:w w:val="110"/>
        </w:rPr>
        <w:t>Y</w:t>
      </w:r>
      <w:r>
        <w:rPr>
          <w:rFonts w:ascii="Lucida Sans Unicode"/>
          <w:spacing w:val="-18"/>
          <w:w w:val="110"/>
        </w:rPr>
        <w:t> </w:t>
      </w:r>
      <w:r>
        <w:rPr>
          <w:rFonts w:ascii="Lucida Sans Unicode"/>
          <w:spacing w:val="-2"/>
          <w:w w:val="110"/>
        </w:rPr>
        <w:t>is</w:t>
      </w:r>
      <w:r>
        <w:rPr>
          <w:rFonts w:ascii="Lucida Sans Unicode"/>
          <w:spacing w:val="-18"/>
          <w:w w:val="110"/>
        </w:rPr>
        <w:t> </w:t>
      </w:r>
      <w:r>
        <w:rPr>
          <w:rFonts w:ascii="Lucida Sans Unicode"/>
          <w:spacing w:val="-2"/>
          <w:w w:val="110"/>
        </w:rPr>
        <w:t>applicable</w:t>
      </w:r>
      <w:r>
        <w:rPr>
          <w:rFonts w:ascii="Lucida Sans Unicode"/>
          <w:spacing w:val="-18"/>
          <w:w w:val="110"/>
        </w:rPr>
        <w:t> </w:t>
      </w:r>
      <w:r>
        <w:rPr>
          <w:rFonts w:ascii="Lucida Sans Unicode"/>
          <w:spacing w:val="-2"/>
          <w:w w:val="110"/>
        </w:rPr>
        <w:t>in</w:t>
      </w:r>
      <w:r>
        <w:rPr>
          <w:rFonts w:ascii="Lucida Sans Unicode"/>
          <w:spacing w:val="-18"/>
          <w:w w:val="110"/>
        </w:rPr>
        <w:t> </w:t>
      </w:r>
      <w:r>
        <w:rPr>
          <w:rFonts w:ascii="Lucida Sans Unicode"/>
          <w:spacing w:val="-2"/>
          <w:w w:val="110"/>
        </w:rPr>
        <w:t>the</w:t>
      </w:r>
      <w:r>
        <w:rPr>
          <w:rFonts w:ascii="Lucida Sans Unicode"/>
          <w:spacing w:val="-18"/>
          <w:w w:val="110"/>
        </w:rPr>
        <w:t> </w:t>
      </w:r>
      <w:r>
        <w:rPr>
          <w:rFonts w:ascii="Lucida Sans Unicode"/>
          <w:spacing w:val="-2"/>
          <w:w w:val="110"/>
        </w:rPr>
        <w:t>EU.</w:t>
      </w:r>
      <w:r>
        <w:rPr>
          <w:rFonts w:ascii="Lucida Sans Unicode"/>
          <w:spacing w:val="-18"/>
          <w:w w:val="110"/>
        </w:rPr>
        <w:t> </w:t>
      </w:r>
      <w:r>
        <w:rPr>
          <w:rFonts w:ascii="Lucida Sans Unicode"/>
          <w:spacing w:val="-2"/>
          <w:w w:val="110"/>
        </w:rPr>
        <w:t>If,</w:t>
      </w:r>
      <w:r>
        <w:rPr>
          <w:rFonts w:ascii="Lucida Sans Unicode"/>
          <w:spacing w:val="-2"/>
          <w:w w:val="110"/>
        </w:rPr>
        <w:t> </w:t>
      </w:r>
      <w:r>
        <w:rPr>
          <w:w w:val="110"/>
        </w:rPr>
        <w:t>in this scenario, the CJEU decides </w:t>
      </w:r>
      <w:r>
        <w:rPr>
          <w:rFonts w:ascii="Lucida Sans Unicode"/>
          <w:w w:val="110"/>
        </w:rPr>
        <w:t>that</w:t>
      </w:r>
      <w:r>
        <w:rPr>
          <w:rFonts w:ascii="Lucida Sans Unicode"/>
          <w:spacing w:val="-21"/>
          <w:w w:val="110"/>
        </w:rPr>
        <w:t> </w:t>
      </w:r>
      <w:r>
        <w:rPr>
          <w:rFonts w:ascii="Lucida Sans Unicode"/>
          <w:w w:val="110"/>
        </w:rPr>
        <w:t>the</w:t>
      </w:r>
      <w:r>
        <w:rPr>
          <w:rFonts w:ascii="Lucida Sans Unicode"/>
          <w:spacing w:val="-21"/>
          <w:w w:val="110"/>
        </w:rPr>
        <w:t> </w:t>
      </w:r>
      <w:r>
        <w:rPr>
          <w:rFonts w:ascii="Lucida Sans Unicode"/>
          <w:w w:val="110"/>
        </w:rPr>
        <w:t>effect</w:t>
      </w:r>
      <w:r>
        <w:rPr>
          <w:rFonts w:ascii="Lucida Sans Unicode"/>
          <w:spacing w:val="-21"/>
          <w:w w:val="110"/>
        </w:rPr>
        <w:t> </w:t>
      </w:r>
      <w:r>
        <w:rPr>
          <w:rFonts w:ascii="Lucida Sans Unicode"/>
          <w:w w:val="110"/>
        </w:rPr>
        <w:t>of</w:t>
      </w:r>
      <w:r>
        <w:rPr>
          <w:rFonts w:ascii="Lucida Sans Unicode"/>
          <w:spacing w:val="-21"/>
          <w:w w:val="110"/>
        </w:rPr>
        <w:t> </w:t>
      </w:r>
      <w:r>
        <w:rPr>
          <w:rFonts w:ascii="Lucida Sans Unicode"/>
          <w:w w:val="110"/>
        </w:rPr>
        <w:t>Y</w:t>
      </w:r>
      <w:r>
        <w:rPr>
          <w:rFonts w:ascii="Lucida Sans Unicode"/>
          <w:spacing w:val="-21"/>
          <w:w w:val="110"/>
        </w:rPr>
        <w:t> </w:t>
      </w:r>
      <w:r>
        <w:rPr>
          <w:rFonts w:ascii="Lucida Sans Unicode"/>
          <w:w w:val="110"/>
        </w:rPr>
        <w:t>is</w:t>
      </w:r>
      <w:r>
        <w:rPr>
          <w:rFonts w:ascii="Lucida Sans Unicode"/>
          <w:spacing w:val="-21"/>
          <w:w w:val="110"/>
        </w:rPr>
        <w:t> </w:t>
      </w:r>
      <w:r>
        <w:rPr>
          <w:rFonts w:ascii="Lucida Sans Unicode"/>
          <w:w w:val="110"/>
        </w:rPr>
        <w:t>modified</w:t>
      </w:r>
      <w:r>
        <w:rPr>
          <w:rFonts w:ascii="Lucida Sans Unicode"/>
          <w:spacing w:val="-21"/>
          <w:w w:val="110"/>
        </w:rPr>
        <w:t> </w:t>
      </w:r>
      <w:r>
        <w:rPr>
          <w:rFonts w:ascii="Lucida Sans Unicode"/>
          <w:w w:val="110"/>
        </w:rPr>
        <w:t>by </w:t>
      </w:r>
      <w:r>
        <w:rPr>
          <w:w w:val="110"/>
        </w:rPr>
        <w:t>a Charter-consistent interpretation, then</w:t>
      </w:r>
      <w:r>
        <w:rPr>
          <w:spacing w:val="8"/>
          <w:w w:val="110"/>
        </w:rPr>
        <w:t> </w:t>
      </w:r>
      <w:r>
        <w:rPr>
          <w:w w:val="110"/>
        </w:rPr>
        <w:t>there</w:t>
      </w:r>
      <w:r>
        <w:rPr>
          <w:spacing w:val="9"/>
          <w:w w:val="110"/>
        </w:rPr>
        <w:t> </w:t>
      </w:r>
      <w:r>
        <w:rPr>
          <w:w w:val="110"/>
        </w:rPr>
        <w:t>is</w:t>
      </w:r>
      <w:r>
        <w:rPr>
          <w:spacing w:val="8"/>
          <w:w w:val="110"/>
        </w:rPr>
        <w:t> </w:t>
      </w:r>
      <w:r>
        <w:rPr>
          <w:w w:val="110"/>
        </w:rPr>
        <w:t>no</w:t>
      </w:r>
      <w:r>
        <w:rPr>
          <w:spacing w:val="9"/>
          <w:w w:val="110"/>
        </w:rPr>
        <w:t> </w:t>
      </w:r>
      <w:r>
        <w:rPr>
          <w:w w:val="110"/>
        </w:rPr>
        <w:t>guidance</w:t>
      </w:r>
      <w:r>
        <w:rPr>
          <w:spacing w:val="9"/>
          <w:w w:val="110"/>
        </w:rPr>
        <w:t> </w:t>
      </w:r>
      <w:r>
        <w:rPr>
          <w:spacing w:val="-2"/>
          <w:w w:val="110"/>
        </w:rPr>
        <w:t>provided</w:t>
      </w:r>
    </w:p>
    <w:p>
      <w:pPr>
        <w:pStyle w:val="BodyText"/>
        <w:spacing w:line="268" w:lineRule="auto" w:before="23"/>
      </w:pPr>
      <w:r>
        <w:rPr>
          <w:w w:val="115"/>
        </w:rPr>
        <w:t>in</w:t>
      </w:r>
      <w:r>
        <w:rPr>
          <w:spacing w:val="-17"/>
          <w:w w:val="115"/>
        </w:rPr>
        <w:t> </w:t>
      </w:r>
      <w:r>
        <w:rPr>
          <w:w w:val="115"/>
        </w:rPr>
        <w:t>the</w:t>
      </w:r>
      <w:r>
        <w:rPr>
          <w:spacing w:val="-17"/>
          <w:w w:val="115"/>
        </w:rPr>
        <w:t> </w:t>
      </w:r>
      <w:r>
        <w:rPr>
          <w:w w:val="115"/>
        </w:rPr>
        <w:t>Windsor</w:t>
      </w:r>
      <w:r>
        <w:rPr>
          <w:spacing w:val="-17"/>
          <w:w w:val="115"/>
        </w:rPr>
        <w:t> </w:t>
      </w:r>
      <w:r>
        <w:rPr>
          <w:w w:val="115"/>
        </w:rPr>
        <w:t>Framework</w:t>
      </w:r>
      <w:r>
        <w:rPr>
          <w:spacing w:val="-17"/>
          <w:w w:val="115"/>
        </w:rPr>
        <w:t> </w:t>
      </w:r>
      <w:r>
        <w:rPr>
          <w:w w:val="115"/>
        </w:rPr>
        <w:t>as</w:t>
      </w:r>
      <w:r>
        <w:rPr>
          <w:spacing w:val="-17"/>
          <w:w w:val="115"/>
        </w:rPr>
        <w:t> </w:t>
      </w:r>
      <w:r>
        <w:rPr>
          <w:w w:val="115"/>
        </w:rPr>
        <w:t>to</w:t>
      </w:r>
      <w:r>
        <w:rPr>
          <w:spacing w:val="-17"/>
          <w:w w:val="115"/>
        </w:rPr>
        <w:t> </w:t>
      </w:r>
      <w:r>
        <w:rPr>
          <w:w w:val="115"/>
        </w:rPr>
        <w:t>how the</w:t>
      </w:r>
      <w:r>
        <w:rPr>
          <w:spacing w:val="-20"/>
          <w:w w:val="115"/>
        </w:rPr>
        <w:t> </w:t>
      </w:r>
      <w:r>
        <w:rPr>
          <w:w w:val="115"/>
        </w:rPr>
        <w:t>courts</w:t>
      </w:r>
      <w:r>
        <w:rPr>
          <w:spacing w:val="-19"/>
          <w:w w:val="115"/>
        </w:rPr>
        <w:t> </w:t>
      </w:r>
      <w:r>
        <w:rPr>
          <w:w w:val="115"/>
        </w:rPr>
        <w:t>of</w:t>
      </w:r>
      <w:r>
        <w:rPr>
          <w:spacing w:val="-19"/>
          <w:w w:val="115"/>
        </w:rPr>
        <w:t> </w:t>
      </w:r>
      <w:r>
        <w:rPr>
          <w:w w:val="115"/>
        </w:rPr>
        <w:t>Northern</w:t>
      </w:r>
      <w:r>
        <w:rPr>
          <w:spacing w:val="-19"/>
          <w:w w:val="115"/>
        </w:rPr>
        <w:t> </w:t>
      </w:r>
      <w:r>
        <w:rPr>
          <w:w w:val="115"/>
        </w:rPr>
        <w:t>Ireland</w:t>
      </w:r>
      <w:r>
        <w:rPr>
          <w:spacing w:val="-19"/>
          <w:w w:val="115"/>
        </w:rPr>
        <w:t> </w:t>
      </w:r>
      <w:r>
        <w:rPr>
          <w:w w:val="115"/>
        </w:rPr>
        <w:t>should approach the question of a CFR- consistent interpretation of X.</w:t>
      </w:r>
    </w:p>
    <w:p>
      <w:pPr>
        <w:pStyle w:val="BodyText"/>
        <w:spacing w:before="5"/>
        <w:ind w:left="0"/>
      </w:pPr>
    </w:p>
    <w:p>
      <w:pPr>
        <w:pStyle w:val="BodyText"/>
        <w:spacing w:line="310" w:lineRule="exact"/>
        <w:ind w:right="385"/>
      </w:pPr>
      <w:r>
        <w:rPr>
          <w:rFonts w:ascii="Lucida Sans Unicode"/>
          <w:w w:val="110"/>
        </w:rPr>
        <w:t>Article</w:t>
      </w:r>
      <w:r>
        <w:rPr>
          <w:rFonts w:ascii="Lucida Sans Unicode"/>
          <w:spacing w:val="-16"/>
          <w:w w:val="110"/>
        </w:rPr>
        <w:t> </w:t>
      </w:r>
      <w:r>
        <w:rPr>
          <w:rFonts w:ascii="Lucida Sans Unicode"/>
          <w:w w:val="105"/>
        </w:rPr>
        <w:t>13</w:t>
      </w:r>
      <w:r>
        <w:rPr>
          <w:rFonts w:ascii="Lucida Sans Unicode"/>
          <w:spacing w:val="-12"/>
          <w:w w:val="105"/>
        </w:rPr>
        <w:t> </w:t>
      </w:r>
      <w:r>
        <w:rPr>
          <w:rFonts w:ascii="Lucida Sans Unicode"/>
          <w:w w:val="110"/>
        </w:rPr>
        <w:t>(2)</w:t>
      </w:r>
      <w:r>
        <w:rPr>
          <w:rFonts w:ascii="Lucida Sans Unicode"/>
          <w:spacing w:val="-16"/>
          <w:w w:val="110"/>
        </w:rPr>
        <w:t> </w:t>
      </w:r>
      <w:r>
        <w:rPr>
          <w:rFonts w:ascii="Lucida Sans Unicode"/>
          <w:w w:val="110"/>
        </w:rPr>
        <w:t>of</w:t>
      </w:r>
      <w:r>
        <w:rPr>
          <w:rFonts w:ascii="Lucida Sans Unicode"/>
          <w:spacing w:val="-16"/>
          <w:w w:val="110"/>
        </w:rPr>
        <w:t> </w:t>
      </w:r>
      <w:r>
        <w:rPr>
          <w:rFonts w:ascii="Lucida Sans Unicode"/>
          <w:w w:val="110"/>
        </w:rPr>
        <w:t>the</w:t>
      </w:r>
      <w:r>
        <w:rPr>
          <w:rFonts w:ascii="Lucida Sans Unicode"/>
          <w:spacing w:val="-16"/>
          <w:w w:val="110"/>
        </w:rPr>
        <w:t> </w:t>
      </w:r>
      <w:r>
        <w:rPr>
          <w:rFonts w:ascii="Lucida Sans Unicode"/>
          <w:w w:val="110"/>
        </w:rPr>
        <w:t>Windsor </w:t>
      </w:r>
      <w:r>
        <w:rPr>
          <w:w w:val="110"/>
        </w:rPr>
        <w:t>Framework mandates that its provisions</w:t>
      </w:r>
      <w:r>
        <w:rPr>
          <w:spacing w:val="40"/>
          <w:w w:val="110"/>
        </w:rPr>
        <w:t> </w:t>
      </w:r>
      <w:r>
        <w:rPr>
          <w:w w:val="110"/>
        </w:rPr>
        <w:t>referring</w:t>
      </w:r>
      <w:r>
        <w:rPr>
          <w:spacing w:val="40"/>
          <w:w w:val="110"/>
        </w:rPr>
        <w:t> </w:t>
      </w:r>
      <w:r>
        <w:rPr>
          <w:w w:val="110"/>
        </w:rPr>
        <w:t>to</w:t>
      </w:r>
      <w:r>
        <w:rPr>
          <w:spacing w:val="40"/>
          <w:w w:val="110"/>
        </w:rPr>
        <w:t> </w:t>
      </w:r>
      <w:r>
        <w:rPr>
          <w:w w:val="110"/>
        </w:rPr>
        <w:t>Union</w:t>
      </w:r>
      <w:r>
        <w:rPr>
          <w:spacing w:val="40"/>
          <w:w w:val="110"/>
        </w:rPr>
        <w:t> </w:t>
      </w:r>
      <w:r>
        <w:rPr>
          <w:w w:val="110"/>
        </w:rPr>
        <w:t>law be interpreted in conformity with</w:t>
      </w:r>
      <w:r>
        <w:rPr>
          <w:spacing w:val="80"/>
          <w:w w:val="110"/>
        </w:rPr>
        <w:t> </w:t>
      </w:r>
      <w:r>
        <w:rPr>
          <w:w w:val="110"/>
        </w:rPr>
        <w:t>the relevant CJEU case law. If in </w:t>
      </w:r>
      <w:r>
        <w:rPr>
          <w:rFonts w:ascii="Lucida Sans Unicode"/>
          <w:spacing w:val="-2"/>
          <w:w w:val="110"/>
        </w:rPr>
        <w:t>such</w:t>
      </w:r>
      <w:r>
        <w:rPr>
          <w:rFonts w:ascii="Lucida Sans Unicode"/>
          <w:spacing w:val="-19"/>
          <w:w w:val="110"/>
        </w:rPr>
        <w:t> </w:t>
      </w:r>
      <w:r>
        <w:rPr>
          <w:rFonts w:ascii="Lucida Sans Unicode"/>
          <w:spacing w:val="-2"/>
          <w:w w:val="110"/>
        </w:rPr>
        <w:t>a</w:t>
      </w:r>
      <w:r>
        <w:rPr>
          <w:rFonts w:ascii="Lucida Sans Unicode"/>
          <w:spacing w:val="-19"/>
          <w:w w:val="110"/>
        </w:rPr>
        <w:t> </w:t>
      </w:r>
      <w:r>
        <w:rPr>
          <w:rFonts w:ascii="Lucida Sans Unicode"/>
          <w:spacing w:val="-2"/>
          <w:w w:val="110"/>
        </w:rPr>
        <w:t>scenario</w:t>
      </w:r>
      <w:r>
        <w:rPr>
          <w:rFonts w:ascii="Lucida Sans Unicode"/>
          <w:spacing w:val="-19"/>
          <w:w w:val="110"/>
        </w:rPr>
        <w:t> </w:t>
      </w:r>
      <w:r>
        <w:rPr>
          <w:rFonts w:ascii="Lucida Sans Unicode"/>
          <w:spacing w:val="-2"/>
          <w:w w:val="110"/>
        </w:rPr>
        <w:t>the</w:t>
      </w:r>
      <w:r>
        <w:rPr>
          <w:rFonts w:ascii="Lucida Sans Unicode"/>
          <w:spacing w:val="-19"/>
          <w:w w:val="110"/>
        </w:rPr>
        <w:t> </w:t>
      </w:r>
      <w:r>
        <w:rPr>
          <w:rFonts w:ascii="Lucida Sans Unicode"/>
          <w:spacing w:val="-2"/>
          <w:w w:val="110"/>
        </w:rPr>
        <w:t>new</w:t>
      </w:r>
      <w:r>
        <w:rPr>
          <w:rFonts w:ascii="Lucida Sans Unicode"/>
          <w:spacing w:val="-19"/>
          <w:w w:val="110"/>
        </w:rPr>
        <w:t> </w:t>
      </w:r>
      <w:r>
        <w:rPr>
          <w:rFonts w:ascii="Lucida Sans Unicode"/>
          <w:spacing w:val="-2"/>
          <w:w w:val="110"/>
        </w:rPr>
        <w:t>EU</w:t>
      </w:r>
      <w:r>
        <w:rPr>
          <w:rFonts w:ascii="Lucida Sans Unicode"/>
          <w:spacing w:val="-19"/>
          <w:w w:val="110"/>
        </w:rPr>
        <w:t> </w:t>
      </w:r>
      <w:r>
        <w:rPr>
          <w:rFonts w:ascii="Lucida Sans Unicode"/>
          <w:spacing w:val="-2"/>
          <w:w w:val="110"/>
        </w:rPr>
        <w:t>act,</w:t>
      </w:r>
      <w:r>
        <w:rPr>
          <w:rFonts w:ascii="Lucida Sans Unicode"/>
          <w:spacing w:val="-19"/>
          <w:w w:val="110"/>
        </w:rPr>
        <w:t> </w:t>
      </w:r>
      <w:r>
        <w:rPr>
          <w:rFonts w:ascii="Lucida Sans Unicode"/>
          <w:spacing w:val="-2"/>
          <w:w w:val="110"/>
        </w:rPr>
        <w:t>Y, </w:t>
      </w:r>
      <w:r>
        <w:rPr>
          <w:w w:val="110"/>
        </w:rPr>
        <w:t>is interpreted by the CJEU in light</w:t>
      </w:r>
      <w:r>
        <w:rPr>
          <w:spacing w:val="40"/>
          <w:w w:val="110"/>
        </w:rPr>
        <w:t> </w:t>
      </w:r>
      <w:r>
        <w:rPr>
          <w:w w:val="110"/>
        </w:rPr>
        <w:t>of the Charter (or indeed parts of </w:t>
      </w:r>
      <w:r>
        <w:rPr>
          <w:w w:val="110"/>
        </w:rPr>
        <w:t>it</w:t>
      </w:r>
    </w:p>
    <w:p>
      <w:pPr>
        <w:pStyle w:val="BodyText"/>
        <w:spacing w:line="268" w:lineRule="auto" w:before="23"/>
        <w:ind w:right="75"/>
      </w:pPr>
      <w:r>
        <w:rPr>
          <w:w w:val="115"/>
        </w:rPr>
        <w:t>are</w:t>
      </w:r>
      <w:r>
        <w:rPr>
          <w:spacing w:val="-20"/>
          <w:w w:val="115"/>
        </w:rPr>
        <w:t> </w:t>
      </w:r>
      <w:r>
        <w:rPr>
          <w:w w:val="115"/>
        </w:rPr>
        <w:t>declared</w:t>
      </w:r>
      <w:r>
        <w:rPr>
          <w:spacing w:val="-19"/>
          <w:w w:val="115"/>
        </w:rPr>
        <w:t> </w:t>
      </w:r>
      <w:r>
        <w:rPr>
          <w:w w:val="115"/>
        </w:rPr>
        <w:t>invalid</w:t>
      </w:r>
      <w:r>
        <w:rPr>
          <w:spacing w:val="-19"/>
          <w:w w:val="115"/>
        </w:rPr>
        <w:t> </w:t>
      </w:r>
      <w:r>
        <w:rPr>
          <w:w w:val="115"/>
        </w:rPr>
        <w:t>as</w:t>
      </w:r>
      <w:r>
        <w:rPr>
          <w:spacing w:val="-19"/>
          <w:w w:val="115"/>
        </w:rPr>
        <w:t> </w:t>
      </w:r>
      <w:r>
        <w:rPr>
          <w:w w:val="115"/>
        </w:rPr>
        <w:t>infringing</w:t>
      </w:r>
      <w:r>
        <w:rPr>
          <w:spacing w:val="-19"/>
          <w:w w:val="115"/>
        </w:rPr>
        <w:t> </w:t>
      </w:r>
      <w:r>
        <w:rPr>
          <w:w w:val="115"/>
        </w:rPr>
        <w:t>the Charter), there is a question for the Northern</w:t>
      </w:r>
      <w:r>
        <w:rPr>
          <w:spacing w:val="-12"/>
          <w:w w:val="115"/>
        </w:rPr>
        <w:t> </w:t>
      </w:r>
      <w:r>
        <w:rPr>
          <w:w w:val="115"/>
        </w:rPr>
        <w:t>Ireland</w:t>
      </w:r>
      <w:r>
        <w:rPr>
          <w:spacing w:val="-12"/>
          <w:w w:val="115"/>
        </w:rPr>
        <w:t> </w:t>
      </w:r>
      <w:r>
        <w:rPr>
          <w:w w:val="115"/>
        </w:rPr>
        <w:t>courts</w:t>
      </w:r>
      <w:r>
        <w:rPr>
          <w:spacing w:val="-12"/>
          <w:w w:val="115"/>
        </w:rPr>
        <w:t> </w:t>
      </w:r>
      <w:r>
        <w:rPr>
          <w:w w:val="115"/>
        </w:rPr>
        <w:t>as</w:t>
      </w:r>
      <w:r>
        <w:rPr>
          <w:spacing w:val="-12"/>
          <w:w w:val="115"/>
        </w:rPr>
        <w:t> </w:t>
      </w:r>
      <w:r>
        <w:rPr>
          <w:w w:val="115"/>
        </w:rPr>
        <w:t>to</w:t>
      </w:r>
      <w:r>
        <w:rPr>
          <w:spacing w:val="-12"/>
          <w:w w:val="115"/>
        </w:rPr>
        <w:t> </w:t>
      </w:r>
      <w:r>
        <w:rPr>
          <w:w w:val="115"/>
        </w:rPr>
        <w:t>how</w:t>
      </w:r>
      <w:r>
        <w:rPr>
          <w:spacing w:val="-12"/>
          <w:w w:val="115"/>
        </w:rPr>
        <w:t> </w:t>
      </w:r>
      <w:r>
        <w:rPr>
          <w:w w:val="115"/>
        </w:rPr>
        <w:t>to deal</w:t>
      </w:r>
      <w:r>
        <w:rPr>
          <w:spacing w:val="-5"/>
          <w:w w:val="115"/>
        </w:rPr>
        <w:t> </w:t>
      </w:r>
      <w:r>
        <w:rPr>
          <w:w w:val="115"/>
        </w:rPr>
        <w:t>with</w:t>
      </w:r>
      <w:r>
        <w:rPr>
          <w:spacing w:val="-5"/>
          <w:w w:val="115"/>
        </w:rPr>
        <w:t> </w:t>
      </w:r>
      <w:r>
        <w:rPr>
          <w:w w:val="115"/>
        </w:rPr>
        <w:t>this</w:t>
      </w:r>
      <w:r>
        <w:rPr>
          <w:spacing w:val="-5"/>
          <w:w w:val="115"/>
        </w:rPr>
        <w:t> </w:t>
      </w:r>
      <w:r>
        <w:rPr>
          <w:w w:val="115"/>
        </w:rPr>
        <w:t>in</w:t>
      </w:r>
      <w:r>
        <w:rPr>
          <w:spacing w:val="-5"/>
          <w:w w:val="115"/>
        </w:rPr>
        <w:t> </w:t>
      </w:r>
      <w:r>
        <w:rPr>
          <w:w w:val="115"/>
        </w:rPr>
        <w:t>the</w:t>
      </w:r>
      <w:r>
        <w:rPr>
          <w:spacing w:val="-5"/>
          <w:w w:val="115"/>
        </w:rPr>
        <w:t> </w:t>
      </w:r>
      <w:r>
        <w:rPr>
          <w:w w:val="115"/>
        </w:rPr>
        <w:t>interpretation</w:t>
      </w:r>
      <w:r>
        <w:rPr>
          <w:spacing w:val="-5"/>
          <w:w w:val="115"/>
        </w:rPr>
        <w:t> </w:t>
      </w:r>
      <w:r>
        <w:rPr>
          <w:w w:val="115"/>
        </w:rPr>
        <w:t>of the old (and still applicable) act X.</w:t>
      </w:r>
    </w:p>
    <w:p>
      <w:pPr>
        <w:pStyle w:val="BodyText"/>
        <w:spacing w:before="5"/>
        <w:ind w:left="0"/>
      </w:pPr>
    </w:p>
    <w:p>
      <w:pPr>
        <w:pStyle w:val="BodyText"/>
        <w:spacing w:line="310" w:lineRule="exact"/>
        <w:ind w:right="427"/>
        <w:rPr>
          <w:rFonts w:ascii="Lucida Sans Unicode" w:hAnsi="Lucida Sans Unicode"/>
        </w:rPr>
      </w:pPr>
      <w:r>
        <w:rPr>
          <w:w w:val="110"/>
        </w:rPr>
        <w:t>If the CJEU interpretation affects a provision that is also found in the old EU act X, an argument could</w:t>
      </w:r>
      <w:r>
        <w:rPr>
          <w:spacing w:val="80"/>
          <w:w w:val="110"/>
        </w:rPr>
        <w:t> </w:t>
      </w:r>
      <w:r>
        <w:rPr>
          <w:w w:val="110"/>
        </w:rPr>
        <w:t>be made that any interpretation </w:t>
      </w:r>
      <w:r>
        <w:rPr>
          <w:w w:val="110"/>
        </w:rPr>
        <w:t>by the</w:t>
      </w:r>
      <w:r>
        <w:rPr>
          <w:spacing w:val="-5"/>
          <w:w w:val="110"/>
        </w:rPr>
        <w:t> </w:t>
      </w:r>
      <w:r>
        <w:rPr>
          <w:w w:val="110"/>
        </w:rPr>
        <w:t>CJEU</w:t>
      </w:r>
      <w:r>
        <w:rPr>
          <w:spacing w:val="-5"/>
          <w:w w:val="110"/>
        </w:rPr>
        <w:t> </w:t>
      </w:r>
      <w:r>
        <w:rPr>
          <w:w w:val="110"/>
        </w:rPr>
        <w:t>is</w:t>
      </w:r>
      <w:r>
        <w:rPr>
          <w:spacing w:val="-5"/>
          <w:w w:val="110"/>
        </w:rPr>
        <w:t> </w:t>
      </w:r>
      <w:r>
        <w:rPr>
          <w:w w:val="110"/>
        </w:rPr>
        <w:t>still</w:t>
      </w:r>
      <w:r>
        <w:rPr>
          <w:spacing w:val="-5"/>
          <w:w w:val="110"/>
        </w:rPr>
        <w:t> </w:t>
      </w:r>
      <w:r>
        <w:rPr>
          <w:w w:val="110"/>
        </w:rPr>
        <w:t>‘relevant</w:t>
      </w:r>
      <w:r>
        <w:rPr>
          <w:spacing w:val="-5"/>
          <w:w w:val="110"/>
        </w:rPr>
        <w:t> </w:t>
      </w:r>
      <w:r>
        <w:rPr>
          <w:w w:val="110"/>
        </w:rPr>
        <w:t>case</w:t>
      </w:r>
      <w:r>
        <w:rPr>
          <w:spacing w:val="-5"/>
          <w:w w:val="110"/>
        </w:rPr>
        <w:t> </w:t>
      </w:r>
      <w:r>
        <w:rPr>
          <w:w w:val="110"/>
        </w:rPr>
        <w:t>law’. By</w:t>
      </w:r>
      <w:r>
        <w:rPr>
          <w:spacing w:val="39"/>
          <w:w w:val="110"/>
        </w:rPr>
        <w:t> </w:t>
      </w:r>
      <w:r>
        <w:rPr>
          <w:w w:val="110"/>
        </w:rPr>
        <w:t>contrast,</w:t>
      </w:r>
      <w:r>
        <w:rPr>
          <w:spacing w:val="39"/>
          <w:w w:val="110"/>
        </w:rPr>
        <w:t> </w:t>
      </w:r>
      <w:r>
        <w:rPr>
          <w:w w:val="110"/>
        </w:rPr>
        <w:t>if</w:t>
      </w:r>
      <w:r>
        <w:rPr>
          <w:spacing w:val="39"/>
          <w:w w:val="110"/>
        </w:rPr>
        <w:t> </w:t>
      </w:r>
      <w:r>
        <w:rPr>
          <w:w w:val="110"/>
        </w:rPr>
        <w:t>the</w:t>
      </w:r>
      <w:r>
        <w:rPr>
          <w:spacing w:val="39"/>
          <w:w w:val="110"/>
        </w:rPr>
        <w:t> </w:t>
      </w:r>
      <w:r>
        <w:rPr>
          <w:w w:val="110"/>
        </w:rPr>
        <w:t>provision</w:t>
      </w:r>
      <w:r>
        <w:rPr>
          <w:spacing w:val="39"/>
          <w:w w:val="110"/>
        </w:rPr>
        <w:t> </w:t>
      </w:r>
      <w:r>
        <w:rPr>
          <w:w w:val="110"/>
        </w:rPr>
        <w:t>of</w:t>
      </w:r>
      <w:r>
        <w:rPr>
          <w:spacing w:val="39"/>
          <w:w w:val="110"/>
        </w:rPr>
        <w:t> </w:t>
      </w:r>
      <w:r>
        <w:rPr>
          <w:w w:val="110"/>
        </w:rPr>
        <w:t>act </w:t>
      </w:r>
      <w:r>
        <w:rPr>
          <w:rFonts w:ascii="Lucida Sans Unicode" w:hAnsi="Lucida Sans Unicode"/>
        </w:rPr>
        <w:t>Y differs significantly from X, the</w:t>
      </w:r>
    </w:p>
    <w:p>
      <w:pPr>
        <w:pStyle w:val="BodyText"/>
        <w:spacing w:line="310" w:lineRule="exact"/>
        <w:ind w:right="75"/>
      </w:pPr>
      <w:r>
        <w:rPr>
          <w:w w:val="110"/>
        </w:rPr>
        <w:t>Northern Ireland courts will probably not consider themselves bound by </w:t>
      </w:r>
      <w:r>
        <w:rPr>
          <w:rFonts w:ascii="Lucida Sans Unicode"/>
        </w:rPr>
        <w:t>CJEU case law concerning Y. Albeit </w:t>
      </w:r>
      <w:r>
        <w:rPr>
          <w:rFonts w:ascii="Lucida Sans Unicode"/>
        </w:rPr>
        <w:t>an </w:t>
      </w:r>
      <w:r>
        <w:rPr>
          <w:w w:val="110"/>
        </w:rPr>
        <w:t>unlikely scenario, more problematic</w:t>
      </w:r>
      <w:r>
        <w:rPr>
          <w:spacing w:val="40"/>
          <w:w w:val="110"/>
        </w:rPr>
        <w:t> </w:t>
      </w:r>
      <w:r>
        <w:rPr>
          <w:w w:val="110"/>
        </w:rPr>
        <w:t>still would be a situation where the</w:t>
      </w:r>
    </w:p>
    <w:p>
      <w:pPr>
        <w:pStyle w:val="BodyText"/>
        <w:spacing w:line="310" w:lineRule="exact" w:before="49"/>
        <w:ind w:right="254"/>
        <w:rPr>
          <w:rFonts w:ascii="Lucida Sans Unicode"/>
        </w:rPr>
      </w:pPr>
      <w:r>
        <w:rPr/>
        <w:br w:type="column"/>
      </w:r>
      <w:r>
        <w:rPr>
          <w:rFonts w:ascii="Lucida Sans Unicode"/>
          <w:w w:val="110"/>
        </w:rPr>
        <w:t>CJEU</w:t>
      </w:r>
      <w:r>
        <w:rPr>
          <w:rFonts w:ascii="Lucida Sans Unicode"/>
          <w:spacing w:val="-2"/>
          <w:w w:val="110"/>
        </w:rPr>
        <w:t> </w:t>
      </w:r>
      <w:r>
        <w:rPr>
          <w:rFonts w:ascii="Lucida Sans Unicode"/>
          <w:w w:val="110"/>
        </w:rPr>
        <w:t>declares</w:t>
      </w:r>
      <w:r>
        <w:rPr>
          <w:rFonts w:ascii="Lucida Sans Unicode"/>
          <w:spacing w:val="-2"/>
          <w:w w:val="110"/>
        </w:rPr>
        <w:t> </w:t>
      </w:r>
      <w:r>
        <w:rPr>
          <w:rFonts w:ascii="Lucida Sans Unicode"/>
          <w:w w:val="110"/>
        </w:rPr>
        <w:t>parts</w:t>
      </w:r>
      <w:r>
        <w:rPr>
          <w:rFonts w:ascii="Lucida Sans Unicode"/>
          <w:spacing w:val="-2"/>
          <w:w w:val="110"/>
        </w:rPr>
        <w:t> </w:t>
      </w:r>
      <w:r>
        <w:rPr>
          <w:rFonts w:ascii="Lucida Sans Unicode"/>
          <w:w w:val="110"/>
        </w:rPr>
        <w:t>of</w:t>
      </w:r>
      <w:r>
        <w:rPr>
          <w:rFonts w:ascii="Lucida Sans Unicode"/>
          <w:spacing w:val="-2"/>
          <w:w w:val="110"/>
        </w:rPr>
        <w:t> </w:t>
      </w:r>
      <w:r>
        <w:rPr>
          <w:rFonts w:ascii="Lucida Sans Unicode"/>
          <w:w w:val="110"/>
        </w:rPr>
        <w:t>act</w:t>
      </w:r>
      <w:r>
        <w:rPr>
          <w:rFonts w:ascii="Lucida Sans Unicode"/>
          <w:spacing w:val="-2"/>
          <w:w w:val="110"/>
        </w:rPr>
        <w:t> </w:t>
      </w:r>
      <w:r>
        <w:rPr>
          <w:rFonts w:ascii="Lucida Sans Unicode"/>
          <w:w w:val="110"/>
        </w:rPr>
        <w:t>Y</w:t>
      </w:r>
      <w:r>
        <w:rPr>
          <w:rFonts w:ascii="Lucida Sans Unicode"/>
          <w:spacing w:val="-2"/>
          <w:w w:val="110"/>
        </w:rPr>
        <w:t> </w:t>
      </w:r>
      <w:r>
        <w:rPr>
          <w:rFonts w:ascii="Lucida Sans Unicode"/>
          <w:w w:val="110"/>
        </w:rPr>
        <w:t>to</w:t>
      </w:r>
      <w:r>
        <w:rPr>
          <w:rFonts w:ascii="Lucida Sans Unicode"/>
          <w:spacing w:val="-2"/>
          <w:w w:val="110"/>
        </w:rPr>
        <w:t> </w:t>
      </w:r>
      <w:r>
        <w:rPr>
          <w:rFonts w:ascii="Lucida Sans Unicode"/>
          <w:w w:val="110"/>
        </w:rPr>
        <w:t>be </w:t>
      </w:r>
      <w:r>
        <w:rPr>
          <w:w w:val="110"/>
        </w:rPr>
        <w:t>invalid (based on a Charter violation) where the act X contains a similar or identical provision to that declared invalid given that the Northern </w:t>
      </w:r>
      <w:r>
        <w:rPr>
          <w:w w:val="110"/>
        </w:rPr>
        <w:t>Ireland courts may not have the power to follow suit with regard to X. This is </w:t>
      </w:r>
      <w:r>
        <w:rPr>
          <w:rFonts w:ascii="Lucida Sans Unicode"/>
        </w:rPr>
        <w:t>because, assuming the Stormont</w:t>
      </w:r>
      <w:r>
        <w:rPr>
          <w:rFonts w:ascii="Lucida Sans Unicode"/>
          <w:spacing w:val="80"/>
        </w:rPr>
        <w:t> </w:t>
      </w:r>
      <w:r>
        <w:rPr>
          <w:rFonts w:ascii="Lucida Sans Unicode"/>
        </w:rPr>
        <w:t>Brake is successfully triggered, Y</w:t>
      </w:r>
    </w:p>
    <w:p>
      <w:pPr>
        <w:pStyle w:val="BodyText"/>
        <w:spacing w:line="268" w:lineRule="auto" w:before="23"/>
        <w:ind w:right="182"/>
      </w:pPr>
      <w:r>
        <w:rPr>
          <w:w w:val="115"/>
        </w:rPr>
        <w:t>falls to be added to the Windsor Framework</w:t>
      </w:r>
      <w:r>
        <w:rPr>
          <w:spacing w:val="-20"/>
          <w:w w:val="115"/>
        </w:rPr>
        <w:t> </w:t>
      </w:r>
      <w:r>
        <w:rPr>
          <w:w w:val="115"/>
        </w:rPr>
        <w:t>in</w:t>
      </w:r>
      <w:r>
        <w:rPr>
          <w:spacing w:val="-19"/>
          <w:w w:val="115"/>
        </w:rPr>
        <w:t> </w:t>
      </w:r>
      <w:r>
        <w:rPr>
          <w:w w:val="115"/>
        </w:rPr>
        <w:t>accordance</w:t>
      </w:r>
      <w:r>
        <w:rPr>
          <w:spacing w:val="-19"/>
          <w:w w:val="115"/>
        </w:rPr>
        <w:t> </w:t>
      </w:r>
      <w:r>
        <w:rPr>
          <w:w w:val="115"/>
        </w:rPr>
        <w:t>with</w:t>
      </w:r>
      <w:r>
        <w:rPr>
          <w:spacing w:val="-19"/>
          <w:w w:val="115"/>
        </w:rPr>
        <w:t> </w:t>
      </w:r>
      <w:r>
        <w:rPr>
          <w:w w:val="115"/>
        </w:rPr>
        <w:t>Article</w:t>
      </w:r>
    </w:p>
    <w:p>
      <w:pPr>
        <w:pStyle w:val="BodyText"/>
        <w:spacing w:line="322" w:lineRule="exact"/>
        <w:rPr>
          <w:rFonts w:ascii="Lucida Sans Unicode"/>
        </w:rPr>
      </w:pPr>
      <w:r>
        <w:rPr>
          <w:rFonts w:ascii="Lucida Sans Unicode"/>
        </w:rPr>
        <w:t>13(4).</w:t>
      </w:r>
      <w:r>
        <w:rPr>
          <w:rFonts w:ascii="Lucida Sans Unicode"/>
          <w:spacing w:val="-4"/>
        </w:rPr>
        <w:t> </w:t>
      </w:r>
      <w:r>
        <w:rPr>
          <w:rFonts w:ascii="Lucida Sans Unicode"/>
        </w:rPr>
        <w:t>If</w:t>
      </w:r>
      <w:r>
        <w:rPr>
          <w:rFonts w:ascii="Lucida Sans Unicode"/>
          <w:spacing w:val="-4"/>
        </w:rPr>
        <w:t> </w:t>
      </w:r>
      <w:r>
        <w:rPr>
          <w:rFonts w:ascii="Lucida Sans Unicode"/>
        </w:rPr>
        <w:t>Y</w:t>
      </w:r>
      <w:r>
        <w:rPr>
          <w:rFonts w:ascii="Lucida Sans Unicode"/>
          <w:spacing w:val="-4"/>
        </w:rPr>
        <w:t> </w:t>
      </w:r>
      <w:r>
        <w:rPr>
          <w:rFonts w:ascii="Lucida Sans Unicode"/>
        </w:rPr>
        <w:t>is</w:t>
      </w:r>
      <w:r>
        <w:rPr>
          <w:rFonts w:ascii="Lucida Sans Unicode"/>
          <w:spacing w:val="-4"/>
        </w:rPr>
        <w:t> </w:t>
      </w:r>
      <w:r>
        <w:rPr>
          <w:rFonts w:ascii="Lucida Sans Unicode"/>
        </w:rPr>
        <w:t>not</w:t>
      </w:r>
      <w:r>
        <w:rPr>
          <w:rFonts w:ascii="Lucida Sans Unicode"/>
          <w:spacing w:val="-3"/>
        </w:rPr>
        <w:t> </w:t>
      </w:r>
      <w:r>
        <w:rPr>
          <w:rFonts w:ascii="Lucida Sans Unicode"/>
        </w:rPr>
        <w:t>added,</w:t>
      </w:r>
      <w:r>
        <w:rPr>
          <w:rFonts w:ascii="Lucida Sans Unicode"/>
          <w:spacing w:val="-4"/>
        </w:rPr>
        <w:t> </w:t>
      </w:r>
      <w:r>
        <w:rPr>
          <w:rFonts w:ascii="Lucida Sans Unicode"/>
        </w:rPr>
        <w:t>it</w:t>
      </w:r>
      <w:r>
        <w:rPr>
          <w:rFonts w:ascii="Lucida Sans Unicode"/>
          <w:spacing w:val="-4"/>
        </w:rPr>
        <w:t> </w:t>
      </w:r>
      <w:r>
        <w:rPr>
          <w:rFonts w:ascii="Lucida Sans Unicode"/>
        </w:rPr>
        <w:t>is</w:t>
      </w:r>
      <w:r>
        <w:rPr>
          <w:rFonts w:ascii="Lucida Sans Unicode"/>
          <w:spacing w:val="-4"/>
        </w:rPr>
        <w:t> </w:t>
      </w:r>
      <w:r>
        <w:rPr>
          <w:rFonts w:ascii="Lucida Sans Unicode"/>
          <w:spacing w:val="-5"/>
        </w:rPr>
        <w:t>not</w:t>
      </w:r>
    </w:p>
    <w:p>
      <w:pPr>
        <w:pStyle w:val="BodyText"/>
        <w:spacing w:line="230" w:lineRule="auto"/>
        <w:ind w:right="266"/>
      </w:pPr>
      <w:r>
        <w:rPr>
          <w:w w:val="110"/>
        </w:rPr>
        <w:t>‘referred to’ as a Union act within the </w:t>
      </w:r>
      <w:r>
        <w:rPr>
          <w:rFonts w:ascii="Lucida Sans Unicode" w:hAnsi="Lucida Sans Unicode"/>
        </w:rPr>
        <w:t>meaning of Article 13(2), and thus, </w:t>
      </w:r>
      <w:r>
        <w:rPr>
          <w:w w:val="110"/>
        </w:rPr>
        <w:t>there is no basis for Northern Ireland </w:t>
      </w:r>
      <w:r>
        <w:rPr>
          <w:rFonts w:ascii="Lucida Sans Unicode" w:hAnsi="Lucida Sans Unicode"/>
        </w:rPr>
        <w:t>courts to consider CJEU case law on </w:t>
      </w:r>
      <w:r>
        <w:rPr>
          <w:rFonts w:ascii="Lucida Sans Unicode" w:hAnsi="Lucida Sans Unicode"/>
        </w:rPr>
        <w:t>Y </w:t>
      </w:r>
      <w:r>
        <w:rPr>
          <w:w w:val="110"/>
        </w:rPr>
        <w:t>when interpreting X.</w:t>
      </w:r>
    </w:p>
    <w:p>
      <w:pPr>
        <w:pStyle w:val="BodyText"/>
        <w:spacing w:before="23"/>
        <w:ind w:left="0"/>
      </w:pPr>
    </w:p>
    <w:p>
      <w:pPr>
        <w:pStyle w:val="BodyText"/>
        <w:spacing w:line="247" w:lineRule="auto"/>
        <w:ind w:right="803"/>
      </w:pPr>
      <w:r>
        <w:rPr>
          <w:rFonts w:ascii="Lucida Sans Unicode"/>
        </w:rPr>
        <w:t>As the Stormont brake has not </w:t>
      </w:r>
      <w:r>
        <w:rPr>
          <w:w w:val="115"/>
        </w:rPr>
        <w:t>yet</w:t>
      </w:r>
      <w:r>
        <w:rPr>
          <w:spacing w:val="-17"/>
          <w:w w:val="115"/>
        </w:rPr>
        <w:t> </w:t>
      </w:r>
      <w:r>
        <w:rPr>
          <w:w w:val="115"/>
        </w:rPr>
        <w:t>been</w:t>
      </w:r>
      <w:r>
        <w:rPr>
          <w:spacing w:val="-17"/>
          <w:w w:val="115"/>
        </w:rPr>
        <w:t> </w:t>
      </w:r>
      <w:r>
        <w:rPr>
          <w:w w:val="115"/>
        </w:rPr>
        <w:t>used</w:t>
      </w:r>
      <w:r>
        <w:rPr>
          <w:spacing w:val="-17"/>
          <w:w w:val="115"/>
        </w:rPr>
        <w:t> </w:t>
      </w:r>
      <w:r>
        <w:rPr>
          <w:w w:val="115"/>
        </w:rPr>
        <w:t>in</w:t>
      </w:r>
      <w:r>
        <w:rPr>
          <w:spacing w:val="-17"/>
          <w:w w:val="115"/>
        </w:rPr>
        <w:t> </w:t>
      </w:r>
      <w:r>
        <w:rPr>
          <w:w w:val="115"/>
        </w:rPr>
        <w:t>practice,</w:t>
      </w:r>
      <w:r>
        <w:rPr>
          <w:spacing w:val="-17"/>
          <w:w w:val="115"/>
        </w:rPr>
        <w:t> </w:t>
      </w:r>
      <w:r>
        <w:rPr>
          <w:w w:val="115"/>
        </w:rPr>
        <w:t>it</w:t>
      </w:r>
      <w:r>
        <w:rPr>
          <w:spacing w:val="-17"/>
          <w:w w:val="115"/>
        </w:rPr>
        <w:t> </w:t>
      </w:r>
      <w:r>
        <w:rPr>
          <w:w w:val="115"/>
        </w:rPr>
        <w:t>will be</w:t>
      </w:r>
      <w:r>
        <w:rPr>
          <w:spacing w:val="6"/>
          <w:w w:val="115"/>
        </w:rPr>
        <w:t> </w:t>
      </w:r>
      <w:r>
        <w:rPr>
          <w:w w:val="115"/>
        </w:rPr>
        <w:t>important</w:t>
      </w:r>
      <w:r>
        <w:rPr>
          <w:spacing w:val="6"/>
          <w:w w:val="115"/>
        </w:rPr>
        <w:t> </w:t>
      </w:r>
      <w:r>
        <w:rPr>
          <w:w w:val="115"/>
        </w:rPr>
        <w:t>to</w:t>
      </w:r>
      <w:r>
        <w:rPr>
          <w:spacing w:val="6"/>
          <w:w w:val="115"/>
        </w:rPr>
        <w:t> </w:t>
      </w:r>
      <w:r>
        <w:rPr>
          <w:w w:val="115"/>
        </w:rPr>
        <w:t>return</w:t>
      </w:r>
      <w:r>
        <w:rPr>
          <w:spacing w:val="6"/>
          <w:w w:val="115"/>
        </w:rPr>
        <w:t> </w:t>
      </w:r>
      <w:r>
        <w:rPr>
          <w:w w:val="115"/>
        </w:rPr>
        <w:t>to</w:t>
      </w:r>
      <w:r>
        <w:rPr>
          <w:spacing w:val="6"/>
          <w:w w:val="115"/>
        </w:rPr>
        <w:t> </w:t>
      </w:r>
      <w:r>
        <w:rPr>
          <w:spacing w:val="-2"/>
          <w:w w:val="115"/>
        </w:rPr>
        <w:t>these</w:t>
      </w:r>
    </w:p>
    <w:p>
      <w:pPr>
        <w:pStyle w:val="BodyText"/>
        <w:spacing w:line="225" w:lineRule="auto"/>
        <w:ind w:right="538"/>
      </w:pPr>
      <w:r>
        <w:rPr>
          <w:rFonts w:ascii="Lucida Sans Unicode"/>
        </w:rPr>
        <w:t>questions once the Stormont </w:t>
      </w:r>
      <w:r>
        <w:rPr>
          <w:rFonts w:ascii="Lucida Sans Unicode"/>
        </w:rPr>
        <w:t>brake </w:t>
      </w:r>
      <w:r>
        <w:rPr>
          <w:w w:val="110"/>
        </w:rPr>
        <w:t>is operationalised, and even more</w:t>
      </w:r>
    </w:p>
    <w:p>
      <w:pPr>
        <w:pStyle w:val="BodyText"/>
        <w:spacing w:line="268" w:lineRule="auto" w:before="33"/>
        <w:ind w:right="1072"/>
      </w:pPr>
      <w:r>
        <w:rPr>
          <w:w w:val="115"/>
        </w:rPr>
        <w:t>importantly,</w:t>
      </w:r>
      <w:r>
        <w:rPr>
          <w:spacing w:val="-20"/>
          <w:w w:val="115"/>
        </w:rPr>
        <w:t> </w:t>
      </w:r>
      <w:r>
        <w:rPr>
          <w:w w:val="115"/>
        </w:rPr>
        <w:t>if</w:t>
      </w:r>
      <w:r>
        <w:rPr>
          <w:spacing w:val="-19"/>
          <w:w w:val="115"/>
        </w:rPr>
        <w:t> </w:t>
      </w:r>
      <w:r>
        <w:rPr>
          <w:w w:val="115"/>
        </w:rPr>
        <w:t>it</w:t>
      </w:r>
      <w:r>
        <w:rPr>
          <w:spacing w:val="-19"/>
          <w:w w:val="115"/>
        </w:rPr>
        <w:t> </w:t>
      </w:r>
      <w:r>
        <w:rPr>
          <w:w w:val="115"/>
        </w:rPr>
        <w:t>is</w:t>
      </w:r>
      <w:r>
        <w:rPr>
          <w:spacing w:val="-19"/>
          <w:w w:val="115"/>
        </w:rPr>
        <w:t> </w:t>
      </w:r>
      <w:r>
        <w:rPr>
          <w:w w:val="115"/>
        </w:rPr>
        <w:t>successfully </w:t>
      </w:r>
      <w:r>
        <w:rPr>
          <w:spacing w:val="-2"/>
          <w:w w:val="115"/>
        </w:rPr>
        <w:t>triggered.</w:t>
      </w:r>
    </w:p>
    <w:p>
      <w:pPr>
        <w:pStyle w:val="BodyText"/>
        <w:spacing w:before="21"/>
        <w:ind w:left="0"/>
      </w:pPr>
    </w:p>
    <w:p>
      <w:pPr>
        <w:pStyle w:val="Heading3"/>
        <w:numPr>
          <w:ilvl w:val="0"/>
          <w:numId w:val="18"/>
        </w:numPr>
        <w:tabs>
          <w:tab w:pos="680" w:val="left" w:leader="none"/>
        </w:tabs>
        <w:spacing w:line="252" w:lineRule="auto" w:before="0" w:after="0"/>
        <w:ind w:left="680" w:right="802" w:hanging="567"/>
        <w:jc w:val="left"/>
      </w:pPr>
      <w:r>
        <w:rPr>
          <w:color w:val="77328A"/>
        </w:rPr>
        <w:t>Dynamic alignment and Article 2 </w:t>
      </w:r>
      <w:r>
        <w:rPr>
          <w:color w:val="77328A"/>
        </w:rPr>
        <w:t>Windsor </w:t>
      </w:r>
      <w:r>
        <w:rPr>
          <w:color w:val="77328A"/>
          <w:spacing w:val="-2"/>
        </w:rPr>
        <w:t>Framework?</w:t>
      </w:r>
    </w:p>
    <w:p>
      <w:pPr>
        <w:pStyle w:val="BodyText"/>
        <w:spacing w:line="244" w:lineRule="auto" w:before="137"/>
        <w:ind w:right="170"/>
      </w:pPr>
      <w:r>
        <w:rPr>
          <w:rFonts w:ascii="Lucida Sans Unicode"/>
          <w:w w:val="110"/>
        </w:rPr>
        <w:t>As</w:t>
      </w:r>
      <w:r>
        <w:rPr>
          <w:rFonts w:ascii="Lucida Sans Unicode"/>
          <w:spacing w:val="-21"/>
          <w:w w:val="110"/>
        </w:rPr>
        <w:t> </w:t>
      </w:r>
      <w:r>
        <w:rPr>
          <w:rFonts w:ascii="Lucida Sans Unicode"/>
          <w:w w:val="110"/>
        </w:rPr>
        <w:t>previously</w:t>
      </w:r>
      <w:r>
        <w:rPr>
          <w:rFonts w:ascii="Lucida Sans Unicode"/>
          <w:spacing w:val="-21"/>
          <w:w w:val="110"/>
        </w:rPr>
        <w:t> </w:t>
      </w:r>
      <w:r>
        <w:rPr>
          <w:rFonts w:ascii="Lucida Sans Unicode"/>
          <w:w w:val="110"/>
        </w:rPr>
        <w:t>set</w:t>
      </w:r>
      <w:r>
        <w:rPr>
          <w:rFonts w:ascii="Lucida Sans Unicode"/>
          <w:spacing w:val="-21"/>
          <w:w w:val="110"/>
        </w:rPr>
        <w:t> </w:t>
      </w:r>
      <w:r>
        <w:rPr>
          <w:rFonts w:ascii="Lucida Sans Unicode"/>
          <w:w w:val="110"/>
        </w:rPr>
        <w:t>out,</w:t>
      </w:r>
      <w:r>
        <w:rPr>
          <w:rFonts w:ascii="Lucida Sans Unicode"/>
          <w:spacing w:val="-21"/>
          <w:w w:val="110"/>
        </w:rPr>
        <w:t> </w:t>
      </w:r>
      <w:r>
        <w:rPr>
          <w:rFonts w:ascii="Lucida Sans Unicode"/>
          <w:w w:val="110"/>
        </w:rPr>
        <w:t>Article</w:t>
      </w:r>
      <w:r>
        <w:rPr>
          <w:rFonts w:ascii="Lucida Sans Unicode"/>
          <w:spacing w:val="-21"/>
          <w:w w:val="110"/>
        </w:rPr>
        <w:t> </w:t>
      </w:r>
      <w:r>
        <w:rPr>
          <w:rFonts w:ascii="Lucida Sans Unicode"/>
          <w:w w:val="110"/>
        </w:rPr>
        <w:t>2</w:t>
      </w:r>
      <w:r>
        <w:rPr>
          <w:rFonts w:ascii="Lucida Sans Unicode"/>
          <w:spacing w:val="-21"/>
          <w:w w:val="110"/>
        </w:rPr>
        <w:t> </w:t>
      </w:r>
      <w:r>
        <w:rPr>
          <w:rFonts w:ascii="Lucida Sans Unicode"/>
          <w:w w:val="110"/>
        </w:rPr>
        <w:t>by </w:t>
      </w:r>
      <w:r>
        <w:rPr>
          <w:w w:val="110"/>
        </w:rPr>
        <w:t>itself does not contain any </w:t>
      </w:r>
      <w:r>
        <w:rPr>
          <w:w w:val="110"/>
        </w:rPr>
        <w:t>substantive rights. Instead, its core comprises the six equality and non-discrimination directives listed in Annex 1.</w:t>
      </w:r>
      <w:r>
        <w:rPr>
          <w:rFonts w:ascii="Lucida Sans Unicode"/>
          <w:w w:val="110"/>
          <w:vertAlign w:val="superscript"/>
        </w:rPr>
        <w:t>320</w:t>
      </w:r>
      <w:r>
        <w:rPr>
          <w:rFonts w:ascii="Lucida Sans Unicode"/>
          <w:w w:val="110"/>
          <w:vertAlign w:val="baseline"/>
        </w:rPr>
        <w:t> </w:t>
      </w:r>
      <w:r>
        <w:rPr>
          <w:w w:val="110"/>
          <w:vertAlign w:val="baseline"/>
        </w:rPr>
        <w:t>The Windsor Framework creates an</w:t>
      </w:r>
    </w:p>
    <w:p>
      <w:pPr>
        <w:spacing w:after="0" w:line="244" w:lineRule="auto"/>
        <w:sectPr>
          <w:type w:val="continuous"/>
          <w:pgSz w:w="11910" w:h="16840"/>
          <w:pgMar w:header="568" w:footer="580" w:top="0" w:bottom="280" w:left="1020" w:right="1020"/>
          <w:cols w:num="2" w:equalWidth="0">
            <w:col w:w="4708" w:space="337"/>
            <w:col w:w="4825"/>
          </w:cols>
        </w:sectPr>
      </w:pPr>
    </w:p>
    <w:p>
      <w:pPr>
        <w:pStyle w:val="BodyText"/>
        <w:spacing w:before="10"/>
        <w:ind w:left="0"/>
        <w:rPr>
          <w:sz w:val="17"/>
        </w:rPr>
      </w:pPr>
    </w:p>
    <w:p>
      <w:pPr>
        <w:pStyle w:val="BodyText"/>
        <w:spacing w:line="20" w:lineRule="exact"/>
        <w:rPr>
          <w:sz w:val="2"/>
        </w:rPr>
      </w:pPr>
      <w:r>
        <w:rPr>
          <w:sz w:val="2"/>
        </w:rPr>
        <mc:AlternateContent>
          <mc:Choice Requires="wps">
            <w:drawing>
              <wp:inline distT="0" distB="0" distL="0" distR="0">
                <wp:extent cx="6120130" cy="6350"/>
                <wp:effectExtent l="9525" t="0" r="0" b="3175"/>
                <wp:docPr id="194" name="Group 194"/>
                <wp:cNvGraphicFramePr>
                  <a:graphicFrameLocks/>
                </wp:cNvGraphicFramePr>
                <a:graphic>
                  <a:graphicData uri="http://schemas.microsoft.com/office/word/2010/wordprocessingGroup">
                    <wpg:wgp>
                      <wpg:cNvPr id="194" name="Group 194"/>
                      <wpg:cNvGrpSpPr/>
                      <wpg:grpSpPr>
                        <a:xfrm>
                          <a:off x="0" y="0"/>
                          <a:ext cx="6120130" cy="6350"/>
                          <a:chExt cx="6120130" cy="6350"/>
                        </a:xfrm>
                      </wpg:grpSpPr>
                      <wps:wsp>
                        <wps:cNvPr id="195" name="Graphic 195"/>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116"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14"/>
        </w:numPr>
        <w:tabs>
          <w:tab w:pos="567" w:val="left" w:leader="none"/>
        </w:tabs>
        <w:spacing w:line="196" w:lineRule="auto" w:before="93" w:after="0"/>
        <w:ind w:left="567" w:right="311" w:hanging="454"/>
        <w:jc w:val="left"/>
        <w:rPr>
          <w:rFonts w:ascii="Arial"/>
          <w:sz w:val="16"/>
        </w:rPr>
      </w:pPr>
      <w:r>
        <w:rPr>
          <w:sz w:val="16"/>
        </w:rPr>
        <w:t>Windsor Framework Art 2(1) and Annex 1. The directives in question are, in order of being listed in Annex 1, Council</w:t>
      </w:r>
      <w:r>
        <w:rPr>
          <w:spacing w:val="19"/>
          <w:sz w:val="16"/>
        </w:rPr>
        <w:t> </w:t>
      </w:r>
      <w:r>
        <w:rPr>
          <w:sz w:val="16"/>
        </w:rPr>
        <w:t>Directive</w:t>
      </w:r>
      <w:r>
        <w:rPr>
          <w:spacing w:val="19"/>
          <w:sz w:val="16"/>
        </w:rPr>
        <w:t> </w:t>
      </w:r>
      <w:r>
        <w:rPr>
          <w:sz w:val="16"/>
        </w:rPr>
        <w:t>2004/113/EC</w:t>
      </w:r>
      <w:r>
        <w:rPr>
          <w:spacing w:val="19"/>
          <w:sz w:val="16"/>
        </w:rPr>
        <w:t> </w:t>
      </w:r>
      <w:r>
        <w:rPr>
          <w:sz w:val="16"/>
        </w:rPr>
        <w:t>of</w:t>
      </w:r>
      <w:r>
        <w:rPr>
          <w:spacing w:val="19"/>
          <w:sz w:val="16"/>
        </w:rPr>
        <w:t> </w:t>
      </w:r>
      <w:r>
        <w:rPr>
          <w:sz w:val="16"/>
        </w:rPr>
        <w:t>13</w:t>
      </w:r>
      <w:r>
        <w:rPr>
          <w:spacing w:val="19"/>
          <w:sz w:val="16"/>
        </w:rPr>
        <w:t> </w:t>
      </w:r>
      <w:r>
        <w:rPr>
          <w:sz w:val="16"/>
        </w:rPr>
        <w:t>December</w:t>
      </w:r>
      <w:r>
        <w:rPr>
          <w:spacing w:val="19"/>
          <w:sz w:val="16"/>
        </w:rPr>
        <w:t> </w:t>
      </w:r>
      <w:r>
        <w:rPr>
          <w:sz w:val="16"/>
        </w:rPr>
        <w:t>2004</w:t>
      </w:r>
      <w:r>
        <w:rPr>
          <w:spacing w:val="19"/>
          <w:sz w:val="16"/>
        </w:rPr>
        <w:t> </w:t>
      </w:r>
      <w:r>
        <w:rPr>
          <w:sz w:val="16"/>
        </w:rPr>
        <w:t>implementing</w:t>
      </w:r>
      <w:r>
        <w:rPr>
          <w:spacing w:val="19"/>
          <w:sz w:val="16"/>
        </w:rPr>
        <w:t> </w:t>
      </w:r>
      <w:r>
        <w:rPr>
          <w:sz w:val="16"/>
        </w:rPr>
        <w:t>the</w:t>
      </w:r>
      <w:r>
        <w:rPr>
          <w:spacing w:val="19"/>
          <w:sz w:val="16"/>
        </w:rPr>
        <w:t> </w:t>
      </w:r>
      <w:r>
        <w:rPr>
          <w:sz w:val="16"/>
        </w:rPr>
        <w:t>principle</w:t>
      </w:r>
      <w:r>
        <w:rPr>
          <w:spacing w:val="19"/>
          <w:sz w:val="16"/>
        </w:rPr>
        <w:t> </w:t>
      </w:r>
      <w:r>
        <w:rPr>
          <w:sz w:val="16"/>
        </w:rPr>
        <w:t>of</w:t>
      </w:r>
      <w:r>
        <w:rPr>
          <w:spacing w:val="19"/>
          <w:sz w:val="16"/>
        </w:rPr>
        <w:t> </w:t>
      </w:r>
      <w:r>
        <w:rPr>
          <w:sz w:val="16"/>
        </w:rPr>
        <w:t>equal</w:t>
      </w:r>
      <w:r>
        <w:rPr>
          <w:spacing w:val="19"/>
          <w:sz w:val="16"/>
        </w:rPr>
        <w:t> </w:t>
      </w:r>
      <w:r>
        <w:rPr>
          <w:sz w:val="16"/>
        </w:rPr>
        <w:t>treatment</w:t>
      </w:r>
      <w:r>
        <w:rPr>
          <w:spacing w:val="19"/>
          <w:sz w:val="16"/>
        </w:rPr>
        <w:t> </w:t>
      </w:r>
      <w:r>
        <w:rPr>
          <w:sz w:val="16"/>
        </w:rPr>
        <w:t>between men</w:t>
      </w:r>
      <w:r>
        <w:rPr>
          <w:spacing w:val="20"/>
          <w:sz w:val="16"/>
        </w:rPr>
        <w:t> </w:t>
      </w:r>
      <w:r>
        <w:rPr>
          <w:sz w:val="16"/>
        </w:rPr>
        <w:t>and</w:t>
      </w:r>
      <w:r>
        <w:rPr>
          <w:spacing w:val="20"/>
          <w:sz w:val="16"/>
        </w:rPr>
        <w:t> </w:t>
      </w:r>
      <w:r>
        <w:rPr>
          <w:sz w:val="16"/>
        </w:rPr>
        <w:t>women</w:t>
      </w:r>
      <w:r>
        <w:rPr>
          <w:spacing w:val="20"/>
          <w:sz w:val="16"/>
        </w:rPr>
        <w:t> </w:t>
      </w:r>
      <w:r>
        <w:rPr>
          <w:sz w:val="16"/>
        </w:rPr>
        <w:t>in</w:t>
      </w:r>
      <w:r>
        <w:rPr>
          <w:spacing w:val="20"/>
          <w:sz w:val="16"/>
        </w:rPr>
        <w:t> </w:t>
      </w:r>
      <w:r>
        <w:rPr>
          <w:sz w:val="16"/>
        </w:rPr>
        <w:t>the</w:t>
      </w:r>
      <w:r>
        <w:rPr>
          <w:spacing w:val="20"/>
          <w:sz w:val="16"/>
        </w:rPr>
        <w:t> </w:t>
      </w:r>
      <w:r>
        <w:rPr>
          <w:sz w:val="16"/>
        </w:rPr>
        <w:t>access</w:t>
      </w:r>
      <w:r>
        <w:rPr>
          <w:spacing w:val="20"/>
          <w:sz w:val="16"/>
        </w:rPr>
        <w:t> </w:t>
      </w:r>
      <w:r>
        <w:rPr>
          <w:sz w:val="16"/>
        </w:rPr>
        <w:t>to</w:t>
      </w:r>
      <w:r>
        <w:rPr>
          <w:spacing w:val="20"/>
          <w:sz w:val="16"/>
        </w:rPr>
        <w:t> </w:t>
      </w:r>
      <w:r>
        <w:rPr>
          <w:sz w:val="16"/>
        </w:rPr>
        <w:t>and</w:t>
      </w:r>
      <w:r>
        <w:rPr>
          <w:spacing w:val="20"/>
          <w:sz w:val="16"/>
        </w:rPr>
        <w:t> </w:t>
      </w:r>
      <w:r>
        <w:rPr>
          <w:sz w:val="16"/>
        </w:rPr>
        <w:t>supply</w:t>
      </w:r>
      <w:r>
        <w:rPr>
          <w:spacing w:val="20"/>
          <w:sz w:val="16"/>
        </w:rPr>
        <w:t> </w:t>
      </w:r>
      <w:r>
        <w:rPr>
          <w:sz w:val="16"/>
        </w:rPr>
        <w:t>of</w:t>
      </w:r>
      <w:r>
        <w:rPr>
          <w:spacing w:val="20"/>
          <w:sz w:val="16"/>
        </w:rPr>
        <w:t> </w:t>
      </w:r>
      <w:r>
        <w:rPr>
          <w:sz w:val="16"/>
        </w:rPr>
        <w:t>goods</w:t>
      </w:r>
      <w:r>
        <w:rPr>
          <w:spacing w:val="20"/>
          <w:sz w:val="16"/>
        </w:rPr>
        <w:t> </w:t>
      </w:r>
      <w:r>
        <w:rPr>
          <w:sz w:val="16"/>
        </w:rPr>
        <w:t>and</w:t>
      </w:r>
      <w:r>
        <w:rPr>
          <w:spacing w:val="20"/>
          <w:sz w:val="16"/>
        </w:rPr>
        <w:t> </w:t>
      </w:r>
      <w:r>
        <w:rPr>
          <w:sz w:val="16"/>
        </w:rPr>
        <w:t>services</w:t>
      </w:r>
      <w:r>
        <w:rPr>
          <w:spacing w:val="20"/>
          <w:sz w:val="16"/>
        </w:rPr>
        <w:t> </w:t>
      </w:r>
      <w:r>
        <w:rPr>
          <w:sz w:val="16"/>
        </w:rPr>
        <w:t>[2004]</w:t>
      </w:r>
      <w:r>
        <w:rPr>
          <w:spacing w:val="12"/>
          <w:w w:val="115"/>
          <w:sz w:val="16"/>
        </w:rPr>
        <w:t> </w:t>
      </w:r>
      <w:r>
        <w:rPr>
          <w:w w:val="115"/>
          <w:sz w:val="16"/>
        </w:rPr>
        <w:t>OJ</w:t>
      </w:r>
      <w:r>
        <w:rPr>
          <w:spacing w:val="12"/>
          <w:w w:val="115"/>
          <w:sz w:val="16"/>
        </w:rPr>
        <w:t> </w:t>
      </w:r>
      <w:r>
        <w:rPr>
          <w:sz w:val="16"/>
        </w:rPr>
        <w:t>L</w:t>
      </w:r>
      <w:r>
        <w:rPr>
          <w:spacing w:val="20"/>
          <w:sz w:val="16"/>
        </w:rPr>
        <w:t> </w:t>
      </w:r>
      <w:r>
        <w:rPr>
          <w:sz w:val="16"/>
        </w:rPr>
        <w:t>373/37;</w:t>
      </w:r>
      <w:r>
        <w:rPr>
          <w:spacing w:val="20"/>
          <w:sz w:val="16"/>
        </w:rPr>
        <w:t> </w:t>
      </w:r>
      <w:r>
        <w:rPr>
          <w:sz w:val="16"/>
        </w:rPr>
        <w:t>Directive</w:t>
      </w:r>
      <w:r>
        <w:rPr>
          <w:spacing w:val="20"/>
          <w:sz w:val="16"/>
        </w:rPr>
        <w:t> </w:t>
      </w:r>
      <w:r>
        <w:rPr>
          <w:sz w:val="16"/>
        </w:rPr>
        <w:t>2006/54/EC of the European Parliament and of the Council of 5 July 2006 on the implementation of the principle of equal opportunities and equal treatment of men and women in matters of employment and occupation [2006] </w:t>
      </w:r>
      <w:r>
        <w:rPr>
          <w:w w:val="115"/>
          <w:sz w:val="16"/>
        </w:rPr>
        <w:t>OJ </w:t>
      </w:r>
      <w:r>
        <w:rPr>
          <w:sz w:val="16"/>
        </w:rPr>
        <w:t>L</w:t>
      </w:r>
      <w:r>
        <w:rPr>
          <w:spacing w:val="40"/>
          <w:sz w:val="16"/>
        </w:rPr>
        <w:t> </w:t>
      </w:r>
      <w:r>
        <w:rPr>
          <w:sz w:val="16"/>
        </w:rPr>
        <w:t>204/23; Council Directive 2000/43/EC of 29 June 2000 implementing the principle of equal treatment between</w:t>
      </w:r>
      <w:r>
        <w:rPr>
          <w:spacing w:val="40"/>
          <w:sz w:val="16"/>
        </w:rPr>
        <w:t> </w:t>
      </w:r>
      <w:r>
        <w:rPr>
          <w:sz w:val="16"/>
        </w:rPr>
        <w:t>persons irrespective of racial or ethnic origin [2000] </w:t>
      </w:r>
      <w:r>
        <w:rPr>
          <w:w w:val="115"/>
          <w:sz w:val="16"/>
        </w:rPr>
        <w:t>OJ </w:t>
      </w:r>
      <w:r>
        <w:rPr>
          <w:sz w:val="16"/>
        </w:rPr>
        <w:t>L 180/22; Council Directive 2000/78/EC of 27 November 2000 establishing a general framework for equal treatment in employment and occupation [2000] </w:t>
      </w:r>
      <w:r>
        <w:rPr>
          <w:w w:val="115"/>
          <w:sz w:val="16"/>
        </w:rPr>
        <w:t>OJ </w:t>
      </w:r>
      <w:r>
        <w:rPr>
          <w:sz w:val="16"/>
        </w:rPr>
        <w:t>L 303/16; Directive 2010/41/EU of the European Parliament and of the Council of 7 July 2010 on the application of the </w:t>
      </w:r>
      <w:r>
        <w:rPr>
          <w:rFonts w:ascii="Arial"/>
          <w:sz w:val="16"/>
        </w:rPr>
        <w:t>principle</w:t>
      </w:r>
      <w:r>
        <w:rPr>
          <w:rFonts w:ascii="Arial"/>
          <w:spacing w:val="50"/>
          <w:sz w:val="16"/>
        </w:rPr>
        <w:t> </w:t>
      </w:r>
      <w:r>
        <w:rPr>
          <w:rFonts w:ascii="Arial"/>
          <w:sz w:val="16"/>
        </w:rPr>
        <w:t>of</w:t>
      </w:r>
      <w:r>
        <w:rPr>
          <w:rFonts w:ascii="Arial"/>
          <w:spacing w:val="50"/>
          <w:sz w:val="16"/>
        </w:rPr>
        <w:t> </w:t>
      </w:r>
      <w:r>
        <w:rPr>
          <w:rFonts w:ascii="Arial"/>
          <w:sz w:val="16"/>
        </w:rPr>
        <w:t>equal</w:t>
      </w:r>
      <w:r>
        <w:rPr>
          <w:rFonts w:ascii="Arial"/>
          <w:spacing w:val="51"/>
          <w:sz w:val="16"/>
        </w:rPr>
        <w:t> </w:t>
      </w:r>
      <w:r>
        <w:rPr>
          <w:rFonts w:ascii="Arial"/>
          <w:sz w:val="16"/>
        </w:rPr>
        <w:t>treatment</w:t>
      </w:r>
      <w:r>
        <w:rPr>
          <w:rFonts w:ascii="Arial"/>
          <w:spacing w:val="50"/>
          <w:sz w:val="16"/>
        </w:rPr>
        <w:t> </w:t>
      </w:r>
      <w:r>
        <w:rPr>
          <w:rFonts w:ascii="Arial"/>
          <w:sz w:val="16"/>
        </w:rPr>
        <w:t>between</w:t>
      </w:r>
      <w:r>
        <w:rPr>
          <w:rFonts w:ascii="Arial"/>
          <w:spacing w:val="50"/>
          <w:sz w:val="16"/>
        </w:rPr>
        <w:t> </w:t>
      </w:r>
      <w:r>
        <w:rPr>
          <w:rFonts w:ascii="Arial"/>
          <w:sz w:val="16"/>
        </w:rPr>
        <w:t>men</w:t>
      </w:r>
      <w:r>
        <w:rPr>
          <w:rFonts w:ascii="Arial"/>
          <w:spacing w:val="51"/>
          <w:sz w:val="16"/>
        </w:rPr>
        <w:t> </w:t>
      </w:r>
      <w:r>
        <w:rPr>
          <w:rFonts w:ascii="Arial"/>
          <w:sz w:val="16"/>
        </w:rPr>
        <w:t>and</w:t>
      </w:r>
      <w:r>
        <w:rPr>
          <w:rFonts w:ascii="Arial"/>
          <w:spacing w:val="50"/>
          <w:sz w:val="16"/>
        </w:rPr>
        <w:t> </w:t>
      </w:r>
      <w:r>
        <w:rPr>
          <w:rFonts w:ascii="Arial"/>
          <w:sz w:val="16"/>
        </w:rPr>
        <w:t>women</w:t>
      </w:r>
      <w:r>
        <w:rPr>
          <w:rFonts w:ascii="Arial"/>
          <w:spacing w:val="50"/>
          <w:sz w:val="16"/>
        </w:rPr>
        <w:t> </w:t>
      </w:r>
      <w:r>
        <w:rPr>
          <w:rFonts w:ascii="Arial"/>
          <w:sz w:val="16"/>
        </w:rPr>
        <w:t>engaged</w:t>
      </w:r>
      <w:r>
        <w:rPr>
          <w:rFonts w:ascii="Arial"/>
          <w:spacing w:val="51"/>
          <w:sz w:val="16"/>
        </w:rPr>
        <w:t> </w:t>
      </w:r>
      <w:r>
        <w:rPr>
          <w:rFonts w:ascii="Arial"/>
          <w:sz w:val="16"/>
        </w:rPr>
        <w:t>in</w:t>
      </w:r>
      <w:r>
        <w:rPr>
          <w:rFonts w:ascii="Arial"/>
          <w:spacing w:val="50"/>
          <w:sz w:val="16"/>
        </w:rPr>
        <w:t> </w:t>
      </w:r>
      <w:r>
        <w:rPr>
          <w:rFonts w:ascii="Arial"/>
          <w:sz w:val="16"/>
        </w:rPr>
        <w:t>an</w:t>
      </w:r>
      <w:r>
        <w:rPr>
          <w:rFonts w:ascii="Arial"/>
          <w:spacing w:val="50"/>
          <w:sz w:val="16"/>
        </w:rPr>
        <w:t> </w:t>
      </w:r>
      <w:r>
        <w:rPr>
          <w:rFonts w:ascii="Arial"/>
          <w:sz w:val="16"/>
        </w:rPr>
        <w:t>activity</w:t>
      </w:r>
      <w:r>
        <w:rPr>
          <w:rFonts w:ascii="Arial"/>
          <w:spacing w:val="51"/>
          <w:sz w:val="16"/>
        </w:rPr>
        <w:t> </w:t>
      </w:r>
      <w:r>
        <w:rPr>
          <w:rFonts w:ascii="Arial"/>
          <w:sz w:val="16"/>
        </w:rPr>
        <w:t>in</w:t>
      </w:r>
      <w:r>
        <w:rPr>
          <w:rFonts w:ascii="Arial"/>
          <w:spacing w:val="50"/>
          <w:sz w:val="16"/>
        </w:rPr>
        <w:t> </w:t>
      </w:r>
      <w:r>
        <w:rPr>
          <w:rFonts w:ascii="Arial"/>
          <w:sz w:val="16"/>
        </w:rPr>
        <w:t>a</w:t>
      </w:r>
      <w:r>
        <w:rPr>
          <w:rFonts w:ascii="Arial"/>
          <w:spacing w:val="50"/>
          <w:sz w:val="16"/>
        </w:rPr>
        <w:t> </w:t>
      </w:r>
      <w:r>
        <w:rPr>
          <w:rFonts w:ascii="Arial"/>
          <w:sz w:val="16"/>
        </w:rPr>
        <w:t>self-employed</w:t>
      </w:r>
      <w:r>
        <w:rPr>
          <w:rFonts w:ascii="Arial"/>
          <w:spacing w:val="51"/>
          <w:sz w:val="16"/>
        </w:rPr>
        <w:t> </w:t>
      </w:r>
      <w:r>
        <w:rPr>
          <w:rFonts w:ascii="Arial"/>
          <w:sz w:val="16"/>
        </w:rPr>
        <w:t>capacity</w:t>
      </w:r>
      <w:r>
        <w:rPr>
          <w:rFonts w:ascii="Arial"/>
          <w:spacing w:val="50"/>
          <w:sz w:val="16"/>
        </w:rPr>
        <w:t> </w:t>
      </w:r>
      <w:r>
        <w:rPr>
          <w:rFonts w:ascii="Arial"/>
          <w:sz w:val="16"/>
        </w:rPr>
        <w:t>and</w:t>
      </w:r>
    </w:p>
    <w:p>
      <w:pPr>
        <w:spacing w:line="223" w:lineRule="auto" w:before="15"/>
        <w:ind w:left="567" w:right="0" w:firstLine="0"/>
        <w:jc w:val="left"/>
        <w:rPr>
          <w:rFonts w:ascii="Lucida Sans Unicode"/>
          <w:sz w:val="16"/>
        </w:rPr>
      </w:pPr>
      <w:r>
        <w:rPr>
          <w:rFonts w:ascii="Lucida Sans Unicode"/>
          <w:sz w:val="16"/>
        </w:rPr>
        <w:t>repealing Council Directive 86/613/EEC [2010] OJ L 180/1; and Council Directive 79/7/EEC of 19 December 1978 on </w:t>
      </w:r>
      <w:r>
        <w:rPr>
          <w:w w:val="105"/>
          <w:sz w:val="16"/>
        </w:rPr>
        <w:t>the</w:t>
      </w:r>
      <w:r>
        <w:rPr>
          <w:spacing w:val="39"/>
          <w:w w:val="105"/>
          <w:sz w:val="16"/>
        </w:rPr>
        <w:t> </w:t>
      </w:r>
      <w:r>
        <w:rPr>
          <w:w w:val="105"/>
          <w:sz w:val="16"/>
        </w:rPr>
        <w:t>progressive</w:t>
      </w:r>
      <w:r>
        <w:rPr>
          <w:spacing w:val="39"/>
          <w:w w:val="105"/>
          <w:sz w:val="16"/>
        </w:rPr>
        <w:t> </w:t>
      </w:r>
      <w:r>
        <w:rPr>
          <w:w w:val="105"/>
          <w:sz w:val="16"/>
        </w:rPr>
        <w:t>implementation</w:t>
      </w:r>
      <w:r>
        <w:rPr>
          <w:spacing w:val="39"/>
          <w:w w:val="105"/>
          <w:sz w:val="16"/>
        </w:rPr>
        <w:t> </w:t>
      </w:r>
      <w:r>
        <w:rPr>
          <w:w w:val="105"/>
          <w:sz w:val="16"/>
        </w:rPr>
        <w:t>of</w:t>
      </w:r>
      <w:r>
        <w:rPr>
          <w:spacing w:val="39"/>
          <w:w w:val="105"/>
          <w:sz w:val="16"/>
        </w:rPr>
        <w:t> </w:t>
      </w:r>
      <w:r>
        <w:rPr>
          <w:w w:val="105"/>
          <w:sz w:val="16"/>
        </w:rPr>
        <w:t>the</w:t>
      </w:r>
      <w:r>
        <w:rPr>
          <w:spacing w:val="39"/>
          <w:w w:val="105"/>
          <w:sz w:val="16"/>
        </w:rPr>
        <w:t> </w:t>
      </w:r>
      <w:r>
        <w:rPr>
          <w:w w:val="105"/>
          <w:sz w:val="16"/>
        </w:rPr>
        <w:t>principle</w:t>
      </w:r>
      <w:r>
        <w:rPr>
          <w:spacing w:val="39"/>
          <w:w w:val="105"/>
          <w:sz w:val="16"/>
        </w:rPr>
        <w:t> </w:t>
      </w:r>
      <w:r>
        <w:rPr>
          <w:w w:val="105"/>
          <w:sz w:val="16"/>
        </w:rPr>
        <w:t>of</w:t>
      </w:r>
      <w:r>
        <w:rPr>
          <w:spacing w:val="39"/>
          <w:w w:val="105"/>
          <w:sz w:val="16"/>
        </w:rPr>
        <w:t> </w:t>
      </w:r>
      <w:r>
        <w:rPr>
          <w:w w:val="105"/>
          <w:sz w:val="16"/>
        </w:rPr>
        <w:t>equal</w:t>
      </w:r>
      <w:r>
        <w:rPr>
          <w:spacing w:val="39"/>
          <w:w w:val="105"/>
          <w:sz w:val="16"/>
        </w:rPr>
        <w:t> </w:t>
      </w:r>
      <w:r>
        <w:rPr>
          <w:w w:val="105"/>
          <w:sz w:val="16"/>
        </w:rPr>
        <w:t>treatment</w:t>
      </w:r>
      <w:r>
        <w:rPr>
          <w:spacing w:val="39"/>
          <w:w w:val="105"/>
          <w:sz w:val="16"/>
        </w:rPr>
        <w:t> </w:t>
      </w:r>
      <w:r>
        <w:rPr>
          <w:w w:val="105"/>
          <w:sz w:val="16"/>
        </w:rPr>
        <w:t>for</w:t>
      </w:r>
      <w:r>
        <w:rPr>
          <w:spacing w:val="39"/>
          <w:w w:val="105"/>
          <w:sz w:val="16"/>
        </w:rPr>
        <w:t> </w:t>
      </w:r>
      <w:r>
        <w:rPr>
          <w:w w:val="105"/>
          <w:sz w:val="16"/>
        </w:rPr>
        <w:t>men</w:t>
      </w:r>
      <w:r>
        <w:rPr>
          <w:spacing w:val="39"/>
          <w:w w:val="105"/>
          <w:sz w:val="16"/>
        </w:rPr>
        <w:t> </w:t>
      </w:r>
      <w:r>
        <w:rPr>
          <w:w w:val="105"/>
          <w:sz w:val="16"/>
        </w:rPr>
        <w:t>and</w:t>
      </w:r>
      <w:r>
        <w:rPr>
          <w:spacing w:val="39"/>
          <w:w w:val="105"/>
          <w:sz w:val="16"/>
        </w:rPr>
        <w:t> </w:t>
      </w:r>
      <w:r>
        <w:rPr>
          <w:w w:val="105"/>
          <w:sz w:val="16"/>
        </w:rPr>
        <w:t>women</w:t>
      </w:r>
      <w:r>
        <w:rPr>
          <w:spacing w:val="39"/>
          <w:w w:val="105"/>
          <w:sz w:val="16"/>
        </w:rPr>
        <w:t> </w:t>
      </w:r>
      <w:r>
        <w:rPr>
          <w:w w:val="105"/>
          <w:sz w:val="16"/>
        </w:rPr>
        <w:t>in</w:t>
      </w:r>
      <w:r>
        <w:rPr>
          <w:spacing w:val="39"/>
          <w:w w:val="105"/>
          <w:sz w:val="16"/>
        </w:rPr>
        <w:t> </w:t>
      </w:r>
      <w:r>
        <w:rPr>
          <w:w w:val="105"/>
          <w:sz w:val="16"/>
        </w:rPr>
        <w:t>matters</w:t>
      </w:r>
      <w:r>
        <w:rPr>
          <w:spacing w:val="39"/>
          <w:w w:val="105"/>
          <w:sz w:val="16"/>
        </w:rPr>
        <w:t> </w:t>
      </w:r>
      <w:r>
        <w:rPr>
          <w:w w:val="105"/>
          <w:sz w:val="16"/>
        </w:rPr>
        <w:t>of</w:t>
      </w:r>
      <w:r>
        <w:rPr>
          <w:spacing w:val="39"/>
          <w:w w:val="105"/>
          <w:sz w:val="16"/>
        </w:rPr>
        <w:t> </w:t>
      </w:r>
      <w:r>
        <w:rPr>
          <w:w w:val="105"/>
          <w:sz w:val="16"/>
        </w:rPr>
        <w:t>social</w:t>
      </w:r>
      <w:r>
        <w:rPr>
          <w:spacing w:val="39"/>
          <w:w w:val="105"/>
          <w:sz w:val="16"/>
        </w:rPr>
        <w:t> </w:t>
      </w:r>
      <w:r>
        <w:rPr>
          <w:w w:val="105"/>
          <w:sz w:val="16"/>
        </w:rPr>
        <w:t>security </w:t>
      </w:r>
      <w:r>
        <w:rPr>
          <w:rFonts w:ascii="Lucida Sans Unicode"/>
          <w:w w:val="105"/>
          <w:sz w:val="16"/>
        </w:rPr>
        <w:t>[1979] </w:t>
      </w:r>
      <w:r>
        <w:rPr>
          <w:rFonts w:ascii="Lucida Sans Unicode"/>
          <w:w w:val="115"/>
          <w:sz w:val="16"/>
        </w:rPr>
        <w:t>OJ </w:t>
      </w:r>
      <w:r>
        <w:rPr>
          <w:rFonts w:ascii="Lucida Sans Unicode"/>
          <w:w w:val="105"/>
          <w:sz w:val="16"/>
        </w:rPr>
        <w:t>L 6/24.</w:t>
      </w:r>
    </w:p>
    <w:p>
      <w:pPr>
        <w:spacing w:after="0" w:line="223" w:lineRule="auto"/>
        <w:jc w:val="left"/>
        <w:rPr>
          <w:rFonts w:ascii="Lucida Sans Unicode"/>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310" w:lineRule="exact" w:before="49"/>
        <w:ind w:right="173"/>
      </w:pPr>
      <w:r>
        <w:rPr>
          <w:w w:val="110"/>
        </w:rPr>
        <w:t>obligation on the part of the UK to maintain dynamic alignment with</w:t>
      </w:r>
      <w:r>
        <w:rPr>
          <w:spacing w:val="40"/>
          <w:w w:val="110"/>
        </w:rPr>
        <w:t> </w:t>
      </w:r>
      <w:r>
        <w:rPr>
          <w:w w:val="110"/>
        </w:rPr>
        <w:t>these six directives.</w:t>
      </w:r>
      <w:r>
        <w:rPr>
          <w:rFonts w:ascii="Lucida Sans Unicode"/>
          <w:w w:val="110"/>
          <w:vertAlign w:val="superscript"/>
        </w:rPr>
        <w:t>321</w:t>
      </w:r>
      <w:r>
        <w:rPr>
          <w:rFonts w:ascii="Lucida Sans Unicode"/>
          <w:spacing w:val="-10"/>
          <w:w w:val="110"/>
          <w:vertAlign w:val="baseline"/>
        </w:rPr>
        <w:t> </w:t>
      </w:r>
      <w:r>
        <w:rPr>
          <w:rFonts w:ascii="Lucida Sans Unicode"/>
          <w:w w:val="110"/>
          <w:vertAlign w:val="baseline"/>
        </w:rPr>
        <w:t>But</w:t>
      </w:r>
      <w:r>
        <w:rPr>
          <w:rFonts w:ascii="Lucida Sans Unicode"/>
          <w:spacing w:val="-10"/>
          <w:w w:val="110"/>
          <w:vertAlign w:val="baseline"/>
        </w:rPr>
        <w:t> </w:t>
      </w:r>
      <w:r>
        <w:rPr>
          <w:rFonts w:ascii="Lucida Sans Unicode"/>
          <w:w w:val="110"/>
          <w:vertAlign w:val="baseline"/>
        </w:rPr>
        <w:t>Article</w:t>
      </w:r>
      <w:r>
        <w:rPr>
          <w:rFonts w:ascii="Lucida Sans Unicode"/>
          <w:spacing w:val="-10"/>
          <w:w w:val="110"/>
          <w:vertAlign w:val="baseline"/>
        </w:rPr>
        <w:t> </w:t>
      </w:r>
      <w:r>
        <w:rPr>
          <w:rFonts w:ascii="Lucida Sans Unicode"/>
          <w:w w:val="110"/>
          <w:vertAlign w:val="baseline"/>
        </w:rPr>
        <w:t>2 </w:t>
      </w:r>
      <w:r>
        <w:rPr>
          <w:w w:val="110"/>
          <w:vertAlign w:val="baseline"/>
        </w:rPr>
        <w:t>situates these directives within the </w:t>
      </w:r>
      <w:r>
        <w:rPr>
          <w:rFonts w:ascii="Lucida Sans Unicode"/>
          <w:w w:val="110"/>
          <w:vertAlign w:val="baseline"/>
        </w:rPr>
        <w:t>context</w:t>
      </w:r>
      <w:r>
        <w:rPr>
          <w:rFonts w:ascii="Lucida Sans Unicode"/>
          <w:spacing w:val="-14"/>
          <w:w w:val="110"/>
          <w:vertAlign w:val="baseline"/>
        </w:rPr>
        <w:t> </w:t>
      </w:r>
      <w:r>
        <w:rPr>
          <w:rFonts w:ascii="Lucida Sans Unicode"/>
          <w:w w:val="110"/>
          <w:vertAlign w:val="baseline"/>
        </w:rPr>
        <w:t>of</w:t>
      </w:r>
      <w:r>
        <w:rPr>
          <w:rFonts w:ascii="Lucida Sans Unicode"/>
          <w:spacing w:val="-14"/>
          <w:w w:val="110"/>
          <w:vertAlign w:val="baseline"/>
        </w:rPr>
        <w:t> </w:t>
      </w:r>
      <w:r>
        <w:rPr>
          <w:rFonts w:ascii="Lucida Sans Unicode"/>
          <w:w w:val="110"/>
          <w:vertAlign w:val="baseline"/>
        </w:rPr>
        <w:t>the</w:t>
      </w:r>
      <w:r>
        <w:rPr>
          <w:rFonts w:ascii="Lucida Sans Unicode"/>
          <w:spacing w:val="-14"/>
          <w:w w:val="110"/>
          <w:vertAlign w:val="baseline"/>
        </w:rPr>
        <w:t> </w:t>
      </w:r>
      <w:r>
        <w:rPr>
          <w:rFonts w:ascii="Lucida Sans Unicode"/>
          <w:w w:val="110"/>
          <w:vertAlign w:val="baseline"/>
        </w:rPr>
        <w:t>RSEO</w:t>
      </w:r>
      <w:r>
        <w:rPr>
          <w:rFonts w:ascii="Lucida Sans Unicode"/>
          <w:spacing w:val="-14"/>
          <w:w w:val="110"/>
          <w:vertAlign w:val="baseline"/>
        </w:rPr>
        <w:t> </w:t>
      </w:r>
      <w:r>
        <w:rPr>
          <w:rFonts w:ascii="Lucida Sans Unicode"/>
          <w:w w:val="110"/>
          <w:vertAlign w:val="baseline"/>
        </w:rPr>
        <w:t>section</w:t>
      </w:r>
      <w:r>
        <w:rPr>
          <w:rFonts w:ascii="Lucida Sans Unicode"/>
          <w:spacing w:val="-14"/>
          <w:w w:val="110"/>
          <w:vertAlign w:val="baseline"/>
        </w:rPr>
        <w:t> </w:t>
      </w:r>
      <w:r>
        <w:rPr>
          <w:rFonts w:ascii="Lucida Sans Unicode"/>
          <w:w w:val="110"/>
          <w:vertAlign w:val="baseline"/>
        </w:rPr>
        <w:t>of</w:t>
      </w:r>
      <w:r>
        <w:rPr>
          <w:rFonts w:ascii="Lucida Sans Unicode"/>
          <w:spacing w:val="-14"/>
          <w:w w:val="110"/>
          <w:vertAlign w:val="baseline"/>
        </w:rPr>
        <w:t> </w:t>
      </w:r>
      <w:r>
        <w:rPr>
          <w:rFonts w:ascii="Lucida Sans Unicode"/>
          <w:w w:val="110"/>
          <w:vertAlign w:val="baseline"/>
        </w:rPr>
        <w:t>the </w:t>
      </w:r>
      <w:r>
        <w:rPr>
          <w:w w:val="110"/>
          <w:vertAlign w:val="baseline"/>
        </w:rPr>
        <w:t>Belfast (Good Friday) Agreement,</w:t>
      </w:r>
      <w:r>
        <w:rPr>
          <w:rFonts w:ascii="Lucida Sans Unicode"/>
          <w:w w:val="110"/>
          <w:vertAlign w:val="superscript"/>
        </w:rPr>
        <w:t>322</w:t>
      </w:r>
      <w:r>
        <w:rPr>
          <w:rFonts w:ascii="Lucida Sans Unicode"/>
          <w:w w:val="110"/>
          <w:vertAlign w:val="baseline"/>
        </w:rPr>
        <w:t> </w:t>
      </w:r>
      <w:r>
        <w:rPr>
          <w:w w:val="110"/>
          <w:vertAlign w:val="baseline"/>
        </w:rPr>
        <w:t>in respect of which the UK is </w:t>
      </w:r>
      <w:r>
        <w:rPr>
          <w:w w:val="110"/>
          <w:vertAlign w:val="baseline"/>
        </w:rPr>
        <w:t>enjoined to ensure no diminution as a result</w:t>
      </w:r>
    </w:p>
    <w:p>
      <w:pPr>
        <w:pStyle w:val="BodyText"/>
        <w:spacing w:line="310" w:lineRule="exact"/>
        <w:ind w:right="287"/>
      </w:pPr>
      <w:r>
        <w:rPr>
          <w:w w:val="110"/>
        </w:rPr>
        <w:t>of Brexit. While the six directives </w:t>
      </w:r>
      <w:r>
        <w:rPr>
          <w:w w:val="110"/>
        </w:rPr>
        <w:t>are of course distinct legal provisions, </w:t>
      </w:r>
      <w:r>
        <w:rPr>
          <w:rFonts w:ascii="Lucida Sans Unicode" w:hAnsi="Lucida Sans Unicode"/>
          <w:w w:val="110"/>
        </w:rPr>
        <w:t>the</w:t>
      </w:r>
      <w:r>
        <w:rPr>
          <w:rFonts w:ascii="Lucida Sans Unicode" w:hAnsi="Lucida Sans Unicode"/>
          <w:spacing w:val="-11"/>
          <w:w w:val="110"/>
        </w:rPr>
        <w:t> </w:t>
      </w:r>
      <w:r>
        <w:rPr>
          <w:rFonts w:ascii="Lucida Sans Unicode" w:hAnsi="Lucida Sans Unicode"/>
          <w:w w:val="110"/>
        </w:rPr>
        <w:t>contents</w:t>
      </w:r>
      <w:r>
        <w:rPr>
          <w:rFonts w:ascii="Lucida Sans Unicode" w:hAnsi="Lucida Sans Unicode"/>
          <w:spacing w:val="-11"/>
          <w:w w:val="110"/>
        </w:rPr>
        <w:t> </w:t>
      </w:r>
      <w:r>
        <w:rPr>
          <w:rFonts w:ascii="Lucida Sans Unicode" w:hAnsi="Lucida Sans Unicode"/>
          <w:w w:val="110"/>
        </w:rPr>
        <w:t>of</w:t>
      </w:r>
      <w:r>
        <w:rPr>
          <w:rFonts w:ascii="Lucida Sans Unicode" w:hAnsi="Lucida Sans Unicode"/>
          <w:spacing w:val="-11"/>
          <w:w w:val="110"/>
        </w:rPr>
        <w:t> </w:t>
      </w:r>
      <w:r>
        <w:rPr>
          <w:rFonts w:ascii="Lucida Sans Unicode" w:hAnsi="Lucida Sans Unicode"/>
          <w:w w:val="110"/>
        </w:rPr>
        <w:t>the</w:t>
      </w:r>
      <w:r>
        <w:rPr>
          <w:rFonts w:ascii="Lucida Sans Unicode" w:hAnsi="Lucida Sans Unicode"/>
          <w:spacing w:val="-11"/>
          <w:w w:val="110"/>
        </w:rPr>
        <w:t> </w:t>
      </w:r>
      <w:r>
        <w:rPr>
          <w:rFonts w:ascii="Lucida Sans Unicode" w:hAnsi="Lucida Sans Unicode"/>
          <w:w w:val="110"/>
        </w:rPr>
        <w:t>RSEO</w:t>
      </w:r>
      <w:r>
        <w:rPr>
          <w:rFonts w:ascii="Lucida Sans Unicode" w:hAnsi="Lucida Sans Unicode"/>
          <w:spacing w:val="-11"/>
          <w:w w:val="110"/>
        </w:rPr>
        <w:t> </w:t>
      </w:r>
      <w:r>
        <w:rPr>
          <w:rFonts w:ascii="Lucida Sans Unicode" w:hAnsi="Lucida Sans Unicode"/>
          <w:w w:val="110"/>
        </w:rPr>
        <w:t>section </w:t>
      </w:r>
      <w:r>
        <w:rPr>
          <w:w w:val="110"/>
        </w:rPr>
        <w:t>are framed in ‘loose language or</w:t>
      </w:r>
    </w:p>
    <w:p>
      <w:pPr>
        <w:pStyle w:val="BodyText"/>
        <w:spacing w:line="310" w:lineRule="exact"/>
        <w:ind w:right="124"/>
        <w:rPr>
          <w:rFonts w:ascii="Lucida Sans Unicode" w:hAnsi="Lucida Sans Unicode"/>
        </w:rPr>
      </w:pPr>
      <w:r>
        <w:rPr>
          <w:w w:val="110"/>
        </w:rPr>
        <w:t>framed</w:t>
      </w:r>
      <w:r>
        <w:rPr>
          <w:spacing w:val="-19"/>
          <w:w w:val="110"/>
        </w:rPr>
        <w:t> </w:t>
      </w:r>
      <w:r>
        <w:rPr>
          <w:w w:val="110"/>
        </w:rPr>
        <w:t>as</w:t>
      </w:r>
      <w:r>
        <w:rPr>
          <w:spacing w:val="-18"/>
          <w:w w:val="110"/>
        </w:rPr>
        <w:t> </w:t>
      </w:r>
      <w:r>
        <w:rPr>
          <w:w w:val="110"/>
        </w:rPr>
        <w:t>aspirations’.</w:t>
      </w:r>
      <w:r>
        <w:rPr>
          <w:rFonts w:ascii="Lucida Sans Unicode" w:hAnsi="Lucida Sans Unicode"/>
          <w:w w:val="110"/>
          <w:vertAlign w:val="superscript"/>
        </w:rPr>
        <w:t>323</w:t>
      </w:r>
      <w:r>
        <w:rPr>
          <w:rFonts w:ascii="Lucida Sans Unicode" w:hAnsi="Lucida Sans Unicode"/>
          <w:spacing w:val="-21"/>
          <w:w w:val="110"/>
          <w:vertAlign w:val="baseline"/>
        </w:rPr>
        <w:t> </w:t>
      </w:r>
      <w:r>
        <w:rPr>
          <w:w w:val="110"/>
          <w:vertAlign w:val="baseline"/>
        </w:rPr>
        <w:t>The</w:t>
      </w:r>
      <w:r>
        <w:rPr>
          <w:spacing w:val="-18"/>
          <w:w w:val="110"/>
          <w:vertAlign w:val="baseline"/>
        </w:rPr>
        <w:t> </w:t>
      </w:r>
      <w:r>
        <w:rPr>
          <w:w w:val="110"/>
          <w:vertAlign w:val="baseline"/>
        </w:rPr>
        <w:t>Windsor Framework has been interpreted by the High Court in Northern Ireland as </w:t>
      </w:r>
      <w:r>
        <w:rPr>
          <w:rFonts w:ascii="Verdana" w:hAnsi="Verdana"/>
          <w:i/>
          <w:w w:val="110"/>
          <w:vertAlign w:val="baseline"/>
        </w:rPr>
        <w:t>not </w:t>
      </w:r>
      <w:r>
        <w:rPr>
          <w:w w:val="110"/>
          <w:vertAlign w:val="baseline"/>
        </w:rPr>
        <w:t>incorporating the Belfast (Good Friday) Agreement, including the</w:t>
      </w:r>
      <w:r>
        <w:rPr>
          <w:spacing w:val="40"/>
          <w:w w:val="110"/>
          <w:vertAlign w:val="baseline"/>
        </w:rPr>
        <w:t> </w:t>
      </w:r>
      <w:r>
        <w:rPr>
          <w:rFonts w:ascii="Lucida Sans Unicode" w:hAnsi="Lucida Sans Unicode"/>
          <w:w w:val="110"/>
          <w:vertAlign w:val="baseline"/>
        </w:rPr>
        <w:t>RSEO</w:t>
      </w:r>
      <w:r>
        <w:rPr>
          <w:rFonts w:ascii="Lucida Sans Unicode" w:hAnsi="Lucida Sans Unicode"/>
          <w:spacing w:val="-16"/>
          <w:w w:val="110"/>
          <w:vertAlign w:val="baseline"/>
        </w:rPr>
        <w:t> </w:t>
      </w:r>
      <w:r>
        <w:rPr>
          <w:rFonts w:ascii="Lucida Sans Unicode" w:hAnsi="Lucida Sans Unicode"/>
          <w:w w:val="110"/>
          <w:vertAlign w:val="baseline"/>
        </w:rPr>
        <w:t>section</w:t>
      </w:r>
      <w:r>
        <w:rPr>
          <w:rFonts w:ascii="Lucida Sans Unicode" w:hAnsi="Lucida Sans Unicode"/>
          <w:spacing w:val="-16"/>
          <w:w w:val="110"/>
          <w:vertAlign w:val="baseline"/>
        </w:rPr>
        <w:t> </w:t>
      </w:r>
      <w:r>
        <w:rPr>
          <w:rFonts w:ascii="Lucida Sans Unicode" w:hAnsi="Lucida Sans Unicode"/>
          <w:w w:val="110"/>
          <w:vertAlign w:val="baseline"/>
        </w:rPr>
        <w:t>as</w:t>
      </w:r>
      <w:r>
        <w:rPr>
          <w:rFonts w:ascii="Lucida Sans Unicode" w:hAnsi="Lucida Sans Unicode"/>
          <w:spacing w:val="-16"/>
          <w:w w:val="110"/>
          <w:vertAlign w:val="baseline"/>
        </w:rPr>
        <w:t> </w:t>
      </w:r>
      <w:r>
        <w:rPr>
          <w:rFonts w:ascii="Lucida Sans Unicode" w:hAnsi="Lucida Sans Unicode"/>
          <w:w w:val="110"/>
          <w:vertAlign w:val="baseline"/>
        </w:rPr>
        <w:t>such,</w:t>
      </w:r>
      <w:r>
        <w:rPr>
          <w:rFonts w:ascii="Lucida Sans Unicode" w:hAnsi="Lucida Sans Unicode"/>
          <w:w w:val="110"/>
          <w:vertAlign w:val="superscript"/>
        </w:rPr>
        <w:t>324</w:t>
      </w:r>
      <w:r>
        <w:rPr>
          <w:rFonts w:ascii="Lucida Sans Unicode" w:hAnsi="Lucida Sans Unicode"/>
          <w:spacing w:val="-16"/>
          <w:w w:val="110"/>
          <w:vertAlign w:val="baseline"/>
        </w:rPr>
        <w:t> </w:t>
      </w:r>
      <w:r>
        <w:rPr>
          <w:w w:val="110"/>
          <w:vertAlign w:val="baseline"/>
        </w:rPr>
        <w:t>meaning </w:t>
      </w:r>
      <w:r>
        <w:rPr>
          <w:rFonts w:ascii="Lucida Sans Unicode" w:hAnsi="Lucida Sans Unicode"/>
          <w:vertAlign w:val="baseline"/>
        </w:rPr>
        <w:t>that this aspect of Article 2 does not</w:t>
      </w:r>
    </w:p>
    <w:p>
      <w:pPr>
        <w:pStyle w:val="BodyText"/>
        <w:spacing w:line="310" w:lineRule="exact"/>
        <w:ind w:right="84"/>
      </w:pPr>
      <w:r>
        <w:rPr>
          <w:w w:val="110"/>
        </w:rPr>
        <w:t>give rise to distinct, enforceable rights within</w:t>
      </w:r>
      <w:r>
        <w:rPr>
          <w:spacing w:val="40"/>
          <w:w w:val="110"/>
        </w:rPr>
        <w:t> </w:t>
      </w:r>
      <w:r>
        <w:rPr>
          <w:w w:val="110"/>
        </w:rPr>
        <w:t>the</w:t>
      </w:r>
      <w:r>
        <w:rPr>
          <w:spacing w:val="40"/>
          <w:w w:val="110"/>
        </w:rPr>
        <w:t> </w:t>
      </w:r>
      <w:r>
        <w:rPr>
          <w:w w:val="110"/>
        </w:rPr>
        <w:t>Northern</w:t>
      </w:r>
      <w:r>
        <w:rPr>
          <w:spacing w:val="40"/>
          <w:w w:val="110"/>
        </w:rPr>
        <w:t> </w:t>
      </w:r>
      <w:r>
        <w:rPr>
          <w:w w:val="110"/>
        </w:rPr>
        <w:t>Ireland</w:t>
      </w:r>
      <w:r>
        <w:rPr>
          <w:spacing w:val="40"/>
          <w:w w:val="110"/>
        </w:rPr>
        <w:t> </w:t>
      </w:r>
      <w:r>
        <w:rPr>
          <w:w w:val="110"/>
        </w:rPr>
        <w:t>legal order. This appears to be contradicted in </w:t>
      </w:r>
      <w:r>
        <w:rPr>
          <w:rFonts w:ascii="Verdana" w:hAnsi="Verdana"/>
          <w:i/>
          <w:w w:val="110"/>
        </w:rPr>
        <w:t>Angesom</w:t>
      </w:r>
      <w:r>
        <w:rPr>
          <w:w w:val="110"/>
        </w:rPr>
        <w:t>, with Colton J referring in </w:t>
      </w:r>
      <w:r>
        <w:rPr>
          <w:rFonts w:ascii="Lucida Sans Unicode" w:hAnsi="Lucida Sans Unicode"/>
        </w:rPr>
        <w:t>that case to ‘those Strand Three </w:t>
      </w:r>
      <w:r>
        <w:rPr>
          <w:rFonts w:ascii="Lucida Sans Unicode" w:hAnsi="Lucida Sans Unicode"/>
        </w:rPr>
        <w:t>rights </w:t>
      </w:r>
      <w:r>
        <w:rPr>
          <w:w w:val="110"/>
        </w:rPr>
        <w:t>which have direct effect’.</w:t>
      </w:r>
      <w:r>
        <w:rPr>
          <w:rFonts w:ascii="Lucida Sans Unicode" w:hAnsi="Lucida Sans Unicode"/>
          <w:w w:val="110"/>
          <w:vertAlign w:val="superscript"/>
        </w:rPr>
        <w:t>325</w:t>
      </w:r>
      <w:r>
        <w:rPr>
          <w:rFonts w:ascii="Lucida Sans Unicode" w:hAnsi="Lucida Sans Unicode"/>
          <w:w w:val="110"/>
          <w:vertAlign w:val="baseline"/>
        </w:rPr>
        <w:t> </w:t>
      </w:r>
      <w:r>
        <w:rPr>
          <w:w w:val="110"/>
          <w:vertAlign w:val="baseline"/>
        </w:rPr>
        <w:t>However, the judge’s reference here should</w:t>
      </w:r>
    </w:p>
    <w:p>
      <w:pPr>
        <w:pStyle w:val="BodyText"/>
        <w:spacing w:line="310" w:lineRule="exact"/>
        <w:ind w:right="30"/>
      </w:pPr>
      <w:r>
        <w:rPr>
          <w:w w:val="110"/>
        </w:rPr>
        <w:t>not be taken to mean that the Court </w:t>
      </w:r>
      <w:r>
        <w:rPr>
          <w:rFonts w:ascii="Lucida Sans Unicode" w:hAnsi="Lucida Sans Unicode"/>
          <w:w w:val="110"/>
        </w:rPr>
        <w:t>held</w:t>
      </w:r>
      <w:r>
        <w:rPr>
          <w:rFonts w:ascii="Lucida Sans Unicode" w:hAnsi="Lucida Sans Unicode"/>
          <w:spacing w:val="-13"/>
          <w:w w:val="110"/>
        </w:rPr>
        <w:t> </w:t>
      </w:r>
      <w:r>
        <w:rPr>
          <w:rFonts w:ascii="Lucida Sans Unicode" w:hAnsi="Lucida Sans Unicode"/>
          <w:w w:val="110"/>
        </w:rPr>
        <w:t>the</w:t>
      </w:r>
      <w:r>
        <w:rPr>
          <w:rFonts w:ascii="Lucida Sans Unicode" w:hAnsi="Lucida Sans Unicode"/>
          <w:spacing w:val="-13"/>
          <w:w w:val="110"/>
        </w:rPr>
        <w:t> </w:t>
      </w:r>
      <w:r>
        <w:rPr>
          <w:rFonts w:ascii="Lucida Sans Unicode" w:hAnsi="Lucida Sans Unicode"/>
          <w:w w:val="110"/>
        </w:rPr>
        <w:t>RSEO</w:t>
      </w:r>
      <w:r>
        <w:rPr>
          <w:rFonts w:ascii="Lucida Sans Unicode" w:hAnsi="Lucida Sans Unicode"/>
          <w:spacing w:val="-13"/>
          <w:w w:val="110"/>
        </w:rPr>
        <w:t> </w:t>
      </w:r>
      <w:r>
        <w:rPr>
          <w:rFonts w:ascii="Lucida Sans Unicode" w:hAnsi="Lucida Sans Unicode"/>
          <w:w w:val="110"/>
        </w:rPr>
        <w:t>section</w:t>
      </w:r>
      <w:r>
        <w:rPr>
          <w:rFonts w:ascii="Lucida Sans Unicode" w:hAnsi="Lucida Sans Unicode"/>
          <w:spacing w:val="-13"/>
          <w:w w:val="110"/>
        </w:rPr>
        <w:t> </w:t>
      </w:r>
      <w:r>
        <w:rPr>
          <w:rFonts w:ascii="Lucida Sans Unicode" w:hAnsi="Lucida Sans Unicode"/>
          <w:w w:val="110"/>
        </w:rPr>
        <w:t>to</w:t>
      </w:r>
      <w:r>
        <w:rPr>
          <w:rFonts w:ascii="Lucida Sans Unicode" w:hAnsi="Lucida Sans Unicode"/>
          <w:spacing w:val="-13"/>
          <w:w w:val="110"/>
        </w:rPr>
        <w:t> </w:t>
      </w:r>
      <w:r>
        <w:rPr>
          <w:rFonts w:ascii="Lucida Sans Unicode" w:hAnsi="Lucida Sans Unicode"/>
          <w:w w:val="110"/>
        </w:rPr>
        <w:t>have</w:t>
      </w:r>
      <w:r>
        <w:rPr>
          <w:rFonts w:ascii="Lucida Sans Unicode" w:hAnsi="Lucida Sans Unicode"/>
          <w:spacing w:val="-13"/>
          <w:w w:val="110"/>
        </w:rPr>
        <w:t> </w:t>
      </w:r>
      <w:r>
        <w:rPr>
          <w:rFonts w:ascii="Lucida Sans Unicode" w:hAnsi="Lucida Sans Unicode"/>
          <w:w w:val="110"/>
        </w:rPr>
        <w:t>been </w:t>
      </w:r>
      <w:r>
        <w:rPr>
          <w:w w:val="110"/>
        </w:rPr>
        <w:t>incorporated. Instead, the judgment must be read in context. The reference to</w:t>
      </w:r>
      <w:r>
        <w:rPr>
          <w:spacing w:val="-3"/>
          <w:w w:val="110"/>
        </w:rPr>
        <w:t> </w:t>
      </w:r>
      <w:r>
        <w:rPr>
          <w:w w:val="110"/>
        </w:rPr>
        <w:t>‘direct</w:t>
      </w:r>
      <w:r>
        <w:rPr>
          <w:spacing w:val="-3"/>
          <w:w w:val="110"/>
        </w:rPr>
        <w:t> </w:t>
      </w:r>
      <w:r>
        <w:rPr>
          <w:w w:val="110"/>
        </w:rPr>
        <w:t>effect’</w:t>
      </w:r>
      <w:r>
        <w:rPr>
          <w:spacing w:val="-3"/>
          <w:w w:val="110"/>
        </w:rPr>
        <w:t> </w:t>
      </w:r>
      <w:r>
        <w:rPr>
          <w:w w:val="110"/>
        </w:rPr>
        <w:t>in</w:t>
      </w:r>
      <w:r>
        <w:rPr>
          <w:spacing w:val="-3"/>
          <w:w w:val="110"/>
        </w:rPr>
        <w:t> </w:t>
      </w:r>
      <w:r>
        <w:rPr>
          <w:rFonts w:ascii="Verdana" w:hAnsi="Verdana"/>
          <w:i/>
          <w:w w:val="110"/>
        </w:rPr>
        <w:t>Angesom</w:t>
      </w:r>
      <w:r>
        <w:rPr>
          <w:rFonts w:ascii="Verdana" w:hAnsi="Verdana"/>
          <w:i/>
          <w:spacing w:val="-22"/>
          <w:w w:val="110"/>
        </w:rPr>
        <w:t> </w:t>
      </w:r>
      <w:r>
        <w:rPr>
          <w:w w:val="110"/>
        </w:rPr>
        <w:t>deals,</w:t>
      </w:r>
      <w:r>
        <w:rPr>
          <w:spacing w:val="-3"/>
          <w:w w:val="110"/>
        </w:rPr>
        <w:t> </w:t>
      </w:r>
      <w:r>
        <w:rPr>
          <w:w w:val="110"/>
        </w:rPr>
        <w:t>not </w:t>
      </w:r>
      <w:r>
        <w:rPr>
          <w:rFonts w:ascii="Lucida Sans Unicode" w:hAnsi="Lucida Sans Unicode"/>
        </w:rPr>
        <w:t>with Strand Three, but those rights </w:t>
      </w:r>
      <w:r>
        <w:rPr>
          <w:w w:val="110"/>
        </w:rPr>
        <w:t>relied upon by the applicant which </w:t>
      </w:r>
      <w:r>
        <w:rPr>
          <w:rFonts w:ascii="Lucida Sans Unicode" w:hAnsi="Lucida Sans Unicode"/>
          <w:w w:val="110"/>
        </w:rPr>
        <w:t>come</w:t>
      </w:r>
      <w:r>
        <w:rPr>
          <w:rFonts w:ascii="Lucida Sans Unicode" w:hAnsi="Lucida Sans Unicode"/>
          <w:spacing w:val="-21"/>
          <w:w w:val="110"/>
        </w:rPr>
        <w:t> </w:t>
      </w:r>
      <w:r>
        <w:rPr>
          <w:rFonts w:ascii="Lucida Sans Unicode" w:hAnsi="Lucida Sans Unicode"/>
          <w:w w:val="110"/>
        </w:rPr>
        <w:t>within</w:t>
      </w:r>
      <w:r>
        <w:rPr>
          <w:rFonts w:ascii="Lucida Sans Unicode" w:hAnsi="Lucida Sans Unicode"/>
          <w:spacing w:val="-21"/>
          <w:w w:val="110"/>
        </w:rPr>
        <w:t> </w:t>
      </w:r>
      <w:r>
        <w:rPr>
          <w:rFonts w:ascii="Lucida Sans Unicode" w:hAnsi="Lucida Sans Unicode"/>
          <w:w w:val="110"/>
        </w:rPr>
        <w:t>the</w:t>
      </w:r>
      <w:r>
        <w:rPr>
          <w:rFonts w:ascii="Lucida Sans Unicode" w:hAnsi="Lucida Sans Unicode"/>
          <w:spacing w:val="-21"/>
          <w:w w:val="110"/>
        </w:rPr>
        <w:t> </w:t>
      </w:r>
      <w:r>
        <w:rPr>
          <w:rFonts w:ascii="Lucida Sans Unicode" w:hAnsi="Lucida Sans Unicode"/>
          <w:w w:val="110"/>
        </w:rPr>
        <w:t>scope</w:t>
      </w:r>
      <w:r>
        <w:rPr>
          <w:rFonts w:ascii="Lucida Sans Unicode" w:hAnsi="Lucida Sans Unicode"/>
          <w:spacing w:val="-20"/>
          <w:w w:val="110"/>
        </w:rPr>
        <w:t> </w:t>
      </w:r>
      <w:r>
        <w:rPr>
          <w:rFonts w:ascii="Lucida Sans Unicode" w:hAnsi="Lucida Sans Unicode"/>
          <w:w w:val="110"/>
        </w:rPr>
        <w:t>of</w:t>
      </w:r>
      <w:r>
        <w:rPr>
          <w:rFonts w:ascii="Lucida Sans Unicode" w:hAnsi="Lucida Sans Unicode"/>
          <w:spacing w:val="-21"/>
          <w:w w:val="110"/>
        </w:rPr>
        <w:t> </w:t>
      </w:r>
      <w:r>
        <w:rPr>
          <w:rFonts w:ascii="Lucida Sans Unicode" w:hAnsi="Lucida Sans Unicode"/>
          <w:w w:val="110"/>
        </w:rPr>
        <w:t>Strand </w:t>
      </w:r>
      <w:r>
        <w:rPr>
          <w:w w:val="110"/>
        </w:rPr>
        <w:t>Three. This is abundantly clear in the way that Colton J draws a distinction</w:t>
      </w:r>
    </w:p>
    <w:p>
      <w:pPr>
        <w:spacing w:line="310" w:lineRule="exact" w:before="49"/>
        <w:ind w:left="113" w:right="259" w:firstLine="0"/>
        <w:jc w:val="left"/>
        <w:rPr>
          <w:sz w:val="24"/>
        </w:rPr>
      </w:pPr>
      <w:r>
        <w:rPr/>
        <w:br w:type="column"/>
      </w:r>
      <w:r>
        <w:rPr>
          <w:sz w:val="24"/>
        </w:rPr>
        <w:t>between</w:t>
      </w:r>
      <w:r>
        <w:rPr>
          <w:spacing w:val="40"/>
          <w:sz w:val="24"/>
        </w:rPr>
        <w:t> </w:t>
      </w:r>
      <w:r>
        <w:rPr>
          <w:rFonts w:ascii="Verdana" w:hAnsi="Verdana"/>
          <w:i/>
          <w:sz w:val="24"/>
        </w:rPr>
        <w:t>Angesom </w:t>
      </w:r>
      <w:r>
        <w:rPr>
          <w:rFonts w:ascii="Lucida Sans Unicode" w:hAnsi="Lucida Sans Unicode"/>
          <w:sz w:val="24"/>
        </w:rPr>
        <w:t>and what </w:t>
      </w:r>
      <w:r>
        <w:rPr>
          <w:rFonts w:ascii="Lucida Sans Unicode" w:hAnsi="Lucida Sans Unicode"/>
          <w:sz w:val="24"/>
        </w:rPr>
        <w:t>Scoffield</w:t>
      </w:r>
      <w:r>
        <w:rPr>
          <w:rFonts w:ascii="Lucida Sans Unicode" w:hAnsi="Lucida Sans Unicode"/>
          <w:spacing w:val="40"/>
          <w:sz w:val="24"/>
        </w:rPr>
        <w:t> </w:t>
      </w:r>
      <w:r>
        <w:rPr>
          <w:sz w:val="24"/>
        </w:rPr>
        <w:t>J held in </w:t>
      </w:r>
      <w:r>
        <w:rPr>
          <w:rFonts w:ascii="Verdana" w:hAnsi="Verdana"/>
          <w:i/>
          <w:sz w:val="24"/>
        </w:rPr>
        <w:t>Ní Chuinneagain</w:t>
      </w:r>
      <w:r>
        <w:rPr>
          <w:sz w:val="24"/>
        </w:rPr>
        <w:t>. This is also </w:t>
      </w:r>
      <w:r>
        <w:rPr>
          <w:w w:val="110"/>
          <w:sz w:val="24"/>
        </w:rPr>
        <w:t>supported by the fact that Colton J</w:t>
      </w:r>
    </w:p>
    <w:p>
      <w:pPr>
        <w:pStyle w:val="BodyText"/>
        <w:spacing w:line="310" w:lineRule="exact"/>
        <w:ind w:right="117"/>
      </w:pPr>
      <w:r>
        <w:rPr/>
        <w:t>in</w:t>
      </w:r>
      <w:r>
        <w:rPr>
          <w:spacing w:val="40"/>
        </w:rPr>
        <w:t> </w:t>
      </w:r>
      <w:r>
        <w:rPr>
          <w:rFonts w:ascii="Verdana" w:hAnsi="Verdana"/>
          <w:i/>
        </w:rPr>
        <w:t>Angesom </w:t>
      </w:r>
      <w:r>
        <w:rPr/>
        <w:t>dismissed</w:t>
      </w:r>
      <w:r>
        <w:rPr>
          <w:spacing w:val="40"/>
        </w:rPr>
        <w:t> </w:t>
      </w:r>
      <w:r>
        <w:rPr>
          <w:rFonts w:ascii="Verdana" w:hAnsi="Verdana"/>
          <w:i/>
        </w:rPr>
        <w:t>in limine </w:t>
      </w:r>
      <w:r>
        <w:rPr/>
        <w:t>those </w:t>
      </w:r>
      <w:r>
        <w:rPr>
          <w:w w:val="110"/>
        </w:rPr>
        <w:t>of the applicant’s arguments under </w:t>
      </w:r>
      <w:r>
        <w:rPr>
          <w:rFonts w:ascii="Lucida Sans Unicode" w:hAnsi="Lucida Sans Unicode"/>
        </w:rPr>
        <w:t>Article 2 WF which were unsupported </w:t>
      </w:r>
      <w:r>
        <w:rPr>
          <w:w w:val="110"/>
        </w:rPr>
        <w:t>by explicit provisions of the EU law.</w:t>
      </w:r>
      <w:r>
        <w:rPr>
          <w:rFonts w:ascii="Lucida Sans Unicode" w:hAnsi="Lucida Sans Unicode"/>
          <w:w w:val="110"/>
          <w:vertAlign w:val="superscript"/>
        </w:rPr>
        <w:t>326</w:t>
      </w:r>
      <w:r>
        <w:rPr>
          <w:rFonts w:ascii="Lucida Sans Unicode" w:hAnsi="Lucida Sans Unicode"/>
          <w:w w:val="110"/>
          <w:vertAlign w:val="baseline"/>
        </w:rPr>
        <w:t> </w:t>
      </w:r>
      <w:r>
        <w:rPr>
          <w:rFonts w:ascii="Lucida Sans Unicode" w:hAnsi="Lucida Sans Unicode"/>
          <w:vertAlign w:val="baseline"/>
        </w:rPr>
        <w:t>Consequently, a right within the RSEO </w:t>
      </w:r>
      <w:r>
        <w:rPr>
          <w:w w:val="110"/>
          <w:vertAlign w:val="baseline"/>
        </w:rPr>
        <w:t>section does not have ‘independent legal effect’ and must still be</w:t>
      </w:r>
      <w:r>
        <w:rPr>
          <w:spacing w:val="80"/>
          <w:w w:val="110"/>
          <w:vertAlign w:val="baseline"/>
        </w:rPr>
        <w:t> </w:t>
      </w:r>
      <w:r>
        <w:rPr>
          <w:w w:val="110"/>
          <w:vertAlign w:val="baseline"/>
        </w:rPr>
        <w:t>supported</w:t>
      </w:r>
      <w:r>
        <w:rPr>
          <w:spacing w:val="35"/>
          <w:w w:val="110"/>
          <w:vertAlign w:val="baseline"/>
        </w:rPr>
        <w:t> </w:t>
      </w:r>
      <w:r>
        <w:rPr>
          <w:w w:val="110"/>
          <w:vertAlign w:val="baseline"/>
        </w:rPr>
        <w:t>by</w:t>
      </w:r>
      <w:r>
        <w:rPr>
          <w:spacing w:val="35"/>
          <w:w w:val="110"/>
          <w:vertAlign w:val="baseline"/>
        </w:rPr>
        <w:t> </w:t>
      </w:r>
      <w:r>
        <w:rPr>
          <w:w w:val="110"/>
          <w:vertAlign w:val="baseline"/>
        </w:rPr>
        <w:t>a</w:t>
      </w:r>
      <w:r>
        <w:rPr>
          <w:spacing w:val="35"/>
          <w:w w:val="110"/>
          <w:vertAlign w:val="baseline"/>
        </w:rPr>
        <w:t> </w:t>
      </w:r>
      <w:r>
        <w:rPr>
          <w:w w:val="110"/>
          <w:vertAlign w:val="baseline"/>
        </w:rPr>
        <w:t>relevant</w:t>
      </w:r>
      <w:r>
        <w:rPr>
          <w:spacing w:val="35"/>
          <w:w w:val="110"/>
          <w:vertAlign w:val="baseline"/>
        </w:rPr>
        <w:t> </w:t>
      </w:r>
      <w:r>
        <w:rPr>
          <w:w w:val="110"/>
          <w:vertAlign w:val="baseline"/>
        </w:rPr>
        <w:t>EU</w:t>
      </w:r>
      <w:r>
        <w:rPr>
          <w:spacing w:val="35"/>
          <w:w w:val="110"/>
          <w:vertAlign w:val="baseline"/>
        </w:rPr>
        <w:t> </w:t>
      </w:r>
      <w:r>
        <w:rPr>
          <w:w w:val="110"/>
          <w:vertAlign w:val="baseline"/>
        </w:rPr>
        <w:t>law,</w:t>
      </w:r>
      <w:r>
        <w:rPr>
          <w:spacing w:val="35"/>
          <w:w w:val="110"/>
          <w:vertAlign w:val="baseline"/>
        </w:rPr>
        <w:t> </w:t>
      </w:r>
      <w:r>
        <w:rPr>
          <w:w w:val="110"/>
          <w:vertAlign w:val="baseline"/>
        </w:rPr>
        <w:t>fully </w:t>
      </w:r>
      <w:r>
        <w:rPr>
          <w:vertAlign w:val="baseline"/>
        </w:rPr>
        <w:t>in</w:t>
      </w:r>
      <w:r>
        <w:rPr>
          <w:spacing w:val="40"/>
          <w:vertAlign w:val="baseline"/>
        </w:rPr>
        <w:t> </w:t>
      </w:r>
      <w:r>
        <w:rPr>
          <w:vertAlign w:val="baseline"/>
        </w:rPr>
        <w:t>line</w:t>
      </w:r>
      <w:r>
        <w:rPr>
          <w:spacing w:val="40"/>
          <w:vertAlign w:val="baseline"/>
        </w:rPr>
        <w:t> </w:t>
      </w:r>
      <w:r>
        <w:rPr>
          <w:vertAlign w:val="baseline"/>
        </w:rPr>
        <w:t>with</w:t>
      </w:r>
      <w:r>
        <w:rPr>
          <w:spacing w:val="40"/>
          <w:vertAlign w:val="baseline"/>
        </w:rPr>
        <w:t> </w:t>
      </w:r>
      <w:r>
        <w:rPr>
          <w:rFonts w:ascii="Verdana" w:hAnsi="Verdana"/>
          <w:i/>
          <w:vertAlign w:val="baseline"/>
        </w:rPr>
        <w:t>Ní Chuinneagain</w:t>
      </w:r>
      <w:r>
        <w:rPr>
          <w:vertAlign w:val="baseline"/>
        </w:rPr>
        <w:t>.</w:t>
      </w:r>
      <w:r>
        <w:rPr>
          <w:rFonts w:ascii="Lucida Sans Unicode" w:hAnsi="Lucida Sans Unicode"/>
          <w:vertAlign w:val="superscript"/>
        </w:rPr>
        <w:t>327</w:t>
      </w:r>
      <w:r>
        <w:rPr>
          <w:rFonts w:ascii="Lucida Sans Unicode" w:hAnsi="Lucida Sans Unicode"/>
          <w:vertAlign w:val="baseline"/>
        </w:rPr>
        <w:t> </w:t>
      </w:r>
      <w:r>
        <w:rPr>
          <w:vertAlign w:val="baseline"/>
        </w:rPr>
        <w:t>Again, </w:t>
      </w:r>
      <w:r>
        <w:rPr>
          <w:w w:val="110"/>
          <w:vertAlign w:val="baseline"/>
        </w:rPr>
        <w:t>in </w:t>
      </w:r>
      <w:r>
        <w:rPr>
          <w:rFonts w:ascii="Verdana" w:hAnsi="Verdana"/>
          <w:i/>
          <w:w w:val="110"/>
          <w:vertAlign w:val="baseline"/>
        </w:rPr>
        <w:t>Dillon</w:t>
      </w:r>
      <w:r>
        <w:rPr>
          <w:w w:val="110"/>
          <w:vertAlign w:val="baseline"/>
        </w:rPr>
        <w:t>, Colton J anchored any diminution claim on the EU law which underpinned a relevant right in the </w:t>
      </w:r>
      <w:r>
        <w:rPr>
          <w:rFonts w:ascii="Lucida Sans Unicode" w:hAnsi="Lucida Sans Unicode"/>
          <w:spacing w:val="-2"/>
          <w:w w:val="110"/>
          <w:vertAlign w:val="baseline"/>
        </w:rPr>
        <w:t>RSEO</w:t>
      </w:r>
      <w:r>
        <w:rPr>
          <w:rFonts w:ascii="Lucida Sans Unicode" w:hAnsi="Lucida Sans Unicode"/>
          <w:spacing w:val="-17"/>
          <w:w w:val="110"/>
          <w:vertAlign w:val="baseline"/>
        </w:rPr>
        <w:t> </w:t>
      </w:r>
      <w:r>
        <w:rPr>
          <w:rFonts w:ascii="Lucida Sans Unicode" w:hAnsi="Lucida Sans Unicode"/>
          <w:spacing w:val="-2"/>
          <w:w w:val="110"/>
          <w:vertAlign w:val="baseline"/>
        </w:rPr>
        <w:t>section,</w:t>
      </w:r>
      <w:r>
        <w:rPr>
          <w:rFonts w:ascii="Lucida Sans Unicode" w:hAnsi="Lucida Sans Unicode"/>
          <w:spacing w:val="-17"/>
          <w:w w:val="110"/>
          <w:vertAlign w:val="baseline"/>
        </w:rPr>
        <w:t> </w:t>
      </w:r>
      <w:r>
        <w:rPr>
          <w:rFonts w:ascii="Lucida Sans Unicode" w:hAnsi="Lucida Sans Unicode"/>
          <w:spacing w:val="-2"/>
          <w:w w:val="110"/>
          <w:vertAlign w:val="baseline"/>
        </w:rPr>
        <w:t>instead</w:t>
      </w:r>
      <w:r>
        <w:rPr>
          <w:rFonts w:ascii="Lucida Sans Unicode" w:hAnsi="Lucida Sans Unicode"/>
          <w:spacing w:val="-17"/>
          <w:w w:val="110"/>
          <w:vertAlign w:val="baseline"/>
        </w:rPr>
        <w:t> </w:t>
      </w:r>
      <w:r>
        <w:rPr>
          <w:rFonts w:ascii="Lucida Sans Unicode" w:hAnsi="Lucida Sans Unicode"/>
          <w:spacing w:val="-2"/>
          <w:w w:val="110"/>
          <w:vertAlign w:val="baseline"/>
        </w:rPr>
        <w:t>of</w:t>
      </w:r>
      <w:r>
        <w:rPr>
          <w:rFonts w:ascii="Lucida Sans Unicode" w:hAnsi="Lucida Sans Unicode"/>
          <w:spacing w:val="-17"/>
          <w:w w:val="110"/>
          <w:vertAlign w:val="baseline"/>
        </w:rPr>
        <w:t> </w:t>
      </w:r>
      <w:r>
        <w:rPr>
          <w:rFonts w:ascii="Lucida Sans Unicode" w:hAnsi="Lucida Sans Unicode"/>
          <w:spacing w:val="-2"/>
          <w:w w:val="110"/>
          <w:vertAlign w:val="baseline"/>
        </w:rPr>
        <w:t>considering </w:t>
      </w:r>
      <w:r>
        <w:rPr>
          <w:w w:val="110"/>
          <w:vertAlign w:val="baseline"/>
        </w:rPr>
        <w:t>diminution solely with reference to </w:t>
      </w:r>
      <w:r>
        <w:rPr>
          <w:w w:val="110"/>
          <w:vertAlign w:val="baseline"/>
        </w:rPr>
        <w:t>the latter.</w:t>
      </w:r>
      <w:r>
        <w:rPr>
          <w:rFonts w:ascii="Lucida Sans Unicode" w:hAnsi="Lucida Sans Unicode"/>
          <w:w w:val="110"/>
          <w:vertAlign w:val="superscript"/>
        </w:rPr>
        <w:t>328</w:t>
      </w:r>
      <w:r>
        <w:rPr>
          <w:rFonts w:ascii="Lucida Sans Unicode" w:hAnsi="Lucida Sans Unicode"/>
          <w:w w:val="110"/>
          <w:vertAlign w:val="baseline"/>
        </w:rPr>
        <w:t> </w:t>
      </w:r>
      <w:r>
        <w:rPr>
          <w:w w:val="110"/>
          <w:vertAlign w:val="baseline"/>
        </w:rPr>
        <w:t>Consequently, it is important to</w:t>
      </w:r>
      <w:r>
        <w:rPr>
          <w:spacing w:val="40"/>
          <w:w w:val="110"/>
          <w:vertAlign w:val="baseline"/>
        </w:rPr>
        <w:t> </w:t>
      </w:r>
      <w:r>
        <w:rPr>
          <w:w w:val="110"/>
          <w:vertAlign w:val="baseline"/>
        </w:rPr>
        <w:t>remember</w:t>
      </w:r>
      <w:r>
        <w:rPr>
          <w:spacing w:val="40"/>
          <w:w w:val="110"/>
          <w:vertAlign w:val="baseline"/>
        </w:rPr>
        <w:t> </w:t>
      </w:r>
      <w:r>
        <w:rPr>
          <w:w w:val="110"/>
          <w:vertAlign w:val="baseline"/>
        </w:rPr>
        <w:t>at</w:t>
      </w:r>
      <w:r>
        <w:rPr>
          <w:spacing w:val="40"/>
          <w:w w:val="110"/>
          <w:vertAlign w:val="baseline"/>
        </w:rPr>
        <w:t> </w:t>
      </w:r>
      <w:r>
        <w:rPr>
          <w:w w:val="110"/>
          <w:vertAlign w:val="baseline"/>
        </w:rPr>
        <w:t>all</w:t>
      </w:r>
      <w:r>
        <w:rPr>
          <w:spacing w:val="40"/>
          <w:w w:val="110"/>
          <w:vertAlign w:val="baseline"/>
        </w:rPr>
        <w:t> </w:t>
      </w:r>
      <w:r>
        <w:rPr>
          <w:w w:val="110"/>
          <w:vertAlign w:val="baseline"/>
        </w:rPr>
        <w:t>times</w:t>
      </w:r>
      <w:r>
        <w:rPr>
          <w:spacing w:val="40"/>
          <w:w w:val="110"/>
          <w:vertAlign w:val="baseline"/>
        </w:rPr>
        <w:t> </w:t>
      </w:r>
      <w:r>
        <w:rPr>
          <w:w w:val="110"/>
          <w:vertAlign w:val="baseline"/>
        </w:rPr>
        <w:t>that</w:t>
      </w:r>
      <w:r>
        <w:rPr>
          <w:spacing w:val="40"/>
          <w:w w:val="110"/>
          <w:vertAlign w:val="baseline"/>
        </w:rPr>
        <w:t> </w:t>
      </w:r>
      <w:r>
        <w:rPr>
          <w:w w:val="110"/>
          <w:vertAlign w:val="baseline"/>
        </w:rPr>
        <w:t>the </w:t>
      </w:r>
      <w:r>
        <w:rPr>
          <w:rFonts w:ascii="Lucida Sans Unicode" w:hAnsi="Lucida Sans Unicode"/>
          <w:w w:val="110"/>
          <w:vertAlign w:val="baseline"/>
        </w:rPr>
        <w:t>RSEO section </w:t>
      </w:r>
      <w:r>
        <w:rPr>
          <w:rFonts w:ascii="Verdana" w:hAnsi="Verdana"/>
          <w:i/>
          <w:w w:val="110"/>
          <w:vertAlign w:val="baseline"/>
        </w:rPr>
        <w:t>does</w:t>
      </w:r>
      <w:r>
        <w:rPr>
          <w:rFonts w:ascii="Verdana" w:hAnsi="Verdana"/>
          <w:i/>
          <w:spacing w:val="-7"/>
          <w:w w:val="110"/>
          <w:vertAlign w:val="baseline"/>
        </w:rPr>
        <w:t> </w:t>
      </w:r>
      <w:r>
        <w:rPr>
          <w:rFonts w:ascii="Verdana" w:hAnsi="Verdana"/>
          <w:i/>
          <w:w w:val="110"/>
          <w:vertAlign w:val="baseline"/>
        </w:rPr>
        <w:t>not</w:t>
      </w:r>
      <w:r>
        <w:rPr>
          <w:rFonts w:ascii="Verdana" w:hAnsi="Verdana"/>
          <w:i/>
          <w:spacing w:val="-7"/>
          <w:w w:val="110"/>
          <w:vertAlign w:val="baseline"/>
        </w:rPr>
        <w:t> </w:t>
      </w:r>
      <w:r>
        <w:rPr>
          <w:w w:val="110"/>
          <w:vertAlign w:val="baseline"/>
        </w:rPr>
        <w:t>give rise to freestanding rights in the domestic legal order enforceable on their own terms in the absence of a link to underpinning EU law. Nevertheless,</w:t>
      </w:r>
    </w:p>
    <w:p>
      <w:pPr>
        <w:pStyle w:val="BodyText"/>
        <w:spacing w:line="220" w:lineRule="auto" w:before="41"/>
        <w:ind w:right="412"/>
      </w:pPr>
      <w:r>
        <w:rPr>
          <w:w w:val="105"/>
        </w:rPr>
        <w:t>as will become clear further below,</w:t>
      </w:r>
      <w:r>
        <w:rPr>
          <w:spacing w:val="40"/>
          <w:w w:val="105"/>
        </w:rPr>
        <w:t> </w:t>
      </w:r>
      <w:r>
        <w:rPr>
          <w:rFonts w:ascii="Lucida Sans Unicode"/>
          <w:w w:val="105"/>
        </w:rPr>
        <w:t>the RSEO section is not merely a backdrop</w:t>
      </w:r>
      <w:r>
        <w:rPr>
          <w:rFonts w:ascii="Lucida Sans Unicode"/>
          <w:spacing w:val="-20"/>
          <w:w w:val="105"/>
        </w:rPr>
        <w:t> </w:t>
      </w:r>
      <w:r>
        <w:rPr>
          <w:rFonts w:ascii="Lucida Sans Unicode"/>
          <w:w w:val="105"/>
        </w:rPr>
        <w:t>to</w:t>
      </w:r>
      <w:r>
        <w:rPr>
          <w:rFonts w:ascii="Lucida Sans Unicode"/>
          <w:spacing w:val="-20"/>
          <w:w w:val="105"/>
        </w:rPr>
        <w:t> </w:t>
      </w:r>
      <w:r>
        <w:rPr>
          <w:rFonts w:ascii="Lucida Sans Unicode"/>
          <w:w w:val="105"/>
        </w:rPr>
        <w:t>the</w:t>
      </w:r>
      <w:r>
        <w:rPr>
          <w:rFonts w:ascii="Lucida Sans Unicode"/>
          <w:spacing w:val="-20"/>
          <w:w w:val="105"/>
        </w:rPr>
        <w:t> </w:t>
      </w:r>
      <w:r>
        <w:rPr>
          <w:rFonts w:ascii="Lucida Sans Unicode"/>
          <w:w w:val="105"/>
        </w:rPr>
        <w:t>content</w:t>
      </w:r>
      <w:r>
        <w:rPr>
          <w:rFonts w:ascii="Lucida Sans Unicode"/>
          <w:spacing w:val="-20"/>
          <w:w w:val="105"/>
        </w:rPr>
        <w:t> </w:t>
      </w:r>
      <w:r>
        <w:rPr>
          <w:rFonts w:ascii="Lucida Sans Unicode"/>
          <w:w w:val="105"/>
        </w:rPr>
        <w:t>of</w:t>
      </w:r>
      <w:r>
        <w:rPr>
          <w:rFonts w:ascii="Lucida Sans Unicode"/>
          <w:spacing w:val="-20"/>
          <w:w w:val="105"/>
        </w:rPr>
        <w:t> </w:t>
      </w:r>
      <w:r>
        <w:rPr>
          <w:rFonts w:ascii="Lucida Sans Unicode"/>
          <w:w w:val="105"/>
        </w:rPr>
        <w:t>Article</w:t>
      </w:r>
      <w:r>
        <w:rPr>
          <w:rFonts w:ascii="Lucida Sans Unicode"/>
          <w:spacing w:val="-20"/>
          <w:w w:val="105"/>
        </w:rPr>
        <w:t> </w:t>
      </w:r>
      <w:r>
        <w:rPr>
          <w:rFonts w:ascii="Lucida Sans Unicode"/>
          <w:w w:val="105"/>
        </w:rPr>
        <w:t>2 </w:t>
      </w:r>
      <w:r>
        <w:rPr>
          <w:w w:val="105"/>
        </w:rPr>
        <w:t>of</w:t>
      </w:r>
      <w:r>
        <w:rPr>
          <w:spacing w:val="40"/>
          <w:w w:val="105"/>
        </w:rPr>
        <w:t> </w:t>
      </w:r>
      <w:r>
        <w:rPr>
          <w:w w:val="105"/>
        </w:rPr>
        <w:t>the</w:t>
      </w:r>
      <w:r>
        <w:rPr>
          <w:spacing w:val="40"/>
          <w:w w:val="105"/>
        </w:rPr>
        <w:t> </w:t>
      </w:r>
      <w:r>
        <w:rPr>
          <w:w w:val="105"/>
        </w:rPr>
        <w:t>Windsor</w:t>
      </w:r>
      <w:r>
        <w:rPr>
          <w:spacing w:val="40"/>
          <w:w w:val="105"/>
        </w:rPr>
        <w:t> </w:t>
      </w:r>
      <w:r>
        <w:rPr>
          <w:w w:val="105"/>
        </w:rPr>
        <w:t>Framework.</w:t>
      </w:r>
    </w:p>
    <w:p>
      <w:pPr>
        <w:pStyle w:val="BodyText"/>
        <w:spacing w:before="37"/>
        <w:ind w:left="0"/>
      </w:pPr>
    </w:p>
    <w:p>
      <w:pPr>
        <w:pStyle w:val="BodyText"/>
        <w:spacing w:line="310" w:lineRule="exact"/>
        <w:ind w:right="196"/>
      </w:pPr>
      <w:r>
        <w:rPr>
          <w:w w:val="110"/>
        </w:rPr>
        <w:t>In contrast to other provisions, then, the</w:t>
      </w:r>
      <w:r>
        <w:rPr>
          <w:spacing w:val="40"/>
          <w:w w:val="110"/>
        </w:rPr>
        <w:t> </w:t>
      </w:r>
      <w:r>
        <w:rPr>
          <w:w w:val="110"/>
        </w:rPr>
        <w:t>wider</w:t>
      </w:r>
      <w:r>
        <w:rPr>
          <w:spacing w:val="40"/>
          <w:w w:val="110"/>
        </w:rPr>
        <w:t> </w:t>
      </w:r>
      <w:r>
        <w:rPr>
          <w:w w:val="110"/>
        </w:rPr>
        <w:t>non-diminution</w:t>
      </w:r>
      <w:r>
        <w:rPr>
          <w:spacing w:val="40"/>
          <w:w w:val="110"/>
        </w:rPr>
        <w:t> </w:t>
      </w:r>
      <w:r>
        <w:rPr>
          <w:w w:val="110"/>
        </w:rPr>
        <w:t>guarantee</w:t>
      </w:r>
      <w:r>
        <w:rPr>
          <w:spacing w:val="40"/>
          <w:w w:val="110"/>
        </w:rPr>
        <w:t> </w:t>
      </w:r>
      <w:r>
        <w:rPr>
          <w:rFonts w:ascii="Lucida Sans Unicode"/>
          <w:spacing w:val="-2"/>
          <w:w w:val="110"/>
        </w:rPr>
        <w:t>in</w:t>
      </w:r>
      <w:r>
        <w:rPr>
          <w:rFonts w:ascii="Lucida Sans Unicode"/>
          <w:spacing w:val="-19"/>
          <w:w w:val="110"/>
        </w:rPr>
        <w:t> </w:t>
      </w:r>
      <w:r>
        <w:rPr>
          <w:rFonts w:ascii="Lucida Sans Unicode"/>
          <w:spacing w:val="-2"/>
          <w:w w:val="110"/>
        </w:rPr>
        <w:t>Article</w:t>
      </w:r>
      <w:r>
        <w:rPr>
          <w:rFonts w:ascii="Lucida Sans Unicode"/>
          <w:spacing w:val="-19"/>
          <w:w w:val="110"/>
        </w:rPr>
        <w:t> </w:t>
      </w:r>
      <w:r>
        <w:rPr>
          <w:rFonts w:ascii="Lucida Sans Unicode"/>
          <w:spacing w:val="-2"/>
          <w:w w:val="110"/>
        </w:rPr>
        <w:t>2</w:t>
      </w:r>
      <w:r>
        <w:rPr>
          <w:rFonts w:ascii="Lucida Sans Unicode"/>
          <w:spacing w:val="-19"/>
          <w:w w:val="110"/>
        </w:rPr>
        <w:t> </w:t>
      </w:r>
      <w:r>
        <w:rPr>
          <w:rFonts w:ascii="Lucida Sans Unicode"/>
          <w:spacing w:val="-2"/>
          <w:w w:val="110"/>
        </w:rPr>
        <w:t>(beyond</w:t>
      </w:r>
      <w:r>
        <w:rPr>
          <w:rFonts w:ascii="Lucida Sans Unicode"/>
          <w:spacing w:val="-19"/>
          <w:w w:val="110"/>
        </w:rPr>
        <w:t> </w:t>
      </w:r>
      <w:r>
        <w:rPr>
          <w:rFonts w:ascii="Lucida Sans Unicode"/>
          <w:spacing w:val="-2"/>
          <w:w w:val="110"/>
        </w:rPr>
        <w:t>the</w:t>
      </w:r>
      <w:r>
        <w:rPr>
          <w:rFonts w:ascii="Lucida Sans Unicode"/>
          <w:spacing w:val="-19"/>
          <w:w w:val="110"/>
        </w:rPr>
        <w:t> </w:t>
      </w:r>
      <w:r>
        <w:rPr>
          <w:rFonts w:ascii="Lucida Sans Unicode"/>
          <w:spacing w:val="-2"/>
          <w:w w:val="110"/>
        </w:rPr>
        <w:t>Annex</w:t>
      </w:r>
      <w:r>
        <w:rPr>
          <w:rFonts w:ascii="Lucida Sans Unicode"/>
          <w:spacing w:val="-19"/>
          <w:w w:val="110"/>
        </w:rPr>
        <w:t> </w:t>
      </w:r>
      <w:r>
        <w:rPr>
          <w:rFonts w:ascii="Lucida Sans Unicode"/>
          <w:spacing w:val="-2"/>
          <w:w w:val="95"/>
        </w:rPr>
        <w:t>1 </w:t>
      </w:r>
      <w:r>
        <w:rPr>
          <w:w w:val="110"/>
        </w:rPr>
        <w:t>directives) is intended to be a static baseline, in that it does not track the </w:t>
      </w:r>
      <w:r>
        <w:rPr>
          <w:rFonts w:ascii="Lucida Sans Unicode"/>
        </w:rPr>
        <w:t>evolution of EU law after 31 </w:t>
      </w:r>
      <w:r>
        <w:rPr>
          <w:rFonts w:ascii="Lucida Sans Unicode"/>
        </w:rPr>
        <w:t>December </w:t>
      </w:r>
      <w:r>
        <w:rPr>
          <w:rFonts w:ascii="Lucida Sans Unicode"/>
          <w:w w:val="110"/>
        </w:rPr>
        <w:t>2020.</w:t>
      </w:r>
      <w:r>
        <w:rPr>
          <w:rFonts w:ascii="Lucida Sans Unicode"/>
          <w:w w:val="110"/>
          <w:vertAlign w:val="superscript"/>
        </w:rPr>
        <w:t>329</w:t>
      </w:r>
      <w:r>
        <w:rPr>
          <w:rFonts w:ascii="Lucida Sans Unicode"/>
          <w:w w:val="110"/>
          <w:vertAlign w:val="baseline"/>
        </w:rPr>
        <w:t> </w:t>
      </w:r>
      <w:r>
        <w:rPr>
          <w:w w:val="110"/>
          <w:vertAlign w:val="baseline"/>
        </w:rPr>
        <w:t>Nevertheless, the concept</w:t>
      </w:r>
    </w:p>
    <w:p>
      <w:pPr>
        <w:spacing w:after="0" w:line="310" w:lineRule="exact"/>
        <w:sectPr>
          <w:type w:val="continuous"/>
          <w:pgSz w:w="11910" w:h="16840"/>
          <w:pgMar w:header="568" w:footer="580" w:top="0" w:bottom="280" w:left="1020" w:right="1020"/>
          <w:cols w:num="2" w:equalWidth="0">
            <w:col w:w="4747" w:space="299"/>
            <w:col w:w="4824"/>
          </w:cols>
        </w:sectPr>
      </w:pPr>
    </w:p>
    <w:p>
      <w:pPr>
        <w:pStyle w:val="BodyText"/>
        <w:spacing w:before="229"/>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196" name="Group 196"/>
                <wp:cNvGraphicFramePr>
                  <a:graphicFrameLocks/>
                </wp:cNvGraphicFramePr>
                <a:graphic>
                  <a:graphicData uri="http://schemas.microsoft.com/office/word/2010/wordprocessingGroup">
                    <wpg:wgp>
                      <wpg:cNvPr id="196" name="Group 196"/>
                      <wpg:cNvGrpSpPr/>
                      <wpg:grpSpPr>
                        <a:xfrm>
                          <a:off x="0" y="0"/>
                          <a:ext cx="6120130" cy="6350"/>
                          <a:chExt cx="6120130" cy="6350"/>
                        </a:xfrm>
                      </wpg:grpSpPr>
                      <wps:wsp>
                        <wps:cNvPr id="197" name="Graphic 197"/>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117"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14"/>
        </w:numPr>
        <w:tabs>
          <w:tab w:pos="567" w:val="left" w:leader="none"/>
        </w:tabs>
        <w:spacing w:line="223" w:lineRule="exact" w:before="61" w:after="0"/>
        <w:ind w:left="567" w:right="0" w:hanging="454"/>
        <w:jc w:val="left"/>
        <w:rPr>
          <w:sz w:val="16"/>
        </w:rPr>
      </w:pPr>
      <w:r>
        <w:rPr>
          <w:w w:val="105"/>
          <w:sz w:val="16"/>
        </w:rPr>
        <w:t>Windsor</w:t>
      </w:r>
      <w:r>
        <w:rPr>
          <w:spacing w:val="-7"/>
          <w:w w:val="105"/>
          <w:sz w:val="16"/>
        </w:rPr>
        <w:t> </w:t>
      </w:r>
      <w:r>
        <w:rPr>
          <w:w w:val="105"/>
          <w:sz w:val="16"/>
        </w:rPr>
        <w:t>Framework</w:t>
      </w:r>
      <w:r>
        <w:rPr>
          <w:spacing w:val="-6"/>
          <w:w w:val="105"/>
          <w:sz w:val="16"/>
        </w:rPr>
        <w:t> </w:t>
      </w:r>
      <w:r>
        <w:rPr>
          <w:w w:val="105"/>
          <w:sz w:val="16"/>
        </w:rPr>
        <w:t>Art</w:t>
      </w:r>
      <w:r>
        <w:rPr>
          <w:spacing w:val="-6"/>
          <w:w w:val="105"/>
          <w:sz w:val="16"/>
        </w:rPr>
        <w:t> </w:t>
      </w:r>
      <w:r>
        <w:rPr>
          <w:spacing w:val="-2"/>
          <w:w w:val="105"/>
          <w:sz w:val="16"/>
        </w:rPr>
        <w:t>13(2).</w:t>
      </w:r>
    </w:p>
    <w:p>
      <w:pPr>
        <w:pStyle w:val="ListParagraph"/>
        <w:numPr>
          <w:ilvl w:val="0"/>
          <w:numId w:val="14"/>
        </w:numPr>
        <w:tabs>
          <w:tab w:pos="565" w:val="left" w:leader="none"/>
          <w:tab w:pos="567" w:val="left" w:leader="none"/>
        </w:tabs>
        <w:spacing w:line="194" w:lineRule="auto" w:before="10" w:after="0"/>
        <w:ind w:left="567" w:right="265" w:hanging="454"/>
        <w:jc w:val="left"/>
        <w:rPr>
          <w:sz w:val="16"/>
        </w:rPr>
      </w:pPr>
      <w:r>
        <w:rPr>
          <w:rFonts w:ascii="Verdana"/>
          <w:i/>
          <w:sz w:val="16"/>
        </w:rPr>
        <w:t>Agreement</w:t>
      </w:r>
      <w:r>
        <w:rPr>
          <w:rFonts w:ascii="Verdana"/>
          <w:i/>
          <w:spacing w:val="-1"/>
          <w:sz w:val="16"/>
        </w:rPr>
        <w:t> </w:t>
      </w:r>
      <w:r>
        <w:rPr>
          <w:rFonts w:ascii="Verdana"/>
          <w:i/>
          <w:sz w:val="16"/>
        </w:rPr>
        <w:t>between</w:t>
      </w:r>
      <w:r>
        <w:rPr>
          <w:rFonts w:ascii="Verdana"/>
          <w:i/>
          <w:spacing w:val="-1"/>
          <w:sz w:val="16"/>
        </w:rPr>
        <w:t> </w:t>
      </w:r>
      <w:r>
        <w:rPr>
          <w:rFonts w:ascii="Verdana"/>
          <w:i/>
          <w:sz w:val="16"/>
        </w:rPr>
        <w:t>the</w:t>
      </w:r>
      <w:r>
        <w:rPr>
          <w:rFonts w:ascii="Verdana"/>
          <w:i/>
          <w:spacing w:val="-1"/>
          <w:sz w:val="16"/>
        </w:rPr>
        <w:t> </w:t>
      </w:r>
      <w:r>
        <w:rPr>
          <w:rFonts w:ascii="Verdana"/>
          <w:i/>
          <w:sz w:val="16"/>
        </w:rPr>
        <w:t>Government</w:t>
      </w:r>
      <w:r>
        <w:rPr>
          <w:rFonts w:ascii="Verdana"/>
          <w:i/>
          <w:spacing w:val="-1"/>
          <w:sz w:val="16"/>
        </w:rPr>
        <w:t> </w:t>
      </w:r>
      <w:r>
        <w:rPr>
          <w:rFonts w:ascii="Verdana"/>
          <w:i/>
          <w:sz w:val="16"/>
        </w:rPr>
        <w:t>of</w:t>
      </w:r>
      <w:r>
        <w:rPr>
          <w:rFonts w:ascii="Verdana"/>
          <w:i/>
          <w:spacing w:val="-1"/>
          <w:sz w:val="16"/>
        </w:rPr>
        <w:t> </w:t>
      </w:r>
      <w:r>
        <w:rPr>
          <w:rFonts w:ascii="Verdana"/>
          <w:i/>
          <w:sz w:val="16"/>
        </w:rPr>
        <w:t>the</w:t>
      </w:r>
      <w:r>
        <w:rPr>
          <w:rFonts w:ascii="Verdana"/>
          <w:i/>
          <w:spacing w:val="-1"/>
          <w:sz w:val="16"/>
        </w:rPr>
        <w:t> </w:t>
      </w:r>
      <w:r>
        <w:rPr>
          <w:rFonts w:ascii="Verdana"/>
          <w:i/>
          <w:sz w:val="16"/>
        </w:rPr>
        <w:t>United</w:t>
      </w:r>
      <w:r>
        <w:rPr>
          <w:rFonts w:ascii="Verdana"/>
          <w:i/>
          <w:spacing w:val="-1"/>
          <w:sz w:val="16"/>
        </w:rPr>
        <w:t> </w:t>
      </w:r>
      <w:r>
        <w:rPr>
          <w:rFonts w:ascii="Verdana"/>
          <w:i/>
          <w:sz w:val="16"/>
        </w:rPr>
        <w:t>Kingdom</w:t>
      </w:r>
      <w:r>
        <w:rPr>
          <w:rFonts w:ascii="Verdana"/>
          <w:i/>
          <w:spacing w:val="-1"/>
          <w:sz w:val="16"/>
        </w:rPr>
        <w:t> </w:t>
      </w:r>
      <w:r>
        <w:rPr>
          <w:rFonts w:ascii="Verdana"/>
          <w:i/>
          <w:sz w:val="16"/>
        </w:rPr>
        <w:t>of</w:t>
      </w:r>
      <w:r>
        <w:rPr>
          <w:rFonts w:ascii="Verdana"/>
          <w:i/>
          <w:spacing w:val="-1"/>
          <w:sz w:val="16"/>
        </w:rPr>
        <w:t> </w:t>
      </w:r>
      <w:r>
        <w:rPr>
          <w:rFonts w:ascii="Verdana"/>
          <w:i/>
          <w:sz w:val="16"/>
        </w:rPr>
        <w:t>Great</w:t>
      </w:r>
      <w:r>
        <w:rPr>
          <w:rFonts w:ascii="Verdana"/>
          <w:i/>
          <w:spacing w:val="-1"/>
          <w:sz w:val="16"/>
        </w:rPr>
        <w:t> </w:t>
      </w:r>
      <w:r>
        <w:rPr>
          <w:rFonts w:ascii="Verdana"/>
          <w:i/>
          <w:sz w:val="16"/>
        </w:rPr>
        <w:t>Britain</w:t>
      </w:r>
      <w:r>
        <w:rPr>
          <w:rFonts w:ascii="Verdana"/>
          <w:i/>
          <w:spacing w:val="-1"/>
          <w:sz w:val="16"/>
        </w:rPr>
        <w:t> </w:t>
      </w:r>
      <w:r>
        <w:rPr>
          <w:rFonts w:ascii="Verdana"/>
          <w:i/>
          <w:sz w:val="16"/>
        </w:rPr>
        <w:t>and</w:t>
      </w:r>
      <w:r>
        <w:rPr>
          <w:rFonts w:ascii="Verdana"/>
          <w:i/>
          <w:spacing w:val="-1"/>
          <w:sz w:val="16"/>
        </w:rPr>
        <w:t> </w:t>
      </w:r>
      <w:r>
        <w:rPr>
          <w:rFonts w:ascii="Verdana"/>
          <w:i/>
          <w:sz w:val="16"/>
        </w:rPr>
        <w:t>Northern</w:t>
      </w:r>
      <w:r>
        <w:rPr>
          <w:rFonts w:ascii="Verdana"/>
          <w:i/>
          <w:spacing w:val="-1"/>
          <w:sz w:val="16"/>
        </w:rPr>
        <w:t> </w:t>
      </w:r>
      <w:r>
        <w:rPr>
          <w:rFonts w:ascii="Verdana"/>
          <w:i/>
          <w:sz w:val="16"/>
        </w:rPr>
        <w:t>Ireland</w:t>
      </w:r>
      <w:r>
        <w:rPr>
          <w:rFonts w:ascii="Verdana"/>
          <w:i/>
          <w:spacing w:val="-1"/>
          <w:sz w:val="16"/>
        </w:rPr>
        <w:t> </w:t>
      </w:r>
      <w:r>
        <w:rPr>
          <w:rFonts w:ascii="Verdana"/>
          <w:i/>
          <w:sz w:val="16"/>
        </w:rPr>
        <w:t>and</w:t>
      </w:r>
      <w:r>
        <w:rPr>
          <w:rFonts w:ascii="Verdana"/>
          <w:i/>
          <w:spacing w:val="-1"/>
          <w:sz w:val="16"/>
        </w:rPr>
        <w:t> </w:t>
      </w:r>
      <w:r>
        <w:rPr>
          <w:rFonts w:ascii="Verdana"/>
          <w:i/>
          <w:sz w:val="16"/>
        </w:rPr>
        <w:t>the</w:t>
      </w:r>
      <w:r>
        <w:rPr>
          <w:rFonts w:ascii="Verdana"/>
          <w:i/>
          <w:sz w:val="16"/>
        </w:rPr>
        <w:t> </w:t>
      </w:r>
      <w:r>
        <w:rPr>
          <w:rFonts w:ascii="Verdana"/>
          <w:i/>
          <w:spacing w:val="-2"/>
          <w:sz w:val="16"/>
        </w:rPr>
        <w:t>Government</w:t>
      </w:r>
      <w:r>
        <w:rPr>
          <w:rFonts w:ascii="Verdana"/>
          <w:i/>
          <w:spacing w:val="-7"/>
          <w:sz w:val="16"/>
        </w:rPr>
        <w:t> </w:t>
      </w:r>
      <w:r>
        <w:rPr>
          <w:rFonts w:ascii="Verdana"/>
          <w:i/>
          <w:spacing w:val="-2"/>
          <w:sz w:val="16"/>
        </w:rPr>
        <w:t>of</w:t>
      </w:r>
      <w:r>
        <w:rPr>
          <w:rFonts w:ascii="Verdana"/>
          <w:i/>
          <w:spacing w:val="-7"/>
          <w:sz w:val="16"/>
        </w:rPr>
        <w:t> </w:t>
      </w:r>
      <w:r>
        <w:rPr>
          <w:rFonts w:ascii="Verdana"/>
          <w:i/>
          <w:spacing w:val="-2"/>
          <w:sz w:val="16"/>
        </w:rPr>
        <w:t>Ireland</w:t>
      </w:r>
      <w:r>
        <w:rPr>
          <w:rFonts w:ascii="Verdana"/>
          <w:i/>
          <w:spacing w:val="-7"/>
          <w:sz w:val="16"/>
        </w:rPr>
        <w:t> </w:t>
      </w:r>
      <w:r>
        <w:rPr>
          <w:spacing w:val="-2"/>
          <w:sz w:val="16"/>
        </w:rPr>
        <w:t>(with annexes) 1998 (2114 UNTS 473), Annex 1: </w:t>
      </w:r>
      <w:r>
        <w:rPr>
          <w:rFonts w:ascii="Verdana"/>
          <w:i/>
          <w:spacing w:val="-2"/>
          <w:sz w:val="16"/>
        </w:rPr>
        <w:t>Agreement</w:t>
      </w:r>
      <w:r>
        <w:rPr>
          <w:rFonts w:ascii="Verdana"/>
          <w:i/>
          <w:spacing w:val="-7"/>
          <w:sz w:val="16"/>
        </w:rPr>
        <w:t> </w:t>
      </w:r>
      <w:r>
        <w:rPr>
          <w:rFonts w:ascii="Verdana"/>
          <w:i/>
          <w:spacing w:val="-2"/>
          <w:sz w:val="16"/>
        </w:rPr>
        <w:t>Reached</w:t>
      </w:r>
      <w:r>
        <w:rPr>
          <w:rFonts w:ascii="Verdana"/>
          <w:i/>
          <w:spacing w:val="-7"/>
          <w:sz w:val="16"/>
        </w:rPr>
        <w:t> </w:t>
      </w:r>
      <w:r>
        <w:rPr>
          <w:rFonts w:ascii="Verdana"/>
          <w:i/>
          <w:spacing w:val="-2"/>
          <w:sz w:val="16"/>
        </w:rPr>
        <w:t>in</w:t>
      </w:r>
      <w:r>
        <w:rPr>
          <w:rFonts w:ascii="Verdana"/>
          <w:i/>
          <w:spacing w:val="-7"/>
          <w:sz w:val="16"/>
        </w:rPr>
        <w:t> </w:t>
      </w:r>
      <w:r>
        <w:rPr>
          <w:rFonts w:ascii="Verdana"/>
          <w:i/>
          <w:spacing w:val="-2"/>
          <w:sz w:val="16"/>
        </w:rPr>
        <w:t>the</w:t>
      </w:r>
      <w:r>
        <w:rPr>
          <w:rFonts w:ascii="Verdana"/>
          <w:i/>
          <w:spacing w:val="-7"/>
          <w:sz w:val="16"/>
        </w:rPr>
        <w:t> </w:t>
      </w:r>
      <w:r>
        <w:rPr>
          <w:rFonts w:ascii="Verdana"/>
          <w:i/>
          <w:spacing w:val="-2"/>
          <w:sz w:val="16"/>
        </w:rPr>
        <w:t>Multi-Party</w:t>
      </w:r>
      <w:r>
        <w:rPr>
          <w:rFonts w:ascii="Verdana"/>
          <w:i/>
          <w:spacing w:val="-7"/>
          <w:sz w:val="16"/>
        </w:rPr>
        <w:t> </w:t>
      </w:r>
      <w:r>
        <w:rPr>
          <w:rFonts w:ascii="Verdana"/>
          <w:i/>
          <w:spacing w:val="-2"/>
          <w:sz w:val="16"/>
        </w:rPr>
        <w:t>Talks</w:t>
      </w:r>
      <w:r>
        <w:rPr>
          <w:rFonts w:ascii="Verdana"/>
          <w:i/>
          <w:spacing w:val="-2"/>
          <w:sz w:val="16"/>
        </w:rPr>
        <w:t> </w:t>
      </w:r>
      <w:r>
        <w:rPr>
          <w:sz w:val="16"/>
        </w:rPr>
        <w:t>(Belfast</w:t>
      </w:r>
      <w:r>
        <w:rPr>
          <w:spacing w:val="40"/>
          <w:sz w:val="16"/>
        </w:rPr>
        <w:t> </w:t>
      </w:r>
      <w:r>
        <w:rPr>
          <w:sz w:val="16"/>
        </w:rPr>
        <w:t>(Good</w:t>
      </w:r>
      <w:r>
        <w:rPr>
          <w:spacing w:val="40"/>
          <w:sz w:val="16"/>
        </w:rPr>
        <w:t> </w:t>
      </w:r>
      <w:r>
        <w:rPr>
          <w:sz w:val="16"/>
        </w:rPr>
        <w:t>Friday)</w:t>
      </w:r>
      <w:r>
        <w:rPr>
          <w:spacing w:val="40"/>
          <w:sz w:val="16"/>
        </w:rPr>
        <w:t> </w:t>
      </w:r>
      <w:r>
        <w:rPr>
          <w:sz w:val="16"/>
        </w:rPr>
        <w:t>Agreement),</w:t>
      </w:r>
      <w:r>
        <w:rPr>
          <w:spacing w:val="40"/>
          <w:sz w:val="16"/>
        </w:rPr>
        <w:t> </w:t>
      </w:r>
      <w:r>
        <w:rPr>
          <w:sz w:val="16"/>
        </w:rPr>
        <w:t>Rights,</w:t>
      </w:r>
      <w:r>
        <w:rPr>
          <w:spacing w:val="40"/>
          <w:sz w:val="16"/>
        </w:rPr>
        <w:t> </w:t>
      </w:r>
      <w:r>
        <w:rPr>
          <w:sz w:val="16"/>
        </w:rPr>
        <w:t>Safeguards</w:t>
      </w:r>
      <w:r>
        <w:rPr>
          <w:spacing w:val="40"/>
          <w:sz w:val="16"/>
        </w:rPr>
        <w:t> </w:t>
      </w:r>
      <w:r>
        <w:rPr>
          <w:sz w:val="16"/>
        </w:rPr>
        <w:t>and</w:t>
      </w:r>
      <w:r>
        <w:rPr>
          <w:spacing w:val="40"/>
          <w:sz w:val="16"/>
        </w:rPr>
        <w:t> </w:t>
      </w:r>
      <w:r>
        <w:rPr>
          <w:sz w:val="16"/>
        </w:rPr>
        <w:t>Equality</w:t>
      </w:r>
      <w:r>
        <w:rPr>
          <w:spacing w:val="40"/>
          <w:sz w:val="16"/>
        </w:rPr>
        <w:t> </w:t>
      </w:r>
      <w:r>
        <w:rPr>
          <w:sz w:val="16"/>
        </w:rPr>
        <w:t>of</w:t>
      </w:r>
      <w:r>
        <w:rPr>
          <w:spacing w:val="40"/>
          <w:sz w:val="16"/>
        </w:rPr>
        <w:t> </w:t>
      </w:r>
      <w:r>
        <w:rPr>
          <w:sz w:val="16"/>
        </w:rPr>
        <w:t>Opportunity.</w:t>
      </w:r>
    </w:p>
    <w:p>
      <w:pPr>
        <w:pStyle w:val="ListParagraph"/>
        <w:numPr>
          <w:ilvl w:val="0"/>
          <w:numId w:val="14"/>
        </w:numPr>
        <w:tabs>
          <w:tab w:pos="565" w:val="left" w:leader="none"/>
        </w:tabs>
        <w:spacing w:line="192" w:lineRule="exact" w:before="0" w:after="0"/>
        <w:ind w:left="565" w:right="0" w:hanging="452"/>
        <w:jc w:val="left"/>
        <w:rPr>
          <w:rFonts w:ascii="Arial"/>
          <w:sz w:val="16"/>
        </w:rPr>
      </w:pPr>
      <w:r>
        <w:rPr>
          <w:rFonts w:ascii="Arial"/>
          <w:w w:val="105"/>
          <w:sz w:val="16"/>
        </w:rPr>
        <w:t>Craig</w:t>
      </w:r>
      <w:r>
        <w:rPr>
          <w:rFonts w:ascii="Arial"/>
          <w:spacing w:val="5"/>
          <w:w w:val="105"/>
          <w:sz w:val="16"/>
        </w:rPr>
        <w:t> </w:t>
      </w:r>
      <w:r>
        <w:rPr>
          <w:rFonts w:ascii="Verdana"/>
          <w:i/>
          <w:w w:val="105"/>
          <w:sz w:val="16"/>
        </w:rPr>
        <w:t>et</w:t>
      </w:r>
      <w:r>
        <w:rPr>
          <w:rFonts w:ascii="Verdana"/>
          <w:i/>
          <w:spacing w:val="-7"/>
          <w:w w:val="105"/>
          <w:sz w:val="16"/>
        </w:rPr>
        <w:t> </w:t>
      </w:r>
      <w:r>
        <w:rPr>
          <w:rFonts w:ascii="Verdana"/>
          <w:i/>
          <w:w w:val="105"/>
          <w:sz w:val="16"/>
        </w:rPr>
        <w:t>al</w:t>
      </w:r>
      <w:r>
        <w:rPr>
          <w:rFonts w:ascii="Verdana"/>
          <w:i/>
          <w:spacing w:val="-7"/>
          <w:w w:val="105"/>
          <w:sz w:val="16"/>
        </w:rPr>
        <w:t> </w:t>
      </w:r>
      <w:r>
        <w:rPr>
          <w:rFonts w:ascii="Arial"/>
          <w:w w:val="105"/>
          <w:sz w:val="16"/>
        </w:rPr>
        <w:t>(n</w:t>
      </w:r>
      <w:r>
        <w:rPr>
          <w:rFonts w:ascii="Arial"/>
          <w:spacing w:val="5"/>
          <w:w w:val="105"/>
          <w:sz w:val="16"/>
        </w:rPr>
        <w:t> </w:t>
      </w:r>
      <w:r>
        <w:rPr>
          <w:rFonts w:ascii="Arial"/>
          <w:w w:val="105"/>
          <w:sz w:val="16"/>
        </w:rPr>
        <w:t>5),</w:t>
      </w:r>
      <w:r>
        <w:rPr>
          <w:rFonts w:ascii="Arial"/>
          <w:spacing w:val="6"/>
          <w:w w:val="105"/>
          <w:sz w:val="16"/>
        </w:rPr>
        <w:t> </w:t>
      </w:r>
      <w:r>
        <w:rPr>
          <w:rFonts w:ascii="Arial"/>
          <w:spacing w:val="-5"/>
          <w:w w:val="105"/>
          <w:sz w:val="16"/>
        </w:rPr>
        <w:t>19.</w:t>
      </w:r>
    </w:p>
    <w:p>
      <w:pPr>
        <w:pStyle w:val="ListParagraph"/>
        <w:numPr>
          <w:ilvl w:val="0"/>
          <w:numId w:val="14"/>
        </w:numPr>
        <w:tabs>
          <w:tab w:pos="565" w:val="left" w:leader="none"/>
        </w:tabs>
        <w:spacing w:line="200" w:lineRule="exact" w:before="0" w:after="0"/>
        <w:ind w:left="565" w:right="0" w:hanging="452"/>
        <w:jc w:val="left"/>
        <w:rPr>
          <w:sz w:val="16"/>
        </w:rPr>
      </w:pPr>
      <w:r>
        <w:rPr>
          <w:rFonts w:ascii="Verdana" w:hAnsi="Verdana"/>
          <w:i/>
          <w:sz w:val="16"/>
        </w:rPr>
        <w:t>Ní</w:t>
      </w:r>
      <w:r>
        <w:rPr>
          <w:rFonts w:ascii="Verdana" w:hAnsi="Verdana"/>
          <w:i/>
          <w:spacing w:val="-9"/>
          <w:sz w:val="16"/>
        </w:rPr>
        <w:t> </w:t>
      </w:r>
      <w:r>
        <w:rPr>
          <w:rFonts w:ascii="Verdana" w:hAnsi="Verdana"/>
          <w:i/>
          <w:sz w:val="16"/>
        </w:rPr>
        <w:t>Chuinneagain’s</w:t>
      </w:r>
      <w:r>
        <w:rPr>
          <w:rFonts w:ascii="Verdana" w:hAnsi="Verdana"/>
          <w:i/>
          <w:spacing w:val="-9"/>
          <w:sz w:val="16"/>
        </w:rPr>
        <w:t> </w:t>
      </w:r>
      <w:r>
        <w:rPr>
          <w:rFonts w:ascii="Verdana" w:hAnsi="Verdana"/>
          <w:i/>
          <w:sz w:val="16"/>
        </w:rPr>
        <w:t>application</w:t>
      </w:r>
      <w:r>
        <w:rPr>
          <w:rFonts w:ascii="Verdana" w:hAnsi="Verdana"/>
          <w:i/>
          <w:spacing w:val="-8"/>
          <w:sz w:val="16"/>
        </w:rPr>
        <w:t> </w:t>
      </w:r>
      <w:r>
        <w:rPr>
          <w:rFonts w:ascii="Verdana" w:hAnsi="Verdana"/>
          <w:i/>
          <w:sz w:val="16"/>
        </w:rPr>
        <w:t>for</w:t>
      </w:r>
      <w:r>
        <w:rPr>
          <w:rFonts w:ascii="Verdana" w:hAnsi="Verdana"/>
          <w:i/>
          <w:spacing w:val="-9"/>
          <w:sz w:val="16"/>
        </w:rPr>
        <w:t> </w:t>
      </w:r>
      <w:r>
        <w:rPr>
          <w:rFonts w:ascii="Verdana" w:hAnsi="Verdana"/>
          <w:i/>
          <w:sz w:val="16"/>
        </w:rPr>
        <w:t>judicial</w:t>
      </w:r>
      <w:r>
        <w:rPr>
          <w:rFonts w:ascii="Verdana" w:hAnsi="Verdana"/>
          <w:i/>
          <w:spacing w:val="-8"/>
          <w:sz w:val="16"/>
        </w:rPr>
        <w:t> </w:t>
      </w:r>
      <w:r>
        <w:rPr>
          <w:rFonts w:ascii="Verdana" w:hAnsi="Verdana"/>
          <w:i/>
          <w:sz w:val="16"/>
        </w:rPr>
        <w:t>review</w:t>
      </w:r>
      <w:r>
        <w:rPr>
          <w:rFonts w:ascii="Verdana" w:hAnsi="Verdana"/>
          <w:i/>
          <w:spacing w:val="-9"/>
          <w:sz w:val="16"/>
        </w:rPr>
        <w:t> </w:t>
      </w:r>
      <w:r>
        <w:rPr>
          <w:sz w:val="16"/>
        </w:rPr>
        <w:t>[2021]</w:t>
      </w:r>
      <w:r>
        <w:rPr>
          <w:spacing w:val="-2"/>
          <w:sz w:val="16"/>
        </w:rPr>
        <w:t> </w:t>
      </w:r>
      <w:r>
        <w:rPr>
          <w:sz w:val="16"/>
        </w:rPr>
        <w:t>NIQB</w:t>
      </w:r>
      <w:r>
        <w:rPr>
          <w:spacing w:val="-3"/>
          <w:sz w:val="16"/>
        </w:rPr>
        <w:t> </w:t>
      </w:r>
      <w:r>
        <w:rPr>
          <w:sz w:val="16"/>
        </w:rPr>
        <w:t>79,</w:t>
      </w:r>
      <w:r>
        <w:rPr>
          <w:spacing w:val="-2"/>
          <w:sz w:val="16"/>
        </w:rPr>
        <w:t> </w:t>
      </w:r>
      <w:r>
        <w:rPr>
          <w:sz w:val="16"/>
        </w:rPr>
        <w:t>para</w:t>
      </w:r>
      <w:r>
        <w:rPr>
          <w:spacing w:val="-3"/>
          <w:sz w:val="16"/>
        </w:rPr>
        <w:t> </w:t>
      </w:r>
      <w:r>
        <w:rPr>
          <w:sz w:val="16"/>
        </w:rPr>
        <w:t>24</w:t>
      </w:r>
      <w:r>
        <w:rPr>
          <w:spacing w:val="-3"/>
          <w:sz w:val="16"/>
        </w:rPr>
        <w:t> </w:t>
      </w:r>
      <w:r>
        <w:rPr>
          <w:sz w:val="16"/>
        </w:rPr>
        <w:t>per</w:t>
      </w:r>
      <w:r>
        <w:rPr>
          <w:spacing w:val="-2"/>
          <w:sz w:val="16"/>
        </w:rPr>
        <w:t> </w:t>
      </w:r>
      <w:r>
        <w:rPr>
          <w:sz w:val="16"/>
        </w:rPr>
        <w:t>Scoffield</w:t>
      </w:r>
      <w:r>
        <w:rPr>
          <w:spacing w:val="-3"/>
          <w:sz w:val="16"/>
        </w:rPr>
        <w:t> </w:t>
      </w:r>
      <w:r>
        <w:rPr>
          <w:spacing w:val="-5"/>
          <w:sz w:val="16"/>
        </w:rPr>
        <w:t>J.</w:t>
      </w:r>
    </w:p>
    <w:p>
      <w:pPr>
        <w:pStyle w:val="ListParagraph"/>
        <w:numPr>
          <w:ilvl w:val="0"/>
          <w:numId w:val="14"/>
        </w:numPr>
        <w:tabs>
          <w:tab w:pos="565" w:val="left" w:leader="none"/>
        </w:tabs>
        <w:spacing w:line="200" w:lineRule="exact" w:before="0" w:after="0"/>
        <w:ind w:left="565" w:right="0" w:hanging="452"/>
        <w:jc w:val="left"/>
        <w:rPr>
          <w:sz w:val="16"/>
        </w:rPr>
      </w:pPr>
      <w:r>
        <w:rPr>
          <w:rFonts w:ascii="Verdana"/>
          <w:i/>
          <w:sz w:val="16"/>
        </w:rPr>
        <w:t>Angesom</w:t>
      </w:r>
      <w:r>
        <w:rPr>
          <w:rFonts w:ascii="Verdana"/>
          <w:i/>
          <w:spacing w:val="-2"/>
          <w:sz w:val="16"/>
        </w:rPr>
        <w:t> </w:t>
      </w:r>
      <w:r>
        <w:rPr>
          <w:sz w:val="16"/>
        </w:rPr>
        <w:t>(n</w:t>
      </w:r>
      <w:r>
        <w:rPr>
          <w:spacing w:val="6"/>
          <w:sz w:val="16"/>
        </w:rPr>
        <w:t> </w:t>
      </w:r>
      <w:r>
        <w:rPr>
          <w:sz w:val="16"/>
        </w:rPr>
        <w:t>26),</w:t>
      </w:r>
      <w:r>
        <w:rPr>
          <w:spacing w:val="5"/>
          <w:sz w:val="16"/>
        </w:rPr>
        <w:t> </w:t>
      </w:r>
      <w:r>
        <w:rPr>
          <w:spacing w:val="-2"/>
          <w:sz w:val="16"/>
        </w:rPr>
        <w:t>[105].</w:t>
      </w:r>
    </w:p>
    <w:p>
      <w:pPr>
        <w:pStyle w:val="ListParagraph"/>
        <w:numPr>
          <w:ilvl w:val="0"/>
          <w:numId w:val="14"/>
        </w:numPr>
        <w:tabs>
          <w:tab w:pos="566" w:val="left" w:leader="none"/>
        </w:tabs>
        <w:spacing w:line="200" w:lineRule="exact" w:before="0" w:after="0"/>
        <w:ind w:left="566" w:right="0" w:hanging="453"/>
        <w:jc w:val="left"/>
        <w:rPr>
          <w:sz w:val="16"/>
        </w:rPr>
      </w:pPr>
      <w:r>
        <w:rPr>
          <w:spacing w:val="-4"/>
          <w:sz w:val="16"/>
        </w:rPr>
        <w:t>See</w:t>
      </w:r>
      <w:r>
        <w:rPr>
          <w:spacing w:val="-2"/>
          <w:sz w:val="16"/>
        </w:rPr>
        <w:t> </w:t>
      </w:r>
      <w:r>
        <w:rPr>
          <w:rFonts w:ascii="Verdana"/>
          <w:i/>
          <w:spacing w:val="-4"/>
          <w:sz w:val="16"/>
        </w:rPr>
        <w:t>Ibid</w:t>
      </w:r>
      <w:r>
        <w:rPr>
          <w:spacing w:val="-4"/>
          <w:sz w:val="16"/>
        </w:rPr>
        <w:t>.,</w:t>
      </w:r>
      <w:r>
        <w:rPr>
          <w:spacing w:val="-1"/>
          <w:sz w:val="16"/>
        </w:rPr>
        <w:t> </w:t>
      </w:r>
      <w:r>
        <w:rPr>
          <w:spacing w:val="-4"/>
          <w:sz w:val="16"/>
        </w:rPr>
        <w:t>[107]-[112].</w:t>
      </w:r>
    </w:p>
    <w:p>
      <w:pPr>
        <w:pStyle w:val="ListParagraph"/>
        <w:numPr>
          <w:ilvl w:val="0"/>
          <w:numId w:val="14"/>
        </w:numPr>
        <w:tabs>
          <w:tab w:pos="566" w:val="left" w:leader="none"/>
        </w:tabs>
        <w:spacing w:line="200" w:lineRule="exact" w:before="0" w:after="0"/>
        <w:ind w:left="566" w:right="0" w:hanging="453"/>
        <w:jc w:val="left"/>
        <w:rPr>
          <w:sz w:val="16"/>
        </w:rPr>
      </w:pPr>
      <w:r>
        <w:rPr>
          <w:rFonts w:ascii="Verdana" w:hAnsi="Verdana"/>
          <w:i/>
          <w:sz w:val="16"/>
        </w:rPr>
        <w:t>Ní</w:t>
      </w:r>
      <w:r>
        <w:rPr>
          <w:rFonts w:ascii="Verdana" w:hAnsi="Verdana"/>
          <w:i/>
          <w:spacing w:val="-11"/>
          <w:sz w:val="16"/>
        </w:rPr>
        <w:t> </w:t>
      </w:r>
      <w:r>
        <w:rPr>
          <w:rFonts w:ascii="Verdana" w:hAnsi="Verdana"/>
          <w:i/>
          <w:sz w:val="16"/>
        </w:rPr>
        <w:t>Chuinneagain</w:t>
      </w:r>
      <w:r>
        <w:rPr>
          <w:rFonts w:ascii="Verdana" w:hAnsi="Verdana"/>
          <w:i/>
          <w:spacing w:val="-11"/>
          <w:sz w:val="16"/>
        </w:rPr>
        <w:t> </w:t>
      </w:r>
      <w:r>
        <w:rPr>
          <w:sz w:val="16"/>
        </w:rPr>
        <w:t>(n</w:t>
      </w:r>
      <w:r>
        <w:rPr>
          <w:spacing w:val="-5"/>
          <w:sz w:val="16"/>
        </w:rPr>
        <w:t> </w:t>
      </w:r>
      <w:r>
        <w:rPr>
          <w:sz w:val="16"/>
        </w:rPr>
        <w:t>324),</w:t>
      </w:r>
      <w:r>
        <w:rPr>
          <w:spacing w:val="-4"/>
          <w:sz w:val="16"/>
        </w:rPr>
        <w:t> [24].</w:t>
      </w:r>
    </w:p>
    <w:p>
      <w:pPr>
        <w:pStyle w:val="ListParagraph"/>
        <w:numPr>
          <w:ilvl w:val="0"/>
          <w:numId w:val="14"/>
        </w:numPr>
        <w:tabs>
          <w:tab w:pos="565" w:val="left" w:leader="none"/>
        </w:tabs>
        <w:spacing w:line="200" w:lineRule="exact" w:before="0" w:after="0"/>
        <w:ind w:left="565" w:right="0" w:hanging="452"/>
        <w:jc w:val="left"/>
        <w:rPr>
          <w:sz w:val="16"/>
        </w:rPr>
      </w:pPr>
      <w:r>
        <w:rPr>
          <w:rFonts w:ascii="Verdana"/>
          <w:i/>
          <w:spacing w:val="-2"/>
          <w:sz w:val="16"/>
        </w:rPr>
        <w:t>Dillon</w:t>
      </w:r>
      <w:r>
        <w:rPr>
          <w:rFonts w:ascii="Verdana"/>
          <w:i/>
          <w:spacing w:val="-13"/>
          <w:sz w:val="16"/>
        </w:rPr>
        <w:t> </w:t>
      </w:r>
      <w:r>
        <w:rPr>
          <w:spacing w:val="-2"/>
          <w:sz w:val="16"/>
        </w:rPr>
        <w:t>(n</w:t>
      </w:r>
      <w:r>
        <w:rPr>
          <w:spacing w:val="-10"/>
          <w:sz w:val="16"/>
        </w:rPr>
        <w:t> </w:t>
      </w:r>
      <w:r>
        <w:rPr>
          <w:spacing w:val="-2"/>
          <w:sz w:val="16"/>
        </w:rPr>
        <w:t>157),</w:t>
      </w:r>
      <w:r>
        <w:rPr>
          <w:spacing w:val="-8"/>
          <w:sz w:val="16"/>
        </w:rPr>
        <w:t> </w:t>
      </w:r>
      <w:r>
        <w:rPr>
          <w:spacing w:val="-2"/>
          <w:sz w:val="16"/>
        </w:rPr>
        <w:t>[571].</w:t>
      </w:r>
    </w:p>
    <w:p>
      <w:pPr>
        <w:pStyle w:val="ListParagraph"/>
        <w:numPr>
          <w:ilvl w:val="0"/>
          <w:numId w:val="14"/>
        </w:numPr>
        <w:tabs>
          <w:tab w:pos="567" w:val="left" w:leader="none"/>
        </w:tabs>
        <w:spacing w:line="194" w:lineRule="auto" w:before="11" w:after="0"/>
        <w:ind w:left="567" w:right="1094" w:hanging="454"/>
        <w:jc w:val="left"/>
        <w:rPr>
          <w:sz w:val="16"/>
        </w:rPr>
      </w:pPr>
      <w:r>
        <w:rPr>
          <w:rFonts w:ascii="Arial" w:hAnsi="Arial"/>
          <w:spacing w:val="-2"/>
          <w:w w:val="105"/>
          <w:sz w:val="16"/>
        </w:rPr>
        <w:t>Craig </w:t>
      </w:r>
      <w:r>
        <w:rPr>
          <w:rFonts w:ascii="Verdana" w:hAnsi="Verdana"/>
          <w:i/>
          <w:spacing w:val="-2"/>
          <w:w w:val="105"/>
          <w:sz w:val="16"/>
        </w:rPr>
        <w:t>et</w:t>
      </w:r>
      <w:r>
        <w:rPr>
          <w:rFonts w:ascii="Verdana" w:hAnsi="Verdana"/>
          <w:i/>
          <w:spacing w:val="-13"/>
          <w:w w:val="105"/>
          <w:sz w:val="16"/>
        </w:rPr>
        <w:t> </w:t>
      </w:r>
      <w:r>
        <w:rPr>
          <w:rFonts w:ascii="Verdana" w:hAnsi="Verdana"/>
          <w:i/>
          <w:spacing w:val="-2"/>
          <w:w w:val="105"/>
          <w:sz w:val="16"/>
        </w:rPr>
        <w:t>al</w:t>
      </w:r>
      <w:r>
        <w:rPr>
          <w:rFonts w:ascii="Verdana" w:hAnsi="Verdana"/>
          <w:i/>
          <w:spacing w:val="-13"/>
          <w:w w:val="105"/>
          <w:sz w:val="16"/>
        </w:rPr>
        <w:t> </w:t>
      </w:r>
      <w:r>
        <w:rPr>
          <w:spacing w:val="-2"/>
          <w:w w:val="105"/>
          <w:sz w:val="16"/>
        </w:rPr>
        <w:t>(n</w:t>
      </w:r>
      <w:r>
        <w:rPr>
          <w:spacing w:val="-7"/>
          <w:w w:val="105"/>
          <w:sz w:val="16"/>
        </w:rPr>
        <w:t> </w:t>
      </w:r>
      <w:r>
        <w:rPr>
          <w:spacing w:val="-2"/>
          <w:w w:val="105"/>
          <w:sz w:val="16"/>
        </w:rPr>
        <w:t>5),</w:t>
      </w:r>
      <w:r>
        <w:rPr>
          <w:spacing w:val="-8"/>
          <w:w w:val="105"/>
          <w:sz w:val="16"/>
        </w:rPr>
        <w:t> </w:t>
      </w:r>
      <w:r>
        <w:rPr>
          <w:spacing w:val="-2"/>
          <w:w w:val="105"/>
          <w:sz w:val="16"/>
        </w:rPr>
        <w:t>20.</w:t>
      </w:r>
      <w:r>
        <w:rPr>
          <w:spacing w:val="-8"/>
          <w:w w:val="105"/>
          <w:sz w:val="16"/>
        </w:rPr>
        <w:t> </w:t>
      </w:r>
      <w:r>
        <w:rPr>
          <w:spacing w:val="-2"/>
          <w:w w:val="105"/>
          <w:sz w:val="16"/>
        </w:rPr>
        <w:t>See</w:t>
      </w:r>
      <w:r>
        <w:rPr>
          <w:spacing w:val="-8"/>
          <w:w w:val="105"/>
          <w:sz w:val="16"/>
        </w:rPr>
        <w:t> </w:t>
      </w:r>
      <w:r>
        <w:rPr>
          <w:spacing w:val="-2"/>
          <w:w w:val="105"/>
          <w:sz w:val="16"/>
        </w:rPr>
        <w:t>also</w:t>
      </w:r>
      <w:r>
        <w:rPr>
          <w:spacing w:val="-8"/>
          <w:w w:val="105"/>
          <w:sz w:val="16"/>
        </w:rPr>
        <w:t> </w:t>
      </w:r>
      <w:r>
        <w:rPr>
          <w:spacing w:val="-2"/>
          <w:w w:val="105"/>
          <w:sz w:val="16"/>
        </w:rPr>
        <w:t>Sylvia</w:t>
      </w:r>
      <w:r>
        <w:rPr>
          <w:spacing w:val="-8"/>
          <w:w w:val="105"/>
          <w:sz w:val="16"/>
        </w:rPr>
        <w:t> </w:t>
      </w:r>
      <w:r>
        <w:rPr>
          <w:spacing w:val="-2"/>
          <w:w w:val="105"/>
          <w:sz w:val="16"/>
        </w:rPr>
        <w:t>de</w:t>
      </w:r>
      <w:r>
        <w:rPr>
          <w:spacing w:val="-8"/>
          <w:w w:val="105"/>
          <w:sz w:val="16"/>
        </w:rPr>
        <w:t> </w:t>
      </w:r>
      <w:r>
        <w:rPr>
          <w:spacing w:val="-2"/>
          <w:w w:val="105"/>
          <w:sz w:val="16"/>
        </w:rPr>
        <w:t>Mars,</w:t>
      </w:r>
      <w:r>
        <w:rPr>
          <w:spacing w:val="-8"/>
          <w:w w:val="105"/>
          <w:sz w:val="16"/>
        </w:rPr>
        <w:t> </w:t>
      </w:r>
      <w:r>
        <w:rPr>
          <w:spacing w:val="-2"/>
          <w:w w:val="105"/>
          <w:sz w:val="16"/>
        </w:rPr>
        <w:t>Colin</w:t>
      </w:r>
      <w:r>
        <w:rPr>
          <w:spacing w:val="-8"/>
          <w:w w:val="105"/>
          <w:sz w:val="16"/>
        </w:rPr>
        <w:t> </w:t>
      </w:r>
      <w:r>
        <w:rPr>
          <w:spacing w:val="-2"/>
          <w:w w:val="105"/>
          <w:sz w:val="16"/>
        </w:rPr>
        <w:t>Murray,</w:t>
      </w:r>
      <w:r>
        <w:rPr>
          <w:spacing w:val="-8"/>
          <w:w w:val="105"/>
          <w:sz w:val="16"/>
        </w:rPr>
        <w:t> </w:t>
      </w:r>
      <w:r>
        <w:rPr>
          <w:spacing w:val="-2"/>
          <w:w w:val="105"/>
          <w:sz w:val="16"/>
        </w:rPr>
        <w:t>Aoife</w:t>
      </w:r>
      <w:r>
        <w:rPr>
          <w:spacing w:val="-8"/>
          <w:w w:val="105"/>
          <w:sz w:val="16"/>
        </w:rPr>
        <w:t> </w:t>
      </w:r>
      <w:r>
        <w:rPr>
          <w:spacing w:val="-2"/>
          <w:w w:val="105"/>
          <w:sz w:val="16"/>
        </w:rPr>
        <w:t>O’Donoghue</w:t>
      </w:r>
      <w:r>
        <w:rPr>
          <w:spacing w:val="-8"/>
          <w:w w:val="105"/>
          <w:sz w:val="16"/>
        </w:rPr>
        <w:t> </w:t>
      </w:r>
      <w:r>
        <w:rPr>
          <w:spacing w:val="-2"/>
          <w:w w:val="105"/>
          <w:sz w:val="16"/>
        </w:rPr>
        <w:t>and</w:t>
      </w:r>
      <w:r>
        <w:rPr>
          <w:spacing w:val="-8"/>
          <w:w w:val="105"/>
          <w:sz w:val="16"/>
        </w:rPr>
        <w:t> </w:t>
      </w:r>
      <w:r>
        <w:rPr>
          <w:spacing w:val="-2"/>
          <w:w w:val="105"/>
          <w:sz w:val="16"/>
        </w:rPr>
        <w:t>Ben</w:t>
      </w:r>
      <w:r>
        <w:rPr>
          <w:spacing w:val="-8"/>
          <w:w w:val="105"/>
          <w:sz w:val="16"/>
        </w:rPr>
        <w:t> </w:t>
      </w:r>
      <w:r>
        <w:rPr>
          <w:spacing w:val="-2"/>
          <w:w w:val="105"/>
          <w:sz w:val="16"/>
        </w:rPr>
        <w:t>Warwick,</w:t>
      </w:r>
      <w:r>
        <w:rPr>
          <w:spacing w:val="-8"/>
          <w:w w:val="105"/>
          <w:sz w:val="16"/>
        </w:rPr>
        <w:t> </w:t>
      </w:r>
      <w:r>
        <w:rPr>
          <w:spacing w:val="-2"/>
          <w:w w:val="105"/>
          <w:sz w:val="16"/>
        </w:rPr>
        <w:t>‘</w:t>
      </w:r>
      <w:r>
        <w:rPr>
          <w:rFonts w:ascii="Verdana" w:hAnsi="Verdana"/>
          <w:i/>
          <w:spacing w:val="-2"/>
          <w:w w:val="105"/>
          <w:sz w:val="16"/>
        </w:rPr>
        <w:t>Rights,</w:t>
      </w:r>
      <w:r>
        <w:rPr>
          <w:rFonts w:ascii="Verdana" w:hAnsi="Verdana"/>
          <w:i/>
          <w:spacing w:val="-2"/>
          <w:w w:val="105"/>
          <w:sz w:val="16"/>
        </w:rPr>
        <w:t> </w:t>
      </w:r>
      <w:r>
        <w:rPr>
          <w:rFonts w:ascii="Trebuchet MS" w:hAnsi="Trebuchet MS"/>
          <w:i/>
          <w:w w:val="105"/>
          <w:sz w:val="16"/>
        </w:rPr>
        <w:t>Opportunities and Benefits’ in Northern Ireland after Brexit </w:t>
      </w:r>
      <w:r>
        <w:rPr>
          <w:w w:val="105"/>
          <w:sz w:val="16"/>
        </w:rPr>
        <w:t>(NIHRC and IHREC, 2020), 42.</w:t>
      </w:r>
    </w:p>
    <w:p>
      <w:pPr>
        <w:spacing w:after="0" w:line="194" w:lineRule="auto"/>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310" w:lineRule="exact" w:before="49"/>
        <w:ind w:right="403"/>
        <w:rPr>
          <w:rFonts w:ascii="Lucida Sans Unicode" w:hAnsi="Lucida Sans Unicode"/>
        </w:rPr>
      </w:pPr>
      <w:r>
        <w:rPr>
          <w:w w:val="110"/>
        </w:rPr>
        <w:t>of dynamic alignment also extends to the non-diminution </w:t>
      </w:r>
      <w:r>
        <w:rPr>
          <w:w w:val="110"/>
        </w:rPr>
        <w:t>requirement, to an extent. This is because, while </w:t>
      </w:r>
      <w:r>
        <w:rPr>
          <w:rFonts w:ascii="Lucida Sans Unicode" w:hAnsi="Lucida Sans Unicode"/>
          <w:w w:val="110"/>
        </w:rPr>
        <w:t>the</w:t>
      </w:r>
      <w:r>
        <w:rPr>
          <w:rFonts w:ascii="Lucida Sans Unicode" w:hAnsi="Lucida Sans Unicode"/>
          <w:spacing w:val="-21"/>
          <w:w w:val="110"/>
        </w:rPr>
        <w:t> </w:t>
      </w:r>
      <w:r>
        <w:rPr>
          <w:rFonts w:ascii="Lucida Sans Unicode" w:hAnsi="Lucida Sans Unicode"/>
          <w:w w:val="110"/>
        </w:rPr>
        <w:t>specific</w:t>
      </w:r>
      <w:r>
        <w:rPr>
          <w:rFonts w:ascii="Lucida Sans Unicode" w:hAnsi="Lucida Sans Unicode"/>
          <w:spacing w:val="-21"/>
          <w:w w:val="110"/>
        </w:rPr>
        <w:t> </w:t>
      </w:r>
      <w:r>
        <w:rPr>
          <w:rFonts w:ascii="Lucida Sans Unicode" w:hAnsi="Lucida Sans Unicode"/>
          <w:w w:val="110"/>
        </w:rPr>
        <w:t>provisions</w:t>
      </w:r>
      <w:r>
        <w:rPr>
          <w:rFonts w:ascii="Lucida Sans Unicode" w:hAnsi="Lucida Sans Unicode"/>
          <w:spacing w:val="-21"/>
          <w:w w:val="110"/>
        </w:rPr>
        <w:t> </w:t>
      </w:r>
      <w:r>
        <w:rPr>
          <w:rFonts w:ascii="Lucida Sans Unicode" w:hAnsi="Lucida Sans Unicode"/>
          <w:w w:val="110"/>
        </w:rPr>
        <w:t>of</w:t>
      </w:r>
      <w:r>
        <w:rPr>
          <w:rFonts w:ascii="Lucida Sans Unicode" w:hAnsi="Lucida Sans Unicode"/>
          <w:spacing w:val="-21"/>
          <w:w w:val="110"/>
        </w:rPr>
        <w:t> </w:t>
      </w:r>
      <w:r>
        <w:rPr>
          <w:rFonts w:ascii="Lucida Sans Unicode" w:hAnsi="Lucida Sans Unicode"/>
          <w:w w:val="110"/>
        </w:rPr>
        <w:t>EU</w:t>
      </w:r>
      <w:r>
        <w:rPr>
          <w:rFonts w:ascii="Lucida Sans Unicode" w:hAnsi="Lucida Sans Unicode"/>
          <w:spacing w:val="-21"/>
          <w:w w:val="110"/>
        </w:rPr>
        <w:t> </w:t>
      </w:r>
      <w:r>
        <w:rPr>
          <w:rFonts w:ascii="Lucida Sans Unicode" w:hAnsi="Lucida Sans Unicode"/>
          <w:w w:val="110"/>
        </w:rPr>
        <w:t>law </w:t>
      </w:r>
      <w:r>
        <w:rPr>
          <w:w w:val="110"/>
        </w:rPr>
        <w:t>which ground the non-diminution requirement are ‘frozen’ in terms of </w:t>
      </w:r>
      <w:r>
        <w:rPr>
          <w:rFonts w:ascii="Lucida Sans Unicode" w:hAnsi="Lucida Sans Unicode"/>
        </w:rPr>
        <w:t>their</w:t>
      </w:r>
      <w:r>
        <w:rPr>
          <w:rFonts w:ascii="Lucida Sans Unicode" w:hAnsi="Lucida Sans Unicode"/>
          <w:spacing w:val="-17"/>
        </w:rPr>
        <w:t> </w:t>
      </w:r>
      <w:r>
        <w:rPr>
          <w:rFonts w:ascii="Lucida Sans Unicode" w:hAnsi="Lucida Sans Unicode"/>
        </w:rPr>
        <w:t>iterations</w:t>
      </w:r>
      <w:r>
        <w:rPr>
          <w:rFonts w:ascii="Lucida Sans Unicode" w:hAnsi="Lucida Sans Unicode"/>
          <w:spacing w:val="-16"/>
        </w:rPr>
        <w:t> </w:t>
      </w:r>
      <w:r>
        <w:rPr>
          <w:rFonts w:ascii="Lucida Sans Unicode" w:hAnsi="Lucida Sans Unicode"/>
        </w:rPr>
        <w:t>before</w:t>
      </w:r>
      <w:r>
        <w:rPr>
          <w:rFonts w:ascii="Lucida Sans Unicode" w:hAnsi="Lucida Sans Unicode"/>
          <w:spacing w:val="-16"/>
        </w:rPr>
        <w:t> </w:t>
      </w:r>
      <w:r>
        <w:rPr>
          <w:rFonts w:ascii="Lucida Sans Unicode" w:hAnsi="Lucida Sans Unicode"/>
        </w:rPr>
        <w:t>31</w:t>
      </w:r>
      <w:r>
        <w:rPr>
          <w:rFonts w:ascii="Lucida Sans Unicode" w:hAnsi="Lucida Sans Unicode"/>
          <w:spacing w:val="-16"/>
        </w:rPr>
        <w:t> </w:t>
      </w:r>
      <w:r>
        <w:rPr>
          <w:rFonts w:ascii="Lucida Sans Unicode" w:hAnsi="Lucida Sans Unicode"/>
          <w:spacing w:val="-2"/>
        </w:rPr>
        <w:t>December</w:t>
      </w:r>
    </w:p>
    <w:p>
      <w:pPr>
        <w:pStyle w:val="BodyText"/>
        <w:spacing w:line="310" w:lineRule="exact"/>
        <w:ind w:right="144"/>
      </w:pPr>
      <w:r>
        <w:rPr>
          <w:rFonts w:ascii="Lucida Sans Unicode"/>
        </w:rPr>
        <w:t>2020, the case law of the CJEU which </w:t>
      </w:r>
      <w:r>
        <w:rPr>
          <w:w w:val="110"/>
        </w:rPr>
        <w:t>pertains to these provisions is not similarly frozen.</w:t>
      </w:r>
      <w:r>
        <w:rPr>
          <w:rFonts w:ascii="Lucida Sans Unicode"/>
          <w:w w:val="110"/>
          <w:vertAlign w:val="superscript"/>
        </w:rPr>
        <w:t>330</w:t>
      </w:r>
      <w:r>
        <w:rPr>
          <w:rFonts w:ascii="Lucida Sans Unicode"/>
          <w:w w:val="110"/>
          <w:vertAlign w:val="baseline"/>
        </w:rPr>
        <w:t> </w:t>
      </w:r>
      <w:r>
        <w:rPr>
          <w:w w:val="110"/>
          <w:vertAlign w:val="baseline"/>
        </w:rPr>
        <w:t>Indeed, as noted earlier, under EU constitutional law, interpretations of EU measures by </w:t>
      </w:r>
      <w:r>
        <w:rPr>
          <w:w w:val="110"/>
          <w:vertAlign w:val="baseline"/>
        </w:rPr>
        <w:t>the CJEU are not considered to amend</w:t>
      </w:r>
    </w:p>
    <w:p>
      <w:pPr>
        <w:pStyle w:val="BodyText"/>
        <w:spacing w:line="264" w:lineRule="auto" w:before="23"/>
        <w:ind w:right="144"/>
      </w:pPr>
      <w:r>
        <w:rPr>
          <w:w w:val="110"/>
        </w:rPr>
        <w:t>or develop the application of the measures:</w:t>
      </w:r>
      <w:r>
        <w:rPr>
          <w:spacing w:val="-8"/>
          <w:w w:val="110"/>
        </w:rPr>
        <w:t> </w:t>
      </w:r>
      <w:r>
        <w:rPr>
          <w:w w:val="110"/>
        </w:rPr>
        <w:t>rather,</w:t>
      </w:r>
      <w:r>
        <w:rPr>
          <w:spacing w:val="-8"/>
          <w:w w:val="110"/>
        </w:rPr>
        <w:t> </w:t>
      </w:r>
      <w:r>
        <w:rPr>
          <w:w w:val="110"/>
        </w:rPr>
        <w:t>they</w:t>
      </w:r>
      <w:r>
        <w:rPr>
          <w:spacing w:val="-8"/>
          <w:w w:val="110"/>
        </w:rPr>
        <w:t> </w:t>
      </w:r>
      <w:r>
        <w:rPr>
          <w:w w:val="110"/>
        </w:rPr>
        <w:t>are</w:t>
      </w:r>
      <w:r>
        <w:rPr>
          <w:spacing w:val="-8"/>
          <w:w w:val="110"/>
        </w:rPr>
        <w:t> </w:t>
      </w:r>
      <w:r>
        <w:rPr>
          <w:w w:val="110"/>
        </w:rPr>
        <w:t>viewed</w:t>
      </w:r>
      <w:r>
        <w:rPr>
          <w:spacing w:val="-8"/>
          <w:w w:val="110"/>
        </w:rPr>
        <w:t> </w:t>
      </w:r>
      <w:r>
        <w:rPr>
          <w:w w:val="110"/>
        </w:rPr>
        <w:t>as </w:t>
      </w:r>
      <w:r>
        <w:rPr/>
        <w:t>offering the </w:t>
      </w:r>
      <w:r>
        <w:rPr>
          <w:rFonts w:ascii="Verdana" w:hAnsi="Verdana"/>
          <w:i/>
        </w:rPr>
        <w:t>correct interpretation </w:t>
      </w:r>
      <w:r>
        <w:rPr/>
        <w:t>of </w:t>
      </w:r>
      <w:r>
        <w:rPr>
          <w:w w:val="110"/>
        </w:rPr>
        <w:t>that measure – i.e. the interpretation that </w:t>
      </w:r>
      <w:r>
        <w:rPr>
          <w:rFonts w:ascii="Verdana" w:hAnsi="Verdana"/>
          <w:i/>
          <w:w w:val="110"/>
        </w:rPr>
        <w:t>ought to </w:t>
      </w:r>
      <w:r>
        <w:rPr>
          <w:w w:val="110"/>
        </w:rPr>
        <w:t>have been applied since the measure’s introduction.</w:t>
      </w:r>
    </w:p>
    <w:p>
      <w:pPr>
        <w:pStyle w:val="BodyText"/>
        <w:spacing w:line="268" w:lineRule="auto" w:before="3"/>
      </w:pPr>
      <w:r>
        <w:rPr>
          <w:w w:val="115"/>
        </w:rPr>
        <w:t>This</w:t>
      </w:r>
      <w:r>
        <w:rPr>
          <w:spacing w:val="-12"/>
          <w:w w:val="115"/>
        </w:rPr>
        <w:t> </w:t>
      </w:r>
      <w:r>
        <w:rPr>
          <w:w w:val="115"/>
        </w:rPr>
        <w:t>means</w:t>
      </w:r>
      <w:r>
        <w:rPr>
          <w:spacing w:val="-12"/>
          <w:w w:val="115"/>
        </w:rPr>
        <w:t> </w:t>
      </w:r>
      <w:r>
        <w:rPr>
          <w:w w:val="115"/>
        </w:rPr>
        <w:t>that</w:t>
      </w:r>
      <w:r>
        <w:rPr>
          <w:spacing w:val="-12"/>
          <w:w w:val="115"/>
        </w:rPr>
        <w:t> </w:t>
      </w:r>
      <w:r>
        <w:rPr>
          <w:w w:val="115"/>
        </w:rPr>
        <w:t>subsequent</w:t>
      </w:r>
      <w:r>
        <w:rPr>
          <w:spacing w:val="-12"/>
          <w:w w:val="115"/>
        </w:rPr>
        <w:t> </w:t>
      </w:r>
      <w:r>
        <w:rPr>
          <w:w w:val="115"/>
        </w:rPr>
        <w:t>CJEU decisions</w:t>
      </w:r>
      <w:r>
        <w:rPr>
          <w:spacing w:val="-12"/>
          <w:w w:val="115"/>
        </w:rPr>
        <w:t> </w:t>
      </w:r>
      <w:r>
        <w:rPr>
          <w:w w:val="115"/>
        </w:rPr>
        <w:t>on</w:t>
      </w:r>
      <w:r>
        <w:rPr>
          <w:spacing w:val="-12"/>
          <w:w w:val="115"/>
        </w:rPr>
        <w:t> </w:t>
      </w:r>
      <w:r>
        <w:rPr>
          <w:w w:val="115"/>
        </w:rPr>
        <w:t>the</w:t>
      </w:r>
      <w:r>
        <w:rPr>
          <w:spacing w:val="-12"/>
          <w:w w:val="115"/>
        </w:rPr>
        <w:t> </w:t>
      </w:r>
      <w:r>
        <w:rPr>
          <w:w w:val="115"/>
        </w:rPr>
        <w:t>annexed</w:t>
      </w:r>
      <w:r>
        <w:rPr>
          <w:spacing w:val="-12"/>
          <w:w w:val="115"/>
        </w:rPr>
        <w:t> </w:t>
      </w:r>
      <w:r>
        <w:rPr>
          <w:w w:val="115"/>
        </w:rPr>
        <w:t>measures must be tracked and followed domestically</w:t>
      </w:r>
      <w:r>
        <w:rPr>
          <w:spacing w:val="-14"/>
          <w:w w:val="115"/>
        </w:rPr>
        <w:t> </w:t>
      </w:r>
      <w:r>
        <w:rPr>
          <w:w w:val="115"/>
        </w:rPr>
        <w:t>in</w:t>
      </w:r>
      <w:r>
        <w:rPr>
          <w:spacing w:val="-14"/>
          <w:w w:val="115"/>
        </w:rPr>
        <w:t> </w:t>
      </w:r>
      <w:r>
        <w:rPr>
          <w:w w:val="115"/>
        </w:rPr>
        <w:t>order</w:t>
      </w:r>
      <w:r>
        <w:rPr>
          <w:spacing w:val="-14"/>
          <w:w w:val="115"/>
        </w:rPr>
        <w:t> </w:t>
      </w:r>
      <w:r>
        <w:rPr>
          <w:w w:val="115"/>
        </w:rPr>
        <w:t>for</w:t>
      </w:r>
      <w:r>
        <w:rPr>
          <w:spacing w:val="-14"/>
          <w:w w:val="115"/>
        </w:rPr>
        <w:t> </w:t>
      </w:r>
      <w:r>
        <w:rPr>
          <w:w w:val="115"/>
        </w:rPr>
        <w:t>the</w:t>
      </w:r>
      <w:r>
        <w:rPr>
          <w:spacing w:val="-14"/>
          <w:w w:val="115"/>
        </w:rPr>
        <w:t> </w:t>
      </w:r>
      <w:r>
        <w:rPr>
          <w:w w:val="115"/>
        </w:rPr>
        <w:t>dynamic alignment obligation to be met.</w:t>
      </w:r>
    </w:p>
    <w:p>
      <w:pPr>
        <w:pStyle w:val="BodyText"/>
        <w:spacing w:before="28"/>
        <w:ind w:left="0"/>
      </w:pPr>
    </w:p>
    <w:p>
      <w:pPr>
        <w:pStyle w:val="BodyText"/>
        <w:spacing w:line="247" w:lineRule="auto" w:before="1"/>
        <w:ind w:right="243"/>
      </w:pPr>
      <w:r>
        <w:rPr>
          <w:w w:val="110"/>
        </w:rPr>
        <w:t>For example, this would comprise</w:t>
      </w:r>
      <w:r>
        <w:rPr>
          <w:spacing w:val="80"/>
          <w:w w:val="110"/>
        </w:rPr>
        <w:t> </w:t>
      </w:r>
      <w:r>
        <w:rPr>
          <w:w w:val="110"/>
        </w:rPr>
        <w:t>EU case law such as </w:t>
      </w:r>
      <w:r>
        <w:rPr>
          <w:rFonts w:ascii="Verdana"/>
          <w:i/>
          <w:w w:val="110"/>
        </w:rPr>
        <w:t>VI</w:t>
      </w:r>
      <w:r>
        <w:rPr>
          <w:w w:val="110"/>
        </w:rPr>
        <w:t>, concerning </w:t>
      </w:r>
      <w:r>
        <w:rPr>
          <w:rFonts w:ascii="Lucida Sans Unicode"/>
          <w:w w:val="110"/>
        </w:rPr>
        <w:t>the</w:t>
      </w:r>
      <w:r>
        <w:rPr>
          <w:rFonts w:ascii="Lucida Sans Unicode"/>
          <w:spacing w:val="-21"/>
          <w:w w:val="110"/>
        </w:rPr>
        <w:t> </w:t>
      </w:r>
      <w:r>
        <w:rPr>
          <w:rFonts w:ascii="Lucida Sans Unicode"/>
          <w:w w:val="110"/>
        </w:rPr>
        <w:t>status</w:t>
      </w:r>
      <w:r>
        <w:rPr>
          <w:rFonts w:ascii="Lucida Sans Unicode"/>
          <w:spacing w:val="-21"/>
          <w:w w:val="110"/>
        </w:rPr>
        <w:t> </w:t>
      </w:r>
      <w:r>
        <w:rPr>
          <w:rFonts w:ascii="Lucida Sans Unicode"/>
          <w:w w:val="110"/>
        </w:rPr>
        <w:t>of</w:t>
      </w:r>
      <w:r>
        <w:rPr>
          <w:rFonts w:ascii="Lucida Sans Unicode"/>
          <w:spacing w:val="-21"/>
          <w:w w:val="110"/>
        </w:rPr>
        <w:t> </w:t>
      </w:r>
      <w:r>
        <w:rPr>
          <w:rFonts w:ascii="Lucida Sans Unicode"/>
          <w:w w:val="110"/>
        </w:rPr>
        <w:t>the</w:t>
      </w:r>
      <w:r>
        <w:rPr>
          <w:rFonts w:ascii="Lucida Sans Unicode"/>
          <w:spacing w:val="-21"/>
          <w:w w:val="110"/>
        </w:rPr>
        <w:t> </w:t>
      </w:r>
      <w:r>
        <w:rPr>
          <w:rFonts w:ascii="Lucida Sans Unicode"/>
          <w:w w:val="110"/>
        </w:rPr>
        <w:t>NHS</w:t>
      </w:r>
      <w:r>
        <w:rPr>
          <w:rFonts w:ascii="Lucida Sans Unicode"/>
          <w:spacing w:val="-21"/>
          <w:w w:val="110"/>
        </w:rPr>
        <w:t> </w:t>
      </w:r>
      <w:r>
        <w:rPr>
          <w:rFonts w:ascii="Lucida Sans Unicode"/>
          <w:w w:val="110"/>
        </w:rPr>
        <w:t>as</w:t>
      </w:r>
      <w:r>
        <w:rPr>
          <w:rFonts w:ascii="Lucida Sans Unicode"/>
          <w:spacing w:val="-21"/>
          <w:w w:val="110"/>
        </w:rPr>
        <w:t> </w:t>
      </w:r>
      <w:r>
        <w:rPr>
          <w:rFonts w:ascii="Lucida Sans Unicode"/>
          <w:w w:val="110"/>
        </w:rPr>
        <w:t>a</w:t>
      </w:r>
      <w:r>
        <w:rPr>
          <w:rFonts w:ascii="Lucida Sans Unicode"/>
          <w:spacing w:val="-21"/>
          <w:w w:val="110"/>
        </w:rPr>
        <w:t> </w:t>
      </w:r>
      <w:r>
        <w:rPr>
          <w:rFonts w:ascii="Lucida Sans Unicode"/>
          <w:w w:val="110"/>
        </w:rPr>
        <w:t>provider </w:t>
      </w:r>
      <w:r>
        <w:rPr>
          <w:w w:val="110"/>
        </w:rPr>
        <w:t>of</w:t>
      </w:r>
      <w:r>
        <w:rPr>
          <w:spacing w:val="-16"/>
          <w:w w:val="110"/>
        </w:rPr>
        <w:t> </w:t>
      </w:r>
      <w:r>
        <w:rPr>
          <w:w w:val="110"/>
        </w:rPr>
        <w:t>comprehensive</w:t>
      </w:r>
      <w:r>
        <w:rPr>
          <w:spacing w:val="-16"/>
          <w:w w:val="110"/>
        </w:rPr>
        <w:t> </w:t>
      </w:r>
      <w:r>
        <w:rPr>
          <w:w w:val="110"/>
        </w:rPr>
        <w:t>sickness</w:t>
      </w:r>
      <w:r>
        <w:rPr>
          <w:spacing w:val="-16"/>
          <w:w w:val="110"/>
        </w:rPr>
        <w:t> </w:t>
      </w:r>
      <w:r>
        <w:rPr>
          <w:w w:val="110"/>
        </w:rPr>
        <w:t>insurance for the purposes of Article 7 of</w:t>
      </w:r>
    </w:p>
    <w:p>
      <w:pPr>
        <w:pStyle w:val="BodyText"/>
        <w:spacing w:line="230" w:lineRule="auto"/>
      </w:pPr>
      <w:r>
        <w:rPr>
          <w:rFonts w:ascii="Lucida Sans Unicode" w:hAnsi="Lucida Sans Unicode"/>
          <w:spacing w:val="-2"/>
          <w:w w:val="105"/>
        </w:rPr>
        <w:t>Directive</w:t>
      </w:r>
      <w:r>
        <w:rPr>
          <w:rFonts w:ascii="Lucida Sans Unicode" w:hAnsi="Lucida Sans Unicode"/>
          <w:spacing w:val="-18"/>
          <w:w w:val="105"/>
        </w:rPr>
        <w:t> </w:t>
      </w:r>
      <w:r>
        <w:rPr>
          <w:rFonts w:ascii="Lucida Sans Unicode" w:hAnsi="Lucida Sans Unicode"/>
          <w:spacing w:val="-2"/>
          <w:w w:val="105"/>
        </w:rPr>
        <w:t>2004/38/EC</w:t>
      </w:r>
      <w:r>
        <w:rPr>
          <w:rFonts w:ascii="Lucida Sans Unicode" w:hAnsi="Lucida Sans Unicode"/>
          <w:spacing w:val="-18"/>
          <w:w w:val="105"/>
        </w:rPr>
        <w:t> </w:t>
      </w:r>
      <w:r>
        <w:rPr>
          <w:rFonts w:ascii="Lucida Sans Unicode" w:hAnsi="Lucida Sans Unicode"/>
          <w:spacing w:val="-2"/>
          <w:w w:val="105"/>
        </w:rPr>
        <w:t>–</w:t>
      </w:r>
      <w:r>
        <w:rPr>
          <w:rFonts w:ascii="Lucida Sans Unicode" w:hAnsi="Lucida Sans Unicode"/>
          <w:spacing w:val="-18"/>
          <w:w w:val="105"/>
        </w:rPr>
        <w:t> </w:t>
      </w:r>
      <w:r>
        <w:rPr>
          <w:rFonts w:ascii="Lucida Sans Unicode" w:hAnsi="Lucida Sans Unicode"/>
          <w:spacing w:val="-2"/>
          <w:w w:val="105"/>
        </w:rPr>
        <w:t>an</w:t>
      </w:r>
      <w:r>
        <w:rPr>
          <w:rFonts w:ascii="Lucida Sans Unicode" w:hAnsi="Lucida Sans Unicode"/>
          <w:spacing w:val="-18"/>
          <w:w w:val="105"/>
        </w:rPr>
        <w:t> </w:t>
      </w:r>
      <w:r>
        <w:rPr>
          <w:rFonts w:ascii="Lucida Sans Unicode" w:hAnsi="Lucida Sans Unicode"/>
          <w:spacing w:val="-2"/>
          <w:w w:val="105"/>
        </w:rPr>
        <w:t>area</w:t>
      </w:r>
      <w:r>
        <w:rPr>
          <w:rFonts w:ascii="Lucida Sans Unicode" w:hAnsi="Lucida Sans Unicode"/>
          <w:spacing w:val="-18"/>
          <w:w w:val="105"/>
        </w:rPr>
        <w:t> </w:t>
      </w:r>
      <w:r>
        <w:rPr>
          <w:rFonts w:ascii="Lucida Sans Unicode" w:hAnsi="Lucida Sans Unicode"/>
          <w:spacing w:val="-2"/>
          <w:w w:val="105"/>
        </w:rPr>
        <w:t>falling </w:t>
      </w:r>
      <w:r>
        <w:rPr>
          <w:w w:val="105"/>
        </w:rPr>
        <w:t>outside</w:t>
      </w:r>
      <w:r>
        <w:rPr>
          <w:spacing w:val="40"/>
          <w:w w:val="105"/>
        </w:rPr>
        <w:t> </w:t>
      </w:r>
      <w:r>
        <w:rPr>
          <w:w w:val="105"/>
        </w:rPr>
        <w:t>the</w:t>
      </w:r>
      <w:r>
        <w:rPr>
          <w:spacing w:val="40"/>
          <w:w w:val="105"/>
        </w:rPr>
        <w:t> </w:t>
      </w:r>
      <w:r>
        <w:rPr>
          <w:w w:val="105"/>
        </w:rPr>
        <w:t>scope</w:t>
      </w:r>
      <w:r>
        <w:rPr>
          <w:spacing w:val="40"/>
          <w:w w:val="105"/>
        </w:rPr>
        <w:t> </w:t>
      </w:r>
      <w:r>
        <w:rPr>
          <w:w w:val="105"/>
        </w:rPr>
        <w:t>of</w:t>
      </w:r>
      <w:r>
        <w:rPr>
          <w:spacing w:val="40"/>
          <w:w w:val="105"/>
        </w:rPr>
        <w:t> </w:t>
      </w:r>
      <w:r>
        <w:rPr>
          <w:w w:val="105"/>
        </w:rPr>
        <w:t>the</w:t>
      </w:r>
      <w:r>
        <w:rPr>
          <w:spacing w:val="40"/>
          <w:w w:val="105"/>
        </w:rPr>
        <w:t> </w:t>
      </w:r>
      <w:r>
        <w:rPr>
          <w:w w:val="105"/>
        </w:rPr>
        <w:t>Withdrawal Agreement.</w:t>
      </w:r>
      <w:r>
        <w:rPr>
          <w:rFonts w:ascii="Lucida Sans Unicode" w:hAnsi="Lucida Sans Unicode"/>
          <w:w w:val="105"/>
          <w:vertAlign w:val="superscript"/>
        </w:rPr>
        <w:t>331</w:t>
      </w:r>
      <w:r>
        <w:rPr>
          <w:rFonts w:ascii="Lucida Sans Unicode" w:hAnsi="Lucida Sans Unicode"/>
          <w:w w:val="105"/>
          <w:vertAlign w:val="baseline"/>
        </w:rPr>
        <w:t> </w:t>
      </w:r>
      <w:r>
        <w:rPr>
          <w:w w:val="105"/>
          <w:vertAlign w:val="baseline"/>
        </w:rPr>
        <w:t>This case concerned</w:t>
      </w:r>
    </w:p>
    <w:p>
      <w:pPr>
        <w:pStyle w:val="BodyText"/>
        <w:spacing w:line="261" w:lineRule="exact"/>
      </w:pPr>
      <w:r>
        <w:rPr>
          <w:w w:val="115"/>
        </w:rPr>
        <w:t>the</w:t>
      </w:r>
      <w:r>
        <w:rPr>
          <w:spacing w:val="2"/>
          <w:w w:val="115"/>
        </w:rPr>
        <w:t> </w:t>
      </w:r>
      <w:r>
        <w:rPr>
          <w:w w:val="115"/>
        </w:rPr>
        <w:t>interpretation</w:t>
      </w:r>
      <w:r>
        <w:rPr>
          <w:spacing w:val="2"/>
          <w:w w:val="115"/>
        </w:rPr>
        <w:t> </w:t>
      </w:r>
      <w:r>
        <w:rPr>
          <w:w w:val="115"/>
        </w:rPr>
        <w:t>of</w:t>
      </w:r>
      <w:r>
        <w:rPr>
          <w:spacing w:val="2"/>
          <w:w w:val="115"/>
        </w:rPr>
        <w:t> </w:t>
      </w:r>
      <w:r>
        <w:rPr>
          <w:w w:val="115"/>
        </w:rPr>
        <w:t>the</w:t>
      </w:r>
      <w:r>
        <w:rPr>
          <w:spacing w:val="2"/>
          <w:w w:val="115"/>
        </w:rPr>
        <w:t> </w:t>
      </w:r>
      <w:r>
        <w:rPr>
          <w:spacing w:val="-2"/>
          <w:w w:val="115"/>
        </w:rPr>
        <w:t>requirement</w:t>
      </w:r>
    </w:p>
    <w:p>
      <w:pPr>
        <w:pStyle w:val="BodyText"/>
        <w:spacing w:line="252" w:lineRule="auto" w:before="23"/>
        <w:ind w:right="120"/>
        <w:rPr>
          <w:rFonts w:ascii="Lucida Sans Unicode" w:hAnsi="Lucida Sans Unicode"/>
        </w:rPr>
      </w:pPr>
      <w:r>
        <w:rPr>
          <w:w w:val="110"/>
        </w:rPr>
        <w:t>of</w:t>
      </w:r>
      <w:r>
        <w:rPr>
          <w:spacing w:val="-17"/>
          <w:w w:val="110"/>
        </w:rPr>
        <w:t> </w:t>
      </w:r>
      <w:r>
        <w:rPr>
          <w:w w:val="110"/>
        </w:rPr>
        <w:t>‘comprehensive</w:t>
      </w:r>
      <w:r>
        <w:rPr>
          <w:spacing w:val="-17"/>
          <w:w w:val="110"/>
        </w:rPr>
        <w:t> </w:t>
      </w:r>
      <w:r>
        <w:rPr>
          <w:w w:val="110"/>
        </w:rPr>
        <w:t>sickness</w:t>
      </w:r>
      <w:r>
        <w:rPr>
          <w:spacing w:val="-17"/>
          <w:w w:val="110"/>
        </w:rPr>
        <w:t> </w:t>
      </w:r>
      <w:r>
        <w:rPr>
          <w:w w:val="110"/>
        </w:rPr>
        <w:t>insurance’ laid down in Articles 7(1)(b) and </w:t>
      </w:r>
      <w:r>
        <w:rPr>
          <w:rFonts w:ascii="Lucida Sans Unicode" w:hAnsi="Lucida Sans Unicode"/>
          <w:w w:val="110"/>
        </w:rPr>
        <w:t>7(1)(c)</w:t>
      </w:r>
      <w:r>
        <w:rPr>
          <w:rFonts w:ascii="Lucida Sans Unicode" w:hAnsi="Lucida Sans Unicode"/>
          <w:spacing w:val="-21"/>
          <w:w w:val="110"/>
        </w:rPr>
        <w:t> </w:t>
      </w:r>
      <w:r>
        <w:rPr>
          <w:rFonts w:ascii="Lucida Sans Unicode" w:hAnsi="Lucida Sans Unicode"/>
          <w:w w:val="110"/>
        </w:rPr>
        <w:t>of</w:t>
      </w:r>
      <w:r>
        <w:rPr>
          <w:rFonts w:ascii="Lucida Sans Unicode" w:hAnsi="Lucida Sans Unicode"/>
          <w:spacing w:val="-21"/>
          <w:w w:val="110"/>
        </w:rPr>
        <w:t> </w:t>
      </w:r>
      <w:r>
        <w:rPr>
          <w:rFonts w:ascii="Lucida Sans Unicode" w:hAnsi="Lucida Sans Unicode"/>
          <w:w w:val="110"/>
        </w:rPr>
        <w:t>Directive</w:t>
      </w:r>
      <w:r>
        <w:rPr>
          <w:rFonts w:ascii="Lucida Sans Unicode" w:hAnsi="Lucida Sans Unicode"/>
          <w:spacing w:val="-21"/>
          <w:w w:val="110"/>
        </w:rPr>
        <w:t> </w:t>
      </w:r>
      <w:r>
        <w:rPr>
          <w:rFonts w:ascii="Lucida Sans Unicode" w:hAnsi="Lucida Sans Unicode"/>
          <w:w w:val="110"/>
        </w:rPr>
        <w:t>2004/38/EC</w:t>
      </w:r>
    </w:p>
    <w:p>
      <w:pPr>
        <w:pStyle w:val="BodyText"/>
        <w:spacing w:line="239" w:lineRule="exact"/>
      </w:pPr>
      <w:r>
        <w:rPr>
          <w:w w:val="115"/>
        </w:rPr>
        <w:t>for</w:t>
      </w:r>
      <w:r>
        <w:rPr>
          <w:spacing w:val="-18"/>
          <w:w w:val="115"/>
        </w:rPr>
        <w:t> </w:t>
      </w:r>
      <w:r>
        <w:rPr>
          <w:w w:val="115"/>
        </w:rPr>
        <w:t>EU</w:t>
      </w:r>
      <w:r>
        <w:rPr>
          <w:spacing w:val="-17"/>
          <w:w w:val="115"/>
        </w:rPr>
        <w:t> </w:t>
      </w:r>
      <w:r>
        <w:rPr>
          <w:w w:val="115"/>
        </w:rPr>
        <w:t>citizens</w:t>
      </w:r>
      <w:r>
        <w:rPr>
          <w:spacing w:val="-17"/>
          <w:w w:val="115"/>
        </w:rPr>
        <w:t> </w:t>
      </w:r>
      <w:r>
        <w:rPr>
          <w:w w:val="115"/>
        </w:rPr>
        <w:t>and</w:t>
      </w:r>
      <w:r>
        <w:rPr>
          <w:spacing w:val="-18"/>
          <w:w w:val="115"/>
        </w:rPr>
        <w:t> </w:t>
      </w:r>
      <w:r>
        <w:rPr>
          <w:w w:val="115"/>
        </w:rPr>
        <w:t>their</w:t>
      </w:r>
      <w:r>
        <w:rPr>
          <w:spacing w:val="-17"/>
          <w:w w:val="115"/>
        </w:rPr>
        <w:t> </w:t>
      </w:r>
      <w:r>
        <w:rPr>
          <w:spacing w:val="-2"/>
          <w:w w:val="115"/>
        </w:rPr>
        <w:t>family</w:t>
      </w:r>
    </w:p>
    <w:p>
      <w:pPr>
        <w:pStyle w:val="BodyText"/>
        <w:spacing w:line="237" w:lineRule="auto" w:before="36"/>
        <w:ind w:right="144"/>
        <w:rPr>
          <w:rFonts w:ascii="Lucida Sans Unicode"/>
        </w:rPr>
      </w:pPr>
      <w:r>
        <w:rPr>
          <w:w w:val="105"/>
        </w:rPr>
        <w:t>members residing in a host </w:t>
      </w:r>
      <w:r>
        <w:rPr>
          <w:w w:val="105"/>
        </w:rPr>
        <w:t>Member</w:t>
      </w:r>
      <w:r>
        <w:rPr>
          <w:spacing w:val="40"/>
          <w:w w:val="105"/>
        </w:rPr>
        <w:t> </w:t>
      </w:r>
      <w:r>
        <w:rPr>
          <w:rFonts w:ascii="Lucida Sans Unicode"/>
          <w:w w:val="105"/>
        </w:rPr>
        <w:t>State for more than three months.</w:t>
      </w:r>
    </w:p>
    <w:p>
      <w:pPr>
        <w:pStyle w:val="BodyText"/>
        <w:spacing w:line="255" w:lineRule="exact"/>
      </w:pPr>
      <w:r>
        <w:rPr>
          <w:w w:val="110"/>
        </w:rPr>
        <w:t>These</w:t>
      </w:r>
      <w:r>
        <w:rPr>
          <w:spacing w:val="-8"/>
          <w:w w:val="110"/>
        </w:rPr>
        <w:t> </w:t>
      </w:r>
      <w:r>
        <w:rPr>
          <w:w w:val="110"/>
        </w:rPr>
        <w:t>provisions</w:t>
      </w:r>
      <w:r>
        <w:rPr>
          <w:spacing w:val="-8"/>
          <w:w w:val="110"/>
        </w:rPr>
        <w:t> </w:t>
      </w:r>
      <w:r>
        <w:rPr>
          <w:w w:val="110"/>
        </w:rPr>
        <w:t>were</w:t>
      </w:r>
      <w:r>
        <w:rPr>
          <w:spacing w:val="-9"/>
          <w:w w:val="110"/>
        </w:rPr>
        <w:t> </w:t>
      </w:r>
      <w:r>
        <w:rPr>
          <w:spacing w:val="-2"/>
          <w:w w:val="110"/>
        </w:rPr>
        <w:t>implemented</w:t>
      </w:r>
    </w:p>
    <w:p>
      <w:pPr>
        <w:pStyle w:val="BodyText"/>
        <w:spacing w:before="34"/>
      </w:pPr>
      <w:r>
        <w:rPr>
          <w:w w:val="110"/>
        </w:rPr>
        <w:t>in</w:t>
      </w:r>
      <w:r>
        <w:rPr>
          <w:spacing w:val="-5"/>
          <w:w w:val="110"/>
        </w:rPr>
        <w:t> </w:t>
      </w:r>
      <w:r>
        <w:rPr>
          <w:w w:val="110"/>
        </w:rPr>
        <w:t>the</w:t>
      </w:r>
      <w:r>
        <w:rPr>
          <w:spacing w:val="-5"/>
          <w:w w:val="110"/>
        </w:rPr>
        <w:t> </w:t>
      </w:r>
      <w:r>
        <w:rPr>
          <w:w w:val="110"/>
        </w:rPr>
        <w:t>UK</w:t>
      </w:r>
      <w:r>
        <w:rPr>
          <w:spacing w:val="-5"/>
          <w:w w:val="110"/>
        </w:rPr>
        <w:t> </w:t>
      </w:r>
      <w:r>
        <w:rPr>
          <w:w w:val="110"/>
        </w:rPr>
        <w:t>by</w:t>
      </w:r>
      <w:r>
        <w:rPr>
          <w:spacing w:val="-5"/>
          <w:w w:val="110"/>
        </w:rPr>
        <w:t> </w:t>
      </w:r>
      <w:r>
        <w:rPr>
          <w:w w:val="110"/>
        </w:rPr>
        <w:t>Regulation</w:t>
      </w:r>
      <w:r>
        <w:rPr>
          <w:spacing w:val="-5"/>
          <w:w w:val="110"/>
        </w:rPr>
        <w:t> </w:t>
      </w:r>
      <w:r>
        <w:rPr>
          <w:w w:val="110"/>
        </w:rPr>
        <w:t>16</w:t>
      </w:r>
      <w:r>
        <w:rPr>
          <w:spacing w:val="-5"/>
          <w:w w:val="110"/>
        </w:rPr>
        <w:t> of</w:t>
      </w:r>
    </w:p>
    <w:p>
      <w:pPr>
        <w:pStyle w:val="BodyText"/>
        <w:spacing w:line="244" w:lineRule="auto" w:before="34"/>
        <w:ind w:right="254"/>
      </w:pPr>
      <w:r>
        <w:rPr/>
        <w:br w:type="column"/>
      </w:r>
      <w:r>
        <w:rPr>
          <w:rFonts w:ascii="Lucida Sans Unicode" w:hAnsi="Lucida Sans Unicode"/>
        </w:rPr>
        <w:t>the Immigration Regulations 2016. </w:t>
      </w:r>
      <w:r>
        <w:rPr>
          <w:w w:val="110"/>
        </w:rPr>
        <w:t>The Regulations rendered </w:t>
      </w:r>
      <w:r>
        <w:rPr>
          <w:w w:val="110"/>
        </w:rPr>
        <w:t>recognition </w:t>
      </w:r>
      <w:r>
        <w:rPr>
          <w:rFonts w:ascii="Lucida Sans Unicode" w:hAnsi="Lucida Sans Unicode"/>
        </w:rPr>
        <w:t>of affiliation to a comprehensive </w:t>
      </w:r>
      <w:r>
        <w:rPr>
          <w:w w:val="110"/>
        </w:rPr>
        <w:t>insurance system conditional upon that system being privately funded</w:t>
      </w:r>
      <w:r>
        <w:rPr>
          <w:spacing w:val="40"/>
          <w:w w:val="110"/>
        </w:rPr>
        <w:t> </w:t>
      </w:r>
      <w:r>
        <w:rPr>
          <w:w w:val="110"/>
        </w:rPr>
        <w:t>(i.e. separate from the UK’s public</w:t>
      </w:r>
    </w:p>
    <w:p>
      <w:pPr>
        <w:pStyle w:val="BodyText"/>
        <w:spacing w:line="225" w:lineRule="auto"/>
      </w:pPr>
      <w:r>
        <w:rPr>
          <w:rFonts w:ascii="Lucida Sans Unicode"/>
          <w:spacing w:val="-2"/>
          <w:w w:val="105"/>
        </w:rPr>
        <w:t>health</w:t>
      </w:r>
      <w:r>
        <w:rPr>
          <w:rFonts w:ascii="Lucida Sans Unicode"/>
          <w:spacing w:val="-18"/>
          <w:w w:val="105"/>
        </w:rPr>
        <w:t> </w:t>
      </w:r>
      <w:r>
        <w:rPr>
          <w:rFonts w:ascii="Lucida Sans Unicode"/>
          <w:spacing w:val="-2"/>
          <w:w w:val="105"/>
        </w:rPr>
        <w:t>service,</w:t>
      </w:r>
      <w:r>
        <w:rPr>
          <w:rFonts w:ascii="Lucida Sans Unicode"/>
          <w:spacing w:val="-18"/>
          <w:w w:val="105"/>
        </w:rPr>
        <w:t> </w:t>
      </w:r>
      <w:r>
        <w:rPr>
          <w:rFonts w:ascii="Lucida Sans Unicode"/>
          <w:spacing w:val="-2"/>
          <w:w w:val="105"/>
        </w:rPr>
        <w:t>the</w:t>
      </w:r>
      <w:r>
        <w:rPr>
          <w:rFonts w:ascii="Lucida Sans Unicode"/>
          <w:spacing w:val="-18"/>
          <w:w w:val="105"/>
        </w:rPr>
        <w:t> </w:t>
      </w:r>
      <w:r>
        <w:rPr>
          <w:rFonts w:ascii="Lucida Sans Unicode"/>
          <w:spacing w:val="-2"/>
          <w:w w:val="105"/>
        </w:rPr>
        <w:t>NHS).</w:t>
      </w:r>
      <w:r>
        <w:rPr>
          <w:rFonts w:ascii="Lucida Sans Unicode"/>
          <w:spacing w:val="-18"/>
          <w:w w:val="105"/>
        </w:rPr>
        <w:t> </w:t>
      </w:r>
      <w:r>
        <w:rPr>
          <w:rFonts w:ascii="Lucida Sans Unicode"/>
          <w:spacing w:val="-2"/>
          <w:w w:val="105"/>
        </w:rPr>
        <w:t>The</w:t>
      </w:r>
      <w:r>
        <w:rPr>
          <w:rFonts w:ascii="Lucida Sans Unicode"/>
          <w:spacing w:val="-18"/>
          <w:w w:val="105"/>
        </w:rPr>
        <w:t> </w:t>
      </w:r>
      <w:r>
        <w:rPr>
          <w:rFonts w:ascii="Lucida Sans Unicode"/>
          <w:spacing w:val="-2"/>
          <w:w w:val="105"/>
        </w:rPr>
        <w:t>claimant, </w:t>
      </w:r>
      <w:r>
        <w:rPr>
          <w:w w:val="105"/>
        </w:rPr>
        <w:t>VI,</w:t>
      </w:r>
      <w:r>
        <w:rPr>
          <w:spacing w:val="55"/>
          <w:w w:val="105"/>
        </w:rPr>
        <w:t> </w:t>
      </w:r>
      <w:r>
        <w:rPr>
          <w:w w:val="105"/>
        </w:rPr>
        <w:t>challenged</w:t>
      </w:r>
      <w:r>
        <w:rPr>
          <w:spacing w:val="56"/>
          <w:w w:val="105"/>
        </w:rPr>
        <w:t> </w:t>
      </w:r>
      <w:r>
        <w:rPr>
          <w:w w:val="105"/>
        </w:rPr>
        <w:t>this</w:t>
      </w:r>
      <w:r>
        <w:rPr>
          <w:spacing w:val="56"/>
          <w:w w:val="105"/>
        </w:rPr>
        <w:t> </w:t>
      </w:r>
      <w:r>
        <w:rPr>
          <w:w w:val="105"/>
        </w:rPr>
        <w:t>requirement</w:t>
      </w:r>
      <w:r>
        <w:rPr>
          <w:spacing w:val="56"/>
          <w:w w:val="105"/>
        </w:rPr>
        <w:t> </w:t>
      </w:r>
      <w:r>
        <w:rPr>
          <w:spacing w:val="-2"/>
          <w:w w:val="105"/>
        </w:rPr>
        <w:t>insofar</w:t>
      </w:r>
    </w:p>
    <w:p>
      <w:pPr>
        <w:pStyle w:val="BodyText"/>
        <w:spacing w:line="310" w:lineRule="exact" w:before="11"/>
        <w:ind w:right="374"/>
      </w:pPr>
      <w:r>
        <w:rPr>
          <w:w w:val="110"/>
        </w:rPr>
        <w:t>as it prevented her from claiming </w:t>
      </w:r>
      <w:r>
        <w:rPr>
          <w:rFonts w:ascii="Lucida Sans Unicode"/>
        </w:rPr>
        <w:t>benefits associated with lawful </w:t>
      </w:r>
      <w:r>
        <w:rPr>
          <w:w w:val="110"/>
        </w:rPr>
        <w:t>residency, including Child Tax Credit </w:t>
      </w:r>
      <w:r>
        <w:rPr>
          <w:rFonts w:ascii="Lucida Sans Unicode"/>
        </w:rPr>
        <w:t>and Child Benefit, for periods </w:t>
      </w:r>
      <w:r>
        <w:rPr>
          <w:rFonts w:ascii="Lucida Sans Unicode"/>
        </w:rPr>
        <w:t>during </w:t>
      </w:r>
      <w:r>
        <w:rPr>
          <w:w w:val="110"/>
        </w:rPr>
        <w:t>which neither she nor her child were </w:t>
      </w:r>
      <w:r>
        <w:rPr>
          <w:rFonts w:ascii="Lucida Sans Unicode"/>
        </w:rPr>
        <w:t>affiliated with a private healthcare </w:t>
      </w:r>
      <w:r>
        <w:rPr>
          <w:w w:val="110"/>
        </w:rPr>
        <w:t>service. The Court found that it had jurisdiction to hear the case in line </w:t>
      </w:r>
      <w:r>
        <w:rPr>
          <w:rFonts w:ascii="Lucida Sans Unicode"/>
          <w:w w:val="110"/>
        </w:rPr>
        <w:t>with</w:t>
      </w:r>
      <w:r>
        <w:rPr>
          <w:rFonts w:ascii="Lucida Sans Unicode"/>
          <w:spacing w:val="-16"/>
          <w:w w:val="110"/>
        </w:rPr>
        <w:t> </w:t>
      </w:r>
      <w:r>
        <w:rPr>
          <w:rFonts w:ascii="Lucida Sans Unicode"/>
          <w:w w:val="110"/>
        </w:rPr>
        <w:t>Article</w:t>
      </w:r>
      <w:r>
        <w:rPr>
          <w:rFonts w:ascii="Lucida Sans Unicode"/>
          <w:spacing w:val="-16"/>
          <w:w w:val="110"/>
        </w:rPr>
        <w:t> </w:t>
      </w:r>
      <w:r>
        <w:rPr>
          <w:rFonts w:ascii="Lucida Sans Unicode"/>
          <w:w w:val="110"/>
        </w:rPr>
        <w:t>86</w:t>
      </w:r>
      <w:r>
        <w:rPr>
          <w:rFonts w:ascii="Lucida Sans Unicode"/>
          <w:spacing w:val="-16"/>
          <w:w w:val="110"/>
        </w:rPr>
        <w:t> </w:t>
      </w:r>
      <w:r>
        <w:rPr>
          <w:rFonts w:ascii="Lucida Sans Unicode"/>
          <w:w w:val="110"/>
        </w:rPr>
        <w:t>of</w:t>
      </w:r>
      <w:r>
        <w:rPr>
          <w:rFonts w:ascii="Lucida Sans Unicode"/>
          <w:spacing w:val="-16"/>
          <w:w w:val="110"/>
        </w:rPr>
        <w:t> </w:t>
      </w:r>
      <w:r>
        <w:rPr>
          <w:rFonts w:ascii="Lucida Sans Unicode"/>
          <w:w w:val="110"/>
        </w:rPr>
        <w:t>the</w:t>
      </w:r>
      <w:r>
        <w:rPr>
          <w:rFonts w:ascii="Lucida Sans Unicode"/>
          <w:spacing w:val="-16"/>
          <w:w w:val="110"/>
        </w:rPr>
        <w:t> </w:t>
      </w:r>
      <w:r>
        <w:rPr>
          <w:rFonts w:ascii="Lucida Sans Unicode"/>
          <w:w w:val="110"/>
        </w:rPr>
        <w:t>Withdrawal </w:t>
      </w:r>
      <w:r>
        <w:rPr>
          <w:w w:val="110"/>
        </w:rPr>
        <w:t>Agreement,</w:t>
      </w:r>
      <w:r>
        <w:rPr>
          <w:spacing w:val="40"/>
          <w:w w:val="110"/>
        </w:rPr>
        <w:t> </w:t>
      </w:r>
      <w:r>
        <w:rPr>
          <w:w w:val="110"/>
        </w:rPr>
        <w:t>as</w:t>
      </w:r>
      <w:r>
        <w:rPr>
          <w:spacing w:val="40"/>
          <w:w w:val="110"/>
        </w:rPr>
        <w:t> </w:t>
      </w:r>
      <w:r>
        <w:rPr>
          <w:w w:val="110"/>
        </w:rPr>
        <w:t>it</w:t>
      </w:r>
      <w:r>
        <w:rPr>
          <w:spacing w:val="40"/>
          <w:w w:val="110"/>
        </w:rPr>
        <w:t> </w:t>
      </w:r>
      <w:r>
        <w:rPr>
          <w:w w:val="110"/>
        </w:rPr>
        <w:t>was</w:t>
      </w:r>
      <w:r>
        <w:rPr>
          <w:spacing w:val="40"/>
          <w:w w:val="110"/>
        </w:rPr>
        <w:t> </w:t>
      </w:r>
      <w:r>
        <w:rPr>
          <w:w w:val="110"/>
        </w:rPr>
        <w:t>referred during the transitional period and</w:t>
      </w:r>
    </w:p>
    <w:p>
      <w:pPr>
        <w:pStyle w:val="BodyText"/>
        <w:spacing w:line="310" w:lineRule="exact"/>
      </w:pPr>
      <w:r>
        <w:rPr>
          <w:w w:val="115"/>
        </w:rPr>
        <w:t>concerned</w:t>
      </w:r>
      <w:r>
        <w:rPr>
          <w:spacing w:val="-9"/>
          <w:w w:val="115"/>
        </w:rPr>
        <w:t> </w:t>
      </w:r>
      <w:r>
        <w:rPr>
          <w:w w:val="115"/>
        </w:rPr>
        <w:t>facts</w:t>
      </w:r>
      <w:r>
        <w:rPr>
          <w:spacing w:val="-9"/>
          <w:w w:val="115"/>
        </w:rPr>
        <w:t> </w:t>
      </w:r>
      <w:r>
        <w:rPr>
          <w:w w:val="115"/>
        </w:rPr>
        <w:t>to</w:t>
      </w:r>
      <w:r>
        <w:rPr>
          <w:spacing w:val="-9"/>
          <w:w w:val="115"/>
        </w:rPr>
        <w:t> </w:t>
      </w:r>
      <w:r>
        <w:rPr>
          <w:w w:val="115"/>
        </w:rPr>
        <w:t>which</w:t>
      </w:r>
      <w:r>
        <w:rPr>
          <w:spacing w:val="-9"/>
          <w:w w:val="115"/>
        </w:rPr>
        <w:t> </w:t>
      </w:r>
      <w:r>
        <w:rPr>
          <w:w w:val="115"/>
        </w:rPr>
        <w:t>EU</w:t>
      </w:r>
      <w:r>
        <w:rPr>
          <w:spacing w:val="-9"/>
          <w:w w:val="115"/>
        </w:rPr>
        <w:t> </w:t>
      </w:r>
      <w:r>
        <w:rPr>
          <w:w w:val="115"/>
        </w:rPr>
        <w:t>law</w:t>
      </w:r>
      <w:r>
        <w:rPr>
          <w:spacing w:val="-9"/>
          <w:w w:val="115"/>
        </w:rPr>
        <w:t> </w:t>
      </w:r>
      <w:r>
        <w:rPr>
          <w:w w:val="115"/>
        </w:rPr>
        <w:t>was fully</w:t>
      </w:r>
      <w:r>
        <w:rPr>
          <w:spacing w:val="-20"/>
          <w:w w:val="115"/>
        </w:rPr>
        <w:t> </w:t>
      </w:r>
      <w:r>
        <w:rPr>
          <w:w w:val="115"/>
        </w:rPr>
        <w:t>applicable.</w:t>
      </w:r>
      <w:r>
        <w:rPr>
          <w:rFonts w:ascii="Lucida Sans Unicode"/>
          <w:w w:val="115"/>
          <w:vertAlign w:val="superscript"/>
        </w:rPr>
        <w:t>332</w:t>
      </w:r>
      <w:r>
        <w:rPr>
          <w:rFonts w:ascii="Lucida Sans Unicode"/>
          <w:spacing w:val="-21"/>
          <w:w w:val="115"/>
          <w:vertAlign w:val="baseline"/>
        </w:rPr>
        <w:t> </w:t>
      </w:r>
      <w:r>
        <w:rPr>
          <w:w w:val="115"/>
          <w:vertAlign w:val="baseline"/>
        </w:rPr>
        <w:t>The</w:t>
      </w:r>
      <w:r>
        <w:rPr>
          <w:spacing w:val="-20"/>
          <w:w w:val="115"/>
          <w:vertAlign w:val="baseline"/>
        </w:rPr>
        <w:t> </w:t>
      </w:r>
      <w:r>
        <w:rPr>
          <w:w w:val="115"/>
          <w:vertAlign w:val="baseline"/>
        </w:rPr>
        <w:t>CJEU</w:t>
      </w:r>
      <w:r>
        <w:rPr>
          <w:spacing w:val="-19"/>
          <w:w w:val="115"/>
          <w:vertAlign w:val="baseline"/>
        </w:rPr>
        <w:t> </w:t>
      </w:r>
      <w:r>
        <w:rPr>
          <w:w w:val="115"/>
          <w:vertAlign w:val="baseline"/>
        </w:rPr>
        <w:t>found that there had unequivocally been a breach of EU law as a result of the erroneous</w:t>
      </w:r>
      <w:r>
        <w:rPr>
          <w:spacing w:val="-20"/>
          <w:w w:val="115"/>
          <w:vertAlign w:val="baseline"/>
        </w:rPr>
        <w:t> </w:t>
      </w:r>
      <w:r>
        <w:rPr>
          <w:w w:val="115"/>
          <w:vertAlign w:val="baseline"/>
        </w:rPr>
        <w:t>domestic</w:t>
      </w:r>
      <w:r>
        <w:rPr>
          <w:spacing w:val="-19"/>
          <w:w w:val="115"/>
          <w:vertAlign w:val="baseline"/>
        </w:rPr>
        <w:t> </w:t>
      </w:r>
      <w:r>
        <w:rPr>
          <w:w w:val="115"/>
          <w:vertAlign w:val="baseline"/>
        </w:rPr>
        <w:t>application</w:t>
      </w:r>
      <w:r>
        <w:rPr>
          <w:spacing w:val="-19"/>
          <w:w w:val="115"/>
          <w:vertAlign w:val="baseline"/>
        </w:rPr>
        <w:t> </w:t>
      </w:r>
      <w:r>
        <w:rPr>
          <w:w w:val="115"/>
          <w:vertAlign w:val="baseline"/>
        </w:rPr>
        <w:t>of</w:t>
      </w:r>
      <w:r>
        <w:rPr>
          <w:spacing w:val="-19"/>
          <w:w w:val="115"/>
          <w:vertAlign w:val="baseline"/>
        </w:rPr>
        <w:t> </w:t>
      </w:r>
      <w:r>
        <w:rPr>
          <w:w w:val="115"/>
          <w:vertAlign w:val="baseline"/>
        </w:rPr>
        <w:t>the </w:t>
      </w:r>
      <w:r>
        <w:rPr>
          <w:spacing w:val="-2"/>
          <w:w w:val="115"/>
          <w:vertAlign w:val="baseline"/>
        </w:rPr>
        <w:t>directive:</w:t>
      </w:r>
    </w:p>
    <w:p>
      <w:pPr>
        <w:pStyle w:val="BodyText"/>
        <w:spacing w:before="24"/>
        <w:ind w:left="0"/>
      </w:pPr>
    </w:p>
    <w:p>
      <w:pPr>
        <w:pStyle w:val="BodyText"/>
        <w:spacing w:line="310" w:lineRule="exact"/>
        <w:ind w:right="190"/>
        <w:rPr>
          <w:rFonts w:ascii="Lucida Sans Unicode" w:hAnsi="Lucida Sans Unicode"/>
        </w:rPr>
      </w:pPr>
      <w:r>
        <w:rPr>
          <w:rFonts w:ascii="Lucida Sans Unicode" w:hAnsi="Lucida Sans Unicode"/>
        </w:rPr>
        <w:t>‘[…] it is settled case-law that the</w:t>
      </w:r>
      <w:r>
        <w:rPr>
          <w:rFonts w:ascii="Lucida Sans Unicode" w:hAnsi="Lucida Sans Unicode"/>
          <w:spacing w:val="40"/>
          <w:w w:val="110"/>
        </w:rPr>
        <w:t> </w:t>
      </w:r>
      <w:r>
        <w:rPr>
          <w:w w:val="110"/>
        </w:rPr>
        <w:t>right of permanent residence in the </w:t>
      </w:r>
      <w:r>
        <w:rPr>
          <w:rFonts w:ascii="Lucida Sans Unicode" w:hAnsi="Lucida Sans Unicode"/>
          <w:w w:val="110"/>
        </w:rPr>
        <w:t>host</w:t>
      </w:r>
      <w:r>
        <w:rPr>
          <w:rFonts w:ascii="Lucida Sans Unicode" w:hAnsi="Lucida Sans Unicode"/>
          <w:spacing w:val="-21"/>
          <w:w w:val="110"/>
        </w:rPr>
        <w:t> </w:t>
      </w:r>
      <w:r>
        <w:rPr>
          <w:rFonts w:ascii="Lucida Sans Unicode" w:hAnsi="Lucida Sans Unicode"/>
          <w:w w:val="110"/>
        </w:rPr>
        <w:t>Member</w:t>
      </w:r>
      <w:r>
        <w:rPr>
          <w:rFonts w:ascii="Lucida Sans Unicode" w:hAnsi="Lucida Sans Unicode"/>
          <w:spacing w:val="-21"/>
          <w:w w:val="110"/>
        </w:rPr>
        <w:t> </w:t>
      </w:r>
      <w:r>
        <w:rPr>
          <w:rFonts w:ascii="Lucida Sans Unicode" w:hAnsi="Lucida Sans Unicode"/>
          <w:w w:val="110"/>
        </w:rPr>
        <w:t>State,</w:t>
      </w:r>
      <w:r>
        <w:rPr>
          <w:rFonts w:ascii="Lucida Sans Unicode" w:hAnsi="Lucida Sans Unicode"/>
          <w:spacing w:val="-21"/>
          <w:w w:val="110"/>
        </w:rPr>
        <w:t> </w:t>
      </w:r>
      <w:r>
        <w:rPr>
          <w:rFonts w:ascii="Lucida Sans Unicode" w:hAnsi="Lucida Sans Unicode"/>
          <w:w w:val="110"/>
        </w:rPr>
        <w:t>conferred</w:t>
      </w:r>
      <w:r>
        <w:rPr>
          <w:rFonts w:ascii="Lucida Sans Unicode" w:hAnsi="Lucida Sans Unicode"/>
          <w:spacing w:val="-21"/>
          <w:w w:val="110"/>
        </w:rPr>
        <w:t> </w:t>
      </w:r>
      <w:r>
        <w:rPr>
          <w:rFonts w:ascii="Lucida Sans Unicode" w:hAnsi="Lucida Sans Unicode"/>
          <w:w w:val="110"/>
        </w:rPr>
        <w:t>by</w:t>
      </w:r>
      <w:r>
        <w:rPr>
          <w:rFonts w:ascii="Lucida Sans Unicode" w:hAnsi="Lucida Sans Unicode"/>
          <w:spacing w:val="-21"/>
          <w:w w:val="110"/>
        </w:rPr>
        <w:t> </w:t>
      </w:r>
      <w:r>
        <w:rPr>
          <w:rFonts w:ascii="Lucida Sans Unicode" w:hAnsi="Lucida Sans Unicode"/>
          <w:w w:val="110"/>
        </w:rPr>
        <w:t>EU </w:t>
      </w:r>
      <w:r>
        <w:rPr>
          <w:w w:val="110"/>
        </w:rPr>
        <w:t>law on a minor national of another </w:t>
      </w:r>
      <w:r>
        <w:rPr>
          <w:rFonts w:ascii="Lucida Sans Unicode" w:hAnsi="Lucida Sans Unicode"/>
        </w:rPr>
        <w:t>Member State, must, for the purposes </w:t>
      </w:r>
      <w:r>
        <w:rPr>
          <w:w w:val="110"/>
        </w:rPr>
        <w:t>of ensuring the effectiveness of that right of residence, be considered as </w:t>
      </w:r>
      <w:r>
        <w:rPr>
          <w:rFonts w:ascii="Lucida Sans Unicode" w:hAnsi="Lucida Sans Unicode"/>
        </w:rPr>
        <w:t>necessarily implying, under Article 21 </w:t>
      </w:r>
      <w:r>
        <w:rPr>
          <w:w w:val="110"/>
        </w:rPr>
        <w:t>TFEU, a right for the parent who is</w:t>
      </w:r>
      <w:r>
        <w:rPr>
          <w:spacing w:val="80"/>
          <w:w w:val="150"/>
        </w:rPr>
        <w:t> </w:t>
      </w:r>
      <w:r>
        <w:rPr>
          <w:w w:val="110"/>
        </w:rPr>
        <w:t>the primary carer of that minor Union citizen to reside with him or her in </w:t>
      </w:r>
      <w:r>
        <w:rPr>
          <w:w w:val="110"/>
        </w:rPr>
        <w:t>the </w:t>
      </w:r>
      <w:r>
        <w:rPr>
          <w:rFonts w:ascii="Lucida Sans Unicode" w:hAnsi="Lucida Sans Unicode"/>
        </w:rPr>
        <w:t>host Member State, regardless of the </w:t>
      </w:r>
      <w:r>
        <w:rPr>
          <w:w w:val="110"/>
        </w:rPr>
        <w:t>nationality of that parent’.</w:t>
      </w:r>
      <w:r>
        <w:rPr>
          <w:rFonts w:ascii="Lucida Sans Unicode" w:hAnsi="Lucida Sans Unicode"/>
          <w:w w:val="110"/>
          <w:vertAlign w:val="superscript"/>
        </w:rPr>
        <w:t>333</w:t>
      </w:r>
    </w:p>
    <w:p>
      <w:pPr>
        <w:pStyle w:val="BodyText"/>
        <w:spacing w:line="268" w:lineRule="auto" w:before="323"/>
        <w:ind w:right="266"/>
      </w:pPr>
      <w:r>
        <w:rPr>
          <w:w w:val="115"/>
        </w:rPr>
        <w:t>Accordingly, the parent’s right to reside</w:t>
      </w:r>
      <w:r>
        <w:rPr>
          <w:spacing w:val="-20"/>
          <w:w w:val="115"/>
        </w:rPr>
        <w:t> </w:t>
      </w:r>
      <w:r>
        <w:rPr>
          <w:w w:val="115"/>
        </w:rPr>
        <w:t>in</w:t>
      </w:r>
      <w:r>
        <w:rPr>
          <w:spacing w:val="-19"/>
          <w:w w:val="115"/>
        </w:rPr>
        <w:t> </w:t>
      </w:r>
      <w:r>
        <w:rPr>
          <w:w w:val="115"/>
        </w:rPr>
        <w:t>the</w:t>
      </w:r>
      <w:r>
        <w:rPr>
          <w:spacing w:val="-19"/>
          <w:w w:val="115"/>
        </w:rPr>
        <w:t> </w:t>
      </w:r>
      <w:r>
        <w:rPr>
          <w:w w:val="115"/>
        </w:rPr>
        <w:t>UK</w:t>
      </w:r>
      <w:r>
        <w:rPr>
          <w:spacing w:val="-19"/>
          <w:w w:val="115"/>
        </w:rPr>
        <w:t> </w:t>
      </w:r>
      <w:r>
        <w:rPr>
          <w:w w:val="115"/>
        </w:rPr>
        <w:t>could</w:t>
      </w:r>
      <w:r>
        <w:rPr>
          <w:spacing w:val="-19"/>
          <w:w w:val="115"/>
        </w:rPr>
        <w:t> </w:t>
      </w:r>
      <w:r>
        <w:rPr>
          <w:w w:val="115"/>
        </w:rPr>
        <w:t>not</w:t>
      </w:r>
      <w:r>
        <w:rPr>
          <w:spacing w:val="-20"/>
          <w:w w:val="115"/>
        </w:rPr>
        <w:t> </w:t>
      </w:r>
      <w:r>
        <w:rPr>
          <w:w w:val="115"/>
        </w:rPr>
        <w:t>be</w:t>
      </w:r>
      <w:r>
        <w:rPr>
          <w:spacing w:val="-19"/>
          <w:w w:val="115"/>
        </w:rPr>
        <w:t> </w:t>
      </w:r>
      <w:r>
        <w:rPr>
          <w:w w:val="115"/>
        </w:rPr>
        <w:t>made</w:t>
      </w:r>
    </w:p>
    <w:p>
      <w:pPr>
        <w:spacing w:after="0" w:line="268" w:lineRule="auto"/>
        <w:sectPr>
          <w:type w:val="continuous"/>
          <w:pgSz w:w="11910" w:h="16840"/>
          <w:pgMar w:header="568" w:footer="580" w:top="0" w:bottom="280" w:left="1020" w:right="1020"/>
          <w:cols w:num="2" w:equalWidth="0">
            <w:col w:w="4738" w:space="307"/>
            <w:col w:w="4825"/>
          </w:cols>
        </w:sectPr>
      </w:pPr>
    </w:p>
    <w:p>
      <w:pPr>
        <w:pStyle w:val="BodyText"/>
        <w:spacing w:before="2"/>
        <w:ind w:left="0"/>
        <w:rPr>
          <w:sz w:val="17"/>
        </w:rPr>
      </w:pPr>
    </w:p>
    <w:p>
      <w:pPr>
        <w:pStyle w:val="BodyText"/>
        <w:spacing w:line="20" w:lineRule="exact"/>
        <w:rPr>
          <w:sz w:val="2"/>
        </w:rPr>
      </w:pPr>
      <w:r>
        <w:rPr>
          <w:sz w:val="2"/>
        </w:rPr>
        <mc:AlternateContent>
          <mc:Choice Requires="wps">
            <w:drawing>
              <wp:inline distT="0" distB="0" distL="0" distR="0">
                <wp:extent cx="6120130" cy="6350"/>
                <wp:effectExtent l="9525" t="0" r="0" b="3175"/>
                <wp:docPr id="198" name="Group 198"/>
                <wp:cNvGraphicFramePr>
                  <a:graphicFrameLocks/>
                </wp:cNvGraphicFramePr>
                <a:graphic>
                  <a:graphicData uri="http://schemas.microsoft.com/office/word/2010/wordprocessingGroup">
                    <wpg:wgp>
                      <wpg:cNvPr id="198" name="Group 198"/>
                      <wpg:cNvGrpSpPr/>
                      <wpg:grpSpPr>
                        <a:xfrm>
                          <a:off x="0" y="0"/>
                          <a:ext cx="6120130" cy="6350"/>
                          <a:chExt cx="6120130" cy="6350"/>
                        </a:xfrm>
                      </wpg:grpSpPr>
                      <wps:wsp>
                        <wps:cNvPr id="199" name="Graphic 199"/>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118"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14"/>
        </w:numPr>
        <w:tabs>
          <w:tab w:pos="566" w:val="left" w:leader="none"/>
        </w:tabs>
        <w:spacing w:line="223" w:lineRule="exact" w:before="61" w:after="0"/>
        <w:ind w:left="566" w:right="0" w:hanging="453"/>
        <w:jc w:val="left"/>
        <w:rPr>
          <w:rFonts w:ascii="Arial"/>
          <w:sz w:val="16"/>
        </w:rPr>
      </w:pPr>
      <w:r>
        <w:rPr>
          <w:w w:val="105"/>
          <w:sz w:val="16"/>
        </w:rPr>
        <w:t>See</w:t>
      </w:r>
      <w:r>
        <w:rPr>
          <w:spacing w:val="-7"/>
          <w:w w:val="105"/>
          <w:sz w:val="16"/>
        </w:rPr>
        <w:t> </w:t>
      </w:r>
      <w:r>
        <w:rPr>
          <w:w w:val="105"/>
          <w:sz w:val="16"/>
        </w:rPr>
        <w:t>also</w:t>
      </w:r>
      <w:r>
        <w:rPr>
          <w:spacing w:val="-7"/>
          <w:w w:val="105"/>
          <w:sz w:val="16"/>
        </w:rPr>
        <w:t> </w:t>
      </w:r>
      <w:r>
        <w:rPr>
          <w:w w:val="105"/>
          <w:sz w:val="16"/>
        </w:rPr>
        <w:t>Craig</w:t>
      </w:r>
      <w:r>
        <w:rPr>
          <w:spacing w:val="-6"/>
          <w:w w:val="105"/>
          <w:sz w:val="16"/>
        </w:rPr>
        <w:t> </w:t>
      </w:r>
      <w:r>
        <w:rPr>
          <w:rFonts w:ascii="Verdana"/>
          <w:i/>
          <w:w w:val="105"/>
          <w:sz w:val="16"/>
        </w:rPr>
        <w:t>et</w:t>
      </w:r>
      <w:r>
        <w:rPr>
          <w:rFonts w:ascii="Verdana"/>
          <w:i/>
          <w:spacing w:val="-13"/>
          <w:w w:val="105"/>
          <w:sz w:val="16"/>
        </w:rPr>
        <w:t> </w:t>
      </w:r>
      <w:r>
        <w:rPr>
          <w:rFonts w:ascii="Verdana"/>
          <w:i/>
          <w:w w:val="105"/>
          <w:sz w:val="16"/>
        </w:rPr>
        <w:t>al</w:t>
      </w:r>
      <w:r>
        <w:rPr>
          <w:rFonts w:ascii="Verdana"/>
          <w:i/>
          <w:spacing w:val="-13"/>
          <w:w w:val="105"/>
          <w:sz w:val="16"/>
        </w:rPr>
        <w:t> </w:t>
      </w:r>
      <w:r>
        <w:rPr>
          <w:rFonts w:ascii="Arial"/>
          <w:w w:val="105"/>
          <w:sz w:val="16"/>
        </w:rPr>
        <w:t>(n 5),</w:t>
      </w:r>
      <w:r>
        <w:rPr>
          <w:rFonts w:ascii="Arial"/>
          <w:spacing w:val="-1"/>
          <w:w w:val="105"/>
          <w:sz w:val="16"/>
        </w:rPr>
        <w:t> </w:t>
      </w:r>
      <w:r>
        <w:rPr>
          <w:rFonts w:ascii="Arial"/>
          <w:spacing w:val="-5"/>
          <w:w w:val="105"/>
          <w:sz w:val="16"/>
        </w:rPr>
        <w:t>55.</w:t>
      </w:r>
    </w:p>
    <w:p>
      <w:pPr>
        <w:pStyle w:val="ListParagraph"/>
        <w:numPr>
          <w:ilvl w:val="0"/>
          <w:numId w:val="14"/>
        </w:numPr>
        <w:tabs>
          <w:tab w:pos="567" w:val="left" w:leader="none"/>
        </w:tabs>
        <w:spacing w:line="200" w:lineRule="exact" w:before="0" w:after="0"/>
        <w:ind w:left="567" w:right="0" w:hanging="454"/>
        <w:jc w:val="left"/>
        <w:rPr>
          <w:sz w:val="16"/>
        </w:rPr>
      </w:pPr>
      <w:r>
        <w:rPr>
          <w:spacing w:val="-4"/>
          <w:sz w:val="16"/>
        </w:rPr>
        <w:t>Case</w:t>
      </w:r>
      <w:r>
        <w:rPr>
          <w:spacing w:val="1"/>
          <w:sz w:val="16"/>
        </w:rPr>
        <w:t> </w:t>
      </w:r>
      <w:r>
        <w:rPr>
          <w:spacing w:val="-4"/>
          <w:sz w:val="16"/>
        </w:rPr>
        <w:t>C-247/20</w:t>
      </w:r>
      <w:r>
        <w:rPr>
          <w:spacing w:val="1"/>
          <w:sz w:val="16"/>
        </w:rPr>
        <w:t> </w:t>
      </w:r>
      <w:r>
        <w:rPr>
          <w:rFonts w:ascii="Verdana" w:hAnsi="Verdana"/>
          <w:i/>
          <w:spacing w:val="-4"/>
          <w:sz w:val="16"/>
        </w:rPr>
        <w:t>VI</w:t>
      </w:r>
      <w:r>
        <w:rPr>
          <w:rFonts w:ascii="Verdana" w:hAnsi="Verdana"/>
          <w:i/>
          <w:spacing w:val="-5"/>
          <w:sz w:val="16"/>
        </w:rPr>
        <w:t> </w:t>
      </w:r>
      <w:r>
        <w:rPr>
          <w:rFonts w:ascii="Verdana" w:hAnsi="Verdana"/>
          <w:i/>
          <w:spacing w:val="-4"/>
          <w:sz w:val="16"/>
        </w:rPr>
        <w:t>v Her</w:t>
      </w:r>
      <w:r>
        <w:rPr>
          <w:rFonts w:ascii="Verdana" w:hAnsi="Verdana"/>
          <w:i/>
          <w:spacing w:val="-5"/>
          <w:sz w:val="16"/>
        </w:rPr>
        <w:t> </w:t>
      </w:r>
      <w:r>
        <w:rPr>
          <w:rFonts w:ascii="Verdana" w:hAnsi="Verdana"/>
          <w:i/>
          <w:spacing w:val="-4"/>
          <w:sz w:val="16"/>
        </w:rPr>
        <w:t>Majesty’s</w:t>
      </w:r>
      <w:r>
        <w:rPr>
          <w:rFonts w:ascii="Verdana" w:hAnsi="Verdana"/>
          <w:i/>
          <w:spacing w:val="-5"/>
          <w:sz w:val="16"/>
        </w:rPr>
        <w:t> </w:t>
      </w:r>
      <w:r>
        <w:rPr>
          <w:rFonts w:ascii="Verdana" w:hAnsi="Verdana"/>
          <w:i/>
          <w:spacing w:val="-4"/>
          <w:sz w:val="16"/>
        </w:rPr>
        <w:t>Revenue</w:t>
      </w:r>
      <w:r>
        <w:rPr>
          <w:rFonts w:ascii="Verdana" w:hAnsi="Verdana"/>
          <w:i/>
          <w:spacing w:val="-5"/>
          <w:sz w:val="16"/>
        </w:rPr>
        <w:t> </w:t>
      </w:r>
      <w:r>
        <w:rPr>
          <w:rFonts w:ascii="Verdana" w:hAnsi="Verdana"/>
          <w:i/>
          <w:spacing w:val="-4"/>
          <w:sz w:val="16"/>
        </w:rPr>
        <w:t>and Customs</w:t>
      </w:r>
      <w:r>
        <w:rPr>
          <w:spacing w:val="-4"/>
          <w:sz w:val="16"/>
        </w:rPr>
        <w:t>,</w:t>
      </w:r>
      <w:r>
        <w:rPr>
          <w:spacing w:val="1"/>
          <w:sz w:val="16"/>
        </w:rPr>
        <w:t> </w:t>
      </w:r>
      <w:r>
        <w:rPr>
          <w:spacing w:val="-4"/>
          <w:sz w:val="16"/>
        </w:rPr>
        <w:t>EU:C:2022:177.</w:t>
      </w:r>
    </w:p>
    <w:p>
      <w:pPr>
        <w:pStyle w:val="ListParagraph"/>
        <w:numPr>
          <w:ilvl w:val="0"/>
          <w:numId w:val="14"/>
        </w:numPr>
        <w:tabs>
          <w:tab w:pos="565" w:val="left" w:leader="none"/>
        </w:tabs>
        <w:spacing w:line="200" w:lineRule="exact" w:before="0" w:after="0"/>
        <w:ind w:left="565" w:right="0" w:hanging="452"/>
        <w:jc w:val="left"/>
        <w:rPr>
          <w:sz w:val="16"/>
        </w:rPr>
      </w:pPr>
      <w:r>
        <w:rPr>
          <w:rFonts w:ascii="Verdana"/>
          <w:i/>
          <w:sz w:val="16"/>
        </w:rPr>
        <w:t>Ibid</w:t>
      </w:r>
      <w:r>
        <w:rPr>
          <w:sz w:val="16"/>
        </w:rPr>
        <w:t>,</w:t>
      </w:r>
      <w:r>
        <w:rPr>
          <w:spacing w:val="-12"/>
          <w:sz w:val="16"/>
        </w:rPr>
        <w:t> </w:t>
      </w:r>
      <w:r>
        <w:rPr>
          <w:sz w:val="16"/>
        </w:rPr>
        <w:t>para</w:t>
      </w:r>
      <w:r>
        <w:rPr>
          <w:spacing w:val="-11"/>
          <w:sz w:val="16"/>
        </w:rPr>
        <w:t> </w:t>
      </w:r>
      <w:r>
        <w:rPr>
          <w:spacing w:val="-5"/>
          <w:sz w:val="16"/>
        </w:rPr>
        <w:t>36.</w:t>
      </w:r>
    </w:p>
    <w:p>
      <w:pPr>
        <w:pStyle w:val="ListParagraph"/>
        <w:numPr>
          <w:ilvl w:val="0"/>
          <w:numId w:val="14"/>
        </w:numPr>
        <w:tabs>
          <w:tab w:pos="566" w:val="left" w:leader="none"/>
        </w:tabs>
        <w:spacing w:line="223" w:lineRule="exact" w:before="0" w:after="0"/>
        <w:ind w:left="566" w:right="0" w:hanging="453"/>
        <w:jc w:val="left"/>
        <w:rPr>
          <w:sz w:val="16"/>
        </w:rPr>
      </w:pPr>
      <w:r>
        <w:rPr>
          <w:rFonts w:ascii="Verdana"/>
          <w:i/>
          <w:sz w:val="16"/>
        </w:rPr>
        <w:t>Ibid</w:t>
      </w:r>
      <w:r>
        <w:rPr>
          <w:sz w:val="16"/>
        </w:rPr>
        <w:t>,</w:t>
      </w:r>
      <w:r>
        <w:rPr>
          <w:spacing w:val="-12"/>
          <w:sz w:val="16"/>
        </w:rPr>
        <w:t> </w:t>
      </w:r>
      <w:r>
        <w:rPr>
          <w:sz w:val="16"/>
        </w:rPr>
        <w:t>para</w:t>
      </w:r>
      <w:r>
        <w:rPr>
          <w:spacing w:val="-11"/>
          <w:sz w:val="16"/>
        </w:rPr>
        <w:t> </w:t>
      </w:r>
      <w:r>
        <w:rPr>
          <w:spacing w:val="-5"/>
          <w:sz w:val="16"/>
        </w:rPr>
        <w:t>58.</w:t>
      </w:r>
    </w:p>
    <w:p>
      <w:pPr>
        <w:spacing w:after="0" w:line="223" w:lineRule="exact"/>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310" w:lineRule="exact" w:before="49"/>
        <w:ind w:right="205"/>
      </w:pPr>
      <w:r>
        <w:rPr>
          <w:w w:val="115"/>
        </w:rPr>
        <w:t>conditional upon comprehensive sickness</w:t>
      </w:r>
      <w:r>
        <w:rPr>
          <w:spacing w:val="-8"/>
          <w:w w:val="115"/>
        </w:rPr>
        <w:t> </w:t>
      </w:r>
      <w:r>
        <w:rPr>
          <w:w w:val="115"/>
        </w:rPr>
        <w:t>insurance</w:t>
      </w:r>
      <w:r>
        <w:rPr>
          <w:spacing w:val="-8"/>
          <w:w w:val="115"/>
        </w:rPr>
        <w:t> </w:t>
      </w:r>
      <w:r>
        <w:rPr>
          <w:w w:val="115"/>
        </w:rPr>
        <w:t>cover</w:t>
      </w:r>
      <w:r>
        <w:rPr>
          <w:spacing w:val="-8"/>
          <w:w w:val="115"/>
        </w:rPr>
        <w:t> </w:t>
      </w:r>
      <w:r>
        <w:rPr>
          <w:w w:val="115"/>
        </w:rPr>
        <w:t>for</w:t>
      </w:r>
      <w:r>
        <w:rPr>
          <w:spacing w:val="-8"/>
          <w:w w:val="115"/>
        </w:rPr>
        <w:t> </w:t>
      </w:r>
      <w:r>
        <w:rPr>
          <w:w w:val="115"/>
        </w:rPr>
        <w:t>any period following the establishment of the child’s permanent resident status (whereupon the requirement at Article 7(1)(b) of the Directive </w:t>
      </w:r>
      <w:r>
        <w:rPr>
          <w:w w:val="110"/>
        </w:rPr>
        <w:t>ceases</w:t>
      </w:r>
      <w:r>
        <w:rPr>
          <w:spacing w:val="-2"/>
          <w:w w:val="110"/>
        </w:rPr>
        <w:t> </w:t>
      </w:r>
      <w:r>
        <w:rPr>
          <w:w w:val="110"/>
        </w:rPr>
        <w:t>to</w:t>
      </w:r>
      <w:r>
        <w:rPr>
          <w:spacing w:val="-2"/>
          <w:w w:val="110"/>
        </w:rPr>
        <w:t> </w:t>
      </w:r>
      <w:r>
        <w:rPr>
          <w:w w:val="110"/>
        </w:rPr>
        <w:t>apply</w:t>
      </w:r>
      <w:r>
        <w:rPr>
          <w:spacing w:val="-2"/>
          <w:w w:val="110"/>
        </w:rPr>
        <w:t> </w:t>
      </w:r>
      <w:r>
        <w:rPr>
          <w:w w:val="110"/>
        </w:rPr>
        <w:t>for</w:t>
      </w:r>
      <w:r>
        <w:rPr>
          <w:spacing w:val="-2"/>
          <w:w w:val="110"/>
        </w:rPr>
        <w:t> </w:t>
      </w:r>
      <w:r>
        <w:rPr>
          <w:w w:val="110"/>
        </w:rPr>
        <w:t>that</w:t>
      </w:r>
      <w:r>
        <w:rPr>
          <w:spacing w:val="-2"/>
          <w:w w:val="110"/>
        </w:rPr>
        <w:t> </w:t>
      </w:r>
      <w:r>
        <w:rPr>
          <w:w w:val="110"/>
        </w:rPr>
        <w:t>child).</w:t>
      </w:r>
      <w:r>
        <w:rPr>
          <w:rFonts w:ascii="Lucida Sans Unicode" w:hAnsi="Lucida Sans Unicode"/>
          <w:w w:val="110"/>
          <w:vertAlign w:val="superscript"/>
        </w:rPr>
        <w:t>334</w:t>
      </w:r>
      <w:r>
        <w:rPr>
          <w:rFonts w:ascii="Lucida Sans Unicode" w:hAnsi="Lucida Sans Unicode"/>
          <w:spacing w:val="-12"/>
          <w:w w:val="110"/>
          <w:vertAlign w:val="baseline"/>
        </w:rPr>
        <w:t> </w:t>
      </w:r>
      <w:r>
        <w:rPr>
          <w:w w:val="110"/>
          <w:vertAlign w:val="baseline"/>
        </w:rPr>
        <w:t>The</w:t>
      </w:r>
    </w:p>
    <w:p>
      <w:pPr>
        <w:pStyle w:val="BodyText"/>
        <w:spacing w:line="268" w:lineRule="auto" w:before="23"/>
      </w:pPr>
      <w:r>
        <w:rPr>
          <w:w w:val="115"/>
        </w:rPr>
        <w:t>Court</w:t>
      </w:r>
      <w:r>
        <w:rPr>
          <w:spacing w:val="-8"/>
          <w:w w:val="115"/>
        </w:rPr>
        <w:t> </w:t>
      </w:r>
      <w:r>
        <w:rPr>
          <w:w w:val="115"/>
        </w:rPr>
        <w:t>found</w:t>
      </w:r>
      <w:r>
        <w:rPr>
          <w:spacing w:val="-8"/>
          <w:w w:val="115"/>
        </w:rPr>
        <w:t> </w:t>
      </w:r>
      <w:r>
        <w:rPr>
          <w:w w:val="115"/>
        </w:rPr>
        <w:t>that</w:t>
      </w:r>
      <w:r>
        <w:rPr>
          <w:spacing w:val="-8"/>
          <w:w w:val="115"/>
        </w:rPr>
        <w:t> </w:t>
      </w:r>
      <w:r>
        <w:rPr>
          <w:w w:val="115"/>
        </w:rPr>
        <w:t>the</w:t>
      </w:r>
      <w:r>
        <w:rPr>
          <w:spacing w:val="-8"/>
          <w:w w:val="115"/>
        </w:rPr>
        <w:t> </w:t>
      </w:r>
      <w:r>
        <w:rPr>
          <w:w w:val="115"/>
        </w:rPr>
        <w:t>requirement</w:t>
      </w:r>
      <w:r>
        <w:rPr>
          <w:spacing w:val="-8"/>
          <w:w w:val="115"/>
        </w:rPr>
        <w:t> </w:t>
      </w:r>
      <w:r>
        <w:rPr>
          <w:w w:val="115"/>
        </w:rPr>
        <w:t>that comprehensive</w:t>
      </w:r>
      <w:r>
        <w:rPr>
          <w:spacing w:val="-20"/>
          <w:w w:val="115"/>
        </w:rPr>
        <w:t> </w:t>
      </w:r>
      <w:r>
        <w:rPr>
          <w:w w:val="115"/>
        </w:rPr>
        <w:t>sickness</w:t>
      </w:r>
      <w:r>
        <w:rPr>
          <w:spacing w:val="-19"/>
          <w:w w:val="115"/>
        </w:rPr>
        <w:t> </w:t>
      </w:r>
      <w:r>
        <w:rPr>
          <w:w w:val="115"/>
        </w:rPr>
        <w:t>insurance</w:t>
      </w:r>
    </w:p>
    <w:p>
      <w:pPr>
        <w:pStyle w:val="BodyText"/>
        <w:spacing w:line="252" w:lineRule="auto" w:before="2"/>
        <w:ind w:right="338"/>
        <w:rPr>
          <w:rFonts w:ascii="Lucida Sans Unicode"/>
        </w:rPr>
      </w:pPr>
      <w:r>
        <w:rPr>
          <w:w w:val="110"/>
        </w:rPr>
        <w:t>be private was also incompatible with Article 7(1)(b) of Directive </w:t>
      </w:r>
      <w:r>
        <w:rPr>
          <w:rFonts w:ascii="Lucida Sans Unicode"/>
        </w:rPr>
        <w:t>2004/38/EC</w:t>
      </w:r>
      <w:r>
        <w:rPr>
          <w:rFonts w:ascii="Lucida Sans Unicode"/>
          <w:spacing w:val="2"/>
        </w:rPr>
        <w:t> </w:t>
      </w:r>
      <w:r>
        <w:rPr>
          <w:rFonts w:ascii="Lucida Sans Unicode"/>
        </w:rPr>
        <w:t>and</w:t>
      </w:r>
      <w:r>
        <w:rPr>
          <w:rFonts w:ascii="Lucida Sans Unicode"/>
          <w:spacing w:val="3"/>
        </w:rPr>
        <w:t> </w:t>
      </w:r>
      <w:r>
        <w:rPr>
          <w:rFonts w:ascii="Lucida Sans Unicode"/>
        </w:rPr>
        <w:t>Article</w:t>
      </w:r>
      <w:r>
        <w:rPr>
          <w:rFonts w:ascii="Lucida Sans Unicode"/>
          <w:spacing w:val="3"/>
        </w:rPr>
        <w:t> </w:t>
      </w:r>
      <w:r>
        <w:rPr>
          <w:rFonts w:ascii="Lucida Sans Unicode"/>
        </w:rPr>
        <w:t>21</w:t>
      </w:r>
      <w:r>
        <w:rPr>
          <w:rFonts w:ascii="Lucida Sans Unicode"/>
          <w:spacing w:val="2"/>
        </w:rPr>
        <w:t> </w:t>
      </w:r>
      <w:r>
        <w:rPr>
          <w:rFonts w:ascii="Lucida Sans Unicode"/>
          <w:spacing w:val="-2"/>
        </w:rPr>
        <w:t>TFEU.</w:t>
      </w:r>
      <w:r>
        <w:rPr>
          <w:rFonts w:ascii="Lucida Sans Unicode"/>
          <w:spacing w:val="-2"/>
          <w:vertAlign w:val="superscript"/>
        </w:rPr>
        <w:t>335</w:t>
      </w:r>
    </w:p>
    <w:p>
      <w:pPr>
        <w:pStyle w:val="BodyText"/>
        <w:spacing w:line="239" w:lineRule="exact"/>
      </w:pPr>
      <w:r>
        <w:rPr>
          <w:w w:val="115"/>
        </w:rPr>
        <w:t>In</w:t>
      </w:r>
      <w:r>
        <w:rPr>
          <w:spacing w:val="-13"/>
          <w:w w:val="115"/>
        </w:rPr>
        <w:t> </w:t>
      </w:r>
      <w:r>
        <w:rPr>
          <w:w w:val="115"/>
        </w:rPr>
        <w:t>other</w:t>
      </w:r>
      <w:r>
        <w:rPr>
          <w:spacing w:val="-12"/>
          <w:w w:val="115"/>
        </w:rPr>
        <w:t> </w:t>
      </w:r>
      <w:r>
        <w:rPr>
          <w:w w:val="115"/>
        </w:rPr>
        <w:t>words,</w:t>
      </w:r>
      <w:r>
        <w:rPr>
          <w:spacing w:val="-12"/>
          <w:w w:val="115"/>
        </w:rPr>
        <w:t> </w:t>
      </w:r>
      <w:r>
        <w:rPr>
          <w:w w:val="115"/>
        </w:rPr>
        <w:t>the</w:t>
      </w:r>
      <w:r>
        <w:rPr>
          <w:spacing w:val="-12"/>
          <w:w w:val="115"/>
        </w:rPr>
        <w:t> </w:t>
      </w:r>
      <w:r>
        <w:rPr>
          <w:w w:val="115"/>
        </w:rPr>
        <w:t>Court</w:t>
      </w:r>
      <w:r>
        <w:rPr>
          <w:spacing w:val="-12"/>
          <w:w w:val="115"/>
        </w:rPr>
        <w:t> </w:t>
      </w:r>
      <w:r>
        <w:rPr>
          <w:w w:val="115"/>
        </w:rPr>
        <w:t>found</w:t>
      </w:r>
      <w:r>
        <w:rPr>
          <w:spacing w:val="-12"/>
          <w:w w:val="115"/>
        </w:rPr>
        <w:t> </w:t>
      </w:r>
      <w:r>
        <w:rPr>
          <w:spacing w:val="-4"/>
          <w:w w:val="115"/>
        </w:rPr>
        <w:t>that</w:t>
      </w:r>
    </w:p>
    <w:p>
      <w:pPr>
        <w:pStyle w:val="BodyText"/>
        <w:spacing w:line="268" w:lineRule="auto" w:before="34"/>
        <w:ind w:right="445"/>
      </w:pPr>
      <w:r>
        <w:rPr>
          <w:w w:val="110"/>
        </w:rPr>
        <w:t>many EU citizens resident in the</w:t>
      </w:r>
      <w:r>
        <w:rPr>
          <w:spacing w:val="80"/>
          <w:w w:val="110"/>
        </w:rPr>
        <w:t> </w:t>
      </w:r>
      <w:r>
        <w:rPr>
          <w:w w:val="110"/>
        </w:rPr>
        <w:t>UK in recent years were wrongfully obliged under the UK’s Immigration Regulations to purchase private</w:t>
      </w:r>
    </w:p>
    <w:p>
      <w:pPr>
        <w:pStyle w:val="BodyText"/>
        <w:spacing w:line="268" w:lineRule="auto" w:before="4"/>
        <w:ind w:right="248"/>
      </w:pPr>
      <w:r>
        <w:rPr>
          <w:spacing w:val="-2"/>
          <w:w w:val="115"/>
        </w:rPr>
        <w:t>health</w:t>
      </w:r>
      <w:r>
        <w:rPr>
          <w:spacing w:val="-18"/>
          <w:w w:val="115"/>
        </w:rPr>
        <w:t> </w:t>
      </w:r>
      <w:r>
        <w:rPr>
          <w:spacing w:val="-2"/>
          <w:w w:val="115"/>
        </w:rPr>
        <w:t>insurance</w:t>
      </w:r>
      <w:r>
        <w:rPr>
          <w:spacing w:val="-17"/>
          <w:w w:val="115"/>
        </w:rPr>
        <w:t> </w:t>
      </w:r>
      <w:r>
        <w:rPr>
          <w:spacing w:val="-2"/>
          <w:w w:val="115"/>
        </w:rPr>
        <w:t>and/or</w:t>
      </w:r>
      <w:r>
        <w:rPr>
          <w:spacing w:val="-17"/>
          <w:w w:val="115"/>
        </w:rPr>
        <w:t> </w:t>
      </w:r>
      <w:r>
        <w:rPr>
          <w:spacing w:val="-2"/>
          <w:w w:val="115"/>
        </w:rPr>
        <w:t>were</w:t>
      </w:r>
      <w:r>
        <w:rPr>
          <w:spacing w:val="-17"/>
          <w:w w:val="115"/>
        </w:rPr>
        <w:t> </w:t>
      </w:r>
      <w:r>
        <w:rPr>
          <w:spacing w:val="-2"/>
          <w:w w:val="115"/>
        </w:rPr>
        <w:t>denied </w:t>
      </w:r>
      <w:r>
        <w:rPr>
          <w:w w:val="115"/>
        </w:rPr>
        <w:t>permanent residency and the associated entitlements, if they did not do so.</w:t>
      </w:r>
    </w:p>
    <w:p>
      <w:pPr>
        <w:pStyle w:val="BodyText"/>
        <w:spacing w:before="27"/>
        <w:ind w:left="0"/>
      </w:pPr>
    </w:p>
    <w:p>
      <w:pPr>
        <w:pStyle w:val="BodyText"/>
        <w:spacing w:line="266" w:lineRule="auto"/>
        <w:ind w:right="277"/>
      </w:pPr>
      <w:r>
        <w:rPr>
          <w:w w:val="115"/>
        </w:rPr>
        <w:t>From the perspective of EU law, a ruling like </w:t>
      </w:r>
      <w:r>
        <w:rPr>
          <w:rFonts w:ascii="Verdana" w:hAnsi="Verdana"/>
          <w:i/>
          <w:w w:val="115"/>
        </w:rPr>
        <w:t>VI</w:t>
      </w:r>
      <w:r>
        <w:rPr>
          <w:rFonts w:ascii="Verdana" w:hAnsi="Verdana"/>
          <w:i/>
          <w:spacing w:val="-13"/>
          <w:w w:val="115"/>
        </w:rPr>
        <w:t> </w:t>
      </w:r>
      <w:r>
        <w:rPr>
          <w:w w:val="115"/>
        </w:rPr>
        <w:t>would mean that the Immigration Regulations must be disapplied, so that private health insurance is no longer required for the establishment of permanent resident status and that any losses incurred because of reliance upon the UK’s misinterpretation of the directive could result in state liability in damages under the rule</w:t>
      </w:r>
      <w:r>
        <w:rPr>
          <w:w w:val="115"/>
        </w:rPr>
        <w:t> in</w:t>
      </w:r>
      <w:r>
        <w:rPr>
          <w:spacing w:val="-20"/>
          <w:w w:val="115"/>
        </w:rPr>
        <w:t> </w:t>
      </w:r>
      <w:r>
        <w:rPr>
          <w:rFonts w:ascii="Verdana" w:hAnsi="Verdana"/>
          <w:i/>
          <w:w w:val="115"/>
        </w:rPr>
        <w:t>Francovich</w:t>
      </w:r>
      <w:r>
        <w:rPr>
          <w:rFonts w:ascii="Verdana" w:hAnsi="Verdana"/>
          <w:i/>
          <w:spacing w:val="-25"/>
          <w:w w:val="115"/>
        </w:rPr>
        <w:t> </w:t>
      </w:r>
      <w:r>
        <w:rPr>
          <w:w w:val="115"/>
        </w:rPr>
        <w:t>–</w:t>
      </w:r>
      <w:r>
        <w:rPr>
          <w:spacing w:val="-19"/>
          <w:w w:val="115"/>
        </w:rPr>
        <w:t> </w:t>
      </w:r>
      <w:r>
        <w:rPr>
          <w:w w:val="115"/>
        </w:rPr>
        <w:t>a</w:t>
      </w:r>
      <w:r>
        <w:rPr>
          <w:spacing w:val="-20"/>
          <w:w w:val="115"/>
        </w:rPr>
        <w:t> </w:t>
      </w:r>
      <w:r>
        <w:rPr>
          <w:w w:val="115"/>
        </w:rPr>
        <w:t>course</w:t>
      </w:r>
      <w:r>
        <w:rPr>
          <w:spacing w:val="-19"/>
          <w:w w:val="115"/>
        </w:rPr>
        <w:t> </w:t>
      </w:r>
      <w:r>
        <w:rPr>
          <w:w w:val="115"/>
        </w:rPr>
        <w:t>of</w:t>
      </w:r>
      <w:r>
        <w:rPr>
          <w:spacing w:val="-19"/>
          <w:w w:val="115"/>
        </w:rPr>
        <w:t> </w:t>
      </w:r>
      <w:r>
        <w:rPr>
          <w:w w:val="115"/>
        </w:rPr>
        <w:t>action that</w:t>
      </w:r>
      <w:r>
        <w:rPr>
          <w:spacing w:val="-20"/>
          <w:w w:val="115"/>
        </w:rPr>
        <w:t> </w:t>
      </w:r>
      <w:r>
        <w:rPr>
          <w:w w:val="115"/>
        </w:rPr>
        <w:t>appears</w:t>
      </w:r>
      <w:r>
        <w:rPr>
          <w:spacing w:val="-19"/>
          <w:w w:val="115"/>
        </w:rPr>
        <w:t> </w:t>
      </w:r>
      <w:r>
        <w:rPr>
          <w:w w:val="115"/>
        </w:rPr>
        <w:t>suitable</w:t>
      </w:r>
      <w:r>
        <w:rPr>
          <w:spacing w:val="-19"/>
          <w:w w:val="115"/>
        </w:rPr>
        <w:t> </w:t>
      </w:r>
      <w:r>
        <w:rPr>
          <w:w w:val="115"/>
        </w:rPr>
        <w:t>in</w:t>
      </w:r>
      <w:r>
        <w:rPr>
          <w:spacing w:val="-19"/>
          <w:w w:val="115"/>
        </w:rPr>
        <w:t> </w:t>
      </w:r>
      <w:r>
        <w:rPr>
          <w:w w:val="115"/>
        </w:rPr>
        <w:t>this</w:t>
      </w:r>
      <w:r>
        <w:rPr>
          <w:spacing w:val="-19"/>
          <w:w w:val="115"/>
        </w:rPr>
        <w:t> </w:t>
      </w:r>
      <w:r>
        <w:rPr>
          <w:w w:val="115"/>
        </w:rPr>
        <w:t>context, considering the seriousness and</w:t>
      </w:r>
    </w:p>
    <w:p>
      <w:pPr>
        <w:pStyle w:val="BodyText"/>
        <w:spacing w:line="346" w:lineRule="exact"/>
        <w:rPr>
          <w:rFonts w:ascii="Lucida Sans Unicode"/>
        </w:rPr>
      </w:pPr>
      <w:r>
        <w:rPr>
          <w:rFonts w:ascii="Lucida Sans Unicode"/>
        </w:rPr>
        <w:t>financial</w:t>
      </w:r>
      <w:r>
        <w:rPr>
          <w:rFonts w:ascii="Lucida Sans Unicode"/>
          <w:spacing w:val="4"/>
        </w:rPr>
        <w:t> </w:t>
      </w:r>
      <w:r>
        <w:rPr>
          <w:rFonts w:ascii="Lucida Sans Unicode"/>
        </w:rPr>
        <w:t>quantifiability</w:t>
      </w:r>
      <w:r>
        <w:rPr>
          <w:rFonts w:ascii="Lucida Sans Unicode"/>
          <w:spacing w:val="5"/>
        </w:rPr>
        <w:t> </w:t>
      </w:r>
      <w:r>
        <w:rPr>
          <w:rFonts w:ascii="Lucida Sans Unicode"/>
        </w:rPr>
        <w:t>of</w:t>
      </w:r>
      <w:r>
        <w:rPr>
          <w:rFonts w:ascii="Lucida Sans Unicode"/>
          <w:spacing w:val="4"/>
        </w:rPr>
        <w:t> </w:t>
      </w:r>
      <w:r>
        <w:rPr>
          <w:rFonts w:ascii="Lucida Sans Unicode"/>
        </w:rPr>
        <w:t>the</w:t>
      </w:r>
      <w:r>
        <w:rPr>
          <w:rFonts w:ascii="Lucida Sans Unicode"/>
          <w:spacing w:val="5"/>
        </w:rPr>
        <w:t> </w:t>
      </w:r>
      <w:r>
        <w:rPr>
          <w:rFonts w:ascii="Lucida Sans Unicode"/>
          <w:spacing w:val="-2"/>
        </w:rPr>
        <w:t>damage.</w:t>
      </w:r>
    </w:p>
    <w:p>
      <w:pPr>
        <w:pStyle w:val="BodyText"/>
        <w:spacing w:line="310" w:lineRule="exact" w:before="49"/>
        <w:ind w:right="118"/>
      </w:pPr>
      <w:r>
        <w:rPr/>
        <w:br w:type="column"/>
      </w:r>
      <w:r>
        <w:rPr>
          <w:w w:val="110"/>
        </w:rPr>
        <w:t>However,</w:t>
      </w:r>
      <w:r>
        <w:rPr>
          <w:spacing w:val="-3"/>
          <w:w w:val="110"/>
        </w:rPr>
        <w:t> </w:t>
      </w:r>
      <w:r>
        <w:rPr>
          <w:w w:val="110"/>
        </w:rPr>
        <w:t>as</w:t>
      </w:r>
      <w:r>
        <w:rPr>
          <w:spacing w:val="-3"/>
          <w:w w:val="110"/>
        </w:rPr>
        <w:t> </w:t>
      </w:r>
      <w:r>
        <w:rPr>
          <w:w w:val="110"/>
        </w:rPr>
        <w:t>De</w:t>
      </w:r>
      <w:r>
        <w:rPr>
          <w:spacing w:val="-3"/>
          <w:w w:val="110"/>
        </w:rPr>
        <w:t> </w:t>
      </w:r>
      <w:r>
        <w:rPr>
          <w:w w:val="110"/>
        </w:rPr>
        <w:t>Mars</w:t>
      </w:r>
      <w:r>
        <w:rPr>
          <w:spacing w:val="-3"/>
          <w:w w:val="110"/>
        </w:rPr>
        <w:t> </w:t>
      </w:r>
      <w:r>
        <w:rPr>
          <w:w w:val="110"/>
        </w:rPr>
        <w:t>has</w:t>
      </w:r>
      <w:r>
        <w:rPr>
          <w:spacing w:val="-3"/>
          <w:w w:val="110"/>
        </w:rPr>
        <w:t> </w:t>
      </w:r>
      <w:r>
        <w:rPr>
          <w:w w:val="110"/>
        </w:rPr>
        <w:t>discussed</w:t>
      </w:r>
      <w:r>
        <w:rPr>
          <w:spacing w:val="-3"/>
          <w:w w:val="110"/>
        </w:rPr>
        <w:t> </w:t>
      </w:r>
      <w:r>
        <w:rPr>
          <w:w w:val="110"/>
        </w:rPr>
        <w:t>in </w:t>
      </w:r>
      <w:r>
        <w:rPr>
          <w:w w:val="115"/>
        </w:rPr>
        <w:t>greater depth, in the rest of the UK, </w:t>
      </w:r>
      <w:r>
        <w:rPr>
          <w:rFonts w:ascii="Lucida Sans Unicode"/>
          <w:w w:val="110"/>
        </w:rPr>
        <w:t>the</w:t>
      </w:r>
      <w:r>
        <w:rPr>
          <w:rFonts w:ascii="Lucida Sans Unicode"/>
          <w:spacing w:val="-21"/>
          <w:w w:val="110"/>
        </w:rPr>
        <w:t> </w:t>
      </w:r>
      <w:r>
        <w:rPr>
          <w:rFonts w:ascii="Lucida Sans Unicode"/>
          <w:w w:val="110"/>
        </w:rPr>
        <w:t>matter</w:t>
      </w:r>
      <w:r>
        <w:rPr>
          <w:rFonts w:ascii="Lucida Sans Unicode"/>
          <w:spacing w:val="-21"/>
          <w:w w:val="110"/>
        </w:rPr>
        <w:t> </w:t>
      </w:r>
      <w:r>
        <w:rPr>
          <w:rFonts w:ascii="Lucida Sans Unicode"/>
          <w:w w:val="110"/>
        </w:rPr>
        <w:t>is</w:t>
      </w:r>
      <w:r>
        <w:rPr>
          <w:rFonts w:ascii="Lucida Sans Unicode"/>
          <w:spacing w:val="-21"/>
          <w:w w:val="110"/>
        </w:rPr>
        <w:t> </w:t>
      </w:r>
      <w:r>
        <w:rPr>
          <w:rFonts w:ascii="Lucida Sans Unicode"/>
          <w:w w:val="110"/>
        </w:rPr>
        <w:t>governed</w:t>
      </w:r>
      <w:r>
        <w:rPr>
          <w:rFonts w:ascii="Lucida Sans Unicode"/>
          <w:spacing w:val="-21"/>
          <w:w w:val="110"/>
        </w:rPr>
        <w:t> </w:t>
      </w:r>
      <w:r>
        <w:rPr>
          <w:rFonts w:ascii="Lucida Sans Unicode"/>
          <w:w w:val="110"/>
        </w:rPr>
        <w:t>by</w:t>
      </w:r>
      <w:r>
        <w:rPr>
          <w:rFonts w:ascii="Lucida Sans Unicode"/>
          <w:spacing w:val="-21"/>
          <w:w w:val="110"/>
        </w:rPr>
        <w:t> </w:t>
      </w:r>
      <w:r>
        <w:rPr>
          <w:rFonts w:ascii="Lucida Sans Unicode"/>
          <w:w w:val="110"/>
        </w:rPr>
        <w:t>Schedule 8(39)</w:t>
      </w:r>
      <w:r>
        <w:rPr>
          <w:rFonts w:ascii="Lucida Sans Unicode"/>
          <w:spacing w:val="-5"/>
          <w:w w:val="110"/>
        </w:rPr>
        <w:t> </w:t>
      </w:r>
      <w:r>
        <w:rPr>
          <w:rFonts w:ascii="Lucida Sans Unicode"/>
          <w:w w:val="110"/>
        </w:rPr>
        <w:t>EUWA,</w:t>
      </w:r>
      <w:r>
        <w:rPr>
          <w:rFonts w:ascii="Lucida Sans Unicode"/>
          <w:spacing w:val="-5"/>
          <w:w w:val="110"/>
        </w:rPr>
        <w:t> </w:t>
      </w:r>
      <w:r>
        <w:rPr>
          <w:rFonts w:ascii="Lucida Sans Unicode"/>
          <w:w w:val="110"/>
        </w:rPr>
        <w:t>which</w:t>
      </w:r>
      <w:r>
        <w:rPr>
          <w:rFonts w:ascii="Lucida Sans Unicode"/>
          <w:spacing w:val="-5"/>
          <w:w w:val="110"/>
        </w:rPr>
        <w:t> </w:t>
      </w:r>
      <w:r>
        <w:rPr>
          <w:rFonts w:ascii="Lucida Sans Unicode"/>
          <w:w w:val="110"/>
        </w:rPr>
        <w:t>only</w:t>
      </w:r>
      <w:r>
        <w:rPr>
          <w:rFonts w:ascii="Lucida Sans Unicode"/>
          <w:spacing w:val="-5"/>
          <w:w w:val="110"/>
        </w:rPr>
        <w:t> </w:t>
      </w:r>
      <w:r>
        <w:rPr>
          <w:rFonts w:ascii="Lucida Sans Unicode"/>
          <w:w w:val="110"/>
        </w:rPr>
        <w:t>allowed </w:t>
      </w:r>
      <w:r>
        <w:rPr>
          <w:w w:val="115"/>
        </w:rPr>
        <w:t>damages</w:t>
      </w:r>
      <w:r>
        <w:rPr>
          <w:spacing w:val="-2"/>
          <w:w w:val="115"/>
        </w:rPr>
        <w:t> </w:t>
      </w:r>
      <w:r>
        <w:rPr>
          <w:w w:val="115"/>
        </w:rPr>
        <w:t>claims</w:t>
      </w:r>
      <w:r>
        <w:rPr>
          <w:spacing w:val="-2"/>
          <w:w w:val="115"/>
        </w:rPr>
        <w:t> </w:t>
      </w:r>
      <w:r>
        <w:rPr>
          <w:w w:val="115"/>
        </w:rPr>
        <w:t>to</w:t>
      </w:r>
      <w:r>
        <w:rPr>
          <w:spacing w:val="-2"/>
          <w:w w:val="115"/>
        </w:rPr>
        <w:t> </w:t>
      </w:r>
      <w:r>
        <w:rPr>
          <w:w w:val="115"/>
        </w:rPr>
        <w:t>be</w:t>
      </w:r>
      <w:r>
        <w:rPr>
          <w:spacing w:val="-2"/>
          <w:w w:val="115"/>
        </w:rPr>
        <w:t> </w:t>
      </w:r>
      <w:r>
        <w:rPr>
          <w:w w:val="115"/>
        </w:rPr>
        <w:t>brought</w:t>
      </w:r>
      <w:r>
        <w:rPr>
          <w:spacing w:val="-2"/>
          <w:w w:val="115"/>
        </w:rPr>
        <w:t> </w:t>
      </w:r>
      <w:r>
        <w:rPr>
          <w:w w:val="115"/>
        </w:rPr>
        <w:t>before domestic</w:t>
      </w:r>
      <w:r>
        <w:rPr>
          <w:spacing w:val="-11"/>
          <w:w w:val="115"/>
        </w:rPr>
        <w:t> </w:t>
      </w:r>
      <w:r>
        <w:rPr>
          <w:w w:val="115"/>
        </w:rPr>
        <w:t>courts</w:t>
      </w:r>
      <w:r>
        <w:rPr>
          <w:spacing w:val="-11"/>
          <w:w w:val="115"/>
        </w:rPr>
        <w:t> </w:t>
      </w:r>
      <w:r>
        <w:rPr>
          <w:w w:val="115"/>
        </w:rPr>
        <w:t>within</w:t>
      </w:r>
      <w:r>
        <w:rPr>
          <w:spacing w:val="-11"/>
          <w:w w:val="115"/>
        </w:rPr>
        <w:t> </w:t>
      </w:r>
      <w:r>
        <w:rPr>
          <w:w w:val="115"/>
        </w:rPr>
        <w:t>two</w:t>
      </w:r>
      <w:r>
        <w:rPr>
          <w:spacing w:val="-11"/>
          <w:w w:val="115"/>
        </w:rPr>
        <w:t> </w:t>
      </w:r>
      <w:r>
        <w:rPr>
          <w:w w:val="115"/>
        </w:rPr>
        <w:t>years</w:t>
      </w:r>
      <w:r>
        <w:rPr>
          <w:spacing w:val="-11"/>
          <w:w w:val="115"/>
        </w:rPr>
        <w:t> </w:t>
      </w:r>
      <w:r>
        <w:rPr>
          <w:w w:val="115"/>
        </w:rPr>
        <w:t>from the end of the transitional period,</w:t>
      </w:r>
    </w:p>
    <w:p>
      <w:pPr>
        <w:pStyle w:val="BodyText"/>
        <w:spacing w:line="310" w:lineRule="exact"/>
        <w:ind w:right="413"/>
      </w:pPr>
      <w:r>
        <w:rPr>
          <w:rFonts w:ascii="Lucida Sans Unicode"/>
          <w:w w:val="105"/>
        </w:rPr>
        <w:t>i.e.</w:t>
      </w:r>
      <w:r>
        <w:rPr>
          <w:rFonts w:ascii="Lucida Sans Unicode"/>
          <w:spacing w:val="-20"/>
          <w:w w:val="105"/>
        </w:rPr>
        <w:t> </w:t>
      </w:r>
      <w:r>
        <w:rPr>
          <w:rFonts w:ascii="Lucida Sans Unicode"/>
          <w:w w:val="105"/>
        </w:rPr>
        <w:t>until</w:t>
      </w:r>
      <w:r>
        <w:rPr>
          <w:rFonts w:ascii="Lucida Sans Unicode"/>
          <w:spacing w:val="-20"/>
          <w:w w:val="105"/>
        </w:rPr>
        <w:t> </w:t>
      </w:r>
      <w:r>
        <w:rPr>
          <w:rFonts w:ascii="Lucida Sans Unicode"/>
          <w:w w:val="105"/>
        </w:rPr>
        <w:t>31</w:t>
      </w:r>
      <w:r>
        <w:rPr>
          <w:rFonts w:ascii="Lucida Sans Unicode"/>
          <w:spacing w:val="-20"/>
          <w:w w:val="105"/>
        </w:rPr>
        <w:t> </w:t>
      </w:r>
      <w:r>
        <w:rPr>
          <w:rFonts w:ascii="Lucida Sans Unicode"/>
          <w:w w:val="105"/>
        </w:rPr>
        <w:t>December</w:t>
      </w:r>
      <w:r>
        <w:rPr>
          <w:rFonts w:ascii="Lucida Sans Unicode"/>
          <w:spacing w:val="-20"/>
          <w:w w:val="105"/>
        </w:rPr>
        <w:t> </w:t>
      </w:r>
      <w:r>
        <w:rPr>
          <w:rFonts w:ascii="Lucida Sans Unicode"/>
          <w:w w:val="105"/>
        </w:rPr>
        <w:t>2022.</w:t>
      </w:r>
      <w:r>
        <w:rPr>
          <w:rFonts w:ascii="Lucida Sans Unicode"/>
          <w:spacing w:val="-20"/>
          <w:w w:val="105"/>
        </w:rPr>
        <w:t> </w:t>
      </w:r>
      <w:r>
        <w:rPr>
          <w:rFonts w:ascii="Lucida Sans Unicode"/>
          <w:w w:val="105"/>
        </w:rPr>
        <w:t>Any </w:t>
      </w:r>
      <w:r>
        <w:rPr>
          <w:w w:val="105"/>
        </w:rPr>
        <w:t>future claims would not succeed.</w:t>
      </w:r>
      <w:r>
        <w:rPr>
          <w:rFonts w:ascii="Lucida Sans Unicode"/>
          <w:w w:val="105"/>
          <w:vertAlign w:val="superscript"/>
        </w:rPr>
        <w:t>336</w:t>
      </w:r>
      <w:r>
        <w:rPr>
          <w:rFonts w:ascii="Lucida Sans Unicode"/>
          <w:w w:val="105"/>
          <w:vertAlign w:val="baseline"/>
        </w:rPr>
        <w:t> </w:t>
      </w:r>
      <w:r>
        <w:rPr>
          <w:w w:val="105"/>
          <w:vertAlign w:val="baseline"/>
        </w:rPr>
        <w:t>Arguably,</w:t>
      </w:r>
      <w:r>
        <w:rPr>
          <w:spacing w:val="63"/>
          <w:w w:val="105"/>
          <w:vertAlign w:val="baseline"/>
        </w:rPr>
        <w:t> </w:t>
      </w:r>
      <w:r>
        <w:rPr>
          <w:w w:val="105"/>
          <w:vertAlign w:val="baseline"/>
        </w:rPr>
        <w:t>the</w:t>
      </w:r>
      <w:r>
        <w:rPr>
          <w:spacing w:val="64"/>
          <w:w w:val="105"/>
          <w:vertAlign w:val="baseline"/>
        </w:rPr>
        <w:t> </w:t>
      </w:r>
      <w:r>
        <w:rPr>
          <w:w w:val="105"/>
          <w:vertAlign w:val="baseline"/>
        </w:rPr>
        <w:t>situation</w:t>
      </w:r>
      <w:r>
        <w:rPr>
          <w:spacing w:val="64"/>
          <w:w w:val="105"/>
          <w:vertAlign w:val="baseline"/>
        </w:rPr>
        <w:t> </w:t>
      </w:r>
      <w:r>
        <w:rPr>
          <w:w w:val="105"/>
          <w:vertAlign w:val="baseline"/>
        </w:rPr>
        <w:t>is</w:t>
      </w:r>
      <w:r>
        <w:rPr>
          <w:spacing w:val="64"/>
          <w:w w:val="105"/>
          <w:vertAlign w:val="baseline"/>
        </w:rPr>
        <w:t> </w:t>
      </w:r>
      <w:r>
        <w:rPr>
          <w:w w:val="105"/>
          <w:vertAlign w:val="baseline"/>
        </w:rPr>
        <w:t>different</w:t>
      </w:r>
      <w:r>
        <w:rPr>
          <w:spacing w:val="80"/>
          <w:w w:val="150"/>
          <w:vertAlign w:val="baseline"/>
        </w:rPr>
        <w:t> </w:t>
      </w:r>
      <w:r>
        <w:rPr>
          <w:w w:val="105"/>
          <w:vertAlign w:val="baseline"/>
        </w:rPr>
        <w:t>in</w:t>
      </w:r>
      <w:r>
        <w:rPr>
          <w:spacing w:val="29"/>
          <w:w w:val="105"/>
          <w:vertAlign w:val="baseline"/>
        </w:rPr>
        <w:t> </w:t>
      </w:r>
      <w:r>
        <w:rPr>
          <w:w w:val="105"/>
          <w:vertAlign w:val="baseline"/>
        </w:rPr>
        <w:t>Northern</w:t>
      </w:r>
      <w:r>
        <w:rPr>
          <w:spacing w:val="30"/>
          <w:w w:val="105"/>
          <w:vertAlign w:val="baseline"/>
        </w:rPr>
        <w:t> </w:t>
      </w:r>
      <w:r>
        <w:rPr>
          <w:w w:val="105"/>
          <w:vertAlign w:val="baseline"/>
        </w:rPr>
        <w:t>Ireland</w:t>
      </w:r>
      <w:r>
        <w:rPr>
          <w:spacing w:val="29"/>
          <w:w w:val="105"/>
          <w:vertAlign w:val="baseline"/>
        </w:rPr>
        <w:t> </w:t>
      </w:r>
      <w:r>
        <w:rPr>
          <w:w w:val="105"/>
          <w:vertAlign w:val="baseline"/>
        </w:rPr>
        <w:t>as</w:t>
      </w:r>
      <w:r>
        <w:rPr>
          <w:spacing w:val="30"/>
          <w:w w:val="105"/>
          <w:vertAlign w:val="baseline"/>
        </w:rPr>
        <w:t> </w:t>
      </w:r>
      <w:r>
        <w:rPr>
          <w:w w:val="105"/>
          <w:vertAlign w:val="baseline"/>
        </w:rPr>
        <w:t>a</w:t>
      </w:r>
      <w:r>
        <w:rPr>
          <w:spacing w:val="29"/>
          <w:w w:val="105"/>
          <w:vertAlign w:val="baseline"/>
        </w:rPr>
        <w:t> </w:t>
      </w:r>
      <w:r>
        <w:rPr>
          <w:w w:val="105"/>
          <w:vertAlign w:val="baseline"/>
        </w:rPr>
        <w:t>result</w:t>
      </w:r>
      <w:r>
        <w:rPr>
          <w:spacing w:val="30"/>
          <w:w w:val="105"/>
          <w:vertAlign w:val="baseline"/>
        </w:rPr>
        <w:t> </w:t>
      </w:r>
      <w:r>
        <w:rPr>
          <w:w w:val="105"/>
          <w:vertAlign w:val="baseline"/>
        </w:rPr>
        <w:t>of</w:t>
      </w:r>
      <w:r>
        <w:rPr>
          <w:spacing w:val="29"/>
          <w:w w:val="105"/>
          <w:vertAlign w:val="baseline"/>
        </w:rPr>
        <w:t> </w:t>
      </w:r>
      <w:r>
        <w:rPr>
          <w:spacing w:val="-5"/>
          <w:w w:val="105"/>
          <w:vertAlign w:val="baseline"/>
        </w:rPr>
        <w:t>th</w:t>
      </w:r>
      <w:r>
        <w:rPr>
          <w:spacing w:val="-5"/>
          <w:w w:val="105"/>
          <w:vertAlign w:val="baseline"/>
        </w:rPr>
        <w:t>e</w:t>
      </w:r>
    </w:p>
    <w:p>
      <w:pPr>
        <w:pStyle w:val="BodyText"/>
        <w:spacing w:line="268" w:lineRule="auto" w:before="23"/>
        <w:ind w:right="317"/>
      </w:pPr>
      <w:r>
        <w:rPr>
          <w:w w:val="115"/>
        </w:rPr>
        <w:t>non-diminution</w:t>
      </w:r>
      <w:r>
        <w:rPr>
          <w:spacing w:val="-9"/>
          <w:w w:val="115"/>
        </w:rPr>
        <w:t> </w:t>
      </w:r>
      <w:r>
        <w:rPr>
          <w:w w:val="115"/>
        </w:rPr>
        <w:t>obligation</w:t>
      </w:r>
      <w:r>
        <w:rPr>
          <w:spacing w:val="-9"/>
          <w:w w:val="115"/>
        </w:rPr>
        <w:t> </w:t>
      </w:r>
      <w:r>
        <w:rPr>
          <w:w w:val="115"/>
        </w:rPr>
        <w:t>under</w:t>
      </w:r>
      <w:r>
        <w:rPr>
          <w:spacing w:val="-9"/>
          <w:w w:val="115"/>
        </w:rPr>
        <w:t> </w:t>
      </w:r>
      <w:r>
        <w:rPr>
          <w:w w:val="115"/>
        </w:rPr>
        <w:t>the Windsor Framework.</w:t>
      </w:r>
    </w:p>
    <w:p>
      <w:pPr>
        <w:pStyle w:val="BodyText"/>
        <w:spacing w:before="26"/>
        <w:ind w:left="0"/>
      </w:pPr>
    </w:p>
    <w:p>
      <w:pPr>
        <w:pStyle w:val="BodyText"/>
        <w:spacing w:line="252" w:lineRule="auto"/>
        <w:ind w:right="533"/>
        <w:rPr>
          <w:rFonts w:ascii="Lucida Sans Unicode"/>
        </w:rPr>
      </w:pPr>
      <w:r>
        <w:rPr>
          <w:w w:val="110"/>
        </w:rPr>
        <w:t>As Frantziou and Murray have noted, Child Tax Credit and Child </w:t>
      </w:r>
      <w:r>
        <w:rPr>
          <w:rFonts w:ascii="Lucida Sans Unicode"/>
        </w:rPr>
        <w:t>Benefit</w:t>
      </w:r>
      <w:r>
        <w:rPr>
          <w:rFonts w:ascii="Lucida Sans Unicode"/>
          <w:spacing w:val="18"/>
        </w:rPr>
        <w:t> </w:t>
      </w:r>
      <w:r>
        <w:rPr>
          <w:rFonts w:ascii="Lucida Sans Unicode"/>
        </w:rPr>
        <w:t>could</w:t>
      </w:r>
      <w:r>
        <w:rPr>
          <w:rFonts w:ascii="Lucida Sans Unicode"/>
          <w:spacing w:val="19"/>
        </w:rPr>
        <w:t> </w:t>
      </w:r>
      <w:r>
        <w:rPr>
          <w:rFonts w:ascii="Lucida Sans Unicode"/>
        </w:rPr>
        <w:t>be</w:t>
      </w:r>
      <w:r>
        <w:rPr>
          <w:rFonts w:ascii="Lucida Sans Unicode"/>
          <w:spacing w:val="19"/>
        </w:rPr>
        <w:t> </w:t>
      </w:r>
      <w:r>
        <w:rPr>
          <w:rFonts w:ascii="Lucida Sans Unicode"/>
        </w:rPr>
        <w:t>considered</w:t>
      </w:r>
      <w:r>
        <w:rPr>
          <w:rFonts w:ascii="Lucida Sans Unicode"/>
          <w:spacing w:val="19"/>
        </w:rPr>
        <w:t> </w:t>
      </w:r>
      <w:r>
        <w:rPr>
          <w:rFonts w:ascii="Lucida Sans Unicode"/>
        </w:rPr>
        <w:t>to</w:t>
      </w:r>
      <w:r>
        <w:rPr>
          <w:rFonts w:ascii="Lucida Sans Unicode"/>
          <w:spacing w:val="19"/>
        </w:rPr>
        <w:t> </w:t>
      </w:r>
      <w:r>
        <w:rPr>
          <w:rFonts w:ascii="Lucida Sans Unicode"/>
          <w:spacing w:val="-5"/>
        </w:rPr>
        <w:t>be</w:t>
      </w:r>
    </w:p>
    <w:p>
      <w:pPr>
        <w:pStyle w:val="BodyText"/>
        <w:spacing w:line="239" w:lineRule="exact"/>
      </w:pPr>
      <w:r>
        <w:rPr>
          <w:w w:val="115"/>
        </w:rPr>
        <w:t>captured</w:t>
      </w:r>
      <w:r>
        <w:rPr>
          <w:spacing w:val="-11"/>
          <w:w w:val="115"/>
        </w:rPr>
        <w:t> </w:t>
      </w:r>
      <w:r>
        <w:rPr>
          <w:w w:val="115"/>
        </w:rPr>
        <w:t>by</w:t>
      </w:r>
      <w:r>
        <w:rPr>
          <w:spacing w:val="-11"/>
          <w:w w:val="115"/>
        </w:rPr>
        <w:t> </w:t>
      </w:r>
      <w:r>
        <w:rPr>
          <w:w w:val="115"/>
        </w:rPr>
        <w:t>the</w:t>
      </w:r>
      <w:r>
        <w:rPr>
          <w:spacing w:val="-10"/>
          <w:w w:val="115"/>
        </w:rPr>
        <w:t> </w:t>
      </w:r>
      <w:r>
        <w:rPr>
          <w:w w:val="115"/>
        </w:rPr>
        <w:t>Belfast/Good</w:t>
      </w:r>
      <w:r>
        <w:rPr>
          <w:spacing w:val="-11"/>
          <w:w w:val="115"/>
        </w:rPr>
        <w:t> </w:t>
      </w:r>
      <w:r>
        <w:rPr>
          <w:spacing w:val="-2"/>
          <w:w w:val="115"/>
        </w:rPr>
        <w:t>Friday</w:t>
      </w:r>
    </w:p>
    <w:p>
      <w:pPr>
        <w:pStyle w:val="BodyText"/>
        <w:spacing w:line="310" w:lineRule="exact" w:before="11"/>
        <w:ind w:right="162"/>
      </w:pPr>
      <w:r>
        <w:rPr>
          <w:w w:val="115"/>
        </w:rPr>
        <w:t>Agreement’s concept of a right to ‘equal opportunity in all social and </w:t>
      </w:r>
      <w:r>
        <w:rPr>
          <w:w w:val="110"/>
        </w:rPr>
        <w:t>economic</w:t>
      </w:r>
      <w:r>
        <w:rPr>
          <w:spacing w:val="-8"/>
          <w:w w:val="110"/>
        </w:rPr>
        <w:t> </w:t>
      </w:r>
      <w:r>
        <w:rPr>
          <w:w w:val="110"/>
        </w:rPr>
        <w:t>activity’.</w:t>
      </w:r>
      <w:r>
        <w:rPr>
          <w:rFonts w:ascii="Lucida Sans Unicode" w:hAnsi="Lucida Sans Unicode"/>
          <w:w w:val="110"/>
          <w:vertAlign w:val="superscript"/>
        </w:rPr>
        <w:t>337</w:t>
      </w:r>
      <w:r>
        <w:rPr>
          <w:rFonts w:ascii="Lucida Sans Unicode" w:hAnsi="Lucida Sans Unicode"/>
          <w:spacing w:val="-18"/>
          <w:w w:val="110"/>
          <w:vertAlign w:val="baseline"/>
        </w:rPr>
        <w:t> </w:t>
      </w:r>
      <w:r>
        <w:rPr>
          <w:w w:val="110"/>
          <w:vertAlign w:val="baseline"/>
        </w:rPr>
        <w:t>It</w:t>
      </w:r>
      <w:r>
        <w:rPr>
          <w:spacing w:val="-8"/>
          <w:w w:val="110"/>
          <w:vertAlign w:val="baseline"/>
        </w:rPr>
        <w:t> </w:t>
      </w:r>
      <w:r>
        <w:rPr>
          <w:w w:val="110"/>
          <w:vertAlign w:val="baseline"/>
        </w:rPr>
        <w:t>has</w:t>
      </w:r>
      <w:r>
        <w:rPr>
          <w:spacing w:val="-8"/>
          <w:w w:val="110"/>
          <w:vertAlign w:val="baseline"/>
        </w:rPr>
        <w:t> </w:t>
      </w:r>
      <w:r>
        <w:rPr>
          <w:w w:val="110"/>
          <w:vertAlign w:val="baseline"/>
        </w:rPr>
        <w:t>since</w:t>
      </w:r>
      <w:r>
        <w:rPr>
          <w:spacing w:val="-8"/>
          <w:w w:val="110"/>
          <w:vertAlign w:val="baseline"/>
        </w:rPr>
        <w:t> </w:t>
      </w:r>
      <w:r>
        <w:rPr>
          <w:w w:val="110"/>
          <w:vertAlign w:val="baseline"/>
        </w:rPr>
        <w:t>been </w:t>
      </w:r>
      <w:r>
        <w:rPr>
          <w:rFonts w:ascii="Lucida Sans Unicode" w:hAnsi="Lucida Sans Unicode"/>
          <w:vertAlign w:val="baseline"/>
        </w:rPr>
        <w:t>affirmed that the provisions of the </w:t>
      </w:r>
      <w:r>
        <w:rPr>
          <w:w w:val="115"/>
          <w:vertAlign w:val="baseline"/>
        </w:rPr>
        <w:t>GFA</w:t>
      </w:r>
      <w:r>
        <w:rPr>
          <w:spacing w:val="-2"/>
          <w:w w:val="115"/>
          <w:vertAlign w:val="baseline"/>
        </w:rPr>
        <w:t> </w:t>
      </w:r>
      <w:r>
        <w:rPr>
          <w:w w:val="115"/>
          <w:vertAlign w:val="baseline"/>
        </w:rPr>
        <w:t>can</w:t>
      </w:r>
      <w:r>
        <w:rPr>
          <w:spacing w:val="-2"/>
          <w:w w:val="115"/>
          <w:vertAlign w:val="baseline"/>
        </w:rPr>
        <w:t> </w:t>
      </w:r>
      <w:r>
        <w:rPr>
          <w:w w:val="115"/>
          <w:vertAlign w:val="baseline"/>
        </w:rPr>
        <w:t>be</w:t>
      </w:r>
      <w:r>
        <w:rPr>
          <w:spacing w:val="-2"/>
          <w:w w:val="115"/>
          <w:vertAlign w:val="baseline"/>
        </w:rPr>
        <w:t> </w:t>
      </w:r>
      <w:r>
        <w:rPr>
          <w:w w:val="115"/>
          <w:vertAlign w:val="baseline"/>
        </w:rPr>
        <w:t>invoked</w:t>
      </w:r>
      <w:r>
        <w:rPr>
          <w:spacing w:val="-2"/>
          <w:w w:val="115"/>
          <w:vertAlign w:val="baseline"/>
        </w:rPr>
        <w:t> </w:t>
      </w:r>
      <w:r>
        <w:rPr>
          <w:w w:val="115"/>
          <w:vertAlign w:val="baseline"/>
        </w:rPr>
        <w:t>by</w:t>
      </w:r>
      <w:r>
        <w:rPr>
          <w:spacing w:val="-2"/>
          <w:w w:val="115"/>
          <w:vertAlign w:val="baseline"/>
        </w:rPr>
        <w:t> </w:t>
      </w:r>
      <w:r>
        <w:rPr>
          <w:w w:val="115"/>
          <w:vertAlign w:val="baseline"/>
        </w:rPr>
        <w:t>any</w:t>
      </w:r>
      <w:r>
        <w:rPr>
          <w:spacing w:val="-2"/>
          <w:w w:val="115"/>
          <w:vertAlign w:val="baseline"/>
        </w:rPr>
        <w:t> </w:t>
      </w:r>
      <w:r>
        <w:rPr>
          <w:w w:val="115"/>
          <w:vertAlign w:val="baseline"/>
        </w:rPr>
        <w:t>member of the community in Northern Ireland and not just parties to the sectarian </w:t>
      </w:r>
      <w:r>
        <w:rPr>
          <w:rFonts w:ascii="Lucida Sans Unicode" w:hAnsi="Lucida Sans Unicode"/>
          <w:w w:val="110"/>
          <w:vertAlign w:val="baseline"/>
        </w:rPr>
        <w:t>conflict.</w:t>
      </w:r>
      <w:r>
        <w:rPr>
          <w:rFonts w:ascii="Lucida Sans Unicode" w:hAnsi="Lucida Sans Unicode"/>
          <w:w w:val="110"/>
          <w:vertAlign w:val="superscript"/>
        </w:rPr>
        <w:t>338</w:t>
      </w:r>
      <w:r>
        <w:rPr>
          <w:rFonts w:ascii="Lucida Sans Unicode" w:hAnsi="Lucida Sans Unicode"/>
          <w:w w:val="110"/>
          <w:vertAlign w:val="baseline"/>
        </w:rPr>
        <w:t> </w:t>
      </w:r>
      <w:r>
        <w:rPr>
          <w:w w:val="110"/>
          <w:vertAlign w:val="baseline"/>
        </w:rPr>
        <w:t>The wrongful requirement </w:t>
      </w:r>
      <w:r>
        <w:rPr>
          <w:w w:val="115"/>
          <w:vertAlign w:val="baseline"/>
        </w:rPr>
        <w:t>of</w:t>
      </w:r>
      <w:r>
        <w:rPr>
          <w:spacing w:val="-20"/>
          <w:w w:val="115"/>
          <w:vertAlign w:val="baseline"/>
        </w:rPr>
        <w:t> </w:t>
      </w:r>
      <w:r>
        <w:rPr>
          <w:w w:val="115"/>
          <w:vertAlign w:val="baseline"/>
        </w:rPr>
        <w:t>comprehensive</w:t>
      </w:r>
      <w:r>
        <w:rPr>
          <w:spacing w:val="-19"/>
          <w:w w:val="115"/>
          <w:vertAlign w:val="baseline"/>
        </w:rPr>
        <w:t> </w:t>
      </w:r>
      <w:r>
        <w:rPr>
          <w:w w:val="115"/>
          <w:vertAlign w:val="baseline"/>
        </w:rPr>
        <w:t>sickness</w:t>
      </w:r>
      <w:r>
        <w:rPr>
          <w:spacing w:val="-19"/>
          <w:w w:val="115"/>
          <w:vertAlign w:val="baseline"/>
        </w:rPr>
        <w:t> </w:t>
      </w:r>
      <w:r>
        <w:rPr>
          <w:w w:val="115"/>
          <w:vertAlign w:val="baseline"/>
        </w:rPr>
        <w:t>insurance thus prevented EU migrants living in Northern Ireland from being able to </w:t>
      </w:r>
      <w:r>
        <w:rPr>
          <w:rFonts w:ascii="Lucida Sans Unicode" w:hAnsi="Lucida Sans Unicode"/>
          <w:vertAlign w:val="baseline"/>
        </w:rPr>
        <w:t>enjoy the full benefit of public health </w:t>
      </w:r>
      <w:r>
        <w:rPr>
          <w:w w:val="115"/>
          <w:vertAlign w:val="baseline"/>
        </w:rPr>
        <w:t>provision and the aforementioned </w:t>
      </w:r>
      <w:r>
        <w:rPr>
          <w:rFonts w:ascii="Lucida Sans Unicode" w:hAnsi="Lucida Sans Unicode"/>
          <w:vertAlign w:val="baseline"/>
        </w:rPr>
        <w:t>social security benefits to which their </w:t>
      </w:r>
      <w:r>
        <w:rPr>
          <w:w w:val="115"/>
          <w:vertAlign w:val="baseline"/>
        </w:rPr>
        <w:t>status should have entitled them. In turn, the non-diminution requirement could operate in Northern Ireland</w:t>
      </w:r>
    </w:p>
    <w:p>
      <w:pPr>
        <w:pStyle w:val="BodyText"/>
        <w:spacing w:line="268" w:lineRule="auto" w:before="23"/>
        <w:ind w:right="317"/>
      </w:pPr>
      <w:r>
        <w:rPr>
          <w:w w:val="120"/>
        </w:rPr>
        <w:t>to correct substantively the </w:t>
      </w:r>
      <w:r>
        <w:rPr>
          <w:w w:val="115"/>
        </w:rPr>
        <w:t>interpretation of the directive </w:t>
      </w:r>
      <w:r>
        <w:rPr>
          <w:w w:val="115"/>
        </w:rPr>
        <w:t>for</w:t>
      </w:r>
    </w:p>
    <w:p>
      <w:pPr>
        <w:spacing w:after="0" w:line="268" w:lineRule="auto"/>
        <w:sectPr>
          <w:type w:val="continuous"/>
          <w:pgSz w:w="11910" w:h="16840"/>
          <w:pgMar w:header="568" w:footer="580" w:top="0" w:bottom="280" w:left="1020" w:right="1020"/>
          <w:cols w:num="2" w:equalWidth="0">
            <w:col w:w="4716" w:space="330"/>
            <w:col w:w="4824"/>
          </w:cols>
        </w:sectPr>
      </w:pPr>
    </w:p>
    <w:p>
      <w:pPr>
        <w:pStyle w:val="BodyText"/>
        <w:spacing w:before="86"/>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200" name="Group 200"/>
                <wp:cNvGraphicFramePr>
                  <a:graphicFrameLocks/>
                </wp:cNvGraphicFramePr>
                <a:graphic>
                  <a:graphicData uri="http://schemas.microsoft.com/office/word/2010/wordprocessingGroup">
                    <wpg:wgp>
                      <wpg:cNvPr id="200" name="Group 200"/>
                      <wpg:cNvGrpSpPr/>
                      <wpg:grpSpPr>
                        <a:xfrm>
                          <a:off x="0" y="0"/>
                          <a:ext cx="6120130" cy="6350"/>
                          <a:chExt cx="6120130" cy="6350"/>
                        </a:xfrm>
                      </wpg:grpSpPr>
                      <wps:wsp>
                        <wps:cNvPr id="201" name="Graphic 201"/>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119"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14"/>
        </w:numPr>
        <w:tabs>
          <w:tab w:pos="566" w:val="left" w:leader="none"/>
        </w:tabs>
        <w:spacing w:line="223" w:lineRule="exact" w:before="61" w:after="0"/>
        <w:ind w:left="566" w:right="0" w:hanging="453"/>
        <w:jc w:val="left"/>
        <w:rPr>
          <w:sz w:val="16"/>
        </w:rPr>
      </w:pPr>
      <w:r>
        <w:rPr>
          <w:rFonts w:ascii="Verdana"/>
          <w:i/>
          <w:spacing w:val="-2"/>
          <w:sz w:val="16"/>
        </w:rPr>
        <w:t>Ibid</w:t>
      </w:r>
      <w:r>
        <w:rPr>
          <w:spacing w:val="-2"/>
          <w:sz w:val="16"/>
        </w:rPr>
        <w:t>,</w:t>
      </w:r>
      <w:r>
        <w:rPr>
          <w:spacing w:val="-5"/>
          <w:sz w:val="16"/>
        </w:rPr>
        <w:t> </w:t>
      </w:r>
      <w:r>
        <w:rPr>
          <w:spacing w:val="-2"/>
          <w:sz w:val="16"/>
        </w:rPr>
        <w:t>paras</w:t>
      </w:r>
      <w:r>
        <w:rPr>
          <w:spacing w:val="-5"/>
          <w:sz w:val="16"/>
        </w:rPr>
        <w:t> </w:t>
      </w:r>
      <w:r>
        <w:rPr>
          <w:spacing w:val="-2"/>
          <w:sz w:val="16"/>
        </w:rPr>
        <w:t>59-</w:t>
      </w:r>
      <w:r>
        <w:rPr>
          <w:spacing w:val="-5"/>
          <w:sz w:val="16"/>
        </w:rPr>
        <w:t>60.</w:t>
      </w:r>
    </w:p>
    <w:p>
      <w:pPr>
        <w:pStyle w:val="ListParagraph"/>
        <w:numPr>
          <w:ilvl w:val="0"/>
          <w:numId w:val="14"/>
        </w:numPr>
        <w:tabs>
          <w:tab w:pos="565" w:val="left" w:leader="none"/>
        </w:tabs>
        <w:spacing w:line="200" w:lineRule="exact" w:before="0" w:after="0"/>
        <w:ind w:left="565" w:right="0" w:hanging="452"/>
        <w:jc w:val="left"/>
        <w:rPr>
          <w:sz w:val="16"/>
        </w:rPr>
      </w:pPr>
      <w:r>
        <w:rPr>
          <w:rFonts w:ascii="Verdana"/>
          <w:i/>
          <w:spacing w:val="-4"/>
          <w:sz w:val="16"/>
        </w:rPr>
        <w:t>Ibid</w:t>
      </w:r>
      <w:r>
        <w:rPr>
          <w:spacing w:val="-4"/>
          <w:sz w:val="16"/>
        </w:rPr>
        <w:t>,</w:t>
      </w:r>
      <w:r>
        <w:rPr>
          <w:spacing w:val="-3"/>
          <w:sz w:val="16"/>
        </w:rPr>
        <w:t> </w:t>
      </w:r>
      <w:r>
        <w:rPr>
          <w:spacing w:val="-4"/>
          <w:sz w:val="16"/>
        </w:rPr>
        <w:t>paras</w:t>
      </w:r>
      <w:r>
        <w:rPr>
          <w:spacing w:val="-2"/>
          <w:sz w:val="16"/>
        </w:rPr>
        <w:t> </w:t>
      </w:r>
      <w:r>
        <w:rPr>
          <w:spacing w:val="-4"/>
          <w:sz w:val="16"/>
        </w:rPr>
        <w:t>69-</w:t>
      </w:r>
      <w:r>
        <w:rPr>
          <w:spacing w:val="-5"/>
          <w:sz w:val="16"/>
        </w:rPr>
        <w:t>70.</w:t>
      </w:r>
    </w:p>
    <w:p>
      <w:pPr>
        <w:pStyle w:val="ListParagraph"/>
        <w:numPr>
          <w:ilvl w:val="0"/>
          <w:numId w:val="14"/>
        </w:numPr>
        <w:tabs>
          <w:tab w:pos="567" w:val="left" w:leader="none"/>
        </w:tabs>
        <w:spacing w:line="206" w:lineRule="auto" w:before="2" w:after="0"/>
        <w:ind w:left="567" w:right="116" w:hanging="454"/>
        <w:jc w:val="left"/>
        <w:rPr>
          <w:rFonts w:ascii="Arial" w:hAnsi="Arial"/>
          <w:sz w:val="16"/>
        </w:rPr>
      </w:pPr>
      <w:r>
        <w:rPr>
          <w:w w:val="105"/>
          <w:sz w:val="16"/>
        </w:rPr>
        <w:t>Sylvia</w:t>
      </w:r>
      <w:r>
        <w:rPr>
          <w:spacing w:val="-14"/>
          <w:w w:val="105"/>
          <w:sz w:val="16"/>
        </w:rPr>
        <w:t> </w:t>
      </w:r>
      <w:r>
        <w:rPr>
          <w:w w:val="105"/>
          <w:sz w:val="16"/>
        </w:rPr>
        <w:t>de</w:t>
      </w:r>
      <w:r>
        <w:rPr>
          <w:spacing w:val="-13"/>
          <w:w w:val="105"/>
          <w:sz w:val="16"/>
        </w:rPr>
        <w:t> </w:t>
      </w:r>
      <w:r>
        <w:rPr>
          <w:w w:val="105"/>
          <w:sz w:val="16"/>
        </w:rPr>
        <w:t>Mars,</w:t>
      </w:r>
      <w:r>
        <w:rPr>
          <w:spacing w:val="-13"/>
          <w:w w:val="105"/>
          <w:sz w:val="16"/>
        </w:rPr>
        <w:t> </w:t>
      </w:r>
      <w:r>
        <w:rPr>
          <w:w w:val="105"/>
          <w:sz w:val="16"/>
        </w:rPr>
        <w:t>A</w:t>
      </w:r>
      <w:r>
        <w:rPr>
          <w:spacing w:val="-14"/>
          <w:w w:val="105"/>
          <w:sz w:val="16"/>
        </w:rPr>
        <w:t> </w:t>
      </w:r>
      <w:r>
        <w:rPr>
          <w:w w:val="105"/>
          <w:sz w:val="16"/>
        </w:rPr>
        <w:t>Last-Minute</w:t>
      </w:r>
      <w:r>
        <w:rPr>
          <w:spacing w:val="-13"/>
          <w:w w:val="105"/>
          <w:sz w:val="16"/>
        </w:rPr>
        <w:t> </w:t>
      </w:r>
      <w:r>
        <w:rPr>
          <w:w w:val="105"/>
          <w:sz w:val="16"/>
        </w:rPr>
        <w:t>Postscript:</w:t>
      </w:r>
      <w:r>
        <w:rPr>
          <w:spacing w:val="-13"/>
          <w:w w:val="105"/>
          <w:sz w:val="16"/>
        </w:rPr>
        <w:t> </w:t>
      </w:r>
      <w:r>
        <w:rPr>
          <w:w w:val="105"/>
          <w:sz w:val="16"/>
        </w:rPr>
        <w:t>the</w:t>
      </w:r>
      <w:r>
        <w:rPr>
          <w:spacing w:val="-14"/>
          <w:w w:val="105"/>
          <w:sz w:val="16"/>
        </w:rPr>
        <w:t> </w:t>
      </w:r>
      <w:r>
        <w:rPr>
          <w:w w:val="105"/>
          <w:sz w:val="16"/>
        </w:rPr>
        <w:t>CJEU</w:t>
      </w:r>
      <w:r>
        <w:rPr>
          <w:spacing w:val="-13"/>
          <w:w w:val="105"/>
          <w:sz w:val="16"/>
        </w:rPr>
        <w:t> </w:t>
      </w:r>
      <w:r>
        <w:rPr>
          <w:w w:val="105"/>
          <w:sz w:val="16"/>
        </w:rPr>
        <w:t>finally</w:t>
      </w:r>
      <w:r>
        <w:rPr>
          <w:spacing w:val="-13"/>
          <w:w w:val="105"/>
          <w:sz w:val="16"/>
        </w:rPr>
        <w:t> </w:t>
      </w:r>
      <w:r>
        <w:rPr>
          <w:w w:val="105"/>
          <w:sz w:val="16"/>
        </w:rPr>
        <w:t>dares</w:t>
      </w:r>
      <w:r>
        <w:rPr>
          <w:spacing w:val="-13"/>
          <w:w w:val="105"/>
          <w:sz w:val="16"/>
        </w:rPr>
        <w:t> </w:t>
      </w:r>
      <w:r>
        <w:rPr>
          <w:w w:val="105"/>
          <w:sz w:val="16"/>
        </w:rPr>
        <w:t>to</w:t>
      </w:r>
      <w:r>
        <w:rPr>
          <w:spacing w:val="-14"/>
          <w:w w:val="105"/>
          <w:sz w:val="16"/>
        </w:rPr>
        <w:t> </w:t>
      </w:r>
      <w:r>
        <w:rPr>
          <w:w w:val="105"/>
          <w:sz w:val="16"/>
        </w:rPr>
        <w:t>find</w:t>
      </w:r>
      <w:r>
        <w:rPr>
          <w:spacing w:val="-13"/>
          <w:w w:val="105"/>
          <w:sz w:val="16"/>
        </w:rPr>
        <w:t> </w:t>
      </w:r>
      <w:r>
        <w:rPr>
          <w:w w:val="105"/>
          <w:sz w:val="16"/>
        </w:rPr>
        <w:t>that</w:t>
      </w:r>
      <w:r>
        <w:rPr>
          <w:spacing w:val="-13"/>
          <w:w w:val="105"/>
          <w:sz w:val="16"/>
        </w:rPr>
        <w:t> </w:t>
      </w:r>
      <w:r>
        <w:rPr>
          <w:w w:val="105"/>
          <w:sz w:val="16"/>
        </w:rPr>
        <w:t>the</w:t>
      </w:r>
      <w:r>
        <w:rPr>
          <w:spacing w:val="-14"/>
          <w:w w:val="105"/>
          <w:sz w:val="16"/>
        </w:rPr>
        <w:t> </w:t>
      </w:r>
      <w:r>
        <w:rPr>
          <w:w w:val="105"/>
          <w:sz w:val="16"/>
        </w:rPr>
        <w:t>NHS</w:t>
      </w:r>
      <w:r>
        <w:rPr>
          <w:spacing w:val="-13"/>
          <w:w w:val="105"/>
          <w:sz w:val="16"/>
        </w:rPr>
        <w:t> </w:t>
      </w:r>
      <w:r>
        <w:rPr>
          <w:w w:val="105"/>
          <w:sz w:val="16"/>
        </w:rPr>
        <w:t>is</w:t>
      </w:r>
      <w:r>
        <w:rPr>
          <w:spacing w:val="-13"/>
          <w:w w:val="105"/>
          <w:sz w:val="16"/>
        </w:rPr>
        <w:t> </w:t>
      </w:r>
      <w:r>
        <w:rPr>
          <w:w w:val="105"/>
          <w:sz w:val="16"/>
        </w:rPr>
        <w:t>a</w:t>
      </w:r>
      <w:r>
        <w:rPr>
          <w:spacing w:val="-13"/>
          <w:w w:val="105"/>
          <w:sz w:val="16"/>
        </w:rPr>
        <w:t> </w:t>
      </w:r>
      <w:r>
        <w:rPr>
          <w:w w:val="105"/>
          <w:sz w:val="16"/>
        </w:rPr>
        <w:t>provider</w:t>
      </w:r>
      <w:r>
        <w:rPr>
          <w:spacing w:val="-14"/>
          <w:w w:val="105"/>
          <w:sz w:val="16"/>
        </w:rPr>
        <w:t> </w:t>
      </w:r>
      <w:r>
        <w:rPr>
          <w:w w:val="105"/>
          <w:sz w:val="16"/>
        </w:rPr>
        <w:t>of</w:t>
      </w:r>
      <w:r>
        <w:rPr>
          <w:spacing w:val="-13"/>
          <w:w w:val="105"/>
          <w:sz w:val="16"/>
        </w:rPr>
        <w:t> </w:t>
      </w:r>
      <w:r>
        <w:rPr>
          <w:w w:val="105"/>
          <w:sz w:val="16"/>
        </w:rPr>
        <w:t>‘comprehensive </w:t>
      </w:r>
      <w:r>
        <w:rPr>
          <w:sz w:val="16"/>
        </w:rPr>
        <w:t>sickness insurance’ (EU Law Analysis, 18 March 2022), available at: </w:t>
      </w:r>
      <w:hyperlink r:id="rId45">
        <w:r>
          <w:rPr>
            <w:color w:val="77328A"/>
            <w:sz w:val="16"/>
            <w:u w:val="single" w:color="77328A"/>
          </w:rPr>
          <w:t>https://eulawanalysis.blogspot.com/2022/03/a-</w:t>
        </w:r>
      </w:hyperlink>
      <w:r>
        <w:rPr>
          <w:color w:val="77328A"/>
          <w:sz w:val="16"/>
          <w:u w:val="none"/>
        </w:rPr>
        <w:t> </w:t>
      </w:r>
      <w:hyperlink r:id="rId45">
        <w:r>
          <w:rPr>
            <w:rFonts w:ascii="Arial" w:hAnsi="Arial"/>
            <w:color w:val="77328A"/>
            <w:spacing w:val="-2"/>
            <w:w w:val="105"/>
            <w:sz w:val="16"/>
            <w:u w:val="none"/>
          </w:rPr>
          <w:t>possibly-pointless-postscript-cjeu.html</w:t>
        </w:r>
      </w:hyperlink>
      <w:r>
        <w:rPr>
          <w:rFonts w:ascii="Arial" w:hAnsi="Arial"/>
          <w:spacing w:val="-2"/>
          <w:w w:val="105"/>
          <w:sz w:val="16"/>
          <w:u w:val="none"/>
        </w:rPr>
        <w:t>.</w:t>
      </w:r>
    </w:p>
    <w:p>
      <w:pPr>
        <w:pStyle w:val="BodyText"/>
        <w:spacing w:line="20" w:lineRule="exact"/>
        <w:ind w:left="567"/>
        <w:rPr>
          <w:sz w:val="2"/>
        </w:rPr>
      </w:pPr>
      <w:r>
        <w:rPr>
          <w:sz w:val="2"/>
        </w:rPr>
        <mc:AlternateContent>
          <mc:Choice Requires="wps">
            <w:drawing>
              <wp:inline distT="0" distB="0" distL="0" distR="0">
                <wp:extent cx="1955800" cy="2540"/>
                <wp:effectExtent l="9525" t="0" r="0" b="6985"/>
                <wp:docPr id="202" name="Group 202"/>
                <wp:cNvGraphicFramePr>
                  <a:graphicFrameLocks/>
                </wp:cNvGraphicFramePr>
                <a:graphic>
                  <a:graphicData uri="http://schemas.microsoft.com/office/word/2010/wordprocessingGroup">
                    <wpg:wgp>
                      <wpg:cNvPr id="202" name="Group 202"/>
                      <wpg:cNvGrpSpPr/>
                      <wpg:grpSpPr>
                        <a:xfrm>
                          <a:off x="0" y="0"/>
                          <a:ext cx="1955800" cy="2540"/>
                          <a:chExt cx="1955800" cy="2540"/>
                        </a:xfrm>
                      </wpg:grpSpPr>
                      <wps:wsp>
                        <wps:cNvPr id="203" name="Graphic 203"/>
                        <wps:cNvSpPr/>
                        <wps:spPr>
                          <a:xfrm>
                            <a:off x="0" y="1015"/>
                            <a:ext cx="1955800" cy="1270"/>
                          </a:xfrm>
                          <a:custGeom>
                            <a:avLst/>
                            <a:gdLst/>
                            <a:ahLst/>
                            <a:cxnLst/>
                            <a:rect l="l" t="t" r="r" b="b"/>
                            <a:pathLst>
                              <a:path w="1955800" h="0">
                                <a:moveTo>
                                  <a:pt x="0" y="0"/>
                                </a:moveTo>
                                <a:lnTo>
                                  <a:pt x="1955558" y="0"/>
                                </a:lnTo>
                              </a:path>
                            </a:pathLst>
                          </a:custGeom>
                          <a:ln w="2032">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154pt;height:.2pt;mso-position-horizontal-relative:char;mso-position-vertical-relative:line" id="docshapegroup120" coordorigin="0,0" coordsize="3080,4">
                <v:line style="position:absolute" from="0,2" to="3080,2" stroked="true" strokeweight=".16pt" strokecolor="#77328a">
                  <v:stroke dashstyle="solid"/>
                </v:line>
              </v:group>
            </w:pict>
          </mc:Fallback>
        </mc:AlternateContent>
      </w:r>
      <w:r>
        <w:rPr>
          <w:sz w:val="2"/>
        </w:rPr>
      </w:r>
    </w:p>
    <w:p>
      <w:pPr>
        <w:pStyle w:val="ListParagraph"/>
        <w:numPr>
          <w:ilvl w:val="0"/>
          <w:numId w:val="14"/>
        </w:numPr>
        <w:tabs>
          <w:tab w:pos="567" w:val="left" w:leader="none"/>
        </w:tabs>
        <w:spacing w:line="197" w:lineRule="exact" w:before="0" w:after="0"/>
        <w:ind w:left="567" w:right="125" w:hanging="454"/>
        <w:jc w:val="left"/>
        <w:rPr>
          <w:rFonts w:ascii="Arial" w:hAnsi="Arial"/>
          <w:sz w:val="16"/>
        </w:rPr>
      </w:pPr>
      <w:r>
        <w:rPr/>
        <mc:AlternateContent>
          <mc:Choice Requires="wps">
            <w:drawing>
              <wp:anchor distT="0" distB="0" distL="0" distR="0" allowOverlap="1" layoutInCell="1" locked="0" behindDoc="1" simplePos="0" relativeHeight="485772288">
                <wp:simplePos x="0" y="0"/>
                <wp:positionH relativeFrom="page">
                  <wp:posOffset>2977793</wp:posOffset>
                </wp:positionH>
                <wp:positionV relativeFrom="paragraph">
                  <wp:posOffset>369112</wp:posOffset>
                </wp:positionV>
                <wp:extent cx="3766820" cy="1270"/>
                <wp:effectExtent l="0" t="0" r="0" b="0"/>
                <wp:wrapNone/>
                <wp:docPr id="204" name="Graphic 204"/>
                <wp:cNvGraphicFramePr>
                  <a:graphicFrameLocks/>
                </wp:cNvGraphicFramePr>
                <a:graphic>
                  <a:graphicData uri="http://schemas.microsoft.com/office/word/2010/wordprocessingShape">
                    <wps:wsp>
                      <wps:cNvPr id="204" name="Graphic 204"/>
                      <wps:cNvSpPr/>
                      <wps:spPr>
                        <a:xfrm>
                          <a:off x="0" y="0"/>
                          <a:ext cx="3766820" cy="1270"/>
                        </a:xfrm>
                        <a:custGeom>
                          <a:avLst/>
                          <a:gdLst/>
                          <a:ahLst/>
                          <a:cxnLst/>
                          <a:rect l="l" t="t" r="r" b="b"/>
                          <a:pathLst>
                            <a:path w="3766820" h="0">
                              <a:moveTo>
                                <a:pt x="0" y="0"/>
                              </a:moveTo>
                              <a:lnTo>
                                <a:pt x="3766578" y="0"/>
                              </a:lnTo>
                            </a:path>
                          </a:pathLst>
                        </a:custGeom>
                        <a:ln w="2032">
                          <a:solidFill>
                            <a:srgbClr val="77328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544192" from="234.471893pt,29.064001pt" to="531.052893pt,29.064001pt" stroked="true" strokeweight=".16pt" strokecolor="#77328a">
                <v:stroke dashstyle="solid"/>
                <w10:wrap type="none"/>
              </v:line>
            </w:pict>
          </mc:Fallback>
        </mc:AlternateContent>
      </w:r>
      <w:r>
        <w:rPr>
          <w:spacing w:val="-2"/>
          <w:w w:val="105"/>
          <w:sz w:val="16"/>
        </w:rPr>
        <w:t>Eleni</w:t>
      </w:r>
      <w:r>
        <w:rPr>
          <w:spacing w:val="-5"/>
          <w:w w:val="105"/>
          <w:sz w:val="16"/>
        </w:rPr>
        <w:t> </w:t>
      </w:r>
      <w:r>
        <w:rPr>
          <w:spacing w:val="-2"/>
          <w:w w:val="105"/>
          <w:sz w:val="16"/>
        </w:rPr>
        <w:t>Frantziou</w:t>
      </w:r>
      <w:r>
        <w:rPr>
          <w:spacing w:val="-5"/>
          <w:w w:val="105"/>
          <w:sz w:val="16"/>
        </w:rPr>
        <w:t> </w:t>
      </w:r>
      <w:r>
        <w:rPr>
          <w:spacing w:val="-2"/>
          <w:w w:val="105"/>
          <w:sz w:val="16"/>
        </w:rPr>
        <w:t>and</w:t>
      </w:r>
      <w:r>
        <w:rPr>
          <w:spacing w:val="-5"/>
          <w:w w:val="105"/>
          <w:sz w:val="16"/>
        </w:rPr>
        <w:t> </w:t>
      </w:r>
      <w:r>
        <w:rPr>
          <w:spacing w:val="-2"/>
          <w:w w:val="105"/>
          <w:sz w:val="16"/>
        </w:rPr>
        <w:t>Colin</w:t>
      </w:r>
      <w:r>
        <w:rPr>
          <w:spacing w:val="-5"/>
          <w:w w:val="105"/>
          <w:sz w:val="16"/>
        </w:rPr>
        <w:t> </w:t>
      </w:r>
      <w:r>
        <w:rPr>
          <w:spacing w:val="-2"/>
          <w:w w:val="105"/>
          <w:sz w:val="16"/>
        </w:rPr>
        <w:t>Murray,</w:t>
      </w:r>
      <w:r>
        <w:rPr>
          <w:spacing w:val="-5"/>
          <w:w w:val="105"/>
          <w:sz w:val="16"/>
        </w:rPr>
        <w:t> </w:t>
      </w:r>
      <w:r>
        <w:rPr>
          <w:spacing w:val="-2"/>
          <w:w w:val="105"/>
          <w:sz w:val="16"/>
        </w:rPr>
        <w:t>C-247/20</w:t>
      </w:r>
      <w:r>
        <w:rPr>
          <w:spacing w:val="-5"/>
          <w:w w:val="105"/>
          <w:sz w:val="16"/>
        </w:rPr>
        <w:t> </w:t>
      </w:r>
      <w:r>
        <w:rPr>
          <w:spacing w:val="-2"/>
          <w:w w:val="105"/>
          <w:sz w:val="16"/>
        </w:rPr>
        <w:t>VI</w:t>
      </w:r>
      <w:r>
        <w:rPr>
          <w:spacing w:val="-5"/>
          <w:w w:val="105"/>
          <w:sz w:val="16"/>
        </w:rPr>
        <w:t> </w:t>
      </w:r>
      <w:r>
        <w:rPr>
          <w:spacing w:val="-2"/>
          <w:w w:val="105"/>
          <w:sz w:val="16"/>
        </w:rPr>
        <w:t>v</w:t>
      </w:r>
      <w:r>
        <w:rPr>
          <w:spacing w:val="-5"/>
          <w:w w:val="105"/>
          <w:sz w:val="16"/>
        </w:rPr>
        <w:t> </w:t>
      </w:r>
      <w:r>
        <w:rPr>
          <w:spacing w:val="-2"/>
          <w:w w:val="105"/>
          <w:sz w:val="16"/>
        </w:rPr>
        <w:t>The</w:t>
      </w:r>
      <w:r>
        <w:rPr>
          <w:spacing w:val="-5"/>
          <w:w w:val="105"/>
          <w:sz w:val="16"/>
        </w:rPr>
        <w:t> </w:t>
      </w:r>
      <w:r>
        <w:rPr>
          <w:spacing w:val="-2"/>
          <w:w w:val="105"/>
          <w:sz w:val="16"/>
        </w:rPr>
        <w:t>Commissioners</w:t>
      </w:r>
      <w:r>
        <w:rPr>
          <w:spacing w:val="-5"/>
          <w:w w:val="105"/>
          <w:sz w:val="16"/>
        </w:rPr>
        <w:t> </w:t>
      </w:r>
      <w:r>
        <w:rPr>
          <w:spacing w:val="-2"/>
          <w:w w:val="105"/>
          <w:sz w:val="16"/>
        </w:rPr>
        <w:t>for</w:t>
      </w:r>
      <w:r>
        <w:rPr>
          <w:spacing w:val="-5"/>
          <w:w w:val="105"/>
          <w:sz w:val="16"/>
        </w:rPr>
        <w:t> </w:t>
      </w:r>
      <w:r>
        <w:rPr>
          <w:spacing w:val="-2"/>
          <w:w w:val="105"/>
          <w:sz w:val="16"/>
        </w:rPr>
        <w:t>Her</w:t>
      </w:r>
      <w:r>
        <w:rPr>
          <w:spacing w:val="-5"/>
          <w:w w:val="105"/>
          <w:sz w:val="16"/>
        </w:rPr>
        <w:t> </w:t>
      </w:r>
      <w:r>
        <w:rPr>
          <w:spacing w:val="-2"/>
          <w:w w:val="105"/>
          <w:sz w:val="16"/>
        </w:rPr>
        <w:t>Majesty’s</w:t>
      </w:r>
      <w:r>
        <w:rPr>
          <w:spacing w:val="-5"/>
          <w:w w:val="105"/>
          <w:sz w:val="16"/>
        </w:rPr>
        <w:t> </w:t>
      </w:r>
      <w:r>
        <w:rPr>
          <w:spacing w:val="-2"/>
          <w:w w:val="105"/>
          <w:sz w:val="16"/>
        </w:rPr>
        <w:t>Revenue</w:t>
      </w:r>
      <w:r>
        <w:rPr>
          <w:spacing w:val="-5"/>
          <w:w w:val="105"/>
          <w:sz w:val="16"/>
        </w:rPr>
        <w:t> </w:t>
      </w:r>
      <w:r>
        <w:rPr>
          <w:spacing w:val="-2"/>
          <w:w w:val="105"/>
          <w:sz w:val="16"/>
        </w:rPr>
        <w:t>&amp;</w:t>
      </w:r>
      <w:r>
        <w:rPr>
          <w:spacing w:val="-5"/>
          <w:w w:val="105"/>
          <w:sz w:val="16"/>
        </w:rPr>
        <w:t> </w:t>
      </w:r>
      <w:r>
        <w:rPr>
          <w:spacing w:val="-2"/>
          <w:w w:val="105"/>
          <w:sz w:val="16"/>
        </w:rPr>
        <w:t>Customs</w:t>
      </w:r>
      <w:r>
        <w:rPr>
          <w:spacing w:val="-5"/>
          <w:w w:val="105"/>
          <w:sz w:val="16"/>
        </w:rPr>
        <w:t> </w:t>
      </w:r>
      <w:r>
        <w:rPr>
          <w:spacing w:val="-2"/>
          <w:w w:val="105"/>
          <w:sz w:val="16"/>
        </w:rPr>
        <w:t>and</w:t>
      </w:r>
      <w:r>
        <w:rPr>
          <w:spacing w:val="-5"/>
          <w:w w:val="105"/>
          <w:sz w:val="16"/>
        </w:rPr>
        <w:t> </w:t>
      </w:r>
      <w:r>
        <w:rPr>
          <w:spacing w:val="-2"/>
          <w:w w:val="105"/>
          <w:sz w:val="16"/>
        </w:rPr>
        <w:t>the </w:t>
      </w:r>
      <w:r>
        <w:rPr>
          <w:rFonts w:ascii="Arial" w:hAnsi="Arial"/>
          <w:w w:val="105"/>
          <w:sz w:val="16"/>
        </w:rPr>
        <w:t>implications</w:t>
      </w:r>
      <w:r>
        <w:rPr>
          <w:rFonts w:ascii="Arial" w:hAnsi="Arial"/>
          <w:spacing w:val="40"/>
          <w:w w:val="105"/>
          <w:sz w:val="16"/>
        </w:rPr>
        <w:t> </w:t>
      </w:r>
      <w:r>
        <w:rPr>
          <w:rFonts w:ascii="Arial" w:hAnsi="Arial"/>
          <w:w w:val="105"/>
          <w:sz w:val="16"/>
        </w:rPr>
        <w:t>of</w:t>
      </w:r>
      <w:r>
        <w:rPr>
          <w:rFonts w:ascii="Arial" w:hAnsi="Arial"/>
          <w:spacing w:val="40"/>
          <w:w w:val="105"/>
          <w:sz w:val="16"/>
        </w:rPr>
        <w:t> </w:t>
      </w:r>
      <w:r>
        <w:rPr>
          <w:rFonts w:ascii="Arial" w:hAnsi="Arial"/>
          <w:w w:val="105"/>
          <w:sz w:val="16"/>
        </w:rPr>
        <w:t>preliminary</w:t>
      </w:r>
      <w:r>
        <w:rPr>
          <w:rFonts w:ascii="Arial" w:hAnsi="Arial"/>
          <w:spacing w:val="40"/>
          <w:w w:val="105"/>
          <w:sz w:val="16"/>
        </w:rPr>
        <w:t> </w:t>
      </w:r>
      <w:r>
        <w:rPr>
          <w:rFonts w:ascii="Arial" w:hAnsi="Arial"/>
          <w:w w:val="105"/>
          <w:sz w:val="16"/>
        </w:rPr>
        <w:t>references</w:t>
      </w:r>
      <w:r>
        <w:rPr>
          <w:rFonts w:ascii="Arial" w:hAnsi="Arial"/>
          <w:spacing w:val="40"/>
          <w:w w:val="105"/>
          <w:sz w:val="16"/>
        </w:rPr>
        <w:t> </w:t>
      </w:r>
      <w:r>
        <w:rPr>
          <w:rFonts w:ascii="Arial" w:hAnsi="Arial"/>
          <w:w w:val="105"/>
          <w:sz w:val="16"/>
        </w:rPr>
        <w:t>during</w:t>
      </w:r>
      <w:r>
        <w:rPr>
          <w:rFonts w:ascii="Arial" w:hAnsi="Arial"/>
          <w:spacing w:val="40"/>
          <w:w w:val="105"/>
          <w:sz w:val="16"/>
        </w:rPr>
        <w:t> </w:t>
      </w:r>
      <w:r>
        <w:rPr>
          <w:rFonts w:ascii="Arial" w:hAnsi="Arial"/>
          <w:w w:val="105"/>
          <w:sz w:val="16"/>
        </w:rPr>
        <w:t>the</w:t>
      </w:r>
      <w:r>
        <w:rPr>
          <w:rFonts w:ascii="Arial" w:hAnsi="Arial"/>
          <w:spacing w:val="40"/>
          <w:w w:val="105"/>
          <w:sz w:val="16"/>
        </w:rPr>
        <w:t> </w:t>
      </w:r>
      <w:r>
        <w:rPr>
          <w:rFonts w:ascii="Arial" w:hAnsi="Arial"/>
          <w:w w:val="105"/>
          <w:sz w:val="16"/>
        </w:rPr>
        <w:t>transitional</w:t>
      </w:r>
      <w:r>
        <w:rPr>
          <w:rFonts w:ascii="Arial" w:hAnsi="Arial"/>
          <w:spacing w:val="40"/>
          <w:w w:val="105"/>
          <w:sz w:val="16"/>
        </w:rPr>
        <w:t> </w:t>
      </w:r>
      <w:r>
        <w:rPr>
          <w:rFonts w:ascii="Arial" w:hAnsi="Arial"/>
          <w:w w:val="105"/>
          <w:sz w:val="16"/>
        </w:rPr>
        <w:t>period:</w:t>
      </w:r>
      <w:r>
        <w:rPr>
          <w:rFonts w:ascii="Arial" w:hAnsi="Arial"/>
          <w:spacing w:val="40"/>
          <w:w w:val="105"/>
          <w:sz w:val="16"/>
        </w:rPr>
        <w:t> </w:t>
      </w:r>
      <w:r>
        <w:rPr>
          <w:rFonts w:ascii="Arial" w:hAnsi="Arial"/>
          <w:w w:val="105"/>
          <w:sz w:val="16"/>
        </w:rPr>
        <w:t>a</w:t>
      </w:r>
      <w:r>
        <w:rPr>
          <w:rFonts w:ascii="Arial" w:hAnsi="Arial"/>
          <w:spacing w:val="40"/>
          <w:w w:val="105"/>
          <w:sz w:val="16"/>
        </w:rPr>
        <w:t> </w:t>
      </w:r>
      <w:r>
        <w:rPr>
          <w:rFonts w:ascii="Arial" w:hAnsi="Arial"/>
          <w:w w:val="105"/>
          <w:sz w:val="16"/>
        </w:rPr>
        <w:t>case</w:t>
      </w:r>
      <w:r>
        <w:rPr>
          <w:rFonts w:ascii="Arial" w:hAnsi="Arial"/>
          <w:spacing w:val="40"/>
          <w:w w:val="105"/>
          <w:sz w:val="16"/>
        </w:rPr>
        <w:t> </w:t>
      </w:r>
      <w:r>
        <w:rPr>
          <w:rFonts w:ascii="Arial" w:hAnsi="Arial"/>
          <w:w w:val="105"/>
          <w:sz w:val="16"/>
        </w:rPr>
        <w:t>study</w:t>
      </w:r>
      <w:r>
        <w:rPr>
          <w:rFonts w:ascii="Arial" w:hAnsi="Arial"/>
          <w:spacing w:val="40"/>
          <w:w w:val="105"/>
          <w:sz w:val="16"/>
        </w:rPr>
        <w:t> </w:t>
      </w:r>
      <w:r>
        <w:rPr>
          <w:rFonts w:ascii="Arial" w:hAnsi="Arial"/>
          <w:w w:val="105"/>
          <w:sz w:val="16"/>
        </w:rPr>
        <w:t>in</w:t>
      </w:r>
      <w:r>
        <w:rPr>
          <w:rFonts w:ascii="Arial" w:hAnsi="Arial"/>
          <w:spacing w:val="40"/>
          <w:w w:val="105"/>
          <w:sz w:val="16"/>
        </w:rPr>
        <w:t> </w:t>
      </w:r>
      <w:r>
        <w:rPr>
          <w:rFonts w:ascii="Arial" w:hAnsi="Arial"/>
          <w:w w:val="105"/>
          <w:sz w:val="16"/>
        </w:rPr>
        <w:t>legal</w:t>
      </w:r>
      <w:r>
        <w:rPr>
          <w:rFonts w:ascii="Arial" w:hAnsi="Arial"/>
          <w:spacing w:val="40"/>
          <w:w w:val="105"/>
          <w:sz w:val="16"/>
        </w:rPr>
        <w:t> </w:t>
      </w:r>
      <w:r>
        <w:rPr>
          <w:rFonts w:ascii="Arial" w:hAnsi="Arial"/>
          <w:w w:val="105"/>
          <w:sz w:val="16"/>
        </w:rPr>
        <w:t>complexity,</w:t>
      </w:r>
      <w:r>
        <w:rPr>
          <w:rFonts w:ascii="Arial" w:hAnsi="Arial"/>
          <w:spacing w:val="40"/>
          <w:w w:val="105"/>
          <w:sz w:val="16"/>
        </w:rPr>
        <w:t> </w:t>
      </w:r>
      <w:r>
        <w:rPr>
          <w:rFonts w:ascii="Arial" w:hAnsi="Arial"/>
          <w:w w:val="105"/>
          <w:sz w:val="16"/>
        </w:rPr>
        <w:t>(European</w:t>
      </w:r>
      <w:r>
        <w:rPr>
          <w:rFonts w:ascii="Arial" w:hAnsi="Arial"/>
          <w:spacing w:val="80"/>
          <w:w w:val="105"/>
          <w:sz w:val="16"/>
        </w:rPr>
        <w:t> </w:t>
      </w:r>
      <w:r>
        <w:rPr>
          <w:spacing w:val="-2"/>
          <w:sz w:val="16"/>
        </w:rPr>
        <w:t>Law Blog, 17 March 2022), available at: </w:t>
      </w:r>
      <w:r>
        <w:rPr>
          <w:color w:val="77328A"/>
          <w:spacing w:val="-2"/>
          <w:sz w:val="16"/>
        </w:rPr>
        <w:t>https://europeanlawblog.eu/2022/03/17/c-247-20-vi-v-the-commissioners- </w:t>
      </w:r>
      <w:r>
        <w:rPr>
          <w:rFonts w:ascii="Arial" w:hAnsi="Arial"/>
          <w:color w:val="77328A"/>
          <w:spacing w:val="-2"/>
          <w:w w:val="105"/>
          <w:sz w:val="16"/>
          <w:u w:val="single" w:color="77328A"/>
        </w:rPr>
        <w:t>for-her-majestys-revenue-customs-and-the-implications-of-preliminary-references-during-the-transitional-period-a-</w:t>
      </w:r>
      <w:r>
        <w:rPr>
          <w:rFonts w:ascii="Arial" w:hAnsi="Arial"/>
          <w:color w:val="77328A"/>
          <w:spacing w:val="80"/>
          <w:w w:val="150"/>
          <w:sz w:val="16"/>
          <w:u w:val="none"/>
        </w:rPr>
        <w:t>      </w:t>
      </w:r>
      <w:r>
        <w:rPr>
          <w:rFonts w:ascii="Arial" w:hAnsi="Arial"/>
          <w:color w:val="77328A"/>
          <w:spacing w:val="-2"/>
          <w:w w:val="105"/>
          <w:sz w:val="16"/>
          <w:u w:val="single" w:color="77328A"/>
        </w:rPr>
        <w:t>case-study-in-legal-complexity/.</w:t>
      </w:r>
    </w:p>
    <w:p>
      <w:pPr>
        <w:pStyle w:val="ListParagraph"/>
        <w:numPr>
          <w:ilvl w:val="0"/>
          <w:numId w:val="14"/>
        </w:numPr>
        <w:tabs>
          <w:tab w:pos="565" w:val="left" w:leader="none"/>
        </w:tabs>
        <w:spacing w:line="230" w:lineRule="exact" w:before="0" w:after="0"/>
        <w:ind w:left="565" w:right="0" w:hanging="452"/>
        <w:jc w:val="left"/>
        <w:rPr>
          <w:sz w:val="16"/>
        </w:rPr>
      </w:pPr>
      <w:r>
        <w:rPr>
          <w:rFonts w:ascii="Verdana"/>
          <w:i/>
          <w:sz w:val="16"/>
        </w:rPr>
        <w:t>Angesom</w:t>
      </w:r>
      <w:r>
        <w:rPr>
          <w:rFonts w:ascii="Verdana"/>
          <w:i/>
          <w:spacing w:val="-3"/>
          <w:sz w:val="16"/>
        </w:rPr>
        <w:t> </w:t>
      </w:r>
      <w:r>
        <w:rPr>
          <w:sz w:val="16"/>
        </w:rPr>
        <w:t>(n</w:t>
      </w:r>
      <w:r>
        <w:rPr>
          <w:spacing w:val="4"/>
          <w:sz w:val="16"/>
        </w:rPr>
        <w:t> </w:t>
      </w:r>
      <w:r>
        <w:rPr>
          <w:sz w:val="16"/>
        </w:rPr>
        <w:t>33),</w:t>
      </w:r>
      <w:r>
        <w:rPr>
          <w:spacing w:val="4"/>
          <w:sz w:val="16"/>
        </w:rPr>
        <w:t> </w:t>
      </w:r>
      <w:r>
        <w:rPr>
          <w:sz w:val="16"/>
        </w:rPr>
        <w:t>para</w:t>
      </w:r>
      <w:r>
        <w:rPr>
          <w:spacing w:val="4"/>
          <w:sz w:val="16"/>
        </w:rPr>
        <w:t> </w:t>
      </w:r>
      <w:r>
        <w:rPr>
          <w:spacing w:val="-4"/>
          <w:sz w:val="16"/>
        </w:rPr>
        <w:t>108.</w:t>
      </w:r>
    </w:p>
    <w:p>
      <w:pPr>
        <w:spacing w:after="0" w:line="230" w:lineRule="exact"/>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316" w:lineRule="exact" w:before="44"/>
        <w:ind w:right="160"/>
      </w:pPr>
      <w:bookmarkStart w:name="7.  Relevance of Future Case Law in Dome" w:id="89"/>
      <w:bookmarkEnd w:id="89"/>
      <w:r>
        <w:rPr/>
      </w:r>
      <w:bookmarkStart w:name="_bookmark37" w:id="90"/>
      <w:bookmarkEnd w:id="90"/>
      <w:r>
        <w:rPr/>
      </w:r>
      <w:r>
        <w:rPr>
          <w:rFonts w:ascii="Lucida Sans Unicode"/>
        </w:rPr>
        <w:t>individuals who continue to benefit </w:t>
      </w:r>
      <w:r>
        <w:rPr>
          <w:w w:val="110"/>
        </w:rPr>
        <w:t>from its terms after the end of the transitional period, through settled </w:t>
      </w:r>
      <w:r>
        <w:rPr>
          <w:w w:val="110"/>
        </w:rPr>
        <w:t>or pre-settled status.</w:t>
      </w:r>
    </w:p>
    <w:p>
      <w:pPr>
        <w:pStyle w:val="BodyText"/>
        <w:spacing w:before="54"/>
        <w:ind w:left="0"/>
      </w:pPr>
    </w:p>
    <w:p>
      <w:pPr>
        <w:pStyle w:val="BodyText"/>
        <w:spacing w:line="276" w:lineRule="auto" w:before="1"/>
      </w:pPr>
      <w:r>
        <w:rPr>
          <w:w w:val="115"/>
        </w:rPr>
        <w:t>But the non-diminution requirement could</w:t>
      </w:r>
      <w:r>
        <w:rPr>
          <w:spacing w:val="-17"/>
          <w:w w:val="115"/>
        </w:rPr>
        <w:t> </w:t>
      </w:r>
      <w:r>
        <w:rPr>
          <w:w w:val="115"/>
        </w:rPr>
        <w:t>also</w:t>
      </w:r>
      <w:r>
        <w:rPr>
          <w:spacing w:val="-17"/>
          <w:w w:val="115"/>
        </w:rPr>
        <w:t> </w:t>
      </w:r>
      <w:r>
        <w:rPr>
          <w:w w:val="115"/>
        </w:rPr>
        <w:t>operate</w:t>
      </w:r>
      <w:r>
        <w:rPr>
          <w:spacing w:val="-17"/>
          <w:w w:val="115"/>
        </w:rPr>
        <w:t> </w:t>
      </w:r>
      <w:r>
        <w:rPr>
          <w:w w:val="115"/>
        </w:rPr>
        <w:t>in</w:t>
      </w:r>
      <w:r>
        <w:rPr>
          <w:spacing w:val="-17"/>
          <w:w w:val="115"/>
        </w:rPr>
        <w:t> </w:t>
      </w:r>
      <w:r>
        <w:rPr>
          <w:w w:val="115"/>
        </w:rPr>
        <w:t>more</w:t>
      </w:r>
      <w:r>
        <w:rPr>
          <w:spacing w:val="-17"/>
          <w:w w:val="115"/>
        </w:rPr>
        <w:t> </w:t>
      </w:r>
      <w:r>
        <w:rPr>
          <w:w w:val="115"/>
        </w:rPr>
        <w:t>procedural terms: it could mean that temporal limits on remedies such as state liability</w:t>
      </w:r>
      <w:r>
        <w:rPr>
          <w:spacing w:val="-20"/>
          <w:w w:val="115"/>
        </w:rPr>
        <w:t> </w:t>
      </w:r>
      <w:r>
        <w:rPr>
          <w:w w:val="115"/>
        </w:rPr>
        <w:t>in</w:t>
      </w:r>
      <w:r>
        <w:rPr>
          <w:spacing w:val="-19"/>
          <w:w w:val="115"/>
        </w:rPr>
        <w:t> </w:t>
      </w:r>
      <w:r>
        <w:rPr>
          <w:w w:val="115"/>
        </w:rPr>
        <w:t>damages</w:t>
      </w:r>
      <w:r>
        <w:rPr>
          <w:spacing w:val="-19"/>
          <w:w w:val="115"/>
        </w:rPr>
        <w:t> </w:t>
      </w:r>
      <w:r>
        <w:rPr>
          <w:w w:val="115"/>
        </w:rPr>
        <w:t>that</w:t>
      </w:r>
      <w:r>
        <w:rPr>
          <w:spacing w:val="-19"/>
          <w:w w:val="115"/>
        </w:rPr>
        <w:t> </w:t>
      </w:r>
      <w:r>
        <w:rPr>
          <w:w w:val="115"/>
        </w:rPr>
        <w:t>are</w:t>
      </w:r>
      <w:r>
        <w:rPr>
          <w:spacing w:val="-19"/>
          <w:w w:val="115"/>
        </w:rPr>
        <w:t> </w:t>
      </w:r>
      <w:r>
        <w:rPr>
          <w:w w:val="115"/>
        </w:rPr>
        <w:t>applicable in the rest of the UK cannot be considered applicable in Northern Ireland,</w:t>
      </w:r>
      <w:r>
        <w:rPr>
          <w:spacing w:val="-10"/>
          <w:w w:val="115"/>
        </w:rPr>
        <w:t> </w:t>
      </w:r>
      <w:r>
        <w:rPr>
          <w:w w:val="115"/>
        </w:rPr>
        <w:t>even</w:t>
      </w:r>
      <w:r>
        <w:rPr>
          <w:spacing w:val="-10"/>
          <w:w w:val="115"/>
        </w:rPr>
        <w:t> </w:t>
      </w:r>
      <w:r>
        <w:rPr>
          <w:w w:val="115"/>
        </w:rPr>
        <w:t>where</w:t>
      </w:r>
      <w:r>
        <w:rPr>
          <w:spacing w:val="-10"/>
          <w:w w:val="115"/>
        </w:rPr>
        <w:t> </w:t>
      </w:r>
      <w:r>
        <w:rPr>
          <w:w w:val="115"/>
        </w:rPr>
        <w:t>they</w:t>
      </w:r>
      <w:r>
        <w:rPr>
          <w:spacing w:val="-10"/>
          <w:w w:val="115"/>
        </w:rPr>
        <w:t> </w:t>
      </w:r>
      <w:r>
        <w:rPr>
          <w:w w:val="115"/>
        </w:rPr>
        <w:t>arise</w:t>
      </w:r>
      <w:r>
        <w:rPr>
          <w:spacing w:val="-10"/>
          <w:w w:val="115"/>
        </w:rPr>
        <w:t> </w:t>
      </w:r>
      <w:r>
        <w:rPr>
          <w:w w:val="115"/>
        </w:rPr>
        <w:t>as</w:t>
      </w:r>
    </w:p>
    <w:p>
      <w:pPr>
        <w:pStyle w:val="BodyText"/>
        <w:spacing w:line="276" w:lineRule="auto"/>
      </w:pPr>
      <w:r>
        <w:rPr>
          <w:w w:val="115"/>
        </w:rPr>
        <w:t>a result of post-transitional period </w:t>
      </w:r>
      <w:r>
        <w:rPr>
          <w:spacing w:val="-2"/>
          <w:w w:val="115"/>
        </w:rPr>
        <w:t>CJEU</w:t>
      </w:r>
      <w:r>
        <w:rPr>
          <w:spacing w:val="-18"/>
          <w:w w:val="115"/>
        </w:rPr>
        <w:t> </w:t>
      </w:r>
      <w:r>
        <w:rPr>
          <w:spacing w:val="-2"/>
          <w:w w:val="115"/>
        </w:rPr>
        <w:t>case</w:t>
      </w:r>
      <w:r>
        <w:rPr>
          <w:spacing w:val="-17"/>
          <w:w w:val="115"/>
        </w:rPr>
        <w:t> </w:t>
      </w:r>
      <w:r>
        <w:rPr>
          <w:spacing w:val="-2"/>
          <w:w w:val="115"/>
        </w:rPr>
        <w:t>law,</w:t>
      </w:r>
      <w:r>
        <w:rPr>
          <w:spacing w:val="-17"/>
          <w:w w:val="115"/>
        </w:rPr>
        <w:t> </w:t>
      </w:r>
      <w:r>
        <w:rPr>
          <w:spacing w:val="-2"/>
          <w:w w:val="115"/>
        </w:rPr>
        <w:t>to</w:t>
      </w:r>
      <w:r>
        <w:rPr>
          <w:spacing w:val="-17"/>
          <w:w w:val="115"/>
        </w:rPr>
        <w:t> </w:t>
      </w:r>
      <w:r>
        <w:rPr>
          <w:spacing w:val="-2"/>
          <w:w w:val="115"/>
        </w:rPr>
        <w:t>the</w:t>
      </w:r>
      <w:r>
        <w:rPr>
          <w:spacing w:val="-17"/>
          <w:w w:val="115"/>
        </w:rPr>
        <w:t> </w:t>
      </w:r>
      <w:r>
        <w:rPr>
          <w:spacing w:val="-2"/>
          <w:w w:val="115"/>
        </w:rPr>
        <w:t>extent</w:t>
      </w:r>
      <w:r>
        <w:rPr>
          <w:spacing w:val="-18"/>
          <w:w w:val="115"/>
        </w:rPr>
        <w:t> </w:t>
      </w:r>
      <w:r>
        <w:rPr>
          <w:spacing w:val="-2"/>
          <w:w w:val="115"/>
        </w:rPr>
        <w:t>that</w:t>
      </w:r>
      <w:r>
        <w:rPr>
          <w:spacing w:val="-17"/>
          <w:w w:val="115"/>
        </w:rPr>
        <w:t> </w:t>
      </w:r>
      <w:r>
        <w:rPr>
          <w:spacing w:val="-2"/>
          <w:w w:val="115"/>
        </w:rPr>
        <w:t>they </w:t>
      </w:r>
      <w:r>
        <w:rPr>
          <w:w w:val="115"/>
        </w:rPr>
        <w:t>refer to a measure binding on the</w:t>
      </w:r>
    </w:p>
    <w:p>
      <w:pPr>
        <w:pStyle w:val="BodyText"/>
        <w:spacing w:line="273" w:lineRule="auto"/>
      </w:pPr>
      <w:r>
        <w:rPr>
          <w:w w:val="115"/>
        </w:rPr>
        <w:t>UK before the end of the transitional period. To treat these temporal </w:t>
      </w:r>
      <w:r>
        <w:rPr>
          <w:w w:val="110"/>
        </w:rPr>
        <w:t>limitations</w:t>
      </w:r>
      <w:r>
        <w:rPr>
          <w:spacing w:val="-10"/>
          <w:w w:val="110"/>
        </w:rPr>
        <w:t> </w:t>
      </w:r>
      <w:r>
        <w:rPr>
          <w:w w:val="110"/>
        </w:rPr>
        <w:t>as</w:t>
      </w:r>
      <w:r>
        <w:rPr>
          <w:spacing w:val="-7"/>
          <w:w w:val="110"/>
        </w:rPr>
        <w:t> </w:t>
      </w:r>
      <w:r>
        <w:rPr>
          <w:w w:val="110"/>
        </w:rPr>
        <w:t>applicable</w:t>
      </w:r>
      <w:r>
        <w:rPr>
          <w:spacing w:val="-7"/>
          <w:w w:val="110"/>
        </w:rPr>
        <w:t> </w:t>
      </w:r>
      <w:r>
        <w:rPr>
          <w:w w:val="110"/>
        </w:rPr>
        <w:t>could</w:t>
      </w:r>
      <w:r>
        <w:rPr>
          <w:spacing w:val="-7"/>
          <w:w w:val="110"/>
        </w:rPr>
        <w:t> </w:t>
      </w:r>
      <w:r>
        <w:rPr>
          <w:rFonts w:ascii="Verdana"/>
          <w:i/>
          <w:w w:val="110"/>
        </w:rPr>
        <w:t>in</w:t>
      </w:r>
      <w:r>
        <w:rPr>
          <w:rFonts w:ascii="Verdana"/>
          <w:i/>
          <w:spacing w:val="-24"/>
          <w:w w:val="110"/>
        </w:rPr>
        <w:t> </w:t>
      </w:r>
      <w:r>
        <w:rPr>
          <w:rFonts w:ascii="Verdana"/>
          <w:i/>
          <w:w w:val="110"/>
        </w:rPr>
        <w:t>itself</w:t>
      </w:r>
      <w:r>
        <w:rPr>
          <w:rFonts w:ascii="Verdana"/>
          <w:i/>
          <w:w w:val="110"/>
        </w:rPr>
        <w:t> </w:t>
      </w:r>
      <w:r>
        <w:rPr>
          <w:w w:val="115"/>
        </w:rPr>
        <w:t>amount to diminution as a result of Brexit since, prior to Brexit, incorrect </w:t>
      </w:r>
      <w:r>
        <w:rPr>
          <w:spacing w:val="-2"/>
          <w:w w:val="115"/>
        </w:rPr>
        <w:t>interpretations</w:t>
      </w:r>
      <w:r>
        <w:rPr>
          <w:spacing w:val="-14"/>
          <w:w w:val="115"/>
        </w:rPr>
        <w:t> </w:t>
      </w:r>
      <w:r>
        <w:rPr>
          <w:spacing w:val="-2"/>
          <w:w w:val="115"/>
        </w:rPr>
        <w:t>of</w:t>
      </w:r>
      <w:r>
        <w:rPr>
          <w:spacing w:val="-14"/>
          <w:w w:val="115"/>
        </w:rPr>
        <w:t> </w:t>
      </w:r>
      <w:r>
        <w:rPr>
          <w:spacing w:val="-2"/>
          <w:w w:val="115"/>
        </w:rPr>
        <w:t>EU</w:t>
      </w:r>
      <w:r>
        <w:rPr>
          <w:spacing w:val="-14"/>
          <w:w w:val="115"/>
        </w:rPr>
        <w:t> </w:t>
      </w:r>
      <w:r>
        <w:rPr>
          <w:spacing w:val="-2"/>
          <w:w w:val="115"/>
        </w:rPr>
        <w:t>measures</w:t>
      </w:r>
      <w:r>
        <w:rPr>
          <w:spacing w:val="-14"/>
          <w:w w:val="115"/>
        </w:rPr>
        <w:t> </w:t>
      </w:r>
      <w:r>
        <w:rPr>
          <w:spacing w:val="-2"/>
          <w:w w:val="115"/>
        </w:rPr>
        <w:t>would </w:t>
      </w:r>
      <w:r>
        <w:rPr>
          <w:w w:val="115"/>
        </w:rPr>
        <w:t>have been domestically actionable under the principles of direct effect and state liability, as explained in</w:t>
      </w:r>
    </w:p>
    <w:p>
      <w:pPr>
        <w:pStyle w:val="BodyText"/>
        <w:spacing w:line="330" w:lineRule="exact"/>
        <w:rPr>
          <w:rFonts w:ascii="Lucida Sans Unicode"/>
        </w:rPr>
      </w:pPr>
      <w:r>
        <w:rPr>
          <w:rFonts w:ascii="Lucida Sans Unicode"/>
        </w:rPr>
        <w:t>Chapters</w:t>
      </w:r>
      <w:r>
        <w:rPr>
          <w:rFonts w:ascii="Lucida Sans Unicode"/>
          <w:spacing w:val="-11"/>
        </w:rPr>
        <w:t> </w:t>
      </w:r>
      <w:r>
        <w:rPr>
          <w:rFonts w:ascii="Lucida Sans Unicode"/>
          <w:w w:val="95"/>
        </w:rPr>
        <w:t>1</w:t>
      </w:r>
      <w:r>
        <w:rPr>
          <w:rFonts w:ascii="Lucida Sans Unicode"/>
          <w:spacing w:val="-6"/>
          <w:w w:val="95"/>
        </w:rPr>
        <w:t> </w:t>
      </w:r>
      <w:r>
        <w:rPr>
          <w:rFonts w:ascii="Lucida Sans Unicode"/>
        </w:rPr>
        <w:t>and</w:t>
      </w:r>
      <w:r>
        <w:rPr>
          <w:rFonts w:ascii="Lucida Sans Unicode"/>
          <w:spacing w:val="-11"/>
        </w:rPr>
        <w:t> </w:t>
      </w:r>
      <w:r>
        <w:rPr>
          <w:rFonts w:ascii="Lucida Sans Unicode"/>
          <w:spacing w:val="-5"/>
        </w:rPr>
        <w:t>4.</w:t>
      </w:r>
    </w:p>
    <w:p>
      <w:pPr>
        <w:pStyle w:val="Heading3"/>
        <w:numPr>
          <w:ilvl w:val="0"/>
          <w:numId w:val="18"/>
        </w:numPr>
        <w:tabs>
          <w:tab w:pos="680" w:val="left" w:leader="none"/>
        </w:tabs>
        <w:spacing w:line="256" w:lineRule="auto" w:before="272" w:after="0"/>
        <w:ind w:left="680" w:right="724" w:hanging="567"/>
        <w:jc w:val="left"/>
      </w:pPr>
      <w:r>
        <w:rPr>
          <w:color w:val="77328A"/>
        </w:rPr>
        <w:t>Relevance of Future Case Law in </w:t>
      </w:r>
      <w:r>
        <w:rPr>
          <w:color w:val="77328A"/>
        </w:rPr>
        <w:t>Domestic </w:t>
      </w:r>
      <w:r>
        <w:rPr>
          <w:color w:val="77328A"/>
          <w:spacing w:val="-2"/>
        </w:rPr>
        <w:t>Decisions</w:t>
      </w:r>
    </w:p>
    <w:p>
      <w:pPr>
        <w:pStyle w:val="BodyText"/>
        <w:spacing w:line="276" w:lineRule="auto" w:before="173"/>
        <w:ind w:right="167"/>
      </w:pPr>
      <w:r>
        <w:rPr>
          <w:w w:val="115"/>
        </w:rPr>
        <w:t>The</w:t>
      </w:r>
      <w:r>
        <w:rPr>
          <w:spacing w:val="-1"/>
          <w:w w:val="115"/>
        </w:rPr>
        <w:t> </w:t>
      </w:r>
      <w:r>
        <w:rPr>
          <w:w w:val="115"/>
        </w:rPr>
        <w:t>relevance</w:t>
      </w:r>
      <w:r>
        <w:rPr>
          <w:spacing w:val="-1"/>
          <w:w w:val="115"/>
        </w:rPr>
        <w:t> </w:t>
      </w:r>
      <w:r>
        <w:rPr>
          <w:w w:val="115"/>
        </w:rPr>
        <w:t>of</w:t>
      </w:r>
      <w:r>
        <w:rPr>
          <w:spacing w:val="-1"/>
          <w:w w:val="115"/>
        </w:rPr>
        <w:t> </w:t>
      </w:r>
      <w:r>
        <w:rPr>
          <w:w w:val="115"/>
        </w:rPr>
        <w:t>future</w:t>
      </w:r>
      <w:r>
        <w:rPr>
          <w:spacing w:val="-1"/>
          <w:w w:val="115"/>
        </w:rPr>
        <w:t> </w:t>
      </w:r>
      <w:r>
        <w:rPr>
          <w:w w:val="115"/>
        </w:rPr>
        <w:t>case</w:t>
      </w:r>
      <w:r>
        <w:rPr>
          <w:spacing w:val="-1"/>
          <w:w w:val="115"/>
        </w:rPr>
        <w:t> </w:t>
      </w:r>
      <w:r>
        <w:rPr>
          <w:w w:val="115"/>
        </w:rPr>
        <w:t>law relating to the Charter outside the dynamic</w:t>
      </w:r>
      <w:r>
        <w:rPr>
          <w:spacing w:val="-20"/>
          <w:w w:val="115"/>
        </w:rPr>
        <w:t> </w:t>
      </w:r>
      <w:r>
        <w:rPr>
          <w:w w:val="115"/>
        </w:rPr>
        <w:t>alignment</w:t>
      </w:r>
      <w:r>
        <w:rPr>
          <w:spacing w:val="-19"/>
          <w:w w:val="115"/>
        </w:rPr>
        <w:t> </w:t>
      </w:r>
      <w:r>
        <w:rPr>
          <w:w w:val="115"/>
        </w:rPr>
        <w:t>commitment</w:t>
      </w:r>
      <w:r>
        <w:rPr>
          <w:spacing w:val="-19"/>
          <w:w w:val="115"/>
        </w:rPr>
        <w:t> </w:t>
      </w:r>
      <w:r>
        <w:rPr>
          <w:w w:val="115"/>
        </w:rPr>
        <w:t>can be seen in the ruling of the Court</w:t>
      </w:r>
    </w:p>
    <w:p>
      <w:pPr>
        <w:spacing w:line="252" w:lineRule="auto" w:before="0"/>
        <w:ind w:left="113" w:right="284" w:firstLine="0"/>
        <w:jc w:val="left"/>
        <w:rPr>
          <w:sz w:val="24"/>
        </w:rPr>
      </w:pPr>
      <w:r>
        <w:rPr>
          <w:w w:val="105"/>
          <w:sz w:val="24"/>
        </w:rPr>
        <w:t>of Appeal of England and Wales in</w:t>
      </w:r>
      <w:r>
        <w:rPr>
          <w:spacing w:val="40"/>
          <w:w w:val="105"/>
          <w:sz w:val="24"/>
        </w:rPr>
        <w:t> </w:t>
      </w:r>
      <w:r>
        <w:rPr>
          <w:rFonts w:ascii="Verdana"/>
          <w:i/>
          <w:spacing w:val="-2"/>
          <w:w w:val="105"/>
          <w:sz w:val="24"/>
        </w:rPr>
        <w:t>TuneIn</w:t>
      </w:r>
      <w:r>
        <w:rPr>
          <w:rFonts w:ascii="Verdana"/>
          <w:i/>
          <w:spacing w:val="-20"/>
          <w:w w:val="105"/>
          <w:sz w:val="24"/>
        </w:rPr>
        <w:t> </w:t>
      </w:r>
      <w:r>
        <w:rPr>
          <w:rFonts w:ascii="Verdana"/>
          <w:i/>
          <w:spacing w:val="-2"/>
          <w:w w:val="105"/>
          <w:sz w:val="24"/>
        </w:rPr>
        <w:t>Inc</w:t>
      </w:r>
      <w:r>
        <w:rPr>
          <w:rFonts w:ascii="Verdana"/>
          <w:i/>
          <w:spacing w:val="-20"/>
          <w:w w:val="105"/>
          <w:sz w:val="24"/>
        </w:rPr>
        <w:t> </w:t>
      </w:r>
      <w:r>
        <w:rPr>
          <w:rFonts w:ascii="Verdana"/>
          <w:i/>
          <w:spacing w:val="-2"/>
          <w:w w:val="105"/>
          <w:sz w:val="24"/>
        </w:rPr>
        <w:t>v</w:t>
      </w:r>
      <w:r>
        <w:rPr>
          <w:rFonts w:ascii="Verdana"/>
          <w:i/>
          <w:spacing w:val="-20"/>
          <w:w w:val="105"/>
          <w:sz w:val="24"/>
        </w:rPr>
        <w:t> </w:t>
      </w:r>
      <w:r>
        <w:rPr>
          <w:rFonts w:ascii="Verdana"/>
          <w:i/>
          <w:spacing w:val="-2"/>
          <w:w w:val="105"/>
          <w:sz w:val="24"/>
        </w:rPr>
        <w:t>Warner</w:t>
      </w:r>
      <w:r>
        <w:rPr>
          <w:rFonts w:ascii="Verdana"/>
          <w:i/>
          <w:spacing w:val="-20"/>
          <w:w w:val="105"/>
          <w:sz w:val="24"/>
        </w:rPr>
        <w:t> </w:t>
      </w:r>
      <w:r>
        <w:rPr>
          <w:rFonts w:ascii="Verdana"/>
          <w:i/>
          <w:spacing w:val="-2"/>
          <w:w w:val="105"/>
          <w:sz w:val="24"/>
        </w:rPr>
        <w:t>Music</w:t>
      </w:r>
      <w:r>
        <w:rPr>
          <w:rFonts w:ascii="Verdana"/>
          <w:i/>
          <w:spacing w:val="-20"/>
          <w:w w:val="105"/>
          <w:sz w:val="24"/>
        </w:rPr>
        <w:t> </w:t>
      </w:r>
      <w:r>
        <w:rPr>
          <w:rFonts w:ascii="Verdana"/>
          <w:i/>
          <w:spacing w:val="-2"/>
          <w:w w:val="105"/>
          <w:sz w:val="24"/>
        </w:rPr>
        <w:t>UK</w:t>
      </w:r>
      <w:r>
        <w:rPr>
          <w:rFonts w:ascii="Verdana"/>
          <w:i/>
          <w:spacing w:val="-20"/>
          <w:w w:val="105"/>
          <w:sz w:val="24"/>
        </w:rPr>
        <w:t> </w:t>
      </w:r>
      <w:r>
        <w:rPr>
          <w:rFonts w:ascii="Verdana"/>
          <w:i/>
          <w:spacing w:val="-2"/>
          <w:w w:val="105"/>
          <w:sz w:val="24"/>
        </w:rPr>
        <w:t>Ltd</w:t>
      </w:r>
      <w:r>
        <w:rPr>
          <w:rFonts w:ascii="Verdana"/>
          <w:i/>
          <w:spacing w:val="-2"/>
          <w:w w:val="105"/>
          <w:sz w:val="24"/>
        </w:rPr>
        <w:t> </w:t>
      </w:r>
      <w:r>
        <w:rPr>
          <w:rFonts w:ascii="Verdana"/>
          <w:i/>
          <w:w w:val="105"/>
          <w:sz w:val="24"/>
        </w:rPr>
        <w:t>&amp;</w:t>
      </w:r>
      <w:r>
        <w:rPr>
          <w:rFonts w:ascii="Verdana"/>
          <w:i/>
          <w:spacing w:val="-1"/>
          <w:w w:val="105"/>
          <w:sz w:val="24"/>
        </w:rPr>
        <w:t> </w:t>
      </w:r>
      <w:r>
        <w:rPr>
          <w:rFonts w:ascii="Verdana"/>
          <w:i/>
          <w:w w:val="105"/>
          <w:sz w:val="24"/>
        </w:rPr>
        <w:t>Anor</w:t>
      </w:r>
      <w:r>
        <w:rPr>
          <w:w w:val="105"/>
          <w:sz w:val="24"/>
        </w:rPr>
        <w:t>,</w:t>
      </w:r>
      <w:r>
        <w:rPr>
          <w:rFonts w:ascii="Lucida Sans Unicode"/>
          <w:w w:val="105"/>
          <w:sz w:val="24"/>
          <w:vertAlign w:val="superscript"/>
        </w:rPr>
        <w:t>339</w:t>
      </w:r>
      <w:r>
        <w:rPr>
          <w:rFonts w:ascii="Lucida Sans Unicode"/>
          <w:w w:val="105"/>
          <w:sz w:val="24"/>
          <w:vertAlign w:val="baseline"/>
        </w:rPr>
        <w:t> </w:t>
      </w:r>
      <w:r>
        <w:rPr>
          <w:w w:val="105"/>
          <w:sz w:val="24"/>
          <w:vertAlign w:val="baseline"/>
        </w:rPr>
        <w:t>which draws a </w:t>
      </w:r>
      <w:r>
        <w:rPr>
          <w:w w:val="105"/>
          <w:sz w:val="24"/>
          <w:vertAlign w:val="baseline"/>
        </w:rPr>
        <w:t>distinction</w:t>
      </w:r>
    </w:p>
    <w:p>
      <w:pPr>
        <w:pStyle w:val="BodyText"/>
        <w:spacing w:line="243" w:lineRule="exact"/>
      </w:pPr>
      <w:r>
        <w:rPr>
          <w:w w:val="115"/>
        </w:rPr>
        <w:t>between</w:t>
      </w:r>
      <w:r>
        <w:rPr>
          <w:spacing w:val="-3"/>
          <w:w w:val="115"/>
        </w:rPr>
        <w:t> </w:t>
      </w:r>
      <w:r>
        <w:rPr>
          <w:w w:val="115"/>
        </w:rPr>
        <w:t>the</w:t>
      </w:r>
      <w:r>
        <w:rPr>
          <w:spacing w:val="-2"/>
          <w:w w:val="115"/>
        </w:rPr>
        <w:t> </w:t>
      </w:r>
      <w:r>
        <w:rPr>
          <w:w w:val="115"/>
        </w:rPr>
        <w:t>interpretation</w:t>
      </w:r>
      <w:r>
        <w:rPr>
          <w:spacing w:val="-3"/>
          <w:w w:val="115"/>
        </w:rPr>
        <w:t> </w:t>
      </w:r>
      <w:r>
        <w:rPr>
          <w:w w:val="115"/>
        </w:rPr>
        <w:t>of</w:t>
      </w:r>
      <w:r>
        <w:rPr>
          <w:spacing w:val="-2"/>
          <w:w w:val="115"/>
        </w:rPr>
        <w:t> retained</w:t>
      </w:r>
    </w:p>
    <w:p>
      <w:pPr>
        <w:pStyle w:val="BodyText"/>
        <w:spacing w:line="276" w:lineRule="auto" w:before="37"/>
      </w:pPr>
      <w:r>
        <w:rPr>
          <w:w w:val="115"/>
        </w:rPr>
        <w:t>EU</w:t>
      </w:r>
      <w:r>
        <w:rPr>
          <w:spacing w:val="-6"/>
          <w:w w:val="115"/>
        </w:rPr>
        <w:t> </w:t>
      </w:r>
      <w:r>
        <w:rPr>
          <w:w w:val="115"/>
        </w:rPr>
        <w:t>law</w:t>
      </w:r>
      <w:r>
        <w:rPr>
          <w:spacing w:val="-6"/>
          <w:w w:val="115"/>
        </w:rPr>
        <w:t> </w:t>
      </w:r>
      <w:r>
        <w:rPr>
          <w:w w:val="115"/>
        </w:rPr>
        <w:t>(i.e.</w:t>
      </w:r>
      <w:r>
        <w:rPr>
          <w:spacing w:val="-6"/>
          <w:w w:val="115"/>
        </w:rPr>
        <w:t> </w:t>
      </w:r>
      <w:r>
        <w:rPr>
          <w:w w:val="115"/>
        </w:rPr>
        <w:t>EU</w:t>
      </w:r>
      <w:r>
        <w:rPr>
          <w:spacing w:val="-6"/>
          <w:w w:val="115"/>
        </w:rPr>
        <w:t> </w:t>
      </w:r>
      <w:r>
        <w:rPr>
          <w:w w:val="115"/>
        </w:rPr>
        <w:t>law</w:t>
      </w:r>
      <w:r>
        <w:rPr>
          <w:spacing w:val="-6"/>
          <w:w w:val="115"/>
        </w:rPr>
        <w:t> </w:t>
      </w:r>
      <w:r>
        <w:rPr>
          <w:w w:val="115"/>
        </w:rPr>
        <w:t>applicable</w:t>
      </w:r>
      <w:r>
        <w:rPr>
          <w:spacing w:val="-6"/>
          <w:w w:val="115"/>
        </w:rPr>
        <w:t> </w:t>
      </w:r>
      <w:r>
        <w:rPr>
          <w:w w:val="115"/>
        </w:rPr>
        <w:t>in</w:t>
      </w:r>
      <w:r>
        <w:rPr>
          <w:spacing w:val="-6"/>
          <w:w w:val="115"/>
        </w:rPr>
        <w:t> </w:t>
      </w:r>
      <w:r>
        <w:rPr>
          <w:w w:val="115"/>
        </w:rPr>
        <w:t>the UK</w:t>
      </w:r>
      <w:r>
        <w:rPr>
          <w:spacing w:val="-14"/>
          <w:w w:val="115"/>
        </w:rPr>
        <w:t> </w:t>
      </w:r>
      <w:r>
        <w:rPr>
          <w:w w:val="115"/>
        </w:rPr>
        <w:t>post-Brexit)</w:t>
      </w:r>
      <w:r>
        <w:rPr>
          <w:spacing w:val="-14"/>
          <w:w w:val="115"/>
        </w:rPr>
        <w:t> </w:t>
      </w:r>
      <w:r>
        <w:rPr>
          <w:w w:val="115"/>
        </w:rPr>
        <w:t>and</w:t>
      </w:r>
      <w:r>
        <w:rPr>
          <w:spacing w:val="-14"/>
          <w:w w:val="115"/>
        </w:rPr>
        <w:t> </w:t>
      </w:r>
      <w:r>
        <w:rPr>
          <w:w w:val="115"/>
        </w:rPr>
        <w:t>the</w:t>
      </w:r>
      <w:r>
        <w:rPr>
          <w:spacing w:val="-14"/>
          <w:w w:val="115"/>
        </w:rPr>
        <w:t> </w:t>
      </w:r>
      <w:r>
        <w:rPr>
          <w:w w:val="115"/>
        </w:rPr>
        <w:t>interpretation of EU law proper (i.e. EU law applicable to pre-IP day facts), with</w:t>
      </w:r>
    </w:p>
    <w:p>
      <w:pPr>
        <w:pStyle w:val="BodyText"/>
        <w:spacing w:line="268" w:lineRule="auto" w:before="72"/>
        <w:ind w:right="266"/>
      </w:pPr>
      <w:r>
        <w:rPr/>
        <w:br w:type="column"/>
      </w:r>
      <w:r>
        <w:rPr>
          <w:w w:val="115"/>
        </w:rPr>
        <w:t>the courts treating CJEU precedent and</w:t>
      </w:r>
      <w:r>
        <w:rPr>
          <w:spacing w:val="-20"/>
          <w:w w:val="115"/>
        </w:rPr>
        <w:t> </w:t>
      </w:r>
      <w:r>
        <w:rPr>
          <w:w w:val="115"/>
        </w:rPr>
        <w:t>remedies</w:t>
      </w:r>
      <w:r>
        <w:rPr>
          <w:spacing w:val="-19"/>
          <w:w w:val="115"/>
        </w:rPr>
        <w:t> </w:t>
      </w:r>
      <w:r>
        <w:rPr>
          <w:w w:val="115"/>
        </w:rPr>
        <w:t>as</w:t>
      </w:r>
      <w:r>
        <w:rPr>
          <w:spacing w:val="-19"/>
          <w:w w:val="115"/>
        </w:rPr>
        <w:t> </w:t>
      </w:r>
      <w:r>
        <w:rPr>
          <w:w w:val="115"/>
        </w:rPr>
        <w:t>binding</w:t>
      </w:r>
      <w:r>
        <w:rPr>
          <w:spacing w:val="-19"/>
          <w:w w:val="115"/>
        </w:rPr>
        <w:t> </w:t>
      </w:r>
      <w:r>
        <w:rPr>
          <w:w w:val="115"/>
        </w:rPr>
        <w:t>in</w:t>
      </w:r>
      <w:r>
        <w:rPr>
          <w:spacing w:val="-19"/>
          <w:w w:val="115"/>
        </w:rPr>
        <w:t> </w:t>
      </w:r>
      <w:r>
        <w:rPr>
          <w:w w:val="115"/>
        </w:rPr>
        <w:t>the</w:t>
      </w:r>
      <w:r>
        <w:rPr>
          <w:spacing w:val="-20"/>
          <w:w w:val="115"/>
        </w:rPr>
        <w:t> </w:t>
      </w:r>
      <w:r>
        <w:rPr>
          <w:w w:val="115"/>
        </w:rPr>
        <w:t>latter scenario, but in that scenario only.</w:t>
      </w:r>
    </w:p>
    <w:p>
      <w:pPr>
        <w:pStyle w:val="BodyText"/>
        <w:spacing w:before="5"/>
        <w:ind w:left="0"/>
      </w:pPr>
    </w:p>
    <w:p>
      <w:pPr>
        <w:pStyle w:val="BodyText"/>
        <w:spacing w:line="310" w:lineRule="exact"/>
        <w:ind w:right="212"/>
      </w:pPr>
      <w:r>
        <w:rPr>
          <w:rFonts w:ascii="Lucida Sans Unicode"/>
          <w:spacing w:val="-2"/>
          <w:w w:val="110"/>
        </w:rPr>
        <w:t>The</w:t>
      </w:r>
      <w:r>
        <w:rPr>
          <w:rFonts w:ascii="Lucida Sans Unicode"/>
          <w:spacing w:val="-19"/>
          <w:w w:val="110"/>
        </w:rPr>
        <w:t> </w:t>
      </w:r>
      <w:r>
        <w:rPr>
          <w:rFonts w:ascii="Lucida Sans Unicode"/>
          <w:spacing w:val="-2"/>
          <w:w w:val="110"/>
        </w:rPr>
        <w:t>findings</w:t>
      </w:r>
      <w:r>
        <w:rPr>
          <w:rFonts w:ascii="Lucida Sans Unicode"/>
          <w:spacing w:val="-19"/>
          <w:w w:val="110"/>
        </w:rPr>
        <w:t> </w:t>
      </w:r>
      <w:r>
        <w:rPr>
          <w:rFonts w:ascii="Lucida Sans Unicode"/>
          <w:spacing w:val="-2"/>
          <w:w w:val="110"/>
        </w:rPr>
        <w:t>in</w:t>
      </w:r>
      <w:r>
        <w:rPr>
          <w:rFonts w:ascii="Lucida Sans Unicode"/>
          <w:spacing w:val="-19"/>
          <w:w w:val="110"/>
        </w:rPr>
        <w:t> </w:t>
      </w:r>
      <w:r>
        <w:rPr>
          <w:rFonts w:ascii="Verdana"/>
          <w:i/>
          <w:spacing w:val="-2"/>
          <w:w w:val="110"/>
        </w:rPr>
        <w:t>TuneIn</w:t>
      </w:r>
      <w:r>
        <w:rPr>
          <w:rFonts w:ascii="Verdana"/>
          <w:i/>
          <w:spacing w:val="-22"/>
          <w:w w:val="110"/>
        </w:rPr>
        <w:t> </w:t>
      </w:r>
      <w:r>
        <w:rPr>
          <w:spacing w:val="-2"/>
          <w:w w:val="110"/>
        </w:rPr>
        <w:t>are</w:t>
      </w:r>
      <w:r>
        <w:rPr>
          <w:spacing w:val="-16"/>
          <w:w w:val="110"/>
        </w:rPr>
        <w:t> </w:t>
      </w:r>
      <w:r>
        <w:rPr>
          <w:spacing w:val="-2"/>
          <w:w w:val="110"/>
        </w:rPr>
        <w:t>useful</w:t>
      </w:r>
      <w:r>
        <w:rPr>
          <w:spacing w:val="-11"/>
          <w:w w:val="110"/>
        </w:rPr>
        <w:t> </w:t>
      </w:r>
      <w:r>
        <w:rPr>
          <w:spacing w:val="-2"/>
          <w:w w:val="110"/>
        </w:rPr>
        <w:t>for </w:t>
      </w:r>
      <w:r>
        <w:rPr>
          <w:w w:val="115"/>
        </w:rPr>
        <w:t>understanding the relevance of the Charter to Northern Ireland in two respects.</w:t>
      </w:r>
      <w:r>
        <w:rPr>
          <w:spacing w:val="-3"/>
          <w:w w:val="115"/>
        </w:rPr>
        <w:t> </w:t>
      </w:r>
      <w:r>
        <w:rPr>
          <w:w w:val="115"/>
        </w:rPr>
        <w:t>First,</w:t>
      </w:r>
      <w:r>
        <w:rPr>
          <w:spacing w:val="-3"/>
          <w:w w:val="115"/>
        </w:rPr>
        <w:t> </w:t>
      </w:r>
      <w:r>
        <w:rPr>
          <w:w w:val="115"/>
        </w:rPr>
        <w:t>insofar</w:t>
      </w:r>
      <w:r>
        <w:rPr>
          <w:spacing w:val="-3"/>
          <w:w w:val="115"/>
        </w:rPr>
        <w:t> </w:t>
      </w:r>
      <w:r>
        <w:rPr>
          <w:w w:val="115"/>
        </w:rPr>
        <w:t>as</w:t>
      </w:r>
      <w:r>
        <w:rPr>
          <w:spacing w:val="-3"/>
          <w:w w:val="115"/>
        </w:rPr>
        <w:t> </w:t>
      </w:r>
      <w:r>
        <w:rPr>
          <w:w w:val="115"/>
        </w:rPr>
        <w:t>a</w:t>
      </w:r>
      <w:r>
        <w:rPr>
          <w:spacing w:val="-3"/>
          <w:w w:val="115"/>
        </w:rPr>
        <w:t> </w:t>
      </w:r>
      <w:r>
        <w:rPr>
          <w:w w:val="115"/>
        </w:rPr>
        <w:t>situation that comes within the scope of EU law concerns pre-IP day facts, its treatment</w:t>
      </w:r>
      <w:r>
        <w:rPr>
          <w:spacing w:val="-20"/>
          <w:w w:val="115"/>
        </w:rPr>
        <w:t> </w:t>
      </w:r>
      <w:r>
        <w:rPr>
          <w:rFonts w:ascii="Verdana"/>
          <w:i/>
          <w:w w:val="115"/>
        </w:rPr>
        <w:t>as</w:t>
      </w:r>
      <w:r>
        <w:rPr>
          <w:rFonts w:ascii="Verdana"/>
          <w:i/>
          <w:spacing w:val="-25"/>
          <w:w w:val="115"/>
        </w:rPr>
        <w:t> </w:t>
      </w:r>
      <w:r>
        <w:rPr>
          <w:rFonts w:ascii="Verdana"/>
          <w:i/>
          <w:w w:val="115"/>
        </w:rPr>
        <w:t>EU</w:t>
      </w:r>
      <w:r>
        <w:rPr>
          <w:rFonts w:ascii="Verdana"/>
          <w:i/>
          <w:spacing w:val="-26"/>
          <w:w w:val="115"/>
        </w:rPr>
        <w:t> </w:t>
      </w:r>
      <w:r>
        <w:rPr>
          <w:rFonts w:ascii="Verdana"/>
          <w:i/>
          <w:w w:val="115"/>
        </w:rPr>
        <w:t>law</w:t>
      </w:r>
      <w:r>
        <w:rPr>
          <w:rFonts w:ascii="Verdana"/>
          <w:i/>
          <w:spacing w:val="-26"/>
          <w:w w:val="115"/>
        </w:rPr>
        <w:t> </w:t>
      </w:r>
      <w:r>
        <w:rPr>
          <w:w w:val="115"/>
        </w:rPr>
        <w:t>means</w:t>
      </w:r>
      <w:r>
        <w:rPr>
          <w:spacing w:val="-10"/>
          <w:w w:val="115"/>
        </w:rPr>
        <w:t> </w:t>
      </w:r>
      <w:r>
        <w:rPr>
          <w:w w:val="115"/>
        </w:rPr>
        <w:t>that</w:t>
      </w:r>
      <w:r>
        <w:rPr>
          <w:spacing w:val="-9"/>
          <w:w w:val="115"/>
        </w:rPr>
        <w:t> </w:t>
      </w:r>
      <w:r>
        <w:rPr>
          <w:w w:val="115"/>
        </w:rPr>
        <w:t>all domestic</w:t>
      </w:r>
      <w:r>
        <w:rPr>
          <w:spacing w:val="-20"/>
          <w:w w:val="115"/>
        </w:rPr>
        <w:t> </w:t>
      </w:r>
      <w:r>
        <w:rPr>
          <w:w w:val="115"/>
        </w:rPr>
        <w:t>courts</w:t>
      </w:r>
      <w:r>
        <w:rPr>
          <w:spacing w:val="-19"/>
          <w:w w:val="115"/>
        </w:rPr>
        <w:t> </w:t>
      </w:r>
      <w:r>
        <w:rPr>
          <w:w w:val="115"/>
        </w:rPr>
        <w:t>(including,</w:t>
      </w:r>
      <w:r>
        <w:rPr>
          <w:spacing w:val="-19"/>
          <w:w w:val="115"/>
        </w:rPr>
        <w:t> </w:t>
      </w:r>
      <w:r>
        <w:rPr>
          <w:w w:val="115"/>
        </w:rPr>
        <w:t>of</w:t>
      </w:r>
      <w:r>
        <w:rPr>
          <w:spacing w:val="-19"/>
          <w:w w:val="115"/>
        </w:rPr>
        <w:t> </w:t>
      </w:r>
      <w:r>
        <w:rPr>
          <w:w w:val="115"/>
        </w:rPr>
        <w:t>course,</w:t>
      </w:r>
    </w:p>
    <w:p>
      <w:pPr>
        <w:pStyle w:val="BodyText"/>
        <w:spacing w:line="310" w:lineRule="exact" w:before="4"/>
        <w:ind w:right="487"/>
      </w:pPr>
      <w:r>
        <w:rPr>
          <w:w w:val="115"/>
        </w:rPr>
        <w:t>Northern Ireland courts) will treat</w:t>
      </w:r>
      <w:r>
        <w:rPr>
          <w:spacing w:val="80"/>
          <w:w w:val="115"/>
        </w:rPr>
        <w:t> </w:t>
      </w:r>
      <w:r>
        <w:rPr>
          <w:w w:val="115"/>
        </w:rPr>
        <w:t>it in the same way as they would </w:t>
      </w:r>
      <w:r>
        <w:rPr>
          <w:rFonts w:ascii="Lucida Sans Unicode"/>
        </w:rPr>
        <w:t>have done before Brexit. Second, </w:t>
      </w:r>
      <w:r>
        <w:rPr>
          <w:rFonts w:ascii="Lucida Sans Unicode"/>
        </w:rPr>
        <w:t>in </w:t>
      </w:r>
      <w:r>
        <w:rPr>
          <w:w w:val="115"/>
        </w:rPr>
        <w:t>relation</w:t>
      </w:r>
      <w:r>
        <w:rPr>
          <w:spacing w:val="-1"/>
          <w:w w:val="115"/>
        </w:rPr>
        <w:t> </w:t>
      </w:r>
      <w:r>
        <w:rPr>
          <w:w w:val="115"/>
        </w:rPr>
        <w:t>to</w:t>
      </w:r>
      <w:r>
        <w:rPr>
          <w:spacing w:val="-1"/>
          <w:w w:val="115"/>
        </w:rPr>
        <w:t> </w:t>
      </w:r>
      <w:r>
        <w:rPr>
          <w:w w:val="115"/>
        </w:rPr>
        <w:t>post-IP</w:t>
      </w:r>
      <w:r>
        <w:rPr>
          <w:spacing w:val="-1"/>
          <w:w w:val="115"/>
        </w:rPr>
        <w:t> </w:t>
      </w:r>
      <w:r>
        <w:rPr>
          <w:w w:val="115"/>
        </w:rPr>
        <w:t>day</w:t>
      </w:r>
      <w:r>
        <w:rPr>
          <w:spacing w:val="-1"/>
          <w:w w:val="115"/>
        </w:rPr>
        <w:t> </w:t>
      </w:r>
      <w:r>
        <w:rPr>
          <w:w w:val="115"/>
        </w:rPr>
        <w:t>facts,</w:t>
      </w:r>
      <w:r>
        <w:rPr>
          <w:spacing w:val="-1"/>
          <w:w w:val="115"/>
        </w:rPr>
        <w:t> </w:t>
      </w:r>
      <w:r>
        <w:rPr>
          <w:w w:val="115"/>
        </w:rPr>
        <w:t>areas</w:t>
      </w:r>
    </w:p>
    <w:p>
      <w:pPr>
        <w:pStyle w:val="BodyText"/>
        <w:spacing w:line="237" w:lineRule="auto" w:before="27"/>
        <w:ind w:right="266"/>
        <w:rPr>
          <w:rFonts w:ascii="Lucida Sans Unicode"/>
        </w:rPr>
      </w:pPr>
      <w:r>
        <w:rPr>
          <w:w w:val="110"/>
        </w:rPr>
        <w:t>governed by the Windsor </w:t>
      </w:r>
      <w:r>
        <w:rPr>
          <w:w w:val="110"/>
        </w:rPr>
        <w:t>Framework </w:t>
      </w:r>
      <w:r>
        <w:rPr>
          <w:rFonts w:ascii="Lucida Sans Unicode"/>
          <w:w w:val="110"/>
        </w:rPr>
        <w:t>through</w:t>
      </w:r>
      <w:r>
        <w:rPr>
          <w:rFonts w:ascii="Lucida Sans Unicode"/>
          <w:spacing w:val="-21"/>
          <w:w w:val="110"/>
        </w:rPr>
        <w:t> </w:t>
      </w:r>
      <w:r>
        <w:rPr>
          <w:rFonts w:ascii="Lucida Sans Unicode"/>
          <w:w w:val="110"/>
        </w:rPr>
        <w:t>Article</w:t>
      </w:r>
      <w:r>
        <w:rPr>
          <w:rFonts w:ascii="Lucida Sans Unicode"/>
          <w:spacing w:val="-21"/>
          <w:w w:val="110"/>
        </w:rPr>
        <w:t> </w:t>
      </w:r>
      <w:r>
        <w:rPr>
          <w:rFonts w:ascii="Lucida Sans Unicode"/>
          <w:w w:val="110"/>
        </w:rPr>
        <w:t>4</w:t>
      </w:r>
      <w:r>
        <w:rPr>
          <w:rFonts w:ascii="Lucida Sans Unicode"/>
          <w:spacing w:val="-21"/>
          <w:w w:val="110"/>
        </w:rPr>
        <w:t> </w:t>
      </w:r>
      <w:r>
        <w:rPr>
          <w:rFonts w:ascii="Lucida Sans Unicode"/>
          <w:w w:val="110"/>
        </w:rPr>
        <w:t>WA</w:t>
      </w:r>
      <w:r>
        <w:rPr>
          <w:rFonts w:ascii="Lucida Sans Unicode"/>
          <w:spacing w:val="-21"/>
          <w:w w:val="110"/>
        </w:rPr>
        <w:t> </w:t>
      </w:r>
      <w:r>
        <w:rPr>
          <w:rFonts w:ascii="Lucida Sans Unicode"/>
          <w:w w:val="110"/>
        </w:rPr>
        <w:t>and</w:t>
      </w:r>
      <w:r>
        <w:rPr>
          <w:rFonts w:ascii="Lucida Sans Unicode"/>
          <w:spacing w:val="-21"/>
          <w:w w:val="110"/>
        </w:rPr>
        <w:t> </w:t>
      </w:r>
      <w:r>
        <w:rPr>
          <w:rFonts w:ascii="Lucida Sans Unicode"/>
          <w:w w:val="110"/>
        </w:rPr>
        <w:t>Annexes</w:t>
      </w:r>
    </w:p>
    <w:p>
      <w:pPr>
        <w:pStyle w:val="BodyText"/>
        <w:spacing w:line="301" w:lineRule="exact"/>
        <w:rPr>
          <w:rFonts w:ascii="Lucida Sans Unicode"/>
        </w:rPr>
      </w:pPr>
      <w:r>
        <w:rPr>
          <w:rFonts w:ascii="Lucida Sans Unicode"/>
        </w:rPr>
        <w:t>2-5</w:t>
      </w:r>
      <w:r>
        <w:rPr>
          <w:rFonts w:ascii="Lucida Sans Unicode"/>
          <w:spacing w:val="-3"/>
        </w:rPr>
        <w:t> </w:t>
      </w:r>
      <w:r>
        <w:rPr>
          <w:rFonts w:ascii="Lucida Sans Unicode"/>
        </w:rPr>
        <w:t>can</w:t>
      </w:r>
      <w:r>
        <w:rPr>
          <w:rFonts w:ascii="Lucida Sans Unicode"/>
          <w:spacing w:val="-3"/>
        </w:rPr>
        <w:t> </w:t>
      </w:r>
      <w:r>
        <w:rPr>
          <w:rFonts w:ascii="Lucida Sans Unicode"/>
        </w:rPr>
        <w:t>also</w:t>
      </w:r>
      <w:r>
        <w:rPr>
          <w:rFonts w:ascii="Lucida Sans Unicode"/>
          <w:spacing w:val="-3"/>
        </w:rPr>
        <w:t> </w:t>
      </w:r>
      <w:r>
        <w:rPr>
          <w:rFonts w:ascii="Lucida Sans Unicode"/>
        </w:rPr>
        <w:t>be</w:t>
      </w:r>
      <w:r>
        <w:rPr>
          <w:rFonts w:ascii="Lucida Sans Unicode"/>
          <w:spacing w:val="-3"/>
        </w:rPr>
        <w:t> </w:t>
      </w:r>
      <w:r>
        <w:rPr>
          <w:rFonts w:ascii="Lucida Sans Unicode"/>
        </w:rPr>
        <w:t>treated</w:t>
      </w:r>
      <w:r>
        <w:rPr>
          <w:rFonts w:ascii="Lucida Sans Unicode"/>
          <w:spacing w:val="-2"/>
        </w:rPr>
        <w:t> </w:t>
      </w:r>
      <w:r>
        <w:rPr>
          <w:rFonts w:ascii="Lucida Sans Unicode"/>
        </w:rPr>
        <w:t>in</w:t>
      </w:r>
      <w:r>
        <w:rPr>
          <w:rFonts w:ascii="Lucida Sans Unicode"/>
          <w:spacing w:val="-3"/>
        </w:rPr>
        <w:t> </w:t>
      </w:r>
      <w:r>
        <w:rPr>
          <w:rFonts w:ascii="Lucida Sans Unicode"/>
        </w:rPr>
        <w:t>the</w:t>
      </w:r>
      <w:r>
        <w:rPr>
          <w:rFonts w:ascii="Lucida Sans Unicode"/>
          <w:spacing w:val="-3"/>
        </w:rPr>
        <w:t> </w:t>
      </w:r>
      <w:r>
        <w:rPr>
          <w:rFonts w:ascii="Lucida Sans Unicode"/>
          <w:spacing w:val="-4"/>
        </w:rPr>
        <w:t>same</w:t>
      </w:r>
    </w:p>
    <w:p>
      <w:pPr>
        <w:pStyle w:val="BodyText"/>
        <w:spacing w:line="237" w:lineRule="auto"/>
        <w:ind w:right="178"/>
        <w:rPr>
          <w:rFonts w:ascii="Lucida Sans Unicode"/>
        </w:rPr>
      </w:pPr>
      <w:r>
        <w:rPr>
          <w:w w:val="105"/>
        </w:rPr>
        <w:t>manner because, as already </w:t>
      </w:r>
      <w:r>
        <w:rPr>
          <w:w w:val="105"/>
        </w:rPr>
        <w:t>explained </w:t>
      </w:r>
      <w:r>
        <w:rPr>
          <w:rFonts w:ascii="Lucida Sans Unicode"/>
          <w:w w:val="105"/>
        </w:rPr>
        <w:t>in Chapter 2, they carry forward</w:t>
      </w:r>
    </w:p>
    <w:p>
      <w:pPr>
        <w:pStyle w:val="BodyText"/>
        <w:spacing w:line="256" w:lineRule="exact"/>
      </w:pPr>
      <w:r>
        <w:rPr>
          <w:w w:val="110"/>
        </w:rPr>
        <w:t>the</w:t>
      </w:r>
      <w:r>
        <w:rPr>
          <w:spacing w:val="10"/>
          <w:w w:val="110"/>
        </w:rPr>
        <w:t> </w:t>
      </w:r>
      <w:r>
        <w:rPr>
          <w:w w:val="110"/>
        </w:rPr>
        <w:t>same</w:t>
      </w:r>
      <w:r>
        <w:rPr>
          <w:spacing w:val="10"/>
          <w:w w:val="110"/>
        </w:rPr>
        <w:t> </w:t>
      </w:r>
      <w:r>
        <w:rPr>
          <w:w w:val="110"/>
        </w:rPr>
        <w:t>principle:</w:t>
      </w:r>
      <w:r>
        <w:rPr>
          <w:spacing w:val="10"/>
          <w:w w:val="110"/>
        </w:rPr>
        <w:t> </w:t>
      </w:r>
      <w:r>
        <w:rPr>
          <w:w w:val="110"/>
        </w:rPr>
        <w:t>they</w:t>
      </w:r>
      <w:r>
        <w:rPr>
          <w:spacing w:val="10"/>
          <w:w w:val="110"/>
        </w:rPr>
        <w:t> </w:t>
      </w:r>
      <w:r>
        <w:rPr>
          <w:spacing w:val="-2"/>
          <w:w w:val="110"/>
        </w:rPr>
        <w:t>stipulate</w:t>
      </w:r>
    </w:p>
    <w:p>
      <w:pPr>
        <w:pStyle w:val="BodyText"/>
        <w:spacing w:line="266" w:lineRule="auto" w:before="10"/>
        <w:ind w:right="510"/>
      </w:pPr>
      <w:r>
        <w:rPr>
          <w:w w:val="110"/>
        </w:rPr>
        <w:t>the application of EU law </w:t>
      </w:r>
      <w:r>
        <w:rPr>
          <w:rFonts w:ascii="Verdana"/>
          <w:i/>
          <w:w w:val="110"/>
        </w:rPr>
        <w:t>as EU</w:t>
      </w:r>
      <w:r>
        <w:rPr>
          <w:rFonts w:ascii="Verdana"/>
          <w:i/>
          <w:w w:val="110"/>
        </w:rPr>
        <w:t> law</w:t>
      </w:r>
      <w:r>
        <w:rPr>
          <w:w w:val="110"/>
        </w:rPr>
        <w:t>, in line with section 7A EUWA, rather than being retained EU law. As EU law necessarily includes the Charter and must be interpreted </w:t>
      </w:r>
      <w:r>
        <w:rPr>
          <w:w w:val="110"/>
        </w:rPr>
        <w:t>in accordance with it, we expect the domestic effects of the Charter to</w:t>
      </w:r>
    </w:p>
    <w:p>
      <w:pPr>
        <w:pStyle w:val="BodyText"/>
        <w:spacing w:line="256" w:lineRule="auto" w:before="9"/>
      </w:pPr>
      <w:r>
        <w:rPr>
          <w:w w:val="110"/>
        </w:rPr>
        <w:t>remain largely unchanged in the </w:t>
      </w:r>
      <w:r>
        <w:rPr>
          <w:w w:val="110"/>
        </w:rPr>
        <w:t>areas governed by EU law </w:t>
      </w:r>
      <w:r>
        <w:rPr>
          <w:rFonts w:ascii="Verdana"/>
          <w:i/>
          <w:w w:val="110"/>
        </w:rPr>
        <w:t>as</w:t>
      </w:r>
      <w:r>
        <w:rPr>
          <w:rFonts w:ascii="Verdana"/>
          <w:i/>
          <w:spacing w:val="-11"/>
          <w:w w:val="110"/>
        </w:rPr>
        <w:t> </w:t>
      </w:r>
      <w:r>
        <w:rPr>
          <w:rFonts w:ascii="Verdana"/>
          <w:i/>
          <w:w w:val="110"/>
        </w:rPr>
        <w:t>EU</w:t>
      </w:r>
      <w:r>
        <w:rPr>
          <w:rFonts w:ascii="Verdana"/>
          <w:i/>
          <w:spacing w:val="-11"/>
          <w:w w:val="110"/>
        </w:rPr>
        <w:t> </w:t>
      </w:r>
      <w:r>
        <w:rPr>
          <w:rFonts w:ascii="Verdana"/>
          <w:i/>
          <w:w w:val="110"/>
        </w:rPr>
        <w:t>law</w:t>
      </w:r>
      <w:r>
        <w:rPr>
          <w:w w:val="110"/>
        </w:rPr>
        <w:t>.</w:t>
      </w:r>
    </w:p>
    <w:p>
      <w:pPr>
        <w:pStyle w:val="BodyText"/>
        <w:spacing w:before="14"/>
        <w:ind w:left="0"/>
      </w:pPr>
    </w:p>
    <w:p>
      <w:pPr>
        <w:pStyle w:val="BodyText"/>
        <w:spacing w:line="310" w:lineRule="exact"/>
        <w:ind w:right="400"/>
      </w:pPr>
      <w:r>
        <w:rPr>
          <w:w w:val="115"/>
        </w:rPr>
        <w:t>While the situation is more complicated</w:t>
      </w:r>
      <w:r>
        <w:rPr>
          <w:spacing w:val="-20"/>
          <w:w w:val="115"/>
        </w:rPr>
        <w:t> </w:t>
      </w:r>
      <w:r>
        <w:rPr>
          <w:w w:val="115"/>
        </w:rPr>
        <w:t>when</w:t>
      </w:r>
      <w:r>
        <w:rPr>
          <w:spacing w:val="-19"/>
          <w:w w:val="115"/>
        </w:rPr>
        <w:t> </w:t>
      </w:r>
      <w:r>
        <w:rPr>
          <w:w w:val="115"/>
        </w:rPr>
        <w:t>it</w:t>
      </w:r>
      <w:r>
        <w:rPr>
          <w:spacing w:val="-19"/>
          <w:w w:val="115"/>
        </w:rPr>
        <w:t> </w:t>
      </w:r>
      <w:r>
        <w:rPr>
          <w:w w:val="115"/>
        </w:rPr>
        <w:t>comes</w:t>
      </w:r>
      <w:r>
        <w:rPr>
          <w:spacing w:val="-19"/>
          <w:w w:val="115"/>
        </w:rPr>
        <w:t> </w:t>
      </w:r>
      <w:r>
        <w:rPr>
          <w:w w:val="115"/>
        </w:rPr>
        <w:t>to</w:t>
      </w:r>
      <w:r>
        <w:rPr>
          <w:spacing w:val="-19"/>
          <w:w w:val="115"/>
        </w:rPr>
        <w:t> </w:t>
      </w:r>
      <w:r>
        <w:rPr>
          <w:w w:val="115"/>
        </w:rPr>
        <w:t>areas </w:t>
      </w:r>
      <w:r>
        <w:rPr>
          <w:rFonts w:ascii="Lucida Sans Unicode"/>
          <w:spacing w:val="-2"/>
          <w:w w:val="110"/>
        </w:rPr>
        <w:t>governed</w:t>
      </w:r>
      <w:r>
        <w:rPr>
          <w:rFonts w:ascii="Lucida Sans Unicode"/>
          <w:spacing w:val="-16"/>
          <w:w w:val="110"/>
        </w:rPr>
        <w:t> </w:t>
      </w:r>
      <w:r>
        <w:rPr>
          <w:rFonts w:ascii="Lucida Sans Unicode"/>
          <w:spacing w:val="-2"/>
          <w:w w:val="110"/>
        </w:rPr>
        <w:t>by</w:t>
      </w:r>
      <w:r>
        <w:rPr>
          <w:rFonts w:ascii="Lucida Sans Unicode"/>
          <w:spacing w:val="-16"/>
          <w:w w:val="110"/>
        </w:rPr>
        <w:t> </w:t>
      </w:r>
      <w:r>
        <w:rPr>
          <w:rFonts w:ascii="Lucida Sans Unicode"/>
          <w:spacing w:val="-2"/>
          <w:w w:val="110"/>
        </w:rPr>
        <w:t>the</w:t>
      </w:r>
      <w:r>
        <w:rPr>
          <w:rFonts w:ascii="Lucida Sans Unicode"/>
          <w:spacing w:val="-16"/>
          <w:w w:val="110"/>
        </w:rPr>
        <w:t> </w:t>
      </w:r>
      <w:r>
        <w:rPr>
          <w:rFonts w:ascii="Lucida Sans Unicode"/>
          <w:spacing w:val="-2"/>
          <w:w w:val="110"/>
        </w:rPr>
        <w:t>thinner</w:t>
      </w:r>
      <w:r>
        <w:rPr>
          <w:rFonts w:ascii="Lucida Sans Unicode"/>
          <w:spacing w:val="-16"/>
          <w:w w:val="110"/>
        </w:rPr>
        <w:t> </w:t>
      </w:r>
      <w:r>
        <w:rPr>
          <w:rFonts w:ascii="Lucida Sans Unicode"/>
          <w:spacing w:val="-2"/>
          <w:w w:val="110"/>
        </w:rPr>
        <w:t>Article</w:t>
      </w:r>
      <w:r>
        <w:rPr>
          <w:rFonts w:ascii="Lucida Sans Unicode"/>
          <w:spacing w:val="-16"/>
          <w:w w:val="110"/>
        </w:rPr>
        <w:t> </w:t>
      </w:r>
      <w:r>
        <w:rPr>
          <w:rFonts w:ascii="Lucida Sans Unicode"/>
          <w:spacing w:val="-2"/>
          <w:w w:val="110"/>
        </w:rPr>
        <w:t>2 </w:t>
      </w:r>
      <w:r>
        <w:rPr>
          <w:w w:val="115"/>
        </w:rPr>
        <w:t>commitment</w:t>
      </w:r>
      <w:r>
        <w:rPr>
          <w:spacing w:val="-11"/>
          <w:w w:val="115"/>
        </w:rPr>
        <w:t> </w:t>
      </w:r>
      <w:r>
        <w:rPr>
          <w:w w:val="115"/>
        </w:rPr>
        <w:t>to</w:t>
      </w:r>
      <w:r>
        <w:rPr>
          <w:spacing w:val="-11"/>
          <w:w w:val="115"/>
        </w:rPr>
        <w:t> </w:t>
      </w:r>
      <w:r>
        <w:rPr>
          <w:w w:val="115"/>
        </w:rPr>
        <w:t>non-diminution,</w:t>
      </w:r>
      <w:r>
        <w:rPr>
          <w:spacing w:val="-11"/>
          <w:w w:val="115"/>
        </w:rPr>
        <w:t> </w:t>
      </w:r>
      <w:r>
        <w:rPr>
          <w:w w:val="115"/>
        </w:rPr>
        <w:t>use of the Charter is necessary there</w:t>
      </w:r>
    </w:p>
    <w:p>
      <w:pPr>
        <w:pStyle w:val="BodyText"/>
        <w:spacing w:line="268" w:lineRule="auto" w:before="25"/>
        <w:ind w:right="557"/>
        <w:rPr>
          <w:rFonts w:ascii="Verdana" w:hAnsi="Verdana"/>
          <w:i/>
        </w:rPr>
      </w:pPr>
      <w:r>
        <w:rPr>
          <w:w w:val="110"/>
        </w:rPr>
        <w:t>as well, insofar as such use would also have been pertinent before</w:t>
      </w:r>
      <w:r>
        <w:rPr>
          <w:spacing w:val="80"/>
          <w:w w:val="110"/>
        </w:rPr>
        <w:t> </w:t>
      </w:r>
      <w:r>
        <w:rPr>
          <w:w w:val="110"/>
        </w:rPr>
        <w:t>the entry into force of the </w:t>
      </w:r>
      <w:r>
        <w:rPr>
          <w:w w:val="110"/>
        </w:rPr>
        <w:t>Windsor Framework.</w:t>
      </w:r>
      <w:r>
        <w:rPr>
          <w:spacing w:val="-13"/>
          <w:w w:val="110"/>
        </w:rPr>
        <w:t> </w:t>
      </w:r>
      <w:r>
        <w:rPr>
          <w:w w:val="110"/>
        </w:rPr>
        <w:t>However,</w:t>
      </w:r>
      <w:r>
        <w:rPr>
          <w:spacing w:val="-13"/>
          <w:w w:val="110"/>
        </w:rPr>
        <w:t> </w:t>
      </w:r>
      <w:r>
        <w:rPr>
          <w:w w:val="110"/>
        </w:rPr>
        <w:t>it</w:t>
      </w:r>
      <w:r>
        <w:rPr>
          <w:spacing w:val="-13"/>
          <w:w w:val="110"/>
        </w:rPr>
        <w:t> </w:t>
      </w:r>
      <w:r>
        <w:rPr>
          <w:w w:val="110"/>
        </w:rPr>
        <w:t>is</w:t>
      </w:r>
      <w:r>
        <w:rPr>
          <w:spacing w:val="-13"/>
          <w:w w:val="110"/>
        </w:rPr>
        <w:t> </w:t>
      </w:r>
      <w:r>
        <w:rPr>
          <w:w w:val="110"/>
        </w:rPr>
        <w:t>essential to re-emphasise that – unlike a common law jurisdiction – EU constitutional law treats </w:t>
      </w:r>
      <w:r>
        <w:rPr>
          <w:rFonts w:ascii="Verdana" w:hAnsi="Verdana"/>
          <w:i/>
          <w:w w:val="110"/>
        </w:rPr>
        <w:t>case law</w:t>
      </w:r>
    </w:p>
    <w:p>
      <w:pPr>
        <w:spacing w:after="0" w:line="268" w:lineRule="auto"/>
        <w:rPr>
          <w:rFonts w:ascii="Verdana" w:hAnsi="Verdana"/>
        </w:rPr>
        <w:sectPr>
          <w:type w:val="continuous"/>
          <w:pgSz w:w="11910" w:h="16840"/>
          <w:pgMar w:header="568" w:footer="580" w:top="0" w:bottom="280" w:left="1020" w:right="1020"/>
          <w:cols w:num="2" w:equalWidth="0">
            <w:col w:w="4741" w:space="304"/>
            <w:col w:w="4825"/>
          </w:cols>
        </w:sectPr>
      </w:pPr>
    </w:p>
    <w:p>
      <w:pPr>
        <w:pStyle w:val="BodyText"/>
        <w:spacing w:before="3"/>
        <w:ind w:left="0"/>
        <w:rPr>
          <w:rFonts w:ascii="Verdana"/>
          <w:i/>
          <w:sz w:val="12"/>
        </w:rPr>
      </w:pPr>
    </w:p>
    <w:p>
      <w:pPr>
        <w:pStyle w:val="BodyText"/>
        <w:spacing w:line="20" w:lineRule="exact"/>
        <w:rPr>
          <w:rFonts w:ascii="Verdana"/>
          <w:sz w:val="2"/>
        </w:rPr>
      </w:pPr>
      <w:r>
        <w:rPr>
          <w:rFonts w:ascii="Verdana"/>
          <w:sz w:val="2"/>
        </w:rPr>
        <mc:AlternateContent>
          <mc:Choice Requires="wps">
            <w:drawing>
              <wp:inline distT="0" distB="0" distL="0" distR="0">
                <wp:extent cx="6120130" cy="6350"/>
                <wp:effectExtent l="9525" t="0" r="0" b="3175"/>
                <wp:docPr id="205" name="Group 205"/>
                <wp:cNvGraphicFramePr>
                  <a:graphicFrameLocks/>
                </wp:cNvGraphicFramePr>
                <a:graphic>
                  <a:graphicData uri="http://schemas.microsoft.com/office/word/2010/wordprocessingGroup">
                    <wpg:wgp>
                      <wpg:cNvPr id="205" name="Group 205"/>
                      <wpg:cNvGrpSpPr/>
                      <wpg:grpSpPr>
                        <a:xfrm>
                          <a:off x="0" y="0"/>
                          <a:ext cx="6120130" cy="6350"/>
                          <a:chExt cx="6120130" cy="6350"/>
                        </a:xfrm>
                      </wpg:grpSpPr>
                      <wps:wsp>
                        <wps:cNvPr id="206" name="Graphic 206"/>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121" coordorigin="0,0" coordsize="9638,10">
                <v:line style="position:absolute" from="0,5" to="9638,5" stroked="true" strokeweight=".5pt" strokecolor="#77328a">
                  <v:stroke dashstyle="solid"/>
                </v:line>
              </v:group>
            </w:pict>
          </mc:Fallback>
        </mc:AlternateContent>
      </w:r>
      <w:r>
        <w:rPr>
          <w:rFonts w:ascii="Verdana"/>
          <w:sz w:val="2"/>
        </w:rPr>
      </w:r>
    </w:p>
    <w:p>
      <w:pPr>
        <w:pStyle w:val="ListParagraph"/>
        <w:numPr>
          <w:ilvl w:val="0"/>
          <w:numId w:val="14"/>
        </w:numPr>
        <w:tabs>
          <w:tab w:pos="565" w:val="left" w:leader="none"/>
        </w:tabs>
        <w:spacing w:line="240" w:lineRule="auto" w:before="61" w:after="0"/>
        <w:ind w:left="565" w:right="0" w:hanging="452"/>
        <w:jc w:val="left"/>
        <w:rPr>
          <w:sz w:val="16"/>
        </w:rPr>
      </w:pPr>
      <w:r>
        <w:rPr>
          <w:rFonts w:ascii="Verdana"/>
          <w:i/>
          <w:sz w:val="16"/>
        </w:rPr>
        <w:t>TuneIn</w:t>
      </w:r>
      <w:r>
        <w:rPr>
          <w:rFonts w:ascii="Verdana"/>
          <w:i/>
          <w:spacing w:val="-6"/>
          <w:sz w:val="16"/>
        </w:rPr>
        <w:t> </w:t>
      </w:r>
      <w:r>
        <w:rPr>
          <w:rFonts w:ascii="Verdana"/>
          <w:i/>
          <w:sz w:val="16"/>
        </w:rPr>
        <w:t>Inc</w:t>
      </w:r>
      <w:r>
        <w:rPr>
          <w:rFonts w:ascii="Verdana"/>
          <w:i/>
          <w:spacing w:val="-6"/>
          <w:sz w:val="16"/>
        </w:rPr>
        <w:t> </w:t>
      </w:r>
      <w:r>
        <w:rPr>
          <w:rFonts w:ascii="Verdana"/>
          <w:i/>
          <w:sz w:val="16"/>
        </w:rPr>
        <w:t>v</w:t>
      </w:r>
      <w:r>
        <w:rPr>
          <w:rFonts w:ascii="Verdana"/>
          <w:i/>
          <w:spacing w:val="-5"/>
          <w:sz w:val="16"/>
        </w:rPr>
        <w:t> </w:t>
      </w:r>
      <w:r>
        <w:rPr>
          <w:rFonts w:ascii="Verdana"/>
          <w:i/>
          <w:sz w:val="16"/>
        </w:rPr>
        <w:t>Warner</w:t>
      </w:r>
      <w:r>
        <w:rPr>
          <w:rFonts w:ascii="Verdana"/>
          <w:i/>
          <w:spacing w:val="-6"/>
          <w:sz w:val="16"/>
        </w:rPr>
        <w:t> </w:t>
      </w:r>
      <w:r>
        <w:rPr>
          <w:rFonts w:ascii="Verdana"/>
          <w:i/>
          <w:sz w:val="16"/>
        </w:rPr>
        <w:t>Music</w:t>
      </w:r>
      <w:r>
        <w:rPr>
          <w:rFonts w:ascii="Verdana"/>
          <w:i/>
          <w:spacing w:val="-6"/>
          <w:sz w:val="16"/>
        </w:rPr>
        <w:t> </w:t>
      </w:r>
      <w:r>
        <w:rPr>
          <w:rFonts w:ascii="Verdana"/>
          <w:i/>
          <w:sz w:val="16"/>
        </w:rPr>
        <w:t>UK</w:t>
      </w:r>
      <w:r>
        <w:rPr>
          <w:rFonts w:ascii="Verdana"/>
          <w:i/>
          <w:spacing w:val="-5"/>
          <w:sz w:val="16"/>
        </w:rPr>
        <w:t> </w:t>
      </w:r>
      <w:r>
        <w:rPr>
          <w:rFonts w:ascii="Verdana"/>
          <w:i/>
          <w:sz w:val="16"/>
        </w:rPr>
        <w:t>Ltd</w:t>
      </w:r>
      <w:r>
        <w:rPr>
          <w:rFonts w:ascii="Verdana"/>
          <w:i/>
          <w:spacing w:val="-6"/>
          <w:sz w:val="16"/>
        </w:rPr>
        <w:t> </w:t>
      </w:r>
      <w:r>
        <w:rPr>
          <w:rFonts w:ascii="Verdana"/>
          <w:i/>
          <w:sz w:val="16"/>
        </w:rPr>
        <w:t>&amp;</w:t>
      </w:r>
      <w:r>
        <w:rPr>
          <w:rFonts w:ascii="Verdana"/>
          <w:i/>
          <w:spacing w:val="-6"/>
          <w:sz w:val="16"/>
        </w:rPr>
        <w:t> </w:t>
      </w:r>
      <w:r>
        <w:rPr>
          <w:rFonts w:ascii="Verdana"/>
          <w:i/>
          <w:sz w:val="16"/>
        </w:rPr>
        <w:t>Ano</w:t>
      </w:r>
      <w:r>
        <w:rPr>
          <w:sz w:val="16"/>
        </w:rPr>
        <w:t>r</w:t>
      </w:r>
      <w:r>
        <w:rPr>
          <w:spacing w:val="1"/>
          <w:sz w:val="16"/>
        </w:rPr>
        <w:t> </w:t>
      </w:r>
      <w:r>
        <w:rPr>
          <w:sz w:val="16"/>
        </w:rPr>
        <w:t>[2021] EWCA Civ</w:t>
      </w:r>
      <w:r>
        <w:rPr>
          <w:spacing w:val="1"/>
          <w:sz w:val="16"/>
        </w:rPr>
        <w:t> </w:t>
      </w:r>
      <w:r>
        <w:rPr>
          <w:spacing w:val="-4"/>
          <w:sz w:val="16"/>
        </w:rPr>
        <w:t>441.</w:t>
      </w:r>
    </w:p>
    <w:p>
      <w:pPr>
        <w:spacing w:after="0" w:line="240" w:lineRule="auto"/>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249" w:lineRule="auto" w:before="56"/>
        <w:ind w:right="210"/>
      </w:pPr>
      <w:r>
        <w:rPr>
          <w:w w:val="110"/>
        </w:rPr>
        <w:t>pronouncements</w:t>
      </w:r>
      <w:r>
        <w:rPr>
          <w:spacing w:val="-8"/>
          <w:w w:val="110"/>
        </w:rPr>
        <w:t> </w:t>
      </w:r>
      <w:r>
        <w:rPr>
          <w:w w:val="110"/>
        </w:rPr>
        <w:t>as</w:t>
      </w:r>
      <w:r>
        <w:rPr>
          <w:spacing w:val="-8"/>
          <w:w w:val="110"/>
        </w:rPr>
        <w:t> </w:t>
      </w:r>
      <w:r>
        <w:rPr>
          <w:rFonts w:ascii="Verdana"/>
          <w:i/>
          <w:w w:val="110"/>
        </w:rPr>
        <w:t>interpretations</w:t>
      </w:r>
      <w:r>
        <w:rPr>
          <w:rFonts w:ascii="Verdana"/>
          <w:i/>
          <w:w w:val="110"/>
        </w:rPr>
        <w:t> </w:t>
      </w:r>
      <w:r>
        <w:rPr>
          <w:w w:val="110"/>
        </w:rPr>
        <w:t>of the law as it was, rather than as </w:t>
      </w:r>
      <w:r>
        <w:rPr>
          <w:rFonts w:ascii="Verdana"/>
          <w:i/>
        </w:rPr>
        <w:t>incremental developments </w:t>
      </w:r>
      <w:r>
        <w:rPr/>
        <w:t>of that </w:t>
      </w:r>
      <w:r>
        <w:rPr>
          <w:w w:val="110"/>
        </w:rPr>
        <w:t>law.</w:t>
      </w:r>
      <w:r>
        <w:rPr>
          <w:rFonts w:ascii="Lucida Sans Unicode"/>
          <w:w w:val="110"/>
          <w:vertAlign w:val="superscript"/>
        </w:rPr>
        <w:t>340</w:t>
      </w:r>
      <w:r>
        <w:rPr>
          <w:rFonts w:ascii="Lucida Sans Unicode"/>
          <w:w w:val="110"/>
          <w:vertAlign w:val="baseline"/>
        </w:rPr>
        <w:t> </w:t>
      </w:r>
      <w:r>
        <w:rPr>
          <w:w w:val="110"/>
          <w:vertAlign w:val="baseline"/>
        </w:rPr>
        <w:t>As such, subsequent judicial interpretations of provisions of the </w:t>
      </w:r>
      <w:r>
        <w:rPr>
          <w:rFonts w:ascii="Lucida Sans Unicode"/>
          <w:vertAlign w:val="baseline"/>
        </w:rPr>
        <w:t>Charter that are relevant to the </w:t>
      </w:r>
      <w:r>
        <w:rPr>
          <w:rFonts w:ascii="Lucida Sans Unicode"/>
          <w:vertAlign w:val="baseline"/>
        </w:rPr>
        <w:t>RSEO </w:t>
      </w:r>
      <w:r>
        <w:rPr>
          <w:w w:val="110"/>
          <w:vertAlign w:val="baseline"/>
        </w:rPr>
        <w:t>part of the Belfast (Good Friday) Agreement would remain relevant in Northern Ireland since they refer to</w:t>
      </w:r>
    </w:p>
    <w:p>
      <w:pPr>
        <w:pStyle w:val="BodyText"/>
        <w:spacing w:line="268" w:lineRule="auto"/>
        <w:ind w:right="40"/>
      </w:pPr>
      <w:r>
        <w:rPr>
          <w:w w:val="115"/>
        </w:rPr>
        <w:t>a time when the Charter was part of domestic</w:t>
      </w:r>
      <w:r>
        <w:rPr>
          <w:spacing w:val="-1"/>
          <w:w w:val="115"/>
        </w:rPr>
        <w:t> </w:t>
      </w:r>
      <w:r>
        <w:rPr>
          <w:w w:val="115"/>
        </w:rPr>
        <w:t>law.</w:t>
      </w:r>
      <w:r>
        <w:rPr>
          <w:spacing w:val="-1"/>
          <w:w w:val="115"/>
        </w:rPr>
        <w:t> </w:t>
      </w:r>
      <w:r>
        <w:rPr>
          <w:w w:val="115"/>
        </w:rPr>
        <w:t>In</w:t>
      </w:r>
      <w:r>
        <w:rPr>
          <w:spacing w:val="-1"/>
          <w:w w:val="115"/>
        </w:rPr>
        <w:t> </w:t>
      </w:r>
      <w:r>
        <w:rPr>
          <w:w w:val="115"/>
        </w:rPr>
        <w:t>this</w:t>
      </w:r>
      <w:r>
        <w:rPr>
          <w:spacing w:val="-1"/>
          <w:w w:val="115"/>
        </w:rPr>
        <w:t> </w:t>
      </w:r>
      <w:r>
        <w:rPr>
          <w:w w:val="115"/>
        </w:rPr>
        <w:t>sense,</w:t>
      </w:r>
      <w:r>
        <w:rPr>
          <w:spacing w:val="-1"/>
          <w:w w:val="115"/>
        </w:rPr>
        <w:t> </w:t>
      </w:r>
      <w:r>
        <w:rPr>
          <w:w w:val="115"/>
        </w:rPr>
        <w:t>it</w:t>
      </w:r>
      <w:r>
        <w:rPr>
          <w:spacing w:val="-1"/>
          <w:w w:val="115"/>
        </w:rPr>
        <w:t> </w:t>
      </w:r>
      <w:r>
        <w:rPr>
          <w:w w:val="115"/>
        </w:rPr>
        <w:t>could be argued that EU measures falling within the non-diminution guarantee that are subsequently reinterpreted by the CJEU suffer substantive diminution if their reinterpretation results in a higher level of protection of fundamental rights, but this is not </w:t>
      </w:r>
      <w:r>
        <w:rPr>
          <w:spacing w:val="-2"/>
          <w:w w:val="115"/>
        </w:rPr>
        <w:t>applied</w:t>
      </w:r>
      <w:r>
        <w:rPr>
          <w:spacing w:val="-17"/>
          <w:w w:val="115"/>
        </w:rPr>
        <w:t> </w:t>
      </w:r>
      <w:r>
        <w:rPr>
          <w:spacing w:val="-2"/>
          <w:w w:val="115"/>
        </w:rPr>
        <w:t>in</w:t>
      </w:r>
      <w:r>
        <w:rPr>
          <w:spacing w:val="-17"/>
          <w:w w:val="115"/>
        </w:rPr>
        <w:t> </w:t>
      </w:r>
      <w:r>
        <w:rPr>
          <w:spacing w:val="-2"/>
          <w:w w:val="115"/>
        </w:rPr>
        <w:t>Northern</w:t>
      </w:r>
      <w:r>
        <w:rPr>
          <w:spacing w:val="-17"/>
          <w:w w:val="115"/>
        </w:rPr>
        <w:t> </w:t>
      </w:r>
      <w:r>
        <w:rPr>
          <w:spacing w:val="-2"/>
          <w:w w:val="115"/>
        </w:rPr>
        <w:t>Ireland</w:t>
      </w:r>
      <w:r>
        <w:rPr>
          <w:spacing w:val="-17"/>
          <w:w w:val="115"/>
        </w:rPr>
        <w:t> </w:t>
      </w:r>
      <w:r>
        <w:rPr>
          <w:spacing w:val="-2"/>
          <w:w w:val="115"/>
        </w:rPr>
        <w:t>as</w:t>
      </w:r>
      <w:r>
        <w:rPr>
          <w:spacing w:val="-17"/>
          <w:w w:val="115"/>
        </w:rPr>
        <w:t> </w:t>
      </w:r>
      <w:r>
        <w:rPr>
          <w:spacing w:val="-2"/>
          <w:w w:val="115"/>
        </w:rPr>
        <w:t>a</w:t>
      </w:r>
      <w:r>
        <w:rPr>
          <w:spacing w:val="-17"/>
          <w:w w:val="115"/>
        </w:rPr>
        <w:t> </w:t>
      </w:r>
      <w:r>
        <w:rPr>
          <w:spacing w:val="-2"/>
          <w:w w:val="115"/>
        </w:rPr>
        <w:t>result</w:t>
      </w:r>
    </w:p>
    <w:p>
      <w:pPr>
        <w:pStyle w:val="BodyText"/>
        <w:spacing w:line="225" w:lineRule="auto"/>
        <w:ind w:right="40"/>
      </w:pPr>
      <w:r>
        <w:rPr>
          <w:rFonts w:ascii="Lucida Sans Unicode"/>
          <w:spacing w:val="-2"/>
          <w:w w:val="110"/>
        </w:rPr>
        <w:t>of</w:t>
      </w:r>
      <w:r>
        <w:rPr>
          <w:rFonts w:ascii="Lucida Sans Unicode"/>
          <w:spacing w:val="-19"/>
          <w:w w:val="110"/>
        </w:rPr>
        <w:t> </w:t>
      </w:r>
      <w:r>
        <w:rPr>
          <w:rFonts w:ascii="Lucida Sans Unicode"/>
          <w:spacing w:val="-2"/>
          <w:w w:val="110"/>
        </w:rPr>
        <w:t>Brexit.</w:t>
      </w:r>
      <w:r>
        <w:rPr>
          <w:rFonts w:ascii="Lucida Sans Unicode"/>
          <w:spacing w:val="-19"/>
          <w:w w:val="110"/>
        </w:rPr>
        <w:t> </w:t>
      </w:r>
      <w:r>
        <w:rPr>
          <w:rFonts w:ascii="Lucida Sans Unicode"/>
          <w:spacing w:val="-2"/>
          <w:w w:val="110"/>
        </w:rPr>
        <w:t>Second,</w:t>
      </w:r>
      <w:r>
        <w:rPr>
          <w:rFonts w:ascii="Lucida Sans Unicode"/>
          <w:spacing w:val="-19"/>
          <w:w w:val="110"/>
        </w:rPr>
        <w:t> </w:t>
      </w:r>
      <w:r>
        <w:rPr>
          <w:rFonts w:ascii="Lucida Sans Unicode"/>
          <w:spacing w:val="-2"/>
          <w:w w:val="110"/>
        </w:rPr>
        <w:t>even</w:t>
      </w:r>
      <w:r>
        <w:rPr>
          <w:rFonts w:ascii="Lucida Sans Unicode"/>
          <w:spacing w:val="-19"/>
          <w:w w:val="110"/>
        </w:rPr>
        <w:t> </w:t>
      </w:r>
      <w:r>
        <w:rPr>
          <w:rFonts w:ascii="Lucida Sans Unicode"/>
          <w:spacing w:val="-2"/>
          <w:w w:val="110"/>
        </w:rPr>
        <w:t>if</w:t>
      </w:r>
      <w:r>
        <w:rPr>
          <w:rFonts w:ascii="Lucida Sans Unicode"/>
          <w:spacing w:val="-19"/>
          <w:w w:val="110"/>
        </w:rPr>
        <w:t> </w:t>
      </w:r>
      <w:r>
        <w:rPr>
          <w:rFonts w:ascii="Lucida Sans Unicode"/>
          <w:spacing w:val="-2"/>
          <w:w w:val="110"/>
        </w:rPr>
        <w:t>the</w:t>
      </w:r>
      <w:r>
        <w:rPr>
          <w:rFonts w:ascii="Lucida Sans Unicode"/>
          <w:spacing w:val="-19"/>
          <w:w w:val="110"/>
        </w:rPr>
        <w:t> </w:t>
      </w:r>
      <w:r>
        <w:rPr>
          <w:rFonts w:ascii="Lucida Sans Unicode"/>
          <w:spacing w:val="-2"/>
          <w:w w:val="110"/>
        </w:rPr>
        <w:t>false </w:t>
      </w:r>
      <w:r>
        <w:rPr>
          <w:w w:val="110"/>
        </w:rPr>
        <w:t>interpretation</w:t>
      </w:r>
      <w:r>
        <w:rPr>
          <w:spacing w:val="15"/>
          <w:w w:val="110"/>
        </w:rPr>
        <w:t> </w:t>
      </w:r>
      <w:r>
        <w:rPr>
          <w:w w:val="110"/>
        </w:rPr>
        <w:t>of</w:t>
      </w:r>
      <w:r>
        <w:rPr>
          <w:spacing w:val="15"/>
          <w:w w:val="110"/>
        </w:rPr>
        <w:t> </w:t>
      </w:r>
      <w:r>
        <w:rPr>
          <w:w w:val="110"/>
        </w:rPr>
        <w:t>a</w:t>
      </w:r>
      <w:r>
        <w:rPr>
          <w:spacing w:val="16"/>
          <w:w w:val="110"/>
        </w:rPr>
        <w:t> </w:t>
      </w:r>
      <w:r>
        <w:rPr>
          <w:w w:val="110"/>
        </w:rPr>
        <w:t>measure</w:t>
      </w:r>
      <w:r>
        <w:rPr>
          <w:spacing w:val="15"/>
          <w:w w:val="110"/>
        </w:rPr>
        <w:t> </w:t>
      </w:r>
      <w:r>
        <w:rPr>
          <w:w w:val="110"/>
        </w:rPr>
        <w:t>is</w:t>
      </w:r>
      <w:r>
        <w:rPr>
          <w:spacing w:val="15"/>
          <w:w w:val="110"/>
        </w:rPr>
        <w:t> </w:t>
      </w:r>
      <w:r>
        <w:rPr>
          <w:w w:val="110"/>
        </w:rPr>
        <w:t>not</w:t>
      </w:r>
      <w:r>
        <w:rPr>
          <w:spacing w:val="16"/>
          <w:w w:val="110"/>
        </w:rPr>
        <w:t> </w:t>
      </w:r>
      <w:r>
        <w:rPr>
          <w:spacing w:val="-5"/>
          <w:w w:val="110"/>
        </w:rPr>
        <w:t>in</w:t>
      </w:r>
    </w:p>
    <w:p>
      <w:pPr>
        <w:pStyle w:val="BodyText"/>
        <w:spacing w:line="264" w:lineRule="auto" w:before="19"/>
        <w:ind w:right="210"/>
      </w:pPr>
      <w:r>
        <w:rPr>
          <w:w w:val="110"/>
        </w:rPr>
        <w:t>itself a direct consequence of Brexit (since that interpretation might </w:t>
      </w:r>
      <w:r>
        <w:rPr>
          <w:w w:val="110"/>
        </w:rPr>
        <w:t>have applied during the UK’s membership – as in the </w:t>
      </w:r>
      <w:r>
        <w:rPr>
          <w:rFonts w:ascii="Verdana" w:hAnsi="Verdana"/>
          <w:i/>
          <w:w w:val="110"/>
        </w:rPr>
        <w:t>VI</w:t>
      </w:r>
      <w:r>
        <w:rPr>
          <w:rFonts w:ascii="Verdana" w:hAnsi="Verdana"/>
          <w:i/>
          <w:spacing w:val="-1"/>
          <w:w w:val="110"/>
        </w:rPr>
        <w:t> </w:t>
      </w:r>
      <w:r>
        <w:rPr>
          <w:w w:val="110"/>
        </w:rPr>
        <w:t>ruling, explained</w:t>
      </w:r>
    </w:p>
    <w:p>
      <w:pPr>
        <w:pStyle w:val="BodyText"/>
        <w:spacing w:line="268" w:lineRule="auto" w:before="8"/>
      </w:pPr>
      <w:r>
        <w:rPr>
          <w:w w:val="115"/>
        </w:rPr>
        <w:t>in the preceding section), any reinterpretation</w:t>
      </w:r>
      <w:r>
        <w:rPr>
          <w:spacing w:val="-18"/>
          <w:w w:val="115"/>
        </w:rPr>
        <w:t> </w:t>
      </w:r>
      <w:r>
        <w:rPr>
          <w:w w:val="115"/>
        </w:rPr>
        <w:t>of</w:t>
      </w:r>
      <w:r>
        <w:rPr>
          <w:spacing w:val="-18"/>
          <w:w w:val="115"/>
        </w:rPr>
        <w:t> </w:t>
      </w:r>
      <w:r>
        <w:rPr>
          <w:w w:val="115"/>
        </w:rPr>
        <w:t>the</w:t>
      </w:r>
      <w:r>
        <w:rPr>
          <w:spacing w:val="-18"/>
          <w:w w:val="115"/>
        </w:rPr>
        <w:t> </w:t>
      </w:r>
      <w:r>
        <w:rPr>
          <w:w w:val="115"/>
        </w:rPr>
        <w:t>measure</w:t>
      </w:r>
      <w:r>
        <w:rPr>
          <w:spacing w:val="-18"/>
          <w:w w:val="115"/>
        </w:rPr>
        <w:t> </w:t>
      </w:r>
      <w:r>
        <w:rPr>
          <w:w w:val="115"/>
        </w:rPr>
        <w:t>by</w:t>
      </w:r>
      <w:r>
        <w:rPr>
          <w:spacing w:val="-18"/>
          <w:w w:val="115"/>
        </w:rPr>
        <w:t> </w:t>
      </w:r>
      <w:r>
        <w:rPr>
          <w:w w:val="115"/>
        </w:rPr>
        <w:t>the CJEU</w:t>
      </w:r>
      <w:r>
        <w:rPr>
          <w:spacing w:val="-15"/>
          <w:w w:val="115"/>
        </w:rPr>
        <w:t> </w:t>
      </w:r>
      <w:r>
        <w:rPr>
          <w:w w:val="115"/>
        </w:rPr>
        <w:t>would</w:t>
      </w:r>
      <w:r>
        <w:rPr>
          <w:spacing w:val="-15"/>
          <w:w w:val="115"/>
        </w:rPr>
        <w:t> </w:t>
      </w:r>
      <w:r>
        <w:rPr>
          <w:w w:val="115"/>
        </w:rPr>
        <w:t>have</w:t>
      </w:r>
      <w:r>
        <w:rPr>
          <w:spacing w:val="-15"/>
          <w:w w:val="115"/>
        </w:rPr>
        <w:t> </w:t>
      </w:r>
      <w:r>
        <w:rPr>
          <w:w w:val="115"/>
        </w:rPr>
        <w:t>previously</w:t>
      </w:r>
      <w:r>
        <w:rPr>
          <w:spacing w:val="-15"/>
          <w:w w:val="115"/>
        </w:rPr>
        <w:t> </w:t>
      </w:r>
      <w:r>
        <w:rPr>
          <w:w w:val="115"/>
        </w:rPr>
        <w:t>enabled individuals to challenge the state’s incorrect application before domestic courts, under the principles of direct effect and state liability. Diminution could thus occur if individuals were barred, as a result of Brexit, from using those principles to enforce</w:t>
      </w:r>
    </w:p>
    <w:p>
      <w:pPr>
        <w:pStyle w:val="BodyText"/>
        <w:spacing w:line="252" w:lineRule="auto" w:before="9"/>
        <w:ind w:right="590"/>
        <w:rPr>
          <w:rFonts w:ascii="Lucida Sans Unicode"/>
        </w:rPr>
      </w:pPr>
      <w:r>
        <w:rPr>
          <w:w w:val="110"/>
        </w:rPr>
        <w:t>what the correct interpretation </w:t>
      </w:r>
      <w:r>
        <w:rPr>
          <w:w w:val="110"/>
        </w:rPr>
        <w:t>of an EU measure falling within the </w:t>
      </w:r>
      <w:r>
        <w:rPr>
          <w:rFonts w:ascii="Lucida Sans Unicode"/>
          <w:w w:val="110"/>
        </w:rPr>
        <w:t>RSEO</w:t>
      </w:r>
      <w:r>
        <w:rPr>
          <w:rFonts w:ascii="Lucida Sans Unicode"/>
          <w:spacing w:val="-21"/>
          <w:w w:val="110"/>
        </w:rPr>
        <w:t> </w:t>
      </w:r>
      <w:r>
        <w:rPr>
          <w:rFonts w:ascii="Lucida Sans Unicode"/>
          <w:w w:val="110"/>
        </w:rPr>
        <w:t>section,</w:t>
      </w:r>
      <w:r>
        <w:rPr>
          <w:rFonts w:ascii="Lucida Sans Unicode"/>
          <w:spacing w:val="-21"/>
          <w:w w:val="110"/>
        </w:rPr>
        <w:t> </w:t>
      </w:r>
      <w:r>
        <w:rPr>
          <w:rFonts w:ascii="Lucida Sans Unicode"/>
          <w:w w:val="110"/>
        </w:rPr>
        <w:t>where</w:t>
      </w:r>
      <w:r>
        <w:rPr>
          <w:rFonts w:ascii="Lucida Sans Unicode"/>
          <w:spacing w:val="-21"/>
          <w:w w:val="110"/>
        </w:rPr>
        <w:t> </w:t>
      </w:r>
      <w:r>
        <w:rPr>
          <w:rFonts w:ascii="Lucida Sans Unicode"/>
          <w:w w:val="110"/>
        </w:rPr>
        <w:t>the</w:t>
      </w:r>
      <w:r>
        <w:rPr>
          <w:rFonts w:ascii="Lucida Sans Unicode"/>
          <w:spacing w:val="-21"/>
          <w:w w:val="110"/>
        </w:rPr>
        <w:t> </w:t>
      </w:r>
      <w:r>
        <w:rPr>
          <w:rFonts w:ascii="Lucida Sans Unicode"/>
          <w:w w:val="110"/>
        </w:rPr>
        <w:t>correct</w:t>
      </w:r>
    </w:p>
    <w:p>
      <w:pPr>
        <w:pStyle w:val="BodyText"/>
        <w:spacing w:line="239" w:lineRule="exact"/>
      </w:pPr>
      <w:r>
        <w:rPr>
          <w:spacing w:val="-2"/>
          <w:w w:val="115"/>
        </w:rPr>
        <w:t>interpretation</w:t>
      </w:r>
      <w:r>
        <w:rPr>
          <w:spacing w:val="-7"/>
          <w:w w:val="115"/>
        </w:rPr>
        <w:t> </w:t>
      </w:r>
      <w:r>
        <w:rPr>
          <w:spacing w:val="-2"/>
          <w:w w:val="115"/>
        </w:rPr>
        <w:t>is</w:t>
      </w:r>
      <w:r>
        <w:rPr>
          <w:spacing w:val="-6"/>
          <w:w w:val="115"/>
        </w:rPr>
        <w:t> </w:t>
      </w:r>
      <w:r>
        <w:rPr>
          <w:spacing w:val="-2"/>
          <w:w w:val="115"/>
        </w:rPr>
        <w:t>only</w:t>
      </w:r>
      <w:r>
        <w:rPr>
          <w:spacing w:val="-6"/>
          <w:w w:val="115"/>
        </w:rPr>
        <w:t> </w:t>
      </w:r>
      <w:r>
        <w:rPr>
          <w:spacing w:val="-2"/>
          <w:w w:val="115"/>
        </w:rPr>
        <w:t>revealed</w:t>
      </w:r>
      <w:r>
        <w:rPr>
          <w:spacing w:val="-7"/>
          <w:w w:val="115"/>
        </w:rPr>
        <w:t> </w:t>
      </w:r>
      <w:r>
        <w:rPr>
          <w:spacing w:val="-5"/>
          <w:w w:val="115"/>
        </w:rPr>
        <w:t>in</w:t>
      </w:r>
    </w:p>
    <w:p>
      <w:pPr>
        <w:pStyle w:val="BodyText"/>
        <w:spacing w:before="34"/>
      </w:pPr>
      <w:r>
        <w:rPr>
          <w:w w:val="110"/>
        </w:rPr>
        <w:t>post-Brexit</w:t>
      </w:r>
      <w:r>
        <w:rPr>
          <w:spacing w:val="-2"/>
          <w:w w:val="110"/>
        </w:rPr>
        <w:t> </w:t>
      </w:r>
      <w:r>
        <w:rPr>
          <w:w w:val="110"/>
        </w:rPr>
        <w:t>CJEU</w:t>
      </w:r>
      <w:r>
        <w:rPr>
          <w:spacing w:val="-2"/>
          <w:w w:val="110"/>
        </w:rPr>
        <w:t> </w:t>
      </w:r>
      <w:r>
        <w:rPr>
          <w:w w:val="110"/>
        </w:rPr>
        <w:t>case</w:t>
      </w:r>
      <w:r>
        <w:rPr>
          <w:spacing w:val="-2"/>
          <w:w w:val="110"/>
        </w:rPr>
        <w:t> </w:t>
      </w:r>
      <w:r>
        <w:rPr>
          <w:spacing w:val="-4"/>
          <w:w w:val="110"/>
        </w:rPr>
        <w:t>law.</w:t>
      </w:r>
    </w:p>
    <w:p>
      <w:pPr>
        <w:pStyle w:val="BodyText"/>
        <w:spacing w:line="268" w:lineRule="auto" w:before="72"/>
        <w:ind w:right="525"/>
      </w:pPr>
      <w:r>
        <w:rPr/>
        <w:br w:type="column"/>
      </w:r>
      <w:r>
        <w:rPr>
          <w:w w:val="110"/>
        </w:rPr>
        <w:t>Finally, the Northern Ireland</w:t>
      </w:r>
      <w:r>
        <w:rPr>
          <w:spacing w:val="80"/>
          <w:w w:val="110"/>
        </w:rPr>
        <w:t> </w:t>
      </w:r>
      <w:r>
        <w:rPr>
          <w:w w:val="110"/>
        </w:rPr>
        <w:t>Human</w:t>
      </w:r>
      <w:r>
        <w:rPr>
          <w:spacing w:val="-2"/>
          <w:w w:val="110"/>
        </w:rPr>
        <w:t> </w:t>
      </w:r>
      <w:r>
        <w:rPr>
          <w:w w:val="110"/>
        </w:rPr>
        <w:t>Rights</w:t>
      </w:r>
      <w:r>
        <w:rPr>
          <w:spacing w:val="-2"/>
          <w:w w:val="110"/>
        </w:rPr>
        <w:t> </w:t>
      </w:r>
      <w:r>
        <w:rPr>
          <w:w w:val="110"/>
        </w:rPr>
        <w:t>Commission</w:t>
      </w:r>
      <w:r>
        <w:rPr>
          <w:spacing w:val="-2"/>
          <w:w w:val="110"/>
        </w:rPr>
        <w:t> </w:t>
      </w:r>
      <w:r>
        <w:rPr>
          <w:w w:val="110"/>
        </w:rPr>
        <w:t>and</w:t>
      </w:r>
      <w:r>
        <w:rPr>
          <w:spacing w:val="-2"/>
          <w:w w:val="110"/>
        </w:rPr>
        <w:t> </w:t>
      </w:r>
      <w:r>
        <w:rPr>
          <w:w w:val="110"/>
        </w:rPr>
        <w:t>the Irish Human Rights and Equality Commission emphasise that an equivalence of rights between</w:t>
      </w:r>
    </w:p>
    <w:p>
      <w:pPr>
        <w:pStyle w:val="BodyText"/>
        <w:spacing w:line="216" w:lineRule="auto" w:before="27"/>
        <w:ind w:right="317"/>
      </w:pPr>
      <w:r>
        <w:rPr>
          <w:w w:val="105"/>
        </w:rPr>
        <w:t>Ireland and Northern Ireland forms a</w:t>
      </w:r>
      <w:r>
        <w:rPr>
          <w:spacing w:val="40"/>
          <w:w w:val="105"/>
        </w:rPr>
        <w:t> </w:t>
      </w:r>
      <w:r>
        <w:rPr>
          <w:rFonts w:ascii="Lucida Sans Unicode"/>
          <w:w w:val="105"/>
        </w:rPr>
        <w:t>defining</w:t>
      </w:r>
      <w:r>
        <w:rPr>
          <w:rFonts w:ascii="Lucida Sans Unicode"/>
          <w:spacing w:val="-20"/>
          <w:w w:val="105"/>
        </w:rPr>
        <w:t> </w:t>
      </w:r>
      <w:r>
        <w:rPr>
          <w:rFonts w:ascii="Lucida Sans Unicode"/>
          <w:w w:val="105"/>
        </w:rPr>
        <w:t>feature</w:t>
      </w:r>
      <w:r>
        <w:rPr>
          <w:rFonts w:ascii="Lucida Sans Unicode"/>
          <w:spacing w:val="-20"/>
          <w:w w:val="105"/>
        </w:rPr>
        <w:t> </w:t>
      </w:r>
      <w:r>
        <w:rPr>
          <w:rFonts w:ascii="Lucida Sans Unicode"/>
          <w:w w:val="105"/>
        </w:rPr>
        <w:t>of</w:t>
      </w:r>
      <w:r>
        <w:rPr>
          <w:rFonts w:ascii="Lucida Sans Unicode"/>
          <w:spacing w:val="-20"/>
          <w:w w:val="105"/>
        </w:rPr>
        <w:t> </w:t>
      </w:r>
      <w:r>
        <w:rPr>
          <w:rFonts w:ascii="Lucida Sans Unicode"/>
          <w:w w:val="105"/>
        </w:rPr>
        <w:t>the</w:t>
      </w:r>
      <w:r>
        <w:rPr>
          <w:rFonts w:ascii="Lucida Sans Unicode"/>
          <w:spacing w:val="-20"/>
          <w:w w:val="105"/>
        </w:rPr>
        <w:t> </w:t>
      </w:r>
      <w:r>
        <w:rPr>
          <w:rFonts w:ascii="Lucida Sans Unicode"/>
          <w:w w:val="105"/>
        </w:rPr>
        <w:t>Belfast</w:t>
      </w:r>
      <w:r>
        <w:rPr>
          <w:rFonts w:ascii="Lucida Sans Unicode"/>
          <w:spacing w:val="-20"/>
          <w:w w:val="105"/>
        </w:rPr>
        <w:t> </w:t>
      </w:r>
      <w:r>
        <w:rPr>
          <w:rFonts w:ascii="Lucida Sans Unicode"/>
          <w:w w:val="105"/>
        </w:rPr>
        <w:t>(Good </w:t>
      </w:r>
      <w:r>
        <w:rPr>
          <w:w w:val="105"/>
        </w:rPr>
        <w:t>Friday) Agreement.</w:t>
      </w:r>
      <w:r>
        <w:rPr>
          <w:rFonts w:ascii="Lucida Sans Unicode"/>
          <w:w w:val="105"/>
          <w:vertAlign w:val="superscript"/>
        </w:rPr>
        <w:t>341</w:t>
      </w:r>
      <w:r>
        <w:rPr>
          <w:rFonts w:ascii="Lucida Sans Unicode"/>
          <w:w w:val="105"/>
          <w:vertAlign w:val="baseline"/>
        </w:rPr>
        <w:t> Such a feature would be caught within the RSEO </w:t>
      </w:r>
      <w:r>
        <w:rPr>
          <w:w w:val="105"/>
          <w:vertAlign w:val="baseline"/>
        </w:rPr>
        <w:t>section, and may also necessitate</w:t>
      </w:r>
    </w:p>
    <w:p>
      <w:pPr>
        <w:pStyle w:val="BodyText"/>
        <w:spacing w:line="247" w:lineRule="auto" w:before="35"/>
        <w:ind w:right="147"/>
      </w:pPr>
      <w:r>
        <w:rPr>
          <w:w w:val="110"/>
        </w:rPr>
        <w:t>at least a presumption of dynamic alignment with the equality and non- </w:t>
      </w:r>
      <w:r>
        <w:rPr/>
        <w:t>discrimination </w:t>
      </w:r>
      <w:r>
        <w:rPr>
          <w:rFonts w:ascii="Verdana" w:hAnsi="Verdana"/>
          <w:i/>
        </w:rPr>
        <w:t>acquis communautaire</w:t>
      </w:r>
      <w:r>
        <w:rPr>
          <w:rFonts w:ascii="Verdana" w:hAnsi="Verdana"/>
          <w:i/>
        </w:rPr>
        <w:t> </w:t>
      </w:r>
      <w:r>
        <w:rPr>
          <w:w w:val="110"/>
        </w:rPr>
        <w:t>beyond</w:t>
      </w:r>
      <w:r>
        <w:rPr>
          <w:spacing w:val="-8"/>
          <w:w w:val="110"/>
        </w:rPr>
        <w:t> </w:t>
      </w:r>
      <w:r>
        <w:rPr>
          <w:w w:val="110"/>
        </w:rPr>
        <w:t>the</w:t>
      </w:r>
      <w:r>
        <w:rPr>
          <w:spacing w:val="-8"/>
          <w:w w:val="110"/>
        </w:rPr>
        <w:t> </w:t>
      </w:r>
      <w:r>
        <w:rPr>
          <w:w w:val="110"/>
        </w:rPr>
        <w:t>Annex</w:t>
      </w:r>
      <w:r>
        <w:rPr>
          <w:spacing w:val="-8"/>
          <w:w w:val="110"/>
        </w:rPr>
        <w:t> </w:t>
      </w:r>
      <w:r>
        <w:rPr/>
        <w:t>1</w:t>
      </w:r>
      <w:r>
        <w:rPr>
          <w:spacing w:val="-1"/>
        </w:rPr>
        <w:t> </w:t>
      </w:r>
      <w:r>
        <w:rPr>
          <w:w w:val="110"/>
        </w:rPr>
        <w:t>directives.</w:t>
      </w:r>
      <w:r>
        <w:rPr>
          <w:rFonts w:ascii="Lucida Sans Unicode" w:hAnsi="Lucida Sans Unicode"/>
          <w:w w:val="110"/>
          <w:vertAlign w:val="superscript"/>
        </w:rPr>
        <w:t>342</w:t>
      </w:r>
      <w:r>
        <w:rPr>
          <w:rFonts w:ascii="Lucida Sans Unicode" w:hAnsi="Lucida Sans Unicode"/>
          <w:spacing w:val="-18"/>
          <w:w w:val="110"/>
          <w:vertAlign w:val="baseline"/>
        </w:rPr>
        <w:t> </w:t>
      </w:r>
      <w:r>
        <w:rPr>
          <w:w w:val="110"/>
          <w:vertAlign w:val="baseline"/>
        </w:rPr>
        <w:t>To</w:t>
      </w:r>
      <w:r>
        <w:rPr>
          <w:spacing w:val="-8"/>
          <w:w w:val="110"/>
          <w:vertAlign w:val="baseline"/>
        </w:rPr>
        <w:t> </w:t>
      </w:r>
      <w:r>
        <w:rPr>
          <w:w w:val="110"/>
          <w:vertAlign w:val="baseline"/>
        </w:rPr>
        <w:t>a considerable extent, this follows from the lack of a temporal limit to the </w:t>
      </w:r>
      <w:r>
        <w:rPr>
          <w:rFonts w:ascii="Lucida Sans Unicode" w:hAnsi="Lucida Sans Unicode"/>
          <w:vertAlign w:val="baseline"/>
        </w:rPr>
        <w:t>influence of CJEU case law insofar as </w:t>
      </w:r>
      <w:r>
        <w:rPr>
          <w:w w:val="110"/>
          <w:vertAlign w:val="baseline"/>
        </w:rPr>
        <w:t>the Windsor Framework is </w:t>
      </w:r>
      <w:r>
        <w:rPr>
          <w:w w:val="110"/>
          <w:vertAlign w:val="baseline"/>
        </w:rPr>
        <w:t>concerned. </w:t>
      </w:r>
      <w:r>
        <w:rPr>
          <w:rFonts w:ascii="Lucida Sans Unicode" w:hAnsi="Lucida Sans Unicode"/>
          <w:vertAlign w:val="baseline"/>
        </w:rPr>
        <w:t>Article 13(2) removes this temporal </w:t>
      </w:r>
      <w:r>
        <w:rPr>
          <w:w w:val="110"/>
          <w:vertAlign w:val="baseline"/>
        </w:rPr>
        <w:t>limit from the implementation and application of ‘the provisions of this </w:t>
      </w:r>
      <w:r>
        <w:rPr>
          <w:rFonts w:ascii="Lucida Sans Unicode" w:hAnsi="Lucida Sans Unicode"/>
          <w:w w:val="110"/>
          <w:vertAlign w:val="baseline"/>
        </w:rPr>
        <w:t>[Framework]</w:t>
      </w:r>
      <w:r>
        <w:rPr>
          <w:rFonts w:ascii="Lucida Sans Unicode" w:hAnsi="Lucida Sans Unicode"/>
          <w:spacing w:val="-21"/>
          <w:w w:val="110"/>
          <w:vertAlign w:val="baseline"/>
        </w:rPr>
        <w:t> </w:t>
      </w:r>
      <w:r>
        <w:rPr>
          <w:rFonts w:ascii="Lucida Sans Unicode" w:hAnsi="Lucida Sans Unicode"/>
          <w:w w:val="110"/>
          <w:vertAlign w:val="baseline"/>
        </w:rPr>
        <w:t>referring</w:t>
      </w:r>
      <w:r>
        <w:rPr>
          <w:rFonts w:ascii="Lucida Sans Unicode" w:hAnsi="Lucida Sans Unicode"/>
          <w:spacing w:val="-21"/>
          <w:w w:val="110"/>
          <w:vertAlign w:val="baseline"/>
        </w:rPr>
        <w:t> </w:t>
      </w:r>
      <w:r>
        <w:rPr>
          <w:rFonts w:ascii="Lucida Sans Unicode" w:hAnsi="Lucida Sans Unicode"/>
          <w:w w:val="110"/>
          <w:vertAlign w:val="baseline"/>
        </w:rPr>
        <w:t>to</w:t>
      </w:r>
      <w:r>
        <w:rPr>
          <w:rFonts w:ascii="Lucida Sans Unicode" w:hAnsi="Lucida Sans Unicode"/>
          <w:spacing w:val="-21"/>
          <w:w w:val="110"/>
          <w:vertAlign w:val="baseline"/>
        </w:rPr>
        <w:t> </w:t>
      </w:r>
      <w:r>
        <w:rPr>
          <w:rFonts w:ascii="Lucida Sans Unicode" w:hAnsi="Lucida Sans Unicode"/>
          <w:w w:val="110"/>
          <w:vertAlign w:val="baseline"/>
        </w:rPr>
        <w:t>Union</w:t>
      </w:r>
      <w:r>
        <w:rPr>
          <w:rFonts w:ascii="Lucida Sans Unicode" w:hAnsi="Lucida Sans Unicode"/>
          <w:spacing w:val="-21"/>
          <w:w w:val="110"/>
          <w:vertAlign w:val="baseline"/>
        </w:rPr>
        <w:t> </w:t>
      </w:r>
      <w:r>
        <w:rPr>
          <w:rFonts w:ascii="Lucida Sans Unicode" w:hAnsi="Lucida Sans Unicode"/>
          <w:w w:val="110"/>
          <w:vertAlign w:val="baseline"/>
        </w:rPr>
        <w:t>law </w:t>
      </w:r>
      <w:r>
        <w:rPr>
          <w:w w:val="110"/>
          <w:vertAlign w:val="baseline"/>
        </w:rPr>
        <w:t>or to concepts or provisions thereof’, which includes the </w:t>
      </w:r>
      <w:r>
        <w:rPr>
          <w:rFonts w:ascii="Verdana" w:hAnsi="Verdana"/>
          <w:i/>
          <w:w w:val="110"/>
          <w:vertAlign w:val="baseline"/>
        </w:rPr>
        <w:t>acquis </w:t>
      </w:r>
      <w:r>
        <w:rPr>
          <w:w w:val="110"/>
          <w:vertAlign w:val="baseline"/>
        </w:rPr>
        <w:t>insofar as the latter forms the basis for the non- diminution guarantee under Article</w:t>
      </w:r>
    </w:p>
    <w:p>
      <w:pPr>
        <w:pStyle w:val="BodyText"/>
        <w:spacing w:line="213" w:lineRule="auto"/>
        <w:ind w:right="242"/>
      </w:pPr>
      <w:r>
        <w:rPr>
          <w:rFonts w:ascii="Lucida Sans Unicode"/>
          <w:w w:val="105"/>
        </w:rPr>
        <w:t>2</w:t>
      </w:r>
      <w:r>
        <w:rPr>
          <w:rFonts w:ascii="Lucida Sans Unicode"/>
          <w:spacing w:val="-3"/>
          <w:w w:val="105"/>
        </w:rPr>
        <w:t> </w:t>
      </w:r>
      <w:r>
        <w:rPr>
          <w:rFonts w:ascii="Lucida Sans Unicode"/>
          <w:w w:val="105"/>
        </w:rPr>
        <w:t>WF.</w:t>
      </w:r>
      <w:r>
        <w:rPr>
          <w:rFonts w:ascii="Lucida Sans Unicode"/>
          <w:spacing w:val="-3"/>
          <w:w w:val="105"/>
        </w:rPr>
        <w:t> </w:t>
      </w:r>
      <w:r>
        <w:rPr>
          <w:rFonts w:ascii="Lucida Sans Unicode"/>
          <w:w w:val="105"/>
        </w:rPr>
        <w:t>Plainly,</w:t>
      </w:r>
      <w:r>
        <w:rPr>
          <w:rFonts w:ascii="Lucida Sans Unicode"/>
          <w:spacing w:val="-3"/>
          <w:w w:val="105"/>
        </w:rPr>
        <w:t> </w:t>
      </w:r>
      <w:r>
        <w:rPr>
          <w:rFonts w:ascii="Lucida Sans Unicode"/>
          <w:w w:val="105"/>
        </w:rPr>
        <w:t>therefore,</w:t>
      </w:r>
      <w:r>
        <w:rPr>
          <w:rFonts w:ascii="Lucida Sans Unicode"/>
          <w:spacing w:val="-3"/>
          <w:w w:val="105"/>
        </w:rPr>
        <w:t> </w:t>
      </w:r>
      <w:r>
        <w:rPr>
          <w:rFonts w:ascii="Lucida Sans Unicode"/>
          <w:w w:val="105"/>
        </w:rPr>
        <w:t>in</w:t>
      </w:r>
      <w:r>
        <w:rPr>
          <w:rFonts w:ascii="Lucida Sans Unicode"/>
          <w:spacing w:val="-3"/>
          <w:w w:val="105"/>
        </w:rPr>
        <w:t> </w:t>
      </w:r>
      <w:r>
        <w:rPr>
          <w:rFonts w:ascii="Lucida Sans Unicode"/>
          <w:w w:val="105"/>
        </w:rPr>
        <w:t>order</w:t>
      </w:r>
      <w:r>
        <w:rPr>
          <w:rFonts w:ascii="Lucida Sans Unicode"/>
          <w:spacing w:val="-3"/>
          <w:w w:val="105"/>
        </w:rPr>
        <w:t> </w:t>
      </w:r>
      <w:r>
        <w:rPr>
          <w:rFonts w:ascii="Lucida Sans Unicode"/>
          <w:w w:val="105"/>
        </w:rPr>
        <w:t>to </w:t>
      </w:r>
      <w:r>
        <w:rPr>
          <w:w w:val="105"/>
        </w:rPr>
        <w:t>understand</w:t>
      </w:r>
      <w:r>
        <w:rPr>
          <w:spacing w:val="19"/>
          <w:w w:val="105"/>
        </w:rPr>
        <w:t> </w:t>
      </w:r>
      <w:r>
        <w:rPr>
          <w:rFonts w:ascii="Verdana"/>
          <w:i/>
          <w:w w:val="105"/>
        </w:rPr>
        <w:t>whether </w:t>
      </w:r>
      <w:r>
        <w:rPr>
          <w:w w:val="105"/>
        </w:rPr>
        <w:t>there</w:t>
      </w:r>
      <w:r>
        <w:rPr>
          <w:spacing w:val="19"/>
          <w:w w:val="105"/>
        </w:rPr>
        <w:t> </w:t>
      </w:r>
      <w:r>
        <w:rPr>
          <w:w w:val="105"/>
        </w:rPr>
        <w:t>has</w:t>
      </w:r>
      <w:r>
        <w:rPr>
          <w:spacing w:val="20"/>
          <w:w w:val="105"/>
        </w:rPr>
        <w:t> </w:t>
      </w:r>
      <w:r>
        <w:rPr>
          <w:w w:val="105"/>
        </w:rPr>
        <w:t>been</w:t>
      </w:r>
      <w:r>
        <w:rPr>
          <w:spacing w:val="19"/>
          <w:w w:val="105"/>
        </w:rPr>
        <w:t> </w:t>
      </w:r>
      <w:r>
        <w:rPr>
          <w:spacing w:val="-10"/>
          <w:w w:val="105"/>
        </w:rPr>
        <w:t>a</w:t>
      </w:r>
    </w:p>
    <w:p>
      <w:pPr>
        <w:pStyle w:val="BodyText"/>
        <w:spacing w:line="266" w:lineRule="auto" w:before="12"/>
        <w:ind w:right="118"/>
      </w:pPr>
      <w:r>
        <w:rPr>
          <w:w w:val="115"/>
        </w:rPr>
        <w:t>diminution from this </w:t>
      </w:r>
      <w:r>
        <w:rPr>
          <w:rFonts w:ascii="Verdana" w:hAnsi="Verdana"/>
          <w:i/>
          <w:w w:val="115"/>
        </w:rPr>
        <w:t>acquis</w:t>
      </w:r>
      <w:r>
        <w:rPr>
          <w:rFonts w:ascii="Verdana" w:hAnsi="Verdana"/>
          <w:i/>
          <w:spacing w:val="-12"/>
          <w:w w:val="115"/>
        </w:rPr>
        <w:t> </w:t>
      </w:r>
      <w:r>
        <w:rPr>
          <w:w w:val="115"/>
        </w:rPr>
        <w:t>following Brexit,</w:t>
      </w:r>
      <w:r>
        <w:rPr>
          <w:spacing w:val="-6"/>
          <w:w w:val="115"/>
        </w:rPr>
        <w:t> </w:t>
      </w:r>
      <w:r>
        <w:rPr>
          <w:w w:val="115"/>
        </w:rPr>
        <w:t>the</w:t>
      </w:r>
      <w:r>
        <w:rPr>
          <w:spacing w:val="-6"/>
          <w:w w:val="115"/>
        </w:rPr>
        <w:t> </w:t>
      </w:r>
      <w:r>
        <w:rPr>
          <w:rFonts w:ascii="Verdana" w:hAnsi="Verdana"/>
          <w:i/>
          <w:w w:val="115"/>
        </w:rPr>
        <w:t>acquis</w:t>
      </w:r>
      <w:r>
        <w:rPr>
          <w:rFonts w:ascii="Verdana" w:hAnsi="Verdana"/>
          <w:i/>
          <w:spacing w:val="-26"/>
          <w:w w:val="115"/>
        </w:rPr>
        <w:t> </w:t>
      </w:r>
      <w:r>
        <w:rPr>
          <w:w w:val="115"/>
        </w:rPr>
        <w:t>itself</w:t>
      </w:r>
      <w:r>
        <w:rPr>
          <w:spacing w:val="-6"/>
          <w:w w:val="115"/>
        </w:rPr>
        <w:t> </w:t>
      </w:r>
      <w:r>
        <w:rPr>
          <w:w w:val="115"/>
        </w:rPr>
        <w:t>needs</w:t>
      </w:r>
      <w:r>
        <w:rPr>
          <w:spacing w:val="-6"/>
          <w:w w:val="115"/>
        </w:rPr>
        <w:t> </w:t>
      </w:r>
      <w:r>
        <w:rPr>
          <w:w w:val="115"/>
        </w:rPr>
        <w:t>to</w:t>
      </w:r>
      <w:r>
        <w:rPr>
          <w:spacing w:val="-6"/>
          <w:w w:val="115"/>
        </w:rPr>
        <w:t> </w:t>
      </w:r>
      <w:r>
        <w:rPr>
          <w:w w:val="115"/>
        </w:rPr>
        <w:t>be understood in conformity with the principles</w:t>
      </w:r>
      <w:r>
        <w:rPr>
          <w:spacing w:val="-20"/>
          <w:w w:val="115"/>
        </w:rPr>
        <w:t> </w:t>
      </w:r>
      <w:r>
        <w:rPr>
          <w:w w:val="115"/>
        </w:rPr>
        <w:t>of</w:t>
      </w:r>
      <w:r>
        <w:rPr>
          <w:spacing w:val="-19"/>
          <w:w w:val="115"/>
        </w:rPr>
        <w:t> </w:t>
      </w:r>
      <w:r>
        <w:rPr>
          <w:w w:val="115"/>
        </w:rPr>
        <w:t>EU</w:t>
      </w:r>
      <w:r>
        <w:rPr>
          <w:spacing w:val="-19"/>
          <w:w w:val="115"/>
        </w:rPr>
        <w:t> </w:t>
      </w:r>
      <w:r>
        <w:rPr>
          <w:w w:val="115"/>
        </w:rPr>
        <w:t>constitutional</w:t>
      </w:r>
      <w:r>
        <w:rPr>
          <w:spacing w:val="-19"/>
          <w:w w:val="115"/>
        </w:rPr>
        <w:t> </w:t>
      </w:r>
      <w:r>
        <w:rPr>
          <w:w w:val="115"/>
        </w:rPr>
        <w:t>law</w:t>
      </w:r>
      <w:r>
        <w:rPr>
          <w:spacing w:val="-19"/>
          <w:w w:val="115"/>
        </w:rPr>
        <w:t> </w:t>
      </w:r>
      <w:r>
        <w:rPr>
          <w:w w:val="115"/>
        </w:rPr>
        <w:t>–</w:t>
      </w:r>
      <w:r>
        <w:rPr>
          <w:spacing w:val="-19"/>
          <w:w w:val="115"/>
        </w:rPr>
        <w:t> </w:t>
      </w:r>
      <w:r>
        <w:rPr>
          <w:w w:val="115"/>
        </w:rPr>
        <w:t>of which</w:t>
      </w:r>
      <w:r>
        <w:rPr>
          <w:spacing w:val="-17"/>
          <w:w w:val="115"/>
        </w:rPr>
        <w:t> </w:t>
      </w:r>
      <w:r>
        <w:rPr>
          <w:w w:val="115"/>
        </w:rPr>
        <w:t>Charter</w:t>
      </w:r>
      <w:r>
        <w:rPr>
          <w:spacing w:val="-17"/>
          <w:w w:val="115"/>
        </w:rPr>
        <w:t> </w:t>
      </w:r>
      <w:r>
        <w:rPr>
          <w:w w:val="115"/>
        </w:rPr>
        <w:t>compliance</w:t>
      </w:r>
      <w:r>
        <w:rPr>
          <w:spacing w:val="-17"/>
          <w:w w:val="115"/>
        </w:rPr>
        <w:t> </w:t>
      </w:r>
      <w:r>
        <w:rPr>
          <w:w w:val="115"/>
        </w:rPr>
        <w:t>is</w:t>
      </w:r>
      <w:r>
        <w:rPr>
          <w:spacing w:val="-17"/>
          <w:w w:val="115"/>
        </w:rPr>
        <w:t> </w:t>
      </w:r>
      <w:r>
        <w:rPr>
          <w:w w:val="115"/>
        </w:rPr>
        <w:t>one.</w:t>
      </w:r>
      <w:r>
        <w:rPr>
          <w:spacing w:val="-17"/>
          <w:w w:val="115"/>
        </w:rPr>
        <w:t> </w:t>
      </w:r>
      <w:r>
        <w:rPr>
          <w:w w:val="115"/>
        </w:rPr>
        <w:t>The mere</w:t>
      </w:r>
      <w:r>
        <w:rPr>
          <w:spacing w:val="-5"/>
          <w:w w:val="115"/>
        </w:rPr>
        <w:t> </w:t>
      </w:r>
      <w:r>
        <w:rPr>
          <w:w w:val="115"/>
        </w:rPr>
        <w:t>fact</w:t>
      </w:r>
      <w:r>
        <w:rPr>
          <w:spacing w:val="-5"/>
          <w:w w:val="115"/>
        </w:rPr>
        <w:t> </w:t>
      </w:r>
      <w:r>
        <w:rPr>
          <w:w w:val="115"/>
        </w:rPr>
        <w:t>that</w:t>
      </w:r>
      <w:r>
        <w:rPr>
          <w:spacing w:val="-5"/>
          <w:w w:val="115"/>
        </w:rPr>
        <w:t> </w:t>
      </w:r>
      <w:r>
        <w:rPr>
          <w:w w:val="115"/>
        </w:rPr>
        <w:t>such</w:t>
      </w:r>
      <w:r>
        <w:rPr>
          <w:spacing w:val="-5"/>
          <w:w w:val="115"/>
        </w:rPr>
        <w:t> </w:t>
      </w:r>
      <w:r>
        <w:rPr>
          <w:w w:val="115"/>
        </w:rPr>
        <w:t>an</w:t>
      </w:r>
      <w:r>
        <w:rPr>
          <w:spacing w:val="-5"/>
          <w:w w:val="115"/>
        </w:rPr>
        <w:t> </w:t>
      </w:r>
      <w:r>
        <w:rPr>
          <w:w w:val="115"/>
        </w:rPr>
        <w:t>understanding may necessitate at least a degree of alignment with post-Brexit EU law</w:t>
      </w:r>
    </w:p>
    <w:p>
      <w:pPr>
        <w:pStyle w:val="BodyText"/>
        <w:spacing w:line="230" w:lineRule="auto" w:before="19"/>
        <w:ind w:right="317"/>
      </w:pPr>
      <w:r>
        <w:rPr>
          <w:w w:val="110"/>
        </w:rPr>
        <w:t>is no bar to the requirement under </w:t>
      </w:r>
      <w:r>
        <w:rPr>
          <w:rFonts w:ascii="Lucida Sans Unicode"/>
        </w:rPr>
        <w:t>Article 13(2), which, it should be </w:t>
      </w:r>
      <w:r>
        <w:rPr>
          <w:w w:val="110"/>
        </w:rPr>
        <w:t>stressed,</w:t>
      </w:r>
      <w:r>
        <w:rPr>
          <w:spacing w:val="-6"/>
          <w:w w:val="110"/>
        </w:rPr>
        <w:t> </w:t>
      </w:r>
      <w:r>
        <w:rPr>
          <w:w w:val="110"/>
        </w:rPr>
        <w:t>has</w:t>
      </w:r>
      <w:r>
        <w:rPr>
          <w:spacing w:val="-6"/>
          <w:w w:val="110"/>
        </w:rPr>
        <w:t> </w:t>
      </w:r>
      <w:r>
        <w:rPr>
          <w:w w:val="110"/>
        </w:rPr>
        <w:t>not</w:t>
      </w:r>
      <w:r>
        <w:rPr>
          <w:spacing w:val="-6"/>
          <w:w w:val="110"/>
        </w:rPr>
        <w:t> </w:t>
      </w:r>
      <w:r>
        <w:rPr>
          <w:w w:val="110"/>
        </w:rPr>
        <w:t>been</w:t>
      </w:r>
      <w:r>
        <w:rPr>
          <w:spacing w:val="-6"/>
          <w:w w:val="110"/>
        </w:rPr>
        <w:t> </w:t>
      </w:r>
      <w:r>
        <w:rPr>
          <w:w w:val="110"/>
        </w:rPr>
        <w:t>amended</w:t>
      </w:r>
      <w:r>
        <w:rPr>
          <w:spacing w:val="-6"/>
          <w:w w:val="110"/>
        </w:rPr>
        <w:t> </w:t>
      </w:r>
      <w:r>
        <w:rPr>
          <w:w w:val="110"/>
        </w:rPr>
        <w:t>in</w:t>
      </w:r>
    </w:p>
    <w:p>
      <w:pPr>
        <w:pStyle w:val="BodyText"/>
        <w:spacing w:before="37"/>
      </w:pPr>
      <w:r>
        <w:rPr>
          <w:w w:val="115"/>
        </w:rPr>
        <w:t>any</w:t>
      </w:r>
      <w:r>
        <w:rPr>
          <w:spacing w:val="-15"/>
          <w:w w:val="115"/>
        </w:rPr>
        <w:t> </w:t>
      </w:r>
      <w:r>
        <w:rPr>
          <w:w w:val="115"/>
        </w:rPr>
        <w:t>way</w:t>
      </w:r>
      <w:r>
        <w:rPr>
          <w:spacing w:val="-14"/>
          <w:w w:val="115"/>
        </w:rPr>
        <w:t> </w:t>
      </w:r>
      <w:r>
        <w:rPr>
          <w:w w:val="115"/>
        </w:rPr>
        <w:t>by</w:t>
      </w:r>
      <w:r>
        <w:rPr>
          <w:spacing w:val="-14"/>
          <w:w w:val="115"/>
        </w:rPr>
        <w:t> </w:t>
      </w:r>
      <w:r>
        <w:rPr>
          <w:w w:val="115"/>
        </w:rPr>
        <w:t>the</w:t>
      </w:r>
      <w:r>
        <w:rPr>
          <w:spacing w:val="-15"/>
          <w:w w:val="115"/>
        </w:rPr>
        <w:t> </w:t>
      </w:r>
      <w:r>
        <w:rPr>
          <w:w w:val="115"/>
        </w:rPr>
        <w:t>Windsor</w:t>
      </w:r>
      <w:r>
        <w:rPr>
          <w:spacing w:val="-14"/>
          <w:w w:val="115"/>
        </w:rPr>
        <w:t> </w:t>
      </w:r>
      <w:r>
        <w:rPr>
          <w:spacing w:val="-2"/>
          <w:w w:val="115"/>
        </w:rPr>
        <w:t>Framework.</w:t>
      </w:r>
    </w:p>
    <w:p>
      <w:pPr>
        <w:spacing w:after="0"/>
        <w:sectPr>
          <w:type w:val="continuous"/>
          <w:pgSz w:w="11910" w:h="16840"/>
          <w:pgMar w:header="568" w:footer="580" w:top="0" w:bottom="280" w:left="1020" w:right="1020"/>
          <w:cols w:num="2" w:equalWidth="0">
            <w:col w:w="4706" w:space="340"/>
            <w:col w:w="4824"/>
          </w:cols>
        </w:sectPr>
      </w:pPr>
    </w:p>
    <w:p>
      <w:pPr>
        <w:pStyle w:val="BodyText"/>
        <w:spacing w:before="200"/>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207" name="Group 207"/>
                <wp:cNvGraphicFramePr>
                  <a:graphicFrameLocks/>
                </wp:cNvGraphicFramePr>
                <a:graphic>
                  <a:graphicData uri="http://schemas.microsoft.com/office/word/2010/wordprocessingGroup">
                    <wpg:wgp>
                      <wpg:cNvPr id="207" name="Group 207"/>
                      <wpg:cNvGrpSpPr/>
                      <wpg:grpSpPr>
                        <a:xfrm>
                          <a:off x="0" y="0"/>
                          <a:ext cx="6120130" cy="6350"/>
                          <a:chExt cx="6120130" cy="6350"/>
                        </a:xfrm>
                      </wpg:grpSpPr>
                      <wps:wsp>
                        <wps:cNvPr id="208" name="Graphic 208"/>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122"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14"/>
        </w:numPr>
        <w:tabs>
          <w:tab w:pos="565" w:val="left" w:leader="none"/>
        </w:tabs>
        <w:spacing w:line="223" w:lineRule="exact" w:before="61" w:after="0"/>
        <w:ind w:left="565" w:right="0" w:hanging="452"/>
        <w:jc w:val="left"/>
        <w:rPr>
          <w:sz w:val="16"/>
        </w:rPr>
      </w:pPr>
      <w:r>
        <w:rPr>
          <w:w w:val="105"/>
          <w:sz w:val="16"/>
        </w:rPr>
        <w:t>See</w:t>
      </w:r>
      <w:r>
        <w:rPr>
          <w:spacing w:val="-9"/>
          <w:w w:val="105"/>
          <w:sz w:val="16"/>
        </w:rPr>
        <w:t> </w:t>
      </w:r>
      <w:r>
        <w:rPr>
          <w:w w:val="105"/>
          <w:sz w:val="16"/>
        </w:rPr>
        <w:t>also</w:t>
      </w:r>
      <w:r>
        <w:rPr>
          <w:spacing w:val="-9"/>
          <w:w w:val="105"/>
          <w:sz w:val="16"/>
        </w:rPr>
        <w:t> </w:t>
      </w:r>
      <w:r>
        <w:rPr>
          <w:w w:val="105"/>
          <w:sz w:val="16"/>
        </w:rPr>
        <w:t>above</w:t>
      </w:r>
      <w:r>
        <w:rPr>
          <w:spacing w:val="-8"/>
          <w:w w:val="105"/>
          <w:sz w:val="16"/>
        </w:rPr>
        <w:t> </w:t>
      </w:r>
      <w:r>
        <w:rPr>
          <w:w w:val="105"/>
          <w:sz w:val="16"/>
        </w:rPr>
        <w:t>Chapter</w:t>
      </w:r>
      <w:r>
        <w:rPr>
          <w:spacing w:val="-9"/>
          <w:w w:val="105"/>
          <w:sz w:val="16"/>
        </w:rPr>
        <w:t> </w:t>
      </w:r>
      <w:r>
        <w:rPr>
          <w:spacing w:val="-5"/>
          <w:w w:val="105"/>
          <w:sz w:val="16"/>
        </w:rPr>
        <w:t>3.</w:t>
      </w:r>
    </w:p>
    <w:p>
      <w:pPr>
        <w:pStyle w:val="ListParagraph"/>
        <w:numPr>
          <w:ilvl w:val="0"/>
          <w:numId w:val="14"/>
        </w:numPr>
        <w:tabs>
          <w:tab w:pos="565" w:val="left" w:leader="none"/>
          <w:tab w:pos="567" w:val="left" w:leader="none"/>
        </w:tabs>
        <w:spacing w:line="218" w:lineRule="auto" w:before="0" w:after="0"/>
        <w:ind w:left="567" w:right="455" w:hanging="454"/>
        <w:jc w:val="left"/>
        <w:rPr>
          <w:rFonts w:ascii="Arial"/>
          <w:sz w:val="16"/>
        </w:rPr>
      </w:pPr>
      <w:r>
        <w:rPr>
          <w:rFonts w:ascii="Arial"/>
          <w:w w:val="110"/>
          <w:sz w:val="16"/>
        </w:rPr>
        <w:t>Joint Committee of the Irish Human Rights and Equality Commission and the Northern Ireland Human Rights Commission, </w:t>
      </w:r>
      <w:hyperlink r:id="rId46">
        <w:r>
          <w:rPr>
            <w:rFonts w:ascii="Arial"/>
            <w:color w:val="77328A"/>
            <w:w w:val="110"/>
            <w:sz w:val="16"/>
            <w:u w:val="single" w:color="77328A"/>
          </w:rPr>
          <w:t>Policy statement on the United Kingdom withdrawal from the European Union</w:t>
        </w:r>
      </w:hyperlink>
      <w:r>
        <w:rPr>
          <w:rFonts w:ascii="Arial"/>
          <w:color w:val="77328A"/>
          <w:w w:val="110"/>
          <w:sz w:val="16"/>
          <w:u w:val="none"/>
        </w:rPr>
        <w:t> </w:t>
      </w:r>
      <w:r>
        <w:rPr>
          <w:rFonts w:ascii="Arial"/>
          <w:w w:val="110"/>
          <w:sz w:val="16"/>
          <w:u w:val="none"/>
        </w:rPr>
        <w:t>(NIHRC and IHREC,</w:t>
      </w:r>
    </w:p>
    <w:p>
      <w:pPr>
        <w:spacing w:line="216" w:lineRule="exact" w:before="0"/>
        <w:ind w:left="567" w:right="0" w:firstLine="0"/>
        <w:jc w:val="left"/>
        <w:rPr>
          <w:rFonts w:ascii="Lucida Sans Unicode"/>
          <w:sz w:val="16"/>
        </w:rPr>
      </w:pPr>
      <w:r>
        <w:rPr>
          <w:rFonts w:ascii="Lucida Sans Unicode"/>
          <w:spacing w:val="-4"/>
          <w:sz w:val="16"/>
        </w:rPr>
        <w:t>2018)</w:t>
      </w:r>
      <w:r>
        <w:rPr>
          <w:rFonts w:ascii="Lucida Sans Unicode"/>
          <w:spacing w:val="-5"/>
          <w:sz w:val="16"/>
        </w:rPr>
        <w:t> </w:t>
      </w:r>
      <w:r>
        <w:rPr>
          <w:rFonts w:ascii="Lucida Sans Unicode"/>
          <w:spacing w:val="-4"/>
          <w:sz w:val="16"/>
        </w:rPr>
        <w:t>p.</w:t>
      </w:r>
      <w:r>
        <w:rPr>
          <w:rFonts w:ascii="Lucida Sans Unicode"/>
          <w:spacing w:val="-5"/>
          <w:sz w:val="16"/>
        </w:rPr>
        <w:t> 6.</w:t>
      </w:r>
    </w:p>
    <w:p>
      <w:pPr>
        <w:pStyle w:val="ListParagraph"/>
        <w:numPr>
          <w:ilvl w:val="0"/>
          <w:numId w:val="14"/>
        </w:numPr>
        <w:tabs>
          <w:tab w:pos="567" w:val="left" w:leader="none"/>
        </w:tabs>
        <w:spacing w:line="194" w:lineRule="auto" w:before="3" w:after="0"/>
        <w:ind w:left="567" w:right="172" w:hanging="454"/>
        <w:jc w:val="left"/>
        <w:rPr>
          <w:sz w:val="16"/>
        </w:rPr>
      </w:pPr>
      <w:r>
        <w:rPr>
          <w:rFonts w:ascii="Arial" w:hAnsi="Arial"/>
          <w:w w:val="105"/>
          <w:sz w:val="16"/>
        </w:rPr>
        <w:t>Colin</w:t>
      </w:r>
      <w:r>
        <w:rPr>
          <w:rFonts w:ascii="Arial" w:hAnsi="Arial"/>
          <w:spacing w:val="37"/>
          <w:w w:val="105"/>
          <w:sz w:val="16"/>
        </w:rPr>
        <w:t> </w:t>
      </w:r>
      <w:r>
        <w:rPr>
          <w:rFonts w:ascii="Arial" w:hAnsi="Arial"/>
          <w:w w:val="105"/>
          <w:sz w:val="16"/>
        </w:rPr>
        <w:t>Murray</w:t>
      </w:r>
      <w:r>
        <w:rPr>
          <w:rFonts w:ascii="Arial" w:hAnsi="Arial"/>
          <w:spacing w:val="37"/>
          <w:w w:val="105"/>
          <w:sz w:val="16"/>
        </w:rPr>
        <w:t> </w:t>
      </w:r>
      <w:r>
        <w:rPr>
          <w:rFonts w:ascii="Arial" w:hAnsi="Arial"/>
          <w:w w:val="105"/>
          <w:sz w:val="16"/>
        </w:rPr>
        <w:t>and</w:t>
      </w:r>
      <w:r>
        <w:rPr>
          <w:rFonts w:ascii="Arial" w:hAnsi="Arial"/>
          <w:spacing w:val="37"/>
          <w:w w:val="105"/>
          <w:sz w:val="16"/>
        </w:rPr>
        <w:t> </w:t>
      </w:r>
      <w:r>
        <w:rPr>
          <w:rFonts w:ascii="Arial" w:hAnsi="Arial"/>
          <w:w w:val="105"/>
          <w:sz w:val="16"/>
        </w:rPr>
        <w:t>Clare</w:t>
      </w:r>
      <w:r>
        <w:rPr>
          <w:rFonts w:ascii="Arial" w:hAnsi="Arial"/>
          <w:spacing w:val="37"/>
          <w:w w:val="105"/>
          <w:sz w:val="16"/>
        </w:rPr>
        <w:t> </w:t>
      </w:r>
      <w:r>
        <w:rPr>
          <w:rFonts w:ascii="Arial" w:hAnsi="Arial"/>
          <w:w w:val="105"/>
          <w:sz w:val="16"/>
        </w:rPr>
        <w:t>Rice,</w:t>
      </w:r>
      <w:r>
        <w:rPr>
          <w:rFonts w:ascii="Arial" w:hAnsi="Arial"/>
          <w:spacing w:val="37"/>
          <w:w w:val="105"/>
          <w:sz w:val="16"/>
        </w:rPr>
        <w:t> </w:t>
      </w:r>
      <w:r>
        <w:rPr>
          <w:rFonts w:ascii="Arial" w:hAnsi="Arial"/>
          <w:w w:val="105"/>
          <w:sz w:val="16"/>
        </w:rPr>
        <w:t>‘Beyond</w:t>
      </w:r>
      <w:r>
        <w:rPr>
          <w:rFonts w:ascii="Arial" w:hAnsi="Arial"/>
          <w:spacing w:val="37"/>
          <w:w w:val="105"/>
          <w:sz w:val="16"/>
        </w:rPr>
        <w:t> </w:t>
      </w:r>
      <w:r>
        <w:rPr>
          <w:rFonts w:ascii="Arial" w:hAnsi="Arial"/>
          <w:w w:val="105"/>
          <w:sz w:val="16"/>
        </w:rPr>
        <w:t>trade:</w:t>
      </w:r>
      <w:r>
        <w:rPr>
          <w:rFonts w:ascii="Arial" w:hAnsi="Arial"/>
          <w:spacing w:val="37"/>
          <w:w w:val="105"/>
          <w:sz w:val="16"/>
        </w:rPr>
        <w:t> </w:t>
      </w:r>
      <w:r>
        <w:rPr>
          <w:rFonts w:ascii="Arial" w:hAnsi="Arial"/>
          <w:w w:val="105"/>
          <w:sz w:val="16"/>
        </w:rPr>
        <w:t>implementing</w:t>
      </w:r>
      <w:r>
        <w:rPr>
          <w:rFonts w:ascii="Arial" w:hAnsi="Arial"/>
          <w:spacing w:val="37"/>
          <w:w w:val="105"/>
          <w:sz w:val="16"/>
        </w:rPr>
        <w:t> </w:t>
      </w:r>
      <w:r>
        <w:rPr>
          <w:rFonts w:ascii="Arial" w:hAnsi="Arial"/>
          <w:w w:val="105"/>
          <w:sz w:val="16"/>
        </w:rPr>
        <w:t>the</w:t>
      </w:r>
      <w:r>
        <w:rPr>
          <w:rFonts w:ascii="Arial" w:hAnsi="Arial"/>
          <w:spacing w:val="37"/>
          <w:w w:val="105"/>
          <w:sz w:val="16"/>
        </w:rPr>
        <w:t> </w:t>
      </w:r>
      <w:r>
        <w:rPr>
          <w:rFonts w:ascii="Arial" w:hAnsi="Arial"/>
          <w:w w:val="105"/>
          <w:sz w:val="16"/>
        </w:rPr>
        <w:t>Ireland/Northern</w:t>
      </w:r>
      <w:r>
        <w:rPr>
          <w:rFonts w:ascii="Arial" w:hAnsi="Arial"/>
          <w:spacing w:val="37"/>
          <w:w w:val="105"/>
          <w:sz w:val="16"/>
        </w:rPr>
        <w:t> </w:t>
      </w:r>
      <w:r>
        <w:rPr>
          <w:rFonts w:ascii="Arial" w:hAnsi="Arial"/>
          <w:w w:val="105"/>
          <w:sz w:val="16"/>
        </w:rPr>
        <w:t>Ireland</w:t>
      </w:r>
      <w:r>
        <w:rPr>
          <w:rFonts w:ascii="Arial" w:hAnsi="Arial"/>
          <w:spacing w:val="37"/>
          <w:w w:val="105"/>
          <w:sz w:val="16"/>
        </w:rPr>
        <w:t> </w:t>
      </w:r>
      <w:r>
        <w:rPr>
          <w:rFonts w:ascii="Arial" w:hAnsi="Arial"/>
          <w:w w:val="105"/>
          <w:sz w:val="16"/>
        </w:rPr>
        <w:t>Protocol’s</w:t>
      </w:r>
      <w:r>
        <w:rPr>
          <w:rFonts w:ascii="Arial" w:hAnsi="Arial"/>
          <w:spacing w:val="37"/>
          <w:w w:val="105"/>
          <w:sz w:val="16"/>
        </w:rPr>
        <w:t> </w:t>
      </w:r>
      <w:r>
        <w:rPr>
          <w:rFonts w:ascii="Arial" w:hAnsi="Arial"/>
          <w:w w:val="105"/>
          <w:sz w:val="16"/>
        </w:rPr>
        <w:t>human</w:t>
      </w:r>
      <w:r>
        <w:rPr>
          <w:rFonts w:ascii="Arial" w:hAnsi="Arial"/>
          <w:spacing w:val="37"/>
          <w:w w:val="105"/>
          <w:sz w:val="16"/>
        </w:rPr>
        <w:t> </w:t>
      </w:r>
      <w:r>
        <w:rPr>
          <w:rFonts w:ascii="Arial" w:hAnsi="Arial"/>
          <w:w w:val="105"/>
          <w:sz w:val="16"/>
        </w:rPr>
        <w:t>rights</w:t>
      </w:r>
      <w:r>
        <w:rPr>
          <w:rFonts w:ascii="Arial" w:hAnsi="Arial"/>
          <w:spacing w:val="37"/>
          <w:w w:val="105"/>
          <w:sz w:val="16"/>
        </w:rPr>
        <w:t> </w:t>
      </w:r>
      <w:r>
        <w:rPr>
          <w:rFonts w:ascii="Arial" w:hAnsi="Arial"/>
          <w:w w:val="105"/>
          <w:sz w:val="16"/>
        </w:rPr>
        <w:t>and </w:t>
      </w:r>
      <w:r>
        <w:rPr>
          <w:spacing w:val="-2"/>
          <w:w w:val="105"/>
          <w:sz w:val="16"/>
        </w:rPr>
        <w:t>equalities</w:t>
      </w:r>
      <w:r>
        <w:rPr>
          <w:spacing w:val="-6"/>
          <w:w w:val="105"/>
          <w:sz w:val="16"/>
        </w:rPr>
        <w:t> </w:t>
      </w:r>
      <w:r>
        <w:rPr>
          <w:spacing w:val="-2"/>
          <w:w w:val="105"/>
          <w:sz w:val="16"/>
        </w:rPr>
        <w:t>provisions’</w:t>
      </w:r>
      <w:r>
        <w:rPr>
          <w:spacing w:val="-6"/>
          <w:w w:val="105"/>
          <w:sz w:val="16"/>
        </w:rPr>
        <w:t> </w:t>
      </w:r>
      <w:r>
        <w:rPr>
          <w:spacing w:val="-2"/>
          <w:w w:val="105"/>
          <w:sz w:val="16"/>
        </w:rPr>
        <w:t>(2021)</w:t>
      </w:r>
      <w:r>
        <w:rPr>
          <w:spacing w:val="-6"/>
          <w:w w:val="105"/>
          <w:sz w:val="16"/>
        </w:rPr>
        <w:t> </w:t>
      </w:r>
      <w:r>
        <w:rPr>
          <w:spacing w:val="-2"/>
          <w:w w:val="105"/>
          <w:sz w:val="16"/>
        </w:rPr>
        <w:t>72</w:t>
      </w:r>
      <w:r>
        <w:rPr>
          <w:spacing w:val="-6"/>
          <w:w w:val="105"/>
          <w:sz w:val="16"/>
        </w:rPr>
        <w:t> </w:t>
      </w:r>
      <w:r>
        <w:rPr>
          <w:spacing w:val="-2"/>
          <w:w w:val="105"/>
          <w:sz w:val="16"/>
        </w:rPr>
        <w:t>Northern</w:t>
      </w:r>
      <w:r>
        <w:rPr>
          <w:spacing w:val="-6"/>
          <w:w w:val="105"/>
          <w:sz w:val="16"/>
        </w:rPr>
        <w:t> </w:t>
      </w:r>
      <w:r>
        <w:rPr>
          <w:spacing w:val="-2"/>
          <w:w w:val="105"/>
          <w:sz w:val="16"/>
        </w:rPr>
        <w:t>Ireland</w:t>
      </w:r>
      <w:r>
        <w:rPr>
          <w:spacing w:val="-6"/>
          <w:w w:val="105"/>
          <w:sz w:val="16"/>
        </w:rPr>
        <w:t> </w:t>
      </w:r>
      <w:r>
        <w:rPr>
          <w:spacing w:val="-2"/>
          <w:w w:val="105"/>
          <w:sz w:val="16"/>
        </w:rPr>
        <w:t>Legal</w:t>
      </w:r>
      <w:r>
        <w:rPr>
          <w:spacing w:val="-6"/>
          <w:w w:val="105"/>
          <w:sz w:val="16"/>
        </w:rPr>
        <w:t> </w:t>
      </w:r>
      <w:r>
        <w:rPr>
          <w:spacing w:val="-2"/>
          <w:w w:val="105"/>
          <w:sz w:val="16"/>
        </w:rPr>
        <w:t>Quarterly</w:t>
      </w:r>
      <w:r>
        <w:rPr>
          <w:spacing w:val="-6"/>
          <w:w w:val="105"/>
          <w:sz w:val="16"/>
        </w:rPr>
        <w:t> </w:t>
      </w:r>
      <w:r>
        <w:rPr>
          <w:spacing w:val="-2"/>
          <w:sz w:val="16"/>
        </w:rPr>
        <w:t>1,</w:t>
      </w:r>
      <w:r>
        <w:rPr>
          <w:spacing w:val="-3"/>
          <w:sz w:val="16"/>
        </w:rPr>
        <w:t> </w:t>
      </w:r>
      <w:r>
        <w:rPr>
          <w:spacing w:val="-2"/>
          <w:sz w:val="16"/>
        </w:rPr>
        <w:t>18.</w:t>
      </w:r>
    </w:p>
    <w:p>
      <w:pPr>
        <w:spacing w:after="0" w:line="194" w:lineRule="auto"/>
        <w:jc w:val="left"/>
        <w:rPr>
          <w:sz w:val="16"/>
        </w:rPr>
        <w:sectPr>
          <w:type w:val="continuous"/>
          <w:pgSz w:w="11910" w:h="16840"/>
          <w:pgMar w:header="568" w:footer="580" w:top="0" w:bottom="280" w:left="1020" w:right="1020"/>
        </w:sectPr>
      </w:pPr>
    </w:p>
    <w:p>
      <w:pPr>
        <w:pStyle w:val="BodyText"/>
        <w:ind w:left="0"/>
        <w:rPr>
          <w:rFonts w:ascii="Lucida Sans Unicode"/>
          <w:sz w:val="20"/>
        </w:rPr>
      </w:pPr>
    </w:p>
    <w:p>
      <w:pPr>
        <w:pStyle w:val="BodyText"/>
        <w:spacing w:before="123"/>
        <w:ind w:left="0"/>
        <w:rPr>
          <w:rFonts w:ascii="Lucida Sans Unicode"/>
          <w:sz w:val="20"/>
        </w:rPr>
      </w:pPr>
    </w:p>
    <w:p>
      <w:pPr>
        <w:spacing w:after="0"/>
        <w:rPr>
          <w:rFonts w:ascii="Lucida Sans Unicode"/>
          <w:sz w:val="20"/>
        </w:rPr>
        <w:sectPr>
          <w:pgSz w:w="11910" w:h="16840"/>
          <w:pgMar w:header="568" w:footer="580" w:top="840" w:bottom="780" w:left="1020" w:right="1020"/>
        </w:sectPr>
      </w:pPr>
    </w:p>
    <w:p>
      <w:pPr>
        <w:pStyle w:val="BodyText"/>
        <w:spacing w:line="310" w:lineRule="exact" w:before="49"/>
        <w:ind w:right="234"/>
      </w:pPr>
      <w:r>
        <w:rPr>
          <w:w w:val="115"/>
        </w:rPr>
        <w:t>The current impasse relating to devolved governance in Northern </w:t>
      </w:r>
      <w:r>
        <w:rPr>
          <w:spacing w:val="-2"/>
          <w:w w:val="115"/>
        </w:rPr>
        <w:t>Ireland</w:t>
      </w:r>
      <w:r>
        <w:rPr>
          <w:spacing w:val="-13"/>
          <w:w w:val="115"/>
        </w:rPr>
        <w:t> </w:t>
      </w:r>
      <w:r>
        <w:rPr>
          <w:spacing w:val="-2"/>
          <w:w w:val="115"/>
        </w:rPr>
        <w:t>has</w:t>
      </w:r>
      <w:r>
        <w:rPr>
          <w:spacing w:val="-13"/>
          <w:w w:val="115"/>
        </w:rPr>
        <w:t> </w:t>
      </w:r>
      <w:r>
        <w:rPr>
          <w:spacing w:val="-2"/>
          <w:w w:val="115"/>
        </w:rPr>
        <w:t>the</w:t>
      </w:r>
      <w:r>
        <w:rPr>
          <w:spacing w:val="-13"/>
          <w:w w:val="115"/>
        </w:rPr>
        <w:t> </w:t>
      </w:r>
      <w:r>
        <w:rPr>
          <w:spacing w:val="-2"/>
          <w:w w:val="115"/>
        </w:rPr>
        <w:t>potential</w:t>
      </w:r>
      <w:r>
        <w:rPr>
          <w:spacing w:val="-13"/>
          <w:w w:val="115"/>
        </w:rPr>
        <w:t> </w:t>
      </w:r>
      <w:r>
        <w:rPr>
          <w:spacing w:val="-2"/>
          <w:w w:val="115"/>
        </w:rPr>
        <w:t>to</w:t>
      </w:r>
      <w:r>
        <w:rPr>
          <w:spacing w:val="-13"/>
          <w:w w:val="115"/>
        </w:rPr>
        <w:t> </w:t>
      </w:r>
      <w:r>
        <w:rPr>
          <w:spacing w:val="-2"/>
          <w:w w:val="115"/>
        </w:rPr>
        <w:t>seriously </w:t>
      </w:r>
      <w:r>
        <w:rPr>
          <w:w w:val="115"/>
        </w:rPr>
        <w:t>impact</w:t>
      </w:r>
      <w:r>
        <w:rPr>
          <w:spacing w:val="-6"/>
          <w:w w:val="115"/>
        </w:rPr>
        <w:t> </w:t>
      </w:r>
      <w:r>
        <w:rPr>
          <w:w w:val="115"/>
        </w:rPr>
        <w:t>both</w:t>
      </w:r>
      <w:r>
        <w:rPr>
          <w:spacing w:val="-6"/>
          <w:w w:val="115"/>
        </w:rPr>
        <w:t> </w:t>
      </w:r>
      <w:r>
        <w:rPr>
          <w:w w:val="115"/>
        </w:rPr>
        <w:t>the</w:t>
      </w:r>
      <w:r>
        <w:rPr>
          <w:spacing w:val="-6"/>
          <w:w w:val="115"/>
        </w:rPr>
        <w:t> </w:t>
      </w:r>
      <w:r>
        <w:rPr>
          <w:w w:val="115"/>
        </w:rPr>
        <w:t>non-diminution</w:t>
      </w:r>
      <w:r>
        <w:rPr>
          <w:spacing w:val="-6"/>
          <w:w w:val="115"/>
        </w:rPr>
        <w:t> </w:t>
      </w:r>
      <w:r>
        <w:rPr>
          <w:w w:val="115"/>
        </w:rPr>
        <w:t>and dynamic alignment requirements </w:t>
      </w:r>
      <w:r>
        <w:rPr>
          <w:rFonts w:ascii="Lucida Sans Unicode"/>
          <w:w w:val="110"/>
        </w:rPr>
        <w:t>within</w:t>
      </w:r>
      <w:r>
        <w:rPr>
          <w:rFonts w:ascii="Lucida Sans Unicode"/>
          <w:spacing w:val="-18"/>
          <w:w w:val="110"/>
        </w:rPr>
        <w:t> </w:t>
      </w:r>
      <w:r>
        <w:rPr>
          <w:rFonts w:ascii="Lucida Sans Unicode"/>
          <w:w w:val="110"/>
        </w:rPr>
        <w:t>Article</w:t>
      </w:r>
      <w:r>
        <w:rPr>
          <w:rFonts w:ascii="Lucida Sans Unicode"/>
          <w:spacing w:val="-18"/>
          <w:w w:val="110"/>
        </w:rPr>
        <w:t> </w:t>
      </w:r>
      <w:r>
        <w:rPr>
          <w:rFonts w:ascii="Lucida Sans Unicode"/>
          <w:w w:val="110"/>
        </w:rPr>
        <w:t>2</w:t>
      </w:r>
      <w:r>
        <w:rPr>
          <w:rFonts w:ascii="Lucida Sans Unicode"/>
          <w:spacing w:val="-18"/>
          <w:w w:val="110"/>
        </w:rPr>
        <w:t> </w:t>
      </w:r>
      <w:r>
        <w:rPr>
          <w:rFonts w:ascii="Lucida Sans Unicode"/>
          <w:w w:val="110"/>
        </w:rPr>
        <w:t>of</w:t>
      </w:r>
      <w:r>
        <w:rPr>
          <w:rFonts w:ascii="Lucida Sans Unicode"/>
          <w:spacing w:val="-18"/>
          <w:w w:val="110"/>
        </w:rPr>
        <w:t> </w:t>
      </w:r>
      <w:r>
        <w:rPr>
          <w:rFonts w:ascii="Lucida Sans Unicode"/>
          <w:w w:val="110"/>
        </w:rPr>
        <w:t>the</w:t>
      </w:r>
      <w:r>
        <w:rPr>
          <w:rFonts w:ascii="Lucida Sans Unicode"/>
          <w:spacing w:val="-18"/>
          <w:w w:val="110"/>
        </w:rPr>
        <w:t> </w:t>
      </w:r>
      <w:r>
        <w:rPr>
          <w:rFonts w:ascii="Lucida Sans Unicode"/>
          <w:w w:val="110"/>
        </w:rPr>
        <w:t>Windsor </w:t>
      </w:r>
      <w:r>
        <w:rPr>
          <w:w w:val="115"/>
        </w:rPr>
        <w:t>Framework.</w:t>
      </w:r>
      <w:r>
        <w:rPr>
          <w:spacing w:val="-6"/>
          <w:w w:val="115"/>
        </w:rPr>
        <w:t> </w:t>
      </w:r>
      <w:r>
        <w:rPr>
          <w:w w:val="115"/>
        </w:rPr>
        <w:t>This</w:t>
      </w:r>
      <w:r>
        <w:rPr>
          <w:spacing w:val="-6"/>
          <w:w w:val="115"/>
        </w:rPr>
        <w:t> </w:t>
      </w:r>
      <w:r>
        <w:rPr>
          <w:w w:val="115"/>
        </w:rPr>
        <w:t>is</w:t>
      </w:r>
      <w:r>
        <w:rPr>
          <w:spacing w:val="-6"/>
          <w:w w:val="115"/>
        </w:rPr>
        <w:t> </w:t>
      </w:r>
      <w:r>
        <w:rPr>
          <w:w w:val="115"/>
        </w:rPr>
        <w:t>because</w:t>
      </w:r>
      <w:r>
        <w:rPr>
          <w:spacing w:val="-6"/>
          <w:w w:val="115"/>
        </w:rPr>
        <w:t> </w:t>
      </w:r>
      <w:r>
        <w:rPr>
          <w:w w:val="115"/>
        </w:rPr>
        <w:t>it</w:t>
      </w:r>
      <w:r>
        <w:rPr>
          <w:spacing w:val="-6"/>
          <w:w w:val="115"/>
        </w:rPr>
        <w:t> </w:t>
      </w:r>
      <w:r>
        <w:rPr>
          <w:w w:val="115"/>
        </w:rPr>
        <w:t>may not be possible for any change in the</w:t>
      </w:r>
      <w:r>
        <w:rPr>
          <w:spacing w:val="-1"/>
          <w:w w:val="115"/>
        </w:rPr>
        <w:t> </w:t>
      </w:r>
      <w:r>
        <w:rPr>
          <w:w w:val="115"/>
        </w:rPr>
        <w:t>case</w:t>
      </w:r>
      <w:r>
        <w:rPr>
          <w:spacing w:val="-1"/>
          <w:w w:val="115"/>
        </w:rPr>
        <w:t> </w:t>
      </w:r>
      <w:r>
        <w:rPr>
          <w:w w:val="115"/>
        </w:rPr>
        <w:t>law</w:t>
      </w:r>
      <w:r>
        <w:rPr>
          <w:spacing w:val="-1"/>
          <w:w w:val="115"/>
        </w:rPr>
        <w:t> </w:t>
      </w:r>
      <w:r>
        <w:rPr>
          <w:w w:val="115"/>
        </w:rPr>
        <w:t>of</w:t>
      </w:r>
      <w:r>
        <w:rPr>
          <w:spacing w:val="-1"/>
          <w:w w:val="115"/>
        </w:rPr>
        <w:t> </w:t>
      </w:r>
      <w:r>
        <w:rPr>
          <w:w w:val="115"/>
        </w:rPr>
        <w:t>the</w:t>
      </w:r>
      <w:r>
        <w:rPr>
          <w:spacing w:val="-1"/>
          <w:w w:val="115"/>
        </w:rPr>
        <w:t> </w:t>
      </w:r>
      <w:r>
        <w:rPr>
          <w:w w:val="115"/>
        </w:rPr>
        <w:t>CJEU</w:t>
      </w:r>
      <w:r>
        <w:rPr>
          <w:spacing w:val="-1"/>
          <w:w w:val="115"/>
        </w:rPr>
        <w:t> </w:t>
      </w:r>
      <w:r>
        <w:rPr>
          <w:w w:val="115"/>
        </w:rPr>
        <w:t>relevant for</w:t>
      </w:r>
      <w:r>
        <w:rPr>
          <w:spacing w:val="-2"/>
          <w:w w:val="115"/>
        </w:rPr>
        <w:t> </w:t>
      </w:r>
      <w:r>
        <w:rPr>
          <w:w w:val="115"/>
        </w:rPr>
        <w:t>non-diminution</w:t>
      </w:r>
      <w:r>
        <w:rPr>
          <w:spacing w:val="-2"/>
          <w:w w:val="115"/>
        </w:rPr>
        <w:t> </w:t>
      </w:r>
      <w:r>
        <w:rPr>
          <w:w w:val="115"/>
        </w:rPr>
        <w:t>which</w:t>
      </w:r>
      <w:r>
        <w:rPr>
          <w:spacing w:val="-2"/>
          <w:w w:val="115"/>
        </w:rPr>
        <w:t> </w:t>
      </w:r>
      <w:r>
        <w:rPr>
          <w:w w:val="115"/>
        </w:rPr>
        <w:t>requires</w:t>
      </w:r>
      <w:r>
        <w:rPr>
          <w:spacing w:val="-2"/>
          <w:w w:val="115"/>
        </w:rPr>
        <w:t> </w:t>
      </w:r>
      <w:r>
        <w:rPr>
          <w:w w:val="115"/>
        </w:rPr>
        <w:t>a corresponding change to devolved</w:t>
      </w:r>
    </w:p>
    <w:p>
      <w:pPr>
        <w:pStyle w:val="BodyText"/>
        <w:spacing w:line="268" w:lineRule="auto" w:before="23"/>
      </w:pPr>
      <w:r>
        <w:rPr>
          <w:spacing w:val="-2"/>
          <w:w w:val="115"/>
        </w:rPr>
        <w:t>Northern</w:t>
      </w:r>
      <w:r>
        <w:rPr>
          <w:spacing w:val="-12"/>
          <w:w w:val="115"/>
        </w:rPr>
        <w:t> </w:t>
      </w:r>
      <w:r>
        <w:rPr>
          <w:spacing w:val="-2"/>
          <w:w w:val="115"/>
        </w:rPr>
        <w:t>Ireland</w:t>
      </w:r>
      <w:r>
        <w:rPr>
          <w:spacing w:val="-12"/>
          <w:w w:val="115"/>
        </w:rPr>
        <w:t> </w:t>
      </w:r>
      <w:r>
        <w:rPr>
          <w:spacing w:val="-2"/>
          <w:w w:val="115"/>
        </w:rPr>
        <w:t>primary</w:t>
      </w:r>
      <w:r>
        <w:rPr>
          <w:spacing w:val="-12"/>
          <w:w w:val="115"/>
        </w:rPr>
        <w:t> </w:t>
      </w:r>
      <w:r>
        <w:rPr>
          <w:spacing w:val="-2"/>
          <w:w w:val="115"/>
        </w:rPr>
        <w:t>or</w:t>
      </w:r>
      <w:r>
        <w:rPr>
          <w:spacing w:val="-12"/>
          <w:w w:val="115"/>
        </w:rPr>
        <w:t> </w:t>
      </w:r>
      <w:r>
        <w:rPr>
          <w:spacing w:val="-2"/>
          <w:w w:val="115"/>
        </w:rPr>
        <w:t>secondary </w:t>
      </w:r>
      <w:r>
        <w:rPr>
          <w:w w:val="115"/>
        </w:rPr>
        <w:t>legislation (or legislation which governs</w:t>
      </w:r>
      <w:r>
        <w:rPr>
          <w:spacing w:val="-1"/>
          <w:w w:val="115"/>
        </w:rPr>
        <w:t> </w:t>
      </w:r>
      <w:r>
        <w:rPr>
          <w:w w:val="115"/>
        </w:rPr>
        <w:t>devolved</w:t>
      </w:r>
      <w:r>
        <w:rPr>
          <w:spacing w:val="-1"/>
          <w:w w:val="115"/>
        </w:rPr>
        <w:t> </w:t>
      </w:r>
      <w:r>
        <w:rPr>
          <w:w w:val="115"/>
        </w:rPr>
        <w:t>areas</w:t>
      </w:r>
      <w:r>
        <w:rPr>
          <w:spacing w:val="-1"/>
          <w:w w:val="115"/>
        </w:rPr>
        <w:t> </w:t>
      </w:r>
      <w:r>
        <w:rPr>
          <w:w w:val="115"/>
        </w:rPr>
        <w:t>over</w:t>
      </w:r>
      <w:r>
        <w:rPr>
          <w:spacing w:val="-1"/>
          <w:w w:val="115"/>
        </w:rPr>
        <w:t> </w:t>
      </w:r>
      <w:r>
        <w:rPr>
          <w:w w:val="115"/>
        </w:rPr>
        <w:t>which the devolved Northern Ireland authorities have competence) to be made while the Assembly remains unable</w:t>
      </w:r>
      <w:r>
        <w:rPr>
          <w:spacing w:val="-14"/>
          <w:w w:val="115"/>
        </w:rPr>
        <w:t> </w:t>
      </w:r>
      <w:r>
        <w:rPr>
          <w:w w:val="115"/>
        </w:rPr>
        <w:t>to</w:t>
      </w:r>
      <w:r>
        <w:rPr>
          <w:spacing w:val="-14"/>
          <w:w w:val="115"/>
        </w:rPr>
        <w:t> </w:t>
      </w:r>
      <w:r>
        <w:rPr>
          <w:w w:val="115"/>
        </w:rPr>
        <w:t>function.</w:t>
      </w:r>
      <w:r>
        <w:rPr>
          <w:spacing w:val="-14"/>
          <w:w w:val="115"/>
        </w:rPr>
        <w:t> </w:t>
      </w:r>
      <w:r>
        <w:rPr>
          <w:w w:val="115"/>
        </w:rPr>
        <w:t>The</w:t>
      </w:r>
      <w:r>
        <w:rPr>
          <w:spacing w:val="-14"/>
          <w:w w:val="115"/>
        </w:rPr>
        <w:t> </w:t>
      </w:r>
      <w:r>
        <w:rPr>
          <w:w w:val="115"/>
        </w:rPr>
        <w:t>same</w:t>
      </w:r>
      <w:r>
        <w:rPr>
          <w:spacing w:val="-14"/>
          <w:w w:val="115"/>
        </w:rPr>
        <w:t> </w:t>
      </w:r>
      <w:r>
        <w:rPr>
          <w:w w:val="115"/>
        </w:rPr>
        <w:t>concern arises in the case of any dynamic alignment which requires changes to devolved</w:t>
      </w:r>
      <w:r>
        <w:rPr>
          <w:spacing w:val="-8"/>
          <w:w w:val="115"/>
        </w:rPr>
        <w:t> </w:t>
      </w:r>
      <w:r>
        <w:rPr>
          <w:w w:val="115"/>
        </w:rPr>
        <w:t>legislation.</w:t>
      </w:r>
      <w:r>
        <w:rPr>
          <w:spacing w:val="-8"/>
          <w:w w:val="115"/>
        </w:rPr>
        <w:t> </w:t>
      </w:r>
      <w:r>
        <w:rPr>
          <w:w w:val="115"/>
        </w:rPr>
        <w:t>These</w:t>
      </w:r>
      <w:r>
        <w:rPr>
          <w:spacing w:val="-8"/>
          <w:w w:val="115"/>
        </w:rPr>
        <w:t> </w:t>
      </w:r>
      <w:r>
        <w:rPr>
          <w:w w:val="115"/>
        </w:rPr>
        <w:t>concerns are mitigated to some extent by</w:t>
      </w:r>
    </w:p>
    <w:p>
      <w:pPr>
        <w:pStyle w:val="BodyText"/>
        <w:spacing w:line="252" w:lineRule="auto" w:before="10"/>
        <w:ind w:right="48"/>
        <w:rPr>
          <w:rFonts w:ascii="Lucida Sans Unicode"/>
        </w:rPr>
      </w:pPr>
      <w:r>
        <w:rPr>
          <w:w w:val="110"/>
        </w:rPr>
        <w:t>the existence of an extremely broad power of delegated legislation </w:t>
      </w:r>
      <w:r>
        <w:rPr>
          <w:rFonts w:ascii="Lucida Sans Unicode"/>
        </w:rPr>
        <w:t>exercised</w:t>
      </w:r>
      <w:r>
        <w:rPr>
          <w:rFonts w:ascii="Lucida Sans Unicode"/>
          <w:spacing w:val="21"/>
        </w:rPr>
        <w:t> </w:t>
      </w:r>
      <w:r>
        <w:rPr>
          <w:rFonts w:ascii="Lucida Sans Unicode"/>
        </w:rPr>
        <w:t>by</w:t>
      </w:r>
      <w:r>
        <w:rPr>
          <w:rFonts w:ascii="Lucida Sans Unicode"/>
          <w:spacing w:val="21"/>
        </w:rPr>
        <w:t> </w:t>
      </w:r>
      <w:r>
        <w:rPr>
          <w:rFonts w:ascii="Lucida Sans Unicode"/>
        </w:rPr>
        <w:t>the</w:t>
      </w:r>
      <w:r>
        <w:rPr>
          <w:rFonts w:ascii="Lucida Sans Unicode"/>
          <w:spacing w:val="21"/>
        </w:rPr>
        <w:t> </w:t>
      </w:r>
      <w:r>
        <w:rPr>
          <w:rFonts w:ascii="Lucida Sans Unicode"/>
        </w:rPr>
        <w:t>Secretary</w:t>
      </w:r>
      <w:r>
        <w:rPr>
          <w:rFonts w:ascii="Lucida Sans Unicode"/>
          <w:spacing w:val="21"/>
        </w:rPr>
        <w:t> </w:t>
      </w:r>
      <w:r>
        <w:rPr>
          <w:rFonts w:ascii="Lucida Sans Unicode"/>
        </w:rPr>
        <w:t>of</w:t>
      </w:r>
      <w:r>
        <w:rPr>
          <w:rFonts w:ascii="Lucida Sans Unicode"/>
          <w:spacing w:val="21"/>
        </w:rPr>
        <w:t> </w:t>
      </w:r>
      <w:r>
        <w:rPr>
          <w:rFonts w:ascii="Lucida Sans Unicode"/>
        </w:rPr>
        <w:t>State</w:t>
      </w:r>
      <w:r>
        <w:rPr>
          <w:rFonts w:ascii="Lucida Sans Unicode"/>
          <w:spacing w:val="21"/>
        </w:rPr>
        <w:t> </w:t>
      </w:r>
      <w:r>
        <w:rPr>
          <w:rFonts w:ascii="Lucida Sans Unicode"/>
          <w:spacing w:val="-5"/>
        </w:rPr>
        <w:t>for</w:t>
      </w:r>
    </w:p>
    <w:p>
      <w:pPr>
        <w:pStyle w:val="BodyText"/>
        <w:spacing w:line="239" w:lineRule="exact"/>
      </w:pPr>
      <w:r>
        <w:rPr>
          <w:w w:val="110"/>
        </w:rPr>
        <w:t>Northern</w:t>
      </w:r>
      <w:r>
        <w:rPr>
          <w:spacing w:val="7"/>
          <w:w w:val="110"/>
        </w:rPr>
        <w:t> </w:t>
      </w:r>
      <w:r>
        <w:rPr>
          <w:w w:val="110"/>
        </w:rPr>
        <w:t>Ireland,</w:t>
      </w:r>
      <w:r>
        <w:rPr>
          <w:spacing w:val="7"/>
          <w:w w:val="110"/>
        </w:rPr>
        <w:t> </w:t>
      </w:r>
      <w:r>
        <w:rPr>
          <w:w w:val="110"/>
        </w:rPr>
        <w:t>which</w:t>
      </w:r>
      <w:r>
        <w:rPr>
          <w:spacing w:val="7"/>
          <w:w w:val="110"/>
        </w:rPr>
        <w:t> </w:t>
      </w:r>
      <w:r>
        <w:rPr>
          <w:w w:val="110"/>
        </w:rPr>
        <w:t>authorises</w:t>
      </w:r>
      <w:r>
        <w:rPr>
          <w:spacing w:val="7"/>
          <w:w w:val="110"/>
        </w:rPr>
        <w:t> </w:t>
      </w:r>
      <w:r>
        <w:rPr>
          <w:spacing w:val="-5"/>
          <w:w w:val="110"/>
        </w:rPr>
        <w:t>him</w:t>
      </w:r>
    </w:p>
    <w:p>
      <w:pPr>
        <w:pStyle w:val="BodyText"/>
        <w:spacing w:line="310" w:lineRule="exact" w:before="11"/>
        <w:ind w:right="92"/>
        <w:jc w:val="both"/>
      </w:pPr>
      <w:r>
        <w:rPr>
          <w:w w:val="115"/>
        </w:rPr>
        <w:t>to</w:t>
      </w:r>
      <w:r>
        <w:rPr>
          <w:spacing w:val="-18"/>
          <w:w w:val="115"/>
        </w:rPr>
        <w:t> </w:t>
      </w:r>
      <w:r>
        <w:rPr>
          <w:w w:val="115"/>
        </w:rPr>
        <w:t>make</w:t>
      </w:r>
      <w:r>
        <w:rPr>
          <w:spacing w:val="-18"/>
          <w:w w:val="115"/>
        </w:rPr>
        <w:t> </w:t>
      </w:r>
      <w:r>
        <w:rPr>
          <w:w w:val="115"/>
        </w:rPr>
        <w:t>regulations</w:t>
      </w:r>
      <w:r>
        <w:rPr>
          <w:spacing w:val="-18"/>
          <w:w w:val="115"/>
        </w:rPr>
        <w:t> </w:t>
      </w:r>
      <w:r>
        <w:rPr>
          <w:w w:val="115"/>
        </w:rPr>
        <w:t>to</w:t>
      </w:r>
      <w:r>
        <w:rPr>
          <w:spacing w:val="-18"/>
          <w:w w:val="115"/>
        </w:rPr>
        <w:t> </w:t>
      </w:r>
      <w:r>
        <w:rPr>
          <w:w w:val="115"/>
        </w:rPr>
        <w:t>‘implement</w:t>
      </w:r>
      <w:r>
        <w:rPr>
          <w:spacing w:val="-18"/>
          <w:w w:val="115"/>
        </w:rPr>
        <w:t> </w:t>
      </w:r>
      <w:r>
        <w:rPr>
          <w:w w:val="115"/>
        </w:rPr>
        <w:t>the </w:t>
      </w:r>
      <w:r>
        <w:rPr>
          <w:rFonts w:ascii="Lucida Sans Unicode" w:hAnsi="Lucida Sans Unicode"/>
        </w:rPr>
        <w:t>Protocol [viz. Windsor Framework]’</w:t>
      </w:r>
      <w:r>
        <w:rPr>
          <w:rFonts w:ascii="Lucida Sans Unicode" w:hAnsi="Lucida Sans Unicode"/>
          <w:vertAlign w:val="superscript"/>
        </w:rPr>
        <w:t>343</w:t>
      </w:r>
      <w:r>
        <w:rPr>
          <w:rFonts w:ascii="Lucida Sans Unicode" w:hAnsi="Lucida Sans Unicode"/>
          <w:vertAlign w:val="baseline"/>
        </w:rPr>
        <w:t> </w:t>
      </w:r>
      <w:r>
        <w:rPr>
          <w:w w:val="115"/>
          <w:vertAlign w:val="baseline"/>
        </w:rPr>
        <w:t>including</w:t>
      </w:r>
      <w:r>
        <w:rPr>
          <w:spacing w:val="-2"/>
          <w:w w:val="115"/>
          <w:vertAlign w:val="baseline"/>
        </w:rPr>
        <w:t> </w:t>
      </w:r>
      <w:r>
        <w:rPr>
          <w:w w:val="115"/>
          <w:vertAlign w:val="baseline"/>
        </w:rPr>
        <w:t>to</w:t>
      </w:r>
      <w:r>
        <w:rPr>
          <w:spacing w:val="-2"/>
          <w:w w:val="115"/>
          <w:vertAlign w:val="baseline"/>
        </w:rPr>
        <w:t> </w:t>
      </w:r>
      <w:r>
        <w:rPr>
          <w:w w:val="115"/>
          <w:vertAlign w:val="baseline"/>
        </w:rPr>
        <w:t>deal</w:t>
      </w:r>
      <w:r>
        <w:rPr>
          <w:spacing w:val="-2"/>
          <w:w w:val="115"/>
          <w:vertAlign w:val="baseline"/>
        </w:rPr>
        <w:t> </w:t>
      </w:r>
      <w:r>
        <w:rPr>
          <w:w w:val="115"/>
          <w:vertAlign w:val="baseline"/>
        </w:rPr>
        <w:t>with</w:t>
      </w:r>
      <w:r>
        <w:rPr>
          <w:spacing w:val="-2"/>
          <w:w w:val="115"/>
          <w:vertAlign w:val="baseline"/>
        </w:rPr>
        <w:t> </w:t>
      </w:r>
      <w:r>
        <w:rPr>
          <w:w w:val="115"/>
          <w:vertAlign w:val="baseline"/>
        </w:rPr>
        <w:t>‘matters</w:t>
      </w:r>
      <w:r>
        <w:rPr>
          <w:spacing w:val="-2"/>
          <w:w w:val="115"/>
          <w:vertAlign w:val="baseline"/>
        </w:rPr>
        <w:t> </w:t>
      </w:r>
      <w:r>
        <w:rPr>
          <w:w w:val="115"/>
          <w:vertAlign w:val="baseline"/>
        </w:rPr>
        <w:t>arising out of, or related to, the Protocol</w:t>
      </w:r>
    </w:p>
    <w:p>
      <w:pPr>
        <w:pStyle w:val="BodyText"/>
        <w:spacing w:line="310" w:lineRule="exact"/>
        <w:ind w:right="48"/>
      </w:pPr>
      <w:r>
        <w:rPr>
          <w:rFonts w:ascii="Lucida Sans Unicode" w:hAnsi="Lucida Sans Unicode"/>
        </w:rPr>
        <w:t>[viz. Windsor Framework]’.</w:t>
      </w:r>
      <w:r>
        <w:rPr>
          <w:rFonts w:ascii="Lucida Sans Unicode" w:hAnsi="Lucida Sans Unicode"/>
          <w:vertAlign w:val="superscript"/>
        </w:rPr>
        <w:t>344</w:t>
      </w:r>
      <w:r>
        <w:rPr>
          <w:rFonts w:ascii="Lucida Sans Unicode" w:hAnsi="Lucida Sans Unicode"/>
          <w:vertAlign w:val="baseline"/>
        </w:rPr>
        <w:t> </w:t>
      </w:r>
      <w:r>
        <w:rPr>
          <w:vertAlign w:val="baseline"/>
        </w:rPr>
        <w:t>These </w:t>
      </w:r>
      <w:r>
        <w:rPr>
          <w:w w:val="110"/>
          <w:vertAlign w:val="baseline"/>
        </w:rPr>
        <w:t>powers extend to making </w:t>
      </w:r>
      <w:r>
        <w:rPr>
          <w:w w:val="110"/>
          <w:vertAlign w:val="baseline"/>
        </w:rPr>
        <w:t>regulations which ‘could be made by an Act</w:t>
      </w:r>
    </w:p>
    <w:p>
      <w:pPr>
        <w:pStyle w:val="BodyText"/>
        <w:spacing w:line="201" w:lineRule="auto" w:before="27"/>
        <w:ind w:right="48"/>
        <w:rPr>
          <w:rFonts w:ascii="Lucida Sans Unicode" w:hAnsi="Lucida Sans Unicode"/>
        </w:rPr>
      </w:pPr>
      <w:r>
        <w:rPr>
          <w:rFonts w:ascii="Lucida Sans Unicode" w:hAnsi="Lucida Sans Unicode"/>
          <w:w w:val="105"/>
        </w:rPr>
        <w:t>of</w:t>
      </w:r>
      <w:r>
        <w:rPr>
          <w:rFonts w:ascii="Lucida Sans Unicode" w:hAnsi="Lucida Sans Unicode"/>
          <w:spacing w:val="-14"/>
          <w:w w:val="105"/>
        </w:rPr>
        <w:t> </w:t>
      </w:r>
      <w:r>
        <w:rPr>
          <w:rFonts w:ascii="Lucida Sans Unicode" w:hAnsi="Lucida Sans Unicode"/>
          <w:w w:val="105"/>
        </w:rPr>
        <w:t>[the</w:t>
      </w:r>
      <w:r>
        <w:rPr>
          <w:rFonts w:ascii="Lucida Sans Unicode" w:hAnsi="Lucida Sans Unicode"/>
          <w:spacing w:val="-14"/>
          <w:w w:val="105"/>
        </w:rPr>
        <w:t> </w:t>
      </w:r>
      <w:r>
        <w:rPr>
          <w:rFonts w:ascii="Lucida Sans Unicode" w:hAnsi="Lucida Sans Unicode"/>
          <w:w w:val="105"/>
        </w:rPr>
        <w:t>UK]</w:t>
      </w:r>
      <w:r>
        <w:rPr>
          <w:rFonts w:ascii="Lucida Sans Unicode" w:hAnsi="Lucida Sans Unicode"/>
          <w:spacing w:val="-14"/>
          <w:w w:val="105"/>
        </w:rPr>
        <w:t> </w:t>
      </w:r>
      <w:r>
        <w:rPr>
          <w:rFonts w:ascii="Lucida Sans Unicode" w:hAnsi="Lucida Sans Unicode"/>
          <w:w w:val="105"/>
        </w:rPr>
        <w:t>Parliament</w:t>
      </w:r>
      <w:r>
        <w:rPr>
          <w:rFonts w:ascii="Lucida Sans Unicode" w:hAnsi="Lucida Sans Unicode"/>
          <w:spacing w:val="-14"/>
          <w:w w:val="105"/>
        </w:rPr>
        <w:t> </w:t>
      </w:r>
      <w:r>
        <w:rPr>
          <w:rFonts w:ascii="Lucida Sans Unicode" w:hAnsi="Lucida Sans Unicode"/>
          <w:w w:val="105"/>
        </w:rPr>
        <w:t>(including modifying [the EUWA])’.</w:t>
      </w:r>
      <w:r>
        <w:rPr>
          <w:rFonts w:ascii="Lucida Sans Unicode" w:hAnsi="Lucida Sans Unicode"/>
          <w:w w:val="105"/>
          <w:vertAlign w:val="superscript"/>
        </w:rPr>
        <w:t>345</w:t>
      </w:r>
    </w:p>
    <w:p>
      <w:pPr>
        <w:pStyle w:val="BodyText"/>
        <w:spacing w:line="310" w:lineRule="exact" w:before="49"/>
        <w:ind w:right="318"/>
      </w:pPr>
      <w:r>
        <w:rPr/>
        <w:br w:type="column"/>
      </w:r>
      <w:r>
        <w:rPr>
          <w:w w:val="110"/>
        </w:rPr>
        <w:t>However, the exercise of this power to make laws has proven politically controversial, with litigation commenced or threatened in </w:t>
      </w:r>
      <w:r>
        <w:rPr>
          <w:w w:val="110"/>
        </w:rPr>
        <w:t>respect of such exercise.</w:t>
      </w:r>
      <w:r>
        <w:rPr>
          <w:rFonts w:ascii="Lucida Sans Unicode"/>
          <w:w w:val="110"/>
          <w:vertAlign w:val="superscript"/>
        </w:rPr>
        <w:t>346</w:t>
      </w:r>
      <w:r>
        <w:rPr>
          <w:rFonts w:ascii="Lucida Sans Unicode"/>
          <w:w w:val="110"/>
          <w:vertAlign w:val="baseline"/>
        </w:rPr>
        <w:t> </w:t>
      </w:r>
      <w:r>
        <w:rPr>
          <w:w w:val="110"/>
          <w:vertAlign w:val="baseline"/>
        </w:rPr>
        <w:t>Moreover, the liberal use of this power in the</w:t>
      </w:r>
    </w:p>
    <w:p>
      <w:pPr>
        <w:pStyle w:val="BodyText"/>
        <w:spacing w:line="268" w:lineRule="auto" w:before="23"/>
      </w:pPr>
      <w:r>
        <w:rPr>
          <w:w w:val="110"/>
        </w:rPr>
        <w:t>absence of a functional Assembly </w:t>
      </w:r>
      <w:r>
        <w:rPr>
          <w:w w:val="110"/>
        </w:rPr>
        <w:t>may </w:t>
      </w:r>
      <w:r>
        <w:rPr>
          <w:w w:val="115"/>
        </w:rPr>
        <w:t>give</w:t>
      </w:r>
      <w:r>
        <w:rPr>
          <w:spacing w:val="-20"/>
          <w:w w:val="115"/>
        </w:rPr>
        <w:t> </w:t>
      </w:r>
      <w:r>
        <w:rPr>
          <w:w w:val="115"/>
        </w:rPr>
        <w:t>rise</w:t>
      </w:r>
      <w:r>
        <w:rPr>
          <w:spacing w:val="-19"/>
          <w:w w:val="115"/>
        </w:rPr>
        <w:t> </w:t>
      </w:r>
      <w:r>
        <w:rPr>
          <w:w w:val="115"/>
        </w:rPr>
        <w:t>to</w:t>
      </w:r>
      <w:r>
        <w:rPr>
          <w:spacing w:val="-19"/>
          <w:w w:val="115"/>
        </w:rPr>
        <w:t> </w:t>
      </w:r>
      <w:r>
        <w:rPr>
          <w:w w:val="115"/>
        </w:rPr>
        <w:t>concerns</w:t>
      </w:r>
      <w:r>
        <w:rPr>
          <w:spacing w:val="-19"/>
          <w:w w:val="115"/>
        </w:rPr>
        <w:t> </w:t>
      </w:r>
      <w:r>
        <w:rPr>
          <w:w w:val="115"/>
        </w:rPr>
        <w:t>about</w:t>
      </w:r>
      <w:r>
        <w:rPr>
          <w:spacing w:val="-19"/>
          <w:w w:val="115"/>
        </w:rPr>
        <w:t> </w:t>
      </w:r>
      <w:r>
        <w:rPr>
          <w:w w:val="115"/>
        </w:rPr>
        <w:t>a</w:t>
      </w:r>
      <w:r>
        <w:rPr>
          <w:spacing w:val="-20"/>
          <w:w w:val="115"/>
        </w:rPr>
        <w:t> </w:t>
      </w:r>
      <w:r>
        <w:rPr>
          <w:w w:val="115"/>
        </w:rPr>
        <w:t>creeping form of direct rule undermining the devolution arrangement in Northern </w:t>
      </w:r>
      <w:r>
        <w:rPr>
          <w:spacing w:val="-2"/>
          <w:w w:val="115"/>
        </w:rPr>
        <w:t>Ireland.</w:t>
      </w:r>
    </w:p>
    <w:p>
      <w:pPr>
        <w:spacing w:after="0" w:line="268" w:lineRule="auto"/>
        <w:sectPr>
          <w:type w:val="continuous"/>
          <w:pgSz w:w="11910" w:h="16840"/>
          <w:pgMar w:header="568" w:footer="580" w:top="0" w:bottom="280" w:left="1020" w:right="1020"/>
          <w:cols w:num="2" w:equalWidth="0">
            <w:col w:w="4746" w:space="299"/>
            <w:col w:w="4825"/>
          </w:cols>
        </w:sectPr>
      </w:pPr>
    </w:p>
    <w:p>
      <w:pPr>
        <w:pStyle w:val="BodyText"/>
        <w:ind w:left="0"/>
        <w:rPr>
          <w:sz w:val="20"/>
        </w:rPr>
      </w:pPr>
    </w:p>
    <w:p>
      <w:pPr>
        <w:pStyle w:val="BodyText"/>
        <w:ind w:left="0"/>
        <w:rPr>
          <w:sz w:val="20"/>
        </w:rPr>
      </w:pPr>
    </w:p>
    <w:p>
      <w:pPr>
        <w:pStyle w:val="BodyText"/>
        <w:ind w:left="0"/>
        <w:rPr>
          <w:sz w:val="20"/>
        </w:rPr>
      </w:pPr>
    </w:p>
    <w:p>
      <w:pPr>
        <w:pStyle w:val="BodyText"/>
        <w:spacing w:before="223"/>
        <w:ind w:left="0"/>
        <w:rPr>
          <w:sz w:val="20"/>
        </w:rPr>
      </w:pPr>
    </w:p>
    <w:p>
      <w:pPr>
        <w:pStyle w:val="BodyText"/>
        <w:spacing w:line="20" w:lineRule="exact"/>
        <w:rPr>
          <w:sz w:val="2"/>
        </w:rPr>
      </w:pPr>
      <w:r>
        <w:rPr>
          <w:sz w:val="2"/>
        </w:rPr>
        <mc:AlternateContent>
          <mc:Choice Requires="wps">
            <w:drawing>
              <wp:inline distT="0" distB="0" distL="0" distR="0">
                <wp:extent cx="6120130" cy="6350"/>
                <wp:effectExtent l="9525" t="0" r="0" b="3175"/>
                <wp:docPr id="209" name="Group 209"/>
                <wp:cNvGraphicFramePr>
                  <a:graphicFrameLocks/>
                </wp:cNvGraphicFramePr>
                <a:graphic>
                  <a:graphicData uri="http://schemas.microsoft.com/office/word/2010/wordprocessingGroup">
                    <wpg:wgp>
                      <wpg:cNvPr id="209" name="Group 209"/>
                      <wpg:cNvGrpSpPr/>
                      <wpg:grpSpPr>
                        <a:xfrm>
                          <a:off x="0" y="0"/>
                          <a:ext cx="6120130" cy="6350"/>
                          <a:chExt cx="6120130" cy="6350"/>
                        </a:xfrm>
                      </wpg:grpSpPr>
                      <wps:wsp>
                        <wps:cNvPr id="210" name="Graphic 210"/>
                        <wps:cNvSpPr/>
                        <wps:spPr>
                          <a:xfrm>
                            <a:off x="0" y="3175"/>
                            <a:ext cx="6120130" cy="1270"/>
                          </a:xfrm>
                          <a:custGeom>
                            <a:avLst/>
                            <a:gdLst/>
                            <a:ahLst/>
                            <a:cxnLst/>
                            <a:rect l="l" t="t" r="r" b="b"/>
                            <a:pathLst>
                              <a:path w="6120130" h="0">
                                <a:moveTo>
                                  <a:pt x="0" y="0"/>
                                </a:moveTo>
                                <a:lnTo>
                                  <a:pt x="6120003" y="0"/>
                                </a:lnTo>
                              </a:path>
                            </a:pathLst>
                          </a:custGeom>
                          <a:ln w="635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123" coordorigin="0,0" coordsize="9638,10">
                <v:line style="position:absolute" from="0,5" to="9638,5" stroked="true" strokeweight=".5pt" strokecolor="#77328a">
                  <v:stroke dashstyle="solid"/>
                </v:line>
              </v:group>
            </w:pict>
          </mc:Fallback>
        </mc:AlternateContent>
      </w:r>
      <w:r>
        <w:rPr>
          <w:sz w:val="2"/>
        </w:rPr>
      </w:r>
    </w:p>
    <w:p>
      <w:pPr>
        <w:pStyle w:val="ListParagraph"/>
        <w:numPr>
          <w:ilvl w:val="0"/>
          <w:numId w:val="14"/>
        </w:numPr>
        <w:tabs>
          <w:tab w:pos="566" w:val="left" w:leader="none"/>
        </w:tabs>
        <w:spacing w:line="223" w:lineRule="exact" w:before="61" w:after="0"/>
        <w:ind w:left="566" w:right="0" w:hanging="453"/>
        <w:jc w:val="left"/>
        <w:rPr>
          <w:sz w:val="16"/>
        </w:rPr>
      </w:pPr>
      <w:r>
        <w:rPr>
          <w:w w:val="110"/>
          <w:sz w:val="16"/>
        </w:rPr>
        <w:t>EUWA</w:t>
      </w:r>
      <w:r>
        <w:rPr>
          <w:spacing w:val="-1"/>
          <w:w w:val="110"/>
          <w:sz w:val="16"/>
        </w:rPr>
        <w:t> </w:t>
      </w:r>
      <w:r>
        <w:rPr>
          <w:w w:val="110"/>
          <w:sz w:val="16"/>
        </w:rPr>
        <w:t>s </w:t>
      </w:r>
      <w:r>
        <w:rPr>
          <w:spacing w:val="-2"/>
          <w:w w:val="110"/>
          <w:sz w:val="16"/>
        </w:rPr>
        <w:t>8C(1)(a).</w:t>
      </w:r>
    </w:p>
    <w:p>
      <w:pPr>
        <w:pStyle w:val="ListParagraph"/>
        <w:numPr>
          <w:ilvl w:val="0"/>
          <w:numId w:val="14"/>
        </w:numPr>
        <w:tabs>
          <w:tab w:pos="565" w:val="left" w:leader="none"/>
        </w:tabs>
        <w:spacing w:line="200" w:lineRule="exact" w:before="0" w:after="0"/>
        <w:ind w:left="565" w:right="0" w:hanging="452"/>
        <w:jc w:val="left"/>
        <w:rPr>
          <w:sz w:val="16"/>
        </w:rPr>
      </w:pPr>
      <w:r>
        <w:rPr>
          <w:w w:val="110"/>
          <w:sz w:val="16"/>
        </w:rPr>
        <w:t>EUWA</w:t>
      </w:r>
      <w:r>
        <w:rPr>
          <w:spacing w:val="-1"/>
          <w:w w:val="110"/>
          <w:sz w:val="16"/>
        </w:rPr>
        <w:t> </w:t>
      </w:r>
      <w:r>
        <w:rPr>
          <w:w w:val="110"/>
          <w:sz w:val="16"/>
        </w:rPr>
        <w:t>s </w:t>
      </w:r>
      <w:r>
        <w:rPr>
          <w:spacing w:val="-2"/>
          <w:w w:val="110"/>
          <w:sz w:val="16"/>
        </w:rPr>
        <w:t>8C(1)(c).</w:t>
      </w:r>
    </w:p>
    <w:p>
      <w:pPr>
        <w:pStyle w:val="ListParagraph"/>
        <w:numPr>
          <w:ilvl w:val="0"/>
          <w:numId w:val="14"/>
        </w:numPr>
        <w:tabs>
          <w:tab w:pos="566" w:val="left" w:leader="none"/>
        </w:tabs>
        <w:spacing w:line="200" w:lineRule="exact" w:before="0" w:after="0"/>
        <w:ind w:left="566" w:right="0" w:hanging="453"/>
        <w:jc w:val="left"/>
        <w:rPr>
          <w:sz w:val="16"/>
        </w:rPr>
      </w:pPr>
      <w:r>
        <w:rPr>
          <w:w w:val="110"/>
          <w:sz w:val="16"/>
        </w:rPr>
        <w:t>EUWA</w:t>
      </w:r>
      <w:r>
        <w:rPr>
          <w:spacing w:val="-8"/>
          <w:w w:val="110"/>
          <w:sz w:val="16"/>
        </w:rPr>
        <w:t> </w:t>
      </w:r>
      <w:r>
        <w:rPr>
          <w:w w:val="110"/>
          <w:sz w:val="16"/>
        </w:rPr>
        <w:t>s</w:t>
      </w:r>
      <w:r>
        <w:rPr>
          <w:spacing w:val="-8"/>
          <w:w w:val="110"/>
          <w:sz w:val="16"/>
        </w:rPr>
        <w:t> </w:t>
      </w:r>
      <w:r>
        <w:rPr>
          <w:w w:val="110"/>
          <w:sz w:val="16"/>
        </w:rPr>
        <w:t>8C</w:t>
      </w:r>
      <w:r>
        <w:rPr>
          <w:spacing w:val="-8"/>
          <w:w w:val="110"/>
          <w:sz w:val="16"/>
        </w:rPr>
        <w:t> </w:t>
      </w:r>
      <w:r>
        <w:rPr>
          <w:spacing w:val="-4"/>
          <w:w w:val="110"/>
          <w:sz w:val="16"/>
        </w:rPr>
        <w:t>(2).</w:t>
      </w:r>
    </w:p>
    <w:p>
      <w:pPr>
        <w:pStyle w:val="ListParagraph"/>
        <w:numPr>
          <w:ilvl w:val="0"/>
          <w:numId w:val="14"/>
        </w:numPr>
        <w:tabs>
          <w:tab w:pos="565" w:val="left" w:leader="none"/>
          <w:tab w:pos="567" w:val="left" w:leader="none"/>
        </w:tabs>
        <w:spacing w:line="204" w:lineRule="auto" w:before="3" w:after="0"/>
        <w:ind w:left="567" w:right="276" w:hanging="454"/>
        <w:jc w:val="left"/>
        <w:rPr>
          <w:rFonts w:ascii="Arial" w:hAnsi="Arial"/>
          <w:sz w:val="16"/>
        </w:rPr>
      </w:pPr>
      <w:r>
        <w:rPr>
          <w:rFonts w:ascii="Verdana" w:hAnsi="Verdana"/>
          <w:i/>
          <w:w w:val="110"/>
          <w:sz w:val="16"/>
        </w:rPr>
        <w:t>Allister and Peeples </w:t>
      </w:r>
      <w:r>
        <w:rPr>
          <w:rFonts w:ascii="Arial" w:hAnsi="Arial"/>
          <w:w w:val="110"/>
          <w:sz w:val="16"/>
        </w:rPr>
        <w:t>concerned the Windsor Framework on Ireland/Northern Ireland (Democratic Consent</w:t>
      </w:r>
      <w:r>
        <w:rPr>
          <w:rFonts w:ascii="Arial" w:hAnsi="Arial"/>
          <w:spacing w:val="40"/>
          <w:w w:val="110"/>
          <w:sz w:val="16"/>
        </w:rPr>
        <w:t> </w:t>
      </w:r>
      <w:r>
        <w:rPr>
          <w:sz w:val="16"/>
        </w:rPr>
        <w:t>Process) (EU Exit) Regulations 2020 which made provision for the voting process under Article 18 of the Windsor</w:t>
      </w:r>
      <w:r>
        <w:rPr>
          <w:spacing w:val="40"/>
          <w:sz w:val="16"/>
        </w:rPr>
        <w:t> </w:t>
      </w:r>
      <w:r>
        <w:rPr>
          <w:sz w:val="16"/>
        </w:rPr>
        <w:t>Framework, see [103]-[106] of the judgment; and the Official Controls (Northern Ireland) Regulations 2023, which by regulation 3(1) empowers the Secretary of State for Northern Ireland to authorise the ‘construction of facilities for the purpose of performing official controls’ relating to goods, as required under the Windsor Framework – in </w:t>
      </w:r>
      <w:r>
        <w:rPr>
          <w:rFonts w:ascii="Arial" w:hAnsi="Arial"/>
          <w:w w:val="110"/>
          <w:sz w:val="16"/>
        </w:rPr>
        <w:t>respect of which pre-action correspondence has been </w:t>
      </w:r>
      <w:hyperlink r:id="rId47">
        <w:r>
          <w:rPr>
            <w:rFonts w:ascii="Arial" w:hAnsi="Arial"/>
            <w:w w:val="110"/>
            <w:sz w:val="16"/>
          </w:rPr>
          <w:t>served on the UK Government</w:t>
        </w:r>
      </w:hyperlink>
      <w:r>
        <w:rPr>
          <w:rFonts w:ascii="Arial" w:hAnsi="Arial"/>
          <w:w w:val="110"/>
          <w:sz w:val="16"/>
        </w:rPr>
        <w:t>, see </w:t>
      </w:r>
      <w:hyperlink r:id="rId47">
        <w:r>
          <w:rPr>
            <w:rFonts w:ascii="Arial" w:hAnsi="Arial"/>
            <w:color w:val="77328A"/>
            <w:w w:val="110"/>
            <w:sz w:val="16"/>
            <w:u w:val="single" w:color="77328A"/>
          </w:rPr>
          <w:t>https://www.itv.com/</w:t>
        </w:r>
      </w:hyperlink>
      <w:r>
        <w:rPr>
          <w:rFonts w:ascii="Arial" w:hAnsi="Arial"/>
          <w:color w:val="77328A"/>
          <w:w w:val="110"/>
          <w:sz w:val="16"/>
          <w:u w:val="none"/>
        </w:rPr>
        <w:t> </w:t>
      </w:r>
      <w:hyperlink r:id="rId47">
        <w:r>
          <w:rPr>
            <w:color w:val="77328A"/>
            <w:spacing w:val="-2"/>
            <w:sz w:val="16"/>
            <w:u w:val="single" w:color="77328A"/>
          </w:rPr>
          <w:t>news/utv/2023-01-31/legal-challenge-to-governments-border-control-posts-legislation</w:t>
        </w:r>
      </w:hyperlink>
      <w:r>
        <w:rPr>
          <w:rFonts w:ascii="Arial" w:hAnsi="Arial"/>
          <w:spacing w:val="-2"/>
          <w:sz w:val="16"/>
          <w:u w:val="none"/>
        </w:rPr>
        <w:t>.</w:t>
      </w:r>
    </w:p>
    <w:p>
      <w:pPr>
        <w:spacing w:after="0" w:line="204" w:lineRule="auto"/>
        <w:jc w:val="left"/>
        <w:rPr>
          <w:rFonts w:ascii="Arial" w:hAnsi="Arial"/>
          <w:sz w:val="16"/>
        </w:rPr>
        <w:sectPr>
          <w:type w:val="continuous"/>
          <w:pgSz w:w="11910" w:h="16840"/>
          <w:pgMar w:header="568" w:footer="580" w:top="0" w:bottom="280" w:left="1020" w:right="1020"/>
        </w:sectPr>
      </w:pPr>
    </w:p>
    <w:p>
      <w:pPr>
        <w:pStyle w:val="BodyText"/>
        <w:spacing w:before="44"/>
        <w:ind w:left="0"/>
        <w:rPr>
          <w:sz w:val="60"/>
        </w:rPr>
      </w:pPr>
    </w:p>
    <w:p>
      <w:pPr>
        <w:pStyle w:val="Heading1"/>
      </w:pPr>
      <w:bookmarkStart w:name="Conclusion" w:id="91"/>
      <w:bookmarkEnd w:id="91"/>
      <w:r>
        <w:rPr/>
      </w:r>
      <w:bookmarkStart w:name="_bookmark38" w:id="92"/>
      <w:bookmarkEnd w:id="92"/>
      <w:r>
        <w:rPr/>
      </w:r>
      <w:r>
        <w:rPr>
          <w:color w:val="77328A"/>
          <w:spacing w:val="-2"/>
          <w:w w:val="115"/>
        </w:rPr>
        <w:t>Conclusion</w:t>
      </w:r>
    </w:p>
    <w:p>
      <w:pPr>
        <w:spacing w:line="256" w:lineRule="auto" w:before="287"/>
        <w:ind w:left="113" w:right="227" w:firstLine="0"/>
        <w:jc w:val="left"/>
        <w:rPr>
          <w:rFonts w:ascii="Tahoma"/>
          <w:b/>
          <w:sz w:val="28"/>
        </w:rPr>
      </w:pPr>
      <w:r>
        <w:rPr>
          <w:rFonts w:ascii="Tahoma"/>
          <w:b/>
          <w:color w:val="77328A"/>
          <w:sz w:val="28"/>
        </w:rPr>
        <w:t>This report has analysed the ways in and extent to which the Charter</w:t>
      </w:r>
      <w:r>
        <w:rPr>
          <w:rFonts w:ascii="Tahoma"/>
          <w:b/>
          <w:color w:val="77328A"/>
          <w:spacing w:val="-9"/>
          <w:sz w:val="28"/>
        </w:rPr>
        <w:t> </w:t>
      </w:r>
      <w:r>
        <w:rPr>
          <w:rFonts w:ascii="Tahoma"/>
          <w:b/>
          <w:color w:val="77328A"/>
          <w:sz w:val="28"/>
        </w:rPr>
        <w:t>continues</w:t>
      </w:r>
      <w:r>
        <w:rPr>
          <w:rFonts w:ascii="Tahoma"/>
          <w:b/>
          <w:color w:val="77328A"/>
          <w:spacing w:val="-9"/>
          <w:sz w:val="28"/>
        </w:rPr>
        <w:t> </w:t>
      </w:r>
      <w:r>
        <w:rPr>
          <w:rFonts w:ascii="Tahoma"/>
          <w:b/>
          <w:color w:val="77328A"/>
          <w:sz w:val="28"/>
        </w:rPr>
        <w:t>to</w:t>
      </w:r>
      <w:r>
        <w:rPr>
          <w:rFonts w:ascii="Tahoma"/>
          <w:b/>
          <w:color w:val="77328A"/>
          <w:spacing w:val="-9"/>
          <w:sz w:val="28"/>
        </w:rPr>
        <w:t> </w:t>
      </w:r>
      <w:r>
        <w:rPr>
          <w:rFonts w:ascii="Tahoma"/>
          <w:b/>
          <w:color w:val="77328A"/>
          <w:sz w:val="28"/>
        </w:rPr>
        <w:t>operate</w:t>
      </w:r>
      <w:r>
        <w:rPr>
          <w:rFonts w:ascii="Tahoma"/>
          <w:b/>
          <w:color w:val="77328A"/>
          <w:spacing w:val="-9"/>
          <w:sz w:val="28"/>
        </w:rPr>
        <w:t> </w:t>
      </w:r>
      <w:r>
        <w:rPr>
          <w:rFonts w:ascii="Tahoma"/>
          <w:b/>
          <w:color w:val="77328A"/>
          <w:sz w:val="28"/>
        </w:rPr>
        <w:t>in</w:t>
      </w:r>
      <w:r>
        <w:rPr>
          <w:rFonts w:ascii="Tahoma"/>
          <w:b/>
          <w:color w:val="77328A"/>
          <w:spacing w:val="-9"/>
          <w:sz w:val="28"/>
        </w:rPr>
        <w:t> </w:t>
      </w:r>
      <w:r>
        <w:rPr>
          <w:rFonts w:ascii="Tahoma"/>
          <w:b/>
          <w:color w:val="77328A"/>
          <w:sz w:val="28"/>
        </w:rPr>
        <w:t>Northern</w:t>
      </w:r>
      <w:r>
        <w:rPr>
          <w:rFonts w:ascii="Tahoma"/>
          <w:b/>
          <w:color w:val="77328A"/>
          <w:spacing w:val="-9"/>
          <w:sz w:val="28"/>
        </w:rPr>
        <w:t> </w:t>
      </w:r>
      <w:r>
        <w:rPr>
          <w:rFonts w:ascii="Tahoma"/>
          <w:b/>
          <w:color w:val="77328A"/>
          <w:sz w:val="28"/>
        </w:rPr>
        <w:t>Ireland</w:t>
      </w:r>
      <w:r>
        <w:rPr>
          <w:rFonts w:ascii="Tahoma"/>
          <w:b/>
          <w:color w:val="77328A"/>
          <w:spacing w:val="-9"/>
          <w:sz w:val="28"/>
        </w:rPr>
        <w:t> </w:t>
      </w:r>
      <w:r>
        <w:rPr>
          <w:rFonts w:ascii="Tahoma"/>
          <w:b/>
          <w:color w:val="77328A"/>
          <w:sz w:val="28"/>
        </w:rPr>
        <w:t>after</w:t>
      </w:r>
      <w:r>
        <w:rPr>
          <w:rFonts w:ascii="Tahoma"/>
          <w:b/>
          <w:color w:val="77328A"/>
          <w:spacing w:val="-9"/>
          <w:sz w:val="28"/>
        </w:rPr>
        <w:t> </w:t>
      </w:r>
      <w:r>
        <w:rPr>
          <w:rFonts w:ascii="Tahoma"/>
          <w:b/>
          <w:color w:val="77328A"/>
          <w:sz w:val="28"/>
        </w:rPr>
        <w:t>Brexit.</w:t>
      </w:r>
      <w:r>
        <w:rPr>
          <w:rFonts w:ascii="Tahoma"/>
          <w:b/>
          <w:color w:val="77328A"/>
          <w:spacing w:val="-9"/>
          <w:sz w:val="28"/>
        </w:rPr>
        <w:t> </w:t>
      </w:r>
      <w:r>
        <w:rPr>
          <w:rFonts w:ascii="Tahoma"/>
          <w:b/>
          <w:color w:val="77328A"/>
          <w:sz w:val="28"/>
        </w:rPr>
        <w:t>It</w:t>
      </w:r>
      <w:r>
        <w:rPr>
          <w:rFonts w:ascii="Tahoma"/>
          <w:b/>
          <w:color w:val="77328A"/>
          <w:spacing w:val="-9"/>
          <w:sz w:val="28"/>
        </w:rPr>
        <w:t> </w:t>
      </w:r>
      <w:r>
        <w:rPr>
          <w:rFonts w:ascii="Tahoma"/>
          <w:b/>
          <w:color w:val="77328A"/>
          <w:sz w:val="28"/>
        </w:rPr>
        <w:t>has shown that, primarily through Article 2 of the Windsor Framework and Article 4 of the Withdrawal Agreement, the Charter retains considerable force in Northern Ireland, even though it has been removed from the statute books in the rest of the UK.</w:t>
      </w:r>
    </w:p>
    <w:p>
      <w:pPr>
        <w:pStyle w:val="BodyText"/>
        <w:spacing w:before="19"/>
        <w:ind w:left="0"/>
        <w:rPr>
          <w:rFonts w:ascii="Tahoma"/>
          <w:b/>
          <w:sz w:val="20"/>
        </w:rPr>
      </w:pPr>
    </w:p>
    <w:p>
      <w:pPr>
        <w:spacing w:after="0"/>
        <w:rPr>
          <w:rFonts w:ascii="Tahoma"/>
          <w:sz w:val="20"/>
        </w:rPr>
        <w:sectPr>
          <w:pgSz w:w="11910" w:h="16840"/>
          <w:pgMar w:header="568" w:footer="580" w:top="840" w:bottom="780" w:left="1020" w:right="1020"/>
        </w:sectPr>
      </w:pPr>
    </w:p>
    <w:p>
      <w:pPr>
        <w:pStyle w:val="BodyText"/>
        <w:spacing w:line="306" w:lineRule="exact" w:before="52"/>
        <w:ind w:right="126"/>
      </w:pPr>
      <w:r>
        <w:rPr>
          <w:w w:val="110"/>
        </w:rPr>
        <w:t>Its retention in Northern Ireland is </w:t>
      </w:r>
      <w:r>
        <w:rPr>
          <w:rFonts w:ascii="Lucida Sans Unicode"/>
        </w:rPr>
        <w:t>legally significant, as the Charter </w:t>
      </w:r>
      <w:r>
        <w:rPr>
          <w:w w:val="110"/>
        </w:rPr>
        <w:t>gives rise to stronger individual remedies and protects a broader range of fundamental rights than any other instrument in UK law, including </w:t>
      </w:r>
      <w:r>
        <w:rPr>
          <w:rFonts w:ascii="Lucida Sans Unicode"/>
        </w:rPr>
        <w:t>the Human Rights Act 1998. In the </w:t>
      </w:r>
      <w:r>
        <w:rPr>
          <w:w w:val="110"/>
        </w:rPr>
        <w:t>preceding chapters, the report has argued that the Charter has not only remained relevant in Northern Ireland after Brexit, but that it is indeed </w:t>
      </w:r>
      <w:r>
        <w:rPr>
          <w:w w:val="110"/>
        </w:rPr>
        <w:t>likely to</w:t>
      </w:r>
      <w:r>
        <w:rPr>
          <w:spacing w:val="40"/>
          <w:w w:val="110"/>
        </w:rPr>
        <w:t> </w:t>
      </w:r>
      <w:r>
        <w:rPr>
          <w:w w:val="110"/>
        </w:rPr>
        <w:t>continue</w:t>
      </w:r>
      <w:r>
        <w:rPr>
          <w:spacing w:val="40"/>
          <w:w w:val="110"/>
        </w:rPr>
        <w:t> </w:t>
      </w:r>
      <w:r>
        <w:rPr>
          <w:w w:val="110"/>
        </w:rPr>
        <w:t>to</w:t>
      </w:r>
      <w:r>
        <w:rPr>
          <w:spacing w:val="40"/>
          <w:w w:val="110"/>
        </w:rPr>
        <w:t> </w:t>
      </w:r>
      <w:r>
        <w:rPr>
          <w:w w:val="110"/>
        </w:rPr>
        <w:t>be</w:t>
      </w:r>
      <w:r>
        <w:rPr>
          <w:spacing w:val="40"/>
          <w:w w:val="110"/>
        </w:rPr>
        <w:t> </w:t>
      </w:r>
      <w:r>
        <w:rPr>
          <w:w w:val="110"/>
        </w:rPr>
        <w:t>applied</w:t>
      </w:r>
      <w:r>
        <w:rPr>
          <w:spacing w:val="40"/>
          <w:w w:val="110"/>
        </w:rPr>
        <w:t> </w:t>
      </w:r>
      <w:r>
        <w:rPr>
          <w:w w:val="110"/>
        </w:rPr>
        <w:t>in</w:t>
      </w:r>
      <w:r>
        <w:rPr>
          <w:spacing w:val="40"/>
          <w:w w:val="110"/>
        </w:rPr>
        <w:t> </w:t>
      </w:r>
      <w:r>
        <w:rPr>
          <w:w w:val="110"/>
        </w:rPr>
        <w:t>much the same way as it applied whilst</w:t>
      </w:r>
    </w:p>
    <w:p>
      <w:pPr>
        <w:pStyle w:val="BodyText"/>
        <w:spacing w:line="266" w:lineRule="auto" w:before="33"/>
      </w:pPr>
      <w:r>
        <w:rPr>
          <w:w w:val="115"/>
        </w:rPr>
        <w:t>the</w:t>
      </w:r>
      <w:r>
        <w:rPr>
          <w:spacing w:val="-11"/>
          <w:w w:val="115"/>
        </w:rPr>
        <w:t> </w:t>
      </w:r>
      <w:r>
        <w:rPr>
          <w:w w:val="115"/>
        </w:rPr>
        <w:t>UK</w:t>
      </w:r>
      <w:r>
        <w:rPr>
          <w:spacing w:val="-11"/>
          <w:w w:val="115"/>
        </w:rPr>
        <w:t> </w:t>
      </w:r>
      <w:r>
        <w:rPr>
          <w:w w:val="115"/>
        </w:rPr>
        <w:t>was</w:t>
      </w:r>
      <w:r>
        <w:rPr>
          <w:spacing w:val="-11"/>
          <w:w w:val="115"/>
        </w:rPr>
        <w:t> </w:t>
      </w:r>
      <w:r>
        <w:rPr>
          <w:w w:val="115"/>
        </w:rPr>
        <w:t>in</w:t>
      </w:r>
      <w:r>
        <w:rPr>
          <w:spacing w:val="-11"/>
          <w:w w:val="115"/>
        </w:rPr>
        <w:t> </w:t>
      </w:r>
      <w:r>
        <w:rPr>
          <w:w w:val="115"/>
        </w:rPr>
        <w:t>the</w:t>
      </w:r>
      <w:r>
        <w:rPr>
          <w:spacing w:val="-11"/>
          <w:w w:val="115"/>
        </w:rPr>
        <w:t> </w:t>
      </w:r>
      <w:r>
        <w:rPr>
          <w:w w:val="115"/>
        </w:rPr>
        <w:t>EU.</w:t>
      </w:r>
      <w:r>
        <w:rPr>
          <w:spacing w:val="-11"/>
          <w:w w:val="115"/>
        </w:rPr>
        <w:t> </w:t>
      </w:r>
      <w:r>
        <w:rPr>
          <w:w w:val="115"/>
        </w:rPr>
        <w:t>Thus,</w:t>
      </w:r>
      <w:r>
        <w:rPr>
          <w:spacing w:val="-11"/>
          <w:w w:val="115"/>
        </w:rPr>
        <w:t> </w:t>
      </w:r>
      <w:r>
        <w:rPr>
          <w:w w:val="115"/>
        </w:rPr>
        <w:t>despite their</w:t>
      </w:r>
      <w:r>
        <w:rPr>
          <w:spacing w:val="-19"/>
          <w:w w:val="115"/>
        </w:rPr>
        <w:t> </w:t>
      </w:r>
      <w:r>
        <w:rPr>
          <w:w w:val="115"/>
        </w:rPr>
        <w:t>exclusion</w:t>
      </w:r>
      <w:r>
        <w:rPr>
          <w:spacing w:val="-19"/>
          <w:w w:val="115"/>
        </w:rPr>
        <w:t> </w:t>
      </w:r>
      <w:r>
        <w:rPr>
          <w:w w:val="115"/>
        </w:rPr>
        <w:t>under</w:t>
      </w:r>
      <w:r>
        <w:rPr>
          <w:spacing w:val="-19"/>
          <w:w w:val="115"/>
        </w:rPr>
        <w:t> </w:t>
      </w:r>
      <w:r>
        <w:rPr>
          <w:w w:val="115"/>
        </w:rPr>
        <w:t>the</w:t>
      </w:r>
      <w:r>
        <w:rPr>
          <w:spacing w:val="-19"/>
          <w:w w:val="115"/>
        </w:rPr>
        <w:t> </w:t>
      </w:r>
      <w:r>
        <w:rPr>
          <w:w w:val="115"/>
        </w:rPr>
        <w:t>terms</w:t>
      </w:r>
      <w:r>
        <w:rPr>
          <w:spacing w:val="-19"/>
          <w:w w:val="115"/>
        </w:rPr>
        <w:t> </w:t>
      </w:r>
      <w:r>
        <w:rPr>
          <w:w w:val="115"/>
        </w:rPr>
        <w:t>of</w:t>
      </w:r>
      <w:r>
        <w:rPr>
          <w:spacing w:val="-19"/>
          <w:w w:val="115"/>
        </w:rPr>
        <w:t> </w:t>
      </w:r>
      <w:r>
        <w:rPr>
          <w:w w:val="115"/>
        </w:rPr>
        <w:t>the </w:t>
      </w:r>
      <w:r>
        <w:rPr>
          <w:spacing w:val="-4"/>
          <w:w w:val="115"/>
        </w:rPr>
        <w:t>EUWA</w:t>
      </w:r>
      <w:r>
        <w:rPr>
          <w:spacing w:val="-14"/>
          <w:w w:val="115"/>
        </w:rPr>
        <w:t> </w:t>
      </w:r>
      <w:r>
        <w:rPr>
          <w:spacing w:val="-4"/>
          <w:w w:val="115"/>
        </w:rPr>
        <w:t>and,</w:t>
      </w:r>
      <w:r>
        <w:rPr>
          <w:spacing w:val="-14"/>
          <w:w w:val="115"/>
        </w:rPr>
        <w:t> </w:t>
      </w:r>
      <w:r>
        <w:rPr>
          <w:spacing w:val="-4"/>
          <w:w w:val="115"/>
        </w:rPr>
        <w:t>more</w:t>
      </w:r>
      <w:r>
        <w:rPr>
          <w:spacing w:val="-14"/>
          <w:w w:val="115"/>
        </w:rPr>
        <w:t> </w:t>
      </w:r>
      <w:r>
        <w:rPr>
          <w:spacing w:val="-4"/>
          <w:w w:val="115"/>
        </w:rPr>
        <w:t>recently,</w:t>
      </w:r>
      <w:r>
        <w:rPr>
          <w:spacing w:val="-14"/>
          <w:w w:val="115"/>
        </w:rPr>
        <w:t> </w:t>
      </w:r>
      <w:r>
        <w:rPr>
          <w:spacing w:val="-4"/>
          <w:w w:val="115"/>
        </w:rPr>
        <w:t>the</w:t>
      </w:r>
      <w:r>
        <w:rPr>
          <w:spacing w:val="-14"/>
          <w:w w:val="115"/>
        </w:rPr>
        <w:t> </w:t>
      </w:r>
      <w:r>
        <w:rPr>
          <w:spacing w:val="-4"/>
          <w:w w:val="115"/>
        </w:rPr>
        <w:t>REUL, </w:t>
      </w:r>
      <w:r>
        <w:rPr>
          <w:w w:val="115"/>
        </w:rPr>
        <w:t>the Charter and general principles</w:t>
      </w:r>
    </w:p>
    <w:p>
      <w:pPr>
        <w:pStyle w:val="BodyText"/>
        <w:spacing w:line="266" w:lineRule="auto" w:before="3"/>
        <w:ind w:right="126"/>
      </w:pPr>
      <w:r>
        <w:rPr>
          <w:w w:val="115"/>
        </w:rPr>
        <w:t>of EU law have remained operative </w:t>
      </w:r>
      <w:r>
        <w:rPr>
          <w:spacing w:val="-2"/>
          <w:w w:val="115"/>
        </w:rPr>
        <w:t>in</w:t>
      </w:r>
      <w:r>
        <w:rPr>
          <w:spacing w:val="-17"/>
          <w:w w:val="115"/>
        </w:rPr>
        <w:t> </w:t>
      </w:r>
      <w:r>
        <w:rPr>
          <w:spacing w:val="-2"/>
          <w:w w:val="115"/>
        </w:rPr>
        <w:t>Northern</w:t>
      </w:r>
      <w:r>
        <w:rPr>
          <w:spacing w:val="-17"/>
          <w:w w:val="115"/>
        </w:rPr>
        <w:t> </w:t>
      </w:r>
      <w:r>
        <w:rPr>
          <w:spacing w:val="-2"/>
          <w:w w:val="115"/>
        </w:rPr>
        <w:t>Ireland</w:t>
      </w:r>
      <w:r>
        <w:rPr>
          <w:spacing w:val="-17"/>
          <w:w w:val="115"/>
        </w:rPr>
        <w:t> </w:t>
      </w:r>
      <w:r>
        <w:rPr>
          <w:spacing w:val="-2"/>
          <w:w w:val="115"/>
        </w:rPr>
        <w:t>as</w:t>
      </w:r>
      <w:r>
        <w:rPr>
          <w:spacing w:val="-17"/>
          <w:w w:val="115"/>
        </w:rPr>
        <w:t> </w:t>
      </w:r>
      <w:r>
        <w:rPr>
          <w:spacing w:val="-2"/>
          <w:w w:val="115"/>
        </w:rPr>
        <w:t>a</w:t>
      </w:r>
      <w:r>
        <w:rPr>
          <w:spacing w:val="-17"/>
          <w:w w:val="115"/>
        </w:rPr>
        <w:t> </w:t>
      </w:r>
      <w:r>
        <w:rPr>
          <w:spacing w:val="-2"/>
          <w:w w:val="115"/>
        </w:rPr>
        <w:t>result</w:t>
      </w:r>
      <w:r>
        <w:rPr>
          <w:spacing w:val="-17"/>
          <w:w w:val="115"/>
        </w:rPr>
        <w:t> </w:t>
      </w:r>
      <w:r>
        <w:rPr>
          <w:spacing w:val="-2"/>
          <w:w w:val="115"/>
        </w:rPr>
        <w:t>of</w:t>
      </w:r>
      <w:r>
        <w:rPr>
          <w:spacing w:val="-17"/>
          <w:w w:val="115"/>
        </w:rPr>
        <w:t> </w:t>
      </w:r>
      <w:r>
        <w:rPr>
          <w:spacing w:val="-2"/>
          <w:w w:val="115"/>
        </w:rPr>
        <w:t>s7A </w:t>
      </w:r>
      <w:r>
        <w:rPr>
          <w:w w:val="115"/>
        </w:rPr>
        <w:t>EUWA. The potent combination of</w:t>
      </w:r>
    </w:p>
    <w:p>
      <w:pPr>
        <w:pStyle w:val="BodyText"/>
        <w:spacing w:line="321" w:lineRule="exact"/>
        <w:rPr>
          <w:rFonts w:ascii="Lucida Sans Unicode"/>
        </w:rPr>
      </w:pPr>
      <w:r>
        <w:rPr>
          <w:rFonts w:ascii="Lucida Sans Unicode"/>
          <w:w w:val="105"/>
        </w:rPr>
        <w:t>Article</w:t>
      </w:r>
      <w:r>
        <w:rPr>
          <w:rFonts w:ascii="Lucida Sans Unicode"/>
          <w:spacing w:val="1"/>
          <w:w w:val="105"/>
        </w:rPr>
        <w:t> </w:t>
      </w:r>
      <w:r>
        <w:rPr>
          <w:rFonts w:ascii="Lucida Sans Unicode"/>
          <w:w w:val="105"/>
        </w:rPr>
        <w:t>4</w:t>
      </w:r>
      <w:r>
        <w:rPr>
          <w:rFonts w:ascii="Lucida Sans Unicode"/>
          <w:spacing w:val="1"/>
          <w:w w:val="105"/>
        </w:rPr>
        <w:t> </w:t>
      </w:r>
      <w:r>
        <w:rPr>
          <w:rFonts w:ascii="Lucida Sans Unicode"/>
          <w:w w:val="105"/>
        </w:rPr>
        <w:t>WA</w:t>
      </w:r>
      <w:r>
        <w:rPr>
          <w:rFonts w:ascii="Lucida Sans Unicode"/>
          <w:spacing w:val="2"/>
          <w:w w:val="105"/>
        </w:rPr>
        <w:t> </w:t>
      </w:r>
      <w:r>
        <w:rPr>
          <w:rFonts w:ascii="Lucida Sans Unicode"/>
          <w:w w:val="105"/>
        </w:rPr>
        <w:t>and</w:t>
      </w:r>
      <w:r>
        <w:rPr>
          <w:rFonts w:ascii="Lucida Sans Unicode"/>
          <w:spacing w:val="1"/>
          <w:w w:val="105"/>
        </w:rPr>
        <w:t> </w:t>
      </w:r>
      <w:r>
        <w:rPr>
          <w:rFonts w:ascii="Lucida Sans Unicode"/>
          <w:w w:val="105"/>
        </w:rPr>
        <w:t>s.</w:t>
      </w:r>
      <w:r>
        <w:rPr>
          <w:rFonts w:ascii="Lucida Sans Unicode"/>
          <w:spacing w:val="1"/>
          <w:w w:val="105"/>
        </w:rPr>
        <w:t> </w:t>
      </w:r>
      <w:r>
        <w:rPr>
          <w:rFonts w:ascii="Lucida Sans Unicode"/>
          <w:w w:val="105"/>
        </w:rPr>
        <w:t>7</w:t>
      </w:r>
      <w:r>
        <w:rPr>
          <w:rFonts w:ascii="Lucida Sans Unicode"/>
          <w:spacing w:val="2"/>
          <w:w w:val="105"/>
        </w:rPr>
        <w:t> </w:t>
      </w:r>
      <w:r>
        <w:rPr>
          <w:rFonts w:ascii="Lucida Sans Unicode"/>
          <w:w w:val="105"/>
        </w:rPr>
        <w:t>A</w:t>
      </w:r>
      <w:r>
        <w:rPr>
          <w:rFonts w:ascii="Lucida Sans Unicode"/>
          <w:spacing w:val="1"/>
          <w:w w:val="105"/>
        </w:rPr>
        <w:t> </w:t>
      </w:r>
      <w:r>
        <w:rPr>
          <w:rFonts w:ascii="Lucida Sans Unicode"/>
          <w:w w:val="105"/>
        </w:rPr>
        <w:t>EUWA</w:t>
      </w:r>
      <w:r>
        <w:rPr>
          <w:rFonts w:ascii="Lucida Sans Unicode"/>
          <w:spacing w:val="1"/>
          <w:w w:val="105"/>
        </w:rPr>
        <w:t> </w:t>
      </w:r>
      <w:r>
        <w:rPr>
          <w:rFonts w:ascii="Lucida Sans Unicode"/>
          <w:spacing w:val="-4"/>
          <w:w w:val="105"/>
        </w:rPr>
        <w:t>means</w:t>
      </w:r>
    </w:p>
    <w:p>
      <w:pPr>
        <w:pStyle w:val="BodyText"/>
        <w:spacing w:line="266" w:lineRule="auto"/>
        <w:ind w:right="86"/>
      </w:pPr>
      <w:r>
        <w:rPr>
          <w:w w:val="115"/>
        </w:rPr>
        <w:t>that</w:t>
      </w:r>
      <w:r>
        <w:rPr>
          <w:spacing w:val="-20"/>
          <w:w w:val="115"/>
        </w:rPr>
        <w:t> </w:t>
      </w:r>
      <w:r>
        <w:rPr>
          <w:w w:val="115"/>
        </w:rPr>
        <w:t>large</w:t>
      </w:r>
      <w:r>
        <w:rPr>
          <w:spacing w:val="-19"/>
          <w:w w:val="115"/>
        </w:rPr>
        <w:t> </w:t>
      </w:r>
      <w:r>
        <w:rPr>
          <w:w w:val="115"/>
        </w:rPr>
        <w:t>quantities</w:t>
      </w:r>
      <w:r>
        <w:rPr>
          <w:spacing w:val="-19"/>
          <w:w w:val="115"/>
        </w:rPr>
        <w:t> </w:t>
      </w:r>
      <w:r>
        <w:rPr>
          <w:w w:val="115"/>
        </w:rPr>
        <w:t>of</w:t>
      </w:r>
      <w:r>
        <w:rPr>
          <w:spacing w:val="-19"/>
          <w:w w:val="115"/>
        </w:rPr>
        <w:t> </w:t>
      </w:r>
      <w:r>
        <w:rPr>
          <w:w w:val="115"/>
        </w:rPr>
        <w:t>EU</w:t>
      </w:r>
      <w:r>
        <w:rPr>
          <w:spacing w:val="-19"/>
          <w:w w:val="115"/>
        </w:rPr>
        <w:t> </w:t>
      </w:r>
      <w:r>
        <w:rPr>
          <w:w w:val="115"/>
        </w:rPr>
        <w:t>law</w:t>
      </w:r>
      <w:r>
        <w:rPr>
          <w:spacing w:val="-20"/>
          <w:w w:val="115"/>
        </w:rPr>
        <w:t> </w:t>
      </w:r>
      <w:r>
        <w:rPr>
          <w:w w:val="115"/>
        </w:rPr>
        <w:t>remain applicable</w:t>
      </w:r>
      <w:r>
        <w:rPr>
          <w:spacing w:val="-5"/>
          <w:w w:val="115"/>
        </w:rPr>
        <w:t> </w:t>
      </w:r>
      <w:r>
        <w:rPr>
          <w:w w:val="115"/>
        </w:rPr>
        <w:t>in</w:t>
      </w:r>
      <w:r>
        <w:rPr>
          <w:spacing w:val="-5"/>
          <w:w w:val="115"/>
        </w:rPr>
        <w:t> </w:t>
      </w:r>
      <w:r>
        <w:rPr>
          <w:w w:val="115"/>
        </w:rPr>
        <w:t>NI</w:t>
      </w:r>
      <w:r>
        <w:rPr>
          <w:spacing w:val="-5"/>
          <w:w w:val="115"/>
        </w:rPr>
        <w:t> </w:t>
      </w:r>
      <w:r>
        <w:rPr>
          <w:w w:val="115"/>
        </w:rPr>
        <w:t>as</w:t>
      </w:r>
      <w:r>
        <w:rPr>
          <w:spacing w:val="-5"/>
          <w:w w:val="115"/>
        </w:rPr>
        <w:t> </w:t>
      </w:r>
      <w:r>
        <w:rPr>
          <w:w w:val="115"/>
        </w:rPr>
        <w:t>EU</w:t>
      </w:r>
      <w:r>
        <w:rPr>
          <w:spacing w:val="-5"/>
          <w:w w:val="115"/>
        </w:rPr>
        <w:t> </w:t>
      </w:r>
      <w:r>
        <w:rPr>
          <w:w w:val="115"/>
        </w:rPr>
        <w:t>law.</w:t>
      </w:r>
    </w:p>
    <w:p>
      <w:pPr>
        <w:pStyle w:val="BodyText"/>
        <w:spacing w:line="308" w:lineRule="exact" w:before="251"/>
        <w:ind w:right="86"/>
      </w:pPr>
      <w:r>
        <w:rPr>
          <w:rFonts w:ascii="Lucida Sans Unicode"/>
          <w:spacing w:val="-2"/>
          <w:w w:val="110"/>
        </w:rPr>
        <w:t>Moreover,</w:t>
      </w:r>
      <w:r>
        <w:rPr>
          <w:rFonts w:ascii="Lucida Sans Unicode"/>
          <w:spacing w:val="-19"/>
          <w:w w:val="110"/>
        </w:rPr>
        <w:t> </w:t>
      </w:r>
      <w:r>
        <w:rPr>
          <w:rFonts w:ascii="Lucida Sans Unicode"/>
          <w:spacing w:val="-2"/>
          <w:w w:val="110"/>
        </w:rPr>
        <w:t>Article</w:t>
      </w:r>
      <w:r>
        <w:rPr>
          <w:rFonts w:ascii="Lucida Sans Unicode"/>
          <w:spacing w:val="-19"/>
          <w:w w:val="110"/>
        </w:rPr>
        <w:t> </w:t>
      </w:r>
      <w:r>
        <w:rPr>
          <w:rFonts w:ascii="Lucida Sans Unicode"/>
          <w:spacing w:val="-2"/>
          <w:w w:val="110"/>
        </w:rPr>
        <w:t>2</w:t>
      </w:r>
      <w:r>
        <w:rPr>
          <w:rFonts w:ascii="Lucida Sans Unicode"/>
          <w:spacing w:val="-19"/>
          <w:w w:val="110"/>
        </w:rPr>
        <w:t> </w:t>
      </w:r>
      <w:r>
        <w:rPr>
          <w:rFonts w:ascii="Lucida Sans Unicode"/>
          <w:spacing w:val="-2"/>
          <w:w w:val="110"/>
        </w:rPr>
        <w:t>of</w:t>
      </w:r>
      <w:r>
        <w:rPr>
          <w:rFonts w:ascii="Lucida Sans Unicode"/>
          <w:spacing w:val="-19"/>
          <w:w w:val="110"/>
        </w:rPr>
        <w:t> </w:t>
      </w:r>
      <w:r>
        <w:rPr>
          <w:rFonts w:ascii="Lucida Sans Unicode"/>
          <w:spacing w:val="-2"/>
          <w:w w:val="110"/>
        </w:rPr>
        <w:t>the</w:t>
      </w:r>
      <w:r>
        <w:rPr>
          <w:rFonts w:ascii="Lucida Sans Unicode"/>
          <w:spacing w:val="-19"/>
          <w:w w:val="110"/>
        </w:rPr>
        <w:t> </w:t>
      </w:r>
      <w:r>
        <w:rPr>
          <w:rFonts w:ascii="Lucida Sans Unicode"/>
          <w:spacing w:val="-2"/>
          <w:w w:val="110"/>
        </w:rPr>
        <w:t>Windsor </w:t>
      </w:r>
      <w:r>
        <w:rPr>
          <w:w w:val="110"/>
        </w:rPr>
        <w:t>Framework permits a further application of the Charter and </w:t>
      </w:r>
      <w:r>
        <w:rPr>
          <w:w w:val="110"/>
        </w:rPr>
        <w:t>general principles of EU law, in situations where there is a risk of diminution</w:t>
      </w:r>
    </w:p>
    <w:p>
      <w:pPr>
        <w:pStyle w:val="BodyText"/>
        <w:spacing w:line="335" w:lineRule="exact"/>
        <w:rPr>
          <w:rFonts w:ascii="Lucida Sans Unicode"/>
        </w:rPr>
      </w:pPr>
      <w:r>
        <w:rPr>
          <w:rFonts w:ascii="Lucida Sans Unicode"/>
          <w:spacing w:val="-2"/>
          <w:w w:val="105"/>
        </w:rPr>
        <w:t>to</w:t>
      </w:r>
      <w:r>
        <w:rPr>
          <w:rFonts w:ascii="Lucida Sans Unicode"/>
          <w:spacing w:val="-13"/>
          <w:w w:val="105"/>
        </w:rPr>
        <w:t> </w:t>
      </w:r>
      <w:r>
        <w:rPr>
          <w:rFonts w:ascii="Lucida Sans Unicode"/>
          <w:spacing w:val="-2"/>
          <w:w w:val="105"/>
        </w:rPr>
        <w:t>the</w:t>
      </w:r>
      <w:r>
        <w:rPr>
          <w:rFonts w:ascii="Lucida Sans Unicode"/>
          <w:spacing w:val="-13"/>
          <w:w w:val="105"/>
        </w:rPr>
        <w:t> </w:t>
      </w:r>
      <w:r>
        <w:rPr>
          <w:rFonts w:ascii="Lucida Sans Unicode"/>
          <w:spacing w:val="-2"/>
          <w:w w:val="105"/>
        </w:rPr>
        <w:t>rights</w:t>
      </w:r>
      <w:r>
        <w:rPr>
          <w:rFonts w:ascii="Lucida Sans Unicode"/>
          <w:spacing w:val="-12"/>
          <w:w w:val="105"/>
        </w:rPr>
        <w:t> </w:t>
      </w:r>
      <w:r>
        <w:rPr>
          <w:rFonts w:ascii="Lucida Sans Unicode"/>
          <w:spacing w:val="-2"/>
          <w:w w:val="105"/>
        </w:rPr>
        <w:t>protected</w:t>
      </w:r>
      <w:r>
        <w:rPr>
          <w:rFonts w:ascii="Lucida Sans Unicode"/>
          <w:spacing w:val="-13"/>
          <w:w w:val="105"/>
        </w:rPr>
        <w:t> </w:t>
      </w:r>
      <w:r>
        <w:rPr>
          <w:rFonts w:ascii="Lucida Sans Unicode"/>
          <w:spacing w:val="-2"/>
          <w:w w:val="105"/>
        </w:rPr>
        <w:t>in</w:t>
      </w:r>
      <w:r>
        <w:rPr>
          <w:rFonts w:ascii="Lucida Sans Unicode"/>
          <w:spacing w:val="-12"/>
          <w:w w:val="105"/>
        </w:rPr>
        <w:t> </w:t>
      </w:r>
      <w:r>
        <w:rPr>
          <w:rFonts w:ascii="Lucida Sans Unicode"/>
          <w:spacing w:val="-2"/>
          <w:w w:val="105"/>
        </w:rPr>
        <w:t>the</w:t>
      </w:r>
      <w:r>
        <w:rPr>
          <w:rFonts w:ascii="Lucida Sans Unicode"/>
          <w:spacing w:val="-13"/>
          <w:w w:val="105"/>
        </w:rPr>
        <w:t> </w:t>
      </w:r>
      <w:r>
        <w:rPr>
          <w:rFonts w:ascii="Lucida Sans Unicode"/>
          <w:spacing w:val="-4"/>
          <w:w w:val="105"/>
        </w:rPr>
        <w:t>RSEO</w:t>
      </w:r>
    </w:p>
    <w:p>
      <w:pPr>
        <w:pStyle w:val="BodyText"/>
        <w:spacing w:line="266" w:lineRule="auto"/>
        <w:ind w:right="298"/>
      </w:pPr>
      <w:r>
        <w:rPr>
          <w:w w:val="110"/>
        </w:rPr>
        <w:t>part of the GFA. In this regard, the report highlighted that there are considerable differences between measures listed in Annex </w:t>
      </w:r>
      <w:r>
        <w:rPr/>
        <w:t>1 </w:t>
      </w:r>
      <w:r>
        <w:rPr>
          <w:w w:val="110"/>
        </w:rPr>
        <w:t>which,</w:t>
      </w:r>
      <w:r>
        <w:rPr>
          <w:spacing w:val="40"/>
          <w:w w:val="110"/>
        </w:rPr>
        <w:t> </w:t>
      </w:r>
      <w:r>
        <w:rPr>
          <w:w w:val="110"/>
        </w:rPr>
        <w:t>for all practical purposes are </w:t>
      </w:r>
      <w:r>
        <w:rPr>
          <w:w w:val="110"/>
        </w:rPr>
        <w:t>treated</w:t>
      </w:r>
    </w:p>
    <w:p>
      <w:pPr>
        <w:pStyle w:val="BodyText"/>
        <w:spacing w:line="266" w:lineRule="auto" w:before="72"/>
        <w:ind w:right="128"/>
      </w:pPr>
      <w:r>
        <w:rPr/>
        <w:br w:type="column"/>
      </w:r>
      <w:r>
        <w:rPr>
          <w:w w:val="115"/>
        </w:rPr>
        <w:t>in</w:t>
      </w:r>
      <w:r>
        <w:rPr>
          <w:spacing w:val="-4"/>
          <w:w w:val="115"/>
        </w:rPr>
        <w:t> </w:t>
      </w:r>
      <w:r>
        <w:rPr>
          <w:w w:val="115"/>
        </w:rPr>
        <w:t>NI</w:t>
      </w:r>
      <w:r>
        <w:rPr>
          <w:spacing w:val="-4"/>
          <w:w w:val="115"/>
        </w:rPr>
        <w:t> </w:t>
      </w:r>
      <w:r>
        <w:rPr>
          <w:w w:val="115"/>
        </w:rPr>
        <w:t>in</w:t>
      </w:r>
      <w:r>
        <w:rPr>
          <w:spacing w:val="-4"/>
          <w:w w:val="115"/>
        </w:rPr>
        <w:t> </w:t>
      </w:r>
      <w:r>
        <w:rPr>
          <w:w w:val="115"/>
        </w:rPr>
        <w:t>largely</w:t>
      </w:r>
      <w:r>
        <w:rPr>
          <w:spacing w:val="-4"/>
          <w:w w:val="115"/>
        </w:rPr>
        <w:t> </w:t>
      </w:r>
      <w:r>
        <w:rPr>
          <w:w w:val="115"/>
        </w:rPr>
        <w:t>the</w:t>
      </w:r>
      <w:r>
        <w:rPr>
          <w:spacing w:val="-4"/>
          <w:w w:val="115"/>
        </w:rPr>
        <w:t> </w:t>
      </w:r>
      <w:r>
        <w:rPr>
          <w:w w:val="115"/>
        </w:rPr>
        <w:t>same</w:t>
      </w:r>
      <w:r>
        <w:rPr>
          <w:spacing w:val="-4"/>
          <w:w w:val="115"/>
        </w:rPr>
        <w:t> </w:t>
      </w:r>
      <w:r>
        <w:rPr>
          <w:w w:val="115"/>
        </w:rPr>
        <w:t>manner</w:t>
      </w:r>
      <w:r>
        <w:rPr>
          <w:spacing w:val="-4"/>
          <w:w w:val="115"/>
        </w:rPr>
        <w:t> </w:t>
      </w:r>
      <w:r>
        <w:rPr>
          <w:w w:val="115"/>
        </w:rPr>
        <w:t>as before Brexit, and other measures. The report set out the relevant tests for diminution to occur in respect of </w:t>
      </w:r>
      <w:r>
        <w:rPr>
          <w:w w:val="110"/>
        </w:rPr>
        <w:t>non-annexed</w:t>
      </w:r>
      <w:r>
        <w:rPr>
          <w:spacing w:val="-2"/>
          <w:w w:val="110"/>
        </w:rPr>
        <w:t> </w:t>
      </w:r>
      <w:r>
        <w:rPr>
          <w:w w:val="110"/>
        </w:rPr>
        <w:t>measures.</w:t>
      </w:r>
      <w:r>
        <w:rPr>
          <w:spacing w:val="-2"/>
          <w:w w:val="110"/>
        </w:rPr>
        <w:t> </w:t>
      </w:r>
      <w:r>
        <w:rPr>
          <w:w w:val="110"/>
        </w:rPr>
        <w:t>It</w:t>
      </w:r>
      <w:r>
        <w:rPr>
          <w:spacing w:val="-2"/>
          <w:w w:val="110"/>
        </w:rPr>
        <w:t> </w:t>
      </w:r>
      <w:r>
        <w:rPr>
          <w:w w:val="110"/>
        </w:rPr>
        <w:t>argued</w:t>
      </w:r>
      <w:r>
        <w:rPr>
          <w:spacing w:val="-2"/>
          <w:w w:val="110"/>
        </w:rPr>
        <w:t> </w:t>
      </w:r>
      <w:r>
        <w:rPr>
          <w:w w:val="110"/>
        </w:rPr>
        <w:t>that, </w:t>
      </w:r>
      <w:r>
        <w:rPr>
          <w:w w:val="115"/>
        </w:rPr>
        <w:t>in accordance with settled principles of EU constitutional law, the critical factors for domestic courts should be whether</w:t>
      </w:r>
      <w:r>
        <w:rPr>
          <w:spacing w:val="-10"/>
          <w:w w:val="115"/>
        </w:rPr>
        <w:t> </w:t>
      </w:r>
      <w:r>
        <w:rPr>
          <w:w w:val="115"/>
        </w:rPr>
        <w:t>the</w:t>
      </w:r>
      <w:r>
        <w:rPr>
          <w:spacing w:val="-10"/>
          <w:w w:val="115"/>
        </w:rPr>
        <w:t> </w:t>
      </w:r>
      <w:r>
        <w:rPr>
          <w:w w:val="115"/>
        </w:rPr>
        <w:t>measures</w:t>
      </w:r>
      <w:r>
        <w:rPr>
          <w:spacing w:val="-10"/>
          <w:w w:val="115"/>
        </w:rPr>
        <w:t> </w:t>
      </w:r>
      <w:r>
        <w:rPr>
          <w:w w:val="115"/>
        </w:rPr>
        <w:t>assessed</w:t>
      </w:r>
      <w:r>
        <w:rPr>
          <w:spacing w:val="-10"/>
          <w:w w:val="115"/>
        </w:rPr>
        <w:t> </w:t>
      </w:r>
      <w:r>
        <w:rPr>
          <w:w w:val="115"/>
        </w:rPr>
        <w:t>for diminution were binding (a broader category</w:t>
      </w:r>
      <w:r>
        <w:rPr>
          <w:spacing w:val="-4"/>
          <w:w w:val="115"/>
        </w:rPr>
        <w:t> </w:t>
      </w:r>
      <w:r>
        <w:rPr>
          <w:w w:val="115"/>
        </w:rPr>
        <w:t>of</w:t>
      </w:r>
      <w:r>
        <w:rPr>
          <w:spacing w:val="-4"/>
          <w:w w:val="115"/>
        </w:rPr>
        <w:t> </w:t>
      </w:r>
      <w:r>
        <w:rPr>
          <w:w w:val="115"/>
        </w:rPr>
        <w:t>measures</w:t>
      </w:r>
      <w:r>
        <w:rPr>
          <w:spacing w:val="-4"/>
          <w:w w:val="115"/>
        </w:rPr>
        <w:t> </w:t>
      </w:r>
      <w:r>
        <w:rPr>
          <w:w w:val="115"/>
        </w:rPr>
        <w:t>than</w:t>
      </w:r>
      <w:r>
        <w:rPr>
          <w:spacing w:val="-4"/>
          <w:w w:val="115"/>
        </w:rPr>
        <w:t> </w:t>
      </w:r>
      <w:r>
        <w:rPr>
          <w:w w:val="115"/>
        </w:rPr>
        <w:t>measures which are directly effective) and whether</w:t>
      </w:r>
      <w:r>
        <w:rPr>
          <w:spacing w:val="-13"/>
          <w:w w:val="115"/>
        </w:rPr>
        <w:t> </w:t>
      </w:r>
      <w:r>
        <w:rPr>
          <w:w w:val="115"/>
        </w:rPr>
        <w:t>they</w:t>
      </w:r>
      <w:r>
        <w:rPr>
          <w:spacing w:val="-13"/>
          <w:w w:val="115"/>
        </w:rPr>
        <w:t> </w:t>
      </w:r>
      <w:r>
        <w:rPr>
          <w:w w:val="115"/>
        </w:rPr>
        <w:t>were</w:t>
      </w:r>
      <w:r>
        <w:rPr>
          <w:spacing w:val="-13"/>
          <w:w w:val="115"/>
        </w:rPr>
        <w:t> </w:t>
      </w:r>
      <w:r>
        <w:rPr>
          <w:w w:val="115"/>
        </w:rPr>
        <w:t>within</w:t>
      </w:r>
      <w:r>
        <w:rPr>
          <w:spacing w:val="-13"/>
          <w:w w:val="115"/>
        </w:rPr>
        <w:t> </w:t>
      </w:r>
      <w:r>
        <w:rPr>
          <w:w w:val="115"/>
        </w:rPr>
        <w:t>the</w:t>
      </w:r>
      <w:r>
        <w:rPr>
          <w:spacing w:val="-13"/>
          <w:w w:val="115"/>
        </w:rPr>
        <w:t> </w:t>
      </w:r>
      <w:r>
        <w:rPr>
          <w:w w:val="115"/>
        </w:rPr>
        <w:t>scope</w:t>
      </w:r>
      <w:r>
        <w:rPr>
          <w:spacing w:val="-13"/>
          <w:w w:val="115"/>
        </w:rPr>
        <w:t> </w:t>
      </w:r>
      <w:r>
        <w:rPr>
          <w:w w:val="115"/>
        </w:rPr>
        <w:t>of </w:t>
      </w:r>
      <w:r>
        <w:rPr>
          <w:w w:val="110"/>
        </w:rPr>
        <w:t>EU</w:t>
      </w:r>
      <w:r>
        <w:rPr>
          <w:spacing w:val="-2"/>
          <w:w w:val="110"/>
        </w:rPr>
        <w:t> </w:t>
      </w:r>
      <w:r>
        <w:rPr>
          <w:w w:val="110"/>
        </w:rPr>
        <w:t>law.</w:t>
      </w:r>
      <w:r>
        <w:rPr>
          <w:spacing w:val="-2"/>
          <w:w w:val="110"/>
        </w:rPr>
        <w:t> </w:t>
      </w:r>
      <w:r>
        <w:rPr>
          <w:w w:val="110"/>
        </w:rPr>
        <w:t>The</w:t>
      </w:r>
      <w:r>
        <w:rPr>
          <w:spacing w:val="-2"/>
          <w:w w:val="110"/>
        </w:rPr>
        <w:t> </w:t>
      </w:r>
      <w:r>
        <w:rPr>
          <w:w w:val="110"/>
        </w:rPr>
        <w:t>report</w:t>
      </w:r>
      <w:r>
        <w:rPr>
          <w:spacing w:val="-2"/>
          <w:w w:val="110"/>
        </w:rPr>
        <w:t> </w:t>
      </w:r>
      <w:r>
        <w:rPr>
          <w:w w:val="110"/>
        </w:rPr>
        <w:t>also</w:t>
      </w:r>
      <w:r>
        <w:rPr>
          <w:spacing w:val="-2"/>
          <w:w w:val="110"/>
        </w:rPr>
        <w:t> </w:t>
      </w:r>
      <w:r>
        <w:rPr>
          <w:w w:val="110"/>
        </w:rPr>
        <w:t>explained</w:t>
      </w:r>
      <w:r>
        <w:rPr>
          <w:spacing w:val="-2"/>
          <w:w w:val="110"/>
        </w:rPr>
        <w:t> </w:t>
      </w:r>
      <w:r>
        <w:rPr>
          <w:w w:val="110"/>
        </w:rPr>
        <w:t>that, </w:t>
      </w:r>
      <w:r>
        <w:rPr>
          <w:w w:val="115"/>
        </w:rPr>
        <w:t>provided that these conditions are met, it is essential for diminution to</w:t>
      </w:r>
    </w:p>
    <w:p>
      <w:pPr>
        <w:pStyle w:val="BodyText"/>
        <w:spacing w:line="266" w:lineRule="auto" w:before="11"/>
        <w:ind w:right="317"/>
      </w:pPr>
      <w:r>
        <w:rPr>
          <w:w w:val="110"/>
        </w:rPr>
        <w:t>be</w:t>
      </w:r>
      <w:r>
        <w:rPr>
          <w:spacing w:val="-10"/>
          <w:w w:val="110"/>
        </w:rPr>
        <w:t> </w:t>
      </w:r>
      <w:r>
        <w:rPr>
          <w:w w:val="110"/>
        </w:rPr>
        <w:t>assessed</w:t>
      </w:r>
      <w:r>
        <w:rPr>
          <w:spacing w:val="-10"/>
          <w:w w:val="110"/>
        </w:rPr>
        <w:t> </w:t>
      </w:r>
      <w:r>
        <w:rPr>
          <w:w w:val="110"/>
        </w:rPr>
        <w:t>based</w:t>
      </w:r>
      <w:r>
        <w:rPr>
          <w:spacing w:val="-10"/>
          <w:w w:val="110"/>
        </w:rPr>
        <w:t> </w:t>
      </w:r>
      <w:r>
        <w:rPr>
          <w:w w:val="110"/>
        </w:rPr>
        <w:t>on</w:t>
      </w:r>
      <w:r>
        <w:rPr>
          <w:spacing w:val="-10"/>
          <w:w w:val="110"/>
        </w:rPr>
        <w:t> </w:t>
      </w:r>
      <w:r>
        <w:rPr>
          <w:w w:val="110"/>
        </w:rPr>
        <w:t>a</w:t>
      </w:r>
      <w:r>
        <w:rPr>
          <w:spacing w:val="-10"/>
          <w:w w:val="110"/>
        </w:rPr>
        <w:t> </w:t>
      </w:r>
      <w:r>
        <w:rPr>
          <w:w w:val="110"/>
        </w:rPr>
        <w:t>comparative </w:t>
      </w:r>
      <w:r>
        <w:rPr>
          <w:w w:val="115"/>
        </w:rPr>
        <w:t>exercise.</w:t>
      </w:r>
      <w:r>
        <w:rPr>
          <w:spacing w:val="-9"/>
          <w:w w:val="115"/>
        </w:rPr>
        <w:t> </w:t>
      </w:r>
      <w:r>
        <w:rPr>
          <w:w w:val="115"/>
        </w:rPr>
        <w:t>This</w:t>
      </w:r>
      <w:r>
        <w:rPr>
          <w:spacing w:val="-9"/>
          <w:w w:val="115"/>
        </w:rPr>
        <w:t> </w:t>
      </w:r>
      <w:r>
        <w:rPr>
          <w:w w:val="115"/>
        </w:rPr>
        <w:t>would</w:t>
      </w:r>
      <w:r>
        <w:rPr>
          <w:spacing w:val="-9"/>
          <w:w w:val="115"/>
        </w:rPr>
        <w:t> </w:t>
      </w:r>
      <w:r>
        <w:rPr>
          <w:w w:val="115"/>
        </w:rPr>
        <w:t>involve</w:t>
      </w:r>
      <w:r>
        <w:rPr>
          <w:spacing w:val="-9"/>
          <w:w w:val="115"/>
        </w:rPr>
        <w:t> </w:t>
      </w:r>
      <w:r>
        <w:rPr>
          <w:w w:val="115"/>
        </w:rPr>
        <w:t>an </w:t>
      </w:r>
      <w:r>
        <w:rPr>
          <w:spacing w:val="-2"/>
          <w:w w:val="115"/>
        </w:rPr>
        <w:t>analysis</w:t>
      </w:r>
      <w:r>
        <w:rPr>
          <w:spacing w:val="-10"/>
          <w:w w:val="115"/>
        </w:rPr>
        <w:t> </w:t>
      </w:r>
      <w:r>
        <w:rPr>
          <w:spacing w:val="-2"/>
          <w:w w:val="115"/>
        </w:rPr>
        <w:t>of</w:t>
      </w:r>
      <w:r>
        <w:rPr>
          <w:spacing w:val="-10"/>
          <w:w w:val="115"/>
        </w:rPr>
        <w:t> </w:t>
      </w:r>
      <w:r>
        <w:rPr>
          <w:spacing w:val="-2"/>
          <w:w w:val="115"/>
        </w:rPr>
        <w:t>the</w:t>
      </w:r>
      <w:r>
        <w:rPr>
          <w:spacing w:val="-10"/>
          <w:w w:val="115"/>
        </w:rPr>
        <w:t> </w:t>
      </w:r>
      <w:r>
        <w:rPr>
          <w:spacing w:val="-2"/>
          <w:w w:val="115"/>
        </w:rPr>
        <w:t>pre-Brexit</w:t>
      </w:r>
      <w:r>
        <w:rPr>
          <w:spacing w:val="-10"/>
          <w:w w:val="115"/>
        </w:rPr>
        <w:t> </w:t>
      </w:r>
      <w:r>
        <w:rPr>
          <w:spacing w:val="-2"/>
          <w:w w:val="115"/>
        </w:rPr>
        <w:t>application </w:t>
      </w:r>
      <w:r>
        <w:rPr>
          <w:w w:val="115"/>
        </w:rPr>
        <w:t>of EU fundamental rights under the Charter and general principles of</w:t>
      </w:r>
    </w:p>
    <w:p>
      <w:pPr>
        <w:pStyle w:val="BodyText"/>
        <w:spacing w:line="266" w:lineRule="auto" w:before="3"/>
        <w:ind w:right="147"/>
      </w:pPr>
      <w:r>
        <w:rPr>
          <w:w w:val="115"/>
        </w:rPr>
        <w:t>EU law on the one hand, and the application</w:t>
      </w:r>
      <w:r>
        <w:rPr>
          <w:spacing w:val="-10"/>
          <w:w w:val="115"/>
        </w:rPr>
        <w:t> </w:t>
      </w:r>
      <w:r>
        <w:rPr>
          <w:w w:val="115"/>
        </w:rPr>
        <w:t>of</w:t>
      </w:r>
      <w:r>
        <w:rPr>
          <w:spacing w:val="-10"/>
          <w:w w:val="115"/>
        </w:rPr>
        <w:t> </w:t>
      </w:r>
      <w:r>
        <w:rPr>
          <w:w w:val="115"/>
        </w:rPr>
        <w:t>those</w:t>
      </w:r>
      <w:r>
        <w:rPr>
          <w:spacing w:val="-10"/>
          <w:w w:val="115"/>
        </w:rPr>
        <w:t> </w:t>
      </w:r>
      <w:r>
        <w:rPr>
          <w:w w:val="115"/>
        </w:rPr>
        <w:t>rights</w:t>
      </w:r>
      <w:r>
        <w:rPr>
          <w:spacing w:val="-10"/>
          <w:w w:val="115"/>
        </w:rPr>
        <w:t> </w:t>
      </w:r>
      <w:r>
        <w:rPr>
          <w:w w:val="115"/>
        </w:rPr>
        <w:t>after</w:t>
      </w:r>
      <w:r>
        <w:rPr>
          <w:spacing w:val="-10"/>
          <w:w w:val="115"/>
        </w:rPr>
        <w:t> </w:t>
      </w:r>
      <w:r>
        <w:rPr>
          <w:w w:val="115"/>
        </w:rPr>
        <w:t>Brexit under</w:t>
      </w:r>
      <w:r>
        <w:rPr>
          <w:spacing w:val="-7"/>
          <w:w w:val="115"/>
        </w:rPr>
        <w:t> </w:t>
      </w:r>
      <w:r>
        <w:rPr>
          <w:w w:val="115"/>
        </w:rPr>
        <w:t>any</w:t>
      </w:r>
      <w:r>
        <w:rPr>
          <w:spacing w:val="-7"/>
          <w:w w:val="115"/>
        </w:rPr>
        <w:t> </w:t>
      </w:r>
      <w:r>
        <w:rPr>
          <w:w w:val="115"/>
        </w:rPr>
        <w:t>system</w:t>
      </w:r>
      <w:r>
        <w:rPr>
          <w:spacing w:val="-7"/>
          <w:w w:val="115"/>
        </w:rPr>
        <w:t> </w:t>
      </w:r>
      <w:r>
        <w:rPr>
          <w:w w:val="115"/>
        </w:rPr>
        <w:t>of</w:t>
      </w:r>
      <w:r>
        <w:rPr>
          <w:spacing w:val="-7"/>
          <w:w w:val="115"/>
        </w:rPr>
        <w:t> </w:t>
      </w:r>
      <w:r>
        <w:rPr>
          <w:w w:val="115"/>
        </w:rPr>
        <w:t>rights</w:t>
      </w:r>
      <w:r>
        <w:rPr>
          <w:spacing w:val="-7"/>
          <w:w w:val="115"/>
        </w:rPr>
        <w:t> </w:t>
      </w:r>
      <w:r>
        <w:rPr>
          <w:w w:val="115"/>
        </w:rPr>
        <w:t>protection (including domestic law and the ECHR),</w:t>
      </w:r>
      <w:r>
        <w:rPr>
          <w:spacing w:val="-1"/>
          <w:w w:val="115"/>
        </w:rPr>
        <w:t> </w:t>
      </w:r>
      <w:r>
        <w:rPr>
          <w:w w:val="115"/>
        </w:rPr>
        <w:t>on</w:t>
      </w:r>
      <w:r>
        <w:rPr>
          <w:spacing w:val="-1"/>
          <w:w w:val="115"/>
        </w:rPr>
        <w:t> </w:t>
      </w:r>
      <w:r>
        <w:rPr>
          <w:w w:val="115"/>
        </w:rPr>
        <w:t>the</w:t>
      </w:r>
      <w:r>
        <w:rPr>
          <w:spacing w:val="-1"/>
          <w:w w:val="115"/>
        </w:rPr>
        <w:t> </w:t>
      </w:r>
      <w:r>
        <w:rPr>
          <w:w w:val="115"/>
        </w:rPr>
        <w:t>other.</w:t>
      </w:r>
      <w:r>
        <w:rPr>
          <w:spacing w:val="-1"/>
          <w:w w:val="115"/>
        </w:rPr>
        <w:t> </w:t>
      </w:r>
      <w:r>
        <w:rPr>
          <w:w w:val="115"/>
        </w:rPr>
        <w:t>The</w:t>
      </w:r>
      <w:r>
        <w:rPr>
          <w:spacing w:val="-1"/>
          <w:w w:val="115"/>
        </w:rPr>
        <w:t> </w:t>
      </w:r>
      <w:r>
        <w:rPr>
          <w:w w:val="115"/>
        </w:rPr>
        <w:t>report highlighted that, since the remedial strength of Charter rights was their key added value – a feature of the</w:t>
      </w:r>
    </w:p>
    <w:p>
      <w:pPr>
        <w:pStyle w:val="BodyText"/>
        <w:spacing w:line="228" w:lineRule="auto" w:before="17"/>
        <w:ind w:right="391"/>
        <w:jc w:val="both"/>
      </w:pPr>
      <w:r>
        <w:rPr>
          <w:w w:val="110"/>
        </w:rPr>
        <w:t>Charter that was well-recognised by </w:t>
      </w:r>
      <w:r>
        <w:rPr>
          <w:rFonts w:ascii="Lucida Sans Unicode" w:hAnsi="Lucida Sans Unicode"/>
        </w:rPr>
        <w:t>the UK Supreme Court before </w:t>
      </w:r>
      <w:r>
        <w:rPr>
          <w:rFonts w:ascii="Lucida Sans Unicode" w:hAnsi="Lucida Sans Unicode"/>
        </w:rPr>
        <w:t>Brexit </w:t>
      </w:r>
      <w:r>
        <w:rPr>
          <w:w w:val="110"/>
        </w:rPr>
        <w:t>– it is essential that this feature be</w:t>
      </w:r>
    </w:p>
    <w:p>
      <w:pPr>
        <w:pStyle w:val="BodyText"/>
        <w:spacing w:line="266" w:lineRule="auto" w:before="35"/>
        <w:ind w:right="161"/>
      </w:pPr>
      <w:r>
        <w:rPr>
          <w:w w:val="115"/>
        </w:rPr>
        <w:t>maintained</w:t>
      </w:r>
      <w:r>
        <w:rPr>
          <w:spacing w:val="-13"/>
          <w:w w:val="115"/>
        </w:rPr>
        <w:t> </w:t>
      </w:r>
      <w:r>
        <w:rPr>
          <w:w w:val="115"/>
        </w:rPr>
        <w:t>within</w:t>
      </w:r>
      <w:r>
        <w:rPr>
          <w:spacing w:val="-13"/>
          <w:w w:val="115"/>
        </w:rPr>
        <w:t> </w:t>
      </w:r>
      <w:r>
        <w:rPr>
          <w:w w:val="115"/>
        </w:rPr>
        <w:t>the</w:t>
      </w:r>
      <w:r>
        <w:rPr>
          <w:spacing w:val="-13"/>
          <w:w w:val="115"/>
        </w:rPr>
        <w:t> </w:t>
      </w:r>
      <w:r>
        <w:rPr>
          <w:w w:val="115"/>
        </w:rPr>
        <w:t>non-diminution guarantee, if that guarantee is to remain of practical value.</w:t>
      </w:r>
    </w:p>
    <w:p>
      <w:pPr>
        <w:spacing w:after="0" w:line="266" w:lineRule="auto"/>
        <w:sectPr>
          <w:type w:val="continuous"/>
          <w:pgSz w:w="11910" w:h="16840"/>
          <w:pgMar w:header="568" w:footer="580" w:top="0" w:bottom="280" w:left="1020" w:right="1020"/>
          <w:cols w:num="2" w:equalWidth="0">
            <w:col w:w="4691" w:space="355"/>
            <w:col w:w="4824"/>
          </w:cols>
        </w:sectPr>
      </w:pPr>
    </w:p>
    <w:p>
      <w:pPr>
        <w:pStyle w:val="BodyText"/>
        <w:spacing w:before="4"/>
        <w:ind w:left="0"/>
        <w:rPr>
          <w:sz w:val="17"/>
        </w:rPr>
      </w:pPr>
    </w:p>
    <w:p>
      <w:pPr>
        <w:spacing w:after="0"/>
        <w:rPr>
          <w:sz w:val="17"/>
        </w:rPr>
        <w:sectPr>
          <w:headerReference w:type="default" r:id="rId48"/>
          <w:footerReference w:type="default" r:id="rId49"/>
          <w:pgSz w:w="11910" w:h="16840"/>
          <w:pgMar w:header="0" w:footer="0" w:top="1920" w:bottom="280" w:left="1020" w:right="1020"/>
        </w:sectPr>
      </w:pPr>
    </w:p>
    <w:p>
      <w:pPr>
        <w:pStyle w:val="BodyText"/>
        <w:spacing w:before="4"/>
        <w:ind w:left="0"/>
        <w:rPr>
          <w:sz w:val="17"/>
        </w:rPr>
      </w:pPr>
    </w:p>
    <w:p>
      <w:pPr>
        <w:spacing w:after="0"/>
        <w:rPr>
          <w:sz w:val="17"/>
        </w:rPr>
        <w:sectPr>
          <w:headerReference w:type="even" r:id="rId50"/>
          <w:footerReference w:type="even" r:id="rId51"/>
          <w:pgSz w:w="11910" w:h="16840"/>
          <w:pgMar w:header="0" w:footer="0" w:top="1920" w:bottom="280" w:left="1020" w:right="1020"/>
        </w:sectPr>
      </w:pPr>
    </w:p>
    <w:p>
      <w:pPr>
        <w:pStyle w:val="BodyText"/>
        <w:spacing w:before="4"/>
        <w:ind w:left="0"/>
        <w:rPr>
          <w:sz w:val="17"/>
        </w:rPr>
      </w:pPr>
    </w:p>
    <w:p>
      <w:pPr>
        <w:spacing w:after="0"/>
        <w:rPr>
          <w:sz w:val="17"/>
        </w:rPr>
        <w:sectPr>
          <w:headerReference w:type="default" r:id="rId52"/>
          <w:footerReference w:type="default" r:id="rId53"/>
          <w:pgSz w:w="11910" w:h="16840"/>
          <w:pgMar w:header="0" w:footer="0" w:top="1920" w:bottom="280" w:left="1020" w:right="102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25"/>
        <w:ind w:left="0"/>
        <w:rPr>
          <w:sz w:val="20"/>
        </w:rPr>
      </w:pPr>
    </w:p>
    <w:p>
      <w:pPr>
        <w:pStyle w:val="BodyText"/>
        <w:ind w:left="767"/>
        <w:rPr>
          <w:sz w:val="20"/>
        </w:rPr>
      </w:pPr>
      <w:r>
        <w:rPr>
          <w:sz w:val="20"/>
        </w:rPr>
        <mc:AlternateContent>
          <mc:Choice Requires="wps">
            <w:drawing>
              <wp:inline distT="0" distB="0" distL="0" distR="0">
                <wp:extent cx="379095" cy="379095"/>
                <wp:effectExtent l="0" t="0" r="0" b="0"/>
                <wp:docPr id="211" name="Group 211"/>
                <wp:cNvGraphicFramePr>
                  <a:graphicFrameLocks/>
                </wp:cNvGraphicFramePr>
                <a:graphic>
                  <a:graphicData uri="http://schemas.microsoft.com/office/word/2010/wordprocessingGroup">
                    <wpg:wgp>
                      <wpg:cNvPr id="211" name="Group 211"/>
                      <wpg:cNvGrpSpPr/>
                      <wpg:grpSpPr>
                        <a:xfrm>
                          <a:off x="0" y="0"/>
                          <a:ext cx="379095" cy="379095"/>
                          <a:chExt cx="379095" cy="379095"/>
                        </a:xfrm>
                      </wpg:grpSpPr>
                      <wps:wsp>
                        <wps:cNvPr id="212" name="Graphic 212"/>
                        <wps:cNvSpPr/>
                        <wps:spPr>
                          <a:xfrm>
                            <a:off x="0" y="0"/>
                            <a:ext cx="379095" cy="379095"/>
                          </a:xfrm>
                          <a:custGeom>
                            <a:avLst/>
                            <a:gdLst/>
                            <a:ahLst/>
                            <a:cxnLst/>
                            <a:rect l="l" t="t" r="r" b="b"/>
                            <a:pathLst>
                              <a:path w="379095" h="379095">
                                <a:moveTo>
                                  <a:pt x="378663" y="0"/>
                                </a:moveTo>
                                <a:lnTo>
                                  <a:pt x="0" y="0"/>
                                </a:lnTo>
                                <a:lnTo>
                                  <a:pt x="0" y="378675"/>
                                </a:lnTo>
                                <a:lnTo>
                                  <a:pt x="378663" y="378675"/>
                                </a:lnTo>
                                <a:lnTo>
                                  <a:pt x="378663" y="281724"/>
                                </a:lnTo>
                                <a:lnTo>
                                  <a:pt x="188239" y="281724"/>
                                </a:lnTo>
                                <a:lnTo>
                                  <a:pt x="187337" y="281063"/>
                                </a:lnTo>
                                <a:lnTo>
                                  <a:pt x="171182" y="270277"/>
                                </a:lnTo>
                                <a:lnTo>
                                  <a:pt x="153963" y="262459"/>
                                </a:lnTo>
                                <a:lnTo>
                                  <a:pt x="151766" y="261874"/>
                                </a:lnTo>
                                <a:lnTo>
                                  <a:pt x="85229" y="261874"/>
                                </a:lnTo>
                                <a:lnTo>
                                  <a:pt x="83121" y="260375"/>
                                </a:lnTo>
                                <a:lnTo>
                                  <a:pt x="83121" y="103555"/>
                                </a:lnTo>
                                <a:lnTo>
                                  <a:pt x="83299" y="103162"/>
                                </a:lnTo>
                                <a:lnTo>
                                  <a:pt x="117754" y="96939"/>
                                </a:lnTo>
                                <a:lnTo>
                                  <a:pt x="378663" y="96939"/>
                                </a:lnTo>
                                <a:lnTo>
                                  <a:pt x="378663" y="0"/>
                                </a:lnTo>
                                <a:close/>
                              </a:path>
                              <a:path w="379095" h="379095">
                                <a:moveTo>
                                  <a:pt x="260591" y="256095"/>
                                </a:moveTo>
                                <a:lnTo>
                                  <a:pt x="207493" y="270277"/>
                                </a:lnTo>
                                <a:lnTo>
                                  <a:pt x="190449" y="281724"/>
                                </a:lnTo>
                                <a:lnTo>
                                  <a:pt x="378663" y="281724"/>
                                </a:lnTo>
                                <a:lnTo>
                                  <a:pt x="378663" y="261874"/>
                                </a:lnTo>
                                <a:lnTo>
                                  <a:pt x="293446" y="261874"/>
                                </a:lnTo>
                                <a:lnTo>
                                  <a:pt x="290944" y="260997"/>
                                </a:lnTo>
                                <a:lnTo>
                                  <a:pt x="283645" y="258849"/>
                                </a:lnTo>
                                <a:lnTo>
                                  <a:pt x="276134" y="257317"/>
                                </a:lnTo>
                                <a:lnTo>
                                  <a:pt x="268439" y="256400"/>
                                </a:lnTo>
                                <a:lnTo>
                                  <a:pt x="260591" y="256095"/>
                                </a:lnTo>
                                <a:close/>
                              </a:path>
                              <a:path w="379095" h="379095">
                                <a:moveTo>
                                  <a:pt x="118084" y="256095"/>
                                </a:moveTo>
                                <a:lnTo>
                                  <a:pt x="85229" y="261874"/>
                                </a:lnTo>
                                <a:lnTo>
                                  <a:pt x="151766" y="261874"/>
                                </a:lnTo>
                                <a:lnTo>
                                  <a:pt x="136118" y="257701"/>
                                </a:lnTo>
                                <a:lnTo>
                                  <a:pt x="118084" y="256095"/>
                                </a:lnTo>
                                <a:close/>
                              </a:path>
                              <a:path w="379095" h="379095">
                                <a:moveTo>
                                  <a:pt x="378663" y="96939"/>
                                </a:moveTo>
                                <a:lnTo>
                                  <a:pt x="260921" y="96939"/>
                                </a:lnTo>
                                <a:lnTo>
                                  <a:pt x="269400" y="97307"/>
                                </a:lnTo>
                                <a:lnTo>
                                  <a:pt x="277782" y="98394"/>
                                </a:lnTo>
                                <a:lnTo>
                                  <a:pt x="285976" y="100169"/>
                                </a:lnTo>
                                <a:lnTo>
                                  <a:pt x="293890" y="102603"/>
                                </a:lnTo>
                                <a:lnTo>
                                  <a:pt x="295376" y="103162"/>
                                </a:lnTo>
                                <a:lnTo>
                                  <a:pt x="295554" y="103555"/>
                                </a:lnTo>
                                <a:lnTo>
                                  <a:pt x="295554" y="260375"/>
                                </a:lnTo>
                                <a:lnTo>
                                  <a:pt x="293446" y="261874"/>
                                </a:lnTo>
                                <a:lnTo>
                                  <a:pt x="378663" y="261874"/>
                                </a:lnTo>
                                <a:lnTo>
                                  <a:pt x="378663" y="96939"/>
                                </a:lnTo>
                                <a:close/>
                              </a:path>
                              <a:path w="379095" h="379095">
                                <a:moveTo>
                                  <a:pt x="260921" y="96939"/>
                                </a:moveTo>
                                <a:lnTo>
                                  <a:pt x="117754" y="96939"/>
                                </a:lnTo>
                                <a:lnTo>
                                  <a:pt x="136476" y="98815"/>
                                </a:lnTo>
                                <a:lnTo>
                                  <a:pt x="154920" y="104143"/>
                                </a:lnTo>
                                <a:lnTo>
                                  <a:pt x="172679" y="112466"/>
                                </a:lnTo>
                                <a:lnTo>
                                  <a:pt x="189344" y="123329"/>
                                </a:lnTo>
                                <a:lnTo>
                                  <a:pt x="206007" y="112466"/>
                                </a:lnTo>
                                <a:lnTo>
                                  <a:pt x="223761" y="104143"/>
                                </a:lnTo>
                                <a:lnTo>
                                  <a:pt x="242200" y="98815"/>
                                </a:lnTo>
                                <a:lnTo>
                                  <a:pt x="260921" y="96939"/>
                                </a:lnTo>
                                <a:close/>
                              </a:path>
                            </a:pathLst>
                          </a:custGeom>
                          <a:solidFill>
                            <a:srgbClr val="77328A"/>
                          </a:solidFill>
                        </wps:spPr>
                        <wps:bodyPr wrap="square" lIns="0" tIns="0" rIns="0" bIns="0" rtlCol="0">
                          <a:prstTxWarp prst="textNoShape">
                            <a:avLst/>
                          </a:prstTxWarp>
                          <a:noAutofit/>
                        </wps:bodyPr>
                      </wps:wsp>
                    </wpg:wgp>
                  </a:graphicData>
                </a:graphic>
              </wp:inline>
            </w:drawing>
          </mc:Choice>
          <mc:Fallback>
            <w:pict>
              <v:group style="width:29.85pt;height:29.85pt;mso-position-horizontal-relative:char;mso-position-vertical-relative:line" id="docshapegroup124" coordorigin="0,0" coordsize="597,597">
                <v:shape style="position:absolute;left:0;top:0;width:597;height:597" id="docshape125" coordorigin="0,0" coordsize="597,597" path="m596,0l0,0,0,596,596,596,596,444,296,444,295,443,270,426,242,413,239,412,134,412,131,410,131,163,131,162,132,162,134,162,146,158,159,155,172,153,185,153,596,153,596,0xm410,403l382,406,354,413,327,426,301,443,300,444,596,444,596,412,462,412,458,411,447,408,435,405,423,404,410,403xm186,403l174,404,161,405,150,408,138,411,134,412,239,412,214,406,186,403xm596,153l411,153,424,153,437,155,450,158,463,162,465,162,465,163,465,410,462,412,596,412,596,153xm411,153l185,153,215,156,244,164,272,177,298,194,324,177,352,164,381,156,411,153xe" filled="true" fillcolor="#77328a" stroked="false">
                  <v:path arrowok="t"/>
                  <v:fill type="solid"/>
                </v:shape>
              </v:group>
            </w:pict>
          </mc:Fallback>
        </mc:AlternateContent>
      </w:r>
      <w:r>
        <w:rPr>
          <w:sz w:val="20"/>
        </w:rPr>
      </w:r>
    </w:p>
    <w:p>
      <w:pPr>
        <w:pStyle w:val="BodyText"/>
        <w:spacing w:before="6"/>
        <w:ind w:left="0"/>
        <w:rPr>
          <w:sz w:val="8"/>
        </w:rPr>
      </w:pPr>
      <w:r>
        <w:rPr/>
        <w:drawing>
          <wp:anchor distT="0" distB="0" distL="0" distR="0" allowOverlap="1" layoutInCell="1" locked="0" behindDoc="1" simplePos="0" relativeHeight="487634432">
            <wp:simplePos x="0" y="0"/>
            <wp:positionH relativeFrom="page">
              <wp:posOffset>904824</wp:posOffset>
            </wp:positionH>
            <wp:positionV relativeFrom="paragraph">
              <wp:posOffset>77635</wp:posOffset>
            </wp:positionV>
            <wp:extent cx="831732" cy="85725"/>
            <wp:effectExtent l="0" t="0" r="0" b="0"/>
            <wp:wrapTopAndBottom/>
            <wp:docPr id="213" name="Image 213"/>
            <wp:cNvGraphicFramePr>
              <a:graphicFrameLocks/>
            </wp:cNvGraphicFramePr>
            <a:graphic>
              <a:graphicData uri="http://schemas.openxmlformats.org/drawingml/2006/picture">
                <pic:pic>
                  <pic:nvPicPr>
                    <pic:cNvPr id="213" name="Image 213"/>
                    <pic:cNvPicPr/>
                  </pic:nvPicPr>
                  <pic:blipFill>
                    <a:blip r:embed="rId56" cstate="print"/>
                    <a:stretch>
                      <a:fillRect/>
                    </a:stretch>
                  </pic:blipFill>
                  <pic:spPr>
                    <a:xfrm>
                      <a:off x="0" y="0"/>
                      <a:ext cx="831732" cy="85725"/>
                    </a:xfrm>
                    <a:prstGeom prst="rect">
                      <a:avLst/>
                    </a:prstGeom>
                  </pic:spPr>
                </pic:pic>
              </a:graphicData>
            </a:graphic>
          </wp:anchor>
        </w:drawing>
      </w:r>
      <w:r>
        <w:rPr/>
        <w:drawing>
          <wp:anchor distT="0" distB="0" distL="0" distR="0" allowOverlap="1" layoutInCell="1" locked="0" behindDoc="1" simplePos="0" relativeHeight="487634944">
            <wp:simplePos x="0" y="0"/>
            <wp:positionH relativeFrom="page">
              <wp:posOffset>904844</wp:posOffset>
            </wp:positionH>
            <wp:positionV relativeFrom="paragraph">
              <wp:posOffset>232430</wp:posOffset>
            </wp:positionV>
            <wp:extent cx="838505" cy="87439"/>
            <wp:effectExtent l="0" t="0" r="0" b="0"/>
            <wp:wrapTopAndBottom/>
            <wp:docPr id="214" name="Image 214"/>
            <wp:cNvGraphicFramePr>
              <a:graphicFrameLocks/>
            </wp:cNvGraphicFramePr>
            <a:graphic>
              <a:graphicData uri="http://schemas.openxmlformats.org/drawingml/2006/picture">
                <pic:pic>
                  <pic:nvPicPr>
                    <pic:cNvPr id="214" name="Image 214"/>
                    <pic:cNvPicPr/>
                  </pic:nvPicPr>
                  <pic:blipFill>
                    <a:blip r:embed="rId57" cstate="print"/>
                    <a:stretch>
                      <a:fillRect/>
                    </a:stretch>
                  </pic:blipFill>
                  <pic:spPr>
                    <a:xfrm>
                      <a:off x="0" y="0"/>
                      <a:ext cx="838505" cy="87439"/>
                    </a:xfrm>
                    <a:prstGeom prst="rect">
                      <a:avLst/>
                    </a:prstGeom>
                  </pic:spPr>
                </pic:pic>
              </a:graphicData>
            </a:graphic>
          </wp:anchor>
        </w:drawing>
      </w:r>
      <w:r>
        <w:rPr/>
        <mc:AlternateContent>
          <mc:Choice Requires="wps">
            <w:drawing>
              <wp:anchor distT="0" distB="0" distL="0" distR="0" allowOverlap="1" layoutInCell="1" locked="0" behindDoc="1" simplePos="0" relativeHeight="487635456">
                <wp:simplePos x="0" y="0"/>
                <wp:positionH relativeFrom="page">
                  <wp:posOffset>905041</wp:posOffset>
                </wp:positionH>
                <wp:positionV relativeFrom="paragraph">
                  <wp:posOffset>391836</wp:posOffset>
                </wp:positionV>
                <wp:extent cx="841375" cy="133985"/>
                <wp:effectExtent l="0" t="0" r="0" b="0"/>
                <wp:wrapTopAndBottom/>
                <wp:docPr id="215" name="Group 215"/>
                <wp:cNvGraphicFramePr>
                  <a:graphicFrameLocks/>
                </wp:cNvGraphicFramePr>
                <a:graphic>
                  <a:graphicData uri="http://schemas.microsoft.com/office/word/2010/wordprocessingGroup">
                    <wpg:wgp>
                      <wpg:cNvPr id="215" name="Group 215"/>
                      <wpg:cNvGrpSpPr/>
                      <wpg:grpSpPr>
                        <a:xfrm>
                          <a:off x="0" y="0"/>
                          <a:ext cx="841375" cy="133985"/>
                          <a:chExt cx="841375" cy="133985"/>
                        </a:xfrm>
                      </wpg:grpSpPr>
                      <pic:pic>
                        <pic:nvPicPr>
                          <pic:cNvPr id="216" name="Image 216"/>
                          <pic:cNvPicPr/>
                        </pic:nvPicPr>
                        <pic:blipFill>
                          <a:blip r:embed="rId58" cstate="print"/>
                          <a:stretch>
                            <a:fillRect/>
                          </a:stretch>
                        </pic:blipFill>
                        <pic:spPr>
                          <a:xfrm>
                            <a:off x="0" y="2508"/>
                            <a:ext cx="141122" cy="128587"/>
                          </a:xfrm>
                          <a:prstGeom prst="rect">
                            <a:avLst/>
                          </a:prstGeom>
                        </pic:spPr>
                      </pic:pic>
                      <pic:pic>
                        <pic:nvPicPr>
                          <pic:cNvPr id="217" name="Image 217"/>
                          <pic:cNvPicPr/>
                        </pic:nvPicPr>
                        <pic:blipFill>
                          <a:blip r:embed="rId59" cstate="print"/>
                          <a:stretch>
                            <a:fillRect/>
                          </a:stretch>
                        </pic:blipFill>
                        <pic:spPr>
                          <a:xfrm>
                            <a:off x="180587" y="2519"/>
                            <a:ext cx="137261" cy="131089"/>
                          </a:xfrm>
                          <a:prstGeom prst="rect">
                            <a:avLst/>
                          </a:prstGeom>
                        </pic:spPr>
                      </pic:pic>
                      <pic:pic>
                        <pic:nvPicPr>
                          <pic:cNvPr id="218" name="Image 218"/>
                          <pic:cNvPicPr/>
                        </pic:nvPicPr>
                        <pic:blipFill>
                          <a:blip r:embed="rId60" cstate="print"/>
                          <a:stretch>
                            <a:fillRect/>
                          </a:stretch>
                        </pic:blipFill>
                        <pic:spPr>
                          <a:xfrm>
                            <a:off x="349769" y="2517"/>
                            <a:ext cx="165442" cy="129920"/>
                          </a:xfrm>
                          <a:prstGeom prst="rect">
                            <a:avLst/>
                          </a:prstGeom>
                        </pic:spPr>
                      </pic:pic>
                      <pic:pic>
                        <pic:nvPicPr>
                          <pic:cNvPr id="219" name="Image 219"/>
                          <pic:cNvPicPr/>
                        </pic:nvPicPr>
                        <pic:blipFill>
                          <a:blip r:embed="rId61" cstate="print"/>
                          <a:stretch>
                            <a:fillRect/>
                          </a:stretch>
                        </pic:blipFill>
                        <pic:spPr>
                          <a:xfrm>
                            <a:off x="542702" y="0"/>
                            <a:ext cx="129920" cy="131089"/>
                          </a:xfrm>
                          <a:prstGeom prst="rect">
                            <a:avLst/>
                          </a:prstGeom>
                        </pic:spPr>
                      </pic:pic>
                      <pic:pic>
                        <pic:nvPicPr>
                          <pic:cNvPr id="220" name="Image 220"/>
                          <pic:cNvPicPr/>
                        </pic:nvPicPr>
                        <pic:blipFill>
                          <a:blip r:embed="rId62" cstate="print"/>
                          <a:stretch>
                            <a:fillRect/>
                          </a:stretch>
                        </pic:blipFill>
                        <pic:spPr>
                          <a:xfrm>
                            <a:off x="698552" y="2506"/>
                            <a:ext cx="142468" cy="131102"/>
                          </a:xfrm>
                          <a:prstGeom prst="rect">
                            <a:avLst/>
                          </a:prstGeom>
                        </pic:spPr>
                      </pic:pic>
                    </wpg:wgp>
                  </a:graphicData>
                </a:graphic>
              </wp:anchor>
            </w:drawing>
          </mc:Choice>
          <mc:Fallback>
            <w:pict>
              <v:group style="position:absolute;margin-left:71.2631pt;margin-top:30.8533pt;width:66.25pt;height:10.55pt;mso-position-horizontal-relative:page;mso-position-vertical-relative:paragraph;z-index:-15681024;mso-wrap-distance-left:0;mso-wrap-distance-right:0" id="docshapegroup126" coordorigin="1425,617" coordsize="1325,211">
                <v:shape style="position:absolute;left:1425;top:621;width:223;height:203" type="#_x0000_t75" id="docshape127" stroked="false">
                  <v:imagedata r:id="rId58" o:title=""/>
                </v:shape>
                <v:shape style="position:absolute;left:1709;top:621;width:217;height:207" type="#_x0000_t75" id="docshape128" stroked="false">
                  <v:imagedata r:id="rId59" o:title=""/>
                </v:shape>
                <v:shape style="position:absolute;left:1976;top:621;width:261;height:205" type="#_x0000_t75" id="docshape129" stroked="false">
                  <v:imagedata r:id="rId60" o:title=""/>
                </v:shape>
                <v:shape style="position:absolute;left:2279;top:617;width:205;height:207" type="#_x0000_t75" id="docshape130" stroked="false">
                  <v:imagedata r:id="rId61" o:title=""/>
                </v:shape>
                <v:shape style="position:absolute;left:2525;top:621;width:225;height:207" type="#_x0000_t75" id="docshape131" stroked="false">
                  <v:imagedata r:id="rId62" o:title=""/>
                </v:shape>
                <w10:wrap type="topAndBottom"/>
              </v:group>
            </w:pict>
          </mc:Fallback>
        </mc:AlternateContent>
      </w:r>
      <w:r>
        <w:rPr/>
        <w:drawing>
          <wp:anchor distT="0" distB="0" distL="0" distR="0" allowOverlap="1" layoutInCell="1" locked="0" behindDoc="1" simplePos="0" relativeHeight="487635968">
            <wp:simplePos x="0" y="0"/>
            <wp:positionH relativeFrom="page">
              <wp:posOffset>902015</wp:posOffset>
            </wp:positionH>
            <wp:positionV relativeFrom="paragraph">
              <wp:posOffset>595276</wp:posOffset>
            </wp:positionV>
            <wp:extent cx="848536" cy="271462"/>
            <wp:effectExtent l="0" t="0" r="0" b="0"/>
            <wp:wrapTopAndBottom/>
            <wp:docPr id="221" name="Image 221"/>
            <wp:cNvGraphicFramePr>
              <a:graphicFrameLocks/>
            </wp:cNvGraphicFramePr>
            <a:graphic>
              <a:graphicData uri="http://schemas.openxmlformats.org/drawingml/2006/picture">
                <pic:pic>
                  <pic:nvPicPr>
                    <pic:cNvPr id="221" name="Image 221"/>
                    <pic:cNvPicPr/>
                  </pic:nvPicPr>
                  <pic:blipFill>
                    <a:blip r:embed="rId63" cstate="print"/>
                    <a:stretch>
                      <a:fillRect/>
                    </a:stretch>
                  </pic:blipFill>
                  <pic:spPr>
                    <a:xfrm>
                      <a:off x="0" y="0"/>
                      <a:ext cx="848536" cy="271462"/>
                    </a:xfrm>
                    <a:prstGeom prst="rect">
                      <a:avLst/>
                    </a:prstGeom>
                  </pic:spPr>
                </pic:pic>
              </a:graphicData>
            </a:graphic>
          </wp:anchor>
        </w:drawing>
      </w:r>
    </w:p>
    <w:p>
      <w:pPr>
        <w:pStyle w:val="BodyText"/>
        <w:spacing w:before="4"/>
        <w:ind w:left="0"/>
        <w:rPr>
          <w:sz w:val="7"/>
        </w:rPr>
      </w:pPr>
    </w:p>
    <w:p>
      <w:pPr>
        <w:pStyle w:val="BodyText"/>
        <w:spacing w:before="8"/>
        <w:ind w:left="0"/>
        <w:rPr>
          <w:sz w:val="7"/>
        </w:rPr>
      </w:pPr>
    </w:p>
    <w:p>
      <w:pPr>
        <w:pStyle w:val="BodyText"/>
        <w:spacing w:before="5"/>
        <w:ind w:left="0"/>
        <w:rPr>
          <w:sz w:val="7"/>
        </w:rPr>
      </w:pPr>
    </w:p>
    <w:p>
      <w:pPr>
        <w:pStyle w:val="BodyText"/>
        <w:ind w:left="0"/>
        <w:rPr>
          <w:sz w:val="20"/>
        </w:rPr>
      </w:pPr>
    </w:p>
    <w:p>
      <w:pPr>
        <w:pStyle w:val="BodyText"/>
        <w:spacing w:before="91"/>
        <w:ind w:left="0"/>
        <w:rPr>
          <w:sz w:val="20"/>
        </w:rPr>
      </w:pPr>
    </w:p>
    <w:p>
      <w:pPr>
        <w:spacing w:before="1"/>
        <w:ind w:left="408" w:right="5095" w:firstLine="0"/>
        <w:jc w:val="left"/>
        <w:rPr>
          <w:rFonts w:ascii="Lucida Sans Unicode"/>
          <w:sz w:val="20"/>
        </w:rPr>
      </w:pPr>
      <w:r>
        <w:rPr>
          <w:color w:val="77328A"/>
          <w:w w:val="110"/>
          <w:sz w:val="20"/>
        </w:rPr>
        <w:t>Northern Ireland Human Rights </w:t>
      </w:r>
      <w:r>
        <w:rPr>
          <w:color w:val="77328A"/>
          <w:w w:val="110"/>
          <w:sz w:val="20"/>
        </w:rPr>
        <w:t>Commission </w:t>
      </w:r>
      <w:r>
        <w:rPr>
          <w:rFonts w:ascii="Lucida Sans Unicode"/>
          <w:color w:val="77328A"/>
          <w:w w:val="110"/>
          <w:sz w:val="20"/>
        </w:rPr>
        <w:t>4th Floor Alfred House</w:t>
      </w:r>
    </w:p>
    <w:p>
      <w:pPr>
        <w:spacing w:line="250" w:lineRule="exact" w:before="0"/>
        <w:ind w:left="408" w:right="0" w:firstLine="0"/>
        <w:jc w:val="left"/>
        <w:rPr>
          <w:rFonts w:ascii="Lucida Sans Unicode"/>
          <w:sz w:val="20"/>
        </w:rPr>
      </w:pPr>
      <w:r>
        <w:rPr>
          <w:rFonts w:ascii="Lucida Sans Unicode"/>
          <w:color w:val="77328A"/>
          <w:w w:val="90"/>
          <w:sz w:val="20"/>
        </w:rPr>
        <w:t>19-21</w:t>
      </w:r>
      <w:r>
        <w:rPr>
          <w:rFonts w:ascii="Lucida Sans Unicode"/>
          <w:color w:val="77328A"/>
          <w:spacing w:val="-4"/>
          <w:w w:val="90"/>
          <w:sz w:val="20"/>
        </w:rPr>
        <w:t> </w:t>
      </w:r>
      <w:r>
        <w:rPr>
          <w:rFonts w:ascii="Lucida Sans Unicode"/>
          <w:color w:val="77328A"/>
          <w:w w:val="90"/>
          <w:sz w:val="20"/>
        </w:rPr>
        <w:t>Alfred</w:t>
      </w:r>
      <w:r>
        <w:rPr>
          <w:rFonts w:ascii="Lucida Sans Unicode"/>
          <w:color w:val="77328A"/>
          <w:spacing w:val="-3"/>
          <w:w w:val="90"/>
          <w:sz w:val="20"/>
        </w:rPr>
        <w:t> </w:t>
      </w:r>
      <w:r>
        <w:rPr>
          <w:rFonts w:ascii="Lucida Sans Unicode"/>
          <w:color w:val="77328A"/>
          <w:spacing w:val="-2"/>
          <w:w w:val="90"/>
          <w:sz w:val="20"/>
        </w:rPr>
        <w:t>Street</w:t>
      </w:r>
    </w:p>
    <w:p>
      <w:pPr>
        <w:spacing w:line="237" w:lineRule="auto" w:before="0"/>
        <w:ind w:left="408" w:right="8582" w:firstLine="0"/>
        <w:jc w:val="left"/>
        <w:rPr>
          <w:rFonts w:ascii="Lucida Sans Unicode"/>
          <w:sz w:val="20"/>
        </w:rPr>
      </w:pPr>
      <w:r>
        <w:rPr>
          <w:color w:val="77328A"/>
          <w:spacing w:val="-2"/>
          <w:w w:val="110"/>
          <w:sz w:val="20"/>
        </w:rPr>
        <w:t>Belfast </w:t>
      </w:r>
      <w:r>
        <w:rPr>
          <w:rFonts w:ascii="Lucida Sans Unicode"/>
          <w:color w:val="77328A"/>
          <w:spacing w:val="-4"/>
          <w:w w:val="110"/>
          <w:sz w:val="20"/>
        </w:rPr>
        <w:t>BT2</w:t>
      </w:r>
      <w:r>
        <w:rPr>
          <w:rFonts w:ascii="Lucida Sans Unicode"/>
          <w:color w:val="77328A"/>
          <w:spacing w:val="-14"/>
          <w:w w:val="110"/>
          <w:sz w:val="20"/>
        </w:rPr>
        <w:t> </w:t>
      </w:r>
      <w:r>
        <w:rPr>
          <w:rFonts w:ascii="Lucida Sans Unicode"/>
          <w:color w:val="77328A"/>
          <w:spacing w:val="-4"/>
          <w:w w:val="110"/>
          <w:sz w:val="20"/>
        </w:rPr>
        <w:t>8ED</w:t>
      </w:r>
    </w:p>
    <w:p>
      <w:pPr>
        <w:tabs>
          <w:tab w:pos="805" w:val="left" w:leader="none"/>
        </w:tabs>
        <w:spacing w:line="293" w:lineRule="exact" w:before="175"/>
        <w:ind w:left="408" w:right="0" w:firstLine="0"/>
        <w:jc w:val="left"/>
        <w:rPr>
          <w:rFonts w:ascii="Lucida Sans Unicode"/>
          <w:sz w:val="20"/>
        </w:rPr>
      </w:pPr>
      <w:r>
        <w:rPr>
          <w:rFonts w:ascii="Tahoma"/>
          <w:b/>
          <w:color w:val="77328A"/>
          <w:spacing w:val="-5"/>
          <w:sz w:val="20"/>
        </w:rPr>
        <w:t>T:</w:t>
      </w:r>
      <w:r>
        <w:rPr>
          <w:rFonts w:ascii="Tahoma"/>
          <w:b/>
          <w:color w:val="77328A"/>
          <w:sz w:val="20"/>
        </w:rPr>
        <w:tab/>
      </w:r>
      <w:r>
        <w:rPr>
          <w:rFonts w:ascii="Lucida Sans Unicode"/>
          <w:color w:val="77328A"/>
          <w:sz w:val="20"/>
        </w:rPr>
        <w:t>+44</w:t>
      </w:r>
      <w:r>
        <w:rPr>
          <w:rFonts w:ascii="Lucida Sans Unicode"/>
          <w:color w:val="77328A"/>
          <w:spacing w:val="10"/>
          <w:sz w:val="20"/>
        </w:rPr>
        <w:t> </w:t>
      </w:r>
      <w:r>
        <w:rPr>
          <w:rFonts w:ascii="Lucida Sans Unicode"/>
          <w:color w:val="77328A"/>
          <w:sz w:val="20"/>
        </w:rPr>
        <w:t>(0)28</w:t>
      </w:r>
      <w:r>
        <w:rPr>
          <w:rFonts w:ascii="Lucida Sans Unicode"/>
          <w:color w:val="77328A"/>
          <w:spacing w:val="11"/>
          <w:sz w:val="20"/>
        </w:rPr>
        <w:t> </w:t>
      </w:r>
      <w:r>
        <w:rPr>
          <w:rFonts w:ascii="Lucida Sans Unicode"/>
          <w:color w:val="77328A"/>
          <w:sz w:val="20"/>
        </w:rPr>
        <w:t>9024</w:t>
      </w:r>
      <w:r>
        <w:rPr>
          <w:rFonts w:ascii="Lucida Sans Unicode"/>
          <w:color w:val="77328A"/>
          <w:spacing w:val="11"/>
          <w:sz w:val="20"/>
        </w:rPr>
        <w:t> </w:t>
      </w:r>
      <w:r>
        <w:rPr>
          <w:rFonts w:ascii="Lucida Sans Unicode"/>
          <w:color w:val="77328A"/>
          <w:spacing w:val="-4"/>
          <w:sz w:val="20"/>
        </w:rPr>
        <w:t>3987</w:t>
      </w:r>
    </w:p>
    <w:p>
      <w:pPr>
        <w:tabs>
          <w:tab w:pos="805" w:val="left" w:leader="none"/>
        </w:tabs>
        <w:spacing w:line="228" w:lineRule="exact" w:before="0"/>
        <w:ind w:left="408" w:right="0" w:firstLine="0"/>
        <w:jc w:val="left"/>
        <w:rPr>
          <w:sz w:val="20"/>
        </w:rPr>
      </w:pPr>
      <w:r>
        <w:rPr>
          <w:rFonts w:ascii="Tahoma"/>
          <w:b/>
          <w:color w:val="77328A"/>
          <w:spacing w:val="-5"/>
          <w:w w:val="110"/>
          <w:sz w:val="20"/>
        </w:rPr>
        <w:t>E:</w:t>
      </w:r>
      <w:r>
        <w:rPr>
          <w:rFonts w:ascii="Tahoma"/>
          <w:b/>
          <w:color w:val="77328A"/>
          <w:sz w:val="20"/>
        </w:rPr>
        <w:tab/>
      </w:r>
      <w:hyperlink r:id="rId64">
        <w:r>
          <w:rPr>
            <w:color w:val="77328A"/>
            <w:spacing w:val="-2"/>
            <w:w w:val="110"/>
            <w:sz w:val="20"/>
          </w:rPr>
          <w:t>info@nihrc.org</w:t>
        </w:r>
      </w:hyperlink>
    </w:p>
    <w:p>
      <w:pPr>
        <w:spacing w:before="17"/>
        <w:ind w:left="408" w:right="0" w:firstLine="0"/>
        <w:jc w:val="left"/>
        <w:rPr>
          <w:sz w:val="20"/>
        </w:rPr>
      </w:pPr>
      <w:r>
        <w:rPr>
          <w:rFonts w:ascii="Tahoma"/>
          <w:b/>
          <w:color w:val="77328A"/>
          <w:w w:val="110"/>
          <w:sz w:val="20"/>
        </w:rPr>
        <w:t>W:</w:t>
      </w:r>
      <w:r>
        <w:rPr>
          <w:rFonts w:ascii="Tahoma"/>
          <w:b/>
          <w:color w:val="77328A"/>
          <w:spacing w:val="23"/>
          <w:w w:val="110"/>
          <w:sz w:val="20"/>
        </w:rPr>
        <w:t> </w:t>
      </w:r>
      <w:hyperlink r:id="rId65">
        <w:r>
          <w:rPr>
            <w:color w:val="77328A"/>
            <w:spacing w:val="-2"/>
            <w:w w:val="110"/>
            <w:sz w:val="20"/>
          </w:rPr>
          <w:t>www.nihrc.org</w:t>
        </w:r>
      </w:hyperlink>
    </w:p>
    <w:p>
      <w:pPr>
        <w:pStyle w:val="BodyText"/>
        <w:spacing w:before="73"/>
        <w:ind w:left="0"/>
        <w:rPr>
          <w:sz w:val="20"/>
        </w:rPr>
      </w:pPr>
      <w:r>
        <w:rPr/>
        <w:drawing>
          <wp:anchor distT="0" distB="0" distL="0" distR="0" allowOverlap="1" layoutInCell="1" locked="0" behindDoc="1" simplePos="0" relativeHeight="487636480">
            <wp:simplePos x="0" y="0"/>
            <wp:positionH relativeFrom="page">
              <wp:posOffset>907206</wp:posOffset>
            </wp:positionH>
            <wp:positionV relativeFrom="paragraph">
              <wp:posOffset>207656</wp:posOffset>
            </wp:positionV>
            <wp:extent cx="144459" cy="147637"/>
            <wp:effectExtent l="0" t="0" r="0" b="0"/>
            <wp:wrapTopAndBottom/>
            <wp:docPr id="222" name="Image 222"/>
            <wp:cNvGraphicFramePr>
              <a:graphicFrameLocks/>
            </wp:cNvGraphicFramePr>
            <a:graphic>
              <a:graphicData uri="http://schemas.openxmlformats.org/drawingml/2006/picture">
                <pic:pic>
                  <pic:nvPicPr>
                    <pic:cNvPr id="222" name="Image 222"/>
                    <pic:cNvPicPr/>
                  </pic:nvPicPr>
                  <pic:blipFill>
                    <a:blip r:embed="rId66" cstate="print"/>
                    <a:stretch>
                      <a:fillRect/>
                    </a:stretch>
                  </pic:blipFill>
                  <pic:spPr>
                    <a:xfrm>
                      <a:off x="0" y="0"/>
                      <a:ext cx="144459" cy="147637"/>
                    </a:xfrm>
                    <a:prstGeom prst="rect">
                      <a:avLst/>
                    </a:prstGeom>
                  </pic:spPr>
                </pic:pic>
              </a:graphicData>
            </a:graphic>
          </wp:anchor>
        </w:drawing>
      </w:r>
      <w:r>
        <w:rPr/>
        <w:drawing>
          <wp:anchor distT="0" distB="0" distL="0" distR="0" allowOverlap="1" layoutInCell="1" locked="0" behindDoc="1" simplePos="0" relativeHeight="487636992">
            <wp:simplePos x="0" y="0"/>
            <wp:positionH relativeFrom="page">
              <wp:posOffset>1173629</wp:posOffset>
            </wp:positionH>
            <wp:positionV relativeFrom="paragraph">
              <wp:posOffset>207802</wp:posOffset>
            </wp:positionV>
            <wp:extent cx="147802" cy="147637"/>
            <wp:effectExtent l="0" t="0" r="0" b="0"/>
            <wp:wrapTopAndBottom/>
            <wp:docPr id="223" name="Image 223"/>
            <wp:cNvGraphicFramePr>
              <a:graphicFrameLocks/>
            </wp:cNvGraphicFramePr>
            <a:graphic>
              <a:graphicData uri="http://schemas.openxmlformats.org/drawingml/2006/picture">
                <pic:pic>
                  <pic:nvPicPr>
                    <pic:cNvPr id="223" name="Image 223"/>
                    <pic:cNvPicPr/>
                  </pic:nvPicPr>
                  <pic:blipFill>
                    <a:blip r:embed="rId67" cstate="print"/>
                    <a:stretch>
                      <a:fillRect/>
                    </a:stretch>
                  </pic:blipFill>
                  <pic:spPr>
                    <a:xfrm>
                      <a:off x="0" y="0"/>
                      <a:ext cx="147802" cy="147637"/>
                    </a:xfrm>
                    <a:prstGeom prst="rect">
                      <a:avLst/>
                    </a:prstGeom>
                  </pic:spPr>
                </pic:pic>
              </a:graphicData>
            </a:graphic>
          </wp:anchor>
        </w:drawing>
      </w:r>
      <w:r>
        <w:rPr/>
        <w:drawing>
          <wp:anchor distT="0" distB="0" distL="0" distR="0" allowOverlap="1" layoutInCell="1" locked="0" behindDoc="1" simplePos="0" relativeHeight="487637504">
            <wp:simplePos x="0" y="0"/>
            <wp:positionH relativeFrom="page">
              <wp:posOffset>1443475</wp:posOffset>
            </wp:positionH>
            <wp:positionV relativeFrom="paragraph">
              <wp:posOffset>207743</wp:posOffset>
            </wp:positionV>
            <wp:extent cx="147380" cy="147637"/>
            <wp:effectExtent l="0" t="0" r="0" b="0"/>
            <wp:wrapTopAndBottom/>
            <wp:docPr id="224" name="Image 224"/>
            <wp:cNvGraphicFramePr>
              <a:graphicFrameLocks/>
            </wp:cNvGraphicFramePr>
            <a:graphic>
              <a:graphicData uri="http://schemas.openxmlformats.org/drawingml/2006/picture">
                <pic:pic>
                  <pic:nvPicPr>
                    <pic:cNvPr id="224" name="Image 224"/>
                    <pic:cNvPicPr/>
                  </pic:nvPicPr>
                  <pic:blipFill>
                    <a:blip r:embed="rId68" cstate="print"/>
                    <a:stretch>
                      <a:fillRect/>
                    </a:stretch>
                  </pic:blipFill>
                  <pic:spPr>
                    <a:xfrm>
                      <a:off x="0" y="0"/>
                      <a:ext cx="147380" cy="147637"/>
                    </a:xfrm>
                    <a:prstGeom prst="rect">
                      <a:avLst/>
                    </a:prstGeom>
                  </pic:spPr>
                </pic:pic>
              </a:graphicData>
            </a:graphic>
          </wp:anchor>
        </w:drawing>
      </w:r>
      <w:r>
        <w:rPr/>
        <w:drawing>
          <wp:anchor distT="0" distB="0" distL="0" distR="0" allowOverlap="1" layoutInCell="1" locked="0" behindDoc="1" simplePos="0" relativeHeight="487638016">
            <wp:simplePos x="0" y="0"/>
            <wp:positionH relativeFrom="page">
              <wp:posOffset>1712869</wp:posOffset>
            </wp:positionH>
            <wp:positionV relativeFrom="paragraph">
              <wp:posOffset>207632</wp:posOffset>
            </wp:positionV>
            <wp:extent cx="147612" cy="147637"/>
            <wp:effectExtent l="0" t="0" r="0" b="0"/>
            <wp:wrapTopAndBottom/>
            <wp:docPr id="225" name="Image 225"/>
            <wp:cNvGraphicFramePr>
              <a:graphicFrameLocks/>
            </wp:cNvGraphicFramePr>
            <a:graphic>
              <a:graphicData uri="http://schemas.openxmlformats.org/drawingml/2006/picture">
                <pic:pic>
                  <pic:nvPicPr>
                    <pic:cNvPr id="225" name="Image 225"/>
                    <pic:cNvPicPr/>
                  </pic:nvPicPr>
                  <pic:blipFill>
                    <a:blip r:embed="rId69" cstate="print"/>
                    <a:stretch>
                      <a:fillRect/>
                    </a:stretch>
                  </pic:blipFill>
                  <pic:spPr>
                    <a:xfrm>
                      <a:off x="0" y="0"/>
                      <a:ext cx="147612" cy="147637"/>
                    </a:xfrm>
                    <a:prstGeom prst="rect">
                      <a:avLst/>
                    </a:prstGeom>
                  </pic:spPr>
                </pic:pic>
              </a:graphicData>
            </a:graphic>
          </wp:anchor>
        </w:drawing>
      </w:r>
      <w:r>
        <w:rPr/>
        <w:drawing>
          <wp:anchor distT="0" distB="0" distL="0" distR="0" allowOverlap="1" layoutInCell="1" locked="0" behindDoc="1" simplePos="0" relativeHeight="487638528">
            <wp:simplePos x="0" y="0"/>
            <wp:positionH relativeFrom="page">
              <wp:posOffset>1982485</wp:posOffset>
            </wp:positionH>
            <wp:positionV relativeFrom="paragraph">
              <wp:posOffset>207825</wp:posOffset>
            </wp:positionV>
            <wp:extent cx="195113" cy="147637"/>
            <wp:effectExtent l="0" t="0" r="0" b="0"/>
            <wp:wrapTopAndBottom/>
            <wp:docPr id="226" name="Image 226"/>
            <wp:cNvGraphicFramePr>
              <a:graphicFrameLocks/>
            </wp:cNvGraphicFramePr>
            <a:graphic>
              <a:graphicData uri="http://schemas.openxmlformats.org/drawingml/2006/picture">
                <pic:pic>
                  <pic:nvPicPr>
                    <pic:cNvPr id="226" name="Image 226"/>
                    <pic:cNvPicPr/>
                  </pic:nvPicPr>
                  <pic:blipFill>
                    <a:blip r:embed="rId70" cstate="print"/>
                    <a:stretch>
                      <a:fillRect/>
                    </a:stretch>
                  </pic:blipFill>
                  <pic:spPr>
                    <a:xfrm>
                      <a:off x="0" y="0"/>
                      <a:ext cx="195113" cy="147637"/>
                    </a:xfrm>
                    <a:prstGeom prst="rect">
                      <a:avLst/>
                    </a:prstGeom>
                  </pic:spPr>
                </pic:pic>
              </a:graphicData>
            </a:graphic>
          </wp:anchor>
        </w:drawing>
      </w:r>
    </w:p>
    <w:sectPr>
      <w:headerReference w:type="even" r:id="rId54"/>
      <w:footerReference w:type="even" r:id="rId55"/>
      <w:pgSz w:w="11910" w:h="16840"/>
      <w:pgMar w:header="0" w:footer="0" w:top="1920" w:bottom="280" w:left="102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ucida Sans Unicode">
    <w:altName w:val="Lucida Sans Unicode"/>
    <w:charset w:val="0"/>
    <w:family w:val="swiss"/>
    <w:pitch w:val="variable"/>
  </w:font>
  <w:font w:name="Arial">
    <w:altName w:val="Arial"/>
    <w:charset w:val="0"/>
    <w:family w:val="swiss"/>
    <w:pitch w:val="variable"/>
  </w:font>
  <w:font w:name="Verdana">
    <w:altName w:val="Verdana"/>
    <w:charset w:val="0"/>
    <w:family w:val="swiss"/>
    <w:pitch w:val="variable"/>
  </w:font>
  <w:font w:name="Trebuchet MS">
    <w:altName w:val="Trebuchet MS"/>
    <w:charset w:val="0"/>
    <w:family w:val="swiss"/>
    <w:pitch w:val="variable"/>
  </w:font>
  <w:font w:name="Tahoma">
    <w:altName w:val="Tahoma"/>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5730304">
              <wp:simplePos x="0" y="0"/>
              <wp:positionH relativeFrom="page">
                <wp:posOffset>719999</wp:posOffset>
              </wp:positionH>
              <wp:positionV relativeFrom="page">
                <wp:posOffset>10148827</wp:posOffset>
              </wp:positionV>
              <wp:extent cx="6120130" cy="127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6120130" cy="1270"/>
                      </a:xfrm>
                      <a:custGeom>
                        <a:avLst/>
                        <a:gdLst/>
                        <a:ahLst/>
                        <a:cxnLst/>
                        <a:rect l="l" t="t" r="r" b="b"/>
                        <a:pathLst>
                          <a:path w="6120130" h="0">
                            <a:moveTo>
                              <a:pt x="0" y="0"/>
                            </a:moveTo>
                            <a:lnTo>
                              <a:pt x="6120003" y="0"/>
                            </a:lnTo>
                          </a:path>
                          <a:path w="6120130" h="0">
                            <a:moveTo>
                              <a:pt x="0" y="0"/>
                            </a:moveTo>
                            <a:lnTo>
                              <a:pt x="6120003" y="0"/>
                            </a:lnTo>
                          </a:path>
                        </a:pathLst>
                      </a:custGeom>
                      <a:ln w="6350">
                        <a:solidFill>
                          <a:srgbClr val="9D9D9C"/>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799.1203pt;width:481.9pt;height:.1pt;mso-position-horizontal-relative:page;mso-position-vertical-relative:page;z-index:-17586176" id="docshape39" coordorigin="1134,15982" coordsize="9638,0" path="m1134,15982l10772,15982m1134,15982l10772,15982e" filled="false" stroked="true" strokeweight=".5pt" strokecolor="#9d9d9c">
              <v:path arrowok="t"/>
              <v:stroke dashstyle="solid"/>
              <w10:wrap type="none"/>
            </v:shape>
          </w:pict>
        </mc:Fallback>
      </mc:AlternateContent>
    </w:r>
    <w:r>
      <w:rPr/>
      <mc:AlternateContent>
        <mc:Choice Requires="wps">
          <w:drawing>
            <wp:anchor distT="0" distB="0" distL="0" distR="0" allowOverlap="1" layoutInCell="1" locked="0" behindDoc="1" simplePos="0" relativeHeight="485730816">
              <wp:simplePos x="0" y="0"/>
              <wp:positionH relativeFrom="page">
                <wp:posOffset>6668805</wp:posOffset>
              </wp:positionH>
              <wp:positionV relativeFrom="page">
                <wp:posOffset>10202429</wp:posOffset>
              </wp:positionV>
              <wp:extent cx="222250" cy="13779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222250" cy="137795"/>
                      </a:xfrm>
                      <a:prstGeom prst="rect">
                        <a:avLst/>
                      </a:prstGeom>
                    </wps:spPr>
                    <wps:txbx>
                      <w:txbxContent>
                        <w:p>
                          <w:pPr>
                            <w:spacing w:before="9"/>
                            <w:ind w:left="60" w:right="0" w:firstLine="0"/>
                            <w:jc w:val="left"/>
                            <w:rPr>
                              <w:rFonts w:ascii="Tahoma"/>
                              <w:b/>
                              <w:sz w:val="16"/>
                            </w:rPr>
                          </w:pPr>
                          <w:r>
                            <w:rPr>
                              <w:rFonts w:ascii="Tahoma"/>
                              <w:b/>
                              <w:color w:val="77328A"/>
                              <w:spacing w:val="-5"/>
                              <w:sz w:val="16"/>
                            </w:rPr>
                            <w:fldChar w:fldCharType="begin"/>
                          </w:r>
                          <w:r>
                            <w:rPr>
                              <w:rFonts w:ascii="Tahoma"/>
                              <w:b/>
                              <w:color w:val="77328A"/>
                              <w:spacing w:val="-5"/>
                              <w:sz w:val="16"/>
                            </w:rPr>
                            <w:instrText> PAGE </w:instrText>
                          </w:r>
                          <w:r>
                            <w:rPr>
                              <w:rFonts w:ascii="Tahoma"/>
                              <w:b/>
                              <w:color w:val="77328A"/>
                              <w:spacing w:val="-5"/>
                              <w:sz w:val="16"/>
                            </w:rPr>
                            <w:fldChar w:fldCharType="separate"/>
                          </w:r>
                          <w:r>
                            <w:rPr>
                              <w:rFonts w:ascii="Tahoma"/>
                              <w:b/>
                              <w:color w:val="77328A"/>
                              <w:spacing w:val="-5"/>
                              <w:sz w:val="16"/>
                            </w:rPr>
                            <w:t>43</w:t>
                          </w:r>
                          <w:r>
                            <w:rPr>
                              <w:rFonts w:ascii="Tahoma"/>
                              <w:b/>
                              <w:color w:val="77328A"/>
                              <w:spacing w:val="-5"/>
                              <w:sz w:val="16"/>
                            </w:rPr>
                            <w:fldChar w:fldCharType="end"/>
                          </w:r>
                        </w:p>
                      </w:txbxContent>
                    </wps:txbx>
                    <wps:bodyPr wrap="square" lIns="0" tIns="0" rIns="0" bIns="0" rtlCol="0">
                      <a:noAutofit/>
                    </wps:bodyPr>
                  </wps:wsp>
                </a:graphicData>
              </a:graphic>
            </wp:anchor>
          </w:drawing>
        </mc:Choice>
        <mc:Fallback>
          <w:pict>
            <v:shape style="position:absolute;margin-left:525.102783pt;margin-top:803.340942pt;width:17.5pt;height:10.85pt;mso-position-horizontal-relative:page;mso-position-vertical-relative:page;z-index:-17585664" type="#_x0000_t202" id="docshape40" filled="false" stroked="false">
              <v:textbox inset="0,0,0,0">
                <w:txbxContent>
                  <w:p>
                    <w:pPr>
                      <w:spacing w:before="9"/>
                      <w:ind w:left="60" w:right="0" w:firstLine="0"/>
                      <w:jc w:val="left"/>
                      <w:rPr>
                        <w:rFonts w:ascii="Tahoma"/>
                        <w:b/>
                        <w:sz w:val="16"/>
                      </w:rPr>
                    </w:pPr>
                    <w:r>
                      <w:rPr>
                        <w:rFonts w:ascii="Tahoma"/>
                        <w:b/>
                        <w:color w:val="77328A"/>
                        <w:spacing w:val="-5"/>
                        <w:sz w:val="16"/>
                      </w:rPr>
                      <w:fldChar w:fldCharType="begin"/>
                    </w:r>
                    <w:r>
                      <w:rPr>
                        <w:rFonts w:ascii="Tahoma"/>
                        <w:b/>
                        <w:color w:val="77328A"/>
                        <w:spacing w:val="-5"/>
                        <w:sz w:val="16"/>
                      </w:rPr>
                      <w:instrText> PAGE </w:instrText>
                    </w:r>
                    <w:r>
                      <w:rPr>
                        <w:rFonts w:ascii="Tahoma"/>
                        <w:b/>
                        <w:color w:val="77328A"/>
                        <w:spacing w:val="-5"/>
                        <w:sz w:val="16"/>
                      </w:rPr>
                      <w:fldChar w:fldCharType="separate"/>
                    </w:r>
                    <w:r>
                      <w:rPr>
                        <w:rFonts w:ascii="Tahoma"/>
                        <w:b/>
                        <w:color w:val="77328A"/>
                        <w:spacing w:val="-5"/>
                        <w:sz w:val="16"/>
                      </w:rPr>
                      <w:t>43</w:t>
                    </w:r>
                    <w:r>
                      <w:rPr>
                        <w:rFonts w:ascii="Tahoma"/>
                        <w:b/>
                        <w:color w:val="77328A"/>
                        <w:spacing w:val="-5"/>
                        <w:sz w:val="16"/>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5731328">
              <wp:simplePos x="0" y="0"/>
              <wp:positionH relativeFrom="page">
                <wp:posOffset>719999</wp:posOffset>
              </wp:positionH>
              <wp:positionV relativeFrom="page">
                <wp:posOffset>10148827</wp:posOffset>
              </wp:positionV>
              <wp:extent cx="6120130" cy="1270"/>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6120130" cy="1270"/>
                      </a:xfrm>
                      <a:custGeom>
                        <a:avLst/>
                        <a:gdLst/>
                        <a:ahLst/>
                        <a:cxnLst/>
                        <a:rect l="l" t="t" r="r" b="b"/>
                        <a:pathLst>
                          <a:path w="6120130" h="0">
                            <a:moveTo>
                              <a:pt x="0" y="0"/>
                            </a:moveTo>
                            <a:lnTo>
                              <a:pt x="6120003" y="0"/>
                            </a:lnTo>
                          </a:path>
                          <a:path w="6120130" h="0">
                            <a:moveTo>
                              <a:pt x="0" y="0"/>
                            </a:moveTo>
                            <a:lnTo>
                              <a:pt x="6120003" y="0"/>
                            </a:lnTo>
                          </a:path>
                        </a:pathLst>
                      </a:custGeom>
                      <a:ln w="6350">
                        <a:solidFill>
                          <a:srgbClr val="9D9D9C"/>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799.1203pt;width:481.9pt;height:.1pt;mso-position-horizontal-relative:page;mso-position-vertical-relative:page;z-index:-17585152" id="docshape41" coordorigin="1134,15982" coordsize="9638,0" path="m1134,15982l10772,15982m1134,15982l10772,15982e" filled="false" stroked="true" strokeweight=".5pt" strokecolor="#9d9d9c">
              <v:path arrowok="t"/>
              <v:stroke dashstyle="solid"/>
              <w10:wrap type="none"/>
            </v:shape>
          </w:pict>
        </mc:Fallback>
      </mc:AlternateContent>
    </w:r>
    <w:r>
      <w:rPr/>
      <mc:AlternateContent>
        <mc:Choice Requires="wps">
          <w:drawing>
            <wp:anchor distT="0" distB="0" distL="0" distR="0" allowOverlap="1" layoutInCell="1" locked="0" behindDoc="1" simplePos="0" relativeHeight="485731840">
              <wp:simplePos x="0" y="0"/>
              <wp:positionH relativeFrom="page">
                <wp:posOffset>681899</wp:posOffset>
              </wp:positionH>
              <wp:positionV relativeFrom="page">
                <wp:posOffset>10202429</wp:posOffset>
              </wp:positionV>
              <wp:extent cx="233679" cy="137795"/>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233679" cy="137795"/>
                      </a:xfrm>
                      <a:prstGeom prst="rect">
                        <a:avLst/>
                      </a:prstGeom>
                    </wps:spPr>
                    <wps:txbx>
                      <w:txbxContent>
                        <w:p>
                          <w:pPr>
                            <w:spacing w:before="9"/>
                            <w:ind w:left="60" w:right="0" w:firstLine="0"/>
                            <w:jc w:val="left"/>
                            <w:rPr>
                              <w:rFonts w:ascii="Tahoma"/>
                              <w:b/>
                              <w:sz w:val="16"/>
                            </w:rPr>
                          </w:pPr>
                          <w:r>
                            <w:rPr>
                              <w:rFonts w:ascii="Tahoma"/>
                              <w:b/>
                              <w:color w:val="77328A"/>
                              <w:spacing w:val="-5"/>
                              <w:w w:val="110"/>
                              <w:sz w:val="16"/>
                            </w:rPr>
                            <w:fldChar w:fldCharType="begin"/>
                          </w:r>
                          <w:r>
                            <w:rPr>
                              <w:rFonts w:ascii="Tahoma"/>
                              <w:b/>
                              <w:color w:val="77328A"/>
                              <w:spacing w:val="-5"/>
                              <w:w w:val="110"/>
                              <w:sz w:val="16"/>
                            </w:rPr>
                            <w:instrText> PAGE </w:instrText>
                          </w:r>
                          <w:r>
                            <w:rPr>
                              <w:rFonts w:ascii="Tahoma"/>
                              <w:b/>
                              <w:color w:val="77328A"/>
                              <w:spacing w:val="-5"/>
                              <w:w w:val="110"/>
                              <w:sz w:val="16"/>
                            </w:rPr>
                            <w:fldChar w:fldCharType="separate"/>
                          </w:r>
                          <w:r>
                            <w:rPr>
                              <w:rFonts w:ascii="Tahoma"/>
                              <w:b/>
                              <w:color w:val="77328A"/>
                              <w:spacing w:val="-5"/>
                              <w:w w:val="110"/>
                              <w:sz w:val="16"/>
                            </w:rPr>
                            <w:t>40</w:t>
                          </w:r>
                          <w:r>
                            <w:rPr>
                              <w:rFonts w:ascii="Tahoma"/>
                              <w:b/>
                              <w:color w:val="77328A"/>
                              <w:spacing w:val="-5"/>
                              <w:w w:val="110"/>
                              <w:sz w:val="16"/>
                            </w:rPr>
                            <w:fldChar w:fldCharType="end"/>
                          </w:r>
                        </w:p>
                      </w:txbxContent>
                    </wps:txbx>
                    <wps:bodyPr wrap="square" lIns="0" tIns="0" rIns="0" bIns="0" rtlCol="0">
                      <a:noAutofit/>
                    </wps:bodyPr>
                  </wps:wsp>
                </a:graphicData>
              </a:graphic>
            </wp:anchor>
          </w:drawing>
        </mc:Choice>
        <mc:Fallback>
          <w:pict>
            <v:shape style="position:absolute;margin-left:53.692902pt;margin-top:803.340942pt;width:18.4pt;height:10.85pt;mso-position-horizontal-relative:page;mso-position-vertical-relative:page;z-index:-17584640" type="#_x0000_t202" id="docshape42" filled="false" stroked="false">
              <v:textbox inset="0,0,0,0">
                <w:txbxContent>
                  <w:p>
                    <w:pPr>
                      <w:spacing w:before="9"/>
                      <w:ind w:left="60" w:right="0" w:firstLine="0"/>
                      <w:jc w:val="left"/>
                      <w:rPr>
                        <w:rFonts w:ascii="Tahoma"/>
                        <w:b/>
                        <w:sz w:val="16"/>
                      </w:rPr>
                    </w:pPr>
                    <w:r>
                      <w:rPr>
                        <w:rFonts w:ascii="Tahoma"/>
                        <w:b/>
                        <w:color w:val="77328A"/>
                        <w:spacing w:val="-5"/>
                        <w:w w:val="110"/>
                        <w:sz w:val="16"/>
                      </w:rPr>
                      <w:fldChar w:fldCharType="begin"/>
                    </w:r>
                    <w:r>
                      <w:rPr>
                        <w:rFonts w:ascii="Tahoma"/>
                        <w:b/>
                        <w:color w:val="77328A"/>
                        <w:spacing w:val="-5"/>
                        <w:w w:val="110"/>
                        <w:sz w:val="16"/>
                      </w:rPr>
                      <w:instrText> PAGE </w:instrText>
                    </w:r>
                    <w:r>
                      <w:rPr>
                        <w:rFonts w:ascii="Tahoma"/>
                        <w:b/>
                        <w:color w:val="77328A"/>
                        <w:spacing w:val="-5"/>
                        <w:w w:val="110"/>
                        <w:sz w:val="16"/>
                      </w:rPr>
                      <w:fldChar w:fldCharType="separate"/>
                    </w:r>
                    <w:r>
                      <w:rPr>
                        <w:rFonts w:ascii="Tahoma"/>
                        <w:b/>
                        <w:color w:val="77328A"/>
                        <w:spacing w:val="-5"/>
                        <w:w w:val="110"/>
                        <w:sz w:val="16"/>
                      </w:rPr>
                      <w:t>40</w:t>
                    </w:r>
                    <w:r>
                      <w:rPr>
                        <w:rFonts w:ascii="Tahoma"/>
                        <w:b/>
                        <w:color w:val="77328A"/>
                        <w:spacing w:val="-5"/>
                        <w:w w:val="110"/>
                        <w:sz w:val="16"/>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5728256">
              <wp:simplePos x="0" y="0"/>
              <wp:positionH relativeFrom="page">
                <wp:posOffset>719999</wp:posOffset>
              </wp:positionH>
              <wp:positionV relativeFrom="page">
                <wp:posOffset>530782</wp:posOffset>
              </wp:positionV>
              <wp:extent cx="6120130" cy="127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6120130" cy="1270"/>
                      </a:xfrm>
                      <a:custGeom>
                        <a:avLst/>
                        <a:gdLst/>
                        <a:ahLst/>
                        <a:cxnLst/>
                        <a:rect l="l" t="t" r="r" b="b"/>
                        <a:pathLst>
                          <a:path w="6120130" h="0">
                            <a:moveTo>
                              <a:pt x="0" y="0"/>
                            </a:moveTo>
                            <a:lnTo>
                              <a:pt x="6120003" y="0"/>
                            </a:lnTo>
                          </a:path>
                        </a:pathLst>
                      </a:custGeom>
                      <a:ln w="6350">
                        <a:solidFill>
                          <a:srgbClr val="9D9D9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588224" from="56.692902pt,41.793915pt" to="538.582902pt,41.793915pt" stroked="true" strokeweight=".5pt" strokecolor="#9d9d9c">
              <v:stroke dashstyle="solid"/>
              <w10:wrap type="none"/>
            </v:line>
          </w:pict>
        </mc:Fallback>
      </mc:AlternateContent>
    </w:r>
    <w:r>
      <w:rPr/>
      <mc:AlternateContent>
        <mc:Choice Requires="wps">
          <w:drawing>
            <wp:anchor distT="0" distB="0" distL="0" distR="0" allowOverlap="1" layoutInCell="1" locked="0" behindDoc="1" simplePos="0" relativeHeight="485728768">
              <wp:simplePos x="0" y="0"/>
              <wp:positionH relativeFrom="page">
                <wp:posOffset>1729935</wp:posOffset>
              </wp:positionH>
              <wp:positionV relativeFrom="page">
                <wp:posOffset>348281</wp:posOffset>
              </wp:positionV>
              <wp:extent cx="5123180" cy="11430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5123180" cy="114300"/>
                      </a:xfrm>
                      <a:prstGeom prst="rect">
                        <a:avLst/>
                      </a:prstGeom>
                    </wps:spPr>
                    <wps:txbx>
                      <w:txbxContent>
                        <w:p>
                          <w:pPr>
                            <w:spacing w:before="3"/>
                            <w:ind w:left="20" w:right="0" w:firstLine="0"/>
                            <w:jc w:val="left"/>
                            <w:rPr>
                              <w:sz w:val="14"/>
                            </w:rPr>
                          </w:pPr>
                          <w:r>
                            <w:rPr>
                              <w:color w:val="77328A"/>
                              <w:w w:val="110"/>
                              <w:sz w:val="14"/>
                            </w:rPr>
                            <w:t>The</w:t>
                          </w:r>
                          <w:r>
                            <w:rPr>
                              <w:color w:val="77328A"/>
                              <w:spacing w:val="7"/>
                              <w:w w:val="110"/>
                              <w:sz w:val="14"/>
                            </w:rPr>
                            <w:t> </w:t>
                          </w:r>
                          <w:r>
                            <w:rPr>
                              <w:color w:val="77328A"/>
                              <w:w w:val="110"/>
                              <w:sz w:val="14"/>
                            </w:rPr>
                            <w:t>Interaction</w:t>
                          </w:r>
                          <w:r>
                            <w:rPr>
                              <w:color w:val="77328A"/>
                              <w:spacing w:val="8"/>
                              <w:w w:val="110"/>
                              <w:sz w:val="14"/>
                            </w:rPr>
                            <w:t> </w:t>
                          </w:r>
                          <w:r>
                            <w:rPr>
                              <w:color w:val="77328A"/>
                              <w:w w:val="110"/>
                              <w:sz w:val="14"/>
                            </w:rPr>
                            <w:t>between</w:t>
                          </w:r>
                          <w:r>
                            <w:rPr>
                              <w:color w:val="77328A"/>
                              <w:spacing w:val="8"/>
                              <w:w w:val="110"/>
                              <w:sz w:val="14"/>
                            </w:rPr>
                            <w:t> </w:t>
                          </w:r>
                          <w:r>
                            <w:rPr>
                              <w:color w:val="77328A"/>
                              <w:w w:val="110"/>
                              <w:sz w:val="14"/>
                            </w:rPr>
                            <w:t>the</w:t>
                          </w:r>
                          <w:r>
                            <w:rPr>
                              <w:color w:val="77328A"/>
                              <w:spacing w:val="8"/>
                              <w:w w:val="110"/>
                              <w:sz w:val="14"/>
                            </w:rPr>
                            <w:t> </w:t>
                          </w:r>
                          <w:r>
                            <w:rPr>
                              <w:color w:val="77328A"/>
                              <w:w w:val="110"/>
                              <w:sz w:val="14"/>
                            </w:rPr>
                            <w:t>EU</w:t>
                          </w:r>
                          <w:r>
                            <w:rPr>
                              <w:color w:val="77328A"/>
                              <w:spacing w:val="7"/>
                              <w:w w:val="110"/>
                              <w:sz w:val="14"/>
                            </w:rPr>
                            <w:t> </w:t>
                          </w:r>
                          <w:r>
                            <w:rPr>
                              <w:color w:val="77328A"/>
                              <w:w w:val="110"/>
                              <w:sz w:val="14"/>
                            </w:rPr>
                            <w:t>Charter</w:t>
                          </w:r>
                          <w:r>
                            <w:rPr>
                              <w:color w:val="77328A"/>
                              <w:spacing w:val="8"/>
                              <w:w w:val="110"/>
                              <w:sz w:val="14"/>
                            </w:rPr>
                            <w:t> </w:t>
                          </w:r>
                          <w:r>
                            <w:rPr>
                              <w:color w:val="77328A"/>
                              <w:w w:val="110"/>
                              <w:sz w:val="14"/>
                            </w:rPr>
                            <w:t>of</w:t>
                          </w:r>
                          <w:r>
                            <w:rPr>
                              <w:color w:val="77328A"/>
                              <w:spacing w:val="8"/>
                              <w:w w:val="110"/>
                              <w:sz w:val="14"/>
                            </w:rPr>
                            <w:t> </w:t>
                          </w:r>
                          <w:r>
                            <w:rPr>
                              <w:color w:val="77328A"/>
                              <w:w w:val="110"/>
                              <w:sz w:val="14"/>
                            </w:rPr>
                            <w:t>Fundamental</w:t>
                          </w:r>
                          <w:r>
                            <w:rPr>
                              <w:color w:val="77328A"/>
                              <w:spacing w:val="8"/>
                              <w:w w:val="110"/>
                              <w:sz w:val="14"/>
                            </w:rPr>
                            <w:t> </w:t>
                          </w:r>
                          <w:r>
                            <w:rPr>
                              <w:color w:val="77328A"/>
                              <w:w w:val="110"/>
                              <w:sz w:val="14"/>
                            </w:rPr>
                            <w:t>Rights</w:t>
                          </w:r>
                          <w:r>
                            <w:rPr>
                              <w:color w:val="77328A"/>
                              <w:spacing w:val="8"/>
                              <w:w w:val="110"/>
                              <w:sz w:val="14"/>
                            </w:rPr>
                            <w:t> </w:t>
                          </w:r>
                          <w:r>
                            <w:rPr>
                              <w:color w:val="77328A"/>
                              <w:w w:val="110"/>
                              <w:sz w:val="14"/>
                            </w:rPr>
                            <w:t>and</w:t>
                          </w:r>
                          <w:r>
                            <w:rPr>
                              <w:color w:val="77328A"/>
                              <w:spacing w:val="7"/>
                              <w:w w:val="110"/>
                              <w:sz w:val="14"/>
                            </w:rPr>
                            <w:t> </w:t>
                          </w:r>
                          <w:r>
                            <w:rPr>
                              <w:color w:val="77328A"/>
                              <w:w w:val="110"/>
                              <w:sz w:val="14"/>
                            </w:rPr>
                            <w:t>general</w:t>
                          </w:r>
                          <w:r>
                            <w:rPr>
                              <w:color w:val="77328A"/>
                              <w:spacing w:val="8"/>
                              <w:w w:val="110"/>
                              <w:sz w:val="14"/>
                            </w:rPr>
                            <w:t> </w:t>
                          </w:r>
                          <w:r>
                            <w:rPr>
                              <w:color w:val="77328A"/>
                              <w:w w:val="110"/>
                              <w:sz w:val="14"/>
                            </w:rPr>
                            <w:t>principles</w:t>
                          </w:r>
                          <w:r>
                            <w:rPr>
                              <w:color w:val="77328A"/>
                              <w:spacing w:val="8"/>
                              <w:w w:val="110"/>
                              <w:sz w:val="14"/>
                            </w:rPr>
                            <w:t> </w:t>
                          </w:r>
                          <w:r>
                            <w:rPr>
                              <w:color w:val="77328A"/>
                              <w:w w:val="110"/>
                              <w:sz w:val="14"/>
                            </w:rPr>
                            <w:t>with</w:t>
                          </w:r>
                          <w:r>
                            <w:rPr>
                              <w:color w:val="77328A"/>
                              <w:spacing w:val="8"/>
                              <w:w w:val="110"/>
                              <w:sz w:val="14"/>
                            </w:rPr>
                            <w:t> </w:t>
                          </w:r>
                          <w:r>
                            <w:rPr>
                              <w:color w:val="77328A"/>
                              <w:w w:val="110"/>
                              <w:sz w:val="14"/>
                            </w:rPr>
                            <w:t>the</w:t>
                          </w:r>
                          <w:r>
                            <w:rPr>
                              <w:color w:val="77328A"/>
                              <w:spacing w:val="7"/>
                              <w:w w:val="110"/>
                              <w:sz w:val="14"/>
                            </w:rPr>
                            <w:t> </w:t>
                          </w:r>
                          <w:r>
                            <w:rPr>
                              <w:color w:val="77328A"/>
                              <w:w w:val="110"/>
                              <w:sz w:val="14"/>
                            </w:rPr>
                            <w:t>Windsor</w:t>
                          </w:r>
                          <w:r>
                            <w:rPr>
                              <w:color w:val="77328A"/>
                              <w:spacing w:val="8"/>
                              <w:w w:val="110"/>
                              <w:sz w:val="14"/>
                            </w:rPr>
                            <w:t> </w:t>
                          </w:r>
                          <w:r>
                            <w:rPr>
                              <w:color w:val="77328A"/>
                              <w:spacing w:val="-2"/>
                              <w:w w:val="110"/>
                              <w:sz w:val="14"/>
                            </w:rPr>
                            <w:t>Framework</w:t>
                          </w:r>
                        </w:p>
                      </w:txbxContent>
                    </wps:txbx>
                    <wps:bodyPr wrap="square" lIns="0" tIns="0" rIns="0" bIns="0" rtlCol="0">
                      <a:noAutofit/>
                    </wps:bodyPr>
                  </wps:wsp>
                </a:graphicData>
              </a:graphic>
            </wp:anchor>
          </w:drawing>
        </mc:Choice>
        <mc:Fallback>
          <w:pict>
            <v:shape style="position:absolute;margin-left:136.215393pt;margin-top:27.423742pt;width:403.4pt;height:9pt;mso-position-horizontal-relative:page;mso-position-vertical-relative:page;z-index:-17587712" type="#_x0000_t202" id="docshape37" filled="false" stroked="false">
              <v:textbox inset="0,0,0,0">
                <w:txbxContent>
                  <w:p>
                    <w:pPr>
                      <w:spacing w:before="3"/>
                      <w:ind w:left="20" w:right="0" w:firstLine="0"/>
                      <w:jc w:val="left"/>
                      <w:rPr>
                        <w:sz w:val="14"/>
                      </w:rPr>
                    </w:pPr>
                    <w:r>
                      <w:rPr>
                        <w:color w:val="77328A"/>
                        <w:w w:val="110"/>
                        <w:sz w:val="14"/>
                      </w:rPr>
                      <w:t>The</w:t>
                    </w:r>
                    <w:r>
                      <w:rPr>
                        <w:color w:val="77328A"/>
                        <w:spacing w:val="7"/>
                        <w:w w:val="110"/>
                        <w:sz w:val="14"/>
                      </w:rPr>
                      <w:t> </w:t>
                    </w:r>
                    <w:r>
                      <w:rPr>
                        <w:color w:val="77328A"/>
                        <w:w w:val="110"/>
                        <w:sz w:val="14"/>
                      </w:rPr>
                      <w:t>Interaction</w:t>
                    </w:r>
                    <w:r>
                      <w:rPr>
                        <w:color w:val="77328A"/>
                        <w:spacing w:val="8"/>
                        <w:w w:val="110"/>
                        <w:sz w:val="14"/>
                      </w:rPr>
                      <w:t> </w:t>
                    </w:r>
                    <w:r>
                      <w:rPr>
                        <w:color w:val="77328A"/>
                        <w:w w:val="110"/>
                        <w:sz w:val="14"/>
                      </w:rPr>
                      <w:t>between</w:t>
                    </w:r>
                    <w:r>
                      <w:rPr>
                        <w:color w:val="77328A"/>
                        <w:spacing w:val="8"/>
                        <w:w w:val="110"/>
                        <w:sz w:val="14"/>
                      </w:rPr>
                      <w:t> </w:t>
                    </w:r>
                    <w:r>
                      <w:rPr>
                        <w:color w:val="77328A"/>
                        <w:w w:val="110"/>
                        <w:sz w:val="14"/>
                      </w:rPr>
                      <w:t>the</w:t>
                    </w:r>
                    <w:r>
                      <w:rPr>
                        <w:color w:val="77328A"/>
                        <w:spacing w:val="8"/>
                        <w:w w:val="110"/>
                        <w:sz w:val="14"/>
                      </w:rPr>
                      <w:t> </w:t>
                    </w:r>
                    <w:r>
                      <w:rPr>
                        <w:color w:val="77328A"/>
                        <w:w w:val="110"/>
                        <w:sz w:val="14"/>
                      </w:rPr>
                      <w:t>EU</w:t>
                    </w:r>
                    <w:r>
                      <w:rPr>
                        <w:color w:val="77328A"/>
                        <w:spacing w:val="7"/>
                        <w:w w:val="110"/>
                        <w:sz w:val="14"/>
                      </w:rPr>
                      <w:t> </w:t>
                    </w:r>
                    <w:r>
                      <w:rPr>
                        <w:color w:val="77328A"/>
                        <w:w w:val="110"/>
                        <w:sz w:val="14"/>
                      </w:rPr>
                      <w:t>Charter</w:t>
                    </w:r>
                    <w:r>
                      <w:rPr>
                        <w:color w:val="77328A"/>
                        <w:spacing w:val="8"/>
                        <w:w w:val="110"/>
                        <w:sz w:val="14"/>
                      </w:rPr>
                      <w:t> </w:t>
                    </w:r>
                    <w:r>
                      <w:rPr>
                        <w:color w:val="77328A"/>
                        <w:w w:val="110"/>
                        <w:sz w:val="14"/>
                      </w:rPr>
                      <w:t>of</w:t>
                    </w:r>
                    <w:r>
                      <w:rPr>
                        <w:color w:val="77328A"/>
                        <w:spacing w:val="8"/>
                        <w:w w:val="110"/>
                        <w:sz w:val="14"/>
                      </w:rPr>
                      <w:t> </w:t>
                    </w:r>
                    <w:r>
                      <w:rPr>
                        <w:color w:val="77328A"/>
                        <w:w w:val="110"/>
                        <w:sz w:val="14"/>
                      </w:rPr>
                      <w:t>Fundamental</w:t>
                    </w:r>
                    <w:r>
                      <w:rPr>
                        <w:color w:val="77328A"/>
                        <w:spacing w:val="8"/>
                        <w:w w:val="110"/>
                        <w:sz w:val="14"/>
                      </w:rPr>
                      <w:t> </w:t>
                    </w:r>
                    <w:r>
                      <w:rPr>
                        <w:color w:val="77328A"/>
                        <w:w w:val="110"/>
                        <w:sz w:val="14"/>
                      </w:rPr>
                      <w:t>Rights</w:t>
                    </w:r>
                    <w:r>
                      <w:rPr>
                        <w:color w:val="77328A"/>
                        <w:spacing w:val="8"/>
                        <w:w w:val="110"/>
                        <w:sz w:val="14"/>
                      </w:rPr>
                      <w:t> </w:t>
                    </w:r>
                    <w:r>
                      <w:rPr>
                        <w:color w:val="77328A"/>
                        <w:w w:val="110"/>
                        <w:sz w:val="14"/>
                      </w:rPr>
                      <w:t>and</w:t>
                    </w:r>
                    <w:r>
                      <w:rPr>
                        <w:color w:val="77328A"/>
                        <w:spacing w:val="7"/>
                        <w:w w:val="110"/>
                        <w:sz w:val="14"/>
                      </w:rPr>
                      <w:t> </w:t>
                    </w:r>
                    <w:r>
                      <w:rPr>
                        <w:color w:val="77328A"/>
                        <w:w w:val="110"/>
                        <w:sz w:val="14"/>
                      </w:rPr>
                      <w:t>general</w:t>
                    </w:r>
                    <w:r>
                      <w:rPr>
                        <w:color w:val="77328A"/>
                        <w:spacing w:val="8"/>
                        <w:w w:val="110"/>
                        <w:sz w:val="14"/>
                      </w:rPr>
                      <w:t> </w:t>
                    </w:r>
                    <w:r>
                      <w:rPr>
                        <w:color w:val="77328A"/>
                        <w:w w:val="110"/>
                        <w:sz w:val="14"/>
                      </w:rPr>
                      <w:t>principles</w:t>
                    </w:r>
                    <w:r>
                      <w:rPr>
                        <w:color w:val="77328A"/>
                        <w:spacing w:val="8"/>
                        <w:w w:val="110"/>
                        <w:sz w:val="14"/>
                      </w:rPr>
                      <w:t> </w:t>
                    </w:r>
                    <w:r>
                      <w:rPr>
                        <w:color w:val="77328A"/>
                        <w:w w:val="110"/>
                        <w:sz w:val="14"/>
                      </w:rPr>
                      <w:t>with</w:t>
                    </w:r>
                    <w:r>
                      <w:rPr>
                        <w:color w:val="77328A"/>
                        <w:spacing w:val="8"/>
                        <w:w w:val="110"/>
                        <w:sz w:val="14"/>
                      </w:rPr>
                      <w:t> </w:t>
                    </w:r>
                    <w:r>
                      <w:rPr>
                        <w:color w:val="77328A"/>
                        <w:w w:val="110"/>
                        <w:sz w:val="14"/>
                      </w:rPr>
                      <w:t>the</w:t>
                    </w:r>
                    <w:r>
                      <w:rPr>
                        <w:color w:val="77328A"/>
                        <w:spacing w:val="7"/>
                        <w:w w:val="110"/>
                        <w:sz w:val="14"/>
                      </w:rPr>
                      <w:t> </w:t>
                    </w:r>
                    <w:r>
                      <w:rPr>
                        <w:color w:val="77328A"/>
                        <w:w w:val="110"/>
                        <w:sz w:val="14"/>
                      </w:rPr>
                      <w:t>Windsor</w:t>
                    </w:r>
                    <w:r>
                      <w:rPr>
                        <w:color w:val="77328A"/>
                        <w:spacing w:val="8"/>
                        <w:w w:val="110"/>
                        <w:sz w:val="14"/>
                      </w:rPr>
                      <w:t> </w:t>
                    </w:r>
                    <w:r>
                      <w:rPr>
                        <w:color w:val="77328A"/>
                        <w:spacing w:val="-2"/>
                        <w:w w:val="110"/>
                        <w:sz w:val="14"/>
                      </w:rPr>
                      <w:t>Framework</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5729280">
              <wp:simplePos x="0" y="0"/>
              <wp:positionH relativeFrom="page">
                <wp:posOffset>719999</wp:posOffset>
              </wp:positionH>
              <wp:positionV relativeFrom="page">
                <wp:posOffset>530782</wp:posOffset>
              </wp:positionV>
              <wp:extent cx="6120130" cy="127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6120130" cy="1270"/>
                      </a:xfrm>
                      <a:custGeom>
                        <a:avLst/>
                        <a:gdLst/>
                        <a:ahLst/>
                        <a:cxnLst/>
                        <a:rect l="l" t="t" r="r" b="b"/>
                        <a:pathLst>
                          <a:path w="6120130" h="0">
                            <a:moveTo>
                              <a:pt x="0" y="0"/>
                            </a:moveTo>
                            <a:lnTo>
                              <a:pt x="6120003" y="0"/>
                            </a:lnTo>
                          </a:path>
                        </a:pathLst>
                      </a:custGeom>
                      <a:ln w="6350">
                        <a:solidFill>
                          <a:srgbClr val="9D9D9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587200" from="56.692902pt,41.793915pt" to="538.582902pt,41.793915pt" stroked="true" strokeweight=".5pt" strokecolor="#9d9d9c">
              <v:stroke dashstyle="solid"/>
              <w10:wrap type="none"/>
            </v:line>
          </w:pict>
        </mc:Fallback>
      </mc:AlternateContent>
    </w:r>
    <w:r>
      <w:rPr/>
      <mc:AlternateContent>
        <mc:Choice Requires="wps">
          <w:drawing>
            <wp:anchor distT="0" distB="0" distL="0" distR="0" allowOverlap="1" layoutInCell="1" locked="0" behindDoc="1" simplePos="0" relativeHeight="485729792">
              <wp:simplePos x="0" y="0"/>
              <wp:positionH relativeFrom="page">
                <wp:posOffset>707299</wp:posOffset>
              </wp:positionH>
              <wp:positionV relativeFrom="page">
                <wp:posOffset>348281</wp:posOffset>
              </wp:positionV>
              <wp:extent cx="5123180" cy="11430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5123180" cy="114300"/>
                      </a:xfrm>
                      <a:prstGeom prst="rect">
                        <a:avLst/>
                      </a:prstGeom>
                    </wps:spPr>
                    <wps:txbx>
                      <w:txbxContent>
                        <w:p>
                          <w:pPr>
                            <w:spacing w:before="3"/>
                            <w:ind w:left="20" w:right="0" w:firstLine="0"/>
                            <w:jc w:val="left"/>
                            <w:rPr>
                              <w:sz w:val="14"/>
                            </w:rPr>
                          </w:pPr>
                          <w:r>
                            <w:rPr>
                              <w:color w:val="77328A"/>
                              <w:w w:val="110"/>
                              <w:sz w:val="14"/>
                            </w:rPr>
                            <w:t>The</w:t>
                          </w:r>
                          <w:r>
                            <w:rPr>
                              <w:color w:val="77328A"/>
                              <w:spacing w:val="7"/>
                              <w:w w:val="110"/>
                              <w:sz w:val="14"/>
                            </w:rPr>
                            <w:t> </w:t>
                          </w:r>
                          <w:r>
                            <w:rPr>
                              <w:color w:val="77328A"/>
                              <w:w w:val="110"/>
                              <w:sz w:val="14"/>
                            </w:rPr>
                            <w:t>Interaction</w:t>
                          </w:r>
                          <w:r>
                            <w:rPr>
                              <w:color w:val="77328A"/>
                              <w:spacing w:val="8"/>
                              <w:w w:val="110"/>
                              <w:sz w:val="14"/>
                            </w:rPr>
                            <w:t> </w:t>
                          </w:r>
                          <w:r>
                            <w:rPr>
                              <w:color w:val="77328A"/>
                              <w:w w:val="110"/>
                              <w:sz w:val="14"/>
                            </w:rPr>
                            <w:t>between</w:t>
                          </w:r>
                          <w:r>
                            <w:rPr>
                              <w:color w:val="77328A"/>
                              <w:spacing w:val="8"/>
                              <w:w w:val="110"/>
                              <w:sz w:val="14"/>
                            </w:rPr>
                            <w:t> </w:t>
                          </w:r>
                          <w:r>
                            <w:rPr>
                              <w:color w:val="77328A"/>
                              <w:w w:val="110"/>
                              <w:sz w:val="14"/>
                            </w:rPr>
                            <w:t>the</w:t>
                          </w:r>
                          <w:r>
                            <w:rPr>
                              <w:color w:val="77328A"/>
                              <w:spacing w:val="8"/>
                              <w:w w:val="110"/>
                              <w:sz w:val="14"/>
                            </w:rPr>
                            <w:t> </w:t>
                          </w:r>
                          <w:r>
                            <w:rPr>
                              <w:color w:val="77328A"/>
                              <w:w w:val="110"/>
                              <w:sz w:val="14"/>
                            </w:rPr>
                            <w:t>EU</w:t>
                          </w:r>
                          <w:r>
                            <w:rPr>
                              <w:color w:val="77328A"/>
                              <w:spacing w:val="7"/>
                              <w:w w:val="110"/>
                              <w:sz w:val="14"/>
                            </w:rPr>
                            <w:t> </w:t>
                          </w:r>
                          <w:r>
                            <w:rPr>
                              <w:color w:val="77328A"/>
                              <w:w w:val="110"/>
                              <w:sz w:val="14"/>
                            </w:rPr>
                            <w:t>Charter</w:t>
                          </w:r>
                          <w:r>
                            <w:rPr>
                              <w:color w:val="77328A"/>
                              <w:spacing w:val="8"/>
                              <w:w w:val="110"/>
                              <w:sz w:val="14"/>
                            </w:rPr>
                            <w:t> </w:t>
                          </w:r>
                          <w:r>
                            <w:rPr>
                              <w:color w:val="77328A"/>
                              <w:w w:val="110"/>
                              <w:sz w:val="14"/>
                            </w:rPr>
                            <w:t>of</w:t>
                          </w:r>
                          <w:r>
                            <w:rPr>
                              <w:color w:val="77328A"/>
                              <w:spacing w:val="8"/>
                              <w:w w:val="110"/>
                              <w:sz w:val="14"/>
                            </w:rPr>
                            <w:t> </w:t>
                          </w:r>
                          <w:r>
                            <w:rPr>
                              <w:color w:val="77328A"/>
                              <w:w w:val="110"/>
                              <w:sz w:val="14"/>
                            </w:rPr>
                            <w:t>Fundamental</w:t>
                          </w:r>
                          <w:r>
                            <w:rPr>
                              <w:color w:val="77328A"/>
                              <w:spacing w:val="8"/>
                              <w:w w:val="110"/>
                              <w:sz w:val="14"/>
                            </w:rPr>
                            <w:t> </w:t>
                          </w:r>
                          <w:r>
                            <w:rPr>
                              <w:color w:val="77328A"/>
                              <w:w w:val="110"/>
                              <w:sz w:val="14"/>
                            </w:rPr>
                            <w:t>Rights</w:t>
                          </w:r>
                          <w:r>
                            <w:rPr>
                              <w:color w:val="77328A"/>
                              <w:spacing w:val="8"/>
                              <w:w w:val="110"/>
                              <w:sz w:val="14"/>
                            </w:rPr>
                            <w:t> </w:t>
                          </w:r>
                          <w:r>
                            <w:rPr>
                              <w:color w:val="77328A"/>
                              <w:w w:val="110"/>
                              <w:sz w:val="14"/>
                            </w:rPr>
                            <w:t>and</w:t>
                          </w:r>
                          <w:r>
                            <w:rPr>
                              <w:color w:val="77328A"/>
                              <w:spacing w:val="7"/>
                              <w:w w:val="110"/>
                              <w:sz w:val="14"/>
                            </w:rPr>
                            <w:t> </w:t>
                          </w:r>
                          <w:r>
                            <w:rPr>
                              <w:color w:val="77328A"/>
                              <w:w w:val="110"/>
                              <w:sz w:val="14"/>
                            </w:rPr>
                            <w:t>general</w:t>
                          </w:r>
                          <w:r>
                            <w:rPr>
                              <w:color w:val="77328A"/>
                              <w:spacing w:val="8"/>
                              <w:w w:val="110"/>
                              <w:sz w:val="14"/>
                            </w:rPr>
                            <w:t> </w:t>
                          </w:r>
                          <w:r>
                            <w:rPr>
                              <w:color w:val="77328A"/>
                              <w:w w:val="110"/>
                              <w:sz w:val="14"/>
                            </w:rPr>
                            <w:t>principles</w:t>
                          </w:r>
                          <w:r>
                            <w:rPr>
                              <w:color w:val="77328A"/>
                              <w:spacing w:val="8"/>
                              <w:w w:val="110"/>
                              <w:sz w:val="14"/>
                            </w:rPr>
                            <w:t> </w:t>
                          </w:r>
                          <w:r>
                            <w:rPr>
                              <w:color w:val="77328A"/>
                              <w:w w:val="110"/>
                              <w:sz w:val="14"/>
                            </w:rPr>
                            <w:t>with</w:t>
                          </w:r>
                          <w:r>
                            <w:rPr>
                              <w:color w:val="77328A"/>
                              <w:spacing w:val="8"/>
                              <w:w w:val="110"/>
                              <w:sz w:val="14"/>
                            </w:rPr>
                            <w:t> </w:t>
                          </w:r>
                          <w:r>
                            <w:rPr>
                              <w:color w:val="77328A"/>
                              <w:w w:val="110"/>
                              <w:sz w:val="14"/>
                            </w:rPr>
                            <w:t>the</w:t>
                          </w:r>
                          <w:r>
                            <w:rPr>
                              <w:color w:val="77328A"/>
                              <w:spacing w:val="7"/>
                              <w:w w:val="110"/>
                              <w:sz w:val="14"/>
                            </w:rPr>
                            <w:t> </w:t>
                          </w:r>
                          <w:r>
                            <w:rPr>
                              <w:color w:val="77328A"/>
                              <w:w w:val="110"/>
                              <w:sz w:val="14"/>
                            </w:rPr>
                            <w:t>Windsor</w:t>
                          </w:r>
                          <w:r>
                            <w:rPr>
                              <w:color w:val="77328A"/>
                              <w:spacing w:val="8"/>
                              <w:w w:val="110"/>
                              <w:sz w:val="14"/>
                            </w:rPr>
                            <w:t> </w:t>
                          </w:r>
                          <w:r>
                            <w:rPr>
                              <w:color w:val="77328A"/>
                              <w:spacing w:val="-2"/>
                              <w:w w:val="110"/>
                              <w:sz w:val="14"/>
                            </w:rPr>
                            <w:t>Framework</w:t>
                          </w:r>
                        </w:p>
                      </w:txbxContent>
                    </wps:txbx>
                    <wps:bodyPr wrap="square" lIns="0" tIns="0" rIns="0" bIns="0" rtlCol="0">
                      <a:noAutofit/>
                    </wps:bodyPr>
                  </wps:wsp>
                </a:graphicData>
              </a:graphic>
            </wp:anchor>
          </w:drawing>
        </mc:Choice>
        <mc:Fallback>
          <w:pict>
            <v:shape style="position:absolute;margin-left:55.692902pt;margin-top:27.423742pt;width:403.4pt;height:9pt;mso-position-horizontal-relative:page;mso-position-vertical-relative:page;z-index:-17586688" type="#_x0000_t202" id="docshape38" filled="false" stroked="false">
              <v:textbox inset="0,0,0,0">
                <w:txbxContent>
                  <w:p>
                    <w:pPr>
                      <w:spacing w:before="3"/>
                      <w:ind w:left="20" w:right="0" w:firstLine="0"/>
                      <w:jc w:val="left"/>
                      <w:rPr>
                        <w:sz w:val="14"/>
                      </w:rPr>
                    </w:pPr>
                    <w:r>
                      <w:rPr>
                        <w:color w:val="77328A"/>
                        <w:w w:val="110"/>
                        <w:sz w:val="14"/>
                      </w:rPr>
                      <w:t>The</w:t>
                    </w:r>
                    <w:r>
                      <w:rPr>
                        <w:color w:val="77328A"/>
                        <w:spacing w:val="7"/>
                        <w:w w:val="110"/>
                        <w:sz w:val="14"/>
                      </w:rPr>
                      <w:t> </w:t>
                    </w:r>
                    <w:r>
                      <w:rPr>
                        <w:color w:val="77328A"/>
                        <w:w w:val="110"/>
                        <w:sz w:val="14"/>
                      </w:rPr>
                      <w:t>Interaction</w:t>
                    </w:r>
                    <w:r>
                      <w:rPr>
                        <w:color w:val="77328A"/>
                        <w:spacing w:val="8"/>
                        <w:w w:val="110"/>
                        <w:sz w:val="14"/>
                      </w:rPr>
                      <w:t> </w:t>
                    </w:r>
                    <w:r>
                      <w:rPr>
                        <w:color w:val="77328A"/>
                        <w:w w:val="110"/>
                        <w:sz w:val="14"/>
                      </w:rPr>
                      <w:t>between</w:t>
                    </w:r>
                    <w:r>
                      <w:rPr>
                        <w:color w:val="77328A"/>
                        <w:spacing w:val="8"/>
                        <w:w w:val="110"/>
                        <w:sz w:val="14"/>
                      </w:rPr>
                      <w:t> </w:t>
                    </w:r>
                    <w:r>
                      <w:rPr>
                        <w:color w:val="77328A"/>
                        <w:w w:val="110"/>
                        <w:sz w:val="14"/>
                      </w:rPr>
                      <w:t>the</w:t>
                    </w:r>
                    <w:r>
                      <w:rPr>
                        <w:color w:val="77328A"/>
                        <w:spacing w:val="8"/>
                        <w:w w:val="110"/>
                        <w:sz w:val="14"/>
                      </w:rPr>
                      <w:t> </w:t>
                    </w:r>
                    <w:r>
                      <w:rPr>
                        <w:color w:val="77328A"/>
                        <w:w w:val="110"/>
                        <w:sz w:val="14"/>
                      </w:rPr>
                      <w:t>EU</w:t>
                    </w:r>
                    <w:r>
                      <w:rPr>
                        <w:color w:val="77328A"/>
                        <w:spacing w:val="7"/>
                        <w:w w:val="110"/>
                        <w:sz w:val="14"/>
                      </w:rPr>
                      <w:t> </w:t>
                    </w:r>
                    <w:r>
                      <w:rPr>
                        <w:color w:val="77328A"/>
                        <w:w w:val="110"/>
                        <w:sz w:val="14"/>
                      </w:rPr>
                      <w:t>Charter</w:t>
                    </w:r>
                    <w:r>
                      <w:rPr>
                        <w:color w:val="77328A"/>
                        <w:spacing w:val="8"/>
                        <w:w w:val="110"/>
                        <w:sz w:val="14"/>
                      </w:rPr>
                      <w:t> </w:t>
                    </w:r>
                    <w:r>
                      <w:rPr>
                        <w:color w:val="77328A"/>
                        <w:w w:val="110"/>
                        <w:sz w:val="14"/>
                      </w:rPr>
                      <w:t>of</w:t>
                    </w:r>
                    <w:r>
                      <w:rPr>
                        <w:color w:val="77328A"/>
                        <w:spacing w:val="8"/>
                        <w:w w:val="110"/>
                        <w:sz w:val="14"/>
                      </w:rPr>
                      <w:t> </w:t>
                    </w:r>
                    <w:r>
                      <w:rPr>
                        <w:color w:val="77328A"/>
                        <w:w w:val="110"/>
                        <w:sz w:val="14"/>
                      </w:rPr>
                      <w:t>Fundamental</w:t>
                    </w:r>
                    <w:r>
                      <w:rPr>
                        <w:color w:val="77328A"/>
                        <w:spacing w:val="8"/>
                        <w:w w:val="110"/>
                        <w:sz w:val="14"/>
                      </w:rPr>
                      <w:t> </w:t>
                    </w:r>
                    <w:r>
                      <w:rPr>
                        <w:color w:val="77328A"/>
                        <w:w w:val="110"/>
                        <w:sz w:val="14"/>
                      </w:rPr>
                      <w:t>Rights</w:t>
                    </w:r>
                    <w:r>
                      <w:rPr>
                        <w:color w:val="77328A"/>
                        <w:spacing w:val="8"/>
                        <w:w w:val="110"/>
                        <w:sz w:val="14"/>
                      </w:rPr>
                      <w:t> </w:t>
                    </w:r>
                    <w:r>
                      <w:rPr>
                        <w:color w:val="77328A"/>
                        <w:w w:val="110"/>
                        <w:sz w:val="14"/>
                      </w:rPr>
                      <w:t>and</w:t>
                    </w:r>
                    <w:r>
                      <w:rPr>
                        <w:color w:val="77328A"/>
                        <w:spacing w:val="7"/>
                        <w:w w:val="110"/>
                        <w:sz w:val="14"/>
                      </w:rPr>
                      <w:t> </w:t>
                    </w:r>
                    <w:r>
                      <w:rPr>
                        <w:color w:val="77328A"/>
                        <w:w w:val="110"/>
                        <w:sz w:val="14"/>
                      </w:rPr>
                      <w:t>general</w:t>
                    </w:r>
                    <w:r>
                      <w:rPr>
                        <w:color w:val="77328A"/>
                        <w:spacing w:val="8"/>
                        <w:w w:val="110"/>
                        <w:sz w:val="14"/>
                      </w:rPr>
                      <w:t> </w:t>
                    </w:r>
                    <w:r>
                      <w:rPr>
                        <w:color w:val="77328A"/>
                        <w:w w:val="110"/>
                        <w:sz w:val="14"/>
                      </w:rPr>
                      <w:t>principles</w:t>
                    </w:r>
                    <w:r>
                      <w:rPr>
                        <w:color w:val="77328A"/>
                        <w:spacing w:val="8"/>
                        <w:w w:val="110"/>
                        <w:sz w:val="14"/>
                      </w:rPr>
                      <w:t> </w:t>
                    </w:r>
                    <w:r>
                      <w:rPr>
                        <w:color w:val="77328A"/>
                        <w:w w:val="110"/>
                        <w:sz w:val="14"/>
                      </w:rPr>
                      <w:t>with</w:t>
                    </w:r>
                    <w:r>
                      <w:rPr>
                        <w:color w:val="77328A"/>
                        <w:spacing w:val="8"/>
                        <w:w w:val="110"/>
                        <w:sz w:val="14"/>
                      </w:rPr>
                      <w:t> </w:t>
                    </w:r>
                    <w:r>
                      <w:rPr>
                        <w:color w:val="77328A"/>
                        <w:w w:val="110"/>
                        <w:sz w:val="14"/>
                      </w:rPr>
                      <w:t>the</w:t>
                    </w:r>
                    <w:r>
                      <w:rPr>
                        <w:color w:val="77328A"/>
                        <w:spacing w:val="7"/>
                        <w:w w:val="110"/>
                        <w:sz w:val="14"/>
                      </w:rPr>
                      <w:t> </w:t>
                    </w:r>
                    <w:r>
                      <w:rPr>
                        <w:color w:val="77328A"/>
                        <w:w w:val="110"/>
                        <w:sz w:val="14"/>
                      </w:rPr>
                      <w:t>Windsor</w:t>
                    </w:r>
                    <w:r>
                      <w:rPr>
                        <w:color w:val="77328A"/>
                        <w:spacing w:val="8"/>
                        <w:w w:val="110"/>
                        <w:sz w:val="14"/>
                      </w:rPr>
                      <w:t> </w:t>
                    </w:r>
                    <w:r>
                      <w:rPr>
                        <w:color w:val="77328A"/>
                        <w:spacing w:val="-2"/>
                        <w:w w:val="110"/>
                        <w:sz w:val="14"/>
                      </w:rPr>
                      <w:t>Framework</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1"/>
      <w:numFmt w:val="decimal"/>
      <w:lvlText w:val="%1."/>
      <w:lvlJc w:val="left"/>
      <w:pPr>
        <w:ind w:left="680" w:hanging="567"/>
        <w:jc w:val="left"/>
      </w:pPr>
      <w:rPr>
        <w:rFonts w:hint="default" w:ascii="Tahoma" w:hAnsi="Tahoma" w:eastAsia="Tahoma" w:cs="Tahoma"/>
        <w:b/>
        <w:bCs/>
        <w:i w:val="0"/>
        <w:iCs w:val="0"/>
        <w:color w:val="77328A"/>
        <w:spacing w:val="0"/>
        <w:w w:val="74"/>
        <w:sz w:val="30"/>
        <w:szCs w:val="30"/>
        <w:lang w:val="en-US" w:eastAsia="en-US" w:bidi="ar-SA"/>
      </w:rPr>
    </w:lvl>
    <w:lvl w:ilvl="1">
      <w:start w:val="0"/>
      <w:numFmt w:val="bullet"/>
      <w:lvlText w:val="•"/>
      <w:lvlJc w:val="left"/>
      <w:pPr>
        <w:ind w:left="1070" w:hanging="567"/>
      </w:pPr>
      <w:rPr>
        <w:rFonts w:hint="default"/>
        <w:lang w:val="en-US" w:eastAsia="en-US" w:bidi="ar-SA"/>
      </w:rPr>
    </w:lvl>
    <w:lvl w:ilvl="2">
      <w:start w:val="0"/>
      <w:numFmt w:val="bullet"/>
      <w:lvlText w:val="•"/>
      <w:lvlJc w:val="left"/>
      <w:pPr>
        <w:ind w:left="1460" w:hanging="567"/>
      </w:pPr>
      <w:rPr>
        <w:rFonts w:hint="default"/>
        <w:lang w:val="en-US" w:eastAsia="en-US" w:bidi="ar-SA"/>
      </w:rPr>
    </w:lvl>
    <w:lvl w:ilvl="3">
      <w:start w:val="0"/>
      <w:numFmt w:val="bullet"/>
      <w:lvlText w:val="•"/>
      <w:lvlJc w:val="left"/>
      <w:pPr>
        <w:ind w:left="1850" w:hanging="567"/>
      </w:pPr>
      <w:rPr>
        <w:rFonts w:hint="default"/>
        <w:lang w:val="en-US" w:eastAsia="en-US" w:bidi="ar-SA"/>
      </w:rPr>
    </w:lvl>
    <w:lvl w:ilvl="4">
      <w:start w:val="0"/>
      <w:numFmt w:val="bullet"/>
      <w:lvlText w:val="•"/>
      <w:lvlJc w:val="left"/>
      <w:pPr>
        <w:ind w:left="2240" w:hanging="567"/>
      </w:pPr>
      <w:rPr>
        <w:rFonts w:hint="default"/>
        <w:lang w:val="en-US" w:eastAsia="en-US" w:bidi="ar-SA"/>
      </w:rPr>
    </w:lvl>
    <w:lvl w:ilvl="5">
      <w:start w:val="0"/>
      <w:numFmt w:val="bullet"/>
      <w:lvlText w:val="•"/>
      <w:lvlJc w:val="left"/>
      <w:pPr>
        <w:ind w:left="2630" w:hanging="567"/>
      </w:pPr>
      <w:rPr>
        <w:rFonts w:hint="default"/>
        <w:lang w:val="en-US" w:eastAsia="en-US" w:bidi="ar-SA"/>
      </w:rPr>
    </w:lvl>
    <w:lvl w:ilvl="6">
      <w:start w:val="0"/>
      <w:numFmt w:val="bullet"/>
      <w:lvlText w:val="•"/>
      <w:lvlJc w:val="left"/>
      <w:pPr>
        <w:ind w:left="3020" w:hanging="567"/>
      </w:pPr>
      <w:rPr>
        <w:rFonts w:hint="default"/>
        <w:lang w:val="en-US" w:eastAsia="en-US" w:bidi="ar-SA"/>
      </w:rPr>
    </w:lvl>
    <w:lvl w:ilvl="7">
      <w:start w:val="0"/>
      <w:numFmt w:val="bullet"/>
      <w:lvlText w:val="•"/>
      <w:lvlJc w:val="left"/>
      <w:pPr>
        <w:ind w:left="3411" w:hanging="567"/>
      </w:pPr>
      <w:rPr>
        <w:rFonts w:hint="default"/>
        <w:lang w:val="en-US" w:eastAsia="en-US" w:bidi="ar-SA"/>
      </w:rPr>
    </w:lvl>
    <w:lvl w:ilvl="8">
      <w:start w:val="0"/>
      <w:numFmt w:val="bullet"/>
      <w:lvlText w:val="•"/>
      <w:lvlJc w:val="left"/>
      <w:pPr>
        <w:ind w:left="3801" w:hanging="567"/>
      </w:pPr>
      <w:rPr>
        <w:rFonts w:hint="default"/>
        <w:lang w:val="en-US" w:eastAsia="en-US" w:bidi="ar-SA"/>
      </w:rPr>
    </w:lvl>
  </w:abstractNum>
  <w:abstractNum w:abstractNumId="16">
    <w:multiLevelType w:val="hybridMultilevel"/>
    <w:lvl w:ilvl="0">
      <w:start w:val="1"/>
      <w:numFmt w:val="lowerLetter"/>
      <w:lvlText w:val="%1."/>
      <w:lvlJc w:val="left"/>
      <w:pPr>
        <w:ind w:left="113" w:hanging="283"/>
        <w:jc w:val="left"/>
      </w:pPr>
      <w:rPr>
        <w:rFonts w:hint="default" w:ascii="Tahoma" w:hAnsi="Tahoma" w:eastAsia="Tahoma" w:cs="Tahoma"/>
        <w:b/>
        <w:bCs/>
        <w:i w:val="0"/>
        <w:iCs w:val="0"/>
        <w:color w:val="77328A"/>
        <w:spacing w:val="0"/>
        <w:w w:val="96"/>
        <w:sz w:val="24"/>
        <w:szCs w:val="24"/>
        <w:lang w:val="en-US" w:eastAsia="en-US" w:bidi="ar-SA"/>
      </w:rPr>
    </w:lvl>
    <w:lvl w:ilvl="1">
      <w:start w:val="0"/>
      <w:numFmt w:val="bullet"/>
      <w:lvlText w:val="•"/>
      <w:lvlJc w:val="left"/>
      <w:pPr>
        <w:ind w:left="589" w:hanging="283"/>
      </w:pPr>
      <w:rPr>
        <w:rFonts w:hint="default"/>
        <w:lang w:val="en-US" w:eastAsia="en-US" w:bidi="ar-SA"/>
      </w:rPr>
    </w:lvl>
    <w:lvl w:ilvl="2">
      <w:start w:val="0"/>
      <w:numFmt w:val="bullet"/>
      <w:lvlText w:val="•"/>
      <w:lvlJc w:val="left"/>
      <w:pPr>
        <w:ind w:left="1059" w:hanging="283"/>
      </w:pPr>
      <w:rPr>
        <w:rFonts w:hint="default"/>
        <w:lang w:val="en-US" w:eastAsia="en-US" w:bidi="ar-SA"/>
      </w:rPr>
    </w:lvl>
    <w:lvl w:ilvl="3">
      <w:start w:val="0"/>
      <w:numFmt w:val="bullet"/>
      <w:lvlText w:val="•"/>
      <w:lvlJc w:val="left"/>
      <w:pPr>
        <w:ind w:left="1529" w:hanging="283"/>
      </w:pPr>
      <w:rPr>
        <w:rFonts w:hint="default"/>
        <w:lang w:val="en-US" w:eastAsia="en-US" w:bidi="ar-SA"/>
      </w:rPr>
    </w:lvl>
    <w:lvl w:ilvl="4">
      <w:start w:val="0"/>
      <w:numFmt w:val="bullet"/>
      <w:lvlText w:val="•"/>
      <w:lvlJc w:val="left"/>
      <w:pPr>
        <w:ind w:left="1999" w:hanging="283"/>
      </w:pPr>
      <w:rPr>
        <w:rFonts w:hint="default"/>
        <w:lang w:val="en-US" w:eastAsia="en-US" w:bidi="ar-SA"/>
      </w:rPr>
    </w:lvl>
    <w:lvl w:ilvl="5">
      <w:start w:val="0"/>
      <w:numFmt w:val="bullet"/>
      <w:lvlText w:val="•"/>
      <w:lvlJc w:val="left"/>
      <w:pPr>
        <w:ind w:left="2469" w:hanging="283"/>
      </w:pPr>
      <w:rPr>
        <w:rFonts w:hint="default"/>
        <w:lang w:val="en-US" w:eastAsia="en-US" w:bidi="ar-SA"/>
      </w:rPr>
    </w:lvl>
    <w:lvl w:ilvl="6">
      <w:start w:val="0"/>
      <w:numFmt w:val="bullet"/>
      <w:lvlText w:val="•"/>
      <w:lvlJc w:val="left"/>
      <w:pPr>
        <w:ind w:left="2939" w:hanging="283"/>
      </w:pPr>
      <w:rPr>
        <w:rFonts w:hint="default"/>
        <w:lang w:val="en-US" w:eastAsia="en-US" w:bidi="ar-SA"/>
      </w:rPr>
    </w:lvl>
    <w:lvl w:ilvl="7">
      <w:start w:val="0"/>
      <w:numFmt w:val="bullet"/>
      <w:lvlText w:val="•"/>
      <w:lvlJc w:val="left"/>
      <w:pPr>
        <w:ind w:left="3409" w:hanging="283"/>
      </w:pPr>
      <w:rPr>
        <w:rFonts w:hint="default"/>
        <w:lang w:val="en-US" w:eastAsia="en-US" w:bidi="ar-SA"/>
      </w:rPr>
    </w:lvl>
    <w:lvl w:ilvl="8">
      <w:start w:val="0"/>
      <w:numFmt w:val="bullet"/>
      <w:lvlText w:val="•"/>
      <w:lvlJc w:val="left"/>
      <w:pPr>
        <w:ind w:left="3879" w:hanging="283"/>
      </w:pPr>
      <w:rPr>
        <w:rFonts w:hint="default"/>
        <w:lang w:val="en-US" w:eastAsia="en-US" w:bidi="ar-SA"/>
      </w:rPr>
    </w:lvl>
  </w:abstractNum>
  <w:abstractNum w:abstractNumId="15">
    <w:multiLevelType w:val="hybridMultilevel"/>
    <w:lvl w:ilvl="0">
      <w:start w:val="1"/>
      <w:numFmt w:val="lowerLetter"/>
      <w:lvlText w:val="%1."/>
      <w:lvlJc w:val="left"/>
      <w:pPr>
        <w:ind w:left="113" w:hanging="279"/>
        <w:jc w:val="left"/>
      </w:pPr>
      <w:rPr>
        <w:rFonts w:hint="default" w:ascii="Tahoma" w:hAnsi="Tahoma" w:eastAsia="Tahoma" w:cs="Tahoma"/>
        <w:b/>
        <w:bCs/>
        <w:i w:val="0"/>
        <w:iCs w:val="0"/>
        <w:color w:val="77328A"/>
        <w:spacing w:val="0"/>
        <w:w w:val="95"/>
        <w:sz w:val="24"/>
        <w:szCs w:val="24"/>
        <w:lang w:val="en-US" w:eastAsia="en-US" w:bidi="ar-SA"/>
      </w:rPr>
    </w:lvl>
    <w:lvl w:ilvl="1">
      <w:start w:val="0"/>
      <w:numFmt w:val="bullet"/>
      <w:lvlText w:val="•"/>
      <w:lvlJc w:val="left"/>
      <w:pPr>
        <w:ind w:left="582" w:hanging="279"/>
      </w:pPr>
      <w:rPr>
        <w:rFonts w:hint="default"/>
        <w:lang w:val="en-US" w:eastAsia="en-US" w:bidi="ar-SA"/>
      </w:rPr>
    </w:lvl>
    <w:lvl w:ilvl="2">
      <w:start w:val="0"/>
      <w:numFmt w:val="bullet"/>
      <w:lvlText w:val="•"/>
      <w:lvlJc w:val="left"/>
      <w:pPr>
        <w:ind w:left="1045" w:hanging="279"/>
      </w:pPr>
      <w:rPr>
        <w:rFonts w:hint="default"/>
        <w:lang w:val="en-US" w:eastAsia="en-US" w:bidi="ar-SA"/>
      </w:rPr>
    </w:lvl>
    <w:lvl w:ilvl="3">
      <w:start w:val="0"/>
      <w:numFmt w:val="bullet"/>
      <w:lvlText w:val="•"/>
      <w:lvlJc w:val="left"/>
      <w:pPr>
        <w:ind w:left="1507" w:hanging="279"/>
      </w:pPr>
      <w:rPr>
        <w:rFonts w:hint="default"/>
        <w:lang w:val="en-US" w:eastAsia="en-US" w:bidi="ar-SA"/>
      </w:rPr>
    </w:lvl>
    <w:lvl w:ilvl="4">
      <w:start w:val="0"/>
      <w:numFmt w:val="bullet"/>
      <w:lvlText w:val="•"/>
      <w:lvlJc w:val="left"/>
      <w:pPr>
        <w:ind w:left="1970" w:hanging="279"/>
      </w:pPr>
      <w:rPr>
        <w:rFonts w:hint="default"/>
        <w:lang w:val="en-US" w:eastAsia="en-US" w:bidi="ar-SA"/>
      </w:rPr>
    </w:lvl>
    <w:lvl w:ilvl="5">
      <w:start w:val="0"/>
      <w:numFmt w:val="bullet"/>
      <w:lvlText w:val="•"/>
      <w:lvlJc w:val="left"/>
      <w:pPr>
        <w:ind w:left="2432" w:hanging="279"/>
      </w:pPr>
      <w:rPr>
        <w:rFonts w:hint="default"/>
        <w:lang w:val="en-US" w:eastAsia="en-US" w:bidi="ar-SA"/>
      </w:rPr>
    </w:lvl>
    <w:lvl w:ilvl="6">
      <w:start w:val="0"/>
      <w:numFmt w:val="bullet"/>
      <w:lvlText w:val="•"/>
      <w:lvlJc w:val="left"/>
      <w:pPr>
        <w:ind w:left="2895" w:hanging="279"/>
      </w:pPr>
      <w:rPr>
        <w:rFonts w:hint="default"/>
        <w:lang w:val="en-US" w:eastAsia="en-US" w:bidi="ar-SA"/>
      </w:rPr>
    </w:lvl>
    <w:lvl w:ilvl="7">
      <w:start w:val="0"/>
      <w:numFmt w:val="bullet"/>
      <w:lvlText w:val="•"/>
      <w:lvlJc w:val="left"/>
      <w:pPr>
        <w:ind w:left="3358" w:hanging="279"/>
      </w:pPr>
      <w:rPr>
        <w:rFonts w:hint="default"/>
        <w:lang w:val="en-US" w:eastAsia="en-US" w:bidi="ar-SA"/>
      </w:rPr>
    </w:lvl>
    <w:lvl w:ilvl="8">
      <w:start w:val="0"/>
      <w:numFmt w:val="bullet"/>
      <w:lvlText w:val="•"/>
      <w:lvlJc w:val="left"/>
      <w:pPr>
        <w:ind w:left="3820" w:hanging="279"/>
      </w:pPr>
      <w:rPr>
        <w:rFonts w:hint="default"/>
        <w:lang w:val="en-US" w:eastAsia="en-US" w:bidi="ar-SA"/>
      </w:rPr>
    </w:lvl>
  </w:abstractNum>
  <w:abstractNum w:abstractNumId="14">
    <w:multiLevelType w:val="hybridMultilevel"/>
    <w:lvl w:ilvl="0">
      <w:start w:val="1"/>
      <w:numFmt w:val="decimal"/>
      <w:lvlText w:val="%1."/>
      <w:lvlJc w:val="left"/>
      <w:pPr>
        <w:ind w:left="680" w:hanging="567"/>
        <w:jc w:val="left"/>
      </w:pPr>
      <w:rPr>
        <w:rFonts w:hint="default" w:ascii="Tahoma" w:hAnsi="Tahoma" w:eastAsia="Tahoma" w:cs="Tahoma"/>
        <w:b/>
        <w:bCs/>
        <w:i w:val="0"/>
        <w:iCs w:val="0"/>
        <w:color w:val="77328A"/>
        <w:spacing w:val="0"/>
        <w:w w:val="74"/>
        <w:sz w:val="30"/>
        <w:szCs w:val="30"/>
        <w:lang w:val="en-US" w:eastAsia="en-US" w:bidi="ar-SA"/>
      </w:rPr>
    </w:lvl>
    <w:lvl w:ilvl="1">
      <w:start w:val="0"/>
      <w:numFmt w:val="bullet"/>
      <w:lvlText w:val="•"/>
      <w:lvlJc w:val="left"/>
      <w:pPr>
        <w:ind w:left="1083" w:hanging="567"/>
      </w:pPr>
      <w:rPr>
        <w:rFonts w:hint="default"/>
        <w:lang w:val="en-US" w:eastAsia="en-US" w:bidi="ar-SA"/>
      </w:rPr>
    </w:lvl>
    <w:lvl w:ilvl="2">
      <w:start w:val="0"/>
      <w:numFmt w:val="bullet"/>
      <w:lvlText w:val="•"/>
      <w:lvlJc w:val="left"/>
      <w:pPr>
        <w:ind w:left="1487" w:hanging="567"/>
      </w:pPr>
      <w:rPr>
        <w:rFonts w:hint="default"/>
        <w:lang w:val="en-US" w:eastAsia="en-US" w:bidi="ar-SA"/>
      </w:rPr>
    </w:lvl>
    <w:lvl w:ilvl="3">
      <w:start w:val="0"/>
      <w:numFmt w:val="bullet"/>
      <w:lvlText w:val="•"/>
      <w:lvlJc w:val="left"/>
      <w:pPr>
        <w:ind w:left="1891" w:hanging="567"/>
      </w:pPr>
      <w:rPr>
        <w:rFonts w:hint="default"/>
        <w:lang w:val="en-US" w:eastAsia="en-US" w:bidi="ar-SA"/>
      </w:rPr>
    </w:lvl>
    <w:lvl w:ilvl="4">
      <w:start w:val="0"/>
      <w:numFmt w:val="bullet"/>
      <w:lvlText w:val="•"/>
      <w:lvlJc w:val="left"/>
      <w:pPr>
        <w:ind w:left="2295" w:hanging="567"/>
      </w:pPr>
      <w:rPr>
        <w:rFonts w:hint="default"/>
        <w:lang w:val="en-US" w:eastAsia="en-US" w:bidi="ar-SA"/>
      </w:rPr>
    </w:lvl>
    <w:lvl w:ilvl="5">
      <w:start w:val="0"/>
      <w:numFmt w:val="bullet"/>
      <w:lvlText w:val="•"/>
      <w:lvlJc w:val="left"/>
      <w:pPr>
        <w:ind w:left="2699" w:hanging="567"/>
      </w:pPr>
      <w:rPr>
        <w:rFonts w:hint="default"/>
        <w:lang w:val="en-US" w:eastAsia="en-US" w:bidi="ar-SA"/>
      </w:rPr>
    </w:lvl>
    <w:lvl w:ilvl="6">
      <w:start w:val="0"/>
      <w:numFmt w:val="bullet"/>
      <w:lvlText w:val="•"/>
      <w:lvlJc w:val="left"/>
      <w:pPr>
        <w:ind w:left="3103" w:hanging="567"/>
      </w:pPr>
      <w:rPr>
        <w:rFonts w:hint="default"/>
        <w:lang w:val="en-US" w:eastAsia="en-US" w:bidi="ar-SA"/>
      </w:rPr>
    </w:lvl>
    <w:lvl w:ilvl="7">
      <w:start w:val="0"/>
      <w:numFmt w:val="bullet"/>
      <w:lvlText w:val="•"/>
      <w:lvlJc w:val="left"/>
      <w:pPr>
        <w:ind w:left="3507" w:hanging="567"/>
      </w:pPr>
      <w:rPr>
        <w:rFonts w:hint="default"/>
        <w:lang w:val="en-US" w:eastAsia="en-US" w:bidi="ar-SA"/>
      </w:rPr>
    </w:lvl>
    <w:lvl w:ilvl="8">
      <w:start w:val="0"/>
      <w:numFmt w:val="bullet"/>
      <w:lvlText w:val="•"/>
      <w:lvlJc w:val="left"/>
      <w:pPr>
        <w:ind w:left="3911" w:hanging="567"/>
      </w:pPr>
      <w:rPr>
        <w:rFonts w:hint="default"/>
        <w:lang w:val="en-US" w:eastAsia="en-US" w:bidi="ar-SA"/>
      </w:rPr>
    </w:lvl>
  </w:abstractNum>
  <w:abstractNum w:abstractNumId="13">
    <w:multiLevelType w:val="hybridMultilevel"/>
    <w:lvl w:ilvl="0">
      <w:start w:val="209"/>
      <w:numFmt w:val="decimal"/>
      <w:lvlText w:val="%1"/>
      <w:lvlJc w:val="left"/>
      <w:pPr>
        <w:ind w:left="567" w:hanging="454"/>
        <w:jc w:val="left"/>
      </w:pPr>
      <w:rPr>
        <w:rFonts w:hint="default" w:ascii="Lucida Sans Unicode" w:hAnsi="Lucida Sans Unicode" w:eastAsia="Lucida Sans Unicode" w:cs="Lucida Sans Unicode"/>
        <w:b w:val="0"/>
        <w:bCs w:val="0"/>
        <w:i w:val="0"/>
        <w:iCs w:val="0"/>
        <w:spacing w:val="0"/>
        <w:w w:val="103"/>
        <w:sz w:val="16"/>
        <w:szCs w:val="16"/>
        <w:lang w:val="en-US" w:eastAsia="en-US" w:bidi="ar-SA"/>
      </w:rPr>
    </w:lvl>
    <w:lvl w:ilvl="1">
      <w:start w:val="0"/>
      <w:numFmt w:val="bullet"/>
      <w:lvlText w:val="•"/>
      <w:lvlJc w:val="left"/>
      <w:pPr>
        <w:ind w:left="1490" w:hanging="454"/>
      </w:pPr>
      <w:rPr>
        <w:rFonts w:hint="default"/>
        <w:lang w:val="en-US" w:eastAsia="en-US" w:bidi="ar-SA"/>
      </w:rPr>
    </w:lvl>
    <w:lvl w:ilvl="2">
      <w:start w:val="0"/>
      <w:numFmt w:val="bullet"/>
      <w:lvlText w:val="•"/>
      <w:lvlJc w:val="left"/>
      <w:pPr>
        <w:ind w:left="2421" w:hanging="454"/>
      </w:pPr>
      <w:rPr>
        <w:rFonts w:hint="default"/>
        <w:lang w:val="en-US" w:eastAsia="en-US" w:bidi="ar-SA"/>
      </w:rPr>
    </w:lvl>
    <w:lvl w:ilvl="3">
      <w:start w:val="0"/>
      <w:numFmt w:val="bullet"/>
      <w:lvlText w:val="•"/>
      <w:lvlJc w:val="left"/>
      <w:pPr>
        <w:ind w:left="3351" w:hanging="454"/>
      </w:pPr>
      <w:rPr>
        <w:rFonts w:hint="default"/>
        <w:lang w:val="en-US" w:eastAsia="en-US" w:bidi="ar-SA"/>
      </w:rPr>
    </w:lvl>
    <w:lvl w:ilvl="4">
      <w:start w:val="0"/>
      <w:numFmt w:val="bullet"/>
      <w:lvlText w:val="•"/>
      <w:lvlJc w:val="left"/>
      <w:pPr>
        <w:ind w:left="4282" w:hanging="454"/>
      </w:pPr>
      <w:rPr>
        <w:rFonts w:hint="default"/>
        <w:lang w:val="en-US" w:eastAsia="en-US" w:bidi="ar-SA"/>
      </w:rPr>
    </w:lvl>
    <w:lvl w:ilvl="5">
      <w:start w:val="0"/>
      <w:numFmt w:val="bullet"/>
      <w:lvlText w:val="•"/>
      <w:lvlJc w:val="left"/>
      <w:pPr>
        <w:ind w:left="5212" w:hanging="454"/>
      </w:pPr>
      <w:rPr>
        <w:rFonts w:hint="default"/>
        <w:lang w:val="en-US" w:eastAsia="en-US" w:bidi="ar-SA"/>
      </w:rPr>
    </w:lvl>
    <w:lvl w:ilvl="6">
      <w:start w:val="0"/>
      <w:numFmt w:val="bullet"/>
      <w:lvlText w:val="•"/>
      <w:lvlJc w:val="left"/>
      <w:pPr>
        <w:ind w:left="6143" w:hanging="454"/>
      </w:pPr>
      <w:rPr>
        <w:rFonts w:hint="default"/>
        <w:lang w:val="en-US" w:eastAsia="en-US" w:bidi="ar-SA"/>
      </w:rPr>
    </w:lvl>
    <w:lvl w:ilvl="7">
      <w:start w:val="0"/>
      <w:numFmt w:val="bullet"/>
      <w:lvlText w:val="•"/>
      <w:lvlJc w:val="left"/>
      <w:pPr>
        <w:ind w:left="7073" w:hanging="454"/>
      </w:pPr>
      <w:rPr>
        <w:rFonts w:hint="default"/>
        <w:lang w:val="en-US" w:eastAsia="en-US" w:bidi="ar-SA"/>
      </w:rPr>
    </w:lvl>
    <w:lvl w:ilvl="8">
      <w:start w:val="0"/>
      <w:numFmt w:val="bullet"/>
      <w:lvlText w:val="•"/>
      <w:lvlJc w:val="left"/>
      <w:pPr>
        <w:ind w:left="8004" w:hanging="454"/>
      </w:pPr>
      <w:rPr>
        <w:rFonts w:hint="default"/>
        <w:lang w:val="en-US" w:eastAsia="en-US" w:bidi="ar-SA"/>
      </w:rPr>
    </w:lvl>
  </w:abstractNum>
  <w:abstractNum w:abstractNumId="12">
    <w:multiLevelType w:val="hybridMultilevel"/>
    <w:lvl w:ilvl="0">
      <w:start w:val="1"/>
      <w:numFmt w:val="lowerLetter"/>
      <w:lvlText w:val="%1."/>
      <w:lvlJc w:val="left"/>
      <w:pPr>
        <w:ind w:left="396" w:hanging="283"/>
        <w:jc w:val="left"/>
      </w:pPr>
      <w:rPr>
        <w:rFonts w:hint="default" w:ascii="Tahoma" w:hAnsi="Tahoma" w:eastAsia="Tahoma" w:cs="Tahoma"/>
        <w:b/>
        <w:bCs/>
        <w:i w:val="0"/>
        <w:iCs w:val="0"/>
        <w:color w:val="77328A"/>
        <w:spacing w:val="0"/>
        <w:w w:val="96"/>
        <w:sz w:val="24"/>
        <w:szCs w:val="24"/>
        <w:lang w:val="en-US" w:eastAsia="en-US" w:bidi="ar-SA"/>
      </w:rPr>
    </w:lvl>
    <w:lvl w:ilvl="1">
      <w:start w:val="0"/>
      <w:numFmt w:val="bullet"/>
      <w:lvlText w:val="•"/>
      <w:lvlJc w:val="left"/>
      <w:pPr>
        <w:ind w:left="822" w:hanging="283"/>
      </w:pPr>
      <w:rPr>
        <w:rFonts w:hint="default"/>
        <w:lang w:val="en-US" w:eastAsia="en-US" w:bidi="ar-SA"/>
      </w:rPr>
    </w:lvl>
    <w:lvl w:ilvl="2">
      <w:start w:val="0"/>
      <w:numFmt w:val="bullet"/>
      <w:lvlText w:val="•"/>
      <w:lvlJc w:val="left"/>
      <w:pPr>
        <w:ind w:left="1245" w:hanging="283"/>
      </w:pPr>
      <w:rPr>
        <w:rFonts w:hint="default"/>
        <w:lang w:val="en-US" w:eastAsia="en-US" w:bidi="ar-SA"/>
      </w:rPr>
    </w:lvl>
    <w:lvl w:ilvl="3">
      <w:start w:val="0"/>
      <w:numFmt w:val="bullet"/>
      <w:lvlText w:val="•"/>
      <w:lvlJc w:val="left"/>
      <w:pPr>
        <w:ind w:left="1667" w:hanging="283"/>
      </w:pPr>
      <w:rPr>
        <w:rFonts w:hint="default"/>
        <w:lang w:val="en-US" w:eastAsia="en-US" w:bidi="ar-SA"/>
      </w:rPr>
    </w:lvl>
    <w:lvl w:ilvl="4">
      <w:start w:val="0"/>
      <w:numFmt w:val="bullet"/>
      <w:lvlText w:val="•"/>
      <w:lvlJc w:val="left"/>
      <w:pPr>
        <w:ind w:left="2090" w:hanging="283"/>
      </w:pPr>
      <w:rPr>
        <w:rFonts w:hint="default"/>
        <w:lang w:val="en-US" w:eastAsia="en-US" w:bidi="ar-SA"/>
      </w:rPr>
    </w:lvl>
    <w:lvl w:ilvl="5">
      <w:start w:val="0"/>
      <w:numFmt w:val="bullet"/>
      <w:lvlText w:val="•"/>
      <w:lvlJc w:val="left"/>
      <w:pPr>
        <w:ind w:left="2512" w:hanging="283"/>
      </w:pPr>
      <w:rPr>
        <w:rFonts w:hint="default"/>
        <w:lang w:val="en-US" w:eastAsia="en-US" w:bidi="ar-SA"/>
      </w:rPr>
    </w:lvl>
    <w:lvl w:ilvl="6">
      <w:start w:val="0"/>
      <w:numFmt w:val="bullet"/>
      <w:lvlText w:val="•"/>
      <w:lvlJc w:val="left"/>
      <w:pPr>
        <w:ind w:left="2935" w:hanging="283"/>
      </w:pPr>
      <w:rPr>
        <w:rFonts w:hint="default"/>
        <w:lang w:val="en-US" w:eastAsia="en-US" w:bidi="ar-SA"/>
      </w:rPr>
    </w:lvl>
    <w:lvl w:ilvl="7">
      <w:start w:val="0"/>
      <w:numFmt w:val="bullet"/>
      <w:lvlText w:val="•"/>
      <w:lvlJc w:val="left"/>
      <w:pPr>
        <w:ind w:left="3357" w:hanging="283"/>
      </w:pPr>
      <w:rPr>
        <w:rFonts w:hint="default"/>
        <w:lang w:val="en-US" w:eastAsia="en-US" w:bidi="ar-SA"/>
      </w:rPr>
    </w:lvl>
    <w:lvl w:ilvl="8">
      <w:start w:val="0"/>
      <w:numFmt w:val="bullet"/>
      <w:lvlText w:val="•"/>
      <w:lvlJc w:val="left"/>
      <w:pPr>
        <w:ind w:left="3780" w:hanging="283"/>
      </w:pPr>
      <w:rPr>
        <w:rFonts w:hint="default"/>
        <w:lang w:val="en-US" w:eastAsia="en-US" w:bidi="ar-SA"/>
      </w:rPr>
    </w:lvl>
  </w:abstractNum>
  <w:abstractNum w:abstractNumId="11">
    <w:multiLevelType w:val="hybridMultilevel"/>
    <w:lvl w:ilvl="0">
      <w:start w:val="1"/>
      <w:numFmt w:val="lowerRoman"/>
      <w:lvlText w:val="(%1)"/>
      <w:lvlJc w:val="left"/>
      <w:pPr>
        <w:ind w:left="680" w:hanging="567"/>
        <w:jc w:val="left"/>
      </w:pPr>
      <w:rPr>
        <w:rFonts w:hint="default" w:ascii="Arial" w:hAnsi="Arial" w:eastAsia="Arial" w:cs="Arial"/>
        <w:b w:val="0"/>
        <w:bCs w:val="0"/>
        <w:i w:val="0"/>
        <w:iCs w:val="0"/>
        <w:spacing w:val="0"/>
        <w:w w:val="127"/>
        <w:sz w:val="24"/>
        <w:szCs w:val="24"/>
        <w:lang w:val="en-US" w:eastAsia="en-US" w:bidi="ar-SA"/>
      </w:rPr>
    </w:lvl>
    <w:lvl w:ilvl="1">
      <w:start w:val="0"/>
      <w:numFmt w:val="bullet"/>
      <w:lvlText w:val="•"/>
      <w:lvlJc w:val="left"/>
      <w:pPr>
        <w:ind w:left="1086" w:hanging="567"/>
      </w:pPr>
      <w:rPr>
        <w:rFonts w:hint="default"/>
        <w:lang w:val="en-US" w:eastAsia="en-US" w:bidi="ar-SA"/>
      </w:rPr>
    </w:lvl>
    <w:lvl w:ilvl="2">
      <w:start w:val="0"/>
      <w:numFmt w:val="bullet"/>
      <w:lvlText w:val="•"/>
      <w:lvlJc w:val="left"/>
      <w:pPr>
        <w:ind w:left="1493" w:hanging="567"/>
      </w:pPr>
      <w:rPr>
        <w:rFonts w:hint="default"/>
        <w:lang w:val="en-US" w:eastAsia="en-US" w:bidi="ar-SA"/>
      </w:rPr>
    </w:lvl>
    <w:lvl w:ilvl="3">
      <w:start w:val="0"/>
      <w:numFmt w:val="bullet"/>
      <w:lvlText w:val="•"/>
      <w:lvlJc w:val="left"/>
      <w:pPr>
        <w:ind w:left="1899" w:hanging="567"/>
      </w:pPr>
      <w:rPr>
        <w:rFonts w:hint="default"/>
        <w:lang w:val="en-US" w:eastAsia="en-US" w:bidi="ar-SA"/>
      </w:rPr>
    </w:lvl>
    <w:lvl w:ilvl="4">
      <w:start w:val="0"/>
      <w:numFmt w:val="bullet"/>
      <w:lvlText w:val="•"/>
      <w:lvlJc w:val="left"/>
      <w:pPr>
        <w:ind w:left="2306" w:hanging="567"/>
      </w:pPr>
      <w:rPr>
        <w:rFonts w:hint="default"/>
        <w:lang w:val="en-US" w:eastAsia="en-US" w:bidi="ar-SA"/>
      </w:rPr>
    </w:lvl>
    <w:lvl w:ilvl="5">
      <w:start w:val="0"/>
      <w:numFmt w:val="bullet"/>
      <w:lvlText w:val="•"/>
      <w:lvlJc w:val="left"/>
      <w:pPr>
        <w:ind w:left="2713" w:hanging="567"/>
      </w:pPr>
      <w:rPr>
        <w:rFonts w:hint="default"/>
        <w:lang w:val="en-US" w:eastAsia="en-US" w:bidi="ar-SA"/>
      </w:rPr>
    </w:lvl>
    <w:lvl w:ilvl="6">
      <w:start w:val="0"/>
      <w:numFmt w:val="bullet"/>
      <w:lvlText w:val="•"/>
      <w:lvlJc w:val="left"/>
      <w:pPr>
        <w:ind w:left="3119" w:hanging="567"/>
      </w:pPr>
      <w:rPr>
        <w:rFonts w:hint="default"/>
        <w:lang w:val="en-US" w:eastAsia="en-US" w:bidi="ar-SA"/>
      </w:rPr>
    </w:lvl>
    <w:lvl w:ilvl="7">
      <w:start w:val="0"/>
      <w:numFmt w:val="bullet"/>
      <w:lvlText w:val="•"/>
      <w:lvlJc w:val="left"/>
      <w:pPr>
        <w:ind w:left="3526" w:hanging="567"/>
      </w:pPr>
      <w:rPr>
        <w:rFonts w:hint="default"/>
        <w:lang w:val="en-US" w:eastAsia="en-US" w:bidi="ar-SA"/>
      </w:rPr>
    </w:lvl>
    <w:lvl w:ilvl="8">
      <w:start w:val="0"/>
      <w:numFmt w:val="bullet"/>
      <w:lvlText w:val="•"/>
      <w:lvlJc w:val="left"/>
      <w:pPr>
        <w:ind w:left="3932" w:hanging="567"/>
      </w:pPr>
      <w:rPr>
        <w:rFonts w:hint="default"/>
        <w:lang w:val="en-US" w:eastAsia="en-US" w:bidi="ar-SA"/>
      </w:rPr>
    </w:lvl>
  </w:abstractNum>
  <w:abstractNum w:abstractNumId="10">
    <w:multiLevelType w:val="hybridMultilevel"/>
    <w:lvl w:ilvl="0">
      <w:start w:val="1"/>
      <w:numFmt w:val="decimal"/>
      <w:lvlText w:val="%1."/>
      <w:lvlJc w:val="left"/>
      <w:pPr>
        <w:ind w:left="680" w:hanging="567"/>
        <w:jc w:val="left"/>
      </w:pPr>
      <w:rPr>
        <w:rFonts w:hint="default" w:ascii="Tahoma" w:hAnsi="Tahoma" w:eastAsia="Tahoma" w:cs="Tahoma"/>
        <w:b/>
        <w:bCs/>
        <w:i w:val="0"/>
        <w:iCs w:val="0"/>
        <w:color w:val="77328A"/>
        <w:spacing w:val="0"/>
        <w:w w:val="74"/>
        <w:sz w:val="30"/>
        <w:szCs w:val="30"/>
        <w:lang w:val="en-US" w:eastAsia="en-US" w:bidi="ar-SA"/>
      </w:rPr>
    </w:lvl>
    <w:lvl w:ilvl="1">
      <w:start w:val="0"/>
      <w:numFmt w:val="bullet"/>
      <w:lvlText w:val="•"/>
      <w:lvlJc w:val="left"/>
      <w:pPr>
        <w:ind w:left="1081" w:hanging="567"/>
      </w:pPr>
      <w:rPr>
        <w:rFonts w:hint="default"/>
        <w:lang w:val="en-US" w:eastAsia="en-US" w:bidi="ar-SA"/>
      </w:rPr>
    </w:lvl>
    <w:lvl w:ilvl="2">
      <w:start w:val="0"/>
      <w:numFmt w:val="bullet"/>
      <w:lvlText w:val="•"/>
      <w:lvlJc w:val="left"/>
      <w:pPr>
        <w:ind w:left="1482" w:hanging="567"/>
      </w:pPr>
      <w:rPr>
        <w:rFonts w:hint="default"/>
        <w:lang w:val="en-US" w:eastAsia="en-US" w:bidi="ar-SA"/>
      </w:rPr>
    </w:lvl>
    <w:lvl w:ilvl="3">
      <w:start w:val="0"/>
      <w:numFmt w:val="bullet"/>
      <w:lvlText w:val="•"/>
      <w:lvlJc w:val="left"/>
      <w:pPr>
        <w:ind w:left="1883" w:hanging="567"/>
      </w:pPr>
      <w:rPr>
        <w:rFonts w:hint="default"/>
        <w:lang w:val="en-US" w:eastAsia="en-US" w:bidi="ar-SA"/>
      </w:rPr>
    </w:lvl>
    <w:lvl w:ilvl="4">
      <w:start w:val="0"/>
      <w:numFmt w:val="bullet"/>
      <w:lvlText w:val="•"/>
      <w:lvlJc w:val="left"/>
      <w:pPr>
        <w:ind w:left="2284" w:hanging="567"/>
      </w:pPr>
      <w:rPr>
        <w:rFonts w:hint="default"/>
        <w:lang w:val="en-US" w:eastAsia="en-US" w:bidi="ar-SA"/>
      </w:rPr>
    </w:lvl>
    <w:lvl w:ilvl="5">
      <w:start w:val="0"/>
      <w:numFmt w:val="bullet"/>
      <w:lvlText w:val="•"/>
      <w:lvlJc w:val="left"/>
      <w:pPr>
        <w:ind w:left="2685" w:hanging="567"/>
      </w:pPr>
      <w:rPr>
        <w:rFonts w:hint="default"/>
        <w:lang w:val="en-US" w:eastAsia="en-US" w:bidi="ar-SA"/>
      </w:rPr>
    </w:lvl>
    <w:lvl w:ilvl="6">
      <w:start w:val="0"/>
      <w:numFmt w:val="bullet"/>
      <w:lvlText w:val="•"/>
      <w:lvlJc w:val="left"/>
      <w:pPr>
        <w:ind w:left="3086" w:hanging="567"/>
      </w:pPr>
      <w:rPr>
        <w:rFonts w:hint="default"/>
        <w:lang w:val="en-US" w:eastAsia="en-US" w:bidi="ar-SA"/>
      </w:rPr>
    </w:lvl>
    <w:lvl w:ilvl="7">
      <w:start w:val="0"/>
      <w:numFmt w:val="bullet"/>
      <w:lvlText w:val="•"/>
      <w:lvlJc w:val="left"/>
      <w:pPr>
        <w:ind w:left="3487" w:hanging="567"/>
      </w:pPr>
      <w:rPr>
        <w:rFonts w:hint="default"/>
        <w:lang w:val="en-US" w:eastAsia="en-US" w:bidi="ar-SA"/>
      </w:rPr>
    </w:lvl>
    <w:lvl w:ilvl="8">
      <w:start w:val="0"/>
      <w:numFmt w:val="bullet"/>
      <w:lvlText w:val="•"/>
      <w:lvlJc w:val="left"/>
      <w:pPr>
        <w:ind w:left="3888" w:hanging="567"/>
      </w:pPr>
      <w:rPr>
        <w:rFonts w:hint="default"/>
        <w:lang w:val="en-US" w:eastAsia="en-US" w:bidi="ar-SA"/>
      </w:rPr>
    </w:lvl>
  </w:abstractNum>
  <w:abstractNum w:abstractNumId="9">
    <w:multiLevelType w:val="hybridMultilevel"/>
    <w:lvl w:ilvl="0">
      <w:start w:val="1"/>
      <w:numFmt w:val="lowerRoman"/>
      <w:lvlText w:val="(%1)"/>
      <w:lvlJc w:val="left"/>
      <w:pPr>
        <w:ind w:left="680" w:hanging="567"/>
        <w:jc w:val="left"/>
      </w:pPr>
      <w:rPr>
        <w:rFonts w:hint="default" w:ascii="Arial" w:hAnsi="Arial" w:eastAsia="Arial" w:cs="Arial"/>
        <w:b w:val="0"/>
        <w:bCs w:val="0"/>
        <w:i w:val="0"/>
        <w:iCs w:val="0"/>
        <w:spacing w:val="0"/>
        <w:w w:val="127"/>
        <w:sz w:val="24"/>
        <w:szCs w:val="24"/>
        <w:lang w:val="en-US" w:eastAsia="en-US" w:bidi="ar-SA"/>
      </w:rPr>
    </w:lvl>
    <w:lvl w:ilvl="1">
      <w:start w:val="0"/>
      <w:numFmt w:val="bullet"/>
      <w:lvlText w:val="•"/>
      <w:lvlJc w:val="left"/>
      <w:pPr>
        <w:ind w:left="1086" w:hanging="567"/>
      </w:pPr>
      <w:rPr>
        <w:rFonts w:hint="default"/>
        <w:lang w:val="en-US" w:eastAsia="en-US" w:bidi="ar-SA"/>
      </w:rPr>
    </w:lvl>
    <w:lvl w:ilvl="2">
      <w:start w:val="0"/>
      <w:numFmt w:val="bullet"/>
      <w:lvlText w:val="•"/>
      <w:lvlJc w:val="left"/>
      <w:pPr>
        <w:ind w:left="1493" w:hanging="567"/>
      </w:pPr>
      <w:rPr>
        <w:rFonts w:hint="default"/>
        <w:lang w:val="en-US" w:eastAsia="en-US" w:bidi="ar-SA"/>
      </w:rPr>
    </w:lvl>
    <w:lvl w:ilvl="3">
      <w:start w:val="0"/>
      <w:numFmt w:val="bullet"/>
      <w:lvlText w:val="•"/>
      <w:lvlJc w:val="left"/>
      <w:pPr>
        <w:ind w:left="1899" w:hanging="567"/>
      </w:pPr>
      <w:rPr>
        <w:rFonts w:hint="default"/>
        <w:lang w:val="en-US" w:eastAsia="en-US" w:bidi="ar-SA"/>
      </w:rPr>
    </w:lvl>
    <w:lvl w:ilvl="4">
      <w:start w:val="0"/>
      <w:numFmt w:val="bullet"/>
      <w:lvlText w:val="•"/>
      <w:lvlJc w:val="left"/>
      <w:pPr>
        <w:ind w:left="2306" w:hanging="567"/>
      </w:pPr>
      <w:rPr>
        <w:rFonts w:hint="default"/>
        <w:lang w:val="en-US" w:eastAsia="en-US" w:bidi="ar-SA"/>
      </w:rPr>
    </w:lvl>
    <w:lvl w:ilvl="5">
      <w:start w:val="0"/>
      <w:numFmt w:val="bullet"/>
      <w:lvlText w:val="•"/>
      <w:lvlJc w:val="left"/>
      <w:pPr>
        <w:ind w:left="2713" w:hanging="567"/>
      </w:pPr>
      <w:rPr>
        <w:rFonts w:hint="default"/>
        <w:lang w:val="en-US" w:eastAsia="en-US" w:bidi="ar-SA"/>
      </w:rPr>
    </w:lvl>
    <w:lvl w:ilvl="6">
      <w:start w:val="0"/>
      <w:numFmt w:val="bullet"/>
      <w:lvlText w:val="•"/>
      <w:lvlJc w:val="left"/>
      <w:pPr>
        <w:ind w:left="3119" w:hanging="567"/>
      </w:pPr>
      <w:rPr>
        <w:rFonts w:hint="default"/>
        <w:lang w:val="en-US" w:eastAsia="en-US" w:bidi="ar-SA"/>
      </w:rPr>
    </w:lvl>
    <w:lvl w:ilvl="7">
      <w:start w:val="0"/>
      <w:numFmt w:val="bullet"/>
      <w:lvlText w:val="•"/>
      <w:lvlJc w:val="left"/>
      <w:pPr>
        <w:ind w:left="3526" w:hanging="567"/>
      </w:pPr>
      <w:rPr>
        <w:rFonts w:hint="default"/>
        <w:lang w:val="en-US" w:eastAsia="en-US" w:bidi="ar-SA"/>
      </w:rPr>
    </w:lvl>
    <w:lvl w:ilvl="8">
      <w:start w:val="0"/>
      <w:numFmt w:val="bullet"/>
      <w:lvlText w:val="•"/>
      <w:lvlJc w:val="left"/>
      <w:pPr>
        <w:ind w:left="3932" w:hanging="567"/>
      </w:pPr>
      <w:rPr>
        <w:rFonts w:hint="default"/>
        <w:lang w:val="en-US" w:eastAsia="en-US" w:bidi="ar-SA"/>
      </w:rPr>
    </w:lvl>
  </w:abstractNum>
  <w:abstractNum w:abstractNumId="8">
    <w:multiLevelType w:val="hybridMultilevel"/>
    <w:lvl w:ilvl="0">
      <w:start w:val="1"/>
      <w:numFmt w:val="decimal"/>
      <w:lvlText w:val="%1."/>
      <w:lvlJc w:val="left"/>
      <w:pPr>
        <w:ind w:left="680" w:hanging="567"/>
        <w:jc w:val="left"/>
      </w:pPr>
      <w:rPr>
        <w:rFonts w:hint="default" w:ascii="Tahoma" w:hAnsi="Tahoma" w:eastAsia="Tahoma" w:cs="Tahoma"/>
        <w:b/>
        <w:bCs/>
        <w:i w:val="0"/>
        <w:iCs w:val="0"/>
        <w:color w:val="77328A"/>
        <w:spacing w:val="0"/>
        <w:w w:val="74"/>
        <w:sz w:val="30"/>
        <w:szCs w:val="30"/>
        <w:lang w:val="en-US" w:eastAsia="en-US" w:bidi="ar-SA"/>
      </w:rPr>
    </w:lvl>
    <w:lvl w:ilvl="1">
      <w:start w:val="1"/>
      <w:numFmt w:val="lowerLetter"/>
      <w:lvlText w:val="%2."/>
      <w:lvlJc w:val="left"/>
      <w:pPr>
        <w:ind w:left="113" w:hanging="283"/>
        <w:jc w:val="left"/>
      </w:pPr>
      <w:rPr>
        <w:rFonts w:hint="default" w:ascii="Tahoma" w:hAnsi="Tahoma" w:eastAsia="Tahoma" w:cs="Tahoma"/>
        <w:b/>
        <w:bCs/>
        <w:i w:val="0"/>
        <w:iCs w:val="0"/>
        <w:color w:val="77328A"/>
        <w:spacing w:val="0"/>
        <w:w w:val="96"/>
        <w:sz w:val="24"/>
        <w:szCs w:val="24"/>
        <w:lang w:val="en-US" w:eastAsia="en-US" w:bidi="ar-SA"/>
      </w:rPr>
    </w:lvl>
    <w:lvl w:ilvl="2">
      <w:start w:val="1"/>
      <w:numFmt w:val="decimal"/>
      <w:lvlText w:val="(%3)"/>
      <w:lvlJc w:val="left"/>
      <w:pPr>
        <w:ind w:left="1247" w:hanging="567"/>
        <w:jc w:val="left"/>
      </w:pPr>
      <w:rPr>
        <w:rFonts w:hint="default"/>
        <w:spacing w:val="0"/>
        <w:w w:val="95"/>
        <w:lang w:val="en-US" w:eastAsia="en-US" w:bidi="ar-SA"/>
      </w:rPr>
    </w:lvl>
    <w:lvl w:ilvl="3">
      <w:start w:val="1"/>
      <w:numFmt w:val="lowerLetter"/>
      <w:lvlText w:val="(%4)"/>
      <w:lvlJc w:val="left"/>
      <w:pPr>
        <w:ind w:left="1247" w:hanging="567"/>
        <w:jc w:val="left"/>
      </w:pPr>
      <w:rPr>
        <w:rFonts w:hint="default" w:ascii="Arial" w:hAnsi="Arial" w:eastAsia="Arial" w:cs="Arial"/>
        <w:b w:val="0"/>
        <w:bCs w:val="0"/>
        <w:i w:val="0"/>
        <w:iCs w:val="0"/>
        <w:color w:val="77328A"/>
        <w:spacing w:val="0"/>
        <w:w w:val="118"/>
        <w:sz w:val="24"/>
        <w:szCs w:val="24"/>
        <w:lang w:val="en-US" w:eastAsia="en-US" w:bidi="ar-SA"/>
      </w:rPr>
    </w:lvl>
    <w:lvl w:ilvl="4">
      <w:start w:val="0"/>
      <w:numFmt w:val="bullet"/>
      <w:lvlText w:val="•"/>
      <w:lvlJc w:val="left"/>
      <w:pPr>
        <w:ind w:left="831" w:hanging="567"/>
      </w:pPr>
      <w:rPr>
        <w:rFonts w:hint="default"/>
        <w:lang w:val="en-US" w:eastAsia="en-US" w:bidi="ar-SA"/>
      </w:rPr>
    </w:lvl>
    <w:lvl w:ilvl="5">
      <w:start w:val="0"/>
      <w:numFmt w:val="bullet"/>
      <w:lvlText w:val="•"/>
      <w:lvlJc w:val="left"/>
      <w:pPr>
        <w:ind w:left="627" w:hanging="567"/>
      </w:pPr>
      <w:rPr>
        <w:rFonts w:hint="default"/>
        <w:lang w:val="en-US" w:eastAsia="en-US" w:bidi="ar-SA"/>
      </w:rPr>
    </w:lvl>
    <w:lvl w:ilvl="6">
      <w:start w:val="0"/>
      <w:numFmt w:val="bullet"/>
      <w:lvlText w:val="•"/>
      <w:lvlJc w:val="left"/>
      <w:pPr>
        <w:ind w:left="423" w:hanging="567"/>
      </w:pPr>
      <w:rPr>
        <w:rFonts w:hint="default"/>
        <w:lang w:val="en-US" w:eastAsia="en-US" w:bidi="ar-SA"/>
      </w:rPr>
    </w:lvl>
    <w:lvl w:ilvl="7">
      <w:start w:val="0"/>
      <w:numFmt w:val="bullet"/>
      <w:lvlText w:val="•"/>
      <w:lvlJc w:val="left"/>
      <w:pPr>
        <w:ind w:left="219" w:hanging="567"/>
      </w:pPr>
      <w:rPr>
        <w:rFonts w:hint="default"/>
        <w:lang w:val="en-US" w:eastAsia="en-US" w:bidi="ar-SA"/>
      </w:rPr>
    </w:lvl>
    <w:lvl w:ilvl="8">
      <w:start w:val="0"/>
      <w:numFmt w:val="bullet"/>
      <w:lvlText w:val="•"/>
      <w:lvlJc w:val="left"/>
      <w:pPr>
        <w:ind w:left="15" w:hanging="567"/>
      </w:pPr>
      <w:rPr>
        <w:rFonts w:hint="default"/>
        <w:lang w:val="en-US" w:eastAsia="en-US" w:bidi="ar-SA"/>
      </w:rPr>
    </w:lvl>
  </w:abstractNum>
  <w:abstractNum w:abstractNumId="7">
    <w:multiLevelType w:val="hybridMultilevel"/>
    <w:lvl w:ilvl="0">
      <w:start w:val="1"/>
      <w:numFmt w:val="lowerRoman"/>
      <w:lvlText w:val="%1."/>
      <w:lvlJc w:val="left"/>
      <w:pPr>
        <w:ind w:left="310" w:hanging="197"/>
        <w:jc w:val="left"/>
      </w:pPr>
      <w:rPr>
        <w:rFonts w:hint="default" w:ascii="Verdana" w:hAnsi="Verdana" w:eastAsia="Verdana" w:cs="Verdana"/>
        <w:b w:val="0"/>
        <w:bCs w:val="0"/>
        <w:i/>
        <w:iCs/>
        <w:color w:val="77328A"/>
        <w:spacing w:val="0"/>
        <w:w w:val="81"/>
        <w:sz w:val="24"/>
        <w:szCs w:val="24"/>
        <w:lang w:val="en-US" w:eastAsia="en-US" w:bidi="ar-SA"/>
      </w:rPr>
    </w:lvl>
    <w:lvl w:ilvl="1">
      <w:start w:val="0"/>
      <w:numFmt w:val="bullet"/>
      <w:lvlText w:val="•"/>
      <w:lvlJc w:val="left"/>
      <w:pPr>
        <w:ind w:left="761" w:hanging="197"/>
      </w:pPr>
      <w:rPr>
        <w:rFonts w:hint="default"/>
        <w:lang w:val="en-US" w:eastAsia="en-US" w:bidi="ar-SA"/>
      </w:rPr>
    </w:lvl>
    <w:lvl w:ilvl="2">
      <w:start w:val="0"/>
      <w:numFmt w:val="bullet"/>
      <w:lvlText w:val="•"/>
      <w:lvlJc w:val="left"/>
      <w:pPr>
        <w:ind w:left="1201" w:hanging="197"/>
      </w:pPr>
      <w:rPr>
        <w:rFonts w:hint="default"/>
        <w:lang w:val="en-US" w:eastAsia="en-US" w:bidi="ar-SA"/>
      </w:rPr>
    </w:lvl>
    <w:lvl w:ilvl="3">
      <w:start w:val="0"/>
      <w:numFmt w:val="bullet"/>
      <w:lvlText w:val="•"/>
      <w:lvlJc w:val="left"/>
      <w:pPr>
        <w:ind w:left="1642" w:hanging="197"/>
      </w:pPr>
      <w:rPr>
        <w:rFonts w:hint="default"/>
        <w:lang w:val="en-US" w:eastAsia="en-US" w:bidi="ar-SA"/>
      </w:rPr>
    </w:lvl>
    <w:lvl w:ilvl="4">
      <w:start w:val="0"/>
      <w:numFmt w:val="bullet"/>
      <w:lvlText w:val="•"/>
      <w:lvlJc w:val="left"/>
      <w:pPr>
        <w:ind w:left="2083" w:hanging="197"/>
      </w:pPr>
      <w:rPr>
        <w:rFonts w:hint="default"/>
        <w:lang w:val="en-US" w:eastAsia="en-US" w:bidi="ar-SA"/>
      </w:rPr>
    </w:lvl>
    <w:lvl w:ilvl="5">
      <w:start w:val="0"/>
      <w:numFmt w:val="bullet"/>
      <w:lvlText w:val="•"/>
      <w:lvlJc w:val="left"/>
      <w:pPr>
        <w:ind w:left="2524" w:hanging="197"/>
      </w:pPr>
      <w:rPr>
        <w:rFonts w:hint="default"/>
        <w:lang w:val="en-US" w:eastAsia="en-US" w:bidi="ar-SA"/>
      </w:rPr>
    </w:lvl>
    <w:lvl w:ilvl="6">
      <w:start w:val="0"/>
      <w:numFmt w:val="bullet"/>
      <w:lvlText w:val="•"/>
      <w:lvlJc w:val="left"/>
      <w:pPr>
        <w:ind w:left="2965" w:hanging="197"/>
      </w:pPr>
      <w:rPr>
        <w:rFonts w:hint="default"/>
        <w:lang w:val="en-US" w:eastAsia="en-US" w:bidi="ar-SA"/>
      </w:rPr>
    </w:lvl>
    <w:lvl w:ilvl="7">
      <w:start w:val="0"/>
      <w:numFmt w:val="bullet"/>
      <w:lvlText w:val="•"/>
      <w:lvlJc w:val="left"/>
      <w:pPr>
        <w:ind w:left="3406" w:hanging="197"/>
      </w:pPr>
      <w:rPr>
        <w:rFonts w:hint="default"/>
        <w:lang w:val="en-US" w:eastAsia="en-US" w:bidi="ar-SA"/>
      </w:rPr>
    </w:lvl>
    <w:lvl w:ilvl="8">
      <w:start w:val="0"/>
      <w:numFmt w:val="bullet"/>
      <w:lvlText w:val="•"/>
      <w:lvlJc w:val="left"/>
      <w:pPr>
        <w:ind w:left="3847" w:hanging="197"/>
      </w:pPr>
      <w:rPr>
        <w:rFonts w:hint="default"/>
        <w:lang w:val="en-US" w:eastAsia="en-US" w:bidi="ar-SA"/>
      </w:rPr>
    </w:lvl>
  </w:abstractNum>
  <w:abstractNum w:abstractNumId="6">
    <w:multiLevelType w:val="hybridMultilevel"/>
    <w:lvl w:ilvl="0">
      <w:start w:val="1"/>
      <w:numFmt w:val="decimal"/>
      <w:lvlText w:val="%1."/>
      <w:lvlJc w:val="left"/>
      <w:pPr>
        <w:ind w:left="680" w:hanging="568"/>
        <w:jc w:val="left"/>
      </w:pPr>
      <w:rPr>
        <w:rFonts w:hint="default"/>
        <w:spacing w:val="0"/>
        <w:w w:val="74"/>
        <w:lang w:val="en-US" w:eastAsia="en-US" w:bidi="ar-SA"/>
      </w:rPr>
    </w:lvl>
    <w:lvl w:ilvl="1">
      <w:start w:val="1"/>
      <w:numFmt w:val="lowerLetter"/>
      <w:lvlText w:val="%2."/>
      <w:lvlJc w:val="left"/>
      <w:pPr>
        <w:ind w:left="113" w:hanging="283"/>
        <w:jc w:val="left"/>
      </w:pPr>
      <w:rPr>
        <w:rFonts w:hint="default" w:ascii="Tahoma" w:hAnsi="Tahoma" w:eastAsia="Tahoma" w:cs="Tahoma"/>
        <w:b/>
        <w:bCs/>
        <w:i w:val="0"/>
        <w:iCs w:val="0"/>
        <w:color w:val="77328A"/>
        <w:spacing w:val="0"/>
        <w:w w:val="96"/>
        <w:sz w:val="24"/>
        <w:szCs w:val="24"/>
        <w:lang w:val="en-US" w:eastAsia="en-US" w:bidi="ar-SA"/>
      </w:rPr>
    </w:lvl>
    <w:lvl w:ilvl="2">
      <w:start w:val="0"/>
      <w:numFmt w:val="bullet"/>
      <w:lvlText w:val="•"/>
      <w:lvlJc w:val="left"/>
      <w:pPr>
        <w:ind w:left="1121" w:hanging="283"/>
      </w:pPr>
      <w:rPr>
        <w:rFonts w:hint="default"/>
        <w:lang w:val="en-US" w:eastAsia="en-US" w:bidi="ar-SA"/>
      </w:rPr>
    </w:lvl>
    <w:lvl w:ilvl="3">
      <w:start w:val="0"/>
      <w:numFmt w:val="bullet"/>
      <w:lvlText w:val="•"/>
      <w:lvlJc w:val="left"/>
      <w:pPr>
        <w:ind w:left="1562" w:hanging="283"/>
      </w:pPr>
      <w:rPr>
        <w:rFonts w:hint="default"/>
        <w:lang w:val="en-US" w:eastAsia="en-US" w:bidi="ar-SA"/>
      </w:rPr>
    </w:lvl>
    <w:lvl w:ilvl="4">
      <w:start w:val="0"/>
      <w:numFmt w:val="bullet"/>
      <w:lvlText w:val="•"/>
      <w:lvlJc w:val="left"/>
      <w:pPr>
        <w:ind w:left="2003" w:hanging="283"/>
      </w:pPr>
      <w:rPr>
        <w:rFonts w:hint="default"/>
        <w:lang w:val="en-US" w:eastAsia="en-US" w:bidi="ar-SA"/>
      </w:rPr>
    </w:lvl>
    <w:lvl w:ilvl="5">
      <w:start w:val="0"/>
      <w:numFmt w:val="bullet"/>
      <w:lvlText w:val="•"/>
      <w:lvlJc w:val="left"/>
      <w:pPr>
        <w:ind w:left="2444" w:hanging="283"/>
      </w:pPr>
      <w:rPr>
        <w:rFonts w:hint="default"/>
        <w:lang w:val="en-US" w:eastAsia="en-US" w:bidi="ar-SA"/>
      </w:rPr>
    </w:lvl>
    <w:lvl w:ilvl="6">
      <w:start w:val="0"/>
      <w:numFmt w:val="bullet"/>
      <w:lvlText w:val="•"/>
      <w:lvlJc w:val="left"/>
      <w:pPr>
        <w:ind w:left="2885" w:hanging="283"/>
      </w:pPr>
      <w:rPr>
        <w:rFonts w:hint="default"/>
        <w:lang w:val="en-US" w:eastAsia="en-US" w:bidi="ar-SA"/>
      </w:rPr>
    </w:lvl>
    <w:lvl w:ilvl="7">
      <w:start w:val="0"/>
      <w:numFmt w:val="bullet"/>
      <w:lvlText w:val="•"/>
      <w:lvlJc w:val="left"/>
      <w:pPr>
        <w:ind w:left="3326" w:hanging="283"/>
      </w:pPr>
      <w:rPr>
        <w:rFonts w:hint="default"/>
        <w:lang w:val="en-US" w:eastAsia="en-US" w:bidi="ar-SA"/>
      </w:rPr>
    </w:lvl>
    <w:lvl w:ilvl="8">
      <w:start w:val="0"/>
      <w:numFmt w:val="bullet"/>
      <w:lvlText w:val="•"/>
      <w:lvlJc w:val="left"/>
      <w:pPr>
        <w:ind w:left="3767" w:hanging="283"/>
      </w:pPr>
      <w:rPr>
        <w:rFonts w:hint="default"/>
        <w:lang w:val="en-US" w:eastAsia="en-US" w:bidi="ar-SA"/>
      </w:rPr>
    </w:lvl>
  </w:abstractNum>
  <w:abstractNum w:abstractNumId="5">
    <w:multiLevelType w:val="hybridMultilevel"/>
    <w:lvl w:ilvl="0">
      <w:start w:val="1"/>
      <w:numFmt w:val="decimal"/>
      <w:lvlText w:val="%1"/>
      <w:lvlJc w:val="left"/>
      <w:pPr>
        <w:ind w:left="567" w:hanging="454"/>
        <w:jc w:val="left"/>
      </w:pPr>
      <w:rPr>
        <w:rFonts w:hint="default"/>
        <w:spacing w:val="0"/>
        <w:w w:val="56"/>
        <w:lang w:val="en-US" w:eastAsia="en-US" w:bidi="ar-SA"/>
      </w:rPr>
    </w:lvl>
    <w:lvl w:ilvl="1">
      <w:start w:val="0"/>
      <w:numFmt w:val="bullet"/>
      <w:lvlText w:val="•"/>
      <w:lvlJc w:val="left"/>
      <w:pPr>
        <w:ind w:left="1490" w:hanging="454"/>
      </w:pPr>
      <w:rPr>
        <w:rFonts w:hint="default"/>
        <w:lang w:val="en-US" w:eastAsia="en-US" w:bidi="ar-SA"/>
      </w:rPr>
    </w:lvl>
    <w:lvl w:ilvl="2">
      <w:start w:val="0"/>
      <w:numFmt w:val="bullet"/>
      <w:lvlText w:val="•"/>
      <w:lvlJc w:val="left"/>
      <w:pPr>
        <w:ind w:left="2421" w:hanging="454"/>
      </w:pPr>
      <w:rPr>
        <w:rFonts w:hint="default"/>
        <w:lang w:val="en-US" w:eastAsia="en-US" w:bidi="ar-SA"/>
      </w:rPr>
    </w:lvl>
    <w:lvl w:ilvl="3">
      <w:start w:val="0"/>
      <w:numFmt w:val="bullet"/>
      <w:lvlText w:val="•"/>
      <w:lvlJc w:val="left"/>
      <w:pPr>
        <w:ind w:left="3351" w:hanging="454"/>
      </w:pPr>
      <w:rPr>
        <w:rFonts w:hint="default"/>
        <w:lang w:val="en-US" w:eastAsia="en-US" w:bidi="ar-SA"/>
      </w:rPr>
    </w:lvl>
    <w:lvl w:ilvl="4">
      <w:start w:val="0"/>
      <w:numFmt w:val="bullet"/>
      <w:lvlText w:val="•"/>
      <w:lvlJc w:val="left"/>
      <w:pPr>
        <w:ind w:left="4282" w:hanging="454"/>
      </w:pPr>
      <w:rPr>
        <w:rFonts w:hint="default"/>
        <w:lang w:val="en-US" w:eastAsia="en-US" w:bidi="ar-SA"/>
      </w:rPr>
    </w:lvl>
    <w:lvl w:ilvl="5">
      <w:start w:val="0"/>
      <w:numFmt w:val="bullet"/>
      <w:lvlText w:val="•"/>
      <w:lvlJc w:val="left"/>
      <w:pPr>
        <w:ind w:left="5212" w:hanging="454"/>
      </w:pPr>
      <w:rPr>
        <w:rFonts w:hint="default"/>
        <w:lang w:val="en-US" w:eastAsia="en-US" w:bidi="ar-SA"/>
      </w:rPr>
    </w:lvl>
    <w:lvl w:ilvl="6">
      <w:start w:val="0"/>
      <w:numFmt w:val="bullet"/>
      <w:lvlText w:val="•"/>
      <w:lvlJc w:val="left"/>
      <w:pPr>
        <w:ind w:left="6143" w:hanging="454"/>
      </w:pPr>
      <w:rPr>
        <w:rFonts w:hint="default"/>
        <w:lang w:val="en-US" w:eastAsia="en-US" w:bidi="ar-SA"/>
      </w:rPr>
    </w:lvl>
    <w:lvl w:ilvl="7">
      <w:start w:val="0"/>
      <w:numFmt w:val="bullet"/>
      <w:lvlText w:val="•"/>
      <w:lvlJc w:val="left"/>
      <w:pPr>
        <w:ind w:left="7073" w:hanging="454"/>
      </w:pPr>
      <w:rPr>
        <w:rFonts w:hint="default"/>
        <w:lang w:val="en-US" w:eastAsia="en-US" w:bidi="ar-SA"/>
      </w:rPr>
    </w:lvl>
    <w:lvl w:ilvl="8">
      <w:start w:val="0"/>
      <w:numFmt w:val="bullet"/>
      <w:lvlText w:val="•"/>
      <w:lvlJc w:val="left"/>
      <w:pPr>
        <w:ind w:left="8004" w:hanging="454"/>
      </w:pPr>
      <w:rPr>
        <w:rFonts w:hint="default"/>
        <w:lang w:val="en-US" w:eastAsia="en-US" w:bidi="ar-SA"/>
      </w:rPr>
    </w:lvl>
  </w:abstractNum>
  <w:abstractNum w:abstractNumId="4">
    <w:multiLevelType w:val="hybridMultilevel"/>
    <w:lvl w:ilvl="0">
      <w:start w:val="1"/>
      <w:numFmt w:val="decimal"/>
      <w:lvlText w:val="%1."/>
      <w:lvlJc w:val="left"/>
      <w:pPr>
        <w:ind w:left="567" w:hanging="454"/>
        <w:jc w:val="left"/>
      </w:pPr>
      <w:rPr>
        <w:rFonts w:hint="default" w:ascii="Lucida Sans Unicode" w:hAnsi="Lucida Sans Unicode" w:eastAsia="Lucida Sans Unicode" w:cs="Lucida Sans Unicode"/>
        <w:b w:val="0"/>
        <w:bCs w:val="0"/>
        <w:i w:val="0"/>
        <w:iCs w:val="0"/>
        <w:spacing w:val="0"/>
        <w:w w:val="63"/>
        <w:sz w:val="24"/>
        <w:szCs w:val="24"/>
        <w:lang w:val="en-US" w:eastAsia="en-US" w:bidi="ar-SA"/>
      </w:rPr>
    </w:lvl>
    <w:lvl w:ilvl="1">
      <w:start w:val="0"/>
      <w:numFmt w:val="bullet"/>
      <w:lvlText w:val="•"/>
      <w:lvlJc w:val="left"/>
      <w:pPr>
        <w:ind w:left="1490" w:hanging="454"/>
      </w:pPr>
      <w:rPr>
        <w:rFonts w:hint="default"/>
        <w:lang w:val="en-US" w:eastAsia="en-US" w:bidi="ar-SA"/>
      </w:rPr>
    </w:lvl>
    <w:lvl w:ilvl="2">
      <w:start w:val="0"/>
      <w:numFmt w:val="bullet"/>
      <w:lvlText w:val="•"/>
      <w:lvlJc w:val="left"/>
      <w:pPr>
        <w:ind w:left="2421" w:hanging="454"/>
      </w:pPr>
      <w:rPr>
        <w:rFonts w:hint="default"/>
        <w:lang w:val="en-US" w:eastAsia="en-US" w:bidi="ar-SA"/>
      </w:rPr>
    </w:lvl>
    <w:lvl w:ilvl="3">
      <w:start w:val="0"/>
      <w:numFmt w:val="bullet"/>
      <w:lvlText w:val="•"/>
      <w:lvlJc w:val="left"/>
      <w:pPr>
        <w:ind w:left="3351" w:hanging="454"/>
      </w:pPr>
      <w:rPr>
        <w:rFonts w:hint="default"/>
        <w:lang w:val="en-US" w:eastAsia="en-US" w:bidi="ar-SA"/>
      </w:rPr>
    </w:lvl>
    <w:lvl w:ilvl="4">
      <w:start w:val="0"/>
      <w:numFmt w:val="bullet"/>
      <w:lvlText w:val="•"/>
      <w:lvlJc w:val="left"/>
      <w:pPr>
        <w:ind w:left="4282" w:hanging="454"/>
      </w:pPr>
      <w:rPr>
        <w:rFonts w:hint="default"/>
        <w:lang w:val="en-US" w:eastAsia="en-US" w:bidi="ar-SA"/>
      </w:rPr>
    </w:lvl>
    <w:lvl w:ilvl="5">
      <w:start w:val="0"/>
      <w:numFmt w:val="bullet"/>
      <w:lvlText w:val="•"/>
      <w:lvlJc w:val="left"/>
      <w:pPr>
        <w:ind w:left="5212" w:hanging="454"/>
      </w:pPr>
      <w:rPr>
        <w:rFonts w:hint="default"/>
        <w:lang w:val="en-US" w:eastAsia="en-US" w:bidi="ar-SA"/>
      </w:rPr>
    </w:lvl>
    <w:lvl w:ilvl="6">
      <w:start w:val="0"/>
      <w:numFmt w:val="bullet"/>
      <w:lvlText w:val="•"/>
      <w:lvlJc w:val="left"/>
      <w:pPr>
        <w:ind w:left="6143" w:hanging="454"/>
      </w:pPr>
      <w:rPr>
        <w:rFonts w:hint="default"/>
        <w:lang w:val="en-US" w:eastAsia="en-US" w:bidi="ar-SA"/>
      </w:rPr>
    </w:lvl>
    <w:lvl w:ilvl="7">
      <w:start w:val="0"/>
      <w:numFmt w:val="bullet"/>
      <w:lvlText w:val="•"/>
      <w:lvlJc w:val="left"/>
      <w:pPr>
        <w:ind w:left="7073" w:hanging="454"/>
      </w:pPr>
      <w:rPr>
        <w:rFonts w:hint="default"/>
        <w:lang w:val="en-US" w:eastAsia="en-US" w:bidi="ar-SA"/>
      </w:rPr>
    </w:lvl>
    <w:lvl w:ilvl="8">
      <w:start w:val="0"/>
      <w:numFmt w:val="bullet"/>
      <w:lvlText w:val="•"/>
      <w:lvlJc w:val="left"/>
      <w:pPr>
        <w:ind w:left="8004" w:hanging="454"/>
      </w:pPr>
      <w:rPr>
        <w:rFonts w:hint="default"/>
        <w:lang w:val="en-US" w:eastAsia="en-US" w:bidi="ar-SA"/>
      </w:rPr>
    </w:lvl>
  </w:abstractNum>
  <w:abstractNum w:abstractNumId="3">
    <w:multiLevelType w:val="hybridMultilevel"/>
    <w:lvl w:ilvl="0">
      <w:start w:val="1"/>
      <w:numFmt w:val="decimal"/>
      <w:lvlText w:val="%1."/>
      <w:lvlJc w:val="left"/>
      <w:pPr>
        <w:ind w:left="567" w:hanging="454"/>
        <w:jc w:val="left"/>
      </w:pPr>
      <w:rPr>
        <w:rFonts w:hint="default"/>
        <w:spacing w:val="0"/>
        <w:w w:val="72"/>
        <w:lang w:val="en-US" w:eastAsia="en-US" w:bidi="ar-SA"/>
      </w:rPr>
    </w:lvl>
    <w:lvl w:ilvl="1">
      <w:start w:val="1"/>
      <w:numFmt w:val="lowerLetter"/>
      <w:lvlText w:val="%2."/>
      <w:lvlJc w:val="left"/>
      <w:pPr>
        <w:ind w:left="964" w:hanging="397"/>
        <w:jc w:val="left"/>
      </w:pPr>
      <w:rPr>
        <w:rFonts w:hint="default"/>
        <w:spacing w:val="0"/>
        <w:w w:val="98"/>
        <w:lang w:val="en-US" w:eastAsia="en-US" w:bidi="ar-SA"/>
      </w:rPr>
    </w:lvl>
    <w:lvl w:ilvl="2">
      <w:start w:val="0"/>
      <w:numFmt w:val="bullet"/>
      <w:lvlText w:val="•"/>
      <w:lvlJc w:val="left"/>
      <w:pPr>
        <w:ind w:left="1949" w:hanging="397"/>
      </w:pPr>
      <w:rPr>
        <w:rFonts w:hint="default"/>
        <w:lang w:val="en-US" w:eastAsia="en-US" w:bidi="ar-SA"/>
      </w:rPr>
    </w:lvl>
    <w:lvl w:ilvl="3">
      <w:start w:val="0"/>
      <w:numFmt w:val="bullet"/>
      <w:lvlText w:val="•"/>
      <w:lvlJc w:val="left"/>
      <w:pPr>
        <w:ind w:left="2939" w:hanging="397"/>
      </w:pPr>
      <w:rPr>
        <w:rFonts w:hint="default"/>
        <w:lang w:val="en-US" w:eastAsia="en-US" w:bidi="ar-SA"/>
      </w:rPr>
    </w:lvl>
    <w:lvl w:ilvl="4">
      <w:start w:val="0"/>
      <w:numFmt w:val="bullet"/>
      <w:lvlText w:val="•"/>
      <w:lvlJc w:val="left"/>
      <w:pPr>
        <w:ind w:left="3928" w:hanging="397"/>
      </w:pPr>
      <w:rPr>
        <w:rFonts w:hint="default"/>
        <w:lang w:val="en-US" w:eastAsia="en-US" w:bidi="ar-SA"/>
      </w:rPr>
    </w:lvl>
    <w:lvl w:ilvl="5">
      <w:start w:val="0"/>
      <w:numFmt w:val="bullet"/>
      <w:lvlText w:val="•"/>
      <w:lvlJc w:val="left"/>
      <w:pPr>
        <w:ind w:left="4918" w:hanging="397"/>
      </w:pPr>
      <w:rPr>
        <w:rFonts w:hint="default"/>
        <w:lang w:val="en-US" w:eastAsia="en-US" w:bidi="ar-SA"/>
      </w:rPr>
    </w:lvl>
    <w:lvl w:ilvl="6">
      <w:start w:val="0"/>
      <w:numFmt w:val="bullet"/>
      <w:lvlText w:val="•"/>
      <w:lvlJc w:val="left"/>
      <w:pPr>
        <w:ind w:left="5907" w:hanging="397"/>
      </w:pPr>
      <w:rPr>
        <w:rFonts w:hint="default"/>
        <w:lang w:val="en-US" w:eastAsia="en-US" w:bidi="ar-SA"/>
      </w:rPr>
    </w:lvl>
    <w:lvl w:ilvl="7">
      <w:start w:val="0"/>
      <w:numFmt w:val="bullet"/>
      <w:lvlText w:val="•"/>
      <w:lvlJc w:val="left"/>
      <w:pPr>
        <w:ind w:left="6897" w:hanging="397"/>
      </w:pPr>
      <w:rPr>
        <w:rFonts w:hint="default"/>
        <w:lang w:val="en-US" w:eastAsia="en-US" w:bidi="ar-SA"/>
      </w:rPr>
    </w:lvl>
    <w:lvl w:ilvl="8">
      <w:start w:val="0"/>
      <w:numFmt w:val="bullet"/>
      <w:lvlText w:val="•"/>
      <w:lvlJc w:val="left"/>
      <w:pPr>
        <w:ind w:left="7886" w:hanging="397"/>
      </w:pPr>
      <w:rPr>
        <w:rFonts w:hint="default"/>
        <w:lang w:val="en-US" w:eastAsia="en-US" w:bidi="ar-SA"/>
      </w:rPr>
    </w:lvl>
  </w:abstractNum>
  <w:abstractNum w:abstractNumId="2">
    <w:multiLevelType w:val="hybridMultilevel"/>
    <w:lvl w:ilvl="0">
      <w:start w:val="1"/>
      <w:numFmt w:val="decimal"/>
      <w:lvlText w:val="%1."/>
      <w:lvlJc w:val="left"/>
      <w:pPr>
        <w:ind w:left="567" w:hanging="454"/>
        <w:jc w:val="left"/>
      </w:pPr>
      <w:rPr>
        <w:rFonts w:hint="default" w:ascii="Lucida Sans Unicode" w:hAnsi="Lucida Sans Unicode" w:eastAsia="Lucida Sans Unicode" w:cs="Lucida Sans Unicode"/>
        <w:b w:val="0"/>
        <w:bCs w:val="0"/>
        <w:i w:val="0"/>
        <w:iCs w:val="0"/>
        <w:spacing w:val="0"/>
        <w:w w:val="63"/>
        <w:sz w:val="24"/>
        <w:szCs w:val="24"/>
        <w:lang w:val="en-US" w:eastAsia="en-US" w:bidi="ar-SA"/>
      </w:rPr>
    </w:lvl>
    <w:lvl w:ilvl="1">
      <w:start w:val="1"/>
      <w:numFmt w:val="lowerLetter"/>
      <w:lvlText w:val="%2."/>
      <w:lvlJc w:val="left"/>
      <w:pPr>
        <w:ind w:left="964" w:hanging="397"/>
        <w:jc w:val="left"/>
      </w:pPr>
      <w:rPr>
        <w:rFonts w:hint="default"/>
        <w:spacing w:val="0"/>
        <w:w w:val="98"/>
        <w:lang w:val="en-US" w:eastAsia="en-US" w:bidi="ar-SA"/>
      </w:rPr>
    </w:lvl>
    <w:lvl w:ilvl="2">
      <w:start w:val="0"/>
      <w:numFmt w:val="bullet"/>
      <w:lvlText w:val="•"/>
      <w:lvlJc w:val="left"/>
      <w:pPr>
        <w:ind w:left="1949" w:hanging="397"/>
      </w:pPr>
      <w:rPr>
        <w:rFonts w:hint="default"/>
        <w:lang w:val="en-US" w:eastAsia="en-US" w:bidi="ar-SA"/>
      </w:rPr>
    </w:lvl>
    <w:lvl w:ilvl="3">
      <w:start w:val="0"/>
      <w:numFmt w:val="bullet"/>
      <w:lvlText w:val="•"/>
      <w:lvlJc w:val="left"/>
      <w:pPr>
        <w:ind w:left="2939" w:hanging="397"/>
      </w:pPr>
      <w:rPr>
        <w:rFonts w:hint="default"/>
        <w:lang w:val="en-US" w:eastAsia="en-US" w:bidi="ar-SA"/>
      </w:rPr>
    </w:lvl>
    <w:lvl w:ilvl="4">
      <w:start w:val="0"/>
      <w:numFmt w:val="bullet"/>
      <w:lvlText w:val="•"/>
      <w:lvlJc w:val="left"/>
      <w:pPr>
        <w:ind w:left="3928" w:hanging="397"/>
      </w:pPr>
      <w:rPr>
        <w:rFonts w:hint="default"/>
        <w:lang w:val="en-US" w:eastAsia="en-US" w:bidi="ar-SA"/>
      </w:rPr>
    </w:lvl>
    <w:lvl w:ilvl="5">
      <w:start w:val="0"/>
      <w:numFmt w:val="bullet"/>
      <w:lvlText w:val="•"/>
      <w:lvlJc w:val="left"/>
      <w:pPr>
        <w:ind w:left="4918" w:hanging="397"/>
      </w:pPr>
      <w:rPr>
        <w:rFonts w:hint="default"/>
        <w:lang w:val="en-US" w:eastAsia="en-US" w:bidi="ar-SA"/>
      </w:rPr>
    </w:lvl>
    <w:lvl w:ilvl="6">
      <w:start w:val="0"/>
      <w:numFmt w:val="bullet"/>
      <w:lvlText w:val="•"/>
      <w:lvlJc w:val="left"/>
      <w:pPr>
        <w:ind w:left="5907" w:hanging="397"/>
      </w:pPr>
      <w:rPr>
        <w:rFonts w:hint="default"/>
        <w:lang w:val="en-US" w:eastAsia="en-US" w:bidi="ar-SA"/>
      </w:rPr>
    </w:lvl>
    <w:lvl w:ilvl="7">
      <w:start w:val="0"/>
      <w:numFmt w:val="bullet"/>
      <w:lvlText w:val="•"/>
      <w:lvlJc w:val="left"/>
      <w:pPr>
        <w:ind w:left="6897" w:hanging="397"/>
      </w:pPr>
      <w:rPr>
        <w:rFonts w:hint="default"/>
        <w:lang w:val="en-US" w:eastAsia="en-US" w:bidi="ar-SA"/>
      </w:rPr>
    </w:lvl>
    <w:lvl w:ilvl="8">
      <w:start w:val="0"/>
      <w:numFmt w:val="bullet"/>
      <w:lvlText w:val="•"/>
      <w:lvlJc w:val="left"/>
      <w:pPr>
        <w:ind w:left="7886" w:hanging="397"/>
      </w:pPr>
      <w:rPr>
        <w:rFonts w:hint="default"/>
        <w:lang w:val="en-US" w:eastAsia="en-US" w:bidi="ar-SA"/>
      </w:rPr>
    </w:lvl>
  </w:abstractNum>
  <w:abstractNum w:abstractNumId="1">
    <w:multiLevelType w:val="hybridMultilevel"/>
    <w:lvl w:ilvl="0">
      <w:start w:val="1"/>
      <w:numFmt w:val="decimal"/>
      <w:lvlText w:val="%1."/>
      <w:lvlJc w:val="left"/>
      <w:pPr>
        <w:ind w:left="567" w:hanging="454"/>
        <w:jc w:val="left"/>
      </w:pPr>
      <w:rPr>
        <w:rFonts w:hint="default" w:ascii="Lucida Sans Unicode" w:hAnsi="Lucida Sans Unicode" w:eastAsia="Lucida Sans Unicode" w:cs="Lucida Sans Unicode"/>
        <w:b w:val="0"/>
        <w:bCs w:val="0"/>
        <w:i w:val="0"/>
        <w:iCs w:val="0"/>
        <w:spacing w:val="0"/>
        <w:w w:val="63"/>
        <w:sz w:val="24"/>
        <w:szCs w:val="24"/>
        <w:lang w:val="en-US" w:eastAsia="en-US" w:bidi="ar-SA"/>
      </w:rPr>
    </w:lvl>
    <w:lvl w:ilvl="1">
      <w:start w:val="1"/>
      <w:numFmt w:val="lowerLetter"/>
      <w:lvlText w:val="%2."/>
      <w:lvlJc w:val="left"/>
      <w:pPr>
        <w:ind w:left="964" w:hanging="397"/>
        <w:jc w:val="left"/>
      </w:pPr>
      <w:rPr>
        <w:rFonts w:hint="default" w:ascii="Lucida Sans Unicode" w:hAnsi="Lucida Sans Unicode" w:eastAsia="Lucida Sans Unicode" w:cs="Lucida Sans Unicode"/>
        <w:b w:val="0"/>
        <w:bCs w:val="0"/>
        <w:i w:val="0"/>
        <w:iCs w:val="0"/>
        <w:spacing w:val="0"/>
        <w:w w:val="94"/>
        <w:sz w:val="24"/>
        <w:szCs w:val="24"/>
        <w:lang w:val="en-US" w:eastAsia="en-US" w:bidi="ar-SA"/>
      </w:rPr>
    </w:lvl>
    <w:lvl w:ilvl="2">
      <w:start w:val="0"/>
      <w:numFmt w:val="bullet"/>
      <w:lvlText w:val="•"/>
      <w:lvlJc w:val="left"/>
      <w:pPr>
        <w:ind w:left="1949" w:hanging="397"/>
      </w:pPr>
      <w:rPr>
        <w:rFonts w:hint="default"/>
        <w:lang w:val="en-US" w:eastAsia="en-US" w:bidi="ar-SA"/>
      </w:rPr>
    </w:lvl>
    <w:lvl w:ilvl="3">
      <w:start w:val="0"/>
      <w:numFmt w:val="bullet"/>
      <w:lvlText w:val="•"/>
      <w:lvlJc w:val="left"/>
      <w:pPr>
        <w:ind w:left="2939" w:hanging="397"/>
      </w:pPr>
      <w:rPr>
        <w:rFonts w:hint="default"/>
        <w:lang w:val="en-US" w:eastAsia="en-US" w:bidi="ar-SA"/>
      </w:rPr>
    </w:lvl>
    <w:lvl w:ilvl="4">
      <w:start w:val="0"/>
      <w:numFmt w:val="bullet"/>
      <w:lvlText w:val="•"/>
      <w:lvlJc w:val="left"/>
      <w:pPr>
        <w:ind w:left="3928" w:hanging="397"/>
      </w:pPr>
      <w:rPr>
        <w:rFonts w:hint="default"/>
        <w:lang w:val="en-US" w:eastAsia="en-US" w:bidi="ar-SA"/>
      </w:rPr>
    </w:lvl>
    <w:lvl w:ilvl="5">
      <w:start w:val="0"/>
      <w:numFmt w:val="bullet"/>
      <w:lvlText w:val="•"/>
      <w:lvlJc w:val="left"/>
      <w:pPr>
        <w:ind w:left="4918" w:hanging="397"/>
      </w:pPr>
      <w:rPr>
        <w:rFonts w:hint="default"/>
        <w:lang w:val="en-US" w:eastAsia="en-US" w:bidi="ar-SA"/>
      </w:rPr>
    </w:lvl>
    <w:lvl w:ilvl="6">
      <w:start w:val="0"/>
      <w:numFmt w:val="bullet"/>
      <w:lvlText w:val="•"/>
      <w:lvlJc w:val="left"/>
      <w:pPr>
        <w:ind w:left="5907" w:hanging="397"/>
      </w:pPr>
      <w:rPr>
        <w:rFonts w:hint="default"/>
        <w:lang w:val="en-US" w:eastAsia="en-US" w:bidi="ar-SA"/>
      </w:rPr>
    </w:lvl>
    <w:lvl w:ilvl="7">
      <w:start w:val="0"/>
      <w:numFmt w:val="bullet"/>
      <w:lvlText w:val="•"/>
      <w:lvlJc w:val="left"/>
      <w:pPr>
        <w:ind w:left="6897" w:hanging="397"/>
      </w:pPr>
      <w:rPr>
        <w:rFonts w:hint="default"/>
        <w:lang w:val="en-US" w:eastAsia="en-US" w:bidi="ar-SA"/>
      </w:rPr>
    </w:lvl>
    <w:lvl w:ilvl="8">
      <w:start w:val="0"/>
      <w:numFmt w:val="bullet"/>
      <w:lvlText w:val="•"/>
      <w:lvlJc w:val="left"/>
      <w:pPr>
        <w:ind w:left="7886" w:hanging="397"/>
      </w:pPr>
      <w:rPr>
        <w:rFonts w:hint="default"/>
        <w:lang w:val="en-US" w:eastAsia="en-US" w:bidi="ar-SA"/>
      </w:rPr>
    </w:lvl>
  </w:abstractNum>
  <w:abstractNum w:abstractNumId="0">
    <w:multiLevelType w:val="hybridMultilevel"/>
    <w:lvl w:ilvl="0">
      <w:start w:val="1"/>
      <w:numFmt w:val="decimal"/>
      <w:lvlText w:val="%1."/>
      <w:lvlJc w:val="left"/>
      <w:pPr>
        <w:ind w:left="567" w:hanging="454"/>
        <w:jc w:val="left"/>
      </w:pPr>
      <w:rPr>
        <w:rFonts w:hint="default" w:ascii="Lucida Sans Unicode" w:hAnsi="Lucida Sans Unicode" w:eastAsia="Lucida Sans Unicode" w:cs="Lucida Sans Unicode"/>
        <w:b w:val="0"/>
        <w:bCs w:val="0"/>
        <w:i w:val="0"/>
        <w:iCs w:val="0"/>
        <w:spacing w:val="0"/>
        <w:w w:val="63"/>
        <w:sz w:val="24"/>
        <w:szCs w:val="24"/>
        <w:lang w:val="en-US" w:eastAsia="en-US" w:bidi="ar-SA"/>
      </w:rPr>
    </w:lvl>
    <w:lvl w:ilvl="1">
      <w:start w:val="1"/>
      <w:numFmt w:val="lowerLetter"/>
      <w:lvlText w:val="%2."/>
      <w:lvlJc w:val="left"/>
      <w:pPr>
        <w:ind w:left="964" w:hanging="397"/>
        <w:jc w:val="left"/>
      </w:pPr>
      <w:rPr>
        <w:rFonts w:hint="default" w:ascii="Lucida Sans Unicode" w:hAnsi="Lucida Sans Unicode" w:eastAsia="Lucida Sans Unicode" w:cs="Lucida Sans Unicode"/>
        <w:b w:val="0"/>
        <w:bCs w:val="0"/>
        <w:i w:val="0"/>
        <w:iCs w:val="0"/>
        <w:spacing w:val="0"/>
        <w:w w:val="94"/>
        <w:sz w:val="24"/>
        <w:szCs w:val="24"/>
        <w:lang w:val="en-US" w:eastAsia="en-US" w:bidi="ar-SA"/>
      </w:rPr>
    </w:lvl>
    <w:lvl w:ilvl="2">
      <w:start w:val="0"/>
      <w:numFmt w:val="bullet"/>
      <w:lvlText w:val="•"/>
      <w:lvlJc w:val="left"/>
      <w:pPr>
        <w:ind w:left="1949" w:hanging="397"/>
      </w:pPr>
      <w:rPr>
        <w:rFonts w:hint="default"/>
        <w:lang w:val="en-US" w:eastAsia="en-US" w:bidi="ar-SA"/>
      </w:rPr>
    </w:lvl>
    <w:lvl w:ilvl="3">
      <w:start w:val="0"/>
      <w:numFmt w:val="bullet"/>
      <w:lvlText w:val="•"/>
      <w:lvlJc w:val="left"/>
      <w:pPr>
        <w:ind w:left="2939" w:hanging="397"/>
      </w:pPr>
      <w:rPr>
        <w:rFonts w:hint="default"/>
        <w:lang w:val="en-US" w:eastAsia="en-US" w:bidi="ar-SA"/>
      </w:rPr>
    </w:lvl>
    <w:lvl w:ilvl="4">
      <w:start w:val="0"/>
      <w:numFmt w:val="bullet"/>
      <w:lvlText w:val="•"/>
      <w:lvlJc w:val="left"/>
      <w:pPr>
        <w:ind w:left="3928" w:hanging="397"/>
      </w:pPr>
      <w:rPr>
        <w:rFonts w:hint="default"/>
        <w:lang w:val="en-US" w:eastAsia="en-US" w:bidi="ar-SA"/>
      </w:rPr>
    </w:lvl>
    <w:lvl w:ilvl="5">
      <w:start w:val="0"/>
      <w:numFmt w:val="bullet"/>
      <w:lvlText w:val="•"/>
      <w:lvlJc w:val="left"/>
      <w:pPr>
        <w:ind w:left="4918" w:hanging="397"/>
      </w:pPr>
      <w:rPr>
        <w:rFonts w:hint="default"/>
        <w:lang w:val="en-US" w:eastAsia="en-US" w:bidi="ar-SA"/>
      </w:rPr>
    </w:lvl>
    <w:lvl w:ilvl="6">
      <w:start w:val="0"/>
      <w:numFmt w:val="bullet"/>
      <w:lvlText w:val="•"/>
      <w:lvlJc w:val="left"/>
      <w:pPr>
        <w:ind w:left="5907" w:hanging="397"/>
      </w:pPr>
      <w:rPr>
        <w:rFonts w:hint="default"/>
        <w:lang w:val="en-US" w:eastAsia="en-US" w:bidi="ar-SA"/>
      </w:rPr>
    </w:lvl>
    <w:lvl w:ilvl="7">
      <w:start w:val="0"/>
      <w:numFmt w:val="bullet"/>
      <w:lvlText w:val="•"/>
      <w:lvlJc w:val="left"/>
      <w:pPr>
        <w:ind w:left="6897" w:hanging="397"/>
      </w:pPr>
      <w:rPr>
        <w:rFonts w:hint="default"/>
        <w:lang w:val="en-US" w:eastAsia="en-US" w:bidi="ar-SA"/>
      </w:rPr>
    </w:lvl>
    <w:lvl w:ilvl="8">
      <w:start w:val="0"/>
      <w:numFmt w:val="bullet"/>
      <w:lvlText w:val="•"/>
      <w:lvlJc w:val="left"/>
      <w:pPr>
        <w:ind w:left="7886" w:hanging="397"/>
      </w:pPr>
      <w:rPr>
        <w:rFonts w:hint="default"/>
        <w:lang w:val="en-US" w:eastAsia="en-US" w:bidi="ar-SA"/>
      </w:rPr>
    </w:lvl>
  </w:abstract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78"/>
      <w:ind w:left="113"/>
    </w:pPr>
    <w:rPr>
      <w:rFonts w:ascii="Tahoma" w:hAnsi="Tahoma" w:eastAsia="Tahoma" w:cs="Tahoma"/>
      <w:b/>
      <w:bCs/>
      <w:sz w:val="24"/>
      <w:szCs w:val="24"/>
      <w:lang w:val="en-US" w:eastAsia="en-US" w:bidi="ar-SA"/>
    </w:rPr>
  </w:style>
  <w:style w:styleId="TOC2" w:type="paragraph">
    <w:name w:val="TOC 2"/>
    <w:basedOn w:val="Normal"/>
    <w:uiPriority w:val="1"/>
    <w:qFormat/>
    <w:pPr>
      <w:spacing w:line="300" w:lineRule="exact"/>
      <w:ind w:left="567" w:hanging="454"/>
    </w:pPr>
    <w:rPr>
      <w:rFonts w:ascii="Lucida Sans Unicode" w:hAnsi="Lucida Sans Unicode" w:eastAsia="Lucida Sans Unicode" w:cs="Lucida Sans Unicode"/>
      <w:sz w:val="24"/>
      <w:szCs w:val="24"/>
      <w:lang w:val="en-US" w:eastAsia="en-US" w:bidi="ar-SA"/>
    </w:rPr>
  </w:style>
  <w:style w:styleId="TOC3" w:type="paragraph">
    <w:name w:val="TOC 3"/>
    <w:basedOn w:val="Normal"/>
    <w:uiPriority w:val="1"/>
    <w:qFormat/>
    <w:pPr>
      <w:spacing w:line="300" w:lineRule="exact"/>
      <w:ind w:left="963" w:hanging="396"/>
    </w:pPr>
    <w:rPr>
      <w:rFonts w:ascii="Lucida Sans Unicode" w:hAnsi="Lucida Sans Unicode" w:eastAsia="Lucida Sans Unicode" w:cs="Lucida Sans Unicode"/>
      <w:sz w:val="24"/>
      <w:szCs w:val="24"/>
      <w:lang w:val="en-US" w:eastAsia="en-US" w:bidi="ar-SA"/>
    </w:rPr>
  </w:style>
  <w:style w:styleId="TOC4" w:type="paragraph">
    <w:name w:val="TOC 4"/>
    <w:basedOn w:val="Normal"/>
    <w:uiPriority w:val="1"/>
    <w:qFormat/>
    <w:pPr>
      <w:ind w:left="964"/>
    </w:pPr>
    <w:rPr>
      <w:rFonts w:ascii="Lucida Sans Unicode" w:hAnsi="Lucida Sans Unicode" w:eastAsia="Lucida Sans Unicode" w:cs="Lucida Sans Unicode"/>
      <w:sz w:val="24"/>
      <w:szCs w:val="24"/>
      <w:lang w:val="en-US" w:eastAsia="en-US" w:bidi="ar-SA"/>
    </w:rPr>
  </w:style>
  <w:style w:styleId="BodyText" w:type="paragraph">
    <w:name w:val="Body Text"/>
    <w:basedOn w:val="Normal"/>
    <w:uiPriority w:val="1"/>
    <w:qFormat/>
    <w:pPr>
      <w:ind w:left="113"/>
    </w:pPr>
    <w:rPr>
      <w:rFonts w:ascii="Arial" w:hAnsi="Arial" w:eastAsia="Arial" w:cs="Arial"/>
      <w:sz w:val="24"/>
      <w:szCs w:val="24"/>
      <w:lang w:val="en-US" w:eastAsia="en-US" w:bidi="ar-SA"/>
    </w:rPr>
  </w:style>
  <w:style w:styleId="Heading1" w:type="paragraph">
    <w:name w:val="Heading 1"/>
    <w:basedOn w:val="Normal"/>
    <w:uiPriority w:val="1"/>
    <w:qFormat/>
    <w:pPr>
      <w:ind w:left="113"/>
      <w:outlineLvl w:val="1"/>
    </w:pPr>
    <w:rPr>
      <w:rFonts w:ascii="Trebuchet MS" w:hAnsi="Trebuchet MS" w:eastAsia="Trebuchet MS" w:cs="Trebuchet MS"/>
      <w:sz w:val="60"/>
      <w:szCs w:val="60"/>
      <w:lang w:val="en-US" w:eastAsia="en-US" w:bidi="ar-SA"/>
    </w:rPr>
  </w:style>
  <w:style w:styleId="Heading2" w:type="paragraph">
    <w:name w:val="Heading 2"/>
    <w:basedOn w:val="Normal"/>
    <w:uiPriority w:val="1"/>
    <w:qFormat/>
    <w:pPr>
      <w:spacing w:before="78"/>
      <w:ind w:left="680" w:hanging="567"/>
      <w:outlineLvl w:val="2"/>
    </w:pPr>
    <w:rPr>
      <w:rFonts w:ascii="Tahoma" w:hAnsi="Tahoma" w:eastAsia="Tahoma" w:cs="Tahoma"/>
      <w:b/>
      <w:bCs/>
      <w:sz w:val="32"/>
      <w:szCs w:val="32"/>
      <w:lang w:val="en-US" w:eastAsia="en-US" w:bidi="ar-SA"/>
    </w:rPr>
  </w:style>
  <w:style w:styleId="Heading3" w:type="paragraph">
    <w:name w:val="Heading 3"/>
    <w:basedOn w:val="Normal"/>
    <w:uiPriority w:val="1"/>
    <w:qFormat/>
    <w:pPr>
      <w:spacing w:before="80"/>
      <w:ind w:left="680" w:hanging="567"/>
      <w:outlineLvl w:val="3"/>
    </w:pPr>
    <w:rPr>
      <w:rFonts w:ascii="Tahoma" w:hAnsi="Tahoma" w:eastAsia="Tahoma" w:cs="Tahoma"/>
      <w:b/>
      <w:bCs/>
      <w:sz w:val="30"/>
      <w:szCs w:val="30"/>
      <w:lang w:val="en-US" w:eastAsia="en-US" w:bidi="ar-SA"/>
    </w:rPr>
  </w:style>
  <w:style w:styleId="Heading4" w:type="paragraph">
    <w:name w:val="Heading 4"/>
    <w:basedOn w:val="Normal"/>
    <w:uiPriority w:val="1"/>
    <w:qFormat/>
    <w:pPr>
      <w:ind w:left="113"/>
      <w:outlineLvl w:val="4"/>
    </w:pPr>
    <w:rPr>
      <w:rFonts w:ascii="Tahoma" w:hAnsi="Tahoma" w:eastAsia="Tahoma" w:cs="Tahoma"/>
      <w:b/>
      <w:bCs/>
      <w:sz w:val="24"/>
      <w:szCs w:val="24"/>
      <w:lang w:val="en-US" w:eastAsia="en-US" w:bidi="ar-SA"/>
    </w:rPr>
  </w:style>
  <w:style w:styleId="Heading5" w:type="paragraph">
    <w:name w:val="Heading 5"/>
    <w:basedOn w:val="Normal"/>
    <w:uiPriority w:val="1"/>
    <w:qFormat/>
    <w:pPr>
      <w:ind w:left="113"/>
      <w:outlineLvl w:val="5"/>
    </w:pPr>
    <w:rPr>
      <w:rFonts w:ascii="Arial" w:hAnsi="Arial" w:eastAsia="Arial" w:cs="Arial"/>
      <w:b/>
      <w:bCs/>
      <w:i/>
      <w:iCs/>
      <w:sz w:val="24"/>
      <w:szCs w:val="24"/>
      <w:lang w:val="en-US" w:eastAsia="en-US" w:bidi="ar-SA"/>
    </w:rPr>
  </w:style>
  <w:style w:styleId="Title" w:type="paragraph">
    <w:name w:val="Title"/>
    <w:basedOn w:val="Normal"/>
    <w:uiPriority w:val="1"/>
    <w:qFormat/>
    <w:pPr>
      <w:spacing w:before="697"/>
      <w:ind w:left="113"/>
    </w:pPr>
    <w:rPr>
      <w:rFonts w:ascii="Tahoma" w:hAnsi="Tahoma" w:eastAsia="Tahoma" w:cs="Tahoma"/>
      <w:b/>
      <w:bCs/>
      <w:sz w:val="60"/>
      <w:szCs w:val="60"/>
      <w:lang w:val="en-US" w:eastAsia="en-US" w:bidi="ar-SA"/>
    </w:rPr>
  </w:style>
  <w:style w:styleId="ListParagraph" w:type="paragraph">
    <w:name w:val="List Paragraph"/>
    <w:basedOn w:val="Normal"/>
    <w:uiPriority w:val="1"/>
    <w:qFormat/>
    <w:pPr>
      <w:spacing w:line="200" w:lineRule="exact"/>
      <w:ind w:left="567" w:hanging="454"/>
    </w:pPr>
    <w:rPr>
      <w:rFonts w:ascii="Lucida Sans Unicode" w:hAnsi="Lucida Sans Unicode" w:eastAsia="Lucida Sans Unicode" w:cs="Lucida Sans Unicode"/>
      <w:lang w:val="en-US" w:eastAsia="en-US" w:bidi="ar-SA"/>
    </w:rPr>
  </w:style>
  <w:style w:styleId="TableParagraph" w:type="paragraph">
    <w:name w:val="Table Paragraph"/>
    <w:basedOn w:val="Normal"/>
    <w:uiPriority w:val="1"/>
    <w:qFormat/>
    <w:pPr>
      <w:spacing w:before="133"/>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header" Target="header1.xml"/><Relationship Id="rId29" Type="http://schemas.openxmlformats.org/officeDocument/2006/relationships/header" Target="header2.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hyperlink" Target="https://www.ihrec.ie/app/uploads/2023/04/The-Impact-of-Brexit-on-the-Divergence-of-Rights-and-Best-Practice-on-the-Island-of-Ireland-1.pdf" TargetMode="External"/><Relationship Id="rId33" Type="http://schemas.openxmlformats.org/officeDocument/2006/relationships/hyperlink" Target="https://nihrc.org/uploads/publications/NIHRC-and-ECNI-Scope-of-Article-2-Working-Paper_2022-12-06-101316_vcpq.pdf" TargetMode="External"/><Relationship Id="rId34" Type="http://schemas.openxmlformats.org/officeDocument/2006/relationships/hyperlink" Target="https://assets.publishing.service.gov.uk/media/5a8219f6e5274a2e87dc1260/05122017_Charter_Analysis_FINAL_VERSION.pdf" TargetMode="External"/><Relationship Id="rId35" Type="http://schemas.openxmlformats.org/officeDocument/2006/relationships/hyperlink" Target="https://eur-lex.europa.eu/legal-content/EN/TXT/HTML/?uri=CELEX%3A61964CJ0006&amp;from=EN" TargetMode="External"/><Relationship Id="rId36" Type="http://schemas.openxmlformats.org/officeDocument/2006/relationships/hyperlink" Target="https://curia.europa.eu/juris/document/document.jsf?text&amp;docid=201148&amp;pageIndex=0&amp;doclang=en&amp;mode=req&amp;dir&amp;occ=first&amp;part=1&amp;cid=5293830" TargetMode="External"/><Relationship Id="rId37" Type="http://schemas.openxmlformats.org/officeDocument/2006/relationships/hyperlink" Target="https://assets.publishing.service.gov.uk/government/uploads/system/uploads/attachment_data/file/907682/Explainer__UK_Government_commitment_to_no_diminution_of_rights__safeguards_and_equality_of_opportunity_in_Northern_Ireland.pdf" TargetMode="External"/><Relationship Id="rId38" Type="http://schemas.openxmlformats.org/officeDocument/2006/relationships/hyperlink" Target="https://assets.publishing.service.gov.uk/government/uploads/system/uploads/attachment_data/file/840232/Unilateral_Declaration_on_Consent.pdf" TargetMode="External"/><Relationship Id="rId39" Type="http://schemas.openxmlformats.org/officeDocument/2006/relationships/hyperlink" Target="http://eulawanalysis.blogspot.com/2023/02/allister-effect-of-eu-withdrawal-act.html" TargetMode="External"/><Relationship Id="rId40" Type="http://schemas.openxmlformats.org/officeDocument/2006/relationships/hyperlink" Target="https://left.eu/content/uploads/2019/05/2018-03-GUE-NGL-Brexit-and-Human-Rights.pdf" TargetMode="External"/><Relationship Id="rId41" Type="http://schemas.openxmlformats.org/officeDocument/2006/relationships/hyperlink" Target="https://ukconstitutionallaw.org/2017/10/04/merris-amos-red-herrings-and-reductions-human-rights-and-the-eu-withdrawal-bill/" TargetMode="External"/><Relationship Id="rId42" Type="http://schemas.openxmlformats.org/officeDocument/2006/relationships/hyperlink" Target="https://assets.publishing.service.gov.uk/government/uploads/system/uploads/attachment_data/file/1138994/Draft_Decision_of_the_Withdrawal_Agreement_Joint_Committee_on_laying_down_arrangements_relating_to_the_Windsor_Framework.pdf" TargetMode="External"/><Relationship Id="rId43" Type="http://schemas.openxmlformats.org/officeDocument/2006/relationships/hyperlink" Target="https://eulawanalysis.blogspot.com/2023/03/anti-discrimination-and-labour-rights.html" TargetMode="External"/><Relationship Id="rId44" Type="http://schemas.openxmlformats.org/officeDocument/2006/relationships/hyperlink" Target="http://eulawanalysis.blogspot.com/2023/03/just-say-no-new-stormont-brake-in.html" TargetMode="External"/><Relationship Id="rId45" Type="http://schemas.openxmlformats.org/officeDocument/2006/relationships/hyperlink" Target="https://eulawanalysis.blogspot.com/2022/03/a-possibly-pointless-postscript-cjeu.html" TargetMode="External"/><Relationship Id="rId46" Type="http://schemas.openxmlformats.org/officeDocument/2006/relationships/hyperlink" Target="https://www.ihrec.ie/app/uploads/2018/03/Joint-Committee-IHREC-NIHRC-Brexit-Policy-Statement_March-2018.pdf" TargetMode="External"/><Relationship Id="rId47" Type="http://schemas.openxmlformats.org/officeDocument/2006/relationships/hyperlink" Target="https://www.itv.com/news/utv/2023-01-31/legal-challenge-to-governments-border-control-posts-legislation" TargetMode="External"/><Relationship Id="rId48" Type="http://schemas.openxmlformats.org/officeDocument/2006/relationships/header" Target="header3.xml"/><Relationship Id="rId49" Type="http://schemas.openxmlformats.org/officeDocument/2006/relationships/footer" Target="footer3.xml"/><Relationship Id="rId50" Type="http://schemas.openxmlformats.org/officeDocument/2006/relationships/header" Target="header4.xml"/><Relationship Id="rId51" Type="http://schemas.openxmlformats.org/officeDocument/2006/relationships/footer" Target="footer4.xml"/><Relationship Id="rId52" Type="http://schemas.openxmlformats.org/officeDocument/2006/relationships/header" Target="header5.xml"/><Relationship Id="rId53" Type="http://schemas.openxmlformats.org/officeDocument/2006/relationships/footer" Target="footer5.xml"/><Relationship Id="rId54" Type="http://schemas.openxmlformats.org/officeDocument/2006/relationships/header" Target="header6.xml"/><Relationship Id="rId55" Type="http://schemas.openxmlformats.org/officeDocument/2006/relationships/footer" Target="footer6.xml"/><Relationship Id="rId56" Type="http://schemas.openxmlformats.org/officeDocument/2006/relationships/image" Target="media/image24.png"/><Relationship Id="rId57" Type="http://schemas.openxmlformats.org/officeDocument/2006/relationships/image" Target="media/image25.png"/><Relationship Id="rId58" Type="http://schemas.openxmlformats.org/officeDocument/2006/relationships/image" Target="media/image26.png"/><Relationship Id="rId59" Type="http://schemas.openxmlformats.org/officeDocument/2006/relationships/image" Target="media/image27.png"/><Relationship Id="rId60" Type="http://schemas.openxmlformats.org/officeDocument/2006/relationships/image" Target="media/image28.png"/><Relationship Id="rId61" Type="http://schemas.openxmlformats.org/officeDocument/2006/relationships/image" Target="media/image29.png"/><Relationship Id="rId62" Type="http://schemas.openxmlformats.org/officeDocument/2006/relationships/image" Target="media/image30.png"/><Relationship Id="rId63" Type="http://schemas.openxmlformats.org/officeDocument/2006/relationships/image" Target="media/image31.png"/><Relationship Id="rId64" Type="http://schemas.openxmlformats.org/officeDocument/2006/relationships/hyperlink" Target="mailto:info@nihrc.org" TargetMode="External"/><Relationship Id="rId65" Type="http://schemas.openxmlformats.org/officeDocument/2006/relationships/hyperlink" Target="http://www.nihrc.org/" TargetMode="External"/><Relationship Id="rId66" Type="http://schemas.openxmlformats.org/officeDocument/2006/relationships/image" Target="media/image32.png"/><Relationship Id="rId67" Type="http://schemas.openxmlformats.org/officeDocument/2006/relationships/image" Target="media/image33.png"/><Relationship Id="rId68" Type="http://schemas.openxmlformats.org/officeDocument/2006/relationships/image" Target="media/image34.png"/><Relationship Id="rId69" Type="http://schemas.openxmlformats.org/officeDocument/2006/relationships/image" Target="media/image35.png"/><Relationship Id="rId70" Type="http://schemas.openxmlformats.org/officeDocument/2006/relationships/image" Target="media/image36.png"/><Relationship Id="rId7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Northern Ireland Human Rights Commission</dc:creator>
  <dc:title>The Interaction between the EU Charter of Fundamental Rights and general principles with the Windsor Framework</dc:title>
  <dcterms:created xsi:type="dcterms:W3CDTF">2025-03-25T14:11:20Z</dcterms:created>
  <dcterms:modified xsi:type="dcterms:W3CDTF">2025-03-25T14:11:20Z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2024-05-24T00:00:00Z</vt:filetime>
  </property>
  <property fmtid="{D5CDD505-2E9C-101B-9397-08002B2CF9AE}" pid="3" name="Creator">
    <vt:lpwstr>Adobe InDesign 19.4 (Macintosh)</vt:lpwstr>
  </property>
  <property fmtid="{D5CDD505-2E9C-101B-9397-08002B2CF9AE}" pid="4" name="LastSaved">
    <vt:filetime>2025-03-25T00:00:00Z</vt:filetime>
  </property>
  <property fmtid="{D5CDD505-2E9C-101B-9397-08002B2CF9AE}" pid="5" name="Producer">
    <vt:lpwstr>Adobe PDF Library 17.0</vt:lpwstr>
  </property>
</Properties>
</file>