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DA43C" w14:textId="77777777" w:rsidR="00F31387" w:rsidRDefault="00F31387" w:rsidP="003B7D0E">
      <w:pPr>
        <w:pStyle w:val="BasicParagraph"/>
        <w:suppressAutoHyphens/>
        <w:jc w:val="center"/>
        <w:rPr>
          <w:rFonts w:ascii="Verdana" w:hAnsi="Verdana" w:cs="Arial"/>
          <w:b/>
          <w:bCs/>
          <w:color w:val="734791"/>
          <w:sz w:val="36"/>
          <w:szCs w:val="36"/>
        </w:rPr>
      </w:pPr>
      <w:r w:rsidRPr="00EA12CE">
        <w:rPr>
          <w:rFonts w:ascii="Verdana" w:hAnsi="Verdana" w:cs="Arial"/>
          <w:b/>
          <w:bCs/>
          <w:noProof/>
          <w:color w:val="734791"/>
          <w:sz w:val="36"/>
          <w:szCs w:val="36"/>
          <w:lang w:eastAsia="en-GB"/>
        </w:rPr>
        <w:drawing>
          <wp:inline distT="0" distB="0" distL="0" distR="0" wp14:anchorId="52DF081E" wp14:editId="51474382">
            <wp:extent cx="2908485" cy="3886623"/>
            <wp:effectExtent l="0" t="0" r="0" b="0"/>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8982" cy="3887287"/>
                    </a:xfrm>
                    <a:prstGeom prst="rect">
                      <a:avLst/>
                    </a:prstGeom>
                    <a:noFill/>
                    <a:ln>
                      <a:noFill/>
                    </a:ln>
                  </pic:spPr>
                </pic:pic>
              </a:graphicData>
            </a:graphic>
          </wp:inline>
        </w:drawing>
      </w:r>
    </w:p>
    <w:p w14:paraId="5B1280C4" w14:textId="77777777" w:rsidR="003B7D0E" w:rsidRDefault="003B7D0E" w:rsidP="003B7D0E">
      <w:pPr>
        <w:pStyle w:val="BasicParagraph"/>
        <w:suppressAutoHyphens/>
        <w:jc w:val="center"/>
        <w:rPr>
          <w:rFonts w:ascii="Verdana" w:hAnsi="Verdana" w:cs="Arial"/>
          <w:b/>
          <w:bCs/>
          <w:color w:val="734791"/>
          <w:sz w:val="36"/>
          <w:szCs w:val="36"/>
        </w:rPr>
      </w:pPr>
    </w:p>
    <w:p w14:paraId="78BA160F" w14:textId="77777777" w:rsidR="004821A9" w:rsidRDefault="004821A9" w:rsidP="003B7D0E">
      <w:pPr>
        <w:pStyle w:val="BasicParagraph"/>
        <w:suppressAutoHyphens/>
        <w:jc w:val="center"/>
        <w:rPr>
          <w:rFonts w:ascii="Verdana" w:hAnsi="Verdana" w:cs="Arial"/>
          <w:b/>
          <w:bCs/>
          <w:color w:val="734791"/>
          <w:sz w:val="36"/>
          <w:szCs w:val="36"/>
        </w:rPr>
      </w:pPr>
    </w:p>
    <w:p w14:paraId="456C4F24" w14:textId="77777777" w:rsidR="004821A9" w:rsidRDefault="004821A9" w:rsidP="003B7D0E">
      <w:pPr>
        <w:pStyle w:val="BasicParagraph"/>
        <w:suppressAutoHyphens/>
        <w:jc w:val="center"/>
        <w:rPr>
          <w:rFonts w:ascii="Verdana" w:hAnsi="Verdana" w:cs="Arial"/>
          <w:b/>
          <w:bCs/>
          <w:color w:val="734791"/>
          <w:sz w:val="36"/>
          <w:szCs w:val="36"/>
        </w:rPr>
      </w:pPr>
    </w:p>
    <w:p w14:paraId="10F12412" w14:textId="77777777" w:rsidR="004821A9" w:rsidRPr="00EA12CE" w:rsidRDefault="004821A9" w:rsidP="003B7D0E">
      <w:pPr>
        <w:pStyle w:val="BasicParagraph"/>
        <w:suppressAutoHyphens/>
        <w:jc w:val="center"/>
        <w:rPr>
          <w:rFonts w:ascii="Verdana" w:hAnsi="Verdana" w:cs="Arial"/>
          <w:b/>
          <w:bCs/>
          <w:color w:val="734791"/>
          <w:sz w:val="36"/>
          <w:szCs w:val="36"/>
        </w:rPr>
      </w:pPr>
    </w:p>
    <w:p w14:paraId="7F0A0709" w14:textId="2B9506CB" w:rsidR="00F31387" w:rsidRDefault="00BD567E" w:rsidP="008342C7">
      <w:pPr>
        <w:pStyle w:val="BasicParagraph"/>
        <w:suppressAutoHyphens/>
        <w:jc w:val="center"/>
        <w:rPr>
          <w:rFonts w:cs="Arial"/>
          <w:color w:val="232120"/>
          <w:sz w:val="36"/>
          <w:szCs w:val="36"/>
        </w:rPr>
      </w:pPr>
      <w:r>
        <w:rPr>
          <w:rFonts w:ascii="Verdana" w:hAnsi="Verdana" w:cs="Arial"/>
          <w:b/>
          <w:bCs/>
          <w:color w:val="77328A"/>
          <w:sz w:val="36"/>
          <w:szCs w:val="36"/>
        </w:rPr>
        <w:t xml:space="preserve">Response </w:t>
      </w:r>
      <w:r w:rsidR="00DB6B40">
        <w:rPr>
          <w:rFonts w:ascii="Verdana" w:hAnsi="Verdana" w:cs="Arial"/>
          <w:b/>
          <w:bCs/>
          <w:color w:val="77328A"/>
          <w:sz w:val="36"/>
          <w:szCs w:val="36"/>
        </w:rPr>
        <w:t>t</w:t>
      </w:r>
      <w:r>
        <w:rPr>
          <w:rFonts w:ascii="Verdana" w:hAnsi="Verdana" w:cs="Arial"/>
          <w:b/>
          <w:bCs/>
          <w:color w:val="77328A"/>
          <w:sz w:val="36"/>
          <w:szCs w:val="36"/>
        </w:rPr>
        <w:t xml:space="preserve">o </w:t>
      </w:r>
      <w:r w:rsidR="004821A9">
        <w:rPr>
          <w:rFonts w:ascii="Verdana" w:hAnsi="Verdana" w:cs="Arial"/>
          <w:b/>
          <w:bCs/>
          <w:color w:val="77328A"/>
          <w:sz w:val="36"/>
          <w:szCs w:val="36"/>
        </w:rPr>
        <w:t>T</w:t>
      </w:r>
      <w:r>
        <w:rPr>
          <w:rFonts w:ascii="Verdana" w:hAnsi="Verdana" w:cs="Arial"/>
          <w:b/>
          <w:bCs/>
          <w:color w:val="77328A"/>
          <w:sz w:val="36"/>
          <w:szCs w:val="36"/>
        </w:rPr>
        <w:t xml:space="preserve">he Executive Office’s </w:t>
      </w:r>
      <w:r w:rsidR="004821A9">
        <w:rPr>
          <w:rFonts w:ascii="Verdana" w:hAnsi="Verdana" w:cs="Arial"/>
          <w:b/>
          <w:bCs/>
          <w:color w:val="77328A"/>
          <w:sz w:val="36"/>
          <w:szCs w:val="36"/>
        </w:rPr>
        <w:t>C</w:t>
      </w:r>
      <w:r>
        <w:rPr>
          <w:rFonts w:ascii="Verdana" w:hAnsi="Verdana" w:cs="Arial"/>
          <w:b/>
          <w:bCs/>
          <w:color w:val="77328A"/>
          <w:sz w:val="36"/>
          <w:szCs w:val="36"/>
        </w:rPr>
        <w:t xml:space="preserve">onsultation on the </w:t>
      </w:r>
      <w:r w:rsidR="00537AF1">
        <w:rPr>
          <w:rFonts w:ascii="Verdana" w:hAnsi="Verdana" w:cs="Arial"/>
          <w:b/>
          <w:bCs/>
          <w:color w:val="77328A"/>
          <w:sz w:val="36"/>
          <w:szCs w:val="36"/>
        </w:rPr>
        <w:t>Framework</w:t>
      </w:r>
      <w:r w:rsidR="0063663D">
        <w:rPr>
          <w:rFonts w:ascii="Verdana" w:hAnsi="Verdana" w:cs="Arial"/>
          <w:b/>
          <w:bCs/>
          <w:color w:val="77328A"/>
          <w:sz w:val="36"/>
          <w:szCs w:val="36"/>
        </w:rPr>
        <w:t xml:space="preserve"> </w:t>
      </w:r>
      <w:r w:rsidR="008342C7">
        <w:rPr>
          <w:rFonts w:ascii="Verdana" w:hAnsi="Verdana" w:cs="Arial"/>
          <w:b/>
          <w:bCs/>
          <w:color w:val="77328A"/>
          <w:sz w:val="36"/>
          <w:szCs w:val="36"/>
        </w:rPr>
        <w:t xml:space="preserve">for </w:t>
      </w:r>
      <w:r>
        <w:rPr>
          <w:rFonts w:ascii="Verdana" w:hAnsi="Verdana" w:cs="Arial"/>
          <w:b/>
          <w:bCs/>
          <w:color w:val="77328A"/>
          <w:sz w:val="36"/>
          <w:szCs w:val="36"/>
        </w:rPr>
        <w:t xml:space="preserve">Race Relations </w:t>
      </w:r>
    </w:p>
    <w:p w14:paraId="6A06195F" w14:textId="77777777" w:rsidR="004821A9" w:rsidRDefault="004821A9" w:rsidP="003B7D0E">
      <w:pPr>
        <w:pStyle w:val="Default"/>
        <w:spacing w:line="288" w:lineRule="auto"/>
        <w:jc w:val="center"/>
        <w:rPr>
          <w:rFonts w:cs="Arial"/>
          <w:color w:val="232120"/>
          <w:sz w:val="36"/>
          <w:szCs w:val="36"/>
        </w:rPr>
      </w:pPr>
    </w:p>
    <w:p w14:paraId="6478D38E" w14:textId="77777777" w:rsidR="004821A9" w:rsidRDefault="004821A9" w:rsidP="003B7D0E">
      <w:pPr>
        <w:pStyle w:val="Default"/>
        <w:spacing w:line="288" w:lineRule="auto"/>
        <w:jc w:val="center"/>
        <w:rPr>
          <w:rFonts w:cs="Arial"/>
          <w:color w:val="232120"/>
          <w:sz w:val="36"/>
          <w:szCs w:val="36"/>
        </w:rPr>
      </w:pPr>
    </w:p>
    <w:p w14:paraId="10A26EFF" w14:textId="77777777" w:rsidR="004821A9" w:rsidRDefault="004821A9" w:rsidP="003B7D0E">
      <w:pPr>
        <w:pStyle w:val="Default"/>
        <w:spacing w:line="288" w:lineRule="auto"/>
        <w:jc w:val="center"/>
        <w:rPr>
          <w:rFonts w:cs="Arial"/>
          <w:color w:val="232120"/>
          <w:sz w:val="36"/>
          <w:szCs w:val="36"/>
        </w:rPr>
      </w:pPr>
    </w:p>
    <w:p w14:paraId="1B7D0282" w14:textId="77777777" w:rsidR="004821A9" w:rsidRDefault="004821A9" w:rsidP="003B7D0E">
      <w:pPr>
        <w:pStyle w:val="Default"/>
        <w:spacing w:line="288" w:lineRule="auto"/>
        <w:jc w:val="center"/>
        <w:rPr>
          <w:rFonts w:cs="Arial"/>
          <w:color w:val="232120"/>
          <w:sz w:val="36"/>
          <w:szCs w:val="36"/>
        </w:rPr>
      </w:pPr>
    </w:p>
    <w:p w14:paraId="3EBCE1B3" w14:textId="4DB44308" w:rsidR="008159E8" w:rsidRDefault="004E00AC" w:rsidP="008515C2">
      <w:pPr>
        <w:jc w:val="center"/>
        <w:rPr>
          <w:rFonts w:cs="Arial"/>
          <w:b/>
          <w:color w:val="232120"/>
          <w:sz w:val="30"/>
          <w:szCs w:val="30"/>
        </w:rPr>
      </w:pPr>
      <w:r>
        <w:rPr>
          <w:rFonts w:cs="Arial"/>
          <w:b/>
          <w:color w:val="232120"/>
          <w:sz w:val="30"/>
          <w:szCs w:val="30"/>
        </w:rPr>
        <w:t>June</w:t>
      </w:r>
      <w:r w:rsidR="00E23D1B">
        <w:rPr>
          <w:rFonts w:cs="Arial"/>
          <w:b/>
          <w:color w:val="232120"/>
          <w:sz w:val="30"/>
          <w:szCs w:val="30"/>
        </w:rPr>
        <w:t xml:space="preserve"> </w:t>
      </w:r>
      <w:r w:rsidR="00A40B08">
        <w:rPr>
          <w:rFonts w:cs="Arial"/>
          <w:b/>
          <w:color w:val="232120"/>
          <w:sz w:val="30"/>
          <w:szCs w:val="30"/>
        </w:rPr>
        <w:t>2026</w:t>
      </w:r>
    </w:p>
    <w:p w14:paraId="313B5927" w14:textId="77777777" w:rsidR="003A285D" w:rsidRPr="00331C61" w:rsidRDefault="003A285D" w:rsidP="003B7D0E">
      <w:pPr>
        <w:jc w:val="center"/>
        <w:rPr>
          <w:rFonts w:cs="Arial"/>
          <w:b/>
          <w:color w:val="232120"/>
          <w:sz w:val="30"/>
          <w:szCs w:val="30"/>
        </w:rPr>
      </w:pPr>
    </w:p>
    <w:p w14:paraId="6F2B6C90" w14:textId="36373713" w:rsidR="00046705" w:rsidRPr="00331C61" w:rsidRDefault="00DA4D5E">
      <w:pPr>
        <w:spacing w:line="240" w:lineRule="auto"/>
        <w:rPr>
          <w:rFonts w:cs="Arial"/>
          <w:b/>
          <w:color w:val="232120"/>
          <w:sz w:val="28"/>
          <w:szCs w:val="28"/>
        </w:rPr>
      </w:pPr>
      <w:r>
        <w:rPr>
          <w:rFonts w:cs="Arial"/>
          <w:b/>
          <w:color w:val="232120"/>
          <w:sz w:val="28"/>
          <w:szCs w:val="28"/>
        </w:rPr>
        <w:br w:type="page"/>
      </w:r>
    </w:p>
    <w:sdt>
      <w:sdtPr>
        <w:rPr>
          <w:rFonts w:ascii="Verdana" w:eastAsiaTheme="minorEastAsia" w:hAnsi="Verdana" w:cstheme="minorBidi"/>
          <w:color w:val="77328A"/>
          <w:sz w:val="24"/>
          <w:szCs w:val="24"/>
          <w:lang w:val="en-GB"/>
        </w:rPr>
        <w:id w:val="358175830"/>
        <w:docPartObj>
          <w:docPartGallery w:val="Table of Contents"/>
          <w:docPartUnique/>
        </w:docPartObj>
      </w:sdtPr>
      <w:sdtEndPr>
        <w:rPr>
          <w:b/>
          <w:bCs/>
          <w:noProof/>
          <w:color w:val="auto"/>
        </w:rPr>
      </w:sdtEndPr>
      <w:sdtContent>
        <w:p w14:paraId="79A175F5" w14:textId="2A24CB63" w:rsidR="00B56194" w:rsidRPr="00B56194" w:rsidRDefault="00B56194">
          <w:pPr>
            <w:pStyle w:val="TOCHeading"/>
            <w:rPr>
              <w:rFonts w:ascii="Verdana" w:hAnsi="Verdana"/>
              <w:b/>
              <w:bCs/>
              <w:color w:val="77328A"/>
            </w:rPr>
          </w:pPr>
          <w:r w:rsidRPr="00B56194">
            <w:rPr>
              <w:rFonts w:ascii="Verdana" w:hAnsi="Verdana"/>
              <w:b/>
              <w:bCs/>
              <w:color w:val="77328A"/>
            </w:rPr>
            <w:t>Table of Contents</w:t>
          </w:r>
        </w:p>
        <w:p w14:paraId="426D4640" w14:textId="77777777" w:rsidR="00B56194" w:rsidRPr="00B56194" w:rsidRDefault="00B56194" w:rsidP="00B56194">
          <w:pPr>
            <w:rPr>
              <w:lang w:val="en-US"/>
            </w:rPr>
          </w:pPr>
        </w:p>
        <w:p w14:paraId="513EB615" w14:textId="55495D4A" w:rsidR="00737642" w:rsidRDefault="00B56194">
          <w:pPr>
            <w:pStyle w:val="TOC1"/>
            <w:rPr>
              <w:rFonts w:asciiTheme="minorHAnsi" w:hAnsiTheme="minorHAnsi"/>
              <w:b w:val="0"/>
              <w:bCs w:val="0"/>
              <w:kern w:val="2"/>
              <w:lang w:eastAsia="en-GB"/>
              <w14:ligatures w14:val="standardContextual"/>
            </w:rPr>
          </w:pPr>
          <w:r>
            <w:fldChar w:fldCharType="begin"/>
          </w:r>
          <w:r>
            <w:instrText xml:space="preserve"> TOC \o "1-3" \h \z \u </w:instrText>
          </w:r>
          <w:r>
            <w:fldChar w:fldCharType="separate"/>
          </w:r>
          <w:hyperlink w:anchor="_Toc230705731" w:history="1">
            <w:r w:rsidR="00737642" w:rsidRPr="00902364">
              <w:rPr>
                <w:rStyle w:val="Hyperlink"/>
              </w:rPr>
              <w:t>Summary of Recommendations</w:t>
            </w:r>
            <w:r w:rsidR="00737642">
              <w:rPr>
                <w:webHidden/>
              </w:rPr>
              <w:tab/>
            </w:r>
            <w:r w:rsidR="00737642">
              <w:rPr>
                <w:webHidden/>
              </w:rPr>
              <w:fldChar w:fldCharType="begin"/>
            </w:r>
            <w:r w:rsidR="00737642">
              <w:rPr>
                <w:webHidden/>
              </w:rPr>
              <w:instrText xml:space="preserve"> PAGEREF _Toc230705731 \h </w:instrText>
            </w:r>
            <w:r w:rsidR="00737642">
              <w:rPr>
                <w:webHidden/>
              </w:rPr>
            </w:r>
            <w:r w:rsidR="00737642">
              <w:rPr>
                <w:webHidden/>
              </w:rPr>
              <w:fldChar w:fldCharType="separate"/>
            </w:r>
            <w:r w:rsidR="00E8597C">
              <w:rPr>
                <w:webHidden/>
              </w:rPr>
              <w:t>3</w:t>
            </w:r>
            <w:r w:rsidR="00737642">
              <w:rPr>
                <w:webHidden/>
              </w:rPr>
              <w:fldChar w:fldCharType="end"/>
            </w:r>
          </w:hyperlink>
        </w:p>
        <w:p w14:paraId="6DDC2F99" w14:textId="5E54E324" w:rsidR="00737642" w:rsidRDefault="00737642">
          <w:pPr>
            <w:pStyle w:val="TOC1"/>
            <w:rPr>
              <w:rFonts w:asciiTheme="minorHAnsi" w:hAnsiTheme="minorHAnsi"/>
              <w:b w:val="0"/>
              <w:bCs w:val="0"/>
              <w:kern w:val="2"/>
              <w:lang w:eastAsia="en-GB"/>
              <w14:ligatures w14:val="standardContextual"/>
            </w:rPr>
          </w:pPr>
          <w:hyperlink w:anchor="_Toc230705732" w:history="1">
            <w:r w:rsidRPr="00902364">
              <w:rPr>
                <w:rStyle w:val="Hyperlink"/>
              </w:rPr>
              <w:t>1.0</w:t>
            </w:r>
            <w:r>
              <w:rPr>
                <w:rFonts w:asciiTheme="minorHAnsi" w:hAnsiTheme="minorHAnsi"/>
                <w:b w:val="0"/>
                <w:bCs w:val="0"/>
                <w:kern w:val="2"/>
                <w:lang w:eastAsia="en-GB"/>
                <w14:ligatures w14:val="standardContextual"/>
              </w:rPr>
              <w:tab/>
            </w:r>
            <w:r w:rsidRPr="00902364">
              <w:rPr>
                <w:rStyle w:val="Hyperlink"/>
              </w:rPr>
              <w:t>Introduction</w:t>
            </w:r>
            <w:r>
              <w:rPr>
                <w:webHidden/>
              </w:rPr>
              <w:tab/>
            </w:r>
            <w:r>
              <w:rPr>
                <w:webHidden/>
              </w:rPr>
              <w:fldChar w:fldCharType="begin"/>
            </w:r>
            <w:r>
              <w:rPr>
                <w:webHidden/>
              </w:rPr>
              <w:instrText xml:space="preserve"> PAGEREF _Toc230705732 \h </w:instrText>
            </w:r>
            <w:r>
              <w:rPr>
                <w:webHidden/>
              </w:rPr>
            </w:r>
            <w:r>
              <w:rPr>
                <w:webHidden/>
              </w:rPr>
              <w:fldChar w:fldCharType="separate"/>
            </w:r>
            <w:r w:rsidR="00E8597C">
              <w:rPr>
                <w:webHidden/>
              </w:rPr>
              <w:t>11</w:t>
            </w:r>
            <w:r>
              <w:rPr>
                <w:webHidden/>
              </w:rPr>
              <w:fldChar w:fldCharType="end"/>
            </w:r>
          </w:hyperlink>
        </w:p>
        <w:p w14:paraId="331AF6F8" w14:textId="36D952B4" w:rsidR="00737642" w:rsidRDefault="00737642">
          <w:pPr>
            <w:pStyle w:val="TOC1"/>
            <w:rPr>
              <w:rFonts w:asciiTheme="minorHAnsi" w:hAnsiTheme="minorHAnsi"/>
              <w:b w:val="0"/>
              <w:bCs w:val="0"/>
              <w:kern w:val="2"/>
              <w:lang w:eastAsia="en-GB"/>
              <w14:ligatures w14:val="standardContextual"/>
            </w:rPr>
          </w:pPr>
          <w:hyperlink w:anchor="_Toc230705733" w:history="1">
            <w:r w:rsidRPr="00902364">
              <w:rPr>
                <w:rStyle w:val="Hyperlink"/>
              </w:rPr>
              <w:t>2.0</w:t>
            </w:r>
            <w:r>
              <w:rPr>
                <w:rFonts w:asciiTheme="minorHAnsi" w:hAnsiTheme="minorHAnsi"/>
                <w:b w:val="0"/>
                <w:bCs w:val="0"/>
                <w:kern w:val="2"/>
                <w:lang w:eastAsia="en-GB"/>
                <w14:ligatures w14:val="standardContextual"/>
              </w:rPr>
              <w:tab/>
            </w:r>
            <w:r w:rsidRPr="00902364">
              <w:rPr>
                <w:rStyle w:val="Hyperlink"/>
              </w:rPr>
              <w:t>Human Rights Standards</w:t>
            </w:r>
            <w:r>
              <w:rPr>
                <w:webHidden/>
              </w:rPr>
              <w:tab/>
            </w:r>
            <w:r>
              <w:rPr>
                <w:webHidden/>
              </w:rPr>
              <w:fldChar w:fldCharType="begin"/>
            </w:r>
            <w:r>
              <w:rPr>
                <w:webHidden/>
              </w:rPr>
              <w:instrText xml:space="preserve"> PAGEREF _Toc230705733 \h </w:instrText>
            </w:r>
            <w:r>
              <w:rPr>
                <w:webHidden/>
              </w:rPr>
            </w:r>
            <w:r>
              <w:rPr>
                <w:webHidden/>
              </w:rPr>
              <w:fldChar w:fldCharType="separate"/>
            </w:r>
            <w:r w:rsidR="00E8597C">
              <w:rPr>
                <w:webHidden/>
              </w:rPr>
              <w:t>14</w:t>
            </w:r>
            <w:r>
              <w:rPr>
                <w:webHidden/>
              </w:rPr>
              <w:fldChar w:fldCharType="end"/>
            </w:r>
          </w:hyperlink>
        </w:p>
        <w:p w14:paraId="2C8161A2" w14:textId="08E229C6" w:rsidR="00737642" w:rsidRDefault="00737642">
          <w:pPr>
            <w:pStyle w:val="TOC2"/>
            <w:tabs>
              <w:tab w:val="right" w:leader="dot" w:pos="9848"/>
            </w:tabs>
            <w:rPr>
              <w:rFonts w:asciiTheme="minorHAnsi" w:hAnsiTheme="minorHAnsi"/>
              <w:noProof/>
              <w:kern w:val="2"/>
              <w:lang w:eastAsia="en-GB"/>
              <w14:ligatures w14:val="standardContextual"/>
            </w:rPr>
          </w:pPr>
          <w:hyperlink w:anchor="_Toc230705734" w:history="1">
            <w:r w:rsidRPr="00902364">
              <w:rPr>
                <w:rStyle w:val="Hyperlink"/>
                <w:noProof/>
                <w:lang w:val="en-US"/>
              </w:rPr>
              <w:t>Overarching Comment/ Assessment</w:t>
            </w:r>
            <w:r>
              <w:rPr>
                <w:noProof/>
                <w:webHidden/>
              </w:rPr>
              <w:tab/>
            </w:r>
            <w:r>
              <w:rPr>
                <w:noProof/>
                <w:webHidden/>
              </w:rPr>
              <w:fldChar w:fldCharType="begin"/>
            </w:r>
            <w:r>
              <w:rPr>
                <w:noProof/>
                <w:webHidden/>
              </w:rPr>
              <w:instrText xml:space="preserve"> PAGEREF _Toc230705734 \h </w:instrText>
            </w:r>
            <w:r>
              <w:rPr>
                <w:noProof/>
                <w:webHidden/>
              </w:rPr>
            </w:r>
            <w:r>
              <w:rPr>
                <w:noProof/>
                <w:webHidden/>
              </w:rPr>
              <w:fldChar w:fldCharType="separate"/>
            </w:r>
            <w:r w:rsidR="00E8597C">
              <w:rPr>
                <w:noProof/>
                <w:webHidden/>
              </w:rPr>
              <w:t>17</w:t>
            </w:r>
            <w:r>
              <w:rPr>
                <w:noProof/>
                <w:webHidden/>
              </w:rPr>
              <w:fldChar w:fldCharType="end"/>
            </w:r>
          </w:hyperlink>
        </w:p>
        <w:p w14:paraId="7A8B6003" w14:textId="564D10DB" w:rsidR="00737642" w:rsidRDefault="00737642">
          <w:pPr>
            <w:pStyle w:val="TOC1"/>
            <w:rPr>
              <w:rFonts w:asciiTheme="minorHAnsi" w:hAnsiTheme="minorHAnsi"/>
              <w:b w:val="0"/>
              <w:bCs w:val="0"/>
              <w:kern w:val="2"/>
              <w:lang w:eastAsia="en-GB"/>
              <w14:ligatures w14:val="standardContextual"/>
            </w:rPr>
          </w:pPr>
          <w:hyperlink w:anchor="_Toc230705735" w:history="1">
            <w:r w:rsidRPr="00902364">
              <w:rPr>
                <w:rStyle w:val="Hyperlink"/>
              </w:rPr>
              <w:t>3.0</w:t>
            </w:r>
            <w:r>
              <w:rPr>
                <w:rFonts w:asciiTheme="minorHAnsi" w:hAnsiTheme="minorHAnsi"/>
                <w:b w:val="0"/>
                <w:bCs w:val="0"/>
                <w:kern w:val="2"/>
                <w:lang w:eastAsia="en-GB"/>
                <w14:ligatures w14:val="standardContextual"/>
              </w:rPr>
              <w:tab/>
            </w:r>
            <w:r w:rsidRPr="00902364">
              <w:rPr>
                <w:rStyle w:val="Hyperlink"/>
              </w:rPr>
              <w:t>Detailed Commentary on the Four Outcomes</w:t>
            </w:r>
            <w:r>
              <w:rPr>
                <w:webHidden/>
              </w:rPr>
              <w:tab/>
            </w:r>
            <w:r>
              <w:rPr>
                <w:webHidden/>
              </w:rPr>
              <w:fldChar w:fldCharType="begin"/>
            </w:r>
            <w:r>
              <w:rPr>
                <w:webHidden/>
              </w:rPr>
              <w:instrText xml:space="preserve"> PAGEREF _Toc230705735 \h </w:instrText>
            </w:r>
            <w:r>
              <w:rPr>
                <w:webHidden/>
              </w:rPr>
            </w:r>
            <w:r>
              <w:rPr>
                <w:webHidden/>
              </w:rPr>
              <w:fldChar w:fldCharType="separate"/>
            </w:r>
            <w:r w:rsidR="00E8597C">
              <w:rPr>
                <w:webHidden/>
              </w:rPr>
              <w:t>21</w:t>
            </w:r>
            <w:r>
              <w:rPr>
                <w:webHidden/>
              </w:rPr>
              <w:fldChar w:fldCharType="end"/>
            </w:r>
          </w:hyperlink>
        </w:p>
        <w:p w14:paraId="4FEF3CF6" w14:textId="551CE818" w:rsidR="00737642" w:rsidRDefault="00737642">
          <w:pPr>
            <w:pStyle w:val="TOC1"/>
            <w:rPr>
              <w:rFonts w:asciiTheme="minorHAnsi" w:hAnsiTheme="minorHAnsi"/>
              <w:b w:val="0"/>
              <w:bCs w:val="0"/>
              <w:kern w:val="2"/>
              <w:lang w:eastAsia="en-GB"/>
              <w14:ligatures w14:val="standardContextual"/>
            </w:rPr>
          </w:pPr>
          <w:hyperlink w:anchor="_Toc230705736" w:history="1">
            <w:r w:rsidRPr="00902364">
              <w:rPr>
                <w:rStyle w:val="Hyperlink"/>
              </w:rPr>
              <w:t>4.0</w:t>
            </w:r>
            <w:r>
              <w:rPr>
                <w:rFonts w:asciiTheme="minorHAnsi" w:hAnsiTheme="minorHAnsi"/>
                <w:b w:val="0"/>
                <w:bCs w:val="0"/>
                <w:kern w:val="2"/>
                <w:lang w:eastAsia="en-GB"/>
                <w14:ligatures w14:val="standardContextual"/>
              </w:rPr>
              <w:tab/>
            </w:r>
            <w:r w:rsidRPr="00902364">
              <w:rPr>
                <w:rStyle w:val="Hyperlink"/>
              </w:rPr>
              <w:t>Outcome 1: Elimination of Racial Inequality</w:t>
            </w:r>
            <w:r>
              <w:rPr>
                <w:webHidden/>
              </w:rPr>
              <w:tab/>
            </w:r>
            <w:r>
              <w:rPr>
                <w:webHidden/>
              </w:rPr>
              <w:fldChar w:fldCharType="begin"/>
            </w:r>
            <w:r>
              <w:rPr>
                <w:webHidden/>
              </w:rPr>
              <w:instrText xml:space="preserve"> PAGEREF _Toc230705736 \h </w:instrText>
            </w:r>
            <w:r>
              <w:rPr>
                <w:webHidden/>
              </w:rPr>
            </w:r>
            <w:r>
              <w:rPr>
                <w:webHidden/>
              </w:rPr>
              <w:fldChar w:fldCharType="separate"/>
            </w:r>
            <w:r w:rsidR="00E8597C">
              <w:rPr>
                <w:webHidden/>
              </w:rPr>
              <w:t>22</w:t>
            </w:r>
            <w:r>
              <w:rPr>
                <w:webHidden/>
              </w:rPr>
              <w:fldChar w:fldCharType="end"/>
            </w:r>
          </w:hyperlink>
        </w:p>
        <w:p w14:paraId="28029C89" w14:textId="0B18593F" w:rsidR="00737642" w:rsidRDefault="00737642">
          <w:pPr>
            <w:pStyle w:val="TOC2"/>
            <w:tabs>
              <w:tab w:val="right" w:leader="dot" w:pos="9848"/>
            </w:tabs>
            <w:rPr>
              <w:rFonts w:asciiTheme="minorHAnsi" w:hAnsiTheme="minorHAnsi"/>
              <w:noProof/>
              <w:kern w:val="2"/>
              <w:lang w:eastAsia="en-GB"/>
              <w14:ligatures w14:val="standardContextual"/>
            </w:rPr>
          </w:pPr>
          <w:hyperlink w:anchor="_Toc230705737" w:history="1">
            <w:r w:rsidRPr="00902364">
              <w:rPr>
                <w:rStyle w:val="Hyperlink"/>
                <w:noProof/>
              </w:rPr>
              <w:t>Race Relations Legislation</w:t>
            </w:r>
            <w:r>
              <w:rPr>
                <w:noProof/>
                <w:webHidden/>
              </w:rPr>
              <w:tab/>
            </w:r>
            <w:r>
              <w:rPr>
                <w:noProof/>
                <w:webHidden/>
              </w:rPr>
              <w:fldChar w:fldCharType="begin"/>
            </w:r>
            <w:r>
              <w:rPr>
                <w:noProof/>
                <w:webHidden/>
              </w:rPr>
              <w:instrText xml:space="preserve"> PAGEREF _Toc230705737 \h </w:instrText>
            </w:r>
            <w:r>
              <w:rPr>
                <w:noProof/>
                <w:webHidden/>
              </w:rPr>
            </w:r>
            <w:r>
              <w:rPr>
                <w:noProof/>
                <w:webHidden/>
              </w:rPr>
              <w:fldChar w:fldCharType="separate"/>
            </w:r>
            <w:r w:rsidR="00E8597C">
              <w:rPr>
                <w:noProof/>
                <w:webHidden/>
              </w:rPr>
              <w:t>22</w:t>
            </w:r>
            <w:r>
              <w:rPr>
                <w:noProof/>
                <w:webHidden/>
              </w:rPr>
              <w:fldChar w:fldCharType="end"/>
            </w:r>
          </w:hyperlink>
        </w:p>
        <w:p w14:paraId="073BEE38" w14:textId="66FD09AD" w:rsidR="00737642" w:rsidRDefault="00737642">
          <w:pPr>
            <w:pStyle w:val="TOC2"/>
            <w:tabs>
              <w:tab w:val="right" w:leader="dot" w:pos="9848"/>
            </w:tabs>
            <w:rPr>
              <w:rFonts w:asciiTheme="minorHAnsi" w:hAnsiTheme="minorHAnsi"/>
              <w:noProof/>
              <w:kern w:val="2"/>
              <w:lang w:eastAsia="en-GB"/>
              <w14:ligatures w14:val="standardContextual"/>
            </w:rPr>
          </w:pPr>
          <w:hyperlink w:anchor="_Toc230705738" w:history="1">
            <w:r w:rsidRPr="00902364">
              <w:rPr>
                <w:rStyle w:val="Hyperlink"/>
                <w:noProof/>
              </w:rPr>
              <w:t>Awareness Raising Interventions</w:t>
            </w:r>
            <w:r>
              <w:rPr>
                <w:noProof/>
                <w:webHidden/>
              </w:rPr>
              <w:tab/>
            </w:r>
            <w:r>
              <w:rPr>
                <w:noProof/>
                <w:webHidden/>
              </w:rPr>
              <w:fldChar w:fldCharType="begin"/>
            </w:r>
            <w:r>
              <w:rPr>
                <w:noProof/>
                <w:webHidden/>
              </w:rPr>
              <w:instrText xml:space="preserve"> PAGEREF _Toc230705738 \h </w:instrText>
            </w:r>
            <w:r>
              <w:rPr>
                <w:noProof/>
                <w:webHidden/>
              </w:rPr>
            </w:r>
            <w:r>
              <w:rPr>
                <w:noProof/>
                <w:webHidden/>
              </w:rPr>
              <w:fldChar w:fldCharType="separate"/>
            </w:r>
            <w:r w:rsidR="00E8597C">
              <w:rPr>
                <w:noProof/>
                <w:webHidden/>
              </w:rPr>
              <w:t>24</w:t>
            </w:r>
            <w:r>
              <w:rPr>
                <w:noProof/>
                <w:webHidden/>
              </w:rPr>
              <w:fldChar w:fldCharType="end"/>
            </w:r>
          </w:hyperlink>
        </w:p>
        <w:p w14:paraId="212E8189" w14:textId="33020CD3" w:rsidR="00737642" w:rsidRDefault="00737642">
          <w:pPr>
            <w:pStyle w:val="TOC2"/>
            <w:tabs>
              <w:tab w:val="right" w:leader="dot" w:pos="9848"/>
            </w:tabs>
            <w:rPr>
              <w:rFonts w:asciiTheme="minorHAnsi" w:hAnsiTheme="minorHAnsi"/>
              <w:noProof/>
              <w:kern w:val="2"/>
              <w:lang w:eastAsia="en-GB"/>
              <w14:ligatures w14:val="standardContextual"/>
            </w:rPr>
          </w:pPr>
          <w:hyperlink w:anchor="_Toc230705739" w:history="1">
            <w:r w:rsidRPr="00902364">
              <w:rPr>
                <w:rStyle w:val="Hyperlink"/>
                <w:noProof/>
              </w:rPr>
              <w:t>Minority Ethnic Development Fund</w:t>
            </w:r>
            <w:r>
              <w:rPr>
                <w:noProof/>
                <w:webHidden/>
              </w:rPr>
              <w:tab/>
            </w:r>
            <w:r>
              <w:rPr>
                <w:noProof/>
                <w:webHidden/>
              </w:rPr>
              <w:fldChar w:fldCharType="begin"/>
            </w:r>
            <w:r>
              <w:rPr>
                <w:noProof/>
                <w:webHidden/>
              </w:rPr>
              <w:instrText xml:space="preserve"> PAGEREF _Toc230705739 \h </w:instrText>
            </w:r>
            <w:r>
              <w:rPr>
                <w:noProof/>
                <w:webHidden/>
              </w:rPr>
            </w:r>
            <w:r>
              <w:rPr>
                <w:noProof/>
                <w:webHidden/>
              </w:rPr>
              <w:fldChar w:fldCharType="separate"/>
            </w:r>
            <w:r w:rsidR="00E8597C">
              <w:rPr>
                <w:noProof/>
                <w:webHidden/>
              </w:rPr>
              <w:t>25</w:t>
            </w:r>
            <w:r>
              <w:rPr>
                <w:noProof/>
                <w:webHidden/>
              </w:rPr>
              <w:fldChar w:fldCharType="end"/>
            </w:r>
          </w:hyperlink>
        </w:p>
        <w:p w14:paraId="102C182C" w14:textId="77644DAB" w:rsidR="00737642" w:rsidRDefault="00737642">
          <w:pPr>
            <w:pStyle w:val="TOC2"/>
            <w:tabs>
              <w:tab w:val="right" w:leader="dot" w:pos="9848"/>
            </w:tabs>
            <w:rPr>
              <w:rFonts w:asciiTheme="minorHAnsi" w:hAnsiTheme="minorHAnsi"/>
              <w:noProof/>
              <w:kern w:val="2"/>
              <w:lang w:eastAsia="en-GB"/>
              <w14:ligatures w14:val="standardContextual"/>
            </w:rPr>
          </w:pPr>
          <w:hyperlink w:anchor="_Toc230705740" w:history="1">
            <w:r w:rsidRPr="00902364">
              <w:rPr>
                <w:rStyle w:val="Hyperlink"/>
                <w:noProof/>
              </w:rPr>
              <w:t>Misinformation</w:t>
            </w:r>
            <w:r>
              <w:rPr>
                <w:noProof/>
                <w:webHidden/>
              </w:rPr>
              <w:tab/>
            </w:r>
            <w:r>
              <w:rPr>
                <w:noProof/>
                <w:webHidden/>
              </w:rPr>
              <w:fldChar w:fldCharType="begin"/>
            </w:r>
            <w:r>
              <w:rPr>
                <w:noProof/>
                <w:webHidden/>
              </w:rPr>
              <w:instrText xml:space="preserve"> PAGEREF _Toc230705740 \h </w:instrText>
            </w:r>
            <w:r>
              <w:rPr>
                <w:noProof/>
                <w:webHidden/>
              </w:rPr>
            </w:r>
            <w:r>
              <w:rPr>
                <w:noProof/>
                <w:webHidden/>
              </w:rPr>
              <w:fldChar w:fldCharType="separate"/>
            </w:r>
            <w:r w:rsidR="00E8597C">
              <w:rPr>
                <w:noProof/>
                <w:webHidden/>
              </w:rPr>
              <w:t>26</w:t>
            </w:r>
            <w:r>
              <w:rPr>
                <w:noProof/>
                <w:webHidden/>
              </w:rPr>
              <w:fldChar w:fldCharType="end"/>
            </w:r>
          </w:hyperlink>
        </w:p>
        <w:p w14:paraId="06A81AB1" w14:textId="2FAE7749" w:rsidR="00737642" w:rsidRDefault="00737642">
          <w:pPr>
            <w:pStyle w:val="TOC2"/>
            <w:tabs>
              <w:tab w:val="right" w:leader="dot" w:pos="9848"/>
            </w:tabs>
            <w:rPr>
              <w:rFonts w:asciiTheme="minorHAnsi" w:hAnsiTheme="minorHAnsi"/>
              <w:noProof/>
              <w:kern w:val="2"/>
              <w:lang w:eastAsia="en-GB"/>
              <w14:ligatures w14:val="standardContextual"/>
            </w:rPr>
          </w:pPr>
          <w:hyperlink w:anchor="_Toc230705741" w:history="1">
            <w:r w:rsidRPr="00902364">
              <w:rPr>
                <w:rStyle w:val="Hyperlink"/>
                <w:noProof/>
              </w:rPr>
              <w:t>Racial Equality Subgroup</w:t>
            </w:r>
            <w:r>
              <w:rPr>
                <w:noProof/>
                <w:webHidden/>
              </w:rPr>
              <w:tab/>
            </w:r>
            <w:r>
              <w:rPr>
                <w:noProof/>
                <w:webHidden/>
              </w:rPr>
              <w:fldChar w:fldCharType="begin"/>
            </w:r>
            <w:r>
              <w:rPr>
                <w:noProof/>
                <w:webHidden/>
              </w:rPr>
              <w:instrText xml:space="preserve"> PAGEREF _Toc230705741 \h </w:instrText>
            </w:r>
            <w:r>
              <w:rPr>
                <w:noProof/>
                <w:webHidden/>
              </w:rPr>
            </w:r>
            <w:r>
              <w:rPr>
                <w:noProof/>
                <w:webHidden/>
              </w:rPr>
              <w:fldChar w:fldCharType="separate"/>
            </w:r>
            <w:r w:rsidR="00E8597C">
              <w:rPr>
                <w:noProof/>
                <w:webHidden/>
              </w:rPr>
              <w:t>27</w:t>
            </w:r>
            <w:r>
              <w:rPr>
                <w:noProof/>
                <w:webHidden/>
              </w:rPr>
              <w:fldChar w:fldCharType="end"/>
            </w:r>
          </w:hyperlink>
        </w:p>
        <w:p w14:paraId="7A14AF72" w14:textId="356AA211" w:rsidR="00737642" w:rsidRDefault="00737642">
          <w:pPr>
            <w:pStyle w:val="TOC1"/>
            <w:rPr>
              <w:rFonts w:asciiTheme="minorHAnsi" w:hAnsiTheme="minorHAnsi"/>
              <w:b w:val="0"/>
              <w:bCs w:val="0"/>
              <w:kern w:val="2"/>
              <w:lang w:eastAsia="en-GB"/>
              <w14:ligatures w14:val="standardContextual"/>
            </w:rPr>
          </w:pPr>
          <w:hyperlink w:anchor="_Toc230705742" w:history="1">
            <w:r w:rsidRPr="00902364">
              <w:rPr>
                <w:rStyle w:val="Hyperlink"/>
              </w:rPr>
              <w:t>5.0</w:t>
            </w:r>
            <w:r>
              <w:rPr>
                <w:rFonts w:asciiTheme="minorHAnsi" w:hAnsiTheme="minorHAnsi"/>
                <w:b w:val="0"/>
                <w:bCs w:val="0"/>
                <w:kern w:val="2"/>
                <w:lang w:eastAsia="en-GB"/>
                <w14:ligatures w14:val="standardContextual"/>
              </w:rPr>
              <w:tab/>
            </w:r>
            <w:r w:rsidRPr="00902364">
              <w:rPr>
                <w:rStyle w:val="Hyperlink"/>
              </w:rPr>
              <w:t>Outcome 2: Combatting Racism and Hate Crime</w:t>
            </w:r>
            <w:r>
              <w:rPr>
                <w:webHidden/>
              </w:rPr>
              <w:tab/>
            </w:r>
            <w:r>
              <w:rPr>
                <w:webHidden/>
              </w:rPr>
              <w:fldChar w:fldCharType="begin"/>
            </w:r>
            <w:r>
              <w:rPr>
                <w:webHidden/>
              </w:rPr>
              <w:instrText xml:space="preserve"> PAGEREF _Toc230705742 \h </w:instrText>
            </w:r>
            <w:r>
              <w:rPr>
                <w:webHidden/>
              </w:rPr>
            </w:r>
            <w:r>
              <w:rPr>
                <w:webHidden/>
              </w:rPr>
              <w:fldChar w:fldCharType="separate"/>
            </w:r>
            <w:r w:rsidR="00E8597C">
              <w:rPr>
                <w:webHidden/>
              </w:rPr>
              <w:t>28</w:t>
            </w:r>
            <w:r>
              <w:rPr>
                <w:webHidden/>
              </w:rPr>
              <w:fldChar w:fldCharType="end"/>
            </w:r>
          </w:hyperlink>
        </w:p>
        <w:p w14:paraId="069B9CA2" w14:textId="14D45EDF" w:rsidR="00737642" w:rsidRDefault="00737642">
          <w:pPr>
            <w:pStyle w:val="TOC2"/>
            <w:tabs>
              <w:tab w:val="right" w:leader="dot" w:pos="9848"/>
            </w:tabs>
            <w:rPr>
              <w:rFonts w:asciiTheme="minorHAnsi" w:hAnsiTheme="minorHAnsi"/>
              <w:noProof/>
              <w:kern w:val="2"/>
              <w:lang w:eastAsia="en-GB"/>
              <w14:ligatures w14:val="standardContextual"/>
            </w:rPr>
          </w:pPr>
          <w:hyperlink w:anchor="_Toc230705743" w:history="1">
            <w:r w:rsidRPr="00902364">
              <w:rPr>
                <w:rStyle w:val="Hyperlink"/>
                <w:noProof/>
              </w:rPr>
              <w:t>Clarity on Scope and Focus</w:t>
            </w:r>
            <w:r>
              <w:rPr>
                <w:noProof/>
                <w:webHidden/>
              </w:rPr>
              <w:tab/>
            </w:r>
            <w:r>
              <w:rPr>
                <w:noProof/>
                <w:webHidden/>
              </w:rPr>
              <w:fldChar w:fldCharType="begin"/>
            </w:r>
            <w:r>
              <w:rPr>
                <w:noProof/>
                <w:webHidden/>
              </w:rPr>
              <w:instrText xml:space="preserve"> PAGEREF _Toc230705743 \h </w:instrText>
            </w:r>
            <w:r>
              <w:rPr>
                <w:noProof/>
                <w:webHidden/>
              </w:rPr>
            </w:r>
            <w:r>
              <w:rPr>
                <w:noProof/>
                <w:webHidden/>
              </w:rPr>
              <w:fldChar w:fldCharType="separate"/>
            </w:r>
            <w:r w:rsidR="00E8597C">
              <w:rPr>
                <w:noProof/>
                <w:webHidden/>
              </w:rPr>
              <w:t>28</w:t>
            </w:r>
            <w:r>
              <w:rPr>
                <w:noProof/>
                <w:webHidden/>
              </w:rPr>
              <w:fldChar w:fldCharType="end"/>
            </w:r>
          </w:hyperlink>
        </w:p>
        <w:p w14:paraId="1AD49BD7" w14:textId="0EE661BB" w:rsidR="00737642" w:rsidRDefault="00737642">
          <w:pPr>
            <w:pStyle w:val="TOC2"/>
            <w:tabs>
              <w:tab w:val="right" w:leader="dot" w:pos="9848"/>
            </w:tabs>
            <w:rPr>
              <w:rFonts w:asciiTheme="minorHAnsi" w:hAnsiTheme="minorHAnsi"/>
              <w:noProof/>
              <w:kern w:val="2"/>
              <w:lang w:eastAsia="en-GB"/>
              <w14:ligatures w14:val="standardContextual"/>
            </w:rPr>
          </w:pPr>
          <w:hyperlink w:anchor="_Toc230705744" w:history="1">
            <w:r w:rsidRPr="00902364">
              <w:rPr>
                <w:rStyle w:val="Hyperlink"/>
                <w:noProof/>
              </w:rPr>
              <w:t>Victim-Centred Approach</w:t>
            </w:r>
            <w:r>
              <w:rPr>
                <w:noProof/>
                <w:webHidden/>
              </w:rPr>
              <w:tab/>
            </w:r>
            <w:r>
              <w:rPr>
                <w:noProof/>
                <w:webHidden/>
              </w:rPr>
              <w:fldChar w:fldCharType="begin"/>
            </w:r>
            <w:r>
              <w:rPr>
                <w:noProof/>
                <w:webHidden/>
              </w:rPr>
              <w:instrText xml:space="preserve"> PAGEREF _Toc230705744 \h </w:instrText>
            </w:r>
            <w:r>
              <w:rPr>
                <w:noProof/>
                <w:webHidden/>
              </w:rPr>
            </w:r>
            <w:r>
              <w:rPr>
                <w:noProof/>
                <w:webHidden/>
              </w:rPr>
              <w:fldChar w:fldCharType="separate"/>
            </w:r>
            <w:r w:rsidR="00E8597C">
              <w:rPr>
                <w:noProof/>
                <w:webHidden/>
              </w:rPr>
              <w:t>28</w:t>
            </w:r>
            <w:r>
              <w:rPr>
                <w:noProof/>
                <w:webHidden/>
              </w:rPr>
              <w:fldChar w:fldCharType="end"/>
            </w:r>
          </w:hyperlink>
        </w:p>
        <w:p w14:paraId="696B484A" w14:textId="04FDACD1" w:rsidR="00737642" w:rsidRDefault="00737642">
          <w:pPr>
            <w:pStyle w:val="TOC2"/>
            <w:tabs>
              <w:tab w:val="right" w:leader="dot" w:pos="9848"/>
            </w:tabs>
            <w:rPr>
              <w:rFonts w:asciiTheme="minorHAnsi" w:hAnsiTheme="minorHAnsi"/>
              <w:noProof/>
              <w:kern w:val="2"/>
              <w:lang w:eastAsia="en-GB"/>
              <w14:ligatures w14:val="standardContextual"/>
            </w:rPr>
          </w:pPr>
          <w:hyperlink w:anchor="_Toc230705745" w:history="1">
            <w:r w:rsidRPr="00902364">
              <w:rPr>
                <w:rStyle w:val="Hyperlink"/>
                <w:noProof/>
              </w:rPr>
              <w:t>Racist Hate Crime</w:t>
            </w:r>
            <w:r>
              <w:rPr>
                <w:noProof/>
                <w:webHidden/>
              </w:rPr>
              <w:tab/>
            </w:r>
            <w:r>
              <w:rPr>
                <w:noProof/>
                <w:webHidden/>
              </w:rPr>
              <w:fldChar w:fldCharType="begin"/>
            </w:r>
            <w:r>
              <w:rPr>
                <w:noProof/>
                <w:webHidden/>
              </w:rPr>
              <w:instrText xml:space="preserve"> PAGEREF _Toc230705745 \h </w:instrText>
            </w:r>
            <w:r>
              <w:rPr>
                <w:noProof/>
                <w:webHidden/>
              </w:rPr>
            </w:r>
            <w:r>
              <w:rPr>
                <w:noProof/>
                <w:webHidden/>
              </w:rPr>
              <w:fldChar w:fldCharType="separate"/>
            </w:r>
            <w:r w:rsidR="00E8597C">
              <w:rPr>
                <w:noProof/>
                <w:webHidden/>
              </w:rPr>
              <w:t>29</w:t>
            </w:r>
            <w:r>
              <w:rPr>
                <w:noProof/>
                <w:webHidden/>
              </w:rPr>
              <w:fldChar w:fldCharType="end"/>
            </w:r>
          </w:hyperlink>
        </w:p>
        <w:p w14:paraId="53C14022" w14:textId="2A27EA69" w:rsidR="00737642" w:rsidRDefault="00737642">
          <w:pPr>
            <w:pStyle w:val="TOC2"/>
            <w:tabs>
              <w:tab w:val="right" w:leader="dot" w:pos="9848"/>
            </w:tabs>
            <w:rPr>
              <w:rFonts w:asciiTheme="minorHAnsi" w:hAnsiTheme="minorHAnsi"/>
              <w:noProof/>
              <w:kern w:val="2"/>
              <w:lang w:eastAsia="en-GB"/>
              <w14:ligatures w14:val="standardContextual"/>
            </w:rPr>
          </w:pPr>
          <w:hyperlink w:anchor="_Toc230705746" w:history="1">
            <w:r w:rsidRPr="00902364">
              <w:rPr>
                <w:rStyle w:val="Hyperlink"/>
                <w:noProof/>
              </w:rPr>
              <w:t>Awareness raising initiatives</w:t>
            </w:r>
            <w:r>
              <w:rPr>
                <w:noProof/>
                <w:webHidden/>
              </w:rPr>
              <w:tab/>
            </w:r>
            <w:r>
              <w:rPr>
                <w:noProof/>
                <w:webHidden/>
              </w:rPr>
              <w:fldChar w:fldCharType="begin"/>
            </w:r>
            <w:r>
              <w:rPr>
                <w:noProof/>
                <w:webHidden/>
              </w:rPr>
              <w:instrText xml:space="preserve"> PAGEREF _Toc230705746 \h </w:instrText>
            </w:r>
            <w:r>
              <w:rPr>
                <w:noProof/>
                <w:webHidden/>
              </w:rPr>
            </w:r>
            <w:r>
              <w:rPr>
                <w:noProof/>
                <w:webHidden/>
              </w:rPr>
              <w:fldChar w:fldCharType="separate"/>
            </w:r>
            <w:r w:rsidR="00E8597C">
              <w:rPr>
                <w:noProof/>
                <w:webHidden/>
              </w:rPr>
              <w:t>33</w:t>
            </w:r>
            <w:r>
              <w:rPr>
                <w:noProof/>
                <w:webHidden/>
              </w:rPr>
              <w:fldChar w:fldCharType="end"/>
            </w:r>
          </w:hyperlink>
        </w:p>
        <w:p w14:paraId="37C63EDB" w14:textId="1D3043DA" w:rsidR="00737642" w:rsidRDefault="00737642">
          <w:pPr>
            <w:pStyle w:val="TOC1"/>
            <w:rPr>
              <w:rFonts w:asciiTheme="minorHAnsi" w:hAnsiTheme="minorHAnsi"/>
              <w:b w:val="0"/>
              <w:bCs w:val="0"/>
              <w:kern w:val="2"/>
              <w:lang w:eastAsia="en-GB"/>
              <w14:ligatures w14:val="standardContextual"/>
            </w:rPr>
          </w:pPr>
          <w:hyperlink w:anchor="_Toc230705747" w:history="1">
            <w:r w:rsidRPr="00902364">
              <w:rPr>
                <w:rStyle w:val="Hyperlink"/>
              </w:rPr>
              <w:t xml:space="preserve">6.0 </w:t>
            </w:r>
            <w:r w:rsidR="00E23D1B">
              <w:rPr>
                <w:rStyle w:val="Hyperlink"/>
              </w:rPr>
              <w:t xml:space="preserve">  </w:t>
            </w:r>
            <w:r w:rsidRPr="00902364">
              <w:rPr>
                <w:rStyle w:val="Hyperlink"/>
              </w:rPr>
              <w:t>Outcome 3: Equality of Service Provision</w:t>
            </w:r>
            <w:r>
              <w:rPr>
                <w:webHidden/>
              </w:rPr>
              <w:tab/>
            </w:r>
            <w:r>
              <w:rPr>
                <w:webHidden/>
              </w:rPr>
              <w:fldChar w:fldCharType="begin"/>
            </w:r>
            <w:r>
              <w:rPr>
                <w:webHidden/>
              </w:rPr>
              <w:instrText xml:space="preserve"> PAGEREF _Toc230705747 \h </w:instrText>
            </w:r>
            <w:r>
              <w:rPr>
                <w:webHidden/>
              </w:rPr>
            </w:r>
            <w:r>
              <w:rPr>
                <w:webHidden/>
              </w:rPr>
              <w:fldChar w:fldCharType="separate"/>
            </w:r>
            <w:r w:rsidR="00E8597C">
              <w:rPr>
                <w:webHidden/>
              </w:rPr>
              <w:t>34</w:t>
            </w:r>
            <w:r>
              <w:rPr>
                <w:webHidden/>
              </w:rPr>
              <w:fldChar w:fldCharType="end"/>
            </w:r>
          </w:hyperlink>
        </w:p>
        <w:p w14:paraId="4B661D9E" w14:textId="72792AEB" w:rsidR="00737642" w:rsidRDefault="00737642">
          <w:pPr>
            <w:pStyle w:val="TOC2"/>
            <w:tabs>
              <w:tab w:val="right" w:leader="dot" w:pos="9848"/>
            </w:tabs>
            <w:rPr>
              <w:rFonts w:asciiTheme="minorHAnsi" w:hAnsiTheme="minorHAnsi"/>
              <w:noProof/>
              <w:kern w:val="2"/>
              <w:lang w:eastAsia="en-GB"/>
              <w14:ligatures w14:val="standardContextual"/>
            </w:rPr>
          </w:pPr>
          <w:hyperlink w:anchor="_Toc230705748" w:history="1">
            <w:r w:rsidRPr="00902364">
              <w:rPr>
                <w:rStyle w:val="Hyperlink"/>
                <w:noProof/>
              </w:rPr>
              <w:t>Language Barriers in Access to Services</w:t>
            </w:r>
            <w:r>
              <w:rPr>
                <w:noProof/>
                <w:webHidden/>
              </w:rPr>
              <w:tab/>
            </w:r>
            <w:r>
              <w:rPr>
                <w:noProof/>
                <w:webHidden/>
              </w:rPr>
              <w:fldChar w:fldCharType="begin"/>
            </w:r>
            <w:r>
              <w:rPr>
                <w:noProof/>
                <w:webHidden/>
              </w:rPr>
              <w:instrText xml:space="preserve"> PAGEREF _Toc230705748 \h </w:instrText>
            </w:r>
            <w:r>
              <w:rPr>
                <w:noProof/>
                <w:webHidden/>
              </w:rPr>
            </w:r>
            <w:r>
              <w:rPr>
                <w:noProof/>
                <w:webHidden/>
              </w:rPr>
              <w:fldChar w:fldCharType="separate"/>
            </w:r>
            <w:r w:rsidR="00E8597C">
              <w:rPr>
                <w:noProof/>
                <w:webHidden/>
              </w:rPr>
              <w:t>35</w:t>
            </w:r>
            <w:r>
              <w:rPr>
                <w:noProof/>
                <w:webHidden/>
              </w:rPr>
              <w:fldChar w:fldCharType="end"/>
            </w:r>
          </w:hyperlink>
        </w:p>
        <w:p w14:paraId="278B09DF" w14:textId="19CC88D2" w:rsidR="00737642" w:rsidRDefault="00737642">
          <w:pPr>
            <w:pStyle w:val="TOC2"/>
            <w:tabs>
              <w:tab w:val="right" w:leader="dot" w:pos="9848"/>
            </w:tabs>
            <w:rPr>
              <w:rFonts w:asciiTheme="minorHAnsi" w:hAnsiTheme="minorHAnsi"/>
              <w:noProof/>
              <w:kern w:val="2"/>
              <w:lang w:eastAsia="en-GB"/>
              <w14:ligatures w14:val="standardContextual"/>
            </w:rPr>
          </w:pPr>
          <w:hyperlink w:anchor="_Toc230705749" w:history="1">
            <w:r w:rsidRPr="00902364">
              <w:rPr>
                <w:rStyle w:val="Hyperlink"/>
                <w:noProof/>
              </w:rPr>
              <w:t>Education</w:t>
            </w:r>
            <w:r>
              <w:rPr>
                <w:noProof/>
                <w:webHidden/>
              </w:rPr>
              <w:tab/>
            </w:r>
            <w:r>
              <w:rPr>
                <w:noProof/>
                <w:webHidden/>
              </w:rPr>
              <w:fldChar w:fldCharType="begin"/>
            </w:r>
            <w:r>
              <w:rPr>
                <w:noProof/>
                <w:webHidden/>
              </w:rPr>
              <w:instrText xml:space="preserve"> PAGEREF _Toc230705749 \h </w:instrText>
            </w:r>
            <w:r>
              <w:rPr>
                <w:noProof/>
                <w:webHidden/>
              </w:rPr>
            </w:r>
            <w:r>
              <w:rPr>
                <w:noProof/>
                <w:webHidden/>
              </w:rPr>
              <w:fldChar w:fldCharType="separate"/>
            </w:r>
            <w:r w:rsidR="00E8597C">
              <w:rPr>
                <w:noProof/>
                <w:webHidden/>
              </w:rPr>
              <w:t>36</w:t>
            </w:r>
            <w:r>
              <w:rPr>
                <w:noProof/>
                <w:webHidden/>
              </w:rPr>
              <w:fldChar w:fldCharType="end"/>
            </w:r>
          </w:hyperlink>
        </w:p>
        <w:p w14:paraId="1C0670D4" w14:textId="729EA495" w:rsidR="00737642" w:rsidRDefault="00737642">
          <w:pPr>
            <w:pStyle w:val="TOC2"/>
            <w:tabs>
              <w:tab w:val="right" w:leader="dot" w:pos="9848"/>
            </w:tabs>
            <w:rPr>
              <w:rFonts w:asciiTheme="minorHAnsi" w:hAnsiTheme="minorHAnsi"/>
              <w:noProof/>
              <w:kern w:val="2"/>
              <w:lang w:eastAsia="en-GB"/>
              <w14:ligatures w14:val="standardContextual"/>
            </w:rPr>
          </w:pPr>
          <w:hyperlink w:anchor="_Toc230705750" w:history="1">
            <w:r w:rsidRPr="00902364">
              <w:rPr>
                <w:rStyle w:val="Hyperlink"/>
                <w:noProof/>
              </w:rPr>
              <w:t>Employment</w:t>
            </w:r>
            <w:r>
              <w:rPr>
                <w:noProof/>
                <w:webHidden/>
              </w:rPr>
              <w:tab/>
            </w:r>
            <w:r>
              <w:rPr>
                <w:noProof/>
                <w:webHidden/>
              </w:rPr>
              <w:fldChar w:fldCharType="begin"/>
            </w:r>
            <w:r>
              <w:rPr>
                <w:noProof/>
                <w:webHidden/>
              </w:rPr>
              <w:instrText xml:space="preserve"> PAGEREF _Toc230705750 \h </w:instrText>
            </w:r>
            <w:r>
              <w:rPr>
                <w:noProof/>
                <w:webHidden/>
              </w:rPr>
            </w:r>
            <w:r>
              <w:rPr>
                <w:noProof/>
                <w:webHidden/>
              </w:rPr>
              <w:fldChar w:fldCharType="separate"/>
            </w:r>
            <w:r w:rsidR="00E8597C">
              <w:rPr>
                <w:noProof/>
                <w:webHidden/>
              </w:rPr>
              <w:t>37</w:t>
            </w:r>
            <w:r>
              <w:rPr>
                <w:noProof/>
                <w:webHidden/>
              </w:rPr>
              <w:fldChar w:fldCharType="end"/>
            </w:r>
          </w:hyperlink>
        </w:p>
        <w:p w14:paraId="3E232D10" w14:textId="71E8E9C4" w:rsidR="00737642" w:rsidRDefault="00737642">
          <w:pPr>
            <w:pStyle w:val="TOC2"/>
            <w:tabs>
              <w:tab w:val="right" w:leader="dot" w:pos="9848"/>
            </w:tabs>
            <w:rPr>
              <w:rFonts w:asciiTheme="minorHAnsi" w:hAnsiTheme="minorHAnsi"/>
              <w:noProof/>
              <w:kern w:val="2"/>
              <w:lang w:eastAsia="en-GB"/>
              <w14:ligatures w14:val="standardContextual"/>
            </w:rPr>
          </w:pPr>
          <w:hyperlink w:anchor="_Toc230705751" w:history="1">
            <w:r w:rsidRPr="00902364">
              <w:rPr>
                <w:rStyle w:val="Hyperlink"/>
                <w:noProof/>
              </w:rPr>
              <w:t>Access to Health Care Services</w:t>
            </w:r>
            <w:r>
              <w:rPr>
                <w:noProof/>
                <w:webHidden/>
              </w:rPr>
              <w:tab/>
            </w:r>
            <w:r>
              <w:rPr>
                <w:noProof/>
                <w:webHidden/>
              </w:rPr>
              <w:fldChar w:fldCharType="begin"/>
            </w:r>
            <w:r>
              <w:rPr>
                <w:noProof/>
                <w:webHidden/>
              </w:rPr>
              <w:instrText xml:space="preserve"> PAGEREF _Toc230705751 \h </w:instrText>
            </w:r>
            <w:r>
              <w:rPr>
                <w:noProof/>
                <w:webHidden/>
              </w:rPr>
            </w:r>
            <w:r>
              <w:rPr>
                <w:noProof/>
                <w:webHidden/>
              </w:rPr>
              <w:fldChar w:fldCharType="separate"/>
            </w:r>
            <w:r w:rsidR="00E8597C">
              <w:rPr>
                <w:noProof/>
                <w:webHidden/>
              </w:rPr>
              <w:t>40</w:t>
            </w:r>
            <w:r>
              <w:rPr>
                <w:noProof/>
                <w:webHidden/>
              </w:rPr>
              <w:fldChar w:fldCharType="end"/>
            </w:r>
          </w:hyperlink>
        </w:p>
        <w:p w14:paraId="6684938E" w14:textId="3418768A" w:rsidR="00737642" w:rsidRDefault="00737642">
          <w:pPr>
            <w:pStyle w:val="TOC2"/>
            <w:tabs>
              <w:tab w:val="right" w:leader="dot" w:pos="9848"/>
            </w:tabs>
            <w:rPr>
              <w:rFonts w:asciiTheme="minorHAnsi" w:hAnsiTheme="minorHAnsi"/>
              <w:noProof/>
              <w:kern w:val="2"/>
              <w:lang w:eastAsia="en-GB"/>
              <w14:ligatures w14:val="standardContextual"/>
            </w:rPr>
          </w:pPr>
          <w:hyperlink w:anchor="_Toc230705752" w:history="1">
            <w:r w:rsidRPr="00902364">
              <w:rPr>
                <w:rStyle w:val="Hyperlink"/>
                <w:noProof/>
              </w:rPr>
              <w:t>Housing</w:t>
            </w:r>
            <w:r>
              <w:rPr>
                <w:noProof/>
                <w:webHidden/>
              </w:rPr>
              <w:tab/>
            </w:r>
            <w:r>
              <w:rPr>
                <w:noProof/>
                <w:webHidden/>
              </w:rPr>
              <w:fldChar w:fldCharType="begin"/>
            </w:r>
            <w:r>
              <w:rPr>
                <w:noProof/>
                <w:webHidden/>
              </w:rPr>
              <w:instrText xml:space="preserve"> PAGEREF _Toc230705752 \h </w:instrText>
            </w:r>
            <w:r>
              <w:rPr>
                <w:noProof/>
                <w:webHidden/>
              </w:rPr>
            </w:r>
            <w:r>
              <w:rPr>
                <w:noProof/>
                <w:webHidden/>
              </w:rPr>
              <w:fldChar w:fldCharType="separate"/>
            </w:r>
            <w:r w:rsidR="00E8597C">
              <w:rPr>
                <w:noProof/>
                <w:webHidden/>
              </w:rPr>
              <w:t>43</w:t>
            </w:r>
            <w:r>
              <w:rPr>
                <w:noProof/>
                <w:webHidden/>
              </w:rPr>
              <w:fldChar w:fldCharType="end"/>
            </w:r>
          </w:hyperlink>
        </w:p>
        <w:p w14:paraId="071D9923" w14:textId="5746C807" w:rsidR="00737642" w:rsidRDefault="00737642">
          <w:pPr>
            <w:pStyle w:val="TOC2"/>
            <w:tabs>
              <w:tab w:val="right" w:leader="dot" w:pos="9848"/>
            </w:tabs>
            <w:rPr>
              <w:rFonts w:asciiTheme="minorHAnsi" w:hAnsiTheme="minorHAnsi"/>
              <w:noProof/>
              <w:kern w:val="2"/>
              <w:lang w:eastAsia="en-GB"/>
              <w14:ligatures w14:val="standardContextual"/>
            </w:rPr>
          </w:pPr>
          <w:hyperlink w:anchor="_Toc230705753" w:history="1">
            <w:r w:rsidRPr="00902364">
              <w:rPr>
                <w:rStyle w:val="Hyperlink"/>
                <w:noProof/>
              </w:rPr>
              <w:t>Roma Thematic Group and Traveller Thematic Group</w:t>
            </w:r>
            <w:r>
              <w:rPr>
                <w:noProof/>
                <w:webHidden/>
              </w:rPr>
              <w:tab/>
            </w:r>
            <w:r>
              <w:rPr>
                <w:noProof/>
                <w:webHidden/>
              </w:rPr>
              <w:fldChar w:fldCharType="begin"/>
            </w:r>
            <w:r>
              <w:rPr>
                <w:noProof/>
                <w:webHidden/>
              </w:rPr>
              <w:instrText xml:space="preserve"> PAGEREF _Toc230705753 \h </w:instrText>
            </w:r>
            <w:r>
              <w:rPr>
                <w:noProof/>
                <w:webHidden/>
              </w:rPr>
            </w:r>
            <w:r>
              <w:rPr>
                <w:noProof/>
                <w:webHidden/>
              </w:rPr>
              <w:fldChar w:fldCharType="separate"/>
            </w:r>
            <w:r w:rsidR="00E8597C">
              <w:rPr>
                <w:noProof/>
                <w:webHidden/>
              </w:rPr>
              <w:t>44</w:t>
            </w:r>
            <w:r>
              <w:rPr>
                <w:noProof/>
                <w:webHidden/>
              </w:rPr>
              <w:fldChar w:fldCharType="end"/>
            </w:r>
          </w:hyperlink>
        </w:p>
        <w:p w14:paraId="1588926F" w14:textId="1FAED6E4" w:rsidR="00737642" w:rsidRDefault="00737642">
          <w:pPr>
            <w:pStyle w:val="TOC2"/>
            <w:tabs>
              <w:tab w:val="right" w:leader="dot" w:pos="9848"/>
            </w:tabs>
            <w:rPr>
              <w:rFonts w:asciiTheme="minorHAnsi" w:hAnsiTheme="minorHAnsi"/>
              <w:noProof/>
              <w:kern w:val="2"/>
              <w:lang w:eastAsia="en-GB"/>
              <w14:ligatures w14:val="standardContextual"/>
            </w:rPr>
          </w:pPr>
          <w:hyperlink w:anchor="_Toc230705754" w:history="1">
            <w:r w:rsidRPr="00902364">
              <w:rPr>
                <w:rStyle w:val="Hyperlink"/>
                <w:noProof/>
              </w:rPr>
              <w:t>Data</w:t>
            </w:r>
            <w:r>
              <w:rPr>
                <w:noProof/>
                <w:webHidden/>
              </w:rPr>
              <w:tab/>
            </w:r>
            <w:r>
              <w:rPr>
                <w:noProof/>
                <w:webHidden/>
              </w:rPr>
              <w:fldChar w:fldCharType="begin"/>
            </w:r>
            <w:r>
              <w:rPr>
                <w:noProof/>
                <w:webHidden/>
              </w:rPr>
              <w:instrText xml:space="preserve"> PAGEREF _Toc230705754 \h </w:instrText>
            </w:r>
            <w:r>
              <w:rPr>
                <w:noProof/>
                <w:webHidden/>
              </w:rPr>
            </w:r>
            <w:r>
              <w:rPr>
                <w:noProof/>
                <w:webHidden/>
              </w:rPr>
              <w:fldChar w:fldCharType="separate"/>
            </w:r>
            <w:r w:rsidR="00E8597C">
              <w:rPr>
                <w:noProof/>
                <w:webHidden/>
              </w:rPr>
              <w:t>45</w:t>
            </w:r>
            <w:r>
              <w:rPr>
                <w:noProof/>
                <w:webHidden/>
              </w:rPr>
              <w:fldChar w:fldCharType="end"/>
            </w:r>
          </w:hyperlink>
        </w:p>
        <w:p w14:paraId="33666113" w14:textId="77D63A06" w:rsidR="00737642" w:rsidRDefault="00737642">
          <w:pPr>
            <w:pStyle w:val="TOC1"/>
            <w:rPr>
              <w:rFonts w:asciiTheme="minorHAnsi" w:hAnsiTheme="minorHAnsi"/>
              <w:b w:val="0"/>
              <w:bCs w:val="0"/>
              <w:kern w:val="2"/>
              <w:lang w:eastAsia="en-GB"/>
              <w14:ligatures w14:val="standardContextual"/>
            </w:rPr>
          </w:pPr>
          <w:hyperlink w:anchor="_Toc230705755" w:history="1">
            <w:r w:rsidRPr="00902364">
              <w:rPr>
                <w:rStyle w:val="Hyperlink"/>
              </w:rPr>
              <w:t>7.0 Outcome 4: Community Cohesion</w:t>
            </w:r>
            <w:r>
              <w:rPr>
                <w:webHidden/>
              </w:rPr>
              <w:tab/>
            </w:r>
            <w:r>
              <w:rPr>
                <w:webHidden/>
              </w:rPr>
              <w:fldChar w:fldCharType="begin"/>
            </w:r>
            <w:r>
              <w:rPr>
                <w:webHidden/>
              </w:rPr>
              <w:instrText xml:space="preserve"> PAGEREF _Toc230705755 \h </w:instrText>
            </w:r>
            <w:r>
              <w:rPr>
                <w:webHidden/>
              </w:rPr>
            </w:r>
            <w:r>
              <w:rPr>
                <w:webHidden/>
              </w:rPr>
              <w:fldChar w:fldCharType="separate"/>
            </w:r>
            <w:r w:rsidR="00E8597C">
              <w:rPr>
                <w:webHidden/>
              </w:rPr>
              <w:t>47</w:t>
            </w:r>
            <w:r>
              <w:rPr>
                <w:webHidden/>
              </w:rPr>
              <w:fldChar w:fldCharType="end"/>
            </w:r>
          </w:hyperlink>
        </w:p>
        <w:p w14:paraId="79A6EAF1" w14:textId="61E549C6" w:rsidR="00737642" w:rsidRDefault="00737642">
          <w:pPr>
            <w:pStyle w:val="TOC1"/>
            <w:rPr>
              <w:rFonts w:asciiTheme="minorHAnsi" w:hAnsiTheme="minorHAnsi"/>
              <w:b w:val="0"/>
              <w:bCs w:val="0"/>
              <w:kern w:val="2"/>
              <w:lang w:eastAsia="en-GB"/>
              <w14:ligatures w14:val="standardContextual"/>
            </w:rPr>
          </w:pPr>
          <w:hyperlink w:anchor="_Toc230705756" w:history="1">
            <w:r w:rsidRPr="00902364">
              <w:rPr>
                <w:rStyle w:val="Hyperlink"/>
              </w:rPr>
              <w:t>8.0 Delivery Plan</w:t>
            </w:r>
            <w:r>
              <w:rPr>
                <w:webHidden/>
              </w:rPr>
              <w:tab/>
            </w:r>
            <w:r>
              <w:rPr>
                <w:webHidden/>
              </w:rPr>
              <w:fldChar w:fldCharType="begin"/>
            </w:r>
            <w:r>
              <w:rPr>
                <w:webHidden/>
              </w:rPr>
              <w:instrText xml:space="preserve"> PAGEREF _Toc230705756 \h </w:instrText>
            </w:r>
            <w:r>
              <w:rPr>
                <w:webHidden/>
              </w:rPr>
            </w:r>
            <w:r>
              <w:rPr>
                <w:webHidden/>
              </w:rPr>
              <w:fldChar w:fldCharType="separate"/>
            </w:r>
            <w:r w:rsidR="00E8597C">
              <w:rPr>
                <w:webHidden/>
              </w:rPr>
              <w:t>49</w:t>
            </w:r>
            <w:r>
              <w:rPr>
                <w:webHidden/>
              </w:rPr>
              <w:fldChar w:fldCharType="end"/>
            </w:r>
          </w:hyperlink>
        </w:p>
        <w:p w14:paraId="139025FA" w14:textId="2E2E35D6" w:rsidR="00737642" w:rsidRDefault="00737642">
          <w:pPr>
            <w:pStyle w:val="TOC2"/>
            <w:tabs>
              <w:tab w:val="right" w:leader="dot" w:pos="9848"/>
            </w:tabs>
            <w:rPr>
              <w:rFonts w:asciiTheme="minorHAnsi" w:hAnsiTheme="minorHAnsi"/>
              <w:noProof/>
              <w:kern w:val="2"/>
              <w:lang w:eastAsia="en-GB"/>
              <w14:ligatures w14:val="standardContextual"/>
            </w:rPr>
          </w:pPr>
          <w:hyperlink w:anchor="_Toc230705757" w:history="1">
            <w:r w:rsidRPr="00902364">
              <w:rPr>
                <w:rStyle w:val="Hyperlink"/>
                <w:noProof/>
              </w:rPr>
              <w:t>Monitoring and Evaluation</w:t>
            </w:r>
            <w:r>
              <w:rPr>
                <w:noProof/>
                <w:webHidden/>
              </w:rPr>
              <w:tab/>
            </w:r>
            <w:r>
              <w:rPr>
                <w:noProof/>
                <w:webHidden/>
              </w:rPr>
              <w:fldChar w:fldCharType="begin"/>
            </w:r>
            <w:r>
              <w:rPr>
                <w:noProof/>
                <w:webHidden/>
              </w:rPr>
              <w:instrText xml:space="preserve"> PAGEREF _Toc230705757 \h </w:instrText>
            </w:r>
            <w:r>
              <w:rPr>
                <w:noProof/>
                <w:webHidden/>
              </w:rPr>
            </w:r>
            <w:r>
              <w:rPr>
                <w:noProof/>
                <w:webHidden/>
              </w:rPr>
              <w:fldChar w:fldCharType="separate"/>
            </w:r>
            <w:r w:rsidR="00E8597C">
              <w:rPr>
                <w:noProof/>
                <w:webHidden/>
              </w:rPr>
              <w:t>50</w:t>
            </w:r>
            <w:r>
              <w:rPr>
                <w:noProof/>
                <w:webHidden/>
              </w:rPr>
              <w:fldChar w:fldCharType="end"/>
            </w:r>
          </w:hyperlink>
        </w:p>
        <w:p w14:paraId="1C0D9634" w14:textId="17926BCE" w:rsidR="00737642" w:rsidRDefault="00737642">
          <w:pPr>
            <w:pStyle w:val="TOC2"/>
            <w:tabs>
              <w:tab w:val="right" w:leader="dot" w:pos="9848"/>
            </w:tabs>
            <w:rPr>
              <w:rFonts w:asciiTheme="minorHAnsi" w:hAnsiTheme="minorHAnsi"/>
              <w:noProof/>
              <w:kern w:val="2"/>
              <w:lang w:eastAsia="en-GB"/>
              <w14:ligatures w14:val="standardContextual"/>
            </w:rPr>
          </w:pPr>
          <w:hyperlink w:anchor="_Toc230705758" w:history="1">
            <w:r w:rsidRPr="00902364">
              <w:rPr>
                <w:rStyle w:val="Hyperlink"/>
                <w:noProof/>
              </w:rPr>
              <w:t>Accountability</w:t>
            </w:r>
            <w:r>
              <w:rPr>
                <w:noProof/>
                <w:webHidden/>
              </w:rPr>
              <w:tab/>
            </w:r>
            <w:r>
              <w:rPr>
                <w:noProof/>
                <w:webHidden/>
              </w:rPr>
              <w:fldChar w:fldCharType="begin"/>
            </w:r>
            <w:r>
              <w:rPr>
                <w:noProof/>
                <w:webHidden/>
              </w:rPr>
              <w:instrText xml:space="preserve"> PAGEREF _Toc230705758 \h </w:instrText>
            </w:r>
            <w:r>
              <w:rPr>
                <w:noProof/>
                <w:webHidden/>
              </w:rPr>
            </w:r>
            <w:r>
              <w:rPr>
                <w:noProof/>
                <w:webHidden/>
              </w:rPr>
              <w:fldChar w:fldCharType="separate"/>
            </w:r>
            <w:r w:rsidR="00E8597C">
              <w:rPr>
                <w:noProof/>
                <w:webHidden/>
              </w:rPr>
              <w:t>50</w:t>
            </w:r>
            <w:r>
              <w:rPr>
                <w:noProof/>
                <w:webHidden/>
              </w:rPr>
              <w:fldChar w:fldCharType="end"/>
            </w:r>
          </w:hyperlink>
        </w:p>
        <w:p w14:paraId="50480D13" w14:textId="36BE293E" w:rsidR="00737642" w:rsidRDefault="00737642">
          <w:pPr>
            <w:pStyle w:val="TOC2"/>
            <w:tabs>
              <w:tab w:val="right" w:leader="dot" w:pos="9848"/>
            </w:tabs>
            <w:rPr>
              <w:rFonts w:asciiTheme="minorHAnsi" w:hAnsiTheme="minorHAnsi"/>
              <w:noProof/>
              <w:kern w:val="2"/>
              <w:lang w:eastAsia="en-GB"/>
              <w14:ligatures w14:val="standardContextual"/>
            </w:rPr>
          </w:pPr>
          <w:hyperlink w:anchor="_Toc230705759" w:history="1">
            <w:r w:rsidRPr="00902364">
              <w:rPr>
                <w:rStyle w:val="Hyperlink"/>
                <w:noProof/>
              </w:rPr>
              <w:t>Key Governance Mechanisms</w:t>
            </w:r>
            <w:r>
              <w:rPr>
                <w:noProof/>
                <w:webHidden/>
              </w:rPr>
              <w:tab/>
            </w:r>
            <w:r>
              <w:rPr>
                <w:noProof/>
                <w:webHidden/>
              </w:rPr>
              <w:fldChar w:fldCharType="begin"/>
            </w:r>
            <w:r>
              <w:rPr>
                <w:noProof/>
                <w:webHidden/>
              </w:rPr>
              <w:instrText xml:space="preserve"> PAGEREF _Toc230705759 \h </w:instrText>
            </w:r>
            <w:r>
              <w:rPr>
                <w:noProof/>
                <w:webHidden/>
              </w:rPr>
            </w:r>
            <w:r>
              <w:rPr>
                <w:noProof/>
                <w:webHidden/>
              </w:rPr>
              <w:fldChar w:fldCharType="separate"/>
            </w:r>
            <w:r w:rsidR="00E8597C">
              <w:rPr>
                <w:noProof/>
                <w:webHidden/>
              </w:rPr>
              <w:t>51</w:t>
            </w:r>
            <w:r>
              <w:rPr>
                <w:noProof/>
                <w:webHidden/>
              </w:rPr>
              <w:fldChar w:fldCharType="end"/>
            </w:r>
          </w:hyperlink>
        </w:p>
        <w:p w14:paraId="1D11A034" w14:textId="772A76FA" w:rsidR="00B471C1" w:rsidRPr="00CA18F7" w:rsidRDefault="00B56194" w:rsidP="00CA18F7">
          <w:r>
            <w:rPr>
              <w:b/>
              <w:bCs/>
              <w:noProof/>
            </w:rPr>
            <w:fldChar w:fldCharType="end"/>
          </w:r>
        </w:p>
      </w:sdtContent>
    </w:sdt>
    <w:p w14:paraId="20A27B8D" w14:textId="06BEFFF9" w:rsidR="00CA18F7" w:rsidRPr="00CA18F7" w:rsidRDefault="00B471C1" w:rsidP="00CA18F7">
      <w:pPr>
        <w:pStyle w:val="Heading1"/>
        <w:numPr>
          <w:ilvl w:val="0"/>
          <w:numId w:val="0"/>
        </w:numPr>
        <w:pBdr>
          <w:top w:val="single" w:sz="4" w:space="1" w:color="auto"/>
          <w:left w:val="single" w:sz="4" w:space="4" w:color="auto"/>
          <w:bottom w:val="single" w:sz="4" w:space="1" w:color="auto"/>
          <w:right w:val="single" w:sz="4" w:space="0" w:color="auto"/>
        </w:pBdr>
        <w:ind w:left="360" w:hanging="360"/>
      </w:pPr>
      <w:r>
        <w:br w:type="page"/>
      </w:r>
      <w:bookmarkStart w:id="0" w:name="_Toc230705731"/>
      <w:r w:rsidR="00CA18F7">
        <w:lastRenderedPageBreak/>
        <w:t>Summary of Recommendations</w:t>
      </w:r>
      <w:bookmarkEnd w:id="0"/>
    </w:p>
    <w:p w14:paraId="146A8C2B" w14:textId="245613FF" w:rsidR="00CA18F7" w:rsidRDefault="00036F7E" w:rsidP="00CA18F7">
      <w:pPr>
        <w:pBdr>
          <w:top w:val="single" w:sz="4" w:space="1" w:color="auto"/>
          <w:left w:val="single" w:sz="4" w:space="4" w:color="auto"/>
          <w:bottom w:val="single" w:sz="4" w:space="1" w:color="auto"/>
          <w:right w:val="single" w:sz="4" w:space="0" w:color="auto"/>
        </w:pBdr>
        <w:ind w:left="720" w:hanging="720"/>
        <w:rPr>
          <w:b/>
          <w:bCs/>
        </w:rPr>
      </w:pPr>
      <w:r>
        <w:rPr>
          <w:b/>
          <w:bCs/>
        </w:rPr>
        <w:t xml:space="preserve">The NIHRC: </w:t>
      </w:r>
    </w:p>
    <w:p w14:paraId="1F7A4211" w14:textId="77777777" w:rsidR="003A4D50" w:rsidRDefault="003A4D50" w:rsidP="00CA18F7">
      <w:pPr>
        <w:pBdr>
          <w:top w:val="single" w:sz="4" w:space="1" w:color="auto"/>
          <w:left w:val="single" w:sz="4" w:space="4" w:color="auto"/>
          <w:bottom w:val="single" w:sz="4" w:space="1" w:color="auto"/>
          <w:right w:val="single" w:sz="4" w:space="0" w:color="auto"/>
        </w:pBdr>
        <w:ind w:left="720" w:hanging="720"/>
        <w:rPr>
          <w:b/>
          <w:bCs/>
        </w:rPr>
      </w:pPr>
    </w:p>
    <w:p w14:paraId="56900D16" w14:textId="4FD34A12" w:rsidR="00CA18F7" w:rsidRDefault="00CA18F7" w:rsidP="00CA18F7">
      <w:pPr>
        <w:pBdr>
          <w:top w:val="single" w:sz="4" w:space="1" w:color="auto"/>
          <w:left w:val="single" w:sz="4" w:space="4" w:color="auto"/>
          <w:bottom w:val="single" w:sz="4" w:space="1" w:color="auto"/>
          <w:right w:val="single" w:sz="4" w:space="0" w:color="auto"/>
        </w:pBdr>
        <w:ind w:left="720" w:hanging="720"/>
        <w:rPr>
          <w:b/>
          <w:bCs/>
        </w:rPr>
      </w:pPr>
      <w:r w:rsidRPr="00CC35F6">
        <w:rPr>
          <w:b/>
          <w:bCs/>
        </w:rPr>
        <w:t xml:space="preserve">2.7 </w:t>
      </w:r>
      <w:r w:rsidR="00036F7E">
        <w:rPr>
          <w:b/>
          <w:bCs/>
        </w:rPr>
        <w:tab/>
        <w:t>recommends that</w:t>
      </w:r>
      <w:r w:rsidR="00036F7E" w:rsidRPr="00CC35F6">
        <w:rPr>
          <w:b/>
          <w:bCs/>
        </w:rPr>
        <w:t xml:space="preserve"> </w:t>
      </w:r>
      <w:r w:rsidRPr="00CC35F6">
        <w:rPr>
          <w:b/>
          <w:bCs/>
        </w:rPr>
        <w:t>the Executive Office references the core human rights instruments, including Windsor Framework Article 2, within the Draft Framework for Race Relations, ensuring that the obligations flowing from these human rights standards are embedded throughout the Framework to ensure practical compliance. The Ending Violence Against Women and Girls Strategic Framework 2024-2031 provides a good example of how this has been done.</w:t>
      </w:r>
    </w:p>
    <w:p w14:paraId="6F52D90F" w14:textId="77777777" w:rsidR="00CA18F7" w:rsidRDefault="00CA18F7" w:rsidP="00CA18F7">
      <w:pPr>
        <w:pBdr>
          <w:top w:val="single" w:sz="4" w:space="1" w:color="auto"/>
          <w:left w:val="single" w:sz="4" w:space="4" w:color="auto"/>
          <w:bottom w:val="single" w:sz="4" w:space="1" w:color="auto"/>
          <w:right w:val="single" w:sz="4" w:space="0" w:color="auto"/>
        </w:pBdr>
        <w:ind w:left="720" w:hanging="720"/>
        <w:rPr>
          <w:b/>
          <w:bCs/>
        </w:rPr>
      </w:pPr>
    </w:p>
    <w:p w14:paraId="585E0D02" w14:textId="21ED4FEF" w:rsidR="00CA18F7" w:rsidRDefault="00CA18F7" w:rsidP="00CA18F7">
      <w:pPr>
        <w:pBdr>
          <w:top w:val="single" w:sz="4" w:space="1" w:color="auto"/>
          <w:left w:val="single" w:sz="4" w:space="4" w:color="auto"/>
          <w:bottom w:val="single" w:sz="4" w:space="1" w:color="auto"/>
          <w:right w:val="single" w:sz="4" w:space="0" w:color="auto"/>
        </w:pBdr>
        <w:ind w:left="720" w:hanging="720"/>
        <w:rPr>
          <w:b/>
          <w:bCs/>
        </w:rPr>
      </w:pPr>
      <w:r w:rsidRPr="007D4122">
        <w:rPr>
          <w:b/>
          <w:bCs/>
        </w:rPr>
        <w:t>2.13</w:t>
      </w:r>
      <w:r w:rsidRPr="007D4122">
        <w:rPr>
          <w:b/>
          <w:bCs/>
        </w:rPr>
        <w:tab/>
      </w:r>
      <w:r w:rsidR="00036F7E">
        <w:rPr>
          <w:b/>
          <w:bCs/>
        </w:rPr>
        <w:t>recommends that</w:t>
      </w:r>
      <w:r w:rsidR="00036F7E" w:rsidRPr="007D4122">
        <w:rPr>
          <w:b/>
          <w:bCs/>
        </w:rPr>
        <w:t xml:space="preserve"> </w:t>
      </w:r>
      <w:r w:rsidRPr="007D4122">
        <w:rPr>
          <w:b/>
          <w:bCs/>
        </w:rPr>
        <w:t>the Executive Office strengthens the Draft Framework in line with the United Nations Office of the High Commissioner for Human Rights guidance on National Action Plans against Racial Discrimination, to ensure it is action</w:t>
      </w:r>
      <w:r w:rsidRPr="007D4122">
        <w:rPr>
          <w:rFonts w:ascii="Cambria Math" w:hAnsi="Cambria Math" w:cs="Cambria Math"/>
          <w:b/>
          <w:bCs/>
        </w:rPr>
        <w:t>‑</w:t>
      </w:r>
      <w:r w:rsidRPr="007D4122">
        <w:rPr>
          <w:b/>
          <w:bCs/>
        </w:rPr>
        <w:t>oriented and capable of effective implementation. In particular, the Draft Framework should set out more concrete and measurable actions to be undertaken, with targeted goals, performance indicators, clear assigned responsibilities, defined timeframes and adequate budgetary provision, and arrangements for monitoring, evaluation, across all four outcomes.</w:t>
      </w:r>
    </w:p>
    <w:p w14:paraId="2B25E99C" w14:textId="77777777" w:rsidR="00CA18F7" w:rsidRDefault="00CA18F7" w:rsidP="00CA18F7">
      <w:pPr>
        <w:pBdr>
          <w:top w:val="single" w:sz="4" w:space="1" w:color="auto"/>
          <w:left w:val="single" w:sz="4" w:space="4" w:color="auto"/>
          <w:bottom w:val="single" w:sz="4" w:space="1" w:color="auto"/>
          <w:right w:val="single" w:sz="4" w:space="0" w:color="auto"/>
        </w:pBdr>
        <w:rPr>
          <w:b/>
          <w:bCs/>
        </w:rPr>
      </w:pPr>
    </w:p>
    <w:p w14:paraId="687FBE04" w14:textId="28204E3B" w:rsidR="00CA18F7" w:rsidRPr="004A48C7" w:rsidRDefault="00CA18F7" w:rsidP="00CA18F7">
      <w:pPr>
        <w:pBdr>
          <w:top w:val="single" w:sz="4" w:space="1" w:color="auto"/>
          <w:left w:val="single" w:sz="4" w:space="4" w:color="auto"/>
          <w:bottom w:val="single" w:sz="4" w:space="1" w:color="auto"/>
          <w:right w:val="single" w:sz="4" w:space="0" w:color="auto"/>
        </w:pBdr>
        <w:ind w:left="720" w:hanging="720"/>
        <w:rPr>
          <w:b/>
          <w:bCs/>
        </w:rPr>
      </w:pPr>
      <w:r w:rsidRPr="004A48C7">
        <w:rPr>
          <w:b/>
          <w:bCs/>
        </w:rPr>
        <w:t>2.16</w:t>
      </w:r>
      <w:r w:rsidRPr="004A48C7">
        <w:rPr>
          <w:b/>
          <w:bCs/>
        </w:rPr>
        <w:tab/>
      </w:r>
      <w:r w:rsidRPr="00124874">
        <w:rPr>
          <w:b/>
          <w:bCs/>
        </w:rPr>
        <w:t>recommends that</w:t>
      </w:r>
      <w:r w:rsidRPr="001F09BE">
        <w:rPr>
          <w:b/>
          <w:bCs/>
        </w:rPr>
        <w:t xml:space="preserve"> </w:t>
      </w:r>
      <w:r w:rsidRPr="004A48C7">
        <w:rPr>
          <w:b/>
          <w:bCs/>
        </w:rPr>
        <w:t xml:space="preserve">the Executive Office ensures that the Draft Framework for Race Relations is accompanied by a full Human Rights Impact Assessment outlining all relevant human rights standards. This should include details of how Windsor Framework Article 2 obligations have been considered and how they will be monitored and implemented under the Framework.  </w:t>
      </w:r>
    </w:p>
    <w:p w14:paraId="07A99013" w14:textId="77777777" w:rsidR="00CA18F7" w:rsidRPr="004A48C7" w:rsidRDefault="00CA18F7" w:rsidP="00CA18F7">
      <w:pPr>
        <w:pBdr>
          <w:top w:val="single" w:sz="4" w:space="1" w:color="auto"/>
          <w:left w:val="single" w:sz="4" w:space="4" w:color="auto"/>
          <w:bottom w:val="single" w:sz="4" w:space="1" w:color="auto"/>
          <w:right w:val="single" w:sz="4" w:space="0" w:color="auto"/>
        </w:pBdr>
        <w:rPr>
          <w:b/>
          <w:bCs/>
        </w:rPr>
      </w:pPr>
    </w:p>
    <w:p w14:paraId="0F08DC9B" w14:textId="410FA73E" w:rsidR="00CA18F7" w:rsidRDefault="00CA18F7" w:rsidP="00CA18F7">
      <w:pPr>
        <w:pBdr>
          <w:top w:val="single" w:sz="4" w:space="1" w:color="auto"/>
          <w:left w:val="single" w:sz="4" w:space="4" w:color="auto"/>
          <w:bottom w:val="single" w:sz="4" w:space="1" w:color="auto"/>
          <w:right w:val="single" w:sz="4" w:space="0" w:color="auto"/>
        </w:pBdr>
        <w:ind w:left="720" w:hanging="720"/>
        <w:rPr>
          <w:b/>
          <w:bCs/>
        </w:rPr>
      </w:pPr>
      <w:r w:rsidRPr="004A48C7">
        <w:rPr>
          <w:b/>
          <w:bCs/>
        </w:rPr>
        <w:t>2.17</w:t>
      </w:r>
      <w:r w:rsidRPr="004A48C7">
        <w:rPr>
          <w:b/>
          <w:bCs/>
        </w:rPr>
        <w:tab/>
      </w:r>
      <w:r w:rsidRPr="00124874">
        <w:rPr>
          <w:b/>
          <w:bCs/>
        </w:rPr>
        <w:t>recommends that</w:t>
      </w:r>
      <w:r w:rsidRPr="001F09BE">
        <w:rPr>
          <w:b/>
          <w:bCs/>
        </w:rPr>
        <w:t xml:space="preserve"> </w:t>
      </w:r>
      <w:r w:rsidRPr="004A48C7">
        <w:rPr>
          <w:b/>
          <w:bCs/>
        </w:rPr>
        <w:t>the Executive Office, monitors any proposed changes by the EU to the Racial Equality Directive, including relevant case law of the CJEU, in the development and implementation of the Framework for Race Relations, and that explicit reference is made within the Framework as to how any enhancements will be incorporated into NI equality law.</w:t>
      </w:r>
    </w:p>
    <w:p w14:paraId="6203E685" w14:textId="77777777" w:rsidR="00CA18F7" w:rsidRDefault="00CA18F7" w:rsidP="00CA18F7">
      <w:pPr>
        <w:pBdr>
          <w:top w:val="single" w:sz="4" w:space="1" w:color="auto"/>
          <w:left w:val="single" w:sz="4" w:space="4" w:color="auto"/>
          <w:bottom w:val="single" w:sz="4" w:space="1" w:color="auto"/>
          <w:right w:val="single" w:sz="4" w:space="0" w:color="auto"/>
        </w:pBdr>
        <w:rPr>
          <w:b/>
          <w:bCs/>
        </w:rPr>
      </w:pPr>
    </w:p>
    <w:p w14:paraId="4AAF6FB5" w14:textId="108FDE6D" w:rsidR="00CA18F7" w:rsidRDefault="00CA18F7" w:rsidP="00CA18F7">
      <w:pPr>
        <w:pBdr>
          <w:top w:val="single" w:sz="4" w:space="1" w:color="auto"/>
          <w:left w:val="single" w:sz="4" w:space="4" w:color="auto"/>
          <w:bottom w:val="single" w:sz="4" w:space="1" w:color="auto"/>
          <w:right w:val="single" w:sz="4" w:space="0" w:color="auto"/>
        </w:pBdr>
        <w:ind w:left="720" w:hanging="720"/>
        <w:rPr>
          <w:b/>
          <w:bCs/>
        </w:rPr>
      </w:pPr>
      <w:r w:rsidRPr="00EF1C66">
        <w:rPr>
          <w:b/>
          <w:bCs/>
        </w:rPr>
        <w:lastRenderedPageBreak/>
        <w:t>2.21</w:t>
      </w:r>
      <w:r w:rsidRPr="00EF1C66">
        <w:rPr>
          <w:b/>
          <w:bCs/>
        </w:rPr>
        <w:tab/>
        <w:t>advises the Executive Office and the Department of Communities that, in accordance with the dynamic alignment obligation relating to Windsor Framework Articles 2 and 13, the definition of discrimination in relevant NI equality law should be amended to include “intersectional discrimination” aligned to the relevant provisions of the EU Pay Transparency Directive.</w:t>
      </w:r>
    </w:p>
    <w:p w14:paraId="475D421A" w14:textId="77777777" w:rsidR="00CA18F7" w:rsidRDefault="00CA18F7" w:rsidP="00CA18F7">
      <w:pPr>
        <w:pBdr>
          <w:top w:val="single" w:sz="4" w:space="1" w:color="auto"/>
          <w:left w:val="single" w:sz="4" w:space="4" w:color="auto"/>
          <w:bottom w:val="single" w:sz="4" w:space="1" w:color="auto"/>
          <w:right w:val="single" w:sz="4" w:space="0" w:color="auto"/>
        </w:pBdr>
        <w:rPr>
          <w:b/>
          <w:bCs/>
        </w:rPr>
      </w:pPr>
    </w:p>
    <w:p w14:paraId="5FBDC6FF" w14:textId="7A54BA76" w:rsidR="00CA18F7" w:rsidRDefault="00CA18F7" w:rsidP="00CA18F7">
      <w:pPr>
        <w:pBdr>
          <w:top w:val="single" w:sz="4" w:space="1" w:color="auto"/>
          <w:left w:val="single" w:sz="4" w:space="4" w:color="auto"/>
          <w:bottom w:val="single" w:sz="4" w:space="1" w:color="auto"/>
          <w:right w:val="single" w:sz="4" w:space="0" w:color="auto"/>
        </w:pBdr>
        <w:ind w:left="720" w:hanging="720"/>
        <w:rPr>
          <w:b/>
          <w:bCs/>
        </w:rPr>
      </w:pPr>
      <w:r w:rsidRPr="001F09BE">
        <w:rPr>
          <w:b/>
          <w:bCs/>
        </w:rPr>
        <w:t>3.4</w:t>
      </w:r>
      <w:r w:rsidRPr="001F09BE">
        <w:rPr>
          <w:b/>
          <w:bCs/>
        </w:rPr>
        <w:tab/>
      </w:r>
      <w:r w:rsidRPr="00124874">
        <w:rPr>
          <w:b/>
          <w:bCs/>
        </w:rPr>
        <w:t>recommends that</w:t>
      </w:r>
      <w:r w:rsidRPr="001F09BE">
        <w:rPr>
          <w:b/>
          <w:bCs/>
        </w:rPr>
        <w:t xml:space="preserve"> the Executive Office gives due regard to the findings of the independent review and its own identified responses and ensure that the shortcomings identified in the Racial Equality Strategy are not carried forward into the new Framework but instead addressed in a way that strengthens and enhances it.</w:t>
      </w:r>
    </w:p>
    <w:p w14:paraId="0E87FF87" w14:textId="77777777" w:rsidR="00CA18F7" w:rsidRDefault="00CA18F7" w:rsidP="00CA18F7">
      <w:pPr>
        <w:pBdr>
          <w:top w:val="single" w:sz="4" w:space="1" w:color="auto"/>
          <w:left w:val="single" w:sz="4" w:space="4" w:color="auto"/>
          <w:bottom w:val="single" w:sz="4" w:space="1" w:color="auto"/>
          <w:right w:val="single" w:sz="4" w:space="0" w:color="auto"/>
        </w:pBdr>
        <w:rPr>
          <w:b/>
          <w:bCs/>
        </w:rPr>
      </w:pPr>
    </w:p>
    <w:p w14:paraId="12629E2F" w14:textId="1F8229EB" w:rsidR="00CA18F7" w:rsidRPr="00124874" w:rsidRDefault="00CA18F7" w:rsidP="00CA18F7">
      <w:pPr>
        <w:pBdr>
          <w:top w:val="single" w:sz="4" w:space="1" w:color="auto"/>
          <w:left w:val="single" w:sz="4" w:space="4" w:color="auto"/>
          <w:bottom w:val="single" w:sz="4" w:space="1" w:color="auto"/>
          <w:right w:val="single" w:sz="4" w:space="0" w:color="auto"/>
        </w:pBdr>
        <w:ind w:left="720" w:hanging="720"/>
        <w:rPr>
          <w:b/>
          <w:bCs/>
        </w:rPr>
      </w:pPr>
      <w:r w:rsidRPr="00124874">
        <w:rPr>
          <w:b/>
          <w:bCs/>
        </w:rPr>
        <w:t>4.5</w:t>
      </w:r>
      <w:r w:rsidRPr="00124874">
        <w:rPr>
          <w:b/>
          <w:bCs/>
        </w:rPr>
        <w:tab/>
        <w:t>recommends that, to ensure compliance with Windsor Framework Articles 2 and 13, any updates to NI Race Relations legislation must reflect any changes to the EU Racial Equality Directive which enhance rights, including those already introduced by the Standards for Equality Bodies Directive, and relevant CJEU jurisprudence.</w:t>
      </w:r>
    </w:p>
    <w:p w14:paraId="6C5B3721" w14:textId="77777777" w:rsidR="00CA18F7" w:rsidRPr="00124874" w:rsidRDefault="00CA18F7" w:rsidP="00CA18F7">
      <w:pPr>
        <w:pBdr>
          <w:top w:val="single" w:sz="4" w:space="1" w:color="auto"/>
          <w:left w:val="single" w:sz="4" w:space="4" w:color="auto"/>
          <w:bottom w:val="single" w:sz="4" w:space="1" w:color="auto"/>
          <w:right w:val="single" w:sz="4" w:space="0" w:color="auto"/>
        </w:pBdr>
        <w:rPr>
          <w:b/>
          <w:bCs/>
        </w:rPr>
      </w:pPr>
    </w:p>
    <w:p w14:paraId="025EE6D3" w14:textId="6442CBF5" w:rsidR="00CA18F7" w:rsidRPr="00124874" w:rsidRDefault="00CA18F7" w:rsidP="00CA18F7">
      <w:pPr>
        <w:pBdr>
          <w:top w:val="single" w:sz="4" w:space="1" w:color="auto"/>
          <w:left w:val="single" w:sz="4" w:space="4" w:color="auto"/>
          <w:bottom w:val="single" w:sz="4" w:space="1" w:color="auto"/>
          <w:right w:val="single" w:sz="4" w:space="0" w:color="auto"/>
        </w:pBdr>
        <w:ind w:left="720" w:hanging="720"/>
        <w:rPr>
          <w:b/>
          <w:bCs/>
        </w:rPr>
      </w:pPr>
      <w:r w:rsidRPr="00124874">
        <w:rPr>
          <w:b/>
          <w:bCs/>
        </w:rPr>
        <w:t>4.6</w:t>
      </w:r>
      <w:r w:rsidRPr="00124874">
        <w:rPr>
          <w:b/>
          <w:bCs/>
        </w:rPr>
        <w:tab/>
        <w:t>welcomes the Executive Office’s proposals to enact updated Race Relations legislation and recommends this is supported by effective education and awareness raising programmes on anti</w:t>
      </w:r>
      <w:r w:rsidR="00D126A4">
        <w:rPr>
          <w:b/>
          <w:bCs/>
        </w:rPr>
        <w:t>-</w:t>
      </w:r>
      <w:r w:rsidRPr="00124874">
        <w:rPr>
          <w:b/>
          <w:bCs/>
        </w:rPr>
        <w:t>racism, equality and anti</w:t>
      </w:r>
      <w:r w:rsidR="00D126A4">
        <w:rPr>
          <w:b/>
          <w:bCs/>
        </w:rPr>
        <w:t>-</w:t>
      </w:r>
      <w:r w:rsidRPr="00124874">
        <w:rPr>
          <w:b/>
          <w:bCs/>
        </w:rPr>
        <w:t>discrimination aimed at public officials, civil society, the media, and the wider public.</w:t>
      </w:r>
    </w:p>
    <w:p w14:paraId="0DC9ED9E" w14:textId="77777777" w:rsidR="00CA18F7" w:rsidRPr="00124874" w:rsidRDefault="00CA18F7" w:rsidP="00CA18F7">
      <w:pPr>
        <w:pBdr>
          <w:top w:val="single" w:sz="4" w:space="1" w:color="auto"/>
          <w:left w:val="single" w:sz="4" w:space="4" w:color="auto"/>
          <w:bottom w:val="single" w:sz="4" w:space="1" w:color="auto"/>
          <w:right w:val="single" w:sz="4" w:space="0" w:color="auto"/>
        </w:pBdr>
        <w:rPr>
          <w:b/>
          <w:bCs/>
        </w:rPr>
      </w:pPr>
    </w:p>
    <w:p w14:paraId="16AD8C63" w14:textId="0899DD89" w:rsidR="00CA18F7" w:rsidRDefault="00CA18F7" w:rsidP="00CA18F7">
      <w:pPr>
        <w:pBdr>
          <w:top w:val="single" w:sz="4" w:space="1" w:color="auto"/>
          <w:left w:val="single" w:sz="4" w:space="4" w:color="auto"/>
          <w:bottom w:val="single" w:sz="4" w:space="1" w:color="auto"/>
          <w:right w:val="single" w:sz="4" w:space="0" w:color="auto"/>
        </w:pBdr>
        <w:ind w:left="720" w:hanging="720"/>
        <w:rPr>
          <w:b/>
          <w:bCs/>
        </w:rPr>
      </w:pPr>
      <w:r w:rsidRPr="00124874">
        <w:rPr>
          <w:b/>
          <w:bCs/>
        </w:rPr>
        <w:t>4.7</w:t>
      </w:r>
      <w:r w:rsidRPr="00124874">
        <w:rPr>
          <w:b/>
          <w:bCs/>
        </w:rPr>
        <w:tab/>
        <w:t>recommends that the Executive Office implements systematic monitoring and impact assessment measures of new legislation, to ensure that it does not contribute to the perpetuation of racial discrimination.</w:t>
      </w:r>
    </w:p>
    <w:p w14:paraId="1AEF6F1C" w14:textId="77777777" w:rsidR="00CA18F7" w:rsidRDefault="00CA18F7" w:rsidP="00CA18F7">
      <w:pPr>
        <w:pBdr>
          <w:top w:val="single" w:sz="4" w:space="1" w:color="auto"/>
          <w:left w:val="single" w:sz="4" w:space="4" w:color="auto"/>
          <w:bottom w:val="single" w:sz="4" w:space="1" w:color="auto"/>
          <w:right w:val="single" w:sz="4" w:space="0" w:color="auto"/>
        </w:pBdr>
        <w:rPr>
          <w:b/>
          <w:bCs/>
        </w:rPr>
      </w:pPr>
    </w:p>
    <w:p w14:paraId="6E864109" w14:textId="11D49615" w:rsidR="00CA18F7" w:rsidRDefault="00CA18F7" w:rsidP="00CA18F7">
      <w:pPr>
        <w:pBdr>
          <w:top w:val="single" w:sz="4" w:space="1" w:color="auto"/>
          <w:left w:val="single" w:sz="4" w:space="4" w:color="auto"/>
          <w:bottom w:val="single" w:sz="4" w:space="1" w:color="auto"/>
          <w:right w:val="single" w:sz="4" w:space="0" w:color="auto"/>
        </w:pBdr>
        <w:ind w:left="720" w:hanging="720"/>
        <w:rPr>
          <w:b/>
          <w:bCs/>
        </w:rPr>
      </w:pPr>
      <w:r w:rsidRPr="00BC1495">
        <w:rPr>
          <w:b/>
          <w:bCs/>
        </w:rPr>
        <w:t>4.12</w:t>
      </w:r>
      <w:r w:rsidRPr="00BC1495">
        <w:rPr>
          <w:b/>
          <w:bCs/>
        </w:rPr>
        <w:tab/>
        <w:t>recommends that the Executive Office strengthens the key interventions under Outcome 1 by setting out concrete and measurable actions or activities, including clear targets, intended beneficiaries, performance indicators, assigned responsibilities, and defined timeframes for delivery, to enable effective assessment of progress.</w:t>
      </w:r>
    </w:p>
    <w:p w14:paraId="2F79FB7E" w14:textId="77777777" w:rsidR="00CA18F7" w:rsidRDefault="00CA18F7" w:rsidP="00CA18F7">
      <w:pPr>
        <w:pBdr>
          <w:top w:val="single" w:sz="4" w:space="1" w:color="auto"/>
          <w:left w:val="single" w:sz="4" w:space="4" w:color="auto"/>
          <w:bottom w:val="single" w:sz="4" w:space="1" w:color="auto"/>
          <w:right w:val="single" w:sz="4" w:space="0" w:color="auto"/>
        </w:pBdr>
        <w:rPr>
          <w:b/>
          <w:bCs/>
        </w:rPr>
      </w:pPr>
    </w:p>
    <w:p w14:paraId="75B1E91C" w14:textId="238E57C8" w:rsidR="00CA18F7" w:rsidRDefault="00CA18F7" w:rsidP="00CA18F7">
      <w:pPr>
        <w:pBdr>
          <w:top w:val="single" w:sz="4" w:space="1" w:color="auto"/>
          <w:left w:val="single" w:sz="4" w:space="4" w:color="auto"/>
          <w:bottom w:val="single" w:sz="4" w:space="1" w:color="auto"/>
          <w:right w:val="single" w:sz="4" w:space="0" w:color="auto"/>
        </w:pBdr>
        <w:ind w:left="720" w:hanging="720"/>
        <w:rPr>
          <w:b/>
          <w:bCs/>
        </w:rPr>
      </w:pPr>
      <w:r w:rsidRPr="003E4EF5">
        <w:rPr>
          <w:b/>
          <w:bCs/>
        </w:rPr>
        <w:t>4.15</w:t>
      </w:r>
      <w:r w:rsidRPr="003E4EF5">
        <w:rPr>
          <w:b/>
          <w:bCs/>
        </w:rPr>
        <w:tab/>
        <w:t xml:space="preserve">recommends that the Executive Office sets out the budget required for the implementation of the Framework’s Delivery Plan and takes </w:t>
      </w:r>
      <w:r w:rsidRPr="003E4EF5">
        <w:rPr>
          <w:b/>
          <w:bCs/>
        </w:rPr>
        <w:lastRenderedPageBreak/>
        <w:t>the steps necessary to ensure that the Minority Ethnic Development Fund is released in a timely manner to avoid delays that could undermine delivery.</w:t>
      </w:r>
    </w:p>
    <w:p w14:paraId="4548DD4B" w14:textId="77777777" w:rsidR="00CA18F7" w:rsidRDefault="00CA18F7" w:rsidP="00CA18F7">
      <w:pPr>
        <w:pBdr>
          <w:top w:val="single" w:sz="4" w:space="1" w:color="auto"/>
          <w:left w:val="single" w:sz="4" w:space="4" w:color="auto"/>
          <w:bottom w:val="single" w:sz="4" w:space="1" w:color="auto"/>
          <w:right w:val="single" w:sz="4" w:space="0" w:color="auto"/>
        </w:pBdr>
        <w:rPr>
          <w:b/>
          <w:bCs/>
        </w:rPr>
      </w:pPr>
    </w:p>
    <w:p w14:paraId="175E657C" w14:textId="40847492" w:rsidR="00CA18F7" w:rsidRPr="00797949" w:rsidRDefault="00CA18F7" w:rsidP="00CA18F7">
      <w:pPr>
        <w:pBdr>
          <w:top w:val="single" w:sz="4" w:space="1" w:color="auto"/>
          <w:left w:val="single" w:sz="4" w:space="4" w:color="auto"/>
          <w:bottom w:val="single" w:sz="4" w:space="1" w:color="auto"/>
          <w:right w:val="single" w:sz="4" w:space="0" w:color="auto"/>
        </w:pBdr>
        <w:ind w:left="720" w:hanging="720"/>
        <w:rPr>
          <w:b/>
          <w:bCs/>
        </w:rPr>
      </w:pPr>
      <w:r w:rsidRPr="00797949">
        <w:rPr>
          <w:b/>
          <w:bCs/>
        </w:rPr>
        <w:t>4.20</w:t>
      </w:r>
      <w:r w:rsidRPr="00797949">
        <w:rPr>
          <w:b/>
          <w:bCs/>
        </w:rPr>
        <w:tab/>
        <w:t xml:space="preserve">recommends that the Executive Office explicitly include disinformation as a key issue to </w:t>
      </w:r>
      <w:r w:rsidR="008D07F2">
        <w:rPr>
          <w:b/>
          <w:bCs/>
        </w:rPr>
        <w:t xml:space="preserve">be </w:t>
      </w:r>
      <w:r w:rsidRPr="00797949">
        <w:rPr>
          <w:b/>
          <w:bCs/>
        </w:rPr>
        <w:t>addressed under Outcome 1 and consider measures such as the provision of language classes and interpretation services to empower and assist racial and minority ethnic communities to report and challenge misinformation and disinformation.</w:t>
      </w:r>
    </w:p>
    <w:p w14:paraId="1B67F45B" w14:textId="77777777" w:rsidR="00CA18F7" w:rsidRPr="00797949" w:rsidRDefault="00CA18F7" w:rsidP="00CA18F7">
      <w:pPr>
        <w:pBdr>
          <w:top w:val="single" w:sz="4" w:space="1" w:color="auto"/>
          <w:left w:val="single" w:sz="4" w:space="4" w:color="auto"/>
          <w:bottom w:val="single" w:sz="4" w:space="1" w:color="auto"/>
          <w:right w:val="single" w:sz="4" w:space="0" w:color="auto"/>
        </w:pBdr>
        <w:rPr>
          <w:b/>
          <w:bCs/>
        </w:rPr>
      </w:pPr>
    </w:p>
    <w:p w14:paraId="7E160446" w14:textId="68F1D8F3" w:rsidR="00CA18F7" w:rsidRPr="00797949" w:rsidRDefault="00CA18F7" w:rsidP="00CA18F7">
      <w:pPr>
        <w:pBdr>
          <w:top w:val="single" w:sz="4" w:space="1" w:color="auto"/>
          <w:left w:val="single" w:sz="4" w:space="4" w:color="auto"/>
          <w:bottom w:val="single" w:sz="4" w:space="1" w:color="auto"/>
          <w:right w:val="single" w:sz="4" w:space="0" w:color="auto"/>
        </w:pBdr>
        <w:ind w:left="720" w:hanging="720"/>
        <w:rPr>
          <w:b/>
          <w:bCs/>
        </w:rPr>
      </w:pPr>
      <w:r w:rsidRPr="00797949">
        <w:rPr>
          <w:b/>
          <w:bCs/>
        </w:rPr>
        <w:t>4.21</w:t>
      </w:r>
      <w:r w:rsidRPr="00797949">
        <w:rPr>
          <w:b/>
          <w:bCs/>
        </w:rPr>
        <w:tab/>
        <w:t>recommends that the Executive Office considers the inclusion of initiatives aimed at promoting media literacy and encourage fact-checking of online sources, to build greater resilience to misinformation and disinformation.</w:t>
      </w:r>
    </w:p>
    <w:p w14:paraId="2DAEDAA1" w14:textId="77777777" w:rsidR="00CA18F7" w:rsidRPr="00797949" w:rsidRDefault="00CA18F7" w:rsidP="00CA18F7">
      <w:pPr>
        <w:pBdr>
          <w:top w:val="single" w:sz="4" w:space="1" w:color="auto"/>
          <w:left w:val="single" w:sz="4" w:space="4" w:color="auto"/>
          <w:bottom w:val="single" w:sz="4" w:space="1" w:color="auto"/>
          <w:right w:val="single" w:sz="4" w:space="0" w:color="auto"/>
        </w:pBdr>
        <w:rPr>
          <w:b/>
          <w:bCs/>
        </w:rPr>
      </w:pPr>
    </w:p>
    <w:p w14:paraId="21CCAE61" w14:textId="670E5611" w:rsidR="00327B2A" w:rsidRDefault="00CA18F7" w:rsidP="00327B2A">
      <w:pPr>
        <w:pBdr>
          <w:top w:val="single" w:sz="4" w:space="1" w:color="auto"/>
          <w:left w:val="single" w:sz="4" w:space="4" w:color="auto"/>
          <w:bottom w:val="single" w:sz="4" w:space="1" w:color="auto"/>
          <w:right w:val="single" w:sz="4" w:space="0" w:color="auto"/>
        </w:pBdr>
        <w:ind w:left="720" w:hanging="720"/>
        <w:rPr>
          <w:b/>
          <w:bCs/>
        </w:rPr>
      </w:pPr>
      <w:r w:rsidRPr="00797949">
        <w:rPr>
          <w:b/>
          <w:bCs/>
        </w:rPr>
        <w:t>4.22</w:t>
      </w:r>
      <w:r w:rsidRPr="00797949">
        <w:rPr>
          <w:b/>
          <w:bCs/>
        </w:rPr>
        <w:tab/>
        <w:t>recommends that the Executive Office considers translating the Framework into the indigenous, regional and minority languages spoken in NI, to enhance accessibility and engagement.</w:t>
      </w:r>
    </w:p>
    <w:p w14:paraId="4CB1D7E1" w14:textId="77777777" w:rsidR="00C55AFF" w:rsidRDefault="00C55AFF" w:rsidP="00327B2A">
      <w:pPr>
        <w:pBdr>
          <w:top w:val="single" w:sz="4" w:space="1" w:color="auto"/>
          <w:left w:val="single" w:sz="4" w:space="4" w:color="auto"/>
          <w:bottom w:val="single" w:sz="4" w:space="1" w:color="auto"/>
          <w:right w:val="single" w:sz="4" w:space="0" w:color="auto"/>
        </w:pBdr>
        <w:ind w:left="720" w:hanging="720"/>
        <w:rPr>
          <w:b/>
          <w:bCs/>
        </w:rPr>
      </w:pPr>
    </w:p>
    <w:p w14:paraId="51D950F6" w14:textId="0C8EEDEA" w:rsidR="00C55AFF" w:rsidRDefault="00C55AFF" w:rsidP="00327B2A">
      <w:pPr>
        <w:pBdr>
          <w:top w:val="single" w:sz="4" w:space="1" w:color="auto"/>
          <w:left w:val="single" w:sz="4" w:space="4" w:color="auto"/>
          <w:bottom w:val="single" w:sz="4" w:space="1" w:color="auto"/>
          <w:right w:val="single" w:sz="4" w:space="0" w:color="auto"/>
        </w:pBdr>
        <w:ind w:left="720" w:hanging="720"/>
        <w:rPr>
          <w:b/>
          <w:bCs/>
        </w:rPr>
      </w:pPr>
      <w:r w:rsidRPr="00C55AFF">
        <w:rPr>
          <w:b/>
          <w:bCs/>
        </w:rPr>
        <w:t>4.25</w:t>
      </w:r>
      <w:r w:rsidRPr="00C55AFF">
        <w:rPr>
          <w:b/>
          <w:bCs/>
        </w:rPr>
        <w:tab/>
        <w:t>recommends that the Executive Office revisits the Racial Equality Subgroup’s terms of reference to ensure that it will implement all key actions and that it considers increasing funding and support to build capacity in the Subgroup.</w:t>
      </w:r>
    </w:p>
    <w:p w14:paraId="1001E2A4" w14:textId="77777777" w:rsidR="00CA18F7" w:rsidRDefault="00CA18F7" w:rsidP="00CA18F7">
      <w:pPr>
        <w:pBdr>
          <w:top w:val="single" w:sz="4" w:space="1" w:color="auto"/>
          <w:left w:val="single" w:sz="4" w:space="4" w:color="auto"/>
          <w:bottom w:val="single" w:sz="4" w:space="1" w:color="auto"/>
          <w:right w:val="single" w:sz="4" w:space="0" w:color="auto"/>
        </w:pBdr>
        <w:rPr>
          <w:b/>
          <w:bCs/>
        </w:rPr>
      </w:pPr>
    </w:p>
    <w:p w14:paraId="33605584" w14:textId="6B0CC728" w:rsidR="00CA18F7" w:rsidRDefault="00CA18F7" w:rsidP="00CA18F7">
      <w:pPr>
        <w:pBdr>
          <w:top w:val="single" w:sz="4" w:space="1" w:color="auto"/>
          <w:left w:val="single" w:sz="4" w:space="4" w:color="auto"/>
          <w:bottom w:val="single" w:sz="4" w:space="1" w:color="auto"/>
          <w:right w:val="single" w:sz="4" w:space="0" w:color="auto"/>
        </w:pBdr>
        <w:ind w:left="720" w:hanging="720"/>
        <w:rPr>
          <w:b/>
          <w:bCs/>
        </w:rPr>
      </w:pPr>
      <w:r w:rsidRPr="005F09E4">
        <w:rPr>
          <w:b/>
          <w:bCs/>
        </w:rPr>
        <w:t>5.2</w:t>
      </w:r>
      <w:r w:rsidRPr="005F09E4">
        <w:rPr>
          <w:b/>
          <w:bCs/>
        </w:rPr>
        <w:tab/>
        <w:t>recommends that the Executive Office rephrases the accompanying explanation of Outcome 2 to clearly articulate its objectives and to define the key terms of focus. The NIHRC advises that for guidance the Executive considers the definitions within the UN CERD.</w:t>
      </w:r>
    </w:p>
    <w:p w14:paraId="11BD7BAD" w14:textId="77777777" w:rsidR="00CA18F7" w:rsidRDefault="00CA18F7" w:rsidP="00CA18F7">
      <w:pPr>
        <w:pBdr>
          <w:top w:val="single" w:sz="4" w:space="1" w:color="auto"/>
          <w:left w:val="single" w:sz="4" w:space="4" w:color="auto"/>
          <w:bottom w:val="single" w:sz="4" w:space="1" w:color="auto"/>
          <w:right w:val="single" w:sz="4" w:space="0" w:color="auto"/>
        </w:pBdr>
        <w:rPr>
          <w:b/>
          <w:bCs/>
        </w:rPr>
      </w:pPr>
    </w:p>
    <w:p w14:paraId="2D3E63B5" w14:textId="06BDC348" w:rsidR="00CA18F7" w:rsidRDefault="00CA18F7" w:rsidP="00CA18F7">
      <w:pPr>
        <w:pBdr>
          <w:top w:val="single" w:sz="4" w:space="1" w:color="auto"/>
          <w:left w:val="single" w:sz="4" w:space="4" w:color="auto"/>
          <w:bottom w:val="single" w:sz="4" w:space="1" w:color="auto"/>
          <w:right w:val="single" w:sz="4" w:space="0" w:color="auto"/>
        </w:pBdr>
        <w:ind w:left="720" w:hanging="720"/>
        <w:rPr>
          <w:b/>
          <w:bCs/>
        </w:rPr>
      </w:pPr>
      <w:r w:rsidRPr="00E36DF5">
        <w:rPr>
          <w:b/>
          <w:bCs/>
        </w:rPr>
        <w:t>5.5</w:t>
      </w:r>
      <w:r w:rsidRPr="00E36DF5">
        <w:rPr>
          <w:b/>
          <w:bCs/>
        </w:rPr>
        <w:tab/>
        <w:t>recommends that the Executive Office provides more detailed information on how a victim centred approach will be delivered, including the provision of victim support services and the establishment of clear and accessible pathways from reporting to remedy.</w:t>
      </w:r>
      <w:r w:rsidR="00C8004C">
        <w:rPr>
          <w:b/>
          <w:bCs/>
        </w:rPr>
        <w:t xml:space="preserve"> </w:t>
      </w:r>
    </w:p>
    <w:p w14:paraId="4D83D1A6" w14:textId="77777777" w:rsidR="00476884" w:rsidRDefault="00476884" w:rsidP="00CA18F7">
      <w:pPr>
        <w:pBdr>
          <w:top w:val="single" w:sz="4" w:space="1" w:color="auto"/>
          <w:left w:val="single" w:sz="4" w:space="4" w:color="auto"/>
          <w:bottom w:val="single" w:sz="4" w:space="1" w:color="auto"/>
          <w:right w:val="single" w:sz="4" w:space="0" w:color="auto"/>
        </w:pBdr>
        <w:ind w:left="720" w:hanging="720"/>
        <w:rPr>
          <w:b/>
          <w:bCs/>
        </w:rPr>
      </w:pPr>
    </w:p>
    <w:p w14:paraId="271379EF" w14:textId="48F88AB5" w:rsidR="003C396B" w:rsidRDefault="00827427" w:rsidP="00D75735">
      <w:pPr>
        <w:pBdr>
          <w:top w:val="single" w:sz="4" w:space="1" w:color="auto"/>
          <w:left w:val="single" w:sz="4" w:space="4" w:color="auto"/>
          <w:bottom w:val="single" w:sz="4" w:space="1" w:color="auto"/>
          <w:right w:val="single" w:sz="4" w:space="0" w:color="auto"/>
        </w:pBdr>
        <w:rPr>
          <w:b/>
          <w:bCs/>
        </w:rPr>
      </w:pPr>
      <w:r w:rsidRPr="00CA53E4">
        <w:rPr>
          <w:b/>
          <w:bCs/>
        </w:rPr>
        <w:t>5.1</w:t>
      </w:r>
      <w:r>
        <w:rPr>
          <w:b/>
          <w:bCs/>
        </w:rPr>
        <w:t>5 recommends</w:t>
      </w:r>
      <w:r w:rsidR="003C396B" w:rsidRPr="003C396B">
        <w:rPr>
          <w:b/>
          <w:bCs/>
        </w:rPr>
        <w:t xml:space="preserve"> that the Executive</w:t>
      </w:r>
      <w:r w:rsidR="003C396B">
        <w:rPr>
          <w:b/>
          <w:bCs/>
        </w:rPr>
        <w:t xml:space="preserve"> </w:t>
      </w:r>
      <w:r w:rsidR="003C396B" w:rsidRPr="003C396B">
        <w:rPr>
          <w:b/>
          <w:bCs/>
        </w:rPr>
        <w:t xml:space="preserve">Office revises Outcome 2 to </w:t>
      </w:r>
    </w:p>
    <w:p w14:paraId="435A2849" w14:textId="77777777" w:rsidR="003C396B" w:rsidRDefault="003C396B" w:rsidP="00D75735">
      <w:pPr>
        <w:pBdr>
          <w:top w:val="single" w:sz="4" w:space="1" w:color="auto"/>
          <w:left w:val="single" w:sz="4" w:space="4" w:color="auto"/>
          <w:bottom w:val="single" w:sz="4" w:space="1" w:color="auto"/>
          <w:right w:val="single" w:sz="4" w:space="0" w:color="auto"/>
        </w:pBdr>
        <w:rPr>
          <w:b/>
          <w:bCs/>
        </w:rPr>
      </w:pPr>
      <w:r>
        <w:rPr>
          <w:b/>
          <w:bCs/>
        </w:rPr>
        <w:t xml:space="preserve">         </w:t>
      </w:r>
      <w:r w:rsidRPr="003C396B">
        <w:rPr>
          <w:b/>
          <w:bCs/>
        </w:rPr>
        <w:t xml:space="preserve">provide greater clarity on how victims of racist incidents, hate </w:t>
      </w:r>
    </w:p>
    <w:p w14:paraId="044861AE" w14:textId="77777777" w:rsidR="003C396B" w:rsidRDefault="003C396B" w:rsidP="00D75735">
      <w:pPr>
        <w:pBdr>
          <w:top w:val="single" w:sz="4" w:space="1" w:color="auto"/>
          <w:left w:val="single" w:sz="4" w:space="4" w:color="auto"/>
          <w:bottom w:val="single" w:sz="4" w:space="1" w:color="auto"/>
          <w:right w:val="single" w:sz="4" w:space="0" w:color="auto"/>
        </w:pBdr>
        <w:rPr>
          <w:b/>
          <w:bCs/>
        </w:rPr>
      </w:pPr>
      <w:r>
        <w:rPr>
          <w:b/>
          <w:bCs/>
        </w:rPr>
        <w:t xml:space="preserve">         </w:t>
      </w:r>
      <w:r w:rsidRPr="003C396B">
        <w:rPr>
          <w:b/>
          <w:bCs/>
        </w:rPr>
        <w:t>crime and paramilitary racist violence and intimidation will obtain</w:t>
      </w:r>
    </w:p>
    <w:p w14:paraId="7F27CF27" w14:textId="77777777" w:rsidR="003C396B" w:rsidRDefault="003C396B" w:rsidP="00D75735">
      <w:pPr>
        <w:pBdr>
          <w:top w:val="single" w:sz="4" w:space="1" w:color="auto"/>
          <w:left w:val="single" w:sz="4" w:space="4" w:color="auto"/>
          <w:bottom w:val="single" w:sz="4" w:space="1" w:color="auto"/>
          <w:right w:val="single" w:sz="4" w:space="0" w:color="auto"/>
        </w:pBdr>
        <w:rPr>
          <w:b/>
          <w:bCs/>
        </w:rPr>
      </w:pPr>
      <w:r>
        <w:rPr>
          <w:b/>
          <w:bCs/>
        </w:rPr>
        <w:t xml:space="preserve">         </w:t>
      </w:r>
      <w:r w:rsidRPr="003C396B">
        <w:rPr>
          <w:b/>
          <w:bCs/>
        </w:rPr>
        <w:t>redress and to set out the accountability and monitoring measure.</w:t>
      </w:r>
    </w:p>
    <w:p w14:paraId="3A05ED9C" w14:textId="581911BD" w:rsidR="00270950" w:rsidRDefault="003C396B" w:rsidP="00270950">
      <w:pPr>
        <w:pBdr>
          <w:top w:val="single" w:sz="4" w:space="1" w:color="auto"/>
          <w:left w:val="single" w:sz="4" w:space="4" w:color="auto"/>
          <w:bottom w:val="single" w:sz="4" w:space="1" w:color="auto"/>
          <w:right w:val="single" w:sz="4" w:space="0" w:color="auto"/>
        </w:pBdr>
        <w:rPr>
          <w:b/>
          <w:bCs/>
        </w:rPr>
      </w:pPr>
      <w:r>
        <w:rPr>
          <w:b/>
          <w:bCs/>
        </w:rPr>
        <w:lastRenderedPageBreak/>
        <w:t xml:space="preserve">       </w:t>
      </w:r>
      <w:r w:rsidR="008C0289">
        <w:rPr>
          <w:b/>
          <w:bCs/>
        </w:rPr>
        <w:t xml:space="preserve"> </w:t>
      </w:r>
      <w:r w:rsidRPr="003C396B">
        <w:rPr>
          <w:b/>
          <w:bCs/>
        </w:rPr>
        <w:t xml:space="preserve"> The NIHRC advises that this should include the following:</w:t>
      </w:r>
    </w:p>
    <w:p w14:paraId="26263E1B" w14:textId="77777777" w:rsidR="00E8597C" w:rsidRDefault="00E8597C" w:rsidP="00270950">
      <w:pPr>
        <w:pBdr>
          <w:top w:val="single" w:sz="4" w:space="1" w:color="auto"/>
          <w:left w:val="single" w:sz="4" w:space="4" w:color="auto"/>
          <w:bottom w:val="single" w:sz="4" w:space="1" w:color="auto"/>
          <w:right w:val="single" w:sz="4" w:space="0" w:color="auto"/>
        </w:pBdr>
        <w:rPr>
          <w:b/>
          <w:bCs/>
        </w:rPr>
      </w:pPr>
    </w:p>
    <w:p w14:paraId="22A13A2D" w14:textId="77777777" w:rsidR="008304E9" w:rsidRDefault="00D768B8" w:rsidP="00D768B8">
      <w:pPr>
        <w:pBdr>
          <w:top w:val="single" w:sz="4" w:space="1" w:color="auto"/>
          <w:left w:val="single" w:sz="4" w:space="4" w:color="auto"/>
          <w:bottom w:val="single" w:sz="4" w:space="1" w:color="auto"/>
          <w:right w:val="single" w:sz="4" w:space="0" w:color="auto"/>
        </w:pBdr>
        <w:rPr>
          <w:b/>
          <w:bCs/>
        </w:rPr>
      </w:pPr>
      <w:r w:rsidRPr="00D768B8">
        <w:rPr>
          <w:b/>
          <w:bCs/>
        </w:rPr>
        <w:tab/>
      </w:r>
      <w:r w:rsidR="008304E9">
        <w:rPr>
          <w:b/>
          <w:bCs/>
        </w:rPr>
        <w:t xml:space="preserve">     </w:t>
      </w:r>
      <w:r w:rsidR="007578FD" w:rsidRPr="00D768B8">
        <w:rPr>
          <w:b/>
          <w:bCs/>
        </w:rPr>
        <w:t>•</w:t>
      </w:r>
      <w:r w:rsidR="00A35130">
        <w:rPr>
          <w:b/>
          <w:bCs/>
        </w:rPr>
        <w:t xml:space="preserve">  </w:t>
      </w:r>
      <w:r w:rsidRPr="00D768B8">
        <w:rPr>
          <w:b/>
          <w:bCs/>
        </w:rPr>
        <w:t xml:space="preserve">Clear mechanisms to prevent and combat paramilitary racist </w:t>
      </w:r>
    </w:p>
    <w:p w14:paraId="16AD9B5F" w14:textId="77777777" w:rsidR="008304E9" w:rsidRDefault="008304E9" w:rsidP="00D768B8">
      <w:pPr>
        <w:pBdr>
          <w:top w:val="single" w:sz="4" w:space="1" w:color="auto"/>
          <w:left w:val="single" w:sz="4" w:space="4" w:color="auto"/>
          <w:bottom w:val="single" w:sz="4" w:space="1" w:color="auto"/>
          <w:right w:val="single" w:sz="4" w:space="0" w:color="auto"/>
        </w:pBdr>
        <w:rPr>
          <w:b/>
          <w:bCs/>
        </w:rPr>
      </w:pPr>
      <w:r>
        <w:rPr>
          <w:b/>
          <w:bCs/>
        </w:rPr>
        <w:t xml:space="preserve">                  </w:t>
      </w:r>
      <w:r w:rsidR="00D768B8" w:rsidRPr="00D768B8">
        <w:rPr>
          <w:b/>
          <w:bCs/>
        </w:rPr>
        <w:t>violence and intimidation against ethnic minorities an</w:t>
      </w:r>
      <w:r>
        <w:rPr>
          <w:b/>
          <w:bCs/>
        </w:rPr>
        <w:t xml:space="preserve">d </w:t>
      </w:r>
    </w:p>
    <w:p w14:paraId="5C0F0E4B" w14:textId="5A8869F5" w:rsidR="00D768B8" w:rsidRPr="00D768B8" w:rsidRDefault="008304E9" w:rsidP="00D768B8">
      <w:pPr>
        <w:pBdr>
          <w:top w:val="single" w:sz="4" w:space="1" w:color="auto"/>
          <w:left w:val="single" w:sz="4" w:space="4" w:color="auto"/>
          <w:bottom w:val="single" w:sz="4" w:space="1" w:color="auto"/>
          <w:right w:val="single" w:sz="4" w:space="0" w:color="auto"/>
        </w:pBdr>
        <w:rPr>
          <w:b/>
          <w:bCs/>
        </w:rPr>
      </w:pPr>
      <w:r>
        <w:rPr>
          <w:b/>
          <w:bCs/>
        </w:rPr>
        <w:t xml:space="preserve">                  </w:t>
      </w:r>
      <w:r w:rsidR="00D768B8" w:rsidRPr="00D768B8">
        <w:rPr>
          <w:b/>
          <w:bCs/>
        </w:rPr>
        <w:t>migrants</w:t>
      </w:r>
      <w:r w:rsidR="00A35130">
        <w:rPr>
          <w:b/>
          <w:bCs/>
        </w:rPr>
        <w:t>.</w:t>
      </w:r>
    </w:p>
    <w:p w14:paraId="4ADA1CCB" w14:textId="38C7D1F3" w:rsidR="007578FD" w:rsidRDefault="00D768B8" w:rsidP="00D768B8">
      <w:pPr>
        <w:pBdr>
          <w:top w:val="single" w:sz="4" w:space="1" w:color="auto"/>
          <w:left w:val="single" w:sz="4" w:space="4" w:color="auto"/>
          <w:bottom w:val="single" w:sz="4" w:space="1" w:color="auto"/>
          <w:right w:val="single" w:sz="4" w:space="0" w:color="auto"/>
        </w:pBdr>
        <w:rPr>
          <w:b/>
          <w:bCs/>
        </w:rPr>
      </w:pPr>
      <w:r w:rsidRPr="00D768B8">
        <w:rPr>
          <w:b/>
          <w:bCs/>
        </w:rPr>
        <w:tab/>
      </w:r>
      <w:r w:rsidR="008304E9">
        <w:rPr>
          <w:b/>
          <w:bCs/>
        </w:rPr>
        <w:t xml:space="preserve">     </w:t>
      </w:r>
      <w:r w:rsidR="00A67868" w:rsidRPr="00D768B8">
        <w:rPr>
          <w:b/>
          <w:bCs/>
        </w:rPr>
        <w:t>•</w:t>
      </w:r>
      <w:r w:rsidR="00A67868">
        <w:rPr>
          <w:b/>
          <w:bCs/>
        </w:rPr>
        <w:t xml:space="preserve">  </w:t>
      </w:r>
      <w:r w:rsidRPr="00D768B8">
        <w:rPr>
          <w:b/>
          <w:bCs/>
        </w:rPr>
        <w:t>Clear mechanisms for the systematic collection, analysis, and</w:t>
      </w:r>
    </w:p>
    <w:p w14:paraId="52B2DE7D" w14:textId="5469AAD8" w:rsidR="00A67868" w:rsidRDefault="00A67868" w:rsidP="00D768B8">
      <w:pPr>
        <w:pBdr>
          <w:top w:val="single" w:sz="4" w:space="1" w:color="auto"/>
          <w:left w:val="single" w:sz="4" w:space="4" w:color="auto"/>
          <w:bottom w:val="single" w:sz="4" w:space="1" w:color="auto"/>
          <w:right w:val="single" w:sz="4" w:space="0" w:color="auto"/>
        </w:pBdr>
        <w:rPr>
          <w:b/>
          <w:bCs/>
        </w:rPr>
      </w:pPr>
      <w:r>
        <w:rPr>
          <w:b/>
          <w:bCs/>
        </w:rPr>
        <w:t xml:space="preserve">             </w:t>
      </w:r>
      <w:r w:rsidR="008304E9">
        <w:rPr>
          <w:b/>
          <w:bCs/>
        </w:rPr>
        <w:t xml:space="preserve">    </w:t>
      </w:r>
      <w:r>
        <w:rPr>
          <w:b/>
          <w:bCs/>
        </w:rPr>
        <w:t xml:space="preserve"> </w:t>
      </w:r>
      <w:r w:rsidR="00D768B8" w:rsidRPr="00D768B8">
        <w:rPr>
          <w:b/>
          <w:bCs/>
        </w:rPr>
        <w:t xml:space="preserve">publication of accurate disaggregated data and statistics on </w:t>
      </w:r>
    </w:p>
    <w:p w14:paraId="1AD03AC2" w14:textId="089F2F38" w:rsidR="00A67868" w:rsidRDefault="00A67868" w:rsidP="00D768B8">
      <w:pPr>
        <w:pBdr>
          <w:top w:val="single" w:sz="4" w:space="1" w:color="auto"/>
          <w:left w:val="single" w:sz="4" w:space="4" w:color="auto"/>
          <w:bottom w:val="single" w:sz="4" w:space="1" w:color="auto"/>
          <w:right w:val="single" w:sz="4" w:space="0" w:color="auto"/>
        </w:pBdr>
        <w:rPr>
          <w:b/>
          <w:bCs/>
        </w:rPr>
      </w:pPr>
      <w:r>
        <w:rPr>
          <w:b/>
          <w:bCs/>
        </w:rPr>
        <w:t xml:space="preserve">             </w:t>
      </w:r>
      <w:r w:rsidR="008304E9">
        <w:rPr>
          <w:b/>
          <w:bCs/>
        </w:rPr>
        <w:t xml:space="preserve">    </w:t>
      </w:r>
      <w:r>
        <w:rPr>
          <w:b/>
          <w:bCs/>
        </w:rPr>
        <w:t xml:space="preserve"> </w:t>
      </w:r>
      <w:r w:rsidR="00D768B8" w:rsidRPr="00D768B8">
        <w:rPr>
          <w:b/>
          <w:bCs/>
        </w:rPr>
        <w:t>racist</w:t>
      </w:r>
      <w:r>
        <w:rPr>
          <w:b/>
          <w:bCs/>
        </w:rPr>
        <w:t xml:space="preserve"> </w:t>
      </w:r>
      <w:r w:rsidR="00D768B8" w:rsidRPr="00D768B8">
        <w:rPr>
          <w:b/>
          <w:bCs/>
        </w:rPr>
        <w:t xml:space="preserve">and xenophobic offences, including incidents involving </w:t>
      </w:r>
    </w:p>
    <w:p w14:paraId="38EB6C9F" w14:textId="4F121A0D" w:rsidR="008304E9" w:rsidRPr="00D768B8" w:rsidRDefault="00A67868" w:rsidP="00D768B8">
      <w:pPr>
        <w:pBdr>
          <w:top w:val="single" w:sz="4" w:space="1" w:color="auto"/>
          <w:left w:val="single" w:sz="4" w:space="4" w:color="auto"/>
          <w:bottom w:val="single" w:sz="4" w:space="1" w:color="auto"/>
          <w:right w:val="single" w:sz="4" w:space="0" w:color="auto"/>
        </w:pBdr>
        <w:rPr>
          <w:b/>
          <w:bCs/>
        </w:rPr>
      </w:pPr>
      <w:r>
        <w:rPr>
          <w:b/>
          <w:bCs/>
        </w:rPr>
        <w:t xml:space="preserve">             </w:t>
      </w:r>
      <w:r w:rsidR="008304E9">
        <w:rPr>
          <w:b/>
          <w:bCs/>
        </w:rPr>
        <w:t xml:space="preserve">     </w:t>
      </w:r>
      <w:r w:rsidR="00D768B8" w:rsidRPr="00D768B8">
        <w:rPr>
          <w:b/>
          <w:bCs/>
        </w:rPr>
        <w:t>paramilitary</w:t>
      </w:r>
      <w:r>
        <w:rPr>
          <w:b/>
          <w:bCs/>
        </w:rPr>
        <w:t xml:space="preserve"> </w:t>
      </w:r>
      <w:r w:rsidR="00D768B8" w:rsidRPr="00D768B8">
        <w:rPr>
          <w:b/>
          <w:bCs/>
        </w:rPr>
        <w:t>groups.</w:t>
      </w:r>
    </w:p>
    <w:p w14:paraId="18F24BDB" w14:textId="17A15972" w:rsidR="008304E9" w:rsidRDefault="007578FD" w:rsidP="008304E9">
      <w:pPr>
        <w:pBdr>
          <w:top w:val="single" w:sz="4" w:space="1" w:color="auto"/>
          <w:left w:val="single" w:sz="4" w:space="4" w:color="auto"/>
          <w:bottom w:val="single" w:sz="4" w:space="1" w:color="auto"/>
          <w:right w:val="single" w:sz="4" w:space="0" w:color="auto"/>
        </w:pBdr>
        <w:ind w:left="720" w:hanging="720"/>
        <w:rPr>
          <w:b/>
          <w:bCs/>
        </w:rPr>
      </w:pPr>
      <w:r>
        <w:rPr>
          <w:b/>
          <w:bCs/>
        </w:rPr>
        <w:tab/>
      </w:r>
      <w:r w:rsidR="008304E9">
        <w:rPr>
          <w:b/>
          <w:bCs/>
        </w:rPr>
        <w:t xml:space="preserve">     </w:t>
      </w:r>
      <w:r w:rsidRPr="00D768B8">
        <w:rPr>
          <w:b/>
          <w:bCs/>
        </w:rPr>
        <w:t>•</w:t>
      </w:r>
      <w:r>
        <w:rPr>
          <w:b/>
          <w:bCs/>
        </w:rPr>
        <w:t xml:space="preserve">  </w:t>
      </w:r>
      <w:r w:rsidR="00D768B8" w:rsidRPr="00D768B8">
        <w:rPr>
          <w:b/>
          <w:bCs/>
        </w:rPr>
        <w:t>Data on the number of incidents reported to the police, th</w:t>
      </w:r>
      <w:r>
        <w:rPr>
          <w:b/>
          <w:bCs/>
        </w:rPr>
        <w:t>e</w:t>
      </w:r>
    </w:p>
    <w:p w14:paraId="1A2D8DC5" w14:textId="4E400E99" w:rsidR="007578FD" w:rsidRDefault="007578FD" w:rsidP="008304E9">
      <w:pPr>
        <w:pBdr>
          <w:top w:val="single" w:sz="4" w:space="1" w:color="auto"/>
          <w:left w:val="single" w:sz="4" w:space="4" w:color="auto"/>
          <w:bottom w:val="single" w:sz="4" w:space="1" w:color="auto"/>
          <w:right w:val="single" w:sz="4" w:space="0" w:color="auto"/>
        </w:pBdr>
        <w:ind w:left="720" w:hanging="720"/>
        <w:rPr>
          <w:b/>
          <w:bCs/>
        </w:rPr>
      </w:pPr>
      <w:r>
        <w:rPr>
          <w:b/>
          <w:bCs/>
        </w:rPr>
        <w:t xml:space="preserve">            </w:t>
      </w:r>
      <w:r w:rsidR="008304E9">
        <w:rPr>
          <w:b/>
          <w:bCs/>
        </w:rPr>
        <w:t xml:space="preserve">     </w:t>
      </w:r>
      <w:r>
        <w:rPr>
          <w:b/>
          <w:bCs/>
        </w:rPr>
        <w:t xml:space="preserve"> </w:t>
      </w:r>
      <w:r w:rsidR="00D768B8" w:rsidRPr="00D768B8">
        <w:rPr>
          <w:b/>
          <w:bCs/>
        </w:rPr>
        <w:t>numbe</w:t>
      </w:r>
      <w:r>
        <w:rPr>
          <w:b/>
          <w:bCs/>
        </w:rPr>
        <w:t xml:space="preserve">r </w:t>
      </w:r>
      <w:r w:rsidR="00D768B8" w:rsidRPr="00D768B8">
        <w:rPr>
          <w:b/>
          <w:bCs/>
        </w:rPr>
        <w:t xml:space="preserve">of cases investigated and prosecuted, the reasons for </w:t>
      </w:r>
    </w:p>
    <w:p w14:paraId="1779A153" w14:textId="72CAED67" w:rsidR="008304E9" w:rsidRDefault="007578FD" w:rsidP="008304E9">
      <w:pPr>
        <w:pBdr>
          <w:top w:val="single" w:sz="4" w:space="1" w:color="auto"/>
          <w:left w:val="single" w:sz="4" w:space="4" w:color="auto"/>
          <w:bottom w:val="single" w:sz="4" w:space="1" w:color="auto"/>
          <w:right w:val="single" w:sz="4" w:space="0" w:color="auto"/>
        </w:pBdr>
        <w:ind w:left="720" w:hanging="720"/>
        <w:rPr>
          <w:b/>
          <w:bCs/>
        </w:rPr>
      </w:pPr>
      <w:r>
        <w:rPr>
          <w:b/>
          <w:bCs/>
        </w:rPr>
        <w:t xml:space="preserve">             </w:t>
      </w:r>
      <w:r w:rsidR="008304E9">
        <w:rPr>
          <w:b/>
          <w:bCs/>
        </w:rPr>
        <w:t xml:space="preserve">     </w:t>
      </w:r>
      <w:r w:rsidR="00D768B8" w:rsidRPr="00D768B8">
        <w:rPr>
          <w:b/>
          <w:bCs/>
        </w:rPr>
        <w:t>decisions not</w:t>
      </w:r>
      <w:r>
        <w:rPr>
          <w:b/>
          <w:bCs/>
        </w:rPr>
        <w:t xml:space="preserve"> </w:t>
      </w:r>
      <w:r w:rsidR="00D768B8" w:rsidRPr="00D768B8">
        <w:rPr>
          <w:b/>
          <w:bCs/>
        </w:rPr>
        <w:t>to prosecute, and the outcomes of prosecute</w:t>
      </w:r>
      <w:r w:rsidR="008304E9">
        <w:rPr>
          <w:b/>
          <w:bCs/>
        </w:rPr>
        <w:t>d</w:t>
      </w:r>
      <w:r w:rsidR="000D16CB">
        <w:rPr>
          <w:b/>
          <w:bCs/>
        </w:rPr>
        <w:t xml:space="preserve">  </w:t>
      </w:r>
    </w:p>
    <w:p w14:paraId="5602670B" w14:textId="462CBAAB" w:rsidR="00AC4700" w:rsidRDefault="007578FD" w:rsidP="007578FD">
      <w:pPr>
        <w:pBdr>
          <w:top w:val="single" w:sz="4" w:space="1" w:color="auto"/>
          <w:left w:val="single" w:sz="4" w:space="4" w:color="auto"/>
          <w:bottom w:val="single" w:sz="4" w:space="1" w:color="auto"/>
          <w:right w:val="single" w:sz="4" w:space="0" w:color="auto"/>
        </w:pBdr>
        <w:ind w:left="720" w:hanging="720"/>
        <w:rPr>
          <w:b/>
          <w:bCs/>
        </w:rPr>
      </w:pPr>
      <w:r>
        <w:rPr>
          <w:b/>
          <w:bCs/>
        </w:rPr>
        <w:t xml:space="preserve">           </w:t>
      </w:r>
      <w:r w:rsidR="008304E9">
        <w:rPr>
          <w:b/>
          <w:bCs/>
        </w:rPr>
        <w:t xml:space="preserve">     </w:t>
      </w:r>
      <w:r w:rsidR="000D16CB">
        <w:rPr>
          <w:b/>
          <w:bCs/>
        </w:rPr>
        <w:t xml:space="preserve">  </w:t>
      </w:r>
      <w:r w:rsidR="00D768B8" w:rsidRPr="00D768B8">
        <w:rPr>
          <w:b/>
          <w:bCs/>
        </w:rPr>
        <w:t>cases.</w:t>
      </w:r>
      <w:r w:rsidR="00D768B8" w:rsidRPr="00D768B8">
        <w:rPr>
          <w:b/>
          <w:bCs/>
        </w:rPr>
        <w:tab/>
      </w:r>
    </w:p>
    <w:p w14:paraId="6C5D6F65" w14:textId="20AE81B2" w:rsidR="00CA18F7" w:rsidRPr="00CA53E4" w:rsidRDefault="00AC4700" w:rsidP="00CA18F7">
      <w:pPr>
        <w:pBdr>
          <w:top w:val="single" w:sz="4" w:space="1" w:color="auto"/>
          <w:left w:val="single" w:sz="4" w:space="4" w:color="auto"/>
          <w:bottom w:val="single" w:sz="4" w:space="1" w:color="auto"/>
          <w:right w:val="single" w:sz="4" w:space="0" w:color="auto"/>
        </w:pBdr>
        <w:rPr>
          <w:b/>
          <w:bCs/>
        </w:rPr>
      </w:pPr>
      <w:r>
        <w:rPr>
          <w:b/>
          <w:bCs/>
        </w:rPr>
        <w:t xml:space="preserve">           </w:t>
      </w:r>
    </w:p>
    <w:p w14:paraId="45AC10BD" w14:textId="1D619130" w:rsidR="00316D38" w:rsidRDefault="00316D38" w:rsidP="007578FD">
      <w:pPr>
        <w:pBdr>
          <w:top w:val="single" w:sz="4" w:space="1" w:color="auto"/>
          <w:left w:val="single" w:sz="4" w:space="4" w:color="auto"/>
          <w:bottom w:val="single" w:sz="4" w:space="1" w:color="auto"/>
          <w:right w:val="single" w:sz="4" w:space="0" w:color="auto"/>
        </w:pBdr>
        <w:ind w:left="720" w:hanging="720"/>
        <w:rPr>
          <w:b/>
          <w:bCs/>
        </w:rPr>
      </w:pPr>
      <w:r w:rsidRPr="00316D38">
        <w:rPr>
          <w:b/>
          <w:bCs/>
        </w:rPr>
        <w:t>5.16</w:t>
      </w:r>
      <w:r w:rsidRPr="00316D38">
        <w:rPr>
          <w:b/>
          <w:bCs/>
        </w:rPr>
        <w:tab/>
        <w:t>recommends that the Executive Office includes under Outcome 2 clear performance indicators, such as the percentage increase in reporting rates of race hate crime and racist incidents, the proportion of reported incidents of race hate crime and racist incidents leading to charges, and levels of victim satisfaction with police responses.</w:t>
      </w:r>
    </w:p>
    <w:p w14:paraId="32789B2D" w14:textId="77777777" w:rsidR="007578FD" w:rsidRDefault="007578FD" w:rsidP="007578FD">
      <w:pPr>
        <w:pBdr>
          <w:top w:val="single" w:sz="4" w:space="1" w:color="auto"/>
          <w:left w:val="single" w:sz="4" w:space="4" w:color="auto"/>
          <w:bottom w:val="single" w:sz="4" w:space="1" w:color="auto"/>
          <w:right w:val="single" w:sz="4" w:space="0" w:color="auto"/>
        </w:pBdr>
        <w:rPr>
          <w:b/>
          <w:bCs/>
        </w:rPr>
      </w:pPr>
    </w:p>
    <w:p w14:paraId="5787615D" w14:textId="64D4461D" w:rsidR="00CA18F7" w:rsidRPr="00CA53E4" w:rsidRDefault="00316D38" w:rsidP="00FF5034">
      <w:pPr>
        <w:pBdr>
          <w:top w:val="single" w:sz="4" w:space="1" w:color="auto"/>
          <w:left w:val="single" w:sz="4" w:space="4" w:color="auto"/>
          <w:bottom w:val="single" w:sz="4" w:space="1" w:color="auto"/>
          <w:right w:val="single" w:sz="4" w:space="0" w:color="auto"/>
        </w:pBdr>
        <w:ind w:left="720" w:hanging="720"/>
        <w:rPr>
          <w:b/>
          <w:bCs/>
        </w:rPr>
      </w:pPr>
      <w:r>
        <w:rPr>
          <w:b/>
          <w:bCs/>
        </w:rPr>
        <w:t xml:space="preserve">5.17 </w:t>
      </w:r>
      <w:r w:rsidR="00CA18F7" w:rsidRPr="00CA53E4">
        <w:rPr>
          <w:b/>
          <w:bCs/>
        </w:rPr>
        <w:t>recommends that the Executive Office revises Outcome 2 to include concrete measures to analyse the nature and extent of racial discrimination within the criminal justice system, establish effective anti</w:t>
      </w:r>
      <w:r w:rsidR="00F339A8">
        <w:rPr>
          <w:b/>
          <w:bCs/>
        </w:rPr>
        <w:t>-</w:t>
      </w:r>
      <w:r w:rsidR="00CA18F7" w:rsidRPr="00CA53E4">
        <w:rPr>
          <w:b/>
          <w:bCs/>
        </w:rPr>
        <w:t>discrimination monitoring services within the administration of justice.</w:t>
      </w:r>
    </w:p>
    <w:p w14:paraId="7FAF075F" w14:textId="77777777" w:rsidR="00CA18F7" w:rsidRPr="00CA53E4" w:rsidRDefault="00CA18F7" w:rsidP="00CA18F7">
      <w:pPr>
        <w:pBdr>
          <w:top w:val="single" w:sz="4" w:space="1" w:color="auto"/>
          <w:left w:val="single" w:sz="4" w:space="4" w:color="auto"/>
          <w:bottom w:val="single" w:sz="4" w:space="1" w:color="auto"/>
          <w:right w:val="single" w:sz="4" w:space="0" w:color="auto"/>
        </w:pBdr>
        <w:rPr>
          <w:b/>
          <w:bCs/>
        </w:rPr>
      </w:pPr>
    </w:p>
    <w:p w14:paraId="78BAB880" w14:textId="6F743B07" w:rsidR="00CA18F7" w:rsidRDefault="00CA18F7" w:rsidP="00CA18F7">
      <w:pPr>
        <w:pBdr>
          <w:top w:val="single" w:sz="4" w:space="1" w:color="auto"/>
          <w:left w:val="single" w:sz="4" w:space="4" w:color="auto"/>
          <w:bottom w:val="single" w:sz="4" w:space="1" w:color="auto"/>
          <w:right w:val="single" w:sz="4" w:space="0" w:color="auto"/>
        </w:pBdr>
        <w:ind w:left="720" w:hanging="720"/>
        <w:rPr>
          <w:b/>
          <w:bCs/>
        </w:rPr>
      </w:pPr>
      <w:r w:rsidRPr="00CA53E4">
        <w:rPr>
          <w:b/>
          <w:bCs/>
        </w:rPr>
        <w:t>5.1</w:t>
      </w:r>
      <w:r w:rsidR="004156A0">
        <w:rPr>
          <w:b/>
          <w:bCs/>
        </w:rPr>
        <w:t>8</w:t>
      </w:r>
      <w:r w:rsidRPr="00CA53E4">
        <w:rPr>
          <w:b/>
          <w:bCs/>
        </w:rPr>
        <w:tab/>
        <w:t>recommends that the Executive Office strengthens the Framework by including training programmes aimed at eliminating racial or xenophobic prejudice among judges, other judicial personnel and jury members, as well as specialised training on victims’ needs for officials likely to come into contact with victims.</w:t>
      </w:r>
    </w:p>
    <w:p w14:paraId="2E450368" w14:textId="77777777" w:rsidR="00CA18F7" w:rsidRDefault="00CA18F7" w:rsidP="00CA18F7">
      <w:pPr>
        <w:pBdr>
          <w:top w:val="single" w:sz="4" w:space="1" w:color="auto"/>
          <w:left w:val="single" w:sz="4" w:space="4" w:color="auto"/>
          <w:bottom w:val="single" w:sz="4" w:space="1" w:color="auto"/>
          <w:right w:val="single" w:sz="4" w:space="0" w:color="auto"/>
        </w:pBdr>
        <w:rPr>
          <w:b/>
          <w:bCs/>
        </w:rPr>
      </w:pPr>
    </w:p>
    <w:p w14:paraId="28A07ED4" w14:textId="7BEE4F34" w:rsidR="00CA18F7" w:rsidRDefault="00CA18F7" w:rsidP="00CA18F7">
      <w:pPr>
        <w:pBdr>
          <w:top w:val="single" w:sz="4" w:space="1" w:color="auto"/>
          <w:left w:val="single" w:sz="4" w:space="4" w:color="auto"/>
          <w:bottom w:val="single" w:sz="4" w:space="1" w:color="auto"/>
          <w:right w:val="single" w:sz="4" w:space="0" w:color="auto"/>
        </w:pBdr>
        <w:ind w:left="720" w:hanging="720"/>
        <w:rPr>
          <w:b/>
          <w:bCs/>
        </w:rPr>
      </w:pPr>
      <w:r w:rsidRPr="008D3722">
        <w:rPr>
          <w:b/>
          <w:bCs/>
        </w:rPr>
        <w:t>5.</w:t>
      </w:r>
      <w:r w:rsidR="00233D34">
        <w:rPr>
          <w:b/>
          <w:bCs/>
        </w:rPr>
        <w:t>20</w:t>
      </w:r>
      <w:r w:rsidRPr="008D3722">
        <w:rPr>
          <w:b/>
          <w:bCs/>
        </w:rPr>
        <w:tab/>
        <w:t>recommends that the Executive Office revises the fourth intervention under Outcome 2 to include clear practical steps on how to tackle misinformation and suggests including targeted engagements with the media, journalists and minority ethnic communities.</w:t>
      </w:r>
    </w:p>
    <w:p w14:paraId="302E60E2" w14:textId="77777777" w:rsidR="00CA18F7" w:rsidRDefault="00CA18F7" w:rsidP="00CA18F7">
      <w:pPr>
        <w:pBdr>
          <w:top w:val="single" w:sz="4" w:space="1" w:color="auto"/>
          <w:left w:val="single" w:sz="4" w:space="4" w:color="auto"/>
          <w:bottom w:val="single" w:sz="4" w:space="1" w:color="auto"/>
          <w:right w:val="single" w:sz="4" w:space="0" w:color="auto"/>
        </w:pBdr>
        <w:rPr>
          <w:b/>
          <w:bCs/>
        </w:rPr>
      </w:pPr>
    </w:p>
    <w:p w14:paraId="7E479E15" w14:textId="3E11C4A2" w:rsidR="00CA18F7" w:rsidRDefault="00CA18F7" w:rsidP="00CA18F7">
      <w:pPr>
        <w:pBdr>
          <w:top w:val="single" w:sz="4" w:space="1" w:color="auto"/>
          <w:left w:val="single" w:sz="4" w:space="4" w:color="auto"/>
          <w:bottom w:val="single" w:sz="4" w:space="1" w:color="auto"/>
          <w:right w:val="single" w:sz="4" w:space="0" w:color="auto"/>
        </w:pBdr>
        <w:ind w:left="720" w:hanging="720"/>
        <w:rPr>
          <w:b/>
          <w:bCs/>
        </w:rPr>
      </w:pPr>
      <w:r w:rsidRPr="00551A67">
        <w:rPr>
          <w:b/>
          <w:bCs/>
        </w:rPr>
        <w:lastRenderedPageBreak/>
        <w:t>5.2</w:t>
      </w:r>
      <w:r w:rsidR="00233D34">
        <w:rPr>
          <w:b/>
          <w:bCs/>
        </w:rPr>
        <w:t>4</w:t>
      </w:r>
      <w:r w:rsidRPr="00551A67">
        <w:rPr>
          <w:b/>
          <w:bCs/>
        </w:rPr>
        <w:tab/>
        <w:t>recommends that the Executive Office strengthens the first key intervention under Outcome 2 by specifying concrete activities to be undertaken in reviewing approaches to racially motivated and aggravated crime and access to justice for victims, clearly identifying the responsible departments, and engaging key stakeholders, including the Department of Justice, judges, prosecutors, law</w:t>
      </w:r>
      <w:r w:rsidRPr="00551A67">
        <w:rPr>
          <w:rFonts w:ascii="Cambria Math" w:hAnsi="Cambria Math" w:cs="Cambria Math"/>
          <w:b/>
          <w:bCs/>
        </w:rPr>
        <w:t>‑</w:t>
      </w:r>
      <w:r w:rsidRPr="00551A67">
        <w:rPr>
          <w:b/>
          <w:bCs/>
        </w:rPr>
        <w:t>enforcement officials, and other relevant court and victim</w:t>
      </w:r>
      <w:r w:rsidRPr="00551A67">
        <w:rPr>
          <w:rFonts w:ascii="Cambria Math" w:hAnsi="Cambria Math" w:cs="Cambria Math"/>
          <w:b/>
          <w:bCs/>
        </w:rPr>
        <w:t>‑</w:t>
      </w:r>
      <w:r w:rsidRPr="00551A67">
        <w:rPr>
          <w:b/>
          <w:bCs/>
        </w:rPr>
        <w:t>support services.</w:t>
      </w:r>
    </w:p>
    <w:p w14:paraId="1C887F9F" w14:textId="77777777" w:rsidR="00CA18F7" w:rsidRDefault="00CA18F7" w:rsidP="00CA18F7">
      <w:pPr>
        <w:pBdr>
          <w:top w:val="single" w:sz="4" w:space="1" w:color="auto"/>
          <w:left w:val="single" w:sz="4" w:space="4" w:color="auto"/>
          <w:bottom w:val="single" w:sz="4" w:space="1" w:color="auto"/>
          <w:right w:val="single" w:sz="4" w:space="0" w:color="auto"/>
        </w:pBdr>
        <w:rPr>
          <w:b/>
          <w:bCs/>
        </w:rPr>
      </w:pPr>
    </w:p>
    <w:p w14:paraId="3B94B122" w14:textId="12673FED" w:rsidR="00CA18F7" w:rsidRDefault="00CA18F7" w:rsidP="00CA18F7">
      <w:pPr>
        <w:pBdr>
          <w:top w:val="single" w:sz="4" w:space="1" w:color="auto"/>
          <w:left w:val="single" w:sz="4" w:space="4" w:color="auto"/>
          <w:bottom w:val="single" w:sz="4" w:space="1" w:color="auto"/>
          <w:right w:val="single" w:sz="4" w:space="0" w:color="auto"/>
        </w:pBdr>
        <w:ind w:left="720" w:hanging="720"/>
        <w:rPr>
          <w:b/>
          <w:bCs/>
        </w:rPr>
      </w:pPr>
      <w:r w:rsidRPr="008B2A9C">
        <w:rPr>
          <w:b/>
          <w:bCs/>
        </w:rPr>
        <w:t>6.4</w:t>
      </w:r>
      <w:r w:rsidRPr="008B2A9C">
        <w:rPr>
          <w:b/>
          <w:bCs/>
        </w:rPr>
        <w:tab/>
        <w:t>recommends that the Executive Office amends the Draft Framework for Race Relations to reflect its obligations relating to equality of service provision under the EU Racial Equality Directive and relevant CJEU case law.</w:t>
      </w:r>
    </w:p>
    <w:p w14:paraId="525C2BEF" w14:textId="77777777" w:rsidR="00CA18F7" w:rsidRDefault="00CA18F7" w:rsidP="00CA18F7">
      <w:pPr>
        <w:pBdr>
          <w:top w:val="single" w:sz="4" w:space="1" w:color="auto"/>
          <w:left w:val="single" w:sz="4" w:space="4" w:color="auto"/>
          <w:bottom w:val="single" w:sz="4" w:space="1" w:color="auto"/>
          <w:right w:val="single" w:sz="4" w:space="0" w:color="auto"/>
        </w:pBdr>
        <w:rPr>
          <w:b/>
          <w:bCs/>
        </w:rPr>
      </w:pPr>
    </w:p>
    <w:p w14:paraId="350E4DB6" w14:textId="1E0C284A" w:rsidR="00CA18F7" w:rsidRDefault="00CA18F7" w:rsidP="00CA18F7">
      <w:pPr>
        <w:pBdr>
          <w:top w:val="single" w:sz="4" w:space="1" w:color="auto"/>
          <w:left w:val="single" w:sz="4" w:space="4" w:color="auto"/>
          <w:bottom w:val="single" w:sz="4" w:space="1" w:color="auto"/>
          <w:right w:val="single" w:sz="4" w:space="0" w:color="auto"/>
        </w:pBdr>
        <w:ind w:left="720" w:hanging="720"/>
        <w:rPr>
          <w:b/>
          <w:bCs/>
        </w:rPr>
      </w:pPr>
      <w:r w:rsidRPr="00640144">
        <w:rPr>
          <w:b/>
          <w:bCs/>
        </w:rPr>
        <w:t>6.7</w:t>
      </w:r>
      <w:r w:rsidRPr="00640144">
        <w:rPr>
          <w:b/>
          <w:bCs/>
        </w:rPr>
        <w:tab/>
        <w:t>recommends that the Executive Office introduces a dedicated intervention under Outcome 3 to improve access to interpretation and translation services for racial and minority ethnic communities, supported by clear funding commitments.</w:t>
      </w:r>
    </w:p>
    <w:p w14:paraId="00C80973" w14:textId="77777777" w:rsidR="00CA18F7" w:rsidRDefault="00CA18F7" w:rsidP="00CA18F7">
      <w:pPr>
        <w:pBdr>
          <w:top w:val="single" w:sz="4" w:space="1" w:color="auto"/>
          <w:left w:val="single" w:sz="4" w:space="4" w:color="auto"/>
          <w:bottom w:val="single" w:sz="4" w:space="1" w:color="auto"/>
          <w:right w:val="single" w:sz="4" w:space="0" w:color="auto"/>
        </w:pBdr>
        <w:rPr>
          <w:b/>
          <w:bCs/>
        </w:rPr>
      </w:pPr>
    </w:p>
    <w:p w14:paraId="151F3B73" w14:textId="53725368" w:rsidR="00CA18F7" w:rsidRDefault="00CA18F7" w:rsidP="00CA18F7">
      <w:pPr>
        <w:pBdr>
          <w:top w:val="single" w:sz="4" w:space="1" w:color="auto"/>
          <w:left w:val="single" w:sz="4" w:space="4" w:color="auto"/>
          <w:bottom w:val="single" w:sz="4" w:space="1" w:color="auto"/>
          <w:right w:val="single" w:sz="4" w:space="0" w:color="auto"/>
        </w:pBdr>
        <w:ind w:left="720" w:hanging="720"/>
        <w:rPr>
          <w:b/>
          <w:bCs/>
        </w:rPr>
      </w:pPr>
      <w:r w:rsidRPr="00E146F4">
        <w:rPr>
          <w:b/>
          <w:bCs/>
        </w:rPr>
        <w:t>6.9</w:t>
      </w:r>
      <w:r w:rsidRPr="00E146F4">
        <w:rPr>
          <w:b/>
          <w:bCs/>
        </w:rPr>
        <w:tab/>
        <w:t>recommends that the Executive Office strengthens Outcome 3 by introducing corresponding interventions to address key issues identified by UN treaty body mechanisms, particularly in relation to education, employment, and access to health care services. These interventions should clearly specify the actions to be taken, the groups targeted, and the bodies responsible for delivery.</w:t>
      </w:r>
    </w:p>
    <w:p w14:paraId="6A3866DE" w14:textId="77777777" w:rsidR="00CA18F7" w:rsidRDefault="00CA18F7" w:rsidP="00CA18F7">
      <w:pPr>
        <w:pBdr>
          <w:top w:val="single" w:sz="4" w:space="1" w:color="auto"/>
          <w:left w:val="single" w:sz="4" w:space="4" w:color="auto"/>
          <w:bottom w:val="single" w:sz="4" w:space="1" w:color="auto"/>
          <w:right w:val="single" w:sz="4" w:space="0" w:color="auto"/>
        </w:pBdr>
        <w:rPr>
          <w:b/>
          <w:bCs/>
        </w:rPr>
      </w:pPr>
    </w:p>
    <w:p w14:paraId="10CF51EB" w14:textId="63F6A348" w:rsidR="00CA18F7" w:rsidRPr="00CB48D6" w:rsidRDefault="00CA18F7" w:rsidP="00CA18F7">
      <w:pPr>
        <w:pBdr>
          <w:top w:val="single" w:sz="4" w:space="1" w:color="auto"/>
          <w:left w:val="single" w:sz="4" w:space="4" w:color="auto"/>
          <w:bottom w:val="single" w:sz="4" w:space="1" w:color="auto"/>
          <w:right w:val="single" w:sz="4" w:space="0" w:color="auto"/>
        </w:pBdr>
        <w:ind w:left="720" w:hanging="720"/>
        <w:rPr>
          <w:b/>
          <w:bCs/>
        </w:rPr>
      </w:pPr>
      <w:r w:rsidRPr="00CB48D6">
        <w:rPr>
          <w:b/>
          <w:bCs/>
        </w:rPr>
        <w:t>6.13</w:t>
      </w:r>
      <w:r w:rsidRPr="00CB48D6">
        <w:rPr>
          <w:b/>
          <w:bCs/>
        </w:rPr>
        <w:tab/>
        <w:t xml:space="preserve">recommends that the Executive Office clarify how equality of access will be achieved across public services, with a particular focus on education, including campaigns at schools and identify the key actors to be involved and groups to be engaged including teachers. </w:t>
      </w:r>
    </w:p>
    <w:p w14:paraId="7C865885" w14:textId="77777777" w:rsidR="00CA18F7" w:rsidRPr="00CB48D6" w:rsidRDefault="00CA18F7" w:rsidP="00CA18F7">
      <w:pPr>
        <w:pBdr>
          <w:top w:val="single" w:sz="4" w:space="1" w:color="auto"/>
          <w:left w:val="single" w:sz="4" w:space="4" w:color="auto"/>
          <w:bottom w:val="single" w:sz="4" w:space="1" w:color="auto"/>
          <w:right w:val="single" w:sz="4" w:space="0" w:color="auto"/>
        </w:pBdr>
        <w:rPr>
          <w:b/>
          <w:bCs/>
        </w:rPr>
      </w:pPr>
    </w:p>
    <w:p w14:paraId="48FED057" w14:textId="07E2ED95" w:rsidR="00CA18F7" w:rsidRDefault="00CA18F7" w:rsidP="00CA18F7">
      <w:pPr>
        <w:pBdr>
          <w:top w:val="single" w:sz="4" w:space="1" w:color="auto"/>
          <w:left w:val="single" w:sz="4" w:space="4" w:color="auto"/>
          <w:bottom w:val="single" w:sz="4" w:space="1" w:color="auto"/>
          <w:right w:val="single" w:sz="4" w:space="0" w:color="auto"/>
        </w:pBdr>
        <w:ind w:left="720" w:hanging="720"/>
        <w:rPr>
          <w:b/>
          <w:bCs/>
        </w:rPr>
      </w:pPr>
      <w:r w:rsidRPr="00CB48D6">
        <w:rPr>
          <w:b/>
          <w:bCs/>
        </w:rPr>
        <w:t>6.14</w:t>
      </w:r>
      <w:r w:rsidRPr="00CB48D6">
        <w:rPr>
          <w:b/>
          <w:bCs/>
        </w:rPr>
        <w:tab/>
        <w:t>recommends that the Executive Office amends the Draft Framework to reflect its obligations relating to minimum standards for access to education under Windsor Framework Article 2, including requirements under the EU Racial Equality Directive.</w:t>
      </w:r>
    </w:p>
    <w:p w14:paraId="728B7457" w14:textId="77777777" w:rsidR="00CA18F7" w:rsidRDefault="00CA18F7" w:rsidP="00CA18F7">
      <w:pPr>
        <w:pBdr>
          <w:top w:val="single" w:sz="4" w:space="1" w:color="auto"/>
          <w:left w:val="single" w:sz="4" w:space="4" w:color="auto"/>
          <w:bottom w:val="single" w:sz="4" w:space="1" w:color="auto"/>
          <w:right w:val="single" w:sz="4" w:space="0" w:color="auto"/>
        </w:pBdr>
        <w:rPr>
          <w:b/>
          <w:bCs/>
        </w:rPr>
      </w:pPr>
    </w:p>
    <w:p w14:paraId="6AFB2C88" w14:textId="27C11A3D" w:rsidR="00CA18F7" w:rsidRPr="00CD3205" w:rsidRDefault="00CA18F7" w:rsidP="00CA18F7">
      <w:pPr>
        <w:pBdr>
          <w:top w:val="single" w:sz="4" w:space="1" w:color="auto"/>
          <w:left w:val="single" w:sz="4" w:space="4" w:color="auto"/>
          <w:bottom w:val="single" w:sz="4" w:space="1" w:color="auto"/>
          <w:right w:val="single" w:sz="4" w:space="0" w:color="auto"/>
        </w:pBdr>
        <w:ind w:left="720" w:hanging="720"/>
        <w:rPr>
          <w:b/>
          <w:bCs/>
        </w:rPr>
      </w:pPr>
      <w:r w:rsidRPr="00CD3205">
        <w:rPr>
          <w:b/>
          <w:bCs/>
        </w:rPr>
        <w:t>6.21</w:t>
      </w:r>
      <w:r w:rsidRPr="00CD3205">
        <w:rPr>
          <w:b/>
          <w:bCs/>
        </w:rPr>
        <w:tab/>
        <w:t xml:space="preserve">recommends that the Executive Office strengthens Outcome 3 by including a corresponding intervention to improve access to employment, including targeted public-sector employment </w:t>
      </w:r>
      <w:r w:rsidRPr="00CD3205">
        <w:rPr>
          <w:b/>
          <w:bCs/>
        </w:rPr>
        <w:lastRenderedPageBreak/>
        <w:t>initiatives, and measures to expand access to vocational training and employment services for minority ethnic communities.</w:t>
      </w:r>
    </w:p>
    <w:p w14:paraId="40E85238" w14:textId="77777777" w:rsidR="00CA18F7" w:rsidRPr="00CD3205" w:rsidRDefault="00CA18F7" w:rsidP="00CA18F7">
      <w:pPr>
        <w:pBdr>
          <w:top w:val="single" w:sz="4" w:space="1" w:color="auto"/>
          <w:left w:val="single" w:sz="4" w:space="4" w:color="auto"/>
          <w:bottom w:val="single" w:sz="4" w:space="1" w:color="auto"/>
          <w:right w:val="single" w:sz="4" w:space="0" w:color="auto"/>
        </w:pBdr>
        <w:rPr>
          <w:b/>
          <w:bCs/>
        </w:rPr>
      </w:pPr>
    </w:p>
    <w:p w14:paraId="2BA70F14" w14:textId="361856F9" w:rsidR="00CA18F7" w:rsidRDefault="00CA18F7" w:rsidP="00CA18F7">
      <w:pPr>
        <w:pBdr>
          <w:top w:val="single" w:sz="4" w:space="1" w:color="auto"/>
          <w:left w:val="single" w:sz="4" w:space="4" w:color="auto"/>
          <w:bottom w:val="single" w:sz="4" w:space="1" w:color="auto"/>
          <w:right w:val="single" w:sz="4" w:space="0" w:color="auto"/>
        </w:pBdr>
        <w:ind w:left="720" w:hanging="720"/>
        <w:rPr>
          <w:b/>
          <w:bCs/>
        </w:rPr>
      </w:pPr>
      <w:r w:rsidRPr="00CD3205">
        <w:rPr>
          <w:b/>
          <w:bCs/>
        </w:rPr>
        <w:t>6.22</w:t>
      </w:r>
      <w:r w:rsidRPr="00CD3205">
        <w:rPr>
          <w:b/>
          <w:bCs/>
        </w:rPr>
        <w:tab/>
        <w:t xml:space="preserve">recommends that the Draft Framework include a commitment by the Executive Office to track CJEU case law in the area of employment discrimination on the grounds of race and ethnicity, and religion and belief, to ensure any enhancements are reflected in NI equality law.  </w:t>
      </w:r>
    </w:p>
    <w:p w14:paraId="42FA38D9" w14:textId="77777777" w:rsidR="00CA18F7" w:rsidRDefault="00CA18F7" w:rsidP="00CA18F7">
      <w:pPr>
        <w:pBdr>
          <w:top w:val="single" w:sz="4" w:space="1" w:color="auto"/>
          <w:left w:val="single" w:sz="4" w:space="4" w:color="auto"/>
          <w:bottom w:val="single" w:sz="4" w:space="1" w:color="auto"/>
          <w:right w:val="single" w:sz="4" w:space="0" w:color="auto"/>
        </w:pBdr>
        <w:rPr>
          <w:b/>
          <w:bCs/>
        </w:rPr>
      </w:pPr>
    </w:p>
    <w:p w14:paraId="1463BAB8" w14:textId="5ECD6CDD" w:rsidR="00CA18F7" w:rsidRPr="001424D2" w:rsidRDefault="00CA18F7" w:rsidP="00CA18F7">
      <w:pPr>
        <w:pBdr>
          <w:top w:val="single" w:sz="4" w:space="1" w:color="auto"/>
          <w:left w:val="single" w:sz="4" w:space="4" w:color="auto"/>
          <w:bottom w:val="single" w:sz="4" w:space="1" w:color="auto"/>
          <w:right w:val="single" w:sz="4" w:space="0" w:color="auto"/>
        </w:pBdr>
        <w:ind w:left="720" w:hanging="720"/>
        <w:rPr>
          <w:b/>
          <w:bCs/>
        </w:rPr>
      </w:pPr>
      <w:r w:rsidRPr="001424D2">
        <w:rPr>
          <w:b/>
          <w:bCs/>
        </w:rPr>
        <w:t>6.30</w:t>
      </w:r>
      <w:r w:rsidRPr="001424D2">
        <w:rPr>
          <w:b/>
          <w:bCs/>
        </w:rPr>
        <w:tab/>
        <w:t>recommends that the Executive Office, guided by the recommendations of the UN Treaty Body mechanisms, strengthen Outcome 3 by including clear measures to support the implementation of programmes and initiatives aimed at increasing access to healthcare services for minority ethnic communities, including targeted actions involving healthcare professionals and hospital administration staff.</w:t>
      </w:r>
    </w:p>
    <w:p w14:paraId="50FEEF2C" w14:textId="77777777" w:rsidR="00CA18F7" w:rsidRPr="001424D2" w:rsidRDefault="00CA18F7" w:rsidP="00CA18F7">
      <w:pPr>
        <w:pBdr>
          <w:top w:val="single" w:sz="4" w:space="1" w:color="auto"/>
          <w:left w:val="single" w:sz="4" w:space="4" w:color="auto"/>
          <w:bottom w:val="single" w:sz="4" w:space="1" w:color="auto"/>
          <w:right w:val="single" w:sz="4" w:space="0" w:color="auto"/>
        </w:pBdr>
        <w:rPr>
          <w:b/>
          <w:bCs/>
        </w:rPr>
      </w:pPr>
    </w:p>
    <w:p w14:paraId="5F2A4C04" w14:textId="09D65565" w:rsidR="00CA18F7" w:rsidRDefault="00CA18F7" w:rsidP="00CA18F7">
      <w:pPr>
        <w:pBdr>
          <w:top w:val="single" w:sz="4" w:space="1" w:color="auto"/>
          <w:left w:val="single" w:sz="4" w:space="4" w:color="auto"/>
          <w:bottom w:val="single" w:sz="4" w:space="1" w:color="auto"/>
          <w:right w:val="single" w:sz="4" w:space="0" w:color="auto"/>
        </w:pBdr>
        <w:ind w:left="720" w:hanging="720"/>
        <w:rPr>
          <w:b/>
          <w:bCs/>
        </w:rPr>
      </w:pPr>
      <w:r w:rsidRPr="001424D2">
        <w:rPr>
          <w:b/>
          <w:bCs/>
        </w:rPr>
        <w:t>6.31</w:t>
      </w:r>
      <w:r w:rsidRPr="001424D2">
        <w:rPr>
          <w:b/>
          <w:bCs/>
        </w:rPr>
        <w:tab/>
        <w:t>recommends that the Draft Framework be amended to reflect a commitment from the Executive Office and the Department of Health to identify and minimise procedural barriers to healthcare for migrant people, regardless of immigration status.</w:t>
      </w:r>
    </w:p>
    <w:p w14:paraId="74B317E8" w14:textId="77777777" w:rsidR="00CA18F7" w:rsidRDefault="00CA18F7" w:rsidP="00CA18F7">
      <w:pPr>
        <w:pBdr>
          <w:top w:val="single" w:sz="4" w:space="1" w:color="auto"/>
          <w:left w:val="single" w:sz="4" w:space="4" w:color="auto"/>
          <w:bottom w:val="single" w:sz="4" w:space="1" w:color="auto"/>
          <w:right w:val="single" w:sz="4" w:space="0" w:color="auto"/>
        </w:pBdr>
        <w:rPr>
          <w:b/>
          <w:bCs/>
        </w:rPr>
      </w:pPr>
    </w:p>
    <w:p w14:paraId="15A9130C" w14:textId="0B347630" w:rsidR="00CA18F7" w:rsidRDefault="00CA18F7" w:rsidP="00CA18F7">
      <w:pPr>
        <w:pBdr>
          <w:top w:val="single" w:sz="4" w:space="1" w:color="auto"/>
          <w:left w:val="single" w:sz="4" w:space="4" w:color="auto"/>
          <w:bottom w:val="single" w:sz="4" w:space="1" w:color="auto"/>
          <w:right w:val="single" w:sz="4" w:space="0" w:color="auto"/>
        </w:pBdr>
        <w:ind w:left="720" w:hanging="720"/>
        <w:rPr>
          <w:b/>
          <w:bCs/>
        </w:rPr>
      </w:pPr>
      <w:r w:rsidRPr="0037380F">
        <w:rPr>
          <w:b/>
          <w:bCs/>
        </w:rPr>
        <w:t>6.3</w:t>
      </w:r>
      <w:r w:rsidR="009A4773">
        <w:rPr>
          <w:b/>
          <w:bCs/>
        </w:rPr>
        <w:t>4</w:t>
      </w:r>
      <w:r w:rsidRPr="0037380F">
        <w:rPr>
          <w:b/>
          <w:bCs/>
        </w:rPr>
        <w:tab/>
        <w:t>recommends that the Executive Office strengthens Outcome 3 by including activities targeted at actors within the housing sector to support the implementation of programmes and initiatives aimed at increasing access to housing in both the public and private sector.</w:t>
      </w:r>
    </w:p>
    <w:p w14:paraId="782B6A2F" w14:textId="77777777" w:rsidR="009A4773" w:rsidRDefault="009A4773" w:rsidP="00CA18F7">
      <w:pPr>
        <w:pBdr>
          <w:top w:val="single" w:sz="4" w:space="1" w:color="auto"/>
          <w:left w:val="single" w:sz="4" w:space="4" w:color="auto"/>
          <w:bottom w:val="single" w:sz="4" w:space="1" w:color="auto"/>
          <w:right w:val="single" w:sz="4" w:space="0" w:color="auto"/>
        </w:pBdr>
        <w:ind w:left="720" w:hanging="720"/>
        <w:rPr>
          <w:b/>
          <w:bCs/>
        </w:rPr>
      </w:pPr>
    </w:p>
    <w:p w14:paraId="6637871C" w14:textId="72541BF5" w:rsidR="009A4773" w:rsidRDefault="009A4773" w:rsidP="00CA18F7">
      <w:pPr>
        <w:pBdr>
          <w:top w:val="single" w:sz="4" w:space="1" w:color="auto"/>
          <w:left w:val="single" w:sz="4" w:space="4" w:color="auto"/>
          <w:bottom w:val="single" w:sz="4" w:space="1" w:color="auto"/>
          <w:right w:val="single" w:sz="4" w:space="0" w:color="auto"/>
        </w:pBdr>
        <w:ind w:left="720" w:hanging="720"/>
        <w:rPr>
          <w:b/>
          <w:bCs/>
        </w:rPr>
      </w:pPr>
      <w:r>
        <w:rPr>
          <w:b/>
          <w:bCs/>
        </w:rPr>
        <w:t xml:space="preserve">6.35 </w:t>
      </w:r>
      <w:r w:rsidRPr="009A4773">
        <w:rPr>
          <w:b/>
          <w:bCs/>
        </w:rPr>
        <w:t>recommends that the Executive Office strengthens Outcome 3 by including clear measures to prevent intimidation and violence by paramilitary groups against ethnic minorities and migrants to ensure equal access to adequate and culturally appropriate housing and to prevent de facto segregation. The NIHRC advises that this should include the collection, analysis and publication of data on such incidents, including the number of cases investigated and prosecuted, the reasons for decisions not to prosecute, and the outcomes of prosecuted cases.</w:t>
      </w:r>
    </w:p>
    <w:p w14:paraId="124C7F44" w14:textId="77777777" w:rsidR="00CA18F7" w:rsidRPr="00E74A0A" w:rsidRDefault="00CA18F7" w:rsidP="00CA18F7">
      <w:pPr>
        <w:pBdr>
          <w:top w:val="single" w:sz="4" w:space="1" w:color="auto"/>
          <w:left w:val="single" w:sz="4" w:space="4" w:color="auto"/>
          <w:bottom w:val="single" w:sz="4" w:space="1" w:color="auto"/>
          <w:right w:val="single" w:sz="4" w:space="0" w:color="auto"/>
        </w:pBdr>
        <w:rPr>
          <w:b/>
          <w:bCs/>
        </w:rPr>
      </w:pPr>
    </w:p>
    <w:p w14:paraId="1BBB0742" w14:textId="581F045D" w:rsidR="00CA18F7" w:rsidRDefault="00CA18F7" w:rsidP="00CA18F7">
      <w:pPr>
        <w:pBdr>
          <w:top w:val="single" w:sz="4" w:space="1" w:color="auto"/>
          <w:left w:val="single" w:sz="4" w:space="4" w:color="auto"/>
          <w:bottom w:val="single" w:sz="4" w:space="1" w:color="auto"/>
          <w:right w:val="single" w:sz="4" w:space="0" w:color="auto"/>
        </w:pBdr>
        <w:ind w:left="720" w:hanging="720"/>
        <w:rPr>
          <w:b/>
          <w:bCs/>
        </w:rPr>
      </w:pPr>
      <w:r w:rsidRPr="00E74A0A">
        <w:rPr>
          <w:b/>
          <w:bCs/>
        </w:rPr>
        <w:t>6.3</w:t>
      </w:r>
      <w:r w:rsidR="000B0253">
        <w:rPr>
          <w:b/>
          <w:bCs/>
        </w:rPr>
        <w:t>9</w:t>
      </w:r>
      <w:r w:rsidRPr="00E74A0A">
        <w:rPr>
          <w:b/>
          <w:bCs/>
        </w:rPr>
        <w:tab/>
        <w:t xml:space="preserve">recommends that the Executive Office strengthens the seventh intervention under Outcome 3 by clearly specifying actions to be </w:t>
      </w:r>
      <w:r w:rsidRPr="00E74A0A">
        <w:rPr>
          <w:b/>
          <w:bCs/>
        </w:rPr>
        <w:lastRenderedPageBreak/>
        <w:t>undertaken by the Roma Thematic Group and Travellers Thematic Group, identifying the priority actions, bodies responsible for implementation, defined delivery timeframes, target groups to be engaged and associated budgetary requirements.</w:t>
      </w:r>
    </w:p>
    <w:p w14:paraId="71122140" w14:textId="77777777" w:rsidR="00CA18F7" w:rsidRDefault="00CA18F7" w:rsidP="00CA18F7">
      <w:pPr>
        <w:pBdr>
          <w:top w:val="single" w:sz="4" w:space="1" w:color="auto"/>
          <w:left w:val="single" w:sz="4" w:space="4" w:color="auto"/>
          <w:bottom w:val="single" w:sz="4" w:space="1" w:color="auto"/>
          <w:right w:val="single" w:sz="4" w:space="0" w:color="auto"/>
        </w:pBdr>
        <w:rPr>
          <w:b/>
          <w:bCs/>
        </w:rPr>
      </w:pPr>
    </w:p>
    <w:p w14:paraId="5F928FE1" w14:textId="7C841F81" w:rsidR="00CA18F7" w:rsidRPr="004A6A41" w:rsidRDefault="00CA18F7" w:rsidP="00CA18F7">
      <w:pPr>
        <w:pBdr>
          <w:top w:val="single" w:sz="4" w:space="1" w:color="auto"/>
          <w:left w:val="single" w:sz="4" w:space="4" w:color="auto"/>
          <w:bottom w:val="single" w:sz="4" w:space="1" w:color="auto"/>
          <w:right w:val="single" w:sz="4" w:space="0" w:color="auto"/>
        </w:pBdr>
        <w:ind w:left="720" w:hanging="720"/>
        <w:rPr>
          <w:b/>
          <w:bCs/>
        </w:rPr>
      </w:pPr>
      <w:r w:rsidRPr="004A6A41">
        <w:rPr>
          <w:b/>
          <w:bCs/>
        </w:rPr>
        <w:t>6.4</w:t>
      </w:r>
      <w:r w:rsidR="00154655">
        <w:rPr>
          <w:b/>
          <w:bCs/>
        </w:rPr>
        <w:t>4</w:t>
      </w:r>
      <w:r w:rsidRPr="004A6A41">
        <w:rPr>
          <w:b/>
          <w:bCs/>
        </w:rPr>
        <w:tab/>
        <w:t>recommends that the Executive Office ensures that the data available is assessed with a view to revealing the existence and extent of racial discrimination, identifying discriminatory practices and patterns, and key priority areas for targeted action.</w:t>
      </w:r>
    </w:p>
    <w:p w14:paraId="14A69FDB" w14:textId="77777777" w:rsidR="00CA18F7" w:rsidRPr="004A6A41" w:rsidRDefault="00CA18F7" w:rsidP="00CA18F7">
      <w:pPr>
        <w:pBdr>
          <w:top w:val="single" w:sz="4" w:space="1" w:color="auto"/>
          <w:left w:val="single" w:sz="4" w:space="4" w:color="auto"/>
          <w:bottom w:val="single" w:sz="4" w:space="1" w:color="auto"/>
          <w:right w:val="single" w:sz="4" w:space="0" w:color="auto"/>
        </w:pBdr>
        <w:rPr>
          <w:b/>
          <w:bCs/>
        </w:rPr>
      </w:pPr>
    </w:p>
    <w:p w14:paraId="574F445D" w14:textId="7879F309" w:rsidR="00CA18F7" w:rsidRDefault="00CA18F7" w:rsidP="00CA18F7">
      <w:pPr>
        <w:pBdr>
          <w:top w:val="single" w:sz="4" w:space="1" w:color="auto"/>
          <w:left w:val="single" w:sz="4" w:space="4" w:color="auto"/>
          <w:bottom w:val="single" w:sz="4" w:space="1" w:color="auto"/>
          <w:right w:val="single" w:sz="4" w:space="0" w:color="auto"/>
        </w:pBdr>
        <w:ind w:left="720" w:hanging="720"/>
        <w:rPr>
          <w:b/>
          <w:bCs/>
        </w:rPr>
      </w:pPr>
      <w:r w:rsidRPr="004A6A41">
        <w:rPr>
          <w:b/>
          <w:bCs/>
        </w:rPr>
        <w:t>6.4</w:t>
      </w:r>
      <w:r w:rsidR="00154655">
        <w:rPr>
          <w:b/>
          <w:bCs/>
        </w:rPr>
        <w:t xml:space="preserve">5 </w:t>
      </w:r>
      <w:r w:rsidRPr="004A6A41">
        <w:rPr>
          <w:b/>
          <w:bCs/>
        </w:rPr>
        <w:t>recommends that the Executive Office amends the Draft Framework to reflect the requirements relating to data collection set out in the EU Standards for Equality Bodies Directive.</w:t>
      </w:r>
    </w:p>
    <w:p w14:paraId="16FE7948" w14:textId="77777777" w:rsidR="00CA18F7" w:rsidRDefault="00CA18F7" w:rsidP="00CA18F7">
      <w:pPr>
        <w:pBdr>
          <w:top w:val="single" w:sz="4" w:space="1" w:color="auto"/>
          <w:left w:val="single" w:sz="4" w:space="4" w:color="auto"/>
          <w:bottom w:val="single" w:sz="4" w:space="1" w:color="auto"/>
          <w:right w:val="single" w:sz="4" w:space="0" w:color="auto"/>
        </w:pBdr>
        <w:rPr>
          <w:b/>
          <w:bCs/>
        </w:rPr>
      </w:pPr>
    </w:p>
    <w:p w14:paraId="5B9ACC64" w14:textId="04A42B12" w:rsidR="00FC59F8" w:rsidRDefault="00CA18F7" w:rsidP="00CA18F7">
      <w:pPr>
        <w:pBdr>
          <w:top w:val="single" w:sz="4" w:space="1" w:color="auto"/>
          <w:left w:val="single" w:sz="4" w:space="4" w:color="auto"/>
          <w:bottom w:val="single" w:sz="4" w:space="1" w:color="auto"/>
          <w:right w:val="single" w:sz="4" w:space="0" w:color="auto"/>
        </w:pBdr>
        <w:ind w:left="720" w:hanging="720"/>
        <w:rPr>
          <w:b/>
          <w:bCs/>
        </w:rPr>
      </w:pPr>
      <w:r w:rsidRPr="000729C8">
        <w:rPr>
          <w:b/>
          <w:bCs/>
        </w:rPr>
        <w:t>7.6</w:t>
      </w:r>
      <w:r w:rsidRPr="000729C8">
        <w:rPr>
          <w:b/>
          <w:bCs/>
        </w:rPr>
        <w:tab/>
      </w:r>
      <w:r w:rsidR="00654ECB" w:rsidRPr="00233B5E">
        <w:rPr>
          <w:b/>
          <w:bCs/>
        </w:rPr>
        <w:t>recommends that the Executive Office considers replacing the term “community cohesion” with “intercultural dialogue” a term</w:t>
      </w:r>
      <w:r w:rsidR="00B45033">
        <w:rPr>
          <w:b/>
          <w:bCs/>
        </w:rPr>
        <w:t xml:space="preserve"> grounded</w:t>
      </w:r>
      <w:r w:rsidR="00654ECB" w:rsidRPr="00233B5E">
        <w:rPr>
          <w:b/>
          <w:bCs/>
        </w:rPr>
        <w:t xml:space="preserve"> in the C</w:t>
      </w:r>
      <w:r w:rsidR="00774C40">
        <w:rPr>
          <w:b/>
          <w:bCs/>
        </w:rPr>
        <w:t xml:space="preserve">ouncil of </w:t>
      </w:r>
      <w:r w:rsidR="00654ECB" w:rsidRPr="00233B5E">
        <w:rPr>
          <w:b/>
          <w:bCs/>
        </w:rPr>
        <w:t>E</w:t>
      </w:r>
      <w:r w:rsidR="00774C40">
        <w:rPr>
          <w:b/>
          <w:bCs/>
        </w:rPr>
        <w:t xml:space="preserve">urope </w:t>
      </w:r>
      <w:r w:rsidR="00654ECB" w:rsidRPr="00233B5E">
        <w:rPr>
          <w:b/>
          <w:bCs/>
        </w:rPr>
        <w:t>Framework Convention for National Minorities</w:t>
      </w:r>
      <w:r w:rsidR="00654ECB">
        <w:rPr>
          <w:b/>
          <w:bCs/>
        </w:rPr>
        <w:t>.</w:t>
      </w:r>
    </w:p>
    <w:p w14:paraId="5381C89F" w14:textId="77777777" w:rsidR="00654ECB" w:rsidRDefault="00654ECB" w:rsidP="00CA18F7">
      <w:pPr>
        <w:pBdr>
          <w:top w:val="single" w:sz="4" w:space="1" w:color="auto"/>
          <w:left w:val="single" w:sz="4" w:space="4" w:color="auto"/>
          <w:bottom w:val="single" w:sz="4" w:space="1" w:color="auto"/>
          <w:right w:val="single" w:sz="4" w:space="0" w:color="auto"/>
        </w:pBdr>
        <w:ind w:left="720" w:hanging="720"/>
        <w:rPr>
          <w:b/>
          <w:bCs/>
        </w:rPr>
      </w:pPr>
    </w:p>
    <w:p w14:paraId="3B7F7C4C" w14:textId="1239F7E1" w:rsidR="00CA18F7" w:rsidRPr="000729C8" w:rsidRDefault="00654ECB" w:rsidP="00CA18F7">
      <w:pPr>
        <w:pBdr>
          <w:top w:val="single" w:sz="4" w:space="1" w:color="auto"/>
          <w:left w:val="single" w:sz="4" w:space="4" w:color="auto"/>
          <w:bottom w:val="single" w:sz="4" w:space="1" w:color="auto"/>
          <w:right w:val="single" w:sz="4" w:space="0" w:color="auto"/>
        </w:pBdr>
        <w:ind w:left="720" w:hanging="720"/>
        <w:rPr>
          <w:b/>
          <w:bCs/>
        </w:rPr>
      </w:pPr>
      <w:r>
        <w:rPr>
          <w:b/>
          <w:bCs/>
        </w:rPr>
        <w:t xml:space="preserve">7.7   </w:t>
      </w:r>
      <w:r w:rsidR="00CA18F7" w:rsidRPr="000729C8">
        <w:rPr>
          <w:b/>
          <w:bCs/>
        </w:rPr>
        <w:t xml:space="preserve">recommends that the Executive Office utilises meaningful engagement with individuals who will be affected and their representatives beyond this public consultation to determine the key priority areas for implementation regarding trainings and workshops. </w:t>
      </w:r>
    </w:p>
    <w:p w14:paraId="24D051D8" w14:textId="77777777" w:rsidR="00CA18F7" w:rsidRPr="000729C8" w:rsidRDefault="00CA18F7" w:rsidP="00CA18F7">
      <w:pPr>
        <w:pBdr>
          <w:top w:val="single" w:sz="4" w:space="1" w:color="auto"/>
          <w:left w:val="single" w:sz="4" w:space="4" w:color="auto"/>
          <w:bottom w:val="single" w:sz="4" w:space="1" w:color="auto"/>
          <w:right w:val="single" w:sz="4" w:space="0" w:color="auto"/>
        </w:pBdr>
        <w:rPr>
          <w:b/>
          <w:bCs/>
        </w:rPr>
      </w:pPr>
    </w:p>
    <w:p w14:paraId="66E083F6" w14:textId="45B43AFE" w:rsidR="00CA18F7" w:rsidRDefault="00CA18F7" w:rsidP="00CA18F7">
      <w:pPr>
        <w:pBdr>
          <w:top w:val="single" w:sz="4" w:space="1" w:color="auto"/>
          <w:left w:val="single" w:sz="4" w:space="4" w:color="auto"/>
          <w:bottom w:val="single" w:sz="4" w:space="1" w:color="auto"/>
          <w:right w:val="single" w:sz="4" w:space="0" w:color="auto"/>
        </w:pBdr>
        <w:ind w:left="720" w:hanging="720"/>
        <w:rPr>
          <w:b/>
          <w:bCs/>
        </w:rPr>
      </w:pPr>
      <w:r w:rsidRPr="000729C8">
        <w:rPr>
          <w:b/>
          <w:bCs/>
        </w:rPr>
        <w:t>7.</w:t>
      </w:r>
      <w:r w:rsidR="00654ECB">
        <w:rPr>
          <w:b/>
          <w:bCs/>
        </w:rPr>
        <w:t>8</w:t>
      </w:r>
      <w:r w:rsidRPr="000729C8">
        <w:rPr>
          <w:b/>
          <w:bCs/>
        </w:rPr>
        <w:tab/>
        <w:t>recommends that the Executive Office clarifies the key interventions under Outcome 4, including specifying the key human rights topics, issues, and related trainings and workshops on race relations and ensuring that they are supported by clear responsibilities, timeframes, and monitoring arrangements.</w:t>
      </w:r>
    </w:p>
    <w:p w14:paraId="4E3372EC" w14:textId="77777777" w:rsidR="00CA18F7" w:rsidRDefault="00CA18F7" w:rsidP="00CA18F7">
      <w:pPr>
        <w:pBdr>
          <w:top w:val="single" w:sz="4" w:space="1" w:color="auto"/>
          <w:left w:val="single" w:sz="4" w:space="4" w:color="auto"/>
          <w:bottom w:val="single" w:sz="4" w:space="1" w:color="auto"/>
          <w:right w:val="single" w:sz="4" w:space="0" w:color="auto"/>
        </w:pBdr>
        <w:rPr>
          <w:b/>
          <w:bCs/>
        </w:rPr>
      </w:pPr>
    </w:p>
    <w:p w14:paraId="26CC998F" w14:textId="2BB56576" w:rsidR="00CA18F7" w:rsidRDefault="00CA18F7" w:rsidP="00CA18F7">
      <w:pPr>
        <w:pBdr>
          <w:top w:val="single" w:sz="4" w:space="1" w:color="auto"/>
          <w:left w:val="single" w:sz="4" w:space="4" w:color="auto"/>
          <w:bottom w:val="single" w:sz="4" w:space="1" w:color="auto"/>
          <w:right w:val="single" w:sz="4" w:space="0" w:color="auto"/>
        </w:pBdr>
        <w:ind w:left="720" w:hanging="720"/>
        <w:rPr>
          <w:b/>
          <w:bCs/>
        </w:rPr>
      </w:pPr>
      <w:r w:rsidRPr="009D7A7E">
        <w:rPr>
          <w:b/>
          <w:bCs/>
        </w:rPr>
        <w:t>8.4</w:t>
      </w:r>
      <w:r w:rsidRPr="009D7A7E">
        <w:rPr>
          <w:b/>
          <w:bCs/>
        </w:rPr>
        <w:tab/>
        <w:t>recommends that the Executive Office strengthens the Delivery Plan by setting out institutional responsibilities for each outcome and intervention, so that roles and expectations are transparent to all government departments, stakeholders, and the wider public.</w:t>
      </w:r>
    </w:p>
    <w:p w14:paraId="122BC3EA" w14:textId="77777777" w:rsidR="00CA18F7" w:rsidRDefault="00CA18F7" w:rsidP="00CA18F7">
      <w:pPr>
        <w:pBdr>
          <w:top w:val="single" w:sz="4" w:space="1" w:color="auto"/>
          <w:left w:val="single" w:sz="4" w:space="4" w:color="auto"/>
          <w:bottom w:val="single" w:sz="4" w:space="1" w:color="auto"/>
          <w:right w:val="single" w:sz="4" w:space="0" w:color="auto"/>
        </w:pBdr>
        <w:rPr>
          <w:b/>
          <w:bCs/>
        </w:rPr>
      </w:pPr>
    </w:p>
    <w:p w14:paraId="3407ADFE" w14:textId="6902350F" w:rsidR="00CA18F7" w:rsidRDefault="00CA18F7" w:rsidP="00CA18F7">
      <w:pPr>
        <w:pBdr>
          <w:top w:val="single" w:sz="4" w:space="1" w:color="auto"/>
          <w:left w:val="single" w:sz="4" w:space="4" w:color="auto"/>
          <w:bottom w:val="single" w:sz="4" w:space="1" w:color="auto"/>
          <w:right w:val="single" w:sz="4" w:space="0" w:color="auto"/>
        </w:pBdr>
        <w:ind w:left="720" w:hanging="720"/>
        <w:rPr>
          <w:b/>
          <w:bCs/>
        </w:rPr>
      </w:pPr>
      <w:r w:rsidRPr="001E4563">
        <w:rPr>
          <w:b/>
          <w:bCs/>
        </w:rPr>
        <w:t>8.7</w:t>
      </w:r>
      <w:r w:rsidRPr="001E4563">
        <w:rPr>
          <w:b/>
          <w:bCs/>
        </w:rPr>
        <w:tab/>
        <w:t xml:space="preserve">recommends that the Executive Office strengthens the Delivery Plan by identifying clear mechanisms for measuring progress against each outcome, including performance indicators, reporting </w:t>
      </w:r>
      <w:r w:rsidRPr="001E4563">
        <w:rPr>
          <w:b/>
          <w:bCs/>
        </w:rPr>
        <w:lastRenderedPageBreak/>
        <w:t>arrangements, and procedures for identifying and addressing underperformance.</w:t>
      </w:r>
    </w:p>
    <w:p w14:paraId="25AAB5C7" w14:textId="77777777" w:rsidR="00CA18F7" w:rsidRDefault="00CA18F7" w:rsidP="00CA18F7">
      <w:pPr>
        <w:pBdr>
          <w:top w:val="single" w:sz="4" w:space="1" w:color="auto"/>
          <w:left w:val="single" w:sz="4" w:space="4" w:color="auto"/>
          <w:bottom w:val="single" w:sz="4" w:space="1" w:color="auto"/>
          <w:right w:val="single" w:sz="4" w:space="0" w:color="auto"/>
        </w:pBdr>
        <w:rPr>
          <w:b/>
          <w:bCs/>
        </w:rPr>
      </w:pPr>
    </w:p>
    <w:p w14:paraId="210C583B" w14:textId="14BA6E72" w:rsidR="00CA18F7" w:rsidRDefault="00CA18F7" w:rsidP="00CA18F7">
      <w:pPr>
        <w:pBdr>
          <w:top w:val="single" w:sz="4" w:space="1" w:color="auto"/>
          <w:left w:val="single" w:sz="4" w:space="4" w:color="auto"/>
          <w:bottom w:val="single" w:sz="4" w:space="1" w:color="auto"/>
          <w:right w:val="single" w:sz="4" w:space="0" w:color="auto"/>
        </w:pBdr>
        <w:ind w:left="720" w:hanging="720"/>
        <w:rPr>
          <w:b/>
          <w:bCs/>
        </w:rPr>
      </w:pPr>
      <w:r w:rsidRPr="00E46C6C">
        <w:rPr>
          <w:b/>
          <w:bCs/>
        </w:rPr>
        <w:t>8.11</w:t>
      </w:r>
      <w:r w:rsidRPr="00E46C6C">
        <w:rPr>
          <w:b/>
          <w:bCs/>
        </w:rPr>
        <w:tab/>
        <w:t>recommends that the Executive Office strengthens the governance arrangements by explicitly stating their frequency and providing for scheduling of Strategic Planning Group (SPG) meetings, including setting fixed time frames.</w:t>
      </w:r>
    </w:p>
    <w:p w14:paraId="71A1871A" w14:textId="77777777" w:rsidR="00CA18F7" w:rsidRDefault="00CA18F7" w:rsidP="00CA18F7">
      <w:pPr>
        <w:pBdr>
          <w:top w:val="single" w:sz="4" w:space="1" w:color="auto"/>
          <w:left w:val="single" w:sz="4" w:space="4" w:color="auto"/>
          <w:bottom w:val="single" w:sz="4" w:space="1" w:color="auto"/>
          <w:right w:val="single" w:sz="4" w:space="0" w:color="auto"/>
        </w:pBdr>
        <w:rPr>
          <w:b/>
          <w:bCs/>
        </w:rPr>
      </w:pPr>
    </w:p>
    <w:p w14:paraId="5CC8EF13" w14:textId="4F2BD7C4" w:rsidR="00CA18F7" w:rsidRDefault="00CA18F7" w:rsidP="00CA18F7">
      <w:pPr>
        <w:pBdr>
          <w:top w:val="single" w:sz="4" w:space="1" w:color="auto"/>
          <w:left w:val="single" w:sz="4" w:space="4" w:color="auto"/>
          <w:bottom w:val="single" w:sz="4" w:space="1" w:color="auto"/>
          <w:right w:val="single" w:sz="4" w:space="0" w:color="auto"/>
        </w:pBdr>
        <w:ind w:left="720" w:hanging="720"/>
        <w:rPr>
          <w:b/>
          <w:bCs/>
        </w:rPr>
      </w:pPr>
      <w:r w:rsidRPr="00AA6419">
        <w:rPr>
          <w:b/>
          <w:bCs/>
        </w:rPr>
        <w:t>8.14</w:t>
      </w:r>
      <w:r w:rsidRPr="00AA6419">
        <w:rPr>
          <w:b/>
          <w:bCs/>
        </w:rPr>
        <w:tab/>
        <w:t>recommends that the Executive Office clarifies the frequency and timing of updates to the SPG Performance Report, including the introduction of regular reporting cycles. These reports should set out progress against agreed outcomes and performance indicators, identify challenges and underperformance, and inform corrective action.</w:t>
      </w:r>
    </w:p>
    <w:p w14:paraId="1B2D1548" w14:textId="77777777" w:rsidR="00B723C4" w:rsidRDefault="00B723C4" w:rsidP="00CA18F7">
      <w:pPr>
        <w:pBdr>
          <w:top w:val="single" w:sz="4" w:space="1" w:color="auto"/>
          <w:left w:val="single" w:sz="4" w:space="4" w:color="auto"/>
          <w:bottom w:val="single" w:sz="4" w:space="1" w:color="auto"/>
          <w:right w:val="single" w:sz="4" w:space="0" w:color="auto"/>
        </w:pBdr>
        <w:ind w:left="720" w:hanging="720"/>
        <w:rPr>
          <w:b/>
          <w:bCs/>
        </w:rPr>
      </w:pPr>
    </w:p>
    <w:p w14:paraId="238884D8" w14:textId="77777777" w:rsidR="00CA18F7" w:rsidRDefault="00CA18F7" w:rsidP="00CA18F7"/>
    <w:p w14:paraId="1659C229" w14:textId="77777777" w:rsidR="00D6137E" w:rsidRDefault="00D6137E" w:rsidP="00CA18F7"/>
    <w:p w14:paraId="564D7A0E" w14:textId="77777777" w:rsidR="00D6137E" w:rsidRDefault="00D6137E" w:rsidP="00CA18F7"/>
    <w:p w14:paraId="4246D706" w14:textId="77777777" w:rsidR="00D6137E" w:rsidRDefault="00D6137E" w:rsidP="00CA18F7"/>
    <w:p w14:paraId="251620C9" w14:textId="77777777" w:rsidR="00D6137E" w:rsidRDefault="00D6137E" w:rsidP="00CA18F7"/>
    <w:p w14:paraId="454B2B72" w14:textId="77777777" w:rsidR="00D6137E" w:rsidRDefault="00D6137E" w:rsidP="00CA18F7"/>
    <w:p w14:paraId="18168CEA" w14:textId="77777777" w:rsidR="00D6137E" w:rsidRDefault="00D6137E" w:rsidP="00CA18F7"/>
    <w:p w14:paraId="6B8C4EFE" w14:textId="77777777" w:rsidR="00D6137E" w:rsidRDefault="00D6137E" w:rsidP="00CA18F7"/>
    <w:p w14:paraId="2E891597" w14:textId="77777777" w:rsidR="003A4D50" w:rsidRDefault="003A4D50">
      <w:pPr>
        <w:spacing w:line="240" w:lineRule="auto"/>
        <w:rPr>
          <w:rFonts w:eastAsiaTheme="majorEastAsia" w:cstheme="majorBidi"/>
          <w:b/>
          <w:color w:val="77328A"/>
          <w:sz w:val="30"/>
          <w:szCs w:val="32"/>
        </w:rPr>
      </w:pPr>
      <w:bookmarkStart w:id="1" w:name="_Toc230705732"/>
      <w:r>
        <w:br w:type="page"/>
      </w:r>
    </w:p>
    <w:p w14:paraId="1F577CFA" w14:textId="60015790" w:rsidR="00BD567E" w:rsidRPr="00B56194" w:rsidRDefault="00ED40E9" w:rsidP="00B56194">
      <w:pPr>
        <w:pStyle w:val="Heading1"/>
      </w:pPr>
      <w:r>
        <w:lastRenderedPageBreak/>
        <w:t>Introduction</w:t>
      </w:r>
      <w:bookmarkEnd w:id="1"/>
    </w:p>
    <w:p w14:paraId="6835B4CE" w14:textId="3B9CBE19" w:rsidR="00BD567E" w:rsidRDefault="00BD567E" w:rsidP="003060FD">
      <w:pPr>
        <w:pStyle w:val="BasicParagraph"/>
        <w:numPr>
          <w:ilvl w:val="1"/>
          <w:numId w:val="1"/>
        </w:numPr>
        <w:suppressAutoHyphens/>
        <w:ind w:left="709"/>
        <w:rPr>
          <w:rFonts w:ascii="Verdana" w:hAnsi="Verdana"/>
        </w:rPr>
      </w:pPr>
      <w:r w:rsidRPr="00BD567E">
        <w:rPr>
          <w:rFonts w:ascii="Verdana" w:hAnsi="Verdana"/>
        </w:rPr>
        <w:t>The Northern Ireland Human Rights Commission (NIHRC), pursuant to section 69(1)</w:t>
      </w:r>
      <w:r w:rsidR="0068217B">
        <w:rPr>
          <w:rFonts w:ascii="Verdana" w:hAnsi="Verdana"/>
        </w:rPr>
        <w:t xml:space="preserve"> </w:t>
      </w:r>
      <w:r w:rsidRPr="00BD567E">
        <w:rPr>
          <w:rFonts w:ascii="Verdana" w:hAnsi="Verdana"/>
        </w:rPr>
        <w:t>of the Northern Ireland (NI) Act 1998, reviews the adequacy and effectiveness of law and practice relating to the protection of human rights in N</w:t>
      </w:r>
      <w:r w:rsidR="006E6456">
        <w:rPr>
          <w:rFonts w:ascii="Verdana" w:hAnsi="Verdana"/>
        </w:rPr>
        <w:t xml:space="preserve">orthern </w:t>
      </w:r>
      <w:r w:rsidRPr="00BD567E">
        <w:rPr>
          <w:rFonts w:ascii="Verdana" w:hAnsi="Verdana"/>
        </w:rPr>
        <w:t>I</w:t>
      </w:r>
      <w:r w:rsidR="006E6456">
        <w:rPr>
          <w:rFonts w:ascii="Verdana" w:hAnsi="Verdana"/>
        </w:rPr>
        <w:t>reland</w:t>
      </w:r>
      <w:r w:rsidRPr="00BD567E">
        <w:rPr>
          <w:rFonts w:ascii="Verdana" w:hAnsi="Verdana"/>
        </w:rPr>
        <w:t xml:space="preserve">. The NIHRC is also </w:t>
      </w:r>
      <w:r w:rsidR="000035D8">
        <w:rPr>
          <w:rFonts w:ascii="Verdana" w:hAnsi="Verdana"/>
        </w:rPr>
        <w:t>required</w:t>
      </w:r>
      <w:r w:rsidRPr="00BD567E">
        <w:rPr>
          <w:rFonts w:ascii="Verdana" w:hAnsi="Verdana"/>
        </w:rPr>
        <w:t>, under section 78A(1)</w:t>
      </w:r>
      <w:r w:rsidR="000035D8">
        <w:rPr>
          <w:rFonts w:ascii="Verdana" w:hAnsi="Verdana"/>
        </w:rPr>
        <w:t>,</w:t>
      </w:r>
      <w:r w:rsidRPr="00BD567E">
        <w:rPr>
          <w:rFonts w:ascii="Verdana" w:hAnsi="Verdana"/>
        </w:rPr>
        <w:t xml:space="preserve"> to monitor the implementation of Article 2(1)</w:t>
      </w:r>
      <w:r w:rsidR="00B25492">
        <w:rPr>
          <w:rFonts w:ascii="Verdana" w:hAnsi="Verdana"/>
        </w:rPr>
        <w:t xml:space="preserve"> </w:t>
      </w:r>
      <w:r w:rsidRPr="00BD567E">
        <w:rPr>
          <w:rFonts w:ascii="Verdana" w:hAnsi="Verdana"/>
        </w:rPr>
        <w:t>of the Windsor Framework</w:t>
      </w:r>
      <w:r w:rsidR="00DA4D5E">
        <w:rPr>
          <w:rFonts w:ascii="Verdana" w:hAnsi="Verdana"/>
        </w:rPr>
        <w:t>.</w:t>
      </w:r>
      <w:r w:rsidR="00B342C5">
        <w:rPr>
          <w:rStyle w:val="FootnoteReference"/>
          <w:rFonts w:ascii="Verdana" w:hAnsi="Verdana"/>
        </w:rPr>
        <w:footnoteReference w:id="2"/>
      </w:r>
      <w:r w:rsidRPr="00BD567E">
        <w:rPr>
          <w:rFonts w:ascii="Verdana" w:hAnsi="Verdana"/>
        </w:rPr>
        <w:t xml:space="preserve"> In accordance with these functions, the following evidence is submitted to the </w:t>
      </w:r>
      <w:r>
        <w:rPr>
          <w:rFonts w:ascii="Verdana" w:hAnsi="Verdana"/>
        </w:rPr>
        <w:t xml:space="preserve">Executive Office in response to its consultation on the </w:t>
      </w:r>
      <w:r w:rsidR="00F1102E">
        <w:rPr>
          <w:rFonts w:ascii="Verdana" w:hAnsi="Verdana"/>
        </w:rPr>
        <w:t>R</w:t>
      </w:r>
      <w:r>
        <w:rPr>
          <w:rFonts w:ascii="Verdana" w:hAnsi="Verdana"/>
        </w:rPr>
        <w:t>eview of the</w:t>
      </w:r>
      <w:r w:rsidR="003E0AEA">
        <w:rPr>
          <w:rFonts w:ascii="Verdana" w:hAnsi="Verdana"/>
        </w:rPr>
        <w:t xml:space="preserve"> </w:t>
      </w:r>
      <w:r w:rsidR="00A96491" w:rsidRPr="00D703D7">
        <w:rPr>
          <w:rFonts w:ascii="Verdana" w:hAnsi="Verdana"/>
        </w:rPr>
        <w:t>Framework for Race Relations</w:t>
      </w:r>
      <w:r w:rsidRPr="00D703D7">
        <w:rPr>
          <w:rFonts w:ascii="Verdana" w:hAnsi="Verdana"/>
        </w:rPr>
        <w:t>.</w:t>
      </w:r>
    </w:p>
    <w:p w14:paraId="177AC4C9" w14:textId="77777777" w:rsidR="00813BC7" w:rsidRDefault="00813BC7" w:rsidP="00813BC7">
      <w:pPr>
        <w:pStyle w:val="BasicParagraph"/>
        <w:suppressAutoHyphens/>
        <w:ind w:left="709"/>
        <w:rPr>
          <w:rFonts w:ascii="Verdana" w:hAnsi="Verdana"/>
        </w:rPr>
      </w:pPr>
    </w:p>
    <w:p w14:paraId="09C9C9EF" w14:textId="396B269A" w:rsidR="00813BC7" w:rsidRDefault="00813BC7" w:rsidP="003060FD">
      <w:pPr>
        <w:pStyle w:val="BasicParagraph"/>
        <w:numPr>
          <w:ilvl w:val="1"/>
          <w:numId w:val="1"/>
        </w:numPr>
        <w:suppressAutoHyphens/>
        <w:ind w:left="709"/>
        <w:rPr>
          <w:rFonts w:ascii="Verdana" w:hAnsi="Verdana"/>
        </w:rPr>
      </w:pPr>
      <w:r w:rsidRPr="00813BC7">
        <w:rPr>
          <w:rFonts w:ascii="Verdana" w:hAnsi="Verdana"/>
        </w:rPr>
        <w:t>The NIHRC bases its advice on the full range of internationally accepted human rights standards, including the European Convention on Human Rights, as incorporated by the Human Rights Act 1998, and the treaty obligations of the Council of Europe (CoE) and United Nations (UN). The relevant regional and international treaties in this context include:</w:t>
      </w:r>
    </w:p>
    <w:p w14:paraId="3F98DB91" w14:textId="77777777" w:rsidR="00813BC7" w:rsidRDefault="00813BC7" w:rsidP="00813BC7">
      <w:pPr>
        <w:pStyle w:val="ListParagraph"/>
      </w:pPr>
    </w:p>
    <w:p w14:paraId="259E2908" w14:textId="46FE68DC" w:rsidR="00813BC7" w:rsidRPr="00287262" w:rsidRDefault="005C42D9" w:rsidP="003060FD">
      <w:pPr>
        <w:pStyle w:val="BasicParagraph"/>
        <w:numPr>
          <w:ilvl w:val="2"/>
          <w:numId w:val="1"/>
        </w:numPr>
        <w:suppressAutoHyphens/>
        <w:rPr>
          <w:rFonts w:ascii="Verdana" w:hAnsi="Verdana"/>
        </w:rPr>
      </w:pPr>
      <w:r w:rsidRPr="00287262">
        <w:rPr>
          <w:rFonts w:ascii="Verdana" w:hAnsi="Verdana"/>
        </w:rPr>
        <w:t>CoE European Convention on Human Rights 1950</w:t>
      </w:r>
      <w:r w:rsidR="007E02BA" w:rsidRPr="00287262">
        <w:rPr>
          <w:rFonts w:ascii="Verdana" w:hAnsi="Verdana"/>
        </w:rPr>
        <w:t xml:space="preserve"> (ECHR);</w:t>
      </w:r>
      <w:r w:rsidR="00E75C92" w:rsidRPr="00287262">
        <w:rPr>
          <w:rStyle w:val="FootnoteReference"/>
          <w:rFonts w:ascii="Verdana" w:eastAsia="Times New Roman" w:hAnsi="Verdana"/>
          <w:szCs w:val="22"/>
        </w:rPr>
        <w:footnoteReference w:id="3"/>
      </w:r>
    </w:p>
    <w:p w14:paraId="50879AEE" w14:textId="3B5D6551" w:rsidR="007E02BA" w:rsidRDefault="007E02BA" w:rsidP="003060FD">
      <w:pPr>
        <w:pStyle w:val="BasicParagraph"/>
        <w:numPr>
          <w:ilvl w:val="2"/>
          <w:numId w:val="1"/>
        </w:numPr>
        <w:suppressAutoHyphens/>
        <w:rPr>
          <w:rFonts w:ascii="Verdana" w:hAnsi="Verdana"/>
        </w:rPr>
      </w:pPr>
      <w:r w:rsidRPr="00287262">
        <w:rPr>
          <w:rFonts w:ascii="Verdana" w:hAnsi="Verdana"/>
        </w:rPr>
        <w:t>CoE European Social Charter 1961;</w:t>
      </w:r>
      <w:r w:rsidR="004B28B0" w:rsidRPr="00287262">
        <w:rPr>
          <w:rStyle w:val="FootnoteReference"/>
          <w:rFonts w:ascii="Verdana" w:eastAsia="Times New Roman" w:hAnsi="Verdana"/>
          <w:szCs w:val="22"/>
        </w:rPr>
        <w:footnoteReference w:id="4"/>
      </w:r>
    </w:p>
    <w:p w14:paraId="7282E285" w14:textId="1901D468" w:rsidR="005208F0" w:rsidRPr="008F2D7A" w:rsidRDefault="005208F0" w:rsidP="008F2D7A">
      <w:pPr>
        <w:pStyle w:val="BasicParagraph"/>
        <w:numPr>
          <w:ilvl w:val="2"/>
          <w:numId w:val="1"/>
        </w:numPr>
        <w:suppressAutoHyphens/>
        <w:rPr>
          <w:rFonts w:ascii="Verdana" w:hAnsi="Verdana"/>
        </w:rPr>
      </w:pPr>
      <w:r w:rsidRPr="008F2D7A">
        <w:rPr>
          <w:rFonts w:ascii="Verdana" w:hAnsi="Verdana"/>
        </w:rPr>
        <w:t xml:space="preserve">CoE </w:t>
      </w:r>
      <w:r w:rsidR="008F2D7A" w:rsidRPr="008F2D7A">
        <w:rPr>
          <w:rFonts w:ascii="Verdana" w:hAnsi="Verdana"/>
          <w:lang w:val="en"/>
        </w:rPr>
        <w:t>Framework Convention for the Protection of National Minorities</w:t>
      </w:r>
      <w:r w:rsidR="008F2D7A">
        <w:rPr>
          <w:rFonts w:ascii="Verdana" w:hAnsi="Verdana"/>
          <w:lang w:val="en"/>
        </w:rPr>
        <w:t>;</w:t>
      </w:r>
      <w:r w:rsidR="008F2D7A">
        <w:rPr>
          <w:rStyle w:val="FootnoteReference"/>
          <w:rFonts w:ascii="Verdana" w:hAnsi="Verdana"/>
          <w:lang w:val="en"/>
        </w:rPr>
        <w:footnoteReference w:id="5"/>
      </w:r>
    </w:p>
    <w:p w14:paraId="6083AAC4" w14:textId="3320DEBA" w:rsidR="007E02BA" w:rsidRPr="00287262" w:rsidRDefault="007E02BA" w:rsidP="003060FD">
      <w:pPr>
        <w:pStyle w:val="BasicParagraph"/>
        <w:numPr>
          <w:ilvl w:val="2"/>
          <w:numId w:val="1"/>
        </w:numPr>
        <w:suppressAutoHyphens/>
        <w:rPr>
          <w:rFonts w:ascii="Verdana" w:hAnsi="Verdana"/>
        </w:rPr>
      </w:pPr>
      <w:r w:rsidRPr="00287262">
        <w:rPr>
          <w:rFonts w:ascii="Verdana" w:hAnsi="Verdana"/>
        </w:rPr>
        <w:t>UN Convention on the Elimination of All Forms of Racial Discrimination 1965 (UN CERD);</w:t>
      </w:r>
      <w:r w:rsidR="008F2106" w:rsidRPr="00287262">
        <w:rPr>
          <w:rStyle w:val="FootnoteReference"/>
          <w:rFonts w:ascii="Verdana" w:eastAsia="Times New Roman" w:hAnsi="Verdana"/>
          <w:szCs w:val="22"/>
        </w:rPr>
        <w:footnoteReference w:id="6"/>
      </w:r>
    </w:p>
    <w:p w14:paraId="2F7CA81F" w14:textId="56FB5BF7" w:rsidR="007E02BA" w:rsidRPr="00287262" w:rsidRDefault="007E02BA" w:rsidP="003060FD">
      <w:pPr>
        <w:pStyle w:val="BasicParagraph"/>
        <w:numPr>
          <w:ilvl w:val="2"/>
          <w:numId w:val="1"/>
        </w:numPr>
        <w:suppressAutoHyphens/>
        <w:rPr>
          <w:rFonts w:ascii="Verdana" w:hAnsi="Verdana"/>
        </w:rPr>
      </w:pPr>
      <w:r w:rsidRPr="00287262">
        <w:rPr>
          <w:rFonts w:ascii="Verdana" w:hAnsi="Verdana"/>
        </w:rPr>
        <w:t>UN International Covenant on Civil and Political Rights 1966 (UN ICCPR);</w:t>
      </w:r>
      <w:r w:rsidR="007B00A5" w:rsidRPr="00287262">
        <w:rPr>
          <w:rStyle w:val="FootnoteReference"/>
          <w:rFonts w:ascii="Verdana" w:eastAsia="Times New Roman" w:hAnsi="Verdana"/>
          <w:szCs w:val="22"/>
        </w:rPr>
        <w:footnoteReference w:id="7"/>
      </w:r>
    </w:p>
    <w:p w14:paraId="20BA6296" w14:textId="005FC1E4" w:rsidR="007E02BA" w:rsidRPr="00287262" w:rsidRDefault="007E02BA" w:rsidP="003060FD">
      <w:pPr>
        <w:pStyle w:val="BasicParagraph"/>
        <w:numPr>
          <w:ilvl w:val="2"/>
          <w:numId w:val="1"/>
        </w:numPr>
        <w:suppressAutoHyphens/>
        <w:rPr>
          <w:rFonts w:ascii="Verdana" w:hAnsi="Verdana"/>
        </w:rPr>
      </w:pPr>
      <w:r w:rsidRPr="00287262">
        <w:rPr>
          <w:rFonts w:ascii="Verdana" w:hAnsi="Verdana"/>
        </w:rPr>
        <w:t>UN International Covenant on Economic, Social and Cultural Rights 1966 (UN ICESCR);</w:t>
      </w:r>
      <w:r w:rsidR="00F00558" w:rsidRPr="00287262">
        <w:rPr>
          <w:rStyle w:val="FootnoteReference"/>
          <w:rFonts w:ascii="Verdana" w:eastAsia="Times New Roman" w:hAnsi="Verdana"/>
          <w:szCs w:val="22"/>
        </w:rPr>
        <w:footnoteReference w:id="8"/>
      </w:r>
    </w:p>
    <w:p w14:paraId="6DF02B63" w14:textId="6DEE41F1" w:rsidR="003A3BC5" w:rsidRPr="00287262" w:rsidRDefault="003A3BC5" w:rsidP="003060FD">
      <w:pPr>
        <w:pStyle w:val="BasicParagraph"/>
        <w:numPr>
          <w:ilvl w:val="2"/>
          <w:numId w:val="1"/>
        </w:numPr>
        <w:suppressAutoHyphens/>
        <w:rPr>
          <w:rFonts w:ascii="Verdana" w:hAnsi="Verdana"/>
        </w:rPr>
      </w:pPr>
      <w:r w:rsidRPr="00287262">
        <w:rPr>
          <w:rFonts w:ascii="Verdana" w:hAnsi="Verdana"/>
        </w:rPr>
        <w:t>UN Convention on the Elimination of All Forms of Discrimination Against Women 1981 (UN CEDAW);</w:t>
      </w:r>
      <w:r w:rsidR="000A3822" w:rsidRPr="00287262">
        <w:rPr>
          <w:rStyle w:val="FootnoteReference"/>
          <w:rFonts w:ascii="Verdana" w:eastAsia="Times New Roman" w:hAnsi="Verdana"/>
          <w:szCs w:val="22"/>
        </w:rPr>
        <w:footnoteReference w:id="9"/>
      </w:r>
    </w:p>
    <w:p w14:paraId="77A54FC7" w14:textId="7F559FDE" w:rsidR="003A3BC5" w:rsidRPr="00287262" w:rsidRDefault="003A3BC5" w:rsidP="003060FD">
      <w:pPr>
        <w:pStyle w:val="BasicParagraph"/>
        <w:numPr>
          <w:ilvl w:val="2"/>
          <w:numId w:val="1"/>
        </w:numPr>
        <w:suppressAutoHyphens/>
        <w:rPr>
          <w:rFonts w:ascii="Verdana" w:hAnsi="Verdana"/>
        </w:rPr>
      </w:pPr>
      <w:r w:rsidRPr="00287262">
        <w:rPr>
          <w:rFonts w:ascii="Verdana" w:hAnsi="Verdana"/>
        </w:rPr>
        <w:t>UN Convention on the Rights of the Child 1989 (UN CRC);</w:t>
      </w:r>
      <w:r w:rsidR="00D5445D" w:rsidRPr="00287262">
        <w:rPr>
          <w:rStyle w:val="FootnoteReference"/>
          <w:rFonts w:ascii="Verdana" w:eastAsia="Times New Roman" w:hAnsi="Verdana"/>
          <w:szCs w:val="22"/>
        </w:rPr>
        <w:footnoteReference w:id="10"/>
      </w:r>
    </w:p>
    <w:p w14:paraId="3F12E03B" w14:textId="5921F4D4" w:rsidR="00BD567E" w:rsidRDefault="003A3BC5" w:rsidP="003060FD">
      <w:pPr>
        <w:pStyle w:val="BasicParagraph"/>
        <w:numPr>
          <w:ilvl w:val="2"/>
          <w:numId w:val="1"/>
        </w:numPr>
        <w:suppressAutoHyphens/>
        <w:rPr>
          <w:rFonts w:ascii="Verdana" w:hAnsi="Verdana"/>
        </w:rPr>
      </w:pPr>
      <w:r w:rsidRPr="00287262">
        <w:rPr>
          <w:rFonts w:ascii="Verdana" w:hAnsi="Verdana"/>
        </w:rPr>
        <w:lastRenderedPageBreak/>
        <w:t>UN Convention on the Rights of Persons with Disabilities 2006 (UN CRPD).</w:t>
      </w:r>
      <w:r w:rsidR="00287262" w:rsidRPr="00287262">
        <w:rPr>
          <w:rStyle w:val="FootnoteReference"/>
          <w:rFonts w:ascii="Verdana" w:eastAsia="Times New Roman" w:hAnsi="Verdana"/>
          <w:szCs w:val="22"/>
        </w:rPr>
        <w:footnoteReference w:id="11"/>
      </w:r>
    </w:p>
    <w:p w14:paraId="34474A5A" w14:textId="77777777" w:rsidR="00D33F3A" w:rsidRPr="00D33F3A" w:rsidRDefault="00D33F3A" w:rsidP="00D33F3A">
      <w:pPr>
        <w:pStyle w:val="BasicParagraph"/>
        <w:suppressAutoHyphens/>
        <w:ind w:left="1800"/>
        <w:rPr>
          <w:rFonts w:ascii="Verdana" w:hAnsi="Verdana"/>
        </w:rPr>
      </w:pPr>
    </w:p>
    <w:p w14:paraId="151674D0" w14:textId="501D402E" w:rsidR="00813BC7" w:rsidRDefault="00813BC7" w:rsidP="003060FD">
      <w:pPr>
        <w:pStyle w:val="BasicParagraph"/>
        <w:numPr>
          <w:ilvl w:val="1"/>
          <w:numId w:val="1"/>
        </w:numPr>
        <w:suppressAutoHyphens/>
        <w:ind w:left="709"/>
        <w:rPr>
          <w:rFonts w:ascii="Verdana" w:hAnsi="Verdana"/>
        </w:rPr>
      </w:pPr>
      <w:r>
        <w:rPr>
          <w:rFonts w:ascii="Verdana" w:hAnsi="Verdana"/>
        </w:rPr>
        <w:t xml:space="preserve">In addition to these treaty </w:t>
      </w:r>
      <w:r w:rsidR="006E6456">
        <w:rPr>
          <w:rFonts w:ascii="Verdana" w:hAnsi="Verdana"/>
        </w:rPr>
        <w:t>obligations</w:t>
      </w:r>
      <w:r>
        <w:rPr>
          <w:rFonts w:ascii="Verdana" w:hAnsi="Verdana"/>
        </w:rPr>
        <w:t>, the following declarations and principles provide further guidance</w:t>
      </w:r>
      <w:r w:rsidR="000035D8">
        <w:rPr>
          <w:rFonts w:ascii="Verdana" w:hAnsi="Verdana"/>
        </w:rPr>
        <w:t>, and are often used as an aid to interpretation,</w:t>
      </w:r>
      <w:r>
        <w:rPr>
          <w:rFonts w:ascii="Verdana" w:hAnsi="Verdana"/>
        </w:rPr>
        <w:t xml:space="preserve"> in respect of specific areas:</w:t>
      </w:r>
    </w:p>
    <w:p w14:paraId="5E818284" w14:textId="77777777" w:rsidR="0094148E" w:rsidRPr="003E74F1" w:rsidRDefault="0094148E" w:rsidP="0094148E">
      <w:pPr>
        <w:pStyle w:val="BasicParagraph"/>
        <w:suppressAutoHyphens/>
        <w:ind w:left="709"/>
        <w:rPr>
          <w:rFonts w:ascii="Verdana" w:hAnsi="Verdana"/>
          <w:color w:val="auto"/>
        </w:rPr>
      </w:pPr>
    </w:p>
    <w:p w14:paraId="1EAF72BD" w14:textId="77777777" w:rsidR="00E45AC3" w:rsidRPr="008251E7" w:rsidRDefault="00E45AC3" w:rsidP="003E74F1">
      <w:pPr>
        <w:pStyle w:val="NIHRCFootnotes"/>
        <w:numPr>
          <w:ilvl w:val="0"/>
          <w:numId w:val="4"/>
        </w:numPr>
        <w:spacing w:line="288" w:lineRule="auto"/>
        <w:ind w:left="1418"/>
        <w:rPr>
          <w:color w:val="auto"/>
          <w:sz w:val="24"/>
          <w:szCs w:val="24"/>
        </w:rPr>
      </w:pPr>
      <w:r w:rsidRPr="008251E7">
        <w:rPr>
          <w:color w:val="auto"/>
          <w:sz w:val="24"/>
          <w:szCs w:val="24"/>
        </w:rPr>
        <w:t>UN Committee on the Elimination of All Forms of Discrimination Against Women (UN CEDAW Committee) General Recommendation No 6;</w:t>
      </w:r>
      <w:r w:rsidRPr="008251E7">
        <w:rPr>
          <w:rStyle w:val="FootnoteReference"/>
          <w:color w:val="auto"/>
          <w:sz w:val="24"/>
          <w:szCs w:val="24"/>
        </w:rPr>
        <w:footnoteReference w:id="12"/>
      </w:r>
    </w:p>
    <w:p w14:paraId="4BD1832B" w14:textId="77777777" w:rsidR="00E45AC3" w:rsidRPr="008251E7" w:rsidRDefault="00E45AC3" w:rsidP="003E74F1">
      <w:pPr>
        <w:pStyle w:val="NIHRCFootnotes"/>
        <w:numPr>
          <w:ilvl w:val="0"/>
          <w:numId w:val="4"/>
        </w:numPr>
        <w:spacing w:line="288" w:lineRule="auto"/>
        <w:ind w:left="1418"/>
        <w:rPr>
          <w:color w:val="auto"/>
          <w:sz w:val="24"/>
          <w:szCs w:val="24"/>
        </w:rPr>
      </w:pPr>
      <w:r w:rsidRPr="008251E7">
        <w:rPr>
          <w:color w:val="auto"/>
          <w:sz w:val="24"/>
          <w:szCs w:val="24"/>
        </w:rPr>
        <w:t>UN Committee on Economic, Social and Cultural Rights (UN ICESCR Committee) General Comment No 13;</w:t>
      </w:r>
      <w:r w:rsidRPr="008251E7">
        <w:rPr>
          <w:rStyle w:val="FootnoteReference"/>
          <w:color w:val="auto"/>
          <w:sz w:val="24"/>
          <w:szCs w:val="24"/>
        </w:rPr>
        <w:footnoteReference w:id="13"/>
      </w:r>
    </w:p>
    <w:p w14:paraId="3FA1DF8A" w14:textId="77777777" w:rsidR="00E45AC3" w:rsidRPr="008251E7" w:rsidRDefault="00E45AC3" w:rsidP="003E74F1">
      <w:pPr>
        <w:pStyle w:val="NIHRCFootnotes"/>
        <w:numPr>
          <w:ilvl w:val="0"/>
          <w:numId w:val="4"/>
        </w:numPr>
        <w:spacing w:line="288" w:lineRule="auto"/>
        <w:ind w:left="1418"/>
        <w:rPr>
          <w:color w:val="auto"/>
          <w:sz w:val="24"/>
          <w:szCs w:val="24"/>
        </w:rPr>
      </w:pPr>
      <w:r w:rsidRPr="008251E7">
        <w:rPr>
          <w:color w:val="auto"/>
          <w:sz w:val="24"/>
          <w:szCs w:val="24"/>
        </w:rPr>
        <w:t>UN ICESCR Committee General Comment No 1;</w:t>
      </w:r>
      <w:r w:rsidRPr="008251E7">
        <w:rPr>
          <w:rStyle w:val="FootnoteReference"/>
          <w:color w:val="auto"/>
          <w:sz w:val="24"/>
          <w:szCs w:val="24"/>
        </w:rPr>
        <w:footnoteReference w:id="14"/>
      </w:r>
    </w:p>
    <w:p w14:paraId="40097F95" w14:textId="77777777" w:rsidR="00E45AC3" w:rsidRPr="008251E7" w:rsidRDefault="00E45AC3" w:rsidP="003E74F1">
      <w:pPr>
        <w:pStyle w:val="NIHRCFootnotes"/>
        <w:numPr>
          <w:ilvl w:val="0"/>
          <w:numId w:val="4"/>
        </w:numPr>
        <w:spacing w:line="288" w:lineRule="auto"/>
        <w:ind w:left="1418"/>
        <w:rPr>
          <w:color w:val="auto"/>
          <w:sz w:val="24"/>
          <w:szCs w:val="24"/>
        </w:rPr>
      </w:pPr>
      <w:r w:rsidRPr="008251E7">
        <w:rPr>
          <w:color w:val="auto"/>
          <w:sz w:val="24"/>
          <w:szCs w:val="24"/>
        </w:rPr>
        <w:t>UN ICESCR Committee General Comment No 3;</w:t>
      </w:r>
      <w:r w:rsidRPr="008251E7">
        <w:rPr>
          <w:rStyle w:val="FootnoteReference"/>
          <w:color w:val="auto"/>
          <w:sz w:val="24"/>
          <w:szCs w:val="24"/>
        </w:rPr>
        <w:footnoteReference w:id="15"/>
      </w:r>
    </w:p>
    <w:p w14:paraId="477057C9" w14:textId="77777777" w:rsidR="00E45AC3" w:rsidRPr="008251E7" w:rsidRDefault="00E45AC3" w:rsidP="003E74F1">
      <w:pPr>
        <w:pStyle w:val="NIHRCFootnotes"/>
        <w:numPr>
          <w:ilvl w:val="0"/>
          <w:numId w:val="4"/>
        </w:numPr>
        <w:spacing w:line="288" w:lineRule="auto"/>
        <w:ind w:left="1418"/>
        <w:rPr>
          <w:color w:val="auto"/>
          <w:sz w:val="24"/>
          <w:szCs w:val="24"/>
        </w:rPr>
      </w:pPr>
      <w:r w:rsidRPr="008251E7">
        <w:rPr>
          <w:color w:val="auto"/>
          <w:sz w:val="24"/>
          <w:szCs w:val="24"/>
        </w:rPr>
        <w:t>UN ICESCR Committee General Comment No 14;</w:t>
      </w:r>
      <w:r w:rsidRPr="008251E7">
        <w:rPr>
          <w:rStyle w:val="FootnoteReference"/>
          <w:color w:val="auto"/>
          <w:sz w:val="24"/>
          <w:szCs w:val="24"/>
        </w:rPr>
        <w:footnoteReference w:id="16"/>
      </w:r>
    </w:p>
    <w:p w14:paraId="3BE49FFF" w14:textId="77777777" w:rsidR="00E45AC3" w:rsidRPr="008251E7" w:rsidRDefault="00E45AC3" w:rsidP="003E74F1">
      <w:pPr>
        <w:pStyle w:val="NIHRCFootnotes"/>
        <w:numPr>
          <w:ilvl w:val="0"/>
          <w:numId w:val="4"/>
        </w:numPr>
        <w:spacing w:line="288" w:lineRule="auto"/>
        <w:ind w:left="1418"/>
        <w:rPr>
          <w:color w:val="auto"/>
          <w:sz w:val="24"/>
          <w:szCs w:val="24"/>
        </w:rPr>
      </w:pPr>
      <w:r w:rsidRPr="008251E7">
        <w:rPr>
          <w:color w:val="auto"/>
          <w:sz w:val="24"/>
          <w:szCs w:val="24"/>
        </w:rPr>
        <w:t>UN Committee on the Elimination of All Forms of Racial Discrimination (UN CERD Committee) General Recommendation No 29;</w:t>
      </w:r>
      <w:r w:rsidRPr="008251E7">
        <w:rPr>
          <w:rStyle w:val="FootnoteReference"/>
          <w:color w:val="auto"/>
          <w:sz w:val="24"/>
          <w:szCs w:val="24"/>
        </w:rPr>
        <w:footnoteReference w:id="17"/>
      </w:r>
    </w:p>
    <w:p w14:paraId="4CDADBA4" w14:textId="77777777" w:rsidR="00E45AC3" w:rsidRPr="008251E7" w:rsidRDefault="00E45AC3" w:rsidP="003E74F1">
      <w:pPr>
        <w:pStyle w:val="NIHRCFootnotes"/>
        <w:numPr>
          <w:ilvl w:val="0"/>
          <w:numId w:val="4"/>
        </w:numPr>
        <w:spacing w:line="288" w:lineRule="auto"/>
        <w:ind w:left="1418"/>
        <w:rPr>
          <w:color w:val="auto"/>
          <w:sz w:val="24"/>
          <w:szCs w:val="24"/>
        </w:rPr>
      </w:pPr>
      <w:r w:rsidRPr="008251E7">
        <w:rPr>
          <w:color w:val="auto"/>
          <w:sz w:val="24"/>
          <w:szCs w:val="24"/>
        </w:rPr>
        <w:t>UN Committee on the Rights of the Child (UN CRC Committee) General Comment No 5;</w:t>
      </w:r>
      <w:r w:rsidRPr="008251E7">
        <w:rPr>
          <w:rStyle w:val="FootnoteReference"/>
          <w:color w:val="auto"/>
          <w:sz w:val="24"/>
          <w:szCs w:val="24"/>
        </w:rPr>
        <w:footnoteReference w:id="18"/>
      </w:r>
    </w:p>
    <w:p w14:paraId="032912E6" w14:textId="77777777" w:rsidR="00E45AC3" w:rsidRPr="008251E7" w:rsidRDefault="00E45AC3" w:rsidP="003E74F1">
      <w:pPr>
        <w:pStyle w:val="NIHRCFootnotes"/>
        <w:numPr>
          <w:ilvl w:val="0"/>
          <w:numId w:val="4"/>
        </w:numPr>
        <w:spacing w:line="288" w:lineRule="auto"/>
        <w:ind w:left="1418"/>
        <w:rPr>
          <w:color w:val="auto"/>
          <w:sz w:val="24"/>
          <w:szCs w:val="24"/>
        </w:rPr>
      </w:pPr>
      <w:r w:rsidRPr="008251E7">
        <w:rPr>
          <w:color w:val="auto"/>
          <w:sz w:val="24"/>
          <w:szCs w:val="24"/>
        </w:rPr>
        <w:t>UN ICESCR Committee General Comment No 19;</w:t>
      </w:r>
      <w:r w:rsidRPr="008251E7">
        <w:rPr>
          <w:rStyle w:val="FootnoteReference"/>
          <w:color w:val="auto"/>
          <w:sz w:val="24"/>
          <w:szCs w:val="24"/>
        </w:rPr>
        <w:footnoteReference w:id="19"/>
      </w:r>
    </w:p>
    <w:p w14:paraId="59C6BFBE" w14:textId="77777777" w:rsidR="00E45AC3" w:rsidRPr="008251E7" w:rsidRDefault="00E45AC3" w:rsidP="003E74F1">
      <w:pPr>
        <w:pStyle w:val="NIHRCFootnotes"/>
        <w:numPr>
          <w:ilvl w:val="0"/>
          <w:numId w:val="4"/>
        </w:numPr>
        <w:spacing w:line="288" w:lineRule="auto"/>
        <w:ind w:left="1418"/>
        <w:rPr>
          <w:color w:val="auto"/>
          <w:sz w:val="24"/>
          <w:szCs w:val="24"/>
        </w:rPr>
      </w:pPr>
      <w:r w:rsidRPr="008251E7">
        <w:rPr>
          <w:color w:val="auto"/>
          <w:sz w:val="24"/>
          <w:szCs w:val="24"/>
        </w:rPr>
        <w:t>UN ICESCR Committee General Comment No 20;</w:t>
      </w:r>
      <w:r w:rsidRPr="008251E7">
        <w:rPr>
          <w:rStyle w:val="FootnoteReference"/>
          <w:color w:val="auto"/>
          <w:sz w:val="24"/>
          <w:szCs w:val="24"/>
        </w:rPr>
        <w:footnoteReference w:id="20"/>
      </w:r>
    </w:p>
    <w:p w14:paraId="5CDD8FD2" w14:textId="4290165D" w:rsidR="00A51D0C" w:rsidRPr="002C7126" w:rsidRDefault="00E45AC3" w:rsidP="002C7126">
      <w:pPr>
        <w:pStyle w:val="NIHRCFootnotes"/>
        <w:numPr>
          <w:ilvl w:val="0"/>
          <w:numId w:val="4"/>
        </w:numPr>
        <w:spacing w:line="288" w:lineRule="auto"/>
        <w:ind w:left="1418"/>
        <w:rPr>
          <w:color w:val="auto"/>
          <w:sz w:val="24"/>
          <w:szCs w:val="24"/>
        </w:rPr>
      </w:pPr>
      <w:r w:rsidRPr="008251E7">
        <w:rPr>
          <w:color w:val="auto"/>
          <w:sz w:val="24"/>
          <w:szCs w:val="24"/>
        </w:rPr>
        <w:t>UN ICESCR Committee General Comment No 23;</w:t>
      </w:r>
      <w:r w:rsidRPr="008251E7">
        <w:rPr>
          <w:rStyle w:val="FootnoteReference"/>
          <w:color w:val="auto"/>
          <w:sz w:val="24"/>
          <w:szCs w:val="24"/>
        </w:rPr>
        <w:footnoteReference w:id="21"/>
      </w:r>
      <w:r w:rsidRPr="008251E7">
        <w:rPr>
          <w:color w:val="auto"/>
          <w:sz w:val="24"/>
          <w:szCs w:val="24"/>
        </w:rPr>
        <w:t xml:space="preserve"> </w:t>
      </w:r>
    </w:p>
    <w:p w14:paraId="58CCD586" w14:textId="77777777" w:rsidR="00E45AC3" w:rsidRPr="008251E7" w:rsidRDefault="00E45AC3" w:rsidP="003E74F1">
      <w:pPr>
        <w:pStyle w:val="NIHRCFootnotes"/>
        <w:numPr>
          <w:ilvl w:val="0"/>
          <w:numId w:val="4"/>
        </w:numPr>
        <w:spacing w:line="288" w:lineRule="auto"/>
        <w:ind w:left="1418"/>
        <w:rPr>
          <w:color w:val="auto"/>
          <w:sz w:val="24"/>
          <w:szCs w:val="24"/>
        </w:rPr>
      </w:pPr>
      <w:r w:rsidRPr="008251E7">
        <w:rPr>
          <w:color w:val="auto"/>
          <w:sz w:val="24"/>
          <w:szCs w:val="24"/>
        </w:rPr>
        <w:t>UN CRC Committee Concluding Observations on the UK 2016;</w:t>
      </w:r>
      <w:r w:rsidRPr="008251E7">
        <w:rPr>
          <w:rStyle w:val="FootnoteReference"/>
          <w:color w:val="auto"/>
          <w:sz w:val="24"/>
          <w:szCs w:val="24"/>
        </w:rPr>
        <w:footnoteReference w:id="22"/>
      </w:r>
    </w:p>
    <w:p w14:paraId="45284A0D" w14:textId="77777777" w:rsidR="00E45AC3" w:rsidRPr="008251E7" w:rsidRDefault="00E45AC3" w:rsidP="003E74F1">
      <w:pPr>
        <w:pStyle w:val="NIHRCFootnotes"/>
        <w:numPr>
          <w:ilvl w:val="0"/>
          <w:numId w:val="4"/>
        </w:numPr>
        <w:spacing w:line="288" w:lineRule="auto"/>
        <w:ind w:left="1418"/>
        <w:rPr>
          <w:color w:val="auto"/>
          <w:sz w:val="24"/>
          <w:szCs w:val="24"/>
        </w:rPr>
      </w:pPr>
      <w:r w:rsidRPr="008251E7">
        <w:rPr>
          <w:color w:val="auto"/>
          <w:sz w:val="24"/>
          <w:szCs w:val="24"/>
        </w:rPr>
        <w:t>UN ICESCR Committee Concluding Observations on the UK 2016;</w:t>
      </w:r>
      <w:r w:rsidRPr="008251E7">
        <w:rPr>
          <w:rStyle w:val="FootnoteReference"/>
          <w:color w:val="auto"/>
          <w:sz w:val="24"/>
          <w:szCs w:val="24"/>
        </w:rPr>
        <w:footnoteReference w:id="23"/>
      </w:r>
    </w:p>
    <w:p w14:paraId="35AD9C6E" w14:textId="77777777" w:rsidR="00E45AC3" w:rsidRPr="008251E7" w:rsidRDefault="00E45AC3" w:rsidP="003E74F1">
      <w:pPr>
        <w:pStyle w:val="NIHRCFootnotes"/>
        <w:numPr>
          <w:ilvl w:val="0"/>
          <w:numId w:val="4"/>
        </w:numPr>
        <w:spacing w:line="288" w:lineRule="auto"/>
        <w:ind w:left="1418"/>
        <w:rPr>
          <w:color w:val="auto"/>
          <w:sz w:val="24"/>
          <w:szCs w:val="24"/>
        </w:rPr>
      </w:pPr>
      <w:r w:rsidRPr="008251E7">
        <w:rPr>
          <w:color w:val="auto"/>
          <w:sz w:val="24"/>
          <w:szCs w:val="24"/>
        </w:rPr>
        <w:t>UN CERD Committee Concluding Observations on the UK 2016;</w:t>
      </w:r>
      <w:r w:rsidRPr="008251E7">
        <w:rPr>
          <w:rStyle w:val="FootnoteReference"/>
          <w:color w:val="auto"/>
          <w:sz w:val="24"/>
          <w:szCs w:val="24"/>
        </w:rPr>
        <w:footnoteReference w:id="24"/>
      </w:r>
    </w:p>
    <w:p w14:paraId="6056FB48" w14:textId="77777777" w:rsidR="00E45AC3" w:rsidRPr="008251E7" w:rsidRDefault="00E45AC3" w:rsidP="003E74F1">
      <w:pPr>
        <w:pStyle w:val="NIHRCFootnotes"/>
        <w:numPr>
          <w:ilvl w:val="0"/>
          <w:numId w:val="4"/>
        </w:numPr>
        <w:spacing w:line="288" w:lineRule="auto"/>
        <w:ind w:left="1418"/>
        <w:rPr>
          <w:color w:val="auto"/>
          <w:sz w:val="24"/>
          <w:szCs w:val="24"/>
        </w:rPr>
      </w:pPr>
      <w:r w:rsidRPr="008251E7">
        <w:rPr>
          <w:color w:val="auto"/>
          <w:sz w:val="24"/>
          <w:szCs w:val="24"/>
        </w:rPr>
        <w:lastRenderedPageBreak/>
        <w:t>UN Committee on the Rights of Persons with Disabilities (UN CRPD Committee) Concluding Observations on the UK 2017;</w:t>
      </w:r>
      <w:r w:rsidRPr="008251E7">
        <w:rPr>
          <w:rStyle w:val="FootnoteReference"/>
          <w:color w:val="auto"/>
          <w:sz w:val="24"/>
          <w:szCs w:val="24"/>
        </w:rPr>
        <w:footnoteReference w:id="25"/>
      </w:r>
    </w:p>
    <w:p w14:paraId="03F2D266" w14:textId="77777777" w:rsidR="00E45AC3" w:rsidRDefault="00E45AC3" w:rsidP="003E74F1">
      <w:pPr>
        <w:pStyle w:val="NIHRCFootnotes"/>
        <w:numPr>
          <w:ilvl w:val="0"/>
          <w:numId w:val="4"/>
        </w:numPr>
        <w:spacing w:line="288" w:lineRule="auto"/>
        <w:ind w:left="1418"/>
        <w:rPr>
          <w:color w:val="auto"/>
          <w:sz w:val="24"/>
          <w:szCs w:val="24"/>
        </w:rPr>
      </w:pPr>
      <w:r w:rsidRPr="008251E7">
        <w:rPr>
          <w:color w:val="auto"/>
          <w:sz w:val="24"/>
          <w:szCs w:val="24"/>
        </w:rPr>
        <w:t>UN CEDAW Committee Concluding Observations on the UK 2019;</w:t>
      </w:r>
      <w:r w:rsidRPr="008251E7">
        <w:rPr>
          <w:rStyle w:val="FootnoteReference"/>
          <w:color w:val="auto"/>
          <w:sz w:val="24"/>
          <w:szCs w:val="24"/>
        </w:rPr>
        <w:footnoteReference w:id="26"/>
      </w:r>
      <w:r w:rsidRPr="008251E7">
        <w:rPr>
          <w:color w:val="auto"/>
          <w:sz w:val="24"/>
          <w:szCs w:val="24"/>
        </w:rPr>
        <w:t xml:space="preserve"> and</w:t>
      </w:r>
    </w:p>
    <w:p w14:paraId="157E5359" w14:textId="77777777" w:rsidR="00E45AC3" w:rsidRPr="00A51D0C" w:rsidRDefault="00E45AC3" w:rsidP="00A51D0C">
      <w:pPr>
        <w:pStyle w:val="NIHRCFootnotes"/>
        <w:numPr>
          <w:ilvl w:val="0"/>
          <w:numId w:val="4"/>
        </w:numPr>
        <w:spacing w:line="288" w:lineRule="auto"/>
        <w:ind w:left="1418"/>
        <w:rPr>
          <w:color w:val="auto"/>
          <w:sz w:val="24"/>
          <w:szCs w:val="24"/>
        </w:rPr>
      </w:pPr>
      <w:r w:rsidRPr="00A51D0C">
        <w:rPr>
          <w:color w:val="000000" w:themeColor="text1"/>
          <w:sz w:val="24"/>
          <w:szCs w:val="24"/>
        </w:rPr>
        <w:t>Report of the Special Rapporteur on Contemporary Forms of Racism, Racial Discrimination, Xenophobia and Related Intolerance, E Tendayi Achiume, on the UK 2019.</w:t>
      </w:r>
      <w:r w:rsidRPr="002F22F8">
        <w:rPr>
          <w:rStyle w:val="FootnoteReference"/>
          <w:color w:val="000000" w:themeColor="text1"/>
          <w:sz w:val="24"/>
          <w:szCs w:val="24"/>
        </w:rPr>
        <w:footnoteReference w:id="27"/>
      </w:r>
    </w:p>
    <w:p w14:paraId="2A502AF7" w14:textId="77777777" w:rsidR="00E45AC3" w:rsidRDefault="00E45AC3" w:rsidP="00E45AC3">
      <w:pPr>
        <w:pStyle w:val="NIHRCFootnotes"/>
      </w:pPr>
    </w:p>
    <w:p w14:paraId="5B347EB8" w14:textId="0806312C" w:rsidR="00887A91" w:rsidRDefault="00813BC7" w:rsidP="003060FD">
      <w:pPr>
        <w:pStyle w:val="BasicParagraph"/>
        <w:numPr>
          <w:ilvl w:val="1"/>
          <w:numId w:val="1"/>
        </w:numPr>
        <w:suppressAutoHyphens/>
        <w:ind w:left="709"/>
        <w:rPr>
          <w:rFonts w:ascii="Verdana" w:hAnsi="Verdana"/>
        </w:rPr>
      </w:pPr>
      <w:r w:rsidRPr="00813BC7">
        <w:rPr>
          <w:rFonts w:ascii="Verdana" w:hAnsi="Verdana"/>
        </w:rPr>
        <w:t xml:space="preserve">The NIHRC </w:t>
      </w:r>
      <w:r w:rsidR="000035D8">
        <w:rPr>
          <w:rFonts w:ascii="Verdana" w:hAnsi="Verdana"/>
        </w:rPr>
        <w:t>also</w:t>
      </w:r>
      <w:r w:rsidR="000035D8" w:rsidRPr="00813BC7">
        <w:rPr>
          <w:rFonts w:ascii="Verdana" w:hAnsi="Verdana"/>
        </w:rPr>
        <w:t xml:space="preserve"> </w:t>
      </w:r>
      <w:r w:rsidRPr="00813BC7">
        <w:rPr>
          <w:rFonts w:ascii="Verdana" w:hAnsi="Verdana"/>
        </w:rPr>
        <w:t>advise</w:t>
      </w:r>
      <w:r w:rsidR="00F66A75">
        <w:rPr>
          <w:rFonts w:ascii="Verdana" w:hAnsi="Verdana"/>
        </w:rPr>
        <w:t>s</w:t>
      </w:r>
      <w:r w:rsidRPr="00813BC7">
        <w:rPr>
          <w:rFonts w:ascii="Verdana" w:hAnsi="Verdana"/>
        </w:rPr>
        <w:t xml:space="preserve"> on the UK Government’s commitment in </w:t>
      </w:r>
      <w:r w:rsidR="00897A1C">
        <w:rPr>
          <w:rFonts w:ascii="Verdana" w:hAnsi="Verdana"/>
        </w:rPr>
        <w:t xml:space="preserve">Windsor Framework </w:t>
      </w:r>
      <w:r w:rsidRPr="00813BC7">
        <w:rPr>
          <w:rFonts w:ascii="Verdana" w:hAnsi="Verdana"/>
        </w:rPr>
        <w:t xml:space="preserve">Article 2 to ensure there is no diminution of rights, safeguards and equality of opportunity in the relevant section of the Belfast (Good Friday) Agreement as a result of the UK’s withdrawal from the EU. This is given effect in UK law by section 7A of the EU (Withdrawal) Act 2018. In addition, section 6 of the NI Act 1998 prohibits the NI Assembly from making any law which is incompatible with </w:t>
      </w:r>
      <w:r>
        <w:rPr>
          <w:rFonts w:ascii="Verdana" w:hAnsi="Verdana"/>
        </w:rPr>
        <w:t>Windsor Framework</w:t>
      </w:r>
      <w:r w:rsidRPr="00813BC7">
        <w:rPr>
          <w:rFonts w:ascii="Verdana" w:hAnsi="Verdana"/>
        </w:rPr>
        <w:t xml:space="preserve"> Article 2. Section 24 of the 1998 Act also requires all acts of NI Ministers and NI Departments to be compatible with </w:t>
      </w:r>
      <w:r>
        <w:rPr>
          <w:rFonts w:ascii="Verdana" w:hAnsi="Verdana"/>
        </w:rPr>
        <w:t>Windsor Framework</w:t>
      </w:r>
      <w:r w:rsidRPr="00813BC7">
        <w:rPr>
          <w:rFonts w:ascii="Verdana" w:hAnsi="Verdana"/>
        </w:rPr>
        <w:t xml:space="preserve"> Article 2. The relevant EU measures in this context include:</w:t>
      </w:r>
    </w:p>
    <w:p w14:paraId="2E704DB2" w14:textId="77777777" w:rsidR="00887A91" w:rsidRPr="00887A91" w:rsidRDefault="00887A91" w:rsidP="00887A91">
      <w:pPr>
        <w:pStyle w:val="BasicParagraph"/>
        <w:suppressAutoHyphens/>
        <w:ind w:left="709"/>
        <w:rPr>
          <w:rFonts w:ascii="Verdana" w:hAnsi="Verdana"/>
        </w:rPr>
      </w:pPr>
    </w:p>
    <w:p w14:paraId="0424E232" w14:textId="4A535EFC" w:rsidR="00813BC7" w:rsidRDefault="00C93F4A" w:rsidP="003060FD">
      <w:pPr>
        <w:pStyle w:val="BasicParagraph"/>
        <w:numPr>
          <w:ilvl w:val="2"/>
          <w:numId w:val="1"/>
        </w:numPr>
        <w:suppressAutoHyphens/>
        <w:rPr>
          <w:rFonts w:ascii="Verdana" w:hAnsi="Verdana"/>
        </w:rPr>
      </w:pPr>
      <w:r>
        <w:rPr>
          <w:rFonts w:ascii="Verdana" w:hAnsi="Verdana"/>
        </w:rPr>
        <w:t>EU Rac</w:t>
      </w:r>
      <w:r w:rsidR="008210D0">
        <w:rPr>
          <w:rFonts w:ascii="Verdana" w:hAnsi="Verdana"/>
        </w:rPr>
        <w:t>ial</w:t>
      </w:r>
      <w:r>
        <w:rPr>
          <w:rFonts w:ascii="Verdana" w:hAnsi="Verdana"/>
        </w:rPr>
        <w:t xml:space="preserve"> Equality Directive</w:t>
      </w:r>
      <w:r w:rsidR="00A77D0C">
        <w:rPr>
          <w:rFonts w:ascii="Verdana" w:hAnsi="Verdana"/>
        </w:rPr>
        <w:t>;</w:t>
      </w:r>
      <w:r w:rsidR="00A77D0C">
        <w:rPr>
          <w:rStyle w:val="FootnoteReference"/>
          <w:rFonts w:ascii="Verdana" w:hAnsi="Verdana"/>
        </w:rPr>
        <w:footnoteReference w:id="28"/>
      </w:r>
    </w:p>
    <w:p w14:paraId="34C4A1FC" w14:textId="77777777" w:rsidR="00EA4C87" w:rsidRDefault="00EA4C87" w:rsidP="00EA4C87">
      <w:pPr>
        <w:pStyle w:val="BasicParagraph"/>
        <w:numPr>
          <w:ilvl w:val="2"/>
          <w:numId w:val="1"/>
        </w:numPr>
        <w:suppressAutoHyphens/>
        <w:rPr>
          <w:rFonts w:ascii="Verdana" w:hAnsi="Verdana"/>
        </w:rPr>
      </w:pPr>
      <w:r>
        <w:rPr>
          <w:rFonts w:ascii="Verdana" w:hAnsi="Verdana"/>
        </w:rPr>
        <w:t>EU Framework Equality Directive;</w:t>
      </w:r>
      <w:r>
        <w:rPr>
          <w:rStyle w:val="FootnoteReference"/>
          <w:rFonts w:ascii="Verdana" w:hAnsi="Verdana"/>
        </w:rPr>
        <w:footnoteReference w:id="29"/>
      </w:r>
      <w:r>
        <w:rPr>
          <w:rFonts w:ascii="Verdana" w:hAnsi="Verdana"/>
        </w:rPr>
        <w:t xml:space="preserve"> </w:t>
      </w:r>
    </w:p>
    <w:p w14:paraId="161B782A" w14:textId="09EC7B89" w:rsidR="007B7A38" w:rsidRDefault="007B7A38" w:rsidP="003060FD">
      <w:pPr>
        <w:pStyle w:val="BasicParagraph"/>
        <w:numPr>
          <w:ilvl w:val="2"/>
          <w:numId w:val="1"/>
        </w:numPr>
        <w:suppressAutoHyphens/>
        <w:rPr>
          <w:rFonts w:ascii="Verdana" w:hAnsi="Verdana"/>
        </w:rPr>
      </w:pPr>
      <w:r>
        <w:rPr>
          <w:rFonts w:ascii="Verdana" w:hAnsi="Verdana"/>
        </w:rPr>
        <w:t xml:space="preserve">EU Pay </w:t>
      </w:r>
      <w:r w:rsidR="00E12F6F">
        <w:rPr>
          <w:rFonts w:ascii="Verdana" w:hAnsi="Verdana"/>
        </w:rPr>
        <w:t>T</w:t>
      </w:r>
      <w:r>
        <w:rPr>
          <w:rFonts w:ascii="Verdana" w:hAnsi="Verdana"/>
        </w:rPr>
        <w:t>ransparency Directive</w:t>
      </w:r>
      <w:r w:rsidR="002E63DA">
        <w:rPr>
          <w:rFonts w:ascii="Verdana" w:hAnsi="Verdana"/>
        </w:rPr>
        <w:t>;</w:t>
      </w:r>
      <w:r w:rsidR="002E63DA">
        <w:rPr>
          <w:rStyle w:val="FootnoteReference"/>
          <w:rFonts w:ascii="Verdana" w:hAnsi="Verdana"/>
        </w:rPr>
        <w:footnoteReference w:id="30"/>
      </w:r>
    </w:p>
    <w:p w14:paraId="5C456589" w14:textId="71909FC1" w:rsidR="009D47E2" w:rsidRDefault="009D47E2" w:rsidP="009D47E2">
      <w:pPr>
        <w:pStyle w:val="BasicParagraph"/>
        <w:numPr>
          <w:ilvl w:val="2"/>
          <w:numId w:val="1"/>
        </w:numPr>
        <w:suppressAutoHyphens/>
        <w:rPr>
          <w:rFonts w:ascii="Verdana" w:hAnsi="Verdana"/>
        </w:rPr>
      </w:pPr>
      <w:r>
        <w:rPr>
          <w:rFonts w:ascii="Verdana" w:hAnsi="Verdana"/>
        </w:rPr>
        <w:t xml:space="preserve">EU </w:t>
      </w:r>
      <w:r w:rsidR="001E4212">
        <w:rPr>
          <w:rFonts w:ascii="Verdana" w:hAnsi="Verdana"/>
        </w:rPr>
        <w:t>D</w:t>
      </w:r>
      <w:r>
        <w:rPr>
          <w:rFonts w:ascii="Verdana" w:hAnsi="Verdana"/>
        </w:rPr>
        <w:t xml:space="preserve">irective on </w:t>
      </w:r>
      <w:r w:rsidR="001E4212">
        <w:rPr>
          <w:rFonts w:ascii="Verdana" w:hAnsi="Verdana"/>
        </w:rPr>
        <w:t>Standards</w:t>
      </w:r>
      <w:r>
        <w:rPr>
          <w:rFonts w:ascii="Verdana" w:hAnsi="Verdana"/>
        </w:rPr>
        <w:t xml:space="preserve"> </w:t>
      </w:r>
      <w:r w:rsidR="001E4212">
        <w:rPr>
          <w:rFonts w:ascii="Verdana" w:hAnsi="Verdana"/>
        </w:rPr>
        <w:t>f</w:t>
      </w:r>
      <w:r>
        <w:rPr>
          <w:rFonts w:ascii="Verdana" w:hAnsi="Verdana"/>
        </w:rPr>
        <w:t xml:space="preserve">or </w:t>
      </w:r>
      <w:r w:rsidR="001E4212">
        <w:rPr>
          <w:rFonts w:ascii="Verdana" w:hAnsi="Verdana"/>
        </w:rPr>
        <w:t>E</w:t>
      </w:r>
      <w:r>
        <w:rPr>
          <w:rFonts w:ascii="Verdana" w:hAnsi="Verdana"/>
        </w:rPr>
        <w:t xml:space="preserve">quality </w:t>
      </w:r>
      <w:r w:rsidR="001E4212">
        <w:rPr>
          <w:rFonts w:ascii="Verdana" w:hAnsi="Verdana"/>
        </w:rPr>
        <w:t>B</w:t>
      </w:r>
      <w:r>
        <w:rPr>
          <w:rFonts w:ascii="Verdana" w:hAnsi="Verdana"/>
        </w:rPr>
        <w:t>odies</w:t>
      </w:r>
      <w:r w:rsidR="00F87BF2">
        <w:rPr>
          <w:rFonts w:ascii="Verdana" w:hAnsi="Verdana"/>
        </w:rPr>
        <w:t>.</w:t>
      </w:r>
      <w:r>
        <w:rPr>
          <w:rStyle w:val="FootnoteReference"/>
          <w:rFonts w:ascii="Verdana" w:hAnsi="Verdana"/>
        </w:rPr>
        <w:footnoteReference w:id="31"/>
      </w:r>
    </w:p>
    <w:p w14:paraId="6DA0F28F" w14:textId="77777777" w:rsidR="00813BC7" w:rsidRPr="00813BC7" w:rsidRDefault="00813BC7" w:rsidP="0037772E">
      <w:pPr>
        <w:pStyle w:val="BasicParagraph"/>
        <w:suppressAutoHyphens/>
        <w:rPr>
          <w:rFonts w:ascii="Verdana" w:hAnsi="Verdana"/>
        </w:rPr>
      </w:pPr>
    </w:p>
    <w:p w14:paraId="4802FA6F" w14:textId="2CDD5ECC" w:rsidR="00697A82" w:rsidRPr="004C190A" w:rsidRDefault="00BD567E" w:rsidP="003060FD">
      <w:pPr>
        <w:pStyle w:val="BasicParagraph"/>
        <w:numPr>
          <w:ilvl w:val="1"/>
          <w:numId w:val="1"/>
        </w:numPr>
        <w:suppressAutoHyphens/>
        <w:ind w:left="709"/>
        <w:rPr>
          <w:rFonts w:ascii="Verdana" w:hAnsi="Verdana"/>
        </w:rPr>
      </w:pPr>
      <w:r w:rsidRPr="00BD567E">
        <w:rPr>
          <w:rFonts w:ascii="Verdana" w:hAnsi="Verdana"/>
        </w:rPr>
        <w:t>Th</w:t>
      </w:r>
      <w:r w:rsidR="007D03F5">
        <w:rPr>
          <w:rFonts w:ascii="Verdana" w:hAnsi="Verdana"/>
        </w:rPr>
        <w:t>e</w:t>
      </w:r>
      <w:r w:rsidRPr="00BD567E">
        <w:rPr>
          <w:rFonts w:ascii="Verdana" w:hAnsi="Verdana"/>
        </w:rPr>
        <w:t xml:space="preserve"> NIHRC </w:t>
      </w:r>
      <w:r w:rsidR="00697A82" w:rsidRPr="003D5064">
        <w:rPr>
          <w:rFonts w:ascii="Verdana" w:hAnsi="Verdana"/>
          <w:lang w:val="en-US"/>
        </w:rPr>
        <w:t xml:space="preserve">welcomes the opportunity to respond to the </w:t>
      </w:r>
      <w:r w:rsidR="00697A82">
        <w:rPr>
          <w:rFonts w:ascii="Verdana" w:hAnsi="Verdana"/>
          <w:lang w:val="en-US"/>
        </w:rPr>
        <w:t>Executive Office’s</w:t>
      </w:r>
      <w:r w:rsidR="00697A82" w:rsidRPr="003D5064">
        <w:rPr>
          <w:rFonts w:ascii="Verdana" w:hAnsi="Verdana"/>
          <w:lang w:val="en-US"/>
        </w:rPr>
        <w:t xml:space="preserve"> consultation on </w:t>
      </w:r>
      <w:r w:rsidR="00697A82">
        <w:rPr>
          <w:rFonts w:ascii="Verdana" w:hAnsi="Verdana"/>
          <w:lang w:val="en-US"/>
        </w:rPr>
        <w:t>the</w:t>
      </w:r>
      <w:r w:rsidR="008805EA">
        <w:rPr>
          <w:rFonts w:ascii="Verdana" w:hAnsi="Verdana"/>
          <w:lang w:val="en-US"/>
        </w:rPr>
        <w:t xml:space="preserve"> </w:t>
      </w:r>
      <w:r w:rsidR="0004515B">
        <w:rPr>
          <w:rFonts w:ascii="Verdana" w:hAnsi="Verdana"/>
          <w:lang w:val="en-US"/>
        </w:rPr>
        <w:t>Framework for</w:t>
      </w:r>
      <w:r w:rsidR="00697A82">
        <w:rPr>
          <w:rFonts w:ascii="Verdana" w:hAnsi="Verdana"/>
          <w:lang w:val="en-US"/>
        </w:rPr>
        <w:t xml:space="preserve"> Race Relations</w:t>
      </w:r>
      <w:r w:rsidR="00F047B6">
        <w:rPr>
          <w:rFonts w:ascii="Verdana" w:hAnsi="Verdana"/>
          <w:lang w:val="en-US"/>
        </w:rPr>
        <w:t>, 2026</w:t>
      </w:r>
      <w:r w:rsidR="00795A69">
        <w:rPr>
          <w:rFonts w:ascii="Verdana" w:hAnsi="Verdana"/>
          <w:lang w:val="en-US"/>
        </w:rPr>
        <w:t xml:space="preserve"> </w:t>
      </w:r>
      <w:r w:rsidR="00795A69" w:rsidRPr="004C190A">
        <w:rPr>
          <w:rFonts w:ascii="Verdana" w:hAnsi="Verdana"/>
          <w:lang w:val="en-US"/>
        </w:rPr>
        <w:t>(</w:t>
      </w:r>
      <w:r w:rsidR="008805EA">
        <w:rPr>
          <w:rFonts w:ascii="Verdana" w:hAnsi="Verdana"/>
          <w:lang w:val="en-US"/>
        </w:rPr>
        <w:t xml:space="preserve">Draft </w:t>
      </w:r>
      <w:r w:rsidR="00795A69" w:rsidRPr="004C190A">
        <w:rPr>
          <w:rFonts w:ascii="Verdana" w:hAnsi="Verdana"/>
          <w:lang w:val="en-US"/>
        </w:rPr>
        <w:t>Framework)</w:t>
      </w:r>
      <w:r w:rsidR="00697A82" w:rsidRPr="004C190A">
        <w:rPr>
          <w:rFonts w:ascii="Verdana" w:hAnsi="Verdana"/>
          <w:lang w:val="en-US"/>
        </w:rPr>
        <w:t>.</w:t>
      </w:r>
      <w:r w:rsidR="00DF7701">
        <w:rPr>
          <w:rStyle w:val="FootnoteReference"/>
          <w:rFonts w:ascii="Verdana" w:hAnsi="Verdana"/>
          <w:lang w:val="en-US"/>
        </w:rPr>
        <w:footnoteReference w:id="32"/>
      </w:r>
      <w:r w:rsidR="00937B9A" w:rsidRPr="004C190A">
        <w:rPr>
          <w:rFonts w:ascii="Verdana" w:hAnsi="Verdana"/>
          <w:lang w:val="en-US"/>
        </w:rPr>
        <w:t xml:space="preserve"> </w:t>
      </w:r>
      <w:r w:rsidR="0030357A" w:rsidRPr="00573716">
        <w:rPr>
          <w:rFonts w:ascii="Verdana" w:hAnsi="Verdana"/>
        </w:rPr>
        <w:t>On 7</w:t>
      </w:r>
      <w:r w:rsidR="0030357A" w:rsidRPr="00573716">
        <w:rPr>
          <w:rFonts w:ascii="Verdana" w:hAnsi="Verdana"/>
          <w:vertAlign w:val="superscript"/>
        </w:rPr>
        <w:t xml:space="preserve"> </w:t>
      </w:r>
      <w:r w:rsidR="0030357A" w:rsidRPr="00573716">
        <w:rPr>
          <w:rFonts w:ascii="Verdana" w:hAnsi="Verdana"/>
        </w:rPr>
        <w:t xml:space="preserve">May 2026, the UK Supreme Court delivered its </w:t>
      </w:r>
      <w:r w:rsidR="0030357A" w:rsidRPr="00573716">
        <w:rPr>
          <w:rFonts w:ascii="Verdana" w:hAnsi="Verdana"/>
        </w:rPr>
        <w:lastRenderedPageBreak/>
        <w:t xml:space="preserve">judgment in </w:t>
      </w:r>
      <w:r w:rsidR="0030357A" w:rsidRPr="00573716">
        <w:rPr>
          <w:rFonts w:ascii="Verdana" w:hAnsi="Verdana"/>
          <w:i/>
          <w:iCs/>
        </w:rPr>
        <w:t>Dillon</w:t>
      </w:r>
      <w:r w:rsidR="0030357A" w:rsidRPr="00573716">
        <w:rPr>
          <w:rFonts w:ascii="Verdana" w:hAnsi="Verdana"/>
        </w:rPr>
        <w:t>, which considers Windsor Framework Article 2.</w:t>
      </w:r>
      <w:r w:rsidR="009D3CF7">
        <w:rPr>
          <w:rStyle w:val="FootnoteReference"/>
          <w:rFonts w:ascii="Verdana" w:hAnsi="Verdana"/>
        </w:rPr>
        <w:footnoteReference w:id="33"/>
      </w:r>
      <w:r w:rsidR="0030357A" w:rsidRPr="00573716">
        <w:rPr>
          <w:rFonts w:ascii="Verdana" w:hAnsi="Verdana"/>
        </w:rPr>
        <w:t xml:space="preserve"> The NIHRC is currently </w:t>
      </w:r>
      <w:r w:rsidR="0030357A">
        <w:rPr>
          <w:rFonts w:ascii="Verdana" w:hAnsi="Verdana"/>
        </w:rPr>
        <w:t xml:space="preserve">considering </w:t>
      </w:r>
      <w:r w:rsidR="0030357A" w:rsidRPr="00573716">
        <w:rPr>
          <w:rFonts w:ascii="Verdana" w:hAnsi="Verdana"/>
        </w:rPr>
        <w:t>this judgment</w:t>
      </w:r>
      <w:r w:rsidR="0030357A">
        <w:rPr>
          <w:rFonts w:ascii="Verdana" w:hAnsi="Verdana"/>
        </w:rPr>
        <w:t xml:space="preserve"> in relation to the non-diminution commitment </w:t>
      </w:r>
      <w:r w:rsidR="0030357A" w:rsidRPr="00573716">
        <w:rPr>
          <w:rFonts w:ascii="Verdana" w:hAnsi="Verdana"/>
        </w:rPr>
        <w:t>and will provide further advice on Windsor Framework Article 2 and relevant EU obligations in due course.</w:t>
      </w:r>
      <w:r w:rsidR="0030357A">
        <w:rPr>
          <w:rFonts w:ascii="Verdana" w:hAnsi="Verdana"/>
        </w:rPr>
        <w:t xml:space="preserve"> </w:t>
      </w:r>
      <w:r w:rsidR="00F0115C">
        <w:rPr>
          <w:rFonts w:ascii="Verdana" w:hAnsi="Verdana"/>
        </w:rPr>
        <w:t>The advice below deals with</w:t>
      </w:r>
      <w:r w:rsidR="00660DBC">
        <w:rPr>
          <w:rFonts w:ascii="Verdana" w:hAnsi="Verdana"/>
        </w:rPr>
        <w:t xml:space="preserve"> obligations arising under the</w:t>
      </w:r>
      <w:r w:rsidR="00F0115C">
        <w:rPr>
          <w:rFonts w:ascii="Verdana" w:hAnsi="Verdana"/>
        </w:rPr>
        <w:t xml:space="preserve"> </w:t>
      </w:r>
      <w:r w:rsidR="00573716">
        <w:rPr>
          <w:rFonts w:ascii="Verdana" w:hAnsi="Verdana"/>
        </w:rPr>
        <w:t xml:space="preserve">Equality Directives </w:t>
      </w:r>
      <w:r w:rsidR="00660DBC">
        <w:rPr>
          <w:rFonts w:ascii="Verdana" w:hAnsi="Verdana"/>
        </w:rPr>
        <w:t xml:space="preserve">listed in Annex 1 to the Windsor Framework, which </w:t>
      </w:r>
      <w:r w:rsidR="002711C5">
        <w:rPr>
          <w:rFonts w:ascii="Verdana" w:hAnsi="Verdana"/>
        </w:rPr>
        <w:t>are</w:t>
      </w:r>
      <w:r w:rsidR="00660DBC">
        <w:rPr>
          <w:rFonts w:ascii="Verdana" w:hAnsi="Verdana"/>
        </w:rPr>
        <w:t xml:space="preserve"> not addressed </w:t>
      </w:r>
      <w:r w:rsidR="002711C5">
        <w:rPr>
          <w:rFonts w:ascii="Verdana" w:hAnsi="Verdana"/>
        </w:rPr>
        <w:t xml:space="preserve">by the </w:t>
      </w:r>
      <w:r w:rsidR="001A535D" w:rsidRPr="00DF7701">
        <w:rPr>
          <w:rFonts w:ascii="Verdana" w:hAnsi="Verdana"/>
          <w:i/>
          <w:iCs/>
        </w:rPr>
        <w:t xml:space="preserve">Dillon </w:t>
      </w:r>
      <w:r w:rsidR="002711C5">
        <w:rPr>
          <w:rFonts w:ascii="Verdana" w:hAnsi="Verdana"/>
        </w:rPr>
        <w:t>judgment</w:t>
      </w:r>
      <w:r w:rsidR="00573716">
        <w:rPr>
          <w:rFonts w:ascii="Verdana" w:hAnsi="Verdana"/>
        </w:rPr>
        <w:t>.</w:t>
      </w:r>
    </w:p>
    <w:p w14:paraId="227559C0" w14:textId="77777777" w:rsidR="00740F1C" w:rsidRDefault="00740F1C" w:rsidP="00370D1A">
      <w:pPr>
        <w:pStyle w:val="BasicParagraph"/>
        <w:suppressAutoHyphens/>
        <w:rPr>
          <w:rFonts w:ascii="Verdana" w:hAnsi="Verdana"/>
        </w:rPr>
      </w:pPr>
    </w:p>
    <w:p w14:paraId="015496EF" w14:textId="50EAA2D3" w:rsidR="003731EE" w:rsidRDefault="00E308BF" w:rsidP="003060FD">
      <w:pPr>
        <w:pStyle w:val="Heading1"/>
        <w:numPr>
          <w:ilvl w:val="0"/>
          <w:numId w:val="3"/>
        </w:numPr>
      </w:pPr>
      <w:bookmarkStart w:id="3" w:name="_Toc230705733"/>
      <w:r>
        <w:t>Human Rights Standards</w:t>
      </w:r>
      <w:bookmarkEnd w:id="3"/>
      <w:r>
        <w:t xml:space="preserve"> </w:t>
      </w:r>
    </w:p>
    <w:p w14:paraId="3BB206C5" w14:textId="77777777" w:rsidR="00511A4B" w:rsidRPr="00511A4B" w:rsidRDefault="00511A4B" w:rsidP="003060FD">
      <w:pPr>
        <w:pStyle w:val="ListParagraph"/>
        <w:widowControl w:val="0"/>
        <w:numPr>
          <w:ilvl w:val="0"/>
          <w:numId w:val="1"/>
        </w:numPr>
        <w:suppressAutoHyphens/>
        <w:autoSpaceDE w:val="0"/>
        <w:autoSpaceDN w:val="0"/>
        <w:adjustRightInd w:val="0"/>
        <w:contextualSpacing w:val="0"/>
        <w:textAlignment w:val="center"/>
        <w:rPr>
          <w:rFonts w:cs="MinionPro-Regular"/>
          <w:vanish/>
          <w:color w:val="000000"/>
          <w:lang w:val="en-US"/>
        </w:rPr>
      </w:pPr>
    </w:p>
    <w:p w14:paraId="643C02CB" w14:textId="75CB9E7C" w:rsidR="002B1222" w:rsidRPr="00E12F6F" w:rsidRDefault="003731EE" w:rsidP="003060FD">
      <w:pPr>
        <w:pStyle w:val="BasicParagraph"/>
        <w:numPr>
          <w:ilvl w:val="1"/>
          <w:numId w:val="1"/>
        </w:numPr>
        <w:suppressAutoHyphens/>
        <w:ind w:left="709"/>
        <w:rPr>
          <w:rFonts w:ascii="Verdana" w:hAnsi="Verdana"/>
        </w:rPr>
      </w:pPr>
      <w:r>
        <w:rPr>
          <w:rFonts w:ascii="Verdana" w:hAnsi="Verdana"/>
          <w:lang w:val="en-US"/>
        </w:rPr>
        <w:t>The</w:t>
      </w:r>
      <w:r w:rsidR="0088380D" w:rsidRPr="0088380D">
        <w:rPr>
          <w:rFonts w:ascii="Verdana" w:hAnsi="Verdana"/>
        </w:rPr>
        <w:t xml:space="preserve"> NIHRC welcomes the</w:t>
      </w:r>
      <w:r w:rsidR="00C01FDD">
        <w:rPr>
          <w:rFonts w:ascii="Verdana" w:hAnsi="Verdana"/>
        </w:rPr>
        <w:t xml:space="preserve"> explicit</w:t>
      </w:r>
      <w:r w:rsidR="00025B04">
        <w:rPr>
          <w:rFonts w:ascii="Verdana" w:hAnsi="Verdana"/>
        </w:rPr>
        <w:t xml:space="preserve"> reference to the UN </w:t>
      </w:r>
      <w:r w:rsidR="00025B04" w:rsidRPr="00287262">
        <w:rPr>
          <w:rFonts w:ascii="Verdana" w:hAnsi="Verdana"/>
        </w:rPr>
        <w:t>C</w:t>
      </w:r>
      <w:r w:rsidR="005D67DB">
        <w:rPr>
          <w:rFonts w:ascii="Verdana" w:hAnsi="Verdana"/>
        </w:rPr>
        <w:t>ERD</w:t>
      </w:r>
      <w:r w:rsidR="00025B04">
        <w:rPr>
          <w:rFonts w:ascii="Verdana" w:hAnsi="Verdana"/>
        </w:rPr>
        <w:t xml:space="preserve"> as one of the </w:t>
      </w:r>
      <w:r w:rsidR="00B40430">
        <w:rPr>
          <w:rFonts w:ascii="Verdana" w:hAnsi="Verdana"/>
        </w:rPr>
        <w:t>key international instrument</w:t>
      </w:r>
      <w:r w:rsidR="00C31575">
        <w:rPr>
          <w:rFonts w:ascii="Verdana" w:hAnsi="Verdana"/>
        </w:rPr>
        <w:t>s</w:t>
      </w:r>
      <w:r w:rsidR="00756FE8">
        <w:rPr>
          <w:rFonts w:ascii="Verdana" w:hAnsi="Verdana"/>
        </w:rPr>
        <w:t xml:space="preserve"> </w:t>
      </w:r>
      <w:r w:rsidR="00211919">
        <w:rPr>
          <w:rFonts w:ascii="Verdana" w:hAnsi="Verdana"/>
        </w:rPr>
        <w:t xml:space="preserve">that has </w:t>
      </w:r>
      <w:r w:rsidR="00756FE8">
        <w:rPr>
          <w:rFonts w:ascii="Verdana" w:hAnsi="Verdana"/>
        </w:rPr>
        <w:t>sha</w:t>
      </w:r>
      <w:r w:rsidR="00211919">
        <w:rPr>
          <w:rFonts w:ascii="Verdana" w:hAnsi="Verdana"/>
        </w:rPr>
        <w:t xml:space="preserve">ped </w:t>
      </w:r>
      <w:r w:rsidR="00756FE8">
        <w:rPr>
          <w:rFonts w:ascii="Verdana" w:hAnsi="Verdana"/>
        </w:rPr>
        <w:t>the development of the</w:t>
      </w:r>
      <w:r w:rsidR="00342359">
        <w:rPr>
          <w:rFonts w:ascii="Verdana" w:hAnsi="Verdana"/>
        </w:rPr>
        <w:t xml:space="preserve"> </w:t>
      </w:r>
      <w:r w:rsidR="008166A1">
        <w:rPr>
          <w:rFonts w:ascii="Verdana" w:hAnsi="Verdana"/>
        </w:rPr>
        <w:t>draft</w:t>
      </w:r>
      <w:r w:rsidR="00756FE8">
        <w:rPr>
          <w:rFonts w:ascii="Verdana" w:hAnsi="Verdana"/>
        </w:rPr>
        <w:t xml:space="preserve"> </w:t>
      </w:r>
      <w:r w:rsidR="00D377A2">
        <w:rPr>
          <w:rFonts w:ascii="Verdana" w:hAnsi="Verdana"/>
        </w:rPr>
        <w:t>F</w:t>
      </w:r>
      <w:r w:rsidR="00756FE8">
        <w:rPr>
          <w:rFonts w:ascii="Verdana" w:hAnsi="Verdana"/>
        </w:rPr>
        <w:t>ramework</w:t>
      </w:r>
      <w:r w:rsidR="00776F91">
        <w:rPr>
          <w:rFonts w:ascii="Verdana" w:hAnsi="Verdana"/>
        </w:rPr>
        <w:t>.</w:t>
      </w:r>
      <w:r w:rsidR="006E1F22">
        <w:rPr>
          <w:rFonts w:ascii="Verdana" w:hAnsi="Verdana"/>
        </w:rPr>
        <w:t xml:space="preserve"> </w:t>
      </w:r>
      <w:r w:rsidR="00D377A2" w:rsidRPr="00D377A2">
        <w:rPr>
          <w:rFonts w:ascii="Verdana" w:hAnsi="Verdana"/>
        </w:rPr>
        <w:t xml:space="preserve">However, the UK Government has ratified a </w:t>
      </w:r>
      <w:r w:rsidR="00A94F6D">
        <w:rPr>
          <w:rFonts w:ascii="Verdana" w:hAnsi="Verdana"/>
        </w:rPr>
        <w:t>number</w:t>
      </w:r>
      <w:r w:rsidR="00A94F6D" w:rsidRPr="00D377A2">
        <w:rPr>
          <w:rFonts w:ascii="Verdana" w:hAnsi="Verdana"/>
        </w:rPr>
        <w:t xml:space="preserve"> </w:t>
      </w:r>
      <w:r w:rsidR="00D377A2" w:rsidRPr="00D377A2">
        <w:rPr>
          <w:rFonts w:ascii="Verdana" w:hAnsi="Verdana"/>
        </w:rPr>
        <w:t xml:space="preserve">of human rights instruments that provide </w:t>
      </w:r>
      <w:r w:rsidR="006F2E2F">
        <w:rPr>
          <w:rFonts w:ascii="Verdana" w:hAnsi="Verdana"/>
        </w:rPr>
        <w:t xml:space="preserve">additional </w:t>
      </w:r>
      <w:r w:rsidR="00D377A2" w:rsidRPr="00D377A2">
        <w:rPr>
          <w:rFonts w:ascii="Verdana" w:hAnsi="Verdana"/>
        </w:rPr>
        <w:t>protection for</w:t>
      </w:r>
      <w:r w:rsidR="000A56CF">
        <w:rPr>
          <w:rFonts w:ascii="Verdana" w:hAnsi="Verdana"/>
        </w:rPr>
        <w:t xml:space="preserve"> ethnic minorities</w:t>
      </w:r>
      <w:r w:rsidR="00D377A2" w:rsidRPr="00D377A2">
        <w:rPr>
          <w:rFonts w:ascii="Verdana" w:hAnsi="Verdana"/>
        </w:rPr>
        <w:t>,</w:t>
      </w:r>
      <w:r w:rsidR="007D49B2">
        <w:rPr>
          <w:rFonts w:ascii="Verdana" w:hAnsi="Verdana"/>
        </w:rPr>
        <w:t xml:space="preserve"> </w:t>
      </w:r>
      <w:r w:rsidR="00A94F6D">
        <w:rPr>
          <w:rFonts w:ascii="Verdana" w:hAnsi="Verdana"/>
        </w:rPr>
        <w:t xml:space="preserve">which have not been </w:t>
      </w:r>
      <w:r w:rsidR="006F2E2F">
        <w:rPr>
          <w:rFonts w:ascii="Verdana" w:hAnsi="Verdana"/>
        </w:rPr>
        <w:t xml:space="preserve">included in </w:t>
      </w:r>
      <w:r w:rsidR="00BD2F35">
        <w:rPr>
          <w:rFonts w:ascii="Verdana" w:hAnsi="Verdana"/>
        </w:rPr>
        <w:t>the draft Framework</w:t>
      </w:r>
      <w:r w:rsidR="00FD307C">
        <w:rPr>
          <w:rFonts w:ascii="Verdana" w:hAnsi="Verdana"/>
        </w:rPr>
        <w:t xml:space="preserve">. </w:t>
      </w:r>
      <w:r w:rsidR="006F2E2F">
        <w:rPr>
          <w:rFonts w:ascii="Verdana" w:hAnsi="Verdana"/>
        </w:rPr>
        <w:t xml:space="preserve">To reflect those additional </w:t>
      </w:r>
      <w:r w:rsidR="00542A00">
        <w:rPr>
          <w:rFonts w:ascii="Verdana" w:hAnsi="Verdana"/>
        </w:rPr>
        <w:t>instruments within th</w:t>
      </w:r>
      <w:r w:rsidR="00BD2F35">
        <w:rPr>
          <w:rFonts w:ascii="Verdana" w:hAnsi="Verdana"/>
        </w:rPr>
        <w:t xml:space="preserve">is draft </w:t>
      </w:r>
      <w:r w:rsidR="00542A00">
        <w:rPr>
          <w:rFonts w:ascii="Verdana" w:hAnsi="Verdana"/>
        </w:rPr>
        <w:t>would strengthen it.</w:t>
      </w:r>
      <w:r w:rsidR="00FD307C">
        <w:rPr>
          <w:rFonts w:ascii="Verdana" w:hAnsi="Verdana"/>
        </w:rPr>
        <w:t xml:space="preserve"> </w:t>
      </w:r>
      <w:r w:rsidR="00542A00">
        <w:rPr>
          <w:rFonts w:ascii="Verdana" w:hAnsi="Verdana"/>
        </w:rPr>
        <w:t xml:space="preserve">To </w:t>
      </w:r>
      <w:r w:rsidR="007C40EC">
        <w:rPr>
          <w:rFonts w:ascii="Verdana" w:hAnsi="Verdana"/>
        </w:rPr>
        <w:t>omit</w:t>
      </w:r>
      <w:r w:rsidR="00542A00">
        <w:rPr>
          <w:rFonts w:ascii="Verdana" w:hAnsi="Verdana"/>
        </w:rPr>
        <w:t xml:space="preserve"> </w:t>
      </w:r>
      <w:r w:rsidR="00F3075E">
        <w:rPr>
          <w:rFonts w:ascii="Verdana" w:hAnsi="Verdana"/>
        </w:rPr>
        <w:t>appropriate reference is a missed opportunity.</w:t>
      </w:r>
      <w:r w:rsidR="00FD307C">
        <w:rPr>
          <w:rFonts w:ascii="Verdana" w:hAnsi="Verdana"/>
        </w:rPr>
        <w:t xml:space="preserve"> </w:t>
      </w:r>
      <w:r w:rsidR="001E1B2D">
        <w:rPr>
          <w:rFonts w:ascii="Verdana" w:hAnsi="Verdana"/>
        </w:rPr>
        <w:t>T</w:t>
      </w:r>
      <w:r w:rsidR="006657D3" w:rsidRPr="006657D3">
        <w:rPr>
          <w:rFonts w:ascii="Verdana" w:hAnsi="Verdana"/>
        </w:rPr>
        <w:t xml:space="preserve">he prohibition of racial discrimination is enshrined in all </w:t>
      </w:r>
      <w:proofErr w:type="gramStart"/>
      <w:r w:rsidR="006657D3" w:rsidRPr="006657D3">
        <w:rPr>
          <w:rFonts w:ascii="Verdana" w:hAnsi="Verdana"/>
        </w:rPr>
        <w:t>core</w:t>
      </w:r>
      <w:proofErr w:type="gramEnd"/>
      <w:r w:rsidR="006657D3" w:rsidRPr="006657D3">
        <w:rPr>
          <w:rFonts w:ascii="Verdana" w:hAnsi="Verdana"/>
        </w:rPr>
        <w:t xml:space="preserve"> international human rights instruments</w:t>
      </w:r>
      <w:r w:rsidR="008C5978">
        <w:rPr>
          <w:rStyle w:val="FootnoteReference"/>
          <w:rFonts w:ascii="Verdana" w:hAnsi="Verdana"/>
        </w:rPr>
        <w:footnoteReference w:id="34"/>
      </w:r>
      <w:r w:rsidR="006657D3">
        <w:rPr>
          <w:rFonts w:ascii="Verdana" w:hAnsi="Verdana"/>
        </w:rPr>
        <w:t>,</w:t>
      </w:r>
      <w:r w:rsidR="006657D3" w:rsidRPr="006657D3">
        <w:rPr>
          <w:rFonts w:ascii="Verdana" w:hAnsi="Verdana"/>
        </w:rPr>
        <w:t xml:space="preserve"> </w:t>
      </w:r>
      <w:r w:rsidR="00BC1D8A">
        <w:rPr>
          <w:rFonts w:ascii="Verdana" w:hAnsi="Verdana"/>
        </w:rPr>
        <w:t>including</w:t>
      </w:r>
      <w:r w:rsidR="008C3C56">
        <w:rPr>
          <w:rFonts w:ascii="Verdana" w:hAnsi="Verdana"/>
        </w:rPr>
        <w:t xml:space="preserve"> but not limited to</w:t>
      </w:r>
      <w:r w:rsidR="00912F6C">
        <w:rPr>
          <w:rFonts w:ascii="Verdana" w:hAnsi="Verdana"/>
        </w:rPr>
        <w:t xml:space="preserve"> UN ICESR, UN CRC, UNCRPD</w:t>
      </w:r>
      <w:r w:rsidR="00B67E30">
        <w:rPr>
          <w:rFonts w:ascii="Verdana" w:hAnsi="Verdana"/>
        </w:rPr>
        <w:t xml:space="preserve"> and UN</w:t>
      </w:r>
      <w:r w:rsidR="00674BB9">
        <w:rPr>
          <w:rFonts w:ascii="Verdana" w:hAnsi="Verdana"/>
        </w:rPr>
        <w:t xml:space="preserve"> ICCPR</w:t>
      </w:r>
      <w:r w:rsidR="008873D9">
        <w:rPr>
          <w:rFonts w:ascii="Verdana" w:hAnsi="Verdana"/>
        </w:rPr>
        <w:t>.</w:t>
      </w:r>
      <w:r w:rsidR="00B36320" w:rsidRPr="00B36320">
        <w:rPr>
          <w:rFonts w:ascii="Verdana" w:hAnsi="Verdana" w:cstheme="minorBidi"/>
          <w:color w:val="auto"/>
        </w:rPr>
        <w:t xml:space="preserve"> </w:t>
      </w:r>
      <w:r w:rsidR="00B36320" w:rsidRPr="00B36320">
        <w:rPr>
          <w:rFonts w:ascii="Verdana" w:hAnsi="Verdana"/>
        </w:rPr>
        <w:t>Whil</w:t>
      </w:r>
      <w:r w:rsidR="00C56CA2">
        <w:rPr>
          <w:rFonts w:ascii="Verdana" w:hAnsi="Verdana"/>
        </w:rPr>
        <w:t>e</w:t>
      </w:r>
      <w:r w:rsidR="00B36320" w:rsidRPr="00B36320">
        <w:rPr>
          <w:rFonts w:ascii="Verdana" w:hAnsi="Verdana"/>
        </w:rPr>
        <w:t xml:space="preserve"> the</w:t>
      </w:r>
      <w:r w:rsidR="008166A1">
        <w:rPr>
          <w:rFonts w:ascii="Verdana" w:hAnsi="Verdana"/>
        </w:rPr>
        <w:t xml:space="preserve"> </w:t>
      </w:r>
      <w:r w:rsidR="00431DB9">
        <w:rPr>
          <w:rFonts w:ascii="Verdana" w:hAnsi="Verdana"/>
        </w:rPr>
        <w:t>D</w:t>
      </w:r>
      <w:r w:rsidR="008166A1">
        <w:rPr>
          <w:rFonts w:ascii="Verdana" w:hAnsi="Verdana"/>
        </w:rPr>
        <w:t>raft</w:t>
      </w:r>
      <w:r w:rsidR="00B36320" w:rsidRPr="00B36320">
        <w:rPr>
          <w:rFonts w:ascii="Verdana" w:hAnsi="Verdana"/>
        </w:rPr>
        <w:t xml:space="preserve"> </w:t>
      </w:r>
      <w:r w:rsidR="00EB798B">
        <w:rPr>
          <w:rFonts w:ascii="Verdana" w:hAnsi="Verdana"/>
        </w:rPr>
        <w:t>F</w:t>
      </w:r>
      <w:r w:rsidR="00B36320" w:rsidRPr="00B36320">
        <w:rPr>
          <w:rFonts w:ascii="Verdana" w:hAnsi="Verdana"/>
        </w:rPr>
        <w:t>ramework is</w:t>
      </w:r>
      <w:r w:rsidR="003441F4">
        <w:rPr>
          <w:rFonts w:ascii="Verdana" w:hAnsi="Verdana"/>
        </w:rPr>
        <w:t xml:space="preserve"> </w:t>
      </w:r>
      <w:r w:rsidR="00C91DE7">
        <w:rPr>
          <w:rFonts w:ascii="Verdana" w:hAnsi="Verdana"/>
        </w:rPr>
        <w:t>necessarily</w:t>
      </w:r>
      <w:r w:rsidR="00B36320" w:rsidRPr="00B36320">
        <w:rPr>
          <w:rFonts w:ascii="Verdana" w:hAnsi="Verdana"/>
        </w:rPr>
        <w:t xml:space="preserve"> </w:t>
      </w:r>
      <w:r w:rsidR="00B93C92" w:rsidRPr="00B36320">
        <w:rPr>
          <w:rFonts w:ascii="Verdana" w:hAnsi="Verdana"/>
        </w:rPr>
        <w:t>high-level</w:t>
      </w:r>
      <w:r w:rsidR="003441F4">
        <w:rPr>
          <w:rFonts w:ascii="Verdana" w:hAnsi="Verdana"/>
        </w:rPr>
        <w:t xml:space="preserve"> </w:t>
      </w:r>
      <w:r w:rsidR="00C23581">
        <w:rPr>
          <w:rFonts w:ascii="Verdana" w:hAnsi="Verdana"/>
        </w:rPr>
        <w:t>and</w:t>
      </w:r>
      <w:r w:rsidR="00B36320" w:rsidRPr="00B36320">
        <w:rPr>
          <w:rFonts w:ascii="Verdana" w:hAnsi="Verdana"/>
        </w:rPr>
        <w:t xml:space="preserve"> </w:t>
      </w:r>
      <w:r w:rsidR="00D4753D" w:rsidRPr="00B36320">
        <w:rPr>
          <w:rFonts w:ascii="Verdana" w:hAnsi="Verdana"/>
        </w:rPr>
        <w:t xml:space="preserve">cannot </w:t>
      </w:r>
      <w:r w:rsidR="003441F4">
        <w:rPr>
          <w:rFonts w:ascii="Verdana" w:hAnsi="Verdana"/>
        </w:rPr>
        <w:t xml:space="preserve">reference </w:t>
      </w:r>
      <w:r w:rsidR="000412C3">
        <w:rPr>
          <w:rFonts w:ascii="Verdana" w:hAnsi="Verdana"/>
        </w:rPr>
        <w:t>every</w:t>
      </w:r>
      <w:r w:rsidR="00B36320" w:rsidRPr="00B36320">
        <w:rPr>
          <w:rFonts w:ascii="Verdana" w:hAnsi="Verdana"/>
        </w:rPr>
        <w:t xml:space="preserve"> </w:t>
      </w:r>
      <w:r w:rsidR="00EB323E">
        <w:rPr>
          <w:rFonts w:ascii="Verdana" w:hAnsi="Verdana"/>
        </w:rPr>
        <w:t xml:space="preserve">human rights </w:t>
      </w:r>
      <w:r w:rsidR="00B36320" w:rsidRPr="00B36320">
        <w:rPr>
          <w:rFonts w:ascii="Verdana" w:hAnsi="Verdana"/>
        </w:rPr>
        <w:t xml:space="preserve">standard, it </w:t>
      </w:r>
      <w:r w:rsidR="00E61CB6">
        <w:rPr>
          <w:rFonts w:ascii="Verdana" w:hAnsi="Verdana"/>
        </w:rPr>
        <w:t>should nonetheless ensure that</w:t>
      </w:r>
      <w:r w:rsidR="001132DA">
        <w:rPr>
          <w:rFonts w:ascii="Verdana" w:hAnsi="Verdana"/>
        </w:rPr>
        <w:t xml:space="preserve"> all the</w:t>
      </w:r>
      <w:r w:rsidR="00B73AB8" w:rsidRPr="00B73AB8">
        <w:rPr>
          <w:rFonts w:ascii="Verdana" w:hAnsi="Verdana"/>
        </w:rPr>
        <w:t xml:space="preserve"> relevant international obligations are embedded to guarantee full compliance</w:t>
      </w:r>
      <w:r w:rsidR="00BD2F35">
        <w:rPr>
          <w:rFonts w:ascii="Verdana" w:hAnsi="Verdana"/>
        </w:rPr>
        <w:t xml:space="preserve"> in practice as well as theory</w:t>
      </w:r>
      <w:r w:rsidR="00B12743">
        <w:rPr>
          <w:rFonts w:ascii="Verdana" w:hAnsi="Verdana"/>
        </w:rPr>
        <w:t>.</w:t>
      </w:r>
      <w:r w:rsidR="002E7500" w:rsidRPr="002E7500">
        <w:rPr>
          <w:rFonts w:ascii="Verdana" w:hAnsi="Verdana"/>
        </w:rPr>
        <w:t xml:space="preserve"> </w:t>
      </w:r>
      <w:r w:rsidR="00847F3E" w:rsidRPr="004E5B52">
        <w:rPr>
          <w:rFonts w:ascii="Verdana" w:hAnsi="Verdana"/>
        </w:rPr>
        <w:t xml:space="preserve">In addition, while the </w:t>
      </w:r>
      <w:r w:rsidR="00D1132D">
        <w:rPr>
          <w:rFonts w:ascii="Verdana" w:hAnsi="Verdana"/>
        </w:rPr>
        <w:t>D</w:t>
      </w:r>
      <w:r w:rsidR="00847F3E" w:rsidRPr="004E5B52">
        <w:rPr>
          <w:rFonts w:ascii="Verdana" w:hAnsi="Verdana"/>
        </w:rPr>
        <w:t xml:space="preserve">raft Framework is </w:t>
      </w:r>
      <w:r w:rsidR="002E7500" w:rsidRPr="004E5B52">
        <w:rPr>
          <w:rFonts w:ascii="Verdana" w:hAnsi="Verdana"/>
        </w:rPr>
        <w:t>centred</w:t>
      </w:r>
      <w:r w:rsidR="00894149" w:rsidRPr="004E5B52">
        <w:rPr>
          <w:rFonts w:ascii="Verdana" w:hAnsi="Verdana"/>
        </w:rPr>
        <w:t xml:space="preserve"> </w:t>
      </w:r>
      <w:r w:rsidR="00847F3E" w:rsidRPr="004E5B52">
        <w:rPr>
          <w:rFonts w:ascii="Verdana" w:hAnsi="Verdana"/>
        </w:rPr>
        <w:t xml:space="preserve">on </w:t>
      </w:r>
      <w:r w:rsidR="00894149" w:rsidRPr="004E5B52">
        <w:rPr>
          <w:rFonts w:ascii="Verdana" w:hAnsi="Verdana"/>
        </w:rPr>
        <w:t>racial equality</w:t>
      </w:r>
      <w:r w:rsidR="00D92874" w:rsidRPr="004E5B52">
        <w:rPr>
          <w:rFonts w:ascii="Verdana" w:hAnsi="Verdana"/>
        </w:rPr>
        <w:t>,</w:t>
      </w:r>
      <w:r w:rsidR="00894149" w:rsidRPr="004E5B52">
        <w:rPr>
          <w:rFonts w:ascii="Verdana" w:hAnsi="Verdana"/>
        </w:rPr>
        <w:t xml:space="preserve"> as </w:t>
      </w:r>
      <w:r w:rsidR="00D92874" w:rsidRPr="004E5B52">
        <w:rPr>
          <w:rFonts w:ascii="Verdana" w:hAnsi="Verdana"/>
        </w:rPr>
        <w:t xml:space="preserve">highlighted by </w:t>
      </w:r>
      <w:r w:rsidR="00A832E3" w:rsidRPr="004E5B52">
        <w:rPr>
          <w:rFonts w:ascii="Verdana" w:hAnsi="Verdana"/>
        </w:rPr>
        <w:t>its</w:t>
      </w:r>
      <w:r w:rsidR="00894149" w:rsidRPr="004E5B52">
        <w:rPr>
          <w:rFonts w:ascii="Verdana" w:hAnsi="Verdana"/>
        </w:rPr>
        <w:t xml:space="preserve"> key outcomes</w:t>
      </w:r>
      <w:r w:rsidR="00DA44E1" w:rsidRPr="004E5B52">
        <w:rPr>
          <w:rFonts w:ascii="Verdana" w:hAnsi="Verdana"/>
        </w:rPr>
        <w:t>,</w:t>
      </w:r>
      <w:r w:rsidR="00894149" w:rsidRPr="004E5B52">
        <w:rPr>
          <w:rFonts w:ascii="Verdana" w:hAnsi="Verdana"/>
        </w:rPr>
        <w:t xml:space="preserve"> </w:t>
      </w:r>
      <w:r w:rsidR="0017227B" w:rsidRPr="004E5B52">
        <w:rPr>
          <w:rFonts w:ascii="Verdana" w:hAnsi="Verdana"/>
        </w:rPr>
        <w:t xml:space="preserve">it </w:t>
      </w:r>
      <w:r w:rsidR="00B12743" w:rsidRPr="004E5B52">
        <w:rPr>
          <w:rFonts w:ascii="Verdana" w:hAnsi="Verdana"/>
        </w:rPr>
        <w:t>engages</w:t>
      </w:r>
      <w:r w:rsidR="00A37B01" w:rsidRPr="004E5B52">
        <w:rPr>
          <w:rFonts w:ascii="Verdana" w:hAnsi="Verdana"/>
        </w:rPr>
        <w:t xml:space="preserve"> broader</w:t>
      </w:r>
      <w:r w:rsidR="00C01FDD" w:rsidRPr="004E5B52">
        <w:rPr>
          <w:rFonts w:ascii="Verdana" w:hAnsi="Verdana"/>
        </w:rPr>
        <w:t xml:space="preserve"> economic, social</w:t>
      </w:r>
      <w:r w:rsidR="00AF7619" w:rsidRPr="004E5B52">
        <w:rPr>
          <w:rFonts w:ascii="Verdana" w:hAnsi="Verdana"/>
        </w:rPr>
        <w:t xml:space="preserve">, </w:t>
      </w:r>
      <w:r w:rsidR="00C01FDD" w:rsidRPr="004E5B52">
        <w:rPr>
          <w:rFonts w:ascii="Verdana" w:hAnsi="Verdana"/>
        </w:rPr>
        <w:t>cultural rights,</w:t>
      </w:r>
      <w:r w:rsidR="00C91DE7" w:rsidRPr="004E5B52">
        <w:rPr>
          <w:rFonts w:ascii="Verdana" w:hAnsi="Verdana"/>
        </w:rPr>
        <w:t xml:space="preserve"> and</w:t>
      </w:r>
      <w:r w:rsidR="00D25CB9" w:rsidRPr="004E5B52">
        <w:rPr>
          <w:rFonts w:ascii="Verdana" w:hAnsi="Verdana"/>
        </w:rPr>
        <w:t xml:space="preserve"> civil an</w:t>
      </w:r>
      <w:r w:rsidR="00546F50" w:rsidRPr="004E5B52">
        <w:rPr>
          <w:rFonts w:ascii="Verdana" w:hAnsi="Verdana"/>
        </w:rPr>
        <w:t>d</w:t>
      </w:r>
      <w:r w:rsidR="00D25CB9" w:rsidRPr="004E5B52">
        <w:rPr>
          <w:rFonts w:ascii="Verdana" w:hAnsi="Verdana"/>
        </w:rPr>
        <w:t xml:space="preserve"> political rights</w:t>
      </w:r>
      <w:r w:rsidR="00546F50" w:rsidRPr="004E5B52">
        <w:rPr>
          <w:rFonts w:ascii="Verdana" w:hAnsi="Verdana"/>
        </w:rPr>
        <w:t xml:space="preserve">, </w:t>
      </w:r>
      <w:r w:rsidR="00C01FDD" w:rsidRPr="004E5B52">
        <w:rPr>
          <w:rFonts w:ascii="Verdana" w:hAnsi="Verdana"/>
        </w:rPr>
        <w:t>including the right to</w:t>
      </w:r>
      <w:r w:rsidR="00495A26" w:rsidRPr="004E5B52">
        <w:rPr>
          <w:rFonts w:ascii="Verdana" w:hAnsi="Verdana" w:cstheme="minorBidi"/>
          <w:color w:val="auto"/>
        </w:rPr>
        <w:t xml:space="preserve"> </w:t>
      </w:r>
      <w:r w:rsidR="00495A26" w:rsidRPr="004E5B52">
        <w:rPr>
          <w:rFonts w:ascii="Verdana" w:hAnsi="Verdana"/>
        </w:rPr>
        <w:t>education,</w:t>
      </w:r>
      <w:r w:rsidR="00801B54">
        <w:rPr>
          <w:rStyle w:val="FootnoteReference"/>
          <w:rFonts w:ascii="Verdana" w:hAnsi="Verdana"/>
        </w:rPr>
        <w:footnoteReference w:id="35"/>
      </w:r>
      <w:r w:rsidR="00495A26" w:rsidRPr="004E5B52">
        <w:rPr>
          <w:rFonts w:ascii="Verdana" w:hAnsi="Verdana"/>
        </w:rPr>
        <w:t xml:space="preserve"> </w:t>
      </w:r>
      <w:r w:rsidR="00BD2F35">
        <w:rPr>
          <w:rFonts w:ascii="Verdana" w:hAnsi="Verdana"/>
        </w:rPr>
        <w:t xml:space="preserve">the </w:t>
      </w:r>
      <w:r w:rsidR="00495A26" w:rsidRPr="004E5B52">
        <w:rPr>
          <w:rFonts w:ascii="Verdana" w:hAnsi="Verdana"/>
        </w:rPr>
        <w:t xml:space="preserve">right to </w:t>
      </w:r>
      <w:r w:rsidR="00BD2F35">
        <w:rPr>
          <w:rFonts w:ascii="Verdana" w:hAnsi="Verdana"/>
        </w:rPr>
        <w:t xml:space="preserve">the </w:t>
      </w:r>
      <w:r w:rsidR="00495A26" w:rsidRPr="004E5B52">
        <w:rPr>
          <w:rFonts w:ascii="Verdana" w:hAnsi="Verdana"/>
        </w:rPr>
        <w:lastRenderedPageBreak/>
        <w:t>highest attainable standard of health,</w:t>
      </w:r>
      <w:r w:rsidR="001D6B9F">
        <w:rPr>
          <w:rStyle w:val="FootnoteReference"/>
          <w:rFonts w:ascii="Verdana" w:hAnsi="Verdana"/>
        </w:rPr>
        <w:footnoteReference w:id="36"/>
      </w:r>
      <w:r w:rsidR="00495A26" w:rsidRPr="004E5B52">
        <w:rPr>
          <w:rFonts w:ascii="Verdana" w:hAnsi="Verdana"/>
        </w:rPr>
        <w:t xml:space="preserve"> </w:t>
      </w:r>
      <w:r w:rsidR="00BD2F35">
        <w:rPr>
          <w:rFonts w:ascii="Verdana" w:hAnsi="Verdana"/>
        </w:rPr>
        <w:t xml:space="preserve">the </w:t>
      </w:r>
      <w:r w:rsidR="00495A26" w:rsidRPr="004E5B52">
        <w:rPr>
          <w:rFonts w:ascii="Verdana" w:hAnsi="Verdana"/>
        </w:rPr>
        <w:t>right to work</w:t>
      </w:r>
      <w:r w:rsidR="00BD2F35">
        <w:rPr>
          <w:rFonts w:ascii="Verdana" w:hAnsi="Verdana"/>
        </w:rPr>
        <w:t>,</w:t>
      </w:r>
      <w:r w:rsidR="001D6B9F">
        <w:rPr>
          <w:rStyle w:val="FootnoteReference"/>
          <w:rFonts w:ascii="Verdana" w:hAnsi="Verdana"/>
        </w:rPr>
        <w:footnoteReference w:id="37"/>
      </w:r>
      <w:r w:rsidR="00495A26" w:rsidRPr="004E5B52" w:rsidDel="00BD2F35">
        <w:rPr>
          <w:rFonts w:ascii="Verdana" w:hAnsi="Verdana"/>
        </w:rPr>
        <w:t xml:space="preserve"> </w:t>
      </w:r>
      <w:r w:rsidR="00BD2F35">
        <w:rPr>
          <w:rFonts w:ascii="Verdana" w:hAnsi="Verdana"/>
        </w:rPr>
        <w:t xml:space="preserve">the right to be </w:t>
      </w:r>
      <w:r w:rsidR="00495A26" w:rsidRPr="004E5B52">
        <w:rPr>
          <w:rFonts w:ascii="Verdana" w:hAnsi="Verdana"/>
        </w:rPr>
        <w:t>freed from discrimination</w:t>
      </w:r>
      <w:r w:rsidR="00F70576" w:rsidRPr="004E5B52">
        <w:rPr>
          <w:rFonts w:ascii="Verdana" w:hAnsi="Verdana"/>
        </w:rPr>
        <w:t>,</w:t>
      </w:r>
      <w:r w:rsidR="003A1382">
        <w:rPr>
          <w:rStyle w:val="FootnoteReference"/>
          <w:rFonts w:ascii="Verdana" w:hAnsi="Verdana"/>
        </w:rPr>
        <w:footnoteReference w:id="38"/>
      </w:r>
      <w:r w:rsidR="00E71319" w:rsidRPr="004E5B52">
        <w:rPr>
          <w:rFonts w:ascii="Verdana" w:hAnsi="Verdana"/>
        </w:rPr>
        <w:t xml:space="preserve"> and access to justice</w:t>
      </w:r>
      <w:r w:rsidR="00265CE2" w:rsidRPr="004E5B52">
        <w:rPr>
          <w:rFonts w:ascii="Verdana" w:hAnsi="Verdana"/>
        </w:rPr>
        <w:t>.</w:t>
      </w:r>
      <w:r w:rsidR="00C365F2">
        <w:rPr>
          <w:rStyle w:val="FootnoteReference"/>
          <w:rFonts w:ascii="Verdana" w:hAnsi="Verdana"/>
        </w:rPr>
        <w:footnoteReference w:id="39"/>
      </w:r>
    </w:p>
    <w:p w14:paraId="69C154D6" w14:textId="77777777" w:rsidR="002B1222" w:rsidRPr="002B1222" w:rsidRDefault="002B1222" w:rsidP="00450133">
      <w:pPr>
        <w:pStyle w:val="BasicParagraph"/>
        <w:suppressAutoHyphens/>
        <w:rPr>
          <w:rFonts w:ascii="Verdana" w:hAnsi="Verdana"/>
          <w:lang w:val="en-US"/>
        </w:rPr>
      </w:pPr>
    </w:p>
    <w:p w14:paraId="1ACC1CA4" w14:textId="0C6F9404" w:rsidR="00143A47" w:rsidRPr="00143A47" w:rsidRDefault="002D56A7" w:rsidP="003060FD">
      <w:pPr>
        <w:pStyle w:val="BasicParagraph"/>
        <w:numPr>
          <w:ilvl w:val="1"/>
          <w:numId w:val="1"/>
        </w:numPr>
        <w:suppressAutoHyphens/>
        <w:ind w:left="709"/>
        <w:rPr>
          <w:rFonts w:ascii="Verdana" w:hAnsi="Verdana"/>
          <w:lang w:val="en-US"/>
        </w:rPr>
      </w:pPr>
      <w:r>
        <w:rPr>
          <w:rFonts w:ascii="Verdana" w:hAnsi="Verdana"/>
        </w:rPr>
        <w:t>T</w:t>
      </w:r>
      <w:r w:rsidR="006B341B">
        <w:rPr>
          <w:rFonts w:ascii="Verdana" w:hAnsi="Verdana"/>
        </w:rPr>
        <w:t xml:space="preserve">he </w:t>
      </w:r>
      <w:r w:rsidR="00F5465E">
        <w:rPr>
          <w:rFonts w:ascii="Verdana" w:hAnsi="Verdana"/>
        </w:rPr>
        <w:t>United Nations</w:t>
      </w:r>
      <w:r w:rsidR="006B341B">
        <w:rPr>
          <w:rFonts w:ascii="Verdana" w:hAnsi="Verdana"/>
        </w:rPr>
        <w:t xml:space="preserve"> Office of the High Commissioner for Refugees </w:t>
      </w:r>
      <w:r w:rsidR="001213DE">
        <w:rPr>
          <w:rFonts w:ascii="Verdana" w:hAnsi="Verdana"/>
        </w:rPr>
        <w:t>(UN OHCHR)</w:t>
      </w:r>
      <w:r w:rsidR="006B341B">
        <w:rPr>
          <w:rFonts w:ascii="Verdana" w:hAnsi="Verdana"/>
        </w:rPr>
        <w:t>,</w:t>
      </w:r>
      <w:r w:rsidR="00603107">
        <w:rPr>
          <w:rFonts w:ascii="Verdana" w:hAnsi="Verdana"/>
        </w:rPr>
        <w:t xml:space="preserve"> has stated that</w:t>
      </w:r>
      <w:r w:rsidR="00F139D3">
        <w:rPr>
          <w:rFonts w:ascii="Verdana" w:hAnsi="Verdana"/>
        </w:rPr>
        <w:t xml:space="preserve"> </w:t>
      </w:r>
      <w:r w:rsidR="001E50BB">
        <w:rPr>
          <w:rFonts w:ascii="Verdana" w:hAnsi="Verdana"/>
        </w:rPr>
        <w:t>a</w:t>
      </w:r>
      <w:r w:rsidR="006B341B" w:rsidRPr="006B341B">
        <w:rPr>
          <w:rFonts w:ascii="Verdana" w:hAnsi="Verdana"/>
        </w:rPr>
        <w:t xml:space="preserve"> </w:t>
      </w:r>
      <w:r w:rsidR="004E5B52">
        <w:rPr>
          <w:rFonts w:ascii="Verdana" w:hAnsi="Verdana"/>
        </w:rPr>
        <w:t>N</w:t>
      </w:r>
      <w:r w:rsidR="006B341B" w:rsidRPr="006B341B">
        <w:rPr>
          <w:rFonts w:ascii="Verdana" w:hAnsi="Verdana"/>
        </w:rPr>
        <w:t xml:space="preserve">ational </w:t>
      </w:r>
      <w:r w:rsidR="004E5B52">
        <w:rPr>
          <w:rFonts w:ascii="Verdana" w:hAnsi="Verdana"/>
        </w:rPr>
        <w:t>A</w:t>
      </w:r>
      <w:r w:rsidR="006B341B" w:rsidRPr="006B341B">
        <w:rPr>
          <w:rFonts w:ascii="Verdana" w:hAnsi="Verdana"/>
        </w:rPr>
        <w:t xml:space="preserve">ction </w:t>
      </w:r>
      <w:r w:rsidR="004E5B52">
        <w:rPr>
          <w:rFonts w:ascii="Verdana" w:hAnsi="Verdana"/>
        </w:rPr>
        <w:t>P</w:t>
      </w:r>
      <w:r w:rsidR="006B341B" w:rsidRPr="006B341B">
        <w:rPr>
          <w:rFonts w:ascii="Verdana" w:hAnsi="Verdana"/>
        </w:rPr>
        <w:t xml:space="preserve">lan against </w:t>
      </w:r>
      <w:r w:rsidR="004E5B52">
        <w:rPr>
          <w:rFonts w:ascii="Verdana" w:hAnsi="Verdana"/>
        </w:rPr>
        <w:t>R</w:t>
      </w:r>
      <w:r w:rsidR="006B341B" w:rsidRPr="006B341B">
        <w:rPr>
          <w:rFonts w:ascii="Verdana" w:hAnsi="Verdana"/>
        </w:rPr>
        <w:t xml:space="preserve">acial </w:t>
      </w:r>
      <w:r w:rsidR="004E5B52">
        <w:rPr>
          <w:rFonts w:ascii="Verdana" w:hAnsi="Verdana"/>
        </w:rPr>
        <w:t>D</w:t>
      </w:r>
      <w:r w:rsidR="006B341B" w:rsidRPr="006B341B">
        <w:rPr>
          <w:rFonts w:ascii="Verdana" w:hAnsi="Verdana"/>
        </w:rPr>
        <w:t>iscrimination</w:t>
      </w:r>
      <w:r w:rsidR="00BD2F35">
        <w:rPr>
          <w:rFonts w:ascii="Verdana" w:hAnsi="Verdana"/>
        </w:rPr>
        <w:t xml:space="preserve"> should also</w:t>
      </w:r>
      <w:r w:rsidR="00143A47">
        <w:rPr>
          <w:rFonts w:ascii="Verdana" w:hAnsi="Verdana"/>
        </w:rPr>
        <w:t>:</w:t>
      </w:r>
    </w:p>
    <w:p w14:paraId="435953A5" w14:textId="77777777" w:rsidR="00143A47" w:rsidRPr="00731848" w:rsidRDefault="00143A47" w:rsidP="00731848">
      <w:pPr>
        <w:pStyle w:val="BasicParagraph"/>
        <w:suppressAutoHyphens/>
        <w:rPr>
          <w:rFonts w:ascii="Verdana" w:hAnsi="Verdana"/>
          <w:lang w:val="en-US"/>
        </w:rPr>
      </w:pPr>
    </w:p>
    <w:p w14:paraId="417E914C" w14:textId="3480183B" w:rsidR="00045365" w:rsidRDefault="006B341B" w:rsidP="00AB5AF5">
      <w:pPr>
        <w:pStyle w:val="Quote"/>
      </w:pPr>
      <w:r w:rsidRPr="00FC7506">
        <w:t xml:space="preserve">take into account the recommendations of the Committee on </w:t>
      </w:r>
      <w:r w:rsidR="00CD42F5" w:rsidRPr="00FC7506">
        <w:t>t</w:t>
      </w:r>
      <w:r w:rsidRPr="00FC7506">
        <w:t>he Elimination of Racial Discrimination, the</w:t>
      </w:r>
      <w:r w:rsidR="00AB5AF5">
        <w:t xml:space="preserve"> </w:t>
      </w:r>
      <w:r w:rsidRPr="00FC7506">
        <w:t>Committee on Migrant Workers and other human rights treaty</w:t>
      </w:r>
      <w:r w:rsidR="007B7445">
        <w:t xml:space="preserve"> </w:t>
      </w:r>
      <w:r w:rsidRPr="00FC7506">
        <w:t>bodies that monitor the</w:t>
      </w:r>
      <w:r w:rsidR="00D045D2" w:rsidRPr="00FC7506">
        <w:t xml:space="preserve"> </w:t>
      </w:r>
      <w:r w:rsidRPr="00FC7506">
        <w:t>implementation of the core international human rights treaties, as well as</w:t>
      </w:r>
      <w:r w:rsidR="00D045D2" w:rsidRPr="00FC7506">
        <w:t xml:space="preserve"> </w:t>
      </w:r>
      <w:r w:rsidRPr="00FC7506">
        <w:t>those of Charter-based bodies like the Human Rights Council and its</w:t>
      </w:r>
      <w:r w:rsidR="00D045D2" w:rsidRPr="00FC7506">
        <w:t xml:space="preserve"> </w:t>
      </w:r>
      <w:r w:rsidRPr="00FC7506">
        <w:t>special procedures</w:t>
      </w:r>
      <w:r w:rsidRPr="006B341B">
        <w:t>.</w:t>
      </w:r>
      <w:r w:rsidR="00E7703D">
        <w:rPr>
          <w:rStyle w:val="FootnoteReference"/>
        </w:rPr>
        <w:footnoteReference w:id="40"/>
      </w:r>
    </w:p>
    <w:p w14:paraId="5CCECED0" w14:textId="77777777" w:rsidR="00D44C4C" w:rsidRPr="00731848" w:rsidRDefault="00D44C4C" w:rsidP="00731848"/>
    <w:p w14:paraId="27D6E4B1" w14:textId="4B798679" w:rsidR="00D44C4C" w:rsidRPr="00731848" w:rsidRDefault="00603107" w:rsidP="00731848">
      <w:pPr>
        <w:pStyle w:val="BasicParagraph"/>
        <w:numPr>
          <w:ilvl w:val="1"/>
          <w:numId w:val="1"/>
        </w:numPr>
        <w:suppressAutoHyphens/>
        <w:ind w:left="709"/>
        <w:rPr>
          <w:rFonts w:ascii="Verdana" w:hAnsi="Verdana"/>
          <w:lang w:val="en-US"/>
        </w:rPr>
      </w:pPr>
      <w:r>
        <w:rPr>
          <w:rFonts w:ascii="Verdana" w:hAnsi="Verdana"/>
        </w:rPr>
        <w:t>In addition</w:t>
      </w:r>
      <w:r w:rsidR="00840ACC">
        <w:rPr>
          <w:rFonts w:ascii="Verdana" w:hAnsi="Verdana"/>
        </w:rPr>
        <w:t>,</w:t>
      </w:r>
      <w:r>
        <w:rPr>
          <w:rFonts w:ascii="Verdana" w:hAnsi="Verdana"/>
        </w:rPr>
        <w:t xml:space="preserve"> </w:t>
      </w:r>
      <w:r w:rsidR="001E50BB">
        <w:rPr>
          <w:rFonts w:ascii="Verdana" w:hAnsi="Verdana"/>
        </w:rPr>
        <w:t>it should</w:t>
      </w:r>
      <w:r w:rsidR="00B96796">
        <w:rPr>
          <w:rFonts w:ascii="Verdana" w:hAnsi="Verdana"/>
        </w:rPr>
        <w:t xml:space="preserve"> give due consideration to </w:t>
      </w:r>
      <w:r w:rsidR="00BD2F35">
        <w:rPr>
          <w:rFonts w:ascii="Verdana" w:hAnsi="Verdana"/>
        </w:rPr>
        <w:t xml:space="preserve">and reflect </w:t>
      </w:r>
      <w:r w:rsidR="00B96796">
        <w:rPr>
          <w:rFonts w:ascii="Verdana" w:hAnsi="Verdana"/>
        </w:rPr>
        <w:t>the</w:t>
      </w:r>
      <w:r w:rsidR="00013A8C">
        <w:rPr>
          <w:rFonts w:ascii="Verdana" w:hAnsi="Verdana"/>
        </w:rPr>
        <w:t xml:space="preserve"> </w:t>
      </w:r>
      <w:r w:rsidR="00B96796">
        <w:rPr>
          <w:rFonts w:ascii="Verdana" w:hAnsi="Verdana"/>
        </w:rPr>
        <w:t>observations a</w:t>
      </w:r>
      <w:r w:rsidR="00F32890">
        <w:rPr>
          <w:rFonts w:ascii="Verdana" w:hAnsi="Verdana"/>
        </w:rPr>
        <w:t>nd</w:t>
      </w:r>
      <w:r w:rsidR="00731848" w:rsidRPr="00731848">
        <w:rPr>
          <w:rFonts w:ascii="Verdana" w:hAnsi="Verdana"/>
        </w:rPr>
        <w:t xml:space="preserve"> </w:t>
      </w:r>
      <w:r w:rsidR="00F32890">
        <w:rPr>
          <w:rFonts w:ascii="Verdana" w:hAnsi="Verdana"/>
        </w:rPr>
        <w:t>recommendations</w:t>
      </w:r>
      <w:r w:rsidR="00337717">
        <w:rPr>
          <w:rFonts w:ascii="Verdana" w:hAnsi="Verdana"/>
        </w:rPr>
        <w:t xml:space="preserve"> made</w:t>
      </w:r>
      <w:r w:rsidR="00D44C4C">
        <w:rPr>
          <w:rFonts w:ascii="Verdana" w:hAnsi="Verdana"/>
        </w:rPr>
        <w:t>:</w:t>
      </w:r>
    </w:p>
    <w:p w14:paraId="60660D5E" w14:textId="77777777" w:rsidR="00840ACC" w:rsidRDefault="00840ACC" w:rsidP="00731848">
      <w:pPr>
        <w:pStyle w:val="BasicParagraph"/>
        <w:suppressAutoHyphens/>
        <w:ind w:left="709"/>
        <w:rPr>
          <w:rFonts w:ascii="Verdana" w:hAnsi="Verdana"/>
          <w:lang w:val="en-US"/>
        </w:rPr>
      </w:pPr>
    </w:p>
    <w:p w14:paraId="0F272D37" w14:textId="6CFE42F6" w:rsidR="00840ACC" w:rsidRDefault="00411DF7" w:rsidP="00731848">
      <w:pPr>
        <w:pStyle w:val="Quote"/>
      </w:pPr>
      <w:r w:rsidRPr="00411DF7">
        <w:t xml:space="preserve">during the universal periodic review and/or by the Special </w:t>
      </w:r>
      <w:r w:rsidR="007B7445">
        <w:t xml:space="preserve"> </w:t>
      </w:r>
      <w:r w:rsidRPr="00411DF7">
        <w:t xml:space="preserve">Rapporteur on contemporary forms of racism, racial discrimination, xenophobia and related intolerance, the Special Rapporteur on the rights of indigenous peoples, the Special </w:t>
      </w:r>
      <w:r w:rsidRPr="00411DF7">
        <w:lastRenderedPageBreak/>
        <w:t>Rapporteur on the human rights of migrants, the independent expert on minority issues as well as by the Durban follow-up mechanisms, including the Working</w:t>
      </w:r>
      <w:r w:rsidR="007B7445">
        <w:t xml:space="preserve"> </w:t>
      </w:r>
      <w:r w:rsidRPr="00411DF7">
        <w:t>Group of Experts on People of African Descent and the Intergovernmental Working Group on the Effective Implementation of the Durban Declaration and Programme of Action</w:t>
      </w:r>
      <w:r w:rsidR="00E7703D">
        <w:t>.</w:t>
      </w:r>
      <w:r w:rsidR="00812B72">
        <w:rPr>
          <w:rStyle w:val="FootnoteReference"/>
        </w:rPr>
        <w:footnoteReference w:id="41"/>
      </w:r>
    </w:p>
    <w:p w14:paraId="2801BCF4" w14:textId="77777777" w:rsidR="00123F52" w:rsidRPr="00123F52" w:rsidRDefault="00123F52" w:rsidP="00123F52">
      <w:pPr>
        <w:rPr>
          <w:lang w:val="en-US"/>
        </w:rPr>
      </w:pPr>
    </w:p>
    <w:p w14:paraId="4D768537" w14:textId="66973891" w:rsidR="00D92CB6" w:rsidRPr="00731848" w:rsidRDefault="00A87176" w:rsidP="00731848">
      <w:pPr>
        <w:pStyle w:val="BasicParagraph"/>
        <w:numPr>
          <w:ilvl w:val="1"/>
          <w:numId w:val="1"/>
        </w:numPr>
        <w:suppressAutoHyphens/>
        <w:ind w:left="709"/>
        <w:rPr>
          <w:rFonts w:ascii="Verdana" w:hAnsi="Verdana"/>
          <w:lang w:val="en-US"/>
        </w:rPr>
      </w:pPr>
      <w:r>
        <w:rPr>
          <w:rFonts w:ascii="Verdana" w:hAnsi="Verdana" w:cstheme="minorBidi"/>
          <w:color w:val="auto"/>
        </w:rPr>
        <w:t xml:space="preserve">The </w:t>
      </w:r>
      <w:r w:rsidR="001213DE">
        <w:rPr>
          <w:rFonts w:ascii="Verdana" w:hAnsi="Verdana" w:cstheme="minorBidi"/>
          <w:color w:val="auto"/>
        </w:rPr>
        <w:t>UN OHCHR</w:t>
      </w:r>
      <w:r w:rsidR="009934B5">
        <w:rPr>
          <w:rFonts w:ascii="Verdana" w:hAnsi="Verdana" w:cstheme="minorBidi"/>
          <w:color w:val="auto"/>
        </w:rPr>
        <w:t xml:space="preserve"> </w:t>
      </w:r>
      <w:r w:rsidR="00026261">
        <w:rPr>
          <w:rFonts w:ascii="Verdana" w:hAnsi="Verdana" w:cstheme="minorBidi"/>
          <w:color w:val="auto"/>
        </w:rPr>
        <w:t>further recommends that t</w:t>
      </w:r>
      <w:r w:rsidR="005E705E" w:rsidRPr="005E705E">
        <w:rPr>
          <w:rFonts w:ascii="Verdana" w:hAnsi="Verdana" w:cstheme="minorBidi"/>
          <w:color w:val="auto"/>
        </w:rPr>
        <w:t>he content of each should,</w:t>
      </w:r>
      <w:r w:rsidR="00731848">
        <w:rPr>
          <w:rFonts w:ascii="Verdana" w:hAnsi="Verdana"/>
          <w:lang w:val="en-US"/>
        </w:rPr>
        <w:t xml:space="preserve"> </w:t>
      </w:r>
      <w:r w:rsidR="005E705E" w:rsidRPr="005E705E">
        <w:rPr>
          <w:rFonts w:ascii="Verdana" w:hAnsi="Verdana" w:cstheme="minorBidi"/>
          <w:color w:val="auto"/>
        </w:rPr>
        <w:t>a</w:t>
      </w:r>
      <w:r w:rsidR="005E705E">
        <w:rPr>
          <w:rFonts w:ascii="Verdana" w:hAnsi="Verdana" w:cstheme="minorBidi"/>
          <w:color w:val="auto"/>
        </w:rPr>
        <w:t>t</w:t>
      </w:r>
      <w:r w:rsidR="005E705E" w:rsidRPr="005E705E">
        <w:rPr>
          <w:rFonts w:ascii="Verdana" w:hAnsi="Verdana" w:cstheme="minorBidi"/>
          <w:color w:val="auto"/>
        </w:rPr>
        <w:t xml:space="preserve"> a minimum, align with the standards</w:t>
      </w:r>
      <w:r w:rsidR="00026261">
        <w:rPr>
          <w:rFonts w:ascii="Verdana" w:hAnsi="Verdana" w:cstheme="minorBidi"/>
          <w:color w:val="auto"/>
        </w:rPr>
        <w:t xml:space="preserve"> </w:t>
      </w:r>
      <w:r w:rsidR="005E705E" w:rsidRPr="005E705E">
        <w:rPr>
          <w:rFonts w:ascii="Verdana" w:hAnsi="Verdana" w:cstheme="minorBidi"/>
          <w:color w:val="auto"/>
        </w:rPr>
        <w:t xml:space="preserve">established in international human rights instruments </w:t>
      </w:r>
      <w:r w:rsidR="009956A0">
        <w:rPr>
          <w:rFonts w:ascii="Verdana" w:hAnsi="Verdana" w:cstheme="minorBidi"/>
          <w:color w:val="auto"/>
        </w:rPr>
        <w:t>as interpreted</w:t>
      </w:r>
      <w:r w:rsidR="005E705E" w:rsidRPr="005E705E">
        <w:rPr>
          <w:rFonts w:ascii="Verdana" w:hAnsi="Verdana" w:cstheme="minorBidi"/>
          <w:color w:val="auto"/>
        </w:rPr>
        <w:t xml:space="preserve"> by the</w:t>
      </w:r>
      <w:r w:rsidR="009956A0">
        <w:rPr>
          <w:rFonts w:ascii="Verdana" w:hAnsi="Verdana" w:cstheme="minorBidi"/>
          <w:color w:val="auto"/>
        </w:rPr>
        <w:t>ir</w:t>
      </w:r>
      <w:r w:rsidR="005E705E" w:rsidRPr="005E705E">
        <w:rPr>
          <w:rFonts w:ascii="Verdana" w:hAnsi="Verdana" w:cstheme="minorBidi"/>
          <w:color w:val="auto"/>
        </w:rPr>
        <w:t xml:space="preserve"> relevant treaty bodie</w:t>
      </w:r>
      <w:r w:rsidR="005E705E">
        <w:rPr>
          <w:rFonts w:ascii="Verdana" w:hAnsi="Verdana" w:cstheme="minorBidi"/>
          <w:color w:val="auto"/>
        </w:rPr>
        <w:t>s.</w:t>
      </w:r>
      <w:r w:rsidR="00210CCB">
        <w:rPr>
          <w:rStyle w:val="FootnoteReference"/>
          <w:rFonts w:ascii="Verdana" w:hAnsi="Verdana"/>
        </w:rPr>
        <w:footnoteReference w:id="42"/>
      </w:r>
    </w:p>
    <w:p w14:paraId="70A9DE1D" w14:textId="77777777" w:rsidR="00661E9A" w:rsidRPr="00661E9A" w:rsidRDefault="00661E9A" w:rsidP="00661E9A">
      <w:pPr>
        <w:pStyle w:val="BasicParagraph"/>
        <w:suppressAutoHyphens/>
        <w:ind w:left="709"/>
        <w:rPr>
          <w:rFonts w:ascii="Verdana" w:hAnsi="Verdana"/>
          <w:lang w:val="en-US"/>
        </w:rPr>
      </w:pPr>
    </w:p>
    <w:p w14:paraId="0BD14E8D" w14:textId="77777777" w:rsidR="007E6881" w:rsidRPr="001234E1" w:rsidRDefault="007E6881" w:rsidP="007E6881">
      <w:pPr>
        <w:pStyle w:val="BasicParagraph"/>
        <w:numPr>
          <w:ilvl w:val="1"/>
          <w:numId w:val="1"/>
        </w:numPr>
        <w:rPr>
          <w:rFonts w:ascii="Verdana" w:hAnsi="Verdana"/>
        </w:rPr>
      </w:pPr>
      <w:r w:rsidRPr="001234E1">
        <w:rPr>
          <w:rFonts w:ascii="Verdana" w:hAnsi="Verdana"/>
        </w:rPr>
        <w:t xml:space="preserve">Windsor Framework Article 2 requires the UK Government and NI Executive to ensure that there is no diminution of rights, safeguards and equality of opportunities contained in the relevant part of the Belfast (Good Friday) Agreement 1998, </w:t>
      </w:r>
      <w:r>
        <w:rPr>
          <w:rFonts w:ascii="Verdana" w:hAnsi="Verdana"/>
        </w:rPr>
        <w:t>as a result</w:t>
      </w:r>
      <w:r w:rsidRPr="001234E1">
        <w:rPr>
          <w:rFonts w:ascii="Verdana" w:hAnsi="Verdana"/>
        </w:rPr>
        <w:t xml:space="preserve"> of the UK’s withdrawal from the EU. The rights listed in the 1998 Agreement include the “civil rights … of everyone in the community” </w:t>
      </w:r>
      <w:bookmarkStart w:id="4" w:name="_Int_iauVPClE"/>
      <w:r w:rsidRPr="001234E1">
        <w:rPr>
          <w:rFonts w:ascii="Verdana" w:hAnsi="Verdana"/>
        </w:rPr>
        <w:t>and in particular, the</w:t>
      </w:r>
      <w:bookmarkEnd w:id="4"/>
      <w:r w:rsidRPr="001234E1">
        <w:rPr>
          <w:rFonts w:ascii="Verdana" w:hAnsi="Verdana"/>
        </w:rPr>
        <w:t xml:space="preserve"> right to “equal opportunity in all social and economic activity, regardless of … </w:t>
      </w:r>
      <w:r>
        <w:rPr>
          <w:rFonts w:ascii="Verdana" w:hAnsi="Verdana"/>
        </w:rPr>
        <w:t>ethnicity</w:t>
      </w:r>
      <w:r w:rsidRPr="001234E1">
        <w:rPr>
          <w:rFonts w:ascii="Verdana" w:hAnsi="Verdana"/>
        </w:rPr>
        <w:t xml:space="preserve">”. </w:t>
      </w:r>
    </w:p>
    <w:p w14:paraId="77BF37F5" w14:textId="77777777" w:rsidR="007E6881" w:rsidRDefault="007E6881" w:rsidP="007E6881">
      <w:pPr>
        <w:pStyle w:val="BasicParagraph"/>
        <w:ind w:left="720"/>
      </w:pPr>
    </w:p>
    <w:p w14:paraId="7DD2AFCE" w14:textId="569B0A56" w:rsidR="007E6881" w:rsidRDefault="00B818E7" w:rsidP="007E6881">
      <w:pPr>
        <w:pStyle w:val="BasicParagraph"/>
        <w:numPr>
          <w:ilvl w:val="1"/>
          <w:numId w:val="1"/>
        </w:numPr>
        <w:suppressAutoHyphens/>
        <w:rPr>
          <w:rFonts w:ascii="Verdana" w:hAnsi="Verdana"/>
        </w:rPr>
      </w:pPr>
      <w:r>
        <w:rPr>
          <w:rFonts w:ascii="Verdana" w:hAnsi="Verdana" w:cs="Arial"/>
          <w:color w:val="000000" w:themeColor="text1"/>
        </w:rPr>
        <w:t xml:space="preserve">In addition to the non-diminution obligation, </w:t>
      </w:r>
      <w:r w:rsidR="007E6881" w:rsidRPr="00C71774">
        <w:rPr>
          <w:rFonts w:ascii="Verdana" w:hAnsi="Verdana" w:cs="Arial"/>
          <w:color w:val="000000" w:themeColor="text1"/>
        </w:rPr>
        <w:t>Article 2</w:t>
      </w:r>
      <w:r w:rsidR="00345F8F">
        <w:rPr>
          <w:rFonts w:ascii="Verdana" w:hAnsi="Verdana" w:cs="Arial"/>
          <w:color w:val="000000" w:themeColor="text1"/>
        </w:rPr>
        <w:t xml:space="preserve"> </w:t>
      </w:r>
      <w:r w:rsidR="00277586">
        <w:rPr>
          <w:rFonts w:ascii="Verdana" w:hAnsi="Verdana" w:cs="Arial"/>
          <w:color w:val="000000" w:themeColor="text1"/>
        </w:rPr>
        <w:t>provides particular protection in respect of non-discrimination and references Annex 1 of the Windsor Framework</w:t>
      </w:r>
      <w:r w:rsidR="00D833F7">
        <w:rPr>
          <w:rFonts w:ascii="Verdana" w:hAnsi="Verdana" w:cs="Arial"/>
          <w:color w:val="000000" w:themeColor="text1"/>
        </w:rPr>
        <w:t>,</w:t>
      </w:r>
      <w:r w:rsidR="00277586">
        <w:rPr>
          <w:rFonts w:ascii="Verdana" w:hAnsi="Verdana" w:cs="Arial"/>
          <w:color w:val="000000" w:themeColor="text1"/>
        </w:rPr>
        <w:t xml:space="preserve"> which lists six EU </w:t>
      </w:r>
      <w:r w:rsidR="004B59AB">
        <w:rPr>
          <w:rFonts w:ascii="Verdana" w:hAnsi="Verdana" w:cs="Arial"/>
          <w:color w:val="000000" w:themeColor="text1"/>
        </w:rPr>
        <w:t>E</w:t>
      </w:r>
      <w:r w:rsidR="00277586">
        <w:rPr>
          <w:rFonts w:ascii="Verdana" w:hAnsi="Verdana" w:cs="Arial"/>
          <w:color w:val="000000" w:themeColor="text1"/>
        </w:rPr>
        <w:t xml:space="preserve">quality </w:t>
      </w:r>
      <w:r w:rsidR="004B59AB">
        <w:rPr>
          <w:rFonts w:ascii="Verdana" w:hAnsi="Verdana" w:cs="Arial"/>
          <w:color w:val="000000" w:themeColor="text1"/>
        </w:rPr>
        <w:t>Directives.</w:t>
      </w:r>
      <w:r w:rsidR="007E6881" w:rsidRPr="00C71774">
        <w:rPr>
          <w:rFonts w:ascii="Verdana" w:hAnsi="Verdana" w:cs="Arial"/>
          <w:color w:val="000000" w:themeColor="text1"/>
        </w:rPr>
        <w:t xml:space="preserve"> </w:t>
      </w:r>
      <w:r w:rsidR="004B59AB">
        <w:rPr>
          <w:rFonts w:ascii="Verdana" w:hAnsi="Verdana" w:cs="Arial"/>
          <w:color w:val="000000" w:themeColor="text1"/>
        </w:rPr>
        <w:t>Article</w:t>
      </w:r>
      <w:r w:rsidR="007E6881" w:rsidRPr="00C71774">
        <w:rPr>
          <w:rFonts w:ascii="Verdana" w:hAnsi="Verdana" w:cs="Arial"/>
          <w:color w:val="000000" w:themeColor="text1"/>
        </w:rPr>
        <w:t xml:space="preserve"> 13 of the Windsor Framework </w:t>
      </w:r>
      <w:r w:rsidR="004B59AB">
        <w:rPr>
          <w:rFonts w:ascii="Verdana" w:hAnsi="Verdana" w:cs="Arial"/>
          <w:color w:val="000000" w:themeColor="text1"/>
        </w:rPr>
        <w:t xml:space="preserve">states that a reference to any </w:t>
      </w:r>
      <w:r w:rsidR="00177944">
        <w:rPr>
          <w:rFonts w:ascii="Verdana" w:hAnsi="Verdana" w:cs="Arial"/>
          <w:color w:val="000000" w:themeColor="text1"/>
        </w:rPr>
        <w:t xml:space="preserve">EU law in the Windsor Framework is to that measure “as amended or replaced.” </w:t>
      </w:r>
      <w:r w:rsidR="00F0078A">
        <w:rPr>
          <w:rFonts w:ascii="Verdana" w:hAnsi="Verdana" w:cs="Arial"/>
          <w:color w:val="000000" w:themeColor="text1"/>
        </w:rPr>
        <w:t xml:space="preserve">Taken together, Article 2 and Article 13 </w:t>
      </w:r>
      <w:r w:rsidR="007E6881" w:rsidRPr="00C71774">
        <w:rPr>
          <w:rFonts w:ascii="Verdana" w:hAnsi="Verdana" w:cs="Arial"/>
          <w:color w:val="000000" w:themeColor="text1"/>
        </w:rPr>
        <w:t xml:space="preserve">require that NI law “keeps pace” with any improvements to minimum standards of equality protection enshrined in </w:t>
      </w:r>
      <w:r w:rsidR="00067353">
        <w:rPr>
          <w:rFonts w:ascii="Verdana" w:hAnsi="Verdana" w:cs="Arial"/>
          <w:color w:val="000000" w:themeColor="text1"/>
        </w:rPr>
        <w:t xml:space="preserve">the </w:t>
      </w:r>
      <w:r w:rsidR="007E6881" w:rsidRPr="00C71774">
        <w:rPr>
          <w:rFonts w:ascii="Verdana" w:hAnsi="Verdana" w:cs="Arial"/>
          <w:color w:val="000000" w:themeColor="text1"/>
        </w:rPr>
        <w:t>six EU Equality Directives listed</w:t>
      </w:r>
      <w:r w:rsidR="007E6881">
        <w:rPr>
          <w:rFonts w:ascii="Verdana" w:hAnsi="Verdana" w:cs="Arial"/>
          <w:color w:val="000000" w:themeColor="text1"/>
        </w:rPr>
        <w:t xml:space="preserve">, which include the </w:t>
      </w:r>
      <w:r w:rsidR="007E6881">
        <w:rPr>
          <w:rFonts w:ascii="Verdana" w:hAnsi="Verdana"/>
        </w:rPr>
        <w:t>EU Racial Equality Directive.</w:t>
      </w:r>
      <w:r w:rsidR="007E6881">
        <w:rPr>
          <w:rStyle w:val="FootnoteReference"/>
          <w:rFonts w:ascii="Verdana" w:hAnsi="Verdana"/>
        </w:rPr>
        <w:footnoteReference w:id="43"/>
      </w:r>
      <w:r w:rsidR="007E6881" w:rsidRPr="00C71774">
        <w:rPr>
          <w:rFonts w:ascii="Verdana" w:hAnsi="Verdana" w:cs="Arial"/>
          <w:color w:val="000000" w:themeColor="text1"/>
        </w:rPr>
        <w:t xml:space="preserve"> For other EU obligations, the UK Government and NI Executive’s commitment is measured by the relevant EU standards as they were on 31 December 2020. The dynamic alignment (keeping pace) obligation requires adherence, on an ongoing basis, to relevant CJEU case law.</w:t>
      </w:r>
      <w:r w:rsidR="007E6881" w:rsidRPr="00C71774">
        <w:rPr>
          <w:rStyle w:val="FootnoteReference"/>
          <w:rFonts w:ascii="Verdana" w:hAnsi="Verdana" w:cs="Arial"/>
          <w:color w:val="000000" w:themeColor="text1"/>
        </w:rPr>
        <w:footnoteReference w:id="44"/>
      </w:r>
    </w:p>
    <w:p w14:paraId="61A144F5" w14:textId="77777777" w:rsidR="007E6881" w:rsidRPr="00EB6F65" w:rsidRDefault="007E6881" w:rsidP="00EB6F65">
      <w:pPr>
        <w:pStyle w:val="BasicParagraph"/>
        <w:suppressAutoHyphens/>
        <w:ind w:left="709"/>
        <w:rPr>
          <w:rFonts w:ascii="Verdana" w:hAnsi="Verdana"/>
          <w:lang w:val="en-US"/>
        </w:rPr>
      </w:pPr>
    </w:p>
    <w:p w14:paraId="77185BF1" w14:textId="6A3CDE81" w:rsidR="001D2F2D" w:rsidRPr="00391FC4" w:rsidRDefault="001D2F2D" w:rsidP="001D2F2D">
      <w:pPr>
        <w:pStyle w:val="BasicParagraph"/>
        <w:numPr>
          <w:ilvl w:val="1"/>
          <w:numId w:val="1"/>
        </w:numPr>
        <w:suppressAutoHyphens/>
        <w:ind w:left="709"/>
        <w:rPr>
          <w:rFonts w:ascii="Verdana" w:hAnsi="Verdana"/>
          <w:lang w:val="en-US"/>
        </w:rPr>
      </w:pPr>
      <w:r w:rsidRPr="00F815DE">
        <w:rPr>
          <w:rFonts w:ascii="Verdana" w:hAnsi="Verdana"/>
          <w:b/>
          <w:bCs/>
        </w:rPr>
        <w:t>The NIHRC recommends that the</w:t>
      </w:r>
      <w:r w:rsidRPr="00BF6014">
        <w:rPr>
          <w:rFonts w:ascii="Verdana" w:hAnsi="Verdana"/>
          <w:b/>
          <w:bCs/>
        </w:rPr>
        <w:t xml:space="preserve"> Executive</w:t>
      </w:r>
      <w:r>
        <w:rPr>
          <w:rFonts w:ascii="Verdana" w:hAnsi="Verdana"/>
          <w:b/>
          <w:bCs/>
        </w:rPr>
        <w:t xml:space="preserve"> Office </w:t>
      </w:r>
      <w:r w:rsidR="00D833F7">
        <w:rPr>
          <w:rFonts w:ascii="Verdana" w:hAnsi="Verdana"/>
          <w:b/>
          <w:bCs/>
        </w:rPr>
        <w:t>references</w:t>
      </w:r>
      <w:r w:rsidR="00D833F7" w:rsidRPr="00F815DE">
        <w:rPr>
          <w:rFonts w:ascii="Verdana" w:hAnsi="Verdana"/>
          <w:b/>
          <w:bCs/>
        </w:rPr>
        <w:t xml:space="preserve"> </w:t>
      </w:r>
      <w:r w:rsidRPr="00F815DE">
        <w:rPr>
          <w:rFonts w:ascii="Verdana" w:hAnsi="Verdana"/>
          <w:b/>
          <w:bCs/>
        </w:rPr>
        <w:t>the core human rights instruments</w:t>
      </w:r>
      <w:r>
        <w:rPr>
          <w:rFonts w:ascii="Verdana" w:hAnsi="Verdana"/>
          <w:b/>
          <w:bCs/>
        </w:rPr>
        <w:t>, including Windsor Framework Article 2,</w:t>
      </w:r>
      <w:r w:rsidRPr="00F815DE">
        <w:rPr>
          <w:rFonts w:ascii="Verdana" w:hAnsi="Verdana"/>
          <w:b/>
          <w:bCs/>
        </w:rPr>
        <w:t xml:space="preserve"> within the </w:t>
      </w:r>
      <w:r w:rsidR="00E50612">
        <w:rPr>
          <w:rFonts w:ascii="Verdana" w:hAnsi="Verdana"/>
          <w:b/>
          <w:bCs/>
        </w:rPr>
        <w:t>D</w:t>
      </w:r>
      <w:r>
        <w:rPr>
          <w:rFonts w:ascii="Verdana" w:hAnsi="Verdana"/>
          <w:b/>
          <w:bCs/>
        </w:rPr>
        <w:t xml:space="preserve">raft </w:t>
      </w:r>
      <w:r w:rsidRPr="00F815DE">
        <w:rPr>
          <w:rFonts w:ascii="Verdana" w:hAnsi="Verdana"/>
          <w:b/>
          <w:bCs/>
        </w:rPr>
        <w:t>Framework for Race Relations,</w:t>
      </w:r>
      <w:r>
        <w:rPr>
          <w:rFonts w:ascii="Verdana" w:hAnsi="Verdana"/>
          <w:b/>
          <w:bCs/>
        </w:rPr>
        <w:t xml:space="preserve"> ensuring </w:t>
      </w:r>
      <w:r w:rsidRPr="00F815DE">
        <w:rPr>
          <w:rFonts w:ascii="Verdana" w:hAnsi="Verdana"/>
          <w:b/>
          <w:bCs/>
        </w:rPr>
        <w:t xml:space="preserve">that the obligations flowing from these human rights standards are </w:t>
      </w:r>
      <w:r>
        <w:rPr>
          <w:rFonts w:ascii="Verdana" w:hAnsi="Verdana"/>
          <w:b/>
          <w:bCs/>
        </w:rPr>
        <w:t>embedded</w:t>
      </w:r>
      <w:r w:rsidRPr="00F815DE">
        <w:rPr>
          <w:rFonts w:ascii="Verdana" w:hAnsi="Verdana"/>
          <w:b/>
          <w:bCs/>
        </w:rPr>
        <w:t xml:space="preserve"> throughout the Framework</w:t>
      </w:r>
      <w:r w:rsidR="00D833F7">
        <w:rPr>
          <w:rFonts w:ascii="Verdana" w:hAnsi="Verdana"/>
          <w:b/>
          <w:bCs/>
        </w:rPr>
        <w:t xml:space="preserve"> to ensure practical compliance</w:t>
      </w:r>
      <w:r w:rsidRPr="00F815DE">
        <w:rPr>
          <w:rFonts w:ascii="Verdana" w:hAnsi="Verdana"/>
          <w:b/>
          <w:bCs/>
        </w:rPr>
        <w:t>. The Ending Violence Against Women and Girls Strategic Framework 2024-2031 provides a</w:t>
      </w:r>
      <w:r w:rsidR="001A640C">
        <w:rPr>
          <w:rFonts w:ascii="Verdana" w:hAnsi="Verdana"/>
          <w:b/>
          <w:bCs/>
        </w:rPr>
        <w:t xml:space="preserve"> good</w:t>
      </w:r>
      <w:r w:rsidRPr="00F815DE">
        <w:rPr>
          <w:rFonts w:ascii="Verdana" w:hAnsi="Verdana"/>
          <w:b/>
          <w:bCs/>
        </w:rPr>
        <w:t xml:space="preserve"> example </w:t>
      </w:r>
      <w:r w:rsidR="001A640C">
        <w:rPr>
          <w:rFonts w:ascii="Verdana" w:hAnsi="Verdana"/>
          <w:b/>
          <w:bCs/>
        </w:rPr>
        <w:t>of how this has been done</w:t>
      </w:r>
      <w:r w:rsidRPr="001F06D3">
        <w:rPr>
          <w:rFonts w:ascii="Verdana" w:hAnsi="Verdana"/>
        </w:rPr>
        <w:t>.</w:t>
      </w:r>
    </w:p>
    <w:p w14:paraId="37028416" w14:textId="77777777" w:rsidR="00653BE6" w:rsidRDefault="00653BE6" w:rsidP="00653BE6">
      <w:pPr>
        <w:pStyle w:val="ListParagraph"/>
        <w:rPr>
          <w:lang w:val="en-US"/>
        </w:rPr>
      </w:pPr>
    </w:p>
    <w:p w14:paraId="3472E686" w14:textId="74AF314B" w:rsidR="00653BE6" w:rsidRPr="00CA61EF" w:rsidRDefault="00653BE6" w:rsidP="00692761">
      <w:pPr>
        <w:pStyle w:val="Heading2"/>
        <w:rPr>
          <w:lang w:val="en-US"/>
        </w:rPr>
      </w:pPr>
      <w:bookmarkStart w:id="5" w:name="_Toc230705734"/>
      <w:r w:rsidRPr="00CA61EF">
        <w:rPr>
          <w:lang w:val="en-US"/>
        </w:rPr>
        <w:t>Overarching Comment</w:t>
      </w:r>
      <w:r w:rsidR="00FF16FE" w:rsidRPr="00CA61EF">
        <w:rPr>
          <w:lang w:val="en-US"/>
        </w:rPr>
        <w:t xml:space="preserve">/ </w:t>
      </w:r>
      <w:r w:rsidR="00CA61EF" w:rsidRPr="00CA61EF">
        <w:rPr>
          <w:lang w:val="en-US"/>
        </w:rPr>
        <w:t>Assessment</w:t>
      </w:r>
      <w:bookmarkEnd w:id="5"/>
      <w:r w:rsidR="00FF16FE" w:rsidRPr="00CA61EF">
        <w:rPr>
          <w:lang w:val="en-US"/>
        </w:rPr>
        <w:t xml:space="preserve"> </w:t>
      </w:r>
    </w:p>
    <w:p w14:paraId="06E1B193" w14:textId="35D5C290" w:rsidR="00DF4F0E" w:rsidRPr="00DF4F0E" w:rsidRDefault="00B36320" w:rsidP="00DF4F0E">
      <w:pPr>
        <w:pStyle w:val="BasicParagraph"/>
        <w:suppressAutoHyphens/>
        <w:ind w:left="709"/>
        <w:rPr>
          <w:rFonts w:ascii="Verdana" w:hAnsi="Verdana"/>
          <w:lang w:val="en-US"/>
        </w:rPr>
      </w:pPr>
      <w:r w:rsidRPr="00B36320">
        <w:rPr>
          <w:rFonts w:ascii="Verdana" w:hAnsi="Verdana"/>
        </w:rPr>
        <w:t xml:space="preserve">  </w:t>
      </w:r>
    </w:p>
    <w:p w14:paraId="0F67005D" w14:textId="28BA04ED" w:rsidR="00FD307A" w:rsidRPr="00BC45C5" w:rsidRDefault="00490770" w:rsidP="003060FD">
      <w:pPr>
        <w:pStyle w:val="BasicParagraph"/>
        <w:numPr>
          <w:ilvl w:val="1"/>
          <w:numId w:val="1"/>
        </w:numPr>
        <w:suppressAutoHyphens/>
        <w:ind w:left="709"/>
        <w:rPr>
          <w:rFonts w:ascii="Verdana" w:hAnsi="Verdana"/>
        </w:rPr>
      </w:pPr>
      <w:r w:rsidRPr="00BC45C5">
        <w:rPr>
          <w:rFonts w:ascii="Verdana" w:hAnsi="Verdana"/>
        </w:rPr>
        <w:t xml:space="preserve">The </w:t>
      </w:r>
      <w:r w:rsidR="00014BF3">
        <w:rPr>
          <w:rFonts w:ascii="Verdana" w:hAnsi="Verdana"/>
        </w:rPr>
        <w:t>D</w:t>
      </w:r>
      <w:r w:rsidR="004F4E32">
        <w:rPr>
          <w:rFonts w:ascii="Verdana" w:hAnsi="Verdana"/>
        </w:rPr>
        <w:t xml:space="preserve">raft </w:t>
      </w:r>
      <w:r w:rsidRPr="00BC45C5">
        <w:rPr>
          <w:rFonts w:ascii="Verdana" w:hAnsi="Verdana"/>
        </w:rPr>
        <w:t xml:space="preserve">Framework </w:t>
      </w:r>
      <w:r w:rsidR="002F7903" w:rsidRPr="00BC45C5">
        <w:rPr>
          <w:rFonts w:ascii="Verdana" w:hAnsi="Verdana"/>
        </w:rPr>
        <w:t>sets out</w:t>
      </w:r>
      <w:r w:rsidR="00604DA3" w:rsidRPr="00BC45C5">
        <w:rPr>
          <w:rFonts w:ascii="Verdana" w:hAnsi="Verdana"/>
        </w:rPr>
        <w:t xml:space="preserve"> a </w:t>
      </w:r>
      <w:r w:rsidR="005960EF" w:rsidRPr="00BC45C5">
        <w:rPr>
          <w:rFonts w:ascii="Verdana" w:hAnsi="Verdana"/>
        </w:rPr>
        <w:t xml:space="preserve">clear </w:t>
      </w:r>
      <w:r w:rsidRPr="00BC45C5">
        <w:rPr>
          <w:rFonts w:ascii="Verdana" w:hAnsi="Verdana"/>
        </w:rPr>
        <w:t xml:space="preserve">strategic </w:t>
      </w:r>
      <w:r w:rsidR="00365691" w:rsidRPr="00BC45C5">
        <w:rPr>
          <w:rFonts w:ascii="Verdana" w:hAnsi="Verdana"/>
        </w:rPr>
        <w:t>vision but</w:t>
      </w:r>
      <w:r w:rsidRPr="00BC45C5">
        <w:rPr>
          <w:rFonts w:ascii="Verdana" w:hAnsi="Verdana"/>
        </w:rPr>
        <w:t xml:space="preserve"> remains high-level</w:t>
      </w:r>
      <w:r w:rsidR="00831B9D" w:rsidRPr="00BC45C5">
        <w:rPr>
          <w:rFonts w:ascii="Verdana" w:hAnsi="Verdana"/>
        </w:rPr>
        <w:t>.</w:t>
      </w:r>
      <w:r w:rsidR="008A0834">
        <w:rPr>
          <w:rFonts w:ascii="Verdana" w:hAnsi="Verdana"/>
        </w:rPr>
        <w:t xml:space="preserve"> </w:t>
      </w:r>
      <w:r w:rsidR="00831B9D" w:rsidRPr="00BC45C5">
        <w:rPr>
          <w:rFonts w:ascii="Verdana" w:hAnsi="Verdana"/>
        </w:rPr>
        <w:t>It does not provide the required level of operational detail</w:t>
      </w:r>
      <w:r w:rsidR="00F10548" w:rsidRPr="00BC45C5">
        <w:rPr>
          <w:rFonts w:ascii="Verdana" w:hAnsi="Verdana"/>
        </w:rPr>
        <w:t xml:space="preserve"> </w:t>
      </w:r>
      <w:r w:rsidRPr="00BC45C5">
        <w:rPr>
          <w:rFonts w:ascii="Verdana" w:hAnsi="Verdana"/>
        </w:rPr>
        <w:t>and</w:t>
      </w:r>
      <w:r w:rsidR="000153D1" w:rsidRPr="00BC45C5">
        <w:rPr>
          <w:rFonts w:ascii="Verdana" w:hAnsi="Verdana"/>
        </w:rPr>
        <w:t xml:space="preserve"> lacks sufficient detail</w:t>
      </w:r>
      <w:r w:rsidRPr="00BC45C5">
        <w:rPr>
          <w:rFonts w:ascii="Verdana" w:hAnsi="Verdana"/>
        </w:rPr>
        <w:t xml:space="preserve"> on</w:t>
      </w:r>
      <w:r w:rsidR="00D42507" w:rsidRPr="00BC45C5">
        <w:rPr>
          <w:rFonts w:ascii="Verdana" w:hAnsi="Verdana"/>
        </w:rPr>
        <w:t xml:space="preserve"> clear</w:t>
      </w:r>
      <w:r w:rsidR="00016335" w:rsidRPr="00BC45C5">
        <w:rPr>
          <w:rFonts w:ascii="Verdana" w:hAnsi="Verdana"/>
        </w:rPr>
        <w:t xml:space="preserve"> actionable goals</w:t>
      </w:r>
      <w:r w:rsidR="009F3BB2" w:rsidRPr="00BC45C5">
        <w:rPr>
          <w:rFonts w:ascii="Verdana" w:hAnsi="Verdana"/>
        </w:rPr>
        <w:t>, measurable</w:t>
      </w:r>
      <w:r w:rsidR="000153D1" w:rsidRPr="00BC45C5">
        <w:rPr>
          <w:rFonts w:ascii="Verdana" w:hAnsi="Verdana"/>
        </w:rPr>
        <w:t xml:space="preserve"> outcomes</w:t>
      </w:r>
      <w:r w:rsidR="00C02368" w:rsidRPr="00BC45C5">
        <w:rPr>
          <w:rFonts w:ascii="Verdana" w:hAnsi="Verdana"/>
        </w:rPr>
        <w:t>,</w:t>
      </w:r>
      <w:r w:rsidR="00393A35" w:rsidRPr="00BC45C5">
        <w:rPr>
          <w:rFonts w:ascii="Verdana" w:hAnsi="Verdana"/>
        </w:rPr>
        <w:t xml:space="preserve"> performance indicators,</w:t>
      </w:r>
      <w:r w:rsidR="00016335" w:rsidRPr="00BC45C5">
        <w:rPr>
          <w:rFonts w:ascii="Verdana" w:hAnsi="Verdana"/>
        </w:rPr>
        <w:t xml:space="preserve"> delivery responsibilities</w:t>
      </w:r>
      <w:r w:rsidR="00AA47C2" w:rsidRPr="00BC45C5">
        <w:rPr>
          <w:rFonts w:ascii="Verdana" w:hAnsi="Verdana"/>
        </w:rPr>
        <w:t xml:space="preserve"> and</w:t>
      </w:r>
      <w:r w:rsidR="00C02368" w:rsidRPr="00BC45C5">
        <w:rPr>
          <w:rFonts w:ascii="Verdana" w:hAnsi="Verdana"/>
        </w:rPr>
        <w:t xml:space="preserve"> enforcement mechanisms</w:t>
      </w:r>
      <w:r w:rsidR="009F3BB2" w:rsidRPr="00BC45C5">
        <w:rPr>
          <w:rFonts w:ascii="Verdana" w:hAnsi="Verdana"/>
        </w:rPr>
        <w:t xml:space="preserve">. </w:t>
      </w:r>
      <w:r w:rsidRPr="00BC45C5">
        <w:rPr>
          <w:rFonts w:ascii="Verdana" w:hAnsi="Verdana"/>
        </w:rPr>
        <w:t xml:space="preserve">As drafted, </w:t>
      </w:r>
      <w:r w:rsidR="00B91D5A">
        <w:rPr>
          <w:rFonts w:ascii="Verdana" w:hAnsi="Verdana"/>
        </w:rPr>
        <w:t xml:space="preserve">therefore, </w:t>
      </w:r>
      <w:r w:rsidRPr="00BC45C5">
        <w:rPr>
          <w:rFonts w:ascii="Verdana" w:hAnsi="Verdana"/>
        </w:rPr>
        <w:t xml:space="preserve">it risks </w:t>
      </w:r>
      <w:r w:rsidR="008D1B01" w:rsidRPr="00BC45C5">
        <w:rPr>
          <w:rFonts w:ascii="Verdana" w:hAnsi="Verdana"/>
        </w:rPr>
        <w:t xml:space="preserve">operating as </w:t>
      </w:r>
      <w:r w:rsidRPr="00BC45C5">
        <w:rPr>
          <w:rFonts w:ascii="Verdana" w:hAnsi="Verdana"/>
        </w:rPr>
        <w:t>a</w:t>
      </w:r>
      <w:r w:rsidR="00544547">
        <w:rPr>
          <w:rFonts w:ascii="Verdana" w:hAnsi="Verdana"/>
        </w:rPr>
        <w:t xml:space="preserve"> high-level</w:t>
      </w:r>
      <w:r w:rsidRPr="00BC45C5">
        <w:rPr>
          <w:rFonts w:ascii="Verdana" w:hAnsi="Verdana"/>
        </w:rPr>
        <w:t xml:space="preserve"> policy</w:t>
      </w:r>
      <w:r w:rsidR="00544547">
        <w:rPr>
          <w:rFonts w:ascii="Verdana" w:hAnsi="Verdana"/>
        </w:rPr>
        <w:t xml:space="preserve"> document</w:t>
      </w:r>
      <w:r w:rsidRPr="00BC45C5">
        <w:rPr>
          <w:rFonts w:ascii="Verdana" w:hAnsi="Verdana"/>
        </w:rPr>
        <w:t xml:space="preserve"> </w:t>
      </w:r>
      <w:r w:rsidR="00073255">
        <w:rPr>
          <w:rFonts w:ascii="Verdana" w:hAnsi="Verdana"/>
        </w:rPr>
        <w:t>statement</w:t>
      </w:r>
      <w:r w:rsidR="008D1B01" w:rsidRPr="00BC45C5">
        <w:rPr>
          <w:rFonts w:ascii="Verdana" w:hAnsi="Verdana"/>
        </w:rPr>
        <w:t xml:space="preserve"> rather than </w:t>
      </w:r>
      <w:r w:rsidR="00544547">
        <w:rPr>
          <w:rFonts w:ascii="Verdana" w:hAnsi="Verdana"/>
        </w:rPr>
        <w:t xml:space="preserve">as </w:t>
      </w:r>
      <w:r w:rsidRPr="00BC45C5">
        <w:rPr>
          <w:rFonts w:ascii="Verdana" w:hAnsi="Verdana"/>
        </w:rPr>
        <w:t>an accountable national action plan</w:t>
      </w:r>
      <w:r w:rsidR="001500DB" w:rsidRPr="00BC45C5">
        <w:rPr>
          <w:rFonts w:ascii="Verdana" w:hAnsi="Verdana"/>
        </w:rPr>
        <w:t>, with inadequate budgetary provision and weak monitoring and evaluation arrangements.</w:t>
      </w:r>
      <w:r w:rsidR="00B16552" w:rsidRPr="00BC45C5">
        <w:rPr>
          <w:rFonts w:ascii="Verdana" w:hAnsi="Verdana"/>
          <w:color w:val="FF0000"/>
        </w:rPr>
        <w:t xml:space="preserve"> </w:t>
      </w:r>
    </w:p>
    <w:p w14:paraId="5A72EC12" w14:textId="77777777" w:rsidR="00BC45C5" w:rsidRPr="00BC45C5" w:rsidRDefault="00BC45C5" w:rsidP="00BC45C5">
      <w:pPr>
        <w:pStyle w:val="BasicParagraph"/>
        <w:suppressAutoHyphens/>
        <w:ind w:left="709"/>
        <w:rPr>
          <w:rFonts w:ascii="Verdana" w:hAnsi="Verdana"/>
        </w:rPr>
      </w:pPr>
    </w:p>
    <w:p w14:paraId="17EFD437" w14:textId="10C34F9A" w:rsidR="00E20B10" w:rsidRPr="00C87C45" w:rsidRDefault="00DD6003" w:rsidP="00AC68BD">
      <w:pPr>
        <w:pStyle w:val="BasicParagraph"/>
        <w:numPr>
          <w:ilvl w:val="1"/>
          <w:numId w:val="1"/>
        </w:numPr>
        <w:suppressAutoHyphens/>
        <w:ind w:left="709"/>
      </w:pPr>
      <w:r w:rsidRPr="00C87C45">
        <w:rPr>
          <w:rFonts w:ascii="Verdana" w:hAnsi="Verdana"/>
        </w:rPr>
        <w:t>The</w:t>
      </w:r>
      <w:r w:rsidR="004F4E32">
        <w:rPr>
          <w:rFonts w:ascii="Verdana" w:hAnsi="Verdana"/>
        </w:rPr>
        <w:t xml:space="preserve"> </w:t>
      </w:r>
      <w:r w:rsidR="00D1132D">
        <w:rPr>
          <w:rFonts w:ascii="Verdana" w:hAnsi="Verdana"/>
        </w:rPr>
        <w:t>D</w:t>
      </w:r>
      <w:r w:rsidR="004F4E32">
        <w:rPr>
          <w:rFonts w:ascii="Verdana" w:hAnsi="Verdana"/>
        </w:rPr>
        <w:t>raft</w:t>
      </w:r>
      <w:r w:rsidRPr="00C87C45">
        <w:rPr>
          <w:rFonts w:ascii="Verdana" w:hAnsi="Verdana"/>
        </w:rPr>
        <w:t xml:space="preserve"> Framework</w:t>
      </w:r>
      <w:r w:rsidR="00AA7B26">
        <w:rPr>
          <w:rFonts w:ascii="Verdana" w:hAnsi="Verdana"/>
        </w:rPr>
        <w:t xml:space="preserve"> </w:t>
      </w:r>
      <w:r w:rsidR="00880860" w:rsidRPr="00C87C45">
        <w:rPr>
          <w:rFonts w:ascii="Verdana" w:hAnsi="Verdana"/>
        </w:rPr>
        <w:t xml:space="preserve">identifies </w:t>
      </w:r>
      <w:r w:rsidR="00C05256" w:rsidRPr="00C87C45">
        <w:rPr>
          <w:rFonts w:ascii="Verdana" w:hAnsi="Verdana"/>
        </w:rPr>
        <w:t xml:space="preserve">four broad outcomes which are as follows: </w:t>
      </w:r>
      <w:r w:rsidR="00880860" w:rsidRPr="00C87C45">
        <w:rPr>
          <w:rFonts w:ascii="Verdana" w:hAnsi="Verdana"/>
        </w:rPr>
        <w:t>(</w:t>
      </w:r>
      <w:r w:rsidR="00C05256" w:rsidRPr="00C87C45">
        <w:rPr>
          <w:rFonts w:ascii="Verdana" w:hAnsi="Verdana"/>
        </w:rPr>
        <w:t>1</w:t>
      </w:r>
      <w:r w:rsidR="00880860" w:rsidRPr="00C87C45">
        <w:rPr>
          <w:rFonts w:ascii="Verdana" w:hAnsi="Verdana"/>
        </w:rPr>
        <w:t>)</w:t>
      </w:r>
      <w:r w:rsidR="00F14F32" w:rsidRPr="00C87C45">
        <w:rPr>
          <w:rFonts w:ascii="Verdana" w:hAnsi="Verdana"/>
        </w:rPr>
        <w:t xml:space="preserve"> </w:t>
      </w:r>
      <w:r w:rsidR="00C05256" w:rsidRPr="00C87C45">
        <w:rPr>
          <w:rFonts w:ascii="Verdana" w:hAnsi="Verdana"/>
        </w:rPr>
        <w:t xml:space="preserve">Elimination of </w:t>
      </w:r>
      <w:r w:rsidR="00F102F9" w:rsidRPr="00C87C45">
        <w:rPr>
          <w:rFonts w:ascii="Verdana" w:hAnsi="Verdana"/>
        </w:rPr>
        <w:t xml:space="preserve">Racial Inequality </w:t>
      </w:r>
      <w:r w:rsidR="00F14F32" w:rsidRPr="00C87C45">
        <w:rPr>
          <w:rFonts w:ascii="Verdana" w:hAnsi="Verdana"/>
        </w:rPr>
        <w:t>(</w:t>
      </w:r>
      <w:r w:rsidR="00F102F9" w:rsidRPr="00C87C45">
        <w:rPr>
          <w:rFonts w:ascii="Verdana" w:hAnsi="Verdana"/>
        </w:rPr>
        <w:t>2</w:t>
      </w:r>
      <w:r w:rsidR="00F14F32" w:rsidRPr="00C87C45">
        <w:rPr>
          <w:rFonts w:ascii="Verdana" w:hAnsi="Verdana"/>
        </w:rPr>
        <w:t>)</w:t>
      </w:r>
      <w:r w:rsidR="00A37948" w:rsidRPr="00C87C45">
        <w:rPr>
          <w:rFonts w:ascii="Verdana" w:hAnsi="Verdana"/>
        </w:rPr>
        <w:t xml:space="preserve"> </w:t>
      </w:r>
      <w:r w:rsidR="00F102F9" w:rsidRPr="00C87C45">
        <w:rPr>
          <w:rFonts w:ascii="Verdana" w:hAnsi="Verdana"/>
        </w:rPr>
        <w:t xml:space="preserve">Combatting Racism &amp; Race Hate Crime </w:t>
      </w:r>
      <w:r w:rsidR="00A37948" w:rsidRPr="00C87C45">
        <w:rPr>
          <w:rFonts w:ascii="Verdana" w:hAnsi="Verdana"/>
        </w:rPr>
        <w:t>(3)</w:t>
      </w:r>
      <w:r w:rsidR="00F102F9" w:rsidRPr="00C87C45">
        <w:rPr>
          <w:rFonts w:ascii="Verdana" w:hAnsi="Verdana"/>
        </w:rPr>
        <w:t xml:space="preserve"> Equality of Service Provision</w:t>
      </w:r>
      <w:r w:rsidR="0011248E" w:rsidRPr="00C87C45">
        <w:rPr>
          <w:rFonts w:ascii="Verdana" w:hAnsi="Verdana"/>
        </w:rPr>
        <w:t xml:space="preserve">, </w:t>
      </w:r>
      <w:r w:rsidR="00F102F9" w:rsidRPr="00C87C45">
        <w:rPr>
          <w:rFonts w:ascii="Verdana" w:hAnsi="Verdana"/>
        </w:rPr>
        <w:t xml:space="preserve">and </w:t>
      </w:r>
      <w:r w:rsidR="0011248E" w:rsidRPr="00C87C45">
        <w:rPr>
          <w:rFonts w:ascii="Verdana" w:hAnsi="Verdana"/>
        </w:rPr>
        <w:t>(</w:t>
      </w:r>
      <w:r w:rsidR="004C15A6" w:rsidRPr="00C87C45">
        <w:rPr>
          <w:rFonts w:ascii="Verdana" w:hAnsi="Verdana"/>
        </w:rPr>
        <w:t>4</w:t>
      </w:r>
      <w:r w:rsidR="0011248E" w:rsidRPr="00C87C45">
        <w:rPr>
          <w:rFonts w:ascii="Verdana" w:hAnsi="Verdana"/>
        </w:rPr>
        <w:t>)</w:t>
      </w:r>
      <w:r w:rsidR="004C15A6" w:rsidRPr="00C87C45">
        <w:rPr>
          <w:rFonts w:ascii="Verdana" w:hAnsi="Verdana"/>
        </w:rPr>
        <w:t xml:space="preserve"> Community Cohesion</w:t>
      </w:r>
      <w:r w:rsidR="00021C11" w:rsidRPr="00C87C45">
        <w:rPr>
          <w:rFonts w:ascii="Verdana" w:hAnsi="Verdana"/>
        </w:rPr>
        <w:t>. Th</w:t>
      </w:r>
      <w:r w:rsidR="005472E2" w:rsidRPr="00C87C45">
        <w:rPr>
          <w:rFonts w:ascii="Verdana" w:hAnsi="Verdana"/>
        </w:rPr>
        <w:t>ese</w:t>
      </w:r>
      <w:r w:rsidR="00174F07" w:rsidRPr="00C87C45">
        <w:rPr>
          <w:rFonts w:ascii="Verdana" w:hAnsi="Verdana"/>
        </w:rPr>
        <w:t xml:space="preserve"> </w:t>
      </w:r>
      <w:r w:rsidR="00021C11" w:rsidRPr="00C87C45">
        <w:rPr>
          <w:rFonts w:ascii="Verdana" w:hAnsi="Verdana"/>
        </w:rPr>
        <w:t xml:space="preserve">outcomes are </w:t>
      </w:r>
      <w:r w:rsidR="00174F07" w:rsidRPr="00C87C45">
        <w:rPr>
          <w:rFonts w:ascii="Verdana" w:hAnsi="Verdana"/>
        </w:rPr>
        <w:t>to be delivered</w:t>
      </w:r>
      <w:r w:rsidR="000C56E2" w:rsidRPr="00C87C45">
        <w:rPr>
          <w:rFonts w:ascii="Verdana" w:hAnsi="Verdana"/>
        </w:rPr>
        <w:t xml:space="preserve"> </w:t>
      </w:r>
      <w:r w:rsidR="00021C11" w:rsidRPr="00C87C45">
        <w:rPr>
          <w:rFonts w:ascii="Verdana" w:hAnsi="Verdana"/>
        </w:rPr>
        <w:t xml:space="preserve">through </w:t>
      </w:r>
      <w:r w:rsidR="0001243B">
        <w:rPr>
          <w:rFonts w:ascii="Verdana" w:hAnsi="Verdana"/>
        </w:rPr>
        <w:t>p</w:t>
      </w:r>
      <w:r w:rsidR="00B145D0" w:rsidRPr="00C87C45">
        <w:rPr>
          <w:rFonts w:ascii="Verdana" w:hAnsi="Verdana"/>
        </w:rPr>
        <w:t xml:space="preserve">rimary, </w:t>
      </w:r>
      <w:r w:rsidR="0001243B">
        <w:rPr>
          <w:rFonts w:ascii="Verdana" w:hAnsi="Verdana"/>
        </w:rPr>
        <w:t>s</w:t>
      </w:r>
      <w:r w:rsidR="00B145D0" w:rsidRPr="00C87C45">
        <w:rPr>
          <w:rFonts w:ascii="Verdana" w:hAnsi="Verdana"/>
        </w:rPr>
        <w:t xml:space="preserve">econdary and </w:t>
      </w:r>
      <w:r w:rsidR="0001243B">
        <w:rPr>
          <w:rFonts w:ascii="Verdana" w:hAnsi="Verdana"/>
        </w:rPr>
        <w:t>t</w:t>
      </w:r>
      <w:r w:rsidR="00B145D0" w:rsidRPr="00C87C45">
        <w:rPr>
          <w:rFonts w:ascii="Verdana" w:hAnsi="Verdana"/>
        </w:rPr>
        <w:t>ertiary</w:t>
      </w:r>
      <w:r w:rsidR="0001243B">
        <w:rPr>
          <w:rFonts w:ascii="Verdana" w:hAnsi="Verdana"/>
        </w:rPr>
        <w:t xml:space="preserve"> interventions</w:t>
      </w:r>
      <w:r w:rsidR="00B145D0" w:rsidRPr="00C87C45">
        <w:rPr>
          <w:rFonts w:ascii="Verdana" w:hAnsi="Verdana"/>
        </w:rPr>
        <w:t>.</w:t>
      </w:r>
      <w:r w:rsidR="001123BD" w:rsidRPr="00C87C45">
        <w:rPr>
          <w:rFonts w:ascii="Verdana" w:hAnsi="Verdana"/>
        </w:rPr>
        <w:t xml:space="preserve"> However,</w:t>
      </w:r>
      <w:r w:rsidR="00D2269B">
        <w:rPr>
          <w:rFonts w:ascii="Verdana" w:hAnsi="Verdana"/>
        </w:rPr>
        <w:t xml:space="preserve"> </w:t>
      </w:r>
      <w:r w:rsidR="00AA7B26">
        <w:rPr>
          <w:rFonts w:ascii="Verdana" w:hAnsi="Verdana"/>
        </w:rPr>
        <w:t xml:space="preserve">the </w:t>
      </w:r>
      <w:r w:rsidR="00D1132D">
        <w:rPr>
          <w:rFonts w:ascii="Verdana" w:hAnsi="Verdana"/>
        </w:rPr>
        <w:t>D</w:t>
      </w:r>
      <w:r w:rsidR="004F4E32">
        <w:rPr>
          <w:rFonts w:ascii="Verdana" w:hAnsi="Verdana"/>
        </w:rPr>
        <w:t xml:space="preserve">raft </w:t>
      </w:r>
      <w:r w:rsidR="00AA7B26">
        <w:rPr>
          <w:rFonts w:ascii="Verdana" w:hAnsi="Verdana"/>
        </w:rPr>
        <w:t>Framework uses high-level language and</w:t>
      </w:r>
      <w:r w:rsidR="00BD64EB">
        <w:rPr>
          <w:rFonts w:ascii="Verdana" w:hAnsi="Verdana"/>
        </w:rPr>
        <w:t>,</w:t>
      </w:r>
      <w:r w:rsidR="00AA7B26">
        <w:rPr>
          <w:rFonts w:ascii="Verdana" w:hAnsi="Verdana"/>
        </w:rPr>
        <w:t xml:space="preserve"> as such</w:t>
      </w:r>
      <w:r w:rsidR="0074222F">
        <w:rPr>
          <w:rFonts w:ascii="Verdana" w:hAnsi="Verdana"/>
        </w:rPr>
        <w:t xml:space="preserve">, </w:t>
      </w:r>
      <w:r w:rsidR="00CD31E4" w:rsidRPr="00C87C45">
        <w:rPr>
          <w:rFonts w:ascii="Verdana" w:hAnsi="Verdana"/>
        </w:rPr>
        <w:t>many of t</w:t>
      </w:r>
      <w:r w:rsidR="00B96189" w:rsidRPr="00C87C45">
        <w:rPr>
          <w:rFonts w:ascii="Verdana" w:hAnsi="Verdana"/>
        </w:rPr>
        <w:t>he interventions lack s</w:t>
      </w:r>
      <w:r w:rsidR="00130AE0" w:rsidRPr="00C87C45">
        <w:rPr>
          <w:rFonts w:ascii="Verdana" w:hAnsi="Verdana"/>
        </w:rPr>
        <w:t xml:space="preserve">ufficient </w:t>
      </w:r>
      <w:r w:rsidR="00BD64EB">
        <w:rPr>
          <w:rFonts w:ascii="Verdana" w:hAnsi="Verdana"/>
        </w:rPr>
        <w:t xml:space="preserve">operational </w:t>
      </w:r>
      <w:r w:rsidR="000E2676" w:rsidRPr="00C87C45">
        <w:rPr>
          <w:rFonts w:ascii="Verdana" w:hAnsi="Verdana"/>
        </w:rPr>
        <w:t>detail</w:t>
      </w:r>
      <w:r w:rsidR="00F66242">
        <w:rPr>
          <w:rFonts w:ascii="Verdana" w:hAnsi="Verdana"/>
        </w:rPr>
        <w:t xml:space="preserve"> and</w:t>
      </w:r>
      <w:r w:rsidR="00976A52">
        <w:rPr>
          <w:rFonts w:ascii="Verdana" w:hAnsi="Verdana"/>
        </w:rPr>
        <w:t xml:space="preserve"> do not specify</w:t>
      </w:r>
      <w:r w:rsidR="004B2F2D">
        <w:rPr>
          <w:rFonts w:ascii="Verdana" w:hAnsi="Verdana"/>
        </w:rPr>
        <w:t xml:space="preserve"> </w:t>
      </w:r>
      <w:r w:rsidR="00327DF7" w:rsidRPr="00C87C45">
        <w:rPr>
          <w:rFonts w:ascii="Verdana" w:hAnsi="Verdana"/>
        </w:rPr>
        <w:t>the</w:t>
      </w:r>
      <w:r w:rsidR="00130AE0" w:rsidRPr="00C87C45">
        <w:rPr>
          <w:rFonts w:ascii="Verdana" w:hAnsi="Verdana"/>
        </w:rPr>
        <w:t xml:space="preserve"> </w:t>
      </w:r>
      <w:r w:rsidR="00BD64EB">
        <w:rPr>
          <w:rFonts w:ascii="Verdana" w:hAnsi="Verdana"/>
        </w:rPr>
        <w:t xml:space="preserve">specific </w:t>
      </w:r>
      <w:r w:rsidR="00327DF7" w:rsidRPr="00C87C45">
        <w:rPr>
          <w:rFonts w:ascii="Verdana" w:hAnsi="Verdana"/>
        </w:rPr>
        <w:t>action</w:t>
      </w:r>
      <w:r w:rsidR="00130AE0" w:rsidRPr="00C87C45">
        <w:rPr>
          <w:rFonts w:ascii="Verdana" w:hAnsi="Verdana"/>
        </w:rPr>
        <w:t>s</w:t>
      </w:r>
      <w:r w:rsidR="00AB090D" w:rsidRPr="00C87C45">
        <w:rPr>
          <w:rFonts w:ascii="Verdana" w:hAnsi="Verdana"/>
        </w:rPr>
        <w:t xml:space="preserve"> required</w:t>
      </w:r>
      <w:r w:rsidR="00BD64EB">
        <w:rPr>
          <w:rFonts w:ascii="Verdana" w:hAnsi="Verdana"/>
        </w:rPr>
        <w:t>. Moreover, they do not ade</w:t>
      </w:r>
      <w:r w:rsidR="003E072C">
        <w:rPr>
          <w:rFonts w:ascii="Verdana" w:hAnsi="Verdana"/>
        </w:rPr>
        <w:t xml:space="preserve">quately </w:t>
      </w:r>
      <w:r w:rsidR="007C40EC">
        <w:rPr>
          <w:rFonts w:ascii="Verdana" w:hAnsi="Verdana"/>
        </w:rPr>
        <w:t>identify</w:t>
      </w:r>
      <w:r w:rsidR="003E072C">
        <w:rPr>
          <w:rFonts w:ascii="Verdana" w:hAnsi="Verdana"/>
        </w:rPr>
        <w:t xml:space="preserve"> and </w:t>
      </w:r>
      <w:r w:rsidR="006F7B34">
        <w:rPr>
          <w:rFonts w:ascii="Verdana" w:hAnsi="Verdana"/>
        </w:rPr>
        <w:t xml:space="preserve">target </w:t>
      </w:r>
      <w:r w:rsidR="003E072C">
        <w:rPr>
          <w:rFonts w:ascii="Verdana" w:hAnsi="Verdana"/>
        </w:rPr>
        <w:t xml:space="preserve">the particular </w:t>
      </w:r>
      <w:r w:rsidR="006F7B34">
        <w:rPr>
          <w:rFonts w:ascii="Verdana" w:hAnsi="Verdana"/>
        </w:rPr>
        <w:t>groups or beneficiaries</w:t>
      </w:r>
      <w:r w:rsidR="00C837AB">
        <w:rPr>
          <w:rFonts w:ascii="Verdana" w:hAnsi="Verdana"/>
        </w:rPr>
        <w:t xml:space="preserve"> </w:t>
      </w:r>
      <w:r w:rsidR="003E072C">
        <w:rPr>
          <w:rFonts w:ascii="Verdana" w:hAnsi="Verdana"/>
        </w:rPr>
        <w:t xml:space="preserve">or contain </w:t>
      </w:r>
      <w:r w:rsidR="002A1CBC">
        <w:rPr>
          <w:rFonts w:ascii="Verdana" w:hAnsi="Verdana"/>
        </w:rPr>
        <w:t>clear guidance on timetabling.</w:t>
      </w:r>
      <w:r w:rsidR="006D3B1E" w:rsidRPr="00C87C45">
        <w:rPr>
          <w:rFonts w:ascii="Verdana" w:hAnsi="Verdana"/>
        </w:rPr>
        <w:t xml:space="preserve"> </w:t>
      </w:r>
    </w:p>
    <w:p w14:paraId="56A333EB" w14:textId="77777777" w:rsidR="00AC68BD" w:rsidRPr="00C87C45" w:rsidRDefault="00AC68BD" w:rsidP="00AC68BD">
      <w:pPr>
        <w:pStyle w:val="BasicParagraph"/>
        <w:suppressAutoHyphens/>
      </w:pPr>
    </w:p>
    <w:p w14:paraId="17C59906" w14:textId="140B5BA6" w:rsidR="000C77A3" w:rsidRPr="00C87C45" w:rsidRDefault="00F60FE6" w:rsidP="003060FD">
      <w:pPr>
        <w:pStyle w:val="BasicParagraph"/>
        <w:numPr>
          <w:ilvl w:val="1"/>
          <w:numId w:val="1"/>
        </w:numPr>
        <w:suppressAutoHyphens/>
        <w:ind w:left="709"/>
        <w:rPr>
          <w:rFonts w:ascii="Verdana" w:hAnsi="Verdana"/>
        </w:rPr>
      </w:pPr>
      <w:r w:rsidRPr="00C87C45">
        <w:rPr>
          <w:rFonts w:ascii="Verdana" w:hAnsi="Verdana"/>
        </w:rPr>
        <w:t>For example, under Outcome 1 the</w:t>
      </w:r>
      <w:r w:rsidR="00AD68D0">
        <w:rPr>
          <w:rFonts w:ascii="Verdana" w:hAnsi="Verdana"/>
        </w:rPr>
        <w:t xml:space="preserve"> second</w:t>
      </w:r>
      <w:r w:rsidRPr="00C87C45">
        <w:rPr>
          <w:rFonts w:ascii="Verdana" w:hAnsi="Verdana"/>
        </w:rPr>
        <w:t xml:space="preserve"> intervention to “embed racial equality across government and societal structures” and</w:t>
      </w:r>
      <w:r w:rsidR="00527709">
        <w:rPr>
          <w:rFonts w:ascii="Verdana" w:hAnsi="Verdana"/>
        </w:rPr>
        <w:t xml:space="preserve"> the fifth </w:t>
      </w:r>
      <w:r w:rsidR="002914B5">
        <w:rPr>
          <w:rFonts w:ascii="Verdana" w:hAnsi="Verdana"/>
        </w:rPr>
        <w:t xml:space="preserve">intervention, </w:t>
      </w:r>
      <w:r w:rsidR="002914B5" w:rsidRPr="00C87C45">
        <w:rPr>
          <w:rFonts w:ascii="Verdana" w:hAnsi="Verdana"/>
        </w:rPr>
        <w:t>to</w:t>
      </w:r>
      <w:r w:rsidRPr="00C87C45">
        <w:rPr>
          <w:rFonts w:ascii="Verdana" w:hAnsi="Verdana"/>
        </w:rPr>
        <w:t xml:space="preserve"> “launch a refreshed Minority Ethnic Development Fund” lack clarity on which</w:t>
      </w:r>
      <w:r w:rsidR="00BD49C5">
        <w:rPr>
          <w:rFonts w:ascii="Verdana" w:hAnsi="Verdana"/>
        </w:rPr>
        <w:t xml:space="preserve"> societal</w:t>
      </w:r>
      <w:r w:rsidRPr="00C87C45">
        <w:rPr>
          <w:rFonts w:ascii="Verdana" w:hAnsi="Verdana"/>
        </w:rPr>
        <w:t xml:space="preserve"> structures will be prioritised in the first two </w:t>
      </w:r>
      <w:r w:rsidR="008D3677" w:rsidRPr="00C87C45">
        <w:rPr>
          <w:rFonts w:ascii="Verdana" w:hAnsi="Verdana"/>
        </w:rPr>
        <w:t>years,</w:t>
      </w:r>
      <w:r w:rsidRPr="00C87C45">
        <w:rPr>
          <w:rFonts w:ascii="Verdana" w:hAnsi="Verdana"/>
        </w:rPr>
        <w:t xml:space="preserve"> and which focus areas the M</w:t>
      </w:r>
      <w:r w:rsidR="00B47905">
        <w:rPr>
          <w:rFonts w:ascii="Verdana" w:hAnsi="Verdana"/>
        </w:rPr>
        <w:t xml:space="preserve">inority </w:t>
      </w:r>
      <w:r w:rsidRPr="00C87C45">
        <w:rPr>
          <w:rFonts w:ascii="Verdana" w:hAnsi="Verdana"/>
        </w:rPr>
        <w:t>E</w:t>
      </w:r>
      <w:r w:rsidR="00B47905">
        <w:rPr>
          <w:rFonts w:ascii="Verdana" w:hAnsi="Verdana"/>
        </w:rPr>
        <w:t xml:space="preserve">thnic </w:t>
      </w:r>
      <w:r w:rsidRPr="00C87C45">
        <w:rPr>
          <w:rFonts w:ascii="Verdana" w:hAnsi="Verdana"/>
        </w:rPr>
        <w:t>D</w:t>
      </w:r>
      <w:r w:rsidR="00B47905">
        <w:rPr>
          <w:rFonts w:ascii="Verdana" w:hAnsi="Verdana"/>
        </w:rPr>
        <w:t xml:space="preserve">evelopment </w:t>
      </w:r>
      <w:r w:rsidRPr="00C87C45">
        <w:rPr>
          <w:rFonts w:ascii="Verdana" w:hAnsi="Verdana"/>
        </w:rPr>
        <w:t>F</w:t>
      </w:r>
      <w:r w:rsidR="00B47905">
        <w:rPr>
          <w:rFonts w:ascii="Verdana" w:hAnsi="Verdana"/>
        </w:rPr>
        <w:t>und</w:t>
      </w:r>
      <w:r w:rsidRPr="00C87C45">
        <w:rPr>
          <w:rFonts w:ascii="Verdana" w:hAnsi="Verdana"/>
        </w:rPr>
        <w:t xml:space="preserve"> will support. Similarly, the </w:t>
      </w:r>
      <w:r w:rsidR="006F3891">
        <w:rPr>
          <w:rFonts w:ascii="Verdana" w:hAnsi="Verdana"/>
        </w:rPr>
        <w:t xml:space="preserve">third </w:t>
      </w:r>
      <w:r w:rsidRPr="00C87C45">
        <w:rPr>
          <w:rFonts w:ascii="Verdana" w:hAnsi="Verdana"/>
        </w:rPr>
        <w:t xml:space="preserve">intervention to “embed cultural awareness and </w:t>
      </w:r>
      <w:r w:rsidRPr="00C87C45">
        <w:rPr>
          <w:rFonts w:ascii="Verdana" w:hAnsi="Verdana"/>
        </w:rPr>
        <w:lastRenderedPageBreak/>
        <w:t>anti</w:t>
      </w:r>
      <w:r w:rsidRPr="00C87C45">
        <w:rPr>
          <w:rFonts w:ascii="Cambria Math" w:hAnsi="Cambria Math" w:cs="Cambria Math"/>
        </w:rPr>
        <w:t>‑</w:t>
      </w:r>
      <w:r w:rsidRPr="00C87C45">
        <w:rPr>
          <w:rFonts w:ascii="Verdana" w:hAnsi="Verdana"/>
        </w:rPr>
        <w:t>racism training across public services,</w:t>
      </w:r>
      <w:r w:rsidRPr="00C87C45">
        <w:rPr>
          <w:rFonts w:ascii="Verdana" w:hAnsi="Verdana" w:cs="Verdana"/>
        </w:rPr>
        <w:t>”</w:t>
      </w:r>
      <w:r w:rsidRPr="00C87C45">
        <w:rPr>
          <w:rFonts w:ascii="Verdana" w:hAnsi="Verdana"/>
        </w:rPr>
        <w:t xml:space="preserve"> listed under Outcomes 1 and 2, does not identify the target groups or set</w:t>
      </w:r>
      <w:r w:rsidR="008B1768">
        <w:rPr>
          <w:rFonts w:ascii="Verdana" w:hAnsi="Verdana"/>
        </w:rPr>
        <w:t xml:space="preserve"> perform</w:t>
      </w:r>
      <w:r w:rsidR="009B694B">
        <w:rPr>
          <w:rFonts w:ascii="Verdana" w:hAnsi="Verdana"/>
        </w:rPr>
        <w:t>ance indicators</w:t>
      </w:r>
      <w:r w:rsidRPr="00C87C45">
        <w:rPr>
          <w:rFonts w:ascii="Verdana" w:hAnsi="Verdana"/>
        </w:rPr>
        <w:t xml:space="preserve">. Under Outcome 4, </w:t>
      </w:r>
      <w:r w:rsidR="00140708" w:rsidRPr="00C87C45">
        <w:rPr>
          <w:rFonts w:ascii="Verdana" w:hAnsi="Verdana"/>
        </w:rPr>
        <w:t xml:space="preserve">the </w:t>
      </w:r>
      <w:r w:rsidR="00140708">
        <w:rPr>
          <w:rFonts w:ascii="Verdana" w:hAnsi="Verdana"/>
        </w:rPr>
        <w:t>seventh</w:t>
      </w:r>
      <w:r w:rsidR="002D67C9">
        <w:rPr>
          <w:rFonts w:ascii="Verdana" w:hAnsi="Verdana"/>
        </w:rPr>
        <w:t xml:space="preserve"> </w:t>
      </w:r>
      <w:r w:rsidRPr="00C87C45">
        <w:rPr>
          <w:rFonts w:ascii="Verdana" w:hAnsi="Verdana"/>
        </w:rPr>
        <w:t>intervention</w:t>
      </w:r>
      <w:r w:rsidR="002D67C9">
        <w:rPr>
          <w:rFonts w:ascii="Verdana" w:hAnsi="Verdana"/>
        </w:rPr>
        <w:t>,</w:t>
      </w:r>
      <w:r w:rsidRPr="00C87C45">
        <w:rPr>
          <w:rFonts w:ascii="Verdana" w:hAnsi="Verdana"/>
        </w:rPr>
        <w:t xml:space="preserve"> to “complete an initial round of community</w:t>
      </w:r>
      <w:r w:rsidRPr="00C87C45">
        <w:rPr>
          <w:rFonts w:ascii="Cambria Math" w:hAnsi="Cambria Math" w:cs="Cambria Math"/>
        </w:rPr>
        <w:t>‑</w:t>
      </w:r>
      <w:r w:rsidRPr="00C87C45">
        <w:rPr>
          <w:rFonts w:ascii="Verdana" w:hAnsi="Verdana"/>
        </w:rPr>
        <w:t>led reviews to develop plans on key topics</w:t>
      </w:r>
      <w:r w:rsidRPr="00C87C45">
        <w:rPr>
          <w:rFonts w:ascii="Verdana" w:hAnsi="Verdana" w:cs="Verdana"/>
        </w:rPr>
        <w:t>”</w:t>
      </w:r>
      <w:r w:rsidRPr="00C87C45">
        <w:rPr>
          <w:rFonts w:ascii="Verdana" w:hAnsi="Verdana"/>
        </w:rPr>
        <w:t xml:space="preserve"> provides no indication of</w:t>
      </w:r>
      <w:r w:rsidR="007F1C38">
        <w:rPr>
          <w:rFonts w:ascii="Verdana" w:hAnsi="Verdana"/>
        </w:rPr>
        <w:t xml:space="preserve"> the prioritised</w:t>
      </w:r>
      <w:r w:rsidRPr="00C87C45">
        <w:rPr>
          <w:rFonts w:ascii="Verdana" w:hAnsi="Verdana"/>
        </w:rPr>
        <w:t xml:space="preserve"> topics. This lack of specificity exemplifies the high</w:t>
      </w:r>
      <w:r w:rsidRPr="00C87C45">
        <w:rPr>
          <w:rFonts w:ascii="Cambria Math" w:hAnsi="Cambria Math" w:cs="Cambria Math"/>
        </w:rPr>
        <w:t>‑</w:t>
      </w:r>
      <w:r w:rsidRPr="00C87C45">
        <w:rPr>
          <w:rFonts w:ascii="Verdana" w:hAnsi="Verdana"/>
        </w:rPr>
        <w:t>level language used throughout the document.</w:t>
      </w:r>
    </w:p>
    <w:p w14:paraId="50FD52EC" w14:textId="77777777" w:rsidR="000D1897" w:rsidRPr="00C87C45" w:rsidRDefault="000D1897" w:rsidP="000D1897">
      <w:pPr>
        <w:pStyle w:val="ListParagraph"/>
      </w:pPr>
    </w:p>
    <w:p w14:paraId="09C86472" w14:textId="170FE963" w:rsidR="00512E6D" w:rsidRDefault="000E310A" w:rsidP="00F6167B">
      <w:pPr>
        <w:pStyle w:val="BasicParagraph"/>
        <w:widowControl/>
        <w:numPr>
          <w:ilvl w:val="1"/>
          <w:numId w:val="1"/>
        </w:numPr>
        <w:suppressAutoHyphens/>
        <w:ind w:left="709"/>
        <w:rPr>
          <w:rFonts w:ascii="Verdana" w:hAnsi="Verdana"/>
        </w:rPr>
      </w:pPr>
      <w:r w:rsidRPr="00C87C45">
        <w:rPr>
          <w:rFonts w:ascii="Verdana" w:hAnsi="Verdana"/>
        </w:rPr>
        <w:t>A</w:t>
      </w:r>
      <w:r w:rsidR="000D1897" w:rsidRPr="00C87C45">
        <w:rPr>
          <w:rFonts w:ascii="Verdana" w:hAnsi="Verdana"/>
        </w:rPr>
        <w:t xml:space="preserve"> key </w:t>
      </w:r>
      <w:r w:rsidR="00A76C55">
        <w:rPr>
          <w:rFonts w:ascii="Verdana" w:hAnsi="Verdana"/>
        </w:rPr>
        <w:t xml:space="preserve">source of </w:t>
      </w:r>
      <w:r w:rsidR="000D1897" w:rsidRPr="00C87C45">
        <w:rPr>
          <w:rFonts w:ascii="Verdana" w:hAnsi="Verdana"/>
        </w:rPr>
        <w:t>guidance relevant to the</w:t>
      </w:r>
      <w:r w:rsidR="004F4E32">
        <w:rPr>
          <w:rFonts w:ascii="Verdana" w:hAnsi="Verdana"/>
        </w:rPr>
        <w:t xml:space="preserve"> </w:t>
      </w:r>
      <w:r w:rsidR="00D1132D">
        <w:rPr>
          <w:rFonts w:ascii="Verdana" w:hAnsi="Verdana"/>
        </w:rPr>
        <w:t>D</w:t>
      </w:r>
      <w:r w:rsidR="004F4E32">
        <w:rPr>
          <w:rFonts w:ascii="Verdana" w:hAnsi="Verdana"/>
        </w:rPr>
        <w:t>raft</w:t>
      </w:r>
      <w:r w:rsidR="000D1897" w:rsidRPr="00C87C45">
        <w:rPr>
          <w:rFonts w:ascii="Verdana" w:hAnsi="Verdana"/>
        </w:rPr>
        <w:t xml:space="preserve"> Framework is the </w:t>
      </w:r>
      <w:r w:rsidR="00121533">
        <w:rPr>
          <w:rFonts w:ascii="Verdana" w:hAnsi="Verdana"/>
        </w:rPr>
        <w:t>U</w:t>
      </w:r>
      <w:r w:rsidR="00FF1958">
        <w:rPr>
          <w:rFonts w:ascii="Verdana" w:hAnsi="Verdana"/>
        </w:rPr>
        <w:t>N OHCHR</w:t>
      </w:r>
      <w:r w:rsidR="00121533">
        <w:rPr>
          <w:rFonts w:ascii="Verdana" w:hAnsi="Verdana"/>
        </w:rPr>
        <w:t xml:space="preserve"> </w:t>
      </w:r>
      <w:r w:rsidR="00445CA4">
        <w:rPr>
          <w:rFonts w:ascii="Verdana" w:hAnsi="Verdana"/>
        </w:rPr>
        <w:t>publication</w:t>
      </w:r>
      <w:r w:rsidR="00654119">
        <w:rPr>
          <w:rFonts w:ascii="Verdana" w:hAnsi="Verdana"/>
        </w:rPr>
        <w:t xml:space="preserve"> focusing on</w:t>
      </w:r>
      <w:r w:rsidR="00C90F48">
        <w:rPr>
          <w:rFonts w:ascii="Verdana" w:hAnsi="Verdana"/>
        </w:rPr>
        <w:t xml:space="preserve"> National Action Plans </w:t>
      </w:r>
      <w:r w:rsidR="00000E47">
        <w:rPr>
          <w:rFonts w:ascii="Verdana" w:hAnsi="Verdana"/>
        </w:rPr>
        <w:t>a</w:t>
      </w:r>
      <w:r w:rsidR="00C90F48">
        <w:rPr>
          <w:rFonts w:ascii="Verdana" w:hAnsi="Verdana"/>
        </w:rPr>
        <w:t xml:space="preserve">gainst </w:t>
      </w:r>
      <w:r w:rsidR="00232683">
        <w:rPr>
          <w:rFonts w:ascii="Verdana" w:hAnsi="Verdana"/>
        </w:rPr>
        <w:t>Racial Discrimination</w:t>
      </w:r>
      <w:r w:rsidR="00F5465E">
        <w:rPr>
          <w:rFonts w:ascii="Verdana" w:hAnsi="Verdana"/>
        </w:rPr>
        <w:t xml:space="preserve"> which</w:t>
      </w:r>
      <w:r w:rsidR="006826CC">
        <w:rPr>
          <w:rFonts w:ascii="Verdana" w:hAnsi="Verdana"/>
        </w:rPr>
        <w:t xml:space="preserve"> </w:t>
      </w:r>
      <w:r w:rsidR="0082274A">
        <w:rPr>
          <w:rFonts w:ascii="Verdana" w:hAnsi="Verdana"/>
        </w:rPr>
        <w:t xml:space="preserve">describes </w:t>
      </w:r>
      <w:r w:rsidR="00F65BC2">
        <w:rPr>
          <w:rFonts w:ascii="Verdana" w:hAnsi="Verdana"/>
        </w:rPr>
        <w:t xml:space="preserve">a </w:t>
      </w:r>
      <w:r w:rsidR="001D4CA3">
        <w:rPr>
          <w:rFonts w:ascii="Verdana" w:hAnsi="Verdana"/>
        </w:rPr>
        <w:t>n</w:t>
      </w:r>
      <w:r w:rsidR="00F65BC2">
        <w:rPr>
          <w:rFonts w:ascii="Verdana" w:hAnsi="Verdana"/>
        </w:rPr>
        <w:t xml:space="preserve">ational </w:t>
      </w:r>
      <w:r w:rsidR="001D4CA3">
        <w:rPr>
          <w:rFonts w:ascii="Verdana" w:hAnsi="Verdana"/>
        </w:rPr>
        <w:t>a</w:t>
      </w:r>
      <w:r w:rsidR="00F65BC2">
        <w:rPr>
          <w:rFonts w:ascii="Verdana" w:hAnsi="Verdana"/>
        </w:rPr>
        <w:t xml:space="preserve">ction </w:t>
      </w:r>
      <w:r w:rsidR="001D4CA3">
        <w:rPr>
          <w:rFonts w:ascii="Verdana" w:hAnsi="Verdana"/>
        </w:rPr>
        <w:t>p</w:t>
      </w:r>
      <w:r w:rsidR="00F65BC2">
        <w:rPr>
          <w:rFonts w:ascii="Verdana" w:hAnsi="Verdana"/>
        </w:rPr>
        <w:t>lan</w:t>
      </w:r>
      <w:r w:rsidR="00D2128B">
        <w:rPr>
          <w:rFonts w:ascii="Verdana" w:hAnsi="Verdana"/>
        </w:rPr>
        <w:t>, a</w:t>
      </w:r>
      <w:r w:rsidR="0082274A">
        <w:rPr>
          <w:rFonts w:ascii="Verdana" w:hAnsi="Verdana"/>
        </w:rPr>
        <w:t>s</w:t>
      </w:r>
      <w:r w:rsidR="00D2128B">
        <w:rPr>
          <w:rFonts w:ascii="Verdana" w:hAnsi="Verdana"/>
        </w:rPr>
        <w:t xml:space="preserve"> </w:t>
      </w:r>
      <w:r w:rsidR="00333379">
        <w:rPr>
          <w:rFonts w:ascii="Verdana" w:hAnsi="Verdana"/>
        </w:rPr>
        <w:t>an</w:t>
      </w:r>
      <w:r w:rsidR="00512E6D">
        <w:rPr>
          <w:rFonts w:ascii="Verdana" w:hAnsi="Verdana"/>
        </w:rPr>
        <w:t>:</w:t>
      </w:r>
    </w:p>
    <w:p w14:paraId="67C2328B" w14:textId="77777777" w:rsidR="00512E6D" w:rsidRDefault="00512E6D" w:rsidP="008C0A4A">
      <w:pPr>
        <w:pStyle w:val="ListParagraph"/>
        <w:ind w:left="1440" w:right="1440"/>
      </w:pPr>
    </w:p>
    <w:p w14:paraId="59DE3E32" w14:textId="64BEFFD0" w:rsidR="008C0A4A" w:rsidRDefault="00FC7506" w:rsidP="00FC7506">
      <w:pPr>
        <w:pStyle w:val="Quote"/>
      </w:pPr>
      <w:r>
        <w:rPr>
          <w:rStyle w:val="QuoteChar"/>
        </w:rPr>
        <w:t xml:space="preserve">  </w:t>
      </w:r>
      <w:r w:rsidR="00B879A9" w:rsidRPr="008C0A4A">
        <w:t>action-oriented</w:t>
      </w:r>
      <w:r w:rsidR="003072B9" w:rsidRPr="008C0A4A">
        <w:t xml:space="preserve"> document which, instead of setting forth </w:t>
      </w:r>
    </w:p>
    <w:p w14:paraId="64781717" w14:textId="77777777" w:rsidR="008C0A4A" w:rsidRDefault="008C0A4A" w:rsidP="00FC7506">
      <w:pPr>
        <w:pStyle w:val="Quote"/>
      </w:pPr>
      <w:r>
        <w:t xml:space="preserve">  </w:t>
      </w:r>
      <w:r w:rsidR="003072B9" w:rsidRPr="008C0A4A">
        <w:t xml:space="preserve">claims and vague promises, sets out practical goals, devises </w:t>
      </w:r>
    </w:p>
    <w:p w14:paraId="7D665F89" w14:textId="77777777" w:rsidR="008C0A4A" w:rsidRDefault="008C0A4A" w:rsidP="00FC7506">
      <w:pPr>
        <w:pStyle w:val="Quote"/>
      </w:pPr>
      <w:r>
        <w:t xml:space="preserve">  </w:t>
      </w:r>
      <w:r w:rsidR="003072B9" w:rsidRPr="008C0A4A">
        <w:t xml:space="preserve">programmes and activities to ensure the achievement of </w:t>
      </w:r>
    </w:p>
    <w:p w14:paraId="2AB14C10" w14:textId="77777777" w:rsidR="008C0A4A" w:rsidRDefault="008C0A4A" w:rsidP="00FC7506">
      <w:pPr>
        <w:pStyle w:val="Quote"/>
      </w:pPr>
      <w:r>
        <w:t xml:space="preserve">  </w:t>
      </w:r>
      <w:r w:rsidR="003072B9" w:rsidRPr="008C0A4A">
        <w:t>these goals, allocates sufficient resources, and develops</w:t>
      </w:r>
    </w:p>
    <w:p w14:paraId="0F22336A" w14:textId="77777777" w:rsidR="008C0A4A" w:rsidRDefault="008C0A4A" w:rsidP="00FC7506">
      <w:pPr>
        <w:pStyle w:val="Quote"/>
      </w:pPr>
      <w:r>
        <w:t xml:space="preserve"> </w:t>
      </w:r>
      <w:r w:rsidR="003072B9" w:rsidRPr="008C0A4A">
        <w:t xml:space="preserve"> evaluation mechanisms, all with the aim of eliminating racial</w:t>
      </w:r>
    </w:p>
    <w:p w14:paraId="5EBBC6C2" w14:textId="2E1B35F0" w:rsidR="000D1897" w:rsidRPr="00C87C45" w:rsidRDefault="008C0A4A" w:rsidP="00FC7506">
      <w:pPr>
        <w:pStyle w:val="Quote"/>
      </w:pPr>
      <w:r>
        <w:t xml:space="preserve"> </w:t>
      </w:r>
      <w:r w:rsidR="003072B9" w:rsidRPr="008C0A4A">
        <w:t xml:space="preserve"> discrimination</w:t>
      </w:r>
      <w:r w:rsidR="00393A35" w:rsidRPr="00D2128B">
        <w:t>.</w:t>
      </w:r>
      <w:r w:rsidR="002E530E" w:rsidRPr="00C87C45">
        <w:rPr>
          <w:rStyle w:val="FootnoteReference"/>
        </w:rPr>
        <w:footnoteReference w:id="45"/>
      </w:r>
    </w:p>
    <w:p w14:paraId="6951EC5A" w14:textId="77777777" w:rsidR="0006764C" w:rsidRPr="00C87C45" w:rsidRDefault="0006764C" w:rsidP="0006764C">
      <w:pPr>
        <w:pStyle w:val="ListParagraph"/>
      </w:pPr>
    </w:p>
    <w:p w14:paraId="3020E627" w14:textId="7DD85A7E" w:rsidR="001F390D" w:rsidRDefault="0006764C" w:rsidP="003060FD">
      <w:pPr>
        <w:pStyle w:val="BasicParagraph"/>
        <w:numPr>
          <w:ilvl w:val="1"/>
          <w:numId w:val="1"/>
        </w:numPr>
        <w:suppressAutoHyphens/>
        <w:ind w:left="709"/>
        <w:rPr>
          <w:rFonts w:ascii="Verdana" w:hAnsi="Verdana"/>
        </w:rPr>
      </w:pPr>
      <w:r w:rsidRPr="008F7344">
        <w:rPr>
          <w:rFonts w:ascii="Verdana" w:hAnsi="Verdana"/>
        </w:rPr>
        <w:t xml:space="preserve">In </w:t>
      </w:r>
      <w:r w:rsidR="00B4740A" w:rsidRPr="008F7344">
        <w:rPr>
          <w:rFonts w:ascii="Verdana" w:hAnsi="Verdana"/>
        </w:rPr>
        <w:t>addition,</w:t>
      </w:r>
      <w:r w:rsidR="00FD61EE">
        <w:rPr>
          <w:rFonts w:ascii="Verdana" w:hAnsi="Verdana"/>
        </w:rPr>
        <w:t xml:space="preserve"> </w:t>
      </w:r>
      <w:r w:rsidR="001865E1">
        <w:rPr>
          <w:rFonts w:ascii="Verdana" w:hAnsi="Verdana"/>
        </w:rPr>
        <w:t>it further</w:t>
      </w:r>
      <w:r w:rsidR="0082274A">
        <w:rPr>
          <w:rFonts w:ascii="Verdana" w:hAnsi="Verdana"/>
        </w:rPr>
        <w:t xml:space="preserve"> </w:t>
      </w:r>
      <w:r w:rsidR="00FD61EE">
        <w:rPr>
          <w:rFonts w:ascii="Verdana" w:hAnsi="Verdana"/>
        </w:rPr>
        <w:t>states that eac</w:t>
      </w:r>
      <w:r w:rsidR="00E732B2">
        <w:rPr>
          <w:rFonts w:ascii="Verdana" w:hAnsi="Verdana"/>
        </w:rPr>
        <w:t>h</w:t>
      </w:r>
      <w:r w:rsidR="00322487">
        <w:rPr>
          <w:rFonts w:ascii="Verdana" w:hAnsi="Verdana"/>
        </w:rPr>
        <w:t xml:space="preserve"> National Action Plan against Racial Discrimination</w:t>
      </w:r>
      <w:r w:rsidR="00E732B2">
        <w:rPr>
          <w:rFonts w:ascii="Verdana" w:hAnsi="Verdana"/>
        </w:rPr>
        <w:t xml:space="preserve"> </w:t>
      </w:r>
      <w:r w:rsidR="00FD61EE">
        <w:rPr>
          <w:rFonts w:ascii="Verdana" w:hAnsi="Verdana"/>
        </w:rPr>
        <w:t>should</w:t>
      </w:r>
      <w:r w:rsidR="00734A79">
        <w:rPr>
          <w:rFonts w:ascii="Verdana" w:hAnsi="Verdana"/>
        </w:rPr>
        <w:t xml:space="preserve"> </w:t>
      </w:r>
      <w:r w:rsidR="00734A79" w:rsidRPr="00C87C45">
        <w:rPr>
          <w:rFonts w:ascii="Verdana" w:hAnsi="Verdana"/>
        </w:rPr>
        <w:t>clearly describe the current situation</w:t>
      </w:r>
      <w:r w:rsidR="00D35725" w:rsidRPr="008F7344">
        <w:rPr>
          <w:rFonts w:ascii="Verdana" w:hAnsi="Verdana"/>
        </w:rPr>
        <w:t>,</w:t>
      </w:r>
      <w:r w:rsidR="001F390D" w:rsidRPr="001F390D">
        <w:rPr>
          <w:rFonts w:ascii="Verdana" w:hAnsi="Verdana"/>
        </w:rPr>
        <w:t xml:space="preserve"> </w:t>
      </w:r>
      <w:r w:rsidR="001F390D" w:rsidRPr="00C87C45">
        <w:rPr>
          <w:rFonts w:ascii="Verdana" w:hAnsi="Verdana"/>
        </w:rPr>
        <w:t xml:space="preserve">identify the problems to be </w:t>
      </w:r>
      <w:r w:rsidR="00BA2487">
        <w:rPr>
          <w:rFonts w:ascii="Verdana" w:hAnsi="Verdana"/>
        </w:rPr>
        <w:t>addressed</w:t>
      </w:r>
      <w:r w:rsidR="001F390D" w:rsidRPr="00C87C45">
        <w:rPr>
          <w:rFonts w:ascii="Verdana" w:hAnsi="Verdana"/>
        </w:rPr>
        <w:t xml:space="preserve">, specify </w:t>
      </w:r>
      <w:r w:rsidR="00BA2487">
        <w:rPr>
          <w:rFonts w:ascii="Verdana" w:hAnsi="Verdana"/>
        </w:rPr>
        <w:t>and</w:t>
      </w:r>
      <w:r w:rsidR="001F390D" w:rsidRPr="00C87C45">
        <w:rPr>
          <w:rFonts w:ascii="Verdana" w:hAnsi="Verdana"/>
        </w:rPr>
        <w:t xml:space="preserve"> prioritise the</w:t>
      </w:r>
      <w:r w:rsidR="00E151CC">
        <w:rPr>
          <w:rFonts w:ascii="Verdana" w:hAnsi="Verdana"/>
        </w:rPr>
        <w:t xml:space="preserve"> actions to be taken</w:t>
      </w:r>
      <w:r w:rsidR="001F390D" w:rsidRPr="00C87C45">
        <w:rPr>
          <w:rFonts w:ascii="Verdana" w:hAnsi="Verdana"/>
        </w:rPr>
        <w:t>, assign responsibility, establish</w:t>
      </w:r>
      <w:r w:rsidR="00E151CC">
        <w:rPr>
          <w:rFonts w:ascii="Verdana" w:hAnsi="Verdana"/>
        </w:rPr>
        <w:t xml:space="preserve"> </w:t>
      </w:r>
      <w:r w:rsidR="001F390D" w:rsidRPr="00C87C45">
        <w:rPr>
          <w:rFonts w:ascii="Verdana" w:hAnsi="Verdana"/>
        </w:rPr>
        <w:t>timeframe</w:t>
      </w:r>
      <w:r w:rsidR="00B50C29">
        <w:rPr>
          <w:rFonts w:ascii="Verdana" w:hAnsi="Verdana"/>
        </w:rPr>
        <w:t>s and</w:t>
      </w:r>
      <w:r w:rsidR="001F390D" w:rsidRPr="00C87C45">
        <w:rPr>
          <w:rFonts w:ascii="Verdana" w:hAnsi="Verdana"/>
        </w:rPr>
        <w:t xml:space="preserve"> budget</w:t>
      </w:r>
      <w:r w:rsidR="00B50C29">
        <w:rPr>
          <w:rFonts w:ascii="Verdana" w:hAnsi="Verdana"/>
        </w:rPr>
        <w:t>s</w:t>
      </w:r>
      <w:r w:rsidR="001F390D" w:rsidRPr="00C87C45">
        <w:rPr>
          <w:rFonts w:ascii="Verdana" w:hAnsi="Verdana"/>
        </w:rPr>
        <w:t>, and provide for effective monitoring and evaluation.</w:t>
      </w:r>
      <w:r w:rsidR="001F390D" w:rsidRPr="00C87C45">
        <w:rPr>
          <w:rStyle w:val="FootnoteReference"/>
          <w:rFonts w:ascii="Verdana" w:hAnsi="Verdana"/>
        </w:rPr>
        <w:footnoteReference w:id="46"/>
      </w:r>
      <w:r w:rsidR="001F390D" w:rsidRPr="00C87C45">
        <w:rPr>
          <w:rFonts w:ascii="Verdana" w:hAnsi="Verdana"/>
        </w:rPr>
        <w:t xml:space="preserve"> </w:t>
      </w:r>
    </w:p>
    <w:p w14:paraId="31C20E17" w14:textId="77777777" w:rsidR="00CC6848" w:rsidRDefault="00CC6848" w:rsidP="00CC6848">
      <w:pPr>
        <w:pStyle w:val="ListParagraph"/>
        <w:rPr>
          <w:b/>
          <w:bCs/>
        </w:rPr>
      </w:pPr>
    </w:p>
    <w:p w14:paraId="5565A86E" w14:textId="691E858C" w:rsidR="00AA5362" w:rsidRDefault="00CC6848" w:rsidP="00AA5362">
      <w:pPr>
        <w:pStyle w:val="BasicParagraph"/>
        <w:numPr>
          <w:ilvl w:val="1"/>
          <w:numId w:val="1"/>
        </w:numPr>
        <w:suppressAutoHyphens/>
        <w:ind w:left="709"/>
        <w:rPr>
          <w:rFonts w:ascii="Verdana" w:hAnsi="Verdana"/>
          <w:b/>
          <w:bCs/>
        </w:rPr>
      </w:pPr>
      <w:r w:rsidRPr="00CC6848">
        <w:rPr>
          <w:rFonts w:ascii="Verdana" w:hAnsi="Verdana"/>
          <w:b/>
          <w:bCs/>
        </w:rPr>
        <w:t xml:space="preserve">The NIHRC recommends that the Executive </w:t>
      </w:r>
      <w:r w:rsidR="00BE3D94" w:rsidRPr="00CC6848">
        <w:rPr>
          <w:rFonts w:ascii="Verdana" w:hAnsi="Verdana"/>
          <w:b/>
          <w:bCs/>
        </w:rPr>
        <w:t>Office strengthens</w:t>
      </w:r>
      <w:r w:rsidRPr="00CC6848">
        <w:rPr>
          <w:rFonts w:ascii="Verdana" w:hAnsi="Verdana"/>
          <w:b/>
          <w:bCs/>
        </w:rPr>
        <w:t xml:space="preserve"> the </w:t>
      </w:r>
      <w:r w:rsidR="0011676A">
        <w:rPr>
          <w:rFonts w:ascii="Verdana" w:hAnsi="Verdana"/>
          <w:b/>
          <w:bCs/>
        </w:rPr>
        <w:t>D</w:t>
      </w:r>
      <w:r w:rsidR="00382379">
        <w:rPr>
          <w:rFonts w:ascii="Verdana" w:hAnsi="Verdana"/>
          <w:b/>
          <w:bCs/>
        </w:rPr>
        <w:t xml:space="preserve">raft </w:t>
      </w:r>
      <w:r w:rsidRPr="00CC6848">
        <w:rPr>
          <w:rFonts w:ascii="Verdana" w:hAnsi="Verdana"/>
          <w:b/>
          <w:bCs/>
        </w:rPr>
        <w:t xml:space="preserve">Framework </w:t>
      </w:r>
      <w:r w:rsidR="008210C6">
        <w:rPr>
          <w:rFonts w:ascii="Verdana" w:hAnsi="Verdana"/>
          <w:b/>
          <w:bCs/>
        </w:rPr>
        <w:t xml:space="preserve">in line with </w:t>
      </w:r>
      <w:r w:rsidR="00BC0D78">
        <w:rPr>
          <w:rFonts w:ascii="Verdana" w:hAnsi="Verdana"/>
          <w:b/>
          <w:bCs/>
        </w:rPr>
        <w:t xml:space="preserve">the United Nations </w:t>
      </w:r>
      <w:r w:rsidRPr="00CC6848">
        <w:rPr>
          <w:rFonts w:ascii="Verdana" w:hAnsi="Verdana"/>
          <w:b/>
          <w:bCs/>
        </w:rPr>
        <w:t>O</w:t>
      </w:r>
      <w:r w:rsidR="00BC0D78">
        <w:rPr>
          <w:rFonts w:ascii="Verdana" w:hAnsi="Verdana"/>
          <w:b/>
          <w:bCs/>
        </w:rPr>
        <w:t xml:space="preserve">ffice of the </w:t>
      </w:r>
      <w:r w:rsidRPr="00CC6848">
        <w:rPr>
          <w:rFonts w:ascii="Verdana" w:hAnsi="Verdana"/>
          <w:b/>
          <w:bCs/>
        </w:rPr>
        <w:t>H</w:t>
      </w:r>
      <w:r w:rsidR="00BC0D78">
        <w:rPr>
          <w:rFonts w:ascii="Verdana" w:hAnsi="Verdana"/>
          <w:b/>
          <w:bCs/>
        </w:rPr>
        <w:t xml:space="preserve">igh </w:t>
      </w:r>
      <w:r w:rsidRPr="00CC6848">
        <w:rPr>
          <w:rFonts w:ascii="Verdana" w:hAnsi="Verdana"/>
          <w:b/>
          <w:bCs/>
        </w:rPr>
        <w:t>C</w:t>
      </w:r>
      <w:r w:rsidR="00BC0D78">
        <w:rPr>
          <w:rFonts w:ascii="Verdana" w:hAnsi="Verdana"/>
          <w:b/>
          <w:bCs/>
        </w:rPr>
        <w:t xml:space="preserve">ommissioner for </w:t>
      </w:r>
      <w:r w:rsidRPr="00CC6848">
        <w:rPr>
          <w:rFonts w:ascii="Verdana" w:hAnsi="Verdana"/>
          <w:b/>
          <w:bCs/>
        </w:rPr>
        <w:t>H</w:t>
      </w:r>
      <w:r w:rsidR="00BC0D78">
        <w:rPr>
          <w:rFonts w:ascii="Verdana" w:hAnsi="Verdana"/>
          <w:b/>
          <w:bCs/>
        </w:rPr>
        <w:t xml:space="preserve">uman </w:t>
      </w:r>
      <w:r w:rsidRPr="00CC6848">
        <w:rPr>
          <w:rFonts w:ascii="Verdana" w:hAnsi="Verdana"/>
          <w:b/>
          <w:bCs/>
        </w:rPr>
        <w:t>R</w:t>
      </w:r>
      <w:r w:rsidR="00BC0D78">
        <w:rPr>
          <w:rFonts w:ascii="Verdana" w:hAnsi="Verdana"/>
          <w:b/>
          <w:bCs/>
        </w:rPr>
        <w:t>ights</w:t>
      </w:r>
      <w:r w:rsidRPr="00CC6848">
        <w:rPr>
          <w:rFonts w:ascii="Verdana" w:hAnsi="Verdana"/>
          <w:b/>
          <w:bCs/>
        </w:rPr>
        <w:t xml:space="preserve"> guidance on </w:t>
      </w:r>
      <w:r w:rsidR="009206BC">
        <w:rPr>
          <w:rFonts w:ascii="Verdana" w:hAnsi="Verdana"/>
          <w:b/>
          <w:bCs/>
        </w:rPr>
        <w:t>N</w:t>
      </w:r>
      <w:r w:rsidRPr="00CC6848">
        <w:rPr>
          <w:rFonts w:ascii="Verdana" w:hAnsi="Verdana"/>
          <w:b/>
          <w:bCs/>
        </w:rPr>
        <w:t xml:space="preserve">ational </w:t>
      </w:r>
      <w:r w:rsidR="009206BC">
        <w:rPr>
          <w:rFonts w:ascii="Verdana" w:hAnsi="Verdana"/>
          <w:b/>
          <w:bCs/>
        </w:rPr>
        <w:t>A</w:t>
      </w:r>
      <w:r w:rsidRPr="00CC6848">
        <w:rPr>
          <w:rFonts w:ascii="Verdana" w:hAnsi="Verdana"/>
          <w:b/>
          <w:bCs/>
        </w:rPr>
        <w:t xml:space="preserve">ction </w:t>
      </w:r>
      <w:r w:rsidR="009206BC">
        <w:rPr>
          <w:rFonts w:ascii="Verdana" w:hAnsi="Verdana"/>
          <w:b/>
          <w:bCs/>
        </w:rPr>
        <w:t>P</w:t>
      </w:r>
      <w:r w:rsidRPr="00CC6848">
        <w:rPr>
          <w:rFonts w:ascii="Verdana" w:hAnsi="Verdana"/>
          <w:b/>
          <w:bCs/>
        </w:rPr>
        <w:t xml:space="preserve">lans against </w:t>
      </w:r>
      <w:r w:rsidR="009206BC">
        <w:rPr>
          <w:rFonts w:ascii="Verdana" w:hAnsi="Verdana"/>
          <w:b/>
          <w:bCs/>
        </w:rPr>
        <w:t>R</w:t>
      </w:r>
      <w:r w:rsidRPr="00CC6848">
        <w:rPr>
          <w:rFonts w:ascii="Verdana" w:hAnsi="Verdana"/>
          <w:b/>
          <w:bCs/>
        </w:rPr>
        <w:t xml:space="preserve">acial </w:t>
      </w:r>
      <w:r w:rsidR="009206BC">
        <w:rPr>
          <w:rFonts w:ascii="Verdana" w:hAnsi="Verdana"/>
          <w:b/>
          <w:bCs/>
        </w:rPr>
        <w:t>D</w:t>
      </w:r>
      <w:r w:rsidRPr="00CC6848">
        <w:rPr>
          <w:rFonts w:ascii="Verdana" w:hAnsi="Verdana"/>
          <w:b/>
          <w:bCs/>
        </w:rPr>
        <w:t xml:space="preserve">iscrimination, </w:t>
      </w:r>
      <w:r w:rsidR="00B847D3">
        <w:rPr>
          <w:rFonts w:ascii="Verdana" w:hAnsi="Verdana"/>
          <w:b/>
          <w:bCs/>
        </w:rPr>
        <w:t>t</w:t>
      </w:r>
      <w:r w:rsidR="00B847D3" w:rsidRPr="00B847D3">
        <w:rPr>
          <w:rFonts w:ascii="Verdana" w:hAnsi="Verdana"/>
          <w:b/>
          <w:bCs/>
        </w:rPr>
        <w:t>o ensure it is action</w:t>
      </w:r>
      <w:r w:rsidR="00B847D3" w:rsidRPr="00B847D3">
        <w:rPr>
          <w:rFonts w:ascii="Cambria Math" w:hAnsi="Cambria Math" w:cs="Cambria Math"/>
          <w:b/>
          <w:bCs/>
        </w:rPr>
        <w:t>‑</w:t>
      </w:r>
      <w:r w:rsidR="00B847D3" w:rsidRPr="00B847D3">
        <w:rPr>
          <w:rFonts w:ascii="Verdana" w:hAnsi="Verdana"/>
          <w:b/>
          <w:bCs/>
        </w:rPr>
        <w:t xml:space="preserve">oriented and capable of effective implementation. In particular, the </w:t>
      </w:r>
      <w:r w:rsidR="0011676A">
        <w:rPr>
          <w:rFonts w:ascii="Verdana" w:hAnsi="Verdana"/>
          <w:b/>
          <w:bCs/>
        </w:rPr>
        <w:t>D</w:t>
      </w:r>
      <w:r w:rsidR="00382379">
        <w:rPr>
          <w:rFonts w:ascii="Verdana" w:hAnsi="Verdana"/>
          <w:b/>
          <w:bCs/>
        </w:rPr>
        <w:t xml:space="preserve">raft </w:t>
      </w:r>
      <w:r w:rsidR="00B847D3" w:rsidRPr="00B847D3">
        <w:rPr>
          <w:rFonts w:ascii="Verdana" w:hAnsi="Verdana"/>
          <w:b/>
          <w:bCs/>
        </w:rPr>
        <w:t>Framework should</w:t>
      </w:r>
      <w:r w:rsidR="001079AF">
        <w:rPr>
          <w:rFonts w:ascii="Verdana" w:hAnsi="Verdana"/>
          <w:b/>
          <w:bCs/>
        </w:rPr>
        <w:t xml:space="preserve"> set out</w:t>
      </w:r>
      <w:r w:rsidR="00841685">
        <w:rPr>
          <w:rFonts w:ascii="Verdana" w:hAnsi="Verdana"/>
          <w:b/>
          <w:bCs/>
        </w:rPr>
        <w:t xml:space="preserve"> more</w:t>
      </w:r>
      <w:r w:rsidR="001079AF">
        <w:rPr>
          <w:rFonts w:ascii="Verdana" w:hAnsi="Verdana"/>
          <w:b/>
          <w:bCs/>
        </w:rPr>
        <w:t xml:space="preserve"> </w:t>
      </w:r>
      <w:r w:rsidR="00841685">
        <w:rPr>
          <w:rFonts w:ascii="Verdana" w:hAnsi="Verdana"/>
          <w:b/>
          <w:bCs/>
        </w:rPr>
        <w:t>c</w:t>
      </w:r>
      <w:r w:rsidR="001079AF" w:rsidRPr="001079AF">
        <w:rPr>
          <w:rFonts w:ascii="Verdana" w:hAnsi="Verdana"/>
          <w:b/>
          <w:bCs/>
        </w:rPr>
        <w:t>oncrete and measurable actions</w:t>
      </w:r>
      <w:r w:rsidR="004B05B2">
        <w:rPr>
          <w:rFonts w:ascii="Verdana" w:hAnsi="Verdana"/>
          <w:b/>
          <w:bCs/>
        </w:rPr>
        <w:t xml:space="preserve"> to be undertaken</w:t>
      </w:r>
      <w:r w:rsidR="00A76C50">
        <w:rPr>
          <w:rFonts w:ascii="Verdana" w:hAnsi="Verdana"/>
          <w:b/>
          <w:bCs/>
        </w:rPr>
        <w:t>, with targeted goals</w:t>
      </w:r>
      <w:r w:rsidR="001079AF" w:rsidRPr="001079AF">
        <w:rPr>
          <w:rFonts w:ascii="Verdana" w:hAnsi="Verdana"/>
          <w:b/>
          <w:bCs/>
        </w:rPr>
        <w:t>,</w:t>
      </w:r>
      <w:r w:rsidR="001F006E">
        <w:rPr>
          <w:rFonts w:ascii="Verdana" w:hAnsi="Verdana"/>
          <w:b/>
          <w:bCs/>
        </w:rPr>
        <w:t xml:space="preserve"> performance indicators,</w:t>
      </w:r>
      <w:r w:rsidR="001079AF" w:rsidRPr="001079AF">
        <w:rPr>
          <w:rFonts w:ascii="Verdana" w:hAnsi="Verdana"/>
          <w:b/>
          <w:bCs/>
        </w:rPr>
        <w:t xml:space="preserve"> </w:t>
      </w:r>
      <w:r w:rsidR="00FA67A6" w:rsidRPr="00FA67A6">
        <w:rPr>
          <w:rFonts w:ascii="Verdana" w:hAnsi="Verdana"/>
          <w:b/>
          <w:bCs/>
        </w:rPr>
        <w:t xml:space="preserve">clear </w:t>
      </w:r>
      <w:r w:rsidR="0004534D">
        <w:rPr>
          <w:rFonts w:ascii="Verdana" w:hAnsi="Verdana"/>
          <w:b/>
          <w:bCs/>
        </w:rPr>
        <w:t xml:space="preserve">assigned </w:t>
      </w:r>
      <w:r w:rsidR="00373A33" w:rsidRPr="00FA67A6">
        <w:rPr>
          <w:rFonts w:ascii="Verdana" w:hAnsi="Verdana"/>
          <w:b/>
          <w:bCs/>
        </w:rPr>
        <w:t>responsibilities</w:t>
      </w:r>
      <w:r w:rsidR="00373A33">
        <w:rPr>
          <w:rFonts w:ascii="Verdana" w:hAnsi="Verdana"/>
          <w:b/>
          <w:bCs/>
        </w:rPr>
        <w:t>,</w:t>
      </w:r>
      <w:r w:rsidR="00373A33" w:rsidRPr="001079AF">
        <w:rPr>
          <w:rFonts w:ascii="Verdana" w:hAnsi="Verdana"/>
          <w:b/>
          <w:bCs/>
        </w:rPr>
        <w:t xml:space="preserve"> defined</w:t>
      </w:r>
      <w:r w:rsidR="001079AF" w:rsidRPr="001079AF">
        <w:rPr>
          <w:rFonts w:ascii="Verdana" w:hAnsi="Verdana"/>
          <w:b/>
          <w:bCs/>
        </w:rPr>
        <w:t xml:space="preserve"> timeframes</w:t>
      </w:r>
      <w:r w:rsidR="00A53E6D">
        <w:rPr>
          <w:rFonts w:ascii="Verdana" w:hAnsi="Verdana"/>
          <w:b/>
          <w:bCs/>
        </w:rPr>
        <w:t xml:space="preserve"> and </w:t>
      </w:r>
      <w:r w:rsidR="001079AF" w:rsidRPr="001079AF">
        <w:rPr>
          <w:rFonts w:ascii="Verdana" w:hAnsi="Verdana"/>
          <w:b/>
          <w:bCs/>
        </w:rPr>
        <w:t>adequate budgetary provision</w:t>
      </w:r>
      <w:r w:rsidR="00B847D3" w:rsidRPr="00B847D3">
        <w:rPr>
          <w:rFonts w:ascii="Verdana" w:hAnsi="Verdana"/>
          <w:b/>
          <w:bCs/>
        </w:rPr>
        <w:t>, and arrangements for monitoring, evaluation, across all four outcomes</w:t>
      </w:r>
      <w:r w:rsidR="00023161">
        <w:rPr>
          <w:rFonts w:ascii="Verdana" w:hAnsi="Verdana"/>
          <w:b/>
          <w:bCs/>
        </w:rPr>
        <w:t>.</w:t>
      </w:r>
    </w:p>
    <w:p w14:paraId="52162CA3" w14:textId="77777777" w:rsidR="00AA5362" w:rsidRDefault="00AA5362" w:rsidP="00AA5362">
      <w:pPr>
        <w:pStyle w:val="ListParagraph"/>
      </w:pPr>
    </w:p>
    <w:p w14:paraId="40389CE1" w14:textId="517554BB" w:rsidR="00AA5362" w:rsidRDefault="009B64F0" w:rsidP="003A4D50">
      <w:pPr>
        <w:pStyle w:val="BasicParagraph"/>
        <w:widowControl/>
        <w:numPr>
          <w:ilvl w:val="1"/>
          <w:numId w:val="1"/>
        </w:numPr>
        <w:suppressAutoHyphens/>
        <w:ind w:left="709"/>
        <w:rPr>
          <w:rFonts w:ascii="Verdana" w:hAnsi="Verdana"/>
          <w:b/>
          <w:bCs/>
        </w:rPr>
      </w:pPr>
      <w:r>
        <w:rPr>
          <w:rFonts w:ascii="Verdana" w:hAnsi="Verdana"/>
        </w:rPr>
        <w:lastRenderedPageBreak/>
        <w:t xml:space="preserve">The </w:t>
      </w:r>
      <w:r w:rsidR="00A7251C">
        <w:rPr>
          <w:rFonts w:ascii="Verdana" w:hAnsi="Verdana"/>
        </w:rPr>
        <w:t>NIHRC notes</w:t>
      </w:r>
      <w:r>
        <w:rPr>
          <w:rFonts w:ascii="Verdana" w:hAnsi="Verdana"/>
        </w:rPr>
        <w:t xml:space="preserve"> that the</w:t>
      </w:r>
      <w:r w:rsidR="00485BA1">
        <w:rPr>
          <w:rFonts w:ascii="Verdana" w:hAnsi="Verdana"/>
        </w:rPr>
        <w:t xml:space="preserve"> </w:t>
      </w:r>
      <w:r w:rsidR="00EC6301">
        <w:rPr>
          <w:rFonts w:ascii="Verdana" w:hAnsi="Verdana"/>
        </w:rPr>
        <w:t xml:space="preserve">Draft Framework </w:t>
      </w:r>
      <w:r w:rsidR="00F14BC2">
        <w:rPr>
          <w:rFonts w:ascii="Verdana" w:hAnsi="Verdana"/>
        </w:rPr>
        <w:t xml:space="preserve">and the accompanying </w:t>
      </w:r>
      <w:r w:rsidR="00485BA1">
        <w:rPr>
          <w:rFonts w:ascii="Verdana" w:hAnsi="Verdana"/>
        </w:rPr>
        <w:t>Draft</w:t>
      </w:r>
      <w:r>
        <w:rPr>
          <w:rFonts w:ascii="Verdana" w:hAnsi="Verdana"/>
        </w:rPr>
        <w:t xml:space="preserve"> Equality Impact Assessment and </w:t>
      </w:r>
      <w:r w:rsidR="00485BA1">
        <w:rPr>
          <w:rFonts w:ascii="Verdana" w:hAnsi="Verdana"/>
        </w:rPr>
        <w:t xml:space="preserve">the </w:t>
      </w:r>
      <w:r>
        <w:rPr>
          <w:rFonts w:ascii="Verdana" w:hAnsi="Verdana"/>
        </w:rPr>
        <w:t xml:space="preserve">Child’s Rights </w:t>
      </w:r>
      <w:r w:rsidR="00A62100">
        <w:rPr>
          <w:rFonts w:ascii="Verdana" w:hAnsi="Verdana"/>
        </w:rPr>
        <w:t xml:space="preserve">Impact </w:t>
      </w:r>
      <w:r>
        <w:rPr>
          <w:rFonts w:ascii="Verdana" w:hAnsi="Verdana"/>
        </w:rPr>
        <w:t xml:space="preserve">Assessment </w:t>
      </w:r>
      <w:r w:rsidR="00941E9D">
        <w:rPr>
          <w:rFonts w:ascii="Verdana" w:hAnsi="Verdana"/>
        </w:rPr>
        <w:t>refer</w:t>
      </w:r>
      <w:r w:rsidR="00F14BC2">
        <w:rPr>
          <w:rFonts w:ascii="Verdana" w:hAnsi="Verdana"/>
        </w:rPr>
        <w:t xml:space="preserve"> to</w:t>
      </w:r>
      <w:r w:rsidR="00983D94">
        <w:rPr>
          <w:rFonts w:ascii="Verdana" w:hAnsi="Verdana"/>
        </w:rPr>
        <w:t xml:space="preserve"> a number of </w:t>
      </w:r>
      <w:r w:rsidR="0075614E">
        <w:rPr>
          <w:rFonts w:ascii="Verdana" w:hAnsi="Verdana"/>
        </w:rPr>
        <w:t>U</w:t>
      </w:r>
      <w:r w:rsidR="00BA7719">
        <w:rPr>
          <w:rFonts w:ascii="Verdana" w:hAnsi="Verdana"/>
        </w:rPr>
        <w:t xml:space="preserve">nited </w:t>
      </w:r>
      <w:r w:rsidR="0075614E">
        <w:rPr>
          <w:rFonts w:ascii="Verdana" w:hAnsi="Verdana"/>
        </w:rPr>
        <w:t>N</w:t>
      </w:r>
      <w:r w:rsidR="00BA7719">
        <w:rPr>
          <w:rFonts w:ascii="Verdana" w:hAnsi="Verdana"/>
        </w:rPr>
        <w:t>ations</w:t>
      </w:r>
      <w:r w:rsidR="0075614E">
        <w:rPr>
          <w:rFonts w:ascii="Verdana" w:hAnsi="Verdana"/>
        </w:rPr>
        <w:t xml:space="preserve"> and </w:t>
      </w:r>
      <w:r w:rsidR="008F2E0E">
        <w:rPr>
          <w:rFonts w:ascii="Verdana" w:hAnsi="Verdana"/>
        </w:rPr>
        <w:t>C</w:t>
      </w:r>
      <w:r w:rsidR="00BA7719">
        <w:rPr>
          <w:rFonts w:ascii="Verdana" w:hAnsi="Verdana"/>
        </w:rPr>
        <w:t xml:space="preserve">ouncil </w:t>
      </w:r>
      <w:r w:rsidR="008F2E0E">
        <w:rPr>
          <w:rFonts w:ascii="Verdana" w:hAnsi="Verdana"/>
        </w:rPr>
        <w:t>o</w:t>
      </w:r>
      <w:r w:rsidR="00BA7719">
        <w:rPr>
          <w:rFonts w:ascii="Verdana" w:hAnsi="Verdana"/>
        </w:rPr>
        <w:t xml:space="preserve">f </w:t>
      </w:r>
      <w:r w:rsidR="008F2E0E">
        <w:rPr>
          <w:rFonts w:ascii="Verdana" w:hAnsi="Verdana"/>
        </w:rPr>
        <w:t>E</w:t>
      </w:r>
      <w:r w:rsidR="00BA7719">
        <w:rPr>
          <w:rFonts w:ascii="Verdana" w:hAnsi="Verdana"/>
        </w:rPr>
        <w:t>urope</w:t>
      </w:r>
      <w:r w:rsidR="0075614E">
        <w:rPr>
          <w:rFonts w:ascii="Verdana" w:hAnsi="Verdana"/>
        </w:rPr>
        <w:t xml:space="preserve"> </w:t>
      </w:r>
      <w:r w:rsidR="00DD6856">
        <w:rPr>
          <w:rFonts w:ascii="Verdana" w:hAnsi="Verdana"/>
        </w:rPr>
        <w:t>human rights standards and</w:t>
      </w:r>
      <w:r w:rsidR="00B45F8B">
        <w:rPr>
          <w:rFonts w:ascii="Verdana" w:hAnsi="Verdana"/>
        </w:rPr>
        <w:t xml:space="preserve"> recommendations from</w:t>
      </w:r>
      <w:r w:rsidR="00DD6856">
        <w:rPr>
          <w:rFonts w:ascii="Verdana" w:hAnsi="Verdana"/>
        </w:rPr>
        <w:t xml:space="preserve"> oversight bodies</w:t>
      </w:r>
      <w:r w:rsidR="00F14BC2">
        <w:rPr>
          <w:rFonts w:ascii="Verdana" w:hAnsi="Verdana"/>
        </w:rPr>
        <w:t xml:space="preserve"> (</w:t>
      </w:r>
      <w:r w:rsidR="00F14BC2" w:rsidRPr="00F14BC2">
        <w:rPr>
          <w:rFonts w:ascii="Verdana" w:hAnsi="Verdana"/>
        </w:rPr>
        <w:t xml:space="preserve">UN </w:t>
      </w:r>
      <w:r w:rsidR="00F14BC2">
        <w:rPr>
          <w:rFonts w:ascii="Verdana" w:hAnsi="Verdana"/>
        </w:rPr>
        <w:t>CER</w:t>
      </w:r>
      <w:r w:rsidR="001103C0">
        <w:rPr>
          <w:rFonts w:ascii="Verdana" w:hAnsi="Verdana"/>
        </w:rPr>
        <w:t>D</w:t>
      </w:r>
      <w:r w:rsidR="00AC48E0">
        <w:rPr>
          <w:rFonts w:ascii="Verdana" w:hAnsi="Verdana"/>
        </w:rPr>
        <w:t>,</w:t>
      </w:r>
      <w:r w:rsidR="00AC48E0" w:rsidRPr="00AC48E0">
        <w:rPr>
          <w:rFonts w:ascii="Verdana" w:hAnsi="Verdana"/>
        </w:rPr>
        <w:t xml:space="preserve"> </w:t>
      </w:r>
      <w:r w:rsidR="008F2E0E">
        <w:rPr>
          <w:rFonts w:ascii="Verdana" w:hAnsi="Verdana"/>
        </w:rPr>
        <w:t>CoE Committee of Experts on Roma and Traveller Issues</w:t>
      </w:r>
      <w:r w:rsidR="00366FC9">
        <w:rPr>
          <w:rFonts w:ascii="Verdana" w:hAnsi="Verdana"/>
        </w:rPr>
        <w:t xml:space="preserve">, and </w:t>
      </w:r>
      <w:r w:rsidR="008F2E0E">
        <w:rPr>
          <w:rFonts w:ascii="Verdana" w:hAnsi="Verdana"/>
        </w:rPr>
        <w:t>European Commission against Racism and Intolerance</w:t>
      </w:r>
      <w:r w:rsidR="00366FC9">
        <w:rPr>
          <w:rFonts w:ascii="Verdana" w:hAnsi="Verdana"/>
        </w:rPr>
        <w:t>)</w:t>
      </w:r>
      <w:r w:rsidR="00DD6856">
        <w:rPr>
          <w:rFonts w:ascii="Verdana" w:hAnsi="Verdana"/>
        </w:rPr>
        <w:t>.</w:t>
      </w:r>
      <w:r w:rsidR="00B54C47">
        <w:rPr>
          <w:rFonts w:ascii="Verdana" w:hAnsi="Verdana"/>
        </w:rPr>
        <w:t xml:space="preserve"> </w:t>
      </w:r>
      <w:r w:rsidR="00801E88">
        <w:rPr>
          <w:rFonts w:ascii="Verdana" w:hAnsi="Verdana"/>
        </w:rPr>
        <w:t>However,</w:t>
      </w:r>
      <w:r w:rsidR="00414061">
        <w:rPr>
          <w:rFonts w:ascii="Verdana" w:hAnsi="Verdana"/>
        </w:rPr>
        <w:t xml:space="preserve"> </w:t>
      </w:r>
      <w:r w:rsidR="00EF5DAF" w:rsidRPr="00AA5362">
        <w:rPr>
          <w:rFonts w:ascii="Verdana" w:hAnsi="Verdana"/>
        </w:rPr>
        <w:t>Windsor Framework Article 2 is not listed among the human rights standards that shaped the Draft Framework, nor in any accompanying</w:t>
      </w:r>
      <w:r w:rsidR="00FF674D">
        <w:rPr>
          <w:rFonts w:ascii="Verdana" w:hAnsi="Verdana"/>
        </w:rPr>
        <w:t xml:space="preserve"> draft</w:t>
      </w:r>
      <w:r w:rsidR="00EF5DAF" w:rsidRPr="00AA5362">
        <w:rPr>
          <w:rFonts w:ascii="Verdana" w:hAnsi="Verdana"/>
        </w:rPr>
        <w:t xml:space="preserve"> impact assessment. </w:t>
      </w:r>
      <w:r w:rsidR="00AA5362" w:rsidRPr="00AA5362">
        <w:rPr>
          <w:rFonts w:ascii="Verdana" w:hAnsi="Verdana"/>
        </w:rPr>
        <w:t>The commitment to the non-diminution of rights under Windsor Framework Article 2 includes the setting of minimum EU standards relevant to racial equality and the obligation to keep pace with certain EU advancements in this area. Given its clear relevance to this area and the legally binding nature of the accompanying obligations</w:t>
      </w:r>
      <w:r w:rsidR="00FA43FE">
        <w:rPr>
          <w:rFonts w:ascii="Verdana" w:hAnsi="Verdana"/>
        </w:rPr>
        <w:t>,</w:t>
      </w:r>
      <w:r w:rsidR="00AA5362" w:rsidRPr="00AA5362">
        <w:rPr>
          <w:rFonts w:ascii="Verdana" w:hAnsi="Verdana"/>
        </w:rPr>
        <w:t xml:space="preserve"> it is concerning that</w:t>
      </w:r>
      <w:r w:rsidR="00AB4B0E">
        <w:rPr>
          <w:rFonts w:ascii="Verdana" w:hAnsi="Verdana"/>
        </w:rPr>
        <w:t xml:space="preserve"> consideration of</w:t>
      </w:r>
      <w:r w:rsidR="00AA5362" w:rsidRPr="00AA5362">
        <w:rPr>
          <w:rFonts w:ascii="Verdana" w:hAnsi="Verdana"/>
        </w:rPr>
        <w:t xml:space="preserve"> Windsor Framework Article 2</w:t>
      </w:r>
      <w:r w:rsidR="00AB4B0E">
        <w:rPr>
          <w:rFonts w:ascii="Verdana" w:hAnsi="Verdana"/>
        </w:rPr>
        <w:t xml:space="preserve"> has been completely omitted from the </w:t>
      </w:r>
      <w:r w:rsidR="00CE41A8">
        <w:rPr>
          <w:rFonts w:ascii="Verdana" w:hAnsi="Verdana"/>
        </w:rPr>
        <w:t>Draft Framework</w:t>
      </w:r>
      <w:r w:rsidR="00AA5362" w:rsidRPr="00AA5362">
        <w:rPr>
          <w:rFonts w:ascii="Verdana" w:hAnsi="Verdana"/>
        </w:rPr>
        <w:t xml:space="preserve">.  </w:t>
      </w:r>
    </w:p>
    <w:p w14:paraId="56E73DE0" w14:textId="77777777" w:rsidR="00AA5362" w:rsidRDefault="00AA5362" w:rsidP="00AA5362">
      <w:pPr>
        <w:pStyle w:val="ListParagraph"/>
      </w:pPr>
    </w:p>
    <w:p w14:paraId="3E40A868" w14:textId="23ECB378" w:rsidR="00AA5362" w:rsidRPr="00227BE3" w:rsidRDefault="00AA5362" w:rsidP="00AA5362">
      <w:pPr>
        <w:pStyle w:val="BasicParagraph"/>
        <w:numPr>
          <w:ilvl w:val="1"/>
          <w:numId w:val="1"/>
        </w:numPr>
        <w:suppressAutoHyphens/>
        <w:ind w:left="709"/>
        <w:rPr>
          <w:rFonts w:ascii="Verdana" w:hAnsi="Verdana"/>
          <w:b/>
          <w:bCs/>
        </w:rPr>
      </w:pPr>
      <w:r w:rsidRPr="00AA5362">
        <w:rPr>
          <w:rFonts w:ascii="Verdana" w:hAnsi="Verdana"/>
        </w:rPr>
        <w:t xml:space="preserve">In particular, </w:t>
      </w:r>
      <w:r w:rsidR="00BA7719">
        <w:rPr>
          <w:rFonts w:ascii="Verdana" w:hAnsi="Verdana"/>
        </w:rPr>
        <w:t>is the NIHRC notes with some concern</w:t>
      </w:r>
      <w:r w:rsidRPr="00AA5362">
        <w:rPr>
          <w:rFonts w:ascii="Verdana" w:hAnsi="Verdana"/>
        </w:rPr>
        <w:t xml:space="preserve"> that the Draft Framework make</w:t>
      </w:r>
      <w:r w:rsidR="00BA7719">
        <w:rPr>
          <w:rFonts w:ascii="Verdana" w:hAnsi="Verdana"/>
        </w:rPr>
        <w:t>s</w:t>
      </w:r>
      <w:r w:rsidRPr="00AA5362">
        <w:rPr>
          <w:rFonts w:ascii="Verdana" w:hAnsi="Verdana"/>
        </w:rPr>
        <w:t xml:space="preserve"> no reference to the EU Racial Equality Directive</w:t>
      </w:r>
      <w:r w:rsidR="009A006A">
        <w:rPr>
          <w:rFonts w:ascii="Verdana" w:hAnsi="Verdana"/>
        </w:rPr>
        <w:t xml:space="preserve">, which is subject to dynamic alignment as </w:t>
      </w:r>
      <w:r w:rsidR="00AB11ED">
        <w:rPr>
          <w:rFonts w:ascii="Verdana" w:hAnsi="Verdana"/>
        </w:rPr>
        <w:t>outlined above</w:t>
      </w:r>
      <w:r w:rsidRPr="00AA5362">
        <w:rPr>
          <w:rFonts w:ascii="Verdana" w:hAnsi="Verdana"/>
        </w:rPr>
        <w:t>.</w:t>
      </w:r>
      <w:r>
        <w:rPr>
          <w:rStyle w:val="FootnoteReference"/>
          <w:rFonts w:ascii="Verdana" w:hAnsi="Verdana"/>
        </w:rPr>
        <w:footnoteReference w:id="47"/>
      </w:r>
      <w:r w:rsidRPr="00AA5362">
        <w:rPr>
          <w:rFonts w:ascii="Verdana" w:hAnsi="Verdana"/>
        </w:rPr>
        <w:t xml:space="preserve"> The EU Racial Equality Directive prohibits direct or indirect discrimination on the grounds of racial or ethnic origin, in the areas of employment, vocational training, social protection including social security and healthcare, social advantages such as financial assistance, education, and access to goods and services including housing. The EU is currently in the process of considering revisions to strengthen the Racial Equality Directive.</w:t>
      </w:r>
      <w:r w:rsidR="002D107A">
        <w:rPr>
          <w:rStyle w:val="FootnoteReference"/>
          <w:rFonts w:ascii="Verdana" w:hAnsi="Verdana"/>
        </w:rPr>
        <w:footnoteReference w:id="48"/>
      </w:r>
      <w:r w:rsidRPr="00AA5362">
        <w:rPr>
          <w:rFonts w:ascii="Verdana" w:hAnsi="Verdana"/>
        </w:rPr>
        <w:t xml:space="preserve"> As NI race equality law will be obliged to keep pace with any such enhancements, it </w:t>
      </w:r>
      <w:r w:rsidR="008B7FA5">
        <w:rPr>
          <w:rFonts w:ascii="Verdana" w:hAnsi="Verdana"/>
        </w:rPr>
        <w:t>would be approp</w:t>
      </w:r>
      <w:r w:rsidR="00683678">
        <w:rPr>
          <w:rFonts w:ascii="Verdana" w:hAnsi="Verdana"/>
        </w:rPr>
        <w:t xml:space="preserve">riate to </w:t>
      </w:r>
      <w:r w:rsidR="008820BD">
        <w:rPr>
          <w:rFonts w:ascii="Verdana" w:hAnsi="Verdana"/>
        </w:rPr>
        <w:t>acknowledge</w:t>
      </w:r>
      <w:r w:rsidR="00683678">
        <w:rPr>
          <w:rFonts w:ascii="Verdana" w:hAnsi="Verdana"/>
        </w:rPr>
        <w:t xml:space="preserve"> </w:t>
      </w:r>
      <w:r w:rsidRPr="00AA5362">
        <w:rPr>
          <w:rFonts w:ascii="Verdana" w:hAnsi="Verdana"/>
        </w:rPr>
        <w:t xml:space="preserve">this obligation </w:t>
      </w:r>
      <w:r w:rsidR="009A2649">
        <w:rPr>
          <w:rFonts w:ascii="Verdana" w:hAnsi="Verdana"/>
        </w:rPr>
        <w:t xml:space="preserve">explicitly </w:t>
      </w:r>
      <w:r w:rsidR="007E4B1B">
        <w:rPr>
          <w:rFonts w:ascii="Verdana" w:hAnsi="Verdana"/>
        </w:rPr>
        <w:t>and</w:t>
      </w:r>
      <w:r w:rsidRPr="00AA5362">
        <w:rPr>
          <w:rFonts w:ascii="Verdana" w:hAnsi="Verdana"/>
        </w:rPr>
        <w:t xml:space="preserve"> the </w:t>
      </w:r>
      <w:r w:rsidR="00564E19">
        <w:rPr>
          <w:rFonts w:ascii="Verdana" w:hAnsi="Verdana"/>
        </w:rPr>
        <w:t xml:space="preserve">direct </w:t>
      </w:r>
      <w:r w:rsidRPr="00AA5362">
        <w:rPr>
          <w:rFonts w:ascii="Verdana" w:hAnsi="Verdana"/>
        </w:rPr>
        <w:t xml:space="preserve">relevance of the Racial Equality Directive within the Draft Framework.   </w:t>
      </w:r>
    </w:p>
    <w:p w14:paraId="11D1DAE7" w14:textId="77777777" w:rsidR="00C0723F" w:rsidRPr="00C0723F" w:rsidRDefault="00C0723F" w:rsidP="00171F71">
      <w:pPr>
        <w:rPr>
          <w:lang w:val="en-US"/>
        </w:rPr>
      </w:pPr>
    </w:p>
    <w:p w14:paraId="3AC7942E" w14:textId="61C84EEC" w:rsidR="00C0723F" w:rsidRPr="00A73B57" w:rsidRDefault="00C0723F" w:rsidP="0073329A">
      <w:pPr>
        <w:pStyle w:val="BasicParagraph"/>
        <w:widowControl/>
        <w:numPr>
          <w:ilvl w:val="1"/>
          <w:numId w:val="1"/>
        </w:numPr>
        <w:suppressAutoHyphens/>
        <w:ind w:left="709"/>
        <w:rPr>
          <w:rFonts w:ascii="Verdana" w:hAnsi="Verdana"/>
          <w:lang w:val="en-US"/>
        </w:rPr>
      </w:pPr>
      <w:r>
        <w:rPr>
          <w:rFonts w:ascii="Verdana" w:hAnsi="Verdana"/>
          <w:b/>
          <w:bCs/>
          <w:lang w:val="en-US"/>
        </w:rPr>
        <w:t xml:space="preserve">The NIHRC recommends that the Executive Office </w:t>
      </w:r>
      <w:r w:rsidR="00ED12FE">
        <w:rPr>
          <w:rFonts w:ascii="Verdana" w:hAnsi="Verdana"/>
          <w:b/>
          <w:bCs/>
          <w:lang w:val="en-US"/>
        </w:rPr>
        <w:t>ensures that</w:t>
      </w:r>
      <w:r w:rsidR="00CD0229">
        <w:rPr>
          <w:rFonts w:ascii="Verdana" w:hAnsi="Verdana"/>
          <w:b/>
          <w:bCs/>
          <w:lang w:val="en-US"/>
        </w:rPr>
        <w:t xml:space="preserve"> the Draft Framework for Race Relations </w:t>
      </w:r>
      <w:proofErr w:type="gramStart"/>
      <w:r w:rsidR="00CD0229">
        <w:rPr>
          <w:rFonts w:ascii="Verdana" w:hAnsi="Verdana"/>
          <w:b/>
          <w:bCs/>
          <w:lang w:val="en-US"/>
        </w:rPr>
        <w:t>is accompanied</w:t>
      </w:r>
      <w:proofErr w:type="gramEnd"/>
      <w:r w:rsidR="00CD0229">
        <w:rPr>
          <w:rFonts w:ascii="Verdana" w:hAnsi="Verdana"/>
          <w:b/>
          <w:bCs/>
          <w:lang w:val="en-US"/>
        </w:rPr>
        <w:t xml:space="preserve"> by</w:t>
      </w:r>
      <w:r w:rsidR="00ED12FE">
        <w:rPr>
          <w:rFonts w:ascii="Verdana" w:hAnsi="Verdana"/>
          <w:b/>
          <w:bCs/>
          <w:lang w:val="en-US"/>
        </w:rPr>
        <w:t xml:space="preserve"> a full Human Rights Impact Assessment</w:t>
      </w:r>
      <w:r w:rsidR="00CD0229">
        <w:rPr>
          <w:rFonts w:ascii="Verdana" w:hAnsi="Verdana"/>
          <w:b/>
          <w:bCs/>
          <w:lang w:val="en-US"/>
        </w:rPr>
        <w:t xml:space="preserve"> </w:t>
      </w:r>
      <w:r w:rsidR="005700D4">
        <w:rPr>
          <w:rFonts w:ascii="Verdana" w:hAnsi="Verdana"/>
          <w:b/>
          <w:bCs/>
          <w:lang w:val="en-US"/>
        </w:rPr>
        <w:t>outlining</w:t>
      </w:r>
      <w:r w:rsidR="00CD0229">
        <w:rPr>
          <w:rFonts w:ascii="Verdana" w:hAnsi="Verdana"/>
          <w:b/>
          <w:bCs/>
          <w:lang w:val="en-US"/>
        </w:rPr>
        <w:t xml:space="preserve"> </w:t>
      </w:r>
      <w:r w:rsidR="00FF4D38">
        <w:rPr>
          <w:rFonts w:ascii="Verdana" w:hAnsi="Verdana"/>
          <w:b/>
          <w:bCs/>
          <w:lang w:val="en-US"/>
        </w:rPr>
        <w:t>all relevant human rights standards</w:t>
      </w:r>
      <w:r w:rsidR="00340FD0">
        <w:rPr>
          <w:rFonts w:ascii="Verdana" w:hAnsi="Verdana"/>
          <w:b/>
          <w:bCs/>
          <w:lang w:val="en-US"/>
        </w:rPr>
        <w:t xml:space="preserve">. This should include </w:t>
      </w:r>
      <w:r w:rsidR="004B223C">
        <w:rPr>
          <w:rFonts w:ascii="Verdana" w:hAnsi="Verdana"/>
          <w:b/>
          <w:bCs/>
          <w:lang w:val="en-US"/>
        </w:rPr>
        <w:t>details</w:t>
      </w:r>
      <w:r w:rsidR="009261B9">
        <w:rPr>
          <w:rFonts w:ascii="Verdana" w:hAnsi="Verdana"/>
          <w:b/>
          <w:bCs/>
          <w:lang w:val="en-US"/>
        </w:rPr>
        <w:t xml:space="preserve"> of</w:t>
      </w:r>
      <w:r w:rsidR="00722DDE">
        <w:rPr>
          <w:rFonts w:ascii="Verdana" w:hAnsi="Verdana"/>
          <w:b/>
          <w:bCs/>
          <w:lang w:val="en-US"/>
        </w:rPr>
        <w:t xml:space="preserve"> </w:t>
      </w:r>
      <w:r>
        <w:rPr>
          <w:rFonts w:ascii="Verdana" w:hAnsi="Verdana"/>
          <w:b/>
          <w:bCs/>
          <w:lang w:val="en-US"/>
        </w:rPr>
        <w:t xml:space="preserve">how Windsor Framework Article 2 obligations have </w:t>
      </w:r>
      <w:proofErr w:type="gramStart"/>
      <w:r>
        <w:rPr>
          <w:rFonts w:ascii="Verdana" w:hAnsi="Verdana"/>
          <w:b/>
          <w:bCs/>
          <w:lang w:val="en-US"/>
        </w:rPr>
        <w:t>been considered</w:t>
      </w:r>
      <w:proofErr w:type="gramEnd"/>
      <w:r>
        <w:rPr>
          <w:rFonts w:ascii="Verdana" w:hAnsi="Verdana"/>
          <w:b/>
          <w:bCs/>
          <w:lang w:val="en-US"/>
        </w:rPr>
        <w:t xml:space="preserve"> and how they will </w:t>
      </w:r>
      <w:proofErr w:type="gramStart"/>
      <w:r>
        <w:rPr>
          <w:rFonts w:ascii="Verdana" w:hAnsi="Verdana"/>
          <w:b/>
          <w:bCs/>
          <w:lang w:val="en-US"/>
        </w:rPr>
        <w:t>be monitored</w:t>
      </w:r>
      <w:proofErr w:type="gramEnd"/>
      <w:r>
        <w:rPr>
          <w:rFonts w:ascii="Verdana" w:hAnsi="Verdana"/>
          <w:b/>
          <w:bCs/>
          <w:lang w:val="en-US"/>
        </w:rPr>
        <w:t xml:space="preserve"> and implemented under the Framework</w:t>
      </w:r>
      <w:proofErr w:type="gramStart"/>
      <w:r>
        <w:rPr>
          <w:rFonts w:ascii="Verdana" w:hAnsi="Verdana"/>
          <w:b/>
          <w:bCs/>
          <w:lang w:val="en-US"/>
        </w:rPr>
        <w:t xml:space="preserve">.  </w:t>
      </w:r>
      <w:proofErr w:type="gramEnd"/>
    </w:p>
    <w:p w14:paraId="158C6E66" w14:textId="77777777" w:rsidR="00C0723F" w:rsidRPr="00653BE6" w:rsidRDefault="00C0723F" w:rsidP="00C0723F">
      <w:pPr>
        <w:pStyle w:val="BasicParagraph"/>
        <w:suppressAutoHyphens/>
        <w:rPr>
          <w:rFonts w:ascii="Verdana" w:hAnsi="Verdana"/>
          <w:lang w:val="en-US"/>
        </w:rPr>
      </w:pPr>
    </w:p>
    <w:p w14:paraId="207544FD" w14:textId="16D78C87" w:rsidR="00C0723F" w:rsidRPr="00574A11" w:rsidRDefault="00C0723F" w:rsidP="00C0723F">
      <w:pPr>
        <w:pStyle w:val="BasicParagraph"/>
        <w:numPr>
          <w:ilvl w:val="1"/>
          <w:numId w:val="1"/>
        </w:numPr>
        <w:suppressAutoHyphens/>
        <w:ind w:left="709"/>
        <w:rPr>
          <w:rFonts w:ascii="Verdana" w:hAnsi="Verdana"/>
          <w:b/>
          <w:lang w:val="en-US"/>
        </w:rPr>
      </w:pPr>
      <w:r w:rsidRPr="00A73B57">
        <w:rPr>
          <w:rFonts w:ascii="Verdana" w:hAnsi="Verdana"/>
          <w:b/>
          <w:lang w:val="en-US"/>
        </w:rPr>
        <w:lastRenderedPageBreak/>
        <w:t xml:space="preserve">The NIHRC recommends that the Executive Office, monitors any proposed changes by the EU to the Racial Equality Directive, including relevant case law of the CJEU, in the development and implementation of the </w:t>
      </w:r>
      <w:r w:rsidRPr="00F815DE">
        <w:rPr>
          <w:rFonts w:ascii="Verdana" w:hAnsi="Verdana"/>
          <w:b/>
          <w:bCs/>
        </w:rPr>
        <w:t>Framework for Race Relations</w:t>
      </w:r>
      <w:r w:rsidRPr="00A73B57">
        <w:rPr>
          <w:rFonts w:ascii="Verdana" w:hAnsi="Verdana"/>
          <w:b/>
          <w:lang w:val="en-US"/>
        </w:rPr>
        <w:t>, and that explicit reference is made within the Framework as to how any enhancements will be incorporated into NI equality law.</w:t>
      </w:r>
      <w:r w:rsidRPr="00FF2B83">
        <w:t xml:space="preserve"> </w:t>
      </w:r>
    </w:p>
    <w:p w14:paraId="51896A35" w14:textId="77777777" w:rsidR="00AA5362" w:rsidRDefault="00AA5362" w:rsidP="00AA5362">
      <w:pPr>
        <w:pStyle w:val="ListParagraph"/>
      </w:pPr>
    </w:p>
    <w:p w14:paraId="73F881CB" w14:textId="574DAA9A" w:rsidR="00AA5362" w:rsidRDefault="00AA5362" w:rsidP="00AA5362">
      <w:pPr>
        <w:pStyle w:val="BasicParagraph"/>
        <w:numPr>
          <w:ilvl w:val="1"/>
          <w:numId w:val="1"/>
        </w:numPr>
        <w:suppressAutoHyphens/>
        <w:ind w:left="709"/>
        <w:rPr>
          <w:rFonts w:ascii="Verdana" w:hAnsi="Verdana"/>
          <w:b/>
          <w:bCs/>
        </w:rPr>
      </w:pPr>
      <w:r w:rsidRPr="00AA5362">
        <w:rPr>
          <w:rFonts w:ascii="Verdana" w:hAnsi="Verdana"/>
        </w:rPr>
        <w:t xml:space="preserve">The </w:t>
      </w:r>
      <w:r w:rsidR="005671FA">
        <w:rPr>
          <w:rFonts w:ascii="Verdana" w:hAnsi="Verdana"/>
        </w:rPr>
        <w:t>NIHRC</w:t>
      </w:r>
      <w:r w:rsidRPr="00AA5362">
        <w:rPr>
          <w:rFonts w:ascii="Verdana" w:hAnsi="Verdana"/>
        </w:rPr>
        <w:t xml:space="preserve"> welcomes the acknowledgement in the Draft Framework that </w:t>
      </w:r>
      <w:r w:rsidR="00BA7ED7">
        <w:rPr>
          <w:rFonts w:ascii="Verdana" w:hAnsi="Verdana"/>
        </w:rPr>
        <w:t>“</w:t>
      </w:r>
      <w:r w:rsidRPr="00AA5362">
        <w:rPr>
          <w:rFonts w:ascii="Verdana" w:hAnsi="Verdana"/>
        </w:rPr>
        <w:t>intersecting identities (e.g. gender, disability, migration status) shape experiences of racism</w:t>
      </w:r>
      <w:r w:rsidR="00BA7ED7">
        <w:rPr>
          <w:rFonts w:ascii="Verdana" w:hAnsi="Verdana"/>
        </w:rPr>
        <w:t>”</w:t>
      </w:r>
      <w:r w:rsidRPr="00AA5362">
        <w:rPr>
          <w:rFonts w:ascii="Verdana" w:hAnsi="Verdana"/>
        </w:rPr>
        <w:t xml:space="preserve"> and that </w:t>
      </w:r>
      <w:r w:rsidR="00BA7ED7">
        <w:rPr>
          <w:rFonts w:ascii="Verdana" w:hAnsi="Verdana"/>
        </w:rPr>
        <w:t>“</w:t>
      </w:r>
      <w:r w:rsidRPr="00AA5362">
        <w:rPr>
          <w:rFonts w:ascii="Verdana" w:hAnsi="Verdana"/>
        </w:rPr>
        <w:t>individuals may face multiple and overlapping forms of disadvantage based on factors such as gender, disability, age, religion, or migration status</w:t>
      </w:r>
      <w:r w:rsidR="00BA7ED7">
        <w:rPr>
          <w:rFonts w:ascii="Verdana" w:hAnsi="Verdana"/>
        </w:rPr>
        <w:t>”</w:t>
      </w:r>
      <w:r w:rsidRPr="00AA5362">
        <w:rPr>
          <w:rFonts w:ascii="Verdana" w:hAnsi="Verdana"/>
        </w:rPr>
        <w:t>. However, the Draft Framework falls short of acknowledging the relevant existing standards which NI Executive departments are obliged to meet in relation to intersectional discrimination.</w:t>
      </w:r>
    </w:p>
    <w:p w14:paraId="1F982DFA" w14:textId="77777777" w:rsidR="00AA5362" w:rsidRDefault="00AA5362" w:rsidP="00AA5362">
      <w:pPr>
        <w:pStyle w:val="ListParagraph"/>
      </w:pPr>
    </w:p>
    <w:p w14:paraId="39E92CA0" w14:textId="45EDD24C" w:rsidR="00AA5362" w:rsidRDefault="004E7699" w:rsidP="00AA5362">
      <w:pPr>
        <w:pStyle w:val="BasicParagraph"/>
        <w:numPr>
          <w:ilvl w:val="1"/>
          <w:numId w:val="1"/>
        </w:numPr>
        <w:suppressAutoHyphens/>
        <w:ind w:left="709"/>
        <w:rPr>
          <w:rFonts w:ascii="Verdana" w:hAnsi="Verdana"/>
          <w:b/>
          <w:bCs/>
        </w:rPr>
      </w:pPr>
      <w:r>
        <w:rPr>
          <w:rFonts w:ascii="Verdana" w:hAnsi="Verdana"/>
        </w:rPr>
        <w:t>Recitals to t</w:t>
      </w:r>
      <w:r w:rsidR="00AA5362" w:rsidRPr="00AA5362">
        <w:rPr>
          <w:rFonts w:ascii="Verdana" w:hAnsi="Verdana"/>
        </w:rPr>
        <w:t xml:space="preserve">he EU Racial Equality Directive </w:t>
      </w:r>
      <w:r>
        <w:rPr>
          <w:rFonts w:ascii="Verdana" w:hAnsi="Verdana"/>
        </w:rPr>
        <w:t xml:space="preserve">state </w:t>
      </w:r>
      <w:r w:rsidR="00AA5362" w:rsidRPr="00AA5362">
        <w:rPr>
          <w:rFonts w:ascii="Verdana" w:hAnsi="Verdana"/>
        </w:rPr>
        <w:t>that in the implementation of the Directive, Member States should aim to eliminate inequalities and in particular notes that women are often the victims of multiple discrimination.</w:t>
      </w:r>
      <w:r w:rsidR="00AA5362">
        <w:rPr>
          <w:rStyle w:val="FootnoteReference"/>
          <w:rFonts w:ascii="Verdana" w:hAnsi="Verdana"/>
        </w:rPr>
        <w:footnoteReference w:id="49"/>
      </w:r>
      <w:r w:rsidR="00AA5362" w:rsidRPr="00AA5362">
        <w:rPr>
          <w:rFonts w:ascii="Verdana" w:hAnsi="Verdana"/>
        </w:rPr>
        <w:t xml:space="preserve"> The CJEU has stopped short of recognising intersectional discrimination, in and of itself, as a protected category, however, in the case of CHEZ, the court demonstrated the intersectional potential of the EU Race Equality Directive, where it found discrimination on the basis of ethnic origin, socio-economic disadvantage, and location.</w:t>
      </w:r>
      <w:r w:rsidR="00AA5362">
        <w:rPr>
          <w:rStyle w:val="FootnoteReference"/>
          <w:rFonts w:ascii="Verdana" w:hAnsi="Verdana"/>
        </w:rPr>
        <w:footnoteReference w:id="50"/>
      </w:r>
    </w:p>
    <w:p w14:paraId="4161CE04" w14:textId="77777777" w:rsidR="00AA5362" w:rsidRDefault="00AA5362" w:rsidP="00AA5362">
      <w:pPr>
        <w:pStyle w:val="ListParagraph"/>
      </w:pPr>
    </w:p>
    <w:p w14:paraId="6B6C6997" w14:textId="3FE3BD12" w:rsidR="00A73B57" w:rsidRPr="00D432AC" w:rsidRDefault="006F0AD5" w:rsidP="00AA5362">
      <w:pPr>
        <w:pStyle w:val="BasicParagraph"/>
        <w:numPr>
          <w:ilvl w:val="1"/>
          <w:numId w:val="1"/>
        </w:numPr>
        <w:suppressAutoHyphens/>
        <w:ind w:left="709"/>
        <w:rPr>
          <w:rFonts w:ascii="Verdana" w:hAnsi="Verdana"/>
          <w:b/>
          <w:bCs/>
        </w:rPr>
      </w:pPr>
      <w:r>
        <w:rPr>
          <w:rFonts w:ascii="Verdana" w:hAnsi="Verdana"/>
        </w:rPr>
        <w:t>More r</w:t>
      </w:r>
      <w:r w:rsidR="00012236">
        <w:rPr>
          <w:rFonts w:ascii="Verdana" w:hAnsi="Verdana"/>
        </w:rPr>
        <w:t>ecent</w:t>
      </w:r>
      <w:r>
        <w:rPr>
          <w:rFonts w:ascii="Verdana" w:hAnsi="Verdana"/>
        </w:rPr>
        <w:t>ly,</w:t>
      </w:r>
      <w:r w:rsidR="00012236">
        <w:rPr>
          <w:rFonts w:ascii="Verdana" w:hAnsi="Verdana"/>
        </w:rPr>
        <w:t xml:space="preserve"> </w:t>
      </w:r>
      <w:r w:rsidR="00AA5362" w:rsidRPr="00AA5362">
        <w:rPr>
          <w:rFonts w:ascii="Verdana" w:hAnsi="Verdana"/>
        </w:rPr>
        <w:t xml:space="preserve">the </w:t>
      </w:r>
      <w:r w:rsidR="00905310">
        <w:rPr>
          <w:rFonts w:ascii="Verdana" w:hAnsi="Verdana"/>
        </w:rPr>
        <w:t xml:space="preserve">EU </w:t>
      </w:r>
      <w:r w:rsidR="00AA5362" w:rsidRPr="00AA5362">
        <w:rPr>
          <w:rFonts w:ascii="Verdana" w:hAnsi="Verdana"/>
        </w:rPr>
        <w:t xml:space="preserve">Pay Transparency Directive </w:t>
      </w:r>
      <w:r w:rsidR="00624456">
        <w:rPr>
          <w:rFonts w:ascii="Verdana" w:hAnsi="Verdana"/>
        </w:rPr>
        <w:t>has</w:t>
      </w:r>
      <w:r w:rsidR="00AA5362" w:rsidRPr="00AA5362">
        <w:rPr>
          <w:rFonts w:ascii="Verdana" w:hAnsi="Verdana"/>
        </w:rPr>
        <w:t xml:space="preserve"> update</w:t>
      </w:r>
      <w:r w:rsidR="008B72FC">
        <w:rPr>
          <w:rFonts w:ascii="Verdana" w:hAnsi="Verdana"/>
        </w:rPr>
        <w:t>d</w:t>
      </w:r>
      <w:r w:rsidR="00AA5362" w:rsidRPr="00AA5362">
        <w:rPr>
          <w:rFonts w:ascii="Verdana" w:hAnsi="Verdana"/>
        </w:rPr>
        <w:t xml:space="preserve"> the definition of discrimination to include ‘intersectional discrimination’ which it defines as “discrimination based on a combination of sex and any other ground or grounds of discrimination protected under Directive 2000/43/EC [EU Racial Equality Directive] or 2000/78/EC [EU Framework Directive]”.</w:t>
      </w:r>
      <w:r w:rsidR="00AA5362">
        <w:rPr>
          <w:rStyle w:val="FootnoteReference"/>
          <w:rFonts w:ascii="Verdana" w:hAnsi="Verdana"/>
        </w:rPr>
        <w:footnoteReference w:id="51"/>
      </w:r>
      <w:r w:rsidR="00AA5362" w:rsidRPr="00AA5362">
        <w:rPr>
          <w:rFonts w:ascii="Verdana" w:hAnsi="Verdana"/>
        </w:rPr>
        <w:t xml:space="preserve"> </w:t>
      </w:r>
      <w:r w:rsidR="008B72FC">
        <w:rPr>
          <w:rFonts w:ascii="Verdana" w:hAnsi="Verdana"/>
        </w:rPr>
        <w:t xml:space="preserve">This reflects growing acknowledgement of the importance of addressing discrimination experience on an intersectional basis, including where race and ethnicity intersect with sex in employment and pay inequality. </w:t>
      </w:r>
      <w:r w:rsidR="00AA5362" w:rsidRPr="00AA5362">
        <w:rPr>
          <w:rFonts w:ascii="Verdana" w:hAnsi="Verdana"/>
        </w:rPr>
        <w:t xml:space="preserve">The NIHRC and the Equality Commission for NI consider that </w:t>
      </w:r>
      <w:r w:rsidR="003F6036">
        <w:rPr>
          <w:rFonts w:ascii="Verdana" w:hAnsi="Verdana"/>
        </w:rPr>
        <w:t>the Pay Transparency</w:t>
      </w:r>
      <w:r w:rsidR="00AA5362" w:rsidRPr="00AA5362">
        <w:rPr>
          <w:rFonts w:ascii="Verdana" w:hAnsi="Verdana"/>
        </w:rPr>
        <w:t xml:space="preserve"> Directive amends and replaces provisions in Directives listed </w:t>
      </w:r>
      <w:r w:rsidR="00AA5362" w:rsidRPr="00AA5362">
        <w:rPr>
          <w:rFonts w:ascii="Verdana" w:hAnsi="Verdana"/>
        </w:rPr>
        <w:lastRenderedPageBreak/>
        <w:t>in Windsor Framework Annex 1, therefore triggering the ‘keeping pace’ obligation requiring dynamic alignment with evolving EU equality standards to ensure effective protection against discrimination.</w:t>
      </w:r>
      <w:r w:rsidR="00AA5362">
        <w:rPr>
          <w:rStyle w:val="FootnoteReference"/>
          <w:rFonts w:ascii="Verdana" w:hAnsi="Verdana"/>
        </w:rPr>
        <w:footnoteReference w:id="52"/>
      </w:r>
    </w:p>
    <w:p w14:paraId="2390D660" w14:textId="77777777" w:rsidR="00E55BD6" w:rsidRPr="00A73B57" w:rsidRDefault="00E55BD6" w:rsidP="00D432AC">
      <w:pPr>
        <w:pStyle w:val="BasicParagraph"/>
        <w:suppressAutoHyphens/>
        <w:rPr>
          <w:rFonts w:ascii="Verdana" w:hAnsi="Verdana"/>
          <w:b/>
          <w:lang w:val="en-US"/>
        </w:rPr>
      </w:pPr>
    </w:p>
    <w:p w14:paraId="4E21E3BF" w14:textId="24FBDC91" w:rsidR="00E55BD6" w:rsidRPr="00D126A4" w:rsidRDefault="00E55BD6" w:rsidP="00E55BD6">
      <w:pPr>
        <w:pStyle w:val="BasicParagraph"/>
        <w:numPr>
          <w:ilvl w:val="1"/>
          <w:numId w:val="1"/>
        </w:numPr>
        <w:suppressAutoHyphens/>
        <w:ind w:left="709"/>
        <w:rPr>
          <w:rFonts w:ascii="Verdana" w:hAnsi="Verdana"/>
          <w:b/>
          <w:lang w:val="en-US"/>
        </w:rPr>
      </w:pPr>
      <w:r w:rsidRPr="00FF2B83">
        <w:rPr>
          <w:rFonts w:ascii="Verdana" w:hAnsi="Verdana"/>
          <w:b/>
          <w:bCs/>
          <w:lang w:val="en-US"/>
        </w:rPr>
        <w:t xml:space="preserve">The </w:t>
      </w:r>
      <w:r w:rsidR="00E446F3">
        <w:rPr>
          <w:rFonts w:ascii="Verdana" w:hAnsi="Verdana"/>
          <w:b/>
          <w:bCs/>
          <w:lang w:val="en-US"/>
        </w:rPr>
        <w:t>NIHRC</w:t>
      </w:r>
      <w:r w:rsidRPr="00FF2B83">
        <w:rPr>
          <w:rFonts w:ascii="Verdana" w:hAnsi="Verdana"/>
          <w:b/>
          <w:bCs/>
          <w:lang w:val="en-US"/>
        </w:rPr>
        <w:t xml:space="preserve"> advises the Executive Office and the Department of Communities that, in accordance with the </w:t>
      </w:r>
      <w:r w:rsidR="003F6036">
        <w:rPr>
          <w:rFonts w:ascii="Verdana" w:hAnsi="Verdana"/>
          <w:b/>
          <w:bCs/>
          <w:lang w:val="en-US"/>
        </w:rPr>
        <w:t>dynamic alignment</w:t>
      </w:r>
      <w:r w:rsidRPr="00FF2B83">
        <w:rPr>
          <w:rFonts w:ascii="Verdana" w:hAnsi="Verdana"/>
          <w:b/>
          <w:bCs/>
          <w:lang w:val="en-US"/>
        </w:rPr>
        <w:t xml:space="preserve"> obligation relating to Windsor Framework Article</w:t>
      </w:r>
      <w:r w:rsidR="007443C8">
        <w:rPr>
          <w:rFonts w:ascii="Verdana" w:hAnsi="Verdana"/>
          <w:b/>
          <w:bCs/>
          <w:lang w:val="en-US"/>
        </w:rPr>
        <w:t>s</w:t>
      </w:r>
      <w:r w:rsidRPr="00FF2B83">
        <w:rPr>
          <w:rFonts w:ascii="Verdana" w:hAnsi="Verdana"/>
          <w:b/>
          <w:bCs/>
          <w:lang w:val="en-US"/>
        </w:rPr>
        <w:t xml:space="preserve"> 2</w:t>
      </w:r>
      <w:r w:rsidR="007443C8">
        <w:rPr>
          <w:rFonts w:ascii="Verdana" w:hAnsi="Verdana"/>
          <w:b/>
          <w:bCs/>
          <w:lang w:val="en-US"/>
        </w:rPr>
        <w:t xml:space="preserve"> and 13</w:t>
      </w:r>
      <w:r w:rsidRPr="00FF2B83">
        <w:rPr>
          <w:rFonts w:ascii="Verdana" w:hAnsi="Verdana"/>
          <w:b/>
          <w:bCs/>
          <w:lang w:val="en-US"/>
        </w:rPr>
        <w:t>, the definition of discrimination in relevant NI equality law should be amended to include “intersectional discrimination” aligned to the relevant provisions of the EU Pay Transparency Directiv</w:t>
      </w:r>
      <w:r>
        <w:rPr>
          <w:rFonts w:ascii="Verdana" w:hAnsi="Verdana"/>
          <w:b/>
          <w:bCs/>
          <w:lang w:val="en-US"/>
        </w:rPr>
        <w:t>e</w:t>
      </w:r>
      <w:r w:rsidRPr="00FF2B83">
        <w:rPr>
          <w:rFonts w:ascii="Verdana" w:hAnsi="Verdana"/>
          <w:b/>
          <w:bCs/>
          <w:lang w:val="en-US"/>
        </w:rPr>
        <w:t>.</w:t>
      </w:r>
    </w:p>
    <w:p w14:paraId="2AF7A8B8" w14:textId="77777777" w:rsidR="00D126A4" w:rsidRDefault="00D126A4" w:rsidP="00D126A4">
      <w:pPr>
        <w:pStyle w:val="ListParagraph"/>
        <w:rPr>
          <w:b/>
          <w:lang w:val="en-US"/>
        </w:rPr>
      </w:pPr>
    </w:p>
    <w:p w14:paraId="1DEBD977" w14:textId="1939DD72" w:rsidR="00D622D7" w:rsidRDefault="001E7418" w:rsidP="003060FD">
      <w:pPr>
        <w:pStyle w:val="Heading1"/>
        <w:numPr>
          <w:ilvl w:val="0"/>
          <w:numId w:val="3"/>
        </w:numPr>
      </w:pPr>
      <w:bookmarkStart w:id="6" w:name="_Toc230705735"/>
      <w:r>
        <w:t xml:space="preserve">Detailed </w:t>
      </w:r>
      <w:r w:rsidR="00D17453">
        <w:t xml:space="preserve">Commentary on the Four </w:t>
      </w:r>
      <w:r>
        <w:t>Outcomes</w:t>
      </w:r>
      <w:bookmarkEnd w:id="6"/>
      <w:r>
        <w:t xml:space="preserve"> </w:t>
      </w:r>
    </w:p>
    <w:p w14:paraId="391B8117" w14:textId="77777777" w:rsidR="00B50D6A" w:rsidRPr="00B50D6A" w:rsidRDefault="00B50D6A" w:rsidP="0038178A">
      <w:pPr>
        <w:pStyle w:val="ListParagraph"/>
        <w:widowControl w:val="0"/>
        <w:numPr>
          <w:ilvl w:val="0"/>
          <w:numId w:val="18"/>
        </w:numPr>
        <w:suppressAutoHyphens/>
        <w:autoSpaceDE w:val="0"/>
        <w:autoSpaceDN w:val="0"/>
        <w:adjustRightInd w:val="0"/>
        <w:contextualSpacing w:val="0"/>
        <w:textAlignment w:val="center"/>
        <w:rPr>
          <w:rFonts w:cs="MinionPro-Regular"/>
          <w:vanish/>
          <w:color w:val="000000"/>
        </w:rPr>
      </w:pPr>
    </w:p>
    <w:p w14:paraId="3C756376" w14:textId="77777777" w:rsidR="00574A11" w:rsidRPr="00574A11" w:rsidRDefault="00574A11" w:rsidP="00574A11">
      <w:pPr>
        <w:pStyle w:val="ListParagraph"/>
        <w:widowControl w:val="0"/>
        <w:numPr>
          <w:ilvl w:val="0"/>
          <w:numId w:val="18"/>
        </w:numPr>
        <w:suppressAutoHyphens/>
        <w:autoSpaceDE w:val="0"/>
        <w:autoSpaceDN w:val="0"/>
        <w:adjustRightInd w:val="0"/>
        <w:contextualSpacing w:val="0"/>
        <w:textAlignment w:val="center"/>
        <w:rPr>
          <w:rFonts w:cs="MinionPro-Regular"/>
          <w:vanish/>
          <w:color w:val="000000"/>
        </w:rPr>
      </w:pPr>
    </w:p>
    <w:p w14:paraId="79BA3691" w14:textId="77777777" w:rsidR="00574A11" w:rsidRPr="00574A11" w:rsidRDefault="00574A11" w:rsidP="00574A11">
      <w:pPr>
        <w:pStyle w:val="ListParagraph"/>
        <w:widowControl w:val="0"/>
        <w:numPr>
          <w:ilvl w:val="0"/>
          <w:numId w:val="18"/>
        </w:numPr>
        <w:suppressAutoHyphens/>
        <w:autoSpaceDE w:val="0"/>
        <w:autoSpaceDN w:val="0"/>
        <w:adjustRightInd w:val="0"/>
        <w:contextualSpacing w:val="0"/>
        <w:textAlignment w:val="center"/>
        <w:rPr>
          <w:rFonts w:cs="MinionPro-Regular"/>
          <w:vanish/>
          <w:color w:val="000000"/>
        </w:rPr>
      </w:pPr>
    </w:p>
    <w:p w14:paraId="4A0F2C89" w14:textId="023F8765" w:rsidR="00654BF9" w:rsidRDefault="000F6872" w:rsidP="0038178A">
      <w:pPr>
        <w:pStyle w:val="BasicParagraph"/>
        <w:numPr>
          <w:ilvl w:val="1"/>
          <w:numId w:val="18"/>
        </w:numPr>
        <w:suppressAutoHyphens/>
        <w:ind w:left="709"/>
        <w:rPr>
          <w:rFonts w:ascii="Verdana" w:hAnsi="Verdana"/>
        </w:rPr>
      </w:pPr>
      <w:r>
        <w:rPr>
          <w:rFonts w:ascii="Verdana" w:hAnsi="Verdana"/>
        </w:rPr>
        <w:t>In the view of the NIHRC,</w:t>
      </w:r>
      <w:r w:rsidR="006E1B3D">
        <w:rPr>
          <w:rFonts w:ascii="Verdana" w:hAnsi="Verdana"/>
        </w:rPr>
        <w:t xml:space="preserve"> the</w:t>
      </w:r>
      <w:r w:rsidR="00382379">
        <w:rPr>
          <w:rFonts w:ascii="Verdana" w:hAnsi="Verdana"/>
        </w:rPr>
        <w:t xml:space="preserve"> draft </w:t>
      </w:r>
      <w:r w:rsidR="006E1B3D">
        <w:rPr>
          <w:rFonts w:ascii="Verdana" w:hAnsi="Verdana"/>
        </w:rPr>
        <w:t>Framework</w:t>
      </w:r>
      <w:r w:rsidR="00F00E73">
        <w:rPr>
          <w:rFonts w:ascii="Verdana" w:hAnsi="Verdana"/>
        </w:rPr>
        <w:t xml:space="preserve">’s lack of </w:t>
      </w:r>
      <w:r w:rsidR="006E1B3D">
        <w:rPr>
          <w:rFonts w:ascii="Verdana" w:hAnsi="Verdana"/>
        </w:rPr>
        <w:t>align</w:t>
      </w:r>
      <w:r w:rsidR="00F00E73">
        <w:rPr>
          <w:rFonts w:ascii="Verdana" w:hAnsi="Verdana"/>
        </w:rPr>
        <w:t>ment</w:t>
      </w:r>
      <w:r w:rsidR="006E1B3D">
        <w:rPr>
          <w:rFonts w:ascii="Verdana" w:hAnsi="Verdana"/>
        </w:rPr>
        <w:t xml:space="preserve"> with </w:t>
      </w:r>
      <w:r w:rsidR="002839DC">
        <w:rPr>
          <w:rFonts w:ascii="Verdana" w:hAnsi="Verdana"/>
        </w:rPr>
        <w:t xml:space="preserve">the </w:t>
      </w:r>
      <w:r w:rsidR="00DD6108">
        <w:rPr>
          <w:rFonts w:ascii="Verdana" w:hAnsi="Verdana"/>
        </w:rPr>
        <w:t xml:space="preserve">UN </w:t>
      </w:r>
      <w:r w:rsidR="006E1B3D" w:rsidRPr="006E1B3D">
        <w:rPr>
          <w:rFonts w:ascii="Verdana" w:hAnsi="Verdana"/>
        </w:rPr>
        <w:t xml:space="preserve">OHCHR guidance on </w:t>
      </w:r>
      <w:r w:rsidR="00E446F3">
        <w:rPr>
          <w:rFonts w:ascii="Verdana" w:hAnsi="Verdana"/>
        </w:rPr>
        <w:t>n</w:t>
      </w:r>
      <w:r w:rsidR="001467E2">
        <w:rPr>
          <w:rFonts w:ascii="Verdana" w:hAnsi="Verdana"/>
        </w:rPr>
        <w:t xml:space="preserve">ational </w:t>
      </w:r>
      <w:r w:rsidR="00E446F3">
        <w:rPr>
          <w:rFonts w:ascii="Verdana" w:hAnsi="Verdana"/>
        </w:rPr>
        <w:t>a</w:t>
      </w:r>
      <w:r w:rsidR="001467E2">
        <w:rPr>
          <w:rFonts w:ascii="Verdana" w:hAnsi="Verdana"/>
        </w:rPr>
        <w:t xml:space="preserve">ction </w:t>
      </w:r>
      <w:r w:rsidR="00E446F3">
        <w:rPr>
          <w:rFonts w:ascii="Verdana" w:hAnsi="Verdana"/>
        </w:rPr>
        <w:t>p</w:t>
      </w:r>
      <w:r w:rsidR="001467E2">
        <w:rPr>
          <w:rFonts w:ascii="Verdana" w:hAnsi="Verdana"/>
        </w:rPr>
        <w:t>lans</w:t>
      </w:r>
      <w:r w:rsidR="006D4459">
        <w:rPr>
          <w:rFonts w:ascii="Verdana" w:hAnsi="Verdana"/>
        </w:rPr>
        <w:t xml:space="preserve">, </w:t>
      </w:r>
      <w:r w:rsidR="006D4459" w:rsidRPr="003910DE">
        <w:rPr>
          <w:rFonts w:ascii="Verdana" w:hAnsi="Verdana"/>
        </w:rPr>
        <w:t>particularly in relation to</w:t>
      </w:r>
      <w:r w:rsidR="000D1CBE">
        <w:rPr>
          <w:rFonts w:ascii="Verdana" w:hAnsi="Verdana"/>
        </w:rPr>
        <w:t xml:space="preserve"> specific actions</w:t>
      </w:r>
      <w:r w:rsidR="009277A3">
        <w:rPr>
          <w:rFonts w:ascii="Verdana" w:hAnsi="Verdana"/>
        </w:rPr>
        <w:t xml:space="preserve"> or </w:t>
      </w:r>
      <w:r w:rsidR="000D1CBE">
        <w:rPr>
          <w:rFonts w:ascii="Verdana" w:hAnsi="Verdana"/>
        </w:rPr>
        <w:t xml:space="preserve">activities, </w:t>
      </w:r>
      <w:r w:rsidR="0097596C">
        <w:rPr>
          <w:rFonts w:ascii="Verdana" w:hAnsi="Verdana"/>
        </w:rPr>
        <w:t>targeted goals</w:t>
      </w:r>
      <w:r w:rsidR="000D1CBE">
        <w:rPr>
          <w:rFonts w:ascii="Verdana" w:hAnsi="Verdana"/>
        </w:rPr>
        <w:t>, performance indicators</w:t>
      </w:r>
      <w:r w:rsidR="0097596C">
        <w:rPr>
          <w:rFonts w:ascii="Verdana" w:hAnsi="Verdana"/>
        </w:rPr>
        <w:t>,</w:t>
      </w:r>
      <w:r w:rsidR="006D4459" w:rsidRPr="003910DE">
        <w:rPr>
          <w:rFonts w:ascii="Verdana" w:hAnsi="Verdana"/>
        </w:rPr>
        <w:t xml:space="preserve"> timeframes, </w:t>
      </w:r>
      <w:r w:rsidR="008262DE">
        <w:rPr>
          <w:rFonts w:ascii="Verdana" w:hAnsi="Verdana"/>
        </w:rPr>
        <w:t xml:space="preserve">assigned </w:t>
      </w:r>
      <w:r w:rsidR="00B60D3B">
        <w:rPr>
          <w:rFonts w:ascii="Verdana" w:hAnsi="Verdana"/>
        </w:rPr>
        <w:t>responsibilities</w:t>
      </w:r>
      <w:r w:rsidR="008262DE">
        <w:rPr>
          <w:rFonts w:ascii="Verdana" w:hAnsi="Verdana"/>
        </w:rPr>
        <w:t>,</w:t>
      </w:r>
      <w:r w:rsidR="00B60D3B">
        <w:rPr>
          <w:rFonts w:ascii="Verdana" w:hAnsi="Verdana"/>
        </w:rPr>
        <w:t xml:space="preserve"> </w:t>
      </w:r>
      <w:r w:rsidR="006D4459" w:rsidRPr="003910DE">
        <w:rPr>
          <w:rFonts w:ascii="Verdana" w:hAnsi="Verdana"/>
        </w:rPr>
        <w:t>budgets</w:t>
      </w:r>
      <w:r w:rsidR="008262DE">
        <w:rPr>
          <w:rFonts w:ascii="Verdana" w:hAnsi="Verdana"/>
        </w:rPr>
        <w:t xml:space="preserve"> and</w:t>
      </w:r>
      <w:r w:rsidR="006D4459" w:rsidRPr="003910DE">
        <w:rPr>
          <w:rFonts w:ascii="Verdana" w:hAnsi="Verdana"/>
        </w:rPr>
        <w:t xml:space="preserve"> monitoring</w:t>
      </w:r>
      <w:r w:rsidR="008262DE">
        <w:rPr>
          <w:rFonts w:ascii="Verdana" w:hAnsi="Verdana"/>
        </w:rPr>
        <w:t xml:space="preserve"> represents</w:t>
      </w:r>
      <w:r w:rsidR="00DD604E">
        <w:rPr>
          <w:rFonts w:ascii="Verdana" w:hAnsi="Verdana"/>
        </w:rPr>
        <w:t xml:space="preserve"> a </w:t>
      </w:r>
      <w:r w:rsidR="00654BF9">
        <w:rPr>
          <w:rFonts w:ascii="Verdana" w:hAnsi="Verdana"/>
        </w:rPr>
        <w:t>significant</w:t>
      </w:r>
      <w:r>
        <w:rPr>
          <w:rFonts w:ascii="Verdana" w:hAnsi="Verdana"/>
        </w:rPr>
        <w:t xml:space="preserve"> oversight.</w:t>
      </w:r>
    </w:p>
    <w:p w14:paraId="06E9BF17" w14:textId="77777777" w:rsidR="004B1505" w:rsidRDefault="004B1505" w:rsidP="004B1505">
      <w:pPr>
        <w:pStyle w:val="BasicParagraph"/>
        <w:suppressAutoHyphens/>
        <w:ind w:left="-11"/>
        <w:rPr>
          <w:rFonts w:ascii="Verdana" w:hAnsi="Verdana"/>
        </w:rPr>
      </w:pPr>
    </w:p>
    <w:p w14:paraId="38F410A6" w14:textId="0C4F30F4" w:rsidR="0006235D" w:rsidRDefault="004B1505" w:rsidP="0038178A">
      <w:pPr>
        <w:pStyle w:val="BasicParagraph"/>
        <w:numPr>
          <w:ilvl w:val="1"/>
          <w:numId w:val="18"/>
        </w:numPr>
        <w:suppressAutoHyphens/>
        <w:ind w:left="709"/>
        <w:rPr>
          <w:rFonts w:ascii="Verdana" w:hAnsi="Verdana"/>
        </w:rPr>
      </w:pPr>
      <w:r w:rsidRPr="004B1505">
        <w:rPr>
          <w:rFonts w:ascii="Verdana" w:hAnsi="Verdana"/>
        </w:rPr>
        <w:t>Th</w:t>
      </w:r>
      <w:r>
        <w:rPr>
          <w:rFonts w:ascii="Verdana" w:hAnsi="Verdana"/>
        </w:rPr>
        <w:t>e</w:t>
      </w:r>
      <w:r w:rsidR="00541698">
        <w:rPr>
          <w:rFonts w:ascii="Verdana" w:hAnsi="Verdana"/>
        </w:rPr>
        <w:t xml:space="preserve"> </w:t>
      </w:r>
      <w:r w:rsidR="0011676A">
        <w:rPr>
          <w:rFonts w:ascii="Verdana" w:hAnsi="Verdana"/>
        </w:rPr>
        <w:t>D</w:t>
      </w:r>
      <w:r w:rsidR="00541698">
        <w:rPr>
          <w:rFonts w:ascii="Verdana" w:hAnsi="Verdana"/>
        </w:rPr>
        <w:t>raft</w:t>
      </w:r>
      <w:r w:rsidRPr="004B1505">
        <w:rPr>
          <w:rFonts w:ascii="Verdana" w:hAnsi="Verdana"/>
        </w:rPr>
        <w:t xml:space="preserve"> </w:t>
      </w:r>
      <w:r w:rsidR="00525376">
        <w:rPr>
          <w:rFonts w:ascii="Verdana" w:hAnsi="Verdana"/>
        </w:rPr>
        <w:t>F</w:t>
      </w:r>
      <w:r w:rsidRPr="004B1505">
        <w:rPr>
          <w:rFonts w:ascii="Verdana" w:hAnsi="Verdana"/>
        </w:rPr>
        <w:t>ramework</w:t>
      </w:r>
      <w:r w:rsidR="00541698">
        <w:rPr>
          <w:rFonts w:ascii="Verdana" w:hAnsi="Verdana"/>
        </w:rPr>
        <w:t xml:space="preserve"> clearly states that it</w:t>
      </w:r>
      <w:r w:rsidR="008F5F5A">
        <w:rPr>
          <w:rFonts w:ascii="Verdana" w:hAnsi="Verdana"/>
        </w:rPr>
        <w:t xml:space="preserve"> </w:t>
      </w:r>
      <w:r w:rsidRPr="004B1505">
        <w:rPr>
          <w:rFonts w:ascii="Verdana" w:hAnsi="Verdana"/>
        </w:rPr>
        <w:t xml:space="preserve">builds upon the foundation laid by the </w:t>
      </w:r>
      <w:r>
        <w:rPr>
          <w:rFonts w:ascii="Verdana" w:hAnsi="Verdana"/>
        </w:rPr>
        <w:t>Racial Equality Strategy 2015-2025</w:t>
      </w:r>
      <w:r>
        <w:rPr>
          <w:rStyle w:val="FootnoteReference"/>
          <w:rFonts w:ascii="Verdana" w:hAnsi="Verdana"/>
        </w:rPr>
        <w:footnoteReference w:id="53"/>
      </w:r>
      <w:r w:rsidR="00740E8A">
        <w:rPr>
          <w:rFonts w:ascii="Verdana" w:hAnsi="Verdana"/>
        </w:rPr>
        <w:t xml:space="preserve"> and </w:t>
      </w:r>
      <w:r w:rsidR="00E01313">
        <w:rPr>
          <w:rFonts w:ascii="Verdana" w:hAnsi="Verdana"/>
        </w:rPr>
        <w:t xml:space="preserve">seeks to carry </w:t>
      </w:r>
      <w:r w:rsidR="00105E83">
        <w:rPr>
          <w:rFonts w:ascii="Verdana" w:hAnsi="Verdana"/>
        </w:rPr>
        <w:t xml:space="preserve">its vision </w:t>
      </w:r>
      <w:r w:rsidR="00E01313">
        <w:rPr>
          <w:rFonts w:ascii="Verdana" w:hAnsi="Verdana"/>
        </w:rPr>
        <w:t>forward</w:t>
      </w:r>
      <w:r w:rsidR="00740E8A">
        <w:rPr>
          <w:rFonts w:ascii="Verdana" w:hAnsi="Verdana"/>
        </w:rPr>
        <w:t>. In</w:t>
      </w:r>
      <w:r w:rsidR="0026229E" w:rsidRPr="00C718F8">
        <w:rPr>
          <w:rFonts w:ascii="Verdana" w:hAnsi="Verdana"/>
        </w:rPr>
        <w:t xml:space="preserve"> 20</w:t>
      </w:r>
      <w:r w:rsidR="00B06543">
        <w:rPr>
          <w:rFonts w:ascii="Verdana" w:hAnsi="Verdana"/>
        </w:rPr>
        <w:t>23</w:t>
      </w:r>
      <w:r w:rsidR="0026229E" w:rsidRPr="00C718F8">
        <w:rPr>
          <w:rFonts w:ascii="Verdana" w:hAnsi="Verdana"/>
        </w:rPr>
        <w:t xml:space="preserve">, the NI Executive Office committed to an independent review of the progress of </w:t>
      </w:r>
      <w:r w:rsidR="008818EC">
        <w:rPr>
          <w:rFonts w:ascii="Verdana" w:hAnsi="Verdana"/>
        </w:rPr>
        <w:t xml:space="preserve">the </w:t>
      </w:r>
      <w:r w:rsidR="009E2C19">
        <w:rPr>
          <w:rFonts w:ascii="Verdana" w:hAnsi="Verdana"/>
        </w:rPr>
        <w:t>Strategy’s</w:t>
      </w:r>
      <w:r w:rsidR="008818EC">
        <w:rPr>
          <w:rFonts w:ascii="Verdana" w:hAnsi="Verdana"/>
        </w:rPr>
        <w:t xml:space="preserve"> </w:t>
      </w:r>
      <w:r w:rsidR="0026229E" w:rsidRPr="00C718F8">
        <w:rPr>
          <w:rFonts w:ascii="Verdana" w:hAnsi="Verdana"/>
        </w:rPr>
        <w:t>implementation</w:t>
      </w:r>
      <w:r w:rsidR="0026229E">
        <w:rPr>
          <w:rStyle w:val="FootnoteReference"/>
          <w:rFonts w:ascii="Verdana" w:hAnsi="Verdana"/>
        </w:rPr>
        <w:footnoteReference w:id="54"/>
      </w:r>
      <w:r w:rsidR="00112117">
        <w:rPr>
          <w:rFonts w:ascii="Verdana" w:hAnsi="Verdana"/>
        </w:rPr>
        <w:t xml:space="preserve">, the findings of which were </w:t>
      </w:r>
      <w:r w:rsidR="0026229E">
        <w:rPr>
          <w:rFonts w:ascii="Verdana" w:hAnsi="Verdana"/>
        </w:rPr>
        <w:t>published</w:t>
      </w:r>
      <w:r w:rsidR="0026229E" w:rsidRPr="004B1505">
        <w:rPr>
          <w:rFonts w:ascii="Verdana" w:hAnsi="Verdana"/>
        </w:rPr>
        <w:t xml:space="preserve"> </w:t>
      </w:r>
      <w:r w:rsidR="00320AE2">
        <w:rPr>
          <w:rFonts w:ascii="Verdana" w:hAnsi="Verdana"/>
        </w:rPr>
        <w:t>in 202</w:t>
      </w:r>
      <w:r w:rsidR="00B422C6">
        <w:rPr>
          <w:rFonts w:ascii="Verdana" w:hAnsi="Verdana"/>
        </w:rPr>
        <w:t>4</w:t>
      </w:r>
      <w:r w:rsidR="00112117">
        <w:rPr>
          <w:rFonts w:ascii="Verdana" w:hAnsi="Verdana"/>
        </w:rPr>
        <w:t>.</w:t>
      </w:r>
      <w:r w:rsidR="00BB5A92">
        <w:rPr>
          <w:rStyle w:val="FootnoteReference"/>
          <w:rFonts w:ascii="Verdana" w:hAnsi="Verdana"/>
        </w:rPr>
        <w:footnoteReference w:id="55"/>
      </w:r>
      <w:r w:rsidR="00112117">
        <w:rPr>
          <w:rFonts w:ascii="Verdana" w:hAnsi="Verdana"/>
        </w:rPr>
        <w:t xml:space="preserve"> The review</w:t>
      </w:r>
      <w:r w:rsidR="00122A5B" w:rsidRPr="00122A5B">
        <w:t xml:space="preserve"> </w:t>
      </w:r>
      <w:r w:rsidR="00122A5B" w:rsidRPr="00122A5B">
        <w:rPr>
          <w:rFonts w:ascii="Verdana" w:hAnsi="Verdana"/>
        </w:rPr>
        <w:t>found that the Strategy was</w:t>
      </w:r>
      <w:r w:rsidR="002D5012">
        <w:rPr>
          <w:rFonts w:ascii="Verdana" w:hAnsi="Verdana"/>
        </w:rPr>
        <w:t xml:space="preserve"> undermined</w:t>
      </w:r>
      <w:r w:rsidR="00122A5B" w:rsidRPr="00122A5B">
        <w:rPr>
          <w:rFonts w:ascii="Verdana" w:hAnsi="Verdana"/>
        </w:rPr>
        <w:t xml:space="preserve"> by the lack of an action plan, the absence of effective ethnic monitoring, and that greater focus on governance could have enhanced its impac</w:t>
      </w:r>
      <w:r w:rsidR="00010051">
        <w:rPr>
          <w:rFonts w:ascii="Verdana" w:hAnsi="Verdana"/>
        </w:rPr>
        <w:t>t</w:t>
      </w:r>
      <w:r w:rsidR="0006235D">
        <w:rPr>
          <w:rFonts w:ascii="Verdana" w:hAnsi="Verdana"/>
        </w:rPr>
        <w:t>.</w:t>
      </w:r>
      <w:r w:rsidR="0006235D">
        <w:rPr>
          <w:rStyle w:val="FootnoteReference"/>
          <w:rFonts w:ascii="Verdana" w:hAnsi="Verdana"/>
        </w:rPr>
        <w:footnoteReference w:id="56"/>
      </w:r>
      <w:r w:rsidR="0085245F">
        <w:rPr>
          <w:rFonts w:ascii="Verdana" w:hAnsi="Verdana"/>
        </w:rPr>
        <w:t xml:space="preserve"> </w:t>
      </w:r>
    </w:p>
    <w:p w14:paraId="062F7132" w14:textId="77777777" w:rsidR="0006235D" w:rsidRDefault="0006235D" w:rsidP="0006235D">
      <w:pPr>
        <w:pStyle w:val="ListParagraph"/>
      </w:pPr>
    </w:p>
    <w:p w14:paraId="262B801C" w14:textId="223346D5" w:rsidR="000B72A3" w:rsidRPr="000B72A3" w:rsidRDefault="00560CDF" w:rsidP="0038178A">
      <w:pPr>
        <w:pStyle w:val="BasicParagraph"/>
        <w:numPr>
          <w:ilvl w:val="1"/>
          <w:numId w:val="18"/>
        </w:numPr>
        <w:suppressAutoHyphens/>
        <w:ind w:left="709"/>
      </w:pPr>
      <w:r>
        <w:rPr>
          <w:rFonts w:ascii="Verdana" w:hAnsi="Verdana"/>
        </w:rPr>
        <w:t xml:space="preserve">In the view of the NIHRC, the </w:t>
      </w:r>
      <w:r w:rsidR="0011676A">
        <w:rPr>
          <w:rFonts w:ascii="Verdana" w:hAnsi="Verdana"/>
        </w:rPr>
        <w:t>D</w:t>
      </w:r>
      <w:r w:rsidR="00541698">
        <w:rPr>
          <w:rFonts w:ascii="Verdana" w:hAnsi="Verdana"/>
        </w:rPr>
        <w:t xml:space="preserve">raft </w:t>
      </w:r>
      <w:r w:rsidR="00BB5A92">
        <w:rPr>
          <w:rFonts w:ascii="Verdana" w:hAnsi="Verdana"/>
        </w:rPr>
        <w:t xml:space="preserve">Framework </w:t>
      </w:r>
      <w:r w:rsidR="00B66E31">
        <w:rPr>
          <w:rFonts w:ascii="Verdana" w:hAnsi="Verdana"/>
        </w:rPr>
        <w:t xml:space="preserve">continues to </w:t>
      </w:r>
      <w:r w:rsidR="00BB5A92">
        <w:rPr>
          <w:rFonts w:ascii="Verdana" w:hAnsi="Verdana"/>
        </w:rPr>
        <w:t>exhibit the same short</w:t>
      </w:r>
      <w:r w:rsidR="00DD01A0">
        <w:rPr>
          <w:rFonts w:ascii="Verdana" w:hAnsi="Verdana"/>
        </w:rPr>
        <w:t>comings</w:t>
      </w:r>
      <w:r w:rsidR="004C3FDE">
        <w:rPr>
          <w:rFonts w:ascii="Verdana" w:hAnsi="Verdana"/>
        </w:rPr>
        <w:t xml:space="preserve"> </w:t>
      </w:r>
      <w:r>
        <w:rPr>
          <w:rFonts w:ascii="Verdana" w:hAnsi="Verdana"/>
        </w:rPr>
        <w:t>identified in the Strategy</w:t>
      </w:r>
      <w:r w:rsidR="004C3FDE">
        <w:rPr>
          <w:rFonts w:ascii="Verdana" w:hAnsi="Verdana"/>
        </w:rPr>
        <w:t xml:space="preserve">. </w:t>
      </w:r>
      <w:r w:rsidR="00B052E5" w:rsidRPr="00B052E5">
        <w:rPr>
          <w:rFonts w:ascii="Verdana" w:hAnsi="Verdana"/>
        </w:rPr>
        <w:t>As the Strategy provided the foundation for the</w:t>
      </w:r>
      <w:r w:rsidR="00541698">
        <w:rPr>
          <w:rFonts w:ascii="Verdana" w:hAnsi="Verdana"/>
        </w:rPr>
        <w:t xml:space="preserve"> draft</w:t>
      </w:r>
      <w:r w:rsidR="00B052E5" w:rsidRPr="00B052E5">
        <w:rPr>
          <w:rFonts w:ascii="Verdana" w:hAnsi="Verdana"/>
        </w:rPr>
        <w:t xml:space="preserve"> Framework, the lessons learned from its implementation should be clearly acknowledged and</w:t>
      </w:r>
      <w:r w:rsidR="00AA74BD">
        <w:rPr>
          <w:rFonts w:ascii="Verdana" w:hAnsi="Verdana"/>
        </w:rPr>
        <w:t xml:space="preserve"> addressed </w:t>
      </w:r>
      <w:r w:rsidR="006D638E" w:rsidRPr="00B052E5">
        <w:rPr>
          <w:rFonts w:ascii="Verdana" w:hAnsi="Verdana"/>
        </w:rPr>
        <w:t>to</w:t>
      </w:r>
      <w:r w:rsidR="00B052E5" w:rsidRPr="00B052E5">
        <w:rPr>
          <w:rFonts w:ascii="Verdana" w:hAnsi="Verdana"/>
        </w:rPr>
        <w:t xml:space="preserve"> strengthen and enhance the Framework</w:t>
      </w:r>
      <w:r w:rsidR="002D48C2">
        <w:rPr>
          <w:rFonts w:ascii="Verdana" w:hAnsi="Verdana"/>
        </w:rPr>
        <w:t>.</w:t>
      </w:r>
      <w:r w:rsidR="00273FF1">
        <w:rPr>
          <w:rFonts w:ascii="Verdana" w:hAnsi="Verdana"/>
        </w:rPr>
        <w:t xml:space="preserve"> </w:t>
      </w:r>
      <w:r w:rsidR="00B875BC">
        <w:rPr>
          <w:rFonts w:ascii="Verdana" w:hAnsi="Verdana"/>
        </w:rPr>
        <w:t xml:space="preserve"> </w:t>
      </w:r>
    </w:p>
    <w:p w14:paraId="6DDE7AB3" w14:textId="77777777" w:rsidR="000B72A3" w:rsidRDefault="000B72A3" w:rsidP="000B72A3">
      <w:pPr>
        <w:pStyle w:val="ListParagraph"/>
      </w:pPr>
    </w:p>
    <w:p w14:paraId="7F4B6D21" w14:textId="24EA8A5D" w:rsidR="000B72A3" w:rsidRDefault="00B2147E" w:rsidP="0038178A">
      <w:pPr>
        <w:pStyle w:val="BasicParagraph"/>
        <w:numPr>
          <w:ilvl w:val="1"/>
          <w:numId w:val="18"/>
        </w:numPr>
        <w:suppressAutoHyphens/>
        <w:ind w:left="709"/>
      </w:pPr>
      <w:r w:rsidRPr="00E718BC">
        <w:rPr>
          <w:rFonts w:ascii="Verdana" w:hAnsi="Verdana"/>
          <w:b/>
          <w:bCs/>
        </w:rPr>
        <w:t>The NIHRC recommends</w:t>
      </w:r>
      <w:r w:rsidR="004F049C" w:rsidRPr="00E718BC">
        <w:rPr>
          <w:rFonts w:ascii="Verdana" w:hAnsi="Verdana"/>
          <w:b/>
          <w:bCs/>
        </w:rPr>
        <w:t xml:space="preserve"> that the</w:t>
      </w:r>
      <w:r w:rsidRPr="00E718BC">
        <w:rPr>
          <w:rFonts w:ascii="Verdana" w:hAnsi="Verdana"/>
          <w:b/>
          <w:bCs/>
        </w:rPr>
        <w:t xml:space="preserve"> Executive</w:t>
      </w:r>
      <w:r w:rsidR="006D638E" w:rsidRPr="00E718BC">
        <w:rPr>
          <w:rFonts w:ascii="Verdana" w:hAnsi="Verdana"/>
          <w:b/>
          <w:bCs/>
        </w:rPr>
        <w:t xml:space="preserve"> Office</w:t>
      </w:r>
      <w:r w:rsidR="000A33DF" w:rsidRPr="00E718BC">
        <w:rPr>
          <w:rFonts w:ascii="Verdana" w:hAnsi="Verdana"/>
          <w:b/>
          <w:bCs/>
        </w:rPr>
        <w:t xml:space="preserve"> gives due rega</w:t>
      </w:r>
      <w:r w:rsidR="004D5906" w:rsidRPr="00E718BC">
        <w:rPr>
          <w:rFonts w:ascii="Verdana" w:hAnsi="Verdana"/>
          <w:b/>
          <w:bCs/>
        </w:rPr>
        <w:t xml:space="preserve">rd to the findings of the independent review and its own identified </w:t>
      </w:r>
      <w:r w:rsidR="00E718BC" w:rsidRPr="00E718BC">
        <w:rPr>
          <w:rFonts w:ascii="Verdana" w:hAnsi="Verdana"/>
          <w:b/>
          <w:bCs/>
        </w:rPr>
        <w:t>responses and</w:t>
      </w:r>
      <w:r w:rsidR="004D5906" w:rsidRPr="00E718BC">
        <w:rPr>
          <w:rFonts w:ascii="Verdana" w:hAnsi="Verdana"/>
          <w:b/>
          <w:bCs/>
        </w:rPr>
        <w:t xml:space="preserve"> ensure that the shortcomings identified in the Racial Equality Strateg</w:t>
      </w:r>
      <w:r w:rsidR="00912EA7" w:rsidRPr="00E718BC">
        <w:rPr>
          <w:rFonts w:ascii="Verdana" w:hAnsi="Verdana"/>
          <w:b/>
          <w:bCs/>
        </w:rPr>
        <w:t>y are</w:t>
      </w:r>
      <w:r w:rsidR="00E718BC">
        <w:rPr>
          <w:rFonts w:ascii="Verdana" w:hAnsi="Verdana"/>
          <w:b/>
          <w:bCs/>
        </w:rPr>
        <w:t xml:space="preserve"> </w:t>
      </w:r>
      <w:r w:rsidR="00E718BC" w:rsidRPr="00E718BC">
        <w:rPr>
          <w:rFonts w:ascii="Verdana" w:hAnsi="Verdana"/>
          <w:b/>
          <w:bCs/>
        </w:rPr>
        <w:t xml:space="preserve">not carried forward into the </w:t>
      </w:r>
      <w:r w:rsidR="00541698">
        <w:rPr>
          <w:rFonts w:ascii="Verdana" w:hAnsi="Verdana"/>
          <w:b/>
          <w:bCs/>
        </w:rPr>
        <w:t>new</w:t>
      </w:r>
      <w:r w:rsidR="00E718BC" w:rsidRPr="00E718BC">
        <w:rPr>
          <w:rFonts w:ascii="Verdana" w:hAnsi="Verdana"/>
          <w:b/>
          <w:bCs/>
        </w:rPr>
        <w:t xml:space="preserve"> </w:t>
      </w:r>
      <w:r w:rsidR="005A1D2B" w:rsidRPr="00E718BC">
        <w:rPr>
          <w:rFonts w:ascii="Verdana" w:hAnsi="Verdana"/>
          <w:b/>
          <w:bCs/>
        </w:rPr>
        <w:t>Framework but</w:t>
      </w:r>
      <w:r w:rsidR="00912EA7" w:rsidRPr="00E718BC">
        <w:rPr>
          <w:rFonts w:ascii="Verdana" w:hAnsi="Verdana"/>
          <w:b/>
          <w:bCs/>
        </w:rPr>
        <w:t xml:space="preserve"> instead addressed </w:t>
      </w:r>
      <w:r w:rsidR="000B72A3" w:rsidRPr="00E718BC">
        <w:rPr>
          <w:rFonts w:ascii="Verdana" w:hAnsi="Verdana"/>
          <w:b/>
          <w:bCs/>
        </w:rPr>
        <w:t>in a way that strengthens and enhances it</w:t>
      </w:r>
      <w:r w:rsidR="000B72A3" w:rsidRPr="000B72A3">
        <w:t xml:space="preserve">. </w:t>
      </w:r>
    </w:p>
    <w:p w14:paraId="504C83E7" w14:textId="1C625A48" w:rsidR="00EA2FAF" w:rsidRDefault="00EA2FAF" w:rsidP="00A07D61"/>
    <w:p w14:paraId="761BFF31" w14:textId="243FAB45" w:rsidR="00C656E2" w:rsidRPr="0033381A" w:rsidRDefault="00EA2FAF" w:rsidP="0038178A">
      <w:pPr>
        <w:pStyle w:val="BasicParagraph"/>
        <w:numPr>
          <w:ilvl w:val="1"/>
          <w:numId w:val="18"/>
        </w:numPr>
        <w:suppressAutoHyphens/>
        <w:ind w:left="709"/>
      </w:pPr>
      <w:r w:rsidRPr="0033381A">
        <w:rPr>
          <w:rFonts w:ascii="Verdana" w:hAnsi="Verdana"/>
        </w:rPr>
        <w:t>To be more specific</w:t>
      </w:r>
      <w:r w:rsidR="00905310">
        <w:rPr>
          <w:rFonts w:ascii="Verdana" w:hAnsi="Verdana"/>
        </w:rPr>
        <w:t>,</w:t>
      </w:r>
      <w:r w:rsidRPr="0033381A">
        <w:rPr>
          <w:rFonts w:ascii="Verdana" w:hAnsi="Verdana"/>
        </w:rPr>
        <w:t xml:space="preserve"> the paragraphs below set out key points to consider under each key outcome. </w:t>
      </w:r>
    </w:p>
    <w:p w14:paraId="3F218F83" w14:textId="77777777" w:rsidR="00C656E2" w:rsidRDefault="00C656E2" w:rsidP="00C656E2">
      <w:pPr>
        <w:pStyle w:val="BasicParagraph"/>
        <w:suppressAutoHyphens/>
      </w:pPr>
    </w:p>
    <w:p w14:paraId="4EAFC35D" w14:textId="65CF10DA" w:rsidR="00DE6624" w:rsidRPr="00AE5D24" w:rsidRDefault="00076C12" w:rsidP="00B75E30">
      <w:pPr>
        <w:pStyle w:val="Heading1"/>
        <w:numPr>
          <w:ilvl w:val="0"/>
          <w:numId w:val="21"/>
        </w:numPr>
        <w:ind w:left="720"/>
      </w:pPr>
      <w:bookmarkStart w:id="7" w:name="_Toc230705736"/>
      <w:r w:rsidRPr="00C656E2">
        <w:t>Outcome 1: Elimination of Racial Inequality</w:t>
      </w:r>
      <w:bookmarkEnd w:id="7"/>
    </w:p>
    <w:p w14:paraId="333E0953" w14:textId="7E3830B6" w:rsidR="007A335F" w:rsidRDefault="009D05E9" w:rsidP="009D05E9">
      <w:r w:rsidRPr="00F71F76">
        <w:rPr>
          <w:b/>
          <w:bCs/>
        </w:rPr>
        <w:t>To eliminate racial inequalities and promote equality of opportunity in all aspects of economic, social, cultural, political and public life. This includes a focus on capacity building, community development and celebration of cultural identity</w:t>
      </w:r>
      <w:r w:rsidR="00F71F76">
        <w:t>.</w:t>
      </w:r>
    </w:p>
    <w:p w14:paraId="57254B20" w14:textId="77777777" w:rsidR="007A335F" w:rsidRPr="00AB46E5" w:rsidRDefault="007A335F" w:rsidP="009D05E9"/>
    <w:p w14:paraId="7767A983" w14:textId="14D3CDB1" w:rsidR="007A335F" w:rsidRPr="00F65BC2" w:rsidRDefault="007A335F" w:rsidP="00B75E30">
      <w:pPr>
        <w:pStyle w:val="Heading2"/>
      </w:pPr>
      <w:bookmarkStart w:id="8" w:name="_Toc230705737"/>
      <w:r w:rsidRPr="00F65BC2">
        <w:t>Race Relations Legislation</w:t>
      </w:r>
      <w:bookmarkEnd w:id="8"/>
    </w:p>
    <w:p w14:paraId="01FF38CD" w14:textId="6A0EADDC" w:rsidR="003910DE" w:rsidRPr="003910DE" w:rsidRDefault="003910DE" w:rsidP="00DB0FC4">
      <w:pPr>
        <w:pStyle w:val="BasicParagraph"/>
        <w:suppressAutoHyphens/>
        <w:rPr>
          <w:rFonts w:ascii="Verdana" w:hAnsi="Verdana"/>
        </w:rPr>
      </w:pPr>
    </w:p>
    <w:p w14:paraId="691651F5" w14:textId="73B23290" w:rsidR="006B5D83" w:rsidRPr="00D432AC" w:rsidRDefault="00115D6F" w:rsidP="00F247B7">
      <w:pPr>
        <w:pStyle w:val="BasicParagraph"/>
        <w:numPr>
          <w:ilvl w:val="1"/>
          <w:numId w:val="21"/>
        </w:numPr>
        <w:suppressAutoHyphens/>
      </w:pPr>
      <w:r w:rsidRPr="00E96871">
        <w:rPr>
          <w:rFonts w:ascii="Verdana" w:hAnsi="Verdana"/>
          <w:lang w:val="en-ZA"/>
        </w:rPr>
        <w:t>The</w:t>
      </w:r>
      <w:r w:rsidR="009318BA" w:rsidRPr="00E96871">
        <w:rPr>
          <w:rFonts w:ascii="Verdana" w:hAnsi="Verdana"/>
          <w:lang w:val="en-ZA"/>
        </w:rPr>
        <w:t xml:space="preserve"> first key intervention of Outcome 1</w:t>
      </w:r>
      <w:r w:rsidR="0033381A" w:rsidRPr="00E96871">
        <w:rPr>
          <w:rFonts w:ascii="Verdana" w:hAnsi="Verdana"/>
          <w:lang w:val="en-ZA"/>
        </w:rPr>
        <w:t xml:space="preserve"> </w:t>
      </w:r>
      <w:r w:rsidR="003B0481" w:rsidRPr="00E96871">
        <w:rPr>
          <w:rFonts w:ascii="Verdana" w:hAnsi="Verdana"/>
          <w:lang w:val="en-ZA"/>
        </w:rPr>
        <w:t>of the</w:t>
      </w:r>
      <w:r w:rsidR="00541698" w:rsidRPr="00E96871">
        <w:rPr>
          <w:rFonts w:ascii="Verdana" w:hAnsi="Verdana"/>
          <w:lang w:val="en-ZA"/>
        </w:rPr>
        <w:t xml:space="preserve"> </w:t>
      </w:r>
      <w:r w:rsidR="0011676A">
        <w:rPr>
          <w:rFonts w:ascii="Verdana" w:hAnsi="Verdana"/>
          <w:lang w:val="en-ZA"/>
        </w:rPr>
        <w:t>D</w:t>
      </w:r>
      <w:r w:rsidR="00541698" w:rsidRPr="00E96871">
        <w:rPr>
          <w:rFonts w:ascii="Verdana" w:hAnsi="Verdana"/>
          <w:lang w:val="en-ZA"/>
        </w:rPr>
        <w:t xml:space="preserve">raft </w:t>
      </w:r>
      <w:r w:rsidRPr="00E96871">
        <w:rPr>
          <w:rFonts w:ascii="Verdana" w:hAnsi="Verdana"/>
          <w:lang w:val="en-ZA"/>
        </w:rPr>
        <w:t>Framework</w:t>
      </w:r>
      <w:r w:rsidR="003B0481" w:rsidRPr="00E96871">
        <w:rPr>
          <w:rFonts w:ascii="Verdana" w:hAnsi="Verdana"/>
          <w:lang w:val="en-ZA"/>
        </w:rPr>
        <w:t xml:space="preserve"> is to,</w:t>
      </w:r>
      <w:r w:rsidR="00F740D5" w:rsidRPr="00E96871">
        <w:rPr>
          <w:rFonts w:ascii="Verdana" w:hAnsi="Verdana"/>
          <w:lang w:val="en-ZA"/>
        </w:rPr>
        <w:t xml:space="preserve"> </w:t>
      </w:r>
      <w:r w:rsidRPr="00E96871">
        <w:rPr>
          <w:rFonts w:ascii="Verdana" w:hAnsi="Verdana"/>
          <w:lang w:val="en-ZA"/>
        </w:rPr>
        <w:t>“drive systemic change by enacting updated Race Relations legislation”</w:t>
      </w:r>
      <w:r w:rsidR="00F65BC2">
        <w:rPr>
          <w:rFonts w:ascii="Verdana" w:hAnsi="Verdana"/>
          <w:lang w:val="en-ZA"/>
        </w:rPr>
        <w:t>.</w:t>
      </w:r>
      <w:r w:rsidR="00376373" w:rsidRPr="00E96871">
        <w:rPr>
          <w:rFonts w:ascii="Verdana" w:hAnsi="Verdana"/>
          <w:lang w:val="en-ZA"/>
        </w:rPr>
        <w:t xml:space="preserve"> </w:t>
      </w:r>
      <w:r w:rsidR="00D66052" w:rsidRPr="00E96871">
        <w:rPr>
          <w:rFonts w:ascii="Verdana" w:hAnsi="Verdana"/>
          <w:lang w:val="en-ZA"/>
        </w:rPr>
        <w:t>The NIHRC particularly welcomes this commitment</w:t>
      </w:r>
      <w:r w:rsidR="00D66052">
        <w:rPr>
          <w:rFonts w:ascii="Verdana" w:hAnsi="Verdana"/>
          <w:lang w:val="en-ZA"/>
        </w:rPr>
        <w:t xml:space="preserve">. </w:t>
      </w:r>
      <w:r w:rsidR="00376373" w:rsidRPr="00E96871">
        <w:rPr>
          <w:rFonts w:ascii="Verdana" w:hAnsi="Verdana"/>
          <w:lang w:val="en-ZA"/>
        </w:rPr>
        <w:t xml:space="preserve"> </w:t>
      </w:r>
      <w:r w:rsidR="00D52371" w:rsidRPr="00E96871">
        <w:rPr>
          <w:rFonts w:ascii="Verdana" w:hAnsi="Verdana"/>
          <w:lang w:val="en-ZA"/>
        </w:rPr>
        <w:t>This intervention</w:t>
      </w:r>
      <w:r w:rsidR="009944AD" w:rsidRPr="009944AD">
        <w:rPr>
          <w:rFonts w:ascii="Verdana" w:hAnsi="Verdana"/>
        </w:rPr>
        <w:t xml:space="preserve"> build</w:t>
      </w:r>
      <w:r w:rsidR="009944AD">
        <w:rPr>
          <w:rFonts w:ascii="Verdana" w:hAnsi="Verdana"/>
        </w:rPr>
        <w:t>s</w:t>
      </w:r>
      <w:r w:rsidR="009944AD" w:rsidRPr="009944AD">
        <w:rPr>
          <w:rFonts w:ascii="Verdana" w:hAnsi="Verdana"/>
        </w:rPr>
        <w:t xml:space="preserve"> on the achievements of the Racial Equality Strategy 2015–</w:t>
      </w:r>
      <w:r w:rsidR="0047423F" w:rsidRPr="009944AD">
        <w:rPr>
          <w:rFonts w:ascii="Verdana" w:hAnsi="Verdana"/>
        </w:rPr>
        <w:t>2025</w:t>
      </w:r>
      <w:r w:rsidR="0047423F">
        <w:rPr>
          <w:rFonts w:ascii="Verdana" w:hAnsi="Verdana"/>
          <w:lang w:val="en-ZA"/>
        </w:rPr>
        <w:t>.</w:t>
      </w:r>
      <w:r w:rsidR="003C0051" w:rsidRPr="00E96871">
        <w:rPr>
          <w:rFonts w:ascii="Verdana" w:hAnsi="Verdana"/>
          <w:lang w:val="en-ZA"/>
        </w:rPr>
        <w:t xml:space="preserve"> </w:t>
      </w:r>
      <w:r w:rsidR="00D52371" w:rsidRPr="00E96871">
        <w:rPr>
          <w:rFonts w:ascii="Verdana" w:hAnsi="Verdana"/>
          <w:lang w:val="en-ZA"/>
        </w:rPr>
        <w:t xml:space="preserve"> </w:t>
      </w:r>
    </w:p>
    <w:p w14:paraId="4882FC1F" w14:textId="77777777" w:rsidR="00033124" w:rsidRPr="00D432AC" w:rsidRDefault="00033124" w:rsidP="00D432AC">
      <w:pPr>
        <w:pStyle w:val="BasicParagraph"/>
        <w:suppressAutoHyphens/>
        <w:ind w:left="720"/>
      </w:pPr>
    </w:p>
    <w:p w14:paraId="33558FBD" w14:textId="3635AC6A" w:rsidR="00366B9D" w:rsidRPr="006B5D83" w:rsidRDefault="004D6B57" w:rsidP="00F247B7">
      <w:pPr>
        <w:pStyle w:val="BasicParagraph"/>
        <w:widowControl/>
        <w:numPr>
          <w:ilvl w:val="1"/>
          <w:numId w:val="21"/>
        </w:numPr>
        <w:suppressAutoHyphens/>
      </w:pPr>
      <w:r>
        <w:rPr>
          <w:rFonts w:ascii="Verdana" w:hAnsi="Verdana"/>
          <w:lang w:val="en-ZA"/>
        </w:rPr>
        <w:t>I</w:t>
      </w:r>
      <w:r w:rsidR="006B5D83">
        <w:rPr>
          <w:rFonts w:ascii="Verdana" w:hAnsi="Verdana"/>
          <w:lang w:val="en-ZA"/>
        </w:rPr>
        <w:t xml:space="preserve">n addition, </w:t>
      </w:r>
      <w:r w:rsidR="001A0C69" w:rsidRPr="00E96871">
        <w:rPr>
          <w:rFonts w:ascii="Verdana" w:hAnsi="Verdana" w:cs="Arial"/>
          <w:color w:val="232120"/>
        </w:rPr>
        <w:t xml:space="preserve">the Executive Office, </w:t>
      </w:r>
      <w:r w:rsidR="006B5D83">
        <w:rPr>
          <w:rFonts w:ascii="Verdana" w:hAnsi="Verdana" w:cs="Arial"/>
          <w:color w:val="232120"/>
        </w:rPr>
        <w:t xml:space="preserve">should </w:t>
      </w:r>
      <w:r w:rsidR="00576561" w:rsidRPr="00E96871">
        <w:rPr>
          <w:rFonts w:ascii="Verdana" w:hAnsi="Verdana" w:cs="Arial"/>
          <w:color w:val="232120"/>
        </w:rPr>
        <w:t>continue to monitor</w:t>
      </w:r>
      <w:r w:rsidR="001A0C69" w:rsidRPr="00E96871">
        <w:rPr>
          <w:rFonts w:ascii="Verdana" w:hAnsi="Verdana" w:cs="Arial"/>
          <w:color w:val="232120"/>
        </w:rPr>
        <w:t xml:space="preserve"> any proposed changes to the EU Racial Equality Directive in the development </w:t>
      </w:r>
      <w:r w:rsidR="00FD0CF3" w:rsidRPr="00E96871">
        <w:rPr>
          <w:rFonts w:ascii="Verdana" w:hAnsi="Verdana" w:cs="Arial"/>
          <w:color w:val="232120"/>
        </w:rPr>
        <w:t xml:space="preserve">of updated </w:t>
      </w:r>
      <w:r w:rsidR="00351BEF">
        <w:rPr>
          <w:rFonts w:ascii="Verdana" w:hAnsi="Verdana" w:cs="Arial"/>
          <w:color w:val="232120"/>
        </w:rPr>
        <w:t>r</w:t>
      </w:r>
      <w:r w:rsidR="00351BEF" w:rsidRPr="00E96871">
        <w:rPr>
          <w:rFonts w:ascii="Verdana" w:hAnsi="Verdana" w:cs="Arial"/>
          <w:color w:val="232120"/>
        </w:rPr>
        <w:t xml:space="preserve">ace </w:t>
      </w:r>
      <w:r w:rsidR="00351BEF">
        <w:rPr>
          <w:rFonts w:ascii="Verdana" w:hAnsi="Verdana" w:cs="Arial"/>
          <w:color w:val="232120"/>
        </w:rPr>
        <w:t>r</w:t>
      </w:r>
      <w:r w:rsidR="00FD0CF3" w:rsidRPr="00E96871">
        <w:rPr>
          <w:rFonts w:ascii="Verdana" w:hAnsi="Verdana" w:cs="Arial"/>
          <w:color w:val="232120"/>
        </w:rPr>
        <w:t xml:space="preserve">elations </w:t>
      </w:r>
      <w:r w:rsidR="005D3D92" w:rsidRPr="00E96871">
        <w:rPr>
          <w:rFonts w:ascii="Verdana" w:hAnsi="Verdana" w:cs="Arial"/>
          <w:color w:val="232120"/>
        </w:rPr>
        <w:t>legislation</w:t>
      </w:r>
      <w:r w:rsidR="00FD0CF3" w:rsidRPr="00E96871">
        <w:rPr>
          <w:rFonts w:ascii="Verdana" w:hAnsi="Verdana" w:cs="Arial"/>
          <w:color w:val="232120"/>
        </w:rPr>
        <w:t xml:space="preserve">, in line with </w:t>
      </w:r>
      <w:r w:rsidR="005D3D92" w:rsidRPr="00E96871">
        <w:rPr>
          <w:rFonts w:ascii="Verdana" w:hAnsi="Verdana" w:cs="Arial"/>
          <w:color w:val="232120"/>
        </w:rPr>
        <w:t>its obligations under Windsor Framework Article</w:t>
      </w:r>
      <w:r w:rsidR="00CE6E48">
        <w:rPr>
          <w:rFonts w:ascii="Verdana" w:hAnsi="Verdana" w:cs="Arial"/>
          <w:color w:val="232120"/>
        </w:rPr>
        <w:t>s</w:t>
      </w:r>
      <w:r w:rsidR="005D3D92" w:rsidRPr="00E96871">
        <w:rPr>
          <w:rFonts w:ascii="Verdana" w:hAnsi="Verdana" w:cs="Arial"/>
          <w:color w:val="232120"/>
        </w:rPr>
        <w:t xml:space="preserve"> 2 and 13</w:t>
      </w:r>
      <w:r w:rsidR="009F01C0" w:rsidRPr="00E96871">
        <w:rPr>
          <w:rFonts w:ascii="Verdana" w:hAnsi="Verdana"/>
          <w:lang w:val="en-ZA"/>
        </w:rPr>
        <w:t>.</w:t>
      </w:r>
      <w:r w:rsidR="00FA1AF5" w:rsidRPr="00E96871">
        <w:rPr>
          <w:rFonts w:ascii="Verdana" w:hAnsi="Verdana"/>
          <w:lang w:val="en-ZA"/>
        </w:rPr>
        <w:t xml:space="preserve"> </w:t>
      </w:r>
      <w:r w:rsidR="00567DD2" w:rsidRPr="00E96871">
        <w:rPr>
          <w:rFonts w:ascii="Verdana" w:hAnsi="Verdana"/>
          <w:lang w:val="en-ZA"/>
        </w:rPr>
        <w:t xml:space="preserve">This should </w:t>
      </w:r>
      <w:r w:rsidR="00567DD2" w:rsidRPr="00E96871">
        <w:rPr>
          <w:rFonts w:ascii="Verdana" w:hAnsi="Verdana" w:cs="Arial"/>
          <w:color w:val="232120"/>
        </w:rPr>
        <w:t>include relevant case law of the CJEU.</w:t>
      </w:r>
      <w:r w:rsidR="00567DD2">
        <w:rPr>
          <w:rStyle w:val="FootnoteReference"/>
          <w:rFonts w:ascii="Verdana" w:hAnsi="Verdana" w:cs="Arial"/>
          <w:color w:val="232120"/>
        </w:rPr>
        <w:footnoteReference w:id="57"/>
      </w:r>
      <w:r w:rsidR="00567DD2" w:rsidRPr="00E96871">
        <w:rPr>
          <w:rFonts w:ascii="Verdana" w:hAnsi="Verdana" w:cs="Arial"/>
          <w:color w:val="232120"/>
        </w:rPr>
        <w:t xml:space="preserve"> </w:t>
      </w:r>
      <w:r w:rsidR="00567DD2" w:rsidRPr="00E96871">
        <w:t xml:space="preserve"> </w:t>
      </w:r>
      <w:r w:rsidR="00A9560A">
        <w:rPr>
          <w:rFonts w:ascii="Verdana" w:hAnsi="Verdana"/>
        </w:rPr>
        <w:t xml:space="preserve">For example, the </w:t>
      </w:r>
      <w:r w:rsidR="004057BF">
        <w:rPr>
          <w:rFonts w:ascii="Verdana" w:hAnsi="Verdana"/>
        </w:rPr>
        <w:t xml:space="preserve">NIHRC considers that the </w:t>
      </w:r>
      <w:r w:rsidR="00414E66">
        <w:rPr>
          <w:rFonts w:ascii="Verdana" w:hAnsi="Verdana"/>
        </w:rPr>
        <w:t>EU</w:t>
      </w:r>
      <w:r w:rsidR="004057BF">
        <w:rPr>
          <w:rFonts w:ascii="Verdana" w:hAnsi="Verdana"/>
        </w:rPr>
        <w:t xml:space="preserve"> Standards for Equality Bodies Directive a</w:t>
      </w:r>
      <w:r w:rsidR="00230AAE">
        <w:rPr>
          <w:rFonts w:ascii="Verdana" w:hAnsi="Verdana"/>
        </w:rPr>
        <w:t>m</w:t>
      </w:r>
      <w:r w:rsidR="004057BF">
        <w:rPr>
          <w:rFonts w:ascii="Verdana" w:hAnsi="Verdana"/>
        </w:rPr>
        <w:t xml:space="preserve">ends and replaces provisions of the </w:t>
      </w:r>
      <w:r w:rsidR="003F725C">
        <w:rPr>
          <w:rFonts w:ascii="Verdana" w:hAnsi="Verdana"/>
          <w:lang w:val="en-ZA"/>
        </w:rPr>
        <w:t>Racial Equality Directive</w:t>
      </w:r>
      <w:r w:rsidR="00374AB6">
        <w:rPr>
          <w:rFonts w:ascii="Verdana" w:hAnsi="Verdana"/>
          <w:lang w:val="en-ZA"/>
        </w:rPr>
        <w:t>.</w:t>
      </w:r>
      <w:r w:rsidR="003F725C">
        <w:rPr>
          <w:rFonts w:ascii="Verdana" w:hAnsi="Verdana"/>
          <w:lang w:val="en-ZA"/>
        </w:rPr>
        <w:t xml:space="preserve"> </w:t>
      </w:r>
      <w:r w:rsidR="00242817">
        <w:rPr>
          <w:rFonts w:ascii="Verdana" w:hAnsi="Verdana"/>
          <w:lang w:val="en-ZA"/>
        </w:rPr>
        <w:t>This was also accepted by the UK Government when the Directive was at proposal stage.</w:t>
      </w:r>
      <w:r w:rsidR="00242817">
        <w:rPr>
          <w:rStyle w:val="FootnoteReference"/>
          <w:rFonts w:ascii="Verdana" w:hAnsi="Verdana"/>
          <w:lang w:val="en-ZA"/>
        </w:rPr>
        <w:footnoteReference w:id="58"/>
      </w:r>
      <w:r w:rsidR="00242817">
        <w:rPr>
          <w:rFonts w:ascii="Verdana" w:hAnsi="Verdana"/>
          <w:lang w:val="en-ZA"/>
        </w:rPr>
        <w:t xml:space="preserve"> </w:t>
      </w:r>
      <w:r w:rsidR="00230AAE">
        <w:rPr>
          <w:rFonts w:ascii="Verdana" w:hAnsi="Verdana"/>
          <w:lang w:val="en-ZA"/>
        </w:rPr>
        <w:t>The</w:t>
      </w:r>
      <w:r w:rsidR="00645A4B">
        <w:rPr>
          <w:rFonts w:ascii="Verdana" w:hAnsi="Verdana"/>
          <w:lang w:val="en-ZA"/>
        </w:rPr>
        <w:t xml:space="preserve"> Directive </w:t>
      </w:r>
      <w:r w:rsidR="0070432A">
        <w:rPr>
          <w:rFonts w:ascii="Verdana" w:hAnsi="Verdana"/>
          <w:lang w:val="en-ZA"/>
        </w:rPr>
        <w:t>strengthens the</w:t>
      </w:r>
      <w:r w:rsidR="00CE08E5">
        <w:rPr>
          <w:rFonts w:ascii="Verdana" w:hAnsi="Verdana"/>
          <w:lang w:val="en-ZA"/>
        </w:rPr>
        <w:t xml:space="preserve"> effectiveness of </w:t>
      </w:r>
      <w:r w:rsidR="00645A4B">
        <w:rPr>
          <w:rFonts w:ascii="Verdana" w:hAnsi="Verdana"/>
          <w:lang w:val="en-ZA"/>
        </w:rPr>
        <w:t>equality</w:t>
      </w:r>
      <w:r w:rsidR="00CE08E5">
        <w:rPr>
          <w:rFonts w:ascii="Verdana" w:hAnsi="Verdana"/>
          <w:lang w:val="en-ZA"/>
        </w:rPr>
        <w:t xml:space="preserve"> bodies in </w:t>
      </w:r>
      <w:r w:rsidR="007C32DC">
        <w:rPr>
          <w:rFonts w:ascii="Verdana" w:hAnsi="Verdana"/>
          <w:lang w:val="en-ZA"/>
        </w:rPr>
        <w:t>upholding protections against discriminatio</w:t>
      </w:r>
      <w:r w:rsidR="005E09EF">
        <w:rPr>
          <w:rFonts w:ascii="Verdana" w:hAnsi="Verdana"/>
          <w:lang w:val="en-ZA"/>
        </w:rPr>
        <w:t>n</w:t>
      </w:r>
      <w:r w:rsidR="00044C5C">
        <w:rPr>
          <w:rFonts w:ascii="Verdana" w:hAnsi="Verdana"/>
          <w:lang w:val="en-ZA"/>
        </w:rPr>
        <w:t>,</w:t>
      </w:r>
      <w:r w:rsidR="006E521F">
        <w:rPr>
          <w:rFonts w:ascii="Verdana" w:hAnsi="Verdana"/>
          <w:lang w:val="en-ZA"/>
        </w:rPr>
        <w:t xml:space="preserve"> including</w:t>
      </w:r>
      <w:r w:rsidR="007C32DC">
        <w:rPr>
          <w:rFonts w:ascii="Verdana" w:hAnsi="Verdana"/>
          <w:lang w:val="en-ZA"/>
        </w:rPr>
        <w:t xml:space="preserve"> those </w:t>
      </w:r>
      <w:r w:rsidR="00281A3E">
        <w:rPr>
          <w:rFonts w:ascii="Verdana" w:hAnsi="Verdana"/>
          <w:lang w:val="en-ZA"/>
        </w:rPr>
        <w:t>derived from the Racial Equality Directive</w:t>
      </w:r>
      <w:r w:rsidR="00E96871" w:rsidRPr="00E96871">
        <w:rPr>
          <w:rFonts w:ascii="Verdana" w:hAnsi="Verdana" w:cs="Arial"/>
          <w:color w:val="232120"/>
        </w:rPr>
        <w:t>.</w:t>
      </w:r>
      <w:r w:rsidR="00436A02">
        <w:rPr>
          <w:rFonts w:ascii="Verdana" w:hAnsi="Verdana" w:cs="Arial"/>
          <w:color w:val="232120"/>
        </w:rPr>
        <w:t xml:space="preserve"> </w:t>
      </w:r>
      <w:r w:rsidR="00436A02">
        <w:rPr>
          <w:rFonts w:ascii="Verdana" w:hAnsi="Verdana" w:cs="Arial"/>
          <w:color w:val="232120"/>
        </w:rPr>
        <w:lastRenderedPageBreak/>
        <w:t xml:space="preserve">Adherence to </w:t>
      </w:r>
      <w:r w:rsidR="00414E66">
        <w:rPr>
          <w:rFonts w:ascii="Verdana" w:hAnsi="Verdana"/>
        </w:rPr>
        <w:t>EU Standards for Equality Bodies Directive</w:t>
      </w:r>
      <w:r w:rsidR="00436A02">
        <w:rPr>
          <w:rFonts w:ascii="Verdana" w:hAnsi="Verdana" w:cs="Arial"/>
          <w:color w:val="232120"/>
        </w:rPr>
        <w:t xml:space="preserve"> will enhance </w:t>
      </w:r>
      <w:r w:rsidR="00351BEF">
        <w:rPr>
          <w:rFonts w:ascii="Verdana" w:hAnsi="Verdana" w:cs="Arial"/>
          <w:color w:val="232120"/>
        </w:rPr>
        <w:t xml:space="preserve">minimum requirements for assistance to victims and </w:t>
      </w:r>
      <w:r w:rsidR="00436A02">
        <w:rPr>
          <w:rFonts w:ascii="Verdana" w:hAnsi="Verdana" w:cs="Arial"/>
          <w:color w:val="232120"/>
        </w:rPr>
        <w:t xml:space="preserve">enforceability </w:t>
      </w:r>
      <w:r w:rsidR="00351BEF">
        <w:rPr>
          <w:rFonts w:ascii="Verdana" w:hAnsi="Verdana" w:cs="Arial"/>
          <w:color w:val="232120"/>
        </w:rPr>
        <w:t xml:space="preserve">under the </w:t>
      </w:r>
      <w:r w:rsidR="00436A02">
        <w:rPr>
          <w:rFonts w:ascii="Verdana" w:hAnsi="Verdana" w:cs="Arial"/>
          <w:color w:val="232120"/>
        </w:rPr>
        <w:t xml:space="preserve">Race </w:t>
      </w:r>
      <w:r w:rsidR="00351BEF">
        <w:rPr>
          <w:rFonts w:ascii="Verdana" w:hAnsi="Verdana" w:cs="Arial"/>
          <w:color w:val="232120"/>
        </w:rPr>
        <w:t>Equality Directive.</w:t>
      </w:r>
      <w:r w:rsidR="008345E5">
        <w:rPr>
          <w:rStyle w:val="FootnoteReference"/>
          <w:rFonts w:ascii="Verdana" w:hAnsi="Verdana" w:cs="Arial"/>
          <w:color w:val="232120"/>
        </w:rPr>
        <w:footnoteReference w:id="59"/>
      </w:r>
      <w:r w:rsidR="00351BEF">
        <w:rPr>
          <w:rFonts w:ascii="Verdana" w:hAnsi="Verdana" w:cs="Arial"/>
          <w:color w:val="232120"/>
        </w:rPr>
        <w:t xml:space="preserve"> In addition, as noted above, any update to the race relations legislation in NI, should reflect the obligation in the EU Pay Transparency Directive </w:t>
      </w:r>
      <w:r w:rsidR="00414E66">
        <w:rPr>
          <w:rFonts w:ascii="Verdana" w:hAnsi="Verdana" w:cs="Arial"/>
          <w:color w:val="232120"/>
        </w:rPr>
        <w:t>to ensure the definition of discrimination includes intersectional discrimination.</w:t>
      </w:r>
      <w:r w:rsidR="00414E66">
        <w:rPr>
          <w:rStyle w:val="FootnoteReference"/>
          <w:rFonts w:ascii="Verdana" w:hAnsi="Verdana"/>
          <w:lang w:val="en-ZA"/>
        </w:rPr>
        <w:footnoteReference w:id="60"/>
      </w:r>
      <w:r w:rsidR="00414E66">
        <w:rPr>
          <w:rFonts w:ascii="Verdana" w:hAnsi="Verdana" w:cs="Arial"/>
          <w:color w:val="232120"/>
        </w:rPr>
        <w:t xml:space="preserve"> </w:t>
      </w:r>
    </w:p>
    <w:p w14:paraId="557B5630" w14:textId="77777777" w:rsidR="00366B9D" w:rsidRPr="00717F57" w:rsidRDefault="00366B9D" w:rsidP="006B5D83">
      <w:pPr>
        <w:pStyle w:val="BasicParagraph"/>
        <w:suppressAutoHyphens/>
        <w:ind w:left="709"/>
      </w:pPr>
    </w:p>
    <w:p w14:paraId="54DE2E6A" w14:textId="108B0F69" w:rsidR="004417AC" w:rsidRPr="00717F57" w:rsidRDefault="009C49FD" w:rsidP="00F247B7">
      <w:pPr>
        <w:pStyle w:val="BasicParagraph"/>
        <w:numPr>
          <w:ilvl w:val="1"/>
          <w:numId w:val="21"/>
        </w:numPr>
        <w:suppressAutoHyphens/>
        <w:ind w:left="709"/>
      </w:pPr>
      <w:r w:rsidRPr="00717F57">
        <w:rPr>
          <w:rFonts w:ascii="Verdana" w:hAnsi="Verdana"/>
          <w:lang w:val="en-ZA"/>
        </w:rPr>
        <w:t>However</w:t>
      </w:r>
      <w:r w:rsidR="009D6975" w:rsidRPr="00717F57">
        <w:rPr>
          <w:rFonts w:ascii="Verdana" w:hAnsi="Verdana"/>
          <w:lang w:val="en-ZA"/>
        </w:rPr>
        <w:t>,</w:t>
      </w:r>
      <w:r w:rsidR="00821184" w:rsidRPr="00717F57">
        <w:rPr>
          <w:rFonts w:ascii="Verdana" w:hAnsi="Verdana"/>
          <w:lang w:val="en-ZA"/>
        </w:rPr>
        <w:t xml:space="preserve"> the enactment </w:t>
      </w:r>
      <w:r w:rsidR="00E34EFD" w:rsidRPr="00717F57">
        <w:rPr>
          <w:rFonts w:ascii="Verdana" w:hAnsi="Verdana"/>
          <w:lang w:val="en-ZA"/>
        </w:rPr>
        <w:t>of legislation</w:t>
      </w:r>
      <w:r w:rsidR="00821184" w:rsidRPr="00717F57">
        <w:rPr>
          <w:rFonts w:ascii="Verdana" w:hAnsi="Verdana"/>
          <w:lang w:val="en-ZA"/>
        </w:rPr>
        <w:t xml:space="preserve"> alone</w:t>
      </w:r>
      <w:r w:rsidR="009D6975" w:rsidRPr="00717F57">
        <w:rPr>
          <w:rFonts w:ascii="Verdana" w:hAnsi="Verdana"/>
          <w:lang w:val="en-ZA"/>
        </w:rPr>
        <w:t xml:space="preserve"> is insufficient</w:t>
      </w:r>
      <w:r w:rsidR="00821184" w:rsidRPr="00717F57">
        <w:rPr>
          <w:rFonts w:ascii="Verdana" w:hAnsi="Verdana"/>
          <w:lang w:val="en-ZA"/>
        </w:rPr>
        <w:t>.</w:t>
      </w:r>
      <w:r w:rsidR="0036375D" w:rsidRPr="00717F57">
        <w:rPr>
          <w:rFonts w:ascii="Segoe UI" w:eastAsia="Times New Roman" w:hAnsi="Segoe UI" w:cs="Segoe UI"/>
          <w:lang w:eastAsia="en-GB"/>
        </w:rPr>
        <w:t xml:space="preserve"> </w:t>
      </w:r>
      <w:r w:rsidR="002A234D" w:rsidRPr="00717F57">
        <w:rPr>
          <w:rFonts w:ascii="Verdana" w:hAnsi="Verdana"/>
        </w:rPr>
        <w:t xml:space="preserve">To achieve </w:t>
      </w:r>
      <w:r w:rsidR="0093663E" w:rsidRPr="00717F57">
        <w:rPr>
          <w:rFonts w:ascii="Verdana" w:hAnsi="Verdana"/>
        </w:rPr>
        <w:t>meaningful practical change,</w:t>
      </w:r>
      <w:r w:rsidR="00937D06" w:rsidRPr="00717F57">
        <w:rPr>
          <w:rFonts w:ascii="Verdana" w:hAnsi="Verdana"/>
        </w:rPr>
        <w:t xml:space="preserve"> legislative reform</w:t>
      </w:r>
      <w:r w:rsidR="0093663E" w:rsidRPr="00717F57">
        <w:rPr>
          <w:rFonts w:ascii="Verdana" w:hAnsi="Verdana"/>
        </w:rPr>
        <w:t xml:space="preserve"> must be supported by education and awareness</w:t>
      </w:r>
      <w:r w:rsidR="0093663E" w:rsidRPr="00717F57">
        <w:rPr>
          <w:rFonts w:ascii="Verdana" w:hAnsi="Verdana"/>
        </w:rPr>
        <w:noBreakHyphen/>
        <w:t>raising measures</w:t>
      </w:r>
      <w:r w:rsidR="00F764E0">
        <w:rPr>
          <w:rFonts w:ascii="Verdana" w:hAnsi="Verdana"/>
        </w:rPr>
        <w:t>.</w:t>
      </w:r>
    </w:p>
    <w:p w14:paraId="347E9625" w14:textId="77777777" w:rsidR="004417AC" w:rsidRPr="00717F57" w:rsidRDefault="004417AC" w:rsidP="004417AC">
      <w:pPr>
        <w:pStyle w:val="BasicParagraph"/>
        <w:suppressAutoHyphens/>
        <w:ind w:left="709"/>
      </w:pPr>
    </w:p>
    <w:p w14:paraId="34C8B38A" w14:textId="08BBE411" w:rsidR="005D64CD" w:rsidRPr="00717F57" w:rsidRDefault="00AA1F7F" w:rsidP="00F247B7">
      <w:pPr>
        <w:pStyle w:val="BasicParagraph"/>
        <w:numPr>
          <w:ilvl w:val="1"/>
          <w:numId w:val="21"/>
        </w:numPr>
        <w:suppressAutoHyphens/>
        <w:ind w:left="709"/>
      </w:pPr>
      <w:r w:rsidRPr="00717F57">
        <w:rPr>
          <w:rFonts w:ascii="Verdana" w:hAnsi="Verdana"/>
        </w:rPr>
        <w:t>Article</w:t>
      </w:r>
      <w:r w:rsidR="00317E74" w:rsidRPr="00717F57">
        <w:rPr>
          <w:rFonts w:ascii="Verdana" w:hAnsi="Verdana"/>
        </w:rPr>
        <w:t> 7</w:t>
      </w:r>
      <w:r w:rsidR="00644247" w:rsidRPr="00717F57">
        <w:rPr>
          <w:rFonts w:ascii="Verdana" w:hAnsi="Verdana"/>
        </w:rPr>
        <w:t xml:space="preserve"> </w:t>
      </w:r>
      <w:r w:rsidR="00317E74" w:rsidRPr="00717F57">
        <w:rPr>
          <w:rFonts w:ascii="Verdana" w:hAnsi="Verdana"/>
        </w:rPr>
        <w:t xml:space="preserve">of the </w:t>
      </w:r>
      <w:r w:rsidR="004417AC" w:rsidRPr="00717F57">
        <w:rPr>
          <w:rFonts w:ascii="Verdana" w:hAnsi="Verdana"/>
        </w:rPr>
        <w:t>UN CERD</w:t>
      </w:r>
      <w:r w:rsidR="0088739B" w:rsidRPr="00717F57">
        <w:rPr>
          <w:rFonts w:ascii="Verdana" w:hAnsi="Verdana"/>
        </w:rPr>
        <w:t xml:space="preserve"> imposes an obligation on </w:t>
      </w:r>
      <w:r w:rsidR="00317E74" w:rsidRPr="00717F57">
        <w:rPr>
          <w:rFonts w:ascii="Verdana" w:hAnsi="Verdana"/>
        </w:rPr>
        <w:t>State</w:t>
      </w:r>
      <w:r w:rsidR="00F764E0">
        <w:rPr>
          <w:rFonts w:ascii="Verdana" w:hAnsi="Verdana"/>
        </w:rPr>
        <w:t>s</w:t>
      </w:r>
      <w:r w:rsidR="00317E74" w:rsidRPr="00717F57">
        <w:rPr>
          <w:rFonts w:ascii="Verdana" w:hAnsi="Verdana"/>
        </w:rPr>
        <w:t xml:space="preserve"> to adopt immediate and effective measures, particularly in teaching, education, culture and information, with a view to combating prejudice which lead</w:t>
      </w:r>
      <w:r w:rsidR="00260C24">
        <w:rPr>
          <w:rFonts w:ascii="Verdana" w:hAnsi="Verdana"/>
        </w:rPr>
        <w:t>s</w:t>
      </w:r>
      <w:r w:rsidR="00317E74" w:rsidRPr="00717F57">
        <w:rPr>
          <w:rFonts w:ascii="Verdana" w:hAnsi="Verdana"/>
        </w:rPr>
        <w:t xml:space="preserve"> to racial discrimination</w:t>
      </w:r>
      <w:r w:rsidR="00EF6D9B" w:rsidRPr="00717F57">
        <w:rPr>
          <w:rFonts w:ascii="Verdana" w:hAnsi="Verdana"/>
        </w:rPr>
        <w:t>. Consistent wit</w:t>
      </w:r>
      <w:r w:rsidR="00013597" w:rsidRPr="00717F57">
        <w:rPr>
          <w:rFonts w:ascii="Verdana" w:hAnsi="Verdana"/>
        </w:rPr>
        <w:t xml:space="preserve">h such </w:t>
      </w:r>
      <w:r w:rsidR="00EF6D9B" w:rsidRPr="00717F57">
        <w:rPr>
          <w:rFonts w:ascii="Verdana" w:hAnsi="Verdana"/>
        </w:rPr>
        <w:t xml:space="preserve">obligations the </w:t>
      </w:r>
      <w:r w:rsidR="00CD1966" w:rsidRPr="00717F57">
        <w:rPr>
          <w:rFonts w:ascii="Verdana" w:hAnsi="Verdana"/>
        </w:rPr>
        <w:t>UN</w:t>
      </w:r>
      <w:r w:rsidR="008E4807" w:rsidRPr="00717F57">
        <w:rPr>
          <w:rFonts w:ascii="Verdana" w:hAnsi="Verdana"/>
        </w:rPr>
        <w:t xml:space="preserve"> </w:t>
      </w:r>
      <w:r w:rsidR="00EF6D9B" w:rsidRPr="00717F57">
        <w:rPr>
          <w:rFonts w:ascii="Verdana" w:hAnsi="Verdana"/>
        </w:rPr>
        <w:t xml:space="preserve">OHCHR </w:t>
      </w:r>
      <w:r w:rsidR="00856A34" w:rsidRPr="00717F57">
        <w:rPr>
          <w:rFonts w:ascii="Verdana" w:hAnsi="Verdana"/>
        </w:rPr>
        <w:t>states that</w:t>
      </w:r>
      <w:r w:rsidR="004417AC" w:rsidRPr="00717F57">
        <w:rPr>
          <w:rFonts w:ascii="Verdana" w:hAnsi="Verdana"/>
        </w:rPr>
        <w:t xml:space="preserve">, </w:t>
      </w:r>
      <w:r w:rsidR="00644247" w:rsidRPr="00717F57">
        <w:rPr>
          <w:rFonts w:ascii="Verdana" w:hAnsi="Verdana"/>
        </w:rPr>
        <w:t>a N</w:t>
      </w:r>
      <w:r w:rsidR="00123F52">
        <w:rPr>
          <w:rFonts w:ascii="Verdana" w:hAnsi="Verdana"/>
        </w:rPr>
        <w:t xml:space="preserve">ation </w:t>
      </w:r>
      <w:r w:rsidR="00644247" w:rsidRPr="00717F57">
        <w:rPr>
          <w:rFonts w:ascii="Verdana" w:hAnsi="Verdana"/>
        </w:rPr>
        <w:t>A</w:t>
      </w:r>
      <w:r w:rsidR="00123F52">
        <w:rPr>
          <w:rFonts w:ascii="Verdana" w:hAnsi="Verdana"/>
        </w:rPr>
        <w:t xml:space="preserve">ction </w:t>
      </w:r>
      <w:r w:rsidR="00644247" w:rsidRPr="00717F57">
        <w:rPr>
          <w:rFonts w:ascii="Verdana" w:hAnsi="Verdana"/>
        </w:rPr>
        <w:t>P</w:t>
      </w:r>
      <w:r w:rsidR="00123F52">
        <w:rPr>
          <w:rFonts w:ascii="Verdana" w:hAnsi="Verdana"/>
        </w:rPr>
        <w:t>lan</w:t>
      </w:r>
      <w:r w:rsidR="00084A78">
        <w:rPr>
          <w:rFonts w:ascii="Verdana" w:hAnsi="Verdana"/>
        </w:rPr>
        <w:t xml:space="preserve"> against </w:t>
      </w:r>
      <w:r w:rsidR="00644247" w:rsidRPr="00717F57">
        <w:rPr>
          <w:rFonts w:ascii="Verdana" w:hAnsi="Verdana"/>
        </w:rPr>
        <w:t>R</w:t>
      </w:r>
      <w:r w:rsidR="00084A78">
        <w:rPr>
          <w:rFonts w:ascii="Verdana" w:hAnsi="Verdana"/>
        </w:rPr>
        <w:t xml:space="preserve">acial </w:t>
      </w:r>
      <w:r w:rsidR="00644247" w:rsidRPr="00717F57">
        <w:rPr>
          <w:rFonts w:ascii="Verdana" w:hAnsi="Verdana"/>
        </w:rPr>
        <w:t>D</w:t>
      </w:r>
      <w:r w:rsidR="00084A78">
        <w:rPr>
          <w:rFonts w:ascii="Verdana" w:hAnsi="Verdana"/>
        </w:rPr>
        <w:t>iscrimination</w:t>
      </w:r>
      <w:r w:rsidR="00644247" w:rsidRPr="00717F57">
        <w:rPr>
          <w:rFonts w:ascii="Verdana" w:hAnsi="Verdana"/>
        </w:rPr>
        <w:t xml:space="preserve"> </w:t>
      </w:r>
      <w:r w:rsidR="00856A34" w:rsidRPr="00717F57">
        <w:rPr>
          <w:rFonts w:ascii="Verdana" w:hAnsi="Verdana"/>
        </w:rPr>
        <w:t xml:space="preserve">may </w:t>
      </w:r>
      <w:r w:rsidR="00240140" w:rsidRPr="00717F57">
        <w:rPr>
          <w:rFonts w:ascii="Verdana" w:hAnsi="Verdana"/>
        </w:rPr>
        <w:t>entail, “</w:t>
      </w:r>
      <w:r w:rsidR="00013597" w:rsidRPr="00717F57">
        <w:rPr>
          <w:rFonts w:ascii="Verdana" w:hAnsi="Verdana"/>
        </w:rPr>
        <w:t>p</w:t>
      </w:r>
      <w:r w:rsidR="00856A34" w:rsidRPr="00717F57">
        <w:rPr>
          <w:rFonts w:ascii="Verdana" w:hAnsi="Verdana"/>
        </w:rPr>
        <w:t>rogrammes for promoting greater awareness and understanding of the prohibition of racial discrimination</w:t>
      </w:r>
      <w:r w:rsidR="00A20667" w:rsidRPr="00717F57">
        <w:rPr>
          <w:rFonts w:ascii="Verdana" w:hAnsi="Verdana"/>
        </w:rPr>
        <w:t>” and “</w:t>
      </w:r>
      <w:r w:rsidR="00013597" w:rsidRPr="00717F57">
        <w:rPr>
          <w:rFonts w:ascii="Verdana" w:hAnsi="Verdana"/>
        </w:rPr>
        <w:t>c</w:t>
      </w:r>
      <w:r w:rsidR="00856A34" w:rsidRPr="00717F57">
        <w:rPr>
          <w:rFonts w:ascii="Verdana" w:hAnsi="Verdana"/>
        </w:rPr>
        <w:t>ampaigns to ensure that the general public is made aware of the legislation combating racial discrimination</w:t>
      </w:r>
      <w:r w:rsidR="00013597" w:rsidRPr="00717F57">
        <w:rPr>
          <w:rFonts w:ascii="Verdana" w:hAnsi="Verdana"/>
        </w:rPr>
        <w:t>.”</w:t>
      </w:r>
      <w:r w:rsidR="00013597" w:rsidRPr="00717F57">
        <w:rPr>
          <w:rStyle w:val="FootnoteReference"/>
          <w:rFonts w:ascii="Verdana" w:hAnsi="Verdana"/>
        </w:rPr>
        <w:footnoteReference w:id="61"/>
      </w:r>
    </w:p>
    <w:p w14:paraId="0F8C0AB4" w14:textId="77777777" w:rsidR="00187229" w:rsidRPr="004646AE" w:rsidRDefault="00187229" w:rsidP="00187229">
      <w:pPr>
        <w:pStyle w:val="BasicParagraph"/>
        <w:suppressAutoHyphens/>
        <w:ind w:left="709"/>
        <w:rPr>
          <w:rFonts w:ascii="Verdana" w:hAnsi="Verdana"/>
        </w:rPr>
      </w:pPr>
    </w:p>
    <w:p w14:paraId="4F0E99AE" w14:textId="2B0AD9FA" w:rsidR="0046248B" w:rsidRPr="00C84086" w:rsidRDefault="0046248B" w:rsidP="00F247B7">
      <w:pPr>
        <w:pStyle w:val="BasicParagraph"/>
        <w:numPr>
          <w:ilvl w:val="1"/>
          <w:numId w:val="21"/>
        </w:numPr>
        <w:suppressAutoHyphens/>
        <w:ind w:left="709"/>
        <w:rPr>
          <w:rFonts w:ascii="Verdana" w:hAnsi="Verdana"/>
          <w:b/>
          <w:bCs/>
        </w:rPr>
      </w:pPr>
      <w:r w:rsidRPr="006B5D83">
        <w:rPr>
          <w:rFonts w:ascii="Verdana" w:hAnsi="Verdana" w:hint="eastAsia"/>
          <w:b/>
        </w:rPr>
        <w:t xml:space="preserve">The NIHRC </w:t>
      </w:r>
      <w:r w:rsidR="00260C24">
        <w:rPr>
          <w:rFonts w:ascii="Verdana" w:hAnsi="Verdana"/>
          <w:b/>
        </w:rPr>
        <w:t>recommends</w:t>
      </w:r>
      <w:r w:rsidR="00260C24" w:rsidRPr="006B5D83">
        <w:rPr>
          <w:rFonts w:ascii="Verdana" w:hAnsi="Verdana" w:hint="eastAsia"/>
          <w:b/>
        </w:rPr>
        <w:t xml:space="preserve"> </w:t>
      </w:r>
      <w:r w:rsidRPr="006B5D83">
        <w:rPr>
          <w:rFonts w:ascii="Verdana" w:hAnsi="Verdana" w:hint="eastAsia"/>
          <w:b/>
        </w:rPr>
        <w:t xml:space="preserve">that, to ensure compliance with Windsor Framework </w:t>
      </w:r>
      <w:r w:rsidRPr="006B5D83">
        <w:rPr>
          <w:rFonts w:ascii="Verdana" w:hAnsi="Verdana" w:hint="eastAsia"/>
          <w:b/>
          <w:bCs/>
        </w:rPr>
        <w:t>Article</w:t>
      </w:r>
      <w:r w:rsidR="006B5D83">
        <w:rPr>
          <w:rFonts w:ascii="Verdana" w:hAnsi="Verdana"/>
          <w:b/>
          <w:bCs/>
        </w:rPr>
        <w:t>s</w:t>
      </w:r>
      <w:r w:rsidRPr="006B5D83">
        <w:rPr>
          <w:rFonts w:ascii="Verdana" w:hAnsi="Verdana" w:hint="eastAsia"/>
          <w:b/>
        </w:rPr>
        <w:t xml:space="preserve"> 2</w:t>
      </w:r>
      <w:r w:rsidR="006B5D83">
        <w:rPr>
          <w:rFonts w:ascii="Verdana" w:hAnsi="Verdana"/>
          <w:b/>
          <w:bCs/>
        </w:rPr>
        <w:t xml:space="preserve"> and 13</w:t>
      </w:r>
      <w:r w:rsidRPr="006B5D83">
        <w:rPr>
          <w:rFonts w:ascii="Verdana" w:hAnsi="Verdana" w:hint="eastAsia"/>
          <w:b/>
        </w:rPr>
        <w:t xml:space="preserve">, any </w:t>
      </w:r>
      <w:r w:rsidR="00234415">
        <w:rPr>
          <w:rFonts w:ascii="Verdana" w:hAnsi="Verdana"/>
          <w:b/>
        </w:rPr>
        <w:t>updates</w:t>
      </w:r>
      <w:r w:rsidRPr="006B5D83">
        <w:rPr>
          <w:rFonts w:ascii="Verdana" w:hAnsi="Verdana" w:hint="eastAsia"/>
          <w:b/>
        </w:rPr>
        <w:t xml:space="preserve"> to </w:t>
      </w:r>
      <w:r w:rsidR="004F5036">
        <w:rPr>
          <w:rFonts w:ascii="Verdana" w:hAnsi="Verdana"/>
          <w:b/>
        </w:rPr>
        <w:t>NI</w:t>
      </w:r>
      <w:r w:rsidRPr="006B5D83">
        <w:rPr>
          <w:rFonts w:ascii="Verdana" w:hAnsi="Verdana" w:hint="eastAsia"/>
          <w:b/>
        </w:rPr>
        <w:t xml:space="preserve"> Race Relations </w:t>
      </w:r>
      <w:r w:rsidR="0055356E">
        <w:rPr>
          <w:rFonts w:ascii="Verdana" w:hAnsi="Verdana"/>
          <w:b/>
          <w:bCs/>
        </w:rPr>
        <w:t xml:space="preserve">legislation </w:t>
      </w:r>
      <w:r w:rsidR="00F170C1">
        <w:rPr>
          <w:rFonts w:ascii="Verdana" w:hAnsi="Verdana"/>
          <w:b/>
          <w:bCs/>
        </w:rPr>
        <w:t xml:space="preserve">must </w:t>
      </w:r>
      <w:r w:rsidR="00D02535">
        <w:rPr>
          <w:rFonts w:ascii="Verdana" w:hAnsi="Verdana"/>
          <w:b/>
          <w:bCs/>
        </w:rPr>
        <w:t>reflect</w:t>
      </w:r>
      <w:r w:rsidR="00011131">
        <w:rPr>
          <w:rFonts w:ascii="Verdana" w:hAnsi="Verdana"/>
          <w:b/>
          <w:bCs/>
        </w:rPr>
        <w:t xml:space="preserve"> any changes to the </w:t>
      </w:r>
      <w:r w:rsidR="00D02535">
        <w:rPr>
          <w:rFonts w:ascii="Verdana" w:hAnsi="Verdana"/>
          <w:b/>
          <w:bCs/>
        </w:rPr>
        <w:t>EU Racial Equality Directive</w:t>
      </w:r>
      <w:r w:rsidR="00011131" w:rsidRPr="00011131">
        <w:rPr>
          <w:rFonts w:ascii="Verdana" w:hAnsi="Verdana"/>
          <w:b/>
          <w:bCs/>
        </w:rPr>
        <w:t xml:space="preserve"> </w:t>
      </w:r>
      <w:r w:rsidR="00011131">
        <w:rPr>
          <w:rFonts w:ascii="Verdana" w:hAnsi="Verdana"/>
          <w:b/>
          <w:bCs/>
        </w:rPr>
        <w:t>which enhance rights</w:t>
      </w:r>
      <w:r w:rsidR="00D02535">
        <w:rPr>
          <w:rFonts w:ascii="Verdana" w:hAnsi="Verdana"/>
          <w:b/>
          <w:bCs/>
        </w:rPr>
        <w:t>, including those already</w:t>
      </w:r>
      <w:r w:rsidR="00FD0E7F">
        <w:rPr>
          <w:rFonts w:ascii="Verdana" w:hAnsi="Verdana"/>
          <w:b/>
          <w:bCs/>
        </w:rPr>
        <w:t xml:space="preserve"> </w:t>
      </w:r>
      <w:r w:rsidR="00664EBD">
        <w:rPr>
          <w:rFonts w:ascii="Verdana" w:hAnsi="Verdana"/>
          <w:b/>
          <w:bCs/>
        </w:rPr>
        <w:t>introduced by the Standards for Equality Bodies Directive</w:t>
      </w:r>
      <w:r w:rsidR="008E7F35">
        <w:rPr>
          <w:rFonts w:ascii="Verdana" w:hAnsi="Verdana"/>
          <w:b/>
          <w:bCs/>
        </w:rPr>
        <w:t>,</w:t>
      </w:r>
      <w:r w:rsidR="00D02535">
        <w:rPr>
          <w:rFonts w:ascii="Verdana" w:hAnsi="Verdana"/>
          <w:b/>
          <w:bCs/>
        </w:rPr>
        <w:t xml:space="preserve"> </w:t>
      </w:r>
      <w:r w:rsidRPr="00C84086">
        <w:rPr>
          <w:rFonts w:ascii="Verdana" w:hAnsi="Verdana" w:hint="eastAsia"/>
          <w:b/>
        </w:rPr>
        <w:t>and relevant CJEU jurisprudence.</w:t>
      </w:r>
    </w:p>
    <w:p w14:paraId="7E2A9AEC" w14:textId="77777777" w:rsidR="0046248B" w:rsidRDefault="0046248B" w:rsidP="006B5D83">
      <w:pPr>
        <w:pStyle w:val="ListParagraph"/>
        <w:rPr>
          <w:b/>
          <w:bCs/>
        </w:rPr>
      </w:pPr>
    </w:p>
    <w:p w14:paraId="78074CF0" w14:textId="5379D96B" w:rsidR="00040E16" w:rsidRPr="00717F57" w:rsidRDefault="003C0051" w:rsidP="00F247B7">
      <w:pPr>
        <w:pStyle w:val="BasicParagraph"/>
        <w:numPr>
          <w:ilvl w:val="1"/>
          <w:numId w:val="21"/>
        </w:numPr>
        <w:suppressAutoHyphens/>
        <w:ind w:left="709"/>
        <w:rPr>
          <w:b/>
        </w:rPr>
      </w:pPr>
      <w:r w:rsidRPr="00717F57">
        <w:rPr>
          <w:rFonts w:ascii="Verdana" w:hAnsi="Verdana"/>
          <w:b/>
          <w:bCs/>
        </w:rPr>
        <w:t>The NIHRC</w:t>
      </w:r>
      <w:r w:rsidR="00D33DD3" w:rsidRPr="00717F57">
        <w:rPr>
          <w:rFonts w:ascii="Verdana" w:hAnsi="Verdana"/>
        </w:rPr>
        <w:t xml:space="preserve"> </w:t>
      </w:r>
      <w:r w:rsidR="00D33DD3" w:rsidRPr="00717F57">
        <w:rPr>
          <w:rFonts w:ascii="Verdana" w:hAnsi="Verdana"/>
          <w:b/>
          <w:bCs/>
        </w:rPr>
        <w:t>welcomes the Executive Office’s proposals to en</w:t>
      </w:r>
      <w:r w:rsidR="00116FD1" w:rsidRPr="00717F57">
        <w:rPr>
          <w:rFonts w:ascii="Verdana" w:hAnsi="Verdana"/>
          <w:b/>
          <w:bCs/>
        </w:rPr>
        <w:t>act</w:t>
      </w:r>
      <w:r w:rsidR="005F1C1F" w:rsidRPr="00717F57">
        <w:rPr>
          <w:rFonts w:ascii="Verdana" w:hAnsi="Verdana"/>
          <w:b/>
          <w:bCs/>
        </w:rPr>
        <w:t xml:space="preserve"> </w:t>
      </w:r>
      <w:r w:rsidR="003D0620" w:rsidRPr="00717F57">
        <w:rPr>
          <w:rFonts w:ascii="Verdana" w:hAnsi="Verdana"/>
          <w:b/>
          <w:bCs/>
        </w:rPr>
        <w:t xml:space="preserve">updated </w:t>
      </w:r>
      <w:r w:rsidR="005F1C1F" w:rsidRPr="00717F57">
        <w:rPr>
          <w:rFonts w:ascii="Verdana" w:hAnsi="Verdana"/>
          <w:b/>
          <w:bCs/>
        </w:rPr>
        <w:t xml:space="preserve">Race Relations legislation and </w:t>
      </w:r>
      <w:r w:rsidR="00260C24">
        <w:rPr>
          <w:rFonts w:ascii="Verdana" w:hAnsi="Verdana"/>
          <w:b/>
          <w:bCs/>
        </w:rPr>
        <w:t>recommends this is</w:t>
      </w:r>
      <w:r w:rsidR="004646AE" w:rsidRPr="00717F57">
        <w:rPr>
          <w:rFonts w:ascii="Verdana" w:hAnsi="Verdana"/>
          <w:b/>
          <w:bCs/>
        </w:rPr>
        <w:t xml:space="preserve"> supported by effective education and awareness</w:t>
      </w:r>
      <w:r w:rsidR="004646AE" w:rsidRPr="00717F57">
        <w:rPr>
          <w:rFonts w:ascii="Verdana" w:hAnsi="Verdana"/>
          <w:b/>
          <w:bCs/>
        </w:rPr>
        <w:noBreakHyphen/>
        <w:t xml:space="preserve">raising </w:t>
      </w:r>
      <w:r w:rsidR="00F91AD1" w:rsidRPr="00717F57">
        <w:rPr>
          <w:rFonts w:ascii="Verdana" w:hAnsi="Verdana"/>
          <w:b/>
          <w:bCs/>
        </w:rPr>
        <w:t xml:space="preserve">programmes on </w:t>
      </w:r>
      <w:r w:rsidR="004646AE" w:rsidRPr="00717F57">
        <w:rPr>
          <w:rFonts w:ascii="Verdana" w:hAnsi="Verdana"/>
          <w:b/>
          <w:bCs/>
        </w:rPr>
        <w:t>anti</w:t>
      </w:r>
      <w:r w:rsidR="004646AE" w:rsidRPr="00717F57">
        <w:rPr>
          <w:rFonts w:ascii="Verdana" w:hAnsi="Verdana"/>
          <w:b/>
          <w:bCs/>
        </w:rPr>
        <w:noBreakHyphen/>
        <w:t>racism, equality and anti</w:t>
      </w:r>
      <w:r w:rsidR="004646AE" w:rsidRPr="00717F57">
        <w:rPr>
          <w:rFonts w:ascii="Verdana" w:hAnsi="Verdana"/>
          <w:b/>
          <w:bCs/>
        </w:rPr>
        <w:noBreakHyphen/>
        <w:t xml:space="preserve">discrimination </w:t>
      </w:r>
      <w:r w:rsidR="000B3EAF" w:rsidRPr="00717F57">
        <w:rPr>
          <w:rFonts w:ascii="Verdana" w:hAnsi="Verdana"/>
          <w:b/>
          <w:bCs/>
        </w:rPr>
        <w:t>aimed at p</w:t>
      </w:r>
      <w:r w:rsidR="004646AE" w:rsidRPr="00717F57">
        <w:rPr>
          <w:rFonts w:ascii="Verdana" w:hAnsi="Verdana"/>
          <w:b/>
          <w:bCs/>
        </w:rPr>
        <w:t>ublic officials, civil society</w:t>
      </w:r>
      <w:r w:rsidR="000E17DB" w:rsidRPr="00717F57">
        <w:rPr>
          <w:rFonts w:ascii="Verdana" w:hAnsi="Verdana"/>
          <w:b/>
          <w:bCs/>
        </w:rPr>
        <w:t xml:space="preserve">, the </w:t>
      </w:r>
      <w:r w:rsidR="00027C44" w:rsidRPr="00717F57">
        <w:rPr>
          <w:rFonts w:ascii="Verdana" w:hAnsi="Verdana"/>
          <w:b/>
          <w:bCs/>
        </w:rPr>
        <w:t>media,</w:t>
      </w:r>
      <w:r w:rsidR="004646AE" w:rsidRPr="00717F57">
        <w:rPr>
          <w:rFonts w:ascii="Verdana" w:hAnsi="Verdana"/>
          <w:b/>
          <w:bCs/>
        </w:rPr>
        <w:t xml:space="preserve"> and the wider public</w:t>
      </w:r>
      <w:r w:rsidR="00D53C1B" w:rsidRPr="00717F57">
        <w:rPr>
          <w:rFonts w:ascii="Verdana" w:hAnsi="Verdana"/>
          <w:b/>
          <w:bCs/>
        </w:rPr>
        <w:t>.</w:t>
      </w:r>
    </w:p>
    <w:p w14:paraId="36D3D7B7" w14:textId="77777777" w:rsidR="00040E16" w:rsidRPr="004646AE" w:rsidRDefault="00040E16" w:rsidP="00040E16">
      <w:pPr>
        <w:pStyle w:val="BasicParagraph"/>
        <w:suppressAutoHyphens/>
        <w:ind w:left="709"/>
        <w:rPr>
          <w:b/>
          <w:bCs/>
        </w:rPr>
      </w:pPr>
    </w:p>
    <w:p w14:paraId="79281317" w14:textId="014FD7D7" w:rsidR="00B8389C" w:rsidRPr="00494ECF" w:rsidRDefault="008E71B3" w:rsidP="00F247B7">
      <w:pPr>
        <w:pStyle w:val="BasicParagraph"/>
        <w:widowControl/>
        <w:numPr>
          <w:ilvl w:val="1"/>
          <w:numId w:val="21"/>
        </w:numPr>
        <w:suppressAutoHyphens/>
        <w:ind w:left="709"/>
        <w:rPr>
          <w:rFonts w:ascii="Verdana" w:hAnsi="Verdana"/>
          <w:b/>
          <w:bCs/>
        </w:rPr>
      </w:pPr>
      <w:r w:rsidRPr="00494ECF">
        <w:rPr>
          <w:rFonts w:ascii="Verdana" w:hAnsi="Verdana"/>
          <w:b/>
          <w:bCs/>
        </w:rPr>
        <w:lastRenderedPageBreak/>
        <w:t>T</w:t>
      </w:r>
      <w:r w:rsidR="001753E0" w:rsidRPr="00494ECF">
        <w:rPr>
          <w:rFonts w:ascii="Verdana" w:hAnsi="Verdana"/>
          <w:b/>
          <w:bCs/>
        </w:rPr>
        <w:t>he NIHRC recommends that the Executive Office</w:t>
      </w:r>
      <w:r w:rsidRPr="00494ECF">
        <w:rPr>
          <w:rFonts w:ascii="Verdana" w:hAnsi="Verdana"/>
          <w:b/>
          <w:bCs/>
        </w:rPr>
        <w:t xml:space="preserve"> </w:t>
      </w:r>
      <w:r w:rsidR="001753E0" w:rsidRPr="00494ECF">
        <w:rPr>
          <w:rFonts w:ascii="Verdana" w:hAnsi="Verdana"/>
          <w:b/>
          <w:bCs/>
        </w:rPr>
        <w:t>implements systematic monitoring and impact</w:t>
      </w:r>
      <w:r w:rsidR="00260C24">
        <w:rPr>
          <w:rFonts w:ascii="Cambria Math" w:hAnsi="Cambria Math" w:cs="Cambria Math"/>
          <w:b/>
          <w:bCs/>
        </w:rPr>
        <w:t xml:space="preserve"> </w:t>
      </w:r>
      <w:r w:rsidR="001753E0" w:rsidRPr="00494ECF">
        <w:rPr>
          <w:rFonts w:ascii="Verdana" w:hAnsi="Verdana"/>
          <w:b/>
          <w:bCs/>
        </w:rPr>
        <w:t xml:space="preserve">assessment measures </w:t>
      </w:r>
      <w:r w:rsidR="00260C24">
        <w:rPr>
          <w:rFonts w:ascii="Verdana" w:hAnsi="Verdana"/>
          <w:b/>
          <w:bCs/>
        </w:rPr>
        <w:t xml:space="preserve">of </w:t>
      </w:r>
      <w:r w:rsidR="001753E0" w:rsidRPr="00494ECF">
        <w:rPr>
          <w:rFonts w:ascii="Verdana" w:hAnsi="Verdana"/>
          <w:b/>
          <w:bCs/>
        </w:rPr>
        <w:t>new legislation, to ensure that it</w:t>
      </w:r>
      <w:r w:rsidR="001753E0" w:rsidRPr="00494ECF" w:rsidDel="00C46696">
        <w:rPr>
          <w:rFonts w:ascii="Verdana" w:hAnsi="Verdana"/>
          <w:b/>
          <w:bCs/>
        </w:rPr>
        <w:t xml:space="preserve"> does not </w:t>
      </w:r>
      <w:r w:rsidR="001753E0" w:rsidRPr="00494ECF">
        <w:rPr>
          <w:rFonts w:ascii="Verdana" w:hAnsi="Verdana"/>
          <w:b/>
          <w:bCs/>
        </w:rPr>
        <w:t>contribute to the perpetuation of racial discrimination.</w:t>
      </w:r>
    </w:p>
    <w:p w14:paraId="39C10897" w14:textId="77777777" w:rsidR="00A74AA1" w:rsidRPr="00AB46E5" w:rsidRDefault="00A74AA1" w:rsidP="00A74AA1">
      <w:pPr>
        <w:pStyle w:val="BasicParagraph"/>
        <w:suppressAutoHyphens/>
        <w:ind w:left="-11"/>
        <w:rPr>
          <w:rFonts w:ascii="Verdana" w:hAnsi="Verdana"/>
          <w:b/>
          <w:bCs/>
        </w:rPr>
      </w:pPr>
    </w:p>
    <w:p w14:paraId="109A6B17" w14:textId="3938DCDA" w:rsidR="009E1B2F" w:rsidRPr="00140086" w:rsidRDefault="00AB6248" w:rsidP="00B75E30">
      <w:pPr>
        <w:pStyle w:val="Heading2"/>
      </w:pPr>
      <w:bookmarkStart w:id="9" w:name="_Toc230705738"/>
      <w:r w:rsidRPr="00140086">
        <w:t xml:space="preserve">Awareness Raising </w:t>
      </w:r>
      <w:r w:rsidR="005273BD" w:rsidRPr="00140086">
        <w:t>Interventions</w:t>
      </w:r>
      <w:bookmarkEnd w:id="9"/>
      <w:r w:rsidR="005273BD" w:rsidRPr="00140086">
        <w:t xml:space="preserve"> </w:t>
      </w:r>
    </w:p>
    <w:p w14:paraId="47BC9F92" w14:textId="77777777" w:rsidR="00E34EFD" w:rsidRPr="00E34EFD" w:rsidRDefault="00E34EFD" w:rsidP="00E34EFD"/>
    <w:p w14:paraId="08E2A08E" w14:textId="0056F627" w:rsidR="003913E2" w:rsidRPr="00F550C4" w:rsidRDefault="00C708FC" w:rsidP="00F247B7">
      <w:pPr>
        <w:pStyle w:val="BasicParagraph"/>
        <w:numPr>
          <w:ilvl w:val="1"/>
          <w:numId w:val="21"/>
        </w:numPr>
        <w:suppressAutoHyphens/>
        <w:ind w:left="709"/>
        <w:rPr>
          <w:rFonts w:ascii="Verdana" w:hAnsi="Verdana"/>
        </w:rPr>
      </w:pPr>
      <w:r>
        <w:rPr>
          <w:rFonts w:ascii="Verdana" w:hAnsi="Verdana"/>
        </w:rPr>
        <w:t>Overall</w:t>
      </w:r>
      <w:r w:rsidR="00C80355" w:rsidRPr="00F550C4">
        <w:rPr>
          <w:rFonts w:ascii="Verdana" w:hAnsi="Verdana"/>
        </w:rPr>
        <w:t>,</w:t>
      </w:r>
      <w:r w:rsidR="007C2D60" w:rsidRPr="00F550C4">
        <w:rPr>
          <w:rFonts w:ascii="Verdana" w:hAnsi="Verdana"/>
        </w:rPr>
        <w:t xml:space="preserve"> the key interventions under</w:t>
      </w:r>
      <w:r w:rsidR="00C80355" w:rsidRPr="00F550C4">
        <w:rPr>
          <w:rFonts w:ascii="Verdana" w:hAnsi="Verdana"/>
        </w:rPr>
        <w:t xml:space="preserve"> </w:t>
      </w:r>
      <w:r w:rsidR="0089469C" w:rsidRPr="00F550C4">
        <w:rPr>
          <w:rFonts w:ascii="Verdana" w:hAnsi="Verdana"/>
        </w:rPr>
        <w:t xml:space="preserve">Outcome </w:t>
      </w:r>
      <w:r w:rsidR="00C80355" w:rsidRPr="00F550C4">
        <w:rPr>
          <w:rFonts w:ascii="Verdana" w:hAnsi="Verdana"/>
        </w:rPr>
        <w:t xml:space="preserve">1 </w:t>
      </w:r>
      <w:r w:rsidR="003913E2" w:rsidRPr="00F550C4">
        <w:rPr>
          <w:rFonts w:ascii="Verdana" w:hAnsi="Verdana"/>
        </w:rPr>
        <w:t>reflect the broader high</w:t>
      </w:r>
      <w:r w:rsidR="003913E2" w:rsidRPr="00F550C4">
        <w:rPr>
          <w:rFonts w:ascii="Verdana" w:hAnsi="Verdana"/>
        </w:rPr>
        <w:noBreakHyphen/>
        <w:t xml:space="preserve">level tone of the </w:t>
      </w:r>
      <w:r w:rsidR="0011676A">
        <w:rPr>
          <w:rFonts w:ascii="Verdana" w:hAnsi="Verdana"/>
        </w:rPr>
        <w:t>D</w:t>
      </w:r>
      <w:r w:rsidR="003913E2" w:rsidRPr="00F550C4">
        <w:rPr>
          <w:rFonts w:ascii="Verdana" w:hAnsi="Verdana"/>
        </w:rPr>
        <w:t xml:space="preserve">raft Framework and are expressed in overly general terms. As a result, they do not sufficiently set out how structural racial inequality will be addressed in practice. </w:t>
      </w:r>
      <w:r w:rsidR="00586C94" w:rsidRPr="00164B03">
        <w:rPr>
          <w:rFonts w:ascii="Verdana" w:hAnsi="Verdana"/>
        </w:rPr>
        <w:t>There</w:t>
      </w:r>
      <w:r w:rsidR="003913E2" w:rsidRPr="00164B03">
        <w:rPr>
          <w:rFonts w:ascii="Verdana" w:hAnsi="Verdana"/>
        </w:rPr>
        <w:t xml:space="preserve"> is a lack of clarity</w:t>
      </w:r>
      <w:r w:rsidR="00613269" w:rsidRPr="00164B03">
        <w:rPr>
          <w:rFonts w:ascii="Verdana" w:hAnsi="Verdana"/>
        </w:rPr>
        <w:t xml:space="preserve"> </w:t>
      </w:r>
      <w:r w:rsidR="00D47487" w:rsidRPr="00164B03">
        <w:rPr>
          <w:rFonts w:ascii="Verdana" w:hAnsi="Verdana"/>
        </w:rPr>
        <w:t xml:space="preserve">regarding the </w:t>
      </w:r>
      <w:r w:rsidR="00613269" w:rsidRPr="00164B03">
        <w:rPr>
          <w:rFonts w:ascii="Verdana" w:hAnsi="Verdana"/>
        </w:rPr>
        <w:t>specific action</w:t>
      </w:r>
      <w:r w:rsidR="0071101A" w:rsidRPr="00164B03">
        <w:rPr>
          <w:rFonts w:ascii="Verdana" w:hAnsi="Verdana"/>
        </w:rPr>
        <w:t>s</w:t>
      </w:r>
      <w:r w:rsidR="00613269" w:rsidRPr="00164B03">
        <w:rPr>
          <w:rFonts w:ascii="Verdana" w:hAnsi="Verdana"/>
        </w:rPr>
        <w:t xml:space="preserve"> to be taken</w:t>
      </w:r>
      <w:r w:rsidR="0071101A" w:rsidRPr="00164B03">
        <w:rPr>
          <w:rFonts w:ascii="Verdana" w:hAnsi="Verdana"/>
        </w:rPr>
        <w:t>,</w:t>
      </w:r>
      <w:r w:rsidR="00613269" w:rsidRPr="00164B03">
        <w:rPr>
          <w:rFonts w:ascii="Verdana" w:hAnsi="Verdana"/>
        </w:rPr>
        <w:t xml:space="preserve"> </w:t>
      </w:r>
      <w:r w:rsidR="003913E2" w:rsidRPr="00164B03">
        <w:rPr>
          <w:rFonts w:ascii="Verdana" w:hAnsi="Verdana"/>
        </w:rPr>
        <w:t>the intended target groups,</w:t>
      </w:r>
      <w:r w:rsidR="0082001B" w:rsidRPr="00164B03">
        <w:rPr>
          <w:rFonts w:ascii="Verdana" w:hAnsi="Verdana"/>
        </w:rPr>
        <w:t xml:space="preserve"> the performance indicat</w:t>
      </w:r>
      <w:r w:rsidR="00FB316C" w:rsidRPr="00164B03">
        <w:rPr>
          <w:rFonts w:ascii="Verdana" w:hAnsi="Verdana"/>
        </w:rPr>
        <w:t>ors</w:t>
      </w:r>
      <w:r w:rsidR="003913E2" w:rsidRPr="00164B03">
        <w:rPr>
          <w:rFonts w:ascii="Verdana" w:hAnsi="Verdana"/>
        </w:rPr>
        <w:t xml:space="preserve"> and the bodies responsible for </w:t>
      </w:r>
      <w:r w:rsidR="00BA58F6" w:rsidRPr="00164B03">
        <w:rPr>
          <w:rFonts w:ascii="Verdana" w:hAnsi="Verdana"/>
        </w:rPr>
        <w:t>implementation</w:t>
      </w:r>
      <w:r w:rsidR="00F550C4" w:rsidRPr="00164B03">
        <w:rPr>
          <w:rFonts w:ascii="Verdana" w:hAnsi="Verdana"/>
        </w:rPr>
        <w:t>.</w:t>
      </w:r>
    </w:p>
    <w:p w14:paraId="225D2318" w14:textId="77777777" w:rsidR="00A062DE" w:rsidRDefault="00A062DE" w:rsidP="00AC011A">
      <w:pPr>
        <w:pStyle w:val="BasicParagraph"/>
        <w:suppressAutoHyphens/>
        <w:rPr>
          <w:rFonts w:ascii="Verdana" w:hAnsi="Verdana"/>
        </w:rPr>
      </w:pPr>
    </w:p>
    <w:p w14:paraId="2E6F2310" w14:textId="5779665D" w:rsidR="00D31A7B" w:rsidRDefault="00AC011A" w:rsidP="00F247B7">
      <w:pPr>
        <w:pStyle w:val="BasicParagraph"/>
        <w:numPr>
          <w:ilvl w:val="1"/>
          <w:numId w:val="21"/>
        </w:numPr>
        <w:suppressAutoHyphens/>
        <w:ind w:left="709"/>
        <w:rPr>
          <w:rFonts w:ascii="Verdana" w:hAnsi="Verdana"/>
        </w:rPr>
      </w:pPr>
      <w:r>
        <w:rPr>
          <w:rFonts w:ascii="Verdana" w:hAnsi="Verdana"/>
        </w:rPr>
        <w:t>T</w:t>
      </w:r>
      <w:r w:rsidR="0019163F">
        <w:rPr>
          <w:rFonts w:ascii="Verdana" w:hAnsi="Verdana"/>
        </w:rPr>
        <w:t xml:space="preserve">he second, third and fourth </w:t>
      </w:r>
      <w:r>
        <w:rPr>
          <w:rFonts w:ascii="Verdana" w:hAnsi="Verdana"/>
        </w:rPr>
        <w:t>key interventions</w:t>
      </w:r>
      <w:r w:rsidR="000A52BA">
        <w:rPr>
          <w:rFonts w:ascii="Verdana" w:hAnsi="Verdana"/>
        </w:rPr>
        <w:t xml:space="preserve"> under Outcome</w:t>
      </w:r>
      <w:r w:rsidR="00111447">
        <w:rPr>
          <w:rFonts w:ascii="Verdana" w:hAnsi="Verdana"/>
        </w:rPr>
        <w:t xml:space="preserve"> </w:t>
      </w:r>
      <w:r w:rsidR="00294A98">
        <w:rPr>
          <w:rFonts w:ascii="Verdana" w:hAnsi="Verdana"/>
        </w:rPr>
        <w:t>1</w:t>
      </w:r>
      <w:r w:rsidR="00DB2FFC">
        <w:rPr>
          <w:rFonts w:ascii="Verdana" w:hAnsi="Verdana"/>
        </w:rPr>
        <w:t xml:space="preserve"> warrant particular attention</w:t>
      </w:r>
      <w:r>
        <w:rPr>
          <w:rFonts w:ascii="Verdana" w:hAnsi="Verdana"/>
        </w:rPr>
        <w:t xml:space="preserve">. </w:t>
      </w:r>
      <w:r w:rsidR="00A15AA7">
        <w:rPr>
          <w:rFonts w:ascii="Verdana" w:hAnsi="Verdana"/>
        </w:rPr>
        <w:t xml:space="preserve">The </w:t>
      </w:r>
      <w:r w:rsidR="0011676A">
        <w:rPr>
          <w:rFonts w:ascii="Verdana" w:hAnsi="Verdana"/>
        </w:rPr>
        <w:t>D</w:t>
      </w:r>
      <w:r w:rsidR="00A15AA7">
        <w:rPr>
          <w:rFonts w:ascii="Verdana" w:hAnsi="Verdana"/>
        </w:rPr>
        <w:t xml:space="preserve">raft Framework states that the Executive Office will seek </w:t>
      </w:r>
      <w:r w:rsidR="00B862BC">
        <w:rPr>
          <w:rFonts w:ascii="Verdana" w:hAnsi="Verdana"/>
        </w:rPr>
        <w:t>to, “</w:t>
      </w:r>
      <w:r w:rsidR="00B862BC" w:rsidRPr="001C4007">
        <w:rPr>
          <w:rFonts w:ascii="Verdana" w:hAnsi="Verdana"/>
        </w:rPr>
        <w:t>embed</w:t>
      </w:r>
      <w:r w:rsidR="001C4007" w:rsidRPr="001C4007">
        <w:rPr>
          <w:rFonts w:ascii="Verdana" w:hAnsi="Verdana"/>
        </w:rPr>
        <w:t xml:space="preserve"> racial equality across government and societal structures</w:t>
      </w:r>
      <w:r w:rsidR="00DB2FFC">
        <w:rPr>
          <w:rFonts w:ascii="Verdana" w:hAnsi="Verdana"/>
        </w:rPr>
        <w:t>”, “</w:t>
      </w:r>
      <w:r w:rsidR="0089469C">
        <w:rPr>
          <w:rFonts w:ascii="Verdana" w:hAnsi="Verdana"/>
        </w:rPr>
        <w:t>e</w:t>
      </w:r>
      <w:r w:rsidR="0089469C" w:rsidRPr="0081756D">
        <w:rPr>
          <w:rFonts w:ascii="Verdana" w:hAnsi="Verdana"/>
        </w:rPr>
        <w:t>mbed cultural awareness and anti-racism training across public service</w:t>
      </w:r>
      <w:r w:rsidR="0089469C">
        <w:rPr>
          <w:rFonts w:ascii="Verdana" w:hAnsi="Verdana"/>
        </w:rPr>
        <w:t>s</w:t>
      </w:r>
      <w:r w:rsidR="00935D5B">
        <w:rPr>
          <w:rFonts w:ascii="Verdana" w:hAnsi="Verdana"/>
        </w:rPr>
        <w:t>”</w:t>
      </w:r>
      <w:r w:rsidR="009638D3">
        <w:rPr>
          <w:rFonts w:ascii="Verdana" w:hAnsi="Verdana"/>
        </w:rPr>
        <w:t xml:space="preserve">, </w:t>
      </w:r>
      <w:r w:rsidR="0089469C">
        <w:rPr>
          <w:rFonts w:ascii="Verdana" w:hAnsi="Verdana"/>
        </w:rPr>
        <w:t xml:space="preserve">and </w:t>
      </w:r>
      <w:r w:rsidR="00935D5B">
        <w:rPr>
          <w:rFonts w:ascii="Verdana" w:hAnsi="Verdana"/>
        </w:rPr>
        <w:t>“</w:t>
      </w:r>
      <w:r w:rsidR="0089469C">
        <w:rPr>
          <w:rFonts w:ascii="Verdana" w:hAnsi="Verdana"/>
        </w:rPr>
        <w:t>e</w:t>
      </w:r>
      <w:r w:rsidR="0089469C" w:rsidRPr="0081756D">
        <w:rPr>
          <w:rFonts w:ascii="Verdana" w:hAnsi="Verdana"/>
        </w:rPr>
        <w:t>xpand educational opportunities to reflect diverse histories and cultures, raising aspirations and increasing attainmen</w:t>
      </w:r>
      <w:r w:rsidR="0089469C">
        <w:rPr>
          <w:rFonts w:ascii="Verdana" w:hAnsi="Verdana"/>
        </w:rPr>
        <w:t>t.</w:t>
      </w:r>
      <w:r w:rsidR="00935D5B">
        <w:rPr>
          <w:rFonts w:ascii="Verdana" w:hAnsi="Verdana"/>
        </w:rPr>
        <w:t>”</w:t>
      </w:r>
      <w:r w:rsidR="009638D3">
        <w:rPr>
          <w:rFonts w:ascii="Verdana" w:hAnsi="Verdana"/>
        </w:rPr>
        <w:t xml:space="preserve"> While these interventions are important, </w:t>
      </w:r>
      <w:r w:rsidR="00A31155">
        <w:rPr>
          <w:rFonts w:ascii="Verdana" w:hAnsi="Verdana"/>
        </w:rPr>
        <w:t>they are framed in broad terms</w:t>
      </w:r>
      <w:r w:rsidR="00B12921">
        <w:rPr>
          <w:rFonts w:ascii="Verdana" w:hAnsi="Verdana"/>
        </w:rPr>
        <w:t xml:space="preserve"> </w:t>
      </w:r>
      <w:r w:rsidR="00B12921" w:rsidRPr="00B12921">
        <w:rPr>
          <w:rFonts w:ascii="Verdana" w:hAnsi="Verdana"/>
        </w:rPr>
        <w:t>and lack sufficient detail. In particular, the</w:t>
      </w:r>
      <w:r w:rsidR="005F4E1C">
        <w:rPr>
          <w:rFonts w:ascii="Verdana" w:hAnsi="Verdana"/>
        </w:rPr>
        <w:t xml:space="preserve"> </w:t>
      </w:r>
      <w:r w:rsidR="0011676A">
        <w:rPr>
          <w:rFonts w:ascii="Verdana" w:hAnsi="Verdana"/>
        </w:rPr>
        <w:t>D</w:t>
      </w:r>
      <w:r w:rsidR="005F4E1C">
        <w:rPr>
          <w:rFonts w:ascii="Verdana" w:hAnsi="Verdana"/>
        </w:rPr>
        <w:t>raft</w:t>
      </w:r>
      <w:r w:rsidR="00B12921" w:rsidRPr="00B12921">
        <w:rPr>
          <w:rFonts w:ascii="Verdana" w:hAnsi="Verdana"/>
        </w:rPr>
        <w:t xml:space="preserve"> Framework does not specify how these actions will be implemented in practice, which government departments, public services or schools will be targeted, or who the intended beneficiaries are. In relation to educational opportunities, it is also unclear which level or levels of education are being addresse</w:t>
      </w:r>
      <w:r w:rsidR="00B27D70">
        <w:rPr>
          <w:rFonts w:ascii="Verdana" w:hAnsi="Verdana"/>
        </w:rPr>
        <w:t>d</w:t>
      </w:r>
      <w:r w:rsidR="0089469C">
        <w:rPr>
          <w:rFonts w:ascii="Verdana" w:hAnsi="Verdana"/>
        </w:rPr>
        <w:t>.</w:t>
      </w:r>
    </w:p>
    <w:p w14:paraId="63C66EBA" w14:textId="77777777" w:rsidR="00D66574" w:rsidRPr="00717F57" w:rsidRDefault="00D66574" w:rsidP="00D66574">
      <w:pPr>
        <w:pStyle w:val="ListParagraph"/>
      </w:pPr>
    </w:p>
    <w:p w14:paraId="4E92C4C3" w14:textId="538BBB58" w:rsidR="00D66574" w:rsidRPr="00717F57" w:rsidRDefault="00D66574" w:rsidP="0073329A">
      <w:pPr>
        <w:pStyle w:val="BasicParagraph"/>
        <w:widowControl/>
        <w:numPr>
          <w:ilvl w:val="1"/>
          <w:numId w:val="21"/>
        </w:numPr>
        <w:suppressAutoHyphens/>
        <w:ind w:left="709"/>
      </w:pPr>
      <w:r w:rsidRPr="00717F57">
        <w:rPr>
          <w:rFonts w:ascii="Verdana" w:hAnsi="Verdana"/>
        </w:rPr>
        <w:t>States have a duty to raise public awareness about racial discrimination and to ensure that public and private educational establishments provide education aimed at combating it.</w:t>
      </w:r>
      <w:r w:rsidRPr="00717F57">
        <w:rPr>
          <w:rStyle w:val="FootnoteReference"/>
          <w:rFonts w:ascii="Verdana" w:hAnsi="Verdana"/>
        </w:rPr>
        <w:footnoteReference w:id="62"/>
      </w:r>
      <w:r w:rsidR="00C7706E" w:rsidRPr="00717F57">
        <w:rPr>
          <w:rFonts w:ascii="Verdana" w:hAnsi="Verdana" w:cstheme="minorBidi"/>
          <w:color w:val="auto"/>
        </w:rPr>
        <w:t xml:space="preserve"> </w:t>
      </w:r>
      <w:r w:rsidR="003E7236" w:rsidRPr="00717F57">
        <w:rPr>
          <w:rFonts w:ascii="Verdana" w:hAnsi="Verdana" w:cstheme="minorBidi"/>
          <w:color w:val="auto"/>
        </w:rPr>
        <w:t>T</w:t>
      </w:r>
      <w:r w:rsidRPr="00717F57">
        <w:rPr>
          <w:rFonts w:ascii="Verdana" w:hAnsi="Verdana" w:cstheme="minorBidi"/>
          <w:color w:val="auto"/>
        </w:rPr>
        <w:t>his obligation</w:t>
      </w:r>
      <w:r w:rsidR="003E7236" w:rsidRPr="00717F57">
        <w:rPr>
          <w:rFonts w:ascii="Verdana" w:hAnsi="Verdana" w:cstheme="minorBidi"/>
          <w:color w:val="auto"/>
        </w:rPr>
        <w:t xml:space="preserve"> may be fulf</w:t>
      </w:r>
      <w:r w:rsidR="007410BB" w:rsidRPr="00717F57">
        <w:rPr>
          <w:rFonts w:ascii="Verdana" w:hAnsi="Verdana" w:cstheme="minorBidi"/>
          <w:color w:val="auto"/>
        </w:rPr>
        <w:t>illed</w:t>
      </w:r>
      <w:r w:rsidR="006B063F" w:rsidRPr="00717F57">
        <w:rPr>
          <w:rFonts w:ascii="Verdana" w:hAnsi="Verdana" w:cstheme="minorBidi"/>
          <w:color w:val="auto"/>
        </w:rPr>
        <w:t xml:space="preserve"> </w:t>
      </w:r>
      <w:r w:rsidR="0019456B">
        <w:rPr>
          <w:rFonts w:ascii="Verdana" w:hAnsi="Verdana" w:cstheme="minorBidi"/>
          <w:color w:val="auto"/>
        </w:rPr>
        <w:t xml:space="preserve">(according to the UN OHCHR) </w:t>
      </w:r>
      <w:r w:rsidR="00D968B5">
        <w:rPr>
          <w:rFonts w:ascii="Verdana" w:hAnsi="Verdana" w:cstheme="minorBidi"/>
          <w:color w:val="auto"/>
        </w:rPr>
        <w:t>by</w:t>
      </w:r>
      <w:r w:rsidR="004309CB" w:rsidRPr="00717F57">
        <w:rPr>
          <w:rFonts w:ascii="Verdana" w:hAnsi="Verdana" w:cstheme="minorBidi"/>
          <w:color w:val="auto"/>
        </w:rPr>
        <w:t xml:space="preserve"> “programmes to promote a greater knowledge of and respect for the heritage and culture of groups facing racial discrimination”, </w:t>
      </w:r>
      <w:r w:rsidRPr="00717F57">
        <w:rPr>
          <w:rFonts w:ascii="Verdana" w:hAnsi="Verdana" w:cstheme="minorBidi"/>
          <w:color w:val="auto"/>
        </w:rPr>
        <w:t xml:space="preserve"> “</w:t>
      </w:r>
      <w:r w:rsidRPr="00717F57">
        <w:rPr>
          <w:rFonts w:ascii="Verdana" w:hAnsi="Verdana"/>
        </w:rPr>
        <w:t>training programmes for public officials to eliminate discriminatory behaviour on the part of public servants and racial profiling by law enforcement officers”.</w:t>
      </w:r>
      <w:r w:rsidRPr="00717F57">
        <w:rPr>
          <w:rStyle w:val="FootnoteReference"/>
          <w:rFonts w:ascii="Verdana" w:hAnsi="Verdana"/>
        </w:rPr>
        <w:footnoteReference w:id="63"/>
      </w:r>
      <w:r w:rsidRPr="00717F57">
        <w:rPr>
          <w:rFonts w:ascii="Verdana" w:hAnsi="Verdana"/>
        </w:rPr>
        <w:t xml:space="preserve"> </w:t>
      </w:r>
      <w:r w:rsidR="00DD6108" w:rsidRPr="00717F57">
        <w:rPr>
          <w:rFonts w:ascii="Verdana" w:hAnsi="Verdana"/>
        </w:rPr>
        <w:t xml:space="preserve">UN </w:t>
      </w:r>
      <w:r w:rsidRPr="00717F57">
        <w:rPr>
          <w:rFonts w:ascii="Verdana" w:hAnsi="Verdana"/>
        </w:rPr>
        <w:t>OHCHR</w:t>
      </w:r>
      <w:r w:rsidR="00CA3FF1" w:rsidRPr="00717F57">
        <w:rPr>
          <w:rFonts w:ascii="Verdana" w:hAnsi="Verdana"/>
        </w:rPr>
        <w:t xml:space="preserve"> </w:t>
      </w:r>
      <w:r w:rsidR="00507242" w:rsidRPr="00717F57">
        <w:rPr>
          <w:rFonts w:ascii="Verdana" w:hAnsi="Verdana"/>
        </w:rPr>
        <w:t xml:space="preserve">recommends </w:t>
      </w:r>
      <w:r w:rsidR="0019456B">
        <w:rPr>
          <w:rFonts w:ascii="Verdana" w:hAnsi="Verdana"/>
        </w:rPr>
        <w:t xml:space="preserve">further </w:t>
      </w:r>
      <w:r w:rsidR="00507242" w:rsidRPr="00717F57">
        <w:rPr>
          <w:rFonts w:ascii="Verdana" w:hAnsi="Verdana"/>
        </w:rPr>
        <w:lastRenderedPageBreak/>
        <w:t>that such education and training initiatives be ongoing, sustained and institutionalised in order to ensure continuity and long</w:t>
      </w:r>
      <w:r w:rsidR="00507242" w:rsidRPr="00717F57">
        <w:rPr>
          <w:rFonts w:ascii="Verdana" w:hAnsi="Verdana"/>
        </w:rPr>
        <w:noBreakHyphen/>
        <w:t>term impact</w:t>
      </w:r>
      <w:r w:rsidRPr="00717F57">
        <w:rPr>
          <w:rFonts w:ascii="Verdana" w:hAnsi="Verdana"/>
        </w:rPr>
        <w:t>.</w:t>
      </w:r>
      <w:r w:rsidRPr="00717F57">
        <w:rPr>
          <w:rStyle w:val="FootnoteReference"/>
          <w:rFonts w:ascii="Verdana" w:hAnsi="Verdana"/>
        </w:rPr>
        <w:footnoteReference w:id="64"/>
      </w:r>
    </w:p>
    <w:p w14:paraId="7FB50EDD" w14:textId="77777777" w:rsidR="00D66574" w:rsidRPr="00337A8A" w:rsidRDefault="00D66574" w:rsidP="00337A8A">
      <w:pPr>
        <w:pStyle w:val="BasicParagraph"/>
        <w:suppressAutoHyphens/>
        <w:rPr>
          <w:rFonts w:ascii="Verdana" w:hAnsi="Verdana"/>
          <w:highlight w:val="green"/>
        </w:rPr>
      </w:pPr>
    </w:p>
    <w:p w14:paraId="727D31CF" w14:textId="4D8E36AE" w:rsidR="0089469C" w:rsidRDefault="00426C05" w:rsidP="00F247B7">
      <w:pPr>
        <w:pStyle w:val="BasicParagraph"/>
        <w:numPr>
          <w:ilvl w:val="1"/>
          <w:numId w:val="21"/>
        </w:numPr>
        <w:suppressAutoHyphens/>
        <w:ind w:left="709"/>
        <w:rPr>
          <w:rFonts w:ascii="Verdana" w:hAnsi="Verdana"/>
        </w:rPr>
      </w:pPr>
      <w:r>
        <w:rPr>
          <w:rFonts w:ascii="Verdana" w:eastAsia="Times New Roman" w:hAnsi="Verdana" w:cs="Segoe UI"/>
          <w:lang w:eastAsia="en-GB"/>
        </w:rPr>
        <w:t>While the</w:t>
      </w:r>
      <w:r w:rsidR="00294A98">
        <w:rPr>
          <w:rFonts w:ascii="Verdana" w:eastAsia="Times New Roman" w:hAnsi="Verdana" w:cs="Segoe UI"/>
          <w:lang w:eastAsia="en-GB"/>
        </w:rPr>
        <w:t xml:space="preserve"> </w:t>
      </w:r>
      <w:r w:rsidR="00294A98" w:rsidRPr="00294A98">
        <w:rPr>
          <w:rFonts w:ascii="Verdana" w:eastAsia="Times New Roman" w:hAnsi="Verdana" w:cs="Segoe UI"/>
          <w:lang w:eastAsia="en-GB"/>
        </w:rPr>
        <w:t>second, third and fourth key interventions under Outcome</w:t>
      </w:r>
      <w:r w:rsidR="00294A98">
        <w:rPr>
          <w:rFonts w:ascii="Verdana" w:eastAsia="Times New Roman" w:hAnsi="Verdana" w:cs="Segoe UI"/>
          <w:lang w:eastAsia="en-GB"/>
        </w:rPr>
        <w:t xml:space="preserve"> 1 </w:t>
      </w:r>
      <w:r w:rsidR="004F0BA2">
        <w:rPr>
          <w:rFonts w:ascii="Verdana" w:eastAsia="Times New Roman" w:hAnsi="Verdana" w:cs="Segoe UI"/>
          <w:lang w:eastAsia="en-GB"/>
        </w:rPr>
        <w:t>seek to raise awareness and are important, t</w:t>
      </w:r>
      <w:r w:rsidR="0065714F" w:rsidRPr="00337A8A">
        <w:rPr>
          <w:rFonts w:ascii="Verdana" w:eastAsia="Times New Roman" w:hAnsi="Verdana" w:cs="Segoe UI"/>
          <w:lang w:eastAsia="en-GB"/>
        </w:rPr>
        <w:t xml:space="preserve">he </w:t>
      </w:r>
      <w:r w:rsidR="00A02ADB">
        <w:rPr>
          <w:rFonts w:ascii="Verdana" w:eastAsia="Times New Roman" w:hAnsi="Verdana" w:cs="Segoe UI"/>
          <w:lang w:eastAsia="en-GB"/>
        </w:rPr>
        <w:t xml:space="preserve">lack </w:t>
      </w:r>
      <w:r w:rsidR="0065714F" w:rsidRPr="00337A8A">
        <w:rPr>
          <w:rFonts w:ascii="Verdana" w:eastAsia="Times New Roman" w:hAnsi="Verdana" w:cs="Segoe UI"/>
          <w:lang w:eastAsia="en-GB"/>
        </w:rPr>
        <w:t>of sufficient detail</w:t>
      </w:r>
      <w:r w:rsidR="00BC7498">
        <w:rPr>
          <w:rFonts w:ascii="Verdana" w:eastAsia="Times New Roman" w:hAnsi="Verdana" w:cs="Segoe UI"/>
          <w:lang w:eastAsia="en-GB"/>
        </w:rPr>
        <w:t xml:space="preserve"> and </w:t>
      </w:r>
      <w:r w:rsidR="00BC7498" w:rsidRPr="00337A8A">
        <w:rPr>
          <w:rFonts w:ascii="Verdana" w:eastAsia="Times New Roman" w:hAnsi="Verdana" w:cs="Segoe UI"/>
          <w:lang w:eastAsia="en-GB"/>
        </w:rPr>
        <w:t>the</w:t>
      </w:r>
      <w:r w:rsidR="00BC7498">
        <w:rPr>
          <w:rFonts w:ascii="Verdana" w:eastAsia="Times New Roman" w:hAnsi="Verdana" w:cs="Segoe UI"/>
          <w:lang w:eastAsia="en-GB"/>
        </w:rPr>
        <w:t xml:space="preserve"> absence </w:t>
      </w:r>
      <w:r w:rsidR="00BC7498" w:rsidRPr="00337A8A">
        <w:rPr>
          <w:rFonts w:ascii="Verdana" w:eastAsia="Times New Roman" w:hAnsi="Verdana" w:cs="Segoe UI"/>
          <w:lang w:eastAsia="en-GB"/>
        </w:rPr>
        <w:t>of clear performance indicators</w:t>
      </w:r>
      <w:r w:rsidR="00BC7498">
        <w:rPr>
          <w:rFonts w:ascii="Verdana" w:eastAsia="Times New Roman" w:hAnsi="Verdana" w:cs="Segoe UI"/>
          <w:lang w:eastAsia="en-GB"/>
        </w:rPr>
        <w:t>,</w:t>
      </w:r>
      <w:r w:rsidR="00337A8A">
        <w:rPr>
          <w:rFonts w:ascii="Verdana" w:eastAsia="Times New Roman" w:hAnsi="Verdana" w:cs="Segoe UI"/>
          <w:lang w:eastAsia="en-GB"/>
        </w:rPr>
        <w:t xml:space="preserve"> </w:t>
      </w:r>
      <w:r w:rsidR="0065714F" w:rsidRPr="00337A8A">
        <w:rPr>
          <w:rFonts w:ascii="Verdana" w:eastAsia="Times New Roman" w:hAnsi="Verdana" w:cs="Segoe UI"/>
          <w:lang w:eastAsia="en-GB"/>
        </w:rPr>
        <w:t>means that the</w:t>
      </w:r>
      <w:r w:rsidR="00337A8A">
        <w:rPr>
          <w:rFonts w:ascii="Verdana" w:eastAsia="Times New Roman" w:hAnsi="Verdana" w:cs="Segoe UI"/>
          <w:lang w:eastAsia="en-GB"/>
        </w:rPr>
        <w:t xml:space="preserve">y </w:t>
      </w:r>
      <w:r w:rsidR="0065714F" w:rsidRPr="00337A8A">
        <w:rPr>
          <w:rFonts w:ascii="Verdana" w:eastAsia="Times New Roman" w:hAnsi="Verdana" w:cs="Segoe UI"/>
          <w:lang w:eastAsia="en-GB"/>
        </w:rPr>
        <w:t>are not measurable</w:t>
      </w:r>
      <w:r w:rsidR="00BC7498">
        <w:rPr>
          <w:rFonts w:ascii="Verdana" w:eastAsia="Times New Roman" w:hAnsi="Verdana" w:cs="Segoe UI"/>
          <w:lang w:eastAsia="en-GB"/>
        </w:rPr>
        <w:t xml:space="preserve">. </w:t>
      </w:r>
      <w:r w:rsidR="00DD6108">
        <w:rPr>
          <w:rFonts w:ascii="Verdana" w:eastAsia="Times New Roman" w:hAnsi="Verdana" w:cs="Segoe UI"/>
          <w:lang w:eastAsia="en-GB"/>
        </w:rPr>
        <w:t xml:space="preserve">UN </w:t>
      </w:r>
      <w:r w:rsidR="0065714F" w:rsidRPr="00337A8A">
        <w:rPr>
          <w:rFonts w:ascii="Verdana" w:eastAsia="Times New Roman" w:hAnsi="Verdana" w:cs="Segoe UI"/>
          <w:lang w:eastAsia="en-GB"/>
        </w:rPr>
        <w:t>OHCHR guidance is clear that national action plans should be action</w:t>
      </w:r>
      <w:r w:rsidR="0065714F" w:rsidRPr="00337A8A">
        <w:rPr>
          <w:rFonts w:ascii="Verdana" w:eastAsia="Times New Roman" w:hAnsi="Verdana" w:cs="Segoe UI"/>
          <w:lang w:eastAsia="en-GB"/>
        </w:rPr>
        <w:noBreakHyphen/>
        <w:t>oriented, with defined measures to support implementatio</w:t>
      </w:r>
      <w:r w:rsidR="00F85BCE">
        <w:rPr>
          <w:rFonts w:ascii="Verdana" w:eastAsia="Times New Roman" w:hAnsi="Verdana" w:cs="Segoe UI"/>
          <w:lang w:eastAsia="en-GB"/>
        </w:rPr>
        <w:t>n, e</w:t>
      </w:r>
      <w:r w:rsidR="00133A4F">
        <w:rPr>
          <w:rFonts w:ascii="Verdana" w:eastAsia="Times New Roman" w:hAnsi="Verdana" w:cs="Segoe UI"/>
          <w:lang w:eastAsia="en-GB"/>
        </w:rPr>
        <w:t>nable the</w:t>
      </w:r>
      <w:r w:rsidR="0065714F" w:rsidRPr="00337A8A">
        <w:rPr>
          <w:rFonts w:ascii="Verdana" w:eastAsia="Times New Roman" w:hAnsi="Verdana" w:cs="Segoe UI"/>
          <w:lang w:eastAsia="en-GB"/>
        </w:rPr>
        <w:t xml:space="preserve"> assessment of </w:t>
      </w:r>
      <w:r w:rsidR="00D0751A" w:rsidRPr="00337A8A">
        <w:rPr>
          <w:rFonts w:ascii="Verdana" w:eastAsia="Times New Roman" w:hAnsi="Verdana" w:cs="Segoe UI"/>
          <w:lang w:eastAsia="en-GB"/>
        </w:rPr>
        <w:t>progress</w:t>
      </w:r>
      <w:r w:rsidR="00133A4F">
        <w:rPr>
          <w:rFonts w:ascii="Verdana" w:eastAsia="Times New Roman" w:hAnsi="Verdana" w:cs="Segoe UI"/>
          <w:lang w:eastAsia="en-GB"/>
        </w:rPr>
        <w:t>,</w:t>
      </w:r>
      <w:r w:rsidR="0089469C" w:rsidRPr="00337A8A">
        <w:rPr>
          <w:rFonts w:ascii="Verdana" w:hAnsi="Verdana"/>
        </w:rPr>
        <w:t xml:space="preserve"> and</w:t>
      </w:r>
      <w:r w:rsidR="00133A4F">
        <w:rPr>
          <w:rFonts w:ascii="Verdana" w:hAnsi="Verdana"/>
        </w:rPr>
        <w:t xml:space="preserve"> clearly</w:t>
      </w:r>
      <w:r w:rsidR="0089469C" w:rsidRPr="00337A8A">
        <w:rPr>
          <w:rFonts w:ascii="Verdana" w:hAnsi="Verdana"/>
        </w:rPr>
        <w:t xml:space="preserve"> specify who is</w:t>
      </w:r>
      <w:r w:rsidR="00133A4F">
        <w:rPr>
          <w:rFonts w:ascii="Verdana" w:hAnsi="Verdana"/>
        </w:rPr>
        <w:t xml:space="preserve"> responsible for </w:t>
      </w:r>
      <w:r w:rsidR="00BC3F94">
        <w:rPr>
          <w:rFonts w:ascii="Verdana" w:hAnsi="Verdana"/>
        </w:rPr>
        <w:t xml:space="preserve">taking </w:t>
      </w:r>
      <w:r w:rsidR="0089469C" w:rsidRPr="00337A8A">
        <w:rPr>
          <w:rFonts w:ascii="Verdana" w:hAnsi="Verdana"/>
        </w:rPr>
        <w:t>the actions.</w:t>
      </w:r>
      <w:r w:rsidR="0089469C">
        <w:rPr>
          <w:rStyle w:val="FootnoteReference"/>
          <w:rFonts w:ascii="Verdana" w:hAnsi="Verdana"/>
        </w:rPr>
        <w:footnoteReference w:id="65"/>
      </w:r>
    </w:p>
    <w:p w14:paraId="4D22CA04" w14:textId="77777777" w:rsidR="00570C3D" w:rsidRPr="00570C3D" w:rsidRDefault="00570C3D" w:rsidP="00570C3D">
      <w:pPr>
        <w:pStyle w:val="BasicParagraph"/>
        <w:suppressAutoHyphens/>
        <w:rPr>
          <w:rFonts w:ascii="Verdana" w:hAnsi="Verdana"/>
        </w:rPr>
      </w:pPr>
    </w:p>
    <w:p w14:paraId="20823C50" w14:textId="4D0B0B0A" w:rsidR="00E44446" w:rsidRPr="00717F57" w:rsidRDefault="0089469C" w:rsidP="00F247B7">
      <w:pPr>
        <w:pStyle w:val="BasicParagraph"/>
        <w:numPr>
          <w:ilvl w:val="1"/>
          <w:numId w:val="21"/>
        </w:numPr>
        <w:suppressAutoHyphens/>
        <w:ind w:left="709"/>
        <w:rPr>
          <w:b/>
          <w:bCs/>
        </w:rPr>
      </w:pPr>
      <w:r w:rsidRPr="00717F57">
        <w:rPr>
          <w:rFonts w:ascii="Verdana" w:hAnsi="Verdana"/>
          <w:b/>
          <w:bCs/>
        </w:rPr>
        <w:t>The NIHRC recommends that</w:t>
      </w:r>
      <w:r w:rsidR="005D5A3E" w:rsidRPr="00717F57">
        <w:rPr>
          <w:rFonts w:ascii="Verdana" w:hAnsi="Verdana"/>
          <w:b/>
          <w:bCs/>
        </w:rPr>
        <w:t xml:space="preserve"> the Executive </w:t>
      </w:r>
      <w:r w:rsidR="0019456B">
        <w:rPr>
          <w:rFonts w:ascii="Verdana" w:hAnsi="Verdana"/>
          <w:b/>
          <w:bCs/>
        </w:rPr>
        <w:t xml:space="preserve">Office </w:t>
      </w:r>
      <w:r w:rsidR="005D5A3E" w:rsidRPr="00717F57">
        <w:rPr>
          <w:rFonts w:ascii="Verdana" w:hAnsi="Verdana"/>
          <w:b/>
          <w:bCs/>
        </w:rPr>
        <w:t>strengthen</w:t>
      </w:r>
      <w:r w:rsidR="00C11489" w:rsidRPr="00717F57">
        <w:rPr>
          <w:rFonts w:ascii="Verdana" w:hAnsi="Verdana"/>
          <w:b/>
          <w:bCs/>
        </w:rPr>
        <w:t>s</w:t>
      </w:r>
      <w:r w:rsidR="00DF3DA8" w:rsidRPr="00717F57">
        <w:rPr>
          <w:rFonts w:ascii="Verdana" w:hAnsi="Verdana"/>
          <w:b/>
          <w:bCs/>
        </w:rPr>
        <w:t xml:space="preserve"> the key interventions under</w:t>
      </w:r>
      <w:r w:rsidRPr="00717F57">
        <w:rPr>
          <w:rFonts w:ascii="Verdana" w:hAnsi="Verdana"/>
          <w:b/>
          <w:bCs/>
        </w:rPr>
        <w:t xml:space="preserve"> Outcome 1 </w:t>
      </w:r>
      <w:r w:rsidR="006273C3" w:rsidRPr="00717F57">
        <w:rPr>
          <w:rFonts w:ascii="Verdana" w:hAnsi="Verdana"/>
          <w:b/>
          <w:bCs/>
        </w:rPr>
        <w:t xml:space="preserve">by </w:t>
      </w:r>
      <w:r w:rsidR="00C11489" w:rsidRPr="00717F57">
        <w:rPr>
          <w:rFonts w:ascii="Verdana" w:hAnsi="Verdana"/>
          <w:b/>
          <w:bCs/>
        </w:rPr>
        <w:t>setting out</w:t>
      </w:r>
      <w:r w:rsidR="006273C3" w:rsidRPr="00717F57">
        <w:rPr>
          <w:rFonts w:ascii="Verdana" w:hAnsi="Verdana"/>
          <w:b/>
          <w:bCs/>
        </w:rPr>
        <w:t xml:space="preserve"> </w:t>
      </w:r>
      <w:r w:rsidR="003A15B2" w:rsidRPr="00717F57">
        <w:rPr>
          <w:rFonts w:ascii="Verdana" w:hAnsi="Verdana"/>
          <w:b/>
          <w:bCs/>
        </w:rPr>
        <w:t>concrete and measurable actions</w:t>
      </w:r>
      <w:r w:rsidR="00F25C2C" w:rsidRPr="00717F57">
        <w:rPr>
          <w:rFonts w:ascii="Verdana" w:hAnsi="Verdana"/>
          <w:b/>
          <w:bCs/>
        </w:rPr>
        <w:t xml:space="preserve"> </w:t>
      </w:r>
      <w:r w:rsidR="00A568EB" w:rsidRPr="00717F57">
        <w:rPr>
          <w:rFonts w:ascii="Verdana" w:hAnsi="Verdana"/>
          <w:b/>
          <w:bCs/>
        </w:rPr>
        <w:t>or activities</w:t>
      </w:r>
      <w:r w:rsidR="0062070C" w:rsidRPr="00717F57">
        <w:rPr>
          <w:rFonts w:ascii="Verdana" w:hAnsi="Verdana"/>
          <w:b/>
          <w:bCs/>
        </w:rPr>
        <w:t>, including clear</w:t>
      </w:r>
      <w:r w:rsidR="0062070C" w:rsidRPr="00717F57">
        <w:rPr>
          <w:rFonts w:ascii="Verdana" w:hAnsi="Verdana" w:cstheme="minorBidi"/>
          <w:b/>
          <w:bCs/>
          <w:color w:val="auto"/>
        </w:rPr>
        <w:t xml:space="preserve"> </w:t>
      </w:r>
      <w:r w:rsidR="006273C3" w:rsidRPr="00717F57">
        <w:rPr>
          <w:rFonts w:ascii="Verdana" w:hAnsi="Verdana"/>
          <w:b/>
          <w:bCs/>
        </w:rPr>
        <w:t>targets</w:t>
      </w:r>
      <w:r w:rsidR="0062070C" w:rsidRPr="00717F57">
        <w:rPr>
          <w:rFonts w:ascii="Verdana" w:hAnsi="Verdana"/>
          <w:b/>
          <w:bCs/>
        </w:rPr>
        <w:t xml:space="preserve">, </w:t>
      </w:r>
      <w:r w:rsidR="00CF4F17" w:rsidRPr="00717F57">
        <w:rPr>
          <w:rFonts w:ascii="Verdana" w:hAnsi="Verdana"/>
          <w:b/>
          <w:bCs/>
        </w:rPr>
        <w:t xml:space="preserve">intended beneficiaries, performance indicators, assigned responsibilities, and defined timeframes for delivery, </w:t>
      </w:r>
      <w:r w:rsidR="00505D0B" w:rsidRPr="00717F57">
        <w:rPr>
          <w:rFonts w:ascii="Verdana" w:hAnsi="Verdana"/>
          <w:b/>
          <w:bCs/>
        </w:rPr>
        <w:t>to</w:t>
      </w:r>
      <w:r w:rsidR="00CF4F17" w:rsidRPr="00717F57">
        <w:rPr>
          <w:rFonts w:ascii="Verdana" w:hAnsi="Verdana"/>
          <w:b/>
          <w:bCs/>
        </w:rPr>
        <w:t xml:space="preserve"> enable effective assessment of progress</w:t>
      </w:r>
      <w:r w:rsidR="00E44446" w:rsidRPr="00717F57">
        <w:rPr>
          <w:rFonts w:ascii="Verdana" w:hAnsi="Verdana"/>
          <w:b/>
          <w:bCs/>
        </w:rPr>
        <w:t>.</w:t>
      </w:r>
    </w:p>
    <w:p w14:paraId="4B3BE2CF" w14:textId="77777777" w:rsidR="00140086" w:rsidRPr="00140086" w:rsidRDefault="00140086" w:rsidP="00140086">
      <w:pPr>
        <w:pStyle w:val="BasicParagraph"/>
        <w:suppressAutoHyphens/>
        <w:rPr>
          <w:b/>
          <w:bCs/>
        </w:rPr>
      </w:pPr>
    </w:p>
    <w:p w14:paraId="6C108FC7" w14:textId="4B407617" w:rsidR="00140086" w:rsidRDefault="00E44446" w:rsidP="00B75E30">
      <w:pPr>
        <w:pStyle w:val="Heading2"/>
      </w:pPr>
      <w:bookmarkStart w:id="10" w:name="_Toc230705739"/>
      <w:r w:rsidRPr="007E09E3">
        <w:t xml:space="preserve">Minority Ethnic Development </w:t>
      </w:r>
      <w:r w:rsidR="007E09E3" w:rsidRPr="007E09E3">
        <w:t>F</w:t>
      </w:r>
      <w:r w:rsidR="00611F02">
        <w:t>und</w:t>
      </w:r>
      <w:bookmarkEnd w:id="10"/>
      <w:r w:rsidR="00611F02">
        <w:t xml:space="preserve"> </w:t>
      </w:r>
    </w:p>
    <w:p w14:paraId="29CDC931" w14:textId="77777777" w:rsidR="00BB1BF7" w:rsidRPr="00BB1BF7" w:rsidRDefault="00BB1BF7" w:rsidP="00BB1BF7"/>
    <w:p w14:paraId="42FC72A4" w14:textId="6F6B6D20" w:rsidR="00334DB3" w:rsidRDefault="00611F02" w:rsidP="00F247B7">
      <w:pPr>
        <w:pStyle w:val="BasicParagraph"/>
        <w:numPr>
          <w:ilvl w:val="1"/>
          <w:numId w:val="21"/>
        </w:numPr>
        <w:suppressAutoHyphens/>
        <w:ind w:left="709"/>
        <w:rPr>
          <w:rFonts w:ascii="Verdana" w:hAnsi="Verdana"/>
        </w:rPr>
      </w:pPr>
      <w:r>
        <w:rPr>
          <w:rFonts w:ascii="Verdana" w:hAnsi="Verdana"/>
        </w:rPr>
        <w:t xml:space="preserve">The fifth </w:t>
      </w:r>
      <w:r w:rsidR="009971FA" w:rsidRPr="00DF3DA8">
        <w:rPr>
          <w:rFonts w:ascii="Verdana" w:hAnsi="Verdana"/>
        </w:rPr>
        <w:t>key intervention under Outcome 1</w:t>
      </w:r>
      <w:r w:rsidR="00645C1C">
        <w:rPr>
          <w:rFonts w:ascii="Verdana" w:hAnsi="Verdana"/>
        </w:rPr>
        <w:t>,</w:t>
      </w:r>
      <w:r w:rsidR="005D3A98">
        <w:rPr>
          <w:rFonts w:ascii="Verdana" w:hAnsi="Verdana"/>
        </w:rPr>
        <w:t xml:space="preserve"> which is</w:t>
      </w:r>
      <w:r w:rsidR="009971FA" w:rsidRPr="00DF3DA8">
        <w:rPr>
          <w:rFonts w:ascii="Verdana" w:hAnsi="Verdana"/>
        </w:rPr>
        <w:t xml:space="preserve"> also</w:t>
      </w:r>
      <w:r w:rsidR="004E6759">
        <w:rPr>
          <w:rFonts w:ascii="Verdana" w:hAnsi="Verdana"/>
        </w:rPr>
        <w:t xml:space="preserve"> referenced </w:t>
      </w:r>
      <w:r w:rsidR="009971FA" w:rsidRPr="00DF3DA8">
        <w:rPr>
          <w:rFonts w:ascii="Verdana" w:hAnsi="Verdana"/>
        </w:rPr>
        <w:t>under Outcome 4</w:t>
      </w:r>
      <w:r w:rsidR="00645C1C">
        <w:rPr>
          <w:rFonts w:ascii="Verdana" w:hAnsi="Verdana"/>
        </w:rPr>
        <w:t>,</w:t>
      </w:r>
      <w:r w:rsidR="009971FA" w:rsidRPr="00DF3DA8">
        <w:rPr>
          <w:rFonts w:ascii="Verdana" w:hAnsi="Verdana"/>
        </w:rPr>
        <w:t xml:space="preserve"> is </w:t>
      </w:r>
      <w:r w:rsidR="00BC5680" w:rsidRPr="00DF3DA8">
        <w:rPr>
          <w:rFonts w:ascii="Verdana" w:hAnsi="Verdana"/>
        </w:rPr>
        <w:t>to</w:t>
      </w:r>
      <w:r w:rsidR="00BC5680">
        <w:rPr>
          <w:rFonts w:ascii="Verdana" w:hAnsi="Verdana"/>
        </w:rPr>
        <w:t xml:space="preserve">, </w:t>
      </w:r>
      <w:r w:rsidR="00BC5680" w:rsidRPr="00DF3DA8">
        <w:rPr>
          <w:rFonts w:ascii="Verdana" w:hAnsi="Verdana"/>
        </w:rPr>
        <w:t>“launch</w:t>
      </w:r>
      <w:r w:rsidR="009971FA" w:rsidRPr="00DF3DA8">
        <w:rPr>
          <w:rFonts w:ascii="Verdana" w:hAnsi="Verdana"/>
        </w:rPr>
        <w:t xml:space="preserve"> a refreshed Minority Ethnic Development Fund that is effective in delivering the outcomes of the Framework.</w:t>
      </w:r>
      <w:r w:rsidR="005D3A98">
        <w:rPr>
          <w:rFonts w:ascii="Verdana" w:hAnsi="Verdana"/>
        </w:rPr>
        <w:t>”</w:t>
      </w:r>
      <w:r w:rsidR="009971FA" w:rsidRPr="00DF3DA8">
        <w:rPr>
          <w:rFonts w:ascii="Verdana" w:hAnsi="Verdana"/>
        </w:rPr>
        <w:t xml:space="preserve"> The M</w:t>
      </w:r>
      <w:r w:rsidR="00D83205">
        <w:rPr>
          <w:rFonts w:ascii="Verdana" w:hAnsi="Verdana"/>
        </w:rPr>
        <w:t xml:space="preserve">inority </w:t>
      </w:r>
      <w:r w:rsidR="009971FA" w:rsidRPr="00DF3DA8">
        <w:rPr>
          <w:rFonts w:ascii="Verdana" w:hAnsi="Verdana"/>
        </w:rPr>
        <w:t>E</w:t>
      </w:r>
      <w:r w:rsidR="00D83205">
        <w:rPr>
          <w:rFonts w:ascii="Verdana" w:hAnsi="Verdana"/>
        </w:rPr>
        <w:t xml:space="preserve">thnic </w:t>
      </w:r>
      <w:r w:rsidR="009971FA" w:rsidRPr="00DF3DA8">
        <w:rPr>
          <w:rFonts w:ascii="Verdana" w:hAnsi="Verdana"/>
        </w:rPr>
        <w:t>D</w:t>
      </w:r>
      <w:r w:rsidR="00D83205">
        <w:rPr>
          <w:rFonts w:ascii="Verdana" w:hAnsi="Verdana"/>
        </w:rPr>
        <w:t xml:space="preserve">evelopment </w:t>
      </w:r>
      <w:r w:rsidR="009971FA" w:rsidRPr="00DF3DA8">
        <w:rPr>
          <w:rFonts w:ascii="Verdana" w:hAnsi="Verdana"/>
        </w:rPr>
        <w:t>F</w:t>
      </w:r>
      <w:r w:rsidR="00D83205">
        <w:rPr>
          <w:rFonts w:ascii="Verdana" w:hAnsi="Verdana"/>
        </w:rPr>
        <w:t xml:space="preserve">und </w:t>
      </w:r>
      <w:r w:rsidR="009971FA" w:rsidRPr="00DF3DA8">
        <w:rPr>
          <w:rFonts w:ascii="Verdana" w:hAnsi="Verdana"/>
        </w:rPr>
        <w:t>provides</w:t>
      </w:r>
      <w:r w:rsidR="00113357">
        <w:rPr>
          <w:rFonts w:ascii="Verdana" w:hAnsi="Verdana"/>
        </w:rPr>
        <w:t xml:space="preserve"> essential</w:t>
      </w:r>
      <w:r w:rsidR="009971FA" w:rsidRPr="00DF3DA8">
        <w:rPr>
          <w:rFonts w:ascii="Verdana" w:hAnsi="Verdana"/>
        </w:rPr>
        <w:t xml:space="preserve"> support </w:t>
      </w:r>
      <w:r w:rsidR="00113357">
        <w:rPr>
          <w:rFonts w:ascii="Verdana" w:hAnsi="Verdana"/>
        </w:rPr>
        <w:t xml:space="preserve">to </w:t>
      </w:r>
      <w:r w:rsidR="009971FA" w:rsidRPr="00DF3DA8">
        <w:rPr>
          <w:rFonts w:ascii="Verdana" w:hAnsi="Verdana"/>
        </w:rPr>
        <w:t xml:space="preserve">voluntary and community organisations working with minority ethnic people and groups in NI. </w:t>
      </w:r>
      <w:r w:rsidR="007003ED" w:rsidRPr="007003ED">
        <w:rPr>
          <w:rFonts w:ascii="Verdana" w:hAnsi="Verdana"/>
        </w:rPr>
        <w:t>While the inclusion of the M</w:t>
      </w:r>
      <w:r w:rsidR="00D83205">
        <w:rPr>
          <w:rFonts w:ascii="Verdana" w:hAnsi="Verdana"/>
        </w:rPr>
        <w:t>inority Ethnic Development Fund</w:t>
      </w:r>
      <w:r w:rsidR="007003ED" w:rsidRPr="007003ED">
        <w:rPr>
          <w:rFonts w:ascii="Verdana" w:hAnsi="Verdana"/>
        </w:rPr>
        <w:t xml:space="preserve"> is welcome and critical</w:t>
      </w:r>
      <w:r w:rsidR="007003ED">
        <w:rPr>
          <w:rFonts w:ascii="Verdana" w:hAnsi="Verdana"/>
        </w:rPr>
        <w:t xml:space="preserve">, </w:t>
      </w:r>
      <w:r w:rsidR="007003ED" w:rsidRPr="007003ED">
        <w:rPr>
          <w:rFonts w:ascii="Verdana" w:hAnsi="Verdana"/>
        </w:rPr>
        <w:t xml:space="preserve">given its role as the </w:t>
      </w:r>
      <w:r w:rsidR="00356040">
        <w:rPr>
          <w:rFonts w:ascii="Verdana" w:hAnsi="Verdana"/>
        </w:rPr>
        <w:t xml:space="preserve">main </w:t>
      </w:r>
      <w:r w:rsidR="007003ED" w:rsidRPr="007003ED">
        <w:rPr>
          <w:rFonts w:ascii="Verdana" w:hAnsi="Verdana"/>
        </w:rPr>
        <w:t xml:space="preserve">funding mechanism for delivering the </w:t>
      </w:r>
      <w:r w:rsidR="00021305">
        <w:rPr>
          <w:rFonts w:ascii="Verdana" w:hAnsi="Verdana"/>
        </w:rPr>
        <w:t xml:space="preserve">draft </w:t>
      </w:r>
      <w:r w:rsidR="007003ED" w:rsidRPr="007003ED">
        <w:rPr>
          <w:rFonts w:ascii="Verdana" w:hAnsi="Verdana"/>
        </w:rPr>
        <w:t>Framework</w:t>
      </w:r>
      <w:r w:rsidR="007003ED">
        <w:rPr>
          <w:rFonts w:ascii="Verdana" w:hAnsi="Verdana"/>
        </w:rPr>
        <w:t xml:space="preserve">, </w:t>
      </w:r>
      <w:r w:rsidR="007003ED" w:rsidRPr="007003ED">
        <w:rPr>
          <w:rFonts w:ascii="Verdana" w:hAnsi="Verdana"/>
        </w:rPr>
        <w:t xml:space="preserve">the current formulation of this intervention remains overly </w:t>
      </w:r>
      <w:r w:rsidR="00A134C7" w:rsidRPr="007003ED">
        <w:rPr>
          <w:rFonts w:ascii="Verdana" w:hAnsi="Verdana"/>
        </w:rPr>
        <w:t>broad</w:t>
      </w:r>
      <w:r w:rsidR="00A134C7">
        <w:rPr>
          <w:rFonts w:ascii="Verdana" w:hAnsi="Verdana"/>
        </w:rPr>
        <w:t xml:space="preserve">. </w:t>
      </w:r>
      <w:r w:rsidR="00D62CB3">
        <w:rPr>
          <w:rFonts w:ascii="Verdana" w:hAnsi="Verdana"/>
        </w:rPr>
        <w:t xml:space="preserve">There is no clarity on how the funding will be allocated across the </w:t>
      </w:r>
      <w:r w:rsidR="00021305">
        <w:rPr>
          <w:rFonts w:ascii="Verdana" w:hAnsi="Verdana"/>
        </w:rPr>
        <w:t xml:space="preserve">draft </w:t>
      </w:r>
      <w:r w:rsidR="00072B71">
        <w:rPr>
          <w:rFonts w:ascii="Verdana" w:hAnsi="Verdana"/>
        </w:rPr>
        <w:t>Framework’s priorities.</w:t>
      </w:r>
    </w:p>
    <w:p w14:paraId="0AC4A6BF" w14:textId="77777777" w:rsidR="00334DB3" w:rsidRDefault="00334DB3" w:rsidP="00334DB3">
      <w:pPr>
        <w:pStyle w:val="BasicParagraph"/>
        <w:suppressAutoHyphens/>
        <w:ind w:left="709"/>
        <w:rPr>
          <w:rFonts w:ascii="Verdana" w:hAnsi="Verdana"/>
        </w:rPr>
      </w:pPr>
    </w:p>
    <w:p w14:paraId="3D4AD67E" w14:textId="5E369817" w:rsidR="00334DB3" w:rsidRPr="00334DB3" w:rsidRDefault="00505D0B" w:rsidP="00F247B7">
      <w:pPr>
        <w:pStyle w:val="BasicParagraph"/>
        <w:numPr>
          <w:ilvl w:val="1"/>
          <w:numId w:val="21"/>
        </w:numPr>
        <w:suppressAutoHyphens/>
        <w:ind w:left="709"/>
        <w:rPr>
          <w:rFonts w:ascii="Verdana" w:hAnsi="Verdana"/>
        </w:rPr>
      </w:pPr>
      <w:r>
        <w:rPr>
          <w:rFonts w:ascii="Verdana" w:eastAsia="Times New Roman" w:hAnsi="Verdana" w:cs="Segoe UI"/>
          <w:lang w:eastAsia="en-GB"/>
        </w:rPr>
        <w:t>In addition</w:t>
      </w:r>
      <w:r w:rsidR="00334DB3" w:rsidRPr="00334DB3">
        <w:rPr>
          <w:rFonts w:ascii="Verdana" w:eastAsia="Times New Roman" w:hAnsi="Verdana" w:cs="Segoe UI"/>
          <w:lang w:eastAsia="en-GB"/>
        </w:rPr>
        <w:t xml:space="preserve">, concerns have been raised regarding delays in payments </w:t>
      </w:r>
      <w:r w:rsidR="00645C1C">
        <w:rPr>
          <w:rFonts w:ascii="Verdana" w:eastAsia="Times New Roman" w:hAnsi="Verdana" w:cs="Segoe UI"/>
          <w:lang w:eastAsia="en-GB"/>
        </w:rPr>
        <w:t>from the</w:t>
      </w:r>
      <w:r w:rsidR="00645C1C" w:rsidRPr="00334DB3">
        <w:rPr>
          <w:rFonts w:ascii="Verdana" w:eastAsia="Times New Roman" w:hAnsi="Verdana" w:cs="Segoe UI"/>
          <w:lang w:eastAsia="en-GB"/>
        </w:rPr>
        <w:t xml:space="preserve"> </w:t>
      </w:r>
      <w:r w:rsidR="00334DB3" w:rsidRPr="00334DB3">
        <w:rPr>
          <w:rFonts w:ascii="Verdana" w:eastAsia="Times New Roman" w:hAnsi="Verdana" w:cs="Segoe UI"/>
          <w:lang w:eastAsia="en-GB"/>
        </w:rPr>
        <w:t xml:space="preserve">fund </w:t>
      </w:r>
      <w:r w:rsidR="00645C1C">
        <w:rPr>
          <w:rFonts w:ascii="Verdana" w:eastAsia="Times New Roman" w:hAnsi="Verdana" w:cs="Segoe UI"/>
          <w:lang w:eastAsia="en-GB"/>
        </w:rPr>
        <w:t xml:space="preserve">to </w:t>
      </w:r>
      <w:r w:rsidR="00334DB3" w:rsidRPr="00334DB3">
        <w:rPr>
          <w:rFonts w:ascii="Verdana" w:eastAsia="Times New Roman" w:hAnsi="Verdana" w:cs="Segoe UI"/>
          <w:lang w:eastAsia="en-GB"/>
        </w:rPr>
        <w:t xml:space="preserve">recipients, linked to delays in approved budgets, </w:t>
      </w:r>
      <w:r w:rsidR="008B73C6" w:rsidRPr="00334DB3">
        <w:rPr>
          <w:rFonts w:ascii="Verdana" w:eastAsia="Times New Roman" w:hAnsi="Verdana" w:cs="Segoe UI"/>
          <w:lang w:eastAsia="en-GB"/>
        </w:rPr>
        <w:t>which undermined</w:t>
      </w:r>
      <w:r w:rsidR="00334DB3" w:rsidRPr="00334DB3">
        <w:rPr>
          <w:rFonts w:ascii="Verdana" w:eastAsia="Times New Roman" w:hAnsi="Verdana" w:cs="Segoe UI"/>
          <w:lang w:eastAsia="en-GB"/>
        </w:rPr>
        <w:t xml:space="preserve"> effective delivery</w:t>
      </w:r>
      <w:r w:rsidR="00D87270">
        <w:rPr>
          <w:rFonts w:ascii="Verdana" w:eastAsia="Times New Roman" w:hAnsi="Verdana" w:cs="Segoe UI"/>
          <w:lang w:eastAsia="en-GB"/>
        </w:rPr>
        <w:t xml:space="preserve"> of the Racial Equality Strategy 2015-2025</w:t>
      </w:r>
      <w:r w:rsidR="00A81961">
        <w:rPr>
          <w:rFonts w:ascii="Verdana" w:eastAsia="Times New Roman" w:hAnsi="Verdana" w:cs="Segoe UI"/>
          <w:lang w:eastAsia="en-GB"/>
        </w:rPr>
        <w:t>.</w:t>
      </w:r>
      <w:r w:rsidR="00D87270">
        <w:rPr>
          <w:rStyle w:val="FootnoteReference"/>
          <w:rFonts w:ascii="Verdana" w:eastAsia="Times New Roman" w:hAnsi="Verdana" w:cs="Segoe UI"/>
          <w:lang w:eastAsia="en-GB"/>
        </w:rPr>
        <w:footnoteReference w:id="66"/>
      </w:r>
    </w:p>
    <w:p w14:paraId="38E7ED3C" w14:textId="059CA799" w:rsidR="00650D4F" w:rsidRDefault="00072B71" w:rsidP="00B9526F">
      <w:pPr>
        <w:pStyle w:val="BasicParagraph"/>
        <w:suppressAutoHyphens/>
        <w:ind w:left="-11"/>
        <w:rPr>
          <w:rFonts w:ascii="Verdana" w:hAnsi="Verdana"/>
        </w:rPr>
      </w:pPr>
      <w:r>
        <w:rPr>
          <w:rFonts w:ascii="Verdana" w:hAnsi="Verdana"/>
        </w:rPr>
        <w:lastRenderedPageBreak/>
        <w:t xml:space="preserve"> </w:t>
      </w:r>
    </w:p>
    <w:p w14:paraId="5A9D7CFF" w14:textId="2F53BBB8" w:rsidR="00FB6716" w:rsidRPr="00E81372" w:rsidRDefault="00FB6716" w:rsidP="00F247B7">
      <w:pPr>
        <w:pStyle w:val="BasicParagraph"/>
        <w:widowControl/>
        <w:numPr>
          <w:ilvl w:val="1"/>
          <w:numId w:val="21"/>
        </w:numPr>
        <w:suppressAutoHyphens/>
        <w:ind w:left="709"/>
        <w:rPr>
          <w:rFonts w:ascii="Verdana" w:hAnsi="Verdana"/>
          <w:b/>
          <w:bCs/>
        </w:rPr>
      </w:pPr>
      <w:r w:rsidRPr="00E81372">
        <w:rPr>
          <w:rFonts w:ascii="Verdana" w:hAnsi="Verdana"/>
          <w:b/>
          <w:bCs/>
        </w:rPr>
        <w:t xml:space="preserve">The NIHRC recommends that the Executive </w:t>
      </w:r>
      <w:r w:rsidR="00021305" w:rsidRPr="00E81372">
        <w:rPr>
          <w:rFonts w:ascii="Verdana" w:hAnsi="Verdana"/>
          <w:b/>
          <w:bCs/>
        </w:rPr>
        <w:t xml:space="preserve">Office </w:t>
      </w:r>
      <w:r w:rsidRPr="00E81372">
        <w:rPr>
          <w:rFonts w:ascii="Verdana" w:hAnsi="Verdana"/>
          <w:b/>
          <w:bCs/>
        </w:rPr>
        <w:t xml:space="preserve">sets out the budget required for the implementation of the Framework’s Delivery </w:t>
      </w:r>
      <w:r w:rsidR="00B9526F" w:rsidRPr="00E81372">
        <w:rPr>
          <w:rFonts w:ascii="Verdana" w:hAnsi="Verdana"/>
          <w:b/>
          <w:bCs/>
        </w:rPr>
        <w:t>Plan and</w:t>
      </w:r>
      <w:r w:rsidRPr="00E81372">
        <w:rPr>
          <w:rFonts w:ascii="Verdana" w:hAnsi="Verdana"/>
          <w:b/>
          <w:bCs/>
        </w:rPr>
        <w:t xml:space="preserve"> take</w:t>
      </w:r>
      <w:r w:rsidR="00645C1C">
        <w:rPr>
          <w:rFonts w:ascii="Verdana" w:hAnsi="Verdana"/>
          <w:b/>
          <w:bCs/>
        </w:rPr>
        <w:t>s</w:t>
      </w:r>
      <w:r w:rsidR="00A81961" w:rsidRPr="00E81372">
        <w:rPr>
          <w:rFonts w:ascii="Verdana" w:hAnsi="Verdana"/>
          <w:b/>
          <w:bCs/>
        </w:rPr>
        <w:t xml:space="preserve"> the </w:t>
      </w:r>
      <w:r w:rsidRPr="00E81372">
        <w:rPr>
          <w:rFonts w:ascii="Verdana" w:hAnsi="Verdana"/>
          <w:b/>
          <w:bCs/>
        </w:rPr>
        <w:t xml:space="preserve">steps </w:t>
      </w:r>
      <w:r w:rsidR="00645C1C">
        <w:rPr>
          <w:rFonts w:ascii="Verdana" w:hAnsi="Verdana"/>
          <w:b/>
          <w:bCs/>
        </w:rPr>
        <w:t xml:space="preserve">necessary </w:t>
      </w:r>
      <w:r w:rsidRPr="00E81372">
        <w:rPr>
          <w:rFonts w:ascii="Verdana" w:hAnsi="Verdana"/>
          <w:b/>
          <w:bCs/>
        </w:rPr>
        <w:t xml:space="preserve">to ensure that </w:t>
      </w:r>
      <w:r w:rsidR="00B9526F" w:rsidRPr="00E81372">
        <w:rPr>
          <w:rFonts w:ascii="Verdana" w:hAnsi="Verdana"/>
          <w:b/>
          <w:bCs/>
        </w:rPr>
        <w:t>the M</w:t>
      </w:r>
      <w:r w:rsidR="007D1316">
        <w:rPr>
          <w:rFonts w:ascii="Verdana" w:hAnsi="Verdana"/>
          <w:b/>
          <w:bCs/>
        </w:rPr>
        <w:t xml:space="preserve">inority </w:t>
      </w:r>
      <w:r w:rsidR="00B9526F" w:rsidRPr="00E81372">
        <w:rPr>
          <w:rFonts w:ascii="Verdana" w:hAnsi="Verdana"/>
          <w:b/>
          <w:bCs/>
        </w:rPr>
        <w:t>E</w:t>
      </w:r>
      <w:r w:rsidR="007D1316">
        <w:rPr>
          <w:rFonts w:ascii="Verdana" w:hAnsi="Verdana"/>
          <w:b/>
          <w:bCs/>
        </w:rPr>
        <w:t xml:space="preserve">thnic </w:t>
      </w:r>
      <w:r w:rsidR="00B9526F" w:rsidRPr="00E81372">
        <w:rPr>
          <w:rFonts w:ascii="Verdana" w:hAnsi="Verdana"/>
          <w:b/>
          <w:bCs/>
        </w:rPr>
        <w:t>D</w:t>
      </w:r>
      <w:r w:rsidR="007D1316">
        <w:rPr>
          <w:rFonts w:ascii="Verdana" w:hAnsi="Verdana"/>
          <w:b/>
          <w:bCs/>
        </w:rPr>
        <w:t xml:space="preserve">evelopment </w:t>
      </w:r>
      <w:r w:rsidR="00B9526F" w:rsidRPr="00E81372">
        <w:rPr>
          <w:rFonts w:ascii="Verdana" w:hAnsi="Verdana"/>
          <w:b/>
          <w:bCs/>
        </w:rPr>
        <w:t>F</w:t>
      </w:r>
      <w:r w:rsidR="007D1316">
        <w:rPr>
          <w:rFonts w:ascii="Verdana" w:hAnsi="Verdana"/>
          <w:b/>
          <w:bCs/>
        </w:rPr>
        <w:t>und</w:t>
      </w:r>
      <w:r w:rsidR="00B9526F" w:rsidRPr="00E81372">
        <w:rPr>
          <w:rFonts w:ascii="Verdana" w:hAnsi="Verdana"/>
          <w:b/>
          <w:bCs/>
        </w:rPr>
        <w:t xml:space="preserve"> </w:t>
      </w:r>
      <w:r w:rsidRPr="00E81372">
        <w:rPr>
          <w:rFonts w:ascii="Verdana" w:hAnsi="Verdana"/>
          <w:b/>
          <w:bCs/>
        </w:rPr>
        <w:t>is released in a timely manner to avoid delays that could undermine delivery</w:t>
      </w:r>
      <w:r w:rsidR="000F66BC" w:rsidRPr="00E81372">
        <w:rPr>
          <w:rFonts w:ascii="Verdana" w:hAnsi="Verdana"/>
          <w:b/>
          <w:bCs/>
        </w:rPr>
        <w:t>.</w:t>
      </w:r>
    </w:p>
    <w:p w14:paraId="384D7303" w14:textId="77777777" w:rsidR="004C153E" w:rsidRDefault="004C153E" w:rsidP="004C153E">
      <w:pPr>
        <w:pStyle w:val="ListParagraph"/>
      </w:pPr>
    </w:p>
    <w:p w14:paraId="296F9254" w14:textId="13F535F0" w:rsidR="004C153E" w:rsidRPr="00774F44" w:rsidRDefault="004C153E" w:rsidP="00B75E30">
      <w:pPr>
        <w:pStyle w:val="Heading2"/>
      </w:pPr>
      <w:bookmarkStart w:id="11" w:name="_Toc230705740"/>
      <w:r w:rsidRPr="00774F44">
        <w:t>Misinformation</w:t>
      </w:r>
      <w:bookmarkEnd w:id="11"/>
    </w:p>
    <w:p w14:paraId="430FBF65" w14:textId="77777777" w:rsidR="007B002D" w:rsidRDefault="007B002D" w:rsidP="004C153E"/>
    <w:p w14:paraId="45596061" w14:textId="2595889F" w:rsidR="00880C12" w:rsidRDefault="00880C12" w:rsidP="00F247B7">
      <w:pPr>
        <w:pStyle w:val="BasicParagraph"/>
        <w:numPr>
          <w:ilvl w:val="1"/>
          <w:numId w:val="21"/>
        </w:numPr>
        <w:suppressAutoHyphens/>
        <w:ind w:left="709"/>
        <w:rPr>
          <w:rFonts w:ascii="Verdana" w:hAnsi="Verdana"/>
        </w:rPr>
      </w:pPr>
      <w:r>
        <w:rPr>
          <w:rFonts w:ascii="Verdana" w:hAnsi="Verdana"/>
        </w:rPr>
        <w:t>T</w:t>
      </w:r>
      <w:r w:rsidR="006C4EC1">
        <w:rPr>
          <w:rFonts w:ascii="Verdana" w:hAnsi="Verdana"/>
        </w:rPr>
        <w:t>he NIH</w:t>
      </w:r>
      <w:r w:rsidR="00905143">
        <w:rPr>
          <w:rFonts w:ascii="Verdana" w:hAnsi="Verdana"/>
        </w:rPr>
        <w:t>R</w:t>
      </w:r>
      <w:r w:rsidR="006C4EC1">
        <w:rPr>
          <w:rFonts w:ascii="Verdana" w:hAnsi="Verdana"/>
        </w:rPr>
        <w:t xml:space="preserve">C welcomes the inclusion of </w:t>
      </w:r>
      <w:r w:rsidR="00774F44">
        <w:rPr>
          <w:rFonts w:ascii="Verdana" w:hAnsi="Verdana"/>
        </w:rPr>
        <w:t>misinformation</w:t>
      </w:r>
      <w:r w:rsidR="006C4EC1">
        <w:rPr>
          <w:rFonts w:ascii="Verdana" w:hAnsi="Verdana"/>
        </w:rPr>
        <w:t xml:space="preserve"> as one of the key issues under Outcome 1</w:t>
      </w:r>
      <w:r w:rsidR="00866DB6">
        <w:rPr>
          <w:rFonts w:ascii="Verdana" w:hAnsi="Verdana"/>
        </w:rPr>
        <w:t xml:space="preserve">, </w:t>
      </w:r>
      <w:r w:rsidR="00A1354C">
        <w:rPr>
          <w:rFonts w:ascii="Verdana" w:hAnsi="Verdana"/>
        </w:rPr>
        <w:t>recognising that</w:t>
      </w:r>
      <w:r w:rsidR="00866DB6">
        <w:rPr>
          <w:rFonts w:ascii="Verdana" w:hAnsi="Verdana"/>
        </w:rPr>
        <w:t xml:space="preserve"> misinformation </w:t>
      </w:r>
      <w:r w:rsidR="00A1354C">
        <w:rPr>
          <w:rFonts w:ascii="Verdana" w:hAnsi="Verdana"/>
        </w:rPr>
        <w:t xml:space="preserve">can </w:t>
      </w:r>
      <w:r w:rsidR="00866DB6">
        <w:rPr>
          <w:rFonts w:ascii="Verdana" w:hAnsi="Verdana"/>
        </w:rPr>
        <w:t xml:space="preserve">perpetuate </w:t>
      </w:r>
      <w:r w:rsidR="00DF6043">
        <w:rPr>
          <w:rFonts w:ascii="Verdana" w:hAnsi="Verdana"/>
        </w:rPr>
        <w:t>racial inequalities if left un</w:t>
      </w:r>
      <w:r w:rsidR="002B2C64">
        <w:rPr>
          <w:rFonts w:ascii="Verdana" w:hAnsi="Verdana"/>
        </w:rPr>
        <w:t>addressed</w:t>
      </w:r>
      <w:r w:rsidR="00DF6043">
        <w:rPr>
          <w:rFonts w:ascii="Verdana" w:hAnsi="Verdana"/>
        </w:rPr>
        <w:t xml:space="preserve">. </w:t>
      </w:r>
      <w:r w:rsidR="00D50525">
        <w:rPr>
          <w:rFonts w:ascii="Verdana" w:hAnsi="Verdana"/>
        </w:rPr>
        <w:t>It is also important to note that</w:t>
      </w:r>
      <w:r w:rsidR="002B2C64">
        <w:rPr>
          <w:rFonts w:ascii="Verdana" w:hAnsi="Verdana"/>
        </w:rPr>
        <w:t xml:space="preserve"> closely </w:t>
      </w:r>
      <w:r w:rsidR="00934A0E">
        <w:rPr>
          <w:rFonts w:ascii="Verdana" w:hAnsi="Verdana"/>
        </w:rPr>
        <w:t>related</w:t>
      </w:r>
      <w:r w:rsidR="00D50525">
        <w:rPr>
          <w:rFonts w:ascii="Verdana" w:hAnsi="Verdana"/>
        </w:rPr>
        <w:t xml:space="preserve"> to</w:t>
      </w:r>
      <w:r w:rsidR="002B2C64">
        <w:rPr>
          <w:rFonts w:ascii="Verdana" w:hAnsi="Verdana"/>
        </w:rPr>
        <w:t xml:space="preserve"> </w:t>
      </w:r>
      <w:r w:rsidR="007C6A5E">
        <w:rPr>
          <w:rFonts w:ascii="Verdana" w:hAnsi="Verdana"/>
        </w:rPr>
        <w:t>this</w:t>
      </w:r>
      <w:r w:rsidR="00C25C9B">
        <w:rPr>
          <w:rFonts w:ascii="Verdana" w:hAnsi="Verdana"/>
        </w:rPr>
        <w:t xml:space="preserve"> issue</w:t>
      </w:r>
      <w:r w:rsidR="007C6A5E">
        <w:rPr>
          <w:rFonts w:ascii="Verdana" w:hAnsi="Verdana"/>
        </w:rPr>
        <w:t>, disinformation</w:t>
      </w:r>
      <w:r w:rsidR="00D50525">
        <w:rPr>
          <w:rFonts w:ascii="Verdana" w:hAnsi="Verdana"/>
        </w:rPr>
        <w:t xml:space="preserve"> </w:t>
      </w:r>
      <w:r w:rsidR="00847100">
        <w:rPr>
          <w:rFonts w:ascii="Verdana" w:hAnsi="Verdana"/>
        </w:rPr>
        <w:t>constitutes</w:t>
      </w:r>
      <w:r w:rsidR="008043F0">
        <w:rPr>
          <w:rFonts w:ascii="Verdana" w:hAnsi="Verdana"/>
        </w:rPr>
        <w:t xml:space="preserve"> </w:t>
      </w:r>
      <w:r w:rsidR="00D50525">
        <w:rPr>
          <w:rFonts w:ascii="Verdana" w:hAnsi="Verdana"/>
        </w:rPr>
        <w:t xml:space="preserve">a critical issue that warrants </w:t>
      </w:r>
      <w:r w:rsidR="008043F0">
        <w:rPr>
          <w:rFonts w:ascii="Verdana" w:hAnsi="Verdana"/>
        </w:rPr>
        <w:t xml:space="preserve">explicit </w:t>
      </w:r>
      <w:r w:rsidR="00D50525">
        <w:rPr>
          <w:rFonts w:ascii="Verdana" w:hAnsi="Verdana"/>
        </w:rPr>
        <w:t>inclusion</w:t>
      </w:r>
      <w:r w:rsidR="00934A0E">
        <w:rPr>
          <w:rFonts w:ascii="Verdana" w:hAnsi="Verdana"/>
        </w:rPr>
        <w:t>.</w:t>
      </w:r>
    </w:p>
    <w:p w14:paraId="45D34497" w14:textId="77777777" w:rsidR="00DF6043" w:rsidRDefault="00DF6043" w:rsidP="00DF6043">
      <w:pPr>
        <w:pStyle w:val="BasicParagraph"/>
        <w:suppressAutoHyphens/>
        <w:ind w:left="-11"/>
        <w:rPr>
          <w:rFonts w:ascii="Verdana" w:hAnsi="Verdana"/>
        </w:rPr>
      </w:pPr>
    </w:p>
    <w:p w14:paraId="08569324" w14:textId="4DBE26DA" w:rsidR="00DF6043" w:rsidRDefault="00443812" w:rsidP="00F247B7">
      <w:pPr>
        <w:pStyle w:val="BasicParagraph"/>
        <w:numPr>
          <w:ilvl w:val="1"/>
          <w:numId w:val="21"/>
        </w:numPr>
        <w:suppressAutoHyphens/>
        <w:ind w:left="709"/>
        <w:rPr>
          <w:rFonts w:ascii="Verdana" w:hAnsi="Verdana"/>
        </w:rPr>
      </w:pPr>
      <w:r w:rsidRPr="00443812">
        <w:rPr>
          <w:rFonts w:ascii="Verdana" w:hAnsi="Verdana"/>
        </w:rPr>
        <w:t xml:space="preserve">Article 2(1) and Article 26 of the UN ICCPR provide individuals the right to non-discrimination, which misinformation and disinformation can violate if it is targeted to a particular societal group like racial and </w:t>
      </w:r>
      <w:r w:rsidR="005865AA">
        <w:rPr>
          <w:rFonts w:ascii="Verdana" w:hAnsi="Verdana"/>
        </w:rPr>
        <w:t xml:space="preserve">minority ethnic </w:t>
      </w:r>
      <w:r w:rsidR="003210D5">
        <w:rPr>
          <w:rFonts w:ascii="Verdana" w:hAnsi="Verdana"/>
        </w:rPr>
        <w:t>groups</w:t>
      </w:r>
      <w:r w:rsidRPr="00443812">
        <w:rPr>
          <w:rFonts w:ascii="Verdana" w:hAnsi="Verdana"/>
        </w:rPr>
        <w:t>.</w:t>
      </w:r>
      <w:r>
        <w:rPr>
          <w:rStyle w:val="FootnoteReference"/>
          <w:rFonts w:ascii="Verdana" w:hAnsi="Verdana"/>
        </w:rPr>
        <w:footnoteReference w:id="67"/>
      </w:r>
      <w:r w:rsidR="00D931E9" w:rsidRPr="00D931E9">
        <w:rPr>
          <w:rFonts w:ascii="Verdana" w:hAnsi="Verdana" w:cstheme="minorBidi"/>
          <w:color w:val="auto"/>
        </w:rPr>
        <w:t xml:space="preserve"> </w:t>
      </w:r>
      <w:r w:rsidR="00D931E9" w:rsidRPr="00D931E9">
        <w:rPr>
          <w:rFonts w:ascii="Verdana" w:hAnsi="Verdana"/>
        </w:rPr>
        <w:t xml:space="preserve">The enjoyment of a broad range of fundamental economic, social and cultural rights for </w:t>
      </w:r>
      <w:r w:rsidR="00987209">
        <w:rPr>
          <w:rFonts w:ascii="Verdana" w:hAnsi="Verdana"/>
        </w:rPr>
        <w:t>these groups</w:t>
      </w:r>
      <w:r w:rsidR="00D931E9" w:rsidRPr="00D931E9">
        <w:rPr>
          <w:rFonts w:ascii="Verdana" w:hAnsi="Verdana"/>
        </w:rPr>
        <w:t xml:space="preserve"> can be affected by misinformation and </w:t>
      </w:r>
      <w:r w:rsidR="00660E46" w:rsidRPr="00D931E9">
        <w:rPr>
          <w:rFonts w:ascii="Verdana" w:hAnsi="Verdana"/>
        </w:rPr>
        <w:t>disinformation.</w:t>
      </w:r>
      <w:r w:rsidR="00660E46">
        <w:rPr>
          <w:rFonts w:ascii="Verdana" w:hAnsi="Verdana"/>
        </w:rPr>
        <w:t xml:space="preserve"> </w:t>
      </w:r>
      <w:r w:rsidR="001E4EB7">
        <w:rPr>
          <w:rFonts w:ascii="Verdana" w:hAnsi="Verdana"/>
        </w:rPr>
        <w:t xml:space="preserve">Addressing these issues </w:t>
      </w:r>
      <w:r w:rsidR="00B8340F">
        <w:rPr>
          <w:rFonts w:ascii="Verdana" w:hAnsi="Verdana"/>
        </w:rPr>
        <w:t>t</w:t>
      </w:r>
      <w:r w:rsidR="00934A0E">
        <w:rPr>
          <w:rFonts w:ascii="Verdana" w:hAnsi="Verdana"/>
        </w:rPr>
        <w:t>herefore</w:t>
      </w:r>
      <w:r w:rsidR="00B8340F">
        <w:rPr>
          <w:rFonts w:ascii="Verdana" w:hAnsi="Verdana"/>
        </w:rPr>
        <w:t xml:space="preserve"> requires action by </w:t>
      </w:r>
      <w:r w:rsidR="0099112F">
        <w:rPr>
          <w:rFonts w:ascii="Verdana" w:hAnsi="Verdana"/>
        </w:rPr>
        <w:t>a</w:t>
      </w:r>
      <w:r w:rsidR="007C6A5E">
        <w:rPr>
          <w:rFonts w:ascii="Verdana" w:hAnsi="Verdana"/>
        </w:rPr>
        <w:t xml:space="preserve"> broad</w:t>
      </w:r>
      <w:r w:rsidR="0099112F">
        <w:rPr>
          <w:rFonts w:ascii="Verdana" w:hAnsi="Verdana"/>
        </w:rPr>
        <w:t xml:space="preserve"> range of key stakeholders</w:t>
      </w:r>
      <w:r w:rsidR="00D50525">
        <w:rPr>
          <w:rFonts w:ascii="Verdana" w:hAnsi="Verdana"/>
        </w:rPr>
        <w:t>.</w:t>
      </w:r>
    </w:p>
    <w:p w14:paraId="47C574C5" w14:textId="77777777" w:rsidR="00AE5CF2" w:rsidRDefault="00AE5CF2" w:rsidP="00AE5CF2">
      <w:pPr>
        <w:pStyle w:val="ListParagraph"/>
      </w:pPr>
    </w:p>
    <w:p w14:paraId="1A4442DA" w14:textId="17B9E620" w:rsidR="00AE5CF2" w:rsidRDefault="00AE5CF2" w:rsidP="00F247B7">
      <w:pPr>
        <w:pStyle w:val="BasicParagraph"/>
        <w:numPr>
          <w:ilvl w:val="1"/>
          <w:numId w:val="21"/>
        </w:numPr>
        <w:suppressAutoHyphens/>
        <w:ind w:left="709"/>
        <w:rPr>
          <w:rFonts w:ascii="Verdana" w:hAnsi="Verdana"/>
        </w:rPr>
      </w:pPr>
      <w:r w:rsidRPr="00AE5CF2">
        <w:rPr>
          <w:rFonts w:ascii="Verdana" w:hAnsi="Verdana"/>
        </w:rPr>
        <w:t>In the context of misinformation and disinformation regarding racial and minorit</w:t>
      </w:r>
      <w:r w:rsidR="00677067">
        <w:rPr>
          <w:rFonts w:ascii="Verdana" w:hAnsi="Verdana"/>
        </w:rPr>
        <w:t xml:space="preserve">y </w:t>
      </w:r>
      <w:r w:rsidRPr="00AE5CF2">
        <w:rPr>
          <w:rFonts w:ascii="Verdana" w:hAnsi="Verdana"/>
        </w:rPr>
        <w:t xml:space="preserve">ethnic </w:t>
      </w:r>
      <w:r w:rsidR="006064E8">
        <w:rPr>
          <w:rFonts w:ascii="Verdana" w:hAnsi="Verdana"/>
        </w:rPr>
        <w:t>communities</w:t>
      </w:r>
      <w:r w:rsidRPr="00AE5CF2">
        <w:rPr>
          <w:rFonts w:ascii="Verdana" w:hAnsi="Verdana"/>
        </w:rPr>
        <w:t xml:space="preserve">, Articles 4 and 5 of the UN CERD require States to take effective action to prevent the spread of discriminatory misinformation and disinformation inciting hate against </w:t>
      </w:r>
      <w:r w:rsidR="00FC014D">
        <w:rPr>
          <w:rFonts w:ascii="Verdana" w:hAnsi="Verdana"/>
        </w:rPr>
        <w:t>these</w:t>
      </w:r>
      <w:r w:rsidR="00712DBD">
        <w:rPr>
          <w:rFonts w:ascii="Verdana" w:hAnsi="Verdana"/>
        </w:rPr>
        <w:t xml:space="preserve"> </w:t>
      </w:r>
      <w:r w:rsidR="00286EB5">
        <w:rPr>
          <w:rFonts w:ascii="Verdana" w:hAnsi="Verdana"/>
        </w:rPr>
        <w:t>communities</w:t>
      </w:r>
      <w:r w:rsidRPr="00AE5CF2">
        <w:rPr>
          <w:rFonts w:ascii="Verdana" w:hAnsi="Verdana"/>
        </w:rPr>
        <w:t xml:space="preserve"> to promote equality for those under their jurisdiction.</w:t>
      </w:r>
    </w:p>
    <w:p w14:paraId="33D0A83D" w14:textId="77777777" w:rsidR="001B512C" w:rsidRDefault="001B512C" w:rsidP="001B512C">
      <w:pPr>
        <w:pStyle w:val="ListParagraph"/>
      </w:pPr>
    </w:p>
    <w:p w14:paraId="05233C65" w14:textId="0BE53A4D" w:rsidR="001B512C" w:rsidRDefault="00891C96" w:rsidP="00F247B7">
      <w:pPr>
        <w:pStyle w:val="BasicParagraph"/>
        <w:numPr>
          <w:ilvl w:val="1"/>
          <w:numId w:val="21"/>
        </w:numPr>
        <w:suppressAutoHyphens/>
        <w:ind w:left="709"/>
        <w:rPr>
          <w:rFonts w:ascii="Verdana" w:hAnsi="Verdana"/>
        </w:rPr>
      </w:pPr>
      <w:r>
        <w:rPr>
          <w:rFonts w:ascii="Verdana" w:hAnsi="Verdana"/>
        </w:rPr>
        <w:t xml:space="preserve">In addition, </w:t>
      </w:r>
      <w:r w:rsidR="000769C6">
        <w:rPr>
          <w:rFonts w:ascii="Verdana" w:hAnsi="Verdana"/>
        </w:rPr>
        <w:t>minority</w:t>
      </w:r>
      <w:r w:rsidR="006C6DE4">
        <w:rPr>
          <w:rFonts w:ascii="Verdana" w:hAnsi="Verdana"/>
        </w:rPr>
        <w:t xml:space="preserve"> </w:t>
      </w:r>
      <w:r w:rsidR="00547437">
        <w:rPr>
          <w:rFonts w:ascii="Verdana" w:hAnsi="Verdana"/>
        </w:rPr>
        <w:t>ethnic</w:t>
      </w:r>
      <w:r w:rsidR="000769C6">
        <w:rPr>
          <w:rFonts w:ascii="Verdana" w:hAnsi="Verdana"/>
        </w:rPr>
        <w:t xml:space="preserve"> communities </w:t>
      </w:r>
      <w:r w:rsidR="00645C1C">
        <w:rPr>
          <w:rFonts w:ascii="Verdana" w:hAnsi="Verdana"/>
        </w:rPr>
        <w:t xml:space="preserve">must be </w:t>
      </w:r>
      <w:r w:rsidR="00336288">
        <w:rPr>
          <w:rFonts w:ascii="Verdana" w:hAnsi="Verdana"/>
        </w:rPr>
        <w:t xml:space="preserve">supported and </w:t>
      </w:r>
      <w:r w:rsidR="000769C6">
        <w:rPr>
          <w:rFonts w:ascii="Verdana" w:hAnsi="Verdana"/>
        </w:rPr>
        <w:t>empowered to raise</w:t>
      </w:r>
      <w:r w:rsidR="00E40C7C">
        <w:rPr>
          <w:rFonts w:ascii="Verdana" w:hAnsi="Verdana"/>
        </w:rPr>
        <w:t xml:space="preserve"> and challenge</w:t>
      </w:r>
      <w:r w:rsidR="00FF4DE8">
        <w:rPr>
          <w:rFonts w:ascii="Verdana" w:hAnsi="Verdana"/>
        </w:rPr>
        <w:t xml:space="preserve"> issues </w:t>
      </w:r>
      <w:r w:rsidR="007734AB">
        <w:rPr>
          <w:rFonts w:ascii="Verdana" w:hAnsi="Verdana"/>
        </w:rPr>
        <w:t>concerning misinformation</w:t>
      </w:r>
      <w:r w:rsidR="00637C55">
        <w:rPr>
          <w:rFonts w:ascii="Verdana" w:hAnsi="Verdana"/>
        </w:rPr>
        <w:t xml:space="preserve"> and disinformation</w:t>
      </w:r>
      <w:r w:rsidR="007734AB">
        <w:rPr>
          <w:rFonts w:ascii="Verdana" w:hAnsi="Verdana"/>
        </w:rPr>
        <w:t>.</w:t>
      </w:r>
      <w:r w:rsidR="00711AF4">
        <w:rPr>
          <w:rFonts w:ascii="Verdana" w:hAnsi="Verdana"/>
        </w:rPr>
        <w:t xml:space="preserve"> However,</w:t>
      </w:r>
      <w:r w:rsidR="007734AB">
        <w:rPr>
          <w:rFonts w:ascii="Verdana" w:hAnsi="Verdana"/>
        </w:rPr>
        <w:t xml:space="preserve"> </w:t>
      </w:r>
      <w:r w:rsidR="00711AF4">
        <w:rPr>
          <w:rFonts w:ascii="Verdana" w:hAnsi="Verdana"/>
        </w:rPr>
        <w:t>c</w:t>
      </w:r>
      <w:r w:rsidR="00637C55">
        <w:rPr>
          <w:rFonts w:ascii="Verdana" w:hAnsi="Verdana"/>
        </w:rPr>
        <w:t>ommunication</w:t>
      </w:r>
      <w:r w:rsidR="00395F03">
        <w:rPr>
          <w:rFonts w:ascii="Verdana" w:hAnsi="Verdana"/>
        </w:rPr>
        <w:t xml:space="preserve"> </w:t>
      </w:r>
      <w:r w:rsidR="004E7E2A">
        <w:rPr>
          <w:rFonts w:ascii="Verdana" w:hAnsi="Verdana"/>
        </w:rPr>
        <w:t>barriers</w:t>
      </w:r>
      <w:r w:rsidR="00395F03">
        <w:rPr>
          <w:rFonts w:ascii="Verdana" w:hAnsi="Verdana"/>
        </w:rPr>
        <w:t xml:space="preserve"> </w:t>
      </w:r>
      <w:r w:rsidR="00BF354B" w:rsidRPr="00BF354B">
        <w:rPr>
          <w:rFonts w:ascii="Verdana" w:hAnsi="Verdana"/>
        </w:rPr>
        <w:t>remain a significant obstacle in this regard</w:t>
      </w:r>
      <w:r w:rsidR="004E7E2A">
        <w:rPr>
          <w:rFonts w:ascii="Verdana" w:hAnsi="Verdana"/>
        </w:rPr>
        <w:t>.</w:t>
      </w:r>
    </w:p>
    <w:p w14:paraId="55CCF3B0" w14:textId="77777777" w:rsidR="004E7E2A" w:rsidRDefault="004E7E2A" w:rsidP="004E7E2A">
      <w:pPr>
        <w:pStyle w:val="ListParagraph"/>
      </w:pPr>
    </w:p>
    <w:p w14:paraId="0BEB1D3A" w14:textId="34DBE05A" w:rsidR="004E7E2A" w:rsidRPr="00711AF4" w:rsidRDefault="004E7E2A" w:rsidP="00F247B7">
      <w:pPr>
        <w:pStyle w:val="BasicParagraph"/>
        <w:numPr>
          <w:ilvl w:val="1"/>
          <w:numId w:val="21"/>
        </w:numPr>
        <w:suppressAutoHyphens/>
        <w:ind w:left="709"/>
        <w:rPr>
          <w:rFonts w:ascii="Verdana" w:hAnsi="Verdana"/>
          <w:b/>
          <w:bCs/>
        </w:rPr>
      </w:pPr>
      <w:r w:rsidRPr="00711AF4">
        <w:rPr>
          <w:rFonts w:ascii="Verdana" w:hAnsi="Verdana"/>
          <w:b/>
          <w:bCs/>
        </w:rPr>
        <w:t xml:space="preserve">The NIHRC recommends </w:t>
      </w:r>
      <w:r w:rsidR="00BF5B7C" w:rsidRPr="00711AF4">
        <w:rPr>
          <w:rFonts w:ascii="Verdana" w:hAnsi="Verdana"/>
          <w:b/>
          <w:bCs/>
        </w:rPr>
        <w:t xml:space="preserve">that the Executive Office </w:t>
      </w:r>
      <w:r w:rsidR="00426BD3" w:rsidRPr="00711AF4">
        <w:rPr>
          <w:rFonts w:ascii="Verdana" w:hAnsi="Verdana"/>
          <w:b/>
          <w:bCs/>
        </w:rPr>
        <w:t xml:space="preserve">explicitly include </w:t>
      </w:r>
      <w:r w:rsidR="00BF5B7C" w:rsidRPr="00711AF4">
        <w:rPr>
          <w:rFonts w:ascii="Verdana" w:hAnsi="Verdana"/>
          <w:b/>
          <w:bCs/>
        </w:rPr>
        <w:t>disinformation as a key issue to</w:t>
      </w:r>
      <w:r w:rsidR="008D07F2">
        <w:rPr>
          <w:rFonts w:ascii="Verdana" w:hAnsi="Verdana"/>
          <w:b/>
          <w:bCs/>
        </w:rPr>
        <w:t xml:space="preserve"> be</w:t>
      </w:r>
      <w:r w:rsidR="00BF5B7C" w:rsidRPr="00711AF4">
        <w:rPr>
          <w:rFonts w:ascii="Verdana" w:hAnsi="Verdana"/>
          <w:b/>
          <w:bCs/>
        </w:rPr>
        <w:t xml:space="preserve"> address</w:t>
      </w:r>
      <w:r w:rsidR="00426BD3" w:rsidRPr="00711AF4">
        <w:rPr>
          <w:rFonts w:ascii="Verdana" w:hAnsi="Verdana"/>
          <w:b/>
          <w:bCs/>
        </w:rPr>
        <w:t>ed</w:t>
      </w:r>
      <w:r w:rsidR="00BF5B7C" w:rsidRPr="00711AF4">
        <w:rPr>
          <w:rFonts w:ascii="Verdana" w:hAnsi="Verdana"/>
          <w:b/>
          <w:bCs/>
        </w:rPr>
        <w:t xml:space="preserve"> under Outcome 1</w:t>
      </w:r>
      <w:r w:rsidR="000C0F38">
        <w:rPr>
          <w:rFonts w:ascii="Verdana" w:hAnsi="Verdana"/>
          <w:b/>
          <w:bCs/>
        </w:rPr>
        <w:t xml:space="preserve"> </w:t>
      </w:r>
      <w:r w:rsidR="00140708">
        <w:rPr>
          <w:rFonts w:ascii="Verdana" w:hAnsi="Verdana"/>
          <w:b/>
          <w:bCs/>
        </w:rPr>
        <w:t xml:space="preserve">and </w:t>
      </w:r>
      <w:r w:rsidR="00140708" w:rsidRPr="00711AF4">
        <w:rPr>
          <w:rFonts w:ascii="Verdana" w:hAnsi="Verdana"/>
          <w:b/>
          <w:bCs/>
        </w:rPr>
        <w:t>consider</w:t>
      </w:r>
      <w:r w:rsidR="00C67ECC" w:rsidRPr="00711AF4">
        <w:rPr>
          <w:rFonts w:ascii="Verdana" w:hAnsi="Verdana"/>
          <w:b/>
          <w:bCs/>
        </w:rPr>
        <w:t xml:space="preserve"> measures such as the </w:t>
      </w:r>
      <w:r w:rsidR="00F47854" w:rsidRPr="00711AF4">
        <w:rPr>
          <w:rFonts w:ascii="Verdana" w:hAnsi="Verdana"/>
          <w:b/>
          <w:bCs/>
        </w:rPr>
        <w:t>provi</w:t>
      </w:r>
      <w:r w:rsidR="00C67ECC" w:rsidRPr="00711AF4">
        <w:rPr>
          <w:rFonts w:ascii="Verdana" w:hAnsi="Verdana"/>
          <w:b/>
          <w:bCs/>
        </w:rPr>
        <w:t xml:space="preserve">sion </w:t>
      </w:r>
      <w:r w:rsidR="00D4092A" w:rsidRPr="00711AF4">
        <w:rPr>
          <w:rFonts w:ascii="Verdana" w:hAnsi="Verdana"/>
          <w:b/>
          <w:bCs/>
        </w:rPr>
        <w:t xml:space="preserve">of </w:t>
      </w:r>
      <w:r w:rsidR="00F47854" w:rsidRPr="00711AF4">
        <w:rPr>
          <w:rFonts w:ascii="Verdana" w:hAnsi="Verdana"/>
          <w:b/>
          <w:bCs/>
        </w:rPr>
        <w:t xml:space="preserve">language classes </w:t>
      </w:r>
      <w:r w:rsidR="00F47854" w:rsidRPr="00711AF4">
        <w:rPr>
          <w:rFonts w:ascii="Verdana" w:hAnsi="Verdana"/>
          <w:b/>
          <w:bCs/>
        </w:rPr>
        <w:lastRenderedPageBreak/>
        <w:t>and interpretation services</w:t>
      </w:r>
      <w:r w:rsidR="00056FE6" w:rsidRPr="00711AF4">
        <w:rPr>
          <w:rFonts w:ascii="Verdana" w:hAnsi="Verdana" w:cstheme="minorBidi"/>
          <w:b/>
          <w:bCs/>
          <w:color w:val="auto"/>
        </w:rPr>
        <w:t xml:space="preserve"> </w:t>
      </w:r>
      <w:r w:rsidR="00056FE6" w:rsidRPr="00711AF4">
        <w:rPr>
          <w:rFonts w:ascii="Verdana" w:hAnsi="Verdana"/>
          <w:b/>
          <w:bCs/>
        </w:rPr>
        <w:t xml:space="preserve">to empower and assist racial and minority </w:t>
      </w:r>
      <w:r w:rsidR="00695DF0">
        <w:rPr>
          <w:rFonts w:ascii="Verdana" w:hAnsi="Verdana"/>
          <w:b/>
          <w:bCs/>
        </w:rPr>
        <w:t>ethnic</w:t>
      </w:r>
      <w:r w:rsidR="00056FE6" w:rsidRPr="00711AF4">
        <w:rPr>
          <w:rFonts w:ascii="Verdana" w:hAnsi="Verdana"/>
          <w:b/>
          <w:bCs/>
        </w:rPr>
        <w:t xml:space="preserve"> communities to report and challenge misinformation and disinformation.</w:t>
      </w:r>
    </w:p>
    <w:p w14:paraId="3338B9D3" w14:textId="77777777" w:rsidR="00056FE6" w:rsidRPr="00711AF4" w:rsidRDefault="00056FE6" w:rsidP="00056FE6">
      <w:pPr>
        <w:pStyle w:val="ListParagraph"/>
        <w:rPr>
          <w:b/>
          <w:bCs/>
        </w:rPr>
      </w:pPr>
    </w:p>
    <w:p w14:paraId="2F38DB10" w14:textId="53001A49" w:rsidR="00056FE6" w:rsidRPr="009A132C" w:rsidRDefault="00056FE6" w:rsidP="00F247B7">
      <w:pPr>
        <w:pStyle w:val="BasicParagraph"/>
        <w:numPr>
          <w:ilvl w:val="1"/>
          <w:numId w:val="21"/>
        </w:numPr>
        <w:suppressAutoHyphens/>
        <w:ind w:left="709"/>
        <w:rPr>
          <w:rFonts w:ascii="Verdana" w:hAnsi="Verdana"/>
          <w:b/>
          <w:bCs/>
        </w:rPr>
      </w:pPr>
      <w:r w:rsidRPr="009A132C">
        <w:rPr>
          <w:rFonts w:ascii="Verdana" w:hAnsi="Verdana"/>
          <w:b/>
          <w:bCs/>
        </w:rPr>
        <w:t xml:space="preserve">The </w:t>
      </w:r>
      <w:r w:rsidR="003A4D50">
        <w:rPr>
          <w:rFonts w:ascii="Verdana" w:hAnsi="Verdana"/>
          <w:b/>
          <w:bCs/>
        </w:rPr>
        <w:t xml:space="preserve">NIHRC </w:t>
      </w:r>
      <w:r w:rsidRPr="009A132C">
        <w:rPr>
          <w:rFonts w:ascii="Verdana" w:hAnsi="Verdana"/>
          <w:b/>
          <w:bCs/>
        </w:rPr>
        <w:t>also recommends that the Executive</w:t>
      </w:r>
      <w:r w:rsidR="008B2B9A" w:rsidRPr="009A132C">
        <w:rPr>
          <w:rFonts w:ascii="Verdana" w:hAnsi="Verdana"/>
          <w:b/>
          <w:bCs/>
        </w:rPr>
        <w:t xml:space="preserve"> Office</w:t>
      </w:r>
      <w:r w:rsidR="003D086B" w:rsidRPr="009A132C">
        <w:rPr>
          <w:rFonts w:ascii="Verdana" w:hAnsi="Verdana"/>
          <w:b/>
          <w:bCs/>
        </w:rPr>
        <w:t xml:space="preserve"> consider</w:t>
      </w:r>
      <w:r w:rsidR="00D4092A" w:rsidRPr="009A132C">
        <w:rPr>
          <w:rFonts w:ascii="Verdana" w:hAnsi="Verdana"/>
          <w:b/>
          <w:bCs/>
        </w:rPr>
        <w:t>s</w:t>
      </w:r>
      <w:r w:rsidR="003D086B" w:rsidRPr="009A132C">
        <w:rPr>
          <w:rFonts w:ascii="Verdana" w:hAnsi="Verdana"/>
          <w:b/>
          <w:bCs/>
        </w:rPr>
        <w:t xml:space="preserve"> </w:t>
      </w:r>
      <w:r w:rsidR="008B2B9A" w:rsidRPr="009A132C">
        <w:rPr>
          <w:rFonts w:ascii="Verdana" w:hAnsi="Verdana"/>
          <w:b/>
          <w:bCs/>
        </w:rPr>
        <w:t xml:space="preserve">the </w:t>
      </w:r>
      <w:r w:rsidR="003D086B" w:rsidRPr="009A132C">
        <w:rPr>
          <w:rFonts w:ascii="Verdana" w:hAnsi="Verdana"/>
          <w:b/>
          <w:bCs/>
        </w:rPr>
        <w:t>inclu</w:t>
      </w:r>
      <w:r w:rsidR="008B2B9A" w:rsidRPr="009A132C">
        <w:rPr>
          <w:rFonts w:ascii="Verdana" w:hAnsi="Verdana"/>
          <w:b/>
          <w:bCs/>
        </w:rPr>
        <w:t>sion of</w:t>
      </w:r>
      <w:r w:rsidR="003D086B" w:rsidRPr="009A132C">
        <w:rPr>
          <w:b/>
          <w:bCs/>
        </w:rPr>
        <w:t xml:space="preserve"> </w:t>
      </w:r>
      <w:r w:rsidR="003D086B" w:rsidRPr="009A132C">
        <w:rPr>
          <w:rFonts w:ascii="Verdana" w:hAnsi="Verdana"/>
          <w:b/>
          <w:bCs/>
        </w:rPr>
        <w:t>initiatives</w:t>
      </w:r>
      <w:r w:rsidR="008C6CAD" w:rsidRPr="009A132C">
        <w:rPr>
          <w:rFonts w:ascii="Verdana" w:hAnsi="Verdana"/>
          <w:b/>
          <w:bCs/>
        </w:rPr>
        <w:t xml:space="preserve"> aimed at</w:t>
      </w:r>
      <w:r w:rsidR="003D086B" w:rsidRPr="009A132C">
        <w:rPr>
          <w:rFonts w:ascii="Verdana" w:hAnsi="Verdana"/>
          <w:b/>
          <w:bCs/>
        </w:rPr>
        <w:t xml:space="preserve"> promo</w:t>
      </w:r>
      <w:r w:rsidR="008C6CAD" w:rsidRPr="009A132C">
        <w:rPr>
          <w:rFonts w:ascii="Verdana" w:hAnsi="Verdana"/>
          <w:b/>
          <w:bCs/>
        </w:rPr>
        <w:t>ting</w:t>
      </w:r>
      <w:r w:rsidR="003D086B" w:rsidRPr="009A132C">
        <w:rPr>
          <w:rFonts w:ascii="Verdana" w:hAnsi="Verdana"/>
          <w:b/>
          <w:bCs/>
        </w:rPr>
        <w:t xml:space="preserve"> media literacy and encourage fact</w:t>
      </w:r>
      <w:r w:rsidR="008C6CAD" w:rsidRPr="009A132C">
        <w:rPr>
          <w:rFonts w:ascii="Verdana" w:hAnsi="Verdana"/>
          <w:b/>
          <w:bCs/>
        </w:rPr>
        <w:t>-</w:t>
      </w:r>
      <w:r w:rsidR="003D086B" w:rsidRPr="009A132C">
        <w:rPr>
          <w:rFonts w:ascii="Verdana" w:hAnsi="Verdana"/>
          <w:b/>
          <w:bCs/>
        </w:rPr>
        <w:t>checking</w:t>
      </w:r>
      <w:r w:rsidR="008C6CAD" w:rsidRPr="009A132C">
        <w:rPr>
          <w:rFonts w:ascii="Verdana" w:hAnsi="Verdana"/>
          <w:b/>
          <w:bCs/>
        </w:rPr>
        <w:t xml:space="preserve"> of</w:t>
      </w:r>
      <w:r w:rsidR="003D086B" w:rsidRPr="009A132C">
        <w:rPr>
          <w:rFonts w:ascii="Verdana" w:hAnsi="Verdana"/>
          <w:b/>
          <w:bCs/>
        </w:rPr>
        <w:t xml:space="preserve"> online sources</w:t>
      </w:r>
      <w:r w:rsidR="003551F6" w:rsidRPr="009A132C">
        <w:rPr>
          <w:rFonts w:ascii="Verdana" w:hAnsi="Verdana"/>
          <w:b/>
          <w:bCs/>
        </w:rPr>
        <w:t xml:space="preserve">, </w:t>
      </w:r>
      <w:r w:rsidR="003D086B" w:rsidRPr="009A132C">
        <w:rPr>
          <w:rFonts w:ascii="Verdana" w:hAnsi="Verdana"/>
          <w:b/>
          <w:bCs/>
        </w:rPr>
        <w:t xml:space="preserve">to build </w:t>
      </w:r>
      <w:r w:rsidR="003551F6" w:rsidRPr="009A132C">
        <w:rPr>
          <w:rFonts w:ascii="Verdana" w:hAnsi="Verdana"/>
          <w:b/>
          <w:bCs/>
        </w:rPr>
        <w:t xml:space="preserve">greater </w:t>
      </w:r>
      <w:r w:rsidR="003D086B" w:rsidRPr="009A132C">
        <w:rPr>
          <w:rFonts w:ascii="Verdana" w:hAnsi="Verdana"/>
          <w:b/>
          <w:bCs/>
        </w:rPr>
        <w:t>resilience to misinformation and disinformation</w:t>
      </w:r>
      <w:r w:rsidR="009A132C">
        <w:rPr>
          <w:rFonts w:ascii="Verdana" w:hAnsi="Verdana"/>
          <w:b/>
          <w:bCs/>
        </w:rPr>
        <w:t>.</w:t>
      </w:r>
    </w:p>
    <w:p w14:paraId="10D33DE9" w14:textId="189414CF" w:rsidR="00880C12" w:rsidRDefault="00880C12" w:rsidP="003D086B">
      <w:pPr>
        <w:pStyle w:val="BasicParagraph"/>
        <w:suppressAutoHyphens/>
        <w:ind w:left="-11"/>
        <w:rPr>
          <w:rFonts w:ascii="Verdana" w:hAnsi="Verdana"/>
        </w:rPr>
      </w:pPr>
    </w:p>
    <w:p w14:paraId="62B9DE06" w14:textId="6C0A0EDE" w:rsidR="00EB21AB" w:rsidRDefault="00620EFA" w:rsidP="00F247B7">
      <w:pPr>
        <w:pStyle w:val="BasicParagraph"/>
        <w:numPr>
          <w:ilvl w:val="1"/>
          <w:numId w:val="21"/>
        </w:numPr>
        <w:suppressAutoHyphens/>
        <w:ind w:left="709"/>
        <w:rPr>
          <w:rFonts w:ascii="Verdana" w:hAnsi="Verdana"/>
          <w:b/>
          <w:bCs/>
        </w:rPr>
      </w:pPr>
      <w:r>
        <w:rPr>
          <w:rFonts w:ascii="Verdana" w:hAnsi="Verdana"/>
          <w:b/>
          <w:bCs/>
        </w:rPr>
        <w:t>The NIHRC also reco</w:t>
      </w:r>
      <w:r w:rsidR="001A1FB5">
        <w:rPr>
          <w:rFonts w:ascii="Verdana" w:hAnsi="Verdana"/>
          <w:b/>
          <w:bCs/>
        </w:rPr>
        <w:t xml:space="preserve">mmends that the Executive Office </w:t>
      </w:r>
      <w:r w:rsidR="009A132C">
        <w:rPr>
          <w:rFonts w:ascii="Verdana" w:hAnsi="Verdana"/>
          <w:b/>
          <w:bCs/>
        </w:rPr>
        <w:t xml:space="preserve">considers </w:t>
      </w:r>
      <w:r w:rsidR="009A132C" w:rsidRPr="00D41AEA">
        <w:rPr>
          <w:rFonts w:ascii="Verdana" w:hAnsi="Verdana"/>
          <w:b/>
          <w:bCs/>
        </w:rPr>
        <w:t>translating</w:t>
      </w:r>
      <w:r w:rsidR="00D41AEA" w:rsidRPr="00D41AEA">
        <w:rPr>
          <w:rFonts w:ascii="Verdana" w:hAnsi="Verdana"/>
          <w:b/>
          <w:bCs/>
        </w:rPr>
        <w:t xml:space="preserve"> the Framework into the indigenous, regional and minority languages spoken in N</w:t>
      </w:r>
      <w:r w:rsidR="008C20D6">
        <w:rPr>
          <w:rFonts w:ascii="Verdana" w:hAnsi="Verdana"/>
          <w:b/>
          <w:bCs/>
        </w:rPr>
        <w:t>I</w:t>
      </w:r>
      <w:r w:rsidR="00D41AEA" w:rsidRPr="00D41AEA">
        <w:rPr>
          <w:rFonts w:ascii="Verdana" w:hAnsi="Verdana"/>
          <w:b/>
          <w:bCs/>
        </w:rPr>
        <w:t>, to enhance accessibility and engagement.</w:t>
      </w:r>
      <w:r w:rsidR="00EB21AB">
        <w:rPr>
          <w:rFonts w:ascii="Verdana" w:hAnsi="Verdana"/>
          <w:b/>
          <w:bCs/>
        </w:rPr>
        <w:t xml:space="preserve"> </w:t>
      </w:r>
    </w:p>
    <w:p w14:paraId="62AB0CC2" w14:textId="77777777" w:rsidR="00A51D0D" w:rsidRDefault="00A51D0D" w:rsidP="009A132C">
      <w:pPr>
        <w:pStyle w:val="BasicParagraph"/>
        <w:suppressAutoHyphens/>
        <w:rPr>
          <w:rFonts w:ascii="Verdana" w:hAnsi="Verdana"/>
        </w:rPr>
      </w:pPr>
    </w:p>
    <w:p w14:paraId="44BA7760" w14:textId="37E7F909" w:rsidR="009A132C" w:rsidRPr="009A132C" w:rsidRDefault="009A132C" w:rsidP="00B75E30">
      <w:pPr>
        <w:pStyle w:val="Heading2"/>
      </w:pPr>
      <w:bookmarkStart w:id="12" w:name="_Toc230705741"/>
      <w:r w:rsidRPr="009A132C">
        <w:t>Racial Equality Subgroup</w:t>
      </w:r>
      <w:bookmarkEnd w:id="12"/>
      <w:r w:rsidRPr="009A132C">
        <w:t xml:space="preserve"> </w:t>
      </w:r>
    </w:p>
    <w:p w14:paraId="7772E67B" w14:textId="77777777" w:rsidR="009A132C" w:rsidRDefault="009A132C" w:rsidP="009A132C">
      <w:pPr>
        <w:pStyle w:val="BasicParagraph"/>
        <w:suppressAutoHyphens/>
        <w:rPr>
          <w:rFonts w:ascii="Verdana" w:hAnsi="Verdana"/>
        </w:rPr>
      </w:pPr>
    </w:p>
    <w:p w14:paraId="6CC16C42" w14:textId="5568CAFA" w:rsidR="00005709" w:rsidRDefault="001E2A79" w:rsidP="00F247B7">
      <w:pPr>
        <w:pStyle w:val="BasicParagraph"/>
        <w:numPr>
          <w:ilvl w:val="1"/>
          <w:numId w:val="21"/>
        </w:numPr>
        <w:suppressAutoHyphens/>
        <w:ind w:left="709"/>
        <w:rPr>
          <w:rFonts w:ascii="Verdana" w:hAnsi="Verdana"/>
        </w:rPr>
      </w:pPr>
      <w:r>
        <w:rPr>
          <w:rFonts w:ascii="Verdana" w:hAnsi="Verdana"/>
        </w:rPr>
        <w:t xml:space="preserve">The </w:t>
      </w:r>
      <w:r w:rsidR="0011676A">
        <w:rPr>
          <w:rFonts w:ascii="Verdana" w:hAnsi="Verdana"/>
        </w:rPr>
        <w:t>D</w:t>
      </w:r>
      <w:r>
        <w:rPr>
          <w:rFonts w:ascii="Verdana" w:hAnsi="Verdana"/>
        </w:rPr>
        <w:t xml:space="preserve">raft Framework refers to </w:t>
      </w:r>
      <w:r w:rsidR="00137662">
        <w:rPr>
          <w:rFonts w:ascii="Verdana" w:hAnsi="Verdana"/>
        </w:rPr>
        <w:t xml:space="preserve">the </w:t>
      </w:r>
      <w:r w:rsidR="007547DB" w:rsidRPr="007547DB">
        <w:rPr>
          <w:rFonts w:ascii="Verdana" w:hAnsi="Verdana"/>
        </w:rPr>
        <w:t>Racial Equality Subgroup,</w:t>
      </w:r>
      <w:r w:rsidR="00C24FC5" w:rsidRPr="00C24FC5">
        <w:rPr>
          <w:rFonts w:ascii="Verdana" w:hAnsi="Verdana"/>
        </w:rPr>
        <w:t xml:space="preserve"> </w:t>
      </w:r>
      <w:r w:rsidR="00C24FC5" w:rsidRPr="007547DB">
        <w:rPr>
          <w:rFonts w:ascii="Verdana" w:hAnsi="Verdana"/>
        </w:rPr>
        <w:t xml:space="preserve">which comprises </w:t>
      </w:r>
      <w:r w:rsidR="00B30C5E">
        <w:rPr>
          <w:rFonts w:ascii="Verdana" w:hAnsi="Verdana"/>
        </w:rPr>
        <w:t xml:space="preserve">of individuals </w:t>
      </w:r>
      <w:r w:rsidR="00C24FC5" w:rsidRPr="007547DB">
        <w:rPr>
          <w:rFonts w:ascii="Verdana" w:hAnsi="Verdana"/>
        </w:rPr>
        <w:t>working with or representing minority ethnic peopl</w:t>
      </w:r>
      <w:r w:rsidR="00C24FC5">
        <w:rPr>
          <w:rFonts w:ascii="Verdana" w:hAnsi="Verdana"/>
        </w:rPr>
        <w:t>e and gro</w:t>
      </w:r>
      <w:r w:rsidR="00B30C5E">
        <w:rPr>
          <w:rFonts w:ascii="Verdana" w:hAnsi="Verdana"/>
        </w:rPr>
        <w:t>ups</w:t>
      </w:r>
      <w:r w:rsidR="00C24FC5">
        <w:rPr>
          <w:rFonts w:ascii="Verdana" w:hAnsi="Verdana"/>
        </w:rPr>
        <w:t>.</w:t>
      </w:r>
      <w:r w:rsidR="000E031D" w:rsidRPr="000E031D">
        <w:rPr>
          <w:rFonts w:ascii="Verdana" w:hAnsi="Verdana" w:cstheme="minorBidi"/>
          <w:color w:val="auto"/>
        </w:rPr>
        <w:t xml:space="preserve"> </w:t>
      </w:r>
      <w:r w:rsidR="000E031D" w:rsidRPr="000E031D">
        <w:rPr>
          <w:rFonts w:ascii="Verdana" w:hAnsi="Verdana"/>
        </w:rPr>
        <w:t xml:space="preserve">The Subgroup is cited </w:t>
      </w:r>
      <w:r w:rsidR="008A3E3E">
        <w:rPr>
          <w:rFonts w:ascii="Verdana" w:hAnsi="Verdana"/>
        </w:rPr>
        <w:t xml:space="preserve">several times </w:t>
      </w:r>
      <w:r w:rsidR="000E031D" w:rsidRPr="000E031D">
        <w:rPr>
          <w:rFonts w:ascii="Verdana" w:hAnsi="Verdana"/>
        </w:rPr>
        <w:t>throughout the Framework as one of the</w:t>
      </w:r>
      <w:r w:rsidR="00A84844">
        <w:rPr>
          <w:rFonts w:ascii="Verdana" w:hAnsi="Verdana"/>
        </w:rPr>
        <w:t xml:space="preserve"> key bodies involved in</w:t>
      </w:r>
      <w:r w:rsidR="000E031D" w:rsidRPr="000E031D">
        <w:rPr>
          <w:rFonts w:ascii="Verdana" w:hAnsi="Verdana"/>
        </w:rPr>
        <w:t xml:space="preserve"> implement</w:t>
      </w:r>
      <w:r w:rsidR="00A84844">
        <w:rPr>
          <w:rFonts w:ascii="Verdana" w:hAnsi="Verdana"/>
        </w:rPr>
        <w:t>ation</w:t>
      </w:r>
      <w:r w:rsidR="000E031D">
        <w:rPr>
          <w:rFonts w:ascii="Verdana" w:hAnsi="Verdana"/>
        </w:rPr>
        <w:t>.</w:t>
      </w:r>
      <w:r w:rsidR="008B1D0D">
        <w:rPr>
          <w:rFonts w:ascii="Verdana" w:hAnsi="Verdana"/>
        </w:rPr>
        <w:t xml:space="preserve"> </w:t>
      </w:r>
      <w:r w:rsidR="001C59BE">
        <w:rPr>
          <w:rFonts w:ascii="Verdana" w:hAnsi="Verdana"/>
        </w:rPr>
        <w:t>U</w:t>
      </w:r>
      <w:r w:rsidR="00337E59" w:rsidRPr="00337E59">
        <w:rPr>
          <w:rFonts w:ascii="Verdana" w:hAnsi="Verdana"/>
        </w:rPr>
        <w:t>nder Outcome 1</w:t>
      </w:r>
      <w:r w:rsidR="001C59BE">
        <w:rPr>
          <w:rFonts w:ascii="Verdana" w:hAnsi="Verdana"/>
        </w:rPr>
        <w:t>, the sixth</w:t>
      </w:r>
      <w:r w:rsidR="00D36981">
        <w:rPr>
          <w:rFonts w:ascii="Verdana" w:hAnsi="Verdana"/>
        </w:rPr>
        <w:t xml:space="preserve"> key intervention</w:t>
      </w:r>
      <w:r w:rsidR="008B1D0D">
        <w:rPr>
          <w:rFonts w:ascii="Verdana" w:hAnsi="Verdana"/>
        </w:rPr>
        <w:t xml:space="preserve"> </w:t>
      </w:r>
      <w:r w:rsidR="00337E59" w:rsidRPr="00337E59">
        <w:rPr>
          <w:rFonts w:ascii="Verdana" w:hAnsi="Verdana"/>
        </w:rPr>
        <w:t xml:space="preserve">is to </w:t>
      </w:r>
      <w:r w:rsidR="008B1D0D">
        <w:rPr>
          <w:rFonts w:ascii="Verdana" w:hAnsi="Verdana"/>
        </w:rPr>
        <w:t>“e</w:t>
      </w:r>
      <w:r w:rsidR="00337E59" w:rsidRPr="00337E59">
        <w:rPr>
          <w:rFonts w:ascii="Verdana" w:hAnsi="Verdana"/>
        </w:rPr>
        <w:t>nhance linkages and improve communication between the Racial Equality Subgroup and wider minority ethnic communities</w:t>
      </w:r>
      <w:r w:rsidR="008B1D0D">
        <w:rPr>
          <w:rFonts w:ascii="Verdana" w:hAnsi="Verdana"/>
        </w:rPr>
        <w:t xml:space="preserve">”. </w:t>
      </w:r>
      <w:r w:rsidR="00D36981">
        <w:rPr>
          <w:rFonts w:ascii="Verdana" w:hAnsi="Verdana"/>
        </w:rPr>
        <w:t>In addition</w:t>
      </w:r>
      <w:r w:rsidR="000B063A">
        <w:rPr>
          <w:rFonts w:ascii="Verdana" w:hAnsi="Verdana"/>
        </w:rPr>
        <w:t>,</w:t>
      </w:r>
      <w:r w:rsidR="00DF256C">
        <w:rPr>
          <w:rFonts w:ascii="Verdana" w:hAnsi="Verdana"/>
        </w:rPr>
        <w:t xml:space="preserve"> the Subgroup </w:t>
      </w:r>
      <w:r w:rsidR="00C837BD">
        <w:rPr>
          <w:rFonts w:ascii="Verdana" w:hAnsi="Verdana"/>
        </w:rPr>
        <w:t>is assigned</w:t>
      </w:r>
      <w:r w:rsidR="00DF256C">
        <w:rPr>
          <w:rFonts w:ascii="Verdana" w:hAnsi="Verdana"/>
        </w:rPr>
        <w:t xml:space="preserve"> a </w:t>
      </w:r>
      <w:r w:rsidR="00EF7787">
        <w:rPr>
          <w:rFonts w:ascii="Verdana" w:hAnsi="Verdana"/>
        </w:rPr>
        <w:t xml:space="preserve">key governance </w:t>
      </w:r>
      <w:r w:rsidR="00C837BD">
        <w:rPr>
          <w:rFonts w:ascii="Verdana" w:hAnsi="Verdana"/>
        </w:rPr>
        <w:t xml:space="preserve">role </w:t>
      </w:r>
      <w:r w:rsidR="00C53A93">
        <w:rPr>
          <w:rFonts w:ascii="Verdana" w:hAnsi="Verdana"/>
        </w:rPr>
        <w:t xml:space="preserve">in receiving </w:t>
      </w:r>
      <w:r w:rsidR="00DF256C">
        <w:rPr>
          <w:rFonts w:ascii="Verdana" w:hAnsi="Verdana"/>
        </w:rPr>
        <w:t>quarterly reports</w:t>
      </w:r>
      <w:r w:rsidR="00B34BCA">
        <w:rPr>
          <w:rFonts w:ascii="Verdana" w:hAnsi="Verdana"/>
        </w:rPr>
        <w:t xml:space="preserve"> to support collaboration. </w:t>
      </w:r>
    </w:p>
    <w:p w14:paraId="51A10805" w14:textId="00197C47" w:rsidR="00005709" w:rsidRDefault="007547DB" w:rsidP="00005709">
      <w:pPr>
        <w:pStyle w:val="BasicParagraph"/>
        <w:suppressAutoHyphens/>
        <w:ind w:left="709"/>
        <w:rPr>
          <w:rFonts w:ascii="Verdana" w:hAnsi="Verdana"/>
        </w:rPr>
      </w:pPr>
      <w:r w:rsidRPr="007547DB">
        <w:rPr>
          <w:rFonts w:ascii="Verdana" w:hAnsi="Verdana"/>
        </w:rPr>
        <w:t xml:space="preserve"> </w:t>
      </w:r>
    </w:p>
    <w:p w14:paraId="43BCCFE7" w14:textId="6D8A4D4E" w:rsidR="00497D7F" w:rsidRDefault="006F4C42" w:rsidP="00F247B7">
      <w:pPr>
        <w:pStyle w:val="BasicParagraph"/>
        <w:numPr>
          <w:ilvl w:val="1"/>
          <w:numId w:val="21"/>
        </w:numPr>
        <w:suppressAutoHyphens/>
        <w:ind w:left="709"/>
        <w:rPr>
          <w:rFonts w:ascii="Verdana" w:hAnsi="Verdana"/>
        </w:rPr>
      </w:pPr>
      <w:r>
        <w:rPr>
          <w:rFonts w:ascii="Verdana" w:hAnsi="Verdana"/>
        </w:rPr>
        <w:t>C</w:t>
      </w:r>
      <w:r w:rsidR="00A43BB7" w:rsidRPr="00005709">
        <w:rPr>
          <w:rFonts w:ascii="Verdana" w:hAnsi="Verdana"/>
        </w:rPr>
        <w:t xml:space="preserve">oncerns </w:t>
      </w:r>
      <w:r>
        <w:rPr>
          <w:rFonts w:ascii="Verdana" w:hAnsi="Verdana"/>
        </w:rPr>
        <w:t xml:space="preserve">have been </w:t>
      </w:r>
      <w:r w:rsidR="00A43BB7" w:rsidRPr="00005709">
        <w:rPr>
          <w:rFonts w:ascii="Verdana" w:hAnsi="Verdana"/>
        </w:rPr>
        <w:t>raised regarding the</w:t>
      </w:r>
      <w:r w:rsidR="009748CF" w:rsidRPr="00005709">
        <w:rPr>
          <w:rFonts w:ascii="Verdana" w:hAnsi="Verdana"/>
        </w:rPr>
        <w:t xml:space="preserve"> funding</w:t>
      </w:r>
      <w:r w:rsidR="003312BC" w:rsidRPr="00005709">
        <w:rPr>
          <w:rFonts w:ascii="Verdana" w:hAnsi="Verdana"/>
        </w:rPr>
        <w:t xml:space="preserve"> and capacity</w:t>
      </w:r>
      <w:r w:rsidR="009748CF" w:rsidRPr="00005709">
        <w:rPr>
          <w:rFonts w:ascii="Verdana" w:hAnsi="Verdana"/>
        </w:rPr>
        <w:t xml:space="preserve"> of </w:t>
      </w:r>
      <w:r w:rsidR="00A43BB7" w:rsidRPr="00005709">
        <w:rPr>
          <w:rFonts w:ascii="Verdana" w:hAnsi="Verdana"/>
        </w:rPr>
        <w:t xml:space="preserve">the </w:t>
      </w:r>
      <w:r w:rsidR="00086194">
        <w:rPr>
          <w:rFonts w:ascii="Verdana" w:hAnsi="Verdana"/>
        </w:rPr>
        <w:t xml:space="preserve">Racial Equality </w:t>
      </w:r>
      <w:r w:rsidR="00176270" w:rsidRPr="00005709">
        <w:rPr>
          <w:rFonts w:ascii="Verdana" w:hAnsi="Verdana"/>
        </w:rPr>
        <w:t>Subgroup</w:t>
      </w:r>
      <w:r w:rsidR="001B4625" w:rsidRPr="00005709">
        <w:rPr>
          <w:rFonts w:ascii="Verdana" w:hAnsi="Verdana"/>
        </w:rPr>
        <w:t xml:space="preserve"> as well a</w:t>
      </w:r>
      <w:r w:rsidR="009748CF" w:rsidRPr="00005709">
        <w:rPr>
          <w:rFonts w:ascii="Verdana" w:hAnsi="Verdana"/>
        </w:rPr>
        <w:t>s whe</w:t>
      </w:r>
      <w:r w:rsidR="00086194">
        <w:rPr>
          <w:rFonts w:ascii="Verdana" w:hAnsi="Verdana"/>
        </w:rPr>
        <w:t xml:space="preserve">ther its </w:t>
      </w:r>
      <w:r w:rsidR="009748CF" w:rsidRPr="00005709">
        <w:rPr>
          <w:rFonts w:ascii="Verdana" w:hAnsi="Verdana"/>
        </w:rPr>
        <w:t>submissions are</w:t>
      </w:r>
      <w:r w:rsidR="00ED673B">
        <w:rPr>
          <w:rFonts w:ascii="Verdana" w:hAnsi="Verdana"/>
        </w:rPr>
        <w:t xml:space="preserve"> </w:t>
      </w:r>
      <w:r w:rsidR="00ED673B" w:rsidRPr="00ED673B">
        <w:rPr>
          <w:rFonts w:ascii="Verdana" w:hAnsi="Verdana"/>
        </w:rPr>
        <w:t>meaningfully considered and acted upon</w:t>
      </w:r>
      <w:r w:rsidR="009748CF" w:rsidRPr="00005709">
        <w:rPr>
          <w:rFonts w:ascii="Verdana" w:hAnsi="Verdana"/>
        </w:rPr>
        <w:t>.</w:t>
      </w:r>
      <w:r w:rsidR="003312BC">
        <w:rPr>
          <w:rStyle w:val="FootnoteReference"/>
          <w:rFonts w:ascii="Verdana" w:hAnsi="Verdana"/>
        </w:rPr>
        <w:footnoteReference w:id="68"/>
      </w:r>
      <w:r w:rsidR="00740B9A">
        <w:rPr>
          <w:rFonts w:ascii="Verdana" w:hAnsi="Verdana"/>
        </w:rPr>
        <w:t xml:space="preserve"> </w:t>
      </w:r>
      <w:r w:rsidR="00AC465D" w:rsidRPr="00005709">
        <w:rPr>
          <w:rFonts w:ascii="Verdana" w:hAnsi="Verdana"/>
        </w:rPr>
        <w:t>T</w:t>
      </w:r>
      <w:r w:rsidR="00176270" w:rsidRPr="00005709">
        <w:rPr>
          <w:rFonts w:ascii="Verdana" w:hAnsi="Verdana"/>
        </w:rPr>
        <w:t>he independent</w:t>
      </w:r>
      <w:r w:rsidR="00005709">
        <w:rPr>
          <w:rFonts w:ascii="Verdana" w:hAnsi="Verdana"/>
        </w:rPr>
        <w:t xml:space="preserve"> review of the Racial Strategy</w:t>
      </w:r>
      <w:r w:rsidR="00FE29B3">
        <w:rPr>
          <w:rFonts w:ascii="Verdana" w:hAnsi="Verdana"/>
        </w:rPr>
        <w:t>,</w:t>
      </w:r>
      <w:r w:rsidR="00005709">
        <w:rPr>
          <w:rFonts w:ascii="Verdana" w:hAnsi="Verdana"/>
        </w:rPr>
        <w:t xml:space="preserve"> which placed </w:t>
      </w:r>
      <w:r w:rsidR="0010567D">
        <w:rPr>
          <w:rFonts w:ascii="Verdana" w:hAnsi="Verdana"/>
        </w:rPr>
        <w:t xml:space="preserve">significant </w:t>
      </w:r>
      <w:r w:rsidR="00497D7F">
        <w:rPr>
          <w:rFonts w:ascii="Verdana" w:hAnsi="Verdana"/>
        </w:rPr>
        <w:t xml:space="preserve">responsibility </w:t>
      </w:r>
      <w:r w:rsidR="004C0E25">
        <w:rPr>
          <w:rFonts w:ascii="Verdana" w:hAnsi="Verdana"/>
        </w:rPr>
        <w:t xml:space="preserve">on the Subgroup </w:t>
      </w:r>
      <w:r w:rsidR="0010567D">
        <w:rPr>
          <w:rFonts w:ascii="Verdana" w:hAnsi="Verdana"/>
        </w:rPr>
        <w:t>for</w:t>
      </w:r>
      <w:r w:rsidR="004C0E25">
        <w:rPr>
          <w:rFonts w:ascii="Verdana" w:hAnsi="Verdana"/>
        </w:rPr>
        <w:t xml:space="preserve"> implementation </w:t>
      </w:r>
      <w:r w:rsidR="0010567D">
        <w:rPr>
          <w:rFonts w:ascii="Verdana" w:hAnsi="Verdana"/>
        </w:rPr>
        <w:t xml:space="preserve">identified </w:t>
      </w:r>
      <w:r w:rsidR="004C0E25">
        <w:rPr>
          <w:rFonts w:ascii="Verdana" w:hAnsi="Verdana"/>
        </w:rPr>
        <w:t>two critical questions</w:t>
      </w:r>
      <w:r w:rsidR="00FD6673">
        <w:rPr>
          <w:rFonts w:ascii="Verdana" w:hAnsi="Verdana"/>
        </w:rPr>
        <w:t xml:space="preserve">, that is </w:t>
      </w:r>
      <w:r w:rsidR="0097668B" w:rsidRPr="0097668B">
        <w:rPr>
          <w:rFonts w:ascii="Verdana" w:hAnsi="Verdana"/>
        </w:rPr>
        <w:t>whether the Executive Office listens to the Subgroup, and whether the Subgroup has sufficient power to drive action</w:t>
      </w:r>
      <w:r w:rsidR="00FD6673">
        <w:rPr>
          <w:rFonts w:ascii="Verdana" w:hAnsi="Verdana"/>
        </w:rPr>
        <w:t>s</w:t>
      </w:r>
      <w:r w:rsidR="0097668B" w:rsidRPr="0097668B">
        <w:rPr>
          <w:rFonts w:ascii="Verdana" w:hAnsi="Verdana"/>
        </w:rPr>
        <w:t xml:space="preserve"> forward</w:t>
      </w:r>
      <w:r w:rsidR="004F3A26" w:rsidRPr="004F3A26">
        <w:rPr>
          <w:rFonts w:ascii="Verdana" w:hAnsi="Verdana"/>
        </w:rPr>
        <w:t>.</w:t>
      </w:r>
      <w:r w:rsidR="004F3A26" w:rsidRPr="004F3A26">
        <w:rPr>
          <w:rFonts w:ascii="Verdana" w:hAnsi="Verdana"/>
          <w:vertAlign w:val="superscript"/>
        </w:rPr>
        <w:footnoteReference w:id="69"/>
      </w:r>
      <w:r w:rsidR="00CC7BDA">
        <w:rPr>
          <w:rFonts w:ascii="Verdana" w:hAnsi="Verdana"/>
        </w:rPr>
        <w:t xml:space="preserve"> </w:t>
      </w:r>
      <w:r w:rsidR="00206F11">
        <w:rPr>
          <w:rFonts w:ascii="Verdana" w:hAnsi="Verdana"/>
        </w:rPr>
        <w:t>G</w:t>
      </w:r>
      <w:r w:rsidR="0097668B" w:rsidRPr="0097668B">
        <w:rPr>
          <w:rFonts w:ascii="Verdana" w:hAnsi="Verdana"/>
        </w:rPr>
        <w:t xml:space="preserve">iven the responsibilities assigned to </w:t>
      </w:r>
      <w:r w:rsidR="00206F11">
        <w:rPr>
          <w:rFonts w:ascii="Verdana" w:hAnsi="Verdana"/>
        </w:rPr>
        <w:t>the Subgroup</w:t>
      </w:r>
      <w:r w:rsidR="0097668B" w:rsidRPr="0097668B">
        <w:rPr>
          <w:rFonts w:ascii="Verdana" w:hAnsi="Verdana"/>
        </w:rPr>
        <w:t xml:space="preserve">, this </w:t>
      </w:r>
      <w:r w:rsidR="00D26274">
        <w:rPr>
          <w:rFonts w:ascii="Verdana" w:hAnsi="Verdana"/>
        </w:rPr>
        <w:t xml:space="preserve">presents an opportunity </w:t>
      </w:r>
      <w:r w:rsidR="0097668B" w:rsidRPr="0097668B">
        <w:rPr>
          <w:rFonts w:ascii="Verdana" w:hAnsi="Verdana"/>
        </w:rPr>
        <w:t>for the Executive Office to revisit</w:t>
      </w:r>
      <w:r w:rsidR="009F1D6D">
        <w:rPr>
          <w:rFonts w:ascii="Verdana" w:hAnsi="Verdana"/>
        </w:rPr>
        <w:t>,</w:t>
      </w:r>
      <w:r w:rsidR="00FA181E" w:rsidRPr="00FA181E">
        <w:rPr>
          <w:rFonts w:ascii="Verdana" w:hAnsi="Verdana"/>
        </w:rPr>
        <w:t xml:space="preserve"> review and clarify the Subgroup’s terms of reference in relation to its role as a key implementing body.</w:t>
      </w:r>
    </w:p>
    <w:p w14:paraId="3D80B745" w14:textId="77777777" w:rsidR="00497D7F" w:rsidRDefault="00497D7F" w:rsidP="00497D7F">
      <w:pPr>
        <w:pStyle w:val="ListParagraph"/>
      </w:pPr>
    </w:p>
    <w:p w14:paraId="3D524B34" w14:textId="03934F25" w:rsidR="00206A1E" w:rsidRPr="00494ECF" w:rsidRDefault="00497D7F" w:rsidP="00F247B7">
      <w:pPr>
        <w:pStyle w:val="BasicParagraph"/>
        <w:numPr>
          <w:ilvl w:val="1"/>
          <w:numId w:val="21"/>
        </w:numPr>
        <w:suppressAutoHyphens/>
        <w:ind w:left="709"/>
        <w:rPr>
          <w:rFonts w:ascii="Verdana" w:hAnsi="Verdana"/>
          <w:b/>
          <w:bCs/>
        </w:rPr>
      </w:pPr>
      <w:r w:rsidRPr="00494ECF">
        <w:rPr>
          <w:rFonts w:ascii="Verdana" w:hAnsi="Verdana"/>
          <w:b/>
          <w:bCs/>
        </w:rPr>
        <w:lastRenderedPageBreak/>
        <w:t>The NIHRC recommends that the</w:t>
      </w:r>
      <w:r w:rsidR="00FC617D" w:rsidRPr="00494ECF">
        <w:rPr>
          <w:rFonts w:ascii="Verdana" w:hAnsi="Verdana"/>
          <w:b/>
          <w:bCs/>
        </w:rPr>
        <w:t xml:space="preserve"> </w:t>
      </w:r>
      <w:r w:rsidRPr="00494ECF">
        <w:rPr>
          <w:rFonts w:ascii="Verdana" w:hAnsi="Verdana"/>
          <w:b/>
          <w:bCs/>
        </w:rPr>
        <w:t xml:space="preserve">Executive </w:t>
      </w:r>
      <w:r w:rsidR="00FC617D" w:rsidRPr="00494ECF">
        <w:rPr>
          <w:rFonts w:ascii="Verdana" w:hAnsi="Verdana"/>
          <w:b/>
          <w:bCs/>
        </w:rPr>
        <w:t xml:space="preserve">Office </w:t>
      </w:r>
      <w:r w:rsidRPr="00494ECF">
        <w:rPr>
          <w:rFonts w:ascii="Verdana" w:hAnsi="Verdana"/>
          <w:b/>
          <w:bCs/>
        </w:rPr>
        <w:t xml:space="preserve">revisits </w:t>
      </w:r>
      <w:r w:rsidR="00557B56" w:rsidRPr="00494ECF">
        <w:rPr>
          <w:rFonts w:ascii="Verdana" w:hAnsi="Verdana"/>
          <w:b/>
          <w:bCs/>
        </w:rPr>
        <w:t>the Racial Equality</w:t>
      </w:r>
      <w:r w:rsidRPr="00494ECF">
        <w:rPr>
          <w:rFonts w:ascii="Verdana" w:hAnsi="Verdana"/>
          <w:b/>
          <w:bCs/>
        </w:rPr>
        <w:t xml:space="preserve"> Subgroup</w:t>
      </w:r>
      <w:r w:rsidR="00944811" w:rsidRPr="00494ECF">
        <w:rPr>
          <w:rFonts w:ascii="Verdana" w:hAnsi="Verdana"/>
          <w:b/>
          <w:bCs/>
        </w:rPr>
        <w:t>’s terms of reference</w:t>
      </w:r>
      <w:r w:rsidRPr="00494ECF">
        <w:rPr>
          <w:rFonts w:ascii="Verdana" w:hAnsi="Verdana"/>
          <w:b/>
          <w:bCs/>
        </w:rPr>
        <w:t xml:space="preserve"> to ensure that</w:t>
      </w:r>
      <w:r w:rsidR="006176C7" w:rsidRPr="00494ECF">
        <w:rPr>
          <w:b/>
          <w:bCs/>
        </w:rPr>
        <w:t xml:space="preserve"> </w:t>
      </w:r>
      <w:r w:rsidR="006176C7" w:rsidRPr="00494ECF">
        <w:rPr>
          <w:rFonts w:ascii="Verdana" w:hAnsi="Verdana"/>
          <w:b/>
          <w:bCs/>
        </w:rPr>
        <w:t xml:space="preserve">it </w:t>
      </w:r>
      <w:r w:rsidR="0035311B">
        <w:rPr>
          <w:rFonts w:ascii="Verdana" w:hAnsi="Verdana"/>
          <w:b/>
          <w:bCs/>
        </w:rPr>
        <w:t>will</w:t>
      </w:r>
      <w:r w:rsidR="006176C7" w:rsidRPr="00494ECF">
        <w:rPr>
          <w:rFonts w:ascii="Verdana" w:hAnsi="Verdana"/>
          <w:b/>
          <w:bCs/>
        </w:rPr>
        <w:t xml:space="preserve"> </w:t>
      </w:r>
      <w:r w:rsidR="00580D11" w:rsidRPr="00494ECF">
        <w:rPr>
          <w:rFonts w:ascii="Verdana" w:hAnsi="Verdana"/>
          <w:b/>
          <w:bCs/>
        </w:rPr>
        <w:t xml:space="preserve">implement all key actions </w:t>
      </w:r>
      <w:r w:rsidR="00E5547C" w:rsidRPr="00494ECF">
        <w:rPr>
          <w:rFonts w:ascii="Verdana" w:hAnsi="Verdana"/>
          <w:b/>
          <w:bCs/>
        </w:rPr>
        <w:t>and</w:t>
      </w:r>
      <w:r w:rsidR="008B3436">
        <w:rPr>
          <w:rFonts w:ascii="Verdana" w:hAnsi="Verdana"/>
          <w:b/>
          <w:bCs/>
        </w:rPr>
        <w:t xml:space="preserve"> </w:t>
      </w:r>
      <w:r w:rsidR="0035311B">
        <w:rPr>
          <w:rFonts w:ascii="Verdana" w:hAnsi="Verdana"/>
          <w:b/>
          <w:bCs/>
        </w:rPr>
        <w:t xml:space="preserve">that it </w:t>
      </w:r>
      <w:r w:rsidR="006176C7" w:rsidRPr="00494ECF">
        <w:rPr>
          <w:rFonts w:ascii="Verdana" w:hAnsi="Verdana"/>
          <w:b/>
          <w:bCs/>
        </w:rPr>
        <w:t>considers increas</w:t>
      </w:r>
      <w:r w:rsidR="0035311B">
        <w:rPr>
          <w:rFonts w:ascii="Verdana" w:hAnsi="Verdana"/>
          <w:b/>
          <w:bCs/>
        </w:rPr>
        <w:t>ing</w:t>
      </w:r>
      <w:r w:rsidR="006176C7" w:rsidRPr="00494ECF">
        <w:rPr>
          <w:rFonts w:ascii="Verdana" w:hAnsi="Verdana"/>
          <w:b/>
          <w:bCs/>
        </w:rPr>
        <w:t xml:space="preserve"> funding and support to build capacity </w:t>
      </w:r>
      <w:r w:rsidR="0035311B">
        <w:rPr>
          <w:rFonts w:ascii="Verdana" w:hAnsi="Verdana"/>
          <w:b/>
          <w:bCs/>
        </w:rPr>
        <w:t xml:space="preserve">in </w:t>
      </w:r>
      <w:r w:rsidR="00CB5182" w:rsidRPr="00494ECF">
        <w:rPr>
          <w:rFonts w:ascii="Verdana" w:hAnsi="Verdana"/>
          <w:b/>
          <w:bCs/>
        </w:rPr>
        <w:t xml:space="preserve">the </w:t>
      </w:r>
      <w:r w:rsidR="006176C7" w:rsidRPr="00494ECF">
        <w:rPr>
          <w:rFonts w:ascii="Verdana" w:hAnsi="Verdana"/>
          <w:b/>
          <w:bCs/>
        </w:rPr>
        <w:t>Subgroup.</w:t>
      </w:r>
      <w:r w:rsidRPr="00494ECF">
        <w:rPr>
          <w:rFonts w:ascii="Verdana" w:hAnsi="Verdana"/>
          <w:b/>
          <w:bCs/>
        </w:rPr>
        <w:t xml:space="preserve"> </w:t>
      </w:r>
    </w:p>
    <w:p w14:paraId="27B24999" w14:textId="77777777" w:rsidR="00B75E30" w:rsidRDefault="00B75E30" w:rsidP="00B75E30">
      <w:pPr>
        <w:pStyle w:val="ListParagraph"/>
        <w:rPr>
          <w:b/>
          <w:bCs/>
        </w:rPr>
      </w:pPr>
    </w:p>
    <w:p w14:paraId="3965A209" w14:textId="77777777" w:rsidR="00FC3C98" w:rsidRPr="0037011F" w:rsidRDefault="003910DE" w:rsidP="00B75E30">
      <w:pPr>
        <w:pStyle w:val="Heading1"/>
        <w:numPr>
          <w:ilvl w:val="0"/>
          <w:numId w:val="28"/>
        </w:numPr>
        <w:ind w:left="720"/>
      </w:pPr>
      <w:bookmarkStart w:id="13" w:name="_Toc230705742"/>
      <w:r w:rsidRPr="0037011F">
        <w:t>Outcome 2: Combatting Racism and Hate Crime</w:t>
      </w:r>
      <w:bookmarkEnd w:id="13"/>
    </w:p>
    <w:p w14:paraId="0B060312" w14:textId="77777777" w:rsidR="00105D8F" w:rsidRPr="00A97722" w:rsidRDefault="00FC3C98" w:rsidP="00DE6624">
      <w:pPr>
        <w:pStyle w:val="BasicParagraph"/>
        <w:suppressAutoHyphens/>
        <w:ind w:left="-11"/>
        <w:rPr>
          <w:rFonts w:ascii="Verdana" w:hAnsi="Verdana"/>
          <w:b/>
          <w:bCs/>
        </w:rPr>
      </w:pPr>
      <w:r w:rsidRPr="00FC3C98">
        <w:rPr>
          <w:rFonts w:ascii="Verdana" w:hAnsi="Verdana"/>
          <w:b/>
          <w:bCs/>
        </w:rPr>
        <w:t>To combat racism and race hate and to provide effective protection against all manifestations of racism and racist crime. To provide redress and to have a victim-centred approach.</w:t>
      </w:r>
    </w:p>
    <w:p w14:paraId="00B08E2D" w14:textId="77777777" w:rsidR="00267D1A" w:rsidRDefault="00267D1A" w:rsidP="007239F9"/>
    <w:p w14:paraId="104B1683" w14:textId="77777777" w:rsidR="00A313EB" w:rsidRPr="004E5BB1" w:rsidRDefault="00162E7F" w:rsidP="00B75E30">
      <w:pPr>
        <w:pStyle w:val="Heading2"/>
      </w:pPr>
      <w:bookmarkStart w:id="14" w:name="_Toc230705743"/>
      <w:r>
        <w:t xml:space="preserve">Clarity on Scope and </w:t>
      </w:r>
      <w:r w:rsidR="00267E52">
        <w:t>Focus</w:t>
      </w:r>
      <w:bookmarkEnd w:id="14"/>
      <w:r w:rsidR="00267E52">
        <w:t xml:space="preserve"> </w:t>
      </w:r>
    </w:p>
    <w:p w14:paraId="0716AD77" w14:textId="77777777" w:rsidR="004E5BB1" w:rsidRPr="00F02AE3" w:rsidRDefault="004E5BB1" w:rsidP="00B75E30">
      <w:pPr>
        <w:pStyle w:val="ListParagraph"/>
      </w:pPr>
    </w:p>
    <w:p w14:paraId="1CCAE79F" w14:textId="77777777" w:rsidR="00B75E30" w:rsidRPr="00F02AE3" w:rsidRDefault="00B75E30" w:rsidP="00B75E30">
      <w:pPr>
        <w:pStyle w:val="ListParagraph"/>
        <w:widowControl w:val="0"/>
        <w:numPr>
          <w:ilvl w:val="0"/>
          <w:numId w:val="21"/>
        </w:numPr>
        <w:suppressAutoHyphens/>
        <w:autoSpaceDE w:val="0"/>
        <w:autoSpaceDN w:val="0"/>
        <w:adjustRightInd w:val="0"/>
        <w:contextualSpacing w:val="0"/>
        <w:textAlignment w:val="center"/>
        <w:rPr>
          <w:rFonts w:cs="MinionPro-Regular"/>
          <w:vanish/>
          <w:color w:val="000000"/>
        </w:rPr>
      </w:pPr>
    </w:p>
    <w:p w14:paraId="73FD7395" w14:textId="11A908FF" w:rsidR="00B75E30" w:rsidRPr="00F02AE3" w:rsidRDefault="00B75E30" w:rsidP="00B75E30">
      <w:pPr>
        <w:pStyle w:val="BasicParagraph"/>
        <w:numPr>
          <w:ilvl w:val="1"/>
          <w:numId w:val="21"/>
        </w:numPr>
        <w:suppressAutoHyphens/>
        <w:rPr>
          <w:rFonts w:ascii="Verdana" w:hAnsi="Verdana"/>
        </w:rPr>
      </w:pPr>
      <w:r w:rsidRPr="00F02AE3">
        <w:rPr>
          <w:rFonts w:ascii="Verdana" w:hAnsi="Verdana"/>
        </w:rPr>
        <w:t>The explanation accompanying Outcome 2, “to combat racism and race hate and to provide effective protection against all manifestations of racism and racist crime”, requires more clarity and detail. It is framed in broad terms, lacks precision and its intended focus and scope is unclear. As such, greater clarity can be achieved by clearly identifying and defining the terms racism, race hate, and racist crime.</w:t>
      </w:r>
    </w:p>
    <w:p w14:paraId="2C833AB2" w14:textId="77777777" w:rsidR="00B75E30" w:rsidRPr="00B75E30" w:rsidRDefault="00B75E30" w:rsidP="00B75E30">
      <w:pPr>
        <w:pStyle w:val="BasicParagraph"/>
        <w:suppressAutoHyphens/>
        <w:ind w:left="720"/>
        <w:rPr>
          <w:rFonts w:ascii="Verdana" w:hAnsi="Verdana"/>
          <w:b/>
          <w:bCs/>
        </w:rPr>
      </w:pPr>
    </w:p>
    <w:p w14:paraId="0033EFC7" w14:textId="57F27829" w:rsidR="00D26D1D" w:rsidRPr="00B75E30" w:rsidRDefault="00080593" w:rsidP="00F247B7">
      <w:pPr>
        <w:pStyle w:val="BasicParagraph"/>
        <w:numPr>
          <w:ilvl w:val="1"/>
          <w:numId w:val="21"/>
        </w:numPr>
        <w:suppressAutoHyphens/>
        <w:ind w:left="709"/>
        <w:rPr>
          <w:rFonts w:ascii="Verdana" w:hAnsi="Verdana"/>
          <w:b/>
        </w:rPr>
      </w:pPr>
      <w:r w:rsidRPr="00B75E30">
        <w:rPr>
          <w:rFonts w:ascii="Verdana" w:hAnsi="Verdana"/>
          <w:b/>
        </w:rPr>
        <w:t>The NIHRC recommends that the Executive Office rephrases the accompanying explanation of Outcome 2 to clearly articulate its objectives and to define the key terms of focus.</w:t>
      </w:r>
      <w:r w:rsidR="00D26D1D" w:rsidRPr="00B75E30">
        <w:rPr>
          <w:rFonts w:ascii="Verdana" w:hAnsi="Verdana"/>
          <w:b/>
        </w:rPr>
        <w:t xml:space="preserve"> The NIHRC advi</w:t>
      </w:r>
      <w:r w:rsidR="006166E0" w:rsidRPr="00B75E30">
        <w:rPr>
          <w:rFonts w:ascii="Verdana" w:hAnsi="Verdana"/>
          <w:b/>
        </w:rPr>
        <w:t>s</w:t>
      </w:r>
      <w:r w:rsidR="00D26D1D" w:rsidRPr="00B75E30">
        <w:rPr>
          <w:rFonts w:ascii="Verdana" w:hAnsi="Verdana"/>
          <w:b/>
        </w:rPr>
        <w:t>es that for guidance the Executive considers</w:t>
      </w:r>
      <w:r w:rsidR="00F955A4" w:rsidRPr="00B75E30">
        <w:rPr>
          <w:rFonts w:ascii="Verdana" w:hAnsi="Verdana"/>
          <w:b/>
        </w:rPr>
        <w:t xml:space="preserve"> the</w:t>
      </w:r>
      <w:r w:rsidR="00D26D1D" w:rsidRPr="00B75E30">
        <w:rPr>
          <w:rFonts w:ascii="Verdana" w:hAnsi="Verdana"/>
          <w:b/>
        </w:rPr>
        <w:t xml:space="preserve"> definitions within the UN CERD</w:t>
      </w:r>
      <w:r w:rsidR="00D26D1D" w:rsidRPr="00A47D5E">
        <w:rPr>
          <w:rFonts w:ascii="Verdana" w:hAnsi="Verdana"/>
          <w:b/>
        </w:rPr>
        <w:t>.</w:t>
      </w:r>
    </w:p>
    <w:p w14:paraId="58775D41" w14:textId="77777777" w:rsidR="00F955A4" w:rsidRDefault="00F955A4" w:rsidP="00B75E30">
      <w:pPr>
        <w:rPr>
          <w:b/>
        </w:rPr>
      </w:pPr>
    </w:p>
    <w:p w14:paraId="0910F02A" w14:textId="63C4C362" w:rsidR="00494992" w:rsidRDefault="00494992" w:rsidP="00B75E30">
      <w:pPr>
        <w:pStyle w:val="Heading2"/>
      </w:pPr>
      <w:bookmarkStart w:id="15" w:name="_Toc230705744"/>
      <w:r w:rsidRPr="00494992">
        <w:t>Victim</w:t>
      </w:r>
      <w:r w:rsidR="000070D1">
        <w:t>-</w:t>
      </w:r>
      <w:r w:rsidRPr="00494992">
        <w:t>Centred Approach</w:t>
      </w:r>
      <w:bookmarkEnd w:id="15"/>
      <w:r w:rsidRPr="00494992">
        <w:t xml:space="preserve"> </w:t>
      </w:r>
    </w:p>
    <w:p w14:paraId="21746344" w14:textId="77777777" w:rsidR="00F43281" w:rsidRPr="00B75E30" w:rsidRDefault="00F43281" w:rsidP="00B75E30">
      <w:pPr>
        <w:rPr>
          <w:b/>
        </w:rPr>
      </w:pPr>
    </w:p>
    <w:p w14:paraId="14353678" w14:textId="49C7D447" w:rsidR="00F43281" w:rsidRPr="00731848" w:rsidRDefault="00F43281" w:rsidP="00F247B7">
      <w:pPr>
        <w:pStyle w:val="BasicParagraph"/>
        <w:numPr>
          <w:ilvl w:val="1"/>
          <w:numId w:val="21"/>
        </w:numPr>
        <w:suppressAutoHyphens/>
        <w:ind w:left="709"/>
        <w:rPr>
          <w:rFonts w:ascii="Verdana" w:hAnsi="Verdana"/>
          <w:b/>
        </w:rPr>
      </w:pPr>
      <w:r w:rsidRPr="00F02AE3">
        <w:rPr>
          <w:rFonts w:ascii="Verdana" w:hAnsi="Verdana"/>
        </w:rPr>
        <w:t>In 2017, the UN CRPD Committee recommended that the UK Government and NI Executive</w:t>
      </w:r>
      <w:r w:rsidRPr="00430C39">
        <w:rPr>
          <w:rFonts w:ascii="Verdana" w:hAnsi="Verdana"/>
        </w:rPr>
        <w:t>:</w:t>
      </w:r>
    </w:p>
    <w:p w14:paraId="5F6B2B87" w14:textId="77777777" w:rsidR="00F43281" w:rsidRPr="00A47D5E" w:rsidRDefault="00F43281" w:rsidP="00731848">
      <w:pPr>
        <w:pStyle w:val="BasicParagraph"/>
        <w:suppressAutoHyphens/>
        <w:ind w:left="709"/>
        <w:rPr>
          <w:rFonts w:ascii="Verdana" w:hAnsi="Verdana"/>
          <w:b/>
        </w:rPr>
      </w:pPr>
    </w:p>
    <w:p w14:paraId="48989104" w14:textId="151E7F6B" w:rsidR="000049FC" w:rsidRDefault="00F43281" w:rsidP="00D126A4">
      <w:pPr>
        <w:pStyle w:val="Quote"/>
        <w:widowControl/>
      </w:pPr>
      <w:r w:rsidRPr="00430C39">
        <w:t xml:space="preserve">explicitly incorporate in its national legislation protection from, in particular multiple and intersectional discrimination on the basis of gender, age, race, disability, migrant, refugee and/or other status, </w:t>
      </w:r>
      <w:r w:rsidRPr="00430C39">
        <w:lastRenderedPageBreak/>
        <w:t>and provide appropriate compensation, and redress for victims, and sanctions proportional with the severity of the violation.</w:t>
      </w:r>
      <w:r w:rsidRPr="00430C39">
        <w:rPr>
          <w:rStyle w:val="FootnoteReference"/>
          <w:rFonts w:eastAsiaTheme="majorEastAsia"/>
        </w:rPr>
        <w:footnoteReference w:id="70"/>
      </w:r>
    </w:p>
    <w:p w14:paraId="7DF7B7CE" w14:textId="77777777" w:rsidR="000049FC" w:rsidRPr="00731848" w:rsidRDefault="000049FC" w:rsidP="00731848"/>
    <w:p w14:paraId="3A203E28" w14:textId="6B2847E5" w:rsidR="008A0731" w:rsidRPr="00A47D5E" w:rsidRDefault="003440DC" w:rsidP="00F247B7">
      <w:pPr>
        <w:pStyle w:val="BasicParagraph"/>
        <w:numPr>
          <w:ilvl w:val="1"/>
          <w:numId w:val="21"/>
        </w:numPr>
        <w:suppressAutoHyphens/>
        <w:ind w:left="709"/>
        <w:rPr>
          <w:rFonts w:ascii="Verdana" w:hAnsi="Verdana"/>
          <w:b/>
        </w:rPr>
      </w:pPr>
      <w:r w:rsidRPr="00C722E3">
        <w:rPr>
          <w:rFonts w:ascii="Verdana" w:hAnsi="Verdana"/>
        </w:rPr>
        <w:t xml:space="preserve">The explanation accompanying </w:t>
      </w:r>
      <w:r w:rsidR="00131549" w:rsidRPr="00C722E3">
        <w:rPr>
          <w:rFonts w:ascii="Verdana" w:hAnsi="Verdana"/>
        </w:rPr>
        <w:t xml:space="preserve">Outcome 2 </w:t>
      </w:r>
      <w:r w:rsidRPr="00C722E3">
        <w:rPr>
          <w:rFonts w:ascii="Verdana" w:hAnsi="Verdana"/>
        </w:rPr>
        <w:t>states that</w:t>
      </w:r>
      <w:r w:rsidR="00D25AAF">
        <w:rPr>
          <w:rFonts w:ascii="Verdana" w:hAnsi="Verdana"/>
        </w:rPr>
        <w:t xml:space="preserve"> it </w:t>
      </w:r>
      <w:r w:rsidR="00B20AB4">
        <w:rPr>
          <w:rFonts w:ascii="Verdana" w:hAnsi="Verdana"/>
        </w:rPr>
        <w:t>seeks,</w:t>
      </w:r>
      <w:r w:rsidR="00B20AB4" w:rsidRPr="00D25AAF">
        <w:rPr>
          <w:rFonts w:ascii="Verdana" w:hAnsi="Verdana"/>
        </w:rPr>
        <w:t xml:space="preserve"> “to</w:t>
      </w:r>
      <w:r w:rsidR="00D25AAF" w:rsidRPr="00D25AAF">
        <w:rPr>
          <w:rFonts w:ascii="Verdana" w:hAnsi="Verdana"/>
        </w:rPr>
        <w:t xml:space="preserve"> provide redress and to have a victim-centred approach</w:t>
      </w:r>
      <w:r w:rsidR="00491466">
        <w:rPr>
          <w:rFonts w:ascii="Verdana" w:hAnsi="Verdana"/>
        </w:rPr>
        <w:t>.</w:t>
      </w:r>
      <w:r w:rsidR="00D25AAF" w:rsidRPr="00D25AAF">
        <w:rPr>
          <w:rFonts w:ascii="Verdana" w:hAnsi="Verdana"/>
        </w:rPr>
        <w:t>”</w:t>
      </w:r>
      <w:r w:rsidR="00002A14">
        <w:rPr>
          <w:rFonts w:ascii="Verdana" w:hAnsi="Verdana"/>
        </w:rPr>
        <w:t xml:space="preserve"> </w:t>
      </w:r>
      <w:r w:rsidR="00D932D7">
        <w:rPr>
          <w:rFonts w:ascii="Verdana" w:hAnsi="Verdana"/>
        </w:rPr>
        <w:t xml:space="preserve">While the </w:t>
      </w:r>
      <w:r w:rsidR="00D0014D">
        <w:rPr>
          <w:rFonts w:ascii="Verdana" w:hAnsi="Verdana"/>
        </w:rPr>
        <w:t xml:space="preserve">emphasis and focus </w:t>
      </w:r>
      <w:r w:rsidR="00D548C2">
        <w:rPr>
          <w:rFonts w:ascii="Verdana" w:hAnsi="Verdana"/>
        </w:rPr>
        <w:t>on</w:t>
      </w:r>
      <w:r w:rsidR="00D932D7">
        <w:rPr>
          <w:rFonts w:ascii="Verdana" w:hAnsi="Verdana"/>
        </w:rPr>
        <w:t xml:space="preserve"> victims is welcome,</w:t>
      </w:r>
      <w:r w:rsidR="00544042">
        <w:rPr>
          <w:rFonts w:ascii="Verdana" w:hAnsi="Verdana"/>
        </w:rPr>
        <w:t xml:space="preserve"> the</w:t>
      </w:r>
      <w:r w:rsidR="00D0014D">
        <w:rPr>
          <w:rFonts w:ascii="Verdana" w:hAnsi="Verdana"/>
        </w:rPr>
        <w:t xml:space="preserve"> </w:t>
      </w:r>
      <w:r w:rsidR="0011676A">
        <w:rPr>
          <w:rFonts w:ascii="Verdana" w:hAnsi="Verdana"/>
        </w:rPr>
        <w:t>D</w:t>
      </w:r>
      <w:r w:rsidR="00D0014D">
        <w:rPr>
          <w:rFonts w:ascii="Verdana" w:hAnsi="Verdana"/>
        </w:rPr>
        <w:t>raft</w:t>
      </w:r>
      <w:r w:rsidR="0039035D">
        <w:rPr>
          <w:rFonts w:ascii="Verdana" w:hAnsi="Verdana"/>
        </w:rPr>
        <w:t xml:space="preserve"> </w:t>
      </w:r>
      <w:r w:rsidR="00EE43A8" w:rsidRPr="00EE43A8">
        <w:rPr>
          <w:rFonts w:ascii="Verdana" w:hAnsi="Verdana"/>
        </w:rPr>
        <w:t xml:space="preserve">Framework </w:t>
      </w:r>
      <w:r w:rsidR="00EE43A8">
        <w:rPr>
          <w:rFonts w:ascii="Verdana" w:hAnsi="Verdana"/>
        </w:rPr>
        <w:t xml:space="preserve">does not </w:t>
      </w:r>
      <w:r w:rsidR="00EE43A8" w:rsidRPr="00131549">
        <w:rPr>
          <w:rFonts w:ascii="Verdana" w:hAnsi="Verdana"/>
        </w:rPr>
        <w:t xml:space="preserve">provide </w:t>
      </w:r>
      <w:r w:rsidR="00EE43A8" w:rsidRPr="00DE2161">
        <w:rPr>
          <w:rFonts w:ascii="Verdana" w:hAnsi="Verdana"/>
        </w:rPr>
        <w:t>sufficient detail</w:t>
      </w:r>
      <w:r w:rsidR="00EE43A8">
        <w:rPr>
          <w:rFonts w:ascii="Verdana" w:hAnsi="Verdana"/>
        </w:rPr>
        <w:t xml:space="preserve"> on how this </w:t>
      </w:r>
      <w:r w:rsidR="00EE43A8" w:rsidRPr="00EE43A8">
        <w:rPr>
          <w:rFonts w:ascii="Verdana" w:hAnsi="Verdana"/>
        </w:rPr>
        <w:t>will be operationalised through the proposed key intervention</w:t>
      </w:r>
      <w:r w:rsidR="00294BC7">
        <w:rPr>
          <w:rFonts w:ascii="Verdana" w:hAnsi="Verdana"/>
        </w:rPr>
        <w:t>s</w:t>
      </w:r>
      <w:r w:rsidR="00DE2161" w:rsidRPr="00DE2161">
        <w:rPr>
          <w:rFonts w:ascii="Verdana" w:hAnsi="Verdana"/>
        </w:rPr>
        <w:t xml:space="preserve">. In particular, the </w:t>
      </w:r>
      <w:r w:rsidR="0011676A">
        <w:rPr>
          <w:rFonts w:ascii="Verdana" w:hAnsi="Verdana"/>
        </w:rPr>
        <w:t>D</w:t>
      </w:r>
      <w:r w:rsidR="00D0014D">
        <w:rPr>
          <w:rFonts w:ascii="Verdana" w:hAnsi="Verdana"/>
        </w:rPr>
        <w:t xml:space="preserve">raft </w:t>
      </w:r>
      <w:r w:rsidR="00DE2161" w:rsidRPr="00DE2161">
        <w:rPr>
          <w:rFonts w:ascii="Verdana" w:hAnsi="Verdana"/>
        </w:rPr>
        <w:t>Framework does not identify any advocacy activities, dedicated</w:t>
      </w:r>
      <w:r w:rsidR="00015BD9">
        <w:rPr>
          <w:rFonts w:ascii="Verdana" w:hAnsi="Verdana"/>
        </w:rPr>
        <w:t xml:space="preserve"> victim</w:t>
      </w:r>
      <w:r w:rsidR="00DE2161" w:rsidRPr="00DE2161">
        <w:rPr>
          <w:rFonts w:ascii="Verdana" w:hAnsi="Verdana"/>
        </w:rPr>
        <w:t xml:space="preserve"> support services, or clear and </w:t>
      </w:r>
      <w:r w:rsidR="00DE2161" w:rsidRPr="00BA3ADF">
        <w:rPr>
          <w:rFonts w:ascii="Verdana" w:hAnsi="Verdana"/>
        </w:rPr>
        <w:t>accessible pathways from reporting to remedy.</w:t>
      </w:r>
    </w:p>
    <w:p w14:paraId="7029DB10" w14:textId="77777777" w:rsidR="005100CF" w:rsidRPr="00A47D5E" w:rsidRDefault="005100CF" w:rsidP="00A47D5E">
      <w:pPr>
        <w:pStyle w:val="BasicParagraph"/>
        <w:suppressAutoHyphens/>
        <w:ind w:left="-11"/>
        <w:rPr>
          <w:rFonts w:ascii="Verdana" w:hAnsi="Verdana"/>
          <w:b/>
        </w:rPr>
      </w:pPr>
    </w:p>
    <w:p w14:paraId="6CA8DF4A" w14:textId="41952D6C" w:rsidR="00A4558B" w:rsidRPr="00A47D5E" w:rsidRDefault="005100CF" w:rsidP="00A47D5E">
      <w:pPr>
        <w:pStyle w:val="BasicParagraph"/>
        <w:numPr>
          <w:ilvl w:val="1"/>
          <w:numId w:val="21"/>
        </w:numPr>
        <w:suppressAutoHyphens/>
        <w:ind w:left="709"/>
        <w:rPr>
          <w:rFonts w:ascii="Verdana" w:hAnsi="Verdana"/>
          <w:b/>
        </w:rPr>
      </w:pPr>
      <w:r w:rsidRPr="00294BC7">
        <w:rPr>
          <w:rFonts w:ascii="Verdana" w:eastAsia="Times New Roman" w:hAnsi="Verdana" w:cs="Segoe UI"/>
          <w:b/>
          <w:bCs/>
          <w:lang w:eastAsia="en-GB"/>
        </w:rPr>
        <w:t>The NIHRC recommends that the Executive Office</w:t>
      </w:r>
      <w:r w:rsidR="00A4558B" w:rsidRPr="00294BC7">
        <w:rPr>
          <w:rFonts w:eastAsia="Times New Roman" w:cs="Segoe UI"/>
          <w:b/>
          <w:bCs/>
          <w:lang w:eastAsia="en-GB"/>
        </w:rPr>
        <w:t xml:space="preserve"> </w:t>
      </w:r>
      <w:r w:rsidR="00A4558B" w:rsidRPr="00294BC7">
        <w:rPr>
          <w:rFonts w:ascii="Verdana" w:eastAsia="Times New Roman" w:hAnsi="Verdana" w:cs="Segoe UI"/>
          <w:b/>
          <w:bCs/>
          <w:lang w:eastAsia="en-GB"/>
        </w:rPr>
        <w:t>provides more detailed information on how a victim</w:t>
      </w:r>
      <w:r w:rsidR="00A4558B" w:rsidRPr="00294BC7">
        <w:rPr>
          <w:rFonts w:ascii="Verdana" w:eastAsia="Times New Roman" w:hAnsi="Verdana" w:cs="Segoe UI"/>
          <w:b/>
          <w:bCs/>
          <w:lang w:eastAsia="en-GB"/>
        </w:rPr>
        <w:noBreakHyphen/>
        <w:t>centred approach will be delivered, including the provision of victim support services and the establishment of clear and accessible pathways from reporting to remedy</w:t>
      </w:r>
      <w:r w:rsidR="00A4558B" w:rsidRPr="00A47D5E">
        <w:rPr>
          <w:rFonts w:ascii="Verdana" w:eastAsia="Times New Roman" w:hAnsi="Verdana" w:cs="Segoe UI"/>
          <w:b/>
          <w:lang w:eastAsia="en-GB"/>
        </w:rPr>
        <w:t>.</w:t>
      </w:r>
    </w:p>
    <w:p w14:paraId="780BF2E9" w14:textId="77777777" w:rsidR="00211885" w:rsidRPr="00A47D5E" w:rsidRDefault="00211885" w:rsidP="00A47D5E">
      <w:pPr>
        <w:pStyle w:val="BasicParagraph"/>
        <w:suppressAutoHyphens/>
        <w:rPr>
          <w:rFonts w:ascii="Verdana" w:hAnsi="Verdana"/>
          <w:b/>
        </w:rPr>
      </w:pPr>
    </w:p>
    <w:p w14:paraId="38087503" w14:textId="377DB581" w:rsidR="00A15B63" w:rsidRPr="006932DE" w:rsidRDefault="00765E44" w:rsidP="00A47D5E">
      <w:pPr>
        <w:pStyle w:val="Heading2"/>
      </w:pPr>
      <w:bookmarkStart w:id="16" w:name="_Toc230705745"/>
      <w:r w:rsidRPr="006932DE">
        <w:t>Racist</w:t>
      </w:r>
      <w:r w:rsidR="00A15B63" w:rsidRPr="006932DE">
        <w:t xml:space="preserve"> Hate Crime</w:t>
      </w:r>
      <w:bookmarkEnd w:id="16"/>
      <w:r w:rsidR="00A15B63" w:rsidRPr="006932DE">
        <w:t xml:space="preserve"> </w:t>
      </w:r>
    </w:p>
    <w:p w14:paraId="3CC8ED6F" w14:textId="77777777" w:rsidR="007F0696" w:rsidRPr="00A47D5E" w:rsidRDefault="007F0696" w:rsidP="00A47D5E">
      <w:pPr>
        <w:rPr>
          <w:b/>
        </w:rPr>
      </w:pPr>
    </w:p>
    <w:p w14:paraId="725197CE" w14:textId="77777777" w:rsidR="006860A9" w:rsidRPr="00731848" w:rsidRDefault="000213DC" w:rsidP="00A47D5E">
      <w:pPr>
        <w:pStyle w:val="BasicParagraph"/>
        <w:numPr>
          <w:ilvl w:val="1"/>
          <w:numId w:val="21"/>
        </w:numPr>
        <w:suppressAutoHyphens/>
        <w:ind w:left="709"/>
        <w:rPr>
          <w:rFonts w:ascii="Verdana" w:hAnsi="Verdana"/>
          <w:b/>
        </w:rPr>
      </w:pPr>
      <w:r w:rsidRPr="00731848">
        <w:rPr>
          <w:rFonts w:ascii="Verdana" w:hAnsi="Verdana"/>
        </w:rPr>
        <w:t xml:space="preserve">The </w:t>
      </w:r>
      <w:r w:rsidR="00397CA0" w:rsidRPr="00731848">
        <w:rPr>
          <w:rFonts w:ascii="Verdana" w:hAnsi="Verdana"/>
        </w:rPr>
        <w:t xml:space="preserve">first and third </w:t>
      </w:r>
      <w:r w:rsidRPr="00731848">
        <w:rPr>
          <w:rFonts w:ascii="Verdana" w:hAnsi="Verdana"/>
        </w:rPr>
        <w:t>key issue</w:t>
      </w:r>
      <w:r w:rsidR="00C1534B" w:rsidRPr="00731848">
        <w:rPr>
          <w:rFonts w:ascii="Verdana" w:hAnsi="Verdana"/>
        </w:rPr>
        <w:t xml:space="preserve">s identified </w:t>
      </w:r>
      <w:r w:rsidRPr="00731848">
        <w:rPr>
          <w:rFonts w:ascii="Verdana" w:hAnsi="Verdana"/>
        </w:rPr>
        <w:t xml:space="preserve">under Outcome </w:t>
      </w:r>
      <w:r w:rsidR="006932DE" w:rsidRPr="00731848">
        <w:rPr>
          <w:rFonts w:ascii="Verdana" w:hAnsi="Verdana"/>
        </w:rPr>
        <w:t>2, namely</w:t>
      </w:r>
      <w:r w:rsidRPr="00731848">
        <w:rPr>
          <w:rFonts w:ascii="Verdana" w:hAnsi="Verdana"/>
        </w:rPr>
        <w:t xml:space="preserve"> "increase in race hate crime</w:t>
      </w:r>
      <w:r w:rsidR="002923EA" w:rsidRPr="00731848">
        <w:rPr>
          <w:rFonts w:ascii="Verdana" w:hAnsi="Verdana"/>
        </w:rPr>
        <w:t xml:space="preserve"> and </w:t>
      </w:r>
      <w:r w:rsidR="000429C9" w:rsidRPr="00731848">
        <w:rPr>
          <w:rFonts w:ascii="Verdana" w:hAnsi="Verdana"/>
        </w:rPr>
        <w:t>racist</w:t>
      </w:r>
      <w:r w:rsidR="002923EA" w:rsidRPr="00731848">
        <w:rPr>
          <w:rFonts w:ascii="Verdana" w:hAnsi="Verdana"/>
        </w:rPr>
        <w:t xml:space="preserve"> incidents</w:t>
      </w:r>
      <w:r w:rsidRPr="00731848">
        <w:rPr>
          <w:rFonts w:ascii="Verdana" w:hAnsi="Verdana"/>
        </w:rPr>
        <w:t>"</w:t>
      </w:r>
      <w:r w:rsidR="00397CA0" w:rsidRPr="00731848">
        <w:rPr>
          <w:rFonts w:ascii="Verdana" w:hAnsi="Verdana"/>
        </w:rPr>
        <w:t xml:space="preserve"> and </w:t>
      </w:r>
      <w:r w:rsidRPr="00731848">
        <w:rPr>
          <w:rFonts w:ascii="Verdana" w:hAnsi="Verdana"/>
        </w:rPr>
        <w:t>"</w:t>
      </w:r>
      <w:r w:rsidR="00A0347A" w:rsidRPr="00731848">
        <w:rPr>
          <w:rFonts w:ascii="Verdana" w:hAnsi="Verdana"/>
        </w:rPr>
        <w:t xml:space="preserve"> low levels of trust in the justice system by minority ethnic communities”</w:t>
      </w:r>
      <w:r w:rsidR="00210F4C" w:rsidRPr="00731848">
        <w:rPr>
          <w:rFonts w:ascii="Verdana" w:hAnsi="Verdana"/>
        </w:rPr>
        <w:t>, are notable</w:t>
      </w:r>
      <w:r w:rsidR="00A0347A" w:rsidRPr="00731848">
        <w:rPr>
          <w:rFonts w:ascii="Verdana" w:hAnsi="Verdana"/>
        </w:rPr>
        <w:t>. Whil</w:t>
      </w:r>
      <w:r w:rsidR="00CF3C8D" w:rsidRPr="00731848">
        <w:rPr>
          <w:rFonts w:ascii="Verdana" w:hAnsi="Verdana"/>
        </w:rPr>
        <w:t>e</w:t>
      </w:r>
      <w:r w:rsidR="00A0347A" w:rsidRPr="00731848">
        <w:rPr>
          <w:rFonts w:ascii="Verdana" w:hAnsi="Verdana"/>
        </w:rPr>
        <w:t xml:space="preserve"> these issues are clearly </w:t>
      </w:r>
      <w:r w:rsidR="009730AE" w:rsidRPr="00731848">
        <w:rPr>
          <w:rFonts w:ascii="Verdana" w:hAnsi="Verdana"/>
        </w:rPr>
        <w:t>identified, the</w:t>
      </w:r>
      <w:r w:rsidR="00CF3C8D" w:rsidRPr="00731848">
        <w:rPr>
          <w:rFonts w:ascii="Verdana" w:hAnsi="Verdana"/>
        </w:rPr>
        <w:t xml:space="preserve"> corresponding</w:t>
      </w:r>
      <w:r w:rsidR="008C2F8A" w:rsidRPr="00731848">
        <w:rPr>
          <w:rFonts w:ascii="Verdana" w:hAnsi="Verdana"/>
        </w:rPr>
        <w:t xml:space="preserve"> key </w:t>
      </w:r>
      <w:r w:rsidR="009730AE" w:rsidRPr="00731848">
        <w:rPr>
          <w:rFonts w:ascii="Verdana" w:hAnsi="Verdana"/>
        </w:rPr>
        <w:t>intervention, “increase</w:t>
      </w:r>
      <w:r w:rsidR="00057A81" w:rsidRPr="00731848">
        <w:rPr>
          <w:rFonts w:ascii="Verdana" w:hAnsi="Verdana"/>
        </w:rPr>
        <w:t xml:space="preserve"> eng</w:t>
      </w:r>
      <w:r w:rsidR="00CF3C8D" w:rsidRPr="00731848">
        <w:rPr>
          <w:rFonts w:ascii="Verdana" w:hAnsi="Verdana"/>
        </w:rPr>
        <w:t>a</w:t>
      </w:r>
      <w:r w:rsidR="00057A81" w:rsidRPr="00731848">
        <w:rPr>
          <w:rFonts w:ascii="Verdana" w:hAnsi="Verdana"/>
        </w:rPr>
        <w:t>gement with minority ethnic communities to promote understanding of hate crime and increase reporting and trust in the criminal justice system</w:t>
      </w:r>
      <w:r w:rsidR="00492ED1" w:rsidRPr="00731848">
        <w:rPr>
          <w:rFonts w:ascii="Verdana" w:hAnsi="Verdana"/>
        </w:rPr>
        <w:t>”</w:t>
      </w:r>
      <w:r w:rsidR="00057A81" w:rsidRPr="00731848">
        <w:rPr>
          <w:rFonts w:ascii="Verdana" w:hAnsi="Verdana"/>
        </w:rPr>
        <w:t xml:space="preserve"> </w:t>
      </w:r>
      <w:r w:rsidR="00D8451E" w:rsidRPr="00731848">
        <w:rPr>
          <w:rFonts w:ascii="Verdana" w:hAnsi="Verdana"/>
        </w:rPr>
        <w:t>lack</w:t>
      </w:r>
      <w:r w:rsidR="009730AE" w:rsidRPr="00731848">
        <w:rPr>
          <w:rFonts w:ascii="Verdana" w:hAnsi="Verdana"/>
        </w:rPr>
        <w:t>s</w:t>
      </w:r>
      <w:r w:rsidR="00D8451E" w:rsidRPr="00731848">
        <w:rPr>
          <w:rFonts w:ascii="Verdana" w:hAnsi="Verdana"/>
        </w:rPr>
        <w:t xml:space="preserve"> sufficient detail and does not speak directly to the key issue</w:t>
      </w:r>
      <w:r w:rsidR="00C53441" w:rsidRPr="00731848">
        <w:rPr>
          <w:rFonts w:ascii="Verdana" w:hAnsi="Verdana"/>
        </w:rPr>
        <w:t>s identified</w:t>
      </w:r>
      <w:r w:rsidR="00D8451E" w:rsidRPr="00731848">
        <w:rPr>
          <w:rFonts w:ascii="Verdana" w:hAnsi="Verdana"/>
        </w:rPr>
        <w:t>.</w:t>
      </w:r>
      <w:r w:rsidR="00C53441" w:rsidRPr="00731848">
        <w:rPr>
          <w:rFonts w:ascii="Verdana" w:hAnsi="Verdana"/>
        </w:rPr>
        <w:t xml:space="preserve"> </w:t>
      </w:r>
      <w:r w:rsidR="0013631C" w:rsidRPr="00731848">
        <w:rPr>
          <w:rFonts w:ascii="Verdana" w:hAnsi="Verdana"/>
        </w:rPr>
        <w:t>I</w:t>
      </w:r>
      <w:r w:rsidR="00E347A5" w:rsidRPr="00731848">
        <w:rPr>
          <w:rFonts w:ascii="Verdana" w:hAnsi="Verdana"/>
        </w:rPr>
        <w:t>n particular, it</w:t>
      </w:r>
      <w:r w:rsidR="0013631C" w:rsidRPr="00731848">
        <w:rPr>
          <w:rFonts w:ascii="Verdana" w:hAnsi="Verdana"/>
        </w:rPr>
        <w:t xml:space="preserve"> does not specify how race hate crime and racist incidents will be reduced, nor how trust will be improved and how </w:t>
      </w:r>
      <w:r w:rsidR="00E347A5" w:rsidRPr="00731848">
        <w:rPr>
          <w:rFonts w:ascii="Verdana" w:hAnsi="Verdana"/>
        </w:rPr>
        <w:t xml:space="preserve">any </w:t>
      </w:r>
      <w:r w:rsidR="0013631C" w:rsidRPr="00731848">
        <w:rPr>
          <w:rFonts w:ascii="Verdana" w:hAnsi="Verdana"/>
        </w:rPr>
        <w:t>improvements in trust will be measured.</w:t>
      </w:r>
    </w:p>
    <w:p w14:paraId="208112F9" w14:textId="77777777" w:rsidR="006860A9" w:rsidRPr="00731848" w:rsidRDefault="006860A9" w:rsidP="00A47D5E">
      <w:pPr>
        <w:pStyle w:val="BasicParagraph"/>
        <w:suppressAutoHyphens/>
        <w:ind w:left="709"/>
        <w:rPr>
          <w:rFonts w:ascii="Verdana" w:hAnsi="Verdana"/>
          <w:b/>
        </w:rPr>
      </w:pPr>
    </w:p>
    <w:p w14:paraId="216ACD2C" w14:textId="011B488B" w:rsidR="006860A9" w:rsidRPr="00361661" w:rsidRDefault="006860A9" w:rsidP="00A47D5E">
      <w:pPr>
        <w:pStyle w:val="BasicParagraph"/>
        <w:numPr>
          <w:ilvl w:val="1"/>
          <w:numId w:val="21"/>
        </w:numPr>
        <w:suppressAutoHyphens/>
        <w:ind w:left="709"/>
        <w:rPr>
          <w:b/>
          <w:bCs/>
        </w:rPr>
      </w:pPr>
      <w:r w:rsidRPr="00731848">
        <w:rPr>
          <w:rFonts w:ascii="Verdana" w:eastAsia="Times New Roman" w:hAnsi="Verdana" w:cs="Segoe UI"/>
          <w:lang w:eastAsia="en-GB"/>
        </w:rPr>
        <w:t>The intervention focuses predominantly on minority ethnic communities</w:t>
      </w:r>
      <w:r>
        <w:rPr>
          <w:rFonts w:ascii="Verdana" w:eastAsia="Times New Roman" w:hAnsi="Verdana" w:cs="Segoe UI"/>
          <w:lang w:eastAsia="en-GB"/>
        </w:rPr>
        <w:t xml:space="preserve"> </w:t>
      </w:r>
      <w:r w:rsidRPr="00731848">
        <w:rPr>
          <w:rFonts w:ascii="Verdana" w:eastAsia="Times New Roman" w:hAnsi="Verdana" w:cs="Segoe UI"/>
          <w:lang w:eastAsia="en-GB"/>
        </w:rPr>
        <w:t>and omits engagement with judicial officers,</w:t>
      </w:r>
      <w:r w:rsidR="00D90666" w:rsidRPr="00731848">
        <w:rPr>
          <w:rFonts w:ascii="Verdana" w:eastAsia="Times New Roman" w:hAnsi="Verdana" w:cs="Segoe UI"/>
          <w:lang w:eastAsia="en-GB"/>
        </w:rPr>
        <w:t xml:space="preserve"> </w:t>
      </w:r>
      <w:r w:rsidR="00EB5D04" w:rsidRPr="00731848">
        <w:rPr>
          <w:rFonts w:ascii="Verdana" w:eastAsia="Times New Roman" w:hAnsi="Verdana" w:cs="Segoe UI"/>
          <w:lang w:eastAsia="en-GB"/>
        </w:rPr>
        <w:t>court clerks,</w:t>
      </w:r>
      <w:r w:rsidR="00D90666" w:rsidRPr="00731848">
        <w:rPr>
          <w:rFonts w:ascii="Verdana" w:eastAsia="Times New Roman" w:hAnsi="Verdana" w:cs="Segoe UI"/>
          <w:lang w:eastAsia="en-GB"/>
        </w:rPr>
        <w:t xml:space="preserve"> </w:t>
      </w:r>
      <w:r w:rsidR="00B91DFA" w:rsidRPr="00731848">
        <w:rPr>
          <w:rFonts w:ascii="Verdana" w:eastAsia="Times New Roman" w:hAnsi="Verdana" w:cs="Segoe UI"/>
          <w:lang w:eastAsia="en-GB"/>
        </w:rPr>
        <w:t xml:space="preserve">other judicial </w:t>
      </w:r>
      <w:r w:rsidR="00D90666" w:rsidRPr="00731848">
        <w:rPr>
          <w:rFonts w:ascii="Verdana" w:eastAsia="Times New Roman" w:hAnsi="Verdana" w:cs="Segoe UI"/>
          <w:lang w:eastAsia="en-GB"/>
        </w:rPr>
        <w:t>personnel</w:t>
      </w:r>
      <w:r w:rsidR="00B91DFA" w:rsidRPr="00731848">
        <w:rPr>
          <w:rFonts w:ascii="Verdana" w:eastAsia="Times New Roman" w:hAnsi="Verdana" w:cs="Segoe UI"/>
          <w:lang w:eastAsia="en-GB"/>
        </w:rPr>
        <w:t xml:space="preserve">, </w:t>
      </w:r>
      <w:r w:rsidR="00EB5D04" w:rsidRPr="00731848">
        <w:rPr>
          <w:rFonts w:ascii="Verdana" w:eastAsia="Times New Roman" w:hAnsi="Verdana" w:cs="Segoe UI"/>
          <w:lang w:eastAsia="en-GB"/>
        </w:rPr>
        <w:t>social workers,</w:t>
      </w:r>
      <w:r w:rsidR="00D90666" w:rsidRPr="00731848">
        <w:rPr>
          <w:rFonts w:ascii="Verdana" w:eastAsia="Times New Roman" w:hAnsi="Verdana" w:cs="Segoe UI"/>
          <w:lang w:eastAsia="en-GB"/>
        </w:rPr>
        <w:t xml:space="preserve"> </w:t>
      </w:r>
      <w:r w:rsidRPr="00731848">
        <w:rPr>
          <w:rFonts w:ascii="Verdana" w:eastAsia="Times New Roman" w:hAnsi="Verdana" w:cs="Segoe UI"/>
          <w:lang w:eastAsia="en-GB"/>
        </w:rPr>
        <w:t xml:space="preserve">law enforcement </w:t>
      </w:r>
      <w:r w:rsidR="00714ABE" w:rsidRPr="00731848">
        <w:rPr>
          <w:rFonts w:ascii="Verdana" w:eastAsia="Times New Roman" w:hAnsi="Verdana" w:cs="Segoe UI"/>
          <w:lang w:eastAsia="en-GB"/>
        </w:rPr>
        <w:t>official</w:t>
      </w:r>
      <w:r w:rsidR="00ED5EB5" w:rsidRPr="00731848">
        <w:rPr>
          <w:rFonts w:ascii="Verdana" w:eastAsia="Times New Roman" w:hAnsi="Verdana" w:cs="Segoe UI"/>
          <w:lang w:eastAsia="en-GB"/>
        </w:rPr>
        <w:t>s</w:t>
      </w:r>
      <w:r w:rsidR="003E6571" w:rsidRPr="00731848">
        <w:rPr>
          <w:rFonts w:ascii="Verdana" w:hAnsi="Verdana"/>
        </w:rPr>
        <w:t>, the</w:t>
      </w:r>
      <w:r w:rsidR="007D772B">
        <w:rPr>
          <w:rFonts w:ascii="Verdana" w:hAnsi="Verdana"/>
        </w:rPr>
        <w:t xml:space="preserve"> legal profession,</w:t>
      </w:r>
      <w:r w:rsidR="00B16F32" w:rsidRPr="00731848">
        <w:rPr>
          <w:rFonts w:ascii="Verdana" w:hAnsi="Verdana"/>
        </w:rPr>
        <w:t xml:space="preserve"> media and </w:t>
      </w:r>
      <w:r w:rsidR="00363CED" w:rsidRPr="00731848">
        <w:rPr>
          <w:rFonts w:ascii="Verdana" w:hAnsi="Verdana"/>
        </w:rPr>
        <w:t>journalists</w:t>
      </w:r>
      <w:r w:rsidRPr="00731848">
        <w:rPr>
          <w:rFonts w:ascii="Verdana" w:eastAsia="Times New Roman" w:hAnsi="Verdana" w:cs="Segoe UI"/>
          <w:lang w:eastAsia="en-GB"/>
        </w:rPr>
        <w:t>, despite their central role in tackling hate crime and building trust in the justice system</w:t>
      </w:r>
      <w:r w:rsidR="00361661" w:rsidRPr="00731848">
        <w:rPr>
          <w:rFonts w:ascii="Verdana" w:eastAsia="Times New Roman" w:hAnsi="Verdana" w:cs="Segoe UI"/>
          <w:lang w:eastAsia="en-GB"/>
        </w:rPr>
        <w:t>.</w:t>
      </w:r>
    </w:p>
    <w:p w14:paraId="194DC716" w14:textId="77777777" w:rsidR="00025CE9" w:rsidRPr="00744385" w:rsidRDefault="00025CE9" w:rsidP="00A47D5E">
      <w:pPr>
        <w:pStyle w:val="ListParagraph"/>
      </w:pPr>
    </w:p>
    <w:p w14:paraId="3423DC05" w14:textId="07D06CFD" w:rsidR="00CA19FB" w:rsidRDefault="009D08D5" w:rsidP="00A47D5E">
      <w:pPr>
        <w:pStyle w:val="BasicParagraph"/>
        <w:numPr>
          <w:ilvl w:val="1"/>
          <w:numId w:val="21"/>
        </w:numPr>
        <w:suppressAutoHyphens/>
        <w:ind w:left="709"/>
        <w:rPr>
          <w:rFonts w:ascii="Verdana" w:hAnsi="Verdana"/>
          <w:b/>
        </w:rPr>
      </w:pPr>
      <w:r w:rsidRPr="00744385">
        <w:rPr>
          <w:rFonts w:ascii="Verdana" w:hAnsi="Verdana"/>
        </w:rPr>
        <w:lastRenderedPageBreak/>
        <w:t>Racist hate crime and hate incidents are increasing in NI.</w:t>
      </w:r>
      <w:r w:rsidR="00C14EBF" w:rsidRPr="00744385">
        <w:rPr>
          <w:rStyle w:val="FootnoteReference"/>
          <w:rFonts w:ascii="Verdana" w:hAnsi="Verdana"/>
        </w:rPr>
        <w:footnoteReference w:id="71"/>
      </w:r>
      <w:r w:rsidRPr="00744385">
        <w:rPr>
          <w:rFonts w:ascii="Verdana" w:hAnsi="Verdana"/>
        </w:rPr>
        <w:t xml:space="preserve"> </w:t>
      </w:r>
      <w:r w:rsidR="008227C5">
        <w:rPr>
          <w:rFonts w:ascii="Verdana" w:hAnsi="Verdana"/>
        </w:rPr>
        <w:t>Ireland recently introduced hate crime legislation in 2024 to address gaps in its law.</w:t>
      </w:r>
      <w:r w:rsidR="008227C5">
        <w:rPr>
          <w:rStyle w:val="FootnoteReference"/>
          <w:rFonts w:ascii="Verdana" w:hAnsi="Verdana"/>
        </w:rPr>
        <w:footnoteReference w:id="72"/>
      </w:r>
      <w:r w:rsidR="008227C5">
        <w:rPr>
          <w:rFonts w:ascii="Verdana" w:hAnsi="Verdana"/>
        </w:rPr>
        <w:t xml:space="preserve"> </w:t>
      </w:r>
      <w:r w:rsidR="00CC6C2B">
        <w:rPr>
          <w:rFonts w:ascii="Verdana" w:hAnsi="Verdana"/>
        </w:rPr>
        <w:t>However u</w:t>
      </w:r>
      <w:r w:rsidRPr="00744385">
        <w:rPr>
          <w:rFonts w:ascii="Verdana" w:hAnsi="Verdana"/>
        </w:rPr>
        <w:t xml:space="preserve">nlike </w:t>
      </w:r>
      <w:r w:rsidR="00D9435A">
        <w:rPr>
          <w:rFonts w:ascii="Verdana" w:hAnsi="Verdana"/>
        </w:rPr>
        <w:t>in Great Britain</w:t>
      </w:r>
      <w:r w:rsidR="004B3922">
        <w:rPr>
          <w:rFonts w:ascii="Verdana" w:hAnsi="Verdana"/>
        </w:rPr>
        <w:t>,</w:t>
      </w:r>
      <w:r w:rsidRPr="00744385">
        <w:rPr>
          <w:rFonts w:ascii="Verdana" w:hAnsi="Verdana"/>
        </w:rPr>
        <w:t xml:space="preserve"> NI has no standalone offence for prosecuting hate crime.</w:t>
      </w:r>
      <w:r w:rsidRPr="00744385">
        <w:rPr>
          <w:rStyle w:val="FootnoteReference"/>
          <w:rFonts w:ascii="Verdana" w:hAnsi="Verdana"/>
        </w:rPr>
        <w:footnoteReference w:id="73"/>
      </w:r>
      <w:r w:rsidR="00947D6E">
        <w:rPr>
          <w:rFonts w:ascii="Verdana" w:hAnsi="Verdana"/>
        </w:rPr>
        <w:t xml:space="preserve"> </w:t>
      </w:r>
      <w:r w:rsidR="00CA19FB" w:rsidRPr="00744385">
        <w:rPr>
          <w:rFonts w:ascii="Verdana" w:hAnsi="Verdana"/>
        </w:rPr>
        <w:t>Civil society organisations have raised concerns with the NIHRC that the police response to hate crime and hate incidents in NI is ineffective.</w:t>
      </w:r>
      <w:r w:rsidR="00CA19FB" w:rsidRPr="00744385">
        <w:rPr>
          <w:rStyle w:val="FootnoteReference"/>
          <w:rFonts w:ascii="Verdana" w:hAnsi="Verdana"/>
        </w:rPr>
        <w:footnoteReference w:id="74"/>
      </w:r>
      <w:r w:rsidR="00CA19FB" w:rsidRPr="00744385">
        <w:rPr>
          <w:rFonts w:ascii="Verdana" w:hAnsi="Verdana"/>
        </w:rPr>
        <w:t xml:space="preserve"> It is noted that the number of prosecutions for racially motivated hate crimes in NI remains low.</w:t>
      </w:r>
      <w:r w:rsidR="00A84210" w:rsidRPr="00744385">
        <w:rPr>
          <w:rStyle w:val="FootnoteReference"/>
          <w:rFonts w:ascii="Verdana" w:hAnsi="Verdana"/>
        </w:rPr>
        <w:footnoteReference w:id="75"/>
      </w:r>
    </w:p>
    <w:p w14:paraId="5EBC8BA6" w14:textId="77777777" w:rsidR="00CA19FB" w:rsidRDefault="00CA19FB" w:rsidP="00A47D5E">
      <w:pPr>
        <w:pStyle w:val="ListParagraph"/>
      </w:pPr>
    </w:p>
    <w:p w14:paraId="6F4319C2" w14:textId="583B642D" w:rsidR="00A47D5E" w:rsidRPr="00B55017" w:rsidRDefault="00994535" w:rsidP="00B55017">
      <w:pPr>
        <w:pStyle w:val="BasicParagraph"/>
        <w:numPr>
          <w:ilvl w:val="1"/>
          <w:numId w:val="21"/>
        </w:numPr>
        <w:suppressAutoHyphens/>
        <w:ind w:left="709"/>
        <w:rPr>
          <w:rFonts w:ascii="Verdana" w:hAnsi="Verdana"/>
          <w:b/>
        </w:rPr>
      </w:pPr>
      <w:r w:rsidRPr="00744385">
        <w:rPr>
          <w:rFonts w:ascii="Verdana" w:hAnsi="Verdana"/>
        </w:rPr>
        <w:t xml:space="preserve">In August 2024, the UN CERD Committee recommended </w:t>
      </w:r>
      <w:r w:rsidR="00AA31D3">
        <w:rPr>
          <w:rFonts w:ascii="Verdana" w:hAnsi="Verdana"/>
        </w:rPr>
        <w:t>that</w:t>
      </w:r>
      <w:r w:rsidR="00AA31D3" w:rsidRPr="00744385">
        <w:rPr>
          <w:rFonts w:ascii="Verdana" w:hAnsi="Verdana"/>
        </w:rPr>
        <w:t xml:space="preserve"> </w:t>
      </w:r>
      <w:r w:rsidRPr="00744385">
        <w:rPr>
          <w:rFonts w:ascii="Verdana" w:hAnsi="Verdana"/>
        </w:rPr>
        <w:t>the NI Executive “combat the proliferation of racist hate speech on the internet and social media, in close cooperation with internet service providers, social media platforms, and the communities most affected by racist hate speech.”</w:t>
      </w:r>
      <w:r w:rsidRPr="00744385">
        <w:rPr>
          <w:rStyle w:val="FootnoteReference"/>
          <w:rFonts w:ascii="Verdana" w:hAnsi="Verdana"/>
        </w:rPr>
        <w:footnoteReference w:id="76"/>
      </w:r>
      <w:r w:rsidR="00283F4A">
        <w:rPr>
          <w:rFonts w:ascii="Verdana" w:hAnsi="Verdana"/>
          <w:b/>
        </w:rPr>
        <w:t xml:space="preserve"> </w:t>
      </w:r>
      <w:r w:rsidR="00B55017" w:rsidRPr="00B55017">
        <w:rPr>
          <w:rFonts w:ascii="Verdana" w:hAnsi="Verdana"/>
          <w:bCs/>
        </w:rPr>
        <w:t>It</w:t>
      </w:r>
      <w:r w:rsidR="003A4D00" w:rsidRPr="00B55017">
        <w:rPr>
          <w:rFonts w:ascii="Verdana" w:hAnsi="Verdana"/>
          <w:bCs/>
        </w:rPr>
        <w:t xml:space="preserve"> </w:t>
      </w:r>
      <w:r w:rsidR="003A4D00" w:rsidRPr="00B55017">
        <w:rPr>
          <w:rFonts w:ascii="Verdana" w:hAnsi="Verdana"/>
        </w:rPr>
        <w:t>also recommended that the NI Executive</w:t>
      </w:r>
      <w:r w:rsidR="00F6167B" w:rsidRPr="00B55017">
        <w:rPr>
          <w:rFonts w:ascii="Verdana" w:hAnsi="Verdana"/>
        </w:rPr>
        <w:t xml:space="preserve"> “</w:t>
      </w:r>
      <w:r w:rsidR="00A47D5E" w:rsidRPr="00B55017">
        <w:rPr>
          <w:rFonts w:ascii="Verdana" w:hAnsi="Verdana"/>
        </w:rPr>
        <w:t>adopts a comprehensive legal framework to combat racist hate crimes, take effective measures to ensure its implementation and continuous training to law enforcement officials, judges, and prosecutors on addressing and investigating hate crimes</w:t>
      </w:r>
      <w:r w:rsidR="00F6167B" w:rsidRPr="00B55017">
        <w:rPr>
          <w:rFonts w:ascii="Verdana" w:hAnsi="Verdana"/>
        </w:rPr>
        <w:t>"</w:t>
      </w:r>
      <w:r w:rsidR="00A47D5E" w:rsidRPr="00B55017">
        <w:rPr>
          <w:rFonts w:ascii="Verdana" w:hAnsi="Verdana"/>
        </w:rPr>
        <w:t>.</w:t>
      </w:r>
      <w:r w:rsidR="00A47D5E" w:rsidRPr="00F6167B">
        <w:rPr>
          <w:rStyle w:val="FootnoteReference"/>
          <w:rFonts w:ascii="Verdana" w:hAnsi="Verdana"/>
        </w:rPr>
        <w:footnoteReference w:id="77"/>
      </w:r>
    </w:p>
    <w:p w14:paraId="52E61BEF" w14:textId="77777777" w:rsidR="00E44F3D" w:rsidRDefault="00E44F3D" w:rsidP="00E44F3D">
      <w:pPr>
        <w:pStyle w:val="ListParagraph"/>
        <w:rPr>
          <w:b/>
          <w:bCs/>
        </w:rPr>
      </w:pPr>
    </w:p>
    <w:p w14:paraId="30DF0219" w14:textId="0F28531A" w:rsidR="00777A04" w:rsidRDefault="00341202" w:rsidP="00F6167B">
      <w:pPr>
        <w:pStyle w:val="BasicParagraph"/>
        <w:numPr>
          <w:ilvl w:val="1"/>
          <w:numId w:val="21"/>
        </w:numPr>
        <w:suppressAutoHyphens/>
        <w:ind w:left="709"/>
        <w:rPr>
          <w:rFonts w:ascii="Verdana" w:hAnsi="Verdana"/>
        </w:rPr>
      </w:pPr>
      <w:r w:rsidRPr="002F5280">
        <w:rPr>
          <w:rFonts w:ascii="Verdana" w:hAnsi="Verdana"/>
        </w:rPr>
        <w:t>In addition</w:t>
      </w:r>
      <w:r w:rsidR="00435977" w:rsidRPr="002F5280">
        <w:rPr>
          <w:rFonts w:ascii="Verdana" w:hAnsi="Verdana"/>
        </w:rPr>
        <w:t>,</w:t>
      </w:r>
      <w:r w:rsidRPr="002F5280">
        <w:rPr>
          <w:rFonts w:ascii="Verdana" w:hAnsi="Verdana"/>
        </w:rPr>
        <w:t xml:space="preserve"> the </w:t>
      </w:r>
      <w:r w:rsidR="00E44F3D" w:rsidRPr="002F5280">
        <w:rPr>
          <w:rFonts w:ascii="Verdana" w:hAnsi="Verdana"/>
        </w:rPr>
        <w:t>UN CERD Committee</w:t>
      </w:r>
      <w:r w:rsidR="000C6963" w:rsidRPr="002F5280">
        <w:rPr>
          <w:rFonts w:ascii="Verdana" w:hAnsi="Verdana"/>
        </w:rPr>
        <w:t xml:space="preserve"> expressed specific concern</w:t>
      </w:r>
      <w:r w:rsidR="009941C3">
        <w:rPr>
          <w:rFonts w:ascii="Verdana" w:hAnsi="Verdana"/>
        </w:rPr>
        <w:t xml:space="preserve"> </w:t>
      </w:r>
      <w:r w:rsidR="00E0461E" w:rsidRPr="002F5280">
        <w:rPr>
          <w:rFonts w:ascii="Verdana" w:hAnsi="Verdana"/>
        </w:rPr>
        <w:t>about reports of paramilitary groups and affiliated individuals perpetrating acts of racist violence and intimidation in N</w:t>
      </w:r>
      <w:r w:rsidR="00B55017">
        <w:rPr>
          <w:rFonts w:ascii="Verdana" w:hAnsi="Verdana"/>
        </w:rPr>
        <w:t>I</w:t>
      </w:r>
      <w:r w:rsidR="00E0461E" w:rsidRPr="002F5280">
        <w:rPr>
          <w:rFonts w:ascii="Verdana" w:hAnsi="Verdana"/>
        </w:rPr>
        <w:t xml:space="preserve"> to deter persons belonging to ethnic minorities and migrants from accessing housing or establishing businesses</w:t>
      </w:r>
      <w:r w:rsidR="0064033F" w:rsidRPr="002F5280">
        <w:rPr>
          <w:rFonts w:ascii="Verdana" w:hAnsi="Verdana"/>
        </w:rPr>
        <w:t>.</w:t>
      </w:r>
      <w:r w:rsidR="00CF52DA" w:rsidRPr="002F5280">
        <w:rPr>
          <w:rStyle w:val="FootnoteReference"/>
          <w:rFonts w:ascii="Verdana" w:hAnsi="Verdana"/>
        </w:rPr>
        <w:footnoteReference w:id="78"/>
      </w:r>
      <w:r w:rsidR="00E0461E" w:rsidRPr="002F5280">
        <w:rPr>
          <w:rFonts w:ascii="Verdana" w:hAnsi="Verdana"/>
        </w:rPr>
        <w:t xml:space="preserve"> </w:t>
      </w:r>
      <w:r w:rsidR="00432E16" w:rsidRPr="002F5280">
        <w:rPr>
          <w:rFonts w:ascii="Verdana" w:hAnsi="Verdana"/>
        </w:rPr>
        <w:t>It also</w:t>
      </w:r>
      <w:r w:rsidR="00CF52DA" w:rsidRPr="002F5280">
        <w:rPr>
          <w:rFonts w:ascii="Verdana" w:hAnsi="Verdana"/>
        </w:rPr>
        <w:t xml:space="preserve"> raised concerns </w:t>
      </w:r>
      <w:r w:rsidR="00E0461E" w:rsidRPr="002F5280">
        <w:rPr>
          <w:rFonts w:ascii="Verdana" w:hAnsi="Verdana"/>
        </w:rPr>
        <w:t>about information indicating that such incidents are underreported due to fear of reprisals, alongside concerns regarding the effectiveness of the response by the authorities and the police.</w:t>
      </w:r>
      <w:r w:rsidR="00BD7E3B" w:rsidRPr="002F5280">
        <w:rPr>
          <w:rStyle w:val="FootnoteReference"/>
          <w:rFonts w:ascii="Verdana" w:hAnsi="Verdana"/>
        </w:rPr>
        <w:footnoteReference w:id="79"/>
      </w:r>
    </w:p>
    <w:p w14:paraId="76603C5D" w14:textId="77777777" w:rsidR="00777A04" w:rsidRDefault="00777A04" w:rsidP="00777A04">
      <w:pPr>
        <w:pStyle w:val="ListParagraph"/>
      </w:pPr>
    </w:p>
    <w:p w14:paraId="43288DE9" w14:textId="77777777" w:rsidR="008A4A10" w:rsidRDefault="00672788" w:rsidP="0015457A">
      <w:pPr>
        <w:pStyle w:val="BasicParagraph"/>
        <w:keepNext/>
        <w:numPr>
          <w:ilvl w:val="1"/>
          <w:numId w:val="21"/>
        </w:numPr>
        <w:suppressAutoHyphens/>
        <w:ind w:left="709"/>
        <w:rPr>
          <w:rFonts w:ascii="Verdana" w:hAnsi="Verdana"/>
        </w:rPr>
      </w:pPr>
      <w:r>
        <w:rPr>
          <w:rFonts w:ascii="Verdana" w:hAnsi="Verdana"/>
        </w:rPr>
        <w:lastRenderedPageBreak/>
        <w:t>The UN CERD Committee recommended that the NI Executive</w:t>
      </w:r>
      <w:r w:rsidR="008A4A10">
        <w:rPr>
          <w:rFonts w:ascii="Verdana" w:hAnsi="Verdana"/>
        </w:rPr>
        <w:t>:</w:t>
      </w:r>
    </w:p>
    <w:p w14:paraId="05D8FA6A" w14:textId="77777777" w:rsidR="008A4A10" w:rsidRDefault="008A4A10" w:rsidP="0015457A">
      <w:pPr>
        <w:pStyle w:val="ListParagraph"/>
        <w:keepNext/>
      </w:pPr>
    </w:p>
    <w:p w14:paraId="4F4D10A4" w14:textId="77777777" w:rsidR="008A4A10" w:rsidRDefault="008A4A10" w:rsidP="0015457A">
      <w:pPr>
        <w:pStyle w:val="BasicParagraph"/>
        <w:keepNext/>
        <w:suppressAutoHyphens/>
        <w:ind w:left="709"/>
        <w:rPr>
          <w:rFonts w:ascii="Verdana" w:hAnsi="Verdana"/>
        </w:rPr>
      </w:pPr>
      <w:r>
        <w:rPr>
          <w:rFonts w:ascii="Verdana" w:hAnsi="Verdana"/>
        </w:rPr>
        <w:t xml:space="preserve">  </w:t>
      </w:r>
      <w:r w:rsidR="003D66BB" w:rsidRPr="003D66BB">
        <w:rPr>
          <w:rFonts w:ascii="Verdana" w:hAnsi="Verdana"/>
        </w:rPr>
        <w:t>adopt robust measures to prevent and combat paramilitary racist violence</w:t>
      </w:r>
    </w:p>
    <w:p w14:paraId="63222FF2" w14:textId="77777777" w:rsidR="008A4A10" w:rsidRDefault="008A4A10" w:rsidP="0015457A">
      <w:pPr>
        <w:pStyle w:val="BasicParagraph"/>
        <w:keepNext/>
        <w:suppressAutoHyphens/>
        <w:ind w:left="709"/>
        <w:rPr>
          <w:rFonts w:ascii="Verdana" w:hAnsi="Verdana"/>
        </w:rPr>
      </w:pPr>
      <w:r>
        <w:rPr>
          <w:rFonts w:ascii="Verdana" w:hAnsi="Verdana"/>
        </w:rPr>
        <w:t xml:space="preserve"> </w:t>
      </w:r>
      <w:r w:rsidR="003D66BB" w:rsidRPr="003D66BB">
        <w:rPr>
          <w:rFonts w:ascii="Verdana" w:hAnsi="Verdana"/>
        </w:rPr>
        <w:t xml:space="preserve"> and intimidation against ethnic minorities and migrants in Northern </w:t>
      </w:r>
    </w:p>
    <w:p w14:paraId="2AF5F385" w14:textId="77777777" w:rsidR="008A4A10" w:rsidRDefault="008A4A10" w:rsidP="0015457A">
      <w:pPr>
        <w:pStyle w:val="BasicParagraph"/>
        <w:keepNext/>
        <w:suppressAutoHyphens/>
        <w:ind w:left="709"/>
        <w:rPr>
          <w:rFonts w:ascii="Verdana" w:hAnsi="Verdana"/>
        </w:rPr>
      </w:pPr>
      <w:r>
        <w:rPr>
          <w:rFonts w:ascii="Verdana" w:hAnsi="Verdana"/>
        </w:rPr>
        <w:t xml:space="preserve">  </w:t>
      </w:r>
      <w:r w:rsidR="003D66BB" w:rsidRPr="003D66BB">
        <w:rPr>
          <w:rFonts w:ascii="Verdana" w:hAnsi="Verdana"/>
        </w:rPr>
        <w:t>Ireland, systematically collect information on these acts of violence and</w:t>
      </w:r>
    </w:p>
    <w:p w14:paraId="46D33885" w14:textId="77777777" w:rsidR="00BD4D87" w:rsidRDefault="008A4A10" w:rsidP="008A4A10">
      <w:pPr>
        <w:pStyle w:val="BasicParagraph"/>
        <w:suppressAutoHyphens/>
        <w:ind w:left="709"/>
        <w:rPr>
          <w:rFonts w:ascii="Verdana" w:hAnsi="Verdana"/>
        </w:rPr>
      </w:pPr>
      <w:r>
        <w:rPr>
          <w:rFonts w:ascii="Verdana" w:hAnsi="Verdana"/>
        </w:rPr>
        <w:t xml:space="preserve"> </w:t>
      </w:r>
      <w:r w:rsidR="003D66BB" w:rsidRPr="003D66BB">
        <w:rPr>
          <w:rFonts w:ascii="Verdana" w:hAnsi="Verdana"/>
        </w:rPr>
        <w:t xml:space="preserve"> intimidation and ensure that cases of paramilitary racist violence and</w:t>
      </w:r>
    </w:p>
    <w:p w14:paraId="04FEA945" w14:textId="77777777" w:rsidR="00FC053B" w:rsidRDefault="00BD4D87" w:rsidP="008A4A10">
      <w:pPr>
        <w:pStyle w:val="BasicParagraph"/>
        <w:suppressAutoHyphens/>
        <w:ind w:left="709"/>
        <w:rPr>
          <w:rFonts w:ascii="Verdana" w:hAnsi="Verdana"/>
        </w:rPr>
      </w:pPr>
      <w:r>
        <w:rPr>
          <w:rFonts w:ascii="Verdana" w:hAnsi="Verdana"/>
        </w:rPr>
        <w:t xml:space="preserve"> </w:t>
      </w:r>
      <w:r w:rsidR="003D66BB" w:rsidRPr="003D66BB">
        <w:rPr>
          <w:rFonts w:ascii="Verdana" w:hAnsi="Verdana"/>
        </w:rPr>
        <w:t xml:space="preserve"> intimidation are promptly and effectively investigated, prosecuted and </w:t>
      </w:r>
    </w:p>
    <w:p w14:paraId="215247CA" w14:textId="77777777" w:rsidR="00FC053B" w:rsidRDefault="00FC053B" w:rsidP="008A4A10">
      <w:pPr>
        <w:pStyle w:val="BasicParagraph"/>
        <w:suppressAutoHyphens/>
        <w:ind w:left="709"/>
        <w:rPr>
          <w:rFonts w:ascii="Verdana" w:hAnsi="Verdana"/>
        </w:rPr>
      </w:pPr>
      <w:r>
        <w:rPr>
          <w:rFonts w:ascii="Verdana" w:hAnsi="Verdana"/>
        </w:rPr>
        <w:t xml:space="preserve">  </w:t>
      </w:r>
      <w:r w:rsidR="003D66BB" w:rsidRPr="003D66BB">
        <w:rPr>
          <w:rFonts w:ascii="Verdana" w:hAnsi="Verdana"/>
        </w:rPr>
        <w:t xml:space="preserve">punished with appropriate sanctions and that victims have access to </w:t>
      </w:r>
    </w:p>
    <w:p w14:paraId="0F6FE663" w14:textId="5CC63B7D" w:rsidR="00E44F3D" w:rsidRPr="002F5280" w:rsidRDefault="00FC053B" w:rsidP="008A4A10">
      <w:pPr>
        <w:pStyle w:val="BasicParagraph"/>
        <w:suppressAutoHyphens/>
        <w:ind w:left="709"/>
        <w:rPr>
          <w:rFonts w:ascii="Verdana" w:hAnsi="Verdana"/>
        </w:rPr>
      </w:pPr>
      <w:r>
        <w:rPr>
          <w:rFonts w:ascii="Verdana" w:hAnsi="Verdana"/>
        </w:rPr>
        <w:t xml:space="preserve">  </w:t>
      </w:r>
      <w:r w:rsidR="003D66BB" w:rsidRPr="003D66BB">
        <w:rPr>
          <w:rFonts w:ascii="Verdana" w:hAnsi="Verdana"/>
        </w:rPr>
        <w:t>effective protection and redress.</w:t>
      </w:r>
      <w:r w:rsidR="0024687D">
        <w:rPr>
          <w:rStyle w:val="FootnoteReference"/>
          <w:rFonts w:ascii="Verdana" w:hAnsi="Verdana"/>
        </w:rPr>
        <w:footnoteReference w:id="80"/>
      </w:r>
    </w:p>
    <w:p w14:paraId="024C35AF" w14:textId="77777777" w:rsidR="003133FD" w:rsidRPr="00A47D5E" w:rsidRDefault="003133FD" w:rsidP="00A47D5E"/>
    <w:p w14:paraId="28912917" w14:textId="1812A63B" w:rsidR="00FB1443" w:rsidRPr="00A47D5E" w:rsidRDefault="00BA2504" w:rsidP="00A47D5E">
      <w:pPr>
        <w:pStyle w:val="BasicParagraph"/>
        <w:numPr>
          <w:ilvl w:val="1"/>
          <w:numId w:val="21"/>
        </w:numPr>
        <w:suppressAutoHyphens/>
        <w:ind w:left="709"/>
        <w:rPr>
          <w:rFonts w:ascii="Verdana" w:hAnsi="Verdana"/>
          <w:b/>
        </w:rPr>
      </w:pPr>
      <w:r>
        <w:rPr>
          <w:rFonts w:ascii="Verdana" w:hAnsi="Verdana"/>
        </w:rPr>
        <w:t xml:space="preserve">The UN </w:t>
      </w:r>
      <w:r w:rsidR="0050390E" w:rsidRPr="00744385">
        <w:rPr>
          <w:rFonts w:ascii="Verdana" w:hAnsi="Verdana"/>
        </w:rPr>
        <w:t>OHCH</w:t>
      </w:r>
      <w:r w:rsidR="007F0696" w:rsidRPr="00744385">
        <w:rPr>
          <w:rFonts w:ascii="Verdana" w:hAnsi="Verdana"/>
        </w:rPr>
        <w:t xml:space="preserve">R states that a national action plan should </w:t>
      </w:r>
      <w:r w:rsidR="009432E7">
        <w:rPr>
          <w:rFonts w:ascii="Verdana" w:hAnsi="Verdana"/>
        </w:rPr>
        <w:t xml:space="preserve">not only </w:t>
      </w:r>
      <w:r w:rsidR="007F0696" w:rsidRPr="00744385">
        <w:rPr>
          <w:rFonts w:ascii="Verdana" w:hAnsi="Verdana"/>
        </w:rPr>
        <w:t xml:space="preserve">identify what action will be taken, </w:t>
      </w:r>
      <w:r w:rsidR="003E6571">
        <w:rPr>
          <w:rFonts w:ascii="Verdana" w:hAnsi="Verdana"/>
        </w:rPr>
        <w:t xml:space="preserve">but </w:t>
      </w:r>
      <w:r w:rsidR="007F0696" w:rsidRPr="00744385">
        <w:rPr>
          <w:rFonts w:ascii="Verdana" w:hAnsi="Verdana"/>
        </w:rPr>
        <w:t xml:space="preserve">who is </w:t>
      </w:r>
      <w:r w:rsidR="00AA31D3">
        <w:rPr>
          <w:rFonts w:ascii="Verdana" w:hAnsi="Verdana"/>
        </w:rPr>
        <w:t xml:space="preserve">obliged </w:t>
      </w:r>
      <w:r w:rsidR="007F0696" w:rsidRPr="00744385">
        <w:rPr>
          <w:rFonts w:ascii="Verdana" w:hAnsi="Verdana"/>
        </w:rPr>
        <w:t>to take it</w:t>
      </w:r>
      <w:r w:rsidR="00AA31D3">
        <w:rPr>
          <w:rFonts w:ascii="Verdana" w:hAnsi="Verdana"/>
        </w:rPr>
        <w:t xml:space="preserve"> and</w:t>
      </w:r>
      <w:r w:rsidR="007F0696" w:rsidRPr="00744385">
        <w:rPr>
          <w:rFonts w:ascii="Verdana" w:hAnsi="Verdana"/>
        </w:rPr>
        <w:t xml:space="preserve"> the time frame for </w:t>
      </w:r>
      <w:r w:rsidR="00AA31D3">
        <w:rPr>
          <w:rFonts w:ascii="Verdana" w:hAnsi="Verdana"/>
        </w:rPr>
        <w:t>completion</w:t>
      </w:r>
      <w:r w:rsidR="007F0696" w:rsidRPr="00744385">
        <w:rPr>
          <w:rFonts w:ascii="Verdana" w:hAnsi="Verdana"/>
        </w:rPr>
        <w:t xml:space="preserve">, </w:t>
      </w:r>
      <w:r w:rsidR="00AA31D3">
        <w:rPr>
          <w:rFonts w:ascii="Verdana" w:hAnsi="Verdana"/>
        </w:rPr>
        <w:t xml:space="preserve">and set out </w:t>
      </w:r>
      <w:r w:rsidR="007F0696" w:rsidRPr="00744385">
        <w:rPr>
          <w:rFonts w:ascii="Verdana" w:hAnsi="Verdana"/>
        </w:rPr>
        <w:t xml:space="preserve">the </w:t>
      </w:r>
      <w:r w:rsidR="00AA31D3">
        <w:rPr>
          <w:rFonts w:ascii="Verdana" w:hAnsi="Verdana"/>
        </w:rPr>
        <w:t xml:space="preserve">appropriate </w:t>
      </w:r>
      <w:r w:rsidR="009D65EB" w:rsidRPr="00744385">
        <w:rPr>
          <w:rFonts w:ascii="Verdana" w:hAnsi="Verdana"/>
        </w:rPr>
        <w:t xml:space="preserve">performance indicators and </w:t>
      </w:r>
      <w:r w:rsidR="007F0696" w:rsidRPr="00744385">
        <w:rPr>
          <w:rFonts w:ascii="Verdana" w:hAnsi="Verdana"/>
        </w:rPr>
        <w:t>the monitoring and evaluation mechanisms</w:t>
      </w:r>
      <w:r w:rsidR="006D3E55" w:rsidRPr="008F36B9">
        <w:rPr>
          <w:rFonts w:ascii="Verdana" w:hAnsi="Verdana"/>
        </w:rPr>
        <w:t>.</w:t>
      </w:r>
      <w:r w:rsidR="006D3E55" w:rsidRPr="00744385">
        <w:rPr>
          <w:rStyle w:val="FootnoteReference"/>
          <w:rFonts w:ascii="Verdana" w:hAnsi="Verdana"/>
        </w:rPr>
        <w:footnoteReference w:id="81"/>
      </w:r>
      <w:r w:rsidR="001566C3" w:rsidRPr="008F36B9">
        <w:rPr>
          <w:rFonts w:ascii="Verdana" w:hAnsi="Verdana"/>
        </w:rPr>
        <w:t xml:space="preserve"> </w:t>
      </w:r>
      <w:r w:rsidR="0074307D" w:rsidRPr="00363CED">
        <w:rPr>
          <w:rFonts w:ascii="Verdana" w:hAnsi="Verdana"/>
        </w:rPr>
        <w:t>The UN ICESCR Committee has clarified that there is an obligation to “monitor effectively the implementation measures to comply with” the right to non-discrimination and equality.</w:t>
      </w:r>
      <w:r w:rsidR="0074307D" w:rsidRPr="00744385">
        <w:rPr>
          <w:rStyle w:val="FootnoteReference"/>
          <w:rFonts w:ascii="Verdana" w:hAnsi="Verdana"/>
        </w:rPr>
        <w:footnoteReference w:id="82"/>
      </w:r>
      <w:r w:rsidR="0074307D" w:rsidRPr="00363CED">
        <w:rPr>
          <w:rFonts w:ascii="Verdana" w:hAnsi="Verdana"/>
        </w:rPr>
        <w:t xml:space="preserve"> It </w:t>
      </w:r>
      <w:r w:rsidR="00350593" w:rsidRPr="00363CED">
        <w:rPr>
          <w:rFonts w:ascii="Verdana" w:hAnsi="Verdana"/>
        </w:rPr>
        <w:t>further states</w:t>
      </w:r>
      <w:r w:rsidR="0074307D" w:rsidRPr="00363CED">
        <w:rPr>
          <w:rFonts w:ascii="Verdana" w:hAnsi="Verdana"/>
        </w:rPr>
        <w:t xml:space="preserve"> that “monitoring should assess both the steps taken and the results achieved in the elimination of discrimination. National strategies, policies and plans should use appropriate indicators and benchmarks, disaggregated </w:t>
      </w:r>
      <w:r w:rsidR="005757D8" w:rsidRPr="00363CED">
        <w:rPr>
          <w:rFonts w:ascii="Verdana" w:hAnsi="Verdana"/>
        </w:rPr>
        <w:t>based on</w:t>
      </w:r>
      <w:r w:rsidR="0074307D" w:rsidRPr="00363CED">
        <w:rPr>
          <w:rFonts w:ascii="Verdana" w:hAnsi="Verdana"/>
        </w:rPr>
        <w:t xml:space="preserve"> the prohibited grounds of discrimination”.</w:t>
      </w:r>
      <w:r w:rsidR="0074307D" w:rsidRPr="00744385">
        <w:rPr>
          <w:rStyle w:val="FootnoteReference"/>
          <w:rFonts w:ascii="Verdana" w:hAnsi="Verdana"/>
        </w:rPr>
        <w:footnoteReference w:id="83"/>
      </w:r>
      <w:r w:rsidR="0074307D" w:rsidRPr="00363CED">
        <w:rPr>
          <w:rFonts w:ascii="Verdana" w:hAnsi="Verdana"/>
        </w:rPr>
        <w:t xml:space="preserve"> The UN CEDAW Committee and UN CRC Committee have made similar clarifications.</w:t>
      </w:r>
      <w:r w:rsidR="0074307D" w:rsidRPr="00744385">
        <w:rPr>
          <w:rStyle w:val="FootnoteReference"/>
          <w:rFonts w:ascii="Verdana" w:hAnsi="Verdana"/>
        </w:rPr>
        <w:footnoteReference w:id="84"/>
      </w:r>
    </w:p>
    <w:p w14:paraId="7413A489" w14:textId="77777777" w:rsidR="00135E32" w:rsidRDefault="00135E32" w:rsidP="00A47D5E">
      <w:pPr>
        <w:pStyle w:val="BasicParagraph"/>
        <w:suppressAutoHyphens/>
        <w:ind w:left="709"/>
        <w:rPr>
          <w:rFonts w:ascii="Verdana" w:hAnsi="Verdana"/>
          <w:b/>
        </w:rPr>
      </w:pPr>
    </w:p>
    <w:p w14:paraId="59AEC7A2" w14:textId="1E7FE02E" w:rsidR="00A47D5E" w:rsidRPr="00731848" w:rsidRDefault="00135E32" w:rsidP="00731848">
      <w:pPr>
        <w:pStyle w:val="BasicParagraph"/>
        <w:numPr>
          <w:ilvl w:val="1"/>
          <w:numId w:val="21"/>
        </w:numPr>
        <w:suppressAutoHyphens/>
        <w:ind w:left="709"/>
        <w:rPr>
          <w:rFonts w:ascii="Verdana" w:hAnsi="Verdana"/>
          <w:b/>
          <w:bCs/>
        </w:rPr>
      </w:pPr>
      <w:r w:rsidRPr="00731848">
        <w:rPr>
          <w:rFonts w:ascii="Verdana" w:hAnsi="Verdana"/>
        </w:rPr>
        <w:t xml:space="preserve">In addition, </w:t>
      </w:r>
      <w:r w:rsidR="00894DB4" w:rsidRPr="00731848">
        <w:rPr>
          <w:rFonts w:ascii="Verdana" w:hAnsi="Verdana"/>
        </w:rPr>
        <w:t xml:space="preserve">the UN </w:t>
      </w:r>
      <w:r w:rsidRPr="00731848">
        <w:rPr>
          <w:rFonts w:ascii="Verdana" w:hAnsi="Verdana"/>
        </w:rPr>
        <w:t>OHCHR guidance states that a national action plan may entail</w:t>
      </w:r>
      <w:r w:rsidR="00731848" w:rsidRPr="00731848">
        <w:rPr>
          <w:rFonts w:ascii="Verdana" w:hAnsi="Verdana"/>
        </w:rPr>
        <w:t xml:space="preserve"> “</w:t>
      </w:r>
      <w:r w:rsidR="00A47D5E" w:rsidRPr="00731848">
        <w:rPr>
          <w:rFonts w:ascii="Verdana" w:hAnsi="Verdana"/>
        </w:rPr>
        <w:t>steps to better gauge the existence and extent of racial discrimination in the administration and functioning of the criminal justice system, and to establish anti-discrimination monitoring services within the administration of justice</w:t>
      </w:r>
      <w:r w:rsidR="00731848" w:rsidRPr="00731848">
        <w:rPr>
          <w:rFonts w:ascii="Verdana" w:hAnsi="Verdana"/>
        </w:rPr>
        <w:t>"</w:t>
      </w:r>
      <w:r w:rsidR="00A47D5E" w:rsidRPr="00731848">
        <w:rPr>
          <w:rFonts w:ascii="Verdana" w:hAnsi="Verdana"/>
        </w:rPr>
        <w:t>.</w:t>
      </w:r>
      <w:r w:rsidR="00A47D5E" w:rsidRPr="00731848">
        <w:rPr>
          <w:rStyle w:val="FootnoteReference"/>
          <w:rFonts w:ascii="Verdana" w:hAnsi="Verdana"/>
        </w:rPr>
        <w:footnoteReference w:id="85"/>
      </w:r>
    </w:p>
    <w:p w14:paraId="144E91D7" w14:textId="77777777" w:rsidR="00A47D5E" w:rsidRPr="00A47D5E" w:rsidRDefault="00A47D5E" w:rsidP="00A47D5E"/>
    <w:p w14:paraId="78D5CABA" w14:textId="77777777" w:rsidR="00A47D5E" w:rsidRPr="00A47D5E" w:rsidRDefault="00A47D5E" w:rsidP="00A47D5E">
      <w:pPr>
        <w:pStyle w:val="BasicParagraph"/>
        <w:numPr>
          <w:ilvl w:val="1"/>
          <w:numId w:val="21"/>
        </w:numPr>
        <w:suppressAutoHyphens/>
        <w:ind w:left="709"/>
        <w:rPr>
          <w:rFonts w:ascii="Verdana" w:hAnsi="Verdana"/>
          <w:b/>
          <w:bCs/>
        </w:rPr>
      </w:pPr>
      <w:r w:rsidRPr="00A47D5E">
        <w:rPr>
          <w:rFonts w:ascii="Verdana" w:hAnsi="Verdana"/>
        </w:rPr>
        <w:t xml:space="preserve">The UN OHCHR also suggests undertaking measures to ensure that persons coming into contact with the police, the courts and the prison </w:t>
      </w:r>
      <w:r w:rsidRPr="00A47D5E">
        <w:rPr>
          <w:rFonts w:ascii="Verdana" w:hAnsi="Verdana"/>
        </w:rPr>
        <w:lastRenderedPageBreak/>
        <w:t>system do not face racial discrimination by judicial and law enforcement authorities.</w:t>
      </w:r>
      <w:r w:rsidRPr="00686D99">
        <w:rPr>
          <w:rStyle w:val="FootnoteReference"/>
          <w:rFonts w:ascii="Verdana" w:hAnsi="Verdana"/>
        </w:rPr>
        <w:footnoteReference w:id="86"/>
      </w:r>
      <w:r w:rsidRPr="00A47D5E">
        <w:rPr>
          <w:rFonts w:ascii="Verdana" w:hAnsi="Verdana"/>
        </w:rPr>
        <w:t xml:space="preserve"> </w:t>
      </w:r>
    </w:p>
    <w:p w14:paraId="759120E2" w14:textId="77777777" w:rsidR="00FB1443" w:rsidRPr="00744385" w:rsidRDefault="00FB1443" w:rsidP="00FB1443">
      <w:pPr>
        <w:pStyle w:val="BasicParagraph"/>
        <w:suppressAutoHyphens/>
        <w:ind w:left="709"/>
        <w:rPr>
          <w:rFonts w:ascii="Verdana" w:hAnsi="Verdana"/>
          <w:b/>
          <w:bCs/>
        </w:rPr>
      </w:pPr>
    </w:p>
    <w:p w14:paraId="4C2265A2" w14:textId="6FCF408D" w:rsidR="00145003" w:rsidRPr="00C138BD" w:rsidRDefault="00FB1443" w:rsidP="00C138BD">
      <w:pPr>
        <w:pStyle w:val="BasicParagraph"/>
        <w:numPr>
          <w:ilvl w:val="1"/>
          <w:numId w:val="21"/>
        </w:numPr>
        <w:suppressAutoHyphens/>
        <w:ind w:left="709"/>
        <w:rPr>
          <w:rFonts w:eastAsia="Times New Roman" w:cs="Segoe UI"/>
          <w:b/>
          <w:bCs/>
          <w:lang w:eastAsia="en-GB"/>
        </w:rPr>
      </w:pPr>
      <w:r w:rsidRPr="00702E07">
        <w:rPr>
          <w:rFonts w:ascii="Verdana" w:eastAsia="Times New Roman" w:hAnsi="Verdana" w:cs="Segoe UI"/>
          <w:b/>
          <w:bCs/>
          <w:lang w:eastAsia="en-GB"/>
        </w:rPr>
        <w:t>The NIHRC</w:t>
      </w:r>
      <w:r w:rsidR="001A4D38" w:rsidRPr="00702E07">
        <w:rPr>
          <w:rFonts w:ascii="Verdana" w:eastAsia="Times New Roman" w:hAnsi="Verdana" w:cs="Segoe UI"/>
          <w:b/>
          <w:bCs/>
          <w:lang w:eastAsia="en-GB"/>
        </w:rPr>
        <w:t xml:space="preserve"> </w:t>
      </w:r>
      <w:r w:rsidRPr="00702E07">
        <w:rPr>
          <w:rFonts w:ascii="Verdana" w:eastAsia="Times New Roman" w:hAnsi="Verdana" w:cs="Segoe UI"/>
          <w:b/>
          <w:bCs/>
          <w:lang w:eastAsia="en-GB"/>
        </w:rPr>
        <w:t>recommends that the Executive</w:t>
      </w:r>
      <w:r w:rsidR="00C422F3" w:rsidRPr="00702E07">
        <w:rPr>
          <w:rFonts w:ascii="Verdana" w:eastAsia="Times New Roman" w:hAnsi="Verdana" w:cs="Segoe UI"/>
          <w:b/>
          <w:bCs/>
          <w:lang w:eastAsia="en-GB"/>
        </w:rPr>
        <w:t xml:space="preserve"> Office</w:t>
      </w:r>
      <w:r w:rsidR="00F4186B" w:rsidRPr="00702E07">
        <w:rPr>
          <w:rFonts w:ascii="Verdana" w:eastAsia="Times New Roman" w:hAnsi="Verdana" w:cs="Segoe UI"/>
          <w:b/>
          <w:bCs/>
          <w:lang w:eastAsia="en-GB"/>
        </w:rPr>
        <w:t xml:space="preserve"> </w:t>
      </w:r>
      <w:r w:rsidR="00083274">
        <w:rPr>
          <w:rFonts w:ascii="Verdana" w:eastAsia="Times New Roman" w:hAnsi="Verdana" w:cs="Segoe UI"/>
          <w:b/>
          <w:bCs/>
          <w:lang w:eastAsia="en-GB"/>
        </w:rPr>
        <w:t>revises</w:t>
      </w:r>
      <w:r w:rsidR="00F4186B" w:rsidRPr="00702E07">
        <w:rPr>
          <w:rFonts w:ascii="Verdana" w:eastAsia="Times New Roman" w:hAnsi="Verdana" w:cs="Segoe UI"/>
          <w:b/>
          <w:bCs/>
          <w:lang w:eastAsia="en-GB"/>
        </w:rPr>
        <w:t xml:space="preserve"> Outcome 2 to </w:t>
      </w:r>
      <w:r w:rsidR="009E6C0E" w:rsidRPr="00702E07">
        <w:rPr>
          <w:rFonts w:ascii="Verdana" w:eastAsia="Times New Roman" w:hAnsi="Verdana" w:cs="Segoe UI"/>
          <w:b/>
          <w:bCs/>
          <w:lang w:eastAsia="en-GB"/>
        </w:rPr>
        <w:t>provide greater clarity</w:t>
      </w:r>
      <w:r w:rsidR="00350F9A" w:rsidRPr="00702E07">
        <w:rPr>
          <w:rFonts w:ascii="Verdana" w:eastAsia="Times New Roman" w:hAnsi="Verdana" w:cs="Segoe UI"/>
          <w:b/>
          <w:bCs/>
          <w:lang w:eastAsia="en-GB"/>
        </w:rPr>
        <w:t xml:space="preserve"> on</w:t>
      </w:r>
      <w:r w:rsidR="00F4186B" w:rsidRPr="00702E07">
        <w:rPr>
          <w:rFonts w:ascii="Verdana" w:eastAsia="Times New Roman" w:hAnsi="Verdana" w:cs="Segoe UI"/>
          <w:b/>
          <w:bCs/>
          <w:lang w:eastAsia="en-GB"/>
        </w:rPr>
        <w:t xml:space="preserve"> how victims of racist incidents</w:t>
      </w:r>
      <w:r w:rsidR="00A66BC5">
        <w:rPr>
          <w:rFonts w:ascii="Verdana" w:eastAsia="Times New Roman" w:hAnsi="Verdana" w:cs="Segoe UI"/>
          <w:b/>
          <w:bCs/>
          <w:lang w:eastAsia="en-GB"/>
        </w:rPr>
        <w:t xml:space="preserve">, </w:t>
      </w:r>
      <w:r w:rsidR="00F4186B" w:rsidRPr="00702E07">
        <w:rPr>
          <w:rFonts w:ascii="Verdana" w:eastAsia="Times New Roman" w:hAnsi="Verdana" w:cs="Segoe UI"/>
          <w:b/>
          <w:bCs/>
          <w:lang w:eastAsia="en-GB"/>
        </w:rPr>
        <w:t>hate crime</w:t>
      </w:r>
      <w:r w:rsidR="00340EAD">
        <w:rPr>
          <w:rFonts w:ascii="Verdana" w:eastAsia="Times New Roman" w:hAnsi="Verdana" w:cs="Segoe UI"/>
          <w:b/>
          <w:bCs/>
          <w:lang w:eastAsia="en-GB"/>
        </w:rPr>
        <w:t xml:space="preserve"> and </w:t>
      </w:r>
      <w:r w:rsidR="00340EAD" w:rsidRPr="00340EAD">
        <w:rPr>
          <w:rFonts w:ascii="Verdana" w:eastAsia="Times New Roman" w:hAnsi="Verdana" w:cs="Segoe UI"/>
          <w:b/>
          <w:bCs/>
          <w:lang w:eastAsia="en-GB"/>
        </w:rPr>
        <w:t>paramilitary racist violence and intimidation</w:t>
      </w:r>
      <w:r w:rsidR="00340EAD">
        <w:rPr>
          <w:rFonts w:eastAsia="Times New Roman" w:cs="Segoe UI"/>
          <w:b/>
          <w:bCs/>
          <w:lang w:eastAsia="en-GB"/>
        </w:rPr>
        <w:t xml:space="preserve"> </w:t>
      </w:r>
      <w:r w:rsidR="00F4186B" w:rsidRPr="00340EAD">
        <w:rPr>
          <w:rFonts w:ascii="Verdana" w:eastAsia="Times New Roman" w:hAnsi="Verdana" w:cs="Segoe UI"/>
          <w:b/>
          <w:bCs/>
          <w:lang w:eastAsia="en-GB"/>
        </w:rPr>
        <w:t>will obtain redress</w:t>
      </w:r>
      <w:r w:rsidR="00CE4580" w:rsidRPr="00340EAD">
        <w:rPr>
          <w:rFonts w:ascii="Verdana" w:eastAsia="Times New Roman" w:hAnsi="Verdana" w:cs="Segoe UI"/>
          <w:b/>
          <w:bCs/>
          <w:lang w:eastAsia="en-GB"/>
        </w:rPr>
        <w:t xml:space="preserve"> and to set out</w:t>
      </w:r>
      <w:r w:rsidR="00F4186B" w:rsidRPr="00340EAD">
        <w:rPr>
          <w:rFonts w:ascii="Verdana" w:eastAsia="Times New Roman" w:hAnsi="Verdana" w:cs="Segoe UI"/>
          <w:b/>
          <w:bCs/>
          <w:lang w:eastAsia="en-GB"/>
        </w:rPr>
        <w:t xml:space="preserve"> </w:t>
      </w:r>
      <w:r w:rsidR="00363CED" w:rsidRPr="00340EAD">
        <w:rPr>
          <w:rFonts w:ascii="Verdana" w:eastAsia="Times New Roman" w:hAnsi="Verdana" w:cs="Segoe UI"/>
          <w:b/>
          <w:bCs/>
          <w:lang w:eastAsia="en-GB"/>
        </w:rPr>
        <w:t>the accountability</w:t>
      </w:r>
      <w:r w:rsidR="00CE4580" w:rsidRPr="00340EAD">
        <w:rPr>
          <w:rFonts w:ascii="Verdana" w:eastAsia="Times New Roman" w:hAnsi="Verdana" w:cs="Segoe UI"/>
          <w:b/>
          <w:bCs/>
          <w:lang w:eastAsia="en-GB"/>
        </w:rPr>
        <w:t xml:space="preserve"> and monitoring measure</w:t>
      </w:r>
      <w:r w:rsidR="00F4186B" w:rsidRPr="00340EAD">
        <w:rPr>
          <w:rFonts w:ascii="Verdana" w:eastAsia="Times New Roman" w:hAnsi="Verdana" w:cs="Segoe UI"/>
          <w:b/>
          <w:bCs/>
          <w:lang w:eastAsia="en-GB"/>
        </w:rPr>
        <w:t>.</w:t>
      </w:r>
      <w:r w:rsidR="00EA5536" w:rsidRPr="00340EAD">
        <w:rPr>
          <w:rFonts w:ascii="Verdana" w:eastAsia="Times New Roman" w:hAnsi="Verdana" w:cs="Segoe UI"/>
          <w:b/>
          <w:bCs/>
          <w:lang w:eastAsia="en-GB"/>
        </w:rPr>
        <w:t xml:space="preserve"> </w:t>
      </w:r>
      <w:r w:rsidR="00EA5536" w:rsidRPr="00C138BD">
        <w:rPr>
          <w:rFonts w:ascii="Verdana" w:eastAsia="Times New Roman" w:hAnsi="Verdana" w:cs="Segoe UI"/>
          <w:b/>
          <w:bCs/>
          <w:lang w:eastAsia="en-GB"/>
        </w:rPr>
        <w:t>The NIHRC advises that this should include</w:t>
      </w:r>
      <w:r w:rsidR="00145003" w:rsidRPr="00C138BD">
        <w:rPr>
          <w:rFonts w:ascii="Verdana" w:eastAsia="Times New Roman" w:hAnsi="Verdana" w:cs="Segoe UI"/>
          <w:b/>
          <w:bCs/>
          <w:lang w:eastAsia="en-GB"/>
        </w:rPr>
        <w:t xml:space="preserve"> the following: </w:t>
      </w:r>
    </w:p>
    <w:p w14:paraId="7589B6C6" w14:textId="77777777" w:rsidR="00AE73EB" w:rsidRDefault="00AE73EB" w:rsidP="00AE73EB">
      <w:pPr>
        <w:pStyle w:val="ListParagraph"/>
        <w:rPr>
          <w:rFonts w:eastAsia="Times New Roman" w:cs="Segoe UI"/>
          <w:b/>
          <w:bCs/>
          <w:lang w:eastAsia="en-GB"/>
        </w:rPr>
      </w:pPr>
    </w:p>
    <w:p w14:paraId="2CF9ADA8" w14:textId="7CEC5A87" w:rsidR="002B79A5" w:rsidRPr="00002683" w:rsidRDefault="002A54A7" w:rsidP="002B79A5">
      <w:pPr>
        <w:pStyle w:val="BasicParagraph"/>
        <w:numPr>
          <w:ilvl w:val="0"/>
          <w:numId w:val="29"/>
        </w:numPr>
        <w:suppressAutoHyphens/>
        <w:rPr>
          <w:rFonts w:ascii="Verdana" w:eastAsia="Times New Roman" w:hAnsi="Verdana" w:cs="Segoe UI"/>
          <w:b/>
          <w:bCs/>
          <w:lang w:eastAsia="en-GB"/>
        </w:rPr>
      </w:pPr>
      <w:r w:rsidRPr="00002683">
        <w:rPr>
          <w:rFonts w:ascii="Verdana" w:eastAsia="Times New Roman" w:hAnsi="Verdana" w:cs="Segoe UI"/>
          <w:b/>
          <w:bCs/>
          <w:lang w:eastAsia="en-GB"/>
        </w:rPr>
        <w:t>Clear</w:t>
      </w:r>
      <w:r w:rsidR="00AE73EB" w:rsidRPr="00002683">
        <w:rPr>
          <w:rFonts w:ascii="Verdana" w:eastAsia="Times New Roman" w:hAnsi="Verdana" w:cs="Segoe UI"/>
          <w:b/>
          <w:bCs/>
          <w:lang w:eastAsia="en-GB"/>
        </w:rPr>
        <w:t xml:space="preserve"> mechanisms to prevent and combat paramilitary racist violence and intimidation against ethnic minorities and migrants.</w:t>
      </w:r>
    </w:p>
    <w:p w14:paraId="662D9A1F" w14:textId="06537DBE" w:rsidR="002B79A5" w:rsidRPr="00002683" w:rsidRDefault="005F31DF" w:rsidP="00C5440C">
      <w:pPr>
        <w:pStyle w:val="BasicParagraph"/>
        <w:numPr>
          <w:ilvl w:val="0"/>
          <w:numId w:val="29"/>
        </w:numPr>
        <w:suppressAutoHyphens/>
        <w:rPr>
          <w:rFonts w:ascii="Verdana" w:eastAsia="Times New Roman" w:hAnsi="Verdana" w:cs="Segoe UI"/>
          <w:b/>
          <w:bCs/>
          <w:lang w:eastAsia="en-GB"/>
        </w:rPr>
      </w:pPr>
      <w:r w:rsidRPr="00002683">
        <w:rPr>
          <w:rFonts w:ascii="Verdana" w:eastAsia="Times New Roman" w:hAnsi="Verdana" w:cs="Segoe UI"/>
          <w:b/>
          <w:bCs/>
          <w:lang w:eastAsia="en-GB"/>
        </w:rPr>
        <w:t>C</w:t>
      </w:r>
      <w:r w:rsidR="007665AA" w:rsidRPr="00002683">
        <w:rPr>
          <w:rFonts w:ascii="Verdana" w:eastAsia="Times New Roman" w:hAnsi="Verdana" w:cs="Segoe UI"/>
          <w:b/>
          <w:bCs/>
          <w:lang w:eastAsia="en-GB"/>
        </w:rPr>
        <w:t>lear mechanisms for the systematic collection, analysis, and publication of accurate disaggregated data and statistics on racist and xenophobic offences</w:t>
      </w:r>
      <w:r w:rsidR="00D36686" w:rsidRPr="00002683">
        <w:rPr>
          <w:rFonts w:ascii="Verdana" w:eastAsia="Times New Roman" w:hAnsi="Verdana" w:cs="Segoe UI"/>
          <w:b/>
          <w:bCs/>
          <w:lang w:eastAsia="en-GB"/>
        </w:rPr>
        <w:t>, including incidents involving paramilitary groups</w:t>
      </w:r>
      <w:r w:rsidR="00193FC0" w:rsidRPr="00002683">
        <w:rPr>
          <w:rFonts w:ascii="Verdana" w:eastAsia="Times New Roman" w:hAnsi="Verdana" w:cs="Segoe UI"/>
          <w:b/>
          <w:bCs/>
          <w:lang w:eastAsia="en-GB"/>
        </w:rPr>
        <w:t>.</w:t>
      </w:r>
    </w:p>
    <w:p w14:paraId="62AF47B5" w14:textId="6E51DE0F" w:rsidR="002A54A7" w:rsidRPr="00002683" w:rsidRDefault="00193FC0" w:rsidP="00002683">
      <w:pPr>
        <w:pStyle w:val="BasicParagraph"/>
        <w:numPr>
          <w:ilvl w:val="0"/>
          <w:numId w:val="29"/>
        </w:numPr>
        <w:suppressAutoHyphens/>
        <w:rPr>
          <w:rFonts w:ascii="Verdana" w:eastAsia="Times New Roman" w:hAnsi="Verdana" w:cs="Segoe UI"/>
          <w:b/>
          <w:bCs/>
          <w:lang w:eastAsia="en-GB"/>
        </w:rPr>
      </w:pPr>
      <w:r w:rsidRPr="00002683">
        <w:rPr>
          <w:rFonts w:ascii="Verdana" w:eastAsia="Times New Roman" w:hAnsi="Verdana" w:cs="Segoe UI"/>
          <w:b/>
          <w:bCs/>
          <w:lang w:eastAsia="en-GB"/>
        </w:rPr>
        <w:t>D</w:t>
      </w:r>
      <w:r w:rsidR="00785D89" w:rsidRPr="00002683">
        <w:rPr>
          <w:rFonts w:ascii="Verdana" w:eastAsia="Times New Roman" w:hAnsi="Verdana" w:cs="Segoe UI"/>
          <w:b/>
          <w:bCs/>
          <w:lang w:eastAsia="en-GB"/>
        </w:rPr>
        <w:t>ata on</w:t>
      </w:r>
      <w:r w:rsidR="007665AA" w:rsidRPr="00002683">
        <w:rPr>
          <w:rFonts w:ascii="Verdana" w:eastAsia="Times New Roman" w:hAnsi="Verdana" w:cs="Segoe UI"/>
          <w:b/>
          <w:bCs/>
          <w:lang w:eastAsia="en-GB"/>
        </w:rPr>
        <w:t xml:space="preserve"> the number of incidents reported to the police, the number of cases investigated and prosecuted, the reasons for decisions not to prosecute, and the outcomes of prosecuted cases.</w:t>
      </w:r>
    </w:p>
    <w:p w14:paraId="6682A78E" w14:textId="77777777" w:rsidR="00087514" w:rsidRDefault="00087514" w:rsidP="00A47D5E">
      <w:pPr>
        <w:pStyle w:val="ListParagraph"/>
        <w:rPr>
          <w:rFonts w:eastAsia="Times New Roman" w:cs="Segoe UI"/>
          <w:b/>
          <w:lang w:eastAsia="en-GB"/>
        </w:rPr>
      </w:pPr>
    </w:p>
    <w:p w14:paraId="41B167F2" w14:textId="77777777" w:rsidR="00035D22" w:rsidRPr="00035D22" w:rsidRDefault="00087514" w:rsidP="00A47D5E">
      <w:pPr>
        <w:pStyle w:val="BasicParagraph"/>
        <w:numPr>
          <w:ilvl w:val="1"/>
          <w:numId w:val="21"/>
        </w:numPr>
        <w:suppressAutoHyphens/>
        <w:ind w:left="709"/>
        <w:rPr>
          <w:rFonts w:ascii="Verdana" w:hAnsi="Verdana"/>
          <w:b/>
          <w:bCs/>
        </w:rPr>
      </w:pPr>
      <w:r w:rsidRPr="00A47D5E">
        <w:rPr>
          <w:rFonts w:ascii="Verdana" w:eastAsia="Times New Roman" w:hAnsi="Verdana" w:cs="Segoe UI"/>
          <w:b/>
          <w:bCs/>
          <w:lang w:eastAsia="en-GB"/>
        </w:rPr>
        <w:t>The NI</w:t>
      </w:r>
      <w:r w:rsidR="00A47D5E">
        <w:rPr>
          <w:rFonts w:ascii="Verdana" w:eastAsia="Times New Roman" w:hAnsi="Verdana" w:cs="Segoe UI"/>
          <w:b/>
          <w:bCs/>
          <w:lang w:eastAsia="en-GB"/>
        </w:rPr>
        <w:t>HRC</w:t>
      </w:r>
      <w:r w:rsidRPr="00744385">
        <w:rPr>
          <w:rFonts w:ascii="Verdana" w:eastAsia="Times New Roman" w:hAnsi="Verdana" w:cs="Segoe UI"/>
          <w:b/>
          <w:bCs/>
          <w:lang w:eastAsia="en-GB"/>
        </w:rPr>
        <w:t xml:space="preserve"> recommends that the Executive </w:t>
      </w:r>
      <w:r w:rsidR="00A610C3">
        <w:rPr>
          <w:rFonts w:ascii="Verdana" w:eastAsia="Times New Roman" w:hAnsi="Verdana" w:cs="Segoe UI"/>
          <w:b/>
          <w:bCs/>
          <w:lang w:eastAsia="en-GB"/>
        </w:rPr>
        <w:t xml:space="preserve">Office </w:t>
      </w:r>
      <w:r w:rsidR="00FB1443" w:rsidRPr="00744385">
        <w:rPr>
          <w:rFonts w:ascii="Verdana" w:eastAsia="Times New Roman" w:hAnsi="Verdana" w:cs="Segoe UI"/>
          <w:b/>
          <w:bCs/>
          <w:lang w:eastAsia="en-GB"/>
        </w:rPr>
        <w:t>includes</w:t>
      </w:r>
      <w:r w:rsidRPr="00744385">
        <w:rPr>
          <w:rFonts w:ascii="Verdana" w:eastAsia="Times New Roman" w:hAnsi="Verdana" w:cs="Segoe UI"/>
          <w:b/>
          <w:bCs/>
          <w:lang w:eastAsia="en-GB"/>
        </w:rPr>
        <w:t xml:space="preserve"> under Outcome </w:t>
      </w:r>
      <w:r w:rsidR="00763FE8" w:rsidRPr="00744385">
        <w:rPr>
          <w:rFonts w:ascii="Verdana" w:eastAsia="Times New Roman" w:hAnsi="Verdana" w:cs="Segoe UI"/>
          <w:b/>
          <w:bCs/>
          <w:lang w:eastAsia="en-GB"/>
        </w:rPr>
        <w:t>2 clear</w:t>
      </w:r>
      <w:r w:rsidR="00FB1443" w:rsidRPr="00744385">
        <w:rPr>
          <w:rFonts w:ascii="Verdana" w:eastAsia="Times New Roman" w:hAnsi="Verdana" w:cs="Segoe UI"/>
          <w:b/>
          <w:bCs/>
          <w:lang w:eastAsia="en-GB"/>
        </w:rPr>
        <w:t xml:space="preserve"> performance indicators, such as the percentage increase in reporting </w:t>
      </w:r>
      <w:r w:rsidR="00FB1443" w:rsidRPr="00A610C3">
        <w:rPr>
          <w:rFonts w:ascii="Verdana" w:eastAsia="Times New Roman" w:hAnsi="Verdana" w:cs="Segoe UI"/>
          <w:b/>
          <w:bCs/>
          <w:lang w:eastAsia="en-GB"/>
        </w:rPr>
        <w:t>rates</w:t>
      </w:r>
      <w:r w:rsidR="00921334" w:rsidRPr="00A610C3">
        <w:rPr>
          <w:rFonts w:ascii="Verdana" w:eastAsia="Times New Roman" w:hAnsi="Verdana" w:cs="Segoe UI"/>
          <w:b/>
          <w:bCs/>
          <w:lang w:eastAsia="en-GB"/>
        </w:rPr>
        <w:t xml:space="preserve"> </w:t>
      </w:r>
      <w:r w:rsidR="00A610C3" w:rsidRPr="00A610C3">
        <w:rPr>
          <w:rFonts w:ascii="Verdana" w:eastAsia="Times New Roman" w:hAnsi="Verdana" w:cs="Segoe UI"/>
          <w:b/>
          <w:bCs/>
          <w:lang w:eastAsia="en-GB"/>
        </w:rPr>
        <w:t>of race</w:t>
      </w:r>
      <w:r w:rsidR="00624CB7" w:rsidRPr="00A610C3">
        <w:rPr>
          <w:rFonts w:ascii="Verdana" w:hAnsi="Verdana"/>
        </w:rPr>
        <w:t xml:space="preserve"> </w:t>
      </w:r>
      <w:r w:rsidR="00624CB7" w:rsidRPr="00A610C3">
        <w:rPr>
          <w:rFonts w:ascii="Verdana" w:hAnsi="Verdana"/>
          <w:b/>
          <w:bCs/>
        </w:rPr>
        <w:t>hate crime and racist incidents</w:t>
      </w:r>
      <w:r w:rsidR="00FB1443" w:rsidRPr="00A610C3">
        <w:rPr>
          <w:rFonts w:ascii="Verdana" w:eastAsia="Times New Roman" w:hAnsi="Verdana" w:cs="Segoe UI"/>
          <w:b/>
          <w:bCs/>
          <w:lang w:eastAsia="en-GB"/>
        </w:rPr>
        <w:t>, the p</w:t>
      </w:r>
      <w:r w:rsidR="00300EED">
        <w:rPr>
          <w:rFonts w:ascii="Verdana" w:eastAsia="Times New Roman" w:hAnsi="Verdana" w:cs="Segoe UI"/>
          <w:b/>
          <w:bCs/>
          <w:lang w:eastAsia="en-GB"/>
        </w:rPr>
        <w:t xml:space="preserve">roportion </w:t>
      </w:r>
      <w:r w:rsidR="00FB1443" w:rsidRPr="00A610C3">
        <w:rPr>
          <w:rFonts w:ascii="Verdana" w:eastAsia="Times New Roman" w:hAnsi="Verdana" w:cs="Segoe UI"/>
          <w:b/>
          <w:bCs/>
          <w:lang w:eastAsia="en-GB"/>
        </w:rPr>
        <w:t>of reported incidents</w:t>
      </w:r>
      <w:r w:rsidR="00A610C3" w:rsidRPr="00A610C3">
        <w:rPr>
          <w:rFonts w:ascii="Verdana" w:eastAsia="Times New Roman" w:hAnsi="Verdana" w:cs="Segoe UI"/>
          <w:b/>
          <w:bCs/>
          <w:lang w:eastAsia="en-GB"/>
        </w:rPr>
        <w:t xml:space="preserve"> of </w:t>
      </w:r>
      <w:r w:rsidR="00A610C3" w:rsidRPr="00A610C3">
        <w:rPr>
          <w:rFonts w:ascii="Verdana" w:hAnsi="Verdana"/>
          <w:b/>
          <w:bCs/>
        </w:rPr>
        <w:t>race hate crime and racist</w:t>
      </w:r>
      <w:r w:rsidR="00A610C3" w:rsidRPr="00A610C3">
        <w:rPr>
          <w:rFonts w:ascii="Verdana" w:hAnsi="Verdana"/>
        </w:rPr>
        <w:t xml:space="preserve"> </w:t>
      </w:r>
      <w:r w:rsidR="00A610C3" w:rsidRPr="00A610C3">
        <w:rPr>
          <w:rFonts w:ascii="Verdana" w:hAnsi="Verdana"/>
          <w:b/>
          <w:bCs/>
        </w:rPr>
        <w:t>incidents</w:t>
      </w:r>
      <w:r w:rsidR="00FB1443" w:rsidRPr="00744385">
        <w:rPr>
          <w:rFonts w:ascii="Verdana" w:eastAsia="Times New Roman" w:hAnsi="Verdana" w:cs="Segoe UI"/>
          <w:b/>
          <w:bCs/>
          <w:lang w:eastAsia="en-GB"/>
        </w:rPr>
        <w:t xml:space="preserve"> leading to charge</w:t>
      </w:r>
      <w:r w:rsidR="00921334">
        <w:rPr>
          <w:rFonts w:ascii="Verdana" w:eastAsia="Times New Roman" w:hAnsi="Verdana" w:cs="Segoe UI"/>
          <w:b/>
          <w:bCs/>
          <w:lang w:eastAsia="en-GB"/>
        </w:rPr>
        <w:t>s</w:t>
      </w:r>
      <w:r w:rsidR="00FB1443" w:rsidRPr="00744385">
        <w:rPr>
          <w:rFonts w:ascii="Verdana" w:eastAsia="Times New Roman" w:hAnsi="Verdana" w:cs="Segoe UI"/>
          <w:b/>
          <w:bCs/>
          <w:lang w:eastAsia="en-GB"/>
        </w:rPr>
        <w:t>, and levels of victim satisfaction with police responses.</w:t>
      </w:r>
    </w:p>
    <w:p w14:paraId="4DED7A37" w14:textId="77777777" w:rsidR="00035D22" w:rsidRDefault="00035D22" w:rsidP="00035D22">
      <w:pPr>
        <w:pStyle w:val="ListParagraph"/>
        <w:rPr>
          <w:rFonts w:eastAsia="Times New Roman" w:cs="Segoe UI"/>
          <w:b/>
          <w:lang w:eastAsia="en-GB"/>
        </w:rPr>
      </w:pPr>
    </w:p>
    <w:p w14:paraId="3171BF1B" w14:textId="07B11628" w:rsidR="00035D22" w:rsidRPr="00C75F52" w:rsidRDefault="00035D22" w:rsidP="00D126A4">
      <w:pPr>
        <w:pStyle w:val="BasicParagraph"/>
        <w:widowControl/>
        <w:numPr>
          <w:ilvl w:val="1"/>
          <w:numId w:val="21"/>
        </w:numPr>
        <w:suppressAutoHyphens/>
        <w:ind w:left="709"/>
        <w:rPr>
          <w:rFonts w:ascii="Verdana" w:hAnsi="Verdana"/>
          <w:b/>
          <w:bCs/>
        </w:rPr>
      </w:pPr>
      <w:r w:rsidRPr="00C75F52">
        <w:rPr>
          <w:rFonts w:ascii="Verdana" w:eastAsia="Times New Roman" w:hAnsi="Verdana" w:cs="Segoe UI"/>
          <w:b/>
          <w:bCs/>
          <w:lang w:eastAsia="en-GB"/>
        </w:rPr>
        <w:t xml:space="preserve">The NIHRC recommends that the Executive Office revises Outcome 2 to include concrete measures to </w:t>
      </w:r>
      <w:r w:rsidR="00402AEA">
        <w:rPr>
          <w:rFonts w:ascii="Verdana" w:eastAsia="Times New Roman" w:hAnsi="Verdana" w:cs="Segoe UI"/>
          <w:b/>
          <w:bCs/>
          <w:lang w:eastAsia="en-GB"/>
        </w:rPr>
        <w:t>analyse</w:t>
      </w:r>
      <w:r w:rsidR="00402AEA" w:rsidRPr="00C75F52">
        <w:rPr>
          <w:rFonts w:ascii="Verdana" w:eastAsia="Times New Roman" w:hAnsi="Verdana" w:cs="Segoe UI"/>
          <w:b/>
          <w:bCs/>
          <w:lang w:eastAsia="en-GB"/>
        </w:rPr>
        <w:t xml:space="preserve"> </w:t>
      </w:r>
      <w:r w:rsidRPr="00C75F52">
        <w:rPr>
          <w:rFonts w:ascii="Verdana" w:eastAsia="Times New Roman" w:hAnsi="Verdana" w:cs="Segoe UI"/>
          <w:b/>
          <w:bCs/>
          <w:lang w:eastAsia="en-GB"/>
        </w:rPr>
        <w:t xml:space="preserve">the </w:t>
      </w:r>
      <w:r w:rsidR="00402AEA">
        <w:rPr>
          <w:rFonts w:ascii="Verdana" w:eastAsia="Times New Roman" w:hAnsi="Verdana" w:cs="Segoe UI"/>
          <w:b/>
          <w:bCs/>
          <w:lang w:eastAsia="en-GB"/>
        </w:rPr>
        <w:t>nature</w:t>
      </w:r>
      <w:r w:rsidR="00402AEA" w:rsidRPr="00C75F52">
        <w:rPr>
          <w:rFonts w:ascii="Verdana" w:eastAsia="Times New Roman" w:hAnsi="Verdana" w:cs="Segoe UI"/>
          <w:b/>
          <w:bCs/>
          <w:lang w:eastAsia="en-GB"/>
        </w:rPr>
        <w:t xml:space="preserve"> </w:t>
      </w:r>
      <w:r w:rsidRPr="00C75F52">
        <w:rPr>
          <w:rFonts w:ascii="Verdana" w:eastAsia="Times New Roman" w:hAnsi="Verdana" w:cs="Segoe UI"/>
          <w:b/>
          <w:bCs/>
          <w:lang w:eastAsia="en-GB"/>
        </w:rPr>
        <w:t>and extent of racial discrimination within the criminal justice system, establish effective anti</w:t>
      </w:r>
      <w:r w:rsidRPr="00C75F52">
        <w:rPr>
          <w:rFonts w:ascii="Verdana" w:eastAsia="Times New Roman" w:hAnsi="Verdana" w:cs="Segoe UI"/>
          <w:b/>
          <w:bCs/>
          <w:lang w:eastAsia="en-GB"/>
        </w:rPr>
        <w:noBreakHyphen/>
        <w:t>discrimination monitoring services within the administration of justice.</w:t>
      </w:r>
    </w:p>
    <w:p w14:paraId="73BD3ADC" w14:textId="77777777" w:rsidR="00035D22" w:rsidRDefault="00035D22" w:rsidP="00A47D5E">
      <w:pPr>
        <w:pStyle w:val="ListParagraph"/>
        <w:rPr>
          <w:rFonts w:eastAsia="Times New Roman" w:cs="Segoe UI"/>
          <w:b/>
          <w:lang w:eastAsia="en-GB"/>
        </w:rPr>
      </w:pPr>
    </w:p>
    <w:p w14:paraId="0B32D810" w14:textId="2FABAAD7" w:rsidR="00976900" w:rsidRPr="00A610C3" w:rsidRDefault="00F4186B" w:rsidP="00A47D5E">
      <w:pPr>
        <w:pStyle w:val="BasicParagraph"/>
        <w:numPr>
          <w:ilvl w:val="1"/>
          <w:numId w:val="21"/>
        </w:numPr>
        <w:suppressAutoHyphens/>
        <w:ind w:left="709"/>
        <w:rPr>
          <w:rFonts w:ascii="Verdana" w:hAnsi="Verdana"/>
          <w:b/>
          <w:bCs/>
        </w:rPr>
      </w:pPr>
      <w:r w:rsidRPr="00744385">
        <w:rPr>
          <w:rFonts w:ascii="Verdana" w:eastAsia="Times New Roman" w:hAnsi="Verdana" w:cs="Segoe UI"/>
          <w:b/>
          <w:bCs/>
          <w:lang w:eastAsia="en-GB"/>
        </w:rPr>
        <w:t>The NIHRC recommends that the Executive</w:t>
      </w:r>
      <w:r w:rsidR="00A610C3">
        <w:rPr>
          <w:rFonts w:ascii="Verdana" w:eastAsia="Times New Roman" w:hAnsi="Verdana" w:cs="Segoe UI"/>
          <w:b/>
          <w:bCs/>
          <w:lang w:eastAsia="en-GB"/>
        </w:rPr>
        <w:t xml:space="preserve"> Office </w:t>
      </w:r>
      <w:r w:rsidR="00BB24B7" w:rsidRPr="00744385">
        <w:rPr>
          <w:rFonts w:ascii="Verdana" w:eastAsia="Times New Roman" w:hAnsi="Verdana" w:cs="Segoe UI"/>
          <w:b/>
          <w:bCs/>
          <w:lang w:eastAsia="en-GB"/>
        </w:rPr>
        <w:t>strengthens</w:t>
      </w:r>
      <w:r w:rsidRPr="00744385">
        <w:rPr>
          <w:rFonts w:ascii="Verdana" w:eastAsia="Times New Roman" w:hAnsi="Verdana" w:cs="Segoe UI"/>
          <w:b/>
          <w:bCs/>
          <w:lang w:eastAsia="en-GB"/>
        </w:rPr>
        <w:t xml:space="preserve"> the Framework by including training programmes aimed at eliminating racial or xenophobic prejudice among judges, other judicial </w:t>
      </w:r>
      <w:r w:rsidRPr="00744385">
        <w:rPr>
          <w:rFonts w:ascii="Verdana" w:eastAsia="Times New Roman" w:hAnsi="Verdana" w:cs="Segoe UI"/>
          <w:b/>
          <w:bCs/>
          <w:lang w:eastAsia="en-GB"/>
        </w:rPr>
        <w:lastRenderedPageBreak/>
        <w:t>personnel and jury members</w:t>
      </w:r>
      <w:r w:rsidR="0061700E">
        <w:rPr>
          <w:rFonts w:ascii="Verdana" w:eastAsia="Times New Roman" w:hAnsi="Verdana" w:cs="Segoe UI"/>
          <w:b/>
          <w:bCs/>
          <w:lang w:eastAsia="en-GB"/>
        </w:rPr>
        <w:t xml:space="preserve">, </w:t>
      </w:r>
      <w:r w:rsidR="0061700E" w:rsidRPr="003F5533">
        <w:rPr>
          <w:rFonts w:ascii="Verdana" w:eastAsia="Times New Roman" w:hAnsi="Verdana" w:cs="Segoe UI"/>
          <w:b/>
          <w:bCs/>
          <w:lang w:eastAsia="en-GB"/>
        </w:rPr>
        <w:t xml:space="preserve">as well as </w:t>
      </w:r>
      <w:r w:rsidR="0061700E" w:rsidRPr="00B820C5">
        <w:rPr>
          <w:rFonts w:ascii="Verdana" w:eastAsia="Times New Roman" w:hAnsi="Verdana" w:cs="Segoe UI"/>
          <w:b/>
          <w:bCs/>
          <w:lang w:eastAsia="en-GB"/>
        </w:rPr>
        <w:t>specialised training on victims’ needs for officials likely to come into contact with victims</w:t>
      </w:r>
      <w:r w:rsidR="003F5533" w:rsidRPr="00B820C5">
        <w:rPr>
          <w:rFonts w:ascii="Verdana" w:eastAsia="Times New Roman" w:hAnsi="Verdana" w:cs="Segoe UI"/>
          <w:b/>
          <w:bCs/>
          <w:lang w:eastAsia="en-GB"/>
        </w:rPr>
        <w:t>.</w:t>
      </w:r>
    </w:p>
    <w:p w14:paraId="7673C019" w14:textId="77777777" w:rsidR="00A610C3" w:rsidRDefault="00A610C3" w:rsidP="00A47D5E">
      <w:pPr>
        <w:rPr>
          <w:b/>
        </w:rPr>
      </w:pPr>
    </w:p>
    <w:p w14:paraId="4C80C731" w14:textId="77777777" w:rsidR="001E0605" w:rsidRPr="001B6118" w:rsidRDefault="007A0AE4" w:rsidP="00A47D5E">
      <w:pPr>
        <w:pStyle w:val="Heading2"/>
      </w:pPr>
      <w:bookmarkStart w:id="17" w:name="_Toc230705746"/>
      <w:r>
        <w:t>A</w:t>
      </w:r>
      <w:r w:rsidR="001E0605" w:rsidRPr="001B6118">
        <w:t xml:space="preserve">wareness raising </w:t>
      </w:r>
      <w:r>
        <w:t>initiatives</w:t>
      </w:r>
      <w:bookmarkEnd w:id="17"/>
    </w:p>
    <w:p w14:paraId="7C405EC6" w14:textId="77777777" w:rsidR="00A610C3" w:rsidRPr="00A47D5E" w:rsidRDefault="00A610C3" w:rsidP="00A610C3">
      <w:pPr>
        <w:rPr>
          <w:b/>
        </w:rPr>
      </w:pPr>
    </w:p>
    <w:p w14:paraId="22CF8CD6" w14:textId="77777777" w:rsidR="000071E0" w:rsidRDefault="00950AA4" w:rsidP="00A47D5E">
      <w:pPr>
        <w:pStyle w:val="BasicParagraph"/>
        <w:numPr>
          <w:ilvl w:val="1"/>
          <w:numId w:val="21"/>
        </w:numPr>
        <w:suppressAutoHyphens/>
        <w:ind w:left="709"/>
        <w:rPr>
          <w:rFonts w:ascii="Verdana" w:hAnsi="Verdana"/>
          <w:b/>
        </w:rPr>
      </w:pPr>
      <w:r>
        <w:rPr>
          <w:rFonts w:ascii="Verdana" w:hAnsi="Verdana"/>
        </w:rPr>
        <w:t xml:space="preserve">The fourth </w:t>
      </w:r>
      <w:r w:rsidR="00A30ECC">
        <w:rPr>
          <w:rFonts w:ascii="Verdana" w:hAnsi="Verdana"/>
        </w:rPr>
        <w:t>i</w:t>
      </w:r>
      <w:r w:rsidR="00C03943" w:rsidRPr="009C5718">
        <w:rPr>
          <w:rFonts w:ascii="Verdana" w:hAnsi="Verdana"/>
        </w:rPr>
        <w:t xml:space="preserve">ntervention </w:t>
      </w:r>
      <w:r w:rsidR="00100408">
        <w:rPr>
          <w:rFonts w:ascii="Verdana" w:hAnsi="Verdana"/>
        </w:rPr>
        <w:t xml:space="preserve">under </w:t>
      </w:r>
      <w:r w:rsidR="00100408" w:rsidRPr="00A33A9A">
        <w:rPr>
          <w:rFonts w:ascii="Verdana" w:hAnsi="Verdana"/>
        </w:rPr>
        <w:t xml:space="preserve">Outcome </w:t>
      </w:r>
      <w:r w:rsidR="00A15C3E" w:rsidRPr="00A33A9A">
        <w:rPr>
          <w:rFonts w:ascii="Verdana" w:hAnsi="Verdana"/>
        </w:rPr>
        <w:t>2</w:t>
      </w:r>
      <w:r w:rsidR="00A15C3E">
        <w:rPr>
          <w:rFonts w:ascii="Verdana" w:hAnsi="Verdana"/>
        </w:rPr>
        <w:t xml:space="preserve">, </w:t>
      </w:r>
      <w:r w:rsidR="009E21F2">
        <w:rPr>
          <w:rFonts w:ascii="Verdana" w:hAnsi="Verdana"/>
        </w:rPr>
        <w:t xml:space="preserve">which seeks </w:t>
      </w:r>
      <w:r w:rsidR="00A15C3E">
        <w:rPr>
          <w:rFonts w:ascii="Verdana" w:hAnsi="Verdana"/>
        </w:rPr>
        <w:t>to</w:t>
      </w:r>
      <w:r w:rsidR="006B3ED6">
        <w:rPr>
          <w:rFonts w:ascii="Verdana" w:hAnsi="Verdana"/>
        </w:rPr>
        <w:t xml:space="preserve"> </w:t>
      </w:r>
      <w:r w:rsidR="009A5E9D">
        <w:rPr>
          <w:rFonts w:ascii="Verdana" w:hAnsi="Verdana"/>
        </w:rPr>
        <w:t>“</w:t>
      </w:r>
      <w:r w:rsidR="00F836BF">
        <w:rPr>
          <w:rFonts w:ascii="Verdana" w:hAnsi="Verdana"/>
        </w:rPr>
        <w:t>p</w:t>
      </w:r>
      <w:r w:rsidR="00F836BF" w:rsidRPr="00F836BF">
        <w:rPr>
          <w:rFonts w:ascii="Verdana" w:hAnsi="Verdana"/>
        </w:rPr>
        <w:t>romote shared cultural awareness and understanding through education and awareness initiatives</w:t>
      </w:r>
      <w:r w:rsidR="00B2094E">
        <w:rPr>
          <w:rFonts w:ascii="Verdana" w:hAnsi="Verdana"/>
        </w:rPr>
        <w:t>,</w:t>
      </w:r>
      <w:r w:rsidR="00F836BF" w:rsidRPr="00F836BF">
        <w:rPr>
          <w:rFonts w:ascii="Verdana" w:hAnsi="Verdana"/>
        </w:rPr>
        <w:t xml:space="preserve"> includ</w:t>
      </w:r>
      <w:r w:rsidR="00B2094E">
        <w:rPr>
          <w:rFonts w:ascii="Verdana" w:hAnsi="Verdana"/>
        </w:rPr>
        <w:t>ing</w:t>
      </w:r>
      <w:r w:rsidR="00F836BF" w:rsidRPr="00F836BF">
        <w:rPr>
          <w:rFonts w:ascii="Verdana" w:hAnsi="Verdana"/>
        </w:rPr>
        <w:t xml:space="preserve"> tackling misinformation and harmful narratives where relevant</w:t>
      </w:r>
      <w:r w:rsidR="009A5E9D">
        <w:rPr>
          <w:rFonts w:ascii="Verdana" w:hAnsi="Verdana"/>
        </w:rPr>
        <w:t>”</w:t>
      </w:r>
      <w:r w:rsidR="00720707">
        <w:rPr>
          <w:rFonts w:ascii="Verdana" w:hAnsi="Verdana"/>
        </w:rPr>
        <w:t xml:space="preserve">, </w:t>
      </w:r>
      <w:r w:rsidR="00100408">
        <w:rPr>
          <w:rFonts w:ascii="Verdana" w:hAnsi="Verdana"/>
        </w:rPr>
        <w:t>whil</w:t>
      </w:r>
      <w:r w:rsidR="006A60DA">
        <w:rPr>
          <w:rFonts w:ascii="Verdana" w:hAnsi="Verdana"/>
        </w:rPr>
        <w:t>e</w:t>
      </w:r>
      <w:r w:rsidR="00100408">
        <w:rPr>
          <w:rFonts w:ascii="Verdana" w:hAnsi="Verdana"/>
        </w:rPr>
        <w:t xml:space="preserve"> important</w:t>
      </w:r>
      <w:r w:rsidR="0037439E">
        <w:rPr>
          <w:rFonts w:ascii="Verdana" w:hAnsi="Verdana"/>
        </w:rPr>
        <w:t xml:space="preserve"> </w:t>
      </w:r>
      <w:r w:rsidR="005F0051">
        <w:rPr>
          <w:rFonts w:ascii="Verdana" w:hAnsi="Verdana"/>
        </w:rPr>
        <w:t>focu</w:t>
      </w:r>
      <w:r w:rsidR="008425A3">
        <w:rPr>
          <w:rFonts w:ascii="Verdana" w:hAnsi="Verdana"/>
        </w:rPr>
        <w:t>ses</w:t>
      </w:r>
      <w:r w:rsidR="005F0051">
        <w:rPr>
          <w:rFonts w:ascii="Verdana" w:hAnsi="Verdana"/>
        </w:rPr>
        <w:t xml:space="preserve"> heavily</w:t>
      </w:r>
      <w:r w:rsidR="00D27F3A">
        <w:rPr>
          <w:rFonts w:ascii="Verdana" w:hAnsi="Verdana"/>
        </w:rPr>
        <w:t xml:space="preserve"> on</w:t>
      </w:r>
      <w:r w:rsidR="001479F0">
        <w:rPr>
          <w:rFonts w:ascii="Verdana" w:hAnsi="Verdana"/>
        </w:rPr>
        <w:t xml:space="preserve"> </w:t>
      </w:r>
      <w:r w:rsidR="003910DE" w:rsidRPr="003910DE">
        <w:rPr>
          <w:rFonts w:ascii="Verdana" w:hAnsi="Verdana"/>
        </w:rPr>
        <w:t>awareness-raising and training</w:t>
      </w:r>
      <w:r w:rsidR="00AA3347" w:rsidRPr="001479F0">
        <w:rPr>
          <w:rFonts w:ascii="Verdana" w:hAnsi="Verdana"/>
        </w:rPr>
        <w:t xml:space="preserve"> rather than setting out</w:t>
      </w:r>
      <w:r w:rsidR="003910DE" w:rsidRPr="003910DE">
        <w:rPr>
          <w:rFonts w:ascii="Verdana" w:hAnsi="Verdana"/>
        </w:rPr>
        <w:t xml:space="preserve"> practical</w:t>
      </w:r>
      <w:r w:rsidR="005F3BA5">
        <w:rPr>
          <w:rFonts w:ascii="Verdana" w:hAnsi="Verdana"/>
        </w:rPr>
        <w:t xml:space="preserve"> actions</w:t>
      </w:r>
      <w:r w:rsidR="00891BF3">
        <w:rPr>
          <w:rFonts w:ascii="Verdana" w:hAnsi="Verdana"/>
        </w:rPr>
        <w:t xml:space="preserve">, </w:t>
      </w:r>
      <w:r w:rsidR="009547B9">
        <w:rPr>
          <w:rFonts w:ascii="Verdana" w:hAnsi="Verdana"/>
        </w:rPr>
        <w:t>performance indicators</w:t>
      </w:r>
      <w:r w:rsidR="00891BF3">
        <w:rPr>
          <w:rFonts w:ascii="Verdana" w:hAnsi="Verdana"/>
        </w:rPr>
        <w:t xml:space="preserve"> and the targeted groups of such training.</w:t>
      </w:r>
      <w:r w:rsidR="003910DE" w:rsidRPr="003910DE">
        <w:rPr>
          <w:rFonts w:ascii="Verdana" w:hAnsi="Verdana"/>
        </w:rPr>
        <w:t xml:space="preserve"> This</w:t>
      </w:r>
      <w:r w:rsidR="009547B9">
        <w:rPr>
          <w:rFonts w:ascii="Verdana" w:hAnsi="Verdana"/>
        </w:rPr>
        <w:t xml:space="preserve"> is inconsistent with </w:t>
      </w:r>
      <w:r w:rsidR="00A94D92">
        <w:rPr>
          <w:rFonts w:ascii="Verdana" w:hAnsi="Verdana"/>
        </w:rPr>
        <w:t>the UN</w:t>
      </w:r>
      <w:r w:rsidR="009547B9">
        <w:rPr>
          <w:rFonts w:ascii="Verdana" w:hAnsi="Verdana"/>
        </w:rPr>
        <w:t xml:space="preserve"> </w:t>
      </w:r>
      <w:r w:rsidR="003910DE" w:rsidRPr="003910DE">
        <w:rPr>
          <w:rFonts w:ascii="Verdana" w:hAnsi="Verdana"/>
        </w:rPr>
        <w:t xml:space="preserve">OHCHR </w:t>
      </w:r>
      <w:r w:rsidR="00FA4B1C">
        <w:rPr>
          <w:rFonts w:ascii="Verdana" w:hAnsi="Verdana"/>
        </w:rPr>
        <w:t>guidance</w:t>
      </w:r>
      <w:r w:rsidR="00F35AD5">
        <w:rPr>
          <w:rFonts w:ascii="Verdana" w:hAnsi="Verdana"/>
        </w:rPr>
        <w:t xml:space="preserve">, which </w:t>
      </w:r>
      <w:r w:rsidR="00425DC7">
        <w:rPr>
          <w:rFonts w:ascii="Verdana" w:hAnsi="Verdana"/>
        </w:rPr>
        <w:t>emphasises</w:t>
      </w:r>
      <w:r w:rsidR="003910DE" w:rsidRPr="003910DE">
        <w:rPr>
          <w:rFonts w:ascii="Verdana" w:hAnsi="Verdana"/>
        </w:rPr>
        <w:t xml:space="preserve"> that national action plans should be grounded in </w:t>
      </w:r>
      <w:r w:rsidR="00A76ACE">
        <w:rPr>
          <w:rFonts w:ascii="Verdana" w:hAnsi="Verdana"/>
        </w:rPr>
        <w:t xml:space="preserve">precise, </w:t>
      </w:r>
      <w:r w:rsidR="00351B56" w:rsidRPr="003910DE">
        <w:rPr>
          <w:rFonts w:ascii="Verdana" w:hAnsi="Verdana"/>
        </w:rPr>
        <w:t>concrete,</w:t>
      </w:r>
      <w:r w:rsidR="00325FFF">
        <w:rPr>
          <w:rFonts w:ascii="Verdana" w:hAnsi="Verdana"/>
        </w:rPr>
        <w:t xml:space="preserve"> </w:t>
      </w:r>
      <w:r w:rsidR="00882746">
        <w:rPr>
          <w:rFonts w:ascii="Verdana" w:hAnsi="Verdana"/>
        </w:rPr>
        <w:t>achievable</w:t>
      </w:r>
      <w:r w:rsidR="00325FFF">
        <w:rPr>
          <w:rFonts w:ascii="Verdana" w:hAnsi="Verdana"/>
        </w:rPr>
        <w:t xml:space="preserve"> </w:t>
      </w:r>
      <w:r w:rsidR="003910DE" w:rsidRPr="003910DE">
        <w:rPr>
          <w:rFonts w:ascii="Verdana" w:hAnsi="Verdana"/>
        </w:rPr>
        <w:t>measures rather than general commitments.</w:t>
      </w:r>
    </w:p>
    <w:p w14:paraId="2759FFCE" w14:textId="77777777" w:rsidR="00F67309" w:rsidRDefault="00F67309" w:rsidP="00A47D5E">
      <w:pPr>
        <w:pStyle w:val="BasicParagraph"/>
        <w:suppressAutoHyphens/>
        <w:ind w:left="709"/>
        <w:rPr>
          <w:rFonts w:ascii="Verdana" w:hAnsi="Verdana"/>
          <w:b/>
        </w:rPr>
      </w:pPr>
    </w:p>
    <w:p w14:paraId="67308212" w14:textId="5AE4729F" w:rsidR="00BF3066" w:rsidRDefault="000071E0" w:rsidP="00A47D5E">
      <w:pPr>
        <w:pStyle w:val="BasicParagraph"/>
        <w:numPr>
          <w:ilvl w:val="1"/>
          <w:numId w:val="21"/>
        </w:numPr>
        <w:suppressAutoHyphens/>
        <w:ind w:left="709"/>
        <w:rPr>
          <w:rFonts w:ascii="Verdana" w:hAnsi="Verdana"/>
          <w:b/>
          <w:bCs/>
        </w:rPr>
      </w:pPr>
      <w:r w:rsidRPr="002A7328">
        <w:rPr>
          <w:rFonts w:ascii="Verdana" w:hAnsi="Verdana"/>
          <w:b/>
          <w:bCs/>
        </w:rPr>
        <w:t>The NIHR</w:t>
      </w:r>
      <w:r w:rsidR="000959EA">
        <w:rPr>
          <w:rFonts w:ascii="Verdana" w:hAnsi="Verdana"/>
          <w:b/>
          <w:bCs/>
        </w:rPr>
        <w:t>C</w:t>
      </w:r>
      <w:r w:rsidRPr="002A7328">
        <w:rPr>
          <w:rFonts w:ascii="Verdana" w:hAnsi="Verdana"/>
          <w:b/>
          <w:bCs/>
        </w:rPr>
        <w:t xml:space="preserve"> recommends that</w:t>
      </w:r>
      <w:r w:rsidR="00325FFF">
        <w:rPr>
          <w:rFonts w:ascii="Verdana" w:hAnsi="Verdana"/>
          <w:b/>
          <w:bCs/>
        </w:rPr>
        <w:t xml:space="preserve"> </w:t>
      </w:r>
      <w:r w:rsidRPr="002A7328">
        <w:rPr>
          <w:rFonts w:ascii="Verdana" w:hAnsi="Verdana"/>
          <w:b/>
          <w:bCs/>
        </w:rPr>
        <w:t xml:space="preserve">the Executive </w:t>
      </w:r>
      <w:r w:rsidR="0081506E">
        <w:rPr>
          <w:rFonts w:ascii="Verdana" w:hAnsi="Verdana"/>
          <w:b/>
          <w:bCs/>
        </w:rPr>
        <w:t xml:space="preserve">Office </w:t>
      </w:r>
      <w:r w:rsidRPr="002A7328">
        <w:rPr>
          <w:rFonts w:ascii="Verdana" w:hAnsi="Verdana"/>
          <w:b/>
          <w:bCs/>
        </w:rPr>
        <w:t xml:space="preserve">revises the </w:t>
      </w:r>
      <w:r w:rsidR="0081506E">
        <w:rPr>
          <w:rFonts w:ascii="Verdana" w:hAnsi="Verdana"/>
          <w:b/>
          <w:bCs/>
        </w:rPr>
        <w:t>fourth</w:t>
      </w:r>
      <w:r w:rsidR="0022786B" w:rsidRPr="002A7328">
        <w:rPr>
          <w:rFonts w:ascii="Verdana" w:hAnsi="Verdana"/>
          <w:b/>
          <w:bCs/>
        </w:rPr>
        <w:t xml:space="preserve"> intervention</w:t>
      </w:r>
      <w:r w:rsidR="00325FFF">
        <w:rPr>
          <w:rFonts w:ascii="Verdana" w:hAnsi="Verdana"/>
          <w:b/>
          <w:bCs/>
        </w:rPr>
        <w:t xml:space="preserve"> under Outcome 2 </w:t>
      </w:r>
      <w:r w:rsidR="0022786B" w:rsidRPr="002A7328">
        <w:rPr>
          <w:rFonts w:ascii="Verdana" w:hAnsi="Verdana"/>
          <w:b/>
          <w:bCs/>
        </w:rPr>
        <w:t xml:space="preserve">to </w:t>
      </w:r>
      <w:r w:rsidR="00C17E81">
        <w:rPr>
          <w:rFonts w:ascii="Verdana" w:hAnsi="Verdana"/>
          <w:b/>
          <w:bCs/>
        </w:rPr>
        <w:t>include</w:t>
      </w:r>
      <w:r w:rsidR="0022786B" w:rsidRPr="002A7328">
        <w:rPr>
          <w:rFonts w:ascii="Verdana" w:hAnsi="Verdana"/>
          <w:b/>
          <w:bCs/>
        </w:rPr>
        <w:t xml:space="preserve"> </w:t>
      </w:r>
      <w:r w:rsidR="00351B56" w:rsidRPr="002A7328">
        <w:rPr>
          <w:rFonts w:ascii="Verdana" w:hAnsi="Verdana"/>
          <w:b/>
          <w:bCs/>
        </w:rPr>
        <w:t xml:space="preserve">clear </w:t>
      </w:r>
      <w:r w:rsidR="00351B56">
        <w:rPr>
          <w:rFonts w:ascii="Verdana" w:hAnsi="Verdana"/>
          <w:b/>
          <w:bCs/>
        </w:rPr>
        <w:t>practical</w:t>
      </w:r>
      <w:r w:rsidR="00254CC8">
        <w:rPr>
          <w:rFonts w:ascii="Verdana" w:hAnsi="Verdana"/>
          <w:b/>
          <w:bCs/>
        </w:rPr>
        <w:t xml:space="preserve"> steps</w:t>
      </w:r>
      <w:r w:rsidR="00351B56">
        <w:rPr>
          <w:rFonts w:ascii="Verdana" w:hAnsi="Verdana"/>
          <w:b/>
          <w:bCs/>
        </w:rPr>
        <w:t xml:space="preserve"> on how to tackle </w:t>
      </w:r>
      <w:r w:rsidR="00C615FD">
        <w:rPr>
          <w:rFonts w:ascii="Verdana" w:hAnsi="Verdana"/>
          <w:b/>
          <w:bCs/>
        </w:rPr>
        <w:t>misinformation and</w:t>
      </w:r>
      <w:r w:rsidR="00C71241">
        <w:rPr>
          <w:rFonts w:ascii="Verdana" w:hAnsi="Verdana"/>
          <w:b/>
          <w:bCs/>
        </w:rPr>
        <w:t xml:space="preserve"> suggests </w:t>
      </w:r>
      <w:r w:rsidR="00D11F1B">
        <w:rPr>
          <w:rFonts w:ascii="Verdana" w:hAnsi="Verdana"/>
          <w:b/>
          <w:bCs/>
        </w:rPr>
        <w:t>including target</w:t>
      </w:r>
      <w:r w:rsidR="0072098E">
        <w:rPr>
          <w:rFonts w:ascii="Verdana" w:hAnsi="Verdana"/>
          <w:b/>
          <w:bCs/>
        </w:rPr>
        <w:t xml:space="preserve">ed </w:t>
      </w:r>
      <w:r w:rsidR="00D11F1B">
        <w:rPr>
          <w:rFonts w:ascii="Verdana" w:hAnsi="Verdana"/>
          <w:b/>
          <w:bCs/>
        </w:rPr>
        <w:t>engagements with the media, journalists</w:t>
      </w:r>
      <w:r w:rsidR="0072098E">
        <w:rPr>
          <w:rFonts w:ascii="Verdana" w:hAnsi="Verdana"/>
          <w:b/>
          <w:bCs/>
        </w:rPr>
        <w:t xml:space="preserve"> and </w:t>
      </w:r>
      <w:r w:rsidR="0029495D">
        <w:rPr>
          <w:rFonts w:ascii="Verdana" w:hAnsi="Verdana"/>
          <w:b/>
          <w:bCs/>
        </w:rPr>
        <w:t>minority</w:t>
      </w:r>
      <w:r w:rsidR="00FE5535">
        <w:rPr>
          <w:rFonts w:ascii="Verdana" w:hAnsi="Verdana"/>
          <w:b/>
          <w:bCs/>
        </w:rPr>
        <w:t xml:space="preserve"> ethnic</w:t>
      </w:r>
      <w:r w:rsidR="0029495D">
        <w:rPr>
          <w:rFonts w:ascii="Verdana" w:hAnsi="Verdana"/>
          <w:b/>
          <w:bCs/>
        </w:rPr>
        <w:t xml:space="preserve"> </w:t>
      </w:r>
      <w:r w:rsidR="00981467">
        <w:rPr>
          <w:rFonts w:ascii="Verdana" w:hAnsi="Verdana"/>
          <w:b/>
          <w:bCs/>
        </w:rPr>
        <w:t>communities</w:t>
      </w:r>
      <w:r w:rsidR="00D11F1B">
        <w:rPr>
          <w:rFonts w:ascii="Verdana" w:hAnsi="Verdana"/>
          <w:b/>
          <w:bCs/>
        </w:rPr>
        <w:t>.</w:t>
      </w:r>
    </w:p>
    <w:p w14:paraId="4AFAEB3E" w14:textId="77777777" w:rsidR="001C78F7" w:rsidRDefault="001C78F7" w:rsidP="001C78F7">
      <w:pPr>
        <w:pStyle w:val="ListParagraph"/>
      </w:pPr>
    </w:p>
    <w:p w14:paraId="1F3C2E93" w14:textId="77777777" w:rsidR="002A408A" w:rsidRDefault="00B92C5D" w:rsidP="00A47D5E">
      <w:pPr>
        <w:pStyle w:val="BasicParagraph"/>
        <w:numPr>
          <w:ilvl w:val="1"/>
          <w:numId w:val="21"/>
        </w:numPr>
        <w:suppressAutoHyphens/>
        <w:ind w:left="709"/>
        <w:rPr>
          <w:rFonts w:ascii="Verdana" w:hAnsi="Verdana"/>
          <w:b/>
        </w:rPr>
      </w:pPr>
      <w:r w:rsidRPr="004E0AB5">
        <w:rPr>
          <w:rFonts w:ascii="Verdana" w:hAnsi="Verdana"/>
        </w:rPr>
        <w:t>The first key intervention u</w:t>
      </w:r>
      <w:r w:rsidR="001C78F7" w:rsidRPr="004E0AB5">
        <w:rPr>
          <w:rFonts w:ascii="Verdana" w:hAnsi="Verdana"/>
        </w:rPr>
        <w:t xml:space="preserve">nder outcome </w:t>
      </w:r>
      <w:r w:rsidR="004A5AF7" w:rsidRPr="004E0AB5">
        <w:rPr>
          <w:rFonts w:ascii="Verdana" w:hAnsi="Verdana"/>
        </w:rPr>
        <w:t>2</w:t>
      </w:r>
      <w:r w:rsidR="00425DC7">
        <w:rPr>
          <w:rFonts w:ascii="Verdana" w:hAnsi="Verdana"/>
        </w:rPr>
        <w:t xml:space="preserve">, is </w:t>
      </w:r>
      <w:r w:rsidR="00746B5A">
        <w:rPr>
          <w:rFonts w:ascii="Verdana" w:hAnsi="Verdana"/>
        </w:rPr>
        <w:t xml:space="preserve">to </w:t>
      </w:r>
      <w:r w:rsidR="00746B5A" w:rsidRPr="004E0AB5">
        <w:rPr>
          <w:rFonts w:ascii="Verdana" w:hAnsi="Verdana"/>
        </w:rPr>
        <w:t>“</w:t>
      </w:r>
      <w:r w:rsidRPr="004E0AB5">
        <w:rPr>
          <w:rFonts w:ascii="Verdana" w:hAnsi="Verdana"/>
        </w:rPr>
        <w:t>r</w:t>
      </w:r>
      <w:r w:rsidR="00FD36CA" w:rsidRPr="004E0AB5">
        <w:rPr>
          <w:rFonts w:ascii="Verdana" w:hAnsi="Verdana"/>
        </w:rPr>
        <w:t>eview approaches to racially motivated and aggravated crime in tandem with access to justice for victims</w:t>
      </w:r>
      <w:r w:rsidR="00F171FE" w:rsidRPr="004E0AB5">
        <w:rPr>
          <w:rFonts w:ascii="Verdana" w:hAnsi="Verdana"/>
        </w:rPr>
        <w:t>”</w:t>
      </w:r>
      <w:r w:rsidR="00EB3950" w:rsidRPr="004E0AB5">
        <w:rPr>
          <w:rFonts w:ascii="Verdana" w:hAnsi="Verdana"/>
        </w:rPr>
        <w:t>.</w:t>
      </w:r>
      <w:r w:rsidR="00C96AF3" w:rsidRPr="004E0AB5">
        <w:rPr>
          <w:rFonts w:ascii="Verdana" w:hAnsi="Verdana"/>
        </w:rPr>
        <w:t xml:space="preserve"> </w:t>
      </w:r>
      <w:r w:rsidR="00C875F6" w:rsidRPr="004E0AB5">
        <w:rPr>
          <w:rFonts w:ascii="Verdana" w:hAnsi="Verdana"/>
        </w:rPr>
        <w:t>Th</w:t>
      </w:r>
      <w:r w:rsidR="002169B9" w:rsidRPr="004E0AB5">
        <w:rPr>
          <w:rFonts w:ascii="Verdana" w:hAnsi="Verdana"/>
        </w:rPr>
        <w:t>is intervention can be strengthen</w:t>
      </w:r>
      <w:r w:rsidR="003D1529" w:rsidRPr="004E0AB5">
        <w:rPr>
          <w:rFonts w:ascii="Verdana" w:hAnsi="Verdana"/>
        </w:rPr>
        <w:t xml:space="preserve">ed by </w:t>
      </w:r>
      <w:r w:rsidR="007F4C5F" w:rsidRPr="004E0AB5">
        <w:rPr>
          <w:rFonts w:ascii="Verdana" w:hAnsi="Verdana"/>
        </w:rPr>
        <w:t xml:space="preserve">setting out in detail the </w:t>
      </w:r>
      <w:r w:rsidR="00E32F54" w:rsidRPr="004E0AB5">
        <w:rPr>
          <w:rFonts w:ascii="Verdana" w:hAnsi="Verdana"/>
        </w:rPr>
        <w:t>activities to be undertaken</w:t>
      </w:r>
      <w:r w:rsidR="005245A0" w:rsidRPr="004E0AB5">
        <w:rPr>
          <w:rFonts w:ascii="Verdana" w:hAnsi="Verdana"/>
        </w:rPr>
        <w:t xml:space="preserve">, the </w:t>
      </w:r>
      <w:r w:rsidR="00DC6E17">
        <w:rPr>
          <w:rFonts w:ascii="Verdana" w:hAnsi="Verdana"/>
        </w:rPr>
        <w:t xml:space="preserve">key </w:t>
      </w:r>
      <w:r w:rsidR="00C361FD">
        <w:rPr>
          <w:rFonts w:ascii="Verdana" w:hAnsi="Verdana"/>
        </w:rPr>
        <w:t>departments or bodies</w:t>
      </w:r>
      <w:r w:rsidR="005245A0" w:rsidRPr="004E0AB5">
        <w:rPr>
          <w:rFonts w:ascii="Verdana" w:hAnsi="Verdana"/>
        </w:rPr>
        <w:t xml:space="preserve"> </w:t>
      </w:r>
      <w:r w:rsidR="004E0AB5" w:rsidRPr="004E0AB5">
        <w:rPr>
          <w:rFonts w:ascii="Verdana" w:hAnsi="Verdana"/>
        </w:rPr>
        <w:t>responsible for implementation and the groups or stakeholders to be engaged.</w:t>
      </w:r>
      <w:r w:rsidR="00E32F54" w:rsidRPr="004E0AB5">
        <w:rPr>
          <w:rFonts w:ascii="Verdana" w:hAnsi="Verdana"/>
        </w:rPr>
        <w:t xml:space="preserve"> </w:t>
      </w:r>
    </w:p>
    <w:p w14:paraId="62D36DBB" w14:textId="77777777" w:rsidR="004E0AB5" w:rsidRDefault="004E0AB5" w:rsidP="00A47D5E">
      <w:pPr>
        <w:pStyle w:val="ListParagraph"/>
      </w:pPr>
    </w:p>
    <w:p w14:paraId="067B887D" w14:textId="58F5ABFE" w:rsidR="00DF2334" w:rsidRPr="00DF2334" w:rsidRDefault="003327FC" w:rsidP="00A47D5E">
      <w:pPr>
        <w:pStyle w:val="BasicParagraph"/>
        <w:numPr>
          <w:ilvl w:val="1"/>
          <w:numId w:val="21"/>
        </w:numPr>
        <w:suppressAutoHyphens/>
        <w:ind w:left="709"/>
        <w:rPr>
          <w:rFonts w:ascii="Verdana" w:hAnsi="Verdana"/>
          <w:b/>
          <w:bCs/>
        </w:rPr>
      </w:pPr>
      <w:r w:rsidRPr="00204836">
        <w:rPr>
          <w:rFonts w:ascii="Verdana" w:hAnsi="Verdana"/>
        </w:rPr>
        <w:t>Article 5(a) of the UN</w:t>
      </w:r>
      <w:r w:rsidR="002A408A" w:rsidRPr="00204836">
        <w:rPr>
          <w:rFonts w:ascii="Verdana" w:hAnsi="Verdana"/>
        </w:rPr>
        <w:t xml:space="preserve"> </w:t>
      </w:r>
      <w:r w:rsidRPr="00204836">
        <w:rPr>
          <w:rFonts w:ascii="Verdana" w:hAnsi="Verdana"/>
        </w:rPr>
        <w:t xml:space="preserve">CERD </w:t>
      </w:r>
      <w:r w:rsidR="00E011E2" w:rsidRPr="00204836">
        <w:rPr>
          <w:rFonts w:ascii="Verdana" w:hAnsi="Verdana"/>
        </w:rPr>
        <w:t>requires State</w:t>
      </w:r>
      <w:r w:rsidR="00402AEA">
        <w:rPr>
          <w:rFonts w:ascii="Verdana" w:hAnsi="Verdana"/>
        </w:rPr>
        <w:t>s</w:t>
      </w:r>
      <w:r w:rsidR="00E011E2" w:rsidRPr="00204836">
        <w:rPr>
          <w:rFonts w:ascii="Verdana" w:hAnsi="Verdana"/>
        </w:rPr>
        <w:t xml:space="preserve"> to guarantee</w:t>
      </w:r>
      <w:r w:rsidR="00A47D5E">
        <w:rPr>
          <w:rFonts w:ascii="Verdana" w:hAnsi="Verdana"/>
        </w:rPr>
        <w:t>:</w:t>
      </w:r>
    </w:p>
    <w:p w14:paraId="35E7EE4C" w14:textId="77777777" w:rsidR="00DF2334" w:rsidRDefault="00DF2334" w:rsidP="00DF2334">
      <w:pPr>
        <w:pStyle w:val="ListParagraph"/>
        <w:rPr>
          <w:b/>
        </w:rPr>
      </w:pPr>
    </w:p>
    <w:p w14:paraId="65F87F66" w14:textId="093C5123" w:rsidR="006D165E" w:rsidRDefault="00E011E2" w:rsidP="00731848">
      <w:pPr>
        <w:pStyle w:val="Quote"/>
      </w:pPr>
      <w:r w:rsidRPr="00204836">
        <w:t>the right of everyone, without distinction as to race, descent, colour, o</w:t>
      </w:r>
      <w:r>
        <w:t>r</w:t>
      </w:r>
      <w:r w:rsidR="00875ADC">
        <w:t xml:space="preserve"> </w:t>
      </w:r>
      <w:r w:rsidRPr="00204836">
        <w:t>national or ethnic origin, to equality before the law, notably in the enjoyment of the right to equal treatment before the tribunals and all other</w:t>
      </w:r>
      <w:r w:rsidR="005546D5">
        <w:t xml:space="preserve"> </w:t>
      </w:r>
      <w:r w:rsidRPr="00204836">
        <w:t>organs administering justice</w:t>
      </w:r>
      <w:r w:rsidR="009F419F" w:rsidRPr="0057501D">
        <w:t>.</w:t>
      </w:r>
      <w:r w:rsidRPr="0057501D">
        <w:rPr>
          <w:rStyle w:val="FootnoteReference"/>
        </w:rPr>
        <w:footnoteReference w:id="87"/>
      </w:r>
    </w:p>
    <w:p w14:paraId="616B7F7C" w14:textId="77777777" w:rsidR="006D165E" w:rsidRDefault="006D165E" w:rsidP="00A47D5E">
      <w:pPr>
        <w:rPr>
          <w:b/>
          <w:bCs/>
        </w:rPr>
      </w:pPr>
    </w:p>
    <w:p w14:paraId="15FB66AB" w14:textId="5768DAF9" w:rsidR="00054975" w:rsidRPr="00DC6E17" w:rsidRDefault="00985D6B" w:rsidP="00A47D5E">
      <w:pPr>
        <w:pStyle w:val="BasicParagraph"/>
        <w:numPr>
          <w:ilvl w:val="1"/>
          <w:numId w:val="21"/>
        </w:numPr>
        <w:suppressAutoHyphens/>
        <w:rPr>
          <w:rFonts w:ascii="Verdana" w:hAnsi="Verdana"/>
        </w:rPr>
      </w:pPr>
      <w:r w:rsidRPr="00DC6E17">
        <w:rPr>
          <w:rFonts w:ascii="Verdana" w:hAnsi="Verdana"/>
        </w:rPr>
        <w:t xml:space="preserve">Article 6 of UN CERD further </w:t>
      </w:r>
      <w:r w:rsidR="00E011E2" w:rsidRPr="00DC6E17">
        <w:rPr>
          <w:rFonts w:ascii="Verdana" w:hAnsi="Verdana"/>
        </w:rPr>
        <w:t xml:space="preserve">requires </w:t>
      </w:r>
      <w:r w:rsidRPr="00DC6E17">
        <w:rPr>
          <w:rFonts w:ascii="Verdana" w:hAnsi="Verdana"/>
        </w:rPr>
        <w:t>State</w:t>
      </w:r>
      <w:r w:rsidR="00402AEA">
        <w:rPr>
          <w:rFonts w:ascii="Verdana" w:hAnsi="Verdana"/>
        </w:rPr>
        <w:t>s</w:t>
      </w:r>
      <w:r w:rsidR="000F07C4" w:rsidRPr="00DC6E17">
        <w:rPr>
          <w:rFonts w:ascii="Verdana" w:hAnsi="Verdana"/>
        </w:rPr>
        <w:t xml:space="preserve"> </w:t>
      </w:r>
      <w:r w:rsidR="00E011E2" w:rsidRPr="00DC6E17">
        <w:rPr>
          <w:rFonts w:ascii="Verdana" w:hAnsi="Verdana"/>
        </w:rPr>
        <w:t>to</w:t>
      </w:r>
      <w:r w:rsidR="00DC6E17">
        <w:rPr>
          <w:rFonts w:ascii="Verdana" w:hAnsi="Verdana"/>
        </w:rPr>
        <w:t>:</w:t>
      </w:r>
    </w:p>
    <w:p w14:paraId="7E831F33" w14:textId="77777777" w:rsidR="00054975" w:rsidRDefault="00054975" w:rsidP="008C069F">
      <w:pPr>
        <w:pStyle w:val="BasicParagraph"/>
        <w:suppressAutoHyphens/>
        <w:ind w:left="720"/>
        <w:rPr>
          <w:rFonts w:ascii="Verdana" w:hAnsi="Verdana"/>
        </w:rPr>
      </w:pPr>
    </w:p>
    <w:p w14:paraId="04D7F9E5" w14:textId="012B90C1" w:rsidR="00E42E6E" w:rsidRDefault="00E011E2" w:rsidP="00A47D5E">
      <w:pPr>
        <w:pStyle w:val="Quote"/>
      </w:pPr>
      <w:r w:rsidRPr="00DC6E17">
        <w:t>assure to everyone within their jurisdiction effective protection and</w:t>
      </w:r>
      <w:r w:rsidR="00DC6E17">
        <w:t xml:space="preserve"> </w:t>
      </w:r>
      <w:r w:rsidRPr="00DC6E17">
        <w:lastRenderedPageBreak/>
        <w:t>remedies, through the competent national tribunals and other State</w:t>
      </w:r>
      <w:r>
        <w:t xml:space="preserve"> </w:t>
      </w:r>
      <w:r w:rsidRPr="00DC6E17">
        <w:t>institutions, against any acts</w:t>
      </w:r>
      <w:r w:rsidR="007A5171" w:rsidRPr="00DC6E17">
        <w:t xml:space="preserve"> of racial discrimination, as well as the right to seek from such tribunals just and adequate reparation or satisfaction</w:t>
      </w:r>
      <w:r w:rsidR="007A5171">
        <w:t xml:space="preserve"> </w:t>
      </w:r>
      <w:r w:rsidR="007A5171" w:rsidRPr="00DC6E17">
        <w:t>for any damage suffered as a result of such discrimination</w:t>
      </w:r>
      <w:r w:rsidR="00DC6E17" w:rsidRPr="00DC6E17">
        <w:t>.</w:t>
      </w:r>
      <w:r w:rsidR="007A5171" w:rsidRPr="00DC6E17">
        <w:rPr>
          <w:rStyle w:val="FootnoteReference"/>
        </w:rPr>
        <w:footnoteReference w:id="88"/>
      </w:r>
    </w:p>
    <w:p w14:paraId="70249C1E" w14:textId="77777777" w:rsidR="00E42E6E" w:rsidRPr="00DC6E17" w:rsidRDefault="00E42E6E" w:rsidP="00A47D5E">
      <w:pPr>
        <w:pStyle w:val="BasicParagraph"/>
        <w:suppressAutoHyphens/>
        <w:ind w:left="720"/>
        <w:rPr>
          <w:rFonts w:ascii="Verdana" w:hAnsi="Verdana"/>
        </w:rPr>
      </w:pPr>
    </w:p>
    <w:p w14:paraId="4946A2FF" w14:textId="05BC32E8" w:rsidR="00E7402D" w:rsidRDefault="00356EE5" w:rsidP="00A47D5E">
      <w:pPr>
        <w:pStyle w:val="BasicParagraph"/>
        <w:numPr>
          <w:ilvl w:val="1"/>
          <w:numId w:val="21"/>
        </w:numPr>
        <w:suppressAutoHyphens/>
        <w:ind w:left="709"/>
        <w:rPr>
          <w:rFonts w:ascii="Verdana" w:hAnsi="Verdana"/>
          <w:b/>
        </w:rPr>
      </w:pPr>
      <w:r w:rsidRPr="00F72C9C">
        <w:rPr>
          <w:rFonts w:ascii="Verdana" w:hAnsi="Verdana"/>
          <w:b/>
          <w:bCs/>
        </w:rPr>
        <w:t>The NIHRC recommends that the Executive Office strengthens the first key intervention under Outcome 2 by specifying concrete activities to be undertaken in reviewing approaches to racially motivated and aggravated crime and access to justice for victims, clearly identifying the responsible departments, and engaging key stakeholders, including the Department of Justice, judges, prosecutors, law</w:t>
      </w:r>
      <w:r w:rsidRPr="00F72C9C">
        <w:rPr>
          <w:rFonts w:ascii="Cambria Math" w:hAnsi="Cambria Math" w:cs="Cambria Math"/>
          <w:b/>
          <w:bCs/>
        </w:rPr>
        <w:t>‑</w:t>
      </w:r>
      <w:r w:rsidRPr="00F72C9C">
        <w:rPr>
          <w:rFonts w:ascii="Verdana" w:hAnsi="Verdana"/>
          <w:b/>
          <w:bCs/>
        </w:rPr>
        <w:t xml:space="preserve">enforcement </w:t>
      </w:r>
      <w:r w:rsidR="00E7402D" w:rsidRPr="00F72C9C">
        <w:rPr>
          <w:rFonts w:ascii="Verdana" w:hAnsi="Verdana"/>
          <w:b/>
          <w:bCs/>
        </w:rPr>
        <w:t>officials</w:t>
      </w:r>
      <w:r w:rsidRPr="00F72C9C">
        <w:rPr>
          <w:rFonts w:ascii="Verdana" w:hAnsi="Verdana"/>
          <w:b/>
          <w:bCs/>
        </w:rPr>
        <w:t>, and other relevant court and victim</w:t>
      </w:r>
      <w:r w:rsidRPr="00F72C9C">
        <w:rPr>
          <w:rFonts w:ascii="Cambria Math" w:hAnsi="Cambria Math" w:cs="Cambria Math"/>
          <w:b/>
          <w:bCs/>
        </w:rPr>
        <w:t>‑</w:t>
      </w:r>
      <w:r w:rsidRPr="00F72C9C">
        <w:rPr>
          <w:rFonts w:ascii="Verdana" w:hAnsi="Verdana"/>
          <w:b/>
          <w:bCs/>
        </w:rPr>
        <w:t>support services</w:t>
      </w:r>
      <w:r w:rsidRPr="00A47D5E">
        <w:rPr>
          <w:rFonts w:ascii="Verdana" w:hAnsi="Verdana"/>
          <w:b/>
        </w:rPr>
        <w:t>.</w:t>
      </w:r>
    </w:p>
    <w:p w14:paraId="5C9B7289" w14:textId="77777777" w:rsidR="00A47D5E" w:rsidRPr="00A47D5E" w:rsidRDefault="00A47D5E" w:rsidP="00A47D5E">
      <w:pPr>
        <w:pStyle w:val="BasicParagraph"/>
        <w:suppressAutoHyphens/>
        <w:ind w:left="-11"/>
        <w:rPr>
          <w:rFonts w:ascii="Verdana" w:hAnsi="Verdana"/>
          <w:b/>
          <w:bCs/>
        </w:rPr>
      </w:pPr>
    </w:p>
    <w:p w14:paraId="075FDE5A" w14:textId="4442E9E2" w:rsidR="003910DE" w:rsidRPr="0099410C" w:rsidRDefault="00D8741F" w:rsidP="00B75E30">
      <w:pPr>
        <w:pStyle w:val="Heading1"/>
        <w:numPr>
          <w:ilvl w:val="0"/>
          <w:numId w:val="0"/>
        </w:numPr>
        <w:ind w:left="720" w:hanging="720"/>
      </w:pPr>
      <w:bookmarkStart w:id="18" w:name="_Toc229060707"/>
      <w:bookmarkStart w:id="19" w:name="_Toc230705747"/>
      <w:r>
        <w:t>6.0 Outcome</w:t>
      </w:r>
      <w:r w:rsidR="003910DE" w:rsidRPr="0099410C">
        <w:t xml:space="preserve"> 3: Equality of Service Provision</w:t>
      </w:r>
      <w:bookmarkEnd w:id="18"/>
      <w:bookmarkEnd w:id="19"/>
    </w:p>
    <w:p w14:paraId="03E1D6B3" w14:textId="77777777" w:rsidR="00E64E7A" w:rsidRDefault="00E64E7A" w:rsidP="00C214BA">
      <w:pPr>
        <w:pStyle w:val="BasicParagraph"/>
        <w:suppressAutoHyphens/>
        <w:rPr>
          <w:rFonts w:ascii="Verdana" w:hAnsi="Verdana"/>
          <w:b/>
          <w:bCs/>
        </w:rPr>
      </w:pPr>
      <w:r w:rsidRPr="00E64E7A">
        <w:rPr>
          <w:rFonts w:ascii="Verdana" w:hAnsi="Verdana"/>
          <w:b/>
          <w:bCs/>
        </w:rPr>
        <w:t>To ensure that people from a minority ethnic background access and benefit equally from all public services</w:t>
      </w:r>
    </w:p>
    <w:p w14:paraId="619AB6B3" w14:textId="77777777" w:rsidR="00E64E7A" w:rsidRPr="00B75E30" w:rsidRDefault="00E64E7A" w:rsidP="00B75E30">
      <w:pPr>
        <w:pStyle w:val="BasicParagraph"/>
        <w:suppressAutoHyphens/>
        <w:ind w:left="709"/>
        <w:rPr>
          <w:rFonts w:ascii="Verdana" w:hAnsi="Verdana"/>
        </w:rPr>
      </w:pPr>
    </w:p>
    <w:p w14:paraId="4E597FB2" w14:textId="77777777" w:rsidR="00B5370A" w:rsidRPr="00A47D5E" w:rsidRDefault="00B5370A" w:rsidP="00A47D5E">
      <w:pPr>
        <w:pStyle w:val="ListParagraph"/>
        <w:widowControl w:val="0"/>
        <w:numPr>
          <w:ilvl w:val="0"/>
          <w:numId w:val="25"/>
        </w:numPr>
        <w:suppressAutoHyphens/>
        <w:autoSpaceDE w:val="0"/>
        <w:autoSpaceDN w:val="0"/>
        <w:adjustRightInd w:val="0"/>
        <w:contextualSpacing w:val="0"/>
        <w:textAlignment w:val="center"/>
        <w:rPr>
          <w:rFonts w:cs="MinionPro-Regular"/>
          <w:vanish/>
          <w:color w:val="000000"/>
        </w:rPr>
      </w:pPr>
    </w:p>
    <w:p w14:paraId="3186A795" w14:textId="77777777" w:rsidR="00A47D5E" w:rsidRPr="00A47D5E" w:rsidRDefault="00A47D5E" w:rsidP="00A47D5E">
      <w:pPr>
        <w:pStyle w:val="ListParagraph"/>
        <w:widowControl w:val="0"/>
        <w:numPr>
          <w:ilvl w:val="0"/>
          <w:numId w:val="25"/>
        </w:numPr>
        <w:suppressAutoHyphens/>
        <w:autoSpaceDE w:val="0"/>
        <w:autoSpaceDN w:val="0"/>
        <w:adjustRightInd w:val="0"/>
        <w:contextualSpacing w:val="0"/>
        <w:textAlignment w:val="center"/>
        <w:rPr>
          <w:rFonts w:cs="MinionPro-Regular"/>
          <w:vanish/>
          <w:color w:val="000000"/>
        </w:rPr>
      </w:pPr>
    </w:p>
    <w:p w14:paraId="6181BF37" w14:textId="77777777" w:rsidR="00A47D5E" w:rsidRPr="00A47D5E" w:rsidRDefault="00B75E30" w:rsidP="00B75E30">
      <w:pPr>
        <w:pStyle w:val="BasicParagraph"/>
        <w:numPr>
          <w:ilvl w:val="1"/>
          <w:numId w:val="25"/>
        </w:numPr>
        <w:suppressAutoHyphens/>
        <w:ind w:left="709"/>
        <w:rPr>
          <w:rFonts w:ascii="Verdana" w:hAnsi="Verdana"/>
        </w:rPr>
      </w:pPr>
      <w:r w:rsidRPr="00A47D5E">
        <w:rPr>
          <w:rFonts w:ascii="Verdana" w:hAnsi="Verdana"/>
        </w:rPr>
        <w:t>The EU Racial Equality Directive continues to set minimum standards in NI and prohibits direct or indirect discrimination based on racial or ethnic origin in access to public services, including social protection, healthcare, education, and access to goods and services including housing.</w:t>
      </w:r>
      <w:r w:rsidRPr="00A47D5E">
        <w:rPr>
          <w:rStyle w:val="FootnoteReference"/>
          <w:rFonts w:ascii="Verdana" w:hAnsi="Verdana"/>
        </w:rPr>
        <w:footnoteReference w:id="89"/>
      </w:r>
      <w:r w:rsidRPr="00A47D5E">
        <w:rPr>
          <w:rFonts w:ascii="Verdana" w:hAnsi="Verdana"/>
        </w:rPr>
        <w:t xml:space="preserve"> As previously referenced, the EU is currently considering revisions to strengthen the EU Racial Equality Directive and, under Windsor Framework Articles 2 and 13, NI race equality law will be obliged to keep pace with any enhancements of rights within the Directive. This is likely to require amendments to NI race equality within the lifespan on the Draft Framework and should be reflected within it. It would be useful to include in the Draft Framework a fuller picture of the legislative framework.</w:t>
      </w:r>
    </w:p>
    <w:p w14:paraId="2417DA04" w14:textId="77777777" w:rsidR="00A47D5E" w:rsidRPr="00A47D5E" w:rsidRDefault="00A47D5E" w:rsidP="00A47D5E">
      <w:pPr>
        <w:pStyle w:val="BasicParagraph"/>
        <w:suppressAutoHyphens/>
        <w:ind w:left="1145"/>
        <w:rPr>
          <w:rFonts w:ascii="Verdana" w:hAnsi="Verdana"/>
        </w:rPr>
      </w:pPr>
    </w:p>
    <w:p w14:paraId="40972207" w14:textId="12515D85" w:rsidR="00A47D5E" w:rsidRPr="00A47D5E" w:rsidRDefault="00B75E30" w:rsidP="00B75E30">
      <w:pPr>
        <w:pStyle w:val="BasicParagraph"/>
        <w:numPr>
          <w:ilvl w:val="1"/>
          <w:numId w:val="25"/>
        </w:numPr>
        <w:suppressAutoHyphens/>
        <w:ind w:left="709"/>
        <w:rPr>
          <w:rFonts w:ascii="Verdana" w:hAnsi="Verdana"/>
        </w:rPr>
      </w:pPr>
      <w:r w:rsidRPr="00A47D5E">
        <w:rPr>
          <w:rFonts w:ascii="Verdana" w:hAnsi="Verdana"/>
        </w:rPr>
        <w:t xml:space="preserve">In addition, as outlined above, the EU has introduced a </w:t>
      </w:r>
      <w:r w:rsidR="003E0624">
        <w:rPr>
          <w:rFonts w:ascii="Verdana" w:hAnsi="Verdana"/>
        </w:rPr>
        <w:t>D</w:t>
      </w:r>
      <w:r w:rsidRPr="00A47D5E">
        <w:rPr>
          <w:rFonts w:ascii="Verdana" w:hAnsi="Verdana"/>
        </w:rPr>
        <w:t xml:space="preserve">irective on standards for equality bodies to bolster how such bodies support those </w:t>
      </w:r>
      <w:r w:rsidRPr="00A47D5E">
        <w:rPr>
          <w:rFonts w:ascii="Verdana" w:hAnsi="Verdana"/>
        </w:rPr>
        <w:lastRenderedPageBreak/>
        <w:t>seeking assistance</w:t>
      </w:r>
      <w:r w:rsidR="003E0624">
        <w:rPr>
          <w:rFonts w:ascii="Verdana" w:hAnsi="Verdana"/>
        </w:rPr>
        <w:t>.</w:t>
      </w:r>
      <w:r w:rsidRPr="00A47D5E">
        <w:rPr>
          <w:rStyle w:val="FootnoteReference"/>
          <w:rFonts w:ascii="Verdana" w:hAnsi="Verdana"/>
        </w:rPr>
        <w:footnoteReference w:id="90"/>
      </w:r>
      <w:r w:rsidRPr="00A47D5E">
        <w:rPr>
          <w:rFonts w:ascii="Verdana" w:hAnsi="Verdana"/>
        </w:rPr>
        <w:t xml:space="preserve"> The NIHRC considers that </w:t>
      </w:r>
      <w:r w:rsidR="003E0624">
        <w:rPr>
          <w:rFonts w:ascii="Verdana" w:hAnsi="Verdana"/>
        </w:rPr>
        <w:t>the</w:t>
      </w:r>
      <w:r w:rsidR="003E0624" w:rsidRPr="00A47D5E">
        <w:rPr>
          <w:rFonts w:ascii="Verdana" w:hAnsi="Verdana"/>
        </w:rPr>
        <w:t xml:space="preserve"> </w:t>
      </w:r>
      <w:r w:rsidRPr="00A47D5E">
        <w:rPr>
          <w:rFonts w:ascii="Verdana" w:hAnsi="Verdana"/>
        </w:rPr>
        <w:t xml:space="preserve">EU </w:t>
      </w:r>
      <w:r w:rsidR="003E0624">
        <w:rPr>
          <w:rFonts w:ascii="Verdana" w:hAnsi="Verdana"/>
        </w:rPr>
        <w:t>D</w:t>
      </w:r>
      <w:r w:rsidRPr="00A47D5E">
        <w:rPr>
          <w:rFonts w:ascii="Verdana" w:hAnsi="Verdana"/>
        </w:rPr>
        <w:t xml:space="preserve">irective amends the Racial Equality Directive </w:t>
      </w:r>
      <w:r w:rsidR="003E0624">
        <w:rPr>
          <w:rFonts w:ascii="Verdana" w:hAnsi="Verdana"/>
        </w:rPr>
        <w:t xml:space="preserve">and </w:t>
      </w:r>
      <w:r w:rsidRPr="00A47D5E">
        <w:rPr>
          <w:rFonts w:ascii="Verdana" w:hAnsi="Verdana"/>
        </w:rPr>
        <w:t>therefore requires changes to NI equality law. Under Windsor Framework Articles 2 and 13, the NI Executive is required to bring forward legislation to reflect the enhanced redress mechanisms in areas covered by the Racial Equality Directive, including access to services.</w:t>
      </w:r>
    </w:p>
    <w:p w14:paraId="274E7A9B" w14:textId="77777777" w:rsidR="001E084C" w:rsidRPr="00A47D5E" w:rsidRDefault="001E084C" w:rsidP="00A47D5E">
      <w:pPr>
        <w:pStyle w:val="BasicParagraph"/>
        <w:suppressAutoHyphens/>
        <w:ind w:left="709"/>
        <w:rPr>
          <w:rFonts w:ascii="Verdana" w:hAnsi="Verdana"/>
        </w:rPr>
      </w:pPr>
    </w:p>
    <w:p w14:paraId="6CBA931D" w14:textId="54424845" w:rsidR="00CB5560" w:rsidRPr="00BE1E81" w:rsidRDefault="001E084C" w:rsidP="00B75E30">
      <w:pPr>
        <w:pStyle w:val="BasicParagraph"/>
        <w:numPr>
          <w:ilvl w:val="1"/>
          <w:numId w:val="25"/>
        </w:numPr>
        <w:suppressAutoHyphens/>
        <w:ind w:left="709"/>
      </w:pPr>
      <w:r w:rsidRPr="00A47D5E">
        <w:rPr>
          <w:rFonts w:ascii="Verdana" w:hAnsi="Verdana"/>
        </w:rPr>
        <w:t xml:space="preserve">Overall, the key interventions under Outcome 3 reflect the broader </w:t>
      </w:r>
      <w:r w:rsidR="00A0717C" w:rsidRPr="00A47D5E">
        <w:rPr>
          <w:rFonts w:ascii="Verdana" w:hAnsi="Verdana"/>
        </w:rPr>
        <w:t>high-level</w:t>
      </w:r>
      <w:r w:rsidRPr="001E084C">
        <w:t xml:space="preserve"> </w:t>
      </w:r>
      <w:r w:rsidRPr="00EA73F2">
        <w:rPr>
          <w:rFonts w:ascii="Verdana" w:hAnsi="Verdana"/>
        </w:rPr>
        <w:t>tone of the Draft Framework and are expressed in overly general terms. As a result, they do not clearly set out how minority ethnic communities will access public services on an equal basis nor or how service providers will be held accountable for delivery.</w:t>
      </w:r>
      <w:r w:rsidRPr="001E084C">
        <w:t xml:space="preserve"> </w:t>
      </w:r>
    </w:p>
    <w:p w14:paraId="4E006207" w14:textId="77777777" w:rsidR="00B52F42" w:rsidRPr="00A47D5E" w:rsidRDefault="00B52F42" w:rsidP="00A47D5E">
      <w:pPr>
        <w:pStyle w:val="BasicParagraph"/>
        <w:suppressAutoHyphens/>
        <w:ind w:left="709"/>
        <w:rPr>
          <w:rFonts w:ascii="Verdana" w:hAnsi="Verdana"/>
        </w:rPr>
      </w:pPr>
    </w:p>
    <w:p w14:paraId="4346EF14" w14:textId="4CAAC2CF" w:rsidR="00A07C4E" w:rsidRPr="009C609B" w:rsidRDefault="00A07C4E" w:rsidP="0073329A">
      <w:pPr>
        <w:pStyle w:val="BasicParagraph"/>
        <w:widowControl/>
        <w:numPr>
          <w:ilvl w:val="1"/>
          <w:numId w:val="25"/>
        </w:numPr>
        <w:suppressAutoHyphens/>
        <w:ind w:left="709"/>
        <w:rPr>
          <w:rFonts w:ascii="Verdana" w:hAnsi="Verdana"/>
          <w:b/>
        </w:rPr>
      </w:pPr>
      <w:r w:rsidRPr="009C609B">
        <w:rPr>
          <w:rFonts w:ascii="Verdana" w:hAnsi="Verdana"/>
          <w:b/>
        </w:rPr>
        <w:t>The NIHRC recommends that the Executive Office amends the Draft Framework</w:t>
      </w:r>
      <w:r w:rsidR="00466C24" w:rsidRPr="009C609B">
        <w:rPr>
          <w:rFonts w:ascii="Verdana" w:hAnsi="Verdana"/>
          <w:b/>
        </w:rPr>
        <w:t xml:space="preserve"> for</w:t>
      </w:r>
      <w:r w:rsidRPr="009C609B">
        <w:rPr>
          <w:rFonts w:ascii="Verdana" w:hAnsi="Verdana"/>
          <w:b/>
        </w:rPr>
        <w:t xml:space="preserve"> </w:t>
      </w:r>
      <w:r w:rsidR="00466C24" w:rsidRPr="009C609B">
        <w:rPr>
          <w:rFonts w:ascii="Verdana" w:hAnsi="Verdana"/>
          <w:b/>
        </w:rPr>
        <w:t xml:space="preserve">Race Relations </w:t>
      </w:r>
      <w:r w:rsidRPr="009C609B">
        <w:rPr>
          <w:rFonts w:ascii="Verdana" w:hAnsi="Verdana"/>
          <w:b/>
        </w:rPr>
        <w:t>to reflect its obligations relating to equality of service provision under the EU Racial Equality Directive</w:t>
      </w:r>
      <w:r w:rsidR="001A6DBA" w:rsidRPr="009C609B">
        <w:rPr>
          <w:rFonts w:ascii="Verdana" w:hAnsi="Verdana"/>
          <w:b/>
        </w:rPr>
        <w:t xml:space="preserve"> and relevant CJEU case law</w:t>
      </w:r>
      <w:r w:rsidRPr="009C609B">
        <w:rPr>
          <w:rFonts w:ascii="Verdana" w:hAnsi="Verdana"/>
          <w:b/>
        </w:rPr>
        <w:t xml:space="preserve">. </w:t>
      </w:r>
    </w:p>
    <w:p w14:paraId="2C1829EE" w14:textId="7A8A449D" w:rsidR="00501508" w:rsidRDefault="00501508" w:rsidP="00501508">
      <w:pPr>
        <w:pStyle w:val="BasicParagraph"/>
        <w:suppressAutoHyphens/>
        <w:ind w:left="709"/>
        <w:rPr>
          <w:rFonts w:ascii="Verdana" w:hAnsi="Verdana"/>
        </w:rPr>
      </w:pPr>
    </w:p>
    <w:p w14:paraId="30D657A2" w14:textId="3A546C32" w:rsidR="00501508" w:rsidRPr="00092925" w:rsidRDefault="00501508" w:rsidP="00A47D5E">
      <w:pPr>
        <w:pStyle w:val="Heading2"/>
      </w:pPr>
      <w:bookmarkStart w:id="20" w:name="_Toc230705748"/>
      <w:r w:rsidRPr="00092925">
        <w:t>Language Barriers in Access to Services</w:t>
      </w:r>
      <w:bookmarkEnd w:id="20"/>
      <w:r w:rsidRPr="00092925">
        <w:t xml:space="preserve"> </w:t>
      </w:r>
    </w:p>
    <w:p w14:paraId="21422C6F" w14:textId="77777777" w:rsidR="00513B0A" w:rsidRDefault="00513B0A" w:rsidP="00513B0A">
      <w:pPr>
        <w:pStyle w:val="BasicParagraph"/>
        <w:suppressAutoHyphens/>
        <w:ind w:left="709"/>
        <w:rPr>
          <w:rFonts w:ascii="Verdana" w:hAnsi="Verdana"/>
        </w:rPr>
      </w:pPr>
    </w:p>
    <w:p w14:paraId="702D3DFC" w14:textId="77777777" w:rsidR="00A47D5E" w:rsidRPr="00A47D5E" w:rsidRDefault="00A47D5E" w:rsidP="00A47D5E">
      <w:pPr>
        <w:pStyle w:val="ListParagraph"/>
        <w:widowControl w:val="0"/>
        <w:numPr>
          <w:ilvl w:val="0"/>
          <w:numId w:val="22"/>
        </w:numPr>
        <w:suppressAutoHyphens/>
        <w:autoSpaceDE w:val="0"/>
        <w:autoSpaceDN w:val="0"/>
        <w:adjustRightInd w:val="0"/>
        <w:contextualSpacing w:val="0"/>
        <w:textAlignment w:val="center"/>
        <w:rPr>
          <w:rFonts w:cs="MinionPro-Regular"/>
          <w:vanish/>
          <w:color w:val="000000"/>
        </w:rPr>
      </w:pPr>
    </w:p>
    <w:p w14:paraId="7FC18E99" w14:textId="77777777" w:rsidR="00A47D5E" w:rsidRPr="00A47D5E" w:rsidRDefault="00A47D5E" w:rsidP="00A47D5E">
      <w:pPr>
        <w:pStyle w:val="ListParagraph"/>
        <w:widowControl w:val="0"/>
        <w:numPr>
          <w:ilvl w:val="0"/>
          <w:numId w:val="22"/>
        </w:numPr>
        <w:suppressAutoHyphens/>
        <w:autoSpaceDE w:val="0"/>
        <w:autoSpaceDN w:val="0"/>
        <w:adjustRightInd w:val="0"/>
        <w:contextualSpacing w:val="0"/>
        <w:textAlignment w:val="center"/>
        <w:rPr>
          <w:rFonts w:cs="MinionPro-Regular"/>
          <w:vanish/>
          <w:color w:val="000000"/>
        </w:rPr>
      </w:pPr>
    </w:p>
    <w:p w14:paraId="721234E7" w14:textId="77777777" w:rsidR="00A47D5E" w:rsidRPr="00A47D5E" w:rsidRDefault="00A47D5E" w:rsidP="00A47D5E">
      <w:pPr>
        <w:pStyle w:val="ListParagraph"/>
        <w:widowControl w:val="0"/>
        <w:numPr>
          <w:ilvl w:val="1"/>
          <w:numId w:val="22"/>
        </w:numPr>
        <w:suppressAutoHyphens/>
        <w:autoSpaceDE w:val="0"/>
        <w:autoSpaceDN w:val="0"/>
        <w:adjustRightInd w:val="0"/>
        <w:contextualSpacing w:val="0"/>
        <w:textAlignment w:val="center"/>
        <w:rPr>
          <w:rFonts w:cs="MinionPro-Regular"/>
          <w:vanish/>
          <w:color w:val="000000"/>
        </w:rPr>
      </w:pPr>
    </w:p>
    <w:p w14:paraId="54E905FA" w14:textId="77777777" w:rsidR="00A47D5E" w:rsidRPr="00A47D5E" w:rsidRDefault="00A47D5E" w:rsidP="00A47D5E">
      <w:pPr>
        <w:pStyle w:val="ListParagraph"/>
        <w:widowControl w:val="0"/>
        <w:numPr>
          <w:ilvl w:val="1"/>
          <w:numId w:val="22"/>
        </w:numPr>
        <w:suppressAutoHyphens/>
        <w:autoSpaceDE w:val="0"/>
        <w:autoSpaceDN w:val="0"/>
        <w:adjustRightInd w:val="0"/>
        <w:contextualSpacing w:val="0"/>
        <w:textAlignment w:val="center"/>
        <w:rPr>
          <w:rFonts w:cs="MinionPro-Regular"/>
          <w:vanish/>
          <w:color w:val="000000"/>
        </w:rPr>
      </w:pPr>
    </w:p>
    <w:p w14:paraId="6499AF0E" w14:textId="77777777" w:rsidR="00A47D5E" w:rsidRPr="00A47D5E" w:rsidRDefault="00A47D5E" w:rsidP="00A47D5E">
      <w:pPr>
        <w:pStyle w:val="ListParagraph"/>
        <w:widowControl w:val="0"/>
        <w:numPr>
          <w:ilvl w:val="1"/>
          <w:numId w:val="22"/>
        </w:numPr>
        <w:suppressAutoHyphens/>
        <w:autoSpaceDE w:val="0"/>
        <w:autoSpaceDN w:val="0"/>
        <w:adjustRightInd w:val="0"/>
        <w:contextualSpacing w:val="0"/>
        <w:textAlignment w:val="center"/>
        <w:rPr>
          <w:rFonts w:cs="MinionPro-Regular"/>
          <w:vanish/>
          <w:color w:val="000000"/>
        </w:rPr>
      </w:pPr>
    </w:p>
    <w:p w14:paraId="2C89F9B6" w14:textId="77777777" w:rsidR="00A47D5E" w:rsidRPr="00A47D5E" w:rsidRDefault="00A47D5E" w:rsidP="00A47D5E">
      <w:pPr>
        <w:pStyle w:val="ListParagraph"/>
        <w:widowControl w:val="0"/>
        <w:numPr>
          <w:ilvl w:val="1"/>
          <w:numId w:val="22"/>
        </w:numPr>
        <w:suppressAutoHyphens/>
        <w:autoSpaceDE w:val="0"/>
        <w:autoSpaceDN w:val="0"/>
        <w:adjustRightInd w:val="0"/>
        <w:contextualSpacing w:val="0"/>
        <w:textAlignment w:val="center"/>
        <w:rPr>
          <w:rFonts w:cs="MinionPro-Regular"/>
          <w:vanish/>
          <w:color w:val="000000"/>
        </w:rPr>
      </w:pPr>
    </w:p>
    <w:p w14:paraId="02AF731C" w14:textId="76DD8D7D" w:rsidR="00513B0A" w:rsidRDefault="00501508" w:rsidP="00F247B7">
      <w:pPr>
        <w:pStyle w:val="BasicParagraph"/>
        <w:numPr>
          <w:ilvl w:val="1"/>
          <w:numId w:val="22"/>
        </w:numPr>
        <w:suppressAutoHyphens/>
        <w:ind w:left="709"/>
        <w:rPr>
          <w:rFonts w:ascii="Verdana" w:hAnsi="Verdana"/>
        </w:rPr>
      </w:pPr>
      <w:r>
        <w:rPr>
          <w:rFonts w:ascii="Verdana" w:hAnsi="Verdana"/>
        </w:rPr>
        <w:t>The NIH</w:t>
      </w:r>
      <w:r w:rsidR="00D153C9">
        <w:rPr>
          <w:rFonts w:ascii="Verdana" w:hAnsi="Verdana"/>
        </w:rPr>
        <w:t>R</w:t>
      </w:r>
      <w:r>
        <w:rPr>
          <w:rFonts w:ascii="Verdana" w:hAnsi="Verdana"/>
        </w:rPr>
        <w:t xml:space="preserve">C welcomes the inclusion </w:t>
      </w:r>
      <w:r w:rsidR="004D6D8D">
        <w:rPr>
          <w:rFonts w:ascii="Verdana" w:hAnsi="Verdana"/>
        </w:rPr>
        <w:t>of, “</w:t>
      </w:r>
      <w:r>
        <w:rPr>
          <w:rFonts w:ascii="Verdana" w:hAnsi="Verdana"/>
        </w:rPr>
        <w:t>l</w:t>
      </w:r>
      <w:r w:rsidRPr="008B784B">
        <w:rPr>
          <w:rFonts w:ascii="Verdana" w:hAnsi="Verdana"/>
        </w:rPr>
        <w:t>anguage barriers in access to services</w:t>
      </w:r>
      <w:r>
        <w:rPr>
          <w:rFonts w:ascii="Verdana" w:hAnsi="Verdana"/>
        </w:rPr>
        <w:t xml:space="preserve">” as one </w:t>
      </w:r>
      <w:r w:rsidR="00513B0A">
        <w:rPr>
          <w:rFonts w:ascii="Verdana" w:hAnsi="Verdana"/>
        </w:rPr>
        <w:t>of the key issues identified to be addressed under Outcome 3</w:t>
      </w:r>
      <w:r w:rsidR="004D6D8D">
        <w:rPr>
          <w:rFonts w:ascii="Verdana" w:hAnsi="Verdana"/>
        </w:rPr>
        <w:t>.</w:t>
      </w:r>
      <w:r w:rsidR="00055ED9">
        <w:rPr>
          <w:rFonts w:ascii="Verdana" w:hAnsi="Verdana"/>
        </w:rPr>
        <w:t xml:space="preserve"> However, th</w:t>
      </w:r>
      <w:r w:rsidR="00920A93">
        <w:rPr>
          <w:rFonts w:ascii="Verdana" w:hAnsi="Verdana"/>
        </w:rPr>
        <w:t xml:space="preserve">e </w:t>
      </w:r>
      <w:r w:rsidR="00344D03">
        <w:rPr>
          <w:rFonts w:ascii="Verdana" w:hAnsi="Verdana"/>
        </w:rPr>
        <w:t>D</w:t>
      </w:r>
      <w:r w:rsidR="00920A93">
        <w:rPr>
          <w:rFonts w:ascii="Verdana" w:hAnsi="Verdana"/>
        </w:rPr>
        <w:t xml:space="preserve">raft Framework does not include a corresponding </w:t>
      </w:r>
      <w:r w:rsidR="00BD2E5A">
        <w:rPr>
          <w:rFonts w:ascii="Verdana" w:hAnsi="Verdana"/>
        </w:rPr>
        <w:t>intervention setting out how this issue will be addressed</w:t>
      </w:r>
      <w:r w:rsidR="00055ED9">
        <w:rPr>
          <w:rFonts w:ascii="Verdana" w:hAnsi="Verdana"/>
        </w:rPr>
        <w:t xml:space="preserve"> within the key interventions.</w:t>
      </w:r>
      <w:r w:rsidR="004D6D8D">
        <w:rPr>
          <w:rFonts w:ascii="Verdana" w:hAnsi="Verdana"/>
        </w:rPr>
        <w:t xml:space="preserve"> T</w:t>
      </w:r>
      <w:r w:rsidR="00513B0A">
        <w:rPr>
          <w:rFonts w:ascii="Verdana" w:hAnsi="Verdana"/>
        </w:rPr>
        <w:t>he NIHRC has previously</w:t>
      </w:r>
      <w:r w:rsidR="00360646">
        <w:rPr>
          <w:rFonts w:ascii="Verdana" w:hAnsi="Verdana"/>
        </w:rPr>
        <w:t xml:space="preserve"> </w:t>
      </w:r>
      <w:r w:rsidR="004D6D8D">
        <w:rPr>
          <w:rFonts w:ascii="Verdana" w:hAnsi="Verdana"/>
        </w:rPr>
        <w:t xml:space="preserve">noted </w:t>
      </w:r>
      <w:r w:rsidR="004D6D8D" w:rsidRPr="006757A9">
        <w:rPr>
          <w:rFonts w:ascii="Verdana" w:hAnsi="Verdana"/>
        </w:rPr>
        <w:t>reports</w:t>
      </w:r>
      <w:r w:rsidR="00513B0A" w:rsidRPr="006757A9">
        <w:rPr>
          <w:rFonts w:ascii="Verdana" w:hAnsi="Verdana"/>
        </w:rPr>
        <w:t xml:space="preserve"> of a lack of access to translation and interpretation services.</w:t>
      </w:r>
      <w:r w:rsidR="00513B0A" w:rsidRPr="006757A9">
        <w:rPr>
          <w:rStyle w:val="FootnoteReference"/>
          <w:rFonts w:ascii="Verdana" w:hAnsi="Verdana"/>
        </w:rPr>
        <w:footnoteReference w:id="91"/>
      </w:r>
    </w:p>
    <w:p w14:paraId="1FDFADA9" w14:textId="77777777" w:rsidR="00513B0A" w:rsidRDefault="00513B0A" w:rsidP="00513B0A">
      <w:pPr>
        <w:pStyle w:val="ListParagraph"/>
      </w:pPr>
    </w:p>
    <w:p w14:paraId="5089EB34" w14:textId="2534C218" w:rsidR="00505CCA" w:rsidRDefault="00513B0A" w:rsidP="00F247B7">
      <w:pPr>
        <w:pStyle w:val="BasicParagraph"/>
        <w:numPr>
          <w:ilvl w:val="1"/>
          <w:numId w:val="22"/>
        </w:numPr>
        <w:suppressAutoHyphens/>
        <w:ind w:left="709"/>
        <w:rPr>
          <w:rFonts w:ascii="Verdana" w:hAnsi="Verdana"/>
        </w:rPr>
      </w:pPr>
      <w:r w:rsidRPr="00915617">
        <w:rPr>
          <w:rFonts w:ascii="Verdana" w:hAnsi="Verdana"/>
        </w:rPr>
        <w:t xml:space="preserve">State support for racial and minority </w:t>
      </w:r>
      <w:r w:rsidR="005C3703">
        <w:rPr>
          <w:rFonts w:ascii="Verdana" w:hAnsi="Verdana"/>
        </w:rPr>
        <w:t xml:space="preserve">ethnic </w:t>
      </w:r>
      <w:r w:rsidRPr="00915617">
        <w:rPr>
          <w:rFonts w:ascii="Verdana" w:hAnsi="Verdana"/>
        </w:rPr>
        <w:t>communities, such as language classes and interpretation services, have often been found to be inadequate.</w:t>
      </w:r>
      <w:r>
        <w:rPr>
          <w:rStyle w:val="FootnoteReference"/>
          <w:rFonts w:ascii="Verdana" w:hAnsi="Verdana"/>
        </w:rPr>
        <w:footnoteReference w:id="92"/>
      </w:r>
      <w:r w:rsidRPr="00915617">
        <w:rPr>
          <w:rFonts w:ascii="Verdana" w:hAnsi="Verdana"/>
        </w:rPr>
        <w:t xml:space="preserve"> Such support </w:t>
      </w:r>
      <w:r w:rsidR="00D23C4E">
        <w:rPr>
          <w:rFonts w:ascii="Verdana" w:hAnsi="Verdana"/>
        </w:rPr>
        <w:t>is</w:t>
      </w:r>
      <w:r w:rsidRPr="00915617">
        <w:rPr>
          <w:rFonts w:ascii="Verdana" w:hAnsi="Verdana"/>
        </w:rPr>
        <w:t xml:space="preserve"> crucial to empower communities to </w:t>
      </w:r>
      <w:r w:rsidR="00665ADD">
        <w:rPr>
          <w:rFonts w:ascii="Verdana" w:hAnsi="Verdana"/>
        </w:rPr>
        <w:t>access public services</w:t>
      </w:r>
      <w:r w:rsidR="00CE7E29">
        <w:rPr>
          <w:rFonts w:ascii="Verdana" w:hAnsi="Verdana"/>
        </w:rPr>
        <w:t xml:space="preserve"> on an </w:t>
      </w:r>
      <w:r w:rsidR="00505CCA">
        <w:rPr>
          <w:rFonts w:ascii="Verdana" w:hAnsi="Verdana"/>
        </w:rPr>
        <w:t xml:space="preserve">equal </w:t>
      </w:r>
      <w:r w:rsidR="00F3155F">
        <w:rPr>
          <w:rFonts w:ascii="Verdana" w:hAnsi="Verdana"/>
        </w:rPr>
        <w:t>basis and</w:t>
      </w:r>
      <w:r w:rsidR="00665ADD">
        <w:rPr>
          <w:rFonts w:ascii="Verdana" w:hAnsi="Verdana"/>
        </w:rPr>
        <w:t xml:space="preserve"> to </w:t>
      </w:r>
      <w:r w:rsidRPr="00915617">
        <w:rPr>
          <w:rFonts w:ascii="Verdana" w:hAnsi="Verdana"/>
        </w:rPr>
        <w:t>report</w:t>
      </w:r>
      <w:r w:rsidR="00505CCA">
        <w:rPr>
          <w:rFonts w:ascii="Verdana" w:hAnsi="Verdana"/>
        </w:rPr>
        <w:t xml:space="preserve">, </w:t>
      </w:r>
      <w:r w:rsidR="000A6568">
        <w:rPr>
          <w:rFonts w:ascii="Verdana" w:hAnsi="Verdana"/>
        </w:rPr>
        <w:t>challenge a</w:t>
      </w:r>
      <w:r w:rsidR="00505CCA">
        <w:rPr>
          <w:rFonts w:ascii="Verdana" w:hAnsi="Verdana"/>
        </w:rPr>
        <w:t xml:space="preserve">nd seek redress for barrier to </w:t>
      </w:r>
      <w:r w:rsidR="000A6568">
        <w:rPr>
          <w:rFonts w:ascii="Verdana" w:hAnsi="Verdana"/>
        </w:rPr>
        <w:t>access</w:t>
      </w:r>
      <w:r w:rsidR="00505CCA">
        <w:rPr>
          <w:rFonts w:ascii="Verdana" w:hAnsi="Verdana"/>
        </w:rPr>
        <w:t xml:space="preserve">, </w:t>
      </w:r>
      <w:r w:rsidR="000A6568">
        <w:rPr>
          <w:rFonts w:ascii="Verdana" w:hAnsi="Verdana"/>
        </w:rPr>
        <w:t xml:space="preserve">including </w:t>
      </w:r>
      <w:r w:rsidR="006E2E3A">
        <w:rPr>
          <w:rFonts w:ascii="Verdana" w:hAnsi="Verdana"/>
        </w:rPr>
        <w:t>discrimination</w:t>
      </w:r>
      <w:r w:rsidRPr="00915617">
        <w:rPr>
          <w:rFonts w:ascii="Verdana" w:hAnsi="Verdana"/>
        </w:rPr>
        <w:t>.</w:t>
      </w:r>
    </w:p>
    <w:p w14:paraId="37927082" w14:textId="77777777" w:rsidR="00505CCA" w:rsidRPr="00505CCA" w:rsidRDefault="00505CCA" w:rsidP="00505CCA">
      <w:pPr>
        <w:pStyle w:val="ListParagraph"/>
      </w:pPr>
    </w:p>
    <w:p w14:paraId="7F32FE7B" w14:textId="58DDF168" w:rsidR="0044002C" w:rsidRDefault="00505CCA" w:rsidP="00F247B7">
      <w:pPr>
        <w:pStyle w:val="BasicParagraph"/>
        <w:numPr>
          <w:ilvl w:val="1"/>
          <w:numId w:val="22"/>
        </w:numPr>
        <w:suppressAutoHyphens/>
        <w:ind w:left="709"/>
        <w:rPr>
          <w:rFonts w:ascii="Verdana" w:hAnsi="Verdana"/>
        </w:rPr>
      </w:pPr>
      <w:r w:rsidRPr="00396F17">
        <w:rPr>
          <w:rFonts w:ascii="Verdana" w:hAnsi="Verdana"/>
          <w:b/>
          <w:bCs/>
        </w:rPr>
        <w:lastRenderedPageBreak/>
        <w:t xml:space="preserve">The NIHRC recommends that the Executive Office introduces a dedicated intervention under Outcome 3 to improve access to interpretation and translation services for racial and minority </w:t>
      </w:r>
      <w:r w:rsidR="000C69E8">
        <w:rPr>
          <w:rFonts w:ascii="Verdana" w:hAnsi="Verdana"/>
          <w:b/>
          <w:bCs/>
        </w:rPr>
        <w:t xml:space="preserve">ethnic </w:t>
      </w:r>
      <w:r w:rsidRPr="00396F17">
        <w:rPr>
          <w:rFonts w:ascii="Verdana" w:hAnsi="Verdana"/>
          <w:b/>
          <w:bCs/>
        </w:rPr>
        <w:t>communities, supported by clear funding commitments</w:t>
      </w:r>
      <w:r>
        <w:rPr>
          <w:rFonts w:ascii="Verdana" w:hAnsi="Verdana"/>
        </w:rPr>
        <w:t>.</w:t>
      </w:r>
    </w:p>
    <w:p w14:paraId="338627F5" w14:textId="77777777" w:rsidR="0067297E" w:rsidRDefault="0067297E" w:rsidP="0067297E">
      <w:pPr>
        <w:pStyle w:val="ListParagraph"/>
      </w:pPr>
    </w:p>
    <w:p w14:paraId="534A3157" w14:textId="5BBB8DFA" w:rsidR="003E6A1C" w:rsidRDefault="0067297E" w:rsidP="00F247B7">
      <w:pPr>
        <w:pStyle w:val="BasicParagraph"/>
        <w:numPr>
          <w:ilvl w:val="1"/>
          <w:numId w:val="22"/>
        </w:numPr>
        <w:suppressAutoHyphens/>
        <w:ind w:left="709"/>
        <w:rPr>
          <w:rFonts w:ascii="Verdana" w:hAnsi="Verdana"/>
        </w:rPr>
      </w:pPr>
      <w:r>
        <w:rPr>
          <w:rFonts w:ascii="Verdana" w:hAnsi="Verdana"/>
        </w:rPr>
        <w:t>The NIH</w:t>
      </w:r>
      <w:r w:rsidR="00647090">
        <w:rPr>
          <w:rFonts w:ascii="Verdana" w:hAnsi="Verdana"/>
        </w:rPr>
        <w:t>R</w:t>
      </w:r>
      <w:r>
        <w:rPr>
          <w:rFonts w:ascii="Verdana" w:hAnsi="Verdana"/>
        </w:rPr>
        <w:t>C welcomes the inclusion of, “</w:t>
      </w:r>
      <w:r w:rsidR="000139F3">
        <w:rPr>
          <w:rFonts w:ascii="Verdana" w:hAnsi="Verdana"/>
        </w:rPr>
        <w:t>d</w:t>
      </w:r>
      <w:r w:rsidR="000139F3" w:rsidRPr="000139F3">
        <w:rPr>
          <w:rFonts w:ascii="Verdana" w:hAnsi="Verdana"/>
        </w:rPr>
        <w:t>ifficulties in accessing public services</w:t>
      </w:r>
      <w:r>
        <w:rPr>
          <w:rFonts w:ascii="Verdana" w:hAnsi="Verdana"/>
        </w:rPr>
        <w:t xml:space="preserve">” as one of the key issues identified to be addressed under Outcome 3. However, the </w:t>
      </w:r>
      <w:r w:rsidR="00344D03">
        <w:rPr>
          <w:rFonts w:ascii="Verdana" w:hAnsi="Verdana"/>
        </w:rPr>
        <w:t>D</w:t>
      </w:r>
      <w:r>
        <w:rPr>
          <w:rFonts w:ascii="Verdana" w:hAnsi="Verdana"/>
        </w:rPr>
        <w:t xml:space="preserve">raft Framework does not include a corresponding intervention </w:t>
      </w:r>
      <w:r w:rsidR="005E30DF">
        <w:rPr>
          <w:rFonts w:ascii="Verdana" w:hAnsi="Verdana"/>
        </w:rPr>
        <w:t>that identifies</w:t>
      </w:r>
      <w:r w:rsidR="000139F3">
        <w:rPr>
          <w:rFonts w:ascii="Verdana" w:hAnsi="Verdana"/>
        </w:rPr>
        <w:t xml:space="preserve"> the key public </w:t>
      </w:r>
      <w:r w:rsidR="003D6FD4">
        <w:rPr>
          <w:rFonts w:ascii="Verdana" w:hAnsi="Verdana"/>
        </w:rPr>
        <w:t>services that minor</w:t>
      </w:r>
      <w:r w:rsidR="001E4768">
        <w:rPr>
          <w:rFonts w:ascii="Verdana" w:hAnsi="Verdana"/>
        </w:rPr>
        <w:t xml:space="preserve">ity ethnic communities do not access on an equal </w:t>
      </w:r>
      <w:r w:rsidR="00F119FE">
        <w:rPr>
          <w:rFonts w:ascii="Verdana" w:hAnsi="Verdana"/>
        </w:rPr>
        <w:t>basis,</w:t>
      </w:r>
      <w:r w:rsidR="001E4768">
        <w:rPr>
          <w:rFonts w:ascii="Verdana" w:hAnsi="Verdana"/>
        </w:rPr>
        <w:t xml:space="preserve"> </w:t>
      </w:r>
      <w:r w:rsidR="005F035F">
        <w:rPr>
          <w:rFonts w:ascii="Verdana" w:hAnsi="Verdana"/>
        </w:rPr>
        <w:t xml:space="preserve">nor does it set out </w:t>
      </w:r>
      <w:r w:rsidR="00CF643A">
        <w:rPr>
          <w:rFonts w:ascii="Verdana" w:hAnsi="Verdana"/>
        </w:rPr>
        <w:t xml:space="preserve">the </w:t>
      </w:r>
      <w:r w:rsidR="00CF643A" w:rsidRPr="00CF643A">
        <w:rPr>
          <w:rFonts w:ascii="Verdana" w:hAnsi="Verdana"/>
        </w:rPr>
        <w:t>concrete actions, target groups, and responsible bodies required to improve access in practice.</w:t>
      </w:r>
      <w:r w:rsidR="008C7A58">
        <w:rPr>
          <w:rFonts w:ascii="Verdana" w:hAnsi="Verdana"/>
        </w:rPr>
        <w:t xml:space="preserve"> </w:t>
      </w:r>
    </w:p>
    <w:p w14:paraId="6053B40A" w14:textId="77777777" w:rsidR="003E6A1C" w:rsidRDefault="003E6A1C" w:rsidP="003E6A1C">
      <w:pPr>
        <w:pStyle w:val="ListParagraph"/>
        <w:rPr>
          <w:rFonts w:ascii="Segoe UI" w:eastAsia="Times New Roman" w:hAnsi="Segoe UI" w:cs="Segoe UI"/>
          <w:sz w:val="21"/>
          <w:szCs w:val="21"/>
          <w:lang w:eastAsia="en-GB"/>
        </w:rPr>
      </w:pPr>
    </w:p>
    <w:p w14:paraId="7F88CEC5" w14:textId="3360D734" w:rsidR="00E32F5C" w:rsidRPr="00F034EC" w:rsidRDefault="003E6A1C" w:rsidP="00F247B7">
      <w:pPr>
        <w:pStyle w:val="BasicParagraph"/>
        <w:numPr>
          <w:ilvl w:val="1"/>
          <w:numId w:val="22"/>
        </w:numPr>
        <w:suppressAutoHyphens/>
        <w:ind w:left="709"/>
        <w:rPr>
          <w:rFonts w:ascii="Verdana" w:hAnsi="Verdana"/>
        </w:rPr>
      </w:pPr>
      <w:r w:rsidRPr="00F034EC">
        <w:rPr>
          <w:rFonts w:ascii="Verdana" w:eastAsia="Times New Roman" w:hAnsi="Verdana" w:cs="Segoe UI"/>
          <w:b/>
          <w:bCs/>
          <w:lang w:eastAsia="en-GB"/>
        </w:rPr>
        <w:t>The NIHRC recommends that the Executive Office strengthens Outcome 3 by introducing corresponding interventions to address key issues identified by UN treaty body mechanisms, particularly in relation to education, employment, and access to health care services. These interventions should clearly specify the actions to be taken, the groups targeted, and the bodies responsible for delivery</w:t>
      </w:r>
      <w:r w:rsidRPr="00F034EC">
        <w:rPr>
          <w:rFonts w:ascii="Verdana" w:eastAsia="Times New Roman" w:hAnsi="Verdana" w:cs="Segoe UI"/>
          <w:lang w:eastAsia="en-GB"/>
        </w:rPr>
        <w:t>.</w:t>
      </w:r>
    </w:p>
    <w:p w14:paraId="41E0CDCD" w14:textId="77777777" w:rsidR="00F3155F" w:rsidRPr="00F3155F" w:rsidRDefault="00F3155F" w:rsidP="00F3155F">
      <w:pPr>
        <w:pStyle w:val="BasicParagraph"/>
        <w:suppressAutoHyphens/>
        <w:rPr>
          <w:rFonts w:ascii="Verdana" w:hAnsi="Verdana"/>
          <w:b/>
          <w:bCs/>
        </w:rPr>
      </w:pPr>
    </w:p>
    <w:p w14:paraId="78701718" w14:textId="413F7BED" w:rsidR="0044002C" w:rsidRPr="00792641" w:rsidRDefault="0044002C" w:rsidP="00A47D5E">
      <w:pPr>
        <w:pStyle w:val="Heading2"/>
      </w:pPr>
      <w:bookmarkStart w:id="21" w:name="_Toc230705749"/>
      <w:r w:rsidRPr="00792641">
        <w:t>Education</w:t>
      </w:r>
      <w:bookmarkEnd w:id="21"/>
    </w:p>
    <w:p w14:paraId="450CF27C" w14:textId="77777777" w:rsidR="008368FD" w:rsidRPr="00505CCA" w:rsidRDefault="008368FD" w:rsidP="008368FD">
      <w:pPr>
        <w:pStyle w:val="BasicParagraph"/>
        <w:suppressAutoHyphens/>
        <w:rPr>
          <w:rFonts w:ascii="Verdana" w:hAnsi="Verdana"/>
        </w:rPr>
      </w:pPr>
    </w:p>
    <w:p w14:paraId="69DF6F23" w14:textId="65CDF2F7" w:rsidR="006E6AE8" w:rsidRDefault="00513B0A" w:rsidP="00D126A4">
      <w:pPr>
        <w:pStyle w:val="BasicParagraph"/>
        <w:widowControl/>
        <w:numPr>
          <w:ilvl w:val="1"/>
          <w:numId w:val="22"/>
        </w:numPr>
        <w:suppressAutoHyphens/>
        <w:ind w:left="709"/>
        <w:rPr>
          <w:rFonts w:ascii="Verdana" w:hAnsi="Verdana"/>
        </w:rPr>
      </w:pPr>
      <w:r>
        <w:rPr>
          <w:rFonts w:ascii="Verdana" w:hAnsi="Verdana"/>
        </w:rPr>
        <w:t>The UN ICESCR Committee has noted that education, “shall ‘enable all persons to participate effectively in a free society’, and it shall promote understanding among all ‘ethnic’ groups, as well as nations and racial and religious groups”.</w:t>
      </w:r>
      <w:r>
        <w:rPr>
          <w:rStyle w:val="FootnoteReference"/>
          <w:rFonts w:ascii="Verdana" w:hAnsi="Verdana"/>
        </w:rPr>
        <w:footnoteReference w:id="93"/>
      </w:r>
      <w:r>
        <w:rPr>
          <w:rFonts w:ascii="Verdana" w:hAnsi="Verdana"/>
        </w:rPr>
        <w:t xml:space="preserve"> The UN ICESCR Committee has confirmed that right to education requires “accessibility”.</w:t>
      </w:r>
      <w:r>
        <w:rPr>
          <w:rStyle w:val="FootnoteReference"/>
          <w:rFonts w:ascii="Verdana" w:hAnsi="Verdana"/>
        </w:rPr>
        <w:footnoteReference w:id="94"/>
      </w:r>
      <w:r>
        <w:rPr>
          <w:rFonts w:ascii="Verdana" w:hAnsi="Verdana"/>
        </w:rPr>
        <w:t xml:space="preserve"> This means that “educational institutions and programmes have to be accessible to everyone, without discrimination”. Accessible to everyone includes “the most vulnerable groups, in law and fact, without discrimination on any of the prohibited grounds”.</w:t>
      </w:r>
      <w:r>
        <w:rPr>
          <w:rStyle w:val="FootnoteReference"/>
          <w:rFonts w:ascii="Verdana" w:hAnsi="Verdana"/>
        </w:rPr>
        <w:footnoteReference w:id="95"/>
      </w:r>
      <w:r>
        <w:rPr>
          <w:rFonts w:ascii="Verdana" w:hAnsi="Verdana"/>
        </w:rPr>
        <w:t xml:space="preserve"> </w:t>
      </w:r>
    </w:p>
    <w:p w14:paraId="70C1EA31" w14:textId="77777777" w:rsidR="001F37A2" w:rsidRDefault="001F37A2" w:rsidP="00F020E9"/>
    <w:p w14:paraId="5A425309" w14:textId="6054738A" w:rsidR="001F37A2" w:rsidRDefault="000B2E51" w:rsidP="00F247B7">
      <w:pPr>
        <w:pStyle w:val="BasicParagraph"/>
        <w:numPr>
          <w:ilvl w:val="1"/>
          <w:numId w:val="22"/>
        </w:numPr>
        <w:suppressAutoHyphens/>
        <w:ind w:left="709"/>
        <w:rPr>
          <w:rFonts w:ascii="Verdana" w:hAnsi="Verdana"/>
        </w:rPr>
      </w:pPr>
      <w:r>
        <w:rPr>
          <w:rFonts w:ascii="Verdana" w:hAnsi="Verdana"/>
        </w:rPr>
        <w:t>In addition</w:t>
      </w:r>
      <w:r w:rsidR="0039150F">
        <w:rPr>
          <w:rFonts w:ascii="Verdana" w:hAnsi="Verdana"/>
        </w:rPr>
        <w:t xml:space="preserve">, </w:t>
      </w:r>
      <w:r>
        <w:rPr>
          <w:rFonts w:ascii="Verdana" w:hAnsi="Verdana"/>
        </w:rPr>
        <w:t>the UN ICESCR Commi</w:t>
      </w:r>
      <w:r w:rsidR="00CF5043">
        <w:rPr>
          <w:rFonts w:ascii="Verdana" w:hAnsi="Verdana"/>
        </w:rPr>
        <w:t xml:space="preserve">ttee has noted </w:t>
      </w:r>
      <w:r w:rsidR="001F37A2" w:rsidRPr="00063683">
        <w:rPr>
          <w:rFonts w:ascii="Verdana" w:hAnsi="Verdana"/>
        </w:rPr>
        <w:t xml:space="preserve">persistent obstacles faced by Gypsy, Roma and Traveller children, children with disabilities, </w:t>
      </w:r>
      <w:r w:rsidR="001F37A2" w:rsidRPr="00063683">
        <w:rPr>
          <w:rFonts w:ascii="Verdana" w:hAnsi="Verdana"/>
        </w:rPr>
        <w:lastRenderedPageBreak/>
        <w:t>migrant children and children from disadvantaged backgrounds in access to education without discrimination</w:t>
      </w:r>
      <w:r w:rsidR="001F37A2">
        <w:rPr>
          <w:rFonts w:ascii="Verdana" w:hAnsi="Verdana"/>
        </w:rPr>
        <w:t>.</w:t>
      </w:r>
      <w:r w:rsidR="001F37A2">
        <w:rPr>
          <w:rStyle w:val="FootnoteReference"/>
          <w:rFonts w:ascii="Verdana" w:hAnsi="Verdana"/>
        </w:rPr>
        <w:footnoteReference w:id="96"/>
      </w:r>
    </w:p>
    <w:p w14:paraId="694329AC" w14:textId="77777777" w:rsidR="00804D57" w:rsidRDefault="00804D57" w:rsidP="00647090">
      <w:pPr>
        <w:pStyle w:val="ListParagraph"/>
      </w:pPr>
    </w:p>
    <w:p w14:paraId="30B39EA8" w14:textId="76E6C690" w:rsidR="00317EDA" w:rsidRDefault="004E7E3A" w:rsidP="00F247B7">
      <w:pPr>
        <w:pStyle w:val="BasicParagraph"/>
        <w:numPr>
          <w:ilvl w:val="1"/>
          <w:numId w:val="22"/>
        </w:numPr>
        <w:suppressAutoHyphens/>
        <w:ind w:left="709"/>
        <w:rPr>
          <w:rFonts w:ascii="Verdana" w:hAnsi="Verdana"/>
        </w:rPr>
      </w:pPr>
      <w:r>
        <w:rPr>
          <w:rFonts w:ascii="Verdana" w:hAnsi="Verdana"/>
        </w:rPr>
        <w:t>In addition, t</w:t>
      </w:r>
      <w:r w:rsidRPr="00647090">
        <w:rPr>
          <w:rFonts w:ascii="Verdana" w:hAnsi="Verdana" w:hint="eastAsia"/>
        </w:rPr>
        <w:t>he</w:t>
      </w:r>
      <w:r>
        <w:rPr>
          <w:rFonts w:ascii="Verdana" w:hAnsi="Verdana"/>
        </w:rPr>
        <w:t xml:space="preserve"> minimum standards guaranteed by the</w:t>
      </w:r>
      <w:r w:rsidRPr="00647090">
        <w:rPr>
          <w:rFonts w:ascii="Verdana" w:hAnsi="Verdana" w:hint="eastAsia"/>
        </w:rPr>
        <w:t xml:space="preserve"> EU </w:t>
      </w:r>
      <w:r>
        <w:rPr>
          <w:rFonts w:ascii="Verdana" w:hAnsi="Verdana"/>
        </w:rPr>
        <w:t>Racial Equality Directive under Windsor Framework Article 2 also apply to education.</w:t>
      </w:r>
      <w:r w:rsidR="003812BC">
        <w:rPr>
          <w:rFonts w:ascii="Verdana" w:hAnsi="Verdana"/>
        </w:rPr>
        <w:t xml:space="preserve"> </w:t>
      </w:r>
      <w:r w:rsidR="00B45222">
        <w:rPr>
          <w:rFonts w:ascii="Verdana" w:hAnsi="Verdana"/>
        </w:rPr>
        <w:t>Reference</w:t>
      </w:r>
      <w:r w:rsidR="00F43180">
        <w:rPr>
          <w:rFonts w:ascii="Verdana" w:hAnsi="Verdana"/>
        </w:rPr>
        <w:t xml:space="preserve"> </w:t>
      </w:r>
      <w:r w:rsidR="00B72775">
        <w:rPr>
          <w:rFonts w:ascii="Verdana" w:hAnsi="Verdana"/>
        </w:rPr>
        <w:t xml:space="preserve">in the Draft Framework </w:t>
      </w:r>
      <w:r w:rsidR="00B45222">
        <w:rPr>
          <w:rFonts w:ascii="Verdana" w:hAnsi="Verdana"/>
        </w:rPr>
        <w:t>t</w:t>
      </w:r>
      <w:r w:rsidR="00F43180">
        <w:rPr>
          <w:rFonts w:ascii="Verdana" w:hAnsi="Verdana"/>
        </w:rPr>
        <w:t>o th</w:t>
      </w:r>
      <w:r w:rsidR="008378C6">
        <w:rPr>
          <w:rFonts w:ascii="Verdana" w:hAnsi="Verdana"/>
        </w:rPr>
        <w:t>i</w:t>
      </w:r>
      <w:r w:rsidR="00F43180">
        <w:rPr>
          <w:rFonts w:ascii="Verdana" w:hAnsi="Verdana"/>
        </w:rPr>
        <w:t>s</w:t>
      </w:r>
      <w:r w:rsidR="00996862">
        <w:rPr>
          <w:rFonts w:ascii="Verdana" w:hAnsi="Verdana"/>
        </w:rPr>
        <w:t xml:space="preserve"> existing obligation towards education provision</w:t>
      </w:r>
      <w:r w:rsidR="00CF6978">
        <w:rPr>
          <w:rFonts w:ascii="Verdana" w:hAnsi="Verdana"/>
        </w:rPr>
        <w:t xml:space="preserve"> </w:t>
      </w:r>
      <w:r w:rsidR="005C3703">
        <w:rPr>
          <w:rFonts w:ascii="Verdana" w:hAnsi="Verdana"/>
        </w:rPr>
        <w:t xml:space="preserve">is important to </w:t>
      </w:r>
      <w:r w:rsidR="00F43180">
        <w:rPr>
          <w:rFonts w:ascii="Verdana" w:hAnsi="Verdana"/>
        </w:rPr>
        <w:t>provide a</w:t>
      </w:r>
      <w:r w:rsidR="006D6CEA">
        <w:rPr>
          <w:rFonts w:ascii="Verdana" w:hAnsi="Verdana"/>
        </w:rPr>
        <w:t xml:space="preserve"> baseline </w:t>
      </w:r>
      <w:r w:rsidR="00CF6978">
        <w:rPr>
          <w:rFonts w:ascii="Verdana" w:hAnsi="Verdana"/>
        </w:rPr>
        <w:t>against which to assess</w:t>
      </w:r>
      <w:r w:rsidR="005C3703">
        <w:rPr>
          <w:rFonts w:ascii="Verdana" w:hAnsi="Verdana"/>
        </w:rPr>
        <w:t>.</w:t>
      </w:r>
      <w:r w:rsidR="00F43180">
        <w:rPr>
          <w:rFonts w:ascii="Verdana" w:hAnsi="Verdana"/>
        </w:rPr>
        <w:t xml:space="preserve"> </w:t>
      </w:r>
    </w:p>
    <w:p w14:paraId="0999D5C0" w14:textId="0AD1C824" w:rsidR="00C721CC" w:rsidRDefault="00C721CC" w:rsidP="00C721CC">
      <w:pPr>
        <w:pStyle w:val="ListParagraph"/>
      </w:pPr>
    </w:p>
    <w:p w14:paraId="05AC957E" w14:textId="11BC4412" w:rsidR="00CE76D6" w:rsidRDefault="00C721CC" w:rsidP="00F247B7">
      <w:pPr>
        <w:pStyle w:val="BasicParagraph"/>
        <w:numPr>
          <w:ilvl w:val="1"/>
          <w:numId w:val="22"/>
        </w:numPr>
        <w:suppressAutoHyphens/>
        <w:ind w:left="709"/>
        <w:rPr>
          <w:rFonts w:ascii="Verdana" w:hAnsi="Verdana"/>
        </w:rPr>
      </w:pPr>
      <w:r w:rsidRPr="00165B34">
        <w:rPr>
          <w:rFonts w:ascii="Verdana" w:hAnsi="Verdana"/>
          <w:b/>
          <w:bCs/>
        </w:rPr>
        <w:t>The NIHRC recommends that the Executive</w:t>
      </w:r>
      <w:r w:rsidR="008A21AC">
        <w:rPr>
          <w:rFonts w:ascii="Verdana" w:hAnsi="Verdana"/>
          <w:b/>
          <w:bCs/>
        </w:rPr>
        <w:t xml:space="preserve"> Office </w:t>
      </w:r>
      <w:r w:rsidR="00220E11">
        <w:rPr>
          <w:rFonts w:ascii="Verdana" w:hAnsi="Verdana"/>
          <w:b/>
          <w:bCs/>
        </w:rPr>
        <w:t xml:space="preserve">clarify </w:t>
      </w:r>
      <w:r w:rsidRPr="00165B34">
        <w:rPr>
          <w:rFonts w:ascii="Verdana" w:hAnsi="Verdana"/>
          <w:b/>
          <w:bCs/>
        </w:rPr>
        <w:t xml:space="preserve">how equality of access will be </w:t>
      </w:r>
      <w:r w:rsidR="005C3703">
        <w:rPr>
          <w:rFonts w:ascii="Verdana" w:hAnsi="Verdana"/>
          <w:b/>
          <w:bCs/>
        </w:rPr>
        <w:t>achieved</w:t>
      </w:r>
      <w:r w:rsidR="005C3703" w:rsidRPr="00165B34">
        <w:rPr>
          <w:rFonts w:ascii="Verdana" w:hAnsi="Verdana"/>
          <w:b/>
          <w:bCs/>
        </w:rPr>
        <w:t xml:space="preserve"> </w:t>
      </w:r>
      <w:r w:rsidRPr="00165B34">
        <w:rPr>
          <w:rFonts w:ascii="Verdana" w:hAnsi="Verdana"/>
          <w:b/>
          <w:bCs/>
        </w:rPr>
        <w:t xml:space="preserve">across public services, </w:t>
      </w:r>
      <w:r w:rsidR="00EC7760">
        <w:rPr>
          <w:rFonts w:ascii="Verdana" w:hAnsi="Verdana"/>
          <w:b/>
          <w:bCs/>
        </w:rPr>
        <w:t>with a particular focus on education</w:t>
      </w:r>
      <w:r w:rsidR="002F2571">
        <w:rPr>
          <w:rFonts w:ascii="Verdana" w:hAnsi="Verdana"/>
          <w:b/>
          <w:bCs/>
        </w:rPr>
        <w:t>,</w:t>
      </w:r>
      <w:r w:rsidR="002F2571" w:rsidRPr="002F2571">
        <w:rPr>
          <w:rFonts w:ascii="Verdana" w:hAnsi="Verdana"/>
          <w:b/>
          <w:bCs/>
        </w:rPr>
        <w:t xml:space="preserve"> </w:t>
      </w:r>
      <w:r w:rsidR="002F2571">
        <w:rPr>
          <w:rFonts w:ascii="Verdana" w:hAnsi="Verdana"/>
          <w:b/>
          <w:bCs/>
        </w:rPr>
        <w:t>including campaigns at schools</w:t>
      </w:r>
      <w:r w:rsidR="00EC7760">
        <w:rPr>
          <w:rFonts w:ascii="Verdana" w:hAnsi="Verdana"/>
          <w:b/>
          <w:bCs/>
        </w:rPr>
        <w:t xml:space="preserve"> and</w:t>
      </w:r>
      <w:r w:rsidR="00974BF5">
        <w:rPr>
          <w:rFonts w:ascii="Verdana" w:hAnsi="Verdana"/>
          <w:b/>
          <w:bCs/>
        </w:rPr>
        <w:t xml:space="preserve"> identif</w:t>
      </w:r>
      <w:r w:rsidR="008D77E2">
        <w:rPr>
          <w:rFonts w:ascii="Verdana" w:hAnsi="Verdana"/>
          <w:b/>
          <w:bCs/>
        </w:rPr>
        <w:t>y</w:t>
      </w:r>
      <w:r w:rsidR="008C4506">
        <w:rPr>
          <w:rFonts w:ascii="Verdana" w:hAnsi="Verdana"/>
          <w:b/>
          <w:bCs/>
        </w:rPr>
        <w:t xml:space="preserve"> the</w:t>
      </w:r>
      <w:r w:rsidR="00974BF5">
        <w:rPr>
          <w:rFonts w:ascii="Verdana" w:hAnsi="Verdana"/>
          <w:b/>
          <w:bCs/>
        </w:rPr>
        <w:t xml:space="preserve"> key </w:t>
      </w:r>
      <w:r w:rsidR="00CB00FB">
        <w:rPr>
          <w:rFonts w:ascii="Verdana" w:hAnsi="Verdana"/>
          <w:b/>
          <w:bCs/>
        </w:rPr>
        <w:t>actors to</w:t>
      </w:r>
      <w:r w:rsidR="00974BF5">
        <w:rPr>
          <w:rFonts w:ascii="Verdana" w:hAnsi="Verdana"/>
          <w:b/>
          <w:bCs/>
        </w:rPr>
        <w:t xml:space="preserve"> be involved</w:t>
      </w:r>
      <w:r w:rsidR="00CB00FB">
        <w:rPr>
          <w:rFonts w:ascii="Verdana" w:hAnsi="Verdana"/>
          <w:b/>
          <w:bCs/>
        </w:rPr>
        <w:t xml:space="preserve"> and groups to be engaged including teachers</w:t>
      </w:r>
      <w:r w:rsidRPr="00200664">
        <w:rPr>
          <w:rFonts w:ascii="Verdana" w:hAnsi="Verdana"/>
          <w:b/>
          <w:bCs/>
        </w:rPr>
        <w:t>.</w:t>
      </w:r>
      <w:r w:rsidRPr="003910DE">
        <w:rPr>
          <w:rFonts w:ascii="Verdana" w:hAnsi="Verdana"/>
        </w:rPr>
        <w:t xml:space="preserve"> </w:t>
      </w:r>
    </w:p>
    <w:p w14:paraId="2669E849" w14:textId="77777777" w:rsidR="009155DB" w:rsidRDefault="009155DB" w:rsidP="00FB4E72">
      <w:pPr>
        <w:pStyle w:val="BasicParagraph"/>
        <w:suppressAutoHyphens/>
        <w:ind w:left="709"/>
        <w:rPr>
          <w:rFonts w:ascii="Verdana" w:hAnsi="Verdana"/>
        </w:rPr>
      </w:pPr>
    </w:p>
    <w:p w14:paraId="4AF0EE24" w14:textId="217B3816" w:rsidR="009155DB" w:rsidRPr="00F034EC" w:rsidRDefault="009155DB" w:rsidP="00F247B7">
      <w:pPr>
        <w:pStyle w:val="BasicParagraph"/>
        <w:numPr>
          <w:ilvl w:val="1"/>
          <w:numId w:val="22"/>
        </w:numPr>
        <w:suppressAutoHyphens/>
        <w:ind w:left="709"/>
        <w:rPr>
          <w:rFonts w:ascii="Verdana" w:hAnsi="Verdana"/>
        </w:rPr>
      </w:pPr>
      <w:r w:rsidRPr="00F034EC">
        <w:rPr>
          <w:rFonts w:ascii="Verdana" w:hAnsi="Verdana"/>
          <w:b/>
          <w:bCs/>
        </w:rPr>
        <w:t>The NIHRC recommends that the Executive Office amends the Draft Framework to reflect its obligations relating to minimum standards for access to education under Windsor Framework Article 2, including requirements under the EU Racial Equality Directive</w:t>
      </w:r>
      <w:r w:rsidR="002606DC" w:rsidRPr="00F034EC">
        <w:rPr>
          <w:rFonts w:ascii="Verdana" w:hAnsi="Verdana"/>
        </w:rPr>
        <w:t>.</w:t>
      </w:r>
      <w:r w:rsidRPr="00F034EC">
        <w:rPr>
          <w:rFonts w:ascii="Verdana" w:hAnsi="Verdana"/>
        </w:rPr>
        <w:t xml:space="preserve"> </w:t>
      </w:r>
    </w:p>
    <w:p w14:paraId="2337FCE6" w14:textId="77777777" w:rsidR="00CB00FB" w:rsidRPr="00CB00FB" w:rsidRDefault="00CB00FB" w:rsidP="00CB00FB">
      <w:pPr>
        <w:pStyle w:val="BasicParagraph"/>
        <w:suppressAutoHyphens/>
        <w:rPr>
          <w:rFonts w:ascii="Verdana" w:hAnsi="Verdana"/>
        </w:rPr>
      </w:pPr>
    </w:p>
    <w:p w14:paraId="027E800C" w14:textId="3163E1CF" w:rsidR="001F48F5" w:rsidRPr="009077B2" w:rsidRDefault="001509B1" w:rsidP="00A47D5E">
      <w:pPr>
        <w:pStyle w:val="Heading2"/>
      </w:pPr>
      <w:bookmarkStart w:id="22" w:name="_Toc230705750"/>
      <w:r>
        <w:t>Employment</w:t>
      </w:r>
      <w:bookmarkEnd w:id="22"/>
    </w:p>
    <w:p w14:paraId="31EB0045" w14:textId="77777777" w:rsidR="009077B2" w:rsidRDefault="009077B2" w:rsidP="009077B2">
      <w:pPr>
        <w:pStyle w:val="BasicParagraph"/>
        <w:suppressAutoHyphens/>
        <w:rPr>
          <w:rFonts w:ascii="Verdana" w:hAnsi="Verdana"/>
        </w:rPr>
      </w:pPr>
    </w:p>
    <w:p w14:paraId="4498163D" w14:textId="1DC2C038" w:rsidR="00590822" w:rsidRDefault="00970642" w:rsidP="00F247B7">
      <w:pPr>
        <w:pStyle w:val="BasicParagraph"/>
        <w:numPr>
          <w:ilvl w:val="1"/>
          <w:numId w:val="22"/>
        </w:numPr>
        <w:suppressAutoHyphens/>
        <w:ind w:left="709"/>
        <w:rPr>
          <w:rFonts w:ascii="Verdana" w:hAnsi="Verdana"/>
        </w:rPr>
      </w:pPr>
      <w:r>
        <w:rPr>
          <w:rFonts w:ascii="Verdana" w:hAnsi="Verdana"/>
        </w:rPr>
        <w:t>W</w:t>
      </w:r>
      <w:r w:rsidR="00590822">
        <w:rPr>
          <w:rFonts w:ascii="Verdana" w:hAnsi="Verdana"/>
        </w:rPr>
        <w:t>orkers have the right to just and favourable conditions of work.</w:t>
      </w:r>
      <w:r w:rsidR="00590822" w:rsidRPr="00A62325">
        <w:rPr>
          <w:rStyle w:val="FootnoteReference"/>
          <w:rFonts w:ascii="Verdana" w:hAnsi="Verdana"/>
        </w:rPr>
        <w:footnoteReference w:id="97"/>
      </w:r>
      <w:r w:rsidR="00590822" w:rsidRPr="001A74CA">
        <w:rPr>
          <w:rFonts w:ascii="Verdana" w:hAnsi="Verdana"/>
        </w:rPr>
        <w:t xml:space="preserve"> </w:t>
      </w:r>
      <w:r w:rsidR="00590822">
        <w:rPr>
          <w:rFonts w:ascii="Verdana" w:hAnsi="Verdana"/>
        </w:rPr>
        <w:t>The UN ICESCR Committee has clarified that this:</w:t>
      </w:r>
    </w:p>
    <w:p w14:paraId="1999F901" w14:textId="77777777" w:rsidR="00590822" w:rsidRDefault="00590822" w:rsidP="00590822">
      <w:pPr>
        <w:pStyle w:val="ListParagraph"/>
      </w:pPr>
    </w:p>
    <w:p w14:paraId="42F262D8" w14:textId="013BCD4D" w:rsidR="00590822" w:rsidRPr="006757A9" w:rsidRDefault="00590822" w:rsidP="00D126A4">
      <w:pPr>
        <w:pStyle w:val="Quote"/>
        <w:widowControl/>
      </w:pPr>
      <w:r>
        <w:t xml:space="preserve">is a right of everyone, without distinction of any kind. The reference to ‘everyone’ highlights the fact that the right applies to all workers in all settings, regardless of gender, as well as young and older workers, workers with disabilities, workers in the informal sector, migrant workers, workers from ethnic and other minorities, domestic workers, self-employed workers, agricultural workers, refugee workers and unpaid workers. The reference to </w:t>
      </w:r>
      <w:r>
        <w:lastRenderedPageBreak/>
        <w:t>‘everyone’ reinforces the general prohibition on discrimination… the equality provision… and is supplemented by the various references to equality and freedom from distinctions of any kind.</w:t>
      </w:r>
      <w:r>
        <w:rPr>
          <w:rStyle w:val="FootnoteReference"/>
        </w:rPr>
        <w:footnoteReference w:id="98"/>
      </w:r>
    </w:p>
    <w:p w14:paraId="67C6DD3F" w14:textId="77777777" w:rsidR="00590822" w:rsidRPr="00C14E08" w:rsidRDefault="00590822" w:rsidP="00590822">
      <w:pPr>
        <w:pStyle w:val="BasicParagraph"/>
        <w:suppressAutoHyphens/>
        <w:rPr>
          <w:rFonts w:ascii="Verdana" w:hAnsi="Verdana"/>
        </w:rPr>
      </w:pPr>
    </w:p>
    <w:p w14:paraId="1758CC08" w14:textId="6048A3C3" w:rsidR="00590822" w:rsidRDefault="00590822" w:rsidP="00F247B7">
      <w:pPr>
        <w:pStyle w:val="BasicParagraph"/>
        <w:numPr>
          <w:ilvl w:val="1"/>
          <w:numId w:val="22"/>
        </w:numPr>
        <w:suppressAutoHyphens/>
        <w:ind w:left="709"/>
        <w:rPr>
          <w:rFonts w:ascii="Verdana" w:hAnsi="Verdana"/>
        </w:rPr>
      </w:pPr>
      <w:r w:rsidRPr="00F24F97">
        <w:rPr>
          <w:rFonts w:ascii="Verdana" w:hAnsi="Verdana"/>
        </w:rPr>
        <w:t xml:space="preserve">People from minority </w:t>
      </w:r>
      <w:r w:rsidR="00970642">
        <w:rPr>
          <w:rFonts w:ascii="Verdana" w:hAnsi="Verdana"/>
        </w:rPr>
        <w:t xml:space="preserve">ethnic </w:t>
      </w:r>
      <w:r w:rsidRPr="00F24F97">
        <w:rPr>
          <w:rFonts w:ascii="Verdana" w:hAnsi="Verdana"/>
        </w:rPr>
        <w:t xml:space="preserve">backgrounds are underrepresented in employment in the public sector and </w:t>
      </w:r>
      <w:r w:rsidR="00970642">
        <w:rPr>
          <w:rFonts w:ascii="Verdana" w:hAnsi="Verdana"/>
        </w:rPr>
        <w:t xml:space="preserve">in </w:t>
      </w:r>
      <w:r w:rsidRPr="00F24F97">
        <w:rPr>
          <w:rFonts w:ascii="Verdana" w:hAnsi="Verdana"/>
        </w:rPr>
        <w:t xml:space="preserve">policing in NI. In 2023, 0.5 per cent of NI Civil Service staff were recorded as being from </w:t>
      </w:r>
      <w:r w:rsidR="00127DC4">
        <w:rPr>
          <w:rFonts w:ascii="Verdana" w:hAnsi="Verdana"/>
        </w:rPr>
        <w:t>minority</w:t>
      </w:r>
      <w:r w:rsidRPr="00F24F97">
        <w:rPr>
          <w:rFonts w:ascii="Verdana" w:hAnsi="Verdana"/>
        </w:rPr>
        <w:t xml:space="preserve"> ethnic </w:t>
      </w:r>
      <w:r w:rsidR="00127DC4">
        <w:rPr>
          <w:rFonts w:ascii="Verdana" w:hAnsi="Verdana"/>
        </w:rPr>
        <w:t>groups</w:t>
      </w:r>
      <w:r w:rsidRPr="00F24F97">
        <w:rPr>
          <w:rFonts w:ascii="Verdana" w:hAnsi="Verdana"/>
        </w:rPr>
        <w:t>.</w:t>
      </w:r>
      <w:r>
        <w:rPr>
          <w:rStyle w:val="FootnoteReference"/>
          <w:rFonts w:ascii="Verdana" w:hAnsi="Verdana"/>
        </w:rPr>
        <w:footnoteReference w:id="99"/>
      </w:r>
      <w:r w:rsidRPr="00F24F97">
        <w:rPr>
          <w:rFonts w:ascii="Verdana" w:hAnsi="Verdana"/>
        </w:rPr>
        <w:t xml:space="preserve"> As of March 2024, 0.6 per cent of police officers in NI were from minority</w:t>
      </w:r>
      <w:r w:rsidR="00127DC4">
        <w:rPr>
          <w:rFonts w:ascii="Verdana" w:hAnsi="Verdana"/>
        </w:rPr>
        <w:t xml:space="preserve"> ethnic group</w:t>
      </w:r>
      <w:r w:rsidR="000C69E8">
        <w:rPr>
          <w:rFonts w:ascii="Verdana" w:hAnsi="Verdana"/>
        </w:rPr>
        <w:t>s</w:t>
      </w:r>
      <w:r w:rsidRPr="00F24F97">
        <w:rPr>
          <w:rFonts w:ascii="Verdana" w:hAnsi="Verdana"/>
        </w:rPr>
        <w:t>.</w:t>
      </w:r>
      <w:r>
        <w:rPr>
          <w:rStyle w:val="FootnoteReference"/>
          <w:rFonts w:ascii="Verdana" w:hAnsi="Verdana"/>
        </w:rPr>
        <w:footnoteReference w:id="100"/>
      </w:r>
      <w:r>
        <w:rPr>
          <w:rFonts w:ascii="Verdana" w:hAnsi="Verdana"/>
        </w:rPr>
        <w:t xml:space="preserve"> </w:t>
      </w:r>
      <w:r w:rsidRPr="00D36012">
        <w:rPr>
          <w:rFonts w:ascii="Verdana" w:hAnsi="Verdana"/>
        </w:rPr>
        <w:t>Recognition of qualifications is also a significant barrier to gaining employment.</w:t>
      </w:r>
    </w:p>
    <w:p w14:paraId="4BAAF313" w14:textId="77777777" w:rsidR="00F9651D" w:rsidRPr="0093476C" w:rsidRDefault="00F9651D" w:rsidP="00F9651D">
      <w:pPr>
        <w:pStyle w:val="BasicParagraph"/>
        <w:suppressAutoHyphens/>
        <w:ind w:left="709"/>
        <w:rPr>
          <w:rFonts w:ascii="Verdana" w:hAnsi="Verdana"/>
        </w:rPr>
      </w:pPr>
    </w:p>
    <w:p w14:paraId="14696726" w14:textId="6978ED4A" w:rsidR="00E55387" w:rsidRDefault="00372FCE" w:rsidP="00D66590">
      <w:pPr>
        <w:pStyle w:val="BasicParagraph"/>
        <w:numPr>
          <w:ilvl w:val="1"/>
          <w:numId w:val="22"/>
        </w:numPr>
        <w:suppressAutoHyphens/>
        <w:ind w:left="709"/>
        <w:rPr>
          <w:rFonts w:ascii="Verdana" w:hAnsi="Verdana"/>
        </w:rPr>
      </w:pPr>
      <w:r>
        <w:rPr>
          <w:rFonts w:ascii="Verdana" w:hAnsi="Verdana"/>
        </w:rPr>
        <w:t xml:space="preserve">In </w:t>
      </w:r>
      <w:r w:rsidR="005A747B">
        <w:rPr>
          <w:rFonts w:ascii="Verdana" w:hAnsi="Verdana"/>
        </w:rPr>
        <w:t>2025,</w:t>
      </w:r>
      <w:r w:rsidR="00142998" w:rsidRPr="00142998">
        <w:rPr>
          <w:rFonts w:ascii="Verdana" w:hAnsi="Verdana"/>
        </w:rPr>
        <w:t xml:space="preserve"> </w:t>
      </w:r>
      <w:r w:rsidR="00142998">
        <w:rPr>
          <w:rFonts w:ascii="Verdana" w:hAnsi="Verdana"/>
        </w:rPr>
        <w:t>t</w:t>
      </w:r>
      <w:r w:rsidR="00142998" w:rsidRPr="009077B2">
        <w:rPr>
          <w:rFonts w:ascii="Verdana" w:hAnsi="Verdana"/>
        </w:rPr>
        <w:t xml:space="preserve">he </w:t>
      </w:r>
      <w:r w:rsidR="00142998">
        <w:rPr>
          <w:rFonts w:ascii="Verdana" w:hAnsi="Verdana"/>
        </w:rPr>
        <w:t xml:space="preserve">UN ICESCR </w:t>
      </w:r>
      <w:r w:rsidR="00142998" w:rsidRPr="009077B2">
        <w:rPr>
          <w:rFonts w:ascii="Verdana" w:hAnsi="Verdana"/>
        </w:rPr>
        <w:t>Committee</w:t>
      </w:r>
      <w:r w:rsidR="0080060A">
        <w:rPr>
          <w:rFonts w:ascii="Verdana" w:hAnsi="Verdana"/>
        </w:rPr>
        <w:t xml:space="preserve"> </w:t>
      </w:r>
      <w:r w:rsidR="0003635C">
        <w:rPr>
          <w:rFonts w:ascii="Verdana" w:hAnsi="Verdana"/>
        </w:rPr>
        <w:t>noted its concern</w:t>
      </w:r>
      <w:r w:rsidR="00D66590" w:rsidRPr="00D66590">
        <w:rPr>
          <w:rFonts w:ascii="Verdana" w:hAnsi="Verdana"/>
        </w:rPr>
        <w:t xml:space="preserve"> “</w:t>
      </w:r>
      <w:r w:rsidR="009077B2" w:rsidRPr="009077B2">
        <w:rPr>
          <w:rFonts w:ascii="Verdana" w:hAnsi="Verdana"/>
        </w:rPr>
        <w:t>about the relative high unemployment and underemployment rates</w:t>
      </w:r>
      <w:r w:rsidR="006403A6">
        <w:rPr>
          <w:rFonts w:ascii="Verdana" w:hAnsi="Verdana"/>
        </w:rPr>
        <w:t xml:space="preserve"> </w:t>
      </w:r>
      <w:r w:rsidR="009077B2" w:rsidRPr="009077B2">
        <w:rPr>
          <w:rFonts w:ascii="Verdana" w:hAnsi="Verdana"/>
        </w:rPr>
        <w:t>among disadvantaged groups and in certain regions and the structural barriers that those groups face in access to the labour market and employment service</w:t>
      </w:r>
      <w:r w:rsidR="009077B2">
        <w:rPr>
          <w:rFonts w:ascii="Verdana" w:hAnsi="Verdana"/>
        </w:rPr>
        <w:t>s</w:t>
      </w:r>
      <w:r w:rsidR="001001BE">
        <w:rPr>
          <w:rFonts w:ascii="Verdana" w:hAnsi="Verdana"/>
        </w:rPr>
        <w:t>”</w:t>
      </w:r>
      <w:r w:rsidR="009077B2" w:rsidRPr="009077B2">
        <w:rPr>
          <w:rFonts w:ascii="Verdana" w:hAnsi="Verdana"/>
        </w:rPr>
        <w:t>.</w:t>
      </w:r>
      <w:r w:rsidR="00931555">
        <w:rPr>
          <w:rStyle w:val="FootnoteReference"/>
          <w:rFonts w:ascii="Verdana" w:hAnsi="Verdana"/>
        </w:rPr>
        <w:footnoteReference w:id="101"/>
      </w:r>
      <w:r w:rsidR="009077B2" w:rsidRPr="009077B2">
        <w:rPr>
          <w:rFonts w:ascii="Verdana" w:hAnsi="Verdana"/>
        </w:rPr>
        <w:t xml:space="preserve"> </w:t>
      </w:r>
      <w:r w:rsidR="0024724C">
        <w:rPr>
          <w:rFonts w:ascii="Verdana" w:hAnsi="Verdana"/>
        </w:rPr>
        <w:t>The UN ICESCR Committee recommended</w:t>
      </w:r>
      <w:r w:rsidR="009077B2" w:rsidRPr="009077B2">
        <w:rPr>
          <w:rFonts w:ascii="Verdana" w:hAnsi="Verdana"/>
        </w:rPr>
        <w:t xml:space="preserve"> that</w:t>
      </w:r>
      <w:r w:rsidR="00D66590">
        <w:rPr>
          <w:rFonts w:ascii="Verdana" w:hAnsi="Verdana"/>
        </w:rPr>
        <w:t>:</w:t>
      </w:r>
      <w:r w:rsidR="00E55387">
        <w:rPr>
          <w:rFonts w:ascii="Verdana" w:hAnsi="Verdana"/>
        </w:rPr>
        <w:t xml:space="preserve"> </w:t>
      </w:r>
    </w:p>
    <w:p w14:paraId="6B2F2AB5" w14:textId="77777777" w:rsidR="00F04D58" w:rsidRDefault="00F04D58" w:rsidP="00F04D58">
      <w:pPr>
        <w:pStyle w:val="BasicParagraph"/>
        <w:suppressAutoHyphens/>
        <w:ind w:left="709"/>
        <w:rPr>
          <w:rFonts w:ascii="Verdana" w:hAnsi="Verdana"/>
        </w:rPr>
      </w:pPr>
    </w:p>
    <w:p w14:paraId="20E91EE1" w14:textId="55811183" w:rsidR="009077B2" w:rsidRDefault="009077B2" w:rsidP="00D66590">
      <w:pPr>
        <w:pStyle w:val="Quote"/>
      </w:pPr>
      <w:r w:rsidRPr="009077B2">
        <w:t>Northern Ireland, strengthen efforts to address unemployment an</w:t>
      </w:r>
      <w:r>
        <w:t>d</w:t>
      </w:r>
      <w:r w:rsidR="00E55387">
        <w:t xml:space="preserve"> </w:t>
      </w:r>
      <w:r w:rsidRPr="009077B2">
        <w:t>underemployment among women, persons with disabilities, young</w:t>
      </w:r>
      <w:r>
        <w:t xml:space="preserve"> </w:t>
      </w:r>
      <w:r w:rsidRPr="009077B2">
        <w:t>people, ethnic minorities and migrants by implementing targeted public sector employment schemes, enhancing vocational training and employment services.</w:t>
      </w:r>
      <w:r w:rsidR="00B043BB">
        <w:rPr>
          <w:rStyle w:val="FootnoteReference"/>
        </w:rPr>
        <w:footnoteReference w:id="102"/>
      </w:r>
    </w:p>
    <w:p w14:paraId="48C84C66" w14:textId="77777777" w:rsidR="00E5004E" w:rsidRDefault="00E5004E" w:rsidP="00D66590">
      <w:pPr>
        <w:pStyle w:val="Quote"/>
      </w:pPr>
    </w:p>
    <w:p w14:paraId="4896662F" w14:textId="5354F62A" w:rsidR="005A5FD2" w:rsidRDefault="00BA159A" w:rsidP="00F247B7">
      <w:pPr>
        <w:pStyle w:val="BasicParagraph"/>
        <w:numPr>
          <w:ilvl w:val="1"/>
          <w:numId w:val="22"/>
        </w:numPr>
        <w:suppressAutoHyphens/>
        <w:ind w:left="709"/>
        <w:rPr>
          <w:rFonts w:ascii="Verdana" w:hAnsi="Verdana"/>
        </w:rPr>
      </w:pPr>
      <w:r>
        <w:rPr>
          <w:rFonts w:ascii="Verdana" w:hAnsi="Verdana"/>
        </w:rPr>
        <w:t>In addition, the UN ICESC</w:t>
      </w:r>
      <w:r w:rsidR="00962735">
        <w:rPr>
          <w:rFonts w:ascii="Verdana" w:hAnsi="Verdana"/>
        </w:rPr>
        <w:t xml:space="preserve">R </w:t>
      </w:r>
      <w:r w:rsidR="00001AD6">
        <w:rPr>
          <w:rFonts w:ascii="Verdana" w:hAnsi="Verdana"/>
        </w:rPr>
        <w:t xml:space="preserve">Committee has </w:t>
      </w:r>
      <w:r w:rsidR="005A5FD2">
        <w:rPr>
          <w:rFonts w:ascii="Verdana" w:hAnsi="Verdana"/>
        </w:rPr>
        <w:t>recommended that N</w:t>
      </w:r>
      <w:r w:rsidR="00524390">
        <w:rPr>
          <w:rFonts w:ascii="Verdana" w:hAnsi="Verdana"/>
        </w:rPr>
        <w:t>I</w:t>
      </w:r>
      <w:r w:rsidR="00001AD6">
        <w:rPr>
          <w:rFonts w:ascii="Verdana" w:hAnsi="Verdana"/>
        </w:rPr>
        <w:t>,</w:t>
      </w:r>
    </w:p>
    <w:p w14:paraId="40829B97" w14:textId="77777777" w:rsidR="005A5FD2" w:rsidRDefault="005A5FD2" w:rsidP="005A5FD2">
      <w:pPr>
        <w:pStyle w:val="BasicParagraph"/>
        <w:suppressAutoHyphens/>
        <w:ind w:left="709"/>
        <w:rPr>
          <w:rFonts w:ascii="Verdana" w:hAnsi="Verdana"/>
        </w:rPr>
      </w:pPr>
    </w:p>
    <w:p w14:paraId="6027A169" w14:textId="0887BCD6" w:rsidR="00E165B7" w:rsidRDefault="00001AD6" w:rsidP="00D126A4">
      <w:pPr>
        <w:pStyle w:val="Quote"/>
        <w:widowControl/>
      </w:pPr>
      <w:r w:rsidRPr="00001AD6">
        <w:t>Ensure that migrant workers enjoy equal rights to other workers, in law and practice, in terms of wages, job security, rest and leisure, social security and trade union membership, and eliminate exploitative practices affecting migrant workers, particularly workers under such work visa</w:t>
      </w:r>
      <w:r>
        <w:t xml:space="preserve"> </w:t>
      </w:r>
      <w:r w:rsidRPr="00001AD6">
        <w:t xml:space="preserve">arrangements as the Health and Care Worker, Overseas Domestic Worker and Seasonal Worker visa schemes, by banning recruitment fees, lifting </w:t>
      </w:r>
      <w:r>
        <w:t>r</w:t>
      </w:r>
      <w:r w:rsidRPr="00001AD6">
        <w:t>estrictions on changing employers, extending wage protections</w:t>
      </w:r>
      <w:r w:rsidR="00E5004E">
        <w:t xml:space="preserve"> p</w:t>
      </w:r>
      <w:r w:rsidR="00E5004E" w:rsidRPr="00E5004E">
        <w:t>rotecting</w:t>
      </w:r>
      <w:r w:rsidR="00E5004E">
        <w:t xml:space="preserve"> </w:t>
      </w:r>
      <w:r w:rsidR="00E5004E" w:rsidRPr="00E5004E">
        <w:lastRenderedPageBreak/>
        <w:t>workers who report abuse and guaranteeing access to inspection</w:t>
      </w:r>
      <w:r w:rsidR="00E5004E">
        <w:t xml:space="preserve"> </w:t>
      </w:r>
      <w:r w:rsidR="00E5004E" w:rsidRPr="00E5004E">
        <w:t>and reporting mechanisms, including interpretation services</w:t>
      </w:r>
      <w:r w:rsidR="00E5004E">
        <w:t xml:space="preserve"> </w:t>
      </w:r>
      <w:r w:rsidR="00E5004E" w:rsidRPr="00E5004E">
        <w:t>and legal aid</w:t>
      </w:r>
      <w:r w:rsidR="00E03D03">
        <w:t>.</w:t>
      </w:r>
      <w:r w:rsidR="005B6927">
        <w:rPr>
          <w:rStyle w:val="FootnoteReference"/>
        </w:rPr>
        <w:footnoteReference w:id="103"/>
      </w:r>
    </w:p>
    <w:p w14:paraId="1B99CA5B" w14:textId="77777777" w:rsidR="00E5004E" w:rsidRDefault="00E5004E" w:rsidP="00E5004E">
      <w:pPr>
        <w:pStyle w:val="BasicParagraph"/>
        <w:suppressAutoHyphens/>
        <w:ind w:left="709"/>
        <w:rPr>
          <w:rFonts w:ascii="Verdana" w:hAnsi="Verdana"/>
        </w:rPr>
      </w:pPr>
    </w:p>
    <w:p w14:paraId="02A4CA3A" w14:textId="314264F9" w:rsidR="00D90D16" w:rsidRDefault="001576ED" w:rsidP="00D66590">
      <w:pPr>
        <w:pStyle w:val="BasicParagraph"/>
        <w:numPr>
          <w:ilvl w:val="1"/>
          <w:numId w:val="22"/>
        </w:numPr>
        <w:suppressAutoHyphens/>
        <w:ind w:left="709"/>
        <w:rPr>
          <w:rFonts w:ascii="Verdana" w:hAnsi="Verdana"/>
        </w:rPr>
      </w:pPr>
      <w:r w:rsidRPr="00D916AE">
        <w:rPr>
          <w:rFonts w:ascii="Verdana" w:hAnsi="Verdana"/>
        </w:rPr>
        <w:t xml:space="preserve">The UN ICESCR Committee has </w:t>
      </w:r>
      <w:r w:rsidR="00970642">
        <w:rPr>
          <w:rFonts w:ascii="Verdana" w:hAnsi="Verdana"/>
        </w:rPr>
        <w:t>restated the</w:t>
      </w:r>
      <w:r w:rsidRPr="00D916AE">
        <w:rPr>
          <w:rFonts w:ascii="Verdana" w:hAnsi="Verdana"/>
        </w:rPr>
        <w:t xml:space="preserve"> obligation to “monitor effectively the implementation measures to comply with” the right to non-discrimination and equality.</w:t>
      </w:r>
      <w:r>
        <w:rPr>
          <w:rStyle w:val="FootnoteReference"/>
          <w:rFonts w:ascii="Verdana" w:hAnsi="Verdana"/>
        </w:rPr>
        <w:footnoteReference w:id="104"/>
      </w:r>
      <w:r w:rsidRPr="00D916AE">
        <w:rPr>
          <w:rFonts w:ascii="Verdana" w:hAnsi="Verdana"/>
        </w:rPr>
        <w:t xml:space="preserve"> It </w:t>
      </w:r>
      <w:r w:rsidR="00D7530C">
        <w:rPr>
          <w:rFonts w:ascii="Verdana" w:hAnsi="Verdana"/>
        </w:rPr>
        <w:t>has further stated that</w:t>
      </w:r>
      <w:r w:rsidR="00D66590" w:rsidRPr="00D66590">
        <w:rPr>
          <w:rFonts w:ascii="Verdana" w:hAnsi="Verdana"/>
        </w:rPr>
        <w:t xml:space="preserve"> “</w:t>
      </w:r>
      <w:r w:rsidRPr="00D916AE">
        <w:rPr>
          <w:rFonts w:ascii="Verdana" w:hAnsi="Verdana"/>
        </w:rPr>
        <w:t>monitoring should assess both the steps taken and the results achieved</w:t>
      </w:r>
      <w:r w:rsidR="00B94E85">
        <w:rPr>
          <w:rFonts w:ascii="Verdana" w:hAnsi="Verdana"/>
        </w:rPr>
        <w:t xml:space="preserve"> </w:t>
      </w:r>
      <w:r w:rsidRPr="00D916AE">
        <w:rPr>
          <w:rFonts w:ascii="Verdana" w:hAnsi="Verdana"/>
        </w:rPr>
        <w:t>in the elimination of discrimination. National strategies, policies and plans</w:t>
      </w:r>
      <w:r w:rsidR="00D90D16">
        <w:rPr>
          <w:rFonts w:ascii="Verdana" w:hAnsi="Verdana"/>
        </w:rPr>
        <w:t xml:space="preserve"> </w:t>
      </w:r>
      <w:r w:rsidRPr="00D916AE">
        <w:rPr>
          <w:rFonts w:ascii="Verdana" w:hAnsi="Verdana"/>
        </w:rPr>
        <w:t>should use appropriate indicators and benchmarks, disaggregated on the basis of the prohibited grounds of discrimination</w:t>
      </w:r>
      <w:r w:rsidR="00D66590" w:rsidRPr="00D66590">
        <w:rPr>
          <w:rFonts w:ascii="Verdana" w:hAnsi="Verdana"/>
        </w:rPr>
        <w:t>”</w:t>
      </w:r>
      <w:r w:rsidRPr="00D66590">
        <w:rPr>
          <w:rFonts w:ascii="Verdana" w:hAnsi="Verdana"/>
        </w:rPr>
        <w:t>.</w:t>
      </w:r>
      <w:r>
        <w:rPr>
          <w:rStyle w:val="FootnoteReference"/>
          <w:rFonts w:ascii="Verdana" w:hAnsi="Verdana"/>
        </w:rPr>
        <w:footnoteReference w:id="105"/>
      </w:r>
      <w:r w:rsidRPr="00D916AE">
        <w:rPr>
          <w:rFonts w:ascii="Verdana" w:hAnsi="Verdana"/>
        </w:rPr>
        <w:t xml:space="preserve"> The UN CEDAW Committee and UN CRC Committee have made similar </w:t>
      </w:r>
    </w:p>
    <w:p w14:paraId="56EA36B1" w14:textId="511E8BFB" w:rsidR="003060FD" w:rsidRDefault="001576ED" w:rsidP="003060FD">
      <w:pPr>
        <w:pStyle w:val="BasicParagraph"/>
        <w:suppressAutoHyphens/>
        <w:ind w:firstLine="709"/>
        <w:rPr>
          <w:rFonts w:ascii="Verdana" w:hAnsi="Verdana"/>
        </w:rPr>
      </w:pPr>
      <w:r w:rsidRPr="00D916AE">
        <w:rPr>
          <w:rFonts w:ascii="Verdana" w:hAnsi="Verdana"/>
        </w:rPr>
        <w:t>clarifications.</w:t>
      </w:r>
      <w:r w:rsidRPr="00CE7C0B">
        <w:rPr>
          <w:rStyle w:val="FootnoteReference"/>
          <w:rFonts w:ascii="Verdana" w:hAnsi="Verdana"/>
        </w:rPr>
        <w:footnoteReference w:id="106"/>
      </w:r>
    </w:p>
    <w:p w14:paraId="0EE4AF99" w14:textId="77777777" w:rsidR="0073329A" w:rsidRDefault="0073329A" w:rsidP="0073329A">
      <w:pPr>
        <w:pStyle w:val="BasicParagraph"/>
        <w:suppressAutoHyphens/>
        <w:rPr>
          <w:rFonts w:ascii="Verdana" w:hAnsi="Verdana"/>
        </w:rPr>
      </w:pPr>
    </w:p>
    <w:p w14:paraId="2D6CBBBC" w14:textId="77777777" w:rsidR="00F701AB" w:rsidRDefault="00447F44" w:rsidP="0073329A">
      <w:pPr>
        <w:pStyle w:val="BasicParagraph"/>
        <w:numPr>
          <w:ilvl w:val="1"/>
          <w:numId w:val="22"/>
        </w:numPr>
        <w:suppressAutoHyphens/>
        <w:ind w:left="709"/>
        <w:rPr>
          <w:rFonts w:ascii="Verdana" w:hAnsi="Verdana"/>
        </w:rPr>
      </w:pPr>
      <w:r w:rsidRPr="00F701AB">
        <w:rPr>
          <w:rFonts w:ascii="Verdana" w:hAnsi="Verdana"/>
        </w:rPr>
        <w:t xml:space="preserve">Windsor Framework Articles 2 and 13 require the law in NI to keep pace with any improvements to minimum standards of equality protection enshrined in six EU directives listed in Annex 1 to the Windsor Framework. </w:t>
      </w:r>
      <w:r w:rsidR="00090DEE" w:rsidRPr="00F701AB">
        <w:rPr>
          <w:rFonts w:ascii="Verdana" w:hAnsi="Verdana"/>
        </w:rPr>
        <w:t xml:space="preserve">This includes </w:t>
      </w:r>
      <w:r w:rsidR="00233FF3" w:rsidRPr="00F701AB">
        <w:rPr>
          <w:rFonts w:ascii="Verdana" w:hAnsi="Verdana"/>
        </w:rPr>
        <w:t>dis</w:t>
      </w:r>
      <w:r w:rsidR="00A942B1" w:rsidRPr="00F701AB">
        <w:rPr>
          <w:rFonts w:ascii="Verdana" w:hAnsi="Verdana"/>
        </w:rPr>
        <w:t xml:space="preserve">crimination </w:t>
      </w:r>
      <w:r w:rsidRPr="00F701AB">
        <w:rPr>
          <w:rFonts w:ascii="Verdana" w:hAnsi="Verdana"/>
        </w:rPr>
        <w:t xml:space="preserve">on </w:t>
      </w:r>
      <w:r w:rsidR="00CA081C" w:rsidRPr="00F701AB">
        <w:rPr>
          <w:rFonts w:ascii="Verdana" w:hAnsi="Verdana"/>
        </w:rPr>
        <w:t xml:space="preserve">the </w:t>
      </w:r>
      <w:r w:rsidRPr="00F701AB">
        <w:rPr>
          <w:rFonts w:ascii="Verdana" w:hAnsi="Verdana"/>
        </w:rPr>
        <w:t>grounds of race and ethnicity,</w:t>
      </w:r>
      <w:r w:rsidR="008F03F9">
        <w:rPr>
          <w:rStyle w:val="FootnoteReference"/>
          <w:rFonts w:ascii="Verdana" w:hAnsi="Verdana"/>
        </w:rPr>
        <w:footnoteReference w:id="107"/>
      </w:r>
      <w:r w:rsidRPr="00F701AB">
        <w:rPr>
          <w:rFonts w:ascii="Verdana" w:hAnsi="Verdana"/>
        </w:rPr>
        <w:t xml:space="preserve"> </w:t>
      </w:r>
      <w:r w:rsidR="00F11C5F" w:rsidRPr="00F701AB">
        <w:rPr>
          <w:rFonts w:ascii="Verdana" w:hAnsi="Verdana"/>
        </w:rPr>
        <w:t>and</w:t>
      </w:r>
      <w:r w:rsidR="008F03F9" w:rsidRPr="00F701AB">
        <w:rPr>
          <w:rFonts w:ascii="Verdana" w:hAnsi="Verdana"/>
        </w:rPr>
        <w:t xml:space="preserve"> on the grounds of</w:t>
      </w:r>
      <w:r w:rsidRPr="00F701AB">
        <w:rPr>
          <w:rFonts w:ascii="Verdana" w:hAnsi="Verdana"/>
        </w:rPr>
        <w:t xml:space="preserve"> religion and belief</w:t>
      </w:r>
      <w:r w:rsidR="000D07DE">
        <w:rPr>
          <w:rStyle w:val="FootnoteReference"/>
          <w:rFonts w:ascii="Verdana" w:hAnsi="Verdana"/>
        </w:rPr>
        <w:footnoteReference w:id="108"/>
      </w:r>
      <w:r w:rsidR="002A6711" w:rsidRPr="00F701AB">
        <w:rPr>
          <w:rFonts w:ascii="Verdana" w:hAnsi="Verdana"/>
        </w:rPr>
        <w:t xml:space="preserve"> </w:t>
      </w:r>
      <w:r w:rsidR="00090DEE" w:rsidRPr="00F701AB">
        <w:rPr>
          <w:rFonts w:ascii="Verdana" w:hAnsi="Verdana"/>
        </w:rPr>
        <w:t xml:space="preserve">in the area </w:t>
      </w:r>
      <w:r w:rsidR="00ED6B3D" w:rsidRPr="00F701AB">
        <w:rPr>
          <w:rFonts w:ascii="Verdana" w:hAnsi="Verdana"/>
        </w:rPr>
        <w:t xml:space="preserve">of </w:t>
      </w:r>
      <w:r w:rsidR="00090DEE" w:rsidRPr="00F701AB">
        <w:rPr>
          <w:rFonts w:ascii="Verdana" w:hAnsi="Verdana"/>
        </w:rPr>
        <w:t>employment.</w:t>
      </w:r>
      <w:r w:rsidR="00FC55D6" w:rsidRPr="00F701AB">
        <w:rPr>
          <w:rFonts w:ascii="Verdana" w:hAnsi="Verdana"/>
        </w:rPr>
        <w:t xml:space="preserve"> The</w:t>
      </w:r>
      <w:r w:rsidR="007D3741" w:rsidRPr="00F701AB">
        <w:rPr>
          <w:rFonts w:ascii="Verdana" w:hAnsi="Verdana"/>
        </w:rPr>
        <w:t xml:space="preserve"> </w:t>
      </w:r>
      <w:r w:rsidR="00ED6B3D" w:rsidRPr="00F701AB">
        <w:rPr>
          <w:rFonts w:ascii="Verdana" w:hAnsi="Verdana"/>
        </w:rPr>
        <w:t>dynamic alignment</w:t>
      </w:r>
      <w:r w:rsidR="00FC55D6" w:rsidRPr="00F701AB">
        <w:rPr>
          <w:rFonts w:ascii="Verdana" w:hAnsi="Verdana"/>
        </w:rPr>
        <w:t xml:space="preserve"> obligation also requires compliance with relevant current and future CJEU case law</w:t>
      </w:r>
      <w:r w:rsidR="00F02E32" w:rsidRPr="00F701AB">
        <w:rPr>
          <w:rFonts w:ascii="Verdana" w:hAnsi="Verdana"/>
        </w:rPr>
        <w:t>,</w:t>
      </w:r>
      <w:r w:rsidR="008B7189">
        <w:rPr>
          <w:rStyle w:val="FootnoteReference"/>
          <w:rFonts w:ascii="Verdana" w:hAnsi="Verdana"/>
        </w:rPr>
        <w:footnoteReference w:id="109"/>
      </w:r>
      <w:r w:rsidR="00F02E32" w:rsidRPr="00F701AB">
        <w:rPr>
          <w:rFonts w:ascii="Verdana" w:hAnsi="Verdana"/>
        </w:rPr>
        <w:t xml:space="preserve"> </w:t>
      </w:r>
      <w:r w:rsidR="004D2F97" w:rsidRPr="00F701AB">
        <w:rPr>
          <w:rFonts w:ascii="Verdana" w:hAnsi="Verdana"/>
        </w:rPr>
        <w:t>e</w:t>
      </w:r>
      <w:r w:rsidR="00F02E32" w:rsidRPr="00F701AB">
        <w:rPr>
          <w:rFonts w:ascii="Verdana" w:hAnsi="Verdana"/>
        </w:rPr>
        <w:t>xamples of which the Commission has previously highlighted.</w:t>
      </w:r>
      <w:r w:rsidR="00EB0273">
        <w:rPr>
          <w:rStyle w:val="FootnoteReference"/>
          <w:rFonts w:ascii="Verdana" w:hAnsi="Verdana"/>
        </w:rPr>
        <w:footnoteReference w:id="110"/>
      </w:r>
      <w:r w:rsidR="00EF79A5" w:rsidRPr="00F701AB">
        <w:rPr>
          <w:rFonts w:ascii="Verdana" w:hAnsi="Verdana"/>
        </w:rPr>
        <w:t xml:space="preserve"> </w:t>
      </w:r>
      <w:r w:rsidR="007A0A4E" w:rsidRPr="00F701AB">
        <w:rPr>
          <w:rFonts w:ascii="Verdana" w:hAnsi="Verdana"/>
        </w:rPr>
        <w:t>It would be beneficial if the Draft Framework reflected</w:t>
      </w:r>
      <w:r w:rsidR="005E545B" w:rsidRPr="00F701AB">
        <w:rPr>
          <w:rFonts w:ascii="Verdana" w:hAnsi="Verdana"/>
        </w:rPr>
        <w:t xml:space="preserve"> both the </w:t>
      </w:r>
      <w:r w:rsidR="00037E41" w:rsidRPr="00F701AB">
        <w:rPr>
          <w:rFonts w:ascii="Verdana" w:hAnsi="Verdana"/>
        </w:rPr>
        <w:t>EU Directives</w:t>
      </w:r>
      <w:r w:rsidR="00243ED4" w:rsidRPr="00F701AB">
        <w:rPr>
          <w:rFonts w:ascii="Verdana" w:hAnsi="Verdana"/>
        </w:rPr>
        <w:t>’</w:t>
      </w:r>
      <w:r w:rsidR="00037E41" w:rsidRPr="00F701AB">
        <w:rPr>
          <w:rFonts w:ascii="Verdana" w:hAnsi="Verdana"/>
        </w:rPr>
        <w:t xml:space="preserve"> underpinning minimum standards in this area as well as </w:t>
      </w:r>
      <w:r w:rsidR="00587204" w:rsidRPr="00F701AB">
        <w:rPr>
          <w:rFonts w:ascii="Verdana" w:hAnsi="Verdana"/>
        </w:rPr>
        <w:t>the keep pace</w:t>
      </w:r>
      <w:r w:rsidR="00037E41" w:rsidRPr="00F701AB">
        <w:rPr>
          <w:rFonts w:ascii="Verdana" w:hAnsi="Verdana"/>
        </w:rPr>
        <w:t xml:space="preserve"> </w:t>
      </w:r>
      <w:r w:rsidR="007A0A4E" w:rsidRPr="00F701AB">
        <w:rPr>
          <w:rFonts w:ascii="Verdana" w:hAnsi="Verdana"/>
        </w:rPr>
        <w:t>obligation</w:t>
      </w:r>
      <w:r w:rsidR="00C17CE0" w:rsidRPr="00F701AB">
        <w:rPr>
          <w:rFonts w:ascii="Verdana" w:hAnsi="Verdana"/>
        </w:rPr>
        <w:t xml:space="preserve">. </w:t>
      </w:r>
    </w:p>
    <w:p w14:paraId="7CACC3F2" w14:textId="77777777" w:rsidR="00B775D0" w:rsidRPr="00B775D0" w:rsidRDefault="00B775D0" w:rsidP="00B775D0"/>
    <w:p w14:paraId="0076A716" w14:textId="45962DED" w:rsidR="003060FD" w:rsidRPr="00F701AB" w:rsidRDefault="003060FD" w:rsidP="00703450">
      <w:pPr>
        <w:pStyle w:val="BasicParagraph"/>
        <w:numPr>
          <w:ilvl w:val="1"/>
          <w:numId w:val="22"/>
        </w:numPr>
        <w:suppressAutoHyphens/>
        <w:ind w:left="709"/>
        <w:rPr>
          <w:rFonts w:ascii="Verdana" w:hAnsi="Verdana"/>
        </w:rPr>
      </w:pPr>
      <w:r w:rsidRPr="00F701AB">
        <w:rPr>
          <w:rFonts w:ascii="Verdana" w:hAnsi="Verdana"/>
          <w:b/>
          <w:bCs/>
        </w:rPr>
        <w:lastRenderedPageBreak/>
        <w:t>The NIHRC recommends that the Executive Office strengthens Outcome 3 by including a corresponding intervention to improve access to employment, including targeted public-sector employment initiatives, and measures to expand access to vocational training and employment services for minority ethnic communities</w:t>
      </w:r>
      <w:r w:rsidRPr="00F701AB">
        <w:rPr>
          <w:rFonts w:ascii="Verdana" w:hAnsi="Verdana"/>
        </w:rPr>
        <w:t>.</w:t>
      </w:r>
    </w:p>
    <w:p w14:paraId="4B690E99" w14:textId="77777777" w:rsidR="005F6743" w:rsidRPr="00F034EC" w:rsidRDefault="005F6743" w:rsidP="001473CD">
      <w:pPr>
        <w:pStyle w:val="ListParagraph"/>
      </w:pPr>
    </w:p>
    <w:p w14:paraId="2930ACFC" w14:textId="2E9E9C5B" w:rsidR="005F6743" w:rsidRPr="00F034EC" w:rsidRDefault="005F6743" w:rsidP="00F247B7">
      <w:pPr>
        <w:pStyle w:val="BasicParagraph"/>
        <w:numPr>
          <w:ilvl w:val="1"/>
          <w:numId w:val="22"/>
        </w:numPr>
        <w:suppressAutoHyphens/>
        <w:ind w:left="709"/>
        <w:rPr>
          <w:rFonts w:ascii="Verdana" w:hAnsi="Verdana"/>
        </w:rPr>
      </w:pPr>
      <w:r w:rsidRPr="00F034EC">
        <w:rPr>
          <w:rFonts w:ascii="Verdana" w:hAnsi="Verdana"/>
          <w:b/>
          <w:bCs/>
        </w:rPr>
        <w:t xml:space="preserve">The NIHRC recommends that the Draft Framework </w:t>
      </w:r>
      <w:r w:rsidR="00AA3E4B" w:rsidRPr="00F034EC">
        <w:rPr>
          <w:rFonts w:ascii="Verdana" w:hAnsi="Verdana"/>
          <w:b/>
          <w:bCs/>
        </w:rPr>
        <w:t xml:space="preserve">include a commitment by the Executive Office </w:t>
      </w:r>
      <w:r w:rsidR="00FF7A9F" w:rsidRPr="00F034EC">
        <w:rPr>
          <w:rFonts w:ascii="Verdana" w:hAnsi="Verdana"/>
          <w:b/>
          <w:bCs/>
        </w:rPr>
        <w:t>to track CJEU case law</w:t>
      </w:r>
      <w:r w:rsidR="002730E3" w:rsidRPr="00F034EC">
        <w:rPr>
          <w:rFonts w:ascii="Verdana" w:hAnsi="Verdana"/>
          <w:b/>
          <w:bCs/>
        </w:rPr>
        <w:t xml:space="preserve"> in</w:t>
      </w:r>
      <w:r w:rsidR="00FF7A9F" w:rsidRPr="00F034EC">
        <w:rPr>
          <w:rFonts w:ascii="Verdana" w:hAnsi="Verdana"/>
          <w:b/>
          <w:bCs/>
        </w:rPr>
        <w:t xml:space="preserve"> the area of employment discrimination on the grounds of race and ethnicity, and religion and belief</w:t>
      </w:r>
      <w:r w:rsidR="00A805C6" w:rsidRPr="00F034EC">
        <w:rPr>
          <w:rFonts w:ascii="Verdana" w:hAnsi="Verdana"/>
          <w:b/>
          <w:bCs/>
        </w:rPr>
        <w:t>,</w:t>
      </w:r>
      <w:r w:rsidR="00FF7A9F" w:rsidRPr="00F034EC">
        <w:rPr>
          <w:rFonts w:ascii="Verdana" w:hAnsi="Verdana"/>
          <w:b/>
          <w:bCs/>
        </w:rPr>
        <w:t xml:space="preserve"> to ensure any enhancements are reflected in NI equality law</w:t>
      </w:r>
      <w:r w:rsidR="00FF7A9F" w:rsidRPr="00F034EC">
        <w:rPr>
          <w:rFonts w:ascii="Verdana" w:hAnsi="Verdana"/>
        </w:rPr>
        <w:t xml:space="preserve">.  </w:t>
      </w:r>
    </w:p>
    <w:p w14:paraId="51EFE15B" w14:textId="77777777" w:rsidR="003060FD" w:rsidRDefault="003060FD" w:rsidP="003060FD">
      <w:pPr>
        <w:pStyle w:val="BasicParagraph"/>
        <w:suppressAutoHyphens/>
        <w:ind w:left="-11"/>
        <w:rPr>
          <w:rFonts w:ascii="Verdana" w:hAnsi="Verdana"/>
        </w:rPr>
      </w:pPr>
    </w:p>
    <w:p w14:paraId="2E20F2D4" w14:textId="0BF89F89" w:rsidR="003060FD" w:rsidRPr="003060FD" w:rsidRDefault="003060FD" w:rsidP="00D66590">
      <w:pPr>
        <w:pStyle w:val="Heading2"/>
      </w:pPr>
      <w:bookmarkStart w:id="23" w:name="_Toc230705751"/>
      <w:r w:rsidRPr="003060FD">
        <w:t>Access to Health Care Service</w:t>
      </w:r>
      <w:r w:rsidR="00CE31F0">
        <w:t>s</w:t>
      </w:r>
      <w:bookmarkEnd w:id="23"/>
      <w:r w:rsidRPr="003060FD">
        <w:t xml:space="preserve"> </w:t>
      </w:r>
    </w:p>
    <w:p w14:paraId="5A7B5CC1" w14:textId="77777777" w:rsidR="003060FD" w:rsidRDefault="003060FD" w:rsidP="003060FD">
      <w:pPr>
        <w:pStyle w:val="BasicParagraph"/>
        <w:suppressAutoHyphens/>
        <w:ind w:left="-11"/>
        <w:rPr>
          <w:rFonts w:ascii="Verdana" w:hAnsi="Verdana"/>
        </w:rPr>
      </w:pPr>
    </w:p>
    <w:p w14:paraId="4D41960E" w14:textId="54259C3E" w:rsidR="006C0C83" w:rsidRPr="000E7F1B" w:rsidRDefault="000E7F1B" w:rsidP="00F247B7">
      <w:pPr>
        <w:pStyle w:val="BasicParagraph"/>
        <w:numPr>
          <w:ilvl w:val="1"/>
          <w:numId w:val="22"/>
        </w:numPr>
        <w:suppressAutoHyphens/>
        <w:ind w:left="709"/>
        <w:rPr>
          <w:rFonts w:ascii="Verdana" w:hAnsi="Verdana"/>
        </w:rPr>
      </w:pPr>
      <w:r>
        <w:rPr>
          <w:rFonts w:ascii="Verdana" w:hAnsi="Verdana"/>
        </w:rPr>
        <w:t xml:space="preserve">Several human rights treaties </w:t>
      </w:r>
      <w:r w:rsidR="00CE31F0">
        <w:rPr>
          <w:rFonts w:ascii="Verdana" w:hAnsi="Verdana"/>
        </w:rPr>
        <w:t xml:space="preserve">make it </w:t>
      </w:r>
      <w:r>
        <w:rPr>
          <w:rFonts w:ascii="Verdana" w:hAnsi="Verdana"/>
        </w:rPr>
        <w:t>clear that services, including healthcare, social security and social protection, should be available and accessible to everyone without discrimination.</w:t>
      </w:r>
      <w:r>
        <w:rPr>
          <w:rStyle w:val="FootnoteReference"/>
          <w:rFonts w:ascii="Verdana" w:hAnsi="Verdana"/>
        </w:rPr>
        <w:footnoteReference w:id="111"/>
      </w:r>
      <w:r>
        <w:rPr>
          <w:rFonts w:ascii="Verdana" w:hAnsi="Verdana"/>
        </w:rPr>
        <w:t xml:space="preserve"> However, r</w:t>
      </w:r>
      <w:r w:rsidR="006C0C83" w:rsidRPr="000E7F1B">
        <w:rPr>
          <w:rFonts w:ascii="Verdana" w:hAnsi="Verdana"/>
        </w:rPr>
        <w:t>egistering for and accessing General Practitioner services and National Health Service dental services remains challenging for migrants, with long waiting times for appointments.</w:t>
      </w:r>
      <w:r w:rsidR="006C0C83" w:rsidRPr="006757A9">
        <w:rPr>
          <w:rStyle w:val="FootnoteReference"/>
          <w:rFonts w:ascii="Verdana" w:hAnsi="Verdana"/>
        </w:rPr>
        <w:footnoteReference w:id="112"/>
      </w:r>
      <w:r w:rsidR="006C0C83" w:rsidRPr="000E7F1B">
        <w:rPr>
          <w:rFonts w:ascii="Verdana" w:hAnsi="Verdana"/>
        </w:rPr>
        <w:t xml:space="preserve"> Concerns have been raised by individuals seeking asylum </w:t>
      </w:r>
      <w:r w:rsidR="00CE31F0">
        <w:rPr>
          <w:rFonts w:ascii="Verdana" w:hAnsi="Verdana"/>
        </w:rPr>
        <w:t>who</w:t>
      </w:r>
      <w:r w:rsidR="00CE31F0" w:rsidRPr="000E7F1B">
        <w:rPr>
          <w:rFonts w:ascii="Verdana" w:hAnsi="Verdana"/>
        </w:rPr>
        <w:t xml:space="preserve"> </w:t>
      </w:r>
      <w:r w:rsidR="006C0C83" w:rsidRPr="000E7F1B">
        <w:rPr>
          <w:rFonts w:ascii="Verdana" w:hAnsi="Verdana"/>
        </w:rPr>
        <w:t xml:space="preserve">are in temporary and contingency hotel accommodation about </w:t>
      </w:r>
      <w:r w:rsidR="002A5880">
        <w:rPr>
          <w:rFonts w:ascii="Verdana" w:hAnsi="Verdana"/>
        </w:rPr>
        <w:t xml:space="preserve">poor </w:t>
      </w:r>
      <w:r w:rsidR="006C0C83" w:rsidRPr="000E7F1B">
        <w:rPr>
          <w:rFonts w:ascii="Verdana" w:hAnsi="Verdana"/>
        </w:rPr>
        <w:t>access to healthcare information, inadequate provision for medical needs and significant delays in health assessments.</w:t>
      </w:r>
      <w:r w:rsidR="006C0C83" w:rsidRPr="006757A9">
        <w:rPr>
          <w:rStyle w:val="FootnoteReference"/>
          <w:rFonts w:ascii="Verdana" w:hAnsi="Verdana"/>
        </w:rPr>
        <w:footnoteReference w:id="113"/>
      </w:r>
      <w:r w:rsidR="006C0C83" w:rsidRPr="000E7F1B">
        <w:rPr>
          <w:rFonts w:ascii="Verdana" w:hAnsi="Verdana"/>
        </w:rPr>
        <w:t xml:space="preserve"> There </w:t>
      </w:r>
      <w:r w:rsidR="002A5880">
        <w:rPr>
          <w:rFonts w:ascii="Verdana" w:hAnsi="Verdana"/>
        </w:rPr>
        <w:t xml:space="preserve">have been </w:t>
      </w:r>
      <w:r w:rsidR="006C0C83" w:rsidRPr="000E7F1B">
        <w:rPr>
          <w:rFonts w:ascii="Verdana" w:hAnsi="Verdana"/>
        </w:rPr>
        <w:t xml:space="preserve">instances </w:t>
      </w:r>
      <w:r w:rsidR="002A5880">
        <w:rPr>
          <w:rFonts w:ascii="Verdana" w:hAnsi="Verdana"/>
        </w:rPr>
        <w:t xml:space="preserve">shared of </w:t>
      </w:r>
      <w:r w:rsidR="006C0C83" w:rsidRPr="000E7F1B">
        <w:rPr>
          <w:rFonts w:ascii="Verdana" w:hAnsi="Verdana"/>
        </w:rPr>
        <w:t xml:space="preserve">migrants being questioned about </w:t>
      </w:r>
      <w:r w:rsidR="002A5880">
        <w:rPr>
          <w:rFonts w:ascii="Verdana" w:hAnsi="Verdana"/>
        </w:rPr>
        <w:t xml:space="preserve">their </w:t>
      </w:r>
      <w:r w:rsidR="006C0C83" w:rsidRPr="000E7F1B">
        <w:rPr>
          <w:rFonts w:ascii="Verdana" w:hAnsi="Verdana"/>
        </w:rPr>
        <w:t>immigration status at the point of contact with health services, rather than being treated primarily as a patient.</w:t>
      </w:r>
      <w:r w:rsidR="006C0C83" w:rsidRPr="006757A9">
        <w:rPr>
          <w:rStyle w:val="FootnoteReference"/>
          <w:rFonts w:ascii="Verdana" w:hAnsi="Verdana"/>
        </w:rPr>
        <w:footnoteReference w:id="114"/>
      </w:r>
      <w:r w:rsidR="001A61D1">
        <w:rPr>
          <w:rFonts w:ascii="Verdana" w:hAnsi="Verdana"/>
        </w:rPr>
        <w:t xml:space="preserve"> The NIHRC reiterates that migrants, like any other </w:t>
      </w:r>
      <w:r w:rsidR="004B223C">
        <w:rPr>
          <w:rFonts w:ascii="Verdana" w:hAnsi="Verdana"/>
        </w:rPr>
        <w:t>patient</w:t>
      </w:r>
      <w:r w:rsidR="001A61D1">
        <w:rPr>
          <w:rFonts w:ascii="Verdana" w:hAnsi="Verdana"/>
        </w:rPr>
        <w:t>, should be treated by healthcare professionals</w:t>
      </w:r>
      <w:r w:rsidR="005A6057">
        <w:rPr>
          <w:rFonts w:ascii="Verdana" w:hAnsi="Verdana"/>
        </w:rPr>
        <w:t xml:space="preserve">. Healthcare professionals are not and should not be used as immigration enforcement officers. </w:t>
      </w:r>
      <w:r w:rsidR="00A2743D">
        <w:rPr>
          <w:rFonts w:ascii="Verdana" w:hAnsi="Verdana"/>
        </w:rPr>
        <w:t>S</w:t>
      </w:r>
      <w:r w:rsidR="006C0C83" w:rsidRPr="000E7F1B">
        <w:rPr>
          <w:rFonts w:ascii="Verdana" w:hAnsi="Verdana"/>
        </w:rPr>
        <w:t xml:space="preserve">ome migrants with disabilities have reported </w:t>
      </w:r>
      <w:r w:rsidR="00A2743D">
        <w:rPr>
          <w:rFonts w:ascii="Verdana" w:hAnsi="Verdana"/>
        </w:rPr>
        <w:t>barriers</w:t>
      </w:r>
      <w:r w:rsidR="006C0C83" w:rsidRPr="000E7F1B">
        <w:rPr>
          <w:rFonts w:ascii="Verdana" w:hAnsi="Verdana"/>
        </w:rPr>
        <w:t xml:space="preserve"> </w:t>
      </w:r>
      <w:r w:rsidR="00A2743D">
        <w:rPr>
          <w:rFonts w:ascii="Verdana" w:hAnsi="Verdana"/>
        </w:rPr>
        <w:t>to</w:t>
      </w:r>
      <w:r w:rsidR="00A2743D" w:rsidRPr="000E7F1B">
        <w:rPr>
          <w:rFonts w:ascii="Verdana" w:hAnsi="Verdana"/>
        </w:rPr>
        <w:t xml:space="preserve"> </w:t>
      </w:r>
      <w:r w:rsidR="006C0C83" w:rsidRPr="000E7F1B">
        <w:rPr>
          <w:rFonts w:ascii="Verdana" w:hAnsi="Verdana"/>
        </w:rPr>
        <w:t xml:space="preserve">accessing mental health services, which is contributing to </w:t>
      </w:r>
      <w:r w:rsidR="006C0C83" w:rsidRPr="000E7F1B">
        <w:rPr>
          <w:rFonts w:ascii="Verdana" w:hAnsi="Verdana"/>
        </w:rPr>
        <w:lastRenderedPageBreak/>
        <w:t>declining mental health.</w:t>
      </w:r>
      <w:r w:rsidR="006C0C83" w:rsidRPr="006757A9">
        <w:rPr>
          <w:rStyle w:val="FootnoteReference"/>
          <w:rFonts w:ascii="Verdana" w:hAnsi="Verdana"/>
        </w:rPr>
        <w:footnoteReference w:id="115"/>
      </w:r>
    </w:p>
    <w:p w14:paraId="077DB43D" w14:textId="77777777" w:rsidR="00293822" w:rsidRDefault="00293822" w:rsidP="00293822">
      <w:pPr>
        <w:pStyle w:val="ListParagraph"/>
      </w:pPr>
    </w:p>
    <w:p w14:paraId="72998B30" w14:textId="246734F0" w:rsidR="00293822" w:rsidRDefault="00037D26" w:rsidP="008C069F">
      <w:pPr>
        <w:pStyle w:val="BasicParagraph"/>
        <w:widowControl/>
        <w:numPr>
          <w:ilvl w:val="1"/>
          <w:numId w:val="22"/>
        </w:numPr>
        <w:suppressAutoHyphens/>
        <w:ind w:left="709"/>
        <w:rPr>
          <w:rFonts w:ascii="Verdana" w:hAnsi="Verdana"/>
        </w:rPr>
      </w:pPr>
      <w:r w:rsidRPr="00037D26">
        <w:rPr>
          <w:rFonts w:ascii="Verdana" w:hAnsi="Verdana"/>
        </w:rPr>
        <w:t xml:space="preserve">In 2016, the </w:t>
      </w:r>
      <w:r w:rsidR="005D405E">
        <w:rPr>
          <w:rFonts w:ascii="Verdana" w:hAnsi="Verdana"/>
        </w:rPr>
        <w:t xml:space="preserve">UN </w:t>
      </w:r>
      <w:r w:rsidRPr="00037D26">
        <w:rPr>
          <w:rFonts w:ascii="Verdana" w:hAnsi="Verdana"/>
        </w:rPr>
        <w:t>CERD Committee expressed concern at reports that persons of African descent face institutional racism in their enjoyment of rights, including the specific areas of concern mentioned in the present concluding</w:t>
      </w:r>
      <w:r>
        <w:rPr>
          <w:rFonts w:ascii="Verdana" w:hAnsi="Verdana"/>
        </w:rPr>
        <w:t xml:space="preserve"> </w:t>
      </w:r>
      <w:r w:rsidRPr="00037D26">
        <w:rPr>
          <w:rFonts w:ascii="Verdana" w:hAnsi="Verdana"/>
        </w:rPr>
        <w:t>observations, such as health, employment, education, stop and search practices and the criminal justice system</w:t>
      </w:r>
      <w:r>
        <w:rPr>
          <w:rFonts w:ascii="Verdana" w:hAnsi="Verdana"/>
        </w:rPr>
        <w:t>.</w:t>
      </w:r>
      <w:r w:rsidR="004548AB">
        <w:rPr>
          <w:rStyle w:val="FootnoteReference"/>
          <w:rFonts w:ascii="Verdana" w:hAnsi="Verdana"/>
        </w:rPr>
        <w:footnoteReference w:id="116"/>
      </w:r>
    </w:p>
    <w:p w14:paraId="35FF28EA" w14:textId="77777777" w:rsidR="00524390" w:rsidRDefault="00524390" w:rsidP="00152880"/>
    <w:p w14:paraId="18D179F8" w14:textId="77777777" w:rsidR="00524390" w:rsidRPr="001A1F92" w:rsidRDefault="00524390" w:rsidP="00F247B7">
      <w:pPr>
        <w:pStyle w:val="BasicParagraph"/>
        <w:numPr>
          <w:ilvl w:val="1"/>
          <w:numId w:val="22"/>
        </w:numPr>
        <w:suppressAutoHyphens/>
        <w:ind w:left="709"/>
        <w:rPr>
          <w:rFonts w:ascii="Verdana" w:hAnsi="Verdana"/>
        </w:rPr>
      </w:pPr>
      <w:r>
        <w:rPr>
          <w:rFonts w:ascii="Verdana" w:hAnsi="Verdana"/>
        </w:rPr>
        <w:t>Specific to the UK, t</w:t>
      </w:r>
      <w:r w:rsidRPr="001A1F92">
        <w:rPr>
          <w:rFonts w:ascii="Verdana" w:hAnsi="Verdana"/>
        </w:rPr>
        <w:t>he UN ICESCR Committee recommended that steps</w:t>
      </w:r>
      <w:r>
        <w:rPr>
          <w:rFonts w:ascii="Verdana" w:hAnsi="Verdana"/>
        </w:rPr>
        <w:t xml:space="preserve"> are taken</w:t>
      </w:r>
      <w:r w:rsidRPr="001A1F92">
        <w:rPr>
          <w:rFonts w:ascii="Verdana" w:hAnsi="Verdana"/>
        </w:rPr>
        <w:t xml:space="preserve"> </w:t>
      </w:r>
      <w:r>
        <w:rPr>
          <w:rFonts w:ascii="Verdana" w:hAnsi="Verdana"/>
        </w:rPr>
        <w:t>“</w:t>
      </w:r>
      <w:r w:rsidRPr="001A1F92">
        <w:rPr>
          <w:rFonts w:ascii="Verdana" w:hAnsi="Verdana"/>
        </w:rPr>
        <w:t>to ensure that temporary migrants and undocumented migrants, asylum seekers, refused asylum seekers... have access to all necessary health-care services”.</w:t>
      </w:r>
      <w:r w:rsidRPr="001A1F92">
        <w:rPr>
          <w:rStyle w:val="FootnoteReference"/>
          <w:rFonts w:ascii="Verdana" w:hAnsi="Verdana"/>
        </w:rPr>
        <w:footnoteReference w:id="117"/>
      </w:r>
      <w:r w:rsidRPr="001A1F92">
        <w:rPr>
          <w:rFonts w:ascii="Verdana" w:hAnsi="Verdana"/>
        </w:rPr>
        <w:t xml:space="preserve"> The UN CRC Committee also recommended that the UK Government and NI Executive ensure that migrant, refugee and asylum-seeking children are provided with “sufficient support... to access basic services”.</w:t>
      </w:r>
      <w:r w:rsidRPr="001A1F92">
        <w:rPr>
          <w:rStyle w:val="FootnoteReference"/>
          <w:rFonts w:ascii="Verdana" w:hAnsi="Verdana"/>
        </w:rPr>
        <w:footnoteReference w:id="118"/>
      </w:r>
    </w:p>
    <w:p w14:paraId="3740D438" w14:textId="77777777" w:rsidR="00524390" w:rsidRPr="001A1F92" w:rsidRDefault="00524390" w:rsidP="00524390">
      <w:pPr>
        <w:pStyle w:val="ListParagraph"/>
      </w:pPr>
    </w:p>
    <w:p w14:paraId="26F1FBEE" w14:textId="1C2016BF" w:rsidR="00524390" w:rsidRDefault="00524390" w:rsidP="00F247B7">
      <w:pPr>
        <w:pStyle w:val="BasicParagraph"/>
        <w:numPr>
          <w:ilvl w:val="1"/>
          <w:numId w:val="22"/>
        </w:numPr>
        <w:suppressAutoHyphens/>
        <w:ind w:left="709"/>
        <w:rPr>
          <w:rFonts w:ascii="Verdana" w:hAnsi="Verdana"/>
        </w:rPr>
      </w:pPr>
      <w:r w:rsidRPr="001A1F92">
        <w:rPr>
          <w:rFonts w:ascii="Verdana" w:hAnsi="Verdana"/>
        </w:rPr>
        <w:t>The UN CERD Committee reaffirmed that the UK Government and NI Executive “should take effective measures to ensure the accessibility and availability of quality health-care services to persons belonging to ethnic minorities, through its jurisdiction”.</w:t>
      </w:r>
      <w:r w:rsidRPr="001A1F92">
        <w:rPr>
          <w:rStyle w:val="FootnoteReference"/>
          <w:rFonts w:ascii="Verdana" w:hAnsi="Verdana"/>
        </w:rPr>
        <w:footnoteReference w:id="119"/>
      </w:r>
      <w:r w:rsidR="00536A27">
        <w:rPr>
          <w:rFonts w:ascii="Verdana" w:hAnsi="Verdana"/>
        </w:rPr>
        <w:t xml:space="preserve"> </w:t>
      </w:r>
      <w:r w:rsidR="00536A27" w:rsidRPr="00536A27">
        <w:rPr>
          <w:rFonts w:ascii="Verdana" w:hAnsi="Verdana"/>
        </w:rPr>
        <w:t>In addition</w:t>
      </w:r>
      <w:r w:rsidRPr="00536A27">
        <w:rPr>
          <w:rFonts w:ascii="Verdana" w:hAnsi="Verdana"/>
        </w:rPr>
        <w:t>, the UN CEDAW Committee highlighted the “obstacles faced by women from marginalised groups… to access healthcare services, including as a result of their inability to provide identity documentation, proof of address or immigration status”.</w:t>
      </w:r>
      <w:r w:rsidRPr="001A1F92">
        <w:rPr>
          <w:rStyle w:val="FootnoteReference"/>
          <w:rFonts w:ascii="Verdana" w:hAnsi="Verdana"/>
        </w:rPr>
        <w:footnoteReference w:id="120"/>
      </w:r>
      <w:r w:rsidRPr="00536A27">
        <w:rPr>
          <w:rFonts w:ascii="Verdana" w:hAnsi="Verdana"/>
        </w:rPr>
        <w:t xml:space="preserve"> It recommended that the UK Government and NI Executive "strengthen the implementation of programmes and policies aimed at providing effective access to healthcare by women from marginalised groups, particularly asylum-seeking and refugee women, migrant women, Gypsy and Traveller women, and victims of trafficking".</w:t>
      </w:r>
      <w:r w:rsidRPr="001A1F92">
        <w:rPr>
          <w:rStyle w:val="FootnoteReference"/>
          <w:rFonts w:ascii="Verdana" w:hAnsi="Verdana"/>
        </w:rPr>
        <w:footnoteReference w:id="121"/>
      </w:r>
    </w:p>
    <w:p w14:paraId="3DEFD94A" w14:textId="77777777" w:rsidR="00235852" w:rsidRDefault="00235852" w:rsidP="001473CD">
      <w:pPr>
        <w:pStyle w:val="ListParagraph"/>
      </w:pPr>
    </w:p>
    <w:p w14:paraId="20D89295" w14:textId="1B47F880" w:rsidR="00235852" w:rsidRPr="002F1C59" w:rsidRDefault="000F3272" w:rsidP="00F247B7">
      <w:pPr>
        <w:pStyle w:val="BasicParagraph"/>
        <w:numPr>
          <w:ilvl w:val="1"/>
          <w:numId w:val="22"/>
        </w:numPr>
        <w:suppressAutoHyphens/>
        <w:ind w:left="709"/>
        <w:rPr>
          <w:rFonts w:ascii="Verdana" w:hAnsi="Verdana"/>
        </w:rPr>
      </w:pPr>
      <w:r>
        <w:rPr>
          <w:rFonts w:ascii="Verdana" w:hAnsi="Verdana"/>
        </w:rPr>
        <w:t xml:space="preserve">While the Draft Framework highlights issues such as language and cultural </w:t>
      </w:r>
      <w:r>
        <w:rPr>
          <w:rFonts w:ascii="Verdana" w:hAnsi="Verdana"/>
        </w:rPr>
        <w:lastRenderedPageBreak/>
        <w:t>awareness</w:t>
      </w:r>
      <w:r w:rsidR="007F7700">
        <w:rPr>
          <w:rFonts w:ascii="Verdana" w:hAnsi="Verdana"/>
        </w:rPr>
        <w:t xml:space="preserve"> as potential barriers to accessing services, </w:t>
      </w:r>
      <w:r w:rsidR="004B209A">
        <w:rPr>
          <w:rFonts w:ascii="Verdana" w:hAnsi="Verdana"/>
        </w:rPr>
        <w:t>a lack of awareness</w:t>
      </w:r>
      <w:r w:rsidR="00486FDD">
        <w:rPr>
          <w:rFonts w:ascii="Verdana" w:hAnsi="Verdana"/>
        </w:rPr>
        <w:t xml:space="preserve"> among service providers</w:t>
      </w:r>
      <w:r w:rsidR="004B209A">
        <w:rPr>
          <w:rFonts w:ascii="Verdana" w:hAnsi="Verdana"/>
        </w:rPr>
        <w:t xml:space="preserve"> of </w:t>
      </w:r>
      <w:r w:rsidR="00486FDD">
        <w:rPr>
          <w:rFonts w:ascii="Verdana" w:hAnsi="Verdana"/>
        </w:rPr>
        <w:t>patients</w:t>
      </w:r>
      <w:r w:rsidR="00EB277F">
        <w:rPr>
          <w:rFonts w:ascii="Verdana" w:hAnsi="Verdana"/>
        </w:rPr>
        <w:t>’</w:t>
      </w:r>
      <w:r w:rsidR="00486FDD">
        <w:rPr>
          <w:rFonts w:ascii="Verdana" w:hAnsi="Verdana"/>
        </w:rPr>
        <w:t xml:space="preserve"> rights is also an issue, particularly in</w:t>
      </w:r>
      <w:r w:rsidR="00EB277F">
        <w:rPr>
          <w:rFonts w:ascii="Verdana" w:hAnsi="Verdana"/>
        </w:rPr>
        <w:t xml:space="preserve"> times of </w:t>
      </w:r>
      <w:r w:rsidR="006153CB">
        <w:rPr>
          <w:rFonts w:ascii="Verdana" w:hAnsi="Verdana"/>
        </w:rPr>
        <w:t>significant</w:t>
      </w:r>
      <w:r w:rsidR="00EB277F">
        <w:rPr>
          <w:rFonts w:ascii="Verdana" w:hAnsi="Verdana"/>
        </w:rPr>
        <w:t xml:space="preserve"> change </w:t>
      </w:r>
      <w:r w:rsidR="00D00D35">
        <w:rPr>
          <w:rFonts w:ascii="Verdana" w:hAnsi="Verdana"/>
        </w:rPr>
        <w:t>to</w:t>
      </w:r>
      <w:r w:rsidR="00EB277F">
        <w:rPr>
          <w:rFonts w:ascii="Verdana" w:hAnsi="Verdana"/>
        </w:rPr>
        <w:t xml:space="preserve"> immigration policy.</w:t>
      </w:r>
      <w:r>
        <w:rPr>
          <w:rFonts w:ascii="Verdana" w:hAnsi="Verdana"/>
        </w:rPr>
        <w:t xml:space="preserve"> </w:t>
      </w:r>
      <w:r w:rsidR="00235852">
        <w:rPr>
          <w:rFonts w:ascii="Verdana" w:hAnsi="Verdana"/>
        </w:rPr>
        <w:t xml:space="preserve">The </w:t>
      </w:r>
      <w:r w:rsidR="004F6B8C">
        <w:rPr>
          <w:rFonts w:ascii="Verdana" w:hAnsi="Verdana"/>
        </w:rPr>
        <w:t>NIHRC</w:t>
      </w:r>
      <w:r w:rsidR="00235852">
        <w:rPr>
          <w:rFonts w:ascii="Verdana" w:hAnsi="Verdana"/>
        </w:rPr>
        <w:t xml:space="preserve"> </w:t>
      </w:r>
      <w:r w:rsidR="004F6B8C">
        <w:rPr>
          <w:rFonts w:ascii="Verdana" w:hAnsi="Verdana"/>
        </w:rPr>
        <w:t>commissioned</w:t>
      </w:r>
      <w:r w:rsidR="00235852">
        <w:rPr>
          <w:rFonts w:ascii="Verdana" w:hAnsi="Verdana"/>
        </w:rPr>
        <w:t xml:space="preserve"> </w:t>
      </w:r>
      <w:r w:rsidR="001F4B82">
        <w:rPr>
          <w:rFonts w:ascii="Verdana" w:hAnsi="Verdana"/>
        </w:rPr>
        <w:t xml:space="preserve">independent </w:t>
      </w:r>
      <w:r w:rsidR="00235852">
        <w:rPr>
          <w:rFonts w:ascii="Verdana" w:hAnsi="Verdana"/>
        </w:rPr>
        <w:t>researc</w:t>
      </w:r>
      <w:r w:rsidR="00235852" w:rsidRPr="00235852">
        <w:rPr>
          <w:rFonts w:ascii="Verdana" w:hAnsi="Verdana"/>
        </w:rPr>
        <w:t xml:space="preserve">h </w:t>
      </w:r>
      <w:r w:rsidR="004F6B8C">
        <w:rPr>
          <w:rFonts w:ascii="Verdana" w:hAnsi="Verdana"/>
        </w:rPr>
        <w:t>which found</w:t>
      </w:r>
      <w:r w:rsidR="00235852" w:rsidRPr="00235852">
        <w:rPr>
          <w:rFonts w:ascii="Verdana" w:hAnsi="Verdana"/>
        </w:rPr>
        <w:t xml:space="preserve"> that frontline health staff lack</w:t>
      </w:r>
      <w:r w:rsidR="007D0041">
        <w:rPr>
          <w:rFonts w:ascii="Verdana" w:hAnsi="Verdana"/>
        </w:rPr>
        <w:t>ed</w:t>
      </w:r>
      <w:r w:rsidR="00235852" w:rsidRPr="00235852">
        <w:rPr>
          <w:rFonts w:ascii="Verdana" w:hAnsi="Verdana"/>
        </w:rPr>
        <w:t xml:space="preserve"> clear information about the applicable law for patients accessing healthcare post Brexit</w:t>
      </w:r>
      <w:r w:rsidR="007237ED">
        <w:rPr>
          <w:rFonts w:ascii="Verdana" w:hAnsi="Verdana"/>
        </w:rPr>
        <w:t>.</w:t>
      </w:r>
      <w:r w:rsidR="00812221">
        <w:rPr>
          <w:rStyle w:val="FootnoteReference"/>
          <w:rFonts w:ascii="Verdana" w:hAnsi="Verdana"/>
        </w:rPr>
        <w:footnoteReference w:id="122"/>
      </w:r>
      <w:r w:rsidR="007237ED">
        <w:rPr>
          <w:rFonts w:ascii="Verdana" w:hAnsi="Verdana"/>
        </w:rPr>
        <w:t xml:space="preserve"> </w:t>
      </w:r>
      <w:r w:rsidR="00044826" w:rsidRPr="00044826">
        <w:rPr>
          <w:rFonts w:ascii="Verdana" w:hAnsi="Verdana"/>
        </w:rPr>
        <w:t>Specific to the EU Settlement Scheme, in 2024, following engagement with local stakeholders in NI, and reflecting earlier reports of issues,</w:t>
      </w:r>
      <w:r w:rsidR="00594C0C">
        <w:rPr>
          <w:rStyle w:val="FootnoteReference"/>
          <w:rFonts w:ascii="Verdana" w:hAnsi="Verdana"/>
        </w:rPr>
        <w:footnoteReference w:id="123"/>
      </w:r>
      <w:r w:rsidR="00044826" w:rsidRPr="00044826">
        <w:rPr>
          <w:rFonts w:ascii="Verdana" w:hAnsi="Verdana"/>
        </w:rPr>
        <w:t xml:space="preserve"> the Independent Monitoring Authority concluded that the healthcare sector lacked understanding of EU settled status and that people are being wrongly charged for, or refused, the healthcare to which they are entitled.</w:t>
      </w:r>
      <w:r w:rsidR="00F77827">
        <w:rPr>
          <w:rStyle w:val="FootnoteReference"/>
          <w:rFonts w:ascii="Verdana" w:hAnsi="Verdana"/>
        </w:rPr>
        <w:footnoteReference w:id="124"/>
      </w:r>
      <w:r w:rsidR="00044826" w:rsidRPr="00044826">
        <w:rPr>
          <w:rFonts w:ascii="Verdana" w:hAnsi="Verdana"/>
        </w:rPr>
        <w:t xml:space="preserve"> </w:t>
      </w:r>
      <w:r w:rsidR="006051F9">
        <w:rPr>
          <w:rFonts w:ascii="Verdana" w:hAnsi="Verdana"/>
        </w:rPr>
        <w:t>While immigration is a</w:t>
      </w:r>
      <w:r w:rsidR="00411173">
        <w:rPr>
          <w:rFonts w:ascii="Verdana" w:hAnsi="Verdana"/>
        </w:rPr>
        <w:t xml:space="preserve">n excepted </w:t>
      </w:r>
      <w:r w:rsidR="006051F9">
        <w:rPr>
          <w:rFonts w:ascii="Verdana" w:hAnsi="Verdana"/>
        </w:rPr>
        <w:t xml:space="preserve">matter, </w:t>
      </w:r>
      <w:r w:rsidR="00D1542C">
        <w:rPr>
          <w:rFonts w:ascii="Verdana" w:hAnsi="Verdana"/>
        </w:rPr>
        <w:t>it is the responsibility of the Health and Social Care Trusts</w:t>
      </w:r>
      <w:r w:rsidR="00B02275">
        <w:rPr>
          <w:rFonts w:ascii="Verdana" w:hAnsi="Verdana"/>
        </w:rPr>
        <w:t>,</w:t>
      </w:r>
      <w:r w:rsidR="00D1542C">
        <w:rPr>
          <w:rFonts w:ascii="Verdana" w:hAnsi="Verdana"/>
        </w:rPr>
        <w:t xml:space="preserve"> and by extension the Department of Health in NI</w:t>
      </w:r>
      <w:r w:rsidR="00B02275">
        <w:rPr>
          <w:rFonts w:ascii="Verdana" w:hAnsi="Verdana"/>
        </w:rPr>
        <w:t>,</w:t>
      </w:r>
      <w:r w:rsidR="00D1542C">
        <w:rPr>
          <w:rFonts w:ascii="Verdana" w:hAnsi="Verdana"/>
        </w:rPr>
        <w:t xml:space="preserve"> to ensure that staff are adequately</w:t>
      </w:r>
      <w:r w:rsidR="00EB075A">
        <w:rPr>
          <w:rFonts w:ascii="Verdana" w:hAnsi="Verdana"/>
        </w:rPr>
        <w:t xml:space="preserve"> and accurately</w:t>
      </w:r>
      <w:r w:rsidR="00D1542C">
        <w:rPr>
          <w:rFonts w:ascii="Verdana" w:hAnsi="Verdana"/>
        </w:rPr>
        <w:t xml:space="preserve"> informed as to</w:t>
      </w:r>
      <w:r w:rsidR="00EB075A">
        <w:rPr>
          <w:rFonts w:ascii="Verdana" w:hAnsi="Verdana"/>
        </w:rPr>
        <w:t xml:space="preserve"> patients’ right to healthcare. </w:t>
      </w:r>
      <w:r w:rsidR="001E0226">
        <w:rPr>
          <w:rFonts w:ascii="Verdana" w:hAnsi="Verdana"/>
        </w:rPr>
        <w:t>It is a shortcoming of the Draft Framework that it does not acknowledge</w:t>
      </w:r>
      <w:r w:rsidR="00DE37B2">
        <w:rPr>
          <w:rFonts w:ascii="Verdana" w:hAnsi="Verdana"/>
        </w:rPr>
        <w:t xml:space="preserve"> </w:t>
      </w:r>
      <w:r w:rsidR="008A1B74">
        <w:rPr>
          <w:rFonts w:ascii="Verdana" w:hAnsi="Verdana"/>
        </w:rPr>
        <w:t xml:space="preserve">this </w:t>
      </w:r>
      <w:r w:rsidR="00DE37B2">
        <w:rPr>
          <w:rFonts w:ascii="Verdana" w:hAnsi="Verdana"/>
        </w:rPr>
        <w:t xml:space="preserve">and commit to </w:t>
      </w:r>
      <w:r w:rsidR="001C32FE">
        <w:rPr>
          <w:rFonts w:ascii="Verdana" w:hAnsi="Verdana"/>
        </w:rPr>
        <w:t>identify</w:t>
      </w:r>
      <w:r w:rsidR="0059164A">
        <w:rPr>
          <w:rFonts w:ascii="Verdana" w:hAnsi="Verdana"/>
        </w:rPr>
        <w:t xml:space="preserve"> and </w:t>
      </w:r>
      <w:r w:rsidR="00DE37B2">
        <w:rPr>
          <w:rFonts w:ascii="Verdana" w:hAnsi="Verdana"/>
        </w:rPr>
        <w:t>address</w:t>
      </w:r>
      <w:r w:rsidR="001E0226">
        <w:rPr>
          <w:rFonts w:ascii="Verdana" w:hAnsi="Verdana"/>
        </w:rPr>
        <w:t xml:space="preserve"> the</w:t>
      </w:r>
      <w:r w:rsidR="00364CED">
        <w:rPr>
          <w:rFonts w:ascii="Verdana" w:hAnsi="Verdana"/>
        </w:rPr>
        <w:t>se</w:t>
      </w:r>
      <w:r w:rsidR="001E0226">
        <w:rPr>
          <w:rFonts w:ascii="Verdana" w:hAnsi="Verdana"/>
        </w:rPr>
        <w:t xml:space="preserve"> </w:t>
      </w:r>
      <w:r w:rsidR="00F05465">
        <w:rPr>
          <w:rFonts w:ascii="Verdana" w:hAnsi="Verdana"/>
        </w:rPr>
        <w:t xml:space="preserve">information </w:t>
      </w:r>
      <w:r w:rsidR="00DE37B2">
        <w:rPr>
          <w:rFonts w:ascii="Verdana" w:hAnsi="Verdana"/>
        </w:rPr>
        <w:t xml:space="preserve">gaps </w:t>
      </w:r>
      <w:r w:rsidR="00D826BE">
        <w:rPr>
          <w:rFonts w:ascii="Verdana" w:hAnsi="Verdana"/>
        </w:rPr>
        <w:t xml:space="preserve">in the </w:t>
      </w:r>
      <w:r w:rsidR="00D826BE" w:rsidRPr="007F7D9B">
        <w:rPr>
          <w:rFonts w:ascii="Verdana" w:hAnsi="Verdana"/>
        </w:rPr>
        <w:t>provision</w:t>
      </w:r>
      <w:r w:rsidR="00D826BE">
        <w:rPr>
          <w:rFonts w:ascii="Verdana" w:hAnsi="Verdana"/>
          <w:i/>
          <w:iCs/>
        </w:rPr>
        <w:t xml:space="preserve"> </w:t>
      </w:r>
      <w:r w:rsidR="00D826BE">
        <w:rPr>
          <w:rFonts w:ascii="Verdana" w:hAnsi="Verdana"/>
        </w:rPr>
        <w:t>of public services</w:t>
      </w:r>
      <w:r w:rsidR="00364CED">
        <w:rPr>
          <w:rFonts w:ascii="Verdana" w:hAnsi="Verdana"/>
        </w:rPr>
        <w:t xml:space="preserve">. </w:t>
      </w:r>
      <w:r w:rsidR="000B3482">
        <w:rPr>
          <w:rFonts w:ascii="Verdana" w:hAnsi="Verdana"/>
        </w:rPr>
        <w:t xml:space="preserve"> </w:t>
      </w:r>
    </w:p>
    <w:p w14:paraId="463213AE" w14:textId="77777777" w:rsidR="0039106A" w:rsidRDefault="0039106A" w:rsidP="00D66590">
      <w:pPr>
        <w:pStyle w:val="BasicParagraph"/>
        <w:suppressAutoHyphens/>
        <w:ind w:left="709"/>
        <w:rPr>
          <w:rFonts w:ascii="Verdana" w:hAnsi="Verdana"/>
        </w:rPr>
      </w:pPr>
    </w:p>
    <w:p w14:paraId="3103F4EA" w14:textId="0832F86A" w:rsidR="00553997" w:rsidRDefault="00761534" w:rsidP="00553997">
      <w:pPr>
        <w:pStyle w:val="BasicParagraph"/>
        <w:numPr>
          <w:ilvl w:val="1"/>
          <w:numId w:val="22"/>
        </w:numPr>
        <w:suppressAutoHyphens/>
        <w:ind w:left="709"/>
        <w:rPr>
          <w:rFonts w:ascii="Verdana" w:hAnsi="Verdana"/>
        </w:rPr>
      </w:pPr>
      <w:r>
        <w:rPr>
          <w:rFonts w:ascii="Verdana" w:hAnsi="Verdana"/>
        </w:rPr>
        <w:t xml:space="preserve">The </w:t>
      </w:r>
      <w:r w:rsidR="00DA171E">
        <w:rPr>
          <w:rFonts w:ascii="Verdana" w:hAnsi="Verdana"/>
        </w:rPr>
        <w:t xml:space="preserve">UN </w:t>
      </w:r>
      <w:r w:rsidR="007B50E5" w:rsidRPr="00553997">
        <w:rPr>
          <w:rFonts w:ascii="Verdana" w:hAnsi="Verdana"/>
        </w:rPr>
        <w:t xml:space="preserve">OHCHR guidance </w:t>
      </w:r>
      <w:r w:rsidR="00DA49A9" w:rsidRPr="00553997">
        <w:rPr>
          <w:rFonts w:ascii="Verdana" w:hAnsi="Verdana"/>
        </w:rPr>
        <w:t>recommends a N</w:t>
      </w:r>
      <w:r>
        <w:rPr>
          <w:rFonts w:ascii="Verdana" w:hAnsi="Verdana"/>
        </w:rPr>
        <w:t xml:space="preserve">ational </w:t>
      </w:r>
      <w:r w:rsidR="00DA49A9" w:rsidRPr="00553997">
        <w:rPr>
          <w:rFonts w:ascii="Verdana" w:hAnsi="Verdana"/>
        </w:rPr>
        <w:t>A</w:t>
      </w:r>
      <w:r>
        <w:rPr>
          <w:rFonts w:ascii="Verdana" w:hAnsi="Verdana"/>
        </w:rPr>
        <w:t xml:space="preserve">ction </w:t>
      </w:r>
      <w:r w:rsidR="00DA49A9" w:rsidRPr="00553997">
        <w:rPr>
          <w:rFonts w:ascii="Verdana" w:hAnsi="Verdana"/>
        </w:rPr>
        <w:t>P</w:t>
      </w:r>
      <w:r>
        <w:rPr>
          <w:rFonts w:ascii="Verdana" w:hAnsi="Verdana"/>
        </w:rPr>
        <w:t xml:space="preserve">lan against </w:t>
      </w:r>
      <w:r w:rsidR="00DA49A9" w:rsidRPr="00553997">
        <w:rPr>
          <w:rFonts w:ascii="Verdana" w:hAnsi="Verdana"/>
        </w:rPr>
        <w:t>R</w:t>
      </w:r>
      <w:r>
        <w:rPr>
          <w:rFonts w:ascii="Verdana" w:hAnsi="Verdana"/>
        </w:rPr>
        <w:t xml:space="preserve">acial </w:t>
      </w:r>
      <w:r w:rsidR="00DA49A9" w:rsidRPr="00553997">
        <w:rPr>
          <w:rFonts w:ascii="Verdana" w:hAnsi="Verdana"/>
        </w:rPr>
        <w:t>D</w:t>
      </w:r>
      <w:r>
        <w:rPr>
          <w:rFonts w:ascii="Verdana" w:hAnsi="Verdana"/>
        </w:rPr>
        <w:t>iscrimination</w:t>
      </w:r>
      <w:r w:rsidR="00DA49A9" w:rsidRPr="00553997">
        <w:rPr>
          <w:rFonts w:ascii="Verdana" w:hAnsi="Verdana"/>
        </w:rPr>
        <w:t xml:space="preserve"> to include:</w:t>
      </w:r>
    </w:p>
    <w:p w14:paraId="18CDEEC1" w14:textId="77777777" w:rsidR="00553997" w:rsidRDefault="00553997" w:rsidP="00553997">
      <w:pPr>
        <w:pStyle w:val="ListParagraph"/>
      </w:pPr>
    </w:p>
    <w:p w14:paraId="1C013A5F" w14:textId="33F7A4A2" w:rsidR="009C4927" w:rsidRDefault="005630AC" w:rsidP="00D66590">
      <w:pPr>
        <w:pStyle w:val="Quote"/>
      </w:pPr>
      <w:r>
        <w:t>m</w:t>
      </w:r>
      <w:r w:rsidR="007B50E5" w:rsidRPr="00553997">
        <w:t>easures to fulfil the right of everyone to the enjoyment of the highest attainable standard of physical and mental health, with a view to eliminating</w:t>
      </w:r>
      <w:r>
        <w:t xml:space="preserve"> </w:t>
      </w:r>
      <w:r w:rsidR="007B50E5" w:rsidRPr="00553997">
        <w:t>disparities in health status, as indicated in standard health</w:t>
      </w:r>
      <w:r w:rsidR="00317FE3">
        <w:t xml:space="preserve"> </w:t>
      </w:r>
      <w:r w:rsidR="007B50E5" w:rsidRPr="00553997">
        <w:t>indexes, which might result from</w:t>
      </w:r>
      <w:r>
        <w:t xml:space="preserve"> </w:t>
      </w:r>
      <w:r w:rsidR="007B50E5" w:rsidRPr="00553997">
        <w:t>racial discrimination</w:t>
      </w:r>
      <w:r w:rsidR="00553997" w:rsidRPr="00553997">
        <w:t>.</w:t>
      </w:r>
      <w:r w:rsidR="00226E6A">
        <w:rPr>
          <w:rStyle w:val="FootnoteReference"/>
        </w:rPr>
        <w:footnoteReference w:id="125"/>
      </w:r>
      <w:r w:rsidR="00553997" w:rsidRPr="00553997">
        <w:t xml:space="preserve"> </w:t>
      </w:r>
    </w:p>
    <w:p w14:paraId="7FD77478" w14:textId="77777777" w:rsidR="009C4927" w:rsidRDefault="009C4927" w:rsidP="00D66590">
      <w:pPr>
        <w:pStyle w:val="ListParagraph"/>
      </w:pPr>
    </w:p>
    <w:p w14:paraId="407346CA" w14:textId="7EF56539" w:rsidR="007B50E5" w:rsidRPr="00A559E2" w:rsidRDefault="009C4927">
      <w:pPr>
        <w:pStyle w:val="BasicParagraph"/>
        <w:numPr>
          <w:ilvl w:val="1"/>
          <w:numId w:val="22"/>
        </w:numPr>
        <w:suppressAutoHyphens/>
        <w:ind w:left="709"/>
        <w:rPr>
          <w:rFonts w:ascii="Verdana" w:hAnsi="Verdana"/>
        </w:rPr>
      </w:pPr>
      <w:r>
        <w:rPr>
          <w:rFonts w:ascii="Verdana" w:hAnsi="Verdana"/>
        </w:rPr>
        <w:t>In addition</w:t>
      </w:r>
      <w:r w:rsidR="00A31CC1">
        <w:rPr>
          <w:rFonts w:ascii="Verdana" w:hAnsi="Verdana"/>
        </w:rPr>
        <w:t>,</w:t>
      </w:r>
      <w:r>
        <w:rPr>
          <w:rFonts w:ascii="Verdana" w:hAnsi="Verdana"/>
        </w:rPr>
        <w:t xml:space="preserve"> </w:t>
      </w:r>
      <w:r w:rsidR="00D66590" w:rsidRPr="00D66590">
        <w:rPr>
          <w:rFonts w:ascii="Verdana" w:hAnsi="Verdana"/>
        </w:rPr>
        <w:t>the guidance</w:t>
      </w:r>
      <w:r>
        <w:rPr>
          <w:rFonts w:ascii="Verdana" w:hAnsi="Verdana"/>
        </w:rPr>
        <w:t xml:space="preserve"> also recommends the inclusion of “p</w:t>
      </w:r>
      <w:r w:rsidR="007B50E5" w:rsidRPr="00553997">
        <w:rPr>
          <w:rFonts w:ascii="Verdana" w:hAnsi="Verdana"/>
        </w:rPr>
        <w:t>rogrammes to</w:t>
      </w:r>
      <w:r w:rsidR="00A31CC1">
        <w:rPr>
          <w:rFonts w:ascii="Verdana" w:hAnsi="Verdana"/>
        </w:rPr>
        <w:t xml:space="preserve"> </w:t>
      </w:r>
      <w:r w:rsidR="007B50E5" w:rsidRPr="00553997">
        <w:rPr>
          <w:rFonts w:ascii="Verdana" w:hAnsi="Verdana"/>
        </w:rPr>
        <w:t xml:space="preserve">promote the access without discrimination of groups facing racial </w:t>
      </w:r>
      <w:r w:rsidR="007B50E5" w:rsidRPr="00553997">
        <w:rPr>
          <w:rFonts w:ascii="Verdana" w:hAnsi="Verdana"/>
        </w:rPr>
        <w:lastRenderedPageBreak/>
        <w:t>discrimination to health care</w:t>
      </w:r>
      <w:r w:rsidR="008A1268">
        <w:rPr>
          <w:rFonts w:ascii="Verdana" w:hAnsi="Verdana"/>
        </w:rPr>
        <w:t>,</w:t>
      </w:r>
      <w:r w:rsidR="008A1268" w:rsidRPr="008A1268">
        <w:rPr>
          <w:rFonts w:ascii="Verdana" w:hAnsi="Verdana"/>
        </w:rPr>
        <w:t xml:space="preserve"> and to promote strong efforts to eliminate disparities</w:t>
      </w:r>
      <w:r w:rsidR="00B560D6" w:rsidRPr="00D66590">
        <w:rPr>
          <w:rFonts w:ascii="Verdana" w:hAnsi="Verdana"/>
        </w:rPr>
        <w:t>”</w:t>
      </w:r>
      <w:r w:rsidR="00D66590" w:rsidRPr="00D66590">
        <w:rPr>
          <w:rFonts w:ascii="Verdana" w:hAnsi="Verdana"/>
        </w:rPr>
        <w:t>.</w:t>
      </w:r>
      <w:r w:rsidR="00A559E2" w:rsidRPr="00D66590">
        <w:rPr>
          <w:rStyle w:val="FootnoteReference"/>
          <w:rFonts w:ascii="Verdana" w:hAnsi="Verdana"/>
        </w:rPr>
        <w:footnoteReference w:id="126"/>
      </w:r>
    </w:p>
    <w:p w14:paraId="216F8F9F" w14:textId="77777777" w:rsidR="007B50E5" w:rsidRDefault="007B50E5" w:rsidP="007B50E5">
      <w:pPr>
        <w:pStyle w:val="ListParagraph"/>
      </w:pPr>
    </w:p>
    <w:p w14:paraId="013914E2" w14:textId="5B72D5F9" w:rsidR="00327946" w:rsidRPr="00F034EC" w:rsidRDefault="0039106A" w:rsidP="00F247B7">
      <w:pPr>
        <w:pStyle w:val="BasicParagraph"/>
        <w:numPr>
          <w:ilvl w:val="1"/>
          <w:numId w:val="22"/>
        </w:numPr>
        <w:suppressAutoHyphens/>
        <w:ind w:left="709"/>
      </w:pPr>
      <w:r w:rsidRPr="00F034EC">
        <w:rPr>
          <w:rFonts w:ascii="Verdana" w:hAnsi="Verdana"/>
          <w:b/>
          <w:bCs/>
        </w:rPr>
        <w:t xml:space="preserve">The </w:t>
      </w:r>
      <w:r w:rsidR="00D75FCA" w:rsidRPr="00F034EC">
        <w:rPr>
          <w:rFonts w:ascii="Verdana" w:hAnsi="Verdana"/>
          <w:b/>
          <w:bCs/>
        </w:rPr>
        <w:t>NIHRC reco</w:t>
      </w:r>
      <w:r w:rsidR="00BF780B" w:rsidRPr="00F034EC">
        <w:rPr>
          <w:rFonts w:ascii="Verdana" w:hAnsi="Verdana"/>
          <w:b/>
          <w:bCs/>
        </w:rPr>
        <w:t>m</w:t>
      </w:r>
      <w:r w:rsidR="00D75FCA" w:rsidRPr="00F034EC">
        <w:rPr>
          <w:rFonts w:ascii="Verdana" w:hAnsi="Verdana"/>
          <w:b/>
          <w:bCs/>
        </w:rPr>
        <w:t>mends that the Executive Office</w:t>
      </w:r>
      <w:r w:rsidR="00D3321A">
        <w:rPr>
          <w:rFonts w:ascii="Verdana" w:hAnsi="Verdana"/>
          <w:b/>
          <w:bCs/>
        </w:rPr>
        <w:t>,</w:t>
      </w:r>
      <w:r w:rsidR="000D33DD" w:rsidRPr="00F034EC">
        <w:rPr>
          <w:rFonts w:ascii="Verdana" w:hAnsi="Verdana"/>
          <w:b/>
          <w:bCs/>
        </w:rPr>
        <w:t xml:space="preserve"> </w:t>
      </w:r>
      <w:r w:rsidR="00D75FCA" w:rsidRPr="00F034EC">
        <w:rPr>
          <w:rFonts w:ascii="Verdana" w:hAnsi="Verdana"/>
          <w:b/>
          <w:bCs/>
        </w:rPr>
        <w:t>guided by the recommendations of the UN Treaty Bod</w:t>
      </w:r>
      <w:r w:rsidR="00BF780B" w:rsidRPr="00F034EC">
        <w:rPr>
          <w:rFonts w:ascii="Verdana" w:hAnsi="Verdana"/>
          <w:b/>
          <w:bCs/>
        </w:rPr>
        <w:t xml:space="preserve">y </w:t>
      </w:r>
      <w:r w:rsidR="00DB526A" w:rsidRPr="00F034EC">
        <w:rPr>
          <w:rFonts w:ascii="Verdana" w:hAnsi="Verdana"/>
          <w:b/>
          <w:bCs/>
        </w:rPr>
        <w:t xml:space="preserve">mechanisms, </w:t>
      </w:r>
      <w:r w:rsidR="00F00B24" w:rsidRPr="00F034EC">
        <w:rPr>
          <w:rFonts w:ascii="Verdana" w:hAnsi="Verdana"/>
          <w:b/>
          <w:bCs/>
        </w:rPr>
        <w:t xml:space="preserve">strengthen Outcome 3 by </w:t>
      </w:r>
      <w:r w:rsidR="00D3321A">
        <w:rPr>
          <w:rFonts w:ascii="Verdana" w:hAnsi="Verdana"/>
          <w:b/>
          <w:bCs/>
        </w:rPr>
        <w:t>including</w:t>
      </w:r>
      <w:r w:rsidR="00D3321A" w:rsidRPr="00F034EC">
        <w:rPr>
          <w:rFonts w:ascii="Verdana" w:hAnsi="Verdana"/>
          <w:b/>
          <w:bCs/>
        </w:rPr>
        <w:t xml:space="preserve"> </w:t>
      </w:r>
      <w:r w:rsidR="00F00B24" w:rsidRPr="00F034EC">
        <w:rPr>
          <w:rFonts w:ascii="Verdana" w:hAnsi="Verdana"/>
          <w:b/>
          <w:bCs/>
        </w:rPr>
        <w:t xml:space="preserve">clear </w:t>
      </w:r>
      <w:r w:rsidR="00AB7253" w:rsidRPr="00F034EC">
        <w:rPr>
          <w:rFonts w:ascii="Verdana" w:hAnsi="Verdana"/>
          <w:b/>
          <w:bCs/>
        </w:rPr>
        <w:t xml:space="preserve">measures </w:t>
      </w:r>
      <w:r w:rsidR="00E85D30" w:rsidRPr="00F034EC">
        <w:rPr>
          <w:rFonts w:ascii="Verdana" w:hAnsi="Verdana"/>
          <w:b/>
          <w:bCs/>
        </w:rPr>
        <w:t xml:space="preserve">to </w:t>
      </w:r>
      <w:r w:rsidR="00DB526A" w:rsidRPr="00F034EC">
        <w:rPr>
          <w:rFonts w:ascii="Verdana" w:hAnsi="Verdana"/>
          <w:b/>
          <w:bCs/>
        </w:rPr>
        <w:t>support</w:t>
      </w:r>
      <w:r w:rsidR="00E85D30" w:rsidRPr="00F034EC">
        <w:rPr>
          <w:rFonts w:ascii="Verdana" w:hAnsi="Verdana"/>
          <w:b/>
          <w:bCs/>
        </w:rPr>
        <w:t xml:space="preserve"> the implementation of </w:t>
      </w:r>
      <w:r w:rsidR="00AB7253" w:rsidRPr="00F034EC">
        <w:rPr>
          <w:rFonts w:ascii="Verdana" w:hAnsi="Verdana"/>
          <w:b/>
          <w:bCs/>
        </w:rPr>
        <w:t xml:space="preserve">programmes </w:t>
      </w:r>
      <w:r w:rsidR="006151B7" w:rsidRPr="00F034EC">
        <w:rPr>
          <w:rFonts w:ascii="Verdana" w:hAnsi="Verdana"/>
          <w:b/>
          <w:bCs/>
        </w:rPr>
        <w:t>and initi</w:t>
      </w:r>
      <w:r w:rsidR="00DB526A" w:rsidRPr="00F034EC">
        <w:rPr>
          <w:rFonts w:ascii="Verdana" w:hAnsi="Verdana"/>
          <w:b/>
          <w:bCs/>
        </w:rPr>
        <w:t>atives</w:t>
      </w:r>
      <w:r w:rsidR="006151B7" w:rsidRPr="00F034EC">
        <w:rPr>
          <w:rFonts w:ascii="Verdana" w:hAnsi="Verdana"/>
          <w:b/>
          <w:bCs/>
        </w:rPr>
        <w:t xml:space="preserve"> aimed at increasing access to healthcare services </w:t>
      </w:r>
      <w:r w:rsidR="00234DEF" w:rsidRPr="00F034EC">
        <w:rPr>
          <w:rFonts w:ascii="Verdana" w:hAnsi="Verdana"/>
          <w:b/>
          <w:bCs/>
        </w:rPr>
        <w:t xml:space="preserve">for </w:t>
      </w:r>
      <w:r w:rsidR="003D1BA5" w:rsidRPr="00F034EC">
        <w:rPr>
          <w:rFonts w:ascii="Verdana" w:hAnsi="Verdana"/>
          <w:b/>
          <w:bCs/>
        </w:rPr>
        <w:t>minority ethnic communities,</w:t>
      </w:r>
      <w:r w:rsidR="00234DEF" w:rsidRPr="00F034EC">
        <w:rPr>
          <w:b/>
          <w:bCs/>
        </w:rPr>
        <w:t xml:space="preserve"> </w:t>
      </w:r>
      <w:r w:rsidR="00234DEF" w:rsidRPr="00F034EC">
        <w:rPr>
          <w:rFonts w:ascii="Verdana" w:hAnsi="Verdana"/>
          <w:b/>
          <w:bCs/>
        </w:rPr>
        <w:t>including targeted actions involving healthcare professionals and hospital administration staff</w:t>
      </w:r>
      <w:r w:rsidR="00234DEF" w:rsidRPr="00F034EC">
        <w:rPr>
          <w:rFonts w:ascii="Verdana" w:hAnsi="Verdana"/>
        </w:rPr>
        <w:t>.</w:t>
      </w:r>
    </w:p>
    <w:p w14:paraId="08CC2AB4" w14:textId="77777777" w:rsidR="00825213" w:rsidRPr="004F6B8C" w:rsidRDefault="00825213" w:rsidP="004F6B8C">
      <w:pPr>
        <w:pStyle w:val="BasicParagraph"/>
        <w:suppressAutoHyphens/>
        <w:ind w:left="709"/>
        <w:rPr>
          <w:b/>
        </w:rPr>
      </w:pPr>
    </w:p>
    <w:p w14:paraId="3C0ADF67" w14:textId="3D05D59B" w:rsidR="00825213" w:rsidRPr="00F034EC" w:rsidRDefault="00825213" w:rsidP="00F247B7">
      <w:pPr>
        <w:pStyle w:val="BasicParagraph"/>
        <w:numPr>
          <w:ilvl w:val="1"/>
          <w:numId w:val="22"/>
        </w:numPr>
        <w:suppressAutoHyphens/>
        <w:ind w:left="709"/>
      </w:pPr>
      <w:r w:rsidRPr="00F034EC">
        <w:rPr>
          <w:rFonts w:ascii="Verdana" w:hAnsi="Verdana"/>
          <w:b/>
          <w:bCs/>
        </w:rPr>
        <w:t xml:space="preserve">The NIHRC recommends that </w:t>
      </w:r>
      <w:r w:rsidR="002A6707" w:rsidRPr="00F034EC">
        <w:rPr>
          <w:rFonts w:ascii="Verdana" w:hAnsi="Verdana"/>
          <w:b/>
          <w:bCs/>
        </w:rPr>
        <w:t>the Draft Framework be amended to reflect a commitment from the Executive Office and the Department of Health to identify and minimise procedural barriers to healthcare for migrant people, regardless of immigration status</w:t>
      </w:r>
      <w:r w:rsidR="002A6707" w:rsidRPr="00F034EC">
        <w:rPr>
          <w:rFonts w:ascii="Verdana" w:hAnsi="Verdana"/>
        </w:rPr>
        <w:t>.</w:t>
      </w:r>
    </w:p>
    <w:p w14:paraId="3F54E542" w14:textId="77777777" w:rsidR="008C069F" w:rsidRPr="008A1268" w:rsidRDefault="008C069F" w:rsidP="008C069F">
      <w:pPr>
        <w:pStyle w:val="BasicParagraph"/>
        <w:suppressAutoHyphens/>
        <w:rPr>
          <w:b/>
          <w:bCs/>
        </w:rPr>
      </w:pPr>
    </w:p>
    <w:p w14:paraId="7874EA86" w14:textId="77777777" w:rsidR="00234DEF" w:rsidRPr="00234DEF" w:rsidRDefault="00234DEF" w:rsidP="00234DEF">
      <w:pPr>
        <w:pStyle w:val="NIHRCFootnotes"/>
      </w:pPr>
    </w:p>
    <w:p w14:paraId="4AC6A891" w14:textId="5D5683D8" w:rsidR="00327946" w:rsidRPr="00D03ED2" w:rsidRDefault="00327946" w:rsidP="00D66590">
      <w:pPr>
        <w:pStyle w:val="Heading2"/>
        <w:rPr>
          <w:i/>
          <w:iCs/>
          <w:szCs w:val="24"/>
        </w:rPr>
      </w:pPr>
      <w:bookmarkStart w:id="24" w:name="_Toc230705752"/>
      <w:r w:rsidRPr="00D03ED2">
        <w:t>Housing</w:t>
      </w:r>
      <w:bookmarkEnd w:id="24"/>
    </w:p>
    <w:p w14:paraId="16123485" w14:textId="77777777" w:rsidR="00327946" w:rsidRDefault="00327946" w:rsidP="00327946"/>
    <w:p w14:paraId="4C1BA788" w14:textId="77777777" w:rsidR="00BA7080" w:rsidRDefault="0084676D" w:rsidP="00BA7080">
      <w:pPr>
        <w:pStyle w:val="BasicParagraph"/>
        <w:numPr>
          <w:ilvl w:val="1"/>
          <w:numId w:val="22"/>
        </w:numPr>
        <w:suppressAutoHyphens/>
        <w:ind w:left="709"/>
        <w:rPr>
          <w:rFonts w:ascii="Verdana" w:hAnsi="Verdana"/>
        </w:rPr>
      </w:pPr>
      <w:r w:rsidRPr="0084676D">
        <w:rPr>
          <w:rFonts w:ascii="Verdana" w:hAnsi="Verdana"/>
        </w:rPr>
        <w:t xml:space="preserve">There is a </w:t>
      </w:r>
      <w:r w:rsidR="00621650">
        <w:rPr>
          <w:rFonts w:ascii="Verdana" w:hAnsi="Verdana"/>
        </w:rPr>
        <w:t xml:space="preserve">long list of persons who have been waiting </w:t>
      </w:r>
      <w:r w:rsidR="00CA3893">
        <w:rPr>
          <w:rFonts w:ascii="Verdana" w:hAnsi="Verdana"/>
        </w:rPr>
        <w:t>an inordinately long time</w:t>
      </w:r>
      <w:r w:rsidR="00621650">
        <w:rPr>
          <w:rFonts w:ascii="Verdana" w:hAnsi="Verdana"/>
        </w:rPr>
        <w:t xml:space="preserve"> in need</w:t>
      </w:r>
      <w:r w:rsidR="00621650" w:rsidRPr="0084676D">
        <w:rPr>
          <w:rFonts w:ascii="Verdana" w:hAnsi="Verdana"/>
        </w:rPr>
        <w:t xml:space="preserve"> </w:t>
      </w:r>
      <w:r w:rsidRPr="0084676D">
        <w:rPr>
          <w:rFonts w:ascii="Verdana" w:hAnsi="Verdana"/>
        </w:rPr>
        <w:t>of social housing in NI.</w:t>
      </w:r>
      <w:r w:rsidR="00E04CCA">
        <w:rPr>
          <w:rStyle w:val="FootnoteReference"/>
          <w:rFonts w:ascii="Verdana" w:hAnsi="Verdana"/>
        </w:rPr>
        <w:footnoteReference w:id="127"/>
      </w:r>
      <w:r w:rsidRPr="0084676D">
        <w:rPr>
          <w:rFonts w:ascii="Verdana" w:hAnsi="Verdana"/>
        </w:rPr>
        <w:t xml:space="preserve"> </w:t>
      </w:r>
      <w:r w:rsidR="00272311">
        <w:rPr>
          <w:rFonts w:ascii="Verdana" w:hAnsi="Verdana"/>
        </w:rPr>
        <w:t>Given</w:t>
      </w:r>
      <w:r w:rsidRPr="0084676D">
        <w:rPr>
          <w:rFonts w:ascii="Verdana" w:hAnsi="Verdana"/>
        </w:rPr>
        <w:t xml:space="preserve"> the particular circumstances of </w:t>
      </w:r>
      <w:r w:rsidR="00272311">
        <w:rPr>
          <w:rFonts w:ascii="Verdana" w:hAnsi="Verdana"/>
        </w:rPr>
        <w:t xml:space="preserve">conflict in </w:t>
      </w:r>
      <w:r w:rsidRPr="0084676D">
        <w:rPr>
          <w:rFonts w:ascii="Verdana" w:hAnsi="Verdana"/>
        </w:rPr>
        <w:t xml:space="preserve">NI, </w:t>
      </w:r>
      <w:r w:rsidR="00272311">
        <w:rPr>
          <w:rFonts w:ascii="Verdana" w:hAnsi="Verdana"/>
        </w:rPr>
        <w:t xml:space="preserve">it is unsurprising perhaps that </w:t>
      </w:r>
      <w:r w:rsidRPr="0084676D">
        <w:rPr>
          <w:rFonts w:ascii="Verdana" w:hAnsi="Verdana"/>
        </w:rPr>
        <w:t xml:space="preserve">social housing stock </w:t>
      </w:r>
      <w:r w:rsidR="00CA3893">
        <w:rPr>
          <w:rFonts w:ascii="Verdana" w:hAnsi="Verdana"/>
        </w:rPr>
        <w:t xml:space="preserve">is often </w:t>
      </w:r>
      <w:r w:rsidR="007D47F1">
        <w:rPr>
          <w:rFonts w:ascii="Verdana" w:hAnsi="Verdana"/>
        </w:rPr>
        <w:t xml:space="preserve">located </w:t>
      </w:r>
      <w:r w:rsidRPr="0084676D">
        <w:rPr>
          <w:rFonts w:ascii="Verdana" w:hAnsi="Verdana"/>
        </w:rPr>
        <w:t xml:space="preserve">between </w:t>
      </w:r>
      <w:r w:rsidR="007D47F1">
        <w:rPr>
          <w:rFonts w:ascii="Verdana" w:hAnsi="Verdana"/>
        </w:rPr>
        <w:t xml:space="preserve">the </w:t>
      </w:r>
      <w:r w:rsidRPr="0084676D">
        <w:rPr>
          <w:rFonts w:ascii="Verdana" w:hAnsi="Verdana"/>
        </w:rPr>
        <w:t xml:space="preserve">two </w:t>
      </w:r>
      <w:r w:rsidR="007D47F1">
        <w:rPr>
          <w:rFonts w:ascii="Verdana" w:hAnsi="Verdana"/>
        </w:rPr>
        <w:t xml:space="preserve">primary </w:t>
      </w:r>
      <w:r w:rsidRPr="0084676D">
        <w:rPr>
          <w:rFonts w:ascii="Verdana" w:hAnsi="Verdana"/>
        </w:rPr>
        <w:t>communities. Research suggests that those who identify as other or no religion, often minority ethnic residents, live in the smallest homes, experience the most overcrowding and are more likely to live in poor standard housing in NI.</w:t>
      </w:r>
      <w:r w:rsidR="00E04CCA">
        <w:rPr>
          <w:rStyle w:val="FootnoteReference"/>
          <w:rFonts w:ascii="Verdana" w:hAnsi="Verdana"/>
        </w:rPr>
        <w:footnoteReference w:id="128"/>
      </w:r>
      <w:r w:rsidRPr="0084676D">
        <w:rPr>
          <w:rFonts w:ascii="Verdana" w:hAnsi="Verdana"/>
        </w:rPr>
        <w:t xml:space="preserve"> Evidence suggests that Roma communities have specific difficulties in finding appropriate rental properties, with reports of discrimination by rental agencies.</w:t>
      </w:r>
      <w:r w:rsidR="00BD0E6A">
        <w:rPr>
          <w:rStyle w:val="FootnoteReference"/>
          <w:rFonts w:ascii="Verdana" w:hAnsi="Verdana"/>
        </w:rPr>
        <w:footnoteReference w:id="129"/>
      </w:r>
      <w:r w:rsidRPr="0084676D">
        <w:rPr>
          <w:rFonts w:ascii="Verdana" w:hAnsi="Verdana"/>
        </w:rPr>
        <w:t xml:space="preserve"> This leads to overcrowding in already small residential properties, as multiple families are forced to share.</w:t>
      </w:r>
      <w:r w:rsidR="00BD0E6A">
        <w:rPr>
          <w:rStyle w:val="FootnoteReference"/>
          <w:rFonts w:ascii="Verdana" w:hAnsi="Verdana"/>
        </w:rPr>
        <w:footnoteReference w:id="130"/>
      </w:r>
    </w:p>
    <w:p w14:paraId="2AE30570" w14:textId="77777777" w:rsidR="00BA7080" w:rsidRDefault="00BA7080" w:rsidP="00BA7080">
      <w:pPr>
        <w:pStyle w:val="BasicParagraph"/>
        <w:suppressAutoHyphens/>
        <w:ind w:left="709"/>
        <w:rPr>
          <w:rFonts w:ascii="Verdana" w:hAnsi="Verdana"/>
        </w:rPr>
      </w:pPr>
    </w:p>
    <w:p w14:paraId="701C2A28" w14:textId="057B23D4" w:rsidR="00CF02FE" w:rsidRDefault="002648BC" w:rsidP="00CF02FE">
      <w:pPr>
        <w:pStyle w:val="BasicParagraph"/>
        <w:numPr>
          <w:ilvl w:val="1"/>
          <w:numId w:val="22"/>
        </w:numPr>
        <w:suppressAutoHyphens/>
        <w:ind w:left="709"/>
        <w:rPr>
          <w:rFonts w:ascii="Verdana" w:hAnsi="Verdana"/>
        </w:rPr>
      </w:pPr>
      <w:r>
        <w:rPr>
          <w:rFonts w:ascii="Verdana" w:hAnsi="Verdana"/>
        </w:rPr>
        <w:t>In 2025, t</w:t>
      </w:r>
      <w:r w:rsidR="003E4FF6" w:rsidRPr="00BA7080">
        <w:rPr>
          <w:rFonts w:ascii="Verdana" w:hAnsi="Verdana"/>
        </w:rPr>
        <w:t>he UN ICESCR Committee</w:t>
      </w:r>
      <w:r w:rsidR="00480704">
        <w:rPr>
          <w:rFonts w:ascii="Verdana" w:hAnsi="Verdana"/>
        </w:rPr>
        <w:t xml:space="preserve"> expressed </w:t>
      </w:r>
      <w:r w:rsidR="00480704" w:rsidRPr="00480704">
        <w:rPr>
          <w:rFonts w:ascii="Verdana" w:hAnsi="Verdana"/>
        </w:rPr>
        <w:t xml:space="preserve">concern about persistent barriers to culturally appropriate housing for Gypsies, Roma and Travellers </w:t>
      </w:r>
      <w:r w:rsidR="00480704" w:rsidRPr="00480704">
        <w:rPr>
          <w:rFonts w:ascii="Verdana" w:hAnsi="Verdana"/>
        </w:rPr>
        <w:lastRenderedPageBreak/>
        <w:t>and reports of discrimination and intimidation faced by migrants and ethnic minorities, which hinder their access to adequate housing</w:t>
      </w:r>
      <w:r w:rsidR="00287A0F">
        <w:rPr>
          <w:rFonts w:ascii="Verdana" w:hAnsi="Verdana"/>
        </w:rPr>
        <w:t>.</w:t>
      </w:r>
      <w:r w:rsidR="00ED3892">
        <w:rPr>
          <w:rStyle w:val="FootnoteReference"/>
          <w:rFonts w:ascii="Verdana" w:hAnsi="Verdana"/>
        </w:rPr>
        <w:footnoteReference w:id="131"/>
      </w:r>
      <w:r w:rsidR="00287A0F">
        <w:rPr>
          <w:rFonts w:ascii="Verdana" w:hAnsi="Verdana"/>
        </w:rPr>
        <w:t xml:space="preserve"> It </w:t>
      </w:r>
      <w:r w:rsidR="003E4FF6" w:rsidRPr="00BA7080">
        <w:rPr>
          <w:rFonts w:ascii="Verdana" w:hAnsi="Verdana"/>
        </w:rPr>
        <w:t>recommended</w:t>
      </w:r>
      <w:r w:rsidR="004D2F95">
        <w:rPr>
          <w:rFonts w:ascii="Verdana" w:hAnsi="Verdana"/>
        </w:rPr>
        <w:t xml:space="preserve"> </w:t>
      </w:r>
      <w:r w:rsidR="00CF02FE">
        <w:rPr>
          <w:rFonts w:ascii="Verdana" w:hAnsi="Verdana"/>
        </w:rPr>
        <w:t xml:space="preserve">that </w:t>
      </w:r>
      <w:r w:rsidR="004D2F95">
        <w:rPr>
          <w:rFonts w:ascii="Verdana" w:hAnsi="Verdana"/>
        </w:rPr>
        <w:t>the</w:t>
      </w:r>
      <w:r w:rsidR="00BC6CC6">
        <w:rPr>
          <w:rFonts w:ascii="Verdana" w:hAnsi="Verdana"/>
        </w:rPr>
        <w:t xml:space="preserve"> NI Executive</w:t>
      </w:r>
      <w:r w:rsidR="00C968AB">
        <w:rPr>
          <w:rFonts w:ascii="Verdana" w:hAnsi="Verdana"/>
        </w:rPr>
        <w:t>:</w:t>
      </w:r>
    </w:p>
    <w:p w14:paraId="4F6C57C8" w14:textId="77777777" w:rsidR="00C968AB" w:rsidRPr="00C968AB" w:rsidRDefault="00C968AB" w:rsidP="00C968AB">
      <w:pPr>
        <w:pStyle w:val="BasicParagraph"/>
        <w:suppressAutoHyphens/>
        <w:rPr>
          <w:rFonts w:ascii="Verdana" w:hAnsi="Verdana"/>
        </w:rPr>
      </w:pPr>
    </w:p>
    <w:p w14:paraId="3182EE86" w14:textId="72E4D8E4" w:rsidR="005F60C8" w:rsidRDefault="005F60C8" w:rsidP="00BC6CC6">
      <w:pPr>
        <w:pStyle w:val="BasicParagraph"/>
        <w:suppressAutoHyphens/>
        <w:rPr>
          <w:rFonts w:ascii="Verdana" w:hAnsi="Verdana"/>
        </w:rPr>
      </w:pPr>
      <w:r>
        <w:rPr>
          <w:rFonts w:ascii="Verdana" w:hAnsi="Verdana"/>
        </w:rPr>
        <w:t xml:space="preserve">          </w:t>
      </w:r>
      <w:r w:rsidR="004D2F95" w:rsidRPr="004D2F95">
        <w:rPr>
          <w:rFonts w:ascii="Verdana" w:hAnsi="Verdana"/>
        </w:rPr>
        <w:t xml:space="preserve">strengthen measures to prevent and combat intimidation by </w:t>
      </w:r>
    </w:p>
    <w:p w14:paraId="1F86F131" w14:textId="77777777" w:rsidR="005F60C8" w:rsidRDefault="005F60C8" w:rsidP="00BC6CC6">
      <w:pPr>
        <w:pStyle w:val="BasicParagraph"/>
        <w:suppressAutoHyphens/>
        <w:rPr>
          <w:rFonts w:ascii="Verdana" w:hAnsi="Verdana"/>
        </w:rPr>
      </w:pPr>
      <w:r>
        <w:rPr>
          <w:rFonts w:ascii="Verdana" w:hAnsi="Verdana"/>
        </w:rPr>
        <w:t xml:space="preserve">          </w:t>
      </w:r>
      <w:r w:rsidR="004D2F95" w:rsidRPr="004D2F95">
        <w:rPr>
          <w:rFonts w:ascii="Verdana" w:hAnsi="Verdana"/>
        </w:rPr>
        <w:t>paramilitary groups against ethnic minorities and migrants in Northern</w:t>
      </w:r>
    </w:p>
    <w:p w14:paraId="505C809B" w14:textId="77777777" w:rsidR="00C145AD" w:rsidRDefault="005F60C8" w:rsidP="00BC6CC6">
      <w:pPr>
        <w:pStyle w:val="BasicParagraph"/>
        <w:suppressAutoHyphens/>
        <w:rPr>
          <w:rFonts w:ascii="Verdana" w:hAnsi="Verdana"/>
        </w:rPr>
      </w:pPr>
      <w:r>
        <w:rPr>
          <w:rFonts w:ascii="Verdana" w:hAnsi="Verdana"/>
        </w:rPr>
        <w:t xml:space="preserve">      </w:t>
      </w:r>
      <w:r w:rsidR="00C145AD">
        <w:rPr>
          <w:rFonts w:ascii="Verdana" w:hAnsi="Verdana"/>
        </w:rPr>
        <w:t xml:space="preserve">    </w:t>
      </w:r>
      <w:r w:rsidR="004D2F95" w:rsidRPr="004D2F95">
        <w:rPr>
          <w:rFonts w:ascii="Verdana" w:hAnsi="Verdana"/>
        </w:rPr>
        <w:t>Ireland in order to ensure their access to adequate housing and to</w:t>
      </w:r>
    </w:p>
    <w:p w14:paraId="7CDC9895" w14:textId="77777777" w:rsidR="00C145AD" w:rsidRDefault="00C145AD" w:rsidP="00BC6CC6">
      <w:pPr>
        <w:pStyle w:val="BasicParagraph"/>
        <w:suppressAutoHyphens/>
        <w:rPr>
          <w:rFonts w:ascii="Verdana" w:hAnsi="Verdana"/>
        </w:rPr>
      </w:pPr>
      <w:r>
        <w:rPr>
          <w:rFonts w:ascii="Verdana" w:hAnsi="Verdana"/>
        </w:rPr>
        <w:t xml:space="preserve">         </w:t>
      </w:r>
      <w:r w:rsidR="004D2F95" w:rsidRPr="004D2F95">
        <w:rPr>
          <w:rFonts w:ascii="Verdana" w:hAnsi="Verdana"/>
        </w:rPr>
        <w:t xml:space="preserve"> prevent de facto segregation, to collect data on such acts and to ensure</w:t>
      </w:r>
    </w:p>
    <w:p w14:paraId="40C063FF" w14:textId="324288D9" w:rsidR="0084676D" w:rsidRPr="00BA7080" w:rsidRDefault="00C145AD" w:rsidP="00BC6CC6">
      <w:pPr>
        <w:pStyle w:val="BasicParagraph"/>
        <w:suppressAutoHyphens/>
        <w:rPr>
          <w:rFonts w:ascii="Verdana" w:hAnsi="Verdana"/>
        </w:rPr>
      </w:pPr>
      <w:r>
        <w:rPr>
          <w:rFonts w:ascii="Verdana" w:hAnsi="Verdana"/>
        </w:rPr>
        <w:t xml:space="preserve">          </w:t>
      </w:r>
      <w:r w:rsidR="004D2F95" w:rsidRPr="004D2F95">
        <w:rPr>
          <w:rFonts w:ascii="Verdana" w:hAnsi="Verdana"/>
        </w:rPr>
        <w:t>that they</w:t>
      </w:r>
      <w:r w:rsidR="005F60C8">
        <w:rPr>
          <w:rFonts w:ascii="Verdana" w:hAnsi="Verdana"/>
        </w:rPr>
        <w:t xml:space="preserve"> </w:t>
      </w:r>
      <w:r w:rsidR="004D2F95" w:rsidRPr="004D2F95">
        <w:rPr>
          <w:rFonts w:ascii="Verdana" w:hAnsi="Verdana"/>
        </w:rPr>
        <w:t>are promptly and effectively investigated</w:t>
      </w:r>
      <w:r w:rsidR="005F60C8">
        <w:rPr>
          <w:rFonts w:ascii="Verdana" w:hAnsi="Verdana"/>
        </w:rPr>
        <w:t>.</w:t>
      </w:r>
      <w:r w:rsidR="000075A9">
        <w:rPr>
          <w:rStyle w:val="FootnoteReference"/>
          <w:rFonts w:ascii="Verdana" w:hAnsi="Verdana"/>
        </w:rPr>
        <w:footnoteReference w:id="132"/>
      </w:r>
    </w:p>
    <w:p w14:paraId="651A9B5B" w14:textId="77777777" w:rsidR="00303F1B" w:rsidRPr="00F034EC" w:rsidRDefault="00303F1B" w:rsidP="00303F1B">
      <w:pPr>
        <w:pStyle w:val="ListParagraph"/>
      </w:pPr>
    </w:p>
    <w:p w14:paraId="1D1D43CF" w14:textId="66771F8B" w:rsidR="009A13FB" w:rsidRDefault="001D4A99" w:rsidP="009A13FB">
      <w:pPr>
        <w:pStyle w:val="BasicParagraph"/>
        <w:numPr>
          <w:ilvl w:val="1"/>
          <w:numId w:val="22"/>
        </w:numPr>
        <w:suppressAutoHyphens/>
        <w:ind w:left="709"/>
        <w:rPr>
          <w:rFonts w:ascii="Verdana" w:hAnsi="Verdana"/>
        </w:rPr>
      </w:pPr>
      <w:r w:rsidRPr="00F034EC">
        <w:rPr>
          <w:rFonts w:ascii="Verdana" w:hAnsi="Verdana"/>
          <w:b/>
          <w:bCs/>
        </w:rPr>
        <w:t>T</w:t>
      </w:r>
      <w:r w:rsidR="00303F1B" w:rsidRPr="00F034EC">
        <w:rPr>
          <w:rFonts w:ascii="Verdana" w:hAnsi="Verdana"/>
          <w:b/>
          <w:bCs/>
        </w:rPr>
        <w:t>he</w:t>
      </w:r>
      <w:r w:rsidRPr="00F034EC">
        <w:rPr>
          <w:rFonts w:ascii="Verdana" w:hAnsi="Verdana"/>
          <w:b/>
          <w:bCs/>
        </w:rPr>
        <w:t xml:space="preserve"> NIHRC recommends that the Executive Office </w:t>
      </w:r>
      <w:r w:rsidR="00703088" w:rsidRPr="00F034EC">
        <w:rPr>
          <w:rFonts w:ascii="Verdana" w:hAnsi="Verdana"/>
          <w:b/>
          <w:bCs/>
        </w:rPr>
        <w:t xml:space="preserve">strengthens Outcome 3 by including activities targeted at </w:t>
      </w:r>
      <w:r w:rsidR="00367CEE" w:rsidRPr="00F034EC">
        <w:rPr>
          <w:rFonts w:ascii="Verdana" w:hAnsi="Verdana"/>
          <w:b/>
          <w:bCs/>
        </w:rPr>
        <w:t xml:space="preserve">actors </w:t>
      </w:r>
      <w:r w:rsidR="00CD1D69" w:rsidRPr="00F034EC">
        <w:rPr>
          <w:rFonts w:ascii="Verdana" w:hAnsi="Verdana"/>
          <w:b/>
          <w:bCs/>
        </w:rPr>
        <w:t xml:space="preserve">within </w:t>
      </w:r>
      <w:r w:rsidR="00703088" w:rsidRPr="00F034EC">
        <w:rPr>
          <w:rFonts w:ascii="Verdana" w:hAnsi="Verdana"/>
          <w:b/>
          <w:bCs/>
        </w:rPr>
        <w:t xml:space="preserve">the housing sector to support the implementation of programmes and initiatives aimed at increasing access to </w:t>
      </w:r>
      <w:r w:rsidR="00437C57" w:rsidRPr="00F034EC">
        <w:rPr>
          <w:rFonts w:ascii="Verdana" w:hAnsi="Verdana"/>
          <w:b/>
          <w:bCs/>
        </w:rPr>
        <w:t>h</w:t>
      </w:r>
      <w:r w:rsidR="00703088" w:rsidRPr="00F034EC">
        <w:rPr>
          <w:rFonts w:ascii="Verdana" w:hAnsi="Verdana"/>
          <w:b/>
          <w:bCs/>
        </w:rPr>
        <w:t>ousing in both the public</w:t>
      </w:r>
      <w:r w:rsidR="00437C57" w:rsidRPr="00F034EC">
        <w:rPr>
          <w:rFonts w:ascii="Verdana" w:hAnsi="Verdana"/>
          <w:b/>
          <w:bCs/>
        </w:rPr>
        <w:t xml:space="preserve"> and private</w:t>
      </w:r>
      <w:r w:rsidR="00703088" w:rsidRPr="00F034EC">
        <w:rPr>
          <w:rFonts w:ascii="Verdana" w:hAnsi="Verdana"/>
          <w:b/>
          <w:bCs/>
        </w:rPr>
        <w:t xml:space="preserve"> sector</w:t>
      </w:r>
      <w:r w:rsidR="00703088" w:rsidRPr="00F034EC">
        <w:rPr>
          <w:rFonts w:ascii="Verdana" w:hAnsi="Verdana"/>
        </w:rPr>
        <w:t xml:space="preserve">. </w:t>
      </w:r>
    </w:p>
    <w:p w14:paraId="3977FFC1" w14:textId="77777777" w:rsidR="00AA754A" w:rsidRPr="00644191" w:rsidRDefault="00AA754A" w:rsidP="00DE011B">
      <w:pPr>
        <w:rPr>
          <w:rFonts w:eastAsia="Times New Roman" w:cs="Segoe UI"/>
          <w:b/>
          <w:bCs/>
          <w:lang w:eastAsia="en-GB"/>
        </w:rPr>
      </w:pPr>
    </w:p>
    <w:p w14:paraId="6CAEB230" w14:textId="46C33DA9" w:rsidR="00CC0611" w:rsidRPr="00644191" w:rsidRDefault="000464A0" w:rsidP="00644191">
      <w:pPr>
        <w:pStyle w:val="BasicParagraph"/>
        <w:numPr>
          <w:ilvl w:val="1"/>
          <w:numId w:val="22"/>
        </w:numPr>
        <w:suppressAutoHyphens/>
        <w:ind w:left="709"/>
        <w:rPr>
          <w:rFonts w:ascii="Verdana" w:hAnsi="Verdana"/>
        </w:rPr>
      </w:pPr>
      <w:r w:rsidRPr="00644191">
        <w:rPr>
          <w:rFonts w:ascii="Verdana" w:eastAsia="Times New Roman" w:hAnsi="Verdana" w:cs="Segoe UI"/>
          <w:b/>
          <w:bCs/>
          <w:lang w:eastAsia="en-GB"/>
        </w:rPr>
        <w:t xml:space="preserve">The NIHRC recommends that the Executive Office </w:t>
      </w:r>
      <w:r w:rsidR="005617D7" w:rsidRPr="00644191">
        <w:rPr>
          <w:rFonts w:ascii="Verdana" w:eastAsia="Times New Roman" w:hAnsi="Verdana" w:cs="Segoe UI"/>
          <w:b/>
          <w:bCs/>
          <w:lang w:eastAsia="en-GB"/>
        </w:rPr>
        <w:t>strengthens Outcome</w:t>
      </w:r>
      <w:r w:rsidR="00D8656C" w:rsidRPr="00644191">
        <w:rPr>
          <w:rFonts w:ascii="Verdana" w:eastAsia="Times New Roman" w:hAnsi="Verdana" w:cs="Segoe UI"/>
          <w:b/>
          <w:bCs/>
          <w:lang w:eastAsia="en-GB"/>
        </w:rPr>
        <w:t xml:space="preserve"> 3 by</w:t>
      </w:r>
      <w:r w:rsidR="000A2FDC" w:rsidRPr="00644191">
        <w:rPr>
          <w:rFonts w:ascii="Verdana" w:eastAsia="Times New Roman" w:hAnsi="Verdana" w:cs="Segoe UI"/>
          <w:b/>
          <w:bCs/>
          <w:lang w:eastAsia="en-GB"/>
        </w:rPr>
        <w:t xml:space="preserve"> including clear</w:t>
      </w:r>
      <w:r w:rsidRPr="00644191">
        <w:rPr>
          <w:rFonts w:ascii="Verdana" w:eastAsia="Times New Roman" w:hAnsi="Verdana" w:cs="Segoe UI"/>
          <w:b/>
          <w:bCs/>
          <w:lang w:eastAsia="en-GB"/>
        </w:rPr>
        <w:t xml:space="preserve"> measures to prevent intimidation and violence by paramilitary groups against ethnic minorities and migrants to ensure equal access to adequate and culturally appropriate housing and to prevent de facto segregatio</w:t>
      </w:r>
      <w:r w:rsidR="00A042B3" w:rsidRPr="00644191">
        <w:rPr>
          <w:rFonts w:ascii="Verdana" w:eastAsia="Times New Roman" w:hAnsi="Verdana" w:cs="Segoe UI"/>
          <w:b/>
          <w:bCs/>
          <w:lang w:eastAsia="en-GB"/>
        </w:rPr>
        <w:t>n. The NIHRC ad</w:t>
      </w:r>
      <w:r w:rsidR="00F55885" w:rsidRPr="00644191">
        <w:rPr>
          <w:rFonts w:ascii="Verdana" w:eastAsia="Times New Roman" w:hAnsi="Verdana" w:cs="Segoe UI"/>
          <w:b/>
          <w:bCs/>
          <w:lang w:eastAsia="en-GB"/>
        </w:rPr>
        <w:t>vises</w:t>
      </w:r>
      <w:r w:rsidR="00CC64B1" w:rsidRPr="00644191">
        <w:rPr>
          <w:rFonts w:ascii="Verdana" w:eastAsia="Times New Roman" w:hAnsi="Verdana" w:cs="Segoe UI"/>
          <w:b/>
          <w:bCs/>
          <w:lang w:eastAsia="en-GB"/>
        </w:rPr>
        <w:t xml:space="preserve"> that this should include</w:t>
      </w:r>
      <w:r w:rsidR="00E1125F">
        <w:rPr>
          <w:rFonts w:ascii="Verdana" w:eastAsia="Times New Roman" w:hAnsi="Verdana" w:cs="Segoe UI"/>
          <w:b/>
          <w:bCs/>
          <w:lang w:eastAsia="en-GB"/>
        </w:rPr>
        <w:t xml:space="preserve"> </w:t>
      </w:r>
      <w:r w:rsidR="00AB296F">
        <w:rPr>
          <w:rFonts w:ascii="Verdana" w:eastAsia="Times New Roman" w:hAnsi="Verdana" w:cs="Segoe UI"/>
          <w:b/>
          <w:bCs/>
          <w:lang w:eastAsia="en-GB"/>
        </w:rPr>
        <w:t xml:space="preserve">the </w:t>
      </w:r>
      <w:r w:rsidR="00CC64B1" w:rsidRPr="00644191">
        <w:rPr>
          <w:rFonts w:ascii="Verdana" w:eastAsia="Times New Roman" w:hAnsi="Verdana" w:cs="Segoe UI"/>
          <w:b/>
          <w:bCs/>
          <w:lang w:eastAsia="en-GB"/>
        </w:rPr>
        <w:t>collection, analysis and publication of</w:t>
      </w:r>
      <w:r w:rsidR="002869BF" w:rsidRPr="00644191">
        <w:rPr>
          <w:rFonts w:ascii="Verdana" w:eastAsia="Times New Roman" w:hAnsi="Verdana" w:cs="Segoe UI"/>
          <w:b/>
          <w:bCs/>
          <w:lang w:eastAsia="en-GB"/>
        </w:rPr>
        <w:t xml:space="preserve"> </w:t>
      </w:r>
      <w:r w:rsidR="00CC64B1" w:rsidRPr="00644191">
        <w:rPr>
          <w:rFonts w:ascii="Verdana" w:eastAsia="Times New Roman" w:hAnsi="Verdana" w:cs="Segoe UI"/>
          <w:b/>
          <w:bCs/>
          <w:lang w:eastAsia="en-GB"/>
        </w:rPr>
        <w:t>data on such incidents</w:t>
      </w:r>
      <w:r w:rsidR="006044B4" w:rsidRPr="00644191">
        <w:rPr>
          <w:rFonts w:ascii="Verdana" w:eastAsia="Times New Roman" w:hAnsi="Verdana" w:cs="Segoe UI"/>
          <w:b/>
          <w:bCs/>
          <w:lang w:eastAsia="en-GB"/>
        </w:rPr>
        <w:t>,</w:t>
      </w:r>
      <w:r w:rsidR="00AA3E3C" w:rsidRPr="00644191">
        <w:rPr>
          <w:rFonts w:ascii="Verdana" w:hAnsi="Verdana"/>
          <w:b/>
          <w:bCs/>
        </w:rPr>
        <w:t xml:space="preserve"> </w:t>
      </w:r>
      <w:r w:rsidR="00CC0611" w:rsidRPr="00644191">
        <w:rPr>
          <w:rFonts w:ascii="Verdana" w:eastAsia="Times New Roman" w:hAnsi="Verdana" w:cs="Segoe UI"/>
          <w:b/>
          <w:bCs/>
          <w:lang w:eastAsia="en-GB"/>
        </w:rPr>
        <w:t>including the number of cases investigated and prosecuted, the reasons for decisions not to prosecute, and the outcomes of prosecuted cases</w:t>
      </w:r>
      <w:r w:rsidR="00644191" w:rsidRPr="000E1A22">
        <w:rPr>
          <w:rFonts w:ascii="Verdana" w:eastAsia="Times New Roman" w:hAnsi="Verdana" w:cs="Segoe UI"/>
          <w:lang w:eastAsia="en-GB"/>
        </w:rPr>
        <w:t>.</w:t>
      </w:r>
    </w:p>
    <w:p w14:paraId="215A2877" w14:textId="77777777" w:rsidR="00C93ED0" w:rsidRPr="00644191" w:rsidRDefault="00C93ED0" w:rsidP="00644191">
      <w:pPr>
        <w:pStyle w:val="BasicParagraph"/>
        <w:suppressAutoHyphens/>
        <w:rPr>
          <w:rFonts w:ascii="Verdana" w:hAnsi="Verdana"/>
        </w:rPr>
      </w:pPr>
    </w:p>
    <w:p w14:paraId="6FB15900" w14:textId="0302068B" w:rsidR="00C3423A" w:rsidRPr="00792641" w:rsidRDefault="00C3423A" w:rsidP="00A55475">
      <w:pPr>
        <w:pStyle w:val="Heading2"/>
      </w:pPr>
      <w:bookmarkStart w:id="25" w:name="_Toc230705753"/>
      <w:r w:rsidRPr="00792641">
        <w:t>Roma Thematic Group and Traveller Thematic Group</w:t>
      </w:r>
      <w:bookmarkEnd w:id="25"/>
    </w:p>
    <w:p w14:paraId="01B056EE" w14:textId="77777777" w:rsidR="00C3423A" w:rsidRPr="0044002C" w:rsidRDefault="00C3423A" w:rsidP="00A55475">
      <w:pPr>
        <w:keepNext/>
      </w:pPr>
    </w:p>
    <w:p w14:paraId="794E7335" w14:textId="1B512842" w:rsidR="00341929" w:rsidRDefault="00F34968" w:rsidP="00A55475">
      <w:pPr>
        <w:pStyle w:val="BasicParagraph"/>
        <w:keepNext/>
        <w:numPr>
          <w:ilvl w:val="1"/>
          <w:numId w:val="22"/>
        </w:numPr>
        <w:suppressAutoHyphens/>
        <w:ind w:left="709"/>
        <w:rPr>
          <w:rFonts w:ascii="Verdana" w:hAnsi="Verdana"/>
        </w:rPr>
      </w:pPr>
      <w:r>
        <w:rPr>
          <w:rFonts w:ascii="Verdana" w:hAnsi="Verdana"/>
        </w:rPr>
        <w:t>The seventh intervention under Outcome 3</w:t>
      </w:r>
      <w:r w:rsidR="00C3423A">
        <w:rPr>
          <w:rFonts w:ascii="Verdana" w:hAnsi="Verdana"/>
        </w:rPr>
        <w:t xml:space="preserve"> refer</w:t>
      </w:r>
      <w:r w:rsidR="00341929">
        <w:rPr>
          <w:rFonts w:ascii="Verdana" w:hAnsi="Verdana"/>
        </w:rPr>
        <w:t>s to</w:t>
      </w:r>
      <w:r w:rsidR="00C3423A">
        <w:rPr>
          <w:rFonts w:ascii="Verdana" w:hAnsi="Verdana"/>
        </w:rPr>
        <w:t xml:space="preserve"> working with </w:t>
      </w:r>
      <w:r w:rsidR="005421E5">
        <w:rPr>
          <w:rFonts w:ascii="Verdana" w:hAnsi="Verdana"/>
        </w:rPr>
        <w:t xml:space="preserve">the </w:t>
      </w:r>
      <w:r w:rsidR="00C3423A" w:rsidRPr="00C405AD">
        <w:rPr>
          <w:rFonts w:ascii="Verdana" w:hAnsi="Verdana"/>
        </w:rPr>
        <w:t xml:space="preserve">Roma Thematic Group and Travellers Thematic Group </w:t>
      </w:r>
      <w:r w:rsidR="0067623A">
        <w:rPr>
          <w:rFonts w:ascii="Verdana" w:hAnsi="Verdana"/>
        </w:rPr>
        <w:t>“</w:t>
      </w:r>
      <w:r w:rsidR="00C3423A" w:rsidRPr="00C405AD">
        <w:rPr>
          <w:rFonts w:ascii="Verdana" w:hAnsi="Verdana"/>
        </w:rPr>
        <w:t>to implement specific activities</w:t>
      </w:r>
      <w:r w:rsidR="0067623A">
        <w:rPr>
          <w:rFonts w:ascii="Verdana" w:hAnsi="Verdana"/>
        </w:rPr>
        <w:t xml:space="preserve"> </w:t>
      </w:r>
      <w:r w:rsidR="0067623A" w:rsidRPr="0067623A">
        <w:rPr>
          <w:rFonts w:ascii="Verdana" w:hAnsi="Verdana"/>
        </w:rPr>
        <w:t>in relation to improving access to services through inclusive interventions</w:t>
      </w:r>
      <w:r w:rsidR="001D5561">
        <w:rPr>
          <w:rFonts w:ascii="Verdana" w:hAnsi="Verdana"/>
        </w:rPr>
        <w:t xml:space="preserve">.” </w:t>
      </w:r>
      <w:r w:rsidR="005421E5">
        <w:rPr>
          <w:rFonts w:ascii="Verdana" w:hAnsi="Verdana"/>
        </w:rPr>
        <w:t>However, t</w:t>
      </w:r>
      <w:r w:rsidR="001D5561">
        <w:rPr>
          <w:rFonts w:ascii="Verdana" w:hAnsi="Verdana"/>
        </w:rPr>
        <w:t xml:space="preserve">he intervention </w:t>
      </w:r>
      <w:r w:rsidR="005421E5">
        <w:rPr>
          <w:rFonts w:ascii="Verdana" w:hAnsi="Verdana"/>
        </w:rPr>
        <w:t xml:space="preserve">lacks sufficient detail on the specific </w:t>
      </w:r>
      <w:r w:rsidR="001D5561">
        <w:rPr>
          <w:rFonts w:ascii="Verdana" w:hAnsi="Verdana"/>
        </w:rPr>
        <w:t xml:space="preserve">activities to </w:t>
      </w:r>
      <w:r w:rsidR="004B6363">
        <w:rPr>
          <w:rFonts w:ascii="Verdana" w:hAnsi="Verdana"/>
        </w:rPr>
        <w:t xml:space="preserve">be </w:t>
      </w:r>
      <w:r w:rsidR="005421E5">
        <w:rPr>
          <w:rFonts w:ascii="Verdana" w:hAnsi="Verdana"/>
        </w:rPr>
        <w:t xml:space="preserve">undertaken by these groups and does not </w:t>
      </w:r>
      <w:r w:rsidR="00CC456E">
        <w:rPr>
          <w:rFonts w:ascii="Verdana" w:hAnsi="Verdana"/>
        </w:rPr>
        <w:t xml:space="preserve">clearly </w:t>
      </w:r>
      <w:r w:rsidR="005421E5">
        <w:rPr>
          <w:rFonts w:ascii="Verdana" w:hAnsi="Verdana"/>
        </w:rPr>
        <w:t>identif</w:t>
      </w:r>
      <w:r w:rsidR="00CC456E">
        <w:rPr>
          <w:rFonts w:ascii="Verdana" w:hAnsi="Verdana"/>
        </w:rPr>
        <w:t>y</w:t>
      </w:r>
      <w:r w:rsidR="005421E5">
        <w:rPr>
          <w:rFonts w:ascii="Verdana" w:hAnsi="Verdana"/>
        </w:rPr>
        <w:t xml:space="preserve"> </w:t>
      </w:r>
      <w:r w:rsidR="0082284D">
        <w:rPr>
          <w:rFonts w:ascii="Verdana" w:hAnsi="Verdana"/>
        </w:rPr>
        <w:t>the</w:t>
      </w:r>
      <w:r w:rsidR="00CC456E">
        <w:rPr>
          <w:rFonts w:ascii="Verdana" w:hAnsi="Verdana"/>
        </w:rPr>
        <w:t xml:space="preserve"> services to be prioritised</w:t>
      </w:r>
      <w:r w:rsidR="0068541D">
        <w:rPr>
          <w:rFonts w:ascii="Verdana" w:hAnsi="Verdana"/>
        </w:rPr>
        <w:t xml:space="preserve">. </w:t>
      </w:r>
    </w:p>
    <w:p w14:paraId="11EEDEEC" w14:textId="77777777" w:rsidR="00341929" w:rsidRDefault="00341929" w:rsidP="00341929">
      <w:pPr>
        <w:pStyle w:val="BasicParagraph"/>
        <w:suppressAutoHyphens/>
        <w:ind w:left="709"/>
        <w:rPr>
          <w:rFonts w:ascii="Verdana" w:hAnsi="Verdana"/>
        </w:rPr>
      </w:pPr>
    </w:p>
    <w:p w14:paraId="4C4E62AF" w14:textId="515E4E4E" w:rsidR="00194BCD" w:rsidRDefault="008C2416" w:rsidP="00F247B7">
      <w:pPr>
        <w:pStyle w:val="BasicParagraph"/>
        <w:numPr>
          <w:ilvl w:val="1"/>
          <w:numId w:val="22"/>
        </w:numPr>
        <w:suppressAutoHyphens/>
        <w:ind w:left="709"/>
        <w:rPr>
          <w:rFonts w:ascii="Verdana" w:hAnsi="Verdana"/>
        </w:rPr>
      </w:pPr>
      <w:r>
        <w:rPr>
          <w:rFonts w:ascii="Verdana" w:hAnsi="Verdana"/>
        </w:rPr>
        <w:t>The UN</w:t>
      </w:r>
      <w:r w:rsidR="0059328D">
        <w:rPr>
          <w:rFonts w:ascii="Verdana" w:hAnsi="Verdana"/>
        </w:rPr>
        <w:t xml:space="preserve"> </w:t>
      </w:r>
      <w:r w:rsidR="00341929">
        <w:rPr>
          <w:rFonts w:ascii="Verdana" w:hAnsi="Verdana"/>
        </w:rPr>
        <w:t xml:space="preserve">OHCHR guidance </w:t>
      </w:r>
      <w:r w:rsidR="00194BCD">
        <w:rPr>
          <w:rFonts w:ascii="Verdana" w:hAnsi="Verdana"/>
        </w:rPr>
        <w:t xml:space="preserve">emphasises that </w:t>
      </w:r>
      <w:r w:rsidR="00DB3E8A">
        <w:rPr>
          <w:rFonts w:ascii="Verdana" w:hAnsi="Verdana"/>
        </w:rPr>
        <w:t>national action plans</w:t>
      </w:r>
      <w:r w:rsidR="00F35B42">
        <w:rPr>
          <w:rFonts w:ascii="Verdana" w:hAnsi="Verdana"/>
        </w:rPr>
        <w:t xml:space="preserve"> should</w:t>
      </w:r>
      <w:r w:rsidR="00DB3E8A">
        <w:rPr>
          <w:rFonts w:ascii="Verdana" w:hAnsi="Verdana"/>
        </w:rPr>
        <w:t xml:space="preserve"> </w:t>
      </w:r>
      <w:r w:rsidR="00194BCD">
        <w:rPr>
          <w:rFonts w:ascii="Verdana" w:hAnsi="Verdana"/>
        </w:rPr>
        <w:lastRenderedPageBreak/>
        <w:t xml:space="preserve">clearly </w:t>
      </w:r>
      <w:r w:rsidR="00F35B42">
        <w:rPr>
          <w:rFonts w:ascii="Verdana" w:hAnsi="Verdana"/>
        </w:rPr>
        <w:t>s</w:t>
      </w:r>
      <w:r w:rsidR="00DB3E8A" w:rsidRPr="00DB3E8A">
        <w:rPr>
          <w:rFonts w:ascii="Verdana" w:hAnsi="Verdana"/>
        </w:rPr>
        <w:t>pecify</w:t>
      </w:r>
      <w:r w:rsidR="00F35B42">
        <w:rPr>
          <w:rFonts w:ascii="Verdana" w:hAnsi="Verdana"/>
        </w:rPr>
        <w:t xml:space="preserve"> the </w:t>
      </w:r>
      <w:r w:rsidR="00DB3E8A" w:rsidRPr="00DB3E8A">
        <w:rPr>
          <w:rFonts w:ascii="Verdana" w:hAnsi="Verdana"/>
        </w:rPr>
        <w:t>action</w:t>
      </w:r>
      <w:r w:rsidR="00185B17">
        <w:rPr>
          <w:rFonts w:ascii="Verdana" w:hAnsi="Verdana"/>
        </w:rPr>
        <w:t>s</w:t>
      </w:r>
      <w:r w:rsidR="00DB3E8A" w:rsidRPr="00DB3E8A">
        <w:rPr>
          <w:rFonts w:ascii="Verdana" w:hAnsi="Verdana"/>
        </w:rPr>
        <w:t xml:space="preserve"> </w:t>
      </w:r>
      <w:r w:rsidR="00F35B42">
        <w:rPr>
          <w:rFonts w:ascii="Verdana" w:hAnsi="Verdana"/>
        </w:rPr>
        <w:t>to</w:t>
      </w:r>
      <w:r w:rsidR="00DB3E8A" w:rsidRPr="00DB3E8A">
        <w:rPr>
          <w:rFonts w:ascii="Verdana" w:hAnsi="Verdana"/>
        </w:rPr>
        <w:t xml:space="preserve"> be taken (providing benchmarks for the evaluation of progress</w:t>
      </w:r>
      <w:r w:rsidR="00092925">
        <w:rPr>
          <w:rFonts w:ascii="Verdana" w:hAnsi="Verdana"/>
        </w:rPr>
        <w:t>),</w:t>
      </w:r>
      <w:r w:rsidR="00DB3E8A" w:rsidRPr="00DB3E8A">
        <w:rPr>
          <w:rFonts w:ascii="Verdana" w:hAnsi="Verdana"/>
        </w:rPr>
        <w:t xml:space="preserve"> </w:t>
      </w:r>
      <w:r w:rsidR="008257D3">
        <w:rPr>
          <w:rFonts w:ascii="Verdana" w:hAnsi="Verdana"/>
        </w:rPr>
        <w:t>p</w:t>
      </w:r>
      <w:r w:rsidR="008257D3" w:rsidRPr="00DB3E8A">
        <w:rPr>
          <w:rFonts w:ascii="Verdana" w:hAnsi="Verdana"/>
        </w:rPr>
        <w:t>rioriti</w:t>
      </w:r>
      <w:r w:rsidR="008257D3">
        <w:rPr>
          <w:rFonts w:ascii="Verdana" w:hAnsi="Verdana"/>
        </w:rPr>
        <w:t>s</w:t>
      </w:r>
      <w:r w:rsidR="008257D3" w:rsidRPr="00DB3E8A">
        <w:rPr>
          <w:rFonts w:ascii="Verdana" w:hAnsi="Verdana"/>
        </w:rPr>
        <w:t xml:space="preserve">e </w:t>
      </w:r>
      <w:r w:rsidR="008257D3">
        <w:rPr>
          <w:rFonts w:ascii="Verdana" w:hAnsi="Verdana"/>
        </w:rPr>
        <w:t>those</w:t>
      </w:r>
      <w:r w:rsidR="00185B17">
        <w:rPr>
          <w:rFonts w:ascii="Verdana" w:hAnsi="Verdana"/>
        </w:rPr>
        <w:t xml:space="preserve"> </w:t>
      </w:r>
      <w:r w:rsidR="00DB3E8A" w:rsidRPr="00DB3E8A">
        <w:rPr>
          <w:rFonts w:ascii="Verdana" w:hAnsi="Verdana"/>
        </w:rPr>
        <w:t>actions</w:t>
      </w:r>
      <w:r w:rsidR="00092925">
        <w:rPr>
          <w:rFonts w:ascii="Verdana" w:hAnsi="Verdana"/>
        </w:rPr>
        <w:t>,</w:t>
      </w:r>
      <w:r w:rsidR="00DB3E8A" w:rsidRPr="00DB3E8A">
        <w:rPr>
          <w:rFonts w:ascii="Verdana" w:hAnsi="Verdana"/>
        </w:rPr>
        <w:t xml:space="preserve"> </w:t>
      </w:r>
      <w:r w:rsidR="00A57C02">
        <w:rPr>
          <w:rFonts w:ascii="Verdana" w:hAnsi="Verdana"/>
        </w:rPr>
        <w:t>identify the bodies responsible for implementation</w:t>
      </w:r>
      <w:r w:rsidR="00C36F53">
        <w:rPr>
          <w:rFonts w:ascii="Verdana" w:hAnsi="Verdana"/>
        </w:rPr>
        <w:t xml:space="preserve">, </w:t>
      </w:r>
      <w:r w:rsidR="00194BCD">
        <w:rPr>
          <w:rFonts w:ascii="Verdana" w:hAnsi="Verdana"/>
        </w:rPr>
        <w:t>e</w:t>
      </w:r>
      <w:r w:rsidR="00DB3E8A" w:rsidRPr="00DB3E8A">
        <w:rPr>
          <w:rFonts w:ascii="Verdana" w:hAnsi="Verdana"/>
        </w:rPr>
        <w:t xml:space="preserve">stablish </w:t>
      </w:r>
      <w:r w:rsidR="00C36F53">
        <w:rPr>
          <w:rFonts w:ascii="Verdana" w:hAnsi="Verdana"/>
        </w:rPr>
        <w:t xml:space="preserve">clear </w:t>
      </w:r>
      <w:r w:rsidR="00DB3E8A" w:rsidRPr="00DB3E8A">
        <w:rPr>
          <w:rFonts w:ascii="Verdana" w:hAnsi="Verdana"/>
        </w:rPr>
        <w:t>timeframe</w:t>
      </w:r>
      <w:r w:rsidR="00C36F53">
        <w:rPr>
          <w:rFonts w:ascii="Verdana" w:hAnsi="Verdana"/>
        </w:rPr>
        <w:t>s</w:t>
      </w:r>
      <w:r w:rsidR="00DB3E8A" w:rsidRPr="00DB3E8A">
        <w:rPr>
          <w:rFonts w:ascii="Verdana" w:hAnsi="Verdana"/>
        </w:rPr>
        <w:t xml:space="preserve"> for </w:t>
      </w:r>
      <w:r w:rsidR="00C36F53">
        <w:rPr>
          <w:rFonts w:ascii="Verdana" w:hAnsi="Verdana"/>
        </w:rPr>
        <w:t xml:space="preserve">delivery and </w:t>
      </w:r>
      <w:r w:rsidR="008257D3">
        <w:rPr>
          <w:rFonts w:ascii="Verdana" w:hAnsi="Verdana"/>
        </w:rPr>
        <w:t>set out the budgetary resources</w:t>
      </w:r>
      <w:r w:rsidR="00C3423A">
        <w:rPr>
          <w:rFonts w:ascii="Verdana" w:hAnsi="Verdana"/>
        </w:rPr>
        <w:t xml:space="preserve"> required</w:t>
      </w:r>
      <w:r w:rsidR="00194BCD">
        <w:rPr>
          <w:rFonts w:ascii="Verdana" w:hAnsi="Verdana"/>
        </w:rPr>
        <w:t>.</w:t>
      </w:r>
      <w:r w:rsidR="00194BCD">
        <w:rPr>
          <w:rStyle w:val="FootnoteReference"/>
          <w:rFonts w:ascii="Verdana" w:hAnsi="Verdana"/>
        </w:rPr>
        <w:footnoteReference w:id="133"/>
      </w:r>
      <w:r w:rsidR="00194BCD">
        <w:rPr>
          <w:rFonts w:ascii="Verdana" w:hAnsi="Verdana"/>
        </w:rPr>
        <w:t xml:space="preserve"> </w:t>
      </w:r>
    </w:p>
    <w:p w14:paraId="1166BF8B" w14:textId="77777777" w:rsidR="00381E2C" w:rsidRDefault="00381E2C" w:rsidP="00381E2C">
      <w:pPr>
        <w:pStyle w:val="ListParagraph"/>
      </w:pPr>
    </w:p>
    <w:p w14:paraId="2DCEE7AD" w14:textId="0C8B7BA7" w:rsidR="00381E2C" w:rsidRDefault="00381E2C" w:rsidP="00F247B7">
      <w:pPr>
        <w:pStyle w:val="BasicParagraph"/>
        <w:numPr>
          <w:ilvl w:val="1"/>
          <w:numId w:val="22"/>
        </w:numPr>
        <w:suppressAutoHyphens/>
        <w:ind w:left="709"/>
        <w:rPr>
          <w:rFonts w:ascii="Verdana" w:hAnsi="Verdana"/>
        </w:rPr>
      </w:pPr>
      <w:r w:rsidRPr="00D916AE">
        <w:rPr>
          <w:rFonts w:ascii="Verdana" w:hAnsi="Verdana"/>
        </w:rPr>
        <w:t xml:space="preserve">The UN ICESCR Committee has </w:t>
      </w:r>
      <w:r>
        <w:rPr>
          <w:rFonts w:ascii="Verdana" w:hAnsi="Verdana"/>
        </w:rPr>
        <w:t>recommended that the State Party</w:t>
      </w:r>
      <w:r w:rsidR="004B07E3">
        <w:rPr>
          <w:rFonts w:ascii="Verdana" w:hAnsi="Verdana"/>
        </w:rPr>
        <w:t>:</w:t>
      </w:r>
    </w:p>
    <w:p w14:paraId="759AA9D1" w14:textId="77777777" w:rsidR="00381E2C" w:rsidRDefault="00381E2C" w:rsidP="00381E2C">
      <w:pPr>
        <w:pStyle w:val="ListParagraph"/>
      </w:pPr>
    </w:p>
    <w:p w14:paraId="384D87FD" w14:textId="23E888F3" w:rsidR="00381E2C" w:rsidRDefault="00FF656B" w:rsidP="00D126A4">
      <w:pPr>
        <w:pStyle w:val="Quote"/>
        <w:widowControl/>
      </w:pPr>
      <w:r>
        <w:t>p</w:t>
      </w:r>
      <w:r w:rsidR="00381E2C" w:rsidRPr="00547D0C">
        <w:t>revent and combat discrimination, racism, stereotypes and inequalities faced by persons with disabilities, ethnic minorities, including Gypsies,</w:t>
      </w:r>
      <w:r w:rsidR="00381E2C">
        <w:t xml:space="preserve"> </w:t>
      </w:r>
      <w:r w:rsidR="00381E2C" w:rsidRPr="00547D0C">
        <w:t>Roma and Travellers, persons of African or Asian descent and members of</w:t>
      </w:r>
      <w:r w:rsidR="00381E2C">
        <w:t xml:space="preserve"> </w:t>
      </w:r>
      <w:r w:rsidR="00381E2C" w:rsidRPr="00547D0C">
        <w:t>Jewish, Muslim and Hindu communities, and migrants, refugees and asylum-seekers by implementing targeted awareness-raising campaigns and affirmative action measures in such areas as</w:t>
      </w:r>
      <w:r w:rsidR="00381E2C">
        <w:t xml:space="preserve"> </w:t>
      </w:r>
      <w:r w:rsidR="00381E2C" w:rsidRPr="00547D0C">
        <w:t>decent work, social</w:t>
      </w:r>
      <w:r w:rsidR="00381E2C">
        <w:t xml:space="preserve"> </w:t>
      </w:r>
      <w:r>
        <w:t xml:space="preserve"> </w:t>
      </w:r>
      <w:r w:rsidR="00381E2C" w:rsidRPr="00547D0C">
        <w:t>security, adequate housing, healthcare and education to ensure that all persons fully enjoy Covenant rights without discrimination</w:t>
      </w:r>
      <w:r w:rsidR="00381E2C">
        <w:t>.”</w:t>
      </w:r>
      <w:r w:rsidR="00381E2C">
        <w:rPr>
          <w:rStyle w:val="FootnoteReference"/>
        </w:rPr>
        <w:footnoteReference w:id="134"/>
      </w:r>
    </w:p>
    <w:p w14:paraId="762CB6DA" w14:textId="77777777" w:rsidR="00194BCD" w:rsidRPr="00F034EC" w:rsidRDefault="00194BCD" w:rsidP="00194BCD">
      <w:pPr>
        <w:pStyle w:val="ListParagraph"/>
      </w:pPr>
    </w:p>
    <w:p w14:paraId="5BBA8215" w14:textId="675060C5" w:rsidR="00C3423A" w:rsidRPr="00F034EC" w:rsidRDefault="00194BCD" w:rsidP="00F247B7">
      <w:pPr>
        <w:pStyle w:val="BasicParagraph"/>
        <w:numPr>
          <w:ilvl w:val="1"/>
          <w:numId w:val="22"/>
        </w:numPr>
        <w:suppressAutoHyphens/>
        <w:ind w:left="709"/>
      </w:pPr>
      <w:r w:rsidRPr="00F034EC">
        <w:rPr>
          <w:rFonts w:ascii="Verdana" w:hAnsi="Verdana"/>
          <w:b/>
          <w:bCs/>
        </w:rPr>
        <w:t>The NIHRC recommends that</w:t>
      </w:r>
      <w:r w:rsidR="004E2441" w:rsidRPr="00F034EC">
        <w:rPr>
          <w:rFonts w:ascii="Verdana" w:hAnsi="Verdana"/>
          <w:b/>
          <w:bCs/>
        </w:rPr>
        <w:t xml:space="preserve"> the Executive Office </w:t>
      </w:r>
      <w:r w:rsidR="00B73F57" w:rsidRPr="00F034EC">
        <w:rPr>
          <w:rFonts w:ascii="Verdana" w:hAnsi="Verdana"/>
          <w:b/>
          <w:bCs/>
        </w:rPr>
        <w:t xml:space="preserve">strengthens the seventh intervention under Outcome 3 by clearly </w:t>
      </w:r>
      <w:r w:rsidR="00DC0941" w:rsidRPr="00F034EC">
        <w:rPr>
          <w:rFonts w:ascii="Verdana" w:hAnsi="Verdana"/>
          <w:b/>
          <w:bCs/>
        </w:rPr>
        <w:t>specifying</w:t>
      </w:r>
      <w:r w:rsidR="005349BF" w:rsidRPr="00F034EC">
        <w:rPr>
          <w:rFonts w:ascii="Verdana" w:hAnsi="Verdana"/>
          <w:b/>
          <w:bCs/>
        </w:rPr>
        <w:t xml:space="preserve"> actions to be </w:t>
      </w:r>
      <w:r w:rsidR="00DC0941" w:rsidRPr="00F034EC">
        <w:rPr>
          <w:rFonts w:ascii="Verdana" w:hAnsi="Verdana"/>
          <w:b/>
          <w:bCs/>
        </w:rPr>
        <w:t>undertaken</w:t>
      </w:r>
      <w:r w:rsidR="004F50E8" w:rsidRPr="00F034EC">
        <w:rPr>
          <w:rFonts w:ascii="Verdana" w:hAnsi="Verdana"/>
          <w:b/>
          <w:bCs/>
        </w:rPr>
        <w:t xml:space="preserve"> by the Roma Thematic Group and Travellers Thematic Group</w:t>
      </w:r>
      <w:r w:rsidR="005349BF" w:rsidRPr="00F034EC">
        <w:rPr>
          <w:rFonts w:ascii="Verdana" w:hAnsi="Verdana"/>
          <w:b/>
          <w:bCs/>
        </w:rPr>
        <w:t>,</w:t>
      </w:r>
      <w:r w:rsidR="002F6803" w:rsidRPr="00F034EC">
        <w:rPr>
          <w:rFonts w:ascii="Verdana" w:hAnsi="Verdana"/>
          <w:b/>
          <w:bCs/>
        </w:rPr>
        <w:t xml:space="preserve"> identifying the</w:t>
      </w:r>
      <w:r w:rsidR="00DC0941" w:rsidRPr="00F034EC">
        <w:rPr>
          <w:b/>
          <w:bCs/>
        </w:rPr>
        <w:t xml:space="preserve"> </w:t>
      </w:r>
      <w:r w:rsidR="00DC0941" w:rsidRPr="00F034EC">
        <w:rPr>
          <w:rFonts w:ascii="Verdana" w:hAnsi="Verdana"/>
          <w:b/>
          <w:bCs/>
        </w:rPr>
        <w:t xml:space="preserve">priority </w:t>
      </w:r>
      <w:r w:rsidR="002F6803" w:rsidRPr="00F034EC">
        <w:rPr>
          <w:rFonts w:ascii="Verdana" w:hAnsi="Verdana"/>
          <w:b/>
          <w:bCs/>
        </w:rPr>
        <w:t>actions, bodies</w:t>
      </w:r>
      <w:r w:rsidR="00DC0941" w:rsidRPr="00F034EC">
        <w:rPr>
          <w:rFonts w:ascii="Verdana" w:hAnsi="Verdana"/>
          <w:b/>
          <w:bCs/>
        </w:rPr>
        <w:t xml:space="preserve"> responsible for implementation, defined delivery timeframes, </w:t>
      </w:r>
      <w:r w:rsidR="00FB7CA9" w:rsidRPr="00F034EC">
        <w:rPr>
          <w:rFonts w:ascii="Verdana" w:hAnsi="Verdana"/>
          <w:b/>
          <w:bCs/>
        </w:rPr>
        <w:t xml:space="preserve">target groups to be engaged </w:t>
      </w:r>
      <w:r w:rsidR="00DC0941" w:rsidRPr="00F034EC">
        <w:rPr>
          <w:rFonts w:ascii="Verdana" w:hAnsi="Verdana"/>
          <w:b/>
          <w:bCs/>
        </w:rPr>
        <w:t>and associated budgetary requirements</w:t>
      </w:r>
      <w:r w:rsidR="00DC0941" w:rsidRPr="00F034EC">
        <w:rPr>
          <w:rFonts w:ascii="Verdana" w:hAnsi="Verdana"/>
        </w:rPr>
        <w:t>.</w:t>
      </w:r>
      <w:r w:rsidR="005349BF" w:rsidRPr="00F034EC">
        <w:rPr>
          <w:rFonts w:ascii="Verdana" w:hAnsi="Verdana"/>
        </w:rPr>
        <w:t xml:space="preserve"> </w:t>
      </w:r>
    </w:p>
    <w:p w14:paraId="5B22CD18" w14:textId="77777777" w:rsidR="00DD2EB0" w:rsidRPr="00DD2EB0" w:rsidRDefault="00DD2EB0" w:rsidP="00DD2EB0">
      <w:pPr>
        <w:pStyle w:val="BasicParagraph"/>
        <w:suppressAutoHyphens/>
        <w:ind w:left="709"/>
        <w:rPr>
          <w:b/>
          <w:bCs/>
        </w:rPr>
      </w:pPr>
    </w:p>
    <w:p w14:paraId="77EDC3B6" w14:textId="22380FEB" w:rsidR="00C07476" w:rsidRPr="008172A6" w:rsidRDefault="008172A6" w:rsidP="008C069F">
      <w:pPr>
        <w:pStyle w:val="Heading2"/>
      </w:pPr>
      <w:bookmarkStart w:id="26" w:name="_Toc230705754"/>
      <w:r w:rsidRPr="008172A6">
        <w:t>Data</w:t>
      </w:r>
      <w:bookmarkEnd w:id="26"/>
    </w:p>
    <w:p w14:paraId="0D6A7CD9" w14:textId="77777777" w:rsidR="008172A6" w:rsidRDefault="008172A6" w:rsidP="008C069F">
      <w:pPr>
        <w:keepNext/>
      </w:pPr>
    </w:p>
    <w:p w14:paraId="32E4B251" w14:textId="527CF71E" w:rsidR="003100AE" w:rsidRDefault="009B1142" w:rsidP="008C069F">
      <w:pPr>
        <w:pStyle w:val="BasicParagraph"/>
        <w:keepNext/>
        <w:widowControl/>
        <w:numPr>
          <w:ilvl w:val="1"/>
          <w:numId w:val="22"/>
        </w:numPr>
        <w:suppressAutoHyphens/>
        <w:ind w:left="709"/>
        <w:rPr>
          <w:rFonts w:ascii="Verdana" w:hAnsi="Verdana"/>
        </w:rPr>
      </w:pPr>
      <w:r>
        <w:rPr>
          <w:rFonts w:ascii="Verdana" w:hAnsi="Verdana"/>
        </w:rPr>
        <w:t>The eight</w:t>
      </w:r>
      <w:r w:rsidR="00DD2EB0">
        <w:rPr>
          <w:rFonts w:ascii="Verdana" w:hAnsi="Verdana"/>
        </w:rPr>
        <w:t xml:space="preserve">h </w:t>
      </w:r>
      <w:r>
        <w:rPr>
          <w:rFonts w:ascii="Verdana" w:hAnsi="Verdana"/>
        </w:rPr>
        <w:t>and last</w:t>
      </w:r>
      <w:r w:rsidR="00C07476">
        <w:rPr>
          <w:rFonts w:ascii="Verdana" w:hAnsi="Verdana"/>
        </w:rPr>
        <w:t xml:space="preserve"> intervention under Out</w:t>
      </w:r>
      <w:r w:rsidR="00747B48">
        <w:rPr>
          <w:rFonts w:ascii="Verdana" w:hAnsi="Verdana"/>
        </w:rPr>
        <w:t>c</w:t>
      </w:r>
      <w:r w:rsidR="00C07476">
        <w:rPr>
          <w:rFonts w:ascii="Verdana" w:hAnsi="Verdana"/>
        </w:rPr>
        <w:t xml:space="preserve">ome 3 </w:t>
      </w:r>
      <w:r w:rsidR="009F43E5">
        <w:rPr>
          <w:rFonts w:ascii="Verdana" w:hAnsi="Verdana"/>
        </w:rPr>
        <w:t>seeks to develop,</w:t>
      </w:r>
      <w:r w:rsidR="00C07476">
        <w:rPr>
          <w:rFonts w:ascii="Verdana" w:hAnsi="Verdana"/>
        </w:rPr>
        <w:t xml:space="preserve"> </w:t>
      </w:r>
      <w:r w:rsidR="004F1FDA">
        <w:rPr>
          <w:rFonts w:ascii="Verdana" w:hAnsi="Verdana"/>
        </w:rPr>
        <w:t>“</w:t>
      </w:r>
      <w:r w:rsidR="00C07476" w:rsidRPr="00C07476">
        <w:rPr>
          <w:rFonts w:ascii="Verdana" w:hAnsi="Verdana"/>
        </w:rPr>
        <w:t>interventions for the groups with the poorest outcomes, informed by the results of the Census Microdata Report.</w:t>
      </w:r>
      <w:r w:rsidR="004F1FDA">
        <w:rPr>
          <w:rFonts w:ascii="Verdana" w:hAnsi="Verdana"/>
        </w:rPr>
        <w:t>”</w:t>
      </w:r>
      <w:r w:rsidR="001B398E">
        <w:rPr>
          <w:rFonts w:ascii="Verdana" w:hAnsi="Verdana"/>
        </w:rPr>
        <w:t xml:space="preserve"> The NIHRC </w:t>
      </w:r>
      <w:r w:rsidR="00DA197D" w:rsidRPr="001B398E">
        <w:rPr>
          <w:rFonts w:ascii="Verdana" w:hAnsi="Verdana"/>
        </w:rPr>
        <w:t>welcome</w:t>
      </w:r>
      <w:r w:rsidR="001B398E">
        <w:rPr>
          <w:rFonts w:ascii="Verdana" w:hAnsi="Verdana"/>
        </w:rPr>
        <w:t>s</w:t>
      </w:r>
      <w:r w:rsidR="00DA197D" w:rsidRPr="001B398E">
        <w:rPr>
          <w:rFonts w:ascii="Verdana" w:hAnsi="Verdana"/>
        </w:rPr>
        <w:t xml:space="preserve"> the Executive </w:t>
      </w:r>
      <w:r w:rsidR="00EE0031" w:rsidRPr="001B398E">
        <w:rPr>
          <w:rFonts w:ascii="Verdana" w:hAnsi="Verdana"/>
        </w:rPr>
        <w:t>Office</w:t>
      </w:r>
      <w:r w:rsidR="00226B76">
        <w:rPr>
          <w:rFonts w:ascii="Verdana" w:hAnsi="Verdana"/>
        </w:rPr>
        <w:t xml:space="preserve">’s </w:t>
      </w:r>
      <w:r w:rsidR="003100AE">
        <w:rPr>
          <w:rFonts w:ascii="Verdana" w:hAnsi="Verdana"/>
        </w:rPr>
        <w:t>focus on</w:t>
      </w:r>
      <w:r w:rsidR="002959D6" w:rsidRPr="001B398E">
        <w:rPr>
          <w:rFonts w:ascii="Verdana" w:hAnsi="Verdana"/>
        </w:rPr>
        <w:t xml:space="preserve"> data</w:t>
      </w:r>
      <w:r w:rsidR="003100AE">
        <w:rPr>
          <w:rFonts w:ascii="Verdana" w:hAnsi="Verdana"/>
        </w:rPr>
        <w:t>.</w:t>
      </w:r>
      <w:r w:rsidR="002959D6" w:rsidRPr="001B398E">
        <w:rPr>
          <w:rFonts w:ascii="Verdana" w:hAnsi="Verdana"/>
        </w:rPr>
        <w:t xml:space="preserve"> As noted by the </w:t>
      </w:r>
      <w:r w:rsidR="00EE0031" w:rsidRPr="001B398E">
        <w:rPr>
          <w:rFonts w:ascii="Verdana" w:hAnsi="Verdana"/>
        </w:rPr>
        <w:t>OHCHR,</w:t>
      </w:r>
    </w:p>
    <w:p w14:paraId="786C60D7" w14:textId="5CD6AE2C" w:rsidR="003100AE" w:rsidRDefault="00EE0031" w:rsidP="003100AE">
      <w:pPr>
        <w:pStyle w:val="BasicParagraph"/>
        <w:suppressAutoHyphens/>
        <w:ind w:left="709"/>
        <w:rPr>
          <w:rFonts w:ascii="Verdana" w:hAnsi="Verdana"/>
        </w:rPr>
      </w:pPr>
      <w:r w:rsidRPr="001B398E">
        <w:rPr>
          <w:rFonts w:ascii="Verdana" w:hAnsi="Verdana"/>
        </w:rPr>
        <w:t xml:space="preserve"> </w:t>
      </w:r>
    </w:p>
    <w:p w14:paraId="11138E74" w14:textId="6A6772C2" w:rsidR="00DA197D" w:rsidRPr="001B398E" w:rsidRDefault="001F37A2" w:rsidP="004B07E3">
      <w:pPr>
        <w:pStyle w:val="Quote"/>
      </w:pPr>
      <w:r>
        <w:t>n</w:t>
      </w:r>
      <w:r w:rsidR="002959D6" w:rsidRPr="001B398E">
        <w:t>ational censuses are vital to collect data on the situation and needs of</w:t>
      </w:r>
      <w:r w:rsidR="002959D6">
        <w:t xml:space="preserve"> </w:t>
      </w:r>
      <w:r w:rsidR="002959D6" w:rsidRPr="001B398E">
        <w:t>the population of all countries. Without accurate data it is very difficult for</w:t>
      </w:r>
      <w:r w:rsidR="002959D6">
        <w:t xml:space="preserve"> </w:t>
      </w:r>
      <w:r w:rsidR="002959D6" w:rsidRPr="001B398E">
        <w:t xml:space="preserve">Governments to tailor policies and implement </w:t>
      </w:r>
      <w:r w:rsidR="002959D6" w:rsidRPr="001B398E">
        <w:lastRenderedPageBreak/>
        <w:t>programmes to address particular needs.</w:t>
      </w:r>
      <w:r w:rsidR="00EE0031">
        <w:rPr>
          <w:rStyle w:val="FootnoteReference"/>
        </w:rPr>
        <w:footnoteReference w:id="135"/>
      </w:r>
    </w:p>
    <w:p w14:paraId="44E1A4D3" w14:textId="77777777" w:rsidR="006316D2" w:rsidRDefault="006316D2" w:rsidP="004B07E3">
      <w:pPr>
        <w:pStyle w:val="Quote"/>
      </w:pPr>
    </w:p>
    <w:p w14:paraId="65C75A72" w14:textId="62942A29" w:rsidR="000C56E9" w:rsidRDefault="006316D2" w:rsidP="00F247B7">
      <w:pPr>
        <w:pStyle w:val="BasicParagraph"/>
        <w:numPr>
          <w:ilvl w:val="1"/>
          <w:numId w:val="22"/>
        </w:numPr>
        <w:suppressAutoHyphens/>
        <w:ind w:left="709"/>
        <w:rPr>
          <w:rFonts w:ascii="Verdana" w:hAnsi="Verdana"/>
        </w:rPr>
      </w:pPr>
      <w:r w:rsidRPr="00F656E3">
        <w:rPr>
          <w:rFonts w:ascii="Verdana" w:hAnsi="Verdana"/>
        </w:rPr>
        <w:t>Given the importance of accurate and disaggregated data to combat</w:t>
      </w:r>
      <w:r w:rsidR="00F725A8">
        <w:rPr>
          <w:rFonts w:ascii="Verdana" w:hAnsi="Verdana"/>
        </w:rPr>
        <w:t>ting</w:t>
      </w:r>
      <w:r w:rsidRPr="00F656E3">
        <w:rPr>
          <w:rFonts w:ascii="Verdana" w:hAnsi="Verdana"/>
        </w:rPr>
        <w:t xml:space="preserve"> racial discrimination the</w:t>
      </w:r>
      <w:r w:rsidR="00674059">
        <w:rPr>
          <w:rFonts w:ascii="Verdana" w:hAnsi="Verdana"/>
        </w:rPr>
        <w:t xml:space="preserve"> </w:t>
      </w:r>
      <w:r>
        <w:rPr>
          <w:rFonts w:ascii="Verdana" w:hAnsi="Verdana"/>
        </w:rPr>
        <w:t>UN CER</w:t>
      </w:r>
      <w:r w:rsidR="00DE550A">
        <w:rPr>
          <w:rFonts w:ascii="Verdana" w:hAnsi="Verdana"/>
        </w:rPr>
        <w:t xml:space="preserve">D </w:t>
      </w:r>
      <w:r w:rsidRPr="00F656E3">
        <w:rPr>
          <w:rFonts w:ascii="Verdana" w:hAnsi="Verdana"/>
        </w:rPr>
        <w:t>Committee</w:t>
      </w:r>
      <w:r w:rsidR="0085483A">
        <w:rPr>
          <w:rFonts w:ascii="Verdana" w:hAnsi="Verdana"/>
        </w:rPr>
        <w:t xml:space="preserve"> has </w:t>
      </w:r>
      <w:r w:rsidRPr="00F656E3">
        <w:rPr>
          <w:rFonts w:ascii="Verdana" w:hAnsi="Verdana"/>
        </w:rPr>
        <w:t>recommend</w:t>
      </w:r>
      <w:r w:rsidR="004859A4">
        <w:rPr>
          <w:rFonts w:ascii="Verdana" w:hAnsi="Verdana"/>
        </w:rPr>
        <w:t>ed</w:t>
      </w:r>
      <w:r w:rsidRPr="00F656E3">
        <w:rPr>
          <w:rFonts w:ascii="Verdana" w:hAnsi="Verdana"/>
        </w:rPr>
        <w:t xml:space="preserve"> that the government of N</w:t>
      </w:r>
      <w:r w:rsidR="00AE61B2">
        <w:rPr>
          <w:rFonts w:ascii="Verdana" w:hAnsi="Verdana"/>
        </w:rPr>
        <w:t>I</w:t>
      </w:r>
      <w:r w:rsidRPr="00F656E3">
        <w:rPr>
          <w:rFonts w:ascii="Verdana" w:hAnsi="Verdana"/>
        </w:rPr>
        <w:t xml:space="preserve"> systematically</w:t>
      </w:r>
      <w:r w:rsidR="008074A1">
        <w:rPr>
          <w:rFonts w:ascii="Verdana" w:hAnsi="Verdana"/>
        </w:rPr>
        <w:t xml:space="preserve"> </w:t>
      </w:r>
      <w:r w:rsidRPr="00F656E3">
        <w:rPr>
          <w:rFonts w:ascii="Verdana" w:hAnsi="Verdana"/>
        </w:rPr>
        <w:t xml:space="preserve">collect and publish disaggregated data on the enjoyment of rights by members of </w:t>
      </w:r>
      <w:r w:rsidR="00EE1405">
        <w:rPr>
          <w:rFonts w:ascii="Verdana" w:hAnsi="Verdana"/>
        </w:rPr>
        <w:t xml:space="preserve">minority </w:t>
      </w:r>
      <w:r w:rsidRPr="00F656E3">
        <w:rPr>
          <w:rFonts w:ascii="Verdana" w:hAnsi="Verdana"/>
        </w:rPr>
        <w:t xml:space="preserve">ethnic </w:t>
      </w:r>
      <w:r w:rsidR="00EE1405">
        <w:rPr>
          <w:rFonts w:ascii="Verdana" w:hAnsi="Verdana"/>
        </w:rPr>
        <w:t>communities</w:t>
      </w:r>
      <w:r w:rsidRPr="00F656E3">
        <w:rPr>
          <w:rFonts w:ascii="Verdana" w:hAnsi="Verdana"/>
        </w:rPr>
        <w:t xml:space="preserve"> in all fields of life, and that it </w:t>
      </w:r>
      <w:r w:rsidR="004B223C" w:rsidRPr="00F656E3">
        <w:rPr>
          <w:rFonts w:ascii="Verdana" w:hAnsi="Verdana"/>
        </w:rPr>
        <w:t>includes</w:t>
      </w:r>
      <w:r w:rsidRPr="00F656E3">
        <w:rPr>
          <w:rFonts w:ascii="Verdana" w:hAnsi="Verdana"/>
        </w:rPr>
        <w:t xml:space="preserve"> such information in its next periodic report</w:t>
      </w:r>
      <w:r>
        <w:rPr>
          <w:rFonts w:ascii="Verdana" w:hAnsi="Verdana"/>
        </w:rPr>
        <w:t>.</w:t>
      </w:r>
      <w:r>
        <w:rPr>
          <w:rStyle w:val="FootnoteReference"/>
          <w:rFonts w:ascii="Verdana" w:hAnsi="Verdana"/>
        </w:rPr>
        <w:footnoteReference w:id="136"/>
      </w:r>
    </w:p>
    <w:p w14:paraId="67BC3443" w14:textId="77777777" w:rsidR="00175853" w:rsidRPr="00175853" w:rsidRDefault="00175853" w:rsidP="00175853">
      <w:pPr>
        <w:pStyle w:val="BasicParagraph"/>
        <w:suppressAutoHyphens/>
        <w:ind w:left="709"/>
        <w:rPr>
          <w:rFonts w:ascii="Verdana" w:hAnsi="Verdana"/>
        </w:rPr>
      </w:pPr>
    </w:p>
    <w:p w14:paraId="5B619D2D" w14:textId="75DC360D" w:rsidR="00D33512" w:rsidRDefault="0059328D" w:rsidP="00D126A4">
      <w:pPr>
        <w:pStyle w:val="BasicParagraph"/>
        <w:keepNext/>
        <w:widowControl/>
        <w:numPr>
          <w:ilvl w:val="1"/>
          <w:numId w:val="22"/>
        </w:numPr>
        <w:suppressAutoHyphens/>
        <w:ind w:left="709"/>
        <w:rPr>
          <w:rFonts w:ascii="Verdana" w:hAnsi="Verdana"/>
        </w:rPr>
      </w:pPr>
      <w:r>
        <w:rPr>
          <w:rFonts w:ascii="Verdana" w:hAnsi="Verdana"/>
        </w:rPr>
        <w:t xml:space="preserve">The UN </w:t>
      </w:r>
      <w:r w:rsidR="00694C1C">
        <w:rPr>
          <w:rFonts w:ascii="Verdana" w:hAnsi="Verdana"/>
        </w:rPr>
        <w:t>OHCHR</w:t>
      </w:r>
      <w:r w:rsidR="00F778FA">
        <w:rPr>
          <w:rFonts w:ascii="Verdana" w:hAnsi="Verdana"/>
        </w:rPr>
        <w:t xml:space="preserve"> guidance states </w:t>
      </w:r>
      <w:r w:rsidR="001C3D02">
        <w:rPr>
          <w:rFonts w:ascii="Verdana" w:hAnsi="Verdana"/>
        </w:rPr>
        <w:t xml:space="preserve">that a national action plan </w:t>
      </w:r>
      <w:r w:rsidR="005864A8">
        <w:rPr>
          <w:rFonts w:ascii="Verdana" w:hAnsi="Verdana"/>
        </w:rPr>
        <w:t xml:space="preserve">may include, </w:t>
      </w:r>
    </w:p>
    <w:p w14:paraId="4AD7A35C" w14:textId="77777777" w:rsidR="00D33512" w:rsidRDefault="00D33512" w:rsidP="00D126A4">
      <w:pPr>
        <w:pStyle w:val="ListParagraph"/>
        <w:keepNext/>
      </w:pPr>
    </w:p>
    <w:p w14:paraId="64E07DDA" w14:textId="31EE1221" w:rsidR="00A97B2D" w:rsidRDefault="005864A8" w:rsidP="00D126A4">
      <w:pPr>
        <w:pStyle w:val="Quote"/>
        <w:keepNext/>
        <w:widowControl/>
      </w:pPr>
      <w:r>
        <w:t>m</w:t>
      </w:r>
      <w:r w:rsidR="009F5FDD" w:rsidRPr="009F5FDD">
        <w:t>echanisms for regularly collecting, compiling, analysing, disseminating</w:t>
      </w:r>
      <w:r w:rsidR="00D33512">
        <w:t xml:space="preserve"> </w:t>
      </w:r>
      <w:r w:rsidR="009F5FDD" w:rsidRPr="009F5FDD">
        <w:t xml:space="preserve">and publishing reliable disaggregated </w:t>
      </w:r>
      <w:r w:rsidR="00774C40" w:rsidRPr="009F5FDD">
        <w:t>statistic</w:t>
      </w:r>
      <w:r w:rsidR="00774C40">
        <w:t>a</w:t>
      </w:r>
      <w:r w:rsidR="009F5FDD" w:rsidRPr="009F5FDD">
        <w:t>l data to assess the situation of individuals and groups that are victims of racial discrimination</w:t>
      </w:r>
      <w:r>
        <w:t>.</w:t>
      </w:r>
      <w:r w:rsidR="009F5FDD">
        <w:rPr>
          <w:rStyle w:val="FootnoteReference"/>
        </w:rPr>
        <w:footnoteReference w:id="137"/>
      </w:r>
    </w:p>
    <w:p w14:paraId="30DB291F" w14:textId="77777777" w:rsidR="00354901" w:rsidRDefault="00354901" w:rsidP="003D650C">
      <w:pPr>
        <w:pStyle w:val="BasicParagraph"/>
        <w:suppressAutoHyphens/>
        <w:rPr>
          <w:rFonts w:ascii="Verdana" w:hAnsi="Verdana"/>
          <w:highlight w:val="yellow"/>
        </w:rPr>
      </w:pPr>
    </w:p>
    <w:p w14:paraId="0AD4B7B8" w14:textId="0D5F1759" w:rsidR="00ED7E72" w:rsidRDefault="00BF749E" w:rsidP="00F247B7">
      <w:pPr>
        <w:pStyle w:val="BasicParagraph"/>
        <w:numPr>
          <w:ilvl w:val="1"/>
          <w:numId w:val="22"/>
        </w:numPr>
        <w:suppressAutoHyphens/>
        <w:ind w:left="709"/>
        <w:rPr>
          <w:rFonts w:ascii="Verdana" w:hAnsi="Verdana"/>
        </w:rPr>
      </w:pPr>
      <w:r>
        <w:rPr>
          <w:rFonts w:ascii="Verdana" w:hAnsi="Verdana"/>
        </w:rPr>
        <w:t>A</w:t>
      </w:r>
      <w:r w:rsidR="00665407">
        <w:rPr>
          <w:rFonts w:ascii="Verdana" w:hAnsi="Verdana"/>
        </w:rPr>
        <w:t>s</w:t>
      </w:r>
      <w:r>
        <w:rPr>
          <w:rFonts w:ascii="Verdana" w:hAnsi="Verdana"/>
        </w:rPr>
        <w:t xml:space="preserve"> outlined</w:t>
      </w:r>
      <w:r w:rsidR="00F725A8">
        <w:rPr>
          <w:rFonts w:ascii="Verdana" w:hAnsi="Verdana"/>
        </w:rPr>
        <w:t xml:space="preserve"> above</w:t>
      </w:r>
      <w:r>
        <w:rPr>
          <w:rFonts w:ascii="Verdana" w:hAnsi="Verdana"/>
        </w:rPr>
        <w:t>, t</w:t>
      </w:r>
      <w:r w:rsidR="004F1AA3">
        <w:rPr>
          <w:rFonts w:ascii="Verdana" w:hAnsi="Verdana"/>
        </w:rPr>
        <w:t>he</w:t>
      </w:r>
      <w:r w:rsidR="005E04D7">
        <w:rPr>
          <w:rFonts w:ascii="Verdana" w:hAnsi="Verdana"/>
        </w:rPr>
        <w:t xml:space="preserve"> NIHRC considers that t</w:t>
      </w:r>
      <w:r w:rsidR="0073379E">
        <w:rPr>
          <w:rFonts w:ascii="Verdana" w:hAnsi="Verdana"/>
        </w:rPr>
        <w:t>h</w:t>
      </w:r>
      <w:r w:rsidR="005E04D7">
        <w:rPr>
          <w:rFonts w:ascii="Verdana" w:hAnsi="Verdana"/>
        </w:rPr>
        <w:t>e</w:t>
      </w:r>
      <w:r w:rsidR="004F1AA3">
        <w:rPr>
          <w:rFonts w:ascii="Verdana" w:hAnsi="Verdana"/>
        </w:rPr>
        <w:t xml:space="preserve"> EU Directive on Standards for Equality Bodies</w:t>
      </w:r>
      <w:r w:rsidR="00F908EE">
        <w:rPr>
          <w:rFonts w:ascii="Verdana" w:hAnsi="Verdana"/>
        </w:rPr>
        <w:t xml:space="preserve"> </w:t>
      </w:r>
      <w:r w:rsidR="00996E97">
        <w:rPr>
          <w:rFonts w:ascii="Verdana" w:hAnsi="Verdana"/>
        </w:rPr>
        <w:t xml:space="preserve">amends the </w:t>
      </w:r>
      <w:r w:rsidR="00040AA3">
        <w:rPr>
          <w:rFonts w:ascii="Verdana" w:hAnsi="Verdana"/>
        </w:rPr>
        <w:t xml:space="preserve">EU </w:t>
      </w:r>
      <w:r w:rsidR="00996E97">
        <w:rPr>
          <w:rFonts w:ascii="Verdana" w:hAnsi="Verdana"/>
        </w:rPr>
        <w:t>Racial</w:t>
      </w:r>
      <w:r w:rsidR="00E54189">
        <w:rPr>
          <w:rFonts w:ascii="Verdana" w:hAnsi="Verdana"/>
        </w:rPr>
        <w:t xml:space="preserve"> Equality Directive</w:t>
      </w:r>
      <w:r w:rsidR="00996E97">
        <w:rPr>
          <w:rFonts w:ascii="Verdana" w:hAnsi="Verdana"/>
        </w:rPr>
        <w:t xml:space="preserve"> </w:t>
      </w:r>
      <w:r w:rsidR="00AF7C55">
        <w:rPr>
          <w:rFonts w:ascii="Verdana" w:hAnsi="Verdana"/>
        </w:rPr>
        <w:t xml:space="preserve">and, </w:t>
      </w:r>
      <w:r w:rsidR="00E54189">
        <w:rPr>
          <w:rFonts w:ascii="Verdana" w:hAnsi="Verdana"/>
        </w:rPr>
        <w:t>therefore</w:t>
      </w:r>
      <w:r w:rsidR="00AF7C55">
        <w:rPr>
          <w:rFonts w:ascii="Verdana" w:hAnsi="Verdana"/>
        </w:rPr>
        <w:t>,</w:t>
      </w:r>
      <w:r w:rsidR="00E54189">
        <w:rPr>
          <w:rFonts w:ascii="Verdana" w:hAnsi="Verdana"/>
        </w:rPr>
        <w:t xml:space="preserve"> requires changes to equality legislation in NI under Windsor Framework Articles 2 and 13.</w:t>
      </w:r>
      <w:r w:rsidR="00065CE9">
        <w:rPr>
          <w:rStyle w:val="FootnoteReference"/>
          <w:rFonts w:ascii="Verdana" w:hAnsi="Verdana"/>
        </w:rPr>
        <w:footnoteReference w:id="138"/>
      </w:r>
      <w:r w:rsidR="00E54189">
        <w:rPr>
          <w:rFonts w:ascii="Verdana" w:hAnsi="Verdana"/>
        </w:rPr>
        <w:t xml:space="preserve"> </w:t>
      </w:r>
      <w:r w:rsidR="00CC284A">
        <w:rPr>
          <w:rFonts w:ascii="Verdana" w:hAnsi="Verdana"/>
        </w:rPr>
        <w:t xml:space="preserve">The </w:t>
      </w:r>
      <w:r w:rsidR="00345C18">
        <w:rPr>
          <w:rFonts w:ascii="Verdana" w:hAnsi="Verdana"/>
        </w:rPr>
        <w:t xml:space="preserve">Standards for Equality </w:t>
      </w:r>
      <w:r w:rsidR="006D1913">
        <w:rPr>
          <w:rFonts w:ascii="Verdana" w:hAnsi="Verdana"/>
        </w:rPr>
        <w:t>Bodies</w:t>
      </w:r>
      <w:r w:rsidR="00345C18">
        <w:rPr>
          <w:rFonts w:ascii="Verdana" w:hAnsi="Verdana"/>
        </w:rPr>
        <w:t xml:space="preserve"> </w:t>
      </w:r>
      <w:r w:rsidR="006D1913">
        <w:rPr>
          <w:rFonts w:ascii="Verdana" w:hAnsi="Verdana"/>
        </w:rPr>
        <w:t>Directive</w:t>
      </w:r>
      <w:r w:rsidR="00345C18">
        <w:rPr>
          <w:rFonts w:ascii="Verdana" w:hAnsi="Verdana"/>
        </w:rPr>
        <w:t xml:space="preserve"> requires that e</w:t>
      </w:r>
      <w:r w:rsidR="00345C18" w:rsidRPr="00345C18">
        <w:rPr>
          <w:rFonts w:ascii="Verdana" w:hAnsi="Verdana"/>
        </w:rPr>
        <w:t>quality bodies</w:t>
      </w:r>
      <w:r w:rsidR="00BC03E5">
        <w:rPr>
          <w:rFonts w:ascii="Verdana" w:hAnsi="Verdana"/>
        </w:rPr>
        <w:t xml:space="preserve"> </w:t>
      </w:r>
      <w:r w:rsidR="00BC03E5" w:rsidRPr="00BC03E5">
        <w:rPr>
          <w:rFonts w:ascii="Verdana" w:hAnsi="Verdana"/>
        </w:rPr>
        <w:t>collect disaggregated data including in relation to race.</w:t>
      </w:r>
      <w:r w:rsidR="00345C18" w:rsidRPr="00345C18">
        <w:rPr>
          <w:rFonts w:ascii="Verdana" w:hAnsi="Verdana"/>
        </w:rPr>
        <w:t xml:space="preserve"> </w:t>
      </w:r>
      <w:r w:rsidR="00AF4B51" w:rsidRPr="00AF4B51">
        <w:rPr>
          <w:rFonts w:ascii="Verdana" w:hAnsi="Verdana"/>
        </w:rPr>
        <w:t>It further requires that equality bodies have access to related statistical information as they deem necessar</w:t>
      </w:r>
      <w:r w:rsidR="00E608B3">
        <w:rPr>
          <w:rFonts w:ascii="Verdana" w:hAnsi="Verdana"/>
        </w:rPr>
        <w:t xml:space="preserve">y. The Directive also </w:t>
      </w:r>
      <w:r w:rsidR="00DF4106">
        <w:rPr>
          <w:rFonts w:ascii="Verdana" w:hAnsi="Verdana"/>
        </w:rPr>
        <w:t>requires that equality bodies must</w:t>
      </w:r>
      <w:r w:rsidR="00345C18">
        <w:rPr>
          <w:rFonts w:ascii="Verdana" w:hAnsi="Verdana"/>
        </w:rPr>
        <w:t xml:space="preserve"> be able </w:t>
      </w:r>
      <w:r w:rsidR="00345C18" w:rsidRPr="00345C18">
        <w:rPr>
          <w:rFonts w:ascii="Verdana" w:hAnsi="Verdana"/>
        </w:rPr>
        <w:t>to make recommendations on which data is to be collected in relation to the rights and obligations derived from</w:t>
      </w:r>
      <w:r w:rsidR="009E4520">
        <w:rPr>
          <w:rFonts w:ascii="Verdana" w:hAnsi="Verdana"/>
        </w:rPr>
        <w:t xml:space="preserve"> EU equality laws, including the Racial Equality </w:t>
      </w:r>
      <w:r w:rsidR="006D1913">
        <w:rPr>
          <w:rFonts w:ascii="Verdana" w:hAnsi="Verdana"/>
        </w:rPr>
        <w:t>Directive</w:t>
      </w:r>
      <w:r w:rsidR="00BB3401">
        <w:rPr>
          <w:rFonts w:ascii="Verdana" w:hAnsi="Verdana"/>
        </w:rPr>
        <w:t>.</w:t>
      </w:r>
      <w:r w:rsidR="00824062">
        <w:rPr>
          <w:rStyle w:val="FootnoteReference"/>
          <w:rFonts w:ascii="Verdana" w:hAnsi="Verdana"/>
        </w:rPr>
        <w:footnoteReference w:id="139"/>
      </w:r>
      <w:r w:rsidR="00BB3401">
        <w:rPr>
          <w:rFonts w:ascii="Verdana" w:hAnsi="Verdana"/>
        </w:rPr>
        <w:t xml:space="preserve"> </w:t>
      </w:r>
      <w:r w:rsidR="009F13B3" w:rsidRPr="00BB3401">
        <w:rPr>
          <w:rFonts w:ascii="Verdana" w:hAnsi="Verdana"/>
        </w:rPr>
        <w:t xml:space="preserve">Regarding the collection of data, the </w:t>
      </w:r>
      <w:r w:rsidR="006472E2" w:rsidRPr="00BB3401">
        <w:rPr>
          <w:rFonts w:ascii="Verdana" w:hAnsi="Verdana"/>
        </w:rPr>
        <w:t xml:space="preserve">Standards for </w:t>
      </w:r>
      <w:r w:rsidR="00996E97" w:rsidRPr="00BB3401">
        <w:rPr>
          <w:rFonts w:ascii="Verdana" w:hAnsi="Verdana"/>
        </w:rPr>
        <w:t xml:space="preserve">Equality </w:t>
      </w:r>
      <w:r w:rsidR="00A8106C" w:rsidRPr="00BB3401">
        <w:rPr>
          <w:rFonts w:ascii="Verdana" w:hAnsi="Verdana"/>
        </w:rPr>
        <w:t xml:space="preserve">Bodies </w:t>
      </w:r>
      <w:r w:rsidR="00040AA3" w:rsidRPr="00BB3401">
        <w:rPr>
          <w:rFonts w:ascii="Verdana" w:hAnsi="Verdana"/>
        </w:rPr>
        <w:t>Directive</w:t>
      </w:r>
      <w:r w:rsidR="00A8106C" w:rsidRPr="00BB3401">
        <w:rPr>
          <w:rFonts w:ascii="Verdana" w:hAnsi="Verdana"/>
        </w:rPr>
        <w:t xml:space="preserve"> calls for </w:t>
      </w:r>
      <w:r w:rsidR="00825C33" w:rsidRPr="00BB3401">
        <w:rPr>
          <w:rFonts w:ascii="Verdana" w:hAnsi="Verdana"/>
        </w:rPr>
        <w:lastRenderedPageBreak/>
        <w:t>particular attention to be paid to intersectional discrimination</w:t>
      </w:r>
      <w:r w:rsidR="001C37B4">
        <w:rPr>
          <w:rFonts w:ascii="Verdana" w:hAnsi="Verdana"/>
        </w:rPr>
        <w:t>.</w:t>
      </w:r>
      <w:r w:rsidR="00C369E9">
        <w:rPr>
          <w:rStyle w:val="FootnoteReference"/>
          <w:rFonts w:ascii="Verdana" w:hAnsi="Verdana"/>
        </w:rPr>
        <w:footnoteReference w:id="140"/>
      </w:r>
      <w:r w:rsidR="00821AA2" w:rsidRPr="00BB3401">
        <w:rPr>
          <w:rFonts w:ascii="Verdana" w:hAnsi="Verdana"/>
        </w:rPr>
        <w:t xml:space="preserve"> It also highlights the </w:t>
      </w:r>
      <w:r w:rsidR="00B30802" w:rsidRPr="00BB3401">
        <w:rPr>
          <w:rFonts w:ascii="Verdana" w:hAnsi="Verdana"/>
        </w:rPr>
        <w:t xml:space="preserve">importance of data for </w:t>
      </w:r>
      <w:r w:rsidR="00D300F0" w:rsidRPr="00D300F0">
        <w:rPr>
          <w:rFonts w:ascii="Verdana" w:hAnsi="Verdana"/>
        </w:rPr>
        <w:t>raising awareness, sensitising people, quantifying discrimination, showing trends over time, proving the existence of discrimination, evaluating the implementation of equality legislation, demonstrating the need for positive action and contributing to evidence-based policymaking</w:t>
      </w:r>
      <w:r w:rsidR="0069470A">
        <w:rPr>
          <w:rFonts w:ascii="Verdana" w:hAnsi="Verdana"/>
        </w:rPr>
        <w:t>.</w:t>
      </w:r>
      <w:r w:rsidR="00AD02B1">
        <w:rPr>
          <w:rStyle w:val="FootnoteReference"/>
          <w:rFonts w:ascii="Verdana" w:hAnsi="Verdana"/>
        </w:rPr>
        <w:footnoteReference w:id="141"/>
      </w:r>
    </w:p>
    <w:p w14:paraId="1648915D" w14:textId="77777777" w:rsidR="008D142F" w:rsidRPr="00F034EC" w:rsidRDefault="008D142F" w:rsidP="008D142F">
      <w:pPr>
        <w:pStyle w:val="BasicParagraph"/>
        <w:suppressAutoHyphens/>
        <w:ind w:left="709"/>
        <w:rPr>
          <w:rFonts w:ascii="Verdana" w:hAnsi="Verdana"/>
        </w:rPr>
      </w:pPr>
    </w:p>
    <w:p w14:paraId="2EAB48CF" w14:textId="297A77ED" w:rsidR="0003792F" w:rsidRPr="00F034EC" w:rsidRDefault="00175853" w:rsidP="008D142F">
      <w:pPr>
        <w:pStyle w:val="BasicParagraph"/>
        <w:numPr>
          <w:ilvl w:val="1"/>
          <w:numId w:val="22"/>
        </w:numPr>
        <w:suppressAutoHyphens/>
        <w:ind w:left="709"/>
        <w:rPr>
          <w:rFonts w:ascii="Verdana" w:hAnsi="Verdana"/>
        </w:rPr>
      </w:pPr>
      <w:r w:rsidRPr="00F034EC">
        <w:rPr>
          <w:rFonts w:ascii="Verdana" w:hAnsi="Verdana"/>
          <w:b/>
          <w:bCs/>
        </w:rPr>
        <w:t>The NIHRC recommends that the Executive Office ensures that the data available is assessed with a view to reveal</w:t>
      </w:r>
      <w:r w:rsidR="00C41455" w:rsidRPr="00F034EC">
        <w:rPr>
          <w:rFonts w:ascii="Verdana" w:hAnsi="Verdana"/>
          <w:b/>
          <w:bCs/>
        </w:rPr>
        <w:t>ing</w:t>
      </w:r>
      <w:r w:rsidRPr="00F034EC">
        <w:rPr>
          <w:rFonts w:ascii="Verdana" w:hAnsi="Verdana"/>
          <w:b/>
          <w:bCs/>
        </w:rPr>
        <w:t xml:space="preserve"> the existence and extent of racial discrimination, identifying discriminatory practices and patterns, and key priority areas for targeted action</w:t>
      </w:r>
      <w:r w:rsidRPr="00F034EC">
        <w:rPr>
          <w:rFonts w:ascii="Verdana" w:hAnsi="Verdana"/>
        </w:rPr>
        <w:t>.</w:t>
      </w:r>
    </w:p>
    <w:p w14:paraId="6D6D1297" w14:textId="77777777" w:rsidR="008D142F" w:rsidRPr="00F034EC" w:rsidRDefault="008D142F" w:rsidP="008D142F">
      <w:pPr>
        <w:pStyle w:val="ListParagraph"/>
      </w:pPr>
    </w:p>
    <w:p w14:paraId="0496AE1E" w14:textId="77777777" w:rsidR="004B07E3" w:rsidRPr="00F034EC" w:rsidRDefault="00977E6D" w:rsidP="008D142F">
      <w:pPr>
        <w:pStyle w:val="BasicParagraph"/>
        <w:numPr>
          <w:ilvl w:val="1"/>
          <w:numId w:val="22"/>
        </w:numPr>
        <w:suppressAutoHyphens/>
        <w:ind w:left="709"/>
        <w:rPr>
          <w:rFonts w:ascii="Verdana" w:hAnsi="Verdana"/>
        </w:rPr>
      </w:pPr>
      <w:r w:rsidRPr="00F034EC">
        <w:rPr>
          <w:rFonts w:ascii="Verdana" w:hAnsi="Verdana"/>
          <w:b/>
          <w:bCs/>
        </w:rPr>
        <w:t xml:space="preserve">The NIHRC recommends that the Executive Office amends the </w:t>
      </w:r>
      <w:r w:rsidR="0069105C" w:rsidRPr="00F034EC">
        <w:rPr>
          <w:rFonts w:ascii="Verdana" w:hAnsi="Verdana"/>
          <w:b/>
          <w:bCs/>
        </w:rPr>
        <w:t>Draft Framework t</w:t>
      </w:r>
      <w:r w:rsidR="005E53BE" w:rsidRPr="00F034EC">
        <w:rPr>
          <w:rFonts w:ascii="Verdana" w:hAnsi="Verdana"/>
          <w:b/>
          <w:bCs/>
        </w:rPr>
        <w:t xml:space="preserve">o reflect the requirements </w:t>
      </w:r>
      <w:r w:rsidR="008B07DD" w:rsidRPr="00F034EC">
        <w:rPr>
          <w:rFonts w:ascii="Verdana" w:hAnsi="Verdana"/>
          <w:b/>
          <w:bCs/>
        </w:rPr>
        <w:t xml:space="preserve">relating to data collection </w:t>
      </w:r>
      <w:r w:rsidR="00D61C27" w:rsidRPr="00F034EC">
        <w:rPr>
          <w:rFonts w:ascii="Verdana" w:hAnsi="Verdana"/>
          <w:b/>
          <w:bCs/>
        </w:rPr>
        <w:t xml:space="preserve">set out </w:t>
      </w:r>
      <w:r w:rsidR="00DF3A4F" w:rsidRPr="00F034EC">
        <w:rPr>
          <w:rFonts w:ascii="Verdana" w:hAnsi="Verdana"/>
          <w:b/>
          <w:bCs/>
        </w:rPr>
        <w:t>in the EU Standards for Equality Bodies Directive</w:t>
      </w:r>
      <w:r w:rsidR="00DF3A4F" w:rsidRPr="00F034EC">
        <w:rPr>
          <w:rFonts w:ascii="Verdana" w:hAnsi="Verdana"/>
        </w:rPr>
        <w:t>.</w:t>
      </w:r>
    </w:p>
    <w:p w14:paraId="23A2715E" w14:textId="77777777" w:rsidR="00651C59" w:rsidRDefault="00651C59" w:rsidP="004B07E3">
      <w:pPr>
        <w:pStyle w:val="ListParagraph"/>
        <w:rPr>
          <w:b/>
        </w:rPr>
      </w:pPr>
    </w:p>
    <w:p w14:paraId="094DDB2D" w14:textId="1E4FD341" w:rsidR="00200664" w:rsidRPr="00FF43A8" w:rsidRDefault="00A379BE" w:rsidP="004B07E3">
      <w:pPr>
        <w:pStyle w:val="Heading1"/>
        <w:numPr>
          <w:ilvl w:val="0"/>
          <w:numId w:val="0"/>
        </w:numPr>
      </w:pPr>
      <w:bookmarkStart w:id="27" w:name="_Toc230705755"/>
      <w:r>
        <w:t>7.0</w:t>
      </w:r>
      <w:r w:rsidRPr="00FF43A8">
        <w:t xml:space="preserve"> Outcome</w:t>
      </w:r>
      <w:r w:rsidR="003910DE" w:rsidRPr="00FF43A8">
        <w:t xml:space="preserve"> 4: Community Cohesion</w:t>
      </w:r>
      <w:bookmarkEnd w:id="27"/>
    </w:p>
    <w:p w14:paraId="193D8458" w14:textId="09461FD2" w:rsidR="00926699" w:rsidRDefault="00926699" w:rsidP="00200664">
      <w:pPr>
        <w:pStyle w:val="BasicParagraph"/>
        <w:suppressAutoHyphens/>
        <w:rPr>
          <w:rFonts w:ascii="Verdana" w:hAnsi="Verdana"/>
          <w:b/>
          <w:bCs/>
        </w:rPr>
      </w:pPr>
      <w:r w:rsidRPr="00926699">
        <w:rPr>
          <w:rFonts w:ascii="Verdana" w:hAnsi="Verdana"/>
          <w:b/>
          <w:bCs/>
        </w:rPr>
        <w:t>To strengthen social relations and promote integration between all communities. To increase the participation, representation and sense of belonging of people from minority ethnic communities</w:t>
      </w:r>
      <w:r w:rsidR="005653FE">
        <w:rPr>
          <w:rFonts w:ascii="Verdana" w:hAnsi="Verdana"/>
          <w:b/>
          <w:bCs/>
        </w:rPr>
        <w:t>.</w:t>
      </w:r>
    </w:p>
    <w:p w14:paraId="17376B33" w14:textId="77777777" w:rsidR="00200664" w:rsidRPr="00200664" w:rsidRDefault="00200664" w:rsidP="00200664">
      <w:pPr>
        <w:pStyle w:val="BasicParagraph"/>
        <w:suppressAutoHyphens/>
        <w:rPr>
          <w:rFonts w:ascii="Verdana" w:hAnsi="Verdana"/>
          <w:b/>
          <w:bCs/>
        </w:rPr>
      </w:pPr>
    </w:p>
    <w:p w14:paraId="1D5DBADC" w14:textId="77777777" w:rsidR="004B07E3" w:rsidRPr="004B07E3" w:rsidRDefault="004B07E3" w:rsidP="004B07E3">
      <w:pPr>
        <w:pStyle w:val="ListParagraph"/>
        <w:widowControl w:val="0"/>
        <w:numPr>
          <w:ilvl w:val="0"/>
          <w:numId w:val="22"/>
        </w:numPr>
        <w:suppressAutoHyphens/>
        <w:autoSpaceDE w:val="0"/>
        <w:autoSpaceDN w:val="0"/>
        <w:adjustRightInd w:val="0"/>
        <w:contextualSpacing w:val="0"/>
        <w:textAlignment w:val="center"/>
        <w:rPr>
          <w:rFonts w:cs="MinionPro-Regular"/>
          <w:vanish/>
          <w:color w:val="000000"/>
        </w:rPr>
      </w:pPr>
    </w:p>
    <w:p w14:paraId="4ED3201F" w14:textId="7675B997" w:rsidR="00FB11E8" w:rsidRPr="00747424" w:rsidRDefault="001502D7" w:rsidP="00F247B7">
      <w:pPr>
        <w:pStyle w:val="BasicParagraph"/>
        <w:numPr>
          <w:ilvl w:val="1"/>
          <w:numId w:val="22"/>
        </w:numPr>
        <w:suppressAutoHyphens/>
        <w:ind w:left="709"/>
        <w:rPr>
          <w:rFonts w:ascii="Verdana" w:hAnsi="Verdana"/>
        </w:rPr>
      </w:pPr>
      <w:r>
        <w:rPr>
          <w:rFonts w:ascii="Verdana" w:hAnsi="Verdana"/>
        </w:rPr>
        <w:t>Overall</w:t>
      </w:r>
      <w:r w:rsidRPr="00F550C4">
        <w:rPr>
          <w:rFonts w:ascii="Verdana" w:hAnsi="Verdana"/>
        </w:rPr>
        <w:t xml:space="preserve">, the key interventions under Outcome </w:t>
      </w:r>
      <w:r>
        <w:rPr>
          <w:rFonts w:ascii="Verdana" w:hAnsi="Verdana"/>
        </w:rPr>
        <w:t>4</w:t>
      </w:r>
      <w:r w:rsidRPr="00F550C4">
        <w:rPr>
          <w:rFonts w:ascii="Verdana" w:hAnsi="Verdana"/>
        </w:rPr>
        <w:t xml:space="preserve"> reflect the broader high</w:t>
      </w:r>
      <w:r w:rsidRPr="00F550C4">
        <w:rPr>
          <w:rFonts w:ascii="Verdana" w:hAnsi="Verdana"/>
        </w:rPr>
        <w:noBreakHyphen/>
        <w:t xml:space="preserve">level tone of the </w:t>
      </w:r>
      <w:r w:rsidR="009E5A3D">
        <w:rPr>
          <w:rFonts w:ascii="Verdana" w:hAnsi="Verdana"/>
        </w:rPr>
        <w:t>Draft Framework a</w:t>
      </w:r>
      <w:r w:rsidRPr="00747424">
        <w:rPr>
          <w:rFonts w:ascii="Verdana" w:hAnsi="Verdana"/>
        </w:rPr>
        <w:t>nd are expressed in</w:t>
      </w:r>
      <w:r w:rsidR="00205F1C" w:rsidRPr="00747424">
        <w:rPr>
          <w:rFonts w:ascii="Verdana" w:hAnsi="Verdana"/>
        </w:rPr>
        <w:t xml:space="preserve"> very </w:t>
      </w:r>
      <w:r w:rsidR="001E6BED" w:rsidRPr="00747424">
        <w:rPr>
          <w:rFonts w:ascii="Verdana" w:hAnsi="Verdana"/>
        </w:rPr>
        <w:t>broad terms</w:t>
      </w:r>
      <w:r w:rsidRPr="00747424">
        <w:rPr>
          <w:rFonts w:ascii="Verdana" w:hAnsi="Verdana"/>
        </w:rPr>
        <w:t xml:space="preserve">. As a result, they do not clearly set out </w:t>
      </w:r>
      <w:r w:rsidR="00817081" w:rsidRPr="00747424">
        <w:rPr>
          <w:rFonts w:ascii="Verdana" w:hAnsi="Verdana"/>
        </w:rPr>
        <w:t>the specific and actual</w:t>
      </w:r>
      <w:r w:rsidR="005B6146" w:rsidRPr="00747424">
        <w:rPr>
          <w:rFonts w:ascii="Verdana" w:hAnsi="Verdana"/>
        </w:rPr>
        <w:t xml:space="preserve"> </w:t>
      </w:r>
      <w:r w:rsidR="009472C4" w:rsidRPr="00747424">
        <w:rPr>
          <w:rFonts w:ascii="Verdana" w:hAnsi="Verdana"/>
        </w:rPr>
        <w:t xml:space="preserve">activities to be undertaken to achieve community cohesion. </w:t>
      </w:r>
    </w:p>
    <w:p w14:paraId="74F88006" w14:textId="77777777" w:rsidR="00CF016F" w:rsidRDefault="00CF016F" w:rsidP="00CF016F">
      <w:pPr>
        <w:pStyle w:val="BasicParagraph"/>
        <w:suppressAutoHyphens/>
        <w:ind w:left="709"/>
        <w:rPr>
          <w:rFonts w:ascii="Verdana" w:hAnsi="Verdana"/>
        </w:rPr>
      </w:pPr>
    </w:p>
    <w:p w14:paraId="35B7D8CB" w14:textId="3A2B916C" w:rsidR="00CF016F" w:rsidRPr="00F0762B" w:rsidRDefault="00CF016F" w:rsidP="00F0762B">
      <w:pPr>
        <w:pStyle w:val="BasicParagraph"/>
        <w:numPr>
          <w:ilvl w:val="1"/>
          <w:numId w:val="22"/>
        </w:numPr>
        <w:suppressAutoHyphens/>
        <w:ind w:left="709"/>
        <w:rPr>
          <w:rFonts w:ascii="Verdana" w:hAnsi="Verdana"/>
        </w:rPr>
      </w:pPr>
      <w:r w:rsidRPr="003910DE">
        <w:rPr>
          <w:rFonts w:ascii="Verdana" w:hAnsi="Verdana"/>
        </w:rPr>
        <w:t xml:space="preserve">The </w:t>
      </w:r>
      <w:r w:rsidR="00344D03">
        <w:rPr>
          <w:rFonts w:ascii="Verdana" w:hAnsi="Verdana"/>
        </w:rPr>
        <w:t>D</w:t>
      </w:r>
      <w:r w:rsidR="00447658">
        <w:rPr>
          <w:rFonts w:ascii="Verdana" w:hAnsi="Verdana"/>
        </w:rPr>
        <w:t xml:space="preserve">raft </w:t>
      </w:r>
      <w:r w:rsidRPr="003910DE">
        <w:rPr>
          <w:rFonts w:ascii="Verdana" w:hAnsi="Verdana"/>
        </w:rPr>
        <w:t xml:space="preserve">Framework </w:t>
      </w:r>
      <w:r w:rsidR="00916161" w:rsidRPr="003910DE">
        <w:rPr>
          <w:rFonts w:ascii="Verdana" w:hAnsi="Verdana"/>
        </w:rPr>
        <w:t xml:space="preserve">should </w:t>
      </w:r>
      <w:r w:rsidR="00617814">
        <w:rPr>
          <w:rFonts w:ascii="Verdana" w:hAnsi="Verdana"/>
        </w:rPr>
        <w:t>make it manifest</w:t>
      </w:r>
      <w:r w:rsidR="006349D6">
        <w:rPr>
          <w:rFonts w:ascii="Verdana" w:hAnsi="Verdana"/>
        </w:rPr>
        <w:t xml:space="preserve"> </w:t>
      </w:r>
      <w:r w:rsidRPr="003910DE">
        <w:rPr>
          <w:rFonts w:ascii="Verdana" w:hAnsi="Verdana"/>
        </w:rPr>
        <w:t>that community cohesion is an outcome of equality, inclusion, and</w:t>
      </w:r>
      <w:r w:rsidR="003600A1">
        <w:rPr>
          <w:rFonts w:ascii="Verdana" w:hAnsi="Verdana"/>
        </w:rPr>
        <w:t xml:space="preserve"> </w:t>
      </w:r>
      <w:r w:rsidRPr="003910DE">
        <w:rPr>
          <w:rFonts w:ascii="Verdana" w:hAnsi="Verdana"/>
        </w:rPr>
        <w:t>protection</w:t>
      </w:r>
      <w:r w:rsidR="003600A1">
        <w:rPr>
          <w:rFonts w:ascii="Verdana" w:hAnsi="Verdana"/>
        </w:rPr>
        <w:t xml:space="preserve"> of human rights</w:t>
      </w:r>
      <w:r w:rsidRPr="003910DE">
        <w:rPr>
          <w:rFonts w:ascii="Verdana" w:hAnsi="Verdana"/>
        </w:rPr>
        <w:t>, not a substitute for them.</w:t>
      </w:r>
      <w:r w:rsidR="00F0762B">
        <w:rPr>
          <w:rFonts w:ascii="Verdana" w:hAnsi="Verdana"/>
        </w:rPr>
        <w:t xml:space="preserve"> </w:t>
      </w:r>
      <w:r w:rsidR="00F0762B" w:rsidRPr="003910DE">
        <w:rPr>
          <w:rFonts w:ascii="Verdana" w:hAnsi="Verdana"/>
        </w:rPr>
        <w:t>It should also include more detail on, measurable actions</w:t>
      </w:r>
      <w:r w:rsidR="00F0762B">
        <w:rPr>
          <w:rFonts w:ascii="Verdana" w:hAnsi="Verdana"/>
        </w:rPr>
        <w:t>, performance indicators and participation from specific groups</w:t>
      </w:r>
      <w:r w:rsidR="00F0762B" w:rsidRPr="003910DE">
        <w:rPr>
          <w:rFonts w:ascii="Verdana" w:hAnsi="Verdana"/>
        </w:rPr>
        <w:t xml:space="preserve"> to show how </w:t>
      </w:r>
      <w:r w:rsidR="00B32467">
        <w:rPr>
          <w:rFonts w:ascii="Verdana" w:hAnsi="Verdana"/>
        </w:rPr>
        <w:t xml:space="preserve">this </w:t>
      </w:r>
      <w:r w:rsidR="00F0762B" w:rsidRPr="003910DE">
        <w:rPr>
          <w:rFonts w:ascii="Verdana" w:hAnsi="Verdana"/>
        </w:rPr>
        <w:t xml:space="preserve">will be strengthened while also addressing racism and </w:t>
      </w:r>
      <w:r w:rsidR="00F0762B" w:rsidRPr="003910DE">
        <w:rPr>
          <w:rFonts w:ascii="Verdana" w:hAnsi="Verdana"/>
        </w:rPr>
        <w:lastRenderedPageBreak/>
        <w:t>structural</w:t>
      </w:r>
      <w:r w:rsidR="00F0762B">
        <w:rPr>
          <w:rFonts w:ascii="Verdana" w:hAnsi="Verdana"/>
        </w:rPr>
        <w:t xml:space="preserve"> discrimination.</w:t>
      </w:r>
      <w:r w:rsidR="00633066" w:rsidRPr="00F0762B">
        <w:rPr>
          <w:rFonts w:ascii="Verdana" w:hAnsi="Verdana"/>
        </w:rPr>
        <w:t xml:space="preserve"> </w:t>
      </w:r>
      <w:r w:rsidR="008142D3" w:rsidRPr="00F0762B">
        <w:rPr>
          <w:rFonts w:ascii="Verdana" w:hAnsi="Verdana"/>
        </w:rPr>
        <w:t>Article 6</w:t>
      </w:r>
      <w:r w:rsidR="009E3727" w:rsidRPr="00F0762B">
        <w:rPr>
          <w:rFonts w:ascii="Verdana" w:hAnsi="Verdana"/>
        </w:rPr>
        <w:t>(1)</w:t>
      </w:r>
      <w:r w:rsidR="008142D3" w:rsidRPr="00F0762B">
        <w:rPr>
          <w:rFonts w:ascii="Verdana" w:hAnsi="Verdana"/>
        </w:rPr>
        <w:t xml:space="preserve"> of the </w:t>
      </w:r>
      <w:r w:rsidR="00F15423" w:rsidRPr="00F0762B">
        <w:rPr>
          <w:rFonts w:ascii="Verdana" w:hAnsi="Verdana"/>
        </w:rPr>
        <w:t xml:space="preserve">CoE </w:t>
      </w:r>
      <w:r w:rsidR="0044576A" w:rsidRPr="00F0762B">
        <w:rPr>
          <w:rFonts w:ascii="Verdana" w:hAnsi="Verdana"/>
        </w:rPr>
        <w:t>Framework Convention for National Minorities</w:t>
      </w:r>
      <w:r w:rsidR="00D1656D" w:rsidRPr="00F0762B">
        <w:rPr>
          <w:rFonts w:ascii="Verdana" w:hAnsi="Verdana"/>
        </w:rPr>
        <w:t xml:space="preserve"> specifically mentions the concept of </w:t>
      </w:r>
      <w:r w:rsidR="00B32467">
        <w:rPr>
          <w:rFonts w:ascii="Verdana" w:hAnsi="Verdana"/>
        </w:rPr>
        <w:t>“</w:t>
      </w:r>
      <w:r w:rsidR="00D1656D" w:rsidRPr="00F0762B">
        <w:rPr>
          <w:rFonts w:ascii="Verdana" w:hAnsi="Verdana"/>
        </w:rPr>
        <w:t>intercultural h</w:t>
      </w:r>
      <w:r w:rsidR="004526C2" w:rsidRPr="00F0762B">
        <w:rPr>
          <w:rFonts w:ascii="Verdana" w:hAnsi="Verdana"/>
        </w:rPr>
        <w:t>eritage</w:t>
      </w:r>
      <w:r w:rsidR="00B32467">
        <w:rPr>
          <w:rFonts w:ascii="Verdana" w:hAnsi="Verdana"/>
        </w:rPr>
        <w:t>”</w:t>
      </w:r>
      <w:r w:rsidR="004526C2" w:rsidRPr="00F0762B">
        <w:rPr>
          <w:rFonts w:ascii="Verdana" w:hAnsi="Verdana"/>
        </w:rPr>
        <w:t xml:space="preserve"> which better</w:t>
      </w:r>
      <w:r w:rsidR="00620008">
        <w:rPr>
          <w:rFonts w:ascii="Verdana" w:hAnsi="Verdana"/>
        </w:rPr>
        <w:t xml:space="preserve"> expresse</w:t>
      </w:r>
      <w:r w:rsidR="00C70B2E">
        <w:rPr>
          <w:rFonts w:ascii="Verdana" w:hAnsi="Verdana"/>
        </w:rPr>
        <w:t xml:space="preserve">s </w:t>
      </w:r>
      <w:r w:rsidR="00D729ED">
        <w:rPr>
          <w:rFonts w:ascii="Verdana" w:hAnsi="Verdana"/>
        </w:rPr>
        <w:t xml:space="preserve">the </w:t>
      </w:r>
      <w:r w:rsidR="00A21C97">
        <w:rPr>
          <w:rFonts w:ascii="Verdana" w:hAnsi="Verdana"/>
        </w:rPr>
        <w:t>objective of Outcome 4.</w:t>
      </w:r>
      <w:r w:rsidR="00FB7463">
        <w:rPr>
          <w:rStyle w:val="FootnoteReference"/>
          <w:rFonts w:ascii="Verdana" w:hAnsi="Verdana"/>
        </w:rPr>
        <w:footnoteReference w:id="142"/>
      </w:r>
      <w:r w:rsidR="00A21C97">
        <w:rPr>
          <w:rFonts w:ascii="Verdana" w:hAnsi="Verdana"/>
        </w:rPr>
        <w:t xml:space="preserve"> </w:t>
      </w:r>
      <w:r w:rsidR="00B8020D">
        <w:rPr>
          <w:rFonts w:ascii="Verdana" w:hAnsi="Verdana"/>
        </w:rPr>
        <w:t>Accor</w:t>
      </w:r>
      <w:r w:rsidR="008B24DF">
        <w:rPr>
          <w:rFonts w:ascii="Verdana" w:hAnsi="Verdana"/>
        </w:rPr>
        <w:t xml:space="preserve">ding to Article </w:t>
      </w:r>
      <w:r w:rsidR="00CA0634">
        <w:rPr>
          <w:rFonts w:ascii="Verdana" w:hAnsi="Verdana"/>
        </w:rPr>
        <w:t>6(1)</w:t>
      </w:r>
      <w:r w:rsidR="00093279">
        <w:rPr>
          <w:rFonts w:ascii="Verdana" w:hAnsi="Verdana"/>
        </w:rPr>
        <w:t xml:space="preserve"> States </w:t>
      </w:r>
      <w:r w:rsidR="00886BFC">
        <w:rPr>
          <w:rFonts w:ascii="Verdana" w:hAnsi="Verdana"/>
        </w:rPr>
        <w:t>have an obligation to</w:t>
      </w:r>
      <w:r w:rsidR="003E28E2">
        <w:rPr>
          <w:rFonts w:ascii="Verdana" w:hAnsi="Verdana"/>
        </w:rPr>
        <w:t xml:space="preserve"> </w:t>
      </w:r>
      <w:r w:rsidR="00EB0BDC">
        <w:rPr>
          <w:rFonts w:ascii="Verdana" w:hAnsi="Verdana"/>
        </w:rPr>
        <w:t>“</w:t>
      </w:r>
      <w:r w:rsidR="00CD48F9">
        <w:rPr>
          <w:rFonts w:ascii="Verdana" w:hAnsi="Verdana"/>
        </w:rPr>
        <w:t>e</w:t>
      </w:r>
      <w:r w:rsidR="00CD48F9" w:rsidRPr="00CD48F9">
        <w:rPr>
          <w:rFonts w:ascii="Verdana" w:hAnsi="Verdana"/>
        </w:rPr>
        <w:t>ncourage a spirit of tolerance and intercultural dialogue and take effective measures to promote mutual respect and understanding and co-operation among all persons living on their territory, irrespective of those persons' ethnic, cultural, linguistic or religious identity</w:t>
      </w:r>
      <w:r w:rsidR="00EB4156">
        <w:rPr>
          <w:rFonts w:ascii="Verdana" w:hAnsi="Verdana"/>
        </w:rPr>
        <w:t>”.</w:t>
      </w:r>
      <w:r w:rsidR="009711FE">
        <w:rPr>
          <w:rStyle w:val="FootnoteReference"/>
          <w:rFonts w:ascii="Verdana" w:hAnsi="Verdana"/>
        </w:rPr>
        <w:footnoteReference w:id="143"/>
      </w:r>
      <w:r w:rsidR="00306B67">
        <w:rPr>
          <w:rFonts w:ascii="Verdana" w:hAnsi="Verdana"/>
        </w:rPr>
        <w:t xml:space="preserve"> </w:t>
      </w:r>
    </w:p>
    <w:p w14:paraId="2BE65767" w14:textId="77777777" w:rsidR="00FB11E8" w:rsidRDefault="00FB11E8" w:rsidP="00FB11E8">
      <w:pPr>
        <w:pStyle w:val="BasicParagraph"/>
        <w:suppressAutoHyphens/>
        <w:ind w:left="709"/>
        <w:rPr>
          <w:rFonts w:ascii="Verdana" w:hAnsi="Verdana"/>
        </w:rPr>
      </w:pPr>
    </w:p>
    <w:p w14:paraId="51BFE7D2" w14:textId="47CC7BFB" w:rsidR="0039377A" w:rsidRPr="000A4CF6" w:rsidRDefault="0039377A" w:rsidP="00F247B7">
      <w:pPr>
        <w:pStyle w:val="BasicParagraph"/>
        <w:numPr>
          <w:ilvl w:val="1"/>
          <w:numId w:val="22"/>
        </w:numPr>
        <w:suppressAutoHyphens/>
        <w:ind w:left="709"/>
        <w:rPr>
          <w:rFonts w:ascii="Verdana" w:hAnsi="Verdana"/>
        </w:rPr>
      </w:pPr>
      <w:r>
        <w:rPr>
          <w:rFonts w:ascii="Verdana" w:hAnsi="Verdana"/>
        </w:rPr>
        <w:t>The fourth intervention under Outcome 4,</w:t>
      </w:r>
      <w:r w:rsidR="007F7AE3">
        <w:rPr>
          <w:rFonts w:ascii="Verdana" w:hAnsi="Verdana"/>
        </w:rPr>
        <w:t xml:space="preserve"> </w:t>
      </w:r>
      <w:r w:rsidR="00F218FB">
        <w:rPr>
          <w:rFonts w:ascii="Verdana" w:hAnsi="Verdana"/>
        </w:rPr>
        <w:t xml:space="preserve">which </w:t>
      </w:r>
      <w:r w:rsidR="000639C9">
        <w:rPr>
          <w:rFonts w:ascii="Verdana" w:hAnsi="Verdana"/>
        </w:rPr>
        <w:t>proposes to</w:t>
      </w:r>
      <w:r w:rsidR="00E720AE">
        <w:rPr>
          <w:rFonts w:ascii="Verdana" w:hAnsi="Verdana"/>
        </w:rPr>
        <w:t>,</w:t>
      </w:r>
      <w:r>
        <w:rPr>
          <w:rFonts w:ascii="Verdana" w:hAnsi="Verdana"/>
        </w:rPr>
        <w:t xml:space="preserve"> </w:t>
      </w:r>
      <w:r w:rsidR="00820CB2">
        <w:rPr>
          <w:rFonts w:ascii="Verdana" w:hAnsi="Verdana"/>
        </w:rPr>
        <w:t>“</w:t>
      </w:r>
      <w:r>
        <w:rPr>
          <w:rFonts w:ascii="Verdana" w:hAnsi="Verdana"/>
        </w:rPr>
        <w:t>d</w:t>
      </w:r>
      <w:r w:rsidRPr="00E03B13">
        <w:rPr>
          <w:rFonts w:ascii="Verdana" w:hAnsi="Verdana"/>
        </w:rPr>
        <w:t>esign and deliver a coordinated programme to strengthen social inclusion across communities</w:t>
      </w:r>
      <w:r>
        <w:rPr>
          <w:rFonts w:ascii="Verdana" w:hAnsi="Verdana"/>
        </w:rPr>
        <w:t>”</w:t>
      </w:r>
      <w:r w:rsidR="00F218FB">
        <w:rPr>
          <w:rFonts w:ascii="Verdana" w:hAnsi="Verdana"/>
        </w:rPr>
        <w:t>,</w:t>
      </w:r>
      <w:r w:rsidR="00820CB2">
        <w:rPr>
          <w:rFonts w:ascii="Verdana" w:hAnsi="Verdana"/>
        </w:rPr>
        <w:t xml:space="preserve"> does not clearly state which specific programmes will be undertaken</w:t>
      </w:r>
      <w:r w:rsidR="00420D59">
        <w:rPr>
          <w:rFonts w:ascii="Verdana" w:hAnsi="Verdana"/>
        </w:rPr>
        <w:t xml:space="preserve">, </w:t>
      </w:r>
      <w:r w:rsidR="00E720AE">
        <w:rPr>
          <w:rFonts w:ascii="Verdana" w:hAnsi="Verdana"/>
        </w:rPr>
        <w:t>the groups</w:t>
      </w:r>
      <w:r w:rsidR="00420D59">
        <w:rPr>
          <w:rFonts w:ascii="Verdana" w:hAnsi="Verdana"/>
        </w:rPr>
        <w:t xml:space="preserve"> </w:t>
      </w:r>
      <w:r w:rsidR="003C37EE">
        <w:rPr>
          <w:rFonts w:ascii="Verdana" w:hAnsi="Verdana"/>
        </w:rPr>
        <w:t xml:space="preserve">that </w:t>
      </w:r>
      <w:r w:rsidR="00420D59">
        <w:rPr>
          <w:rFonts w:ascii="Verdana" w:hAnsi="Verdana"/>
        </w:rPr>
        <w:t>will be targeted</w:t>
      </w:r>
      <w:r w:rsidR="00B53D04">
        <w:rPr>
          <w:rFonts w:ascii="Verdana" w:hAnsi="Verdana"/>
        </w:rPr>
        <w:t xml:space="preserve">, </w:t>
      </w:r>
      <w:r w:rsidR="00420D59">
        <w:rPr>
          <w:rFonts w:ascii="Verdana" w:hAnsi="Verdana"/>
        </w:rPr>
        <w:t xml:space="preserve">the public bodies and departments </w:t>
      </w:r>
      <w:r w:rsidR="00B53D04">
        <w:rPr>
          <w:rFonts w:ascii="Verdana" w:hAnsi="Verdana"/>
        </w:rPr>
        <w:t>responsible for delivery no</w:t>
      </w:r>
      <w:r w:rsidR="008165AC">
        <w:rPr>
          <w:rFonts w:ascii="Verdana" w:hAnsi="Verdana"/>
        </w:rPr>
        <w:t>r</w:t>
      </w:r>
      <w:r w:rsidR="0009456D">
        <w:rPr>
          <w:rFonts w:ascii="Verdana" w:hAnsi="Verdana"/>
        </w:rPr>
        <w:t xml:space="preserve"> the</w:t>
      </w:r>
      <w:r w:rsidR="008165AC">
        <w:rPr>
          <w:rFonts w:ascii="Verdana" w:hAnsi="Verdana"/>
        </w:rPr>
        <w:t xml:space="preserve"> associated</w:t>
      </w:r>
      <w:r w:rsidR="0009456D">
        <w:rPr>
          <w:rFonts w:ascii="Verdana" w:hAnsi="Verdana"/>
        </w:rPr>
        <w:t xml:space="preserve"> performance indicators and time</w:t>
      </w:r>
      <w:r w:rsidR="000639C9">
        <w:rPr>
          <w:rFonts w:ascii="Verdana" w:hAnsi="Verdana"/>
        </w:rPr>
        <w:t xml:space="preserve"> </w:t>
      </w:r>
      <w:r w:rsidR="000A4CF6">
        <w:rPr>
          <w:rFonts w:ascii="Verdana" w:hAnsi="Verdana"/>
        </w:rPr>
        <w:t>frames.</w:t>
      </w:r>
    </w:p>
    <w:p w14:paraId="4A2D3FD4" w14:textId="77777777" w:rsidR="0039377A" w:rsidRDefault="0039377A" w:rsidP="0039377A">
      <w:pPr>
        <w:pStyle w:val="ListParagraph"/>
      </w:pPr>
    </w:p>
    <w:p w14:paraId="480138EF" w14:textId="47C7D1B9" w:rsidR="00A646F9" w:rsidRDefault="00C52ED9" w:rsidP="00F247B7">
      <w:pPr>
        <w:pStyle w:val="BasicParagraph"/>
        <w:numPr>
          <w:ilvl w:val="1"/>
          <w:numId w:val="22"/>
        </w:numPr>
        <w:suppressAutoHyphens/>
        <w:ind w:left="709"/>
        <w:rPr>
          <w:rFonts w:ascii="Verdana" w:hAnsi="Verdana"/>
        </w:rPr>
      </w:pPr>
      <w:r>
        <w:rPr>
          <w:rFonts w:ascii="Verdana" w:hAnsi="Verdana"/>
        </w:rPr>
        <w:t xml:space="preserve">The seventh </w:t>
      </w:r>
      <w:r w:rsidR="007A41C5">
        <w:rPr>
          <w:rFonts w:ascii="Verdana" w:hAnsi="Verdana"/>
        </w:rPr>
        <w:t>intervention under Outcome 4</w:t>
      </w:r>
      <w:r w:rsidR="007E67EF">
        <w:rPr>
          <w:rFonts w:ascii="Verdana" w:hAnsi="Verdana"/>
        </w:rPr>
        <w:t>,</w:t>
      </w:r>
      <w:r w:rsidR="007A41C5">
        <w:rPr>
          <w:rFonts w:ascii="Verdana" w:hAnsi="Verdana"/>
        </w:rPr>
        <w:t xml:space="preserve"> </w:t>
      </w:r>
      <w:r w:rsidR="009E580C">
        <w:rPr>
          <w:rFonts w:ascii="Verdana" w:hAnsi="Verdana"/>
        </w:rPr>
        <w:t xml:space="preserve">which proposes </w:t>
      </w:r>
      <w:r w:rsidR="007E67EF">
        <w:rPr>
          <w:rFonts w:ascii="Verdana" w:hAnsi="Verdana"/>
        </w:rPr>
        <w:t>to</w:t>
      </w:r>
      <w:r w:rsidR="00E720AE">
        <w:rPr>
          <w:rFonts w:ascii="Verdana" w:hAnsi="Verdana"/>
        </w:rPr>
        <w:t>,</w:t>
      </w:r>
      <w:r w:rsidR="007E67EF">
        <w:rPr>
          <w:rFonts w:ascii="Verdana" w:hAnsi="Verdana"/>
        </w:rPr>
        <w:t xml:space="preserve"> </w:t>
      </w:r>
      <w:r w:rsidR="00E720AE">
        <w:rPr>
          <w:rFonts w:ascii="Verdana" w:hAnsi="Verdana"/>
        </w:rPr>
        <w:t>“</w:t>
      </w:r>
      <w:r w:rsidR="006709FF">
        <w:rPr>
          <w:rFonts w:ascii="Verdana" w:hAnsi="Verdana"/>
        </w:rPr>
        <w:t>complete an</w:t>
      </w:r>
      <w:r w:rsidR="006709FF" w:rsidRPr="006709FF">
        <w:rPr>
          <w:rFonts w:ascii="Verdana" w:hAnsi="Verdana"/>
        </w:rPr>
        <w:t xml:space="preserve"> initial round of </w:t>
      </w:r>
      <w:r w:rsidR="00D07F66">
        <w:rPr>
          <w:rFonts w:ascii="Verdana" w:hAnsi="Verdana"/>
        </w:rPr>
        <w:t>co</w:t>
      </w:r>
      <w:r w:rsidR="006709FF" w:rsidRPr="006709FF">
        <w:rPr>
          <w:rFonts w:ascii="Verdana" w:hAnsi="Verdana"/>
        </w:rPr>
        <w:t>mmunity-led reviews to develop plans on key topics</w:t>
      </w:r>
      <w:r w:rsidR="00E720AE">
        <w:rPr>
          <w:rFonts w:ascii="Verdana" w:hAnsi="Verdana"/>
        </w:rPr>
        <w:t>”</w:t>
      </w:r>
      <w:r w:rsidR="00755C1D">
        <w:rPr>
          <w:rFonts w:ascii="Verdana" w:hAnsi="Verdana"/>
        </w:rPr>
        <w:t xml:space="preserve"> </w:t>
      </w:r>
      <w:r w:rsidR="005C21DC" w:rsidRPr="005C21DC">
        <w:rPr>
          <w:rFonts w:ascii="Verdana" w:hAnsi="Verdana"/>
        </w:rPr>
        <w:t>requires further elaboration. It does not specify the number of reviews to be undertaken, nor does it provide an indicative list of the key topics to be addressed. In the absence of such clarity, there is a risk that community cohesion becomes the dominant framing, at the expense of directly addressing racism and structural discrimination.</w:t>
      </w:r>
    </w:p>
    <w:p w14:paraId="6993110A" w14:textId="77777777" w:rsidR="00991BBD" w:rsidRPr="005C21DC" w:rsidRDefault="00991BBD" w:rsidP="00991BBD">
      <w:pPr>
        <w:pStyle w:val="BasicParagraph"/>
        <w:suppressAutoHyphens/>
        <w:rPr>
          <w:rFonts w:ascii="Verdana" w:hAnsi="Verdana"/>
        </w:rPr>
      </w:pPr>
    </w:p>
    <w:p w14:paraId="0F6150C1" w14:textId="6A7F1303" w:rsidR="00A26EA3" w:rsidRDefault="00C4229E" w:rsidP="00F247B7">
      <w:pPr>
        <w:pStyle w:val="BasicParagraph"/>
        <w:numPr>
          <w:ilvl w:val="1"/>
          <w:numId w:val="22"/>
        </w:numPr>
        <w:suppressAutoHyphens/>
        <w:ind w:left="709"/>
        <w:rPr>
          <w:rFonts w:ascii="Verdana" w:hAnsi="Verdana"/>
        </w:rPr>
      </w:pPr>
      <w:r>
        <w:rPr>
          <w:rFonts w:ascii="Verdana" w:hAnsi="Verdana"/>
        </w:rPr>
        <w:t xml:space="preserve">The UN </w:t>
      </w:r>
      <w:r w:rsidR="00A63098">
        <w:rPr>
          <w:rFonts w:ascii="Verdana" w:hAnsi="Verdana"/>
        </w:rPr>
        <w:t>OHCHR guidance s</w:t>
      </w:r>
      <w:r w:rsidR="00C17E6A">
        <w:rPr>
          <w:rFonts w:ascii="Verdana" w:hAnsi="Verdana"/>
        </w:rPr>
        <w:t>tates</w:t>
      </w:r>
      <w:r w:rsidR="00A63098">
        <w:rPr>
          <w:rFonts w:ascii="Verdana" w:hAnsi="Verdana"/>
        </w:rPr>
        <w:t xml:space="preserve"> that</w:t>
      </w:r>
      <w:r w:rsidR="00A26EA3">
        <w:rPr>
          <w:rFonts w:ascii="Verdana" w:hAnsi="Verdana"/>
        </w:rPr>
        <w:t>:</w:t>
      </w:r>
    </w:p>
    <w:p w14:paraId="2363B6C9" w14:textId="77777777" w:rsidR="00A26EA3" w:rsidRDefault="00A26EA3" w:rsidP="00A26EA3">
      <w:pPr>
        <w:pStyle w:val="ListParagraph"/>
      </w:pPr>
    </w:p>
    <w:p w14:paraId="766E8611" w14:textId="1063F68D" w:rsidR="00A6538E" w:rsidRPr="00A26EA3" w:rsidRDefault="00A63098" w:rsidP="004B07E3">
      <w:pPr>
        <w:pStyle w:val="Quote"/>
      </w:pPr>
      <w:r w:rsidRPr="00A26EA3">
        <w:t>t</w:t>
      </w:r>
      <w:r w:rsidR="00A6538E" w:rsidRPr="00A26EA3">
        <w:t>he national action plan against racial discrimination should guarantee full, effective and equal participation. It should empower individuals and groups that have faced or face racial discrimination to identify their human rights needs and to ensure that they are met.</w:t>
      </w:r>
      <w:r w:rsidR="00A6538E">
        <w:rPr>
          <w:rStyle w:val="FootnoteReference"/>
        </w:rPr>
        <w:footnoteReference w:id="144"/>
      </w:r>
    </w:p>
    <w:p w14:paraId="66BC7BB2" w14:textId="77777777" w:rsidR="004F4EC3" w:rsidRPr="004F4EC3" w:rsidRDefault="004F4EC3" w:rsidP="00B43084">
      <w:pPr>
        <w:pStyle w:val="BasicParagraph"/>
        <w:suppressAutoHyphens/>
        <w:rPr>
          <w:rFonts w:ascii="Verdana" w:hAnsi="Verdana"/>
        </w:rPr>
      </w:pPr>
    </w:p>
    <w:p w14:paraId="59CB136A" w14:textId="28B09BC7" w:rsidR="00250948" w:rsidRPr="00233B5E" w:rsidRDefault="00430ED6" w:rsidP="00233B5E">
      <w:pPr>
        <w:pStyle w:val="BasicParagraph"/>
        <w:numPr>
          <w:ilvl w:val="1"/>
          <w:numId w:val="22"/>
        </w:numPr>
        <w:suppressAutoHyphens/>
        <w:ind w:left="709"/>
        <w:rPr>
          <w:rFonts w:ascii="Verdana" w:hAnsi="Verdana"/>
        </w:rPr>
      </w:pPr>
      <w:r w:rsidRPr="00233B5E">
        <w:rPr>
          <w:rFonts w:ascii="Verdana" w:hAnsi="Verdana"/>
          <w:b/>
          <w:bCs/>
        </w:rPr>
        <w:t>The NIHRC recommends that the Executive O</w:t>
      </w:r>
      <w:r w:rsidR="005630EE" w:rsidRPr="00233B5E">
        <w:rPr>
          <w:rFonts w:ascii="Verdana" w:hAnsi="Verdana"/>
          <w:b/>
          <w:bCs/>
        </w:rPr>
        <w:t xml:space="preserve">ffice </w:t>
      </w:r>
      <w:r w:rsidR="00FA753B" w:rsidRPr="00233B5E">
        <w:rPr>
          <w:rFonts w:ascii="Verdana" w:hAnsi="Verdana"/>
          <w:b/>
          <w:bCs/>
        </w:rPr>
        <w:t xml:space="preserve">considers </w:t>
      </w:r>
      <w:r w:rsidR="00307ACD" w:rsidRPr="00233B5E">
        <w:rPr>
          <w:rFonts w:ascii="Verdana" w:hAnsi="Verdana"/>
          <w:b/>
          <w:bCs/>
        </w:rPr>
        <w:t xml:space="preserve">replacing </w:t>
      </w:r>
      <w:r w:rsidR="008F0545" w:rsidRPr="00233B5E">
        <w:rPr>
          <w:rFonts w:ascii="Verdana" w:hAnsi="Verdana"/>
          <w:b/>
          <w:bCs/>
        </w:rPr>
        <w:t>the term “</w:t>
      </w:r>
      <w:r w:rsidR="00FA753B" w:rsidRPr="00233B5E">
        <w:rPr>
          <w:rFonts w:ascii="Verdana" w:hAnsi="Verdana"/>
          <w:b/>
          <w:bCs/>
        </w:rPr>
        <w:t>community cohesion</w:t>
      </w:r>
      <w:r w:rsidR="008F0545" w:rsidRPr="00233B5E">
        <w:rPr>
          <w:rFonts w:ascii="Verdana" w:hAnsi="Verdana"/>
          <w:b/>
          <w:bCs/>
        </w:rPr>
        <w:t>”</w:t>
      </w:r>
      <w:r w:rsidR="00FA753B" w:rsidRPr="00233B5E">
        <w:rPr>
          <w:rFonts w:ascii="Verdana" w:hAnsi="Verdana"/>
          <w:b/>
          <w:bCs/>
        </w:rPr>
        <w:t xml:space="preserve"> </w:t>
      </w:r>
      <w:r w:rsidR="001D5F83" w:rsidRPr="00233B5E">
        <w:rPr>
          <w:rFonts w:ascii="Verdana" w:hAnsi="Verdana"/>
          <w:b/>
          <w:bCs/>
        </w:rPr>
        <w:t>with</w:t>
      </w:r>
      <w:r w:rsidR="00FA753B" w:rsidRPr="00233B5E">
        <w:rPr>
          <w:rFonts w:ascii="Verdana" w:hAnsi="Verdana"/>
          <w:b/>
          <w:bCs/>
        </w:rPr>
        <w:t xml:space="preserve"> </w:t>
      </w:r>
      <w:r w:rsidR="00471827" w:rsidRPr="00233B5E">
        <w:rPr>
          <w:rFonts w:ascii="Verdana" w:hAnsi="Verdana"/>
          <w:b/>
          <w:bCs/>
        </w:rPr>
        <w:t xml:space="preserve">“intercultural dialogue” a term </w:t>
      </w:r>
      <w:r w:rsidR="00DF5993">
        <w:rPr>
          <w:rFonts w:ascii="Verdana" w:hAnsi="Verdana"/>
          <w:b/>
          <w:bCs/>
        </w:rPr>
        <w:t>grounded</w:t>
      </w:r>
      <w:r w:rsidR="00471827" w:rsidRPr="00233B5E">
        <w:rPr>
          <w:rFonts w:ascii="Verdana" w:hAnsi="Verdana"/>
          <w:b/>
          <w:bCs/>
        </w:rPr>
        <w:t xml:space="preserve"> in </w:t>
      </w:r>
      <w:r w:rsidR="009F411D" w:rsidRPr="00233B5E">
        <w:rPr>
          <w:rFonts w:ascii="Verdana" w:hAnsi="Verdana"/>
          <w:b/>
          <w:bCs/>
        </w:rPr>
        <w:t>the C</w:t>
      </w:r>
      <w:r w:rsidR="00774C40">
        <w:rPr>
          <w:rFonts w:ascii="Verdana" w:hAnsi="Verdana"/>
          <w:b/>
          <w:bCs/>
        </w:rPr>
        <w:t xml:space="preserve">ouncil </w:t>
      </w:r>
      <w:r w:rsidR="009F411D" w:rsidRPr="00233B5E">
        <w:rPr>
          <w:rFonts w:ascii="Verdana" w:hAnsi="Verdana"/>
          <w:b/>
          <w:bCs/>
        </w:rPr>
        <w:t>o</w:t>
      </w:r>
      <w:r w:rsidR="00774C40">
        <w:rPr>
          <w:rFonts w:ascii="Verdana" w:hAnsi="Verdana"/>
          <w:b/>
          <w:bCs/>
        </w:rPr>
        <w:t xml:space="preserve">f </w:t>
      </w:r>
      <w:r w:rsidR="009F411D" w:rsidRPr="00233B5E">
        <w:rPr>
          <w:rFonts w:ascii="Verdana" w:hAnsi="Verdana"/>
          <w:b/>
          <w:bCs/>
        </w:rPr>
        <w:t>E</w:t>
      </w:r>
      <w:r w:rsidR="00774C40">
        <w:rPr>
          <w:rFonts w:ascii="Verdana" w:hAnsi="Verdana"/>
          <w:b/>
          <w:bCs/>
        </w:rPr>
        <w:t>urope</w:t>
      </w:r>
      <w:r w:rsidR="009F411D" w:rsidRPr="00233B5E">
        <w:rPr>
          <w:rFonts w:ascii="Verdana" w:hAnsi="Verdana"/>
          <w:b/>
          <w:bCs/>
        </w:rPr>
        <w:t xml:space="preserve"> Framework Convention for National Minorities</w:t>
      </w:r>
      <w:r w:rsidR="00DC7AF0">
        <w:rPr>
          <w:rFonts w:ascii="Verdana" w:hAnsi="Verdana"/>
        </w:rPr>
        <w:t>.</w:t>
      </w:r>
    </w:p>
    <w:p w14:paraId="7E254400" w14:textId="77777777" w:rsidR="00DC7AF0" w:rsidRPr="00EB4156" w:rsidRDefault="00DC7AF0" w:rsidP="00DC7AF0">
      <w:pPr>
        <w:pStyle w:val="BasicParagraph"/>
        <w:suppressAutoHyphens/>
        <w:ind w:left="709"/>
        <w:rPr>
          <w:rFonts w:ascii="Verdana" w:hAnsi="Verdana"/>
        </w:rPr>
      </w:pPr>
    </w:p>
    <w:p w14:paraId="5ADD58C1" w14:textId="56699997" w:rsidR="00564801" w:rsidRDefault="0065797B" w:rsidP="00F247B7">
      <w:pPr>
        <w:pStyle w:val="BasicParagraph"/>
        <w:numPr>
          <w:ilvl w:val="1"/>
          <w:numId w:val="22"/>
        </w:numPr>
        <w:suppressAutoHyphens/>
        <w:ind w:left="709"/>
        <w:rPr>
          <w:rFonts w:ascii="Verdana" w:hAnsi="Verdana"/>
        </w:rPr>
      </w:pPr>
      <w:r w:rsidRPr="00C07FF5">
        <w:rPr>
          <w:rFonts w:ascii="Verdana" w:hAnsi="Verdana"/>
          <w:b/>
          <w:bCs/>
        </w:rPr>
        <w:t xml:space="preserve">The NIHRC recommends that the Executive Office utilises meaningful engagement with individuals </w:t>
      </w:r>
      <w:r w:rsidR="00617814">
        <w:rPr>
          <w:rFonts w:ascii="Verdana" w:hAnsi="Verdana"/>
          <w:b/>
          <w:bCs/>
        </w:rPr>
        <w:t>who</w:t>
      </w:r>
      <w:r w:rsidR="00617814" w:rsidRPr="00C07FF5">
        <w:rPr>
          <w:rFonts w:ascii="Verdana" w:hAnsi="Verdana"/>
          <w:b/>
          <w:bCs/>
        </w:rPr>
        <w:t xml:space="preserve"> </w:t>
      </w:r>
      <w:r w:rsidRPr="00C07FF5">
        <w:rPr>
          <w:rFonts w:ascii="Verdana" w:hAnsi="Verdana"/>
          <w:b/>
          <w:bCs/>
        </w:rPr>
        <w:t xml:space="preserve">will be affected and their representatives beyond this public consultation to determine the key priority areas for implementation </w:t>
      </w:r>
      <w:r w:rsidR="00E539D0" w:rsidRPr="00C07FF5">
        <w:rPr>
          <w:rFonts w:ascii="Verdana" w:hAnsi="Verdana"/>
          <w:b/>
          <w:bCs/>
        </w:rPr>
        <w:t>regarding</w:t>
      </w:r>
      <w:r w:rsidRPr="00C07FF5">
        <w:rPr>
          <w:rFonts w:ascii="Verdana" w:hAnsi="Verdana"/>
          <w:b/>
          <w:bCs/>
        </w:rPr>
        <w:t xml:space="preserve"> trainings and workshops</w:t>
      </w:r>
      <w:r w:rsidR="00C07FF5">
        <w:rPr>
          <w:rFonts w:ascii="Verdana" w:hAnsi="Verdana"/>
        </w:rPr>
        <w:t>.</w:t>
      </w:r>
      <w:r w:rsidR="003645E2">
        <w:rPr>
          <w:rFonts w:ascii="Verdana" w:hAnsi="Verdana"/>
        </w:rPr>
        <w:t xml:space="preserve"> </w:t>
      </w:r>
    </w:p>
    <w:p w14:paraId="564AE367" w14:textId="77777777" w:rsidR="00B50C29" w:rsidRPr="0018123F" w:rsidRDefault="00B50C29" w:rsidP="0035608B">
      <w:pPr>
        <w:pStyle w:val="BasicParagraph"/>
        <w:suppressAutoHyphens/>
        <w:rPr>
          <w:rFonts w:ascii="Verdana" w:hAnsi="Verdana"/>
        </w:rPr>
      </w:pPr>
    </w:p>
    <w:p w14:paraId="3822174F" w14:textId="66B528BD" w:rsidR="0098270D" w:rsidRPr="00F034EC" w:rsidRDefault="00847BC7" w:rsidP="00F247B7">
      <w:pPr>
        <w:pStyle w:val="BasicParagraph"/>
        <w:numPr>
          <w:ilvl w:val="1"/>
          <w:numId w:val="22"/>
        </w:numPr>
        <w:suppressAutoHyphens/>
        <w:ind w:left="709"/>
        <w:rPr>
          <w:rFonts w:ascii="Verdana" w:hAnsi="Verdana"/>
        </w:rPr>
      </w:pPr>
      <w:r w:rsidRPr="00F034EC">
        <w:rPr>
          <w:rFonts w:ascii="Verdana" w:eastAsia="Times New Roman" w:hAnsi="Verdana" w:cs="Segoe UI"/>
          <w:b/>
          <w:bCs/>
          <w:lang w:eastAsia="en-GB"/>
        </w:rPr>
        <w:t xml:space="preserve">The NIHRC recommends that the Executive Office </w:t>
      </w:r>
      <w:r w:rsidR="00F4232A" w:rsidRPr="00F034EC">
        <w:rPr>
          <w:rFonts w:ascii="Verdana" w:eastAsia="Times New Roman" w:hAnsi="Verdana" w:cs="Segoe UI"/>
          <w:b/>
          <w:bCs/>
          <w:lang w:eastAsia="en-GB"/>
        </w:rPr>
        <w:t xml:space="preserve">clarifies </w:t>
      </w:r>
      <w:r w:rsidRPr="00F034EC">
        <w:rPr>
          <w:rFonts w:ascii="Verdana" w:eastAsia="Times New Roman" w:hAnsi="Verdana" w:cs="Segoe UI"/>
          <w:b/>
          <w:bCs/>
          <w:lang w:eastAsia="en-GB"/>
        </w:rPr>
        <w:t xml:space="preserve">the key interventions under Outcome 4, including </w:t>
      </w:r>
      <w:r w:rsidR="00F4232A" w:rsidRPr="00F034EC">
        <w:rPr>
          <w:rFonts w:ascii="Verdana" w:eastAsia="Times New Roman" w:hAnsi="Verdana" w:cs="Segoe UI"/>
          <w:b/>
          <w:bCs/>
          <w:lang w:eastAsia="en-GB"/>
        </w:rPr>
        <w:t>specifying the key</w:t>
      </w:r>
      <w:r w:rsidRPr="00F034EC">
        <w:rPr>
          <w:rFonts w:ascii="Verdana" w:eastAsia="Times New Roman" w:hAnsi="Verdana" w:cs="Segoe UI"/>
          <w:b/>
          <w:bCs/>
          <w:lang w:eastAsia="en-GB"/>
        </w:rPr>
        <w:t xml:space="preserve"> human rights topics, issues, and related trainings and workshops on race relations</w:t>
      </w:r>
      <w:r w:rsidR="00F4232A" w:rsidRPr="00F034EC">
        <w:rPr>
          <w:rFonts w:ascii="Verdana" w:eastAsia="Times New Roman" w:hAnsi="Verdana" w:cs="Segoe UI"/>
          <w:b/>
          <w:bCs/>
          <w:lang w:eastAsia="en-GB"/>
        </w:rPr>
        <w:t xml:space="preserve"> and</w:t>
      </w:r>
      <w:r w:rsidRPr="00F034EC">
        <w:rPr>
          <w:rFonts w:ascii="Verdana" w:eastAsia="Times New Roman" w:hAnsi="Verdana" w:cs="Segoe UI"/>
          <w:b/>
          <w:bCs/>
          <w:lang w:eastAsia="en-GB"/>
        </w:rPr>
        <w:t xml:space="preserve"> ensur</w:t>
      </w:r>
      <w:r w:rsidR="00F4232A" w:rsidRPr="00F034EC">
        <w:rPr>
          <w:rFonts w:ascii="Verdana" w:eastAsia="Times New Roman" w:hAnsi="Verdana" w:cs="Segoe UI"/>
          <w:b/>
          <w:bCs/>
          <w:lang w:eastAsia="en-GB"/>
        </w:rPr>
        <w:t>ing</w:t>
      </w:r>
      <w:r w:rsidRPr="00F034EC">
        <w:rPr>
          <w:rFonts w:ascii="Verdana" w:eastAsia="Times New Roman" w:hAnsi="Verdana" w:cs="Segoe UI"/>
          <w:b/>
          <w:bCs/>
          <w:lang w:eastAsia="en-GB"/>
        </w:rPr>
        <w:t xml:space="preserve"> that </w:t>
      </w:r>
      <w:r w:rsidR="00F4232A" w:rsidRPr="00F034EC">
        <w:rPr>
          <w:rFonts w:ascii="Verdana" w:eastAsia="Times New Roman" w:hAnsi="Verdana" w:cs="Segoe UI"/>
          <w:b/>
          <w:bCs/>
          <w:lang w:eastAsia="en-GB"/>
        </w:rPr>
        <w:t xml:space="preserve">they </w:t>
      </w:r>
      <w:r w:rsidRPr="00F034EC">
        <w:rPr>
          <w:rFonts w:ascii="Verdana" w:eastAsia="Times New Roman" w:hAnsi="Verdana" w:cs="Segoe UI"/>
          <w:b/>
          <w:bCs/>
          <w:lang w:eastAsia="en-GB"/>
        </w:rPr>
        <w:t>are supported by clear responsibilities, timeframes, and monitoring arrangements</w:t>
      </w:r>
      <w:r w:rsidR="004925FA" w:rsidRPr="00F034EC">
        <w:rPr>
          <w:rFonts w:ascii="Verdana" w:hAnsi="Verdana"/>
        </w:rPr>
        <w:t>.</w:t>
      </w:r>
    </w:p>
    <w:p w14:paraId="047622FB" w14:textId="77777777" w:rsidR="004B07E3" w:rsidRPr="00507DD5" w:rsidRDefault="004B07E3" w:rsidP="004B07E3">
      <w:pPr>
        <w:pStyle w:val="BasicParagraph"/>
        <w:suppressAutoHyphens/>
        <w:rPr>
          <w:rFonts w:ascii="Verdana" w:hAnsi="Verdana"/>
          <w:b/>
          <w:bCs/>
        </w:rPr>
      </w:pPr>
    </w:p>
    <w:p w14:paraId="5276CB45" w14:textId="7A8FD75F" w:rsidR="00FD16BD" w:rsidRDefault="0018123F" w:rsidP="00F247B7">
      <w:pPr>
        <w:pStyle w:val="Heading1"/>
        <w:numPr>
          <w:ilvl w:val="0"/>
          <w:numId w:val="0"/>
        </w:numPr>
      </w:pPr>
      <w:bookmarkStart w:id="28" w:name="_Toc230705756"/>
      <w:r>
        <w:t>8.0 Delivery</w:t>
      </w:r>
      <w:r w:rsidR="00DB0FC4" w:rsidRPr="0098270D">
        <w:t xml:space="preserve"> Pl</w:t>
      </w:r>
      <w:r w:rsidR="00AA55EF">
        <w:t>an</w:t>
      </w:r>
      <w:bookmarkEnd w:id="28"/>
    </w:p>
    <w:p w14:paraId="6C623FCC" w14:textId="77777777" w:rsidR="00983347" w:rsidRPr="00983347" w:rsidRDefault="00983347" w:rsidP="00F247B7">
      <w:pPr>
        <w:pStyle w:val="ListParagraph"/>
        <w:widowControl w:val="0"/>
        <w:numPr>
          <w:ilvl w:val="0"/>
          <w:numId w:val="22"/>
        </w:numPr>
        <w:suppressAutoHyphens/>
        <w:autoSpaceDE w:val="0"/>
        <w:autoSpaceDN w:val="0"/>
        <w:adjustRightInd w:val="0"/>
        <w:contextualSpacing w:val="0"/>
        <w:textAlignment w:val="center"/>
        <w:rPr>
          <w:rFonts w:cs="MinionPro-Regular"/>
          <w:vanish/>
          <w:color w:val="000000"/>
        </w:rPr>
      </w:pPr>
    </w:p>
    <w:p w14:paraId="2968B614" w14:textId="3C56E37E" w:rsidR="00271300" w:rsidRDefault="009C77A2" w:rsidP="00F247B7">
      <w:pPr>
        <w:pStyle w:val="BasicParagraph"/>
        <w:numPr>
          <w:ilvl w:val="1"/>
          <w:numId w:val="22"/>
        </w:numPr>
        <w:suppressAutoHyphens/>
        <w:ind w:left="709"/>
        <w:rPr>
          <w:rFonts w:ascii="Verdana" w:hAnsi="Verdana"/>
        </w:rPr>
      </w:pPr>
      <w:r w:rsidRPr="00E539D0">
        <w:rPr>
          <w:rFonts w:ascii="Verdana" w:hAnsi="Verdana"/>
        </w:rPr>
        <w:t>The</w:t>
      </w:r>
      <w:r w:rsidR="00DB0FC4" w:rsidRPr="00E539D0">
        <w:rPr>
          <w:rFonts w:ascii="Verdana" w:hAnsi="Verdana"/>
        </w:rPr>
        <w:t xml:space="preserve"> two-year Delivery Plan sets out the initial primary, secondary and tertiary</w:t>
      </w:r>
      <w:r w:rsidR="00AA55EF" w:rsidRPr="00E539D0">
        <w:rPr>
          <w:rFonts w:ascii="Verdana" w:hAnsi="Verdana"/>
        </w:rPr>
        <w:t xml:space="preserve"> inter</w:t>
      </w:r>
      <w:r w:rsidR="00563A20" w:rsidRPr="00E539D0">
        <w:rPr>
          <w:rFonts w:ascii="Verdana" w:hAnsi="Verdana"/>
        </w:rPr>
        <w:t>ventions that will</w:t>
      </w:r>
      <w:r w:rsidR="00CA5F89" w:rsidRPr="00E539D0">
        <w:rPr>
          <w:rFonts w:ascii="Verdana" w:hAnsi="Verdana"/>
        </w:rPr>
        <w:t xml:space="preserve"> be</w:t>
      </w:r>
      <w:r w:rsidR="00563A20" w:rsidRPr="00E539D0">
        <w:rPr>
          <w:rFonts w:ascii="Verdana" w:hAnsi="Verdana"/>
        </w:rPr>
        <w:t xml:space="preserve"> prioritised.</w:t>
      </w:r>
      <w:r w:rsidR="00DB0FC4" w:rsidRPr="00E539D0">
        <w:rPr>
          <w:rFonts w:ascii="Verdana" w:hAnsi="Verdana"/>
        </w:rPr>
        <w:t xml:space="preserve"> </w:t>
      </w:r>
      <w:r w:rsidR="004E525D" w:rsidRPr="00E539D0">
        <w:rPr>
          <w:rFonts w:ascii="Verdana" w:hAnsi="Verdana"/>
        </w:rPr>
        <w:t>However</w:t>
      </w:r>
      <w:r w:rsidR="004B2EBC" w:rsidRPr="00E539D0">
        <w:rPr>
          <w:rFonts w:ascii="Verdana" w:hAnsi="Verdana"/>
        </w:rPr>
        <w:t>,</w:t>
      </w:r>
      <w:r w:rsidR="004E525D" w:rsidRPr="00E539D0">
        <w:rPr>
          <w:rFonts w:ascii="Verdana" w:hAnsi="Verdana"/>
        </w:rPr>
        <w:t xml:space="preserve"> </w:t>
      </w:r>
      <w:r w:rsidR="00791413" w:rsidRPr="00E539D0">
        <w:rPr>
          <w:rFonts w:ascii="Verdana" w:hAnsi="Verdana"/>
        </w:rPr>
        <w:t xml:space="preserve">it does not </w:t>
      </w:r>
      <w:r w:rsidR="00140708" w:rsidRPr="00E539D0">
        <w:rPr>
          <w:rFonts w:ascii="Verdana" w:hAnsi="Verdana"/>
        </w:rPr>
        <w:t>include</w:t>
      </w:r>
      <w:r w:rsidR="00C32120" w:rsidRPr="00E539D0">
        <w:rPr>
          <w:rFonts w:ascii="Verdana" w:hAnsi="Verdana"/>
        </w:rPr>
        <w:t xml:space="preserve"> </w:t>
      </w:r>
      <w:r w:rsidR="00791413" w:rsidRPr="00E539D0">
        <w:rPr>
          <w:rFonts w:ascii="Verdana" w:hAnsi="Verdana"/>
        </w:rPr>
        <w:t xml:space="preserve">individual delivery timeframes for </w:t>
      </w:r>
      <w:r w:rsidR="000A2113" w:rsidRPr="00E539D0">
        <w:rPr>
          <w:rFonts w:ascii="Verdana" w:hAnsi="Verdana"/>
        </w:rPr>
        <w:t xml:space="preserve">each specific </w:t>
      </w:r>
      <w:r w:rsidR="00791413" w:rsidRPr="00E539D0">
        <w:rPr>
          <w:rFonts w:ascii="Verdana" w:hAnsi="Verdana"/>
        </w:rPr>
        <w:t>intervention</w:t>
      </w:r>
      <w:r w:rsidR="000A2113" w:rsidRPr="00E539D0">
        <w:rPr>
          <w:rFonts w:ascii="Verdana" w:hAnsi="Verdana"/>
        </w:rPr>
        <w:t>,</w:t>
      </w:r>
      <w:r w:rsidR="00791413" w:rsidRPr="00E539D0">
        <w:rPr>
          <w:rFonts w:ascii="Verdana" w:hAnsi="Verdana"/>
        </w:rPr>
        <w:t xml:space="preserve"> performance indicators</w:t>
      </w:r>
      <w:r w:rsidR="00271300" w:rsidRPr="00E539D0">
        <w:rPr>
          <w:rFonts w:ascii="Verdana" w:hAnsi="Verdana"/>
        </w:rPr>
        <w:t xml:space="preserve"> </w:t>
      </w:r>
      <w:r w:rsidR="0079485A" w:rsidRPr="00E539D0">
        <w:rPr>
          <w:rFonts w:ascii="Verdana" w:hAnsi="Verdana"/>
        </w:rPr>
        <w:t xml:space="preserve">nor identify delivery </w:t>
      </w:r>
      <w:r w:rsidR="00691762" w:rsidRPr="00E539D0">
        <w:rPr>
          <w:rFonts w:ascii="Verdana" w:hAnsi="Verdana"/>
        </w:rPr>
        <w:t>responsibilities. There</w:t>
      </w:r>
      <w:r w:rsidR="00191D5F" w:rsidRPr="00E539D0">
        <w:rPr>
          <w:rFonts w:ascii="Verdana" w:hAnsi="Verdana"/>
        </w:rPr>
        <w:t xml:space="preserve"> is a need for ownership regarding the implementation of the plan</w:t>
      </w:r>
      <w:r w:rsidR="00191D5F">
        <w:rPr>
          <w:rFonts w:ascii="Verdana" w:hAnsi="Verdana"/>
        </w:rPr>
        <w:t>.</w:t>
      </w:r>
    </w:p>
    <w:p w14:paraId="67A65B3D" w14:textId="77777777" w:rsidR="00AB4958" w:rsidRDefault="00AB4958" w:rsidP="00AB4958">
      <w:pPr>
        <w:pStyle w:val="BasicParagraph"/>
        <w:suppressAutoHyphens/>
        <w:ind w:left="709"/>
        <w:rPr>
          <w:rFonts w:ascii="Verdana" w:hAnsi="Verdana"/>
        </w:rPr>
      </w:pPr>
    </w:p>
    <w:p w14:paraId="11E67BB3" w14:textId="10484971" w:rsidR="00EB7555" w:rsidRDefault="00653913" w:rsidP="00D126A4">
      <w:pPr>
        <w:pStyle w:val="BasicParagraph"/>
        <w:widowControl/>
        <w:numPr>
          <w:ilvl w:val="1"/>
          <w:numId w:val="22"/>
        </w:numPr>
        <w:suppressAutoHyphens/>
        <w:ind w:left="709"/>
        <w:rPr>
          <w:rFonts w:ascii="Verdana" w:hAnsi="Verdana"/>
        </w:rPr>
      </w:pPr>
      <w:r>
        <w:rPr>
          <w:rFonts w:ascii="Verdana" w:hAnsi="Verdana"/>
        </w:rPr>
        <w:t xml:space="preserve">The UN </w:t>
      </w:r>
      <w:r w:rsidR="00AB4958">
        <w:rPr>
          <w:rFonts w:ascii="Verdana" w:hAnsi="Verdana"/>
        </w:rPr>
        <w:t>OHCHR guidance recommends that d</w:t>
      </w:r>
      <w:r w:rsidR="00AB4958" w:rsidRPr="00773A4B">
        <w:rPr>
          <w:rFonts w:ascii="Verdana" w:hAnsi="Verdana"/>
        </w:rPr>
        <w:t>iscussions about which bodies are responsible for what</w:t>
      </w:r>
      <w:r w:rsidR="00AB4958">
        <w:rPr>
          <w:rFonts w:ascii="Verdana" w:hAnsi="Verdana"/>
        </w:rPr>
        <w:t xml:space="preserve">, </w:t>
      </w:r>
      <w:r w:rsidR="00AB4958" w:rsidRPr="00773A4B">
        <w:rPr>
          <w:rFonts w:ascii="Verdana" w:hAnsi="Verdana"/>
        </w:rPr>
        <w:t>should be part of the plan’s development. It is important for the plan to spell out the various institutional responsibilities so that it is clear to the State bodies themselves as well as to stakeholders and the general public</w:t>
      </w:r>
      <w:r w:rsidR="00AB4958">
        <w:rPr>
          <w:rFonts w:ascii="Verdana" w:hAnsi="Verdana"/>
        </w:rPr>
        <w:t>.</w:t>
      </w:r>
      <w:r w:rsidR="00AB4958">
        <w:rPr>
          <w:rStyle w:val="FootnoteReference"/>
          <w:rFonts w:ascii="Verdana" w:hAnsi="Verdana"/>
        </w:rPr>
        <w:footnoteReference w:id="145"/>
      </w:r>
      <w:r w:rsidR="00AB4958">
        <w:rPr>
          <w:rFonts w:ascii="Verdana" w:hAnsi="Verdana"/>
        </w:rPr>
        <w:t xml:space="preserve"> </w:t>
      </w:r>
    </w:p>
    <w:p w14:paraId="568CA6FD" w14:textId="77777777" w:rsidR="00474114" w:rsidRDefault="00474114" w:rsidP="00474114">
      <w:pPr>
        <w:pStyle w:val="ListParagraph"/>
      </w:pPr>
    </w:p>
    <w:p w14:paraId="18EAC6FA" w14:textId="40859794" w:rsidR="008448A2" w:rsidRDefault="00474114" w:rsidP="00F247B7">
      <w:pPr>
        <w:pStyle w:val="BasicParagraph"/>
        <w:numPr>
          <w:ilvl w:val="1"/>
          <w:numId w:val="22"/>
        </w:numPr>
        <w:suppressAutoHyphens/>
        <w:ind w:left="709"/>
        <w:rPr>
          <w:rFonts w:ascii="Verdana" w:hAnsi="Verdana"/>
        </w:rPr>
      </w:pPr>
      <w:r w:rsidRPr="00215A37">
        <w:rPr>
          <w:rFonts w:ascii="Verdana" w:hAnsi="Verdana"/>
        </w:rPr>
        <w:t>Other departments and public bodies have a key role in the delivery of the Framework. They include, but are not limited to, the Department of Education, Department of Justice, Department for Communities Department of Health, the Police Service of Northern Ireland, District Councils, and other statutory organisations.</w:t>
      </w:r>
    </w:p>
    <w:p w14:paraId="11B41103" w14:textId="77777777" w:rsidR="001C7047" w:rsidRDefault="001C7047" w:rsidP="001C7047">
      <w:pPr>
        <w:pStyle w:val="ListParagraph"/>
      </w:pPr>
    </w:p>
    <w:p w14:paraId="5E7D8DC1" w14:textId="0594B6F6" w:rsidR="001C7047" w:rsidRPr="001C7047" w:rsidRDefault="001C7047" w:rsidP="00F247B7">
      <w:pPr>
        <w:pStyle w:val="BasicParagraph"/>
        <w:numPr>
          <w:ilvl w:val="1"/>
          <w:numId w:val="22"/>
        </w:numPr>
        <w:suppressAutoHyphens/>
        <w:ind w:left="709"/>
        <w:rPr>
          <w:rFonts w:ascii="Verdana" w:hAnsi="Verdana"/>
        </w:rPr>
      </w:pPr>
      <w:r w:rsidRPr="00BC0CEF">
        <w:rPr>
          <w:rFonts w:ascii="Verdana" w:eastAsia="Times New Roman" w:hAnsi="Verdana" w:cs="Segoe UI"/>
          <w:b/>
          <w:bCs/>
          <w:lang w:eastAsia="en-GB"/>
        </w:rPr>
        <w:t xml:space="preserve">The NIHRC recommends that the Executive Office strengthens the Delivery Plan by setting out institutional responsibilities for each outcome and intervention, so that roles and expectations are </w:t>
      </w:r>
      <w:r w:rsidRPr="00BC0CEF">
        <w:rPr>
          <w:rFonts w:ascii="Verdana" w:eastAsia="Times New Roman" w:hAnsi="Verdana" w:cs="Segoe UI"/>
          <w:b/>
          <w:bCs/>
          <w:lang w:eastAsia="en-GB"/>
        </w:rPr>
        <w:lastRenderedPageBreak/>
        <w:t xml:space="preserve">transparent to </w:t>
      </w:r>
      <w:r w:rsidR="005C05DB">
        <w:rPr>
          <w:rFonts w:ascii="Verdana" w:eastAsia="Times New Roman" w:hAnsi="Verdana" w:cs="Segoe UI"/>
          <w:b/>
          <w:bCs/>
          <w:lang w:eastAsia="en-GB"/>
        </w:rPr>
        <w:t>all government departments</w:t>
      </w:r>
      <w:r w:rsidRPr="00BC0CEF">
        <w:rPr>
          <w:rFonts w:ascii="Verdana" w:eastAsia="Times New Roman" w:hAnsi="Verdana" w:cs="Segoe UI"/>
          <w:b/>
          <w:bCs/>
          <w:lang w:eastAsia="en-GB"/>
        </w:rPr>
        <w:t>, stakeholders, and the wider public.</w:t>
      </w:r>
    </w:p>
    <w:p w14:paraId="75C65FE7" w14:textId="77777777" w:rsidR="001C7047" w:rsidRPr="001C7047" w:rsidRDefault="001C7047" w:rsidP="00700B13">
      <w:pPr>
        <w:pStyle w:val="BasicParagraph"/>
        <w:suppressAutoHyphens/>
        <w:rPr>
          <w:rFonts w:ascii="Verdana" w:hAnsi="Verdana"/>
        </w:rPr>
      </w:pPr>
    </w:p>
    <w:p w14:paraId="692DB0F6" w14:textId="51F31C18" w:rsidR="008448A2" w:rsidRPr="001C7047" w:rsidRDefault="008448A2" w:rsidP="004B07E3">
      <w:pPr>
        <w:pStyle w:val="Heading2"/>
      </w:pPr>
      <w:bookmarkStart w:id="29" w:name="_Toc230705757"/>
      <w:r w:rsidRPr="001C7047">
        <w:t>Monitoring and Evaluation</w:t>
      </w:r>
      <w:bookmarkEnd w:id="29"/>
    </w:p>
    <w:p w14:paraId="52244E9A" w14:textId="77777777" w:rsidR="00EB7555" w:rsidRDefault="00EB7555" w:rsidP="00EB7555">
      <w:pPr>
        <w:pStyle w:val="ListParagraph"/>
      </w:pPr>
    </w:p>
    <w:p w14:paraId="5DB63B82" w14:textId="77777777" w:rsidR="00474114" w:rsidRDefault="00271300" w:rsidP="00F247B7">
      <w:pPr>
        <w:pStyle w:val="BasicParagraph"/>
        <w:numPr>
          <w:ilvl w:val="1"/>
          <w:numId w:val="22"/>
        </w:numPr>
        <w:suppressAutoHyphens/>
        <w:ind w:left="709"/>
        <w:rPr>
          <w:rFonts w:ascii="Verdana" w:hAnsi="Verdana"/>
        </w:rPr>
      </w:pPr>
      <w:r w:rsidRPr="00EB7555">
        <w:rPr>
          <w:rFonts w:ascii="Verdana" w:hAnsi="Verdana"/>
        </w:rPr>
        <w:t xml:space="preserve">The accompanying monitoring and evaluation framework does not </w:t>
      </w:r>
      <w:r w:rsidR="00791413" w:rsidRPr="00EB7555">
        <w:rPr>
          <w:rFonts w:ascii="Verdana" w:hAnsi="Verdana"/>
        </w:rPr>
        <w:t xml:space="preserve"> </w:t>
      </w:r>
      <w:r w:rsidR="00A93613" w:rsidRPr="00EB7555">
        <w:rPr>
          <w:rFonts w:ascii="Verdana" w:hAnsi="Verdana"/>
        </w:rPr>
        <w:t xml:space="preserve"> </w:t>
      </w:r>
      <w:r w:rsidR="00791413" w:rsidRPr="00EB7555">
        <w:rPr>
          <w:rFonts w:ascii="Verdana" w:hAnsi="Verdana"/>
        </w:rPr>
        <w:t>identif</w:t>
      </w:r>
      <w:r w:rsidR="00A93613" w:rsidRPr="00EB7555">
        <w:rPr>
          <w:rFonts w:ascii="Verdana" w:hAnsi="Verdana"/>
        </w:rPr>
        <w:t xml:space="preserve">y mechanisms for </w:t>
      </w:r>
      <w:r w:rsidR="00791413" w:rsidRPr="00EB7555">
        <w:rPr>
          <w:rFonts w:ascii="Verdana" w:hAnsi="Verdana"/>
        </w:rPr>
        <w:t>measuring progress</w:t>
      </w:r>
      <w:r w:rsidR="00A547B1" w:rsidRPr="00EB7555">
        <w:rPr>
          <w:rFonts w:ascii="Verdana" w:hAnsi="Verdana"/>
        </w:rPr>
        <w:t xml:space="preserve"> of each outcome</w:t>
      </w:r>
      <w:r w:rsidR="00791413" w:rsidRPr="00EB7555">
        <w:rPr>
          <w:rFonts w:ascii="Verdana" w:hAnsi="Verdana"/>
        </w:rPr>
        <w:t xml:space="preserve"> and addressing underperformance </w:t>
      </w:r>
      <w:r w:rsidR="004B2EBC" w:rsidRPr="00EB7555">
        <w:rPr>
          <w:rFonts w:ascii="Verdana" w:hAnsi="Verdana"/>
        </w:rPr>
        <w:t xml:space="preserve">which </w:t>
      </w:r>
      <w:r w:rsidR="00791413" w:rsidRPr="00EB7555">
        <w:rPr>
          <w:rFonts w:ascii="Verdana" w:hAnsi="Verdana"/>
        </w:rPr>
        <w:t xml:space="preserve">undermines the </w:t>
      </w:r>
      <w:r w:rsidR="004B2EBC" w:rsidRPr="00EB7555">
        <w:rPr>
          <w:rFonts w:ascii="Verdana" w:hAnsi="Verdana"/>
        </w:rPr>
        <w:t xml:space="preserve">Delivery </w:t>
      </w:r>
      <w:r w:rsidR="00791413" w:rsidRPr="00EB7555">
        <w:rPr>
          <w:rFonts w:ascii="Verdana" w:hAnsi="Verdana"/>
        </w:rPr>
        <w:t xml:space="preserve">Plan’s capacity to support effective implementation and </w:t>
      </w:r>
      <w:r w:rsidR="00691762" w:rsidRPr="00EB7555">
        <w:rPr>
          <w:rFonts w:ascii="Verdana" w:hAnsi="Verdana"/>
        </w:rPr>
        <w:t xml:space="preserve">accountability. </w:t>
      </w:r>
      <w:r w:rsidR="00EB7555" w:rsidRPr="00EB7555">
        <w:rPr>
          <w:rFonts w:ascii="Verdana" w:hAnsi="Verdana"/>
        </w:rPr>
        <w:t xml:space="preserve"> </w:t>
      </w:r>
    </w:p>
    <w:p w14:paraId="669C4000" w14:textId="77777777" w:rsidR="00474114" w:rsidRDefault="00474114" w:rsidP="00474114">
      <w:pPr>
        <w:pStyle w:val="BasicParagraph"/>
        <w:suppressAutoHyphens/>
        <w:ind w:left="709"/>
        <w:rPr>
          <w:rFonts w:ascii="Verdana" w:hAnsi="Verdana"/>
        </w:rPr>
      </w:pPr>
    </w:p>
    <w:p w14:paraId="26B62259" w14:textId="12438012" w:rsidR="001C7047" w:rsidRPr="001107FB" w:rsidRDefault="00EB7555" w:rsidP="00F247B7">
      <w:pPr>
        <w:pStyle w:val="BasicParagraph"/>
        <w:numPr>
          <w:ilvl w:val="1"/>
          <w:numId w:val="22"/>
        </w:numPr>
        <w:suppressAutoHyphens/>
        <w:ind w:left="709"/>
        <w:rPr>
          <w:rFonts w:ascii="Verdana" w:hAnsi="Verdana"/>
        </w:rPr>
      </w:pPr>
      <w:r w:rsidRPr="00EB7555">
        <w:rPr>
          <w:rFonts w:ascii="Verdana" w:hAnsi="Verdana"/>
        </w:rPr>
        <w:t xml:space="preserve">A national </w:t>
      </w:r>
      <w:r w:rsidRPr="00DE23E2">
        <w:rPr>
          <w:rFonts w:ascii="Verdana" w:hAnsi="Verdana"/>
        </w:rPr>
        <w:t xml:space="preserve">action-plan should be action-oriented </w:t>
      </w:r>
      <w:r w:rsidR="00DE23E2" w:rsidRPr="00DE23E2">
        <w:rPr>
          <w:rFonts w:ascii="Verdana" w:hAnsi="Verdana"/>
        </w:rPr>
        <w:t>to</w:t>
      </w:r>
      <w:r w:rsidRPr="00DE23E2">
        <w:rPr>
          <w:rFonts w:ascii="Verdana" w:hAnsi="Verdana"/>
        </w:rPr>
        <w:t xml:space="preserve"> facilitate its implementation.</w:t>
      </w:r>
      <w:r w:rsidR="0043258A">
        <w:rPr>
          <w:rFonts w:ascii="Verdana" w:hAnsi="Verdana"/>
        </w:rPr>
        <w:t xml:space="preserve"> I</w:t>
      </w:r>
      <w:r w:rsidRPr="00DE23E2">
        <w:rPr>
          <w:rFonts w:ascii="Verdana" w:hAnsi="Verdana"/>
        </w:rPr>
        <w:t>t</w:t>
      </w:r>
      <w:r w:rsidRPr="001107FB">
        <w:rPr>
          <w:rFonts w:ascii="Verdana" w:hAnsi="Verdana"/>
          <w:b/>
          <w:bCs/>
        </w:rPr>
        <w:t xml:space="preserve"> </w:t>
      </w:r>
      <w:r w:rsidR="00407CD6" w:rsidRPr="00EB7555">
        <w:rPr>
          <w:rFonts w:ascii="Verdana" w:hAnsi="Verdana"/>
        </w:rPr>
        <w:t xml:space="preserve"> should provide for effective monitoring and evaluation of what has been accomplished and what has not.</w:t>
      </w:r>
      <w:r w:rsidR="00407CD6" w:rsidRPr="00407CD6">
        <w:rPr>
          <w:rStyle w:val="FootnoteReference"/>
          <w:rFonts w:ascii="Verdana" w:hAnsi="Verdana"/>
        </w:rPr>
        <w:footnoteReference w:id="146"/>
      </w:r>
      <w:r w:rsidR="00691762" w:rsidRPr="00EB7555">
        <w:rPr>
          <w:rFonts w:ascii="Verdana" w:hAnsi="Verdana"/>
        </w:rPr>
        <w:t xml:space="preserve"> It should develop mechanisms to hold the institutions in charge of its implementation accountable to those groups and individuals whose rights it is intended to promote and protect.’</w:t>
      </w:r>
      <w:r w:rsidR="00691762">
        <w:rPr>
          <w:rStyle w:val="FootnoteReference"/>
          <w:rFonts w:ascii="Verdana" w:hAnsi="Verdana"/>
        </w:rPr>
        <w:footnoteReference w:id="147"/>
      </w:r>
      <w:r w:rsidR="00691762" w:rsidRPr="00EB7555">
        <w:rPr>
          <w:rFonts w:ascii="Verdana" w:hAnsi="Verdana"/>
        </w:rPr>
        <w:t xml:space="preserve"> This will ensure that if</w:t>
      </w:r>
      <w:r w:rsidR="00691762" w:rsidRPr="00EB7555">
        <w:rPr>
          <w:rFonts w:ascii="Verdana" w:hAnsi="Verdana" w:cstheme="minorBidi"/>
          <w:color w:val="auto"/>
        </w:rPr>
        <w:t xml:space="preserve"> </w:t>
      </w:r>
      <w:r w:rsidR="00691762" w:rsidRPr="00EB7555">
        <w:rPr>
          <w:rFonts w:ascii="Verdana" w:hAnsi="Verdana"/>
        </w:rPr>
        <w:t>the objectives have not been achieved, it may be necessary to allocate more resources, change working methods, revise the time frame or perhaps even amend the objectives.</w:t>
      </w:r>
      <w:r w:rsidR="00002D24" w:rsidRPr="00002D24">
        <w:t xml:space="preserve"> </w:t>
      </w:r>
    </w:p>
    <w:p w14:paraId="1D3F19D6" w14:textId="77777777" w:rsidR="001107FB" w:rsidRDefault="001107FB" w:rsidP="00D94535">
      <w:pPr>
        <w:pStyle w:val="BasicParagraph"/>
        <w:suppressAutoHyphens/>
        <w:rPr>
          <w:rFonts w:ascii="Verdana" w:hAnsi="Verdana"/>
        </w:rPr>
      </w:pPr>
    </w:p>
    <w:p w14:paraId="78CB34D1" w14:textId="4C8F528D" w:rsidR="001C7047" w:rsidRPr="00EB7555" w:rsidRDefault="001C7047" w:rsidP="00F247B7">
      <w:pPr>
        <w:pStyle w:val="BasicParagraph"/>
        <w:numPr>
          <w:ilvl w:val="1"/>
          <w:numId w:val="22"/>
        </w:numPr>
        <w:suppressAutoHyphens/>
        <w:ind w:left="709"/>
        <w:rPr>
          <w:rFonts w:ascii="Verdana" w:hAnsi="Verdana"/>
        </w:rPr>
      </w:pPr>
      <w:r w:rsidRPr="00BC0CEF">
        <w:rPr>
          <w:rFonts w:ascii="Verdana" w:eastAsia="Times New Roman" w:hAnsi="Verdana" w:cs="Segoe UI"/>
          <w:b/>
          <w:bCs/>
          <w:lang w:eastAsia="en-GB"/>
        </w:rPr>
        <w:t>The NIHRC recommends that the Executive Office strengthens the Delivery Plan by identify</w:t>
      </w:r>
      <w:r w:rsidR="005B2424">
        <w:rPr>
          <w:rFonts w:ascii="Verdana" w:eastAsia="Times New Roman" w:hAnsi="Verdana" w:cs="Segoe UI"/>
          <w:b/>
          <w:bCs/>
          <w:lang w:eastAsia="en-GB"/>
        </w:rPr>
        <w:t>ing</w:t>
      </w:r>
      <w:r w:rsidRPr="00BC0CEF">
        <w:rPr>
          <w:rFonts w:ascii="Verdana" w:eastAsia="Times New Roman" w:hAnsi="Verdana" w:cs="Segoe UI"/>
          <w:b/>
          <w:bCs/>
          <w:lang w:eastAsia="en-GB"/>
        </w:rPr>
        <w:t xml:space="preserve"> clear mechanisms for measuring progress against each outcome, including performance indicators, reporting arrangements, and procedures for identifying and addressing underperformance.</w:t>
      </w:r>
    </w:p>
    <w:p w14:paraId="4364E314" w14:textId="77777777" w:rsidR="008448A2" w:rsidRPr="00E46A5B" w:rsidRDefault="008448A2" w:rsidP="00BC0CEF">
      <w:pPr>
        <w:pStyle w:val="BasicParagraph"/>
        <w:suppressAutoHyphens/>
        <w:rPr>
          <w:rFonts w:ascii="Verdana" w:hAnsi="Verdana"/>
          <w:b/>
          <w:bCs/>
          <w:color w:val="FF0000"/>
        </w:rPr>
      </w:pPr>
    </w:p>
    <w:p w14:paraId="4DFB8894" w14:textId="4F04D3C9" w:rsidR="001A74CA" w:rsidRDefault="008448A2" w:rsidP="00D126A4">
      <w:pPr>
        <w:pStyle w:val="Heading2"/>
      </w:pPr>
      <w:bookmarkStart w:id="30" w:name="_Toc230705758"/>
      <w:r w:rsidRPr="008448A2">
        <w:t>Accountability</w:t>
      </w:r>
      <w:bookmarkEnd w:id="30"/>
      <w:r w:rsidRPr="008448A2">
        <w:t xml:space="preserve"> </w:t>
      </w:r>
    </w:p>
    <w:p w14:paraId="0F3A31F0" w14:textId="77777777" w:rsidR="008448A2" w:rsidRPr="008448A2" w:rsidRDefault="008448A2" w:rsidP="00D126A4">
      <w:pPr>
        <w:keepNext/>
      </w:pPr>
    </w:p>
    <w:p w14:paraId="6D6B90B0" w14:textId="460BA8E5" w:rsidR="00D60F7B" w:rsidRDefault="009A20DF" w:rsidP="00D126A4">
      <w:pPr>
        <w:pStyle w:val="BasicParagraph"/>
        <w:keepNext/>
        <w:widowControl/>
        <w:numPr>
          <w:ilvl w:val="1"/>
          <w:numId w:val="22"/>
        </w:numPr>
        <w:suppressAutoHyphens/>
        <w:ind w:left="709"/>
        <w:rPr>
          <w:rFonts w:ascii="Verdana" w:hAnsi="Verdana"/>
        </w:rPr>
      </w:pPr>
      <w:r>
        <w:rPr>
          <w:rFonts w:ascii="Verdana" w:hAnsi="Verdana"/>
        </w:rPr>
        <w:t xml:space="preserve">The </w:t>
      </w:r>
      <w:r w:rsidR="00344D03">
        <w:rPr>
          <w:rFonts w:ascii="Verdana" w:hAnsi="Verdana"/>
        </w:rPr>
        <w:t>D</w:t>
      </w:r>
      <w:r>
        <w:rPr>
          <w:rFonts w:ascii="Verdana" w:hAnsi="Verdana"/>
        </w:rPr>
        <w:t xml:space="preserve">raft Framework does not set out </w:t>
      </w:r>
      <w:r w:rsidR="0043258A">
        <w:rPr>
          <w:rFonts w:ascii="Verdana" w:hAnsi="Verdana"/>
        </w:rPr>
        <w:t xml:space="preserve">clear </w:t>
      </w:r>
      <w:r>
        <w:rPr>
          <w:rFonts w:ascii="Verdana" w:hAnsi="Verdana"/>
        </w:rPr>
        <w:t>accountability measures.</w:t>
      </w:r>
      <w:r w:rsidR="00DE0967" w:rsidRPr="00DE0967">
        <w:rPr>
          <w:rFonts w:ascii="Verdana" w:hAnsi="Verdana"/>
        </w:rPr>
        <w:t xml:space="preserve"> </w:t>
      </w:r>
      <w:r w:rsidR="00653913">
        <w:rPr>
          <w:rFonts w:ascii="Verdana" w:hAnsi="Verdana"/>
        </w:rPr>
        <w:t xml:space="preserve">The UN </w:t>
      </w:r>
      <w:r w:rsidR="00D60F7B">
        <w:rPr>
          <w:rFonts w:ascii="Verdana" w:hAnsi="Verdana"/>
        </w:rPr>
        <w:t xml:space="preserve">OHCHR guidance </w:t>
      </w:r>
      <w:r w:rsidR="00301750">
        <w:rPr>
          <w:rFonts w:ascii="Verdana" w:hAnsi="Verdana"/>
        </w:rPr>
        <w:t>recommends</w:t>
      </w:r>
      <w:r w:rsidR="00D60F7B">
        <w:rPr>
          <w:rFonts w:ascii="Verdana" w:hAnsi="Verdana"/>
        </w:rPr>
        <w:t xml:space="preserve"> that:</w:t>
      </w:r>
    </w:p>
    <w:p w14:paraId="2876AEBC" w14:textId="77777777" w:rsidR="00301750" w:rsidRDefault="00301750" w:rsidP="004B07E3">
      <w:pPr>
        <w:pStyle w:val="Quote"/>
      </w:pPr>
    </w:p>
    <w:p w14:paraId="3C0E9BEC" w14:textId="3C446F82" w:rsidR="00301750" w:rsidRDefault="00301750" w:rsidP="004B07E3">
      <w:pPr>
        <w:pStyle w:val="Quote"/>
      </w:pPr>
      <w:r>
        <w:t>t</w:t>
      </w:r>
      <w:r w:rsidR="00DE0967" w:rsidRPr="00DE0967">
        <w:t xml:space="preserve">o be effective, the </w:t>
      </w:r>
      <w:r w:rsidR="00AF74D3">
        <w:t>N</w:t>
      </w:r>
      <w:r w:rsidR="00DE0967" w:rsidRPr="00DE0967">
        <w:t xml:space="preserve">ational </w:t>
      </w:r>
      <w:r w:rsidR="00C04F69">
        <w:t>A</w:t>
      </w:r>
      <w:r w:rsidR="00DE0967" w:rsidRPr="00DE0967">
        <w:t xml:space="preserve">ction </w:t>
      </w:r>
      <w:r w:rsidR="00C04F69">
        <w:t>P</w:t>
      </w:r>
      <w:r w:rsidR="00DE0967" w:rsidRPr="00DE0967">
        <w:t xml:space="preserve">lan against </w:t>
      </w:r>
      <w:r w:rsidR="00C04F69">
        <w:t>R</w:t>
      </w:r>
      <w:r w:rsidR="00DE0967" w:rsidRPr="00DE0967">
        <w:t xml:space="preserve">acial </w:t>
      </w:r>
      <w:r w:rsidR="00C04F69">
        <w:t>D</w:t>
      </w:r>
      <w:r w:rsidR="00DE0967" w:rsidRPr="00DE0967">
        <w:t>iscrimination requires the development of a system of accountability based on specific,</w:t>
      </w:r>
      <w:r w:rsidR="00DE0967">
        <w:t xml:space="preserve"> </w:t>
      </w:r>
      <w:r w:rsidR="00DE0967" w:rsidRPr="00DE0967">
        <w:t xml:space="preserve">ascertainable goals. It should develop mechanisms to hold the institutions in charge of its </w:t>
      </w:r>
      <w:r w:rsidR="00DE0967" w:rsidRPr="00DE0967">
        <w:lastRenderedPageBreak/>
        <w:t>implementation accountable to those groups and</w:t>
      </w:r>
      <w:r w:rsidR="00DE0967">
        <w:t xml:space="preserve"> </w:t>
      </w:r>
      <w:r w:rsidR="00DE0967" w:rsidRPr="00DE0967">
        <w:t>individuals whose rights it is intended to promote and protect.</w:t>
      </w:r>
      <w:r w:rsidR="00DE0967">
        <w:rPr>
          <w:rStyle w:val="FootnoteReference"/>
        </w:rPr>
        <w:footnoteReference w:id="148"/>
      </w:r>
    </w:p>
    <w:p w14:paraId="7174ECE7" w14:textId="77777777" w:rsidR="005C05DB" w:rsidRDefault="005C05DB" w:rsidP="005C05DB">
      <w:pPr>
        <w:pStyle w:val="BasicParagraph"/>
        <w:suppressAutoHyphens/>
        <w:ind w:left="709"/>
        <w:rPr>
          <w:rFonts w:ascii="Verdana" w:hAnsi="Verdana"/>
        </w:rPr>
      </w:pPr>
    </w:p>
    <w:p w14:paraId="489C971B" w14:textId="3A0BF900" w:rsidR="001C6288" w:rsidRPr="007B4F0E" w:rsidRDefault="001C6288" w:rsidP="004B07E3">
      <w:pPr>
        <w:pStyle w:val="BasicParagraph"/>
        <w:numPr>
          <w:ilvl w:val="1"/>
          <w:numId w:val="22"/>
        </w:numPr>
        <w:suppressAutoHyphens/>
        <w:ind w:left="709"/>
        <w:rPr>
          <w:rFonts w:ascii="Verdana" w:hAnsi="Verdana"/>
          <w:bCs/>
        </w:rPr>
      </w:pPr>
      <w:r w:rsidRPr="007B4F0E">
        <w:rPr>
          <w:rFonts w:ascii="Verdana" w:hAnsi="Verdana"/>
          <w:bCs/>
        </w:rPr>
        <w:t xml:space="preserve">The NIHRC recommends that the Executive Office strengthens the Delivery Plan in line with </w:t>
      </w:r>
      <w:r w:rsidR="00653913" w:rsidRPr="007B4F0E">
        <w:rPr>
          <w:rFonts w:ascii="Verdana" w:hAnsi="Verdana"/>
          <w:bCs/>
        </w:rPr>
        <w:t>the United Nations</w:t>
      </w:r>
      <w:r w:rsidRPr="007B4F0E">
        <w:rPr>
          <w:rFonts w:ascii="Verdana" w:hAnsi="Verdana"/>
          <w:bCs/>
        </w:rPr>
        <w:t xml:space="preserve"> O</w:t>
      </w:r>
      <w:r w:rsidR="00653913" w:rsidRPr="007B4F0E">
        <w:rPr>
          <w:rFonts w:ascii="Verdana" w:hAnsi="Verdana"/>
          <w:bCs/>
        </w:rPr>
        <w:t xml:space="preserve">ffice of the </w:t>
      </w:r>
      <w:r w:rsidRPr="007B4F0E">
        <w:rPr>
          <w:rFonts w:ascii="Verdana" w:hAnsi="Verdana"/>
          <w:bCs/>
        </w:rPr>
        <w:t>H</w:t>
      </w:r>
      <w:r w:rsidR="00653913" w:rsidRPr="007B4F0E">
        <w:rPr>
          <w:rFonts w:ascii="Verdana" w:hAnsi="Verdana"/>
          <w:bCs/>
        </w:rPr>
        <w:t xml:space="preserve">igh </w:t>
      </w:r>
      <w:r w:rsidRPr="007B4F0E">
        <w:rPr>
          <w:rFonts w:ascii="Verdana" w:hAnsi="Verdana"/>
          <w:bCs/>
        </w:rPr>
        <w:t>C</w:t>
      </w:r>
      <w:r w:rsidR="00653913" w:rsidRPr="007B4F0E">
        <w:rPr>
          <w:rFonts w:ascii="Verdana" w:hAnsi="Verdana"/>
          <w:bCs/>
        </w:rPr>
        <w:t xml:space="preserve">ommissioner for </w:t>
      </w:r>
      <w:r w:rsidRPr="007B4F0E">
        <w:rPr>
          <w:rFonts w:ascii="Verdana" w:hAnsi="Verdana"/>
          <w:bCs/>
        </w:rPr>
        <w:t>H</w:t>
      </w:r>
      <w:r w:rsidR="00653913" w:rsidRPr="007B4F0E">
        <w:rPr>
          <w:rFonts w:ascii="Verdana" w:hAnsi="Verdana"/>
          <w:bCs/>
        </w:rPr>
        <w:t xml:space="preserve">uman </w:t>
      </w:r>
      <w:r w:rsidRPr="007B4F0E">
        <w:rPr>
          <w:rFonts w:ascii="Verdana" w:hAnsi="Verdana"/>
          <w:bCs/>
        </w:rPr>
        <w:t>R</w:t>
      </w:r>
      <w:r w:rsidR="00653913" w:rsidRPr="007B4F0E">
        <w:rPr>
          <w:rFonts w:ascii="Verdana" w:hAnsi="Verdana"/>
          <w:bCs/>
        </w:rPr>
        <w:t>ights</w:t>
      </w:r>
      <w:r w:rsidRPr="007B4F0E">
        <w:rPr>
          <w:rFonts w:ascii="Verdana" w:hAnsi="Verdana"/>
          <w:bCs/>
        </w:rPr>
        <w:t xml:space="preserve"> </w:t>
      </w:r>
      <w:r w:rsidR="001107FB" w:rsidRPr="007B4F0E">
        <w:rPr>
          <w:rFonts w:ascii="Verdana" w:hAnsi="Verdana"/>
          <w:bCs/>
        </w:rPr>
        <w:t>guidance and</w:t>
      </w:r>
      <w:r w:rsidRPr="007B4F0E">
        <w:rPr>
          <w:rFonts w:ascii="Verdana" w:hAnsi="Verdana"/>
          <w:bCs/>
        </w:rPr>
        <w:t xml:space="preserve"> establish robust accountability mechanisms to ensure that the institutions responsible for implementation are held accountable.</w:t>
      </w:r>
    </w:p>
    <w:p w14:paraId="7B6D9342" w14:textId="77777777" w:rsidR="001C6288" w:rsidRDefault="001C6288" w:rsidP="001C6288">
      <w:pPr>
        <w:pStyle w:val="BasicParagraph"/>
        <w:suppressAutoHyphens/>
        <w:rPr>
          <w:rFonts w:ascii="Verdana" w:hAnsi="Verdana"/>
        </w:rPr>
      </w:pPr>
    </w:p>
    <w:p w14:paraId="0D9908A0" w14:textId="77777777" w:rsidR="001C6288" w:rsidRPr="00370D1A" w:rsidRDefault="001C6288" w:rsidP="004B07E3">
      <w:pPr>
        <w:pStyle w:val="Heading2"/>
      </w:pPr>
      <w:bookmarkStart w:id="31" w:name="_Toc230705759"/>
      <w:r w:rsidRPr="008448A2">
        <w:t>Key Governance Mechanisms</w:t>
      </w:r>
      <w:bookmarkEnd w:id="31"/>
    </w:p>
    <w:p w14:paraId="53CED541" w14:textId="77777777" w:rsidR="001C6288" w:rsidRDefault="001C6288" w:rsidP="001C6288">
      <w:pPr>
        <w:pStyle w:val="BasicParagraph"/>
        <w:suppressAutoHyphens/>
        <w:ind w:left="-11"/>
        <w:rPr>
          <w:rFonts w:ascii="Verdana" w:hAnsi="Verdana"/>
        </w:rPr>
      </w:pPr>
    </w:p>
    <w:p w14:paraId="49EACABA" w14:textId="2F6F5CA5" w:rsidR="003D6AB5" w:rsidRDefault="00471343" w:rsidP="00F247B7">
      <w:pPr>
        <w:pStyle w:val="BasicParagraph"/>
        <w:numPr>
          <w:ilvl w:val="1"/>
          <w:numId w:val="22"/>
        </w:numPr>
        <w:suppressAutoHyphens/>
        <w:ind w:left="709"/>
        <w:rPr>
          <w:rFonts w:ascii="Verdana" w:hAnsi="Verdana"/>
        </w:rPr>
      </w:pPr>
      <w:r w:rsidRPr="008448A2">
        <w:rPr>
          <w:rFonts w:ascii="Verdana" w:hAnsi="Verdana"/>
        </w:rPr>
        <w:t>In terms of the key governance mechanisms</w:t>
      </w:r>
      <w:r w:rsidR="008448A2">
        <w:rPr>
          <w:rFonts w:ascii="Verdana" w:hAnsi="Verdana"/>
        </w:rPr>
        <w:t xml:space="preserve">, the </w:t>
      </w:r>
      <w:r w:rsidR="00344D03">
        <w:rPr>
          <w:rFonts w:ascii="Verdana" w:hAnsi="Verdana"/>
        </w:rPr>
        <w:t>D</w:t>
      </w:r>
      <w:r w:rsidR="008448A2">
        <w:rPr>
          <w:rFonts w:ascii="Verdana" w:hAnsi="Verdana"/>
        </w:rPr>
        <w:t xml:space="preserve">raft Framework </w:t>
      </w:r>
      <w:r w:rsidR="007969B8">
        <w:rPr>
          <w:rFonts w:ascii="Verdana" w:hAnsi="Verdana"/>
        </w:rPr>
        <w:t xml:space="preserve">refers to the </w:t>
      </w:r>
      <w:r w:rsidR="007969B8" w:rsidRPr="007969B8">
        <w:rPr>
          <w:rFonts w:ascii="Verdana" w:hAnsi="Verdana"/>
        </w:rPr>
        <w:t>Strategic Planning Group</w:t>
      </w:r>
      <w:r w:rsidR="00C55AFF">
        <w:rPr>
          <w:rFonts w:ascii="Verdana" w:hAnsi="Verdana"/>
        </w:rPr>
        <w:t xml:space="preserve"> </w:t>
      </w:r>
      <w:r w:rsidR="007969B8" w:rsidRPr="007969B8">
        <w:rPr>
          <w:rFonts w:ascii="Verdana" w:hAnsi="Verdana"/>
        </w:rPr>
        <w:t>(SPG)</w:t>
      </w:r>
      <w:r w:rsidR="007969B8">
        <w:rPr>
          <w:rFonts w:ascii="Verdana" w:hAnsi="Verdana"/>
        </w:rPr>
        <w:t xml:space="preserve"> which will hold “r</w:t>
      </w:r>
      <w:r w:rsidR="007969B8" w:rsidRPr="007969B8">
        <w:rPr>
          <w:rFonts w:ascii="Verdana" w:hAnsi="Verdana"/>
        </w:rPr>
        <w:t>egular meetings to review progress, align departmental strategies, and support shared learning</w:t>
      </w:r>
      <w:r w:rsidR="007969B8">
        <w:rPr>
          <w:rFonts w:ascii="Verdana" w:hAnsi="Verdana"/>
        </w:rPr>
        <w:t>.”</w:t>
      </w:r>
      <w:r w:rsidR="001C6288">
        <w:rPr>
          <w:rFonts w:ascii="Verdana" w:hAnsi="Verdana"/>
        </w:rPr>
        <w:t xml:space="preserve"> </w:t>
      </w:r>
      <w:r w:rsidR="00874CCA">
        <w:rPr>
          <w:rFonts w:ascii="Verdana" w:hAnsi="Verdana"/>
        </w:rPr>
        <w:t>Howeve</w:t>
      </w:r>
      <w:r w:rsidR="00D32BF9">
        <w:rPr>
          <w:rFonts w:ascii="Verdana" w:hAnsi="Verdana"/>
        </w:rPr>
        <w:t>r</w:t>
      </w:r>
      <w:r w:rsidR="00D32BF9" w:rsidRPr="00D32BF9">
        <w:rPr>
          <w:rFonts w:ascii="Verdana" w:hAnsi="Verdana"/>
        </w:rPr>
        <w:t>, the Framework does not specify the frequency of these meetings or set out clear</w:t>
      </w:r>
      <w:r w:rsidR="00833257">
        <w:rPr>
          <w:rFonts w:ascii="Verdana" w:hAnsi="Verdana"/>
        </w:rPr>
        <w:t xml:space="preserve"> time frame</w:t>
      </w:r>
      <w:r w:rsidR="00FF436F">
        <w:rPr>
          <w:rFonts w:ascii="Verdana" w:hAnsi="Verdana"/>
        </w:rPr>
        <w:t>s</w:t>
      </w:r>
      <w:r w:rsidR="00D32BF9" w:rsidRPr="00D32BF9">
        <w:rPr>
          <w:rFonts w:ascii="Verdana" w:hAnsi="Verdana"/>
        </w:rPr>
        <w:t>, which limits transparency and effective oversight of implementation</w:t>
      </w:r>
      <w:r w:rsidR="005C57E7" w:rsidRPr="008448A2">
        <w:rPr>
          <w:rFonts w:ascii="Verdana" w:hAnsi="Verdana"/>
        </w:rPr>
        <w:t>.</w:t>
      </w:r>
    </w:p>
    <w:p w14:paraId="70DDB1FF" w14:textId="77777777" w:rsidR="00F47DD0" w:rsidRDefault="00F47DD0" w:rsidP="00F47DD0">
      <w:pPr>
        <w:pStyle w:val="BasicParagraph"/>
        <w:suppressAutoHyphens/>
        <w:ind w:left="709"/>
        <w:rPr>
          <w:rFonts w:ascii="Verdana" w:hAnsi="Verdana"/>
        </w:rPr>
      </w:pPr>
    </w:p>
    <w:p w14:paraId="2B2AEF13" w14:textId="37034342" w:rsidR="00F47DD0" w:rsidRDefault="00F47DD0" w:rsidP="00F247B7">
      <w:pPr>
        <w:pStyle w:val="BasicParagraph"/>
        <w:numPr>
          <w:ilvl w:val="1"/>
          <w:numId w:val="22"/>
        </w:numPr>
        <w:suppressAutoHyphens/>
        <w:ind w:left="709"/>
        <w:rPr>
          <w:rFonts w:ascii="Verdana" w:hAnsi="Verdana"/>
        </w:rPr>
      </w:pPr>
      <w:r w:rsidRPr="000128FC">
        <w:rPr>
          <w:rFonts w:ascii="Verdana" w:hAnsi="Verdana"/>
          <w:b/>
          <w:bCs/>
        </w:rPr>
        <w:t xml:space="preserve">The NIHRC recommends that the Executive Office strengthens the governance arrangements by </w:t>
      </w:r>
      <w:r w:rsidR="00B168E3">
        <w:rPr>
          <w:rFonts w:ascii="Verdana" w:hAnsi="Verdana"/>
          <w:b/>
          <w:bCs/>
        </w:rPr>
        <w:t xml:space="preserve">explicitly stating </w:t>
      </w:r>
      <w:r w:rsidRPr="000128FC">
        <w:rPr>
          <w:rFonts w:ascii="Verdana" w:hAnsi="Verdana"/>
          <w:b/>
          <w:bCs/>
        </w:rPr>
        <w:t>the</w:t>
      </w:r>
      <w:r w:rsidR="0019330A">
        <w:rPr>
          <w:rFonts w:ascii="Verdana" w:hAnsi="Verdana"/>
          <w:b/>
          <w:bCs/>
        </w:rPr>
        <w:t>ir</w:t>
      </w:r>
      <w:r w:rsidRPr="000128FC">
        <w:rPr>
          <w:rFonts w:ascii="Verdana" w:hAnsi="Verdana"/>
          <w:b/>
          <w:bCs/>
        </w:rPr>
        <w:t xml:space="preserve"> frequency and </w:t>
      </w:r>
      <w:r w:rsidR="0019330A">
        <w:rPr>
          <w:rFonts w:ascii="Verdana" w:hAnsi="Verdana"/>
          <w:b/>
          <w:bCs/>
        </w:rPr>
        <w:t xml:space="preserve">providing for </w:t>
      </w:r>
      <w:r w:rsidRPr="000128FC">
        <w:rPr>
          <w:rFonts w:ascii="Verdana" w:hAnsi="Verdana"/>
          <w:b/>
          <w:bCs/>
        </w:rPr>
        <w:t xml:space="preserve">scheduling of Strategic Planning Group (SPG) meetings, including </w:t>
      </w:r>
      <w:r w:rsidR="00FB4EC4">
        <w:rPr>
          <w:rFonts w:ascii="Verdana" w:hAnsi="Verdana"/>
          <w:b/>
          <w:bCs/>
        </w:rPr>
        <w:t xml:space="preserve">setting </w:t>
      </w:r>
      <w:r w:rsidRPr="000128FC">
        <w:rPr>
          <w:rFonts w:ascii="Verdana" w:hAnsi="Verdana"/>
          <w:b/>
          <w:bCs/>
        </w:rPr>
        <w:t>fixed t</w:t>
      </w:r>
      <w:r w:rsidR="00EB3A9F" w:rsidRPr="000128FC">
        <w:rPr>
          <w:rFonts w:ascii="Verdana" w:hAnsi="Verdana"/>
          <w:b/>
          <w:bCs/>
        </w:rPr>
        <w:t>ime frames</w:t>
      </w:r>
      <w:r w:rsidR="00EB3A9F">
        <w:rPr>
          <w:rFonts w:ascii="Verdana" w:hAnsi="Verdana"/>
        </w:rPr>
        <w:t>.</w:t>
      </w:r>
    </w:p>
    <w:p w14:paraId="49B746F7" w14:textId="77777777" w:rsidR="003D6AB5" w:rsidRDefault="003D6AB5" w:rsidP="003D6AB5">
      <w:pPr>
        <w:pStyle w:val="BasicParagraph"/>
        <w:suppressAutoHyphens/>
        <w:ind w:left="709"/>
        <w:rPr>
          <w:rFonts w:ascii="Verdana" w:hAnsi="Verdana"/>
        </w:rPr>
      </w:pPr>
    </w:p>
    <w:p w14:paraId="708ACA05" w14:textId="0D65A218" w:rsidR="00474114" w:rsidRDefault="009013C2" w:rsidP="00F247B7">
      <w:pPr>
        <w:pStyle w:val="BasicParagraph"/>
        <w:numPr>
          <w:ilvl w:val="1"/>
          <w:numId w:val="22"/>
        </w:numPr>
        <w:suppressAutoHyphens/>
        <w:ind w:left="709"/>
        <w:rPr>
          <w:rFonts w:ascii="Verdana" w:hAnsi="Verdana"/>
        </w:rPr>
      </w:pPr>
      <w:r>
        <w:rPr>
          <w:rFonts w:ascii="Verdana" w:hAnsi="Verdana"/>
        </w:rPr>
        <w:t>The</w:t>
      </w:r>
      <w:r w:rsidR="002D2E92" w:rsidRPr="003D6AB5">
        <w:rPr>
          <w:rFonts w:ascii="Verdana" w:hAnsi="Verdana"/>
        </w:rPr>
        <w:t xml:space="preserve"> SPG Performance Report</w:t>
      </w:r>
      <w:r>
        <w:rPr>
          <w:rFonts w:ascii="Verdana" w:hAnsi="Verdana"/>
        </w:rPr>
        <w:t>s are to be</w:t>
      </w:r>
      <w:r w:rsidR="00002D24" w:rsidRPr="003D6AB5">
        <w:rPr>
          <w:rFonts w:ascii="Verdana" w:hAnsi="Verdana"/>
        </w:rPr>
        <w:t>, “</w:t>
      </w:r>
      <w:r w:rsidR="003D6AB5" w:rsidRPr="003D6AB5">
        <w:rPr>
          <w:rFonts w:ascii="Verdana" w:hAnsi="Verdana"/>
        </w:rPr>
        <w:t>u</w:t>
      </w:r>
      <w:r w:rsidR="002D2E92" w:rsidRPr="003D6AB5">
        <w:rPr>
          <w:rFonts w:ascii="Verdana" w:hAnsi="Verdana"/>
        </w:rPr>
        <w:t>pdated regularly to reflect progress and challenges, informing planning and thematic discussions</w:t>
      </w:r>
      <w:r w:rsidR="003D6AB5" w:rsidRPr="003D6AB5">
        <w:rPr>
          <w:rFonts w:ascii="Verdana" w:hAnsi="Verdana"/>
        </w:rPr>
        <w:t>”</w:t>
      </w:r>
      <w:r w:rsidR="00631EBD">
        <w:rPr>
          <w:rFonts w:ascii="Verdana" w:hAnsi="Verdana"/>
        </w:rPr>
        <w:t>.</w:t>
      </w:r>
      <w:r w:rsidR="00631EBD" w:rsidRPr="00631EBD">
        <w:t xml:space="preserve"> </w:t>
      </w:r>
      <w:r w:rsidR="00631EBD" w:rsidRPr="00631EBD">
        <w:rPr>
          <w:rFonts w:ascii="Verdana" w:hAnsi="Verdana"/>
        </w:rPr>
        <w:t xml:space="preserve">However, it does not specify the frequency </w:t>
      </w:r>
      <w:r w:rsidR="008F0044">
        <w:rPr>
          <w:rFonts w:ascii="Verdana" w:hAnsi="Verdana"/>
        </w:rPr>
        <w:t xml:space="preserve">or timeframe </w:t>
      </w:r>
      <w:r w:rsidR="00631EBD" w:rsidRPr="00631EBD">
        <w:rPr>
          <w:rFonts w:ascii="Verdana" w:hAnsi="Verdana"/>
        </w:rPr>
        <w:t>of these updates</w:t>
      </w:r>
      <w:r w:rsidR="008F0044">
        <w:rPr>
          <w:rFonts w:ascii="Verdana" w:hAnsi="Verdana"/>
        </w:rPr>
        <w:t>.</w:t>
      </w:r>
    </w:p>
    <w:p w14:paraId="177518F5" w14:textId="77777777" w:rsidR="00474114" w:rsidRDefault="00474114" w:rsidP="00474114">
      <w:pPr>
        <w:pStyle w:val="ListParagraph"/>
      </w:pPr>
    </w:p>
    <w:p w14:paraId="4A13D159" w14:textId="1C521A79" w:rsidR="00F47DD0" w:rsidRDefault="00364059" w:rsidP="00F247B7">
      <w:pPr>
        <w:pStyle w:val="BasicParagraph"/>
        <w:numPr>
          <w:ilvl w:val="1"/>
          <w:numId w:val="22"/>
        </w:numPr>
        <w:suppressAutoHyphens/>
        <w:ind w:left="709"/>
        <w:rPr>
          <w:rFonts w:ascii="Verdana" w:hAnsi="Verdana"/>
        </w:rPr>
      </w:pPr>
      <w:r>
        <w:rPr>
          <w:rFonts w:ascii="Verdana" w:hAnsi="Verdana"/>
        </w:rPr>
        <w:t>T</w:t>
      </w:r>
      <w:r w:rsidR="008F0044">
        <w:rPr>
          <w:rFonts w:ascii="Verdana" w:hAnsi="Verdana"/>
        </w:rPr>
        <w:t>he</w:t>
      </w:r>
      <w:r w:rsidR="008F0044" w:rsidRPr="00474114">
        <w:rPr>
          <w:rFonts w:ascii="Verdana" w:hAnsi="Verdana"/>
        </w:rPr>
        <w:t xml:space="preserve"> </w:t>
      </w:r>
      <w:r w:rsidR="00C14105">
        <w:rPr>
          <w:rFonts w:ascii="Verdana" w:hAnsi="Verdana"/>
        </w:rPr>
        <w:t>N</w:t>
      </w:r>
      <w:r w:rsidR="00841D57" w:rsidRPr="00474114">
        <w:rPr>
          <w:rFonts w:ascii="Verdana" w:hAnsi="Verdana"/>
        </w:rPr>
        <w:t xml:space="preserve">ational </w:t>
      </w:r>
      <w:r w:rsidR="00C14105">
        <w:rPr>
          <w:rFonts w:ascii="Verdana" w:hAnsi="Verdana"/>
        </w:rPr>
        <w:t>A</w:t>
      </w:r>
      <w:r w:rsidR="00841D57" w:rsidRPr="00474114">
        <w:rPr>
          <w:rFonts w:ascii="Verdana" w:hAnsi="Verdana"/>
        </w:rPr>
        <w:t xml:space="preserve">ction </w:t>
      </w:r>
      <w:r w:rsidR="00C14105">
        <w:rPr>
          <w:rFonts w:ascii="Verdana" w:hAnsi="Verdana"/>
        </w:rPr>
        <w:t>P</w:t>
      </w:r>
      <w:r w:rsidR="00841D57" w:rsidRPr="00474114">
        <w:rPr>
          <w:rFonts w:ascii="Verdana" w:hAnsi="Verdana"/>
        </w:rPr>
        <w:t xml:space="preserve">lan against </w:t>
      </w:r>
      <w:r w:rsidR="00C14105">
        <w:rPr>
          <w:rFonts w:ascii="Verdana" w:hAnsi="Verdana"/>
        </w:rPr>
        <w:t>R</w:t>
      </w:r>
      <w:r w:rsidR="00841D57" w:rsidRPr="00474114">
        <w:rPr>
          <w:rFonts w:ascii="Verdana" w:hAnsi="Verdana"/>
        </w:rPr>
        <w:t xml:space="preserve">acial </w:t>
      </w:r>
      <w:r w:rsidR="00C14105">
        <w:rPr>
          <w:rFonts w:ascii="Verdana" w:hAnsi="Verdana"/>
        </w:rPr>
        <w:t>D</w:t>
      </w:r>
      <w:r w:rsidR="00841D57" w:rsidRPr="00474114">
        <w:rPr>
          <w:rFonts w:ascii="Verdana" w:hAnsi="Verdana"/>
        </w:rPr>
        <w:t>iscrimination should incorporate mechanisms for the periodic monitoring of its progress.</w:t>
      </w:r>
      <w:r w:rsidR="00841D57">
        <w:rPr>
          <w:rStyle w:val="FootnoteReference"/>
          <w:rFonts w:ascii="Verdana" w:hAnsi="Verdana"/>
        </w:rPr>
        <w:footnoteReference w:id="149"/>
      </w:r>
      <w:r w:rsidR="00841D57" w:rsidRPr="00474114">
        <w:rPr>
          <w:rFonts w:ascii="Verdana" w:hAnsi="Verdana"/>
        </w:rPr>
        <w:t xml:space="preserve"> </w:t>
      </w:r>
      <w:r w:rsidR="00FE4F65" w:rsidRPr="00474114">
        <w:rPr>
          <w:rFonts w:ascii="Verdana" w:hAnsi="Verdana"/>
        </w:rPr>
        <w:t>The monitoring mechanism should meet at reasonable intervals during the life of the national action plan</w:t>
      </w:r>
      <w:r w:rsidR="00B91979" w:rsidRPr="00474114">
        <w:rPr>
          <w:rFonts w:ascii="Verdana" w:hAnsi="Verdana"/>
        </w:rPr>
        <w:t>.</w:t>
      </w:r>
      <w:r w:rsidR="00B91979">
        <w:rPr>
          <w:rStyle w:val="FootnoteReference"/>
          <w:rFonts w:ascii="Verdana" w:hAnsi="Verdana"/>
        </w:rPr>
        <w:footnoteReference w:id="150"/>
      </w:r>
    </w:p>
    <w:p w14:paraId="755332D3" w14:textId="77777777" w:rsidR="00F47DD0" w:rsidRDefault="00F47DD0" w:rsidP="00F47DD0">
      <w:pPr>
        <w:pStyle w:val="ListParagraph"/>
        <w:rPr>
          <w:rFonts w:ascii="Segoe UI" w:eastAsia="Times New Roman" w:hAnsi="Segoe UI" w:cs="Segoe UI"/>
          <w:sz w:val="21"/>
          <w:szCs w:val="21"/>
          <w:lang w:eastAsia="en-GB"/>
        </w:rPr>
      </w:pPr>
    </w:p>
    <w:p w14:paraId="39608DA6" w14:textId="2EC8415A" w:rsidR="00954D1A" w:rsidRPr="004B07E3" w:rsidRDefault="00F47DD0" w:rsidP="004B07E3">
      <w:pPr>
        <w:pStyle w:val="BasicParagraph"/>
        <w:widowControl/>
        <w:numPr>
          <w:ilvl w:val="1"/>
          <w:numId w:val="22"/>
        </w:numPr>
        <w:suppressAutoHyphens/>
        <w:ind w:left="709"/>
        <w:rPr>
          <w:rFonts w:ascii="Verdana" w:hAnsi="Verdana"/>
        </w:rPr>
      </w:pPr>
      <w:r w:rsidRPr="00352402">
        <w:rPr>
          <w:rFonts w:ascii="Verdana" w:eastAsia="Times New Roman" w:hAnsi="Verdana" w:cs="Segoe UI"/>
          <w:b/>
          <w:bCs/>
          <w:lang w:eastAsia="en-GB"/>
        </w:rPr>
        <w:t xml:space="preserve">The NIHRC recommends that the Executive Office clarifies the frequency and timing of updates to the SPG Performance Report, </w:t>
      </w:r>
      <w:r w:rsidRPr="00352402">
        <w:rPr>
          <w:rFonts w:ascii="Verdana" w:eastAsia="Times New Roman" w:hAnsi="Verdana" w:cs="Segoe UI"/>
          <w:b/>
          <w:bCs/>
          <w:lang w:eastAsia="en-GB"/>
        </w:rPr>
        <w:lastRenderedPageBreak/>
        <w:t>including the introduction of regular reporting cycles. These reports should set out progress against agreed outcomes and performance indicators, identify challenges and underperformance, and inform corrective action</w:t>
      </w:r>
      <w:r>
        <w:rPr>
          <w:rFonts w:ascii="Segoe UI" w:eastAsia="Times New Roman" w:hAnsi="Segoe UI" w:cs="Segoe UI"/>
          <w:sz w:val="21"/>
          <w:szCs w:val="21"/>
          <w:lang w:eastAsia="en-GB"/>
        </w:rPr>
        <w:t>.</w:t>
      </w:r>
    </w:p>
    <w:p w14:paraId="35926185" w14:textId="77777777" w:rsidR="00954D1A" w:rsidRDefault="00954D1A" w:rsidP="003B7D0E">
      <w:pPr>
        <w:pStyle w:val="BasicParagraph"/>
        <w:suppressAutoHyphens/>
        <w:jc w:val="center"/>
        <w:rPr>
          <w:rFonts w:ascii="Verdana" w:hAnsi="Verdana" w:cs="Arial"/>
          <w:color w:val="3C3C3B"/>
          <w:sz w:val="20"/>
          <w:szCs w:val="20"/>
        </w:rPr>
      </w:pPr>
    </w:p>
    <w:p w14:paraId="1E511DC0" w14:textId="77777777" w:rsidR="0081242A" w:rsidRDefault="0081242A" w:rsidP="003B7D0E">
      <w:pPr>
        <w:pStyle w:val="BasicParagraph"/>
        <w:suppressAutoHyphens/>
        <w:jc w:val="center"/>
        <w:rPr>
          <w:rFonts w:ascii="Verdana" w:hAnsi="Verdana" w:cs="Arial"/>
          <w:color w:val="3C3C3B"/>
          <w:sz w:val="20"/>
          <w:szCs w:val="20"/>
        </w:rPr>
      </w:pPr>
    </w:p>
    <w:p w14:paraId="31741FBE" w14:textId="77777777" w:rsidR="0081242A" w:rsidRDefault="0081242A" w:rsidP="003B7D0E">
      <w:pPr>
        <w:pStyle w:val="BasicParagraph"/>
        <w:suppressAutoHyphens/>
        <w:jc w:val="center"/>
        <w:rPr>
          <w:rFonts w:ascii="Verdana" w:hAnsi="Verdana" w:cs="Arial"/>
          <w:color w:val="3C3C3B"/>
          <w:sz w:val="20"/>
          <w:szCs w:val="20"/>
        </w:rPr>
      </w:pPr>
    </w:p>
    <w:p w14:paraId="64ED2369" w14:textId="77777777" w:rsidR="0081242A" w:rsidRDefault="0081242A" w:rsidP="003B7D0E">
      <w:pPr>
        <w:pStyle w:val="BasicParagraph"/>
        <w:suppressAutoHyphens/>
        <w:jc w:val="center"/>
        <w:rPr>
          <w:rFonts w:ascii="Verdana" w:hAnsi="Verdana" w:cs="Arial"/>
          <w:color w:val="3C3C3B"/>
          <w:sz w:val="20"/>
          <w:szCs w:val="20"/>
        </w:rPr>
      </w:pPr>
    </w:p>
    <w:p w14:paraId="4833142D" w14:textId="77777777" w:rsidR="0081242A" w:rsidRDefault="0081242A" w:rsidP="003B7D0E">
      <w:pPr>
        <w:pStyle w:val="BasicParagraph"/>
        <w:suppressAutoHyphens/>
        <w:jc w:val="center"/>
        <w:rPr>
          <w:rFonts w:ascii="Verdana" w:hAnsi="Verdana" w:cs="Arial"/>
          <w:color w:val="3C3C3B"/>
          <w:sz w:val="20"/>
          <w:szCs w:val="20"/>
        </w:rPr>
      </w:pPr>
    </w:p>
    <w:p w14:paraId="2446E350" w14:textId="77777777" w:rsidR="0081242A" w:rsidRDefault="0081242A" w:rsidP="003B7D0E">
      <w:pPr>
        <w:pStyle w:val="BasicParagraph"/>
        <w:suppressAutoHyphens/>
        <w:jc w:val="center"/>
        <w:rPr>
          <w:rFonts w:ascii="Verdana" w:hAnsi="Verdana" w:cs="Arial"/>
          <w:color w:val="3C3C3B"/>
          <w:sz w:val="20"/>
          <w:szCs w:val="20"/>
        </w:rPr>
      </w:pPr>
    </w:p>
    <w:p w14:paraId="5B58E91B" w14:textId="7A5B6653" w:rsidR="00274FC0" w:rsidRDefault="00274FC0" w:rsidP="00C55AFF">
      <w:pPr>
        <w:spacing w:line="240" w:lineRule="auto"/>
        <w:rPr>
          <w:rFonts w:cs="Arial"/>
          <w:color w:val="3C3C3B"/>
          <w:sz w:val="20"/>
          <w:szCs w:val="20"/>
        </w:rPr>
      </w:pPr>
      <w:r>
        <w:rPr>
          <w:rFonts w:cs="Arial"/>
          <w:color w:val="3C3C3B"/>
          <w:sz w:val="20"/>
          <w:szCs w:val="20"/>
        </w:rPr>
        <w:br w:type="page"/>
      </w:r>
    </w:p>
    <w:p w14:paraId="43B6CF77" w14:textId="77777777" w:rsidR="0081242A" w:rsidRDefault="0081242A" w:rsidP="00C55AFF">
      <w:pPr>
        <w:pStyle w:val="BasicParagraph"/>
        <w:suppressAutoHyphens/>
        <w:rPr>
          <w:rFonts w:ascii="Verdana" w:hAnsi="Verdana" w:cs="Arial"/>
          <w:color w:val="3C3C3B"/>
          <w:sz w:val="20"/>
          <w:szCs w:val="20"/>
        </w:rPr>
      </w:pPr>
    </w:p>
    <w:p w14:paraId="144869EE" w14:textId="77777777" w:rsidR="0081242A" w:rsidRDefault="0081242A" w:rsidP="003B7D0E">
      <w:pPr>
        <w:pStyle w:val="BasicParagraph"/>
        <w:suppressAutoHyphens/>
        <w:jc w:val="center"/>
        <w:rPr>
          <w:rFonts w:ascii="Verdana" w:hAnsi="Verdana" w:cs="Arial"/>
          <w:color w:val="3C3C3B"/>
          <w:sz w:val="20"/>
          <w:szCs w:val="20"/>
        </w:rPr>
      </w:pPr>
    </w:p>
    <w:p w14:paraId="15E737D6" w14:textId="77777777" w:rsidR="0081242A" w:rsidRDefault="0081242A" w:rsidP="003B7D0E">
      <w:pPr>
        <w:pStyle w:val="BasicParagraph"/>
        <w:suppressAutoHyphens/>
        <w:jc w:val="center"/>
        <w:rPr>
          <w:rFonts w:ascii="Verdana" w:hAnsi="Verdana" w:cs="Arial"/>
          <w:color w:val="3C3C3B"/>
          <w:sz w:val="20"/>
          <w:szCs w:val="20"/>
        </w:rPr>
      </w:pPr>
    </w:p>
    <w:p w14:paraId="10BE7EDF" w14:textId="77777777" w:rsidR="0081242A" w:rsidRDefault="0081242A" w:rsidP="003B7D0E">
      <w:pPr>
        <w:pStyle w:val="BasicParagraph"/>
        <w:suppressAutoHyphens/>
        <w:jc w:val="center"/>
        <w:rPr>
          <w:rFonts w:ascii="Verdana" w:hAnsi="Verdana" w:cs="Arial"/>
          <w:color w:val="3C3C3B"/>
          <w:sz w:val="20"/>
          <w:szCs w:val="20"/>
        </w:rPr>
      </w:pPr>
    </w:p>
    <w:p w14:paraId="180B9279" w14:textId="77777777" w:rsidR="00954D1A" w:rsidRDefault="00954D1A" w:rsidP="003B7D0E">
      <w:pPr>
        <w:pStyle w:val="BasicParagraph"/>
        <w:suppressAutoHyphens/>
        <w:jc w:val="center"/>
        <w:rPr>
          <w:rFonts w:ascii="Verdana" w:hAnsi="Verdana" w:cs="Arial"/>
          <w:color w:val="3C3C3B"/>
          <w:sz w:val="20"/>
          <w:szCs w:val="20"/>
        </w:rPr>
      </w:pPr>
    </w:p>
    <w:p w14:paraId="45B6149A" w14:textId="6F1A2A6B" w:rsidR="00705833" w:rsidRPr="00331C61" w:rsidRDefault="00705833" w:rsidP="00331C61">
      <w:pPr>
        <w:pStyle w:val="BasicParagraph"/>
        <w:suppressAutoHyphens/>
        <w:jc w:val="center"/>
        <w:rPr>
          <w:rFonts w:ascii="Verdana" w:hAnsi="Verdana" w:cs="Arial"/>
          <w:b/>
          <w:bCs/>
          <w:color w:val="77328A"/>
          <w:sz w:val="36"/>
          <w:szCs w:val="36"/>
        </w:rPr>
      </w:pPr>
      <w:r w:rsidRPr="00331C61">
        <w:rPr>
          <w:rFonts w:ascii="Verdana" w:hAnsi="Verdana" w:cs="Arial"/>
          <w:b/>
          <w:bCs/>
          <w:color w:val="77328A"/>
          <w:sz w:val="36"/>
          <w:szCs w:val="36"/>
        </w:rPr>
        <w:t>Co</w:t>
      </w:r>
      <w:r w:rsidR="0096459E">
        <w:rPr>
          <w:rFonts w:ascii="Verdana" w:hAnsi="Verdana" w:cs="Arial"/>
          <w:b/>
          <w:bCs/>
          <w:color w:val="77328A"/>
          <w:sz w:val="36"/>
          <w:szCs w:val="36"/>
        </w:rPr>
        <w:t xml:space="preserve">ntact us </w:t>
      </w:r>
    </w:p>
    <w:p w14:paraId="75412E7C" w14:textId="77777777" w:rsidR="00331C61" w:rsidRPr="00331C61" w:rsidRDefault="00331C61" w:rsidP="00331C61">
      <w:pPr>
        <w:pStyle w:val="BasicParagraph"/>
        <w:suppressAutoHyphens/>
        <w:jc w:val="center"/>
        <w:rPr>
          <w:rFonts w:ascii="Verdana" w:hAnsi="Verdana" w:cs="Arial"/>
          <w:b/>
          <w:color w:val="77328A"/>
          <w:sz w:val="36"/>
          <w:szCs w:val="36"/>
        </w:rPr>
      </w:pPr>
    </w:p>
    <w:p w14:paraId="587A51CD" w14:textId="0FF72E2E" w:rsidR="0023004A" w:rsidRPr="0023004A" w:rsidRDefault="001D03E7" w:rsidP="0023004A">
      <w:pPr>
        <w:jc w:val="center"/>
        <w:rPr>
          <w:rFonts w:cs="Arial"/>
          <w:b/>
          <w:color w:val="0000FF" w:themeColor="hyperlink"/>
          <w:sz w:val="30"/>
          <w:szCs w:val="30"/>
          <w:u w:val="single"/>
        </w:rPr>
      </w:pPr>
      <w:r>
        <w:rPr>
          <w:rFonts w:cs="Arial"/>
          <w:b/>
          <w:color w:val="232120"/>
          <w:sz w:val="30"/>
          <w:szCs w:val="30"/>
        </w:rPr>
        <w:t xml:space="preserve">Queries to: </w:t>
      </w:r>
      <w:hyperlink r:id="rId12" w:history="1">
        <w:r w:rsidRPr="00F66AB0">
          <w:rPr>
            <w:rStyle w:val="Hyperlink"/>
            <w:rFonts w:cs="Arial"/>
            <w:b/>
            <w:sz w:val="30"/>
            <w:szCs w:val="30"/>
          </w:rPr>
          <w:t>Colin.Caughey@nihrc.org</w:t>
        </w:r>
      </w:hyperlink>
      <w:r w:rsidR="0023004A">
        <w:rPr>
          <w:rStyle w:val="Hyperlink"/>
          <w:rFonts w:cs="Arial"/>
          <w:b/>
          <w:sz w:val="30"/>
          <w:szCs w:val="30"/>
        </w:rPr>
        <w:t xml:space="preserve"> </w:t>
      </w:r>
      <w:r w:rsidR="00A11D78" w:rsidRPr="00B554ED">
        <w:rPr>
          <w:rStyle w:val="Hyperlink"/>
          <w:rFonts w:cs="Arial"/>
          <w:b/>
          <w:color w:val="auto"/>
          <w:sz w:val="30"/>
          <w:szCs w:val="30"/>
          <w:u w:val="none"/>
        </w:rPr>
        <w:t>and</w:t>
      </w:r>
      <w:r w:rsidR="00A11D78">
        <w:rPr>
          <w:rStyle w:val="Hyperlink"/>
          <w:rFonts w:cs="Arial"/>
          <w:b/>
          <w:sz w:val="30"/>
          <w:szCs w:val="30"/>
        </w:rPr>
        <w:t xml:space="preserve"> </w:t>
      </w:r>
      <w:hyperlink r:id="rId13" w:history="1">
        <w:r w:rsidR="007239F9" w:rsidRPr="007239F9">
          <w:rPr>
            <w:rStyle w:val="Hyperlink"/>
            <w:rFonts w:cs="Arial"/>
            <w:b/>
            <w:sz w:val="30"/>
            <w:szCs w:val="30"/>
          </w:rPr>
          <w:t>Eilis.Haughey</w:t>
        </w:r>
        <w:r w:rsidR="00B554ED" w:rsidRPr="00561284">
          <w:rPr>
            <w:rStyle w:val="Hyperlink"/>
            <w:rFonts w:cs="Arial"/>
            <w:b/>
            <w:sz w:val="30"/>
            <w:szCs w:val="30"/>
          </w:rPr>
          <w:t>@nihrc.org</w:t>
        </w:r>
      </w:hyperlink>
    </w:p>
    <w:p w14:paraId="52260765" w14:textId="77777777" w:rsidR="001D03E7" w:rsidRPr="00331C61" w:rsidRDefault="001D03E7" w:rsidP="003B7D0E">
      <w:pPr>
        <w:jc w:val="center"/>
        <w:rPr>
          <w:rFonts w:cs="Arial"/>
          <w:b/>
          <w:color w:val="232120"/>
          <w:sz w:val="30"/>
          <w:szCs w:val="30"/>
        </w:rPr>
      </w:pPr>
    </w:p>
    <w:p w14:paraId="25A2D5A7" w14:textId="77777777" w:rsidR="00331C61" w:rsidRPr="00331C61" w:rsidRDefault="00331C61" w:rsidP="003B7D0E">
      <w:pPr>
        <w:jc w:val="center"/>
        <w:rPr>
          <w:rFonts w:cs="Arial"/>
          <w:b/>
          <w:color w:val="232120"/>
          <w:sz w:val="30"/>
          <w:szCs w:val="30"/>
        </w:rPr>
      </w:pPr>
    </w:p>
    <w:p w14:paraId="72EB3358" w14:textId="77777777" w:rsidR="00331C61" w:rsidRPr="00331C61" w:rsidRDefault="00331C61" w:rsidP="003B7D0E">
      <w:pPr>
        <w:jc w:val="center"/>
        <w:rPr>
          <w:rFonts w:cs="Arial"/>
          <w:b/>
          <w:color w:val="232120"/>
          <w:sz w:val="30"/>
          <w:szCs w:val="30"/>
        </w:rPr>
      </w:pPr>
    </w:p>
    <w:p w14:paraId="441DA257" w14:textId="77777777" w:rsidR="00331C61" w:rsidRPr="00331C61" w:rsidRDefault="00331C61" w:rsidP="00331C61">
      <w:pPr>
        <w:jc w:val="center"/>
        <w:rPr>
          <w:rFonts w:cs="Arial"/>
          <w:color w:val="232120"/>
          <w:sz w:val="28"/>
          <w:szCs w:val="28"/>
        </w:rPr>
      </w:pPr>
      <w:hyperlink r:id="rId14" w:history="1">
        <w:r w:rsidRPr="00331C61">
          <w:rPr>
            <w:rStyle w:val="Hyperlink"/>
            <w:rFonts w:cs="Arial"/>
            <w:color w:val="232120"/>
            <w:sz w:val="28"/>
            <w:szCs w:val="28"/>
            <w:u w:val="none"/>
            <w:lang w:val="en-US"/>
          </w:rPr>
          <w:t>www.nihrc.org</w:t>
        </w:r>
      </w:hyperlink>
      <w:r w:rsidRPr="00331C61">
        <w:rPr>
          <w:rFonts w:cs="Arial"/>
          <w:color w:val="232120"/>
          <w:sz w:val="28"/>
          <w:szCs w:val="28"/>
          <w:lang w:val="en-US"/>
        </w:rPr>
        <w:t xml:space="preserve">  |  </w:t>
      </w:r>
      <w:hyperlink r:id="rId15" w:history="1">
        <w:r w:rsidRPr="00331C61">
          <w:rPr>
            <w:rStyle w:val="Hyperlink"/>
            <w:rFonts w:cs="Arial"/>
            <w:color w:val="232120"/>
            <w:sz w:val="28"/>
            <w:szCs w:val="28"/>
            <w:u w:val="none"/>
            <w:lang w:val="en-US"/>
          </w:rPr>
          <w:t>info@nihrc.org</w:t>
        </w:r>
      </w:hyperlink>
      <w:r w:rsidRPr="00331C61">
        <w:rPr>
          <w:rFonts w:cs="Arial"/>
          <w:color w:val="232120"/>
          <w:sz w:val="28"/>
          <w:szCs w:val="28"/>
          <w:lang w:val="en-US"/>
        </w:rPr>
        <w:t xml:space="preserve">  |  +44 (0)28 9024 3987</w:t>
      </w:r>
    </w:p>
    <w:p w14:paraId="3FE9C8AF" w14:textId="77777777" w:rsidR="00F56C78" w:rsidRPr="00331C61" w:rsidRDefault="00D16532" w:rsidP="00331C61">
      <w:pPr>
        <w:jc w:val="center"/>
        <w:rPr>
          <w:rFonts w:cs="Arial"/>
          <w:color w:val="232120"/>
          <w:sz w:val="28"/>
          <w:szCs w:val="28"/>
        </w:rPr>
      </w:pPr>
      <w:r>
        <w:rPr>
          <w:rFonts w:cs="Arial"/>
          <w:color w:val="232120"/>
          <w:sz w:val="28"/>
          <w:szCs w:val="28"/>
          <w:lang w:val="en-US"/>
        </w:rPr>
        <w:t>4</w:t>
      </w:r>
      <w:r w:rsidRPr="00D16532">
        <w:rPr>
          <w:rFonts w:cs="Arial"/>
          <w:color w:val="232120"/>
          <w:sz w:val="28"/>
          <w:szCs w:val="28"/>
          <w:vertAlign w:val="superscript"/>
          <w:lang w:val="en-US"/>
        </w:rPr>
        <w:t>th</w:t>
      </w:r>
      <w:r>
        <w:rPr>
          <w:rFonts w:cs="Arial"/>
          <w:color w:val="232120"/>
          <w:sz w:val="28"/>
          <w:szCs w:val="28"/>
          <w:lang w:val="en-US"/>
        </w:rPr>
        <w:t xml:space="preserve"> Floor, Alfred House, 19-21 Alfred Street, Belfast, BT2 8ED</w:t>
      </w:r>
    </w:p>
    <w:p w14:paraId="06C4BCB1" w14:textId="77777777" w:rsidR="00F56C78" w:rsidRPr="00331C61" w:rsidRDefault="00F56C78" w:rsidP="003B7D0E">
      <w:pPr>
        <w:jc w:val="center"/>
        <w:rPr>
          <w:rFonts w:cs="Arial"/>
          <w:b/>
          <w:color w:val="232120"/>
          <w:sz w:val="28"/>
          <w:szCs w:val="28"/>
        </w:rPr>
      </w:pPr>
    </w:p>
    <w:p w14:paraId="448780FB" w14:textId="77777777" w:rsidR="00F56C78" w:rsidRPr="00331C61" w:rsidRDefault="00F56C78" w:rsidP="003B7D0E">
      <w:pPr>
        <w:jc w:val="center"/>
        <w:rPr>
          <w:rFonts w:cs="Arial"/>
          <w:color w:val="232120"/>
          <w:sz w:val="20"/>
          <w:szCs w:val="20"/>
        </w:rPr>
      </w:pPr>
    </w:p>
    <w:p w14:paraId="1D6BFD3E" w14:textId="77777777" w:rsidR="00705833" w:rsidRPr="00331C61" w:rsidRDefault="00F56C78" w:rsidP="003B7D0E">
      <w:pPr>
        <w:pStyle w:val="BasicParagraph"/>
        <w:suppressAutoHyphens/>
        <w:spacing w:line="240" w:lineRule="auto"/>
        <w:jc w:val="center"/>
        <w:rPr>
          <w:rFonts w:ascii="Verdana" w:hAnsi="Verdana" w:cs="Arial"/>
          <w:color w:val="232120"/>
          <w:sz w:val="28"/>
          <w:szCs w:val="28"/>
        </w:rPr>
      </w:pPr>
      <w:r w:rsidRPr="00331C61">
        <w:rPr>
          <w:rFonts w:ascii="Verdana" w:hAnsi="Verdana" w:cs="Arial"/>
          <w:noProof/>
          <w:color w:val="232120"/>
          <w:sz w:val="28"/>
          <w:szCs w:val="28"/>
          <w:lang w:eastAsia="en-GB"/>
        </w:rPr>
        <w:drawing>
          <wp:inline distT="0" distB="0" distL="0" distR="0" wp14:anchorId="35F5BF8C" wp14:editId="2FC23839">
            <wp:extent cx="1515406" cy="274540"/>
            <wp:effectExtent l="0" t="0" r="889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1554" cy="275654"/>
                    </a:xfrm>
                    <a:prstGeom prst="rect">
                      <a:avLst/>
                    </a:prstGeom>
                    <a:noFill/>
                    <a:ln>
                      <a:noFill/>
                    </a:ln>
                  </pic:spPr>
                </pic:pic>
              </a:graphicData>
            </a:graphic>
          </wp:inline>
        </w:drawing>
      </w:r>
    </w:p>
    <w:sectPr w:rsidR="00705833" w:rsidRPr="00331C61" w:rsidSect="003B7D0E">
      <w:footerReference w:type="default" r:id="rId17"/>
      <w:footerReference w:type="first" r:id="rId18"/>
      <w:pgSz w:w="11900" w:h="16820"/>
      <w:pgMar w:top="1021" w:right="1021" w:bottom="1021" w:left="1021" w:header="1021"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C51B2" w14:textId="77777777" w:rsidR="00C13AAE" w:rsidRDefault="00C13AAE" w:rsidP="00962B2B">
      <w:r>
        <w:separator/>
      </w:r>
    </w:p>
  </w:endnote>
  <w:endnote w:type="continuationSeparator" w:id="0">
    <w:p w14:paraId="2CFFBF46" w14:textId="77777777" w:rsidR="00C13AAE" w:rsidRDefault="00C13AAE" w:rsidP="00962B2B">
      <w:r>
        <w:continuationSeparator/>
      </w:r>
    </w:p>
  </w:endnote>
  <w:endnote w:type="continuationNotice" w:id="1">
    <w:p w14:paraId="0C4C3D46" w14:textId="77777777" w:rsidR="00C13AAE" w:rsidRDefault="00C13AA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9BF1B" w14:textId="77777777" w:rsidR="00D2770F" w:rsidRDefault="00D2770F" w:rsidP="00656ECD">
    <w:pPr>
      <w:pStyle w:val="Footer"/>
      <w:jc w:val="right"/>
      <w:rPr>
        <w:rStyle w:val="PageNumber"/>
        <w:rFonts w:ascii="Arial" w:hAnsi="Arial" w:cs="Arial"/>
        <w:b/>
        <w:sz w:val="16"/>
        <w:szCs w:val="16"/>
      </w:rPr>
    </w:pPr>
  </w:p>
  <w:p w14:paraId="2765316C" w14:textId="77777777" w:rsidR="00D2770F" w:rsidRPr="00216572" w:rsidRDefault="00D2770F" w:rsidP="00656ECD">
    <w:pPr>
      <w:pStyle w:val="Footer"/>
      <w:jc w:val="right"/>
      <w:rPr>
        <w:rFonts w:cs="Arial"/>
        <w:bCs/>
        <w:color w:val="77328A"/>
      </w:rPr>
    </w:pPr>
    <w:r w:rsidRPr="00216572">
      <w:rPr>
        <w:rStyle w:val="PageNumber"/>
        <w:rFonts w:cs="Arial"/>
        <w:bCs/>
        <w:color w:val="77328A"/>
      </w:rPr>
      <w:fldChar w:fldCharType="begin"/>
    </w:r>
    <w:r w:rsidRPr="00216572">
      <w:rPr>
        <w:rStyle w:val="PageNumber"/>
        <w:rFonts w:cs="Arial"/>
        <w:bCs/>
        <w:color w:val="77328A"/>
      </w:rPr>
      <w:instrText xml:space="preserve"> PAGE </w:instrText>
    </w:r>
    <w:r w:rsidRPr="00216572">
      <w:rPr>
        <w:rStyle w:val="PageNumber"/>
        <w:rFonts w:cs="Arial"/>
        <w:bCs/>
        <w:color w:val="77328A"/>
      </w:rPr>
      <w:fldChar w:fldCharType="separate"/>
    </w:r>
    <w:r w:rsidR="00801600" w:rsidRPr="00216572">
      <w:rPr>
        <w:rStyle w:val="PageNumber"/>
        <w:rFonts w:cs="Arial"/>
        <w:bCs/>
        <w:noProof/>
        <w:color w:val="77328A"/>
      </w:rPr>
      <w:t>2</w:t>
    </w:r>
    <w:r w:rsidRPr="00216572">
      <w:rPr>
        <w:rStyle w:val="PageNumber"/>
        <w:rFonts w:cs="Arial"/>
        <w:bCs/>
        <w:color w:val="77328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2EB1A" w14:textId="77777777" w:rsidR="00D2770F" w:rsidRDefault="00D2770F" w:rsidP="00046705">
    <w:pPr>
      <w:pStyle w:val="Footer"/>
      <w:jc w:val="right"/>
      <w:rPr>
        <w:rStyle w:val="PageNumber"/>
        <w:rFonts w:ascii="Arial" w:hAnsi="Arial" w:cs="Arial"/>
        <w:b/>
        <w:sz w:val="16"/>
        <w:szCs w:val="16"/>
      </w:rPr>
    </w:pPr>
  </w:p>
  <w:p w14:paraId="6652380F" w14:textId="77777777" w:rsidR="00D2770F" w:rsidRPr="00D12EF8" w:rsidRDefault="00D2770F" w:rsidP="00046705">
    <w:pPr>
      <w:pStyle w:val="Footer"/>
      <w:jc w:val="right"/>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B7B19" w14:textId="77777777" w:rsidR="00C13AAE" w:rsidRDefault="00C13AAE" w:rsidP="00B96D34">
      <w:r>
        <w:continuationSeparator/>
      </w:r>
    </w:p>
    <w:p w14:paraId="544E4992" w14:textId="77777777" w:rsidR="00C13AAE" w:rsidRPr="00B96D34" w:rsidRDefault="00C13AAE" w:rsidP="00B96D34">
      <w:pPr>
        <w:pStyle w:val="Footer"/>
      </w:pPr>
    </w:p>
  </w:footnote>
  <w:footnote w:type="continuationSeparator" w:id="0">
    <w:p w14:paraId="11855AC5" w14:textId="77777777" w:rsidR="00C13AAE" w:rsidRDefault="00C13AAE" w:rsidP="00962B2B">
      <w:r>
        <w:continuationSeparator/>
      </w:r>
    </w:p>
  </w:footnote>
  <w:footnote w:type="continuationNotice" w:id="1">
    <w:p w14:paraId="187F7C7E" w14:textId="77777777" w:rsidR="00C13AAE" w:rsidRDefault="00C13AAE"/>
  </w:footnote>
  <w:footnote w:id="2">
    <w:p w14:paraId="54B70848" w14:textId="2D1F1FCE" w:rsidR="00B342C5" w:rsidRDefault="00B342C5" w:rsidP="00DF1041">
      <w:pPr>
        <w:pStyle w:val="NIHRCFootnotes"/>
      </w:pPr>
      <w:r>
        <w:rPr>
          <w:rStyle w:val="FootnoteReference"/>
        </w:rPr>
        <w:footnoteRef/>
      </w:r>
      <w:r>
        <w:t xml:space="preserve"> </w:t>
      </w:r>
      <w:bookmarkStart w:id="2" w:name="_Hlk194055007"/>
      <w:r w:rsidR="00DA4D5E" w:rsidRPr="00CC72F7">
        <w:t xml:space="preserve">The Windsor Framework was formerly known as the Protocol on Ireland/Northern Ireland to the to the Agreement on the Withdrawal of the UK of Great Britain and NI from the EU and the </w:t>
      </w:r>
      <w:r w:rsidR="00DA4D5E">
        <w:t>European Atomic Energy Community</w:t>
      </w:r>
      <w:r w:rsidR="00DA4D5E" w:rsidRPr="00CC72F7">
        <w:t>, 24 January 2020 (UK-EU Withdrawal Agreement) (see</w:t>
      </w:r>
      <w:r>
        <w:t xml:space="preserve"> </w:t>
      </w:r>
      <w:bookmarkEnd w:id="2"/>
      <w:r>
        <w:t>The Protocol on Ireland / Northern Ireland was renamed by Decision No 1/2023 of the Joint Committee established by the Agreement on the Withdrawal of the United Kingdom of Great Britain and Northern Ireland from the European Union and the European Atomic Energy Community of 24 March 2023 laying down arrangements relating to the Windsor Framework</w:t>
      </w:r>
      <w:r w:rsidR="00DA4D5E">
        <w:t>)</w:t>
      </w:r>
      <w:r>
        <w:t>.</w:t>
      </w:r>
    </w:p>
  </w:footnote>
  <w:footnote w:id="3">
    <w:p w14:paraId="1BB5953A" w14:textId="77777777" w:rsidR="00E75C92" w:rsidRPr="00654887" w:rsidRDefault="00E75C92" w:rsidP="00DF1041">
      <w:pPr>
        <w:pStyle w:val="NIHRCFootnotes"/>
      </w:pPr>
      <w:r w:rsidRPr="00654887">
        <w:rPr>
          <w:rStyle w:val="FootnoteReference"/>
        </w:rPr>
        <w:footnoteRef/>
      </w:r>
      <w:r w:rsidRPr="00654887">
        <w:t xml:space="preserve"> UK ratification 1951 and given further domestic effect by the Human Rights Act 1998.</w:t>
      </w:r>
    </w:p>
  </w:footnote>
  <w:footnote w:id="4">
    <w:p w14:paraId="4F6DBB63" w14:textId="77777777" w:rsidR="004B28B0" w:rsidRPr="00654887" w:rsidRDefault="004B28B0" w:rsidP="00DF1041">
      <w:pPr>
        <w:pStyle w:val="NIHRCFootnotes"/>
      </w:pPr>
      <w:r w:rsidRPr="00654887">
        <w:rPr>
          <w:rStyle w:val="FootnoteReference"/>
        </w:rPr>
        <w:footnoteRef/>
      </w:r>
      <w:r w:rsidRPr="00654887">
        <w:t xml:space="preserve"> UK ratification 1962. The UK has signed, but not ratified, the CoE Revised European Social Charter 1991.</w:t>
      </w:r>
    </w:p>
  </w:footnote>
  <w:footnote w:id="5">
    <w:p w14:paraId="763E5A11" w14:textId="52DAF25D" w:rsidR="008F2D7A" w:rsidRDefault="008F2D7A" w:rsidP="005838C0">
      <w:pPr>
        <w:pStyle w:val="NIHRCFootnotes"/>
      </w:pPr>
      <w:r>
        <w:rPr>
          <w:rStyle w:val="FootnoteReference"/>
        </w:rPr>
        <w:footnoteRef/>
      </w:r>
      <w:r>
        <w:t xml:space="preserve"> UK ratification</w:t>
      </w:r>
      <w:r w:rsidR="005838C0">
        <w:t xml:space="preserve"> 1998.</w:t>
      </w:r>
    </w:p>
  </w:footnote>
  <w:footnote w:id="6">
    <w:p w14:paraId="46325897" w14:textId="77777777" w:rsidR="008F2106" w:rsidRPr="00654887" w:rsidRDefault="008F2106" w:rsidP="00DF1041">
      <w:pPr>
        <w:pStyle w:val="NIHRCFootnotes"/>
      </w:pPr>
      <w:r w:rsidRPr="00654887">
        <w:rPr>
          <w:rStyle w:val="FootnoteReference"/>
        </w:rPr>
        <w:footnoteRef/>
      </w:r>
      <w:r w:rsidRPr="00654887">
        <w:t xml:space="preserve"> UK ratification 1969.</w:t>
      </w:r>
    </w:p>
  </w:footnote>
  <w:footnote w:id="7">
    <w:p w14:paraId="5CA6A3F6" w14:textId="77777777" w:rsidR="007B00A5" w:rsidRPr="00654887" w:rsidRDefault="007B00A5" w:rsidP="00DF1041">
      <w:pPr>
        <w:pStyle w:val="NIHRCFootnotes"/>
      </w:pPr>
      <w:r w:rsidRPr="00654887">
        <w:rPr>
          <w:rStyle w:val="FootnoteReference"/>
        </w:rPr>
        <w:footnoteRef/>
      </w:r>
      <w:r w:rsidRPr="00654887">
        <w:t xml:space="preserve"> UK ratification 1976.</w:t>
      </w:r>
    </w:p>
  </w:footnote>
  <w:footnote w:id="8">
    <w:p w14:paraId="1A5EB57F" w14:textId="77777777" w:rsidR="00F00558" w:rsidRPr="00654887" w:rsidRDefault="00F00558" w:rsidP="00DF1041">
      <w:pPr>
        <w:pStyle w:val="NIHRCFootnotes"/>
      </w:pPr>
      <w:r w:rsidRPr="00654887">
        <w:rPr>
          <w:rStyle w:val="FootnoteReference"/>
        </w:rPr>
        <w:footnoteRef/>
      </w:r>
      <w:r w:rsidRPr="00654887">
        <w:t xml:space="preserve"> UK ratification 1976.</w:t>
      </w:r>
    </w:p>
  </w:footnote>
  <w:footnote w:id="9">
    <w:p w14:paraId="588443D8" w14:textId="77777777" w:rsidR="000A3822" w:rsidRPr="00654887" w:rsidRDefault="000A3822" w:rsidP="00DF1041">
      <w:pPr>
        <w:pStyle w:val="NIHRCFootnotes"/>
      </w:pPr>
      <w:r w:rsidRPr="00654887">
        <w:rPr>
          <w:rStyle w:val="FootnoteReference"/>
        </w:rPr>
        <w:footnoteRef/>
      </w:r>
      <w:r w:rsidRPr="00654887">
        <w:t xml:space="preserve"> UK ratification 1986.</w:t>
      </w:r>
    </w:p>
  </w:footnote>
  <w:footnote w:id="10">
    <w:p w14:paraId="05A98867" w14:textId="77777777" w:rsidR="00D5445D" w:rsidRPr="00654887" w:rsidRDefault="00D5445D" w:rsidP="00DF1041">
      <w:pPr>
        <w:pStyle w:val="NIHRCFootnotes"/>
      </w:pPr>
      <w:r w:rsidRPr="00654887">
        <w:rPr>
          <w:rStyle w:val="FootnoteReference"/>
        </w:rPr>
        <w:footnoteRef/>
      </w:r>
      <w:r w:rsidRPr="00654887">
        <w:t xml:space="preserve"> UK ratification 1991.</w:t>
      </w:r>
    </w:p>
  </w:footnote>
  <w:footnote w:id="11">
    <w:p w14:paraId="29045158" w14:textId="77777777" w:rsidR="00287262" w:rsidRPr="00654887" w:rsidRDefault="00287262" w:rsidP="00DF1041">
      <w:pPr>
        <w:pStyle w:val="NIHRCFootnotes"/>
      </w:pPr>
      <w:r w:rsidRPr="00654887">
        <w:rPr>
          <w:rStyle w:val="FootnoteReference"/>
        </w:rPr>
        <w:footnoteRef/>
      </w:r>
      <w:r w:rsidRPr="00654887">
        <w:t xml:space="preserve"> UK ratification 2009.</w:t>
      </w:r>
    </w:p>
  </w:footnote>
  <w:footnote w:id="12">
    <w:p w14:paraId="1ED06EEF" w14:textId="77777777" w:rsidR="00E45AC3" w:rsidRDefault="00E45AC3" w:rsidP="00DF1041">
      <w:pPr>
        <w:pStyle w:val="NIHRCFootnotes"/>
      </w:pPr>
      <w:r>
        <w:rPr>
          <w:rStyle w:val="FootnoteReference"/>
        </w:rPr>
        <w:footnoteRef/>
      </w:r>
      <w:r>
        <w:t xml:space="preserve"> </w:t>
      </w:r>
      <w:r w:rsidRPr="000A2C64">
        <w:t xml:space="preserve">‘UN CEDAW Committee General </w:t>
      </w:r>
      <w:r>
        <w:t xml:space="preserve">Recommendation </w:t>
      </w:r>
      <w:r w:rsidRPr="000A2C64">
        <w:t>No 6: Effective National Machinery and Publicity’, 1988</w:t>
      </w:r>
      <w:r>
        <w:t>.</w:t>
      </w:r>
    </w:p>
  </w:footnote>
  <w:footnote w:id="13">
    <w:p w14:paraId="3D3C77D4" w14:textId="77777777" w:rsidR="00E45AC3" w:rsidRDefault="00E45AC3" w:rsidP="00DF1041">
      <w:pPr>
        <w:pStyle w:val="NIHRCFootnotes"/>
      </w:pPr>
      <w:r>
        <w:rPr>
          <w:rStyle w:val="FootnoteReference"/>
        </w:rPr>
        <w:footnoteRef/>
      </w:r>
      <w:r>
        <w:t xml:space="preserve"> E/C.12/1999/10, ‘UN ICESCR Committee General Comment No 13: Right to Education’, 8 December 1999.</w:t>
      </w:r>
    </w:p>
  </w:footnote>
  <w:footnote w:id="14">
    <w:p w14:paraId="53CDD1E9" w14:textId="77777777" w:rsidR="00E45AC3" w:rsidRDefault="00E45AC3" w:rsidP="00DF1041">
      <w:pPr>
        <w:pStyle w:val="NIHRCFootnotes"/>
      </w:pPr>
      <w:r>
        <w:rPr>
          <w:rStyle w:val="FootnoteReference"/>
        </w:rPr>
        <w:footnoteRef/>
      </w:r>
      <w:r>
        <w:t xml:space="preserve"> CRC/GC/2001/1, ‘UN CRC Committee General Comment No 1: Aims of Education’, 17 April 2001.</w:t>
      </w:r>
    </w:p>
  </w:footnote>
  <w:footnote w:id="15">
    <w:p w14:paraId="19FAC5F1" w14:textId="77777777" w:rsidR="00E45AC3" w:rsidRDefault="00E45AC3" w:rsidP="00DF1041">
      <w:pPr>
        <w:pStyle w:val="NIHRCFootnotes"/>
      </w:pPr>
      <w:r>
        <w:rPr>
          <w:rStyle w:val="FootnoteReference"/>
        </w:rPr>
        <w:footnoteRef/>
      </w:r>
      <w:r>
        <w:t xml:space="preserve"> </w:t>
      </w:r>
      <w:r w:rsidRPr="000A2C64">
        <w:t>E/1991/23, ‘UN ICESCR Committee General Comment No 3: The Nature of States Parties’ Obligations’, 14 December 1990</w:t>
      </w:r>
      <w:r>
        <w:t>.</w:t>
      </w:r>
    </w:p>
  </w:footnote>
  <w:footnote w:id="16">
    <w:p w14:paraId="4488706A" w14:textId="77777777" w:rsidR="00E45AC3" w:rsidRDefault="00E45AC3" w:rsidP="00DF1041">
      <w:pPr>
        <w:pStyle w:val="NIHRCFootnotes"/>
      </w:pPr>
      <w:r>
        <w:rPr>
          <w:rStyle w:val="FootnoteReference"/>
        </w:rPr>
        <w:footnoteRef/>
      </w:r>
      <w:r>
        <w:t xml:space="preserve"> </w:t>
      </w:r>
      <w:r w:rsidRPr="000A2C64">
        <w:t>E/C.12/2000/4, ‘UN ICESCR Committee General Comment No 14: Right to the Highest Attainable Standard of Health’, 11 August 2000</w:t>
      </w:r>
      <w:r>
        <w:t>.</w:t>
      </w:r>
    </w:p>
  </w:footnote>
  <w:footnote w:id="17">
    <w:p w14:paraId="414D5F62" w14:textId="77777777" w:rsidR="00E45AC3" w:rsidRDefault="00E45AC3" w:rsidP="00DF1041">
      <w:pPr>
        <w:pStyle w:val="NIHRCFootnotes"/>
      </w:pPr>
      <w:r>
        <w:rPr>
          <w:rStyle w:val="FootnoteReference"/>
        </w:rPr>
        <w:footnoteRef/>
      </w:r>
      <w:r>
        <w:t xml:space="preserve"> </w:t>
      </w:r>
      <w:r w:rsidRPr="000A2C64">
        <w:t>‘UN CERD Committee General Recommendation No 29: Descent’, August 2002</w:t>
      </w:r>
      <w:r>
        <w:t>.</w:t>
      </w:r>
    </w:p>
  </w:footnote>
  <w:footnote w:id="18">
    <w:p w14:paraId="50511A60" w14:textId="77777777" w:rsidR="00E45AC3" w:rsidRDefault="00E45AC3" w:rsidP="00DF1041">
      <w:pPr>
        <w:pStyle w:val="NIHRCFootnotes"/>
      </w:pPr>
      <w:r>
        <w:rPr>
          <w:rStyle w:val="FootnoteReference"/>
        </w:rPr>
        <w:footnoteRef/>
      </w:r>
      <w:r>
        <w:t xml:space="preserve"> </w:t>
      </w:r>
      <w:r w:rsidRPr="000A2C64">
        <w:t>CRC/GC/2003/5, ‘UN CRC Committee General Comment No 5: General Measures of Implementation of the UN CRC’, 27 November 2003</w:t>
      </w:r>
      <w:r>
        <w:t>.</w:t>
      </w:r>
    </w:p>
  </w:footnote>
  <w:footnote w:id="19">
    <w:p w14:paraId="526DC4AB" w14:textId="77777777" w:rsidR="00E45AC3" w:rsidRDefault="00E45AC3" w:rsidP="00DF1041">
      <w:pPr>
        <w:pStyle w:val="NIHRCFootnotes"/>
      </w:pPr>
      <w:r>
        <w:rPr>
          <w:rStyle w:val="FootnoteReference"/>
        </w:rPr>
        <w:footnoteRef/>
      </w:r>
      <w:r>
        <w:t xml:space="preserve"> </w:t>
      </w:r>
      <w:r w:rsidRPr="000A2C64">
        <w:t>E/C.12/GC/19, ‘UN ICESCR Committee General Comment No 19: Right to Social Security’, 4 February 2008</w:t>
      </w:r>
      <w:r>
        <w:t>.</w:t>
      </w:r>
    </w:p>
  </w:footnote>
  <w:footnote w:id="20">
    <w:p w14:paraId="581EAE42" w14:textId="6D60C7AC" w:rsidR="00E45AC3" w:rsidRDefault="00E45AC3" w:rsidP="00DF1041">
      <w:pPr>
        <w:pStyle w:val="NIHRCFootnotes"/>
      </w:pPr>
      <w:r>
        <w:rPr>
          <w:rStyle w:val="FootnoteReference"/>
        </w:rPr>
        <w:footnoteRef/>
      </w:r>
      <w:r>
        <w:t xml:space="preserve"> E</w:t>
      </w:r>
      <w:r w:rsidRPr="000A2C64">
        <w:t xml:space="preserve">/C.12/GC/20, ‘UN ICESCR Committee General Comment No 20: </w:t>
      </w:r>
      <w:r w:rsidR="00321A88" w:rsidRPr="000A2C64">
        <w:t>Non-Discrimination</w:t>
      </w:r>
      <w:r w:rsidRPr="000A2C64">
        <w:t xml:space="preserve"> in Economic, Social and Cultural Rights’, 2 July 2009</w:t>
      </w:r>
      <w:r>
        <w:t>.</w:t>
      </w:r>
    </w:p>
  </w:footnote>
  <w:footnote w:id="21">
    <w:p w14:paraId="2C100786" w14:textId="1E5C6D09" w:rsidR="00E45AC3" w:rsidRDefault="00E45AC3" w:rsidP="00DF1041">
      <w:pPr>
        <w:pStyle w:val="NIHRCFootnotes"/>
      </w:pPr>
      <w:r>
        <w:rPr>
          <w:rStyle w:val="FootnoteReference"/>
        </w:rPr>
        <w:footnoteRef/>
      </w:r>
      <w:r>
        <w:t xml:space="preserve"> </w:t>
      </w:r>
      <w:r w:rsidRPr="000A2C64">
        <w:t>E/C.12/GC/23, ‘UN ICESCR Committee General Comment No 23:</w:t>
      </w:r>
      <w:r>
        <w:t xml:space="preserve"> </w:t>
      </w:r>
      <w:r w:rsidRPr="000A2C64">
        <w:t xml:space="preserve">Right </w:t>
      </w:r>
      <w:r w:rsidR="00321A88" w:rsidRPr="000A2C64">
        <w:t>to</w:t>
      </w:r>
      <w:r w:rsidRPr="000A2C64">
        <w:t xml:space="preserve"> Just and Favourable Conditions of Work’, 27</w:t>
      </w:r>
      <w:r>
        <w:t xml:space="preserve"> </w:t>
      </w:r>
      <w:r w:rsidRPr="000A2C64">
        <w:t>April 2016</w:t>
      </w:r>
      <w:r>
        <w:t>.</w:t>
      </w:r>
    </w:p>
  </w:footnote>
  <w:footnote w:id="22">
    <w:p w14:paraId="7DFD6895" w14:textId="571E4624" w:rsidR="00E45AC3" w:rsidRDefault="00E45AC3" w:rsidP="00DF1041">
      <w:pPr>
        <w:pStyle w:val="NIHRCFootnotes"/>
      </w:pPr>
      <w:r>
        <w:rPr>
          <w:rStyle w:val="FootnoteReference"/>
        </w:rPr>
        <w:footnoteRef/>
      </w:r>
      <w:r w:rsidR="00BC6EDA">
        <w:t xml:space="preserve"> </w:t>
      </w:r>
      <w:r w:rsidRPr="000A2C64">
        <w:t>CRC/C/GBR/CO/5, 'UN CRC Committee Concluding Observations on the Fifth Periodic Report of the UK of Great Britain and NI', 12 July 2016.</w:t>
      </w:r>
    </w:p>
  </w:footnote>
  <w:footnote w:id="23">
    <w:p w14:paraId="7DA21236" w14:textId="77777777" w:rsidR="00E45AC3" w:rsidRDefault="00E45AC3" w:rsidP="00DF1041">
      <w:pPr>
        <w:pStyle w:val="NIHRCFootnotes"/>
      </w:pPr>
      <w:r>
        <w:rPr>
          <w:rStyle w:val="FootnoteReference"/>
        </w:rPr>
        <w:footnoteRef/>
      </w:r>
      <w:r>
        <w:t xml:space="preserve"> </w:t>
      </w:r>
      <w:r w:rsidRPr="000A2C64">
        <w:t>E/C.12/GBR/CO/6, 'UN ICESCR Committee Concluding Observations on the Sixth Periodic Report of the UK of Great Britain and NI', 14 July 2016.</w:t>
      </w:r>
    </w:p>
  </w:footnote>
  <w:footnote w:id="24">
    <w:p w14:paraId="4DA1AC02" w14:textId="77777777" w:rsidR="00E45AC3" w:rsidRDefault="00E45AC3" w:rsidP="00DF1041">
      <w:pPr>
        <w:pStyle w:val="NIHRCFootnotes"/>
      </w:pPr>
      <w:r>
        <w:rPr>
          <w:rStyle w:val="FootnoteReference"/>
        </w:rPr>
        <w:footnoteRef/>
      </w:r>
      <w:r>
        <w:t xml:space="preserve"> </w:t>
      </w:r>
      <w:r w:rsidRPr="000A2C64">
        <w:t>CERD/C/GBR/CO/21-23, 'UN CERD Committee Concluding Observations on the Twenty-first to Twenty-third Periodic Reports of UK', 26 August 2016.</w:t>
      </w:r>
    </w:p>
  </w:footnote>
  <w:footnote w:id="25">
    <w:p w14:paraId="4E50B572" w14:textId="77777777" w:rsidR="00E45AC3" w:rsidRDefault="00E45AC3" w:rsidP="00DF1041">
      <w:pPr>
        <w:pStyle w:val="NIHRCFootnotes"/>
      </w:pPr>
      <w:r>
        <w:rPr>
          <w:rStyle w:val="FootnoteReference"/>
        </w:rPr>
        <w:footnoteRef/>
      </w:r>
      <w:r>
        <w:t xml:space="preserve"> </w:t>
      </w:r>
      <w:r w:rsidRPr="000A2C64">
        <w:t>CRPD/C/GBR/CO/1, ‘UN CRPD Committee Concluding observations on the Initial Report of the UK of Great Britain and NI’, 3 October 2017.</w:t>
      </w:r>
    </w:p>
  </w:footnote>
  <w:footnote w:id="26">
    <w:p w14:paraId="094DC5C3" w14:textId="77777777" w:rsidR="00E45AC3" w:rsidRDefault="00E45AC3" w:rsidP="00DF1041">
      <w:pPr>
        <w:pStyle w:val="NIHRCFootnotes"/>
      </w:pPr>
      <w:r>
        <w:rPr>
          <w:rStyle w:val="FootnoteReference"/>
        </w:rPr>
        <w:footnoteRef/>
      </w:r>
      <w:r>
        <w:t xml:space="preserve"> </w:t>
      </w:r>
      <w:r w:rsidRPr="000A2C64">
        <w:t>CEDAW/C/GBR/CO/8, 'UN CEDAW Committee Concluding Observations on the Eighth Periodic Report of the UK of Great Britain and NI', 14 March 2019</w:t>
      </w:r>
      <w:r>
        <w:t>.</w:t>
      </w:r>
    </w:p>
  </w:footnote>
  <w:footnote w:id="27">
    <w:p w14:paraId="07A87A2C" w14:textId="77777777" w:rsidR="00E45AC3" w:rsidRDefault="00E45AC3" w:rsidP="00DF1041">
      <w:pPr>
        <w:pStyle w:val="NIHRCFootnotes"/>
      </w:pPr>
      <w:r>
        <w:rPr>
          <w:rStyle w:val="FootnoteReference"/>
        </w:rPr>
        <w:footnoteRef/>
      </w:r>
      <w:r>
        <w:t xml:space="preserve"> A</w:t>
      </w:r>
      <w:r w:rsidRPr="000A2C64">
        <w:t>/HRC/41/54/Add.2, ‘Report of the Special Rapporteur on Contemporary Forms of Racism, Racial Discrimination, Xenophobia and Related Intolerance: Visit to the UK of Great Britain and NI’, 27 May 2019.</w:t>
      </w:r>
    </w:p>
  </w:footnote>
  <w:footnote w:id="28">
    <w:p w14:paraId="540808BC" w14:textId="738B3137" w:rsidR="00A77D0C" w:rsidRDefault="00A77D0C" w:rsidP="00DF1041">
      <w:pPr>
        <w:pStyle w:val="NIHRCFootnotes"/>
      </w:pPr>
      <w:r>
        <w:rPr>
          <w:rStyle w:val="FootnoteReference"/>
        </w:rPr>
        <w:footnoteRef/>
      </w:r>
      <w:r>
        <w:t xml:space="preserve"> Directive 2000/43/EC, ‘EU Council Directive on Implementing the Principle of Equal Treatment between Persons Irrespective of Racial or Ethnic Origin’, 29 June 2000.</w:t>
      </w:r>
    </w:p>
  </w:footnote>
  <w:footnote w:id="29">
    <w:p w14:paraId="76872360" w14:textId="77777777" w:rsidR="00EA4C87" w:rsidRDefault="00EA4C87" w:rsidP="00DF1041">
      <w:pPr>
        <w:pStyle w:val="NIHRCFootnotes"/>
      </w:pPr>
      <w:r>
        <w:rPr>
          <w:rStyle w:val="FootnoteReference"/>
        </w:rPr>
        <w:footnoteRef/>
      </w:r>
      <w:r>
        <w:t xml:space="preserve"> Directive 2000/78/EC, ‘EU Council Directive on Establishing a General Framework for Equal Treatment in Employment and Occupation’, 27 November 2000.</w:t>
      </w:r>
    </w:p>
  </w:footnote>
  <w:footnote w:id="30">
    <w:p w14:paraId="3E2F794E" w14:textId="436CB7AA" w:rsidR="002E63DA" w:rsidRPr="00E12F6F" w:rsidRDefault="002E63DA" w:rsidP="00DF1041">
      <w:pPr>
        <w:pStyle w:val="FootnoteText"/>
        <w:spacing w:line="240" w:lineRule="auto"/>
        <w:rPr>
          <w:sz w:val="16"/>
          <w:szCs w:val="16"/>
        </w:rPr>
      </w:pPr>
      <w:r w:rsidRPr="00E12F6F">
        <w:rPr>
          <w:rStyle w:val="FootnoteReference"/>
          <w:color w:val="77328A"/>
          <w:sz w:val="16"/>
          <w:szCs w:val="16"/>
        </w:rPr>
        <w:footnoteRef/>
      </w:r>
      <w:r w:rsidRPr="00E12F6F">
        <w:rPr>
          <w:color w:val="77328A"/>
          <w:sz w:val="16"/>
          <w:szCs w:val="16"/>
        </w:rPr>
        <w:t xml:space="preserve"> </w:t>
      </w:r>
      <w:r w:rsidRPr="002E63DA">
        <w:rPr>
          <w:color w:val="77328A"/>
          <w:sz w:val="16"/>
          <w:szCs w:val="16"/>
        </w:rPr>
        <w:t>Directive 2023/970/EU, ‘EU Parliament and Council Directive to strengthen the application of the principle of equal pay for equal work or work of equal value, between men and women through pay transparency and enforcement mechanisms’, 10 May 2023.</w:t>
      </w:r>
    </w:p>
  </w:footnote>
  <w:footnote w:id="31">
    <w:p w14:paraId="73BA9C36" w14:textId="2B148356" w:rsidR="009D47E2" w:rsidRPr="003307EF" w:rsidRDefault="009D47E2" w:rsidP="00DF1041">
      <w:pPr>
        <w:pStyle w:val="FootnoteText"/>
        <w:spacing w:line="240" w:lineRule="auto"/>
        <w:rPr>
          <w:sz w:val="16"/>
          <w:szCs w:val="16"/>
        </w:rPr>
      </w:pPr>
      <w:r w:rsidRPr="003307EF">
        <w:rPr>
          <w:rStyle w:val="FootnoteReference"/>
          <w:color w:val="77328A"/>
          <w:sz w:val="16"/>
          <w:szCs w:val="16"/>
        </w:rPr>
        <w:footnoteRef/>
      </w:r>
      <w:r w:rsidRPr="003307EF">
        <w:rPr>
          <w:color w:val="77328A"/>
          <w:sz w:val="16"/>
          <w:szCs w:val="16"/>
        </w:rPr>
        <w:t xml:space="preserve"> </w:t>
      </w:r>
      <w:r w:rsidR="005D2308" w:rsidRPr="003F2AE3">
        <w:rPr>
          <w:color w:val="77328A"/>
          <w:sz w:val="16"/>
          <w:szCs w:val="16"/>
        </w:rPr>
        <w:t>Directive 2024/1499/EU, ‘EU Council Directive on Standards for Equality Bodies in the Field of Equal Treatment Between Persons Irrespective of their Racial or Ethnic Origin, Equal Treatment in Matters of Employment and Occupation Between Persons Irrespective of their Religion or Belief, Disability, Age or Sexual Orientation, Equal Treatment Between Women and Men in Matters of Social Security and in the Access to and Supply of Goods and Services, and Amending Directives 2000/43/EC and 2004/113/EC’, 7 May 2024</w:t>
      </w:r>
      <w:r w:rsidR="005D2308">
        <w:rPr>
          <w:color w:val="77328A"/>
          <w:sz w:val="16"/>
          <w:szCs w:val="16"/>
        </w:rPr>
        <w:t>.</w:t>
      </w:r>
    </w:p>
  </w:footnote>
  <w:footnote w:id="32">
    <w:p w14:paraId="4CF02EBF" w14:textId="77777777" w:rsidR="00DF7701" w:rsidRDefault="00DF7701" w:rsidP="00DF1041">
      <w:pPr>
        <w:pStyle w:val="NIHRCFootnotes"/>
      </w:pPr>
      <w:r>
        <w:rPr>
          <w:rStyle w:val="FootnoteReference"/>
        </w:rPr>
        <w:footnoteRef/>
      </w:r>
      <w:r>
        <w:t xml:space="preserve"> </w:t>
      </w:r>
      <w:r w:rsidRPr="00A84A3F">
        <w:t>The Executive Office, ‘Rac</w:t>
      </w:r>
      <w:r>
        <w:t>e Relations</w:t>
      </w:r>
      <w:r w:rsidRPr="00A84A3F">
        <w:t>’. Available at:</w:t>
      </w:r>
      <w:r w:rsidRPr="00463DFA">
        <w:t xml:space="preserve"> Consultation on the Framework for Race Relations</w:t>
      </w:r>
      <w:r w:rsidRPr="00A84A3F">
        <w:t>| The Executive Office (executiveoffice-ni.gov.uk)</w:t>
      </w:r>
      <w:r>
        <w:t>.</w:t>
      </w:r>
    </w:p>
  </w:footnote>
  <w:footnote w:id="33">
    <w:p w14:paraId="17F3D202" w14:textId="2CEEBD88" w:rsidR="009D3CF7" w:rsidRPr="00BF4559" w:rsidRDefault="009D3CF7" w:rsidP="00DF1041">
      <w:pPr>
        <w:pStyle w:val="FootnoteText"/>
        <w:spacing w:line="240" w:lineRule="auto"/>
        <w:rPr>
          <w:color w:val="77328A"/>
          <w:sz w:val="16"/>
          <w:szCs w:val="16"/>
        </w:rPr>
      </w:pPr>
      <w:r w:rsidRPr="00BF4559">
        <w:rPr>
          <w:rStyle w:val="FootnoteReference"/>
          <w:color w:val="77328A"/>
          <w:sz w:val="16"/>
          <w:szCs w:val="16"/>
        </w:rPr>
        <w:footnoteRef/>
      </w:r>
      <w:r w:rsidRPr="00BF4559">
        <w:rPr>
          <w:color w:val="77328A"/>
          <w:sz w:val="16"/>
          <w:szCs w:val="16"/>
        </w:rPr>
        <w:t xml:space="preserve"> </w:t>
      </w:r>
      <w:r w:rsidR="00E652C5" w:rsidRPr="00BF4559">
        <w:rPr>
          <w:i/>
          <w:iCs/>
          <w:color w:val="77328A"/>
          <w:sz w:val="16"/>
          <w:szCs w:val="16"/>
        </w:rPr>
        <w:t>In the matter of an application by Martina Dillon and others for Judicial Review</w:t>
      </w:r>
      <w:r w:rsidR="00E652C5" w:rsidRPr="00BF4559">
        <w:rPr>
          <w:color w:val="77328A"/>
          <w:sz w:val="16"/>
          <w:szCs w:val="16"/>
        </w:rPr>
        <w:t> [2026] UKSC 15</w:t>
      </w:r>
      <w:r w:rsidR="00CC3432">
        <w:rPr>
          <w:color w:val="77328A"/>
          <w:sz w:val="16"/>
          <w:szCs w:val="16"/>
        </w:rPr>
        <w:t>.</w:t>
      </w:r>
    </w:p>
  </w:footnote>
  <w:footnote w:id="34">
    <w:p w14:paraId="5A360996" w14:textId="2168024A" w:rsidR="008C5978" w:rsidRDefault="008C5978" w:rsidP="00DF1041">
      <w:pPr>
        <w:pStyle w:val="NIHRCFootnotes"/>
      </w:pPr>
      <w:r>
        <w:rPr>
          <w:rStyle w:val="FootnoteReference"/>
        </w:rPr>
        <w:footnoteRef/>
      </w:r>
      <w:r w:rsidR="002C7E53">
        <w:t xml:space="preserve"> UN </w:t>
      </w:r>
      <w:r w:rsidR="00E43C1D" w:rsidRPr="00E43C1D">
        <w:t xml:space="preserve">Office of the High Commissioner for Human </w:t>
      </w:r>
      <w:r w:rsidR="00E708D3" w:rsidRPr="00E43C1D">
        <w:t>Rights</w:t>
      </w:r>
      <w:r w:rsidR="005514FB">
        <w:t xml:space="preserve"> (OHCHR)</w:t>
      </w:r>
      <w:r w:rsidR="00E708D3">
        <w:t xml:space="preserve">, </w:t>
      </w:r>
      <w:r w:rsidR="00755E7C">
        <w:t>‘</w:t>
      </w:r>
      <w:r w:rsidR="00E708D3">
        <w:t>National</w:t>
      </w:r>
      <w:r w:rsidR="002C7E53" w:rsidRPr="002C7E53">
        <w:t xml:space="preserve"> Action Plans against Racial Discrimination</w:t>
      </w:r>
      <w:r w:rsidR="00755E7C">
        <w:t>’</w:t>
      </w:r>
      <w:r w:rsidR="002C7E53">
        <w:t>, August 2013</w:t>
      </w:r>
      <w:r w:rsidR="005D032D">
        <w:t>, at iii.</w:t>
      </w:r>
    </w:p>
  </w:footnote>
  <w:footnote w:id="35">
    <w:p w14:paraId="222F288F" w14:textId="0F46DD3F" w:rsidR="00801B54" w:rsidRDefault="00801B54" w:rsidP="00DF1041">
      <w:pPr>
        <w:pStyle w:val="NIHRCFootnotes"/>
      </w:pPr>
      <w:r>
        <w:rPr>
          <w:rStyle w:val="FootnoteReference"/>
        </w:rPr>
        <w:footnoteRef/>
      </w:r>
      <w:r>
        <w:t xml:space="preserve"> </w:t>
      </w:r>
      <w:r w:rsidR="008E1508" w:rsidRPr="008E1508">
        <w:t>Article 13, UN Covenant on Economic, Social and Cultural Rights 1966; Articles 28 and 29, UN Convention on the Rights of the Child 1989; Article 10, UN Convention on the Elimination of Discrimination Against Women 1979; Article 5(e)(v), UN Convention on the Elimination of Racial Discrimination 1965; Article 24, UN Convention on the Rights of Persons with Disabilities 2006; E/C.12/1999/10, ‘UN ICESCR Committee General Comment No 13: The Right to Education’, 8 December 1999, at paras 43-46; CRC/GC/2001/1, ‘UN CRC Committee General Comment No 1: The Aims of Education’, 17 April 2001; CRPD/C/GC/4, ‘UN CRPD Committee General Comment No 4: The Right to Inclusive Education’, 25 November 2016, at paras 39-43; Article 2 of the Protocol 1, European Convention on Human Rights 1950 (Protocol 1 was adopted in 1952).</w:t>
      </w:r>
    </w:p>
  </w:footnote>
  <w:footnote w:id="36">
    <w:p w14:paraId="4DC7938C" w14:textId="27BF1C0A" w:rsidR="001D6B9F" w:rsidRDefault="001D6B9F" w:rsidP="00DF1041">
      <w:pPr>
        <w:pStyle w:val="NIHRCFootnotes"/>
      </w:pPr>
      <w:r>
        <w:rPr>
          <w:rStyle w:val="FootnoteReference"/>
        </w:rPr>
        <w:footnoteRef/>
      </w:r>
      <w:r>
        <w:t xml:space="preserve"> </w:t>
      </w:r>
      <w:r w:rsidR="00673265" w:rsidRPr="00673265">
        <w:t>Article 12, UN Covenant on Economic, Social and Cultural Rights 1966; Article 24, UN Convention on the Rights of the Child 1989; Article 12, UN Convention on the Elimination of Discrimination against Women 1979; Article 25, UN Convention on the Rights of Persons with Disabilities 2006; Article 5(e)(iv), UN Convention on the Elimination of Racial Discrimination 1965; E/C.12/2000/4, ‘UN ICESCR Committee General Comment No 14: The Right to the Highest Attainable Standard of Health’, 11 August 2000, at paras 30-33; CRC/C/GC/15, ‘UN CRC Committee General Comment No 15: The Right of the Child to the Highest Attainable Standard of Health’, 17 April 2013, at paras 71-74; ‘UN CEDAW Committee General Recommendation No 24: Women and Health’, 1999.</w:t>
      </w:r>
    </w:p>
  </w:footnote>
  <w:footnote w:id="37">
    <w:p w14:paraId="7EC52835" w14:textId="7B5FFA0A" w:rsidR="001D6B9F" w:rsidRDefault="001D6B9F" w:rsidP="00DF1041">
      <w:pPr>
        <w:pStyle w:val="NIHRCFootnotes"/>
      </w:pPr>
      <w:r>
        <w:rPr>
          <w:rStyle w:val="FootnoteReference"/>
        </w:rPr>
        <w:footnoteRef/>
      </w:r>
      <w:r w:rsidR="00BC6EDA">
        <w:t xml:space="preserve"> </w:t>
      </w:r>
      <w:r w:rsidR="00DE5CE2" w:rsidRPr="00DE5CE2">
        <w:t>Article 6, UN International Covenant on Economic, Social and Cultural Rights 1966; Article 5(e)(i), UN Convention on the Elimination of Racial Discrimination 1965; Article 11(1), UN Convention on the Elimination of Discrimination against Women 1979; Article 32, UN Convention on the Rights of the Child 1989; Article 27, UN Convention on the Rights of Persons with Disabilities 2006; Article 1, European Social Charter 1961; E/C.12/GC/18, ‘UN ICESCR Committee General Comment No 18: The Right to Work’, 6 February 2006, at para 31; ‘UN CEDAW Committee General Recommendation No 13: Equal Renumeration for Work of Equal Value’, 1989; CRPD/C/GC/8, ‘UN CRPD Committee General Comment No 8: the Right of Persons with Disabilities to Work and Employment’, 7 October 2022, at paras 63-64.</w:t>
      </w:r>
      <w:r>
        <w:t xml:space="preserve"> </w:t>
      </w:r>
    </w:p>
  </w:footnote>
  <w:footnote w:id="38">
    <w:p w14:paraId="4B63712F" w14:textId="3F75C305" w:rsidR="003A1382" w:rsidRDefault="003A1382" w:rsidP="00DF1041">
      <w:pPr>
        <w:pStyle w:val="NIHRCFootnotes"/>
      </w:pPr>
      <w:r>
        <w:rPr>
          <w:rStyle w:val="FootnoteReference"/>
        </w:rPr>
        <w:footnoteRef/>
      </w:r>
      <w:r w:rsidR="00BC6EDA">
        <w:t xml:space="preserve"> </w:t>
      </w:r>
      <w:r w:rsidRPr="003A1382">
        <w:t>Article 2(2), UN Covenant on Economic, Social and Cultural Rights 1966; Article 2(1), UN Covenant on Civil and Political Rights 1966; Article 2, UN Convention on the Elimination of Racial Discrimination 1965; Article 2, UN Convention on the Elimination of Discrimination against Women 1979; Article 2, UN Convention on the Rights of the Child 1989; Article 5, UN Convention on the Rights of Persons with Disabilities 2006; Article 14, European Convention on Human Rights 1950. See also E/C.12/GC/20, ‘UN ICESCR Committee General Comment No 20: Non-Discrimination in Economic, Social and Cultural Rights’, 2 July 2009, at para 7; ‘UN Human Rights Committee General Comment No 18: Non-Discrimination’, 1989, at para 3; ‘UN CERD Committee General Recommendation No 20: Non-Discrimination in the Implementation of Rights’, 1996, at para 1; CEDAW/C/GC/28, ‘UN CEDAW Committee General Recommendation No 28: Core Obligations under Article 2’ 16 December 2010, at paras 8-13; CRC/GC/2003/5, ‘UN CRC Committee General Comment No 5: General Measures of Implementation’, 27 November 2003, at para 12; CRPD/C/GC/6, ‘UN CRPD Committee General Comment No 6: Equality and Non-Discrimination’, 26 April 2018, at paras 4-7</w:t>
      </w:r>
      <w:r w:rsidR="00C365F2">
        <w:t>.</w:t>
      </w:r>
    </w:p>
  </w:footnote>
  <w:footnote w:id="39">
    <w:p w14:paraId="398C66DC" w14:textId="23C77EE5" w:rsidR="00C365F2" w:rsidRDefault="00C365F2" w:rsidP="00DF1041">
      <w:pPr>
        <w:pStyle w:val="NIHRCFootnotes"/>
      </w:pPr>
      <w:r>
        <w:rPr>
          <w:rStyle w:val="FootnoteReference"/>
        </w:rPr>
        <w:footnoteRef/>
      </w:r>
      <w:r w:rsidR="00BC6EDA">
        <w:t xml:space="preserve"> </w:t>
      </w:r>
      <w:r w:rsidRPr="00C365F2">
        <w:t>Articles 5 and 6, European Convention on Human Rights 1950; Articles 14-16, UN International Covenant on Civil and Political Rights 1966; Article 5(a), UN Convention on the Elimination of All Forms of Racial Discrimination 1965; Article 15, UN Convention on the Elimination of Discrimination Against Women 1981; Article 13, UN Convention on the Rights of Persons with Disabilities 2006</w:t>
      </w:r>
      <w:r w:rsidR="00D96B25">
        <w:t>.</w:t>
      </w:r>
    </w:p>
  </w:footnote>
  <w:footnote w:id="40">
    <w:p w14:paraId="5BDBFD4C" w14:textId="77777777" w:rsidR="00E7703D" w:rsidRDefault="00E7703D" w:rsidP="00DF1041">
      <w:pPr>
        <w:pStyle w:val="NIHRCFootnotes"/>
      </w:pPr>
      <w:r>
        <w:rPr>
          <w:rStyle w:val="FootnoteReference"/>
        </w:rPr>
        <w:footnoteRef/>
      </w:r>
      <w:r w:rsidR="00BC6EDA">
        <w:t xml:space="preserve"> </w:t>
      </w:r>
      <w:r w:rsidR="00BC6EDA" w:rsidRPr="00BC6EDA">
        <w:t xml:space="preserve">UN Office of the High Commissioner for Human Rights </w:t>
      </w:r>
      <w:r w:rsidR="00242DE4">
        <w:t>(</w:t>
      </w:r>
      <w:r w:rsidR="00BA38F4">
        <w:t>OHCHR</w:t>
      </w:r>
      <w:r w:rsidR="00242DE4">
        <w:t>)</w:t>
      </w:r>
      <w:r w:rsidR="00C50D01">
        <w:t>,</w:t>
      </w:r>
      <w:r w:rsidR="00C5363A">
        <w:t xml:space="preserve"> </w:t>
      </w:r>
      <w:r w:rsidR="009E7B50">
        <w:t>‘</w:t>
      </w:r>
      <w:r w:rsidR="00C50D01">
        <w:t>Developin</w:t>
      </w:r>
      <w:r w:rsidR="00C04F96">
        <w:t>g</w:t>
      </w:r>
      <w:r w:rsidR="00C50D01">
        <w:t xml:space="preserve"> national action plans against racial discrimination</w:t>
      </w:r>
      <w:r w:rsidR="009E7B50">
        <w:t>’</w:t>
      </w:r>
      <w:r w:rsidR="006B74D4">
        <w:t>, 2014,</w:t>
      </w:r>
      <w:r w:rsidR="00AF4EEF">
        <w:t xml:space="preserve"> </w:t>
      </w:r>
      <w:r w:rsidR="00812B72">
        <w:t>at 9</w:t>
      </w:r>
      <w:r w:rsidR="00F72CFD">
        <w:t>.</w:t>
      </w:r>
    </w:p>
  </w:footnote>
  <w:footnote w:id="41">
    <w:p w14:paraId="715BC91B" w14:textId="77777777" w:rsidR="00812B72" w:rsidRDefault="00812B72" w:rsidP="00DF1041">
      <w:pPr>
        <w:pStyle w:val="NIHRCFootnotes"/>
      </w:pPr>
      <w:r>
        <w:rPr>
          <w:rStyle w:val="FootnoteReference"/>
        </w:rPr>
        <w:footnoteRef/>
      </w:r>
      <w:r w:rsidR="00242DE4">
        <w:t xml:space="preserve"> </w:t>
      </w:r>
      <w:r w:rsidR="00242DE4" w:rsidRPr="00242DE4">
        <w:t xml:space="preserve">UN Office of the High Commissioner for Human Rights </w:t>
      </w:r>
      <w:r w:rsidR="00242DE4">
        <w:t>(</w:t>
      </w:r>
      <w:r w:rsidR="00F72CFD">
        <w:t>OHCHR</w:t>
      </w:r>
      <w:r w:rsidR="00242DE4">
        <w:t>)</w:t>
      </w:r>
      <w:r w:rsidR="00F72CFD">
        <w:t>,</w:t>
      </w:r>
      <w:r w:rsidR="00A70598">
        <w:t xml:space="preserve"> </w:t>
      </w:r>
      <w:r w:rsidR="00F72CFD">
        <w:t>‘Developing national action plans against racial discrimination’, 2014, at 9.</w:t>
      </w:r>
    </w:p>
  </w:footnote>
  <w:footnote w:id="42">
    <w:p w14:paraId="14B606DF" w14:textId="55843552" w:rsidR="00210CCB" w:rsidRDefault="00210CCB" w:rsidP="00DF1041">
      <w:pPr>
        <w:pStyle w:val="NIHRCFootnotes"/>
      </w:pPr>
      <w:r>
        <w:rPr>
          <w:rStyle w:val="FootnoteReference"/>
        </w:rPr>
        <w:footnoteRef/>
      </w:r>
      <w:r w:rsidR="00242DE4">
        <w:t xml:space="preserve"> </w:t>
      </w:r>
      <w:r w:rsidR="00242DE4" w:rsidRPr="00242DE4">
        <w:t xml:space="preserve">UN Office of the High Commissioner for Human Rights </w:t>
      </w:r>
      <w:r w:rsidR="00242DE4">
        <w:t>(</w:t>
      </w:r>
      <w:r w:rsidR="00C5363A">
        <w:t>OHCHR</w:t>
      </w:r>
      <w:r w:rsidR="00242DE4">
        <w:t>)</w:t>
      </w:r>
      <w:r w:rsidR="00C5363A">
        <w:t>,</w:t>
      </w:r>
      <w:r w:rsidR="00A70598">
        <w:t xml:space="preserve"> </w:t>
      </w:r>
      <w:r w:rsidR="00C5363A">
        <w:t>‘Developing national action plans against racial discrimination’, 2014, at</w:t>
      </w:r>
      <w:r w:rsidR="00026504">
        <w:t xml:space="preserve"> 21</w:t>
      </w:r>
      <w:r w:rsidR="00C5363A">
        <w:t>.</w:t>
      </w:r>
    </w:p>
  </w:footnote>
  <w:footnote w:id="43">
    <w:p w14:paraId="16AF7124" w14:textId="77777777" w:rsidR="007E6881" w:rsidRPr="00ED3145" w:rsidRDefault="007E6881" w:rsidP="00DF1041">
      <w:pPr>
        <w:pStyle w:val="FootnoteText"/>
        <w:spacing w:line="240" w:lineRule="auto"/>
        <w:rPr>
          <w:color w:val="77328A"/>
          <w:sz w:val="16"/>
          <w:szCs w:val="16"/>
        </w:rPr>
      </w:pPr>
      <w:r w:rsidRPr="00ED3145">
        <w:rPr>
          <w:rStyle w:val="FootnoteReference"/>
          <w:color w:val="77328A"/>
          <w:sz w:val="16"/>
          <w:szCs w:val="16"/>
        </w:rPr>
        <w:footnoteRef/>
      </w:r>
      <w:r w:rsidRPr="00ED3145">
        <w:rPr>
          <w:color w:val="77328A"/>
          <w:sz w:val="16"/>
          <w:szCs w:val="16"/>
        </w:rPr>
        <w:t xml:space="preserve"> Directive 2000/43/EC, ‘EU Council Directive on Implementing the Principle of Equal Treatment between Persons Irrespective of Racial or Ethnic Origin’, 29 June 2000.</w:t>
      </w:r>
    </w:p>
  </w:footnote>
  <w:footnote w:id="44">
    <w:p w14:paraId="63943CEE" w14:textId="77777777" w:rsidR="007E6881" w:rsidRPr="001234E1" w:rsidRDefault="007E6881" w:rsidP="00DF1041">
      <w:pPr>
        <w:pStyle w:val="FootnoteText"/>
        <w:spacing w:line="240" w:lineRule="auto"/>
        <w:rPr>
          <w:color w:val="77328A"/>
          <w:sz w:val="16"/>
          <w:szCs w:val="16"/>
        </w:rPr>
      </w:pPr>
      <w:r w:rsidRPr="001234E1">
        <w:rPr>
          <w:rStyle w:val="FootnoteReference"/>
          <w:color w:val="77328A"/>
          <w:sz w:val="16"/>
          <w:szCs w:val="16"/>
        </w:rPr>
        <w:footnoteRef/>
      </w:r>
      <w:r w:rsidRPr="001234E1">
        <w:rPr>
          <w:color w:val="77328A"/>
          <w:sz w:val="16"/>
          <w:szCs w:val="16"/>
        </w:rPr>
        <w:t xml:space="preserve"> Article 13, Ireland/NI Protocol to the UK-EU Withdrawal Agreement 2020. See NI Human Rights Commission and Equality Commission for NI, ‘Annual Report of the NI Human Rights Commission and the Equality Commission for NI on the Implementation of Article 2 of the Windsor Framework 2023-2024’ (NIHRC and ECNI, 2024), at para 3.87-3.88. See also NI Human Rights Commission, ‘Annual Statement 2025 – Human Rights in NI’ (NIHRC 2025) at 116-124.</w:t>
      </w:r>
      <w:r>
        <w:rPr>
          <w:color w:val="77328A"/>
          <w:sz w:val="16"/>
          <w:szCs w:val="16"/>
        </w:rPr>
        <w:t xml:space="preserve"> </w:t>
      </w:r>
      <w:r w:rsidRPr="001234E1">
        <w:rPr>
          <w:rFonts w:cs="Calibri"/>
          <w:color w:val="77328A"/>
          <w:sz w:val="16"/>
          <w:szCs w:val="16"/>
        </w:rPr>
        <w:t>UK Government, ‘UK Government Commitment to No-diminution of Rights, Safeguards and Equality of Opportunity in Northern Ireland’ (NIO, 2020),</w:t>
      </w:r>
    </w:p>
  </w:footnote>
  <w:footnote w:id="45">
    <w:p w14:paraId="01E592E4" w14:textId="45F2D760" w:rsidR="002E530E" w:rsidRPr="00553B23" w:rsidRDefault="002E530E" w:rsidP="00DF1041">
      <w:pPr>
        <w:pStyle w:val="NIHRCFootnotes"/>
      </w:pPr>
      <w:r w:rsidRPr="00553B23">
        <w:rPr>
          <w:rStyle w:val="FootnoteReference"/>
        </w:rPr>
        <w:footnoteRef/>
      </w:r>
      <w:r w:rsidRPr="00553B23">
        <w:t xml:space="preserve"> UN Office of the High Commissioner for Human Rights, National Action Plans against Racial Discrimination, August 2013</w:t>
      </w:r>
      <w:r w:rsidR="005E0A75">
        <w:t>,</w:t>
      </w:r>
      <w:r w:rsidRPr="00553B23">
        <w:t xml:space="preserve"> at</w:t>
      </w:r>
      <w:r w:rsidR="00F91632">
        <w:t xml:space="preserve"> </w:t>
      </w:r>
      <w:r w:rsidRPr="00553B23">
        <w:t>1</w:t>
      </w:r>
      <w:r w:rsidR="00071175" w:rsidRPr="00553B23">
        <w:t>(</w:t>
      </w:r>
      <w:r w:rsidR="00553B23" w:rsidRPr="00553B23">
        <w:t>One</w:t>
      </w:r>
      <w:r w:rsidR="00071175" w:rsidRPr="00553B23">
        <w:t>-pager)</w:t>
      </w:r>
      <w:r w:rsidRPr="00553B23">
        <w:t>.</w:t>
      </w:r>
    </w:p>
  </w:footnote>
  <w:footnote w:id="46">
    <w:p w14:paraId="0167536C" w14:textId="4FC952B8" w:rsidR="001F390D" w:rsidRPr="00553B23" w:rsidRDefault="001F390D" w:rsidP="00DF1041">
      <w:pPr>
        <w:pStyle w:val="NIHRCFootnotes"/>
      </w:pPr>
      <w:r w:rsidRPr="00553B23">
        <w:rPr>
          <w:rStyle w:val="FootnoteReference"/>
        </w:rPr>
        <w:footnoteRef/>
      </w:r>
      <w:r w:rsidR="00F27E59">
        <w:t xml:space="preserve"> </w:t>
      </w:r>
      <w:r w:rsidR="00F27E59" w:rsidRPr="00553B23">
        <w:t>UN Office of the High Commissioner for Human Rights, National Action Plans against Racial Discrimination, August 201</w:t>
      </w:r>
      <w:r w:rsidR="00FA7EF5">
        <w:t>4</w:t>
      </w:r>
      <w:r w:rsidR="002C3B72">
        <w:t>,</w:t>
      </w:r>
      <w:r w:rsidR="00F27E59" w:rsidRPr="00553B23">
        <w:t xml:space="preserve"> at</w:t>
      </w:r>
      <w:r w:rsidR="00F91632">
        <w:t xml:space="preserve"> </w:t>
      </w:r>
      <w:r w:rsidR="00F27E59">
        <w:t>11.</w:t>
      </w:r>
    </w:p>
  </w:footnote>
  <w:footnote w:id="47">
    <w:p w14:paraId="08112A8C" w14:textId="77777777" w:rsidR="00AA5362" w:rsidRPr="00ED3145" w:rsidRDefault="00AA5362" w:rsidP="00DF1041">
      <w:pPr>
        <w:pStyle w:val="FootnoteText"/>
        <w:spacing w:line="240" w:lineRule="auto"/>
        <w:rPr>
          <w:color w:val="77328A"/>
          <w:sz w:val="16"/>
          <w:szCs w:val="16"/>
        </w:rPr>
      </w:pPr>
      <w:r w:rsidRPr="00ED3145">
        <w:rPr>
          <w:rStyle w:val="FootnoteReference"/>
          <w:color w:val="77328A"/>
          <w:sz w:val="16"/>
          <w:szCs w:val="16"/>
        </w:rPr>
        <w:footnoteRef/>
      </w:r>
      <w:r w:rsidRPr="00ED3145">
        <w:rPr>
          <w:color w:val="77328A"/>
          <w:sz w:val="16"/>
          <w:szCs w:val="16"/>
        </w:rPr>
        <w:t xml:space="preserve"> Directive 2000/43/EC, ‘EU Council Directive on Implementing the Principle of Equal Treatment between Persons Irrespective of Racial or Ethnic Origin’, 29 June 2000.</w:t>
      </w:r>
    </w:p>
  </w:footnote>
  <w:footnote w:id="48">
    <w:p w14:paraId="0FD480C3" w14:textId="4F983EF9" w:rsidR="002D107A" w:rsidRPr="00574A11" w:rsidRDefault="002D107A" w:rsidP="00DF1041">
      <w:pPr>
        <w:pStyle w:val="FootnoteText"/>
        <w:spacing w:line="240" w:lineRule="auto"/>
        <w:rPr>
          <w:color w:val="77328A"/>
          <w:sz w:val="16"/>
          <w:szCs w:val="16"/>
        </w:rPr>
      </w:pPr>
      <w:r w:rsidRPr="00574A11">
        <w:rPr>
          <w:rStyle w:val="FootnoteReference"/>
          <w:color w:val="77328A"/>
          <w:sz w:val="16"/>
          <w:szCs w:val="16"/>
        </w:rPr>
        <w:footnoteRef/>
      </w:r>
      <w:r w:rsidRPr="00574A11">
        <w:rPr>
          <w:color w:val="77328A"/>
          <w:sz w:val="16"/>
          <w:szCs w:val="16"/>
        </w:rPr>
        <w:t xml:space="preserve"> </w:t>
      </w:r>
      <w:r w:rsidR="00574A11">
        <w:rPr>
          <w:color w:val="77328A"/>
          <w:sz w:val="16"/>
          <w:szCs w:val="16"/>
        </w:rPr>
        <w:t>EU</w:t>
      </w:r>
      <w:r w:rsidR="00371135">
        <w:rPr>
          <w:color w:val="77328A"/>
          <w:sz w:val="16"/>
          <w:szCs w:val="16"/>
        </w:rPr>
        <w:t xml:space="preserve"> Commission, ‘</w:t>
      </w:r>
      <w:hyperlink r:id="rId1" w:history="1">
        <w:r w:rsidR="00371135" w:rsidRPr="00574A11">
          <w:rPr>
            <w:rStyle w:val="Hyperlink"/>
            <w:sz w:val="16"/>
            <w:szCs w:val="16"/>
          </w:rPr>
          <w:t>EU Anti-racism Strategy</w:t>
        </w:r>
        <w:r w:rsidR="00371135" w:rsidRPr="00420CA2">
          <w:rPr>
            <w:rStyle w:val="Hyperlink"/>
            <w:sz w:val="16"/>
            <w:szCs w:val="16"/>
          </w:rPr>
          <w:t xml:space="preserve"> 2026-2023</w:t>
        </w:r>
      </w:hyperlink>
      <w:r w:rsidR="00371135">
        <w:rPr>
          <w:color w:val="77328A"/>
          <w:sz w:val="16"/>
          <w:szCs w:val="16"/>
        </w:rPr>
        <w:t>’ (</w:t>
      </w:r>
      <w:r w:rsidR="00983347">
        <w:rPr>
          <w:color w:val="77328A"/>
          <w:sz w:val="16"/>
          <w:szCs w:val="16"/>
        </w:rPr>
        <w:t>EU Commission,</w:t>
      </w:r>
      <w:r w:rsidR="00371135">
        <w:rPr>
          <w:color w:val="77328A"/>
          <w:sz w:val="16"/>
          <w:szCs w:val="16"/>
        </w:rPr>
        <w:t xml:space="preserve"> 2026), at 6.  </w:t>
      </w:r>
    </w:p>
  </w:footnote>
  <w:footnote w:id="49">
    <w:p w14:paraId="1599FBA7" w14:textId="77777777" w:rsidR="00AA5362" w:rsidRPr="00CB18B5" w:rsidRDefault="00AA5362" w:rsidP="00DF1041">
      <w:pPr>
        <w:pStyle w:val="FootnoteText"/>
        <w:spacing w:line="240" w:lineRule="auto"/>
        <w:rPr>
          <w:sz w:val="16"/>
          <w:szCs w:val="16"/>
        </w:rPr>
      </w:pPr>
      <w:r w:rsidRPr="00CB18B5">
        <w:rPr>
          <w:rStyle w:val="FootnoteReference"/>
          <w:color w:val="77328A"/>
          <w:sz w:val="16"/>
          <w:szCs w:val="16"/>
        </w:rPr>
        <w:footnoteRef/>
      </w:r>
      <w:r w:rsidRPr="00CB18B5">
        <w:rPr>
          <w:color w:val="77328A"/>
          <w:sz w:val="16"/>
          <w:szCs w:val="16"/>
        </w:rPr>
        <w:t xml:space="preserve"> Recital 14, Directive 2000/43/EC, ‘EU Council Directive on Implementing the Principle of Equal Treatment between Persons Irrespective of Racial or Ethnic Origin’, 29 June 2000.</w:t>
      </w:r>
    </w:p>
  </w:footnote>
  <w:footnote w:id="50">
    <w:p w14:paraId="4F57F163" w14:textId="77777777" w:rsidR="00AA5362" w:rsidRPr="00CB18B5" w:rsidRDefault="00AA5362" w:rsidP="00DF1041">
      <w:pPr>
        <w:pStyle w:val="FootnoteText"/>
        <w:spacing w:line="240" w:lineRule="auto"/>
        <w:rPr>
          <w:color w:val="77328A"/>
          <w:sz w:val="16"/>
          <w:szCs w:val="16"/>
        </w:rPr>
      </w:pPr>
      <w:r w:rsidRPr="00CB18B5">
        <w:rPr>
          <w:rStyle w:val="FootnoteReference"/>
          <w:color w:val="77328A"/>
          <w:sz w:val="16"/>
          <w:szCs w:val="16"/>
        </w:rPr>
        <w:footnoteRef/>
      </w:r>
      <w:r w:rsidRPr="00CB18B5">
        <w:rPr>
          <w:color w:val="77328A"/>
          <w:sz w:val="16"/>
          <w:szCs w:val="16"/>
        </w:rPr>
        <w:t xml:space="preserve"> </w:t>
      </w:r>
      <w:r w:rsidRPr="00D432AC">
        <w:rPr>
          <w:i/>
          <w:iCs/>
          <w:color w:val="77328A"/>
          <w:sz w:val="16"/>
          <w:szCs w:val="16"/>
        </w:rPr>
        <w:t>CHEZ Razpredelenie Bulgaria AD v Komisia za zashtita ot diskriminatsia</w:t>
      </w:r>
      <w:r w:rsidRPr="00CB18B5">
        <w:rPr>
          <w:color w:val="77328A"/>
          <w:sz w:val="16"/>
          <w:szCs w:val="16"/>
        </w:rPr>
        <w:t>, C-83/14, 16 July 2015.</w:t>
      </w:r>
    </w:p>
  </w:footnote>
  <w:footnote w:id="51">
    <w:p w14:paraId="7BD433E2" w14:textId="77777777" w:rsidR="00AA5362" w:rsidRDefault="00AA5362" w:rsidP="00DF1041">
      <w:pPr>
        <w:pStyle w:val="FootnoteText"/>
        <w:spacing w:line="240" w:lineRule="auto"/>
      </w:pPr>
      <w:r w:rsidRPr="00391FC4">
        <w:rPr>
          <w:rStyle w:val="FootnoteReference"/>
          <w:color w:val="77328A"/>
          <w:sz w:val="16"/>
          <w:szCs w:val="16"/>
        </w:rPr>
        <w:footnoteRef/>
      </w:r>
      <w:r w:rsidRPr="00391FC4">
        <w:rPr>
          <w:color w:val="77328A"/>
          <w:sz w:val="16"/>
          <w:szCs w:val="16"/>
        </w:rPr>
        <w:t xml:space="preserve"> </w:t>
      </w:r>
      <w:r>
        <w:rPr>
          <w:color w:val="77328A"/>
          <w:sz w:val="16"/>
          <w:szCs w:val="16"/>
        </w:rPr>
        <w:t xml:space="preserve">Article 3(e), </w:t>
      </w:r>
      <w:r w:rsidRPr="00391FC4">
        <w:rPr>
          <w:color w:val="77328A"/>
          <w:sz w:val="16"/>
          <w:szCs w:val="16"/>
        </w:rPr>
        <w:t>Directive 2023/970/EU, ‘EU Parliament and Council Directive to strengthen the application of the principle of equal pay for equal work or work of equal value, between men and women through pay transparency and enforcement mechanisms’, 10 May 2023.</w:t>
      </w:r>
    </w:p>
  </w:footnote>
  <w:footnote w:id="52">
    <w:p w14:paraId="16D76BE7" w14:textId="6FC98A78" w:rsidR="00AA5362" w:rsidRDefault="00AA5362" w:rsidP="00DF1041">
      <w:pPr>
        <w:pStyle w:val="FootnoteText"/>
        <w:spacing w:line="240" w:lineRule="auto"/>
      </w:pPr>
      <w:r w:rsidRPr="00CB18B5">
        <w:rPr>
          <w:rStyle w:val="FootnoteReference"/>
          <w:color w:val="77328A"/>
          <w:sz w:val="16"/>
          <w:szCs w:val="16"/>
        </w:rPr>
        <w:footnoteRef/>
      </w:r>
      <w:r w:rsidRPr="00CB18B5">
        <w:rPr>
          <w:color w:val="77328A"/>
          <w:sz w:val="16"/>
          <w:szCs w:val="16"/>
        </w:rPr>
        <w:t xml:space="preserve"> </w:t>
      </w:r>
      <w:r w:rsidRPr="000971E7">
        <w:rPr>
          <w:color w:val="77328A"/>
          <w:sz w:val="16"/>
          <w:szCs w:val="16"/>
        </w:rPr>
        <w:t xml:space="preserve">Equality Commission for NI and NI Human Rights Commission, ‘Briefing Paper: The EU Pay Transparency Directive: The UK Governments </w:t>
      </w:r>
      <w:r w:rsidRPr="00391FC4">
        <w:rPr>
          <w:color w:val="77328A"/>
          <w:sz w:val="16"/>
          <w:szCs w:val="16"/>
        </w:rPr>
        <w:t>dynamic alignment obligations relating to Windsor Framework Article 2’ (ECNI and NIHRC, 2024)</w:t>
      </w:r>
      <w:r w:rsidR="00AB4428">
        <w:rPr>
          <w:color w:val="77328A"/>
          <w:sz w:val="16"/>
          <w:szCs w:val="16"/>
        </w:rPr>
        <w:t>.</w:t>
      </w:r>
    </w:p>
  </w:footnote>
  <w:footnote w:id="53">
    <w:p w14:paraId="4052DF6B" w14:textId="575B8848" w:rsidR="004B1505" w:rsidRPr="00553B23" w:rsidRDefault="004B1505" w:rsidP="00DF1041">
      <w:pPr>
        <w:pStyle w:val="NIHRCFootnotes"/>
      </w:pPr>
      <w:r w:rsidRPr="00553B23">
        <w:rPr>
          <w:rStyle w:val="FootnoteReference"/>
        </w:rPr>
        <w:footnoteRef/>
      </w:r>
      <w:r w:rsidRPr="00553B23">
        <w:t xml:space="preserve"> The Executive Office, 'Racial Equality Strategy 2015-2025' (TEO, 2015)</w:t>
      </w:r>
      <w:r w:rsidR="004963AE">
        <w:t>.</w:t>
      </w:r>
    </w:p>
  </w:footnote>
  <w:footnote w:id="54">
    <w:p w14:paraId="33C9D609" w14:textId="6D8827B7" w:rsidR="0026229E" w:rsidRDefault="0026229E" w:rsidP="00DF1041">
      <w:pPr>
        <w:pStyle w:val="NIHRCFootnotes"/>
      </w:pPr>
      <w:r w:rsidRPr="00553B23">
        <w:rPr>
          <w:rStyle w:val="FootnoteReference"/>
        </w:rPr>
        <w:footnoteRef/>
      </w:r>
      <w:r w:rsidRPr="00553B23">
        <w:t xml:space="preserve"> The Executive Office, ‘Racial Equality’. Available at: Racial Equality | The Executive Office (executiveoffice-ni.gov.uk)</w:t>
      </w:r>
      <w:r w:rsidR="004963AE">
        <w:t>.</w:t>
      </w:r>
    </w:p>
  </w:footnote>
  <w:footnote w:id="55">
    <w:p w14:paraId="0A37CA9D" w14:textId="41A3DE22" w:rsidR="00BB5A92" w:rsidRDefault="00BB5A92" w:rsidP="00DF1041">
      <w:pPr>
        <w:pStyle w:val="NIHRCFootnotes"/>
      </w:pPr>
      <w:r>
        <w:rPr>
          <w:rStyle w:val="FootnoteReference"/>
        </w:rPr>
        <w:footnoteRef/>
      </w:r>
      <w:r>
        <w:t xml:space="preserve"> </w:t>
      </w:r>
      <w:r w:rsidR="00E85168">
        <w:t xml:space="preserve">Sabir Zazai, </w:t>
      </w:r>
      <w:r w:rsidR="006F5FD0">
        <w:t>‘</w:t>
      </w:r>
      <w:r w:rsidR="00311DB8" w:rsidRPr="00311DB8">
        <w:t>Independent Review of the progress on the implementation of the Racial Equality Strategy</w:t>
      </w:r>
      <w:r w:rsidR="00282BBE">
        <w:t xml:space="preserve"> </w:t>
      </w:r>
      <w:r w:rsidR="00311DB8" w:rsidRPr="00311DB8">
        <w:t>2015-</w:t>
      </w:r>
      <w:r w:rsidR="00457CA0" w:rsidRPr="00311DB8">
        <w:t>25</w:t>
      </w:r>
      <w:r w:rsidR="00457CA0">
        <w:t>:</w:t>
      </w:r>
      <w:r w:rsidR="00457CA0" w:rsidRPr="00311DB8">
        <w:t xml:space="preserve"> Final</w:t>
      </w:r>
      <w:r w:rsidR="0029685A">
        <w:t xml:space="preserve"> Report</w:t>
      </w:r>
      <w:r w:rsidR="00A43ADE">
        <w:t>’</w:t>
      </w:r>
      <w:r w:rsidR="0029685A">
        <w:t>,</w:t>
      </w:r>
      <w:r w:rsidR="00457CA0">
        <w:t xml:space="preserve"> </w:t>
      </w:r>
      <w:r w:rsidR="00311DB8" w:rsidRPr="00311DB8">
        <w:t>2024</w:t>
      </w:r>
      <w:r w:rsidR="00560CDF">
        <w:t xml:space="preserve"> at 2</w:t>
      </w:r>
      <w:r w:rsidR="00D15186">
        <w:t>.</w:t>
      </w:r>
      <w:r w:rsidR="00457CA0">
        <w:t xml:space="preserve"> </w:t>
      </w:r>
    </w:p>
  </w:footnote>
  <w:footnote w:id="56">
    <w:p w14:paraId="4732896D" w14:textId="77CAB80F" w:rsidR="0006235D" w:rsidRDefault="0006235D" w:rsidP="00DF1041">
      <w:pPr>
        <w:pStyle w:val="NIHRCFootnotes"/>
      </w:pPr>
      <w:r>
        <w:rPr>
          <w:rStyle w:val="FootnoteReference"/>
        </w:rPr>
        <w:footnoteRef/>
      </w:r>
      <w:r w:rsidR="003F55E7">
        <w:t xml:space="preserve"> </w:t>
      </w:r>
      <w:r w:rsidR="003F55E7" w:rsidRPr="003F55E7">
        <w:t>Sabir Zazai, ‘Independent Review of the progress on the implementation of the Racial Equality Strategy</w:t>
      </w:r>
      <w:r w:rsidR="00D31AB6">
        <w:t xml:space="preserve"> </w:t>
      </w:r>
      <w:r w:rsidR="003F55E7" w:rsidRPr="003F55E7">
        <w:t>2015-</w:t>
      </w:r>
      <w:r w:rsidR="00457CA0" w:rsidRPr="003F55E7">
        <w:t>25</w:t>
      </w:r>
      <w:r w:rsidR="00457CA0">
        <w:t>:</w:t>
      </w:r>
      <w:r w:rsidR="00457CA0" w:rsidRPr="003F55E7">
        <w:t xml:space="preserve"> Final</w:t>
      </w:r>
      <w:r w:rsidR="003F55E7" w:rsidRPr="003F55E7">
        <w:t xml:space="preserve"> Repor</w:t>
      </w:r>
      <w:r w:rsidR="00457CA0">
        <w:t>t</w:t>
      </w:r>
      <w:r w:rsidR="00A43ADE">
        <w:t>’</w:t>
      </w:r>
      <w:r w:rsidR="00457CA0">
        <w:t>,</w:t>
      </w:r>
      <w:r w:rsidR="003F55E7" w:rsidRPr="003F55E7">
        <w:t xml:space="preserve"> 2024 at 2.</w:t>
      </w:r>
    </w:p>
  </w:footnote>
  <w:footnote w:id="57">
    <w:p w14:paraId="073FAC0C" w14:textId="77777777" w:rsidR="00567DD2" w:rsidRDefault="00567DD2" w:rsidP="00DF1041">
      <w:pPr>
        <w:pStyle w:val="FootnoteText"/>
        <w:spacing w:line="240" w:lineRule="auto"/>
      </w:pPr>
      <w:r w:rsidRPr="006B5D83">
        <w:rPr>
          <w:rStyle w:val="FootnoteReference"/>
          <w:color w:val="77328A"/>
          <w:sz w:val="16"/>
          <w:szCs w:val="16"/>
        </w:rPr>
        <w:footnoteRef/>
      </w:r>
      <w:r w:rsidRPr="006B5D83">
        <w:rPr>
          <w:color w:val="77328A"/>
          <w:sz w:val="16"/>
          <w:szCs w:val="16"/>
        </w:rPr>
        <w:t xml:space="preserve"> In line with Article 13(2) of the Windsor Framework, “the provisions of this Protocol referring to Union law or to concepts or provisions thereof shall in their implementation and application be interpreted in conformity with the relevant case law of the Court of Justice of the European Union (CJEU)”</w:t>
      </w:r>
      <w:r>
        <w:rPr>
          <w:color w:val="77328A"/>
          <w:sz w:val="16"/>
          <w:szCs w:val="16"/>
        </w:rPr>
        <w:t>.</w:t>
      </w:r>
    </w:p>
  </w:footnote>
  <w:footnote w:id="58">
    <w:p w14:paraId="05CEB263" w14:textId="3B02D948" w:rsidR="00242817" w:rsidRPr="00242817" w:rsidRDefault="00242817" w:rsidP="00DF1041">
      <w:pPr>
        <w:pStyle w:val="FootnoteText"/>
        <w:spacing w:line="240" w:lineRule="auto"/>
        <w:rPr>
          <w:sz w:val="16"/>
          <w:szCs w:val="16"/>
        </w:rPr>
      </w:pPr>
      <w:r w:rsidRPr="00242817">
        <w:rPr>
          <w:rStyle w:val="FootnoteReference"/>
          <w:color w:val="77328A"/>
          <w:sz w:val="16"/>
          <w:szCs w:val="16"/>
        </w:rPr>
        <w:footnoteRef/>
      </w:r>
      <w:r w:rsidRPr="00242817">
        <w:rPr>
          <w:color w:val="77328A"/>
          <w:sz w:val="16"/>
          <w:szCs w:val="16"/>
        </w:rPr>
        <w:t xml:space="preserve"> Letter from the Minister of State for NI, Steve Baker, to the Chair of the House of Lords Sub Committee on the Protocol on Ireland/NI, 18 September 2023.</w:t>
      </w:r>
    </w:p>
  </w:footnote>
  <w:footnote w:id="59">
    <w:p w14:paraId="4F895392" w14:textId="1498319A" w:rsidR="008345E5" w:rsidRPr="007443C8" w:rsidRDefault="008345E5" w:rsidP="00DF1041">
      <w:pPr>
        <w:pStyle w:val="FootnoteText"/>
        <w:spacing w:line="240" w:lineRule="auto"/>
        <w:rPr>
          <w:sz w:val="16"/>
          <w:szCs w:val="16"/>
        </w:rPr>
      </w:pPr>
      <w:r w:rsidRPr="007443C8">
        <w:rPr>
          <w:rStyle w:val="FootnoteReference"/>
          <w:color w:val="77328A"/>
          <w:sz w:val="16"/>
          <w:szCs w:val="16"/>
        </w:rPr>
        <w:footnoteRef/>
      </w:r>
      <w:r w:rsidRPr="007443C8">
        <w:rPr>
          <w:color w:val="77328A"/>
          <w:sz w:val="16"/>
          <w:szCs w:val="16"/>
        </w:rPr>
        <w:t xml:space="preserve"> </w:t>
      </w:r>
      <w:r w:rsidR="003F2AE3" w:rsidRPr="003F2AE3">
        <w:rPr>
          <w:color w:val="77328A"/>
          <w:sz w:val="16"/>
          <w:szCs w:val="16"/>
        </w:rPr>
        <w:t>Directive 2024/1499/EU, ‘EU Council Directive on Standards for Equality Bodies in the Field of Equal Treatment Between Persons Irrespective of their Racial or Ethnic Origin, Equal Treatment in Matters of Employment and Occupation Between Persons Irrespective of their Religion or Belief, Disability, Age or Sexual Orientation, Equal Treatment Between Women and Men in Matters of Social Security and in the Access to and Supply of Goods and Services, and Amending Directives 2000/43/EC and 2004/113/EC’, 7 May 2024</w:t>
      </w:r>
      <w:r w:rsidR="003F2AE3">
        <w:rPr>
          <w:color w:val="77328A"/>
          <w:sz w:val="16"/>
          <w:szCs w:val="16"/>
        </w:rPr>
        <w:t>.</w:t>
      </w:r>
    </w:p>
  </w:footnote>
  <w:footnote w:id="60">
    <w:p w14:paraId="545BA5C2" w14:textId="10055E56" w:rsidR="00414E66" w:rsidRPr="00574A11" w:rsidRDefault="00414E66" w:rsidP="00DF1041">
      <w:pPr>
        <w:pStyle w:val="FootnoteText"/>
        <w:spacing w:line="240" w:lineRule="auto"/>
        <w:rPr>
          <w:sz w:val="16"/>
          <w:szCs w:val="16"/>
        </w:rPr>
      </w:pPr>
      <w:r w:rsidRPr="00574A11">
        <w:rPr>
          <w:rStyle w:val="FootnoteReference"/>
          <w:color w:val="77328A"/>
          <w:sz w:val="16"/>
          <w:szCs w:val="16"/>
        </w:rPr>
        <w:footnoteRef/>
      </w:r>
      <w:r w:rsidRPr="00574A11">
        <w:rPr>
          <w:color w:val="77328A"/>
          <w:sz w:val="16"/>
          <w:szCs w:val="16"/>
        </w:rPr>
        <w:t xml:space="preserve"> See also para </w:t>
      </w:r>
      <w:r w:rsidR="00F16759">
        <w:rPr>
          <w:color w:val="77328A"/>
          <w:sz w:val="16"/>
          <w:szCs w:val="16"/>
        </w:rPr>
        <w:t xml:space="preserve">2.16-2.19 above </w:t>
      </w:r>
      <w:r w:rsidRPr="00574A11">
        <w:rPr>
          <w:color w:val="77328A"/>
          <w:sz w:val="16"/>
          <w:szCs w:val="16"/>
        </w:rPr>
        <w:t xml:space="preserve">for analysis </w:t>
      </w:r>
      <w:r>
        <w:rPr>
          <w:color w:val="77328A"/>
          <w:sz w:val="16"/>
          <w:szCs w:val="16"/>
        </w:rPr>
        <w:t xml:space="preserve">the EU Pay Transparency Directive. </w:t>
      </w:r>
    </w:p>
  </w:footnote>
  <w:footnote w:id="61">
    <w:p w14:paraId="65B6ED8B" w14:textId="72549532" w:rsidR="00013597" w:rsidRDefault="00013597" w:rsidP="00DF1041">
      <w:pPr>
        <w:pStyle w:val="NIHRCFootnotes"/>
      </w:pPr>
      <w:r>
        <w:rPr>
          <w:rStyle w:val="FootnoteReference"/>
        </w:rPr>
        <w:footnoteRef/>
      </w:r>
      <w:r>
        <w:t xml:space="preserve"> </w:t>
      </w:r>
      <w:r w:rsidR="00AA1F7F" w:rsidRPr="00AA1F7F">
        <w:t>UN Office of the High Commissioner for Human Rights</w:t>
      </w:r>
      <w:r w:rsidR="00AA1F7F">
        <w:t xml:space="preserve"> (OHCHR)</w:t>
      </w:r>
      <w:r w:rsidR="00AA1F7F" w:rsidRPr="00AA1F7F">
        <w:t>, National Action Plans against Racial Discrimination, August 2014, at</w:t>
      </w:r>
      <w:r w:rsidR="00AA1F7F">
        <w:t xml:space="preserve"> 55.</w:t>
      </w:r>
    </w:p>
  </w:footnote>
  <w:footnote w:id="62">
    <w:p w14:paraId="033BAE29" w14:textId="504F9761" w:rsidR="00D66574" w:rsidRDefault="00D66574" w:rsidP="00DF1041">
      <w:pPr>
        <w:pStyle w:val="NIHRCFootnotes"/>
      </w:pPr>
      <w:r>
        <w:rPr>
          <w:rStyle w:val="FootnoteReference"/>
        </w:rPr>
        <w:footnoteRef/>
      </w:r>
      <w:r>
        <w:t xml:space="preserve"> Article 7, </w:t>
      </w:r>
      <w:r w:rsidR="00E035CB" w:rsidRPr="00E035CB">
        <w:t>UN Convention on the Elimination of Racial Discrimination 1965</w:t>
      </w:r>
      <w:r w:rsidR="00E035CB">
        <w:t>.</w:t>
      </w:r>
    </w:p>
  </w:footnote>
  <w:footnote w:id="63">
    <w:p w14:paraId="2394FA97" w14:textId="437168A2" w:rsidR="00D66574" w:rsidRPr="00961ADA" w:rsidRDefault="00D66574" w:rsidP="00DF1041">
      <w:pPr>
        <w:pStyle w:val="NIHRCFootnotes"/>
      </w:pPr>
      <w:r w:rsidRPr="00961ADA">
        <w:rPr>
          <w:rStyle w:val="FootnoteReference"/>
        </w:rPr>
        <w:footnoteRef/>
      </w:r>
      <w:r w:rsidR="00961ADA" w:rsidRPr="00961ADA">
        <w:t xml:space="preserve"> </w:t>
      </w:r>
      <w:r w:rsidR="00EB62A9" w:rsidRPr="00961ADA">
        <w:t xml:space="preserve">UN Office of the High Commissioner for Human Rights (OHCHR), National Action Plans against Racial Discrimination, August 2014, at </w:t>
      </w:r>
      <w:r w:rsidRPr="00961ADA">
        <w:t>56</w:t>
      </w:r>
      <w:r w:rsidR="00961ADA" w:rsidRPr="00961ADA">
        <w:t>.</w:t>
      </w:r>
    </w:p>
  </w:footnote>
  <w:footnote w:id="64">
    <w:p w14:paraId="255E4654" w14:textId="09F41FCB" w:rsidR="00D66574" w:rsidRPr="00961ADA" w:rsidRDefault="00D66574" w:rsidP="00DF1041">
      <w:pPr>
        <w:pStyle w:val="NIHRCFootnotes"/>
      </w:pPr>
      <w:r w:rsidRPr="00961ADA">
        <w:rPr>
          <w:rStyle w:val="FootnoteReference"/>
        </w:rPr>
        <w:footnoteRef/>
      </w:r>
      <w:r w:rsidR="00961ADA" w:rsidRPr="00961ADA">
        <w:t xml:space="preserve"> </w:t>
      </w:r>
      <w:r w:rsidR="00EB62A9" w:rsidRPr="00961ADA">
        <w:t xml:space="preserve">UN Office of the High Commissioner for Human Rights (OHCHR), National Action Plans against Racial Discrimination, August 2014, at </w:t>
      </w:r>
      <w:r w:rsidRPr="00961ADA">
        <w:t>56</w:t>
      </w:r>
      <w:r w:rsidR="00961ADA" w:rsidRPr="00961ADA">
        <w:t>.</w:t>
      </w:r>
    </w:p>
  </w:footnote>
  <w:footnote w:id="65">
    <w:p w14:paraId="0D1446AD" w14:textId="03C7821F" w:rsidR="0089469C" w:rsidRPr="008A67D7" w:rsidRDefault="0089469C" w:rsidP="00DF1041">
      <w:pPr>
        <w:pStyle w:val="NIHRCFootnotes"/>
        <w:rPr>
          <w:sz w:val="20"/>
          <w:szCs w:val="20"/>
        </w:rPr>
      </w:pPr>
      <w:r w:rsidRPr="00961ADA">
        <w:rPr>
          <w:rStyle w:val="FootnoteReference"/>
        </w:rPr>
        <w:footnoteRef/>
      </w:r>
      <w:r w:rsidR="00961ADA" w:rsidRPr="00961ADA">
        <w:t xml:space="preserve"> </w:t>
      </w:r>
      <w:r w:rsidR="00EB62A9" w:rsidRPr="00961ADA">
        <w:t xml:space="preserve">UN Office of the High Commissioner for Human Rights (OHCHR), National Action Plans against Racial Discrimination, August 2014, at </w:t>
      </w:r>
      <w:r w:rsidRPr="00961ADA">
        <w:t>11.</w:t>
      </w:r>
    </w:p>
  </w:footnote>
  <w:footnote w:id="66">
    <w:p w14:paraId="0BD5506A" w14:textId="682BE609" w:rsidR="00D87270" w:rsidRDefault="00D87270" w:rsidP="00DF1041">
      <w:pPr>
        <w:pStyle w:val="NIHRCFootnotes"/>
      </w:pPr>
      <w:r>
        <w:rPr>
          <w:rStyle w:val="FootnoteReference"/>
        </w:rPr>
        <w:footnoteRef/>
      </w:r>
      <w:r>
        <w:t xml:space="preserve"> </w:t>
      </w:r>
      <w:r w:rsidR="004726A7" w:rsidRPr="004726A7">
        <w:t>Sabir Zazai, ‘Independent Review of the progress on the implementation of the Racial Equality Strategy</w:t>
      </w:r>
      <w:r w:rsidR="005950B6">
        <w:t xml:space="preserve"> </w:t>
      </w:r>
      <w:r w:rsidR="004726A7" w:rsidRPr="004726A7">
        <w:t>2015-25</w:t>
      </w:r>
      <w:r w:rsidR="00B445E7">
        <w:t xml:space="preserve">: </w:t>
      </w:r>
      <w:r w:rsidR="004726A7" w:rsidRPr="004726A7">
        <w:t>Final Report</w:t>
      </w:r>
      <w:r w:rsidR="005950B6">
        <w:t>’</w:t>
      </w:r>
      <w:r w:rsidR="004726A7" w:rsidRPr="004726A7">
        <w:t xml:space="preserve">, </w:t>
      </w:r>
      <w:r w:rsidR="00661CCF">
        <w:t xml:space="preserve">(TEO, </w:t>
      </w:r>
      <w:r w:rsidR="00661CCF" w:rsidRPr="00FD57EE">
        <w:t>2024</w:t>
      </w:r>
      <w:r w:rsidR="00661CCF">
        <w:t>),</w:t>
      </w:r>
      <w:r w:rsidR="00661CCF" w:rsidRPr="00FD57EE">
        <w:t xml:space="preserve"> </w:t>
      </w:r>
      <w:r w:rsidR="004726A7">
        <w:t>at</w:t>
      </w:r>
      <w:r>
        <w:t xml:space="preserve"> 11</w:t>
      </w:r>
      <w:r w:rsidR="00B820C5">
        <w:t>-</w:t>
      </w:r>
      <w:r>
        <w:t>12</w:t>
      </w:r>
      <w:r w:rsidR="004726A7">
        <w:t>.</w:t>
      </w:r>
      <w:r>
        <w:t xml:space="preserve"> </w:t>
      </w:r>
    </w:p>
  </w:footnote>
  <w:footnote w:id="67">
    <w:p w14:paraId="25FF7579" w14:textId="4EDD6CE7" w:rsidR="00443812" w:rsidRDefault="00443812" w:rsidP="00DF1041">
      <w:pPr>
        <w:pStyle w:val="NIHRCFootnotes"/>
      </w:pPr>
      <w:r>
        <w:rPr>
          <w:rStyle w:val="FootnoteReference"/>
        </w:rPr>
        <w:footnoteRef/>
      </w:r>
      <w:r>
        <w:t xml:space="preserve"> </w:t>
      </w:r>
      <w:r w:rsidR="00091BF5" w:rsidRPr="00091BF5">
        <w:t>Global Partners Digital, ‘UN Special Rapporteur on Freedom of Opinion and Expression: Report on Disinformation Consultation’ (GPD, 2021).</w:t>
      </w:r>
    </w:p>
  </w:footnote>
  <w:footnote w:id="68">
    <w:p w14:paraId="28F9DC10" w14:textId="433D4372" w:rsidR="003312BC" w:rsidRDefault="003312BC" w:rsidP="00DF1041">
      <w:pPr>
        <w:pStyle w:val="NIHRCFootnotes"/>
      </w:pPr>
      <w:r>
        <w:rPr>
          <w:rStyle w:val="FootnoteReference"/>
        </w:rPr>
        <w:footnoteRef/>
      </w:r>
      <w:r>
        <w:t xml:space="preserve"> </w:t>
      </w:r>
      <w:r w:rsidR="00FD57EE" w:rsidRPr="00FD57EE">
        <w:t>Sabir Zazai, ‘Independent Review of the progress on the implementation of the Racial Equality Strategy</w:t>
      </w:r>
      <w:r w:rsidR="00905143">
        <w:t xml:space="preserve"> </w:t>
      </w:r>
      <w:r w:rsidR="00FD57EE" w:rsidRPr="00FD57EE">
        <w:t>2015-</w:t>
      </w:r>
      <w:r w:rsidR="00D411B9" w:rsidRPr="00FD57EE">
        <w:t>25</w:t>
      </w:r>
      <w:r w:rsidR="00D411B9">
        <w:t>:</w:t>
      </w:r>
      <w:r w:rsidR="00D411B9" w:rsidRPr="00FD57EE">
        <w:t xml:space="preserve"> Final</w:t>
      </w:r>
      <w:r w:rsidR="00FD57EE" w:rsidRPr="00FD57EE">
        <w:t xml:space="preserve"> Report</w:t>
      </w:r>
      <w:r w:rsidR="003A0C84">
        <w:t>’</w:t>
      </w:r>
      <w:r w:rsidR="00AE7385">
        <w:t xml:space="preserve"> </w:t>
      </w:r>
      <w:r w:rsidR="00F12BC4">
        <w:t xml:space="preserve">(TEO, </w:t>
      </w:r>
      <w:r w:rsidR="00FD57EE" w:rsidRPr="00FD57EE">
        <w:t>2024</w:t>
      </w:r>
      <w:r w:rsidR="00F12BC4">
        <w:t>)</w:t>
      </w:r>
      <w:r w:rsidR="00B64114">
        <w:t>,</w:t>
      </w:r>
      <w:r w:rsidR="00FD57EE" w:rsidRPr="00FD57EE">
        <w:t xml:space="preserve"> at </w:t>
      </w:r>
      <w:r>
        <w:t>17</w:t>
      </w:r>
      <w:r w:rsidR="00FD57EE">
        <w:t>.</w:t>
      </w:r>
      <w:r>
        <w:t xml:space="preserve"> </w:t>
      </w:r>
    </w:p>
  </w:footnote>
  <w:footnote w:id="69">
    <w:p w14:paraId="6CFBF3ED" w14:textId="23155EDE" w:rsidR="004F3A26" w:rsidRDefault="004F3A26" w:rsidP="00DF1041">
      <w:pPr>
        <w:pStyle w:val="NIHRCFootnotes"/>
      </w:pPr>
      <w:r>
        <w:rPr>
          <w:rStyle w:val="FootnoteReference"/>
        </w:rPr>
        <w:footnoteRef/>
      </w:r>
      <w:r>
        <w:t xml:space="preserve"> </w:t>
      </w:r>
      <w:r w:rsidR="00002499" w:rsidRPr="00002499">
        <w:t>Sabir Zazai, ‘Independent Review of the progress on the implementation of the Racial Equality Strategy</w:t>
      </w:r>
      <w:r w:rsidR="00905143">
        <w:t xml:space="preserve"> </w:t>
      </w:r>
      <w:r w:rsidR="00002499" w:rsidRPr="00002499">
        <w:t>2015-</w:t>
      </w:r>
      <w:r w:rsidR="00D411B9" w:rsidRPr="00002499">
        <w:t>25</w:t>
      </w:r>
      <w:r w:rsidR="00D411B9">
        <w:t>:</w:t>
      </w:r>
      <w:r w:rsidR="00D411B9" w:rsidRPr="00002499">
        <w:t xml:space="preserve"> Final</w:t>
      </w:r>
      <w:r w:rsidR="00002499" w:rsidRPr="00002499">
        <w:t xml:space="preserve"> Report</w:t>
      </w:r>
      <w:r w:rsidR="00E52199">
        <w:t>’</w:t>
      </w:r>
      <w:r w:rsidR="00526DED">
        <w:t xml:space="preserve"> (TEO, </w:t>
      </w:r>
      <w:r w:rsidR="00526DED" w:rsidRPr="00FD57EE">
        <w:t>2024</w:t>
      </w:r>
      <w:r w:rsidR="00526DED">
        <w:t xml:space="preserve">), </w:t>
      </w:r>
      <w:r w:rsidR="00002499" w:rsidRPr="00002499">
        <w:t xml:space="preserve">at </w:t>
      </w:r>
      <w:r w:rsidRPr="00002499">
        <w:t>17</w:t>
      </w:r>
      <w:r w:rsidR="00002499" w:rsidRPr="00002499">
        <w:t>.</w:t>
      </w:r>
    </w:p>
  </w:footnote>
  <w:footnote w:id="70">
    <w:p w14:paraId="4E0ADA8D" w14:textId="77777777" w:rsidR="00F43281" w:rsidRPr="000A2C64" w:rsidRDefault="00F43281" w:rsidP="00DF1041">
      <w:pPr>
        <w:pStyle w:val="NIHRCFootnotes"/>
      </w:pPr>
      <w:r w:rsidRPr="000A2C64">
        <w:rPr>
          <w:rStyle w:val="FootnoteReference"/>
          <w:rFonts w:eastAsiaTheme="majorEastAsia"/>
        </w:rPr>
        <w:footnoteRef/>
      </w:r>
      <w:r w:rsidRPr="000A2C64">
        <w:t xml:space="preserve"> CRPD/C/GBR/CO/1, ‘UN CRPD Committee Concluding observations on the Initial Report of the UK of Great Britain and NI’, 3 October 2017, at para 19.</w:t>
      </w:r>
    </w:p>
  </w:footnote>
  <w:footnote w:id="71">
    <w:p w14:paraId="5AEC1074" w14:textId="50910875" w:rsidR="00C14EBF" w:rsidRDefault="00C14EBF" w:rsidP="00DF1041">
      <w:pPr>
        <w:pStyle w:val="NIHRCFootnotes"/>
      </w:pPr>
      <w:r>
        <w:rPr>
          <w:rStyle w:val="FootnoteReference"/>
        </w:rPr>
        <w:footnoteRef/>
      </w:r>
      <w:r>
        <w:t xml:space="preserve"> </w:t>
      </w:r>
      <w:r w:rsidRPr="00C14EBF">
        <w:t>Police Service NI, ‘Incidents and Crimes with a Hate Motivation Recorded by the Police Service NI’ (PSNI, 2023), at Table 1</w:t>
      </w:r>
      <w:r w:rsidR="006C0685">
        <w:t>.</w:t>
      </w:r>
    </w:p>
  </w:footnote>
  <w:footnote w:id="72">
    <w:p w14:paraId="4430141E" w14:textId="77777777" w:rsidR="008227C5" w:rsidRDefault="008227C5" w:rsidP="00DF1041">
      <w:pPr>
        <w:pStyle w:val="NIHRCFootnotes"/>
      </w:pPr>
      <w:r>
        <w:rPr>
          <w:rStyle w:val="FootnoteReference"/>
        </w:rPr>
        <w:footnoteRef/>
      </w:r>
      <w:r>
        <w:t xml:space="preserve"> </w:t>
      </w:r>
      <w:hyperlink r:id="rId2" w:history="1">
        <w:r w:rsidRPr="00A32EFC">
          <w:rPr>
            <w:rStyle w:val="Hyperlink"/>
          </w:rPr>
          <w:t>Criminal Justice (Hate Offences) Act</w:t>
        </w:r>
        <w:r>
          <w:rPr>
            <w:rStyle w:val="Hyperlink"/>
          </w:rPr>
          <w:t>,</w:t>
        </w:r>
        <w:r w:rsidRPr="00A32EFC">
          <w:rPr>
            <w:rStyle w:val="Hyperlink"/>
          </w:rPr>
          <w:t xml:space="preserve"> 2024</w:t>
        </w:r>
      </w:hyperlink>
    </w:p>
  </w:footnote>
  <w:footnote w:id="73">
    <w:p w14:paraId="35952D97" w14:textId="193D0FD8" w:rsidR="009D08D5" w:rsidRDefault="009D08D5" w:rsidP="00DF1041">
      <w:pPr>
        <w:pStyle w:val="NIHRCFootnotes"/>
      </w:pPr>
      <w:r>
        <w:rPr>
          <w:rStyle w:val="FootnoteReference"/>
        </w:rPr>
        <w:footnoteRef/>
      </w:r>
      <w:r>
        <w:t xml:space="preserve"> </w:t>
      </w:r>
      <w:r w:rsidR="00123CA7" w:rsidRPr="00123CA7">
        <w:t>Police Service NI, ‘Incidents and Crimes with a Hate Motivation Recorded by the Police Service NI’ (PSNI, 2023), at Table 1.</w:t>
      </w:r>
    </w:p>
  </w:footnote>
  <w:footnote w:id="74">
    <w:p w14:paraId="1CB1D9F6" w14:textId="4B38BC7C" w:rsidR="00CA19FB" w:rsidRDefault="00CA19FB" w:rsidP="00DF1041">
      <w:pPr>
        <w:pStyle w:val="NIHRCFootnotes"/>
      </w:pPr>
      <w:r>
        <w:rPr>
          <w:rStyle w:val="FootnoteReference"/>
        </w:rPr>
        <w:footnoteRef/>
      </w:r>
      <w:r>
        <w:t xml:space="preserve"> </w:t>
      </w:r>
      <w:r w:rsidR="0020467B" w:rsidRPr="0020467B">
        <w:t>NI Human Rights Commission roundtable meeting with civil society organisations, 9 April 2024.</w:t>
      </w:r>
    </w:p>
  </w:footnote>
  <w:footnote w:id="75">
    <w:p w14:paraId="5304D06F" w14:textId="4F6DC043" w:rsidR="00A84210" w:rsidRDefault="00A84210" w:rsidP="00DF1041">
      <w:pPr>
        <w:pStyle w:val="NIHRCFootnotes"/>
      </w:pPr>
      <w:r>
        <w:rPr>
          <w:rStyle w:val="FootnoteReference"/>
        </w:rPr>
        <w:footnoteRef/>
      </w:r>
      <w:r>
        <w:t xml:space="preserve"> </w:t>
      </w:r>
      <w:r w:rsidRPr="00A84210">
        <w:t>Public Prosecution Service, ‘Statistical Bulletin: Cases Involving Hate Crime 1 April 2022 to 31 March 2023’ (PPS, 2023).</w:t>
      </w:r>
    </w:p>
  </w:footnote>
  <w:footnote w:id="76">
    <w:p w14:paraId="100FC205" w14:textId="73BEC009" w:rsidR="00994535" w:rsidRDefault="00994535" w:rsidP="00DF1041">
      <w:pPr>
        <w:pStyle w:val="NIHRCFootnotes"/>
      </w:pPr>
      <w:r>
        <w:rPr>
          <w:rStyle w:val="FootnoteReference"/>
        </w:rPr>
        <w:footnoteRef/>
      </w:r>
      <w:r>
        <w:t xml:space="preserve"> </w:t>
      </w:r>
      <w:r w:rsidR="00EA3E6C" w:rsidRPr="00EA3E6C">
        <w:t>CERD/C/GBR/CO24-26, ‘UN CERD Committee Concluding Observations on the Combined Twenty-fourth to Twenty-sixth Periodic Reports of the UK of Great Britain and NI’, 23 August 2024, at paras 20(a)-20(h).</w:t>
      </w:r>
    </w:p>
  </w:footnote>
  <w:footnote w:id="77">
    <w:p w14:paraId="1AF46077" w14:textId="77777777" w:rsidR="00A47D5E" w:rsidRDefault="00A47D5E" w:rsidP="00DF1041">
      <w:pPr>
        <w:pStyle w:val="NIHRCFootnotes"/>
      </w:pPr>
      <w:r>
        <w:rPr>
          <w:rStyle w:val="FootnoteReference"/>
        </w:rPr>
        <w:footnoteRef/>
      </w:r>
      <w:r>
        <w:t xml:space="preserve"> </w:t>
      </w:r>
      <w:r w:rsidRPr="00EA3E6C">
        <w:t>CERD/C/GBR/CO24-26, ‘UN CERD Committee Concluding Observations on the Combined Twenty-fourth to Twenty-sixth Periodic Reports of the UK of Great Britain and NI’, 23 August 2024, at paras 20(a)-20(h).</w:t>
      </w:r>
    </w:p>
  </w:footnote>
  <w:footnote w:id="78">
    <w:p w14:paraId="3F5D3B26" w14:textId="46853081" w:rsidR="00CF52DA" w:rsidRDefault="00CF52DA" w:rsidP="00435977">
      <w:pPr>
        <w:pStyle w:val="NIHRCFootnotes"/>
      </w:pPr>
      <w:r>
        <w:rPr>
          <w:rStyle w:val="FootnoteReference"/>
        </w:rPr>
        <w:footnoteRef/>
      </w:r>
      <w:r w:rsidR="00C516C7">
        <w:t xml:space="preserve"> </w:t>
      </w:r>
      <w:r w:rsidR="00435977" w:rsidRPr="00EA3E6C">
        <w:t>CERD/C/GBR/CO24-26, ‘UN CERD Committee Concluding Observations on the Combined Twenty-fourth to Twenty-sixth Periodic Reports of the UK of Great Britain and NI’, 23 August 2024, at para</w:t>
      </w:r>
      <w:r w:rsidR="00435977">
        <w:t xml:space="preserve"> 21.</w:t>
      </w:r>
      <w:r>
        <w:t xml:space="preserve"> </w:t>
      </w:r>
    </w:p>
  </w:footnote>
  <w:footnote w:id="79">
    <w:p w14:paraId="7176FD40" w14:textId="3AFEAC8A" w:rsidR="00BD7E3B" w:rsidRDefault="00BD7E3B" w:rsidP="006A5B6D">
      <w:pPr>
        <w:pStyle w:val="NIHRCFootnotes"/>
      </w:pPr>
      <w:r>
        <w:rPr>
          <w:rStyle w:val="FootnoteReference"/>
        </w:rPr>
        <w:footnoteRef/>
      </w:r>
      <w:r>
        <w:t xml:space="preserve"> </w:t>
      </w:r>
      <w:r w:rsidR="002F5280" w:rsidRPr="00EA3E6C">
        <w:t>CERD/C/GBR/CO24-26, ‘UN CERD Committee Concluding Observations on the Combined Twenty-fourth to Twenty-sixth Periodic Reports of the UK of Great Britain and NI’, 23 August 2024, at para</w:t>
      </w:r>
      <w:r w:rsidR="002F5280">
        <w:t xml:space="preserve"> 21.</w:t>
      </w:r>
    </w:p>
  </w:footnote>
  <w:footnote w:id="80">
    <w:p w14:paraId="3BE52272" w14:textId="6DB6476F" w:rsidR="0024687D" w:rsidRDefault="0024687D" w:rsidP="004B435F">
      <w:pPr>
        <w:pStyle w:val="NIHRCFootnotes"/>
      </w:pPr>
      <w:r>
        <w:rPr>
          <w:rStyle w:val="FootnoteReference"/>
        </w:rPr>
        <w:footnoteRef/>
      </w:r>
      <w:r w:rsidR="004B435F">
        <w:t xml:space="preserve"> </w:t>
      </w:r>
      <w:r w:rsidR="004B435F" w:rsidRPr="00EA3E6C">
        <w:t>CERD/C/GBR/CO24-26, ‘UN CERD Committee Concluding Observations on the Combined Twenty-fourth to Twenty-sixth Periodic Reports of the UK of Great Britain and NI’, 23 August 2024, at para</w:t>
      </w:r>
      <w:r w:rsidR="004B435F">
        <w:t xml:space="preserve"> 22.</w:t>
      </w:r>
    </w:p>
  </w:footnote>
  <w:footnote w:id="81">
    <w:p w14:paraId="0772A9EC" w14:textId="77777777" w:rsidR="006D3E55" w:rsidRDefault="006D3E55" w:rsidP="00DF1041">
      <w:pPr>
        <w:pStyle w:val="NIHRCFootnotes"/>
      </w:pPr>
      <w:r>
        <w:rPr>
          <w:rStyle w:val="FootnoteReference"/>
        </w:rPr>
        <w:footnoteRef/>
      </w:r>
      <w:r w:rsidR="002A03B6">
        <w:t xml:space="preserve"> </w:t>
      </w:r>
      <w:r w:rsidR="002A03B6" w:rsidRPr="00961ADA">
        <w:t xml:space="preserve">UN Office of the High Commissioner for Human Rights (OHCHR), National Action Plans against Racial Discrimination, August 2014, at </w:t>
      </w:r>
      <w:r>
        <w:t>11.</w:t>
      </w:r>
    </w:p>
  </w:footnote>
  <w:footnote w:id="82">
    <w:p w14:paraId="54ED81C0" w14:textId="77777777" w:rsidR="0074307D" w:rsidRDefault="0074307D" w:rsidP="00DF1041">
      <w:pPr>
        <w:pStyle w:val="NIHRCFootnotes"/>
      </w:pPr>
      <w:r>
        <w:rPr>
          <w:rStyle w:val="FootnoteReference"/>
        </w:rPr>
        <w:footnoteRef/>
      </w:r>
      <w:r>
        <w:t xml:space="preserve"> </w:t>
      </w:r>
      <w:r w:rsidRPr="000A2C64">
        <w:t>E/C.12/GC/20, ‘UN ICESCR Committee General Comment No 20: Non-discrimination in Economic, Social and Cultural Rights’, 2 July 2009, at para 41</w:t>
      </w:r>
      <w:r>
        <w:t>.</w:t>
      </w:r>
    </w:p>
  </w:footnote>
  <w:footnote w:id="83">
    <w:p w14:paraId="36977360" w14:textId="77777777" w:rsidR="0074307D" w:rsidRDefault="0074307D" w:rsidP="00DF1041">
      <w:pPr>
        <w:pStyle w:val="NIHRCFootnotes"/>
      </w:pPr>
      <w:r>
        <w:rPr>
          <w:rStyle w:val="FootnoteReference"/>
        </w:rPr>
        <w:footnoteRef/>
      </w:r>
      <w:r>
        <w:t xml:space="preserve"> </w:t>
      </w:r>
      <w:r w:rsidRPr="00D9580A">
        <w:t>Ibid</w:t>
      </w:r>
      <w:r>
        <w:t>.</w:t>
      </w:r>
    </w:p>
  </w:footnote>
  <w:footnote w:id="84">
    <w:p w14:paraId="6B31EE6F" w14:textId="77777777" w:rsidR="0074307D" w:rsidRPr="000A2C64" w:rsidRDefault="0074307D" w:rsidP="00DF1041">
      <w:pPr>
        <w:pStyle w:val="NIHRCFootnotes"/>
      </w:pPr>
      <w:r w:rsidRPr="000A2C64">
        <w:rPr>
          <w:rStyle w:val="FootnoteReference"/>
        </w:rPr>
        <w:footnoteRef/>
      </w:r>
      <w:r>
        <w:t xml:space="preserve"> </w:t>
      </w:r>
      <w:r w:rsidRPr="000A2C64">
        <w:t xml:space="preserve">‘UN CEDAW Committee General </w:t>
      </w:r>
      <w:r>
        <w:t>Recommendation</w:t>
      </w:r>
      <w:r w:rsidRPr="000A2C64">
        <w:t xml:space="preserve"> No 6: Effective National Machinery and Publicity’, 1988, at para 1(b); CRC/GC/2003/5, ‘UN CRC Committee General Comment No 5: General Measures of Implementation of the UN CRC’, 27 November 2003, at para 45.</w:t>
      </w:r>
    </w:p>
  </w:footnote>
  <w:footnote w:id="85">
    <w:p w14:paraId="1E89E6A2" w14:textId="77777777" w:rsidR="00A47D5E" w:rsidRDefault="00A47D5E" w:rsidP="00DF1041">
      <w:pPr>
        <w:pStyle w:val="NIHRCFootnotes"/>
      </w:pPr>
      <w:r>
        <w:rPr>
          <w:rStyle w:val="FootnoteReference"/>
        </w:rPr>
        <w:footnoteRef/>
      </w:r>
      <w:r>
        <w:t xml:space="preserve"> </w:t>
      </w:r>
      <w:r w:rsidRPr="00961ADA">
        <w:t>UN Office of the High Commissioner for Human Rights (OHCHR), National Action Plans against Racial Discrimination, August 2014, at</w:t>
      </w:r>
      <w:r>
        <w:t xml:space="preserve"> 53.</w:t>
      </w:r>
    </w:p>
  </w:footnote>
  <w:footnote w:id="86">
    <w:p w14:paraId="33ECCE07" w14:textId="77777777" w:rsidR="00A47D5E" w:rsidRDefault="00A47D5E" w:rsidP="00DF1041">
      <w:pPr>
        <w:pStyle w:val="NIHRCFootnotes"/>
      </w:pPr>
      <w:r>
        <w:rPr>
          <w:rStyle w:val="FootnoteReference"/>
        </w:rPr>
        <w:footnoteRef/>
      </w:r>
      <w:r>
        <w:t xml:space="preserve"> </w:t>
      </w:r>
      <w:r w:rsidRPr="00961ADA">
        <w:t xml:space="preserve">UN Office of the High Commissioner for Human Rights (OHCHR), National Action Plans against Racial Discrimination, August 2014, at </w:t>
      </w:r>
      <w:r>
        <w:t>53.</w:t>
      </w:r>
    </w:p>
  </w:footnote>
  <w:footnote w:id="87">
    <w:p w14:paraId="6A016076" w14:textId="77777777" w:rsidR="00E011E2" w:rsidRDefault="00E011E2" w:rsidP="00DF1041">
      <w:pPr>
        <w:pStyle w:val="NIHRCFootnotes"/>
      </w:pPr>
      <w:r>
        <w:rPr>
          <w:rStyle w:val="FootnoteReference"/>
        </w:rPr>
        <w:footnoteRef/>
      </w:r>
      <w:r w:rsidR="002E2018">
        <w:t xml:space="preserve"> </w:t>
      </w:r>
      <w:r>
        <w:t>Article 5(a)</w:t>
      </w:r>
      <w:r w:rsidR="002E2018" w:rsidRPr="002E2018">
        <w:t xml:space="preserve"> </w:t>
      </w:r>
      <w:r w:rsidR="002E2018" w:rsidRPr="00E035CB">
        <w:t>UN Convention on the Elimination of Racial Discrimination 1965</w:t>
      </w:r>
      <w:r w:rsidR="002E2018">
        <w:t>.</w:t>
      </w:r>
    </w:p>
  </w:footnote>
  <w:footnote w:id="88">
    <w:p w14:paraId="2EBA8310" w14:textId="77777777" w:rsidR="007A5171" w:rsidRDefault="007A5171" w:rsidP="00DF1041">
      <w:pPr>
        <w:pStyle w:val="NIHRCFootnotes"/>
      </w:pPr>
      <w:r>
        <w:rPr>
          <w:rStyle w:val="FootnoteReference"/>
        </w:rPr>
        <w:footnoteRef/>
      </w:r>
      <w:r w:rsidR="002E2018">
        <w:t xml:space="preserve"> </w:t>
      </w:r>
      <w:r>
        <w:t xml:space="preserve">Article 6 </w:t>
      </w:r>
      <w:r w:rsidR="002E2018" w:rsidRPr="00E035CB">
        <w:t>UN Convention on the Elimination of Racial Discrimination 1965</w:t>
      </w:r>
      <w:r w:rsidR="002E2018">
        <w:t>.</w:t>
      </w:r>
    </w:p>
  </w:footnote>
  <w:footnote w:id="89">
    <w:p w14:paraId="690039C5" w14:textId="77777777" w:rsidR="00B75E30" w:rsidRDefault="00B75E30" w:rsidP="00DF1041">
      <w:pPr>
        <w:pStyle w:val="FootnoteText"/>
        <w:spacing w:line="240" w:lineRule="auto"/>
      </w:pPr>
      <w:r w:rsidRPr="00114922">
        <w:rPr>
          <w:rStyle w:val="FootnoteReference"/>
          <w:color w:val="77328A"/>
          <w:sz w:val="16"/>
          <w:szCs w:val="16"/>
        </w:rPr>
        <w:footnoteRef/>
      </w:r>
      <w:r w:rsidRPr="00114922">
        <w:rPr>
          <w:color w:val="77328A"/>
          <w:sz w:val="16"/>
          <w:szCs w:val="16"/>
        </w:rPr>
        <w:t xml:space="preserve"> </w:t>
      </w:r>
      <w:r w:rsidRPr="00B21DF3">
        <w:rPr>
          <w:color w:val="77328A"/>
          <w:sz w:val="16"/>
          <w:szCs w:val="16"/>
        </w:rPr>
        <w:t xml:space="preserve">Directive 2000/43/EC, ‘EU Council Directive on Implementing the Principle of Equal Treatment between Persons Irrespective </w:t>
      </w:r>
      <w:r w:rsidRPr="00ED3145">
        <w:rPr>
          <w:color w:val="77328A"/>
          <w:sz w:val="16"/>
          <w:szCs w:val="16"/>
        </w:rPr>
        <w:t>of Racial or Ethnic Origin’, 29 June 2000.</w:t>
      </w:r>
    </w:p>
  </w:footnote>
  <w:footnote w:id="90">
    <w:p w14:paraId="4E919DEF" w14:textId="77777777" w:rsidR="00B75E30" w:rsidRPr="00114922" w:rsidRDefault="00B75E30" w:rsidP="00DF1041">
      <w:pPr>
        <w:pStyle w:val="FootnoteText"/>
        <w:spacing w:line="240" w:lineRule="auto"/>
        <w:rPr>
          <w:color w:val="77328A"/>
          <w:sz w:val="16"/>
          <w:szCs w:val="16"/>
        </w:rPr>
      </w:pPr>
      <w:r w:rsidRPr="00114922">
        <w:rPr>
          <w:rStyle w:val="FootnoteReference"/>
          <w:color w:val="77328A"/>
          <w:sz w:val="16"/>
          <w:szCs w:val="16"/>
        </w:rPr>
        <w:footnoteRef/>
      </w:r>
      <w:r w:rsidRPr="00114922">
        <w:rPr>
          <w:color w:val="77328A"/>
          <w:sz w:val="16"/>
          <w:szCs w:val="16"/>
        </w:rPr>
        <w:t xml:space="preserve"> </w:t>
      </w:r>
      <w:r w:rsidRPr="003F2AE3">
        <w:rPr>
          <w:color w:val="77328A"/>
          <w:sz w:val="16"/>
          <w:szCs w:val="16"/>
        </w:rPr>
        <w:t>Directive 2024/1499/EU, ‘EU Council Directive on Standards for Equality Bodies in the Field of Equal Treatment Between Persons Irrespective of their Racial or Ethnic Origin, Equal Treatment in Matters of Employment and Occupation Between Persons Irrespective of their Religion or Belief, Disability, Age or Sexual Orientation, Equal Treatment Between Women and Men in Matters of Social Security and in the Access to and Supply of Goods and Services, and Amending Directives 2000/43/EC and 2004/113/EC’, 7 May 2024</w:t>
      </w:r>
      <w:r>
        <w:rPr>
          <w:color w:val="77328A"/>
          <w:sz w:val="16"/>
          <w:szCs w:val="16"/>
        </w:rPr>
        <w:t>.</w:t>
      </w:r>
    </w:p>
  </w:footnote>
  <w:footnote w:id="91">
    <w:p w14:paraId="3411F434" w14:textId="77777777" w:rsidR="00513B0A" w:rsidRPr="000A2C64" w:rsidRDefault="00513B0A" w:rsidP="00DF1041">
      <w:pPr>
        <w:pStyle w:val="NIHRCFootnotes"/>
      </w:pPr>
      <w:r w:rsidRPr="000A2C64">
        <w:rPr>
          <w:rStyle w:val="FootnoteReference"/>
          <w:rFonts w:eastAsiaTheme="majorEastAsia"/>
        </w:rPr>
        <w:footnoteRef/>
      </w:r>
      <w:r w:rsidRPr="000A2C64">
        <w:t xml:space="preserve"> </w:t>
      </w:r>
      <w:r w:rsidRPr="00F3155F">
        <w:t>NI Human Rights Commission, 'Submission to the NI Affairs Committee Inquiry into the Experience of Minority Ethnic and Migrant People in NI' (NIHRC, 2021).</w:t>
      </w:r>
    </w:p>
  </w:footnote>
  <w:footnote w:id="92">
    <w:p w14:paraId="2FD2333A" w14:textId="77777777" w:rsidR="00513B0A" w:rsidRDefault="00513B0A" w:rsidP="00DF1041">
      <w:pPr>
        <w:pStyle w:val="NIHRCFootnotes"/>
      </w:pPr>
      <w:r>
        <w:rPr>
          <w:rStyle w:val="FootnoteReference"/>
        </w:rPr>
        <w:footnoteRef/>
      </w:r>
      <w:r>
        <w:t xml:space="preserve"> </w:t>
      </w:r>
      <w:r w:rsidRPr="00915617">
        <w:t>Jack Crangle, ‘Left to Fend for Themselves: Immigration, Race Relations, and the State in Twentieth Century NI’ (2018) 36(1) Immigrants and Minorities Journal 20-44.</w:t>
      </w:r>
    </w:p>
  </w:footnote>
  <w:footnote w:id="93">
    <w:p w14:paraId="2E0404B9" w14:textId="77777777" w:rsidR="00513B0A" w:rsidRDefault="00513B0A" w:rsidP="00DF1041">
      <w:pPr>
        <w:pStyle w:val="NIHRCFootnotes"/>
      </w:pPr>
      <w:r>
        <w:rPr>
          <w:rStyle w:val="FootnoteReference"/>
        </w:rPr>
        <w:footnoteRef/>
      </w:r>
      <w:r>
        <w:t xml:space="preserve"> E/C.12/1999/10, ‘UN ICESCR Committee General Comment No 13: Right to Education’, 8 December 1999, at para 4.</w:t>
      </w:r>
    </w:p>
  </w:footnote>
  <w:footnote w:id="94">
    <w:p w14:paraId="6B360013" w14:textId="7F772014" w:rsidR="00513B0A" w:rsidRDefault="00513B0A" w:rsidP="00DF1041">
      <w:pPr>
        <w:pStyle w:val="NIHRCFootnotes"/>
      </w:pPr>
      <w:r>
        <w:rPr>
          <w:rStyle w:val="FootnoteReference"/>
        </w:rPr>
        <w:footnoteRef/>
      </w:r>
      <w:r>
        <w:t xml:space="preserve"> </w:t>
      </w:r>
      <w:r w:rsidR="00EE114F">
        <w:t>E/C.12/1999/10, ‘UN ICESCR Committee General Comment No 13: Right to Education’, 8 December 1999</w:t>
      </w:r>
      <w:r>
        <w:t>, at para 6(b).</w:t>
      </w:r>
    </w:p>
  </w:footnote>
  <w:footnote w:id="95">
    <w:p w14:paraId="11ADD510" w14:textId="555BA505" w:rsidR="00513B0A" w:rsidRDefault="00513B0A" w:rsidP="00DF1041">
      <w:pPr>
        <w:pStyle w:val="NIHRCFootnotes"/>
      </w:pPr>
      <w:r>
        <w:rPr>
          <w:rStyle w:val="FootnoteReference"/>
        </w:rPr>
        <w:footnoteRef/>
      </w:r>
      <w:r w:rsidDel="003429C7">
        <w:t xml:space="preserve"> </w:t>
      </w:r>
      <w:r w:rsidR="003429C7">
        <w:t xml:space="preserve">E/C.12/1999/10, ‘UN ICESCR Committee General Comment No 13: Right to Education’, 8 December 1999, at para </w:t>
      </w:r>
      <w:r>
        <w:t>6(b).</w:t>
      </w:r>
    </w:p>
  </w:footnote>
  <w:footnote w:id="96">
    <w:p w14:paraId="3D785636" w14:textId="17E430CE" w:rsidR="001F37A2" w:rsidRDefault="001F37A2" w:rsidP="00DF1041">
      <w:pPr>
        <w:pStyle w:val="NIHRCFootnotes"/>
      </w:pPr>
      <w:r>
        <w:rPr>
          <w:rStyle w:val="FootnoteReference"/>
        </w:rPr>
        <w:footnoteRef/>
      </w:r>
      <w:r w:rsidR="004629D8">
        <w:t xml:space="preserve"> </w:t>
      </w:r>
      <w:r w:rsidR="003429C7">
        <w:t xml:space="preserve">E/C.12/1999/10, ‘UN ICESCR Committee General Comment No 13: Right to Education’, 8 December 1999, at para </w:t>
      </w:r>
      <w:r>
        <w:t>56 (d)</w:t>
      </w:r>
      <w:r w:rsidR="004629D8">
        <w:t>.</w:t>
      </w:r>
    </w:p>
  </w:footnote>
  <w:footnote w:id="97">
    <w:p w14:paraId="795E9E37" w14:textId="77777777" w:rsidR="00590822" w:rsidRPr="000A2C64" w:rsidRDefault="00590822" w:rsidP="00DF1041">
      <w:pPr>
        <w:pStyle w:val="NIHRCFootnotes"/>
      </w:pPr>
      <w:r w:rsidRPr="000A2C64">
        <w:rPr>
          <w:rStyle w:val="FootnoteReference"/>
        </w:rPr>
        <w:footnoteRef/>
      </w:r>
      <w:r w:rsidRPr="000A2C64">
        <w:t xml:space="preserve"> E/C.12/GC/23, ‘UN ICESCR Committee General Comment No 23:</w:t>
      </w:r>
      <w:r>
        <w:t xml:space="preserve"> </w:t>
      </w:r>
      <w:r w:rsidRPr="000A2C64">
        <w:t>Right To Just and Favourable Conditions of Work’, 27</w:t>
      </w:r>
      <w:r>
        <w:t xml:space="preserve"> </w:t>
      </w:r>
      <w:r w:rsidRPr="000A2C64">
        <w:t>April 2016, at para 5; CoE European Social Charter 1961; Article 5(e)(i), UN Convention on the Elimination of All Forms of Racial Discrimination 1965; Articles 6 and 7, UN Covenant on Economic, Social and Cultural Rights 1966; Article 11, UN Convention on the Elimination of All Forms of Discrimination Against Women 1981; Article 32, UN Convention on the Rights of the Child 1989; Article 27, UN Convention on the Rights of Persons with Disabilities 2006; Article 3(1)(b)(c), Directive 2000/43/EC, ‘EU Council Directive on Implementing the Principle of Equal Treatment between Persons Irrespective of Racial or Ethnic Origin’, 29 June 2000, the EU Directive applies to all persons, in both private and public sectors, in relation to employment and working conditions, including dismissal and pay and access to all types of vocational guidance, training and retraining, including practical work experience.</w:t>
      </w:r>
    </w:p>
  </w:footnote>
  <w:footnote w:id="98">
    <w:p w14:paraId="3DE89439" w14:textId="354443B0" w:rsidR="00590822" w:rsidRDefault="00590822" w:rsidP="00DF1041">
      <w:pPr>
        <w:pStyle w:val="NIHRCFootnotes"/>
      </w:pPr>
      <w:r>
        <w:rPr>
          <w:rStyle w:val="FootnoteReference"/>
        </w:rPr>
        <w:footnoteRef/>
      </w:r>
      <w:r>
        <w:t xml:space="preserve"> </w:t>
      </w:r>
      <w:r w:rsidRPr="000A2C64">
        <w:t xml:space="preserve">E/C.12/GC/23, ‘UN ICESCR Committee General Comment No </w:t>
      </w:r>
      <w:r w:rsidR="00FD599D" w:rsidRPr="000A2C64">
        <w:t>23</w:t>
      </w:r>
      <w:r w:rsidR="00FD599D">
        <w:t>: Right</w:t>
      </w:r>
      <w:r w:rsidRPr="000A2C64">
        <w:t xml:space="preserve"> </w:t>
      </w:r>
      <w:r w:rsidR="00A0717C" w:rsidRPr="000A2C64">
        <w:t>to</w:t>
      </w:r>
      <w:r w:rsidRPr="000A2C64">
        <w:t xml:space="preserve"> Just and Favourable Conditions of Work’, 27</w:t>
      </w:r>
      <w:r>
        <w:t xml:space="preserve"> </w:t>
      </w:r>
      <w:r w:rsidRPr="000A2C64">
        <w:t>April 2016, at para 5</w:t>
      </w:r>
      <w:r>
        <w:t>.</w:t>
      </w:r>
    </w:p>
  </w:footnote>
  <w:footnote w:id="99">
    <w:p w14:paraId="1E8B2C72" w14:textId="77777777" w:rsidR="00590822" w:rsidRDefault="00590822" w:rsidP="00DF1041">
      <w:pPr>
        <w:pStyle w:val="NIHRCFootnotes"/>
      </w:pPr>
      <w:r>
        <w:rPr>
          <w:rStyle w:val="FootnoteReference"/>
        </w:rPr>
        <w:footnoteRef/>
      </w:r>
      <w:r>
        <w:t xml:space="preserve"> </w:t>
      </w:r>
      <w:r w:rsidRPr="00D0790D">
        <w:t>NI Statistics and Research Agency, ‘Equality Statistics for the NI Civil Service 2023: An overview of diversity and equality in the NI Civil Service at 1 January 2023 and how it has changed over time’ (NISRA, 2023).</w:t>
      </w:r>
    </w:p>
  </w:footnote>
  <w:footnote w:id="100">
    <w:p w14:paraId="5C34CDCE" w14:textId="77777777" w:rsidR="00590822" w:rsidRDefault="00590822" w:rsidP="00DF1041">
      <w:pPr>
        <w:pStyle w:val="NIHRCFootnotes"/>
      </w:pPr>
      <w:r>
        <w:rPr>
          <w:rStyle w:val="FootnoteReference"/>
        </w:rPr>
        <w:footnoteRef/>
      </w:r>
      <w:r>
        <w:t xml:space="preserve"> </w:t>
      </w:r>
      <w:r w:rsidRPr="002B0379">
        <w:t>Police Service NI, ‘Workforce Composition Statistics’. Available at: Workforce Composition Statistics | PSNI</w:t>
      </w:r>
      <w:r>
        <w:t>.</w:t>
      </w:r>
    </w:p>
  </w:footnote>
  <w:footnote w:id="101">
    <w:p w14:paraId="19619855" w14:textId="3A48F702" w:rsidR="00931555" w:rsidRDefault="00931555" w:rsidP="00DF1041">
      <w:pPr>
        <w:pStyle w:val="NIHRCFootnotes"/>
      </w:pPr>
      <w:r>
        <w:rPr>
          <w:rStyle w:val="FootnoteReference"/>
        </w:rPr>
        <w:footnoteRef/>
      </w:r>
      <w:r>
        <w:t xml:space="preserve"> </w:t>
      </w:r>
      <w:r w:rsidR="00B043BB" w:rsidRPr="00B30720">
        <w:t>E/C.12/GBR/CO/7</w:t>
      </w:r>
      <w:r w:rsidR="00B043BB">
        <w:t>, ‘</w:t>
      </w:r>
      <w:r w:rsidR="00B043BB" w:rsidRPr="000A2C64">
        <w:t xml:space="preserve">UN ICESCR Committee </w:t>
      </w:r>
      <w:r w:rsidR="00B043BB" w:rsidRPr="00277D87">
        <w:t>Concluding observations on the seventh periodic report of the United Kingdom of Great Britain and Northern Ireland</w:t>
      </w:r>
      <w:r w:rsidR="00B043BB">
        <w:t>’,</w:t>
      </w:r>
      <w:r w:rsidR="00B043BB" w:rsidRPr="00DE08F6">
        <w:t xml:space="preserve"> 12 March </w:t>
      </w:r>
      <w:r w:rsidR="00B46BD9" w:rsidRPr="00DE08F6">
        <w:t>202</w:t>
      </w:r>
      <w:r w:rsidR="00B46BD9">
        <w:t>5, at para 32.</w:t>
      </w:r>
    </w:p>
  </w:footnote>
  <w:footnote w:id="102">
    <w:p w14:paraId="2A105EE7" w14:textId="53BE7B25" w:rsidR="00B043BB" w:rsidRDefault="00B043BB" w:rsidP="00DF1041">
      <w:pPr>
        <w:pStyle w:val="NIHRCFootnotes"/>
      </w:pPr>
      <w:r>
        <w:rPr>
          <w:rStyle w:val="FootnoteReference"/>
        </w:rPr>
        <w:footnoteRef/>
      </w:r>
      <w:r>
        <w:t xml:space="preserve"> </w:t>
      </w:r>
      <w:r w:rsidRPr="00B30720">
        <w:t>E/C.12/GBR/CO/7</w:t>
      </w:r>
      <w:r>
        <w:t>, ‘</w:t>
      </w:r>
      <w:r w:rsidRPr="000A2C64">
        <w:t xml:space="preserve">UN ICESCR Committee </w:t>
      </w:r>
      <w:r w:rsidRPr="00277D87">
        <w:t>Concluding observations on the seventh periodic report of the United Kingdom of Great Britain and Northern Ireland</w:t>
      </w:r>
      <w:r>
        <w:t>’,</w:t>
      </w:r>
      <w:r w:rsidRPr="00DE08F6">
        <w:t xml:space="preserve"> 12 March 202</w:t>
      </w:r>
      <w:r>
        <w:t>5,</w:t>
      </w:r>
      <w:r w:rsidR="00B46BD9">
        <w:t xml:space="preserve"> at para 33.</w:t>
      </w:r>
    </w:p>
  </w:footnote>
  <w:footnote w:id="103">
    <w:p w14:paraId="4EC522B2" w14:textId="234B3269" w:rsidR="005B6927" w:rsidRDefault="005B6927" w:rsidP="00DF1041">
      <w:pPr>
        <w:pStyle w:val="NIHRCFootnotes"/>
      </w:pPr>
      <w:r>
        <w:rPr>
          <w:rStyle w:val="FootnoteReference"/>
        </w:rPr>
        <w:footnoteRef/>
      </w:r>
      <w:r>
        <w:t xml:space="preserve"> </w:t>
      </w:r>
      <w:r w:rsidRPr="00B30720">
        <w:t>E/C.12/GBR/CO/7</w:t>
      </w:r>
      <w:r>
        <w:t>, ‘</w:t>
      </w:r>
      <w:r w:rsidRPr="000A2C64">
        <w:t xml:space="preserve">UN ICESCR Committee </w:t>
      </w:r>
      <w:r w:rsidRPr="00277D87">
        <w:t>Concluding observations on the seventh periodic report of the United Kingdom of Great Britain and Northern Ireland</w:t>
      </w:r>
      <w:r>
        <w:t>’,</w:t>
      </w:r>
      <w:r w:rsidRPr="00DE08F6">
        <w:t xml:space="preserve"> 12 March 202</w:t>
      </w:r>
      <w:r>
        <w:t>5, at para 35 (c)</w:t>
      </w:r>
      <w:r w:rsidR="00F96D50">
        <w:t>.</w:t>
      </w:r>
    </w:p>
  </w:footnote>
  <w:footnote w:id="104">
    <w:p w14:paraId="06728EAD" w14:textId="77777777" w:rsidR="001576ED" w:rsidRDefault="001576ED" w:rsidP="00DF1041">
      <w:pPr>
        <w:pStyle w:val="NIHRCFootnotes"/>
      </w:pPr>
      <w:r>
        <w:rPr>
          <w:rStyle w:val="FootnoteReference"/>
        </w:rPr>
        <w:footnoteRef/>
      </w:r>
      <w:r>
        <w:t xml:space="preserve"> </w:t>
      </w:r>
      <w:r w:rsidRPr="000A2C64">
        <w:t>E/C.12/GC/20, ‘UN ICESCR Committee General Comment No 20: Non-discrimination in Economic, Social and Cultural Rights’, 2 July 2009, at para 41</w:t>
      </w:r>
      <w:r>
        <w:t>.</w:t>
      </w:r>
    </w:p>
  </w:footnote>
  <w:footnote w:id="105">
    <w:p w14:paraId="73D84921" w14:textId="77777777" w:rsidR="001576ED" w:rsidRDefault="001576ED" w:rsidP="00DF1041">
      <w:pPr>
        <w:pStyle w:val="NIHRCFootnotes"/>
      </w:pPr>
      <w:r>
        <w:rPr>
          <w:rStyle w:val="FootnoteReference"/>
        </w:rPr>
        <w:footnoteRef/>
      </w:r>
      <w:r>
        <w:t xml:space="preserve"> </w:t>
      </w:r>
      <w:r w:rsidRPr="00D9580A">
        <w:t>Ibid</w:t>
      </w:r>
      <w:r>
        <w:t>.</w:t>
      </w:r>
    </w:p>
  </w:footnote>
  <w:footnote w:id="106">
    <w:p w14:paraId="4B7A5F5D" w14:textId="77777777" w:rsidR="001576ED" w:rsidRPr="000A2C64" w:rsidRDefault="001576ED" w:rsidP="00DF1041">
      <w:pPr>
        <w:pStyle w:val="NIHRCFootnotes"/>
      </w:pPr>
      <w:r w:rsidRPr="000A2C64">
        <w:rPr>
          <w:rStyle w:val="FootnoteReference"/>
        </w:rPr>
        <w:footnoteRef/>
      </w:r>
      <w:r>
        <w:t xml:space="preserve"> </w:t>
      </w:r>
      <w:r w:rsidRPr="000A2C64">
        <w:t xml:space="preserve">‘UN CEDAW Committee General </w:t>
      </w:r>
      <w:r>
        <w:t>Recommendation</w:t>
      </w:r>
      <w:r w:rsidRPr="000A2C64">
        <w:t xml:space="preserve"> No 6: Effective National Machinery and Publicity’, 1988, at para 1(b); CRC/GC/2003/5, ‘UN CRC Committee General Comment No 5: General Measures of Implementation of the UN CRC’, 27 November 2003, at para 45.</w:t>
      </w:r>
    </w:p>
  </w:footnote>
  <w:footnote w:id="107">
    <w:p w14:paraId="66104514" w14:textId="77777777" w:rsidR="008F03F9" w:rsidRPr="00937092" w:rsidRDefault="008F03F9" w:rsidP="00DF1041">
      <w:pPr>
        <w:pStyle w:val="FootnoteText"/>
        <w:spacing w:line="240" w:lineRule="auto"/>
        <w:rPr>
          <w:color w:val="77328A"/>
          <w:sz w:val="16"/>
          <w:szCs w:val="16"/>
        </w:rPr>
      </w:pPr>
      <w:r w:rsidRPr="00FB4E72">
        <w:rPr>
          <w:rStyle w:val="FootnoteReference"/>
          <w:color w:val="77328A"/>
          <w:sz w:val="16"/>
          <w:szCs w:val="16"/>
        </w:rPr>
        <w:footnoteRef/>
      </w:r>
      <w:r w:rsidRPr="00FB4E72">
        <w:rPr>
          <w:color w:val="77328A"/>
          <w:sz w:val="16"/>
          <w:szCs w:val="16"/>
        </w:rPr>
        <w:t xml:space="preserve"> </w:t>
      </w:r>
      <w:r w:rsidRPr="008F03F9">
        <w:rPr>
          <w:color w:val="77328A"/>
          <w:sz w:val="16"/>
          <w:szCs w:val="16"/>
        </w:rPr>
        <w:t xml:space="preserve">Directive </w:t>
      </w:r>
      <w:r w:rsidRPr="00937092">
        <w:rPr>
          <w:color w:val="77328A"/>
          <w:sz w:val="16"/>
          <w:szCs w:val="16"/>
        </w:rPr>
        <w:t xml:space="preserve">2000/43/EC, ‘EU Council Directive on Implementing the Principle of Equal Treatment between Persons   </w:t>
      </w:r>
    </w:p>
    <w:p w14:paraId="7BBE1DF6" w14:textId="1936FD24" w:rsidR="008F03F9" w:rsidRDefault="008F03F9" w:rsidP="00DF1041">
      <w:pPr>
        <w:pStyle w:val="FootnoteText"/>
        <w:spacing w:line="240" w:lineRule="auto"/>
      </w:pPr>
      <w:r w:rsidRPr="00937092">
        <w:rPr>
          <w:color w:val="77328A"/>
          <w:sz w:val="16"/>
          <w:szCs w:val="16"/>
        </w:rPr>
        <w:t>Irrespective of Racial or Ethnic Origin’, 29 June 2000</w:t>
      </w:r>
    </w:p>
  </w:footnote>
  <w:footnote w:id="108">
    <w:p w14:paraId="6C6265B0" w14:textId="6E67E834" w:rsidR="000D07DE" w:rsidRDefault="000D07DE" w:rsidP="00DF1041">
      <w:pPr>
        <w:pStyle w:val="FootnoteText"/>
        <w:spacing w:line="240" w:lineRule="auto"/>
      </w:pPr>
      <w:r w:rsidRPr="00FB4E72">
        <w:rPr>
          <w:rStyle w:val="FootnoteReference"/>
          <w:color w:val="77328A"/>
          <w:sz w:val="16"/>
          <w:szCs w:val="16"/>
        </w:rPr>
        <w:footnoteRef/>
      </w:r>
      <w:r w:rsidR="008F03F9">
        <w:rPr>
          <w:color w:val="77328A"/>
          <w:sz w:val="16"/>
          <w:szCs w:val="16"/>
        </w:rPr>
        <w:t xml:space="preserve"> </w:t>
      </w:r>
      <w:r w:rsidRPr="00FB4E72">
        <w:rPr>
          <w:color w:val="77328A"/>
          <w:sz w:val="16"/>
          <w:szCs w:val="16"/>
        </w:rPr>
        <w:t>Directive 2000/78/EC, ‘EU Council Directive on Establishing a General</w:t>
      </w:r>
      <w:r>
        <w:rPr>
          <w:color w:val="77328A"/>
          <w:sz w:val="16"/>
          <w:szCs w:val="16"/>
        </w:rPr>
        <w:t xml:space="preserve"> </w:t>
      </w:r>
      <w:r w:rsidRPr="00FB4E72">
        <w:rPr>
          <w:color w:val="77328A"/>
          <w:sz w:val="16"/>
          <w:szCs w:val="16"/>
        </w:rPr>
        <w:t>Framework for Equal Treatment in Employment and Occupation’, 27 November 2000</w:t>
      </w:r>
      <w:r w:rsidR="00062515">
        <w:rPr>
          <w:color w:val="77328A"/>
          <w:sz w:val="16"/>
          <w:szCs w:val="16"/>
        </w:rPr>
        <w:t>.</w:t>
      </w:r>
    </w:p>
  </w:footnote>
  <w:footnote w:id="109">
    <w:p w14:paraId="0A52A0D6" w14:textId="25C9F023" w:rsidR="008B7189" w:rsidRPr="00FB4E72" w:rsidRDefault="008B7189" w:rsidP="00DF1041">
      <w:pPr>
        <w:pStyle w:val="FootnoteText"/>
        <w:spacing w:line="240" w:lineRule="auto"/>
        <w:rPr>
          <w:sz w:val="16"/>
          <w:szCs w:val="16"/>
        </w:rPr>
      </w:pPr>
      <w:r w:rsidRPr="00FB4E72">
        <w:rPr>
          <w:rStyle w:val="FootnoteReference"/>
          <w:color w:val="77328A"/>
          <w:sz w:val="16"/>
          <w:szCs w:val="16"/>
        </w:rPr>
        <w:footnoteRef/>
      </w:r>
      <w:r w:rsidRPr="00FB4E72">
        <w:rPr>
          <w:color w:val="77328A"/>
          <w:sz w:val="16"/>
          <w:szCs w:val="16"/>
        </w:rPr>
        <w:t xml:space="preserve"> </w:t>
      </w:r>
      <w:r>
        <w:rPr>
          <w:color w:val="77328A"/>
          <w:sz w:val="16"/>
          <w:szCs w:val="16"/>
        </w:rPr>
        <w:t>A</w:t>
      </w:r>
      <w:r w:rsidRPr="00FB4E72">
        <w:rPr>
          <w:color w:val="77328A"/>
          <w:sz w:val="16"/>
          <w:szCs w:val="16"/>
        </w:rPr>
        <w:t>rticle 13(3) and (2), Windsor Framework.</w:t>
      </w:r>
    </w:p>
  </w:footnote>
  <w:footnote w:id="110">
    <w:p w14:paraId="24F8F079" w14:textId="193E1287" w:rsidR="00EB0273" w:rsidRPr="002A591C" w:rsidRDefault="00EB0273" w:rsidP="00DF1041">
      <w:pPr>
        <w:spacing w:line="240" w:lineRule="auto"/>
        <w:rPr>
          <w:sz w:val="16"/>
          <w:szCs w:val="16"/>
        </w:rPr>
      </w:pPr>
      <w:r w:rsidRPr="002A591C">
        <w:rPr>
          <w:rStyle w:val="FootnoteReference"/>
          <w:color w:val="77328A"/>
          <w:sz w:val="16"/>
          <w:szCs w:val="16"/>
        </w:rPr>
        <w:footnoteRef/>
      </w:r>
      <w:r w:rsidRPr="00090DEE">
        <w:rPr>
          <w:color w:val="77328A"/>
          <w:sz w:val="16"/>
          <w:szCs w:val="16"/>
        </w:rPr>
        <w:t xml:space="preserve"> </w:t>
      </w:r>
      <w:r w:rsidR="00662C33" w:rsidRPr="00662C33">
        <w:rPr>
          <w:i/>
          <w:iCs/>
          <w:color w:val="77328A"/>
          <w:sz w:val="16"/>
          <w:szCs w:val="16"/>
        </w:rPr>
        <w:t>IX v WABE eV</w:t>
      </w:r>
      <w:r w:rsidR="00662C33" w:rsidRPr="00662C33">
        <w:rPr>
          <w:color w:val="77328A"/>
          <w:sz w:val="16"/>
          <w:szCs w:val="16"/>
        </w:rPr>
        <w:t xml:space="preserve"> and </w:t>
      </w:r>
      <w:r w:rsidR="00662C33" w:rsidRPr="00662C33">
        <w:rPr>
          <w:i/>
          <w:iCs/>
          <w:color w:val="77328A"/>
          <w:sz w:val="16"/>
          <w:szCs w:val="16"/>
        </w:rPr>
        <w:t>MH Müller Handels GmbH v MJ</w:t>
      </w:r>
      <w:r w:rsidR="00662C33" w:rsidRPr="00662C33">
        <w:rPr>
          <w:color w:val="77328A"/>
          <w:sz w:val="16"/>
          <w:szCs w:val="16"/>
        </w:rPr>
        <w:t>, Joined Cases C-804/18 and C-341/19, 15 July 2021.</w:t>
      </w:r>
      <w:r w:rsidR="00D92C34">
        <w:rPr>
          <w:color w:val="77328A"/>
          <w:sz w:val="16"/>
          <w:szCs w:val="16"/>
        </w:rPr>
        <w:t xml:space="preserve"> T</w:t>
      </w:r>
      <w:r w:rsidR="007B5D43">
        <w:rPr>
          <w:color w:val="77328A"/>
          <w:sz w:val="16"/>
          <w:szCs w:val="16"/>
        </w:rPr>
        <w:t xml:space="preserve">he </w:t>
      </w:r>
      <w:r w:rsidR="007B5D43" w:rsidRPr="007B5D43">
        <w:rPr>
          <w:color w:val="77328A"/>
          <w:sz w:val="16"/>
          <w:szCs w:val="16"/>
        </w:rPr>
        <w:t>CJEU found that differentiating between religious symbols, amounts to direct discrimination under Article 2(2) of the EU Framework Equality Directive and cannot be justified, except by reference to a narrow list of occupational requirements, rather than by a commercial policy of neutrality. The CJEU also ruled that the EU Framework Equality Directive must be interpreted as meaning that a rule prohibiting workers from wearing any visible sign of political, philosophical or religious beliefs in the workplace, does not constitute direct discrimination on the grounds of religion or belief under the Directive, provided that this rule is applied in a general and undifferentiated way.</w:t>
      </w:r>
      <w:r w:rsidR="004179C0">
        <w:rPr>
          <w:color w:val="77328A"/>
          <w:sz w:val="16"/>
          <w:szCs w:val="16"/>
        </w:rPr>
        <w:t xml:space="preserve"> For </w:t>
      </w:r>
      <w:r w:rsidR="003D523E">
        <w:rPr>
          <w:color w:val="77328A"/>
          <w:sz w:val="16"/>
          <w:szCs w:val="16"/>
        </w:rPr>
        <w:t xml:space="preserve">further analysis see: </w:t>
      </w:r>
      <w:r w:rsidR="00A05DA4">
        <w:rPr>
          <w:color w:val="77328A"/>
          <w:sz w:val="16"/>
          <w:szCs w:val="16"/>
        </w:rPr>
        <w:t xml:space="preserve">Sarah </w:t>
      </w:r>
      <w:r w:rsidR="00F0232C">
        <w:rPr>
          <w:color w:val="77328A"/>
          <w:sz w:val="16"/>
          <w:szCs w:val="16"/>
        </w:rPr>
        <w:t>Crai</w:t>
      </w:r>
      <w:r w:rsidR="0080518B">
        <w:rPr>
          <w:color w:val="77328A"/>
          <w:sz w:val="16"/>
          <w:szCs w:val="16"/>
        </w:rPr>
        <w:t>g</w:t>
      </w:r>
      <w:r w:rsidR="00F0232C">
        <w:rPr>
          <w:color w:val="77328A"/>
          <w:sz w:val="16"/>
          <w:szCs w:val="16"/>
        </w:rPr>
        <w:t>,</w:t>
      </w:r>
      <w:r w:rsidR="00A05DA4">
        <w:rPr>
          <w:color w:val="77328A"/>
          <w:sz w:val="16"/>
          <w:szCs w:val="16"/>
        </w:rPr>
        <w:t xml:space="preserve"> Anurag</w:t>
      </w:r>
      <w:r w:rsidR="00F0232C">
        <w:rPr>
          <w:color w:val="77328A"/>
          <w:sz w:val="16"/>
          <w:szCs w:val="16"/>
        </w:rPr>
        <w:t xml:space="preserve"> Deb, </w:t>
      </w:r>
      <w:r w:rsidR="00A4338C">
        <w:rPr>
          <w:color w:val="77328A"/>
          <w:sz w:val="16"/>
          <w:szCs w:val="16"/>
        </w:rPr>
        <w:t xml:space="preserve">Eleni </w:t>
      </w:r>
      <w:r w:rsidR="00F0232C">
        <w:rPr>
          <w:color w:val="77328A"/>
          <w:sz w:val="16"/>
          <w:szCs w:val="16"/>
        </w:rPr>
        <w:t>Frantziou</w:t>
      </w:r>
      <w:r w:rsidR="00DB44B7">
        <w:rPr>
          <w:color w:val="77328A"/>
          <w:sz w:val="16"/>
          <w:szCs w:val="16"/>
        </w:rPr>
        <w:t>,</w:t>
      </w:r>
      <w:r w:rsidR="00AD013F">
        <w:rPr>
          <w:color w:val="77328A"/>
          <w:sz w:val="16"/>
          <w:szCs w:val="16"/>
        </w:rPr>
        <w:t xml:space="preserve"> Alexander</w:t>
      </w:r>
      <w:r w:rsidR="00DB44B7">
        <w:rPr>
          <w:color w:val="77328A"/>
          <w:sz w:val="16"/>
          <w:szCs w:val="16"/>
        </w:rPr>
        <w:t xml:space="preserve"> Horne,</w:t>
      </w:r>
      <w:r w:rsidR="00AD013F">
        <w:rPr>
          <w:color w:val="77328A"/>
          <w:sz w:val="16"/>
          <w:szCs w:val="16"/>
        </w:rPr>
        <w:t xml:space="preserve"> Colin</w:t>
      </w:r>
      <w:r w:rsidR="00DB44B7">
        <w:rPr>
          <w:color w:val="77328A"/>
          <w:sz w:val="16"/>
          <w:szCs w:val="16"/>
        </w:rPr>
        <w:t xml:space="preserve"> Murray,</w:t>
      </w:r>
      <w:r w:rsidR="00AD013F">
        <w:rPr>
          <w:color w:val="77328A"/>
          <w:sz w:val="16"/>
          <w:szCs w:val="16"/>
        </w:rPr>
        <w:t xml:space="preserve"> Clare</w:t>
      </w:r>
      <w:r w:rsidR="00DB44B7">
        <w:rPr>
          <w:color w:val="77328A"/>
          <w:sz w:val="16"/>
          <w:szCs w:val="16"/>
        </w:rPr>
        <w:t xml:space="preserve"> Rice, and</w:t>
      </w:r>
      <w:r w:rsidR="00AD013F">
        <w:rPr>
          <w:color w:val="77328A"/>
          <w:sz w:val="16"/>
          <w:szCs w:val="16"/>
        </w:rPr>
        <w:t xml:space="preserve"> Jane</w:t>
      </w:r>
      <w:r w:rsidR="00DB44B7">
        <w:rPr>
          <w:color w:val="77328A"/>
          <w:sz w:val="16"/>
          <w:szCs w:val="16"/>
        </w:rPr>
        <w:t xml:space="preserve"> Rooney</w:t>
      </w:r>
      <w:r w:rsidR="001B1579">
        <w:rPr>
          <w:color w:val="77328A"/>
          <w:sz w:val="16"/>
          <w:szCs w:val="16"/>
        </w:rPr>
        <w:t>, ‘</w:t>
      </w:r>
      <w:r w:rsidR="00CB6128">
        <w:rPr>
          <w:color w:val="77328A"/>
          <w:sz w:val="16"/>
          <w:szCs w:val="16"/>
        </w:rPr>
        <w:t>European Union Developments in Equality and Human Rights: The Impact of Brexit on the Divergence of Rights and Best practice on the island of Ireland’ (NIHRC</w:t>
      </w:r>
      <w:r w:rsidR="00645E5B">
        <w:rPr>
          <w:color w:val="77328A"/>
          <w:sz w:val="16"/>
          <w:szCs w:val="16"/>
        </w:rPr>
        <w:t>, ECNI</w:t>
      </w:r>
      <w:r w:rsidR="00090DEE">
        <w:rPr>
          <w:color w:val="77328A"/>
          <w:sz w:val="16"/>
          <w:szCs w:val="16"/>
        </w:rPr>
        <w:t xml:space="preserve"> and</w:t>
      </w:r>
      <w:r w:rsidR="00645E5B">
        <w:rPr>
          <w:color w:val="77328A"/>
          <w:sz w:val="16"/>
          <w:szCs w:val="16"/>
        </w:rPr>
        <w:t xml:space="preserve"> IHREC, 2022)</w:t>
      </w:r>
      <w:r w:rsidR="00F834DA">
        <w:rPr>
          <w:color w:val="77328A"/>
          <w:sz w:val="16"/>
          <w:szCs w:val="16"/>
        </w:rPr>
        <w:t xml:space="preserve">, </w:t>
      </w:r>
      <w:r w:rsidR="003319EA">
        <w:rPr>
          <w:color w:val="77328A"/>
          <w:sz w:val="16"/>
          <w:szCs w:val="16"/>
        </w:rPr>
        <w:t>at</w:t>
      </w:r>
      <w:r w:rsidR="00441712">
        <w:rPr>
          <w:color w:val="77328A"/>
          <w:sz w:val="16"/>
          <w:szCs w:val="16"/>
        </w:rPr>
        <w:t xml:space="preserve"> 63-68.</w:t>
      </w:r>
    </w:p>
  </w:footnote>
  <w:footnote w:id="111">
    <w:p w14:paraId="0BA7D649" w14:textId="77777777" w:rsidR="000E7F1B" w:rsidRPr="000A2C64" w:rsidRDefault="000E7F1B" w:rsidP="00DF1041">
      <w:pPr>
        <w:pStyle w:val="NIHRCFootnotes"/>
      </w:pPr>
      <w:r w:rsidRPr="000A2C64">
        <w:rPr>
          <w:rStyle w:val="FootnoteReference"/>
        </w:rPr>
        <w:footnoteRef/>
      </w:r>
      <w:r w:rsidRPr="000A2C64">
        <w:t xml:space="preserve"> Articles 11 and 12, CoE European Social Charter 1961; Articles 1 and 5(e)(iv), UN Convention on the Elimination of All Forms of Racial Discrimination 1965; Articles 2(2), 9, 10 and 12, UN International Covenant on Economic, Social and Cultural Rights 1966; Articles 12 and 14(c), UN Convention on the Elimination of All Forms of Discrimination Against Women 1981; Articles 2, 24, 25, 26, UN Convention on the Rights of the Child 1989; Articles 25 and 28, UN Convention on the Rights of Persons with Disabilities 2006; E/C.12/GC/20, ‘UN ICESCR Committee General Comment No 20: Non Discrimination in Economic, Social and Cultural Rights’, 2 July 2009; E/C.12/GC/19, ‘UN ICESCR Committee General Comment No 19: Right to Social Security’, 4 February 2008; E/C.12/2000/4, ‘UN ICESCR Committee General Comment No 14: Right to the Highest Attainable Standard of Health’, 11 August 2000; </w:t>
      </w:r>
    </w:p>
  </w:footnote>
  <w:footnote w:id="112">
    <w:p w14:paraId="7A521D46" w14:textId="77777777" w:rsidR="006C0C83" w:rsidRPr="000A2C64" w:rsidRDefault="006C0C83" w:rsidP="00DF1041">
      <w:pPr>
        <w:pStyle w:val="NIHRCFootnotes"/>
      </w:pPr>
      <w:r w:rsidRPr="000A2C64">
        <w:rPr>
          <w:rStyle w:val="FootnoteReference"/>
          <w:rFonts w:eastAsiaTheme="majorEastAsia"/>
        </w:rPr>
        <w:footnoteRef/>
      </w:r>
      <w:r w:rsidRPr="000A2C64">
        <w:t xml:space="preserve"> Meeting between NI Human Rights Commission and NI Council for Racial Equality, 9 August 2022.</w:t>
      </w:r>
    </w:p>
  </w:footnote>
  <w:footnote w:id="113">
    <w:p w14:paraId="3B3A09B4" w14:textId="77777777" w:rsidR="006C0C83" w:rsidRPr="000A2C64" w:rsidRDefault="006C0C83" w:rsidP="00DF1041">
      <w:pPr>
        <w:pStyle w:val="NIHRCFootnotes"/>
      </w:pPr>
      <w:r w:rsidRPr="000A2C64">
        <w:rPr>
          <w:rStyle w:val="FootnoteReference"/>
          <w:rFonts w:eastAsiaTheme="majorEastAsia"/>
        </w:rPr>
        <w:footnoteRef/>
      </w:r>
      <w:r w:rsidRPr="000A2C64">
        <w:t xml:space="preserve"> Children’s Law Centre and South Tyrone Empowerment Programme, ‘Joint Submission to Framework Convention on the Protection of National Minorities Advisory Committee: Rights of Asylum Seeker Children Living in Contingency Accommodation (Hotel Buildings) in NI, Run by Mears Group PLC’ (CLC and STEP, 2022).</w:t>
      </w:r>
    </w:p>
  </w:footnote>
  <w:footnote w:id="114">
    <w:p w14:paraId="3C932139" w14:textId="77777777" w:rsidR="006C0C83" w:rsidRPr="000A2C64" w:rsidRDefault="006C0C83" w:rsidP="00DF1041">
      <w:pPr>
        <w:pStyle w:val="NIHRCFootnotes"/>
      </w:pPr>
      <w:r w:rsidRPr="000A2C64">
        <w:rPr>
          <w:rStyle w:val="FootnoteReference"/>
          <w:rFonts w:eastAsiaTheme="majorEastAsia"/>
        </w:rPr>
        <w:footnoteRef/>
      </w:r>
      <w:r w:rsidRPr="000A2C64">
        <w:t xml:space="preserve"> Roundtable on Access to Healthcare and Protocol Article 2 hosted by the NI Human Rights Commission, 6 June 2022.</w:t>
      </w:r>
    </w:p>
  </w:footnote>
  <w:footnote w:id="115">
    <w:p w14:paraId="736E5195" w14:textId="77777777" w:rsidR="006C0C83" w:rsidRPr="000A2C64" w:rsidRDefault="006C0C83" w:rsidP="00DF1041">
      <w:pPr>
        <w:pStyle w:val="NIHRCFootnotes"/>
      </w:pPr>
      <w:r w:rsidRPr="000A2C64">
        <w:rPr>
          <w:rStyle w:val="FootnoteReference"/>
          <w:rFonts w:eastAsiaTheme="majorEastAsia"/>
        </w:rPr>
        <w:footnoteRef/>
      </w:r>
      <w:r w:rsidRPr="000A2C64">
        <w:t xml:space="preserve"> Independent Mechanism in NI Disability Forum Meeting, 2 August 2022.</w:t>
      </w:r>
    </w:p>
  </w:footnote>
  <w:footnote w:id="116">
    <w:p w14:paraId="6158FD22" w14:textId="7655BE67" w:rsidR="004548AB" w:rsidRDefault="004548AB" w:rsidP="00DF1041">
      <w:pPr>
        <w:pStyle w:val="NIHRCFootnotes"/>
      </w:pPr>
      <w:r>
        <w:rPr>
          <w:rStyle w:val="FootnoteReference"/>
        </w:rPr>
        <w:footnoteRef/>
      </w:r>
      <w:r>
        <w:t xml:space="preserve"> </w:t>
      </w:r>
      <w:r w:rsidRPr="004548AB">
        <w:t>CERD/C/GBR/CO/21-23, “Committee on the Elimination of Racial Discrimination Concluding observations on the combined twenty-first to twenty third periodic reports of the United Kingdom of Great Britain and Northern Ireland”, 3 October 2026, at para 22</w:t>
      </w:r>
    </w:p>
  </w:footnote>
  <w:footnote w:id="117">
    <w:p w14:paraId="0907F51E" w14:textId="77777777" w:rsidR="00524390" w:rsidRPr="000A2C64" w:rsidRDefault="00524390" w:rsidP="00DF1041">
      <w:pPr>
        <w:pStyle w:val="NIHRCFootnotes"/>
      </w:pPr>
      <w:r w:rsidRPr="000A2C64">
        <w:rPr>
          <w:rStyle w:val="FootnoteReference"/>
          <w:rFonts w:eastAsiaTheme="majorEastAsia"/>
        </w:rPr>
        <w:footnoteRef/>
      </w:r>
      <w:r w:rsidRPr="000A2C64">
        <w:t xml:space="preserve"> E/C.12/GBR/CO/6, 'UN ICESCR Committee Concluding Observations on the Sixth Periodic Report of the UK of Great Britain and NI', 14 July 2016.</w:t>
      </w:r>
    </w:p>
  </w:footnote>
  <w:footnote w:id="118">
    <w:p w14:paraId="11533434" w14:textId="77777777" w:rsidR="00524390" w:rsidRPr="000A2C64" w:rsidRDefault="00524390" w:rsidP="00DF1041">
      <w:pPr>
        <w:pStyle w:val="NIHRCFootnotes"/>
      </w:pPr>
      <w:r w:rsidRPr="000A2C64">
        <w:rPr>
          <w:rStyle w:val="FootnoteReference"/>
          <w:rFonts w:eastAsiaTheme="majorEastAsia"/>
        </w:rPr>
        <w:footnoteRef/>
      </w:r>
      <w:r w:rsidRPr="000A2C64">
        <w:t xml:space="preserve"> CRC/C/GBR/CO/5, 'UN CRC Committee Concluding Observations on the Fifth Periodic Report of the UK of Great Britain and NI', 12 July 2016.</w:t>
      </w:r>
    </w:p>
  </w:footnote>
  <w:footnote w:id="119">
    <w:p w14:paraId="40065A20" w14:textId="77777777" w:rsidR="00524390" w:rsidRPr="000A2C64" w:rsidRDefault="00524390" w:rsidP="00DF1041">
      <w:pPr>
        <w:pStyle w:val="NIHRCFootnotes"/>
      </w:pPr>
      <w:r w:rsidRPr="000A2C64">
        <w:rPr>
          <w:rStyle w:val="FootnoteReference"/>
          <w:rFonts w:eastAsiaTheme="majorEastAsia"/>
        </w:rPr>
        <w:footnoteRef/>
      </w:r>
      <w:r w:rsidRPr="000A2C64">
        <w:t xml:space="preserve"> CERD/C/GBR/CO/21-23, 'UN CERD Committee Concluding Observations on the Twenty-first to Twenty-third Periodic Reports of UK', 26 August 2016.</w:t>
      </w:r>
    </w:p>
  </w:footnote>
  <w:footnote w:id="120">
    <w:p w14:paraId="4EBC500C" w14:textId="77777777" w:rsidR="00524390" w:rsidRPr="000A2C64" w:rsidRDefault="00524390" w:rsidP="00DF1041">
      <w:pPr>
        <w:pStyle w:val="NIHRCFootnotes"/>
      </w:pPr>
      <w:r w:rsidRPr="000A2C64">
        <w:rPr>
          <w:rStyle w:val="FootnoteReference"/>
          <w:rFonts w:eastAsiaTheme="majorEastAsia"/>
        </w:rPr>
        <w:footnoteRef/>
      </w:r>
      <w:r w:rsidRPr="000A2C64">
        <w:t xml:space="preserve"> CEDAW/C/GBR/CO/8, 'UN CEDAW Committee Concluding Observations on the Eighth Periodic Report of the UK of Great Britain and NI', 14 March 2019.</w:t>
      </w:r>
    </w:p>
  </w:footnote>
  <w:footnote w:id="121">
    <w:p w14:paraId="2957AEB5" w14:textId="17549BC3" w:rsidR="00524390" w:rsidRPr="000A2C64" w:rsidRDefault="00524390" w:rsidP="00DF1041">
      <w:pPr>
        <w:pStyle w:val="NIHRCFootnotes"/>
      </w:pPr>
      <w:r w:rsidRPr="000A2C64">
        <w:rPr>
          <w:rStyle w:val="FootnoteReference"/>
          <w:rFonts w:eastAsiaTheme="majorEastAsia"/>
        </w:rPr>
        <w:footnoteRef/>
      </w:r>
      <w:r w:rsidRPr="000A2C64">
        <w:t xml:space="preserve"> </w:t>
      </w:r>
      <w:r w:rsidR="00562D38" w:rsidRPr="000A2C64">
        <w:t>CEDAW/C/GBR/CO/8, 'UN CEDAW Committee Concluding Observations on the Eighth Periodic Report of the UK of Great Britain and NI', 14 March 2019</w:t>
      </w:r>
      <w:r w:rsidRPr="000A2C64">
        <w:t>.</w:t>
      </w:r>
    </w:p>
  </w:footnote>
  <w:footnote w:id="122">
    <w:p w14:paraId="179FD15D" w14:textId="312AE949" w:rsidR="00812221" w:rsidRPr="001473CD" w:rsidRDefault="00812221" w:rsidP="00DF1041">
      <w:pPr>
        <w:pStyle w:val="FootnoteText"/>
        <w:spacing w:line="240" w:lineRule="auto"/>
        <w:rPr>
          <w:sz w:val="16"/>
          <w:szCs w:val="16"/>
        </w:rPr>
      </w:pPr>
      <w:r w:rsidRPr="001473CD">
        <w:rPr>
          <w:rStyle w:val="FootnoteReference"/>
          <w:color w:val="77328A"/>
          <w:sz w:val="16"/>
          <w:szCs w:val="16"/>
        </w:rPr>
        <w:footnoteRef/>
      </w:r>
      <w:r w:rsidRPr="001473CD">
        <w:rPr>
          <w:color w:val="77328A"/>
          <w:sz w:val="16"/>
          <w:szCs w:val="16"/>
        </w:rPr>
        <w:t xml:space="preserve"> Tamara Hervey, ‘Brexit, Health and its potential impact on Article 2 of the Ireland/NI Protocol’ (NIHRC, 2022).</w:t>
      </w:r>
    </w:p>
  </w:footnote>
  <w:footnote w:id="123">
    <w:p w14:paraId="7BBE12E3" w14:textId="34358244" w:rsidR="00594C0C" w:rsidRPr="001473CD" w:rsidRDefault="00594C0C" w:rsidP="00DF1041">
      <w:pPr>
        <w:pStyle w:val="FootnoteText"/>
        <w:spacing w:line="240" w:lineRule="auto"/>
        <w:rPr>
          <w:sz w:val="16"/>
          <w:szCs w:val="16"/>
        </w:rPr>
      </w:pPr>
      <w:r w:rsidRPr="001473CD">
        <w:rPr>
          <w:rStyle w:val="FootnoteReference"/>
          <w:color w:val="77328A"/>
          <w:sz w:val="16"/>
          <w:szCs w:val="16"/>
        </w:rPr>
        <w:footnoteRef/>
      </w:r>
      <w:r w:rsidRPr="001473CD">
        <w:rPr>
          <w:color w:val="77328A"/>
          <w:sz w:val="16"/>
          <w:szCs w:val="16"/>
        </w:rPr>
        <w:t xml:space="preserve"> Frontline health staff have lacked clear information about the law applicable to patients accessing healthcare in NI post-Brexit (Tamara Hervey, ‘Brexit, Health and Its Potential Impact on Article 2 of the Ireland/NI Protocol’ (NIHRC, 2022); NI Human Rights Commission, ‘Briefing Paper and Recommendations on Brexit, Health and Its Potential Impact on Article 2 of the Windsor Framework’ (NIHRC, 2023)); Some migrant and minority ethnic women had been given incorrect advice on their eligibility to healthcare in NI (Katharine Wright, Ruth McAreavey and Rebecca Donaldson, ‘The Impact of Brexit on Women in NI’ (ECNI, 2024)); See also Independent Monitoring Authority, ‘Press Release: EU citizens may have been wrongfully charged for National Health Service treatment’, 10 May 2023; Independent Monitoring Authority, ‘An Inquiry by the Independent Monitoring Authority for the Citizens’ Rights Agreements into Certificates of Application’ (IMA, 2023), at para 117; Pivotal, ‘The Impact of Brexit on Minority Ethnic and Migrant People in NI’ (ECNI, 2023); Committee on Administration of Justice, ‘Frontline Lessons for the Future Collaborative Research on the Impact of Immigration Law and Policy in Post-Brexit NI’ (CAJ, 2022), at 49.</w:t>
      </w:r>
    </w:p>
  </w:footnote>
  <w:footnote w:id="124">
    <w:p w14:paraId="1BA28557" w14:textId="210D9266" w:rsidR="00F77827" w:rsidRPr="001473CD" w:rsidRDefault="00F77827" w:rsidP="00DF1041">
      <w:pPr>
        <w:pStyle w:val="FootnoteText"/>
        <w:spacing w:line="240" w:lineRule="auto"/>
        <w:rPr>
          <w:sz w:val="16"/>
          <w:szCs w:val="16"/>
        </w:rPr>
      </w:pPr>
      <w:r w:rsidRPr="001473CD">
        <w:rPr>
          <w:rStyle w:val="FootnoteReference"/>
          <w:color w:val="77328A"/>
          <w:sz w:val="16"/>
          <w:szCs w:val="16"/>
        </w:rPr>
        <w:footnoteRef/>
      </w:r>
      <w:r w:rsidRPr="001473CD">
        <w:rPr>
          <w:color w:val="77328A"/>
          <w:sz w:val="16"/>
          <w:szCs w:val="16"/>
        </w:rPr>
        <w:t xml:space="preserve"> Independent Monitoring Authority, ‘Independent Monitoring Authority focus on citizens’ rights in NI’, 15 December 2024.</w:t>
      </w:r>
    </w:p>
  </w:footnote>
  <w:footnote w:id="125">
    <w:p w14:paraId="3E73AACD" w14:textId="2733B388" w:rsidR="00226E6A" w:rsidRDefault="00226E6A" w:rsidP="00ED3892">
      <w:pPr>
        <w:pStyle w:val="NIHRCFootnotes"/>
      </w:pPr>
      <w:r>
        <w:rPr>
          <w:rStyle w:val="FootnoteReference"/>
        </w:rPr>
        <w:footnoteRef/>
      </w:r>
      <w:r w:rsidR="00ED3892">
        <w:t xml:space="preserve"> </w:t>
      </w:r>
      <w:r w:rsidR="00ED3892" w:rsidRPr="00961ADA">
        <w:t>UN Office of the High Commissioner for Human Rights (OHCHR), National Action Plans against Racial Discrimination, August 2014, at</w:t>
      </w:r>
      <w:r w:rsidR="00ED3892">
        <w:t xml:space="preserve"> 43.</w:t>
      </w:r>
    </w:p>
  </w:footnote>
  <w:footnote w:id="126">
    <w:p w14:paraId="67EBA0B4" w14:textId="0BD1B25F" w:rsidR="00A559E2" w:rsidRDefault="00A559E2" w:rsidP="00DF1041">
      <w:pPr>
        <w:pStyle w:val="NIHRCFootnotes"/>
      </w:pPr>
      <w:r>
        <w:rPr>
          <w:rStyle w:val="FootnoteReference"/>
        </w:rPr>
        <w:footnoteRef/>
      </w:r>
      <w:r w:rsidR="00E10371">
        <w:t xml:space="preserve"> </w:t>
      </w:r>
      <w:r w:rsidR="00E10371" w:rsidRPr="00961ADA">
        <w:t>UN Office of the High Commissioner for Human Rights (OHCHR), National Action Plans against Racial Discrimination, August 2014, at</w:t>
      </w:r>
      <w:r w:rsidR="002B0BF6">
        <w:t xml:space="preserve"> 42.</w:t>
      </w:r>
    </w:p>
  </w:footnote>
  <w:footnote w:id="127">
    <w:p w14:paraId="623204A1" w14:textId="73E9184C" w:rsidR="00E04CCA" w:rsidRDefault="00E04CCA" w:rsidP="00DF1041">
      <w:pPr>
        <w:pStyle w:val="NIHRCFootnotes"/>
      </w:pPr>
      <w:r>
        <w:rPr>
          <w:rStyle w:val="FootnoteReference"/>
        </w:rPr>
        <w:footnoteRef/>
      </w:r>
      <w:r>
        <w:t xml:space="preserve"> </w:t>
      </w:r>
      <w:r w:rsidRPr="00E04CCA">
        <w:t>Niamh Campbell, ‘Housing Shortages in NI: The causes, effects and potential solutions’, Belfast Telegraph, 5 October 2023.</w:t>
      </w:r>
    </w:p>
  </w:footnote>
  <w:footnote w:id="128">
    <w:p w14:paraId="61B789AF" w14:textId="45FBDFC1" w:rsidR="00E04CCA" w:rsidRDefault="00E04CCA" w:rsidP="00DF1041">
      <w:pPr>
        <w:pStyle w:val="NIHRCFootnotes"/>
      </w:pPr>
      <w:r>
        <w:rPr>
          <w:rStyle w:val="FootnoteReference"/>
        </w:rPr>
        <w:footnoteRef/>
      </w:r>
      <w:r>
        <w:t xml:space="preserve"> </w:t>
      </w:r>
      <w:r w:rsidR="00D530E7" w:rsidRPr="00D530E7">
        <w:t>Lucy Michael et al, ‘Inequalities Experienced by Black Asian Minority Ethnic Traveller People: A Report for Belfast City Council, Belfast Health and Social Care Trust and Public Health Agency NI’ (BCC, 2022), at 7</w:t>
      </w:r>
    </w:p>
  </w:footnote>
  <w:footnote w:id="129">
    <w:p w14:paraId="18B7D879" w14:textId="2CDDFD76" w:rsidR="00BD0E6A" w:rsidRDefault="00BD0E6A" w:rsidP="00DF1041">
      <w:pPr>
        <w:pStyle w:val="NIHRCFootnotes"/>
      </w:pPr>
      <w:r>
        <w:rPr>
          <w:rStyle w:val="FootnoteReference"/>
        </w:rPr>
        <w:footnoteRef/>
      </w:r>
      <w:r>
        <w:t xml:space="preserve"> </w:t>
      </w:r>
      <w:r w:rsidRPr="00BD0E6A">
        <w:t>UK Parliament Hansard, ‘NI Affairs Committee: The Experiences of Minority Ethnic and Migrant People in Northern Ireland Inquiry – Forward South Partnership – MEM0031’, October 2021</w:t>
      </w:r>
    </w:p>
  </w:footnote>
  <w:footnote w:id="130">
    <w:p w14:paraId="3A12DD10" w14:textId="726F9415" w:rsidR="00BD0E6A" w:rsidRDefault="00BD0E6A" w:rsidP="00DF1041">
      <w:pPr>
        <w:pStyle w:val="NIHRCFootnotes"/>
      </w:pPr>
      <w:r>
        <w:rPr>
          <w:rStyle w:val="FootnoteReference"/>
        </w:rPr>
        <w:footnoteRef/>
      </w:r>
      <w:r>
        <w:t xml:space="preserve"> </w:t>
      </w:r>
      <w:r w:rsidR="006045E8" w:rsidRPr="006045E8">
        <w:t>UK Parliament Hansard, ‘NI Affairs Committee: The Experiences of Minority Ethnic and Migrant People in Northern Ireland Inquiry – Forward South Partnership – MEM0031’, October 2021</w:t>
      </w:r>
    </w:p>
  </w:footnote>
  <w:footnote w:id="131">
    <w:p w14:paraId="601A3110" w14:textId="14180AA3" w:rsidR="00ED3892" w:rsidRDefault="00ED3892" w:rsidP="00653C92">
      <w:pPr>
        <w:pStyle w:val="NIHRCFootnotes"/>
      </w:pPr>
      <w:r>
        <w:rPr>
          <w:rStyle w:val="FootnoteReference"/>
        </w:rPr>
        <w:footnoteRef/>
      </w:r>
      <w:r w:rsidR="00653C92">
        <w:t xml:space="preserve"> </w:t>
      </w:r>
      <w:r w:rsidR="00653C92" w:rsidRPr="00B30720">
        <w:t>E/C.12/GBR/CO/7</w:t>
      </w:r>
      <w:r w:rsidR="00653C92">
        <w:t>, ‘</w:t>
      </w:r>
      <w:r w:rsidR="00653C92" w:rsidRPr="000A2C64">
        <w:t xml:space="preserve">UN ICESCR Committee </w:t>
      </w:r>
      <w:r w:rsidR="00653C92" w:rsidRPr="00277D87">
        <w:t>Concluding observations on the seventh periodic report of the United Kingdom of Great Britain and Northern Ireland</w:t>
      </w:r>
      <w:r w:rsidR="00653C92">
        <w:t>’,</w:t>
      </w:r>
      <w:r w:rsidR="00653C92" w:rsidRPr="00DE08F6">
        <w:t xml:space="preserve"> 12 March 202</w:t>
      </w:r>
      <w:r w:rsidR="00653C92">
        <w:t>5, at para 46.</w:t>
      </w:r>
    </w:p>
  </w:footnote>
  <w:footnote w:id="132">
    <w:p w14:paraId="3D88C446" w14:textId="69FD6C41" w:rsidR="000075A9" w:rsidRDefault="000075A9" w:rsidP="00451066">
      <w:pPr>
        <w:pStyle w:val="NIHRCFootnotes"/>
      </w:pPr>
      <w:r>
        <w:rPr>
          <w:rStyle w:val="FootnoteReference"/>
        </w:rPr>
        <w:footnoteRef/>
      </w:r>
      <w:r>
        <w:t xml:space="preserve"> </w:t>
      </w:r>
      <w:r w:rsidR="00EF424A" w:rsidRPr="00B30720">
        <w:t>E/C.12/GBR/CO/7</w:t>
      </w:r>
      <w:r w:rsidR="00EF424A">
        <w:t>, ‘</w:t>
      </w:r>
      <w:r w:rsidR="00EF424A" w:rsidRPr="000A2C64">
        <w:t xml:space="preserve">UN ICESCR Committee </w:t>
      </w:r>
      <w:r w:rsidR="00EF424A" w:rsidRPr="00277D87">
        <w:t>Concluding observations on the seventh periodic report of the United Kingdom of Great Britain and Northern Ireland</w:t>
      </w:r>
      <w:r w:rsidR="00EF424A">
        <w:t>’,</w:t>
      </w:r>
      <w:r w:rsidR="00EF424A" w:rsidRPr="00DE08F6">
        <w:t xml:space="preserve"> 12 March 202</w:t>
      </w:r>
      <w:r w:rsidR="00EF424A">
        <w:t>5, at para</w:t>
      </w:r>
      <w:r w:rsidR="003264AE">
        <w:t xml:space="preserve"> 47</w:t>
      </w:r>
      <w:r w:rsidR="00451066">
        <w:t>(h).</w:t>
      </w:r>
    </w:p>
  </w:footnote>
  <w:footnote w:id="133">
    <w:p w14:paraId="40F63AF0" w14:textId="23CE610E" w:rsidR="00194BCD" w:rsidRDefault="00194BCD" w:rsidP="00DF1041">
      <w:pPr>
        <w:pStyle w:val="NIHRCFootnotes"/>
      </w:pPr>
      <w:r>
        <w:rPr>
          <w:rStyle w:val="FootnoteReference"/>
        </w:rPr>
        <w:footnoteRef/>
      </w:r>
      <w:r w:rsidR="007031A2">
        <w:t xml:space="preserve"> </w:t>
      </w:r>
      <w:r w:rsidR="007031A2" w:rsidRPr="00961ADA">
        <w:t>UN Office of the High Commissioner for Human Rights (OHCHR), National Action Plans against Racial Discrimination, August 2014, at</w:t>
      </w:r>
      <w:r w:rsidR="007031A2">
        <w:t xml:space="preserve"> 11</w:t>
      </w:r>
      <w:r>
        <w:t>.</w:t>
      </w:r>
    </w:p>
  </w:footnote>
  <w:footnote w:id="134">
    <w:p w14:paraId="28E7919E" w14:textId="23AECD29" w:rsidR="00381E2C" w:rsidRDefault="00381E2C" w:rsidP="00DF1041">
      <w:pPr>
        <w:pStyle w:val="NIHRCFootnotes"/>
      </w:pPr>
      <w:r>
        <w:rPr>
          <w:rStyle w:val="FootnoteReference"/>
        </w:rPr>
        <w:footnoteRef/>
      </w:r>
      <w:r w:rsidR="00DB129F">
        <w:t xml:space="preserve"> </w:t>
      </w:r>
      <w:r w:rsidRPr="00B30720">
        <w:t>E/C.12/GBR/CO/7</w:t>
      </w:r>
      <w:r>
        <w:t>, ‘</w:t>
      </w:r>
      <w:r w:rsidRPr="000A2C64">
        <w:t xml:space="preserve">UN ICESCR Committee </w:t>
      </w:r>
      <w:r w:rsidRPr="00277D87">
        <w:t>Concluding observations on the seventh periodic report of the United Kingdom of Great Britain and Northern Ireland</w:t>
      </w:r>
      <w:r>
        <w:t>’,</w:t>
      </w:r>
      <w:r w:rsidRPr="00DE08F6">
        <w:t xml:space="preserve"> 12 March 202</w:t>
      </w:r>
      <w:r>
        <w:t>5, at para 25(c).</w:t>
      </w:r>
    </w:p>
  </w:footnote>
  <w:footnote w:id="135">
    <w:p w14:paraId="664F0995" w14:textId="46954C3D" w:rsidR="00EE0031" w:rsidRDefault="00EE0031" w:rsidP="00DF1041">
      <w:pPr>
        <w:pStyle w:val="NIHRCFootnotes"/>
      </w:pPr>
      <w:r>
        <w:rPr>
          <w:rStyle w:val="FootnoteReference"/>
        </w:rPr>
        <w:footnoteRef/>
      </w:r>
      <w:r w:rsidR="00C65CEA">
        <w:t xml:space="preserve"> </w:t>
      </w:r>
      <w:r w:rsidR="00C65CEA" w:rsidRPr="00961ADA">
        <w:t>UN Office of the High Commissioner for Human Rights (OHCHR), National Action Plans against Racial Discrimination, August 2014, at</w:t>
      </w:r>
      <w:r w:rsidR="00C65CEA">
        <w:t xml:space="preserve"> 60.</w:t>
      </w:r>
    </w:p>
  </w:footnote>
  <w:footnote w:id="136">
    <w:p w14:paraId="1A74D989" w14:textId="19FC365D" w:rsidR="006316D2" w:rsidRDefault="006316D2" w:rsidP="00DF1041">
      <w:pPr>
        <w:pStyle w:val="NIHRCFootnotes"/>
      </w:pPr>
      <w:r>
        <w:rPr>
          <w:rStyle w:val="FootnoteReference"/>
        </w:rPr>
        <w:footnoteRef/>
      </w:r>
      <w:r w:rsidR="00CF6CD7">
        <w:t xml:space="preserve"> </w:t>
      </w:r>
      <w:r w:rsidRPr="00945548">
        <w:t>CERD/C/GBR/CO/21-23</w:t>
      </w:r>
      <w:r>
        <w:t>,</w:t>
      </w:r>
      <w:r w:rsidR="00CF6CD7">
        <w:t xml:space="preserve"> ‘</w:t>
      </w:r>
      <w:r w:rsidRPr="00EA694B">
        <w:t>Concluding observations on the combined twenty-first to twenty-third periodic reports of the United Kingdom of Great Britain and Northern Ireland</w:t>
      </w:r>
      <w:r w:rsidR="00CF6CD7">
        <w:t>’, at para 14.</w:t>
      </w:r>
    </w:p>
  </w:footnote>
  <w:footnote w:id="137">
    <w:p w14:paraId="4340D782" w14:textId="1F3CD1C4" w:rsidR="009F5FDD" w:rsidRPr="001A4627" w:rsidRDefault="009F5FDD" w:rsidP="00DF1041">
      <w:pPr>
        <w:pStyle w:val="NIHRCFootnotes"/>
      </w:pPr>
      <w:r>
        <w:rPr>
          <w:rStyle w:val="FootnoteReference"/>
        </w:rPr>
        <w:footnoteRef/>
      </w:r>
      <w:r w:rsidR="00CF6CD7">
        <w:t xml:space="preserve"> </w:t>
      </w:r>
      <w:r w:rsidR="00CF6CD7" w:rsidRPr="00961ADA">
        <w:t xml:space="preserve">UN Office of the High Commissioner for Human Rights (OHCHR), National Action Plans against Racial Discrimination, </w:t>
      </w:r>
      <w:r w:rsidR="00CF6CD7" w:rsidRPr="001A4627">
        <w:t xml:space="preserve">August 2014, at </w:t>
      </w:r>
      <w:r w:rsidR="009C6F11" w:rsidRPr="001A4627">
        <w:t>59</w:t>
      </w:r>
      <w:r w:rsidR="00CF6CD7" w:rsidRPr="001A4627">
        <w:t>.</w:t>
      </w:r>
    </w:p>
  </w:footnote>
  <w:footnote w:id="138">
    <w:p w14:paraId="0EB51751" w14:textId="140F66C2" w:rsidR="00065CE9" w:rsidRPr="007F7D9B" w:rsidRDefault="00065CE9" w:rsidP="00065CE9">
      <w:pPr>
        <w:pStyle w:val="FootnoteText"/>
        <w:spacing w:line="240" w:lineRule="auto"/>
        <w:rPr>
          <w:color w:val="77328A"/>
          <w:sz w:val="16"/>
          <w:szCs w:val="16"/>
        </w:rPr>
      </w:pPr>
      <w:r w:rsidRPr="004D47B0">
        <w:rPr>
          <w:rStyle w:val="FootnoteReference"/>
          <w:color w:val="77328A"/>
          <w:sz w:val="16"/>
          <w:szCs w:val="16"/>
        </w:rPr>
        <w:footnoteRef/>
      </w:r>
      <w:r w:rsidRPr="004D47B0">
        <w:rPr>
          <w:color w:val="77328A"/>
          <w:sz w:val="16"/>
          <w:szCs w:val="16"/>
        </w:rPr>
        <w:t xml:space="preserve"> </w:t>
      </w:r>
      <w:r w:rsidRPr="003F2AE3">
        <w:rPr>
          <w:color w:val="77328A"/>
          <w:sz w:val="16"/>
          <w:szCs w:val="16"/>
        </w:rPr>
        <w:t>Directive 2024/1499/EU, ‘EU Council Directive on Standards for Equality Bodies in the Field of Equal Treatment Between Persons Irrespective of their Racial or Ethnic Origin, Equal Treatment in Matters of Employment and Occupation Between Persons Irrespective of their Religion or Belief, Disability, Age or Sexual Orientation, Equal Treatment Between Women and Men in Matters of Social Security and in the Access to and Supply of Goods and Services, and Amending Directives 2000/43/EC and 2004/113/EC’, 7 May 2024</w:t>
      </w:r>
      <w:r>
        <w:rPr>
          <w:color w:val="77328A"/>
          <w:sz w:val="16"/>
          <w:szCs w:val="16"/>
        </w:rPr>
        <w:t>.</w:t>
      </w:r>
    </w:p>
  </w:footnote>
  <w:footnote w:id="139">
    <w:p w14:paraId="279056BC" w14:textId="0340EC90" w:rsidR="00824062" w:rsidRPr="007F7D9B" w:rsidRDefault="00824062" w:rsidP="00DF1041">
      <w:pPr>
        <w:pStyle w:val="FootnoteText"/>
        <w:spacing w:line="240" w:lineRule="auto"/>
        <w:rPr>
          <w:color w:val="77328A"/>
          <w:sz w:val="16"/>
          <w:szCs w:val="16"/>
        </w:rPr>
      </w:pPr>
      <w:r w:rsidRPr="004D47B0">
        <w:rPr>
          <w:rStyle w:val="FootnoteReference"/>
          <w:color w:val="77328A"/>
          <w:sz w:val="16"/>
          <w:szCs w:val="16"/>
        </w:rPr>
        <w:footnoteRef/>
      </w:r>
      <w:r w:rsidRPr="004D47B0">
        <w:rPr>
          <w:color w:val="77328A"/>
          <w:sz w:val="16"/>
          <w:szCs w:val="16"/>
        </w:rPr>
        <w:t xml:space="preserve"> Article </w:t>
      </w:r>
      <w:r w:rsidR="00F76677">
        <w:rPr>
          <w:color w:val="77328A"/>
          <w:sz w:val="16"/>
          <w:szCs w:val="16"/>
        </w:rPr>
        <w:t>16</w:t>
      </w:r>
      <w:r w:rsidRPr="007F7D9B">
        <w:rPr>
          <w:color w:val="77328A"/>
          <w:sz w:val="16"/>
          <w:szCs w:val="16"/>
        </w:rPr>
        <w:t xml:space="preserve">, </w:t>
      </w:r>
      <w:r w:rsidR="00D74EB9" w:rsidRPr="003F2AE3">
        <w:rPr>
          <w:color w:val="77328A"/>
          <w:sz w:val="16"/>
          <w:szCs w:val="16"/>
        </w:rPr>
        <w:t>Directive 2024/1499/EU, ‘EU Council Directive on Standards for Equality Bodies in the Field of Equal Treatment Between Persons Irrespective of their Racial or Ethnic Origin, Equal Treatment in Matters of Employment and Occupation Between Persons Irrespective of their Religion or Belief, Disability, Age or Sexual Orientation, Equal Treatment Between Women and Men in Matters of Social Security and in the Access to and Supply of Goods and Services, and Amending Directives 2000/43/EC and 2004/113/EC’, 7 May 2024</w:t>
      </w:r>
      <w:r w:rsidR="00D74EB9">
        <w:rPr>
          <w:color w:val="77328A"/>
          <w:sz w:val="16"/>
          <w:szCs w:val="16"/>
        </w:rPr>
        <w:t>.</w:t>
      </w:r>
    </w:p>
  </w:footnote>
  <w:footnote w:id="140">
    <w:p w14:paraId="1FCA7E47" w14:textId="39D8F42D" w:rsidR="00C369E9" w:rsidRPr="007F7D9B" w:rsidRDefault="00C369E9" w:rsidP="00DF1041">
      <w:pPr>
        <w:pStyle w:val="FootnoteText"/>
        <w:spacing w:line="240" w:lineRule="auto"/>
        <w:rPr>
          <w:sz w:val="16"/>
          <w:szCs w:val="16"/>
        </w:rPr>
      </w:pPr>
      <w:r w:rsidRPr="007F7D9B">
        <w:rPr>
          <w:rStyle w:val="FootnoteReference"/>
          <w:sz w:val="16"/>
          <w:szCs w:val="16"/>
        </w:rPr>
        <w:footnoteRef/>
      </w:r>
      <w:r w:rsidRPr="007F7D9B">
        <w:rPr>
          <w:sz w:val="16"/>
          <w:szCs w:val="16"/>
        </w:rPr>
        <w:t xml:space="preserve"> </w:t>
      </w:r>
      <w:r w:rsidR="00D73BBF" w:rsidRPr="007F7D9B">
        <w:rPr>
          <w:color w:val="77328A"/>
          <w:sz w:val="16"/>
          <w:szCs w:val="16"/>
        </w:rPr>
        <w:t>Recital 16</w:t>
      </w:r>
      <w:r w:rsidR="001A4627">
        <w:rPr>
          <w:sz w:val="16"/>
          <w:szCs w:val="16"/>
        </w:rPr>
        <w:t xml:space="preserve">, </w:t>
      </w:r>
      <w:r w:rsidR="00D74EB9" w:rsidRPr="003F2AE3">
        <w:rPr>
          <w:color w:val="77328A"/>
          <w:sz w:val="16"/>
          <w:szCs w:val="16"/>
        </w:rPr>
        <w:t>Directive 2024/1499/EU, ‘EU Council Directive on Standards for Equality Bodies in the Field of Equal Treatment Between Persons Irrespective of their Racial or Ethnic Origin, Equal Treatment in Matters of Employment and Occupation Between Persons Irrespective of their Religion or Belief, Disability, Age or Sexual Orientation, Equal Treatment Between Women and Men in Matters of Social Security and in the Access to and Supply of Goods and Services, and Amending Directives 2000/43/EC and 2004/113/EC’, 7 May 2024</w:t>
      </w:r>
      <w:r w:rsidR="00D74EB9">
        <w:rPr>
          <w:color w:val="77328A"/>
          <w:sz w:val="16"/>
          <w:szCs w:val="16"/>
        </w:rPr>
        <w:t>.</w:t>
      </w:r>
    </w:p>
  </w:footnote>
  <w:footnote w:id="141">
    <w:p w14:paraId="40AA78B1" w14:textId="3328E12F" w:rsidR="00AD02B1" w:rsidRDefault="00AD02B1" w:rsidP="00283F4A">
      <w:pPr>
        <w:pStyle w:val="NIHRCFootnotes"/>
      </w:pPr>
      <w:r w:rsidRPr="007F7D9B">
        <w:rPr>
          <w:rStyle w:val="FootnoteReference"/>
        </w:rPr>
        <w:footnoteRef/>
      </w:r>
      <w:r w:rsidRPr="007F7D9B">
        <w:t xml:space="preserve"> </w:t>
      </w:r>
      <w:r w:rsidRPr="00391FC4">
        <w:t xml:space="preserve">Recital </w:t>
      </w:r>
      <w:r>
        <w:t xml:space="preserve">43, </w:t>
      </w:r>
      <w:r w:rsidR="00D74EB9" w:rsidRPr="003F2AE3">
        <w:t>Directive 2024/1499/EU, ‘EU Council Directive on Standards for Equality Bodies in the Field of Equal Treatment Between Persons Irrespective of their Racial or Ethnic Origin, Equal Treatment in Matters of Employment and Occupation Between Persons Irrespective of their Religion or Belief, Disability, Age or Sexual Orientation, Equal Treatment Between Women and Men in Matters of Social Security and in the Access to and Supply of Goods and Services, and Amending Directives 2000/43/EC and 2004/113/EC’, 7 May 2024</w:t>
      </w:r>
      <w:r w:rsidR="00D74EB9">
        <w:t>.</w:t>
      </w:r>
    </w:p>
  </w:footnote>
  <w:footnote w:id="142">
    <w:p w14:paraId="3476B0FB" w14:textId="4253A775" w:rsidR="00FB7463" w:rsidRDefault="00FB7463" w:rsidP="00283F4A">
      <w:pPr>
        <w:pStyle w:val="NIHRCFootnotes"/>
      </w:pPr>
      <w:r>
        <w:rPr>
          <w:rStyle w:val="FootnoteReference"/>
        </w:rPr>
        <w:footnoteRef/>
      </w:r>
      <w:r w:rsidR="00283F4A">
        <w:t xml:space="preserve"> Article 6(1).</w:t>
      </w:r>
    </w:p>
  </w:footnote>
  <w:footnote w:id="143">
    <w:p w14:paraId="127DCEF5" w14:textId="2CB6F6A4" w:rsidR="009711FE" w:rsidRDefault="009711FE" w:rsidP="000A5EFA">
      <w:pPr>
        <w:pStyle w:val="NIHRCFootnotes"/>
      </w:pPr>
      <w:r>
        <w:rPr>
          <w:rStyle w:val="FootnoteReference"/>
        </w:rPr>
        <w:footnoteRef/>
      </w:r>
      <w:r>
        <w:t xml:space="preserve"> </w:t>
      </w:r>
      <w:r w:rsidR="004A2157">
        <w:t>Article 6</w:t>
      </w:r>
      <w:r w:rsidR="00171348">
        <w:t>(1).</w:t>
      </w:r>
    </w:p>
  </w:footnote>
  <w:footnote w:id="144">
    <w:p w14:paraId="556AC2CF" w14:textId="365C5083" w:rsidR="00A6538E" w:rsidRDefault="00A6538E" w:rsidP="00DF1041">
      <w:pPr>
        <w:pStyle w:val="NIHRCFootnotes"/>
      </w:pPr>
      <w:r>
        <w:rPr>
          <w:rStyle w:val="FootnoteReference"/>
        </w:rPr>
        <w:footnoteRef/>
      </w:r>
      <w:r>
        <w:t xml:space="preserve"> </w:t>
      </w:r>
      <w:r w:rsidR="0035608B" w:rsidRPr="00961ADA">
        <w:t>UN Office of the High Commissioner for Human Rights (OHCHR), National Action Plans against Racial Discrimination, August 2014, at</w:t>
      </w:r>
      <w:r w:rsidR="0035608B">
        <w:t xml:space="preserve"> </w:t>
      </w:r>
      <w:r w:rsidR="007E472C">
        <w:t>26</w:t>
      </w:r>
      <w:r w:rsidR="0035608B">
        <w:t>.</w:t>
      </w:r>
    </w:p>
  </w:footnote>
  <w:footnote w:id="145">
    <w:p w14:paraId="24F5FFBA" w14:textId="5E6041E5" w:rsidR="00AB4958" w:rsidRDefault="00AB4958" w:rsidP="00DF1041">
      <w:pPr>
        <w:pStyle w:val="NIHRCFootnotes"/>
      </w:pPr>
      <w:r>
        <w:rPr>
          <w:rStyle w:val="FootnoteReference"/>
        </w:rPr>
        <w:footnoteRef/>
      </w:r>
      <w:r>
        <w:t xml:space="preserve"> </w:t>
      </w:r>
      <w:r w:rsidR="00407CD6" w:rsidRPr="00407CD6">
        <w:t>UN Office of the High Commissioner for Human Rights (OHCHR), National Action Plans against Racial Discrimination, August 2014, at</w:t>
      </w:r>
      <w:r w:rsidR="00407CD6">
        <w:t xml:space="preserve"> </w:t>
      </w:r>
      <w:r>
        <w:t>84</w:t>
      </w:r>
      <w:r w:rsidR="00407CD6">
        <w:t>.</w:t>
      </w:r>
    </w:p>
  </w:footnote>
  <w:footnote w:id="146">
    <w:p w14:paraId="51E511AE" w14:textId="0DD4D195" w:rsidR="00407CD6" w:rsidRDefault="00407CD6" w:rsidP="00DF1041">
      <w:pPr>
        <w:pStyle w:val="NIHRCFootnotes"/>
      </w:pPr>
      <w:r>
        <w:rPr>
          <w:rStyle w:val="FootnoteReference"/>
        </w:rPr>
        <w:footnoteRef/>
      </w:r>
      <w:r>
        <w:t xml:space="preserve"> </w:t>
      </w:r>
      <w:r w:rsidRPr="00961ADA">
        <w:t>UN Office of the High Commissioner for Human Rights (OHCHR), National Action Plans against Racial Discrimination, August 2014, at</w:t>
      </w:r>
      <w:r>
        <w:t xml:space="preserve"> 11. </w:t>
      </w:r>
    </w:p>
  </w:footnote>
  <w:footnote w:id="147">
    <w:p w14:paraId="1D5215C3" w14:textId="0251C1E4" w:rsidR="00691762" w:rsidRDefault="00691762" w:rsidP="00DF1041">
      <w:pPr>
        <w:pStyle w:val="NIHRCFootnotes"/>
      </w:pPr>
      <w:r>
        <w:rPr>
          <w:rStyle w:val="FootnoteReference"/>
        </w:rPr>
        <w:footnoteRef/>
      </w:r>
      <w:r>
        <w:t xml:space="preserve"> </w:t>
      </w:r>
      <w:r w:rsidRPr="00961ADA">
        <w:t>UN Office of the High Commissioner for Human Rights (OHCHR), National Action Plans against Racial Discrimination, August 2014, at</w:t>
      </w:r>
      <w:r>
        <w:t xml:space="preserve"> 27</w:t>
      </w:r>
      <w:r w:rsidR="0080665B">
        <w:t>.</w:t>
      </w:r>
    </w:p>
  </w:footnote>
  <w:footnote w:id="148">
    <w:p w14:paraId="66D88651" w14:textId="77777777" w:rsidR="00DE0967" w:rsidRDefault="00DE0967" w:rsidP="00DF1041">
      <w:pPr>
        <w:pStyle w:val="NIHRCFootnotes"/>
      </w:pPr>
      <w:r>
        <w:rPr>
          <w:rStyle w:val="FootnoteReference"/>
        </w:rPr>
        <w:footnoteRef/>
      </w:r>
      <w:r>
        <w:t xml:space="preserve"> </w:t>
      </w:r>
      <w:r w:rsidR="0080665B" w:rsidRPr="00961ADA">
        <w:t>UN Office of the High Commissioner for Human Rights (OHCHR), National Action Plans against Racial Discrimination, August 2014, at</w:t>
      </w:r>
      <w:r w:rsidR="0080665B">
        <w:t xml:space="preserve"> 27.</w:t>
      </w:r>
    </w:p>
  </w:footnote>
  <w:footnote w:id="149">
    <w:p w14:paraId="4E70D8AA" w14:textId="2EC356FC" w:rsidR="00841D57" w:rsidRDefault="00841D57" w:rsidP="00DF1041">
      <w:pPr>
        <w:pStyle w:val="NIHRCFootnotes"/>
      </w:pPr>
      <w:r>
        <w:rPr>
          <w:rStyle w:val="FootnoteReference"/>
        </w:rPr>
        <w:footnoteRef/>
      </w:r>
      <w:r>
        <w:t xml:space="preserve"> </w:t>
      </w:r>
      <w:r w:rsidR="00966285" w:rsidRPr="00961ADA">
        <w:t>UN Office of the High Commissioner for Human Rights (OHCHR), National Action Plans against Racial Discrimination, August 2014, at</w:t>
      </w:r>
      <w:r w:rsidR="00966285">
        <w:t xml:space="preserve"> </w:t>
      </w:r>
      <w:r>
        <w:t>85</w:t>
      </w:r>
      <w:r w:rsidR="00966285">
        <w:t>.</w:t>
      </w:r>
    </w:p>
  </w:footnote>
  <w:footnote w:id="150">
    <w:p w14:paraId="2FC75586" w14:textId="0674E71D" w:rsidR="00B91979" w:rsidRDefault="00B91979" w:rsidP="00DF1041">
      <w:pPr>
        <w:pStyle w:val="NIHRCFootnotes"/>
      </w:pPr>
      <w:r>
        <w:rPr>
          <w:rStyle w:val="FootnoteReference"/>
        </w:rPr>
        <w:footnoteRef/>
      </w:r>
      <w:r>
        <w:t xml:space="preserve"> </w:t>
      </w:r>
      <w:r w:rsidR="00966285" w:rsidRPr="00961ADA">
        <w:t>UN Office of the High Commissioner for Human Rights (OHCHR), National Action Plans against Racial Discrimination, August 2014, at</w:t>
      </w:r>
      <w:r w:rsidR="00966285">
        <w:t xml:space="preserve"> </w:t>
      </w:r>
      <w:r>
        <w:t>86</w:t>
      </w:r>
      <w:r w:rsidR="0096628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79A7"/>
    <w:multiLevelType w:val="multilevel"/>
    <w:tmpl w:val="B21A3EA8"/>
    <w:lvl w:ilvl="0">
      <w:start w:val="3"/>
      <w:numFmt w:val="decimal"/>
      <w:lvlText w:val="%1"/>
      <w:lvlJc w:val="left"/>
      <w:pPr>
        <w:ind w:left="588" w:hanging="588"/>
      </w:pPr>
      <w:rPr>
        <w:rFonts w:hint="default"/>
        <w:b/>
      </w:rPr>
    </w:lvl>
    <w:lvl w:ilvl="1">
      <w:start w:val="57"/>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1" w15:restartNumberingAfterBreak="0">
    <w:nsid w:val="0E4E0A12"/>
    <w:multiLevelType w:val="multilevel"/>
    <w:tmpl w:val="F7E4B0CE"/>
    <w:lvl w:ilvl="0">
      <w:start w:val="6"/>
      <w:numFmt w:val="decimal"/>
      <w:lvlText w:val="%1.0"/>
      <w:lvlJc w:val="left"/>
      <w:pPr>
        <w:ind w:left="1080" w:hanging="7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1080"/>
      </w:pPr>
      <w:rPr>
        <w:rFonts w:hint="default"/>
      </w:rPr>
    </w:lvl>
    <w:lvl w:ilvl="3">
      <w:start w:val="1"/>
      <w:numFmt w:val="decimal"/>
      <w:lvlText w:val="%1.%2.%3.%4"/>
      <w:lvlJc w:val="left"/>
      <w:pPr>
        <w:ind w:left="3960" w:hanging="1440"/>
      </w:pPr>
      <w:rPr>
        <w:rFonts w:hint="default"/>
      </w:rPr>
    </w:lvl>
    <w:lvl w:ilvl="4">
      <w:start w:val="1"/>
      <w:numFmt w:val="decimal"/>
      <w:lvlText w:val="%1.%2.%3.%4.%5"/>
      <w:lvlJc w:val="left"/>
      <w:pPr>
        <w:ind w:left="5040" w:hanging="1800"/>
      </w:pPr>
      <w:rPr>
        <w:rFonts w:hint="default"/>
      </w:rPr>
    </w:lvl>
    <w:lvl w:ilvl="5">
      <w:start w:val="1"/>
      <w:numFmt w:val="decimal"/>
      <w:lvlText w:val="%1.%2.%3.%4.%5.%6"/>
      <w:lvlJc w:val="left"/>
      <w:pPr>
        <w:ind w:left="6120" w:hanging="2160"/>
      </w:pPr>
      <w:rPr>
        <w:rFonts w:hint="default"/>
      </w:rPr>
    </w:lvl>
    <w:lvl w:ilvl="6">
      <w:start w:val="1"/>
      <w:numFmt w:val="decimal"/>
      <w:lvlText w:val="%1.%2.%3.%4.%5.%6.%7"/>
      <w:lvlJc w:val="left"/>
      <w:pPr>
        <w:ind w:left="7200" w:hanging="2520"/>
      </w:pPr>
      <w:rPr>
        <w:rFonts w:hint="default"/>
      </w:rPr>
    </w:lvl>
    <w:lvl w:ilvl="7">
      <w:start w:val="1"/>
      <w:numFmt w:val="decimal"/>
      <w:lvlText w:val="%1.%2.%3.%4.%5.%6.%7.%8"/>
      <w:lvlJc w:val="left"/>
      <w:pPr>
        <w:ind w:left="8280" w:hanging="2880"/>
      </w:pPr>
      <w:rPr>
        <w:rFonts w:hint="default"/>
      </w:rPr>
    </w:lvl>
    <w:lvl w:ilvl="8">
      <w:start w:val="1"/>
      <w:numFmt w:val="decimal"/>
      <w:lvlText w:val="%1.%2.%3.%4.%5.%6.%7.%8.%9"/>
      <w:lvlJc w:val="left"/>
      <w:pPr>
        <w:ind w:left="9360" w:hanging="3240"/>
      </w:pPr>
      <w:rPr>
        <w:rFonts w:hint="default"/>
      </w:rPr>
    </w:lvl>
  </w:abstractNum>
  <w:abstractNum w:abstractNumId="2" w15:restartNumberingAfterBreak="0">
    <w:nsid w:val="13055F4A"/>
    <w:multiLevelType w:val="multilevel"/>
    <w:tmpl w:val="CF5C9306"/>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3" w15:restartNumberingAfterBreak="0">
    <w:nsid w:val="1CA87D86"/>
    <w:multiLevelType w:val="multilevel"/>
    <w:tmpl w:val="9D78962A"/>
    <w:lvl w:ilvl="0">
      <w:start w:val="5"/>
      <w:numFmt w:val="decimal"/>
      <w:lvlText w:val="%1.0"/>
      <w:lvlJc w:val="left"/>
      <w:pPr>
        <w:ind w:left="1080" w:hanging="720"/>
      </w:pPr>
      <w:rPr>
        <w:rFonts w:hint="default"/>
      </w:rPr>
    </w:lvl>
    <w:lvl w:ilvl="1">
      <w:start w:val="1"/>
      <w:numFmt w:val="decimal"/>
      <w:lvlText w:val="%1.%2"/>
      <w:lvlJc w:val="left"/>
      <w:pPr>
        <w:ind w:left="1800" w:hanging="720"/>
      </w:pPr>
      <w:rPr>
        <w:rFonts w:ascii="Verdana" w:hAnsi="Verdana" w:hint="default"/>
      </w:rPr>
    </w:lvl>
    <w:lvl w:ilvl="2">
      <w:start w:val="1"/>
      <w:numFmt w:val="decimal"/>
      <w:lvlText w:val="%1.%2.%3"/>
      <w:lvlJc w:val="left"/>
      <w:pPr>
        <w:ind w:left="2880" w:hanging="1080"/>
      </w:pPr>
      <w:rPr>
        <w:rFonts w:hint="default"/>
      </w:rPr>
    </w:lvl>
    <w:lvl w:ilvl="3">
      <w:start w:val="1"/>
      <w:numFmt w:val="decimal"/>
      <w:lvlText w:val="%1.%2.%3.%4"/>
      <w:lvlJc w:val="left"/>
      <w:pPr>
        <w:ind w:left="3960" w:hanging="1440"/>
      </w:pPr>
      <w:rPr>
        <w:rFonts w:hint="default"/>
      </w:rPr>
    </w:lvl>
    <w:lvl w:ilvl="4">
      <w:start w:val="1"/>
      <w:numFmt w:val="decimal"/>
      <w:lvlText w:val="%1.%2.%3.%4.%5"/>
      <w:lvlJc w:val="left"/>
      <w:pPr>
        <w:ind w:left="5040" w:hanging="1800"/>
      </w:pPr>
      <w:rPr>
        <w:rFonts w:hint="default"/>
      </w:rPr>
    </w:lvl>
    <w:lvl w:ilvl="5">
      <w:start w:val="1"/>
      <w:numFmt w:val="decimal"/>
      <w:lvlText w:val="%1.%2.%3.%4.%5.%6"/>
      <w:lvlJc w:val="left"/>
      <w:pPr>
        <w:ind w:left="6120" w:hanging="2160"/>
      </w:pPr>
      <w:rPr>
        <w:rFonts w:hint="default"/>
      </w:rPr>
    </w:lvl>
    <w:lvl w:ilvl="6">
      <w:start w:val="1"/>
      <w:numFmt w:val="decimal"/>
      <w:lvlText w:val="%1.%2.%3.%4.%5.%6.%7"/>
      <w:lvlJc w:val="left"/>
      <w:pPr>
        <w:ind w:left="7200" w:hanging="2520"/>
      </w:pPr>
      <w:rPr>
        <w:rFonts w:hint="default"/>
      </w:rPr>
    </w:lvl>
    <w:lvl w:ilvl="7">
      <w:start w:val="1"/>
      <w:numFmt w:val="decimal"/>
      <w:lvlText w:val="%1.%2.%3.%4.%5.%6.%7.%8"/>
      <w:lvlJc w:val="left"/>
      <w:pPr>
        <w:ind w:left="8280" w:hanging="2880"/>
      </w:pPr>
      <w:rPr>
        <w:rFonts w:hint="default"/>
      </w:rPr>
    </w:lvl>
    <w:lvl w:ilvl="8">
      <w:start w:val="1"/>
      <w:numFmt w:val="decimal"/>
      <w:lvlText w:val="%1.%2.%3.%4.%5.%6.%7.%8.%9"/>
      <w:lvlJc w:val="left"/>
      <w:pPr>
        <w:ind w:left="9360" w:hanging="3240"/>
      </w:pPr>
      <w:rPr>
        <w:rFonts w:hint="default"/>
      </w:rPr>
    </w:lvl>
  </w:abstractNum>
  <w:abstractNum w:abstractNumId="4" w15:restartNumberingAfterBreak="0">
    <w:nsid w:val="21BB4A6E"/>
    <w:multiLevelType w:val="multilevel"/>
    <w:tmpl w:val="4D8C846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2B367C"/>
    <w:multiLevelType w:val="hybridMultilevel"/>
    <w:tmpl w:val="F3243D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B009A5"/>
    <w:multiLevelType w:val="multilevel"/>
    <w:tmpl w:val="9D0EBEF0"/>
    <w:lvl w:ilvl="0">
      <w:start w:val="1"/>
      <w:numFmt w:val="decimal"/>
      <w:lvlText w:val="%1.0"/>
      <w:lvlJc w:val="left"/>
      <w:pPr>
        <w:ind w:left="720" w:hanging="720"/>
      </w:pPr>
      <w:rPr>
        <w:b/>
      </w:rPr>
    </w:lvl>
    <w:lvl w:ilvl="1">
      <w:start w:val="1"/>
      <w:numFmt w:val="decimal"/>
      <w:lvlText w:val="%1.%2"/>
      <w:lvlJc w:val="left"/>
      <w:pPr>
        <w:ind w:left="720" w:hanging="720"/>
      </w:pPr>
      <w:rPr>
        <w:rFonts w:ascii="Verdana" w:hAnsi="Verdana"/>
        <w:b w:val="0"/>
        <w:bCs/>
        <w:color w:val="auto"/>
        <w:sz w:val="24"/>
        <w:szCs w:val="24"/>
      </w:rPr>
    </w:lvl>
    <w:lvl w:ilvl="2">
      <w:start w:val="1"/>
      <w:numFmt w:val="bullet"/>
      <w:lvlText w:val=""/>
      <w:lvlJc w:val="left"/>
      <w:pPr>
        <w:ind w:left="1800" w:hanging="360"/>
      </w:pPr>
      <w:rPr>
        <w:rFonts w:ascii="Symbol" w:hAnsi="Symbol" w:hint="default"/>
      </w:rPr>
    </w:lvl>
    <w:lvl w:ilvl="3">
      <w:start w:val="1"/>
      <w:numFmt w:val="decimal"/>
      <w:lvlText w:val="%1.%2.%3.%4"/>
      <w:lvlJc w:val="left"/>
      <w:pPr>
        <w:ind w:left="3600" w:hanging="1440"/>
      </w:pPr>
      <w:rPr>
        <w:b/>
      </w:rPr>
    </w:lvl>
    <w:lvl w:ilvl="4">
      <w:start w:val="1"/>
      <w:numFmt w:val="decimal"/>
      <w:lvlText w:val="%1.%2.%3.%4.%5"/>
      <w:lvlJc w:val="left"/>
      <w:pPr>
        <w:ind w:left="4680" w:hanging="1800"/>
      </w:pPr>
      <w:rPr>
        <w:b/>
      </w:rPr>
    </w:lvl>
    <w:lvl w:ilvl="5">
      <w:start w:val="1"/>
      <w:numFmt w:val="decimal"/>
      <w:lvlText w:val="%1.%2.%3.%4.%5.%6"/>
      <w:lvlJc w:val="left"/>
      <w:pPr>
        <w:ind w:left="5760" w:hanging="2160"/>
      </w:pPr>
      <w:rPr>
        <w:b/>
      </w:rPr>
    </w:lvl>
    <w:lvl w:ilvl="6">
      <w:start w:val="1"/>
      <w:numFmt w:val="decimal"/>
      <w:lvlText w:val="%1.%2.%3.%4.%5.%6.%7"/>
      <w:lvlJc w:val="left"/>
      <w:pPr>
        <w:ind w:left="6840" w:hanging="2520"/>
      </w:pPr>
      <w:rPr>
        <w:b/>
      </w:rPr>
    </w:lvl>
    <w:lvl w:ilvl="7">
      <w:start w:val="1"/>
      <w:numFmt w:val="decimal"/>
      <w:lvlText w:val="%1.%2.%3.%4.%5.%6.%7.%8"/>
      <w:lvlJc w:val="left"/>
      <w:pPr>
        <w:ind w:left="7920" w:hanging="2880"/>
      </w:pPr>
      <w:rPr>
        <w:b/>
      </w:rPr>
    </w:lvl>
    <w:lvl w:ilvl="8">
      <w:start w:val="1"/>
      <w:numFmt w:val="decimal"/>
      <w:lvlText w:val="%1.%2.%3.%4.%5.%6.%7.%8.%9"/>
      <w:lvlJc w:val="left"/>
      <w:pPr>
        <w:ind w:left="9000" w:hanging="3240"/>
      </w:pPr>
      <w:rPr>
        <w:b/>
      </w:rPr>
    </w:lvl>
  </w:abstractNum>
  <w:abstractNum w:abstractNumId="7" w15:restartNumberingAfterBreak="0">
    <w:nsid w:val="2A7211F9"/>
    <w:multiLevelType w:val="multilevel"/>
    <w:tmpl w:val="C07831F6"/>
    <w:styleLink w:val="LFO8"/>
    <w:lvl w:ilvl="0">
      <w:start w:val="1"/>
      <w:numFmt w:val="decimal"/>
      <w:lvlText w:val="%1.0"/>
      <w:lvlJc w:val="left"/>
      <w:pPr>
        <w:ind w:left="720" w:hanging="720"/>
      </w:pPr>
    </w:lvl>
    <w:lvl w:ilvl="1">
      <w:start w:val="1"/>
      <w:numFmt w:val="decimal"/>
      <w:lvlText w:val="%1.%2"/>
      <w:lvlJc w:val="left"/>
      <w:pPr>
        <w:ind w:left="720" w:hanging="720"/>
      </w:pPr>
      <w:rPr>
        <w:position w:val="0"/>
        <w:sz w:val="24"/>
        <w:szCs w:val="24"/>
        <w:vertAlign w:val="baseline"/>
      </w:rPr>
    </w:lvl>
    <w:lvl w:ilvl="2">
      <w:start w:val="1"/>
      <w:numFmt w:val="decimal"/>
      <w:lvlText w:val="%1.%2.%3"/>
      <w:lvlJc w:val="left"/>
      <w:pPr>
        <w:ind w:left="2520" w:hanging="108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560" w:hanging="2520"/>
      </w:pPr>
    </w:lvl>
    <w:lvl w:ilvl="8">
      <w:start w:val="1"/>
      <w:numFmt w:val="decimal"/>
      <w:lvlText w:val="%1.%2.%3.%4.%5.%6.%7.%8.%9"/>
      <w:lvlJc w:val="left"/>
      <w:pPr>
        <w:ind w:left="8280" w:hanging="2520"/>
      </w:pPr>
    </w:lvl>
  </w:abstractNum>
  <w:abstractNum w:abstractNumId="8" w15:restartNumberingAfterBreak="0">
    <w:nsid w:val="2D3A535F"/>
    <w:multiLevelType w:val="multilevel"/>
    <w:tmpl w:val="687A794E"/>
    <w:lvl w:ilvl="0">
      <w:start w:val="5"/>
      <w:numFmt w:val="decimal"/>
      <w:lvlText w:val="%1.0"/>
      <w:lvlJc w:val="left"/>
      <w:pPr>
        <w:ind w:left="1080" w:hanging="7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1080"/>
      </w:pPr>
      <w:rPr>
        <w:rFonts w:hint="default"/>
      </w:rPr>
    </w:lvl>
    <w:lvl w:ilvl="3">
      <w:start w:val="1"/>
      <w:numFmt w:val="decimal"/>
      <w:lvlText w:val="%1.%2.%3.%4"/>
      <w:lvlJc w:val="left"/>
      <w:pPr>
        <w:ind w:left="3960" w:hanging="1440"/>
      </w:pPr>
      <w:rPr>
        <w:rFonts w:hint="default"/>
      </w:rPr>
    </w:lvl>
    <w:lvl w:ilvl="4">
      <w:start w:val="1"/>
      <w:numFmt w:val="decimal"/>
      <w:lvlText w:val="%1.%2.%3.%4.%5"/>
      <w:lvlJc w:val="left"/>
      <w:pPr>
        <w:ind w:left="5040" w:hanging="1800"/>
      </w:pPr>
      <w:rPr>
        <w:rFonts w:hint="default"/>
      </w:rPr>
    </w:lvl>
    <w:lvl w:ilvl="5">
      <w:start w:val="1"/>
      <w:numFmt w:val="decimal"/>
      <w:lvlText w:val="%1.%2.%3.%4.%5.%6"/>
      <w:lvlJc w:val="left"/>
      <w:pPr>
        <w:ind w:left="6120" w:hanging="2160"/>
      </w:pPr>
      <w:rPr>
        <w:rFonts w:hint="default"/>
      </w:rPr>
    </w:lvl>
    <w:lvl w:ilvl="6">
      <w:start w:val="1"/>
      <w:numFmt w:val="decimal"/>
      <w:lvlText w:val="%1.%2.%3.%4.%5.%6.%7"/>
      <w:lvlJc w:val="left"/>
      <w:pPr>
        <w:ind w:left="7200" w:hanging="2520"/>
      </w:pPr>
      <w:rPr>
        <w:rFonts w:hint="default"/>
      </w:rPr>
    </w:lvl>
    <w:lvl w:ilvl="7">
      <w:start w:val="1"/>
      <w:numFmt w:val="decimal"/>
      <w:lvlText w:val="%1.%2.%3.%4.%5.%6.%7.%8"/>
      <w:lvlJc w:val="left"/>
      <w:pPr>
        <w:ind w:left="8280" w:hanging="2880"/>
      </w:pPr>
      <w:rPr>
        <w:rFonts w:hint="default"/>
      </w:rPr>
    </w:lvl>
    <w:lvl w:ilvl="8">
      <w:start w:val="1"/>
      <w:numFmt w:val="decimal"/>
      <w:lvlText w:val="%1.%2.%3.%4.%5.%6.%7.%8.%9"/>
      <w:lvlJc w:val="left"/>
      <w:pPr>
        <w:ind w:left="9360" w:hanging="3240"/>
      </w:pPr>
      <w:rPr>
        <w:rFonts w:hint="default"/>
      </w:rPr>
    </w:lvl>
  </w:abstractNum>
  <w:abstractNum w:abstractNumId="9" w15:restartNumberingAfterBreak="0">
    <w:nsid w:val="31EA097C"/>
    <w:multiLevelType w:val="multilevel"/>
    <w:tmpl w:val="4AEE1CAA"/>
    <w:lvl w:ilvl="0">
      <w:start w:val="1"/>
      <w:numFmt w:val="decimal"/>
      <w:pStyle w:val="ListNumber2"/>
      <w:lvlText w:val="%1."/>
      <w:lvlJc w:val="left"/>
      <w:pPr>
        <w:ind w:left="360" w:hanging="360"/>
      </w:pPr>
    </w:lvl>
    <w:lvl w:ilvl="1">
      <w:start w:val="1"/>
      <w:numFmt w:val="decimal"/>
      <w:pStyle w:val="11NumPara"/>
      <w:lvlText w:val="%1.%2."/>
      <w:lvlJc w:val="left"/>
      <w:pPr>
        <w:ind w:left="792" w:hanging="432"/>
      </w:pPr>
      <w:rPr>
        <w:rFonts w:asciiTheme="minorHAnsi" w:hAnsiTheme="minorHAnsi" w:cstheme="minorHAnsi" w:hint="default"/>
        <w:i w:val="0"/>
        <w:iCs/>
        <w:sz w:val="28"/>
        <w:szCs w:val="28"/>
        <w:vertAlign w:val="base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D6300D"/>
    <w:multiLevelType w:val="hybridMultilevel"/>
    <w:tmpl w:val="3E3A989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3E684A92"/>
    <w:multiLevelType w:val="multilevel"/>
    <w:tmpl w:val="9D0EBEF0"/>
    <w:lvl w:ilvl="0">
      <w:start w:val="1"/>
      <w:numFmt w:val="decimal"/>
      <w:lvlText w:val="%1.0"/>
      <w:lvlJc w:val="left"/>
      <w:pPr>
        <w:ind w:left="720" w:hanging="720"/>
      </w:pPr>
      <w:rPr>
        <w:b/>
      </w:rPr>
    </w:lvl>
    <w:lvl w:ilvl="1">
      <w:start w:val="1"/>
      <w:numFmt w:val="decimal"/>
      <w:lvlText w:val="%1.%2"/>
      <w:lvlJc w:val="left"/>
      <w:pPr>
        <w:ind w:left="720" w:hanging="720"/>
      </w:pPr>
      <w:rPr>
        <w:rFonts w:ascii="Verdana" w:hAnsi="Verdana"/>
        <w:b w:val="0"/>
        <w:bCs/>
        <w:color w:val="auto"/>
        <w:sz w:val="24"/>
        <w:szCs w:val="24"/>
      </w:rPr>
    </w:lvl>
    <w:lvl w:ilvl="2">
      <w:start w:val="1"/>
      <w:numFmt w:val="bullet"/>
      <w:lvlText w:val=""/>
      <w:lvlJc w:val="left"/>
      <w:pPr>
        <w:ind w:left="1800" w:hanging="360"/>
      </w:pPr>
      <w:rPr>
        <w:rFonts w:ascii="Symbol" w:hAnsi="Symbol" w:hint="default"/>
      </w:rPr>
    </w:lvl>
    <w:lvl w:ilvl="3">
      <w:start w:val="1"/>
      <w:numFmt w:val="decimal"/>
      <w:lvlText w:val="%1.%2.%3.%4"/>
      <w:lvlJc w:val="left"/>
      <w:pPr>
        <w:ind w:left="3600" w:hanging="1440"/>
      </w:pPr>
      <w:rPr>
        <w:b/>
      </w:rPr>
    </w:lvl>
    <w:lvl w:ilvl="4">
      <w:start w:val="1"/>
      <w:numFmt w:val="decimal"/>
      <w:lvlText w:val="%1.%2.%3.%4.%5"/>
      <w:lvlJc w:val="left"/>
      <w:pPr>
        <w:ind w:left="4680" w:hanging="1800"/>
      </w:pPr>
      <w:rPr>
        <w:b/>
      </w:rPr>
    </w:lvl>
    <w:lvl w:ilvl="5">
      <w:start w:val="1"/>
      <w:numFmt w:val="decimal"/>
      <w:lvlText w:val="%1.%2.%3.%4.%5.%6"/>
      <w:lvlJc w:val="left"/>
      <w:pPr>
        <w:ind w:left="5760" w:hanging="2160"/>
      </w:pPr>
      <w:rPr>
        <w:b/>
      </w:rPr>
    </w:lvl>
    <w:lvl w:ilvl="6">
      <w:start w:val="1"/>
      <w:numFmt w:val="decimal"/>
      <w:lvlText w:val="%1.%2.%3.%4.%5.%6.%7"/>
      <w:lvlJc w:val="left"/>
      <w:pPr>
        <w:ind w:left="6840" w:hanging="2520"/>
      </w:pPr>
      <w:rPr>
        <w:b/>
      </w:rPr>
    </w:lvl>
    <w:lvl w:ilvl="7">
      <w:start w:val="1"/>
      <w:numFmt w:val="decimal"/>
      <w:lvlText w:val="%1.%2.%3.%4.%5.%6.%7.%8"/>
      <w:lvlJc w:val="left"/>
      <w:pPr>
        <w:ind w:left="7920" w:hanging="2880"/>
      </w:pPr>
      <w:rPr>
        <w:b/>
      </w:rPr>
    </w:lvl>
    <w:lvl w:ilvl="8">
      <w:start w:val="1"/>
      <w:numFmt w:val="decimal"/>
      <w:lvlText w:val="%1.%2.%3.%4.%5.%6.%7.%8.%9"/>
      <w:lvlJc w:val="left"/>
      <w:pPr>
        <w:ind w:left="9000" w:hanging="3240"/>
      </w:pPr>
      <w:rPr>
        <w:b/>
      </w:rPr>
    </w:lvl>
  </w:abstractNum>
  <w:abstractNum w:abstractNumId="12" w15:restartNumberingAfterBreak="0">
    <w:nsid w:val="44360A21"/>
    <w:multiLevelType w:val="multilevel"/>
    <w:tmpl w:val="9D0EBEF0"/>
    <w:lvl w:ilvl="0">
      <w:start w:val="1"/>
      <w:numFmt w:val="decimal"/>
      <w:lvlText w:val="%1.0"/>
      <w:lvlJc w:val="left"/>
      <w:pPr>
        <w:ind w:left="720" w:hanging="720"/>
      </w:pPr>
      <w:rPr>
        <w:b/>
      </w:rPr>
    </w:lvl>
    <w:lvl w:ilvl="1">
      <w:start w:val="1"/>
      <w:numFmt w:val="decimal"/>
      <w:lvlText w:val="%1.%2"/>
      <w:lvlJc w:val="left"/>
      <w:pPr>
        <w:ind w:left="720" w:hanging="720"/>
      </w:pPr>
      <w:rPr>
        <w:rFonts w:ascii="Verdana" w:hAnsi="Verdana"/>
        <w:b w:val="0"/>
        <w:bCs/>
        <w:color w:val="auto"/>
        <w:sz w:val="24"/>
        <w:szCs w:val="24"/>
      </w:rPr>
    </w:lvl>
    <w:lvl w:ilvl="2">
      <w:start w:val="1"/>
      <w:numFmt w:val="bullet"/>
      <w:lvlText w:val=""/>
      <w:lvlJc w:val="left"/>
      <w:pPr>
        <w:ind w:left="1800" w:hanging="360"/>
      </w:pPr>
      <w:rPr>
        <w:rFonts w:ascii="Symbol" w:hAnsi="Symbol" w:hint="default"/>
      </w:rPr>
    </w:lvl>
    <w:lvl w:ilvl="3">
      <w:start w:val="1"/>
      <w:numFmt w:val="decimal"/>
      <w:lvlText w:val="%1.%2.%3.%4"/>
      <w:lvlJc w:val="left"/>
      <w:pPr>
        <w:ind w:left="3600" w:hanging="1440"/>
      </w:pPr>
      <w:rPr>
        <w:b/>
      </w:rPr>
    </w:lvl>
    <w:lvl w:ilvl="4">
      <w:start w:val="1"/>
      <w:numFmt w:val="decimal"/>
      <w:lvlText w:val="%1.%2.%3.%4.%5"/>
      <w:lvlJc w:val="left"/>
      <w:pPr>
        <w:ind w:left="4680" w:hanging="1800"/>
      </w:pPr>
      <w:rPr>
        <w:b/>
      </w:rPr>
    </w:lvl>
    <w:lvl w:ilvl="5">
      <w:start w:val="1"/>
      <w:numFmt w:val="decimal"/>
      <w:lvlText w:val="%1.%2.%3.%4.%5.%6"/>
      <w:lvlJc w:val="left"/>
      <w:pPr>
        <w:ind w:left="5760" w:hanging="2160"/>
      </w:pPr>
      <w:rPr>
        <w:b/>
      </w:rPr>
    </w:lvl>
    <w:lvl w:ilvl="6">
      <w:start w:val="1"/>
      <w:numFmt w:val="decimal"/>
      <w:lvlText w:val="%1.%2.%3.%4.%5.%6.%7"/>
      <w:lvlJc w:val="left"/>
      <w:pPr>
        <w:ind w:left="6840" w:hanging="2520"/>
      </w:pPr>
      <w:rPr>
        <w:b/>
      </w:rPr>
    </w:lvl>
    <w:lvl w:ilvl="7">
      <w:start w:val="1"/>
      <w:numFmt w:val="decimal"/>
      <w:lvlText w:val="%1.%2.%3.%4.%5.%6.%7.%8"/>
      <w:lvlJc w:val="left"/>
      <w:pPr>
        <w:ind w:left="7920" w:hanging="2880"/>
      </w:pPr>
      <w:rPr>
        <w:b/>
      </w:rPr>
    </w:lvl>
    <w:lvl w:ilvl="8">
      <w:start w:val="1"/>
      <w:numFmt w:val="decimal"/>
      <w:lvlText w:val="%1.%2.%3.%4.%5.%6.%7.%8.%9"/>
      <w:lvlJc w:val="left"/>
      <w:pPr>
        <w:ind w:left="9000" w:hanging="3240"/>
      </w:pPr>
      <w:rPr>
        <w:b/>
      </w:rPr>
    </w:lvl>
  </w:abstractNum>
  <w:abstractNum w:abstractNumId="13" w15:restartNumberingAfterBreak="0">
    <w:nsid w:val="44F11E9C"/>
    <w:multiLevelType w:val="multilevel"/>
    <w:tmpl w:val="13FE6F42"/>
    <w:lvl w:ilvl="0">
      <w:start w:val="6"/>
      <w:numFmt w:val="decimal"/>
      <w:lvlText w:val="%1.0"/>
      <w:lvlJc w:val="left"/>
      <w:pPr>
        <w:ind w:left="1080" w:hanging="7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1080"/>
      </w:pPr>
      <w:rPr>
        <w:rFonts w:hint="default"/>
      </w:rPr>
    </w:lvl>
    <w:lvl w:ilvl="3">
      <w:start w:val="1"/>
      <w:numFmt w:val="decimal"/>
      <w:lvlText w:val="%1.%2.%3.%4"/>
      <w:lvlJc w:val="left"/>
      <w:pPr>
        <w:ind w:left="3960" w:hanging="1440"/>
      </w:pPr>
      <w:rPr>
        <w:rFonts w:hint="default"/>
      </w:rPr>
    </w:lvl>
    <w:lvl w:ilvl="4">
      <w:start w:val="1"/>
      <w:numFmt w:val="decimal"/>
      <w:lvlText w:val="%1.%2.%3.%4.%5"/>
      <w:lvlJc w:val="left"/>
      <w:pPr>
        <w:ind w:left="5040" w:hanging="1800"/>
      </w:pPr>
      <w:rPr>
        <w:rFonts w:hint="default"/>
      </w:rPr>
    </w:lvl>
    <w:lvl w:ilvl="5">
      <w:start w:val="1"/>
      <w:numFmt w:val="decimal"/>
      <w:lvlText w:val="%1.%2.%3.%4.%5.%6"/>
      <w:lvlJc w:val="left"/>
      <w:pPr>
        <w:ind w:left="6120" w:hanging="2160"/>
      </w:pPr>
      <w:rPr>
        <w:rFonts w:hint="default"/>
      </w:rPr>
    </w:lvl>
    <w:lvl w:ilvl="6">
      <w:start w:val="1"/>
      <w:numFmt w:val="decimal"/>
      <w:lvlText w:val="%1.%2.%3.%4.%5.%6.%7"/>
      <w:lvlJc w:val="left"/>
      <w:pPr>
        <w:ind w:left="7200" w:hanging="2520"/>
      </w:pPr>
      <w:rPr>
        <w:rFonts w:hint="default"/>
      </w:rPr>
    </w:lvl>
    <w:lvl w:ilvl="7">
      <w:start w:val="1"/>
      <w:numFmt w:val="decimal"/>
      <w:lvlText w:val="%1.%2.%3.%4.%5.%6.%7.%8"/>
      <w:lvlJc w:val="left"/>
      <w:pPr>
        <w:ind w:left="8280" w:hanging="2880"/>
      </w:pPr>
      <w:rPr>
        <w:rFonts w:hint="default"/>
      </w:rPr>
    </w:lvl>
    <w:lvl w:ilvl="8">
      <w:start w:val="1"/>
      <w:numFmt w:val="decimal"/>
      <w:lvlText w:val="%1.%2.%3.%4.%5.%6.%7.%8.%9"/>
      <w:lvlJc w:val="left"/>
      <w:pPr>
        <w:ind w:left="9360" w:hanging="3240"/>
      </w:pPr>
      <w:rPr>
        <w:rFonts w:hint="default"/>
      </w:rPr>
    </w:lvl>
  </w:abstractNum>
  <w:abstractNum w:abstractNumId="14" w15:restartNumberingAfterBreak="0">
    <w:nsid w:val="466001FF"/>
    <w:multiLevelType w:val="multilevel"/>
    <w:tmpl w:val="702E1306"/>
    <w:lvl w:ilvl="0">
      <w:start w:val="3"/>
      <w:numFmt w:val="decimal"/>
      <w:lvlText w:val="%1."/>
      <w:lvlJc w:val="left"/>
      <w:pPr>
        <w:ind w:left="672" w:hanging="672"/>
      </w:pPr>
      <w:rPr>
        <w:rFonts w:hint="default"/>
      </w:rPr>
    </w:lvl>
    <w:lvl w:ilvl="1">
      <w:start w:val="2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5" w15:restartNumberingAfterBreak="0">
    <w:nsid w:val="48330BCA"/>
    <w:multiLevelType w:val="multilevel"/>
    <w:tmpl w:val="CBA039F6"/>
    <w:lvl w:ilvl="0">
      <w:start w:val="3"/>
      <w:numFmt w:val="decimal"/>
      <w:lvlText w:val="%1"/>
      <w:lvlJc w:val="left"/>
      <w:pPr>
        <w:ind w:left="588" w:hanging="588"/>
      </w:pPr>
      <w:rPr>
        <w:rFonts w:hint="default"/>
      </w:rPr>
    </w:lvl>
    <w:lvl w:ilvl="1">
      <w:start w:val="39"/>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6" w15:restartNumberingAfterBreak="0">
    <w:nsid w:val="4D5D2518"/>
    <w:multiLevelType w:val="multilevel"/>
    <w:tmpl w:val="A65A5914"/>
    <w:lvl w:ilvl="0">
      <w:start w:val="7"/>
      <w:numFmt w:val="decimal"/>
      <w:lvlText w:val="%1.0"/>
      <w:lvlJc w:val="left"/>
      <w:pPr>
        <w:ind w:left="1080" w:hanging="7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1080"/>
      </w:pPr>
      <w:rPr>
        <w:rFonts w:hint="default"/>
      </w:rPr>
    </w:lvl>
    <w:lvl w:ilvl="3">
      <w:start w:val="1"/>
      <w:numFmt w:val="decimal"/>
      <w:lvlText w:val="%1.%2.%3.%4"/>
      <w:lvlJc w:val="left"/>
      <w:pPr>
        <w:ind w:left="3960" w:hanging="1440"/>
      </w:pPr>
      <w:rPr>
        <w:rFonts w:hint="default"/>
      </w:rPr>
    </w:lvl>
    <w:lvl w:ilvl="4">
      <w:start w:val="1"/>
      <w:numFmt w:val="decimal"/>
      <w:lvlText w:val="%1.%2.%3.%4.%5"/>
      <w:lvlJc w:val="left"/>
      <w:pPr>
        <w:ind w:left="5040" w:hanging="1800"/>
      </w:pPr>
      <w:rPr>
        <w:rFonts w:hint="default"/>
      </w:rPr>
    </w:lvl>
    <w:lvl w:ilvl="5">
      <w:start w:val="1"/>
      <w:numFmt w:val="decimal"/>
      <w:lvlText w:val="%1.%2.%3.%4.%5.%6"/>
      <w:lvlJc w:val="left"/>
      <w:pPr>
        <w:ind w:left="6120" w:hanging="2160"/>
      </w:pPr>
      <w:rPr>
        <w:rFonts w:hint="default"/>
      </w:rPr>
    </w:lvl>
    <w:lvl w:ilvl="6">
      <w:start w:val="1"/>
      <w:numFmt w:val="decimal"/>
      <w:lvlText w:val="%1.%2.%3.%4.%5.%6.%7"/>
      <w:lvlJc w:val="left"/>
      <w:pPr>
        <w:ind w:left="7200" w:hanging="2520"/>
      </w:pPr>
      <w:rPr>
        <w:rFonts w:hint="default"/>
      </w:rPr>
    </w:lvl>
    <w:lvl w:ilvl="7">
      <w:start w:val="1"/>
      <w:numFmt w:val="decimal"/>
      <w:lvlText w:val="%1.%2.%3.%4.%5.%6.%7.%8"/>
      <w:lvlJc w:val="left"/>
      <w:pPr>
        <w:ind w:left="8280" w:hanging="2880"/>
      </w:pPr>
      <w:rPr>
        <w:rFonts w:hint="default"/>
      </w:rPr>
    </w:lvl>
    <w:lvl w:ilvl="8">
      <w:start w:val="1"/>
      <w:numFmt w:val="decimal"/>
      <w:lvlText w:val="%1.%2.%3.%4.%5.%6.%7.%8.%9"/>
      <w:lvlJc w:val="left"/>
      <w:pPr>
        <w:ind w:left="9360" w:hanging="3240"/>
      </w:pPr>
      <w:rPr>
        <w:rFonts w:hint="default"/>
      </w:rPr>
    </w:lvl>
  </w:abstractNum>
  <w:abstractNum w:abstractNumId="17" w15:restartNumberingAfterBreak="0">
    <w:nsid w:val="5750619B"/>
    <w:multiLevelType w:val="multilevel"/>
    <w:tmpl w:val="AA62EF68"/>
    <w:lvl w:ilvl="0">
      <w:start w:val="3"/>
      <w:numFmt w:val="decimal"/>
      <w:lvlText w:val="%1"/>
      <w:lvlJc w:val="left"/>
      <w:pPr>
        <w:ind w:left="420" w:hanging="42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8" w15:restartNumberingAfterBreak="0">
    <w:nsid w:val="58A04C1D"/>
    <w:multiLevelType w:val="multilevel"/>
    <w:tmpl w:val="86F00E76"/>
    <w:lvl w:ilvl="0">
      <w:start w:val="3"/>
      <w:numFmt w:val="decimal"/>
      <w:lvlText w:val="%1"/>
      <w:lvlJc w:val="left"/>
      <w:pPr>
        <w:ind w:left="588" w:hanging="588"/>
      </w:pPr>
      <w:rPr>
        <w:rFonts w:hint="default"/>
      </w:rPr>
    </w:lvl>
    <w:lvl w:ilvl="1">
      <w:start w:val="2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9" w15:restartNumberingAfterBreak="0">
    <w:nsid w:val="62C72ACB"/>
    <w:multiLevelType w:val="multilevel"/>
    <w:tmpl w:val="F742384C"/>
    <w:lvl w:ilvl="0">
      <w:start w:val="2"/>
      <w:numFmt w:val="decimal"/>
      <w:lvlText w:val="%1"/>
      <w:lvlJc w:val="left"/>
      <w:pPr>
        <w:ind w:left="435" w:hanging="43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0" w15:restartNumberingAfterBreak="0">
    <w:nsid w:val="66D4103C"/>
    <w:multiLevelType w:val="hybridMultilevel"/>
    <w:tmpl w:val="06BE17B2"/>
    <w:lvl w:ilvl="0" w:tplc="C040119C">
      <w:start w:val="1"/>
      <w:numFmt w:val="decimal"/>
      <w:pStyle w:val="Heading1"/>
      <w:lvlText w:val="%1.0"/>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090A48"/>
    <w:multiLevelType w:val="multilevel"/>
    <w:tmpl w:val="396C7152"/>
    <w:lvl w:ilvl="0">
      <w:start w:val="2"/>
      <w:numFmt w:val="decimal"/>
      <w:lvlText w:val="%1"/>
      <w:lvlJc w:val="left"/>
      <w:pPr>
        <w:ind w:left="420" w:hanging="42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2" w15:restartNumberingAfterBreak="0">
    <w:nsid w:val="712F64A7"/>
    <w:multiLevelType w:val="multilevel"/>
    <w:tmpl w:val="5156D702"/>
    <w:lvl w:ilvl="0">
      <w:start w:val="6"/>
      <w:numFmt w:val="decimal"/>
      <w:lvlText w:val="%1.0"/>
      <w:lvlJc w:val="left"/>
      <w:pPr>
        <w:ind w:left="1080" w:hanging="7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1080"/>
      </w:pPr>
      <w:rPr>
        <w:rFonts w:hint="default"/>
      </w:rPr>
    </w:lvl>
    <w:lvl w:ilvl="3">
      <w:start w:val="1"/>
      <w:numFmt w:val="decimal"/>
      <w:lvlText w:val="%1.%2.%3.%4"/>
      <w:lvlJc w:val="left"/>
      <w:pPr>
        <w:ind w:left="3960" w:hanging="1440"/>
      </w:pPr>
      <w:rPr>
        <w:rFonts w:hint="default"/>
      </w:rPr>
    </w:lvl>
    <w:lvl w:ilvl="4">
      <w:start w:val="1"/>
      <w:numFmt w:val="decimal"/>
      <w:lvlText w:val="%1.%2.%3.%4.%5"/>
      <w:lvlJc w:val="left"/>
      <w:pPr>
        <w:ind w:left="5040" w:hanging="1800"/>
      </w:pPr>
      <w:rPr>
        <w:rFonts w:hint="default"/>
      </w:rPr>
    </w:lvl>
    <w:lvl w:ilvl="5">
      <w:start w:val="1"/>
      <w:numFmt w:val="decimal"/>
      <w:lvlText w:val="%1.%2.%3.%4.%5.%6"/>
      <w:lvlJc w:val="left"/>
      <w:pPr>
        <w:ind w:left="6120" w:hanging="2160"/>
      </w:pPr>
      <w:rPr>
        <w:rFonts w:hint="default"/>
      </w:rPr>
    </w:lvl>
    <w:lvl w:ilvl="6">
      <w:start w:val="1"/>
      <w:numFmt w:val="decimal"/>
      <w:lvlText w:val="%1.%2.%3.%4.%5.%6.%7"/>
      <w:lvlJc w:val="left"/>
      <w:pPr>
        <w:ind w:left="7200" w:hanging="2520"/>
      </w:pPr>
      <w:rPr>
        <w:rFonts w:hint="default"/>
      </w:rPr>
    </w:lvl>
    <w:lvl w:ilvl="7">
      <w:start w:val="1"/>
      <w:numFmt w:val="decimal"/>
      <w:lvlText w:val="%1.%2.%3.%4.%5.%6.%7.%8"/>
      <w:lvlJc w:val="left"/>
      <w:pPr>
        <w:ind w:left="8280" w:hanging="2880"/>
      </w:pPr>
      <w:rPr>
        <w:rFonts w:hint="default"/>
      </w:rPr>
    </w:lvl>
    <w:lvl w:ilvl="8">
      <w:start w:val="1"/>
      <w:numFmt w:val="decimal"/>
      <w:lvlText w:val="%1.%2.%3.%4.%5.%6.%7.%8.%9"/>
      <w:lvlJc w:val="left"/>
      <w:pPr>
        <w:ind w:left="9360" w:hanging="3240"/>
      </w:pPr>
      <w:rPr>
        <w:rFonts w:hint="default"/>
      </w:rPr>
    </w:lvl>
  </w:abstractNum>
  <w:abstractNum w:abstractNumId="23" w15:restartNumberingAfterBreak="0">
    <w:nsid w:val="71A21950"/>
    <w:multiLevelType w:val="multilevel"/>
    <w:tmpl w:val="F5381BBA"/>
    <w:lvl w:ilvl="0">
      <w:start w:val="4"/>
      <w:numFmt w:val="decimal"/>
      <w:lvlText w:val="%1.0"/>
      <w:lvlJc w:val="left"/>
      <w:pPr>
        <w:ind w:left="1080" w:hanging="720"/>
      </w:pPr>
      <w:rPr>
        <w:rFonts w:hint="default"/>
      </w:rPr>
    </w:lvl>
    <w:lvl w:ilvl="1">
      <w:start w:val="1"/>
      <w:numFmt w:val="decimal"/>
      <w:lvlText w:val="%1.%2"/>
      <w:lvlJc w:val="left"/>
      <w:pPr>
        <w:ind w:left="720" w:hanging="720"/>
      </w:pPr>
      <w:rPr>
        <w:rFonts w:ascii="Verdana" w:hAnsi="Verdana" w:hint="default"/>
        <w:b w:val="0"/>
        <w:bCs/>
      </w:rPr>
    </w:lvl>
    <w:lvl w:ilvl="2">
      <w:start w:val="1"/>
      <w:numFmt w:val="decimal"/>
      <w:lvlText w:val="%1.%2.%3"/>
      <w:lvlJc w:val="left"/>
      <w:pPr>
        <w:ind w:left="2880" w:hanging="1080"/>
      </w:pPr>
      <w:rPr>
        <w:rFonts w:hint="default"/>
      </w:rPr>
    </w:lvl>
    <w:lvl w:ilvl="3">
      <w:start w:val="1"/>
      <w:numFmt w:val="decimal"/>
      <w:lvlText w:val="%1.%2.%3.%4"/>
      <w:lvlJc w:val="left"/>
      <w:pPr>
        <w:ind w:left="3960" w:hanging="1440"/>
      </w:pPr>
      <w:rPr>
        <w:rFonts w:hint="default"/>
      </w:rPr>
    </w:lvl>
    <w:lvl w:ilvl="4">
      <w:start w:val="1"/>
      <w:numFmt w:val="decimal"/>
      <w:lvlText w:val="%1.%2.%3.%4.%5"/>
      <w:lvlJc w:val="left"/>
      <w:pPr>
        <w:ind w:left="5040" w:hanging="1800"/>
      </w:pPr>
      <w:rPr>
        <w:rFonts w:hint="default"/>
      </w:rPr>
    </w:lvl>
    <w:lvl w:ilvl="5">
      <w:start w:val="1"/>
      <w:numFmt w:val="decimal"/>
      <w:lvlText w:val="%1.%2.%3.%4.%5.%6"/>
      <w:lvlJc w:val="left"/>
      <w:pPr>
        <w:ind w:left="6120" w:hanging="2160"/>
      </w:pPr>
      <w:rPr>
        <w:rFonts w:hint="default"/>
      </w:rPr>
    </w:lvl>
    <w:lvl w:ilvl="6">
      <w:start w:val="1"/>
      <w:numFmt w:val="decimal"/>
      <w:lvlText w:val="%1.%2.%3.%4.%5.%6.%7"/>
      <w:lvlJc w:val="left"/>
      <w:pPr>
        <w:ind w:left="7200" w:hanging="2520"/>
      </w:pPr>
      <w:rPr>
        <w:rFonts w:hint="default"/>
      </w:rPr>
    </w:lvl>
    <w:lvl w:ilvl="7">
      <w:start w:val="1"/>
      <w:numFmt w:val="decimal"/>
      <w:lvlText w:val="%1.%2.%3.%4.%5.%6.%7.%8"/>
      <w:lvlJc w:val="left"/>
      <w:pPr>
        <w:ind w:left="8280" w:hanging="2880"/>
      </w:pPr>
      <w:rPr>
        <w:rFonts w:hint="default"/>
      </w:rPr>
    </w:lvl>
    <w:lvl w:ilvl="8">
      <w:start w:val="1"/>
      <w:numFmt w:val="decimal"/>
      <w:lvlText w:val="%1.%2.%3.%4.%5.%6.%7.%8.%9"/>
      <w:lvlJc w:val="left"/>
      <w:pPr>
        <w:ind w:left="9360" w:hanging="3240"/>
      </w:pPr>
      <w:rPr>
        <w:rFonts w:hint="default"/>
      </w:rPr>
    </w:lvl>
  </w:abstractNum>
  <w:abstractNum w:abstractNumId="24" w15:restartNumberingAfterBreak="0">
    <w:nsid w:val="71BB6E07"/>
    <w:multiLevelType w:val="multilevel"/>
    <w:tmpl w:val="D79E6184"/>
    <w:lvl w:ilvl="0">
      <w:start w:val="5"/>
      <w:numFmt w:val="decimal"/>
      <w:lvlText w:val="%1.0"/>
      <w:lvlJc w:val="left"/>
      <w:pPr>
        <w:ind w:left="1145" w:hanging="720"/>
      </w:pPr>
      <w:rPr>
        <w:rFonts w:hint="default"/>
      </w:rPr>
    </w:lvl>
    <w:lvl w:ilvl="1">
      <w:start w:val="1"/>
      <w:numFmt w:val="decimal"/>
      <w:lvlText w:val="%1.%2"/>
      <w:lvlJc w:val="left"/>
      <w:pPr>
        <w:ind w:left="1865" w:hanging="720"/>
      </w:pPr>
      <w:rPr>
        <w:rFonts w:ascii="Verdana" w:hAnsi="Verdana" w:hint="default"/>
        <w:b w:val="0"/>
        <w:bCs/>
      </w:rPr>
    </w:lvl>
    <w:lvl w:ilvl="2">
      <w:start w:val="1"/>
      <w:numFmt w:val="decimal"/>
      <w:lvlText w:val="%1.%2.%3"/>
      <w:lvlJc w:val="left"/>
      <w:pPr>
        <w:ind w:left="2945" w:hanging="1080"/>
      </w:pPr>
      <w:rPr>
        <w:rFonts w:hint="default"/>
      </w:rPr>
    </w:lvl>
    <w:lvl w:ilvl="3">
      <w:start w:val="1"/>
      <w:numFmt w:val="decimal"/>
      <w:lvlText w:val="%1.%2.%3.%4"/>
      <w:lvlJc w:val="left"/>
      <w:pPr>
        <w:ind w:left="4025" w:hanging="1440"/>
      </w:pPr>
      <w:rPr>
        <w:rFonts w:hint="default"/>
      </w:rPr>
    </w:lvl>
    <w:lvl w:ilvl="4">
      <w:start w:val="1"/>
      <w:numFmt w:val="decimal"/>
      <w:lvlText w:val="%1.%2.%3.%4.%5"/>
      <w:lvlJc w:val="left"/>
      <w:pPr>
        <w:ind w:left="5105" w:hanging="1800"/>
      </w:pPr>
      <w:rPr>
        <w:rFonts w:hint="default"/>
      </w:rPr>
    </w:lvl>
    <w:lvl w:ilvl="5">
      <w:start w:val="1"/>
      <w:numFmt w:val="decimal"/>
      <w:lvlText w:val="%1.%2.%3.%4.%5.%6"/>
      <w:lvlJc w:val="left"/>
      <w:pPr>
        <w:ind w:left="6185" w:hanging="2160"/>
      </w:pPr>
      <w:rPr>
        <w:rFonts w:hint="default"/>
      </w:rPr>
    </w:lvl>
    <w:lvl w:ilvl="6">
      <w:start w:val="1"/>
      <w:numFmt w:val="decimal"/>
      <w:lvlText w:val="%1.%2.%3.%4.%5.%6.%7"/>
      <w:lvlJc w:val="left"/>
      <w:pPr>
        <w:ind w:left="7265" w:hanging="2520"/>
      </w:pPr>
      <w:rPr>
        <w:rFonts w:hint="default"/>
      </w:rPr>
    </w:lvl>
    <w:lvl w:ilvl="7">
      <w:start w:val="1"/>
      <w:numFmt w:val="decimal"/>
      <w:lvlText w:val="%1.%2.%3.%4.%5.%6.%7.%8"/>
      <w:lvlJc w:val="left"/>
      <w:pPr>
        <w:ind w:left="8345" w:hanging="2880"/>
      </w:pPr>
      <w:rPr>
        <w:rFonts w:hint="default"/>
      </w:rPr>
    </w:lvl>
    <w:lvl w:ilvl="8">
      <w:start w:val="1"/>
      <w:numFmt w:val="decimal"/>
      <w:lvlText w:val="%1.%2.%3.%4.%5.%6.%7.%8.%9"/>
      <w:lvlJc w:val="left"/>
      <w:pPr>
        <w:ind w:left="9425" w:hanging="3240"/>
      </w:pPr>
      <w:rPr>
        <w:rFonts w:hint="default"/>
      </w:rPr>
    </w:lvl>
  </w:abstractNum>
  <w:abstractNum w:abstractNumId="25" w15:restartNumberingAfterBreak="0">
    <w:nsid w:val="733A4C65"/>
    <w:multiLevelType w:val="hybridMultilevel"/>
    <w:tmpl w:val="FD8C7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B87186"/>
    <w:multiLevelType w:val="multilevel"/>
    <w:tmpl w:val="C2221240"/>
    <w:lvl w:ilvl="0">
      <w:start w:val="3"/>
      <w:numFmt w:val="decimal"/>
      <w:lvlText w:val="%1"/>
      <w:lvlJc w:val="left"/>
      <w:pPr>
        <w:ind w:left="588" w:hanging="588"/>
      </w:pPr>
      <w:rPr>
        <w:rFonts w:eastAsia="Times New Roman" w:cs="Segoe UI" w:hint="default"/>
      </w:rPr>
    </w:lvl>
    <w:lvl w:ilvl="1">
      <w:start w:val="86"/>
      <w:numFmt w:val="decimal"/>
      <w:lvlText w:val="%1.%2"/>
      <w:lvlJc w:val="left"/>
      <w:pPr>
        <w:ind w:left="720" w:hanging="720"/>
      </w:pPr>
      <w:rPr>
        <w:rFonts w:eastAsia="Times New Roman" w:cs="Segoe UI" w:hint="default"/>
      </w:rPr>
    </w:lvl>
    <w:lvl w:ilvl="2">
      <w:start w:val="1"/>
      <w:numFmt w:val="decimal"/>
      <w:lvlText w:val="%1.%2.%3"/>
      <w:lvlJc w:val="left"/>
      <w:pPr>
        <w:ind w:left="1080" w:hanging="1080"/>
      </w:pPr>
      <w:rPr>
        <w:rFonts w:eastAsia="Times New Roman" w:cs="Segoe UI" w:hint="default"/>
      </w:rPr>
    </w:lvl>
    <w:lvl w:ilvl="3">
      <w:start w:val="1"/>
      <w:numFmt w:val="decimal"/>
      <w:lvlText w:val="%1.%2.%3.%4"/>
      <w:lvlJc w:val="left"/>
      <w:pPr>
        <w:ind w:left="1440" w:hanging="1440"/>
      </w:pPr>
      <w:rPr>
        <w:rFonts w:eastAsia="Times New Roman" w:cs="Segoe UI" w:hint="default"/>
      </w:rPr>
    </w:lvl>
    <w:lvl w:ilvl="4">
      <w:start w:val="1"/>
      <w:numFmt w:val="decimal"/>
      <w:lvlText w:val="%1.%2.%3.%4.%5"/>
      <w:lvlJc w:val="left"/>
      <w:pPr>
        <w:ind w:left="1440" w:hanging="1440"/>
      </w:pPr>
      <w:rPr>
        <w:rFonts w:eastAsia="Times New Roman" w:cs="Segoe UI" w:hint="default"/>
      </w:rPr>
    </w:lvl>
    <w:lvl w:ilvl="5">
      <w:start w:val="1"/>
      <w:numFmt w:val="decimal"/>
      <w:lvlText w:val="%1.%2.%3.%4.%5.%6"/>
      <w:lvlJc w:val="left"/>
      <w:pPr>
        <w:ind w:left="1800" w:hanging="1800"/>
      </w:pPr>
      <w:rPr>
        <w:rFonts w:eastAsia="Times New Roman" w:cs="Segoe UI" w:hint="default"/>
      </w:rPr>
    </w:lvl>
    <w:lvl w:ilvl="6">
      <w:start w:val="1"/>
      <w:numFmt w:val="decimal"/>
      <w:lvlText w:val="%1.%2.%3.%4.%5.%6.%7"/>
      <w:lvlJc w:val="left"/>
      <w:pPr>
        <w:ind w:left="2160" w:hanging="2160"/>
      </w:pPr>
      <w:rPr>
        <w:rFonts w:eastAsia="Times New Roman" w:cs="Segoe UI" w:hint="default"/>
      </w:rPr>
    </w:lvl>
    <w:lvl w:ilvl="7">
      <w:start w:val="1"/>
      <w:numFmt w:val="decimal"/>
      <w:lvlText w:val="%1.%2.%3.%4.%5.%6.%7.%8"/>
      <w:lvlJc w:val="left"/>
      <w:pPr>
        <w:ind w:left="2520" w:hanging="2520"/>
      </w:pPr>
      <w:rPr>
        <w:rFonts w:eastAsia="Times New Roman" w:cs="Segoe UI" w:hint="default"/>
      </w:rPr>
    </w:lvl>
    <w:lvl w:ilvl="8">
      <w:start w:val="1"/>
      <w:numFmt w:val="decimal"/>
      <w:lvlText w:val="%1.%2.%3.%4.%5.%6.%7.%8.%9"/>
      <w:lvlJc w:val="left"/>
      <w:pPr>
        <w:ind w:left="2880" w:hanging="2880"/>
      </w:pPr>
      <w:rPr>
        <w:rFonts w:eastAsia="Times New Roman" w:cs="Segoe UI" w:hint="default"/>
      </w:rPr>
    </w:lvl>
  </w:abstractNum>
  <w:num w:numId="1" w16cid:durableId="1640382528">
    <w:abstractNumId w:val="12"/>
  </w:num>
  <w:num w:numId="2" w16cid:durableId="971406211">
    <w:abstractNumId w:val="20"/>
  </w:num>
  <w:num w:numId="3" w16cid:durableId="1929346994">
    <w:abstractNumId w:val="2"/>
  </w:num>
  <w:num w:numId="4" w16cid:durableId="1274705908">
    <w:abstractNumId w:val="25"/>
  </w:num>
  <w:num w:numId="5" w16cid:durableId="131335465">
    <w:abstractNumId w:val="9"/>
  </w:num>
  <w:num w:numId="6" w16cid:durableId="204371891">
    <w:abstractNumId w:val="19"/>
  </w:num>
  <w:num w:numId="7" w16cid:durableId="1858733085">
    <w:abstractNumId w:val="21"/>
  </w:num>
  <w:num w:numId="8" w16cid:durableId="2102407331">
    <w:abstractNumId w:val="17"/>
  </w:num>
  <w:num w:numId="9" w16cid:durableId="199822832">
    <w:abstractNumId w:val="14"/>
  </w:num>
  <w:num w:numId="10" w16cid:durableId="306518570">
    <w:abstractNumId w:val="18"/>
  </w:num>
  <w:num w:numId="11" w16cid:durableId="262223063">
    <w:abstractNumId w:val="15"/>
  </w:num>
  <w:num w:numId="12" w16cid:durableId="254217730">
    <w:abstractNumId w:val="0"/>
  </w:num>
  <w:num w:numId="13" w16cid:durableId="890186838">
    <w:abstractNumId w:val="26"/>
  </w:num>
  <w:num w:numId="14" w16cid:durableId="1500848320">
    <w:abstractNumId w:val="4"/>
  </w:num>
  <w:num w:numId="15" w16cid:durableId="667253993">
    <w:abstractNumId w:val="7"/>
    <w:lvlOverride w:ilvl="1">
      <w:lvl w:ilvl="1">
        <w:start w:val="1"/>
        <w:numFmt w:val="decimal"/>
        <w:lvlText w:val="%1.%2"/>
        <w:lvlJc w:val="left"/>
        <w:pPr>
          <w:ind w:left="720" w:hanging="720"/>
        </w:pPr>
        <w:rPr>
          <w:rFonts w:ascii="Verdana" w:hAnsi="Verdana"/>
          <w:b w:val="0"/>
          <w:bCs w:val="0"/>
          <w:color w:val="auto"/>
          <w:position w:val="0"/>
          <w:sz w:val="24"/>
          <w:szCs w:val="24"/>
          <w:vertAlign w:val="baseline"/>
        </w:rPr>
      </w:lvl>
    </w:lvlOverride>
  </w:num>
  <w:num w:numId="16" w16cid:durableId="23286687">
    <w:abstractNumId w:val="7"/>
  </w:num>
  <w:num w:numId="17" w16cid:durableId="302924685">
    <w:abstractNumId w:val="7"/>
    <w:lvlOverride w:ilvl="0">
      <w:startOverride w:val="3"/>
      <w:lvl w:ilvl="0">
        <w:start w:val="3"/>
        <w:numFmt w:val="decimal"/>
        <w:lvlText w:val=""/>
        <w:lvlJc w:val="left"/>
      </w:lvl>
    </w:lvlOverride>
    <w:lvlOverride w:ilvl="1">
      <w:startOverride w:val="1"/>
      <w:lvl w:ilvl="1">
        <w:start w:val="1"/>
        <w:numFmt w:val="decimal"/>
        <w:lvlText w:val="%1.%2"/>
        <w:lvlJc w:val="left"/>
        <w:pPr>
          <w:ind w:left="720" w:hanging="720"/>
        </w:pPr>
        <w:rPr>
          <w:rFonts w:ascii="Verdana" w:hAnsi="Verdana"/>
          <w:b w:val="0"/>
          <w:bCs w:val="0"/>
          <w:color w:val="auto"/>
          <w:position w:val="0"/>
          <w:sz w:val="24"/>
          <w:szCs w:val="24"/>
          <w:vertAlign w:val="baseline"/>
        </w:rPr>
      </w:lvl>
    </w:lvlOverride>
  </w:num>
  <w:num w:numId="18" w16cid:durableId="865673413">
    <w:abstractNumId w:val="6"/>
  </w:num>
  <w:num w:numId="19" w16cid:durableId="2068841535">
    <w:abstractNumId w:val="11"/>
  </w:num>
  <w:num w:numId="20" w16cid:durableId="526798078">
    <w:abstractNumId w:val="20"/>
    <w:lvlOverride w:ilvl="0">
      <w:startOverride w:val="4"/>
    </w:lvlOverride>
  </w:num>
  <w:num w:numId="21" w16cid:durableId="1401782177">
    <w:abstractNumId w:val="23"/>
  </w:num>
  <w:num w:numId="22" w16cid:durableId="1105149120">
    <w:abstractNumId w:val="3"/>
  </w:num>
  <w:num w:numId="23" w16cid:durableId="2058359959">
    <w:abstractNumId w:val="22"/>
  </w:num>
  <w:num w:numId="24" w16cid:durableId="807627519">
    <w:abstractNumId w:val="1"/>
  </w:num>
  <w:num w:numId="25" w16cid:durableId="485707304">
    <w:abstractNumId w:val="24"/>
  </w:num>
  <w:num w:numId="26" w16cid:durableId="1554660704">
    <w:abstractNumId w:val="13"/>
  </w:num>
  <w:num w:numId="27" w16cid:durableId="1918439051">
    <w:abstractNumId w:val="16"/>
  </w:num>
  <w:num w:numId="28" w16cid:durableId="620960427">
    <w:abstractNumId w:val="8"/>
  </w:num>
  <w:num w:numId="29" w16cid:durableId="610361765">
    <w:abstractNumId w:val="10"/>
  </w:num>
  <w:num w:numId="30" w16cid:durableId="523976471">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532"/>
    <w:rsid w:val="00000388"/>
    <w:rsid w:val="0000089C"/>
    <w:rsid w:val="00000A12"/>
    <w:rsid w:val="00000E47"/>
    <w:rsid w:val="00000FC3"/>
    <w:rsid w:val="00001AD6"/>
    <w:rsid w:val="00002499"/>
    <w:rsid w:val="00002683"/>
    <w:rsid w:val="00002A14"/>
    <w:rsid w:val="00002D24"/>
    <w:rsid w:val="00003381"/>
    <w:rsid w:val="000035D8"/>
    <w:rsid w:val="000040F5"/>
    <w:rsid w:val="000043D5"/>
    <w:rsid w:val="00004907"/>
    <w:rsid w:val="000049FC"/>
    <w:rsid w:val="00005377"/>
    <w:rsid w:val="0000552B"/>
    <w:rsid w:val="00005709"/>
    <w:rsid w:val="00005B07"/>
    <w:rsid w:val="00007024"/>
    <w:rsid w:val="000070D1"/>
    <w:rsid w:val="000071E0"/>
    <w:rsid w:val="000075A9"/>
    <w:rsid w:val="00007858"/>
    <w:rsid w:val="00007B91"/>
    <w:rsid w:val="00010051"/>
    <w:rsid w:val="00010BB9"/>
    <w:rsid w:val="00010FF7"/>
    <w:rsid w:val="00011131"/>
    <w:rsid w:val="0001148A"/>
    <w:rsid w:val="00011902"/>
    <w:rsid w:val="00012236"/>
    <w:rsid w:val="0001243B"/>
    <w:rsid w:val="000128FC"/>
    <w:rsid w:val="000132DB"/>
    <w:rsid w:val="00013597"/>
    <w:rsid w:val="000139F3"/>
    <w:rsid w:val="00013A8C"/>
    <w:rsid w:val="00014BF3"/>
    <w:rsid w:val="000153D1"/>
    <w:rsid w:val="0001588E"/>
    <w:rsid w:val="00015BCF"/>
    <w:rsid w:val="00015BD9"/>
    <w:rsid w:val="00016335"/>
    <w:rsid w:val="00016B20"/>
    <w:rsid w:val="0001710D"/>
    <w:rsid w:val="00017396"/>
    <w:rsid w:val="0002007F"/>
    <w:rsid w:val="00020249"/>
    <w:rsid w:val="00020B3F"/>
    <w:rsid w:val="00021305"/>
    <w:rsid w:val="000213DC"/>
    <w:rsid w:val="00021C11"/>
    <w:rsid w:val="00023161"/>
    <w:rsid w:val="00023531"/>
    <w:rsid w:val="000238C2"/>
    <w:rsid w:val="00023C01"/>
    <w:rsid w:val="00023EA1"/>
    <w:rsid w:val="000243A7"/>
    <w:rsid w:val="00024B45"/>
    <w:rsid w:val="00025B04"/>
    <w:rsid w:val="00025CE9"/>
    <w:rsid w:val="0002613F"/>
    <w:rsid w:val="00026261"/>
    <w:rsid w:val="00026379"/>
    <w:rsid w:val="00026504"/>
    <w:rsid w:val="00026AEB"/>
    <w:rsid w:val="00026F03"/>
    <w:rsid w:val="0002739F"/>
    <w:rsid w:val="00027C44"/>
    <w:rsid w:val="00027E40"/>
    <w:rsid w:val="0003089E"/>
    <w:rsid w:val="00031F6B"/>
    <w:rsid w:val="00032450"/>
    <w:rsid w:val="00032C62"/>
    <w:rsid w:val="00032C67"/>
    <w:rsid w:val="00033124"/>
    <w:rsid w:val="00033D03"/>
    <w:rsid w:val="0003467C"/>
    <w:rsid w:val="00035D22"/>
    <w:rsid w:val="00035F5E"/>
    <w:rsid w:val="0003635C"/>
    <w:rsid w:val="00036F7E"/>
    <w:rsid w:val="0003792F"/>
    <w:rsid w:val="00037CC9"/>
    <w:rsid w:val="00037D26"/>
    <w:rsid w:val="00037D81"/>
    <w:rsid w:val="00037E41"/>
    <w:rsid w:val="00037E96"/>
    <w:rsid w:val="00037F8B"/>
    <w:rsid w:val="0004063F"/>
    <w:rsid w:val="0004082B"/>
    <w:rsid w:val="0004096D"/>
    <w:rsid w:val="00040AA3"/>
    <w:rsid w:val="00040AB7"/>
    <w:rsid w:val="00040E16"/>
    <w:rsid w:val="000412C3"/>
    <w:rsid w:val="00041579"/>
    <w:rsid w:val="00042167"/>
    <w:rsid w:val="00042871"/>
    <w:rsid w:val="000429C9"/>
    <w:rsid w:val="00042F86"/>
    <w:rsid w:val="000433F3"/>
    <w:rsid w:val="000439A7"/>
    <w:rsid w:val="00043F98"/>
    <w:rsid w:val="000442E3"/>
    <w:rsid w:val="000445A5"/>
    <w:rsid w:val="000446E7"/>
    <w:rsid w:val="00044745"/>
    <w:rsid w:val="00044826"/>
    <w:rsid w:val="00044C5C"/>
    <w:rsid w:val="0004515B"/>
    <w:rsid w:val="0004534D"/>
    <w:rsid w:val="00045365"/>
    <w:rsid w:val="0004585D"/>
    <w:rsid w:val="00045CA6"/>
    <w:rsid w:val="000464A0"/>
    <w:rsid w:val="00046705"/>
    <w:rsid w:val="0004697C"/>
    <w:rsid w:val="000469E5"/>
    <w:rsid w:val="0004708F"/>
    <w:rsid w:val="00047737"/>
    <w:rsid w:val="00047C25"/>
    <w:rsid w:val="00047E03"/>
    <w:rsid w:val="000503C8"/>
    <w:rsid w:val="000516F1"/>
    <w:rsid w:val="00051B5F"/>
    <w:rsid w:val="00052042"/>
    <w:rsid w:val="0005220F"/>
    <w:rsid w:val="0005260E"/>
    <w:rsid w:val="00052B81"/>
    <w:rsid w:val="000531BE"/>
    <w:rsid w:val="0005379E"/>
    <w:rsid w:val="00053CB6"/>
    <w:rsid w:val="00053EF7"/>
    <w:rsid w:val="00054975"/>
    <w:rsid w:val="00055CA3"/>
    <w:rsid w:val="00055E27"/>
    <w:rsid w:val="00055ED9"/>
    <w:rsid w:val="000561F8"/>
    <w:rsid w:val="00056365"/>
    <w:rsid w:val="00056535"/>
    <w:rsid w:val="00056A10"/>
    <w:rsid w:val="00056A5F"/>
    <w:rsid w:val="00056FAE"/>
    <w:rsid w:val="00056FE6"/>
    <w:rsid w:val="00057145"/>
    <w:rsid w:val="000571B5"/>
    <w:rsid w:val="00057808"/>
    <w:rsid w:val="00057A81"/>
    <w:rsid w:val="00057C8B"/>
    <w:rsid w:val="00057EF4"/>
    <w:rsid w:val="000605A2"/>
    <w:rsid w:val="00060B66"/>
    <w:rsid w:val="00060F82"/>
    <w:rsid w:val="000619CA"/>
    <w:rsid w:val="00061D58"/>
    <w:rsid w:val="000620C2"/>
    <w:rsid w:val="0006235D"/>
    <w:rsid w:val="000623DC"/>
    <w:rsid w:val="00062515"/>
    <w:rsid w:val="00063683"/>
    <w:rsid w:val="00063770"/>
    <w:rsid w:val="000639C9"/>
    <w:rsid w:val="00065B0F"/>
    <w:rsid w:val="00065CE9"/>
    <w:rsid w:val="00066496"/>
    <w:rsid w:val="00067353"/>
    <w:rsid w:val="0006764C"/>
    <w:rsid w:val="0007019F"/>
    <w:rsid w:val="00070665"/>
    <w:rsid w:val="00071175"/>
    <w:rsid w:val="000722BF"/>
    <w:rsid w:val="000729C8"/>
    <w:rsid w:val="00072B71"/>
    <w:rsid w:val="00072E2D"/>
    <w:rsid w:val="00072EC7"/>
    <w:rsid w:val="00073255"/>
    <w:rsid w:val="00073296"/>
    <w:rsid w:val="000736D0"/>
    <w:rsid w:val="00073A2D"/>
    <w:rsid w:val="00073DBE"/>
    <w:rsid w:val="000746BC"/>
    <w:rsid w:val="0007479A"/>
    <w:rsid w:val="00074F14"/>
    <w:rsid w:val="000756A5"/>
    <w:rsid w:val="00075870"/>
    <w:rsid w:val="000758B6"/>
    <w:rsid w:val="00075926"/>
    <w:rsid w:val="00076248"/>
    <w:rsid w:val="0007652B"/>
    <w:rsid w:val="000769C6"/>
    <w:rsid w:val="00076C12"/>
    <w:rsid w:val="00076D13"/>
    <w:rsid w:val="00076EC5"/>
    <w:rsid w:val="00077027"/>
    <w:rsid w:val="0007799E"/>
    <w:rsid w:val="00077B17"/>
    <w:rsid w:val="00080593"/>
    <w:rsid w:val="000808E2"/>
    <w:rsid w:val="0008138D"/>
    <w:rsid w:val="00081AF1"/>
    <w:rsid w:val="00082CAE"/>
    <w:rsid w:val="00083274"/>
    <w:rsid w:val="00083478"/>
    <w:rsid w:val="00084A78"/>
    <w:rsid w:val="00084C23"/>
    <w:rsid w:val="00085342"/>
    <w:rsid w:val="00085EBE"/>
    <w:rsid w:val="000860F9"/>
    <w:rsid w:val="00086194"/>
    <w:rsid w:val="00086A05"/>
    <w:rsid w:val="00086DFD"/>
    <w:rsid w:val="00087514"/>
    <w:rsid w:val="00090DEE"/>
    <w:rsid w:val="00090EDF"/>
    <w:rsid w:val="00091BF5"/>
    <w:rsid w:val="00091CA5"/>
    <w:rsid w:val="00092697"/>
    <w:rsid w:val="00092925"/>
    <w:rsid w:val="00092AE8"/>
    <w:rsid w:val="00092C4B"/>
    <w:rsid w:val="00092D5A"/>
    <w:rsid w:val="00093279"/>
    <w:rsid w:val="0009347A"/>
    <w:rsid w:val="00093F8E"/>
    <w:rsid w:val="0009456D"/>
    <w:rsid w:val="000949E1"/>
    <w:rsid w:val="000949E3"/>
    <w:rsid w:val="000959EA"/>
    <w:rsid w:val="0009643A"/>
    <w:rsid w:val="000964F1"/>
    <w:rsid w:val="000971E7"/>
    <w:rsid w:val="00097458"/>
    <w:rsid w:val="000A00EC"/>
    <w:rsid w:val="000A131C"/>
    <w:rsid w:val="000A195E"/>
    <w:rsid w:val="000A2113"/>
    <w:rsid w:val="000A25E4"/>
    <w:rsid w:val="000A2C64"/>
    <w:rsid w:val="000A2F77"/>
    <w:rsid w:val="000A2FDC"/>
    <w:rsid w:val="000A32CD"/>
    <w:rsid w:val="000A33DF"/>
    <w:rsid w:val="000A35AD"/>
    <w:rsid w:val="000A3822"/>
    <w:rsid w:val="000A3A71"/>
    <w:rsid w:val="000A4AD4"/>
    <w:rsid w:val="000A4CF6"/>
    <w:rsid w:val="000A4FF0"/>
    <w:rsid w:val="000A52BA"/>
    <w:rsid w:val="000A5319"/>
    <w:rsid w:val="000A56CF"/>
    <w:rsid w:val="000A56ED"/>
    <w:rsid w:val="000A5E9F"/>
    <w:rsid w:val="000A5EFA"/>
    <w:rsid w:val="000A64AA"/>
    <w:rsid w:val="000A6568"/>
    <w:rsid w:val="000A6701"/>
    <w:rsid w:val="000A6F31"/>
    <w:rsid w:val="000A7056"/>
    <w:rsid w:val="000A78C2"/>
    <w:rsid w:val="000A7EF5"/>
    <w:rsid w:val="000B0253"/>
    <w:rsid w:val="000B063A"/>
    <w:rsid w:val="000B083C"/>
    <w:rsid w:val="000B1224"/>
    <w:rsid w:val="000B27AB"/>
    <w:rsid w:val="000B2E51"/>
    <w:rsid w:val="000B3482"/>
    <w:rsid w:val="000B3BFE"/>
    <w:rsid w:val="000B3EAF"/>
    <w:rsid w:val="000B446C"/>
    <w:rsid w:val="000B474F"/>
    <w:rsid w:val="000B5E39"/>
    <w:rsid w:val="000B69CC"/>
    <w:rsid w:val="000B7160"/>
    <w:rsid w:val="000B7296"/>
    <w:rsid w:val="000B72A3"/>
    <w:rsid w:val="000C0469"/>
    <w:rsid w:val="000C0F38"/>
    <w:rsid w:val="000C106B"/>
    <w:rsid w:val="000C14BD"/>
    <w:rsid w:val="000C1A11"/>
    <w:rsid w:val="000C25C9"/>
    <w:rsid w:val="000C2A92"/>
    <w:rsid w:val="000C314C"/>
    <w:rsid w:val="000C3F85"/>
    <w:rsid w:val="000C4056"/>
    <w:rsid w:val="000C4BF2"/>
    <w:rsid w:val="000C56E2"/>
    <w:rsid w:val="000C56E9"/>
    <w:rsid w:val="000C570E"/>
    <w:rsid w:val="000C5936"/>
    <w:rsid w:val="000C5B11"/>
    <w:rsid w:val="000C5DE7"/>
    <w:rsid w:val="000C5EB7"/>
    <w:rsid w:val="000C5EED"/>
    <w:rsid w:val="000C6963"/>
    <w:rsid w:val="000C69E8"/>
    <w:rsid w:val="000C6A96"/>
    <w:rsid w:val="000C77A3"/>
    <w:rsid w:val="000D00BF"/>
    <w:rsid w:val="000D0371"/>
    <w:rsid w:val="000D07DE"/>
    <w:rsid w:val="000D09DB"/>
    <w:rsid w:val="000D0DD2"/>
    <w:rsid w:val="000D0E17"/>
    <w:rsid w:val="000D16CB"/>
    <w:rsid w:val="000D1897"/>
    <w:rsid w:val="000D1962"/>
    <w:rsid w:val="000D1B4A"/>
    <w:rsid w:val="000D1C35"/>
    <w:rsid w:val="000D1CBE"/>
    <w:rsid w:val="000D1ECE"/>
    <w:rsid w:val="000D33DD"/>
    <w:rsid w:val="000D5EF8"/>
    <w:rsid w:val="000D5FC1"/>
    <w:rsid w:val="000D672A"/>
    <w:rsid w:val="000D6B50"/>
    <w:rsid w:val="000D77E0"/>
    <w:rsid w:val="000D7B45"/>
    <w:rsid w:val="000E0090"/>
    <w:rsid w:val="000E031D"/>
    <w:rsid w:val="000E17DB"/>
    <w:rsid w:val="000E1A22"/>
    <w:rsid w:val="000E1F61"/>
    <w:rsid w:val="000E2069"/>
    <w:rsid w:val="000E2676"/>
    <w:rsid w:val="000E310A"/>
    <w:rsid w:val="000E342B"/>
    <w:rsid w:val="000E34A7"/>
    <w:rsid w:val="000E48FB"/>
    <w:rsid w:val="000E4C47"/>
    <w:rsid w:val="000E4FBF"/>
    <w:rsid w:val="000E58F0"/>
    <w:rsid w:val="000E6308"/>
    <w:rsid w:val="000E6638"/>
    <w:rsid w:val="000E698F"/>
    <w:rsid w:val="000E7446"/>
    <w:rsid w:val="000E7C82"/>
    <w:rsid w:val="000E7F0C"/>
    <w:rsid w:val="000E7F1B"/>
    <w:rsid w:val="000F017E"/>
    <w:rsid w:val="000F01CA"/>
    <w:rsid w:val="000F07C4"/>
    <w:rsid w:val="000F114D"/>
    <w:rsid w:val="000F1433"/>
    <w:rsid w:val="000F20FF"/>
    <w:rsid w:val="000F3272"/>
    <w:rsid w:val="000F371E"/>
    <w:rsid w:val="000F407C"/>
    <w:rsid w:val="000F4519"/>
    <w:rsid w:val="000F4906"/>
    <w:rsid w:val="000F52EE"/>
    <w:rsid w:val="000F56F6"/>
    <w:rsid w:val="000F58F7"/>
    <w:rsid w:val="000F5FFC"/>
    <w:rsid w:val="000F65EA"/>
    <w:rsid w:val="000F66BC"/>
    <w:rsid w:val="000F6872"/>
    <w:rsid w:val="000F6D2F"/>
    <w:rsid w:val="000F6DC9"/>
    <w:rsid w:val="000F7207"/>
    <w:rsid w:val="000F7326"/>
    <w:rsid w:val="000F7A53"/>
    <w:rsid w:val="000F7CA8"/>
    <w:rsid w:val="001001BE"/>
    <w:rsid w:val="00100408"/>
    <w:rsid w:val="00101CD4"/>
    <w:rsid w:val="0010288A"/>
    <w:rsid w:val="0010337D"/>
    <w:rsid w:val="00103E9D"/>
    <w:rsid w:val="00103EC5"/>
    <w:rsid w:val="00104358"/>
    <w:rsid w:val="0010567D"/>
    <w:rsid w:val="00105708"/>
    <w:rsid w:val="00105B31"/>
    <w:rsid w:val="00105B96"/>
    <w:rsid w:val="00105BA7"/>
    <w:rsid w:val="00105D8F"/>
    <w:rsid w:val="00105E68"/>
    <w:rsid w:val="00105E83"/>
    <w:rsid w:val="0010608A"/>
    <w:rsid w:val="00106343"/>
    <w:rsid w:val="001074A1"/>
    <w:rsid w:val="0010761B"/>
    <w:rsid w:val="001079AF"/>
    <w:rsid w:val="00107ACD"/>
    <w:rsid w:val="00110124"/>
    <w:rsid w:val="001101CD"/>
    <w:rsid w:val="001103C0"/>
    <w:rsid w:val="00110425"/>
    <w:rsid w:val="0011067E"/>
    <w:rsid w:val="001107FB"/>
    <w:rsid w:val="00111447"/>
    <w:rsid w:val="00111697"/>
    <w:rsid w:val="00111926"/>
    <w:rsid w:val="00112117"/>
    <w:rsid w:val="001123BD"/>
    <w:rsid w:val="0011248E"/>
    <w:rsid w:val="00112772"/>
    <w:rsid w:val="00112834"/>
    <w:rsid w:val="00112D35"/>
    <w:rsid w:val="00112FB3"/>
    <w:rsid w:val="001132DA"/>
    <w:rsid w:val="00113357"/>
    <w:rsid w:val="001134C9"/>
    <w:rsid w:val="00113D0C"/>
    <w:rsid w:val="00113D80"/>
    <w:rsid w:val="00113ED6"/>
    <w:rsid w:val="001140D6"/>
    <w:rsid w:val="00114922"/>
    <w:rsid w:val="00114CBE"/>
    <w:rsid w:val="00115D6F"/>
    <w:rsid w:val="001160AD"/>
    <w:rsid w:val="0011676A"/>
    <w:rsid w:val="00116FD1"/>
    <w:rsid w:val="00117706"/>
    <w:rsid w:val="00120925"/>
    <w:rsid w:val="00120F04"/>
    <w:rsid w:val="001211F6"/>
    <w:rsid w:val="001213DE"/>
    <w:rsid w:val="00121533"/>
    <w:rsid w:val="00121B5A"/>
    <w:rsid w:val="00122A13"/>
    <w:rsid w:val="00122A5B"/>
    <w:rsid w:val="00123A4A"/>
    <w:rsid w:val="00123CA7"/>
    <w:rsid w:val="00123F52"/>
    <w:rsid w:val="00124874"/>
    <w:rsid w:val="00125642"/>
    <w:rsid w:val="00125BD1"/>
    <w:rsid w:val="00126009"/>
    <w:rsid w:val="00126F9F"/>
    <w:rsid w:val="00127CB3"/>
    <w:rsid w:val="00127D51"/>
    <w:rsid w:val="00127DC4"/>
    <w:rsid w:val="001300B1"/>
    <w:rsid w:val="00130AE0"/>
    <w:rsid w:val="00130EDA"/>
    <w:rsid w:val="00131549"/>
    <w:rsid w:val="001318BD"/>
    <w:rsid w:val="00131915"/>
    <w:rsid w:val="00131E45"/>
    <w:rsid w:val="00132553"/>
    <w:rsid w:val="0013288C"/>
    <w:rsid w:val="0013321F"/>
    <w:rsid w:val="00133726"/>
    <w:rsid w:val="0013382F"/>
    <w:rsid w:val="00133A4F"/>
    <w:rsid w:val="00135E32"/>
    <w:rsid w:val="0013631C"/>
    <w:rsid w:val="00136D0E"/>
    <w:rsid w:val="00136EDB"/>
    <w:rsid w:val="001372C6"/>
    <w:rsid w:val="00137662"/>
    <w:rsid w:val="00137788"/>
    <w:rsid w:val="00137A0F"/>
    <w:rsid w:val="00137CC5"/>
    <w:rsid w:val="00140086"/>
    <w:rsid w:val="00140708"/>
    <w:rsid w:val="001421A5"/>
    <w:rsid w:val="001424D2"/>
    <w:rsid w:val="00142998"/>
    <w:rsid w:val="0014306B"/>
    <w:rsid w:val="001438D5"/>
    <w:rsid w:val="00143A47"/>
    <w:rsid w:val="00144C26"/>
    <w:rsid w:val="00144F50"/>
    <w:rsid w:val="00145003"/>
    <w:rsid w:val="0014518F"/>
    <w:rsid w:val="001451EC"/>
    <w:rsid w:val="0014672A"/>
    <w:rsid w:val="001467E2"/>
    <w:rsid w:val="00146974"/>
    <w:rsid w:val="00146D7E"/>
    <w:rsid w:val="00147106"/>
    <w:rsid w:val="001473CD"/>
    <w:rsid w:val="001479F0"/>
    <w:rsid w:val="001500DB"/>
    <w:rsid w:val="00150196"/>
    <w:rsid w:val="001502D7"/>
    <w:rsid w:val="001509B1"/>
    <w:rsid w:val="00150A53"/>
    <w:rsid w:val="00150AED"/>
    <w:rsid w:val="001512DC"/>
    <w:rsid w:val="001515A1"/>
    <w:rsid w:val="001517C3"/>
    <w:rsid w:val="00151E1B"/>
    <w:rsid w:val="00152819"/>
    <w:rsid w:val="00152880"/>
    <w:rsid w:val="0015344C"/>
    <w:rsid w:val="00153482"/>
    <w:rsid w:val="0015457A"/>
    <w:rsid w:val="00154655"/>
    <w:rsid w:val="00155742"/>
    <w:rsid w:val="0015582B"/>
    <w:rsid w:val="0015592B"/>
    <w:rsid w:val="00155FF6"/>
    <w:rsid w:val="00155FF8"/>
    <w:rsid w:val="001560E5"/>
    <w:rsid w:val="00156636"/>
    <w:rsid w:val="001566C3"/>
    <w:rsid w:val="00156817"/>
    <w:rsid w:val="00156A5F"/>
    <w:rsid w:val="001576ED"/>
    <w:rsid w:val="001577C3"/>
    <w:rsid w:val="00157C6E"/>
    <w:rsid w:val="00157CB7"/>
    <w:rsid w:val="00157E7A"/>
    <w:rsid w:val="00157FFA"/>
    <w:rsid w:val="00160A52"/>
    <w:rsid w:val="00160BCD"/>
    <w:rsid w:val="00162A60"/>
    <w:rsid w:val="00162E7F"/>
    <w:rsid w:val="001630ED"/>
    <w:rsid w:val="0016366D"/>
    <w:rsid w:val="0016451A"/>
    <w:rsid w:val="00164B03"/>
    <w:rsid w:val="001658A3"/>
    <w:rsid w:val="00165AAE"/>
    <w:rsid w:val="00165B34"/>
    <w:rsid w:val="00167026"/>
    <w:rsid w:val="001679BE"/>
    <w:rsid w:val="00167A39"/>
    <w:rsid w:val="00170D44"/>
    <w:rsid w:val="00171348"/>
    <w:rsid w:val="00171BE9"/>
    <w:rsid w:val="00171F71"/>
    <w:rsid w:val="0017227B"/>
    <w:rsid w:val="00172398"/>
    <w:rsid w:val="00172952"/>
    <w:rsid w:val="001732B8"/>
    <w:rsid w:val="001732E9"/>
    <w:rsid w:val="001733D3"/>
    <w:rsid w:val="001738D3"/>
    <w:rsid w:val="00173BFF"/>
    <w:rsid w:val="00173E95"/>
    <w:rsid w:val="001748FA"/>
    <w:rsid w:val="0017499F"/>
    <w:rsid w:val="00174D86"/>
    <w:rsid w:val="00174F07"/>
    <w:rsid w:val="001753E0"/>
    <w:rsid w:val="00175453"/>
    <w:rsid w:val="00175853"/>
    <w:rsid w:val="00175FAE"/>
    <w:rsid w:val="00176270"/>
    <w:rsid w:val="00176B97"/>
    <w:rsid w:val="00176EAA"/>
    <w:rsid w:val="00177944"/>
    <w:rsid w:val="001779C0"/>
    <w:rsid w:val="00177A3D"/>
    <w:rsid w:val="00177CA7"/>
    <w:rsid w:val="00180092"/>
    <w:rsid w:val="00180686"/>
    <w:rsid w:val="0018086F"/>
    <w:rsid w:val="00180B1A"/>
    <w:rsid w:val="0018123F"/>
    <w:rsid w:val="0018130B"/>
    <w:rsid w:val="00181C9B"/>
    <w:rsid w:val="001830FF"/>
    <w:rsid w:val="001834AA"/>
    <w:rsid w:val="0018386A"/>
    <w:rsid w:val="0018393A"/>
    <w:rsid w:val="00183FE6"/>
    <w:rsid w:val="00185025"/>
    <w:rsid w:val="00185291"/>
    <w:rsid w:val="00185B17"/>
    <w:rsid w:val="00185BF7"/>
    <w:rsid w:val="0018632E"/>
    <w:rsid w:val="001865E1"/>
    <w:rsid w:val="00186C6D"/>
    <w:rsid w:val="00186CF6"/>
    <w:rsid w:val="00186D2B"/>
    <w:rsid w:val="00186FD6"/>
    <w:rsid w:val="00187229"/>
    <w:rsid w:val="00187530"/>
    <w:rsid w:val="00187721"/>
    <w:rsid w:val="00187CED"/>
    <w:rsid w:val="00187DCF"/>
    <w:rsid w:val="001907EA"/>
    <w:rsid w:val="00190C17"/>
    <w:rsid w:val="001911E4"/>
    <w:rsid w:val="00191431"/>
    <w:rsid w:val="0019163F"/>
    <w:rsid w:val="00191738"/>
    <w:rsid w:val="001917B5"/>
    <w:rsid w:val="00191A6E"/>
    <w:rsid w:val="00191D5F"/>
    <w:rsid w:val="00191F56"/>
    <w:rsid w:val="0019218E"/>
    <w:rsid w:val="00192D68"/>
    <w:rsid w:val="0019330A"/>
    <w:rsid w:val="00193FC0"/>
    <w:rsid w:val="0019456B"/>
    <w:rsid w:val="00194BCD"/>
    <w:rsid w:val="001953F4"/>
    <w:rsid w:val="00195CEC"/>
    <w:rsid w:val="00195F0D"/>
    <w:rsid w:val="00195F81"/>
    <w:rsid w:val="00195FF5"/>
    <w:rsid w:val="001966F2"/>
    <w:rsid w:val="00196DE7"/>
    <w:rsid w:val="00196EC8"/>
    <w:rsid w:val="001972A7"/>
    <w:rsid w:val="001A0153"/>
    <w:rsid w:val="001A0736"/>
    <w:rsid w:val="001A0948"/>
    <w:rsid w:val="001A095C"/>
    <w:rsid w:val="001A0A3B"/>
    <w:rsid w:val="001A0C69"/>
    <w:rsid w:val="001A138D"/>
    <w:rsid w:val="001A14FF"/>
    <w:rsid w:val="001A1F92"/>
    <w:rsid w:val="001A1FB5"/>
    <w:rsid w:val="001A2A13"/>
    <w:rsid w:val="001A2E83"/>
    <w:rsid w:val="001A3E35"/>
    <w:rsid w:val="001A4627"/>
    <w:rsid w:val="001A4B0D"/>
    <w:rsid w:val="001A4D38"/>
    <w:rsid w:val="001A4FED"/>
    <w:rsid w:val="001A535D"/>
    <w:rsid w:val="001A55E9"/>
    <w:rsid w:val="001A5900"/>
    <w:rsid w:val="001A59A9"/>
    <w:rsid w:val="001A5FB3"/>
    <w:rsid w:val="001A61D1"/>
    <w:rsid w:val="001A6262"/>
    <w:rsid w:val="001A640C"/>
    <w:rsid w:val="001A6A45"/>
    <w:rsid w:val="001A6DBA"/>
    <w:rsid w:val="001A74CA"/>
    <w:rsid w:val="001B027C"/>
    <w:rsid w:val="001B09DB"/>
    <w:rsid w:val="001B0A5D"/>
    <w:rsid w:val="001B1579"/>
    <w:rsid w:val="001B18E1"/>
    <w:rsid w:val="001B20D5"/>
    <w:rsid w:val="001B224D"/>
    <w:rsid w:val="001B2398"/>
    <w:rsid w:val="001B398E"/>
    <w:rsid w:val="001B4625"/>
    <w:rsid w:val="001B512C"/>
    <w:rsid w:val="001B5545"/>
    <w:rsid w:val="001B6118"/>
    <w:rsid w:val="001B611E"/>
    <w:rsid w:val="001B651E"/>
    <w:rsid w:val="001B6709"/>
    <w:rsid w:val="001B6A6C"/>
    <w:rsid w:val="001B7C3F"/>
    <w:rsid w:val="001B7F9F"/>
    <w:rsid w:val="001C00CD"/>
    <w:rsid w:val="001C14AD"/>
    <w:rsid w:val="001C1CDD"/>
    <w:rsid w:val="001C242A"/>
    <w:rsid w:val="001C2D75"/>
    <w:rsid w:val="001C32BA"/>
    <w:rsid w:val="001C32FE"/>
    <w:rsid w:val="001C37B4"/>
    <w:rsid w:val="001C38C3"/>
    <w:rsid w:val="001C3D02"/>
    <w:rsid w:val="001C3FD1"/>
    <w:rsid w:val="001C4007"/>
    <w:rsid w:val="001C4669"/>
    <w:rsid w:val="001C4860"/>
    <w:rsid w:val="001C514B"/>
    <w:rsid w:val="001C51DD"/>
    <w:rsid w:val="001C54D4"/>
    <w:rsid w:val="001C59BE"/>
    <w:rsid w:val="001C5FC5"/>
    <w:rsid w:val="001C6288"/>
    <w:rsid w:val="001C6EE7"/>
    <w:rsid w:val="001C7047"/>
    <w:rsid w:val="001C7887"/>
    <w:rsid w:val="001C78F7"/>
    <w:rsid w:val="001D03E7"/>
    <w:rsid w:val="001D085B"/>
    <w:rsid w:val="001D0C1B"/>
    <w:rsid w:val="001D1025"/>
    <w:rsid w:val="001D103E"/>
    <w:rsid w:val="001D17C4"/>
    <w:rsid w:val="001D196F"/>
    <w:rsid w:val="001D1B74"/>
    <w:rsid w:val="001D1D43"/>
    <w:rsid w:val="001D2303"/>
    <w:rsid w:val="001D2AD9"/>
    <w:rsid w:val="001D2F2D"/>
    <w:rsid w:val="001D2FCD"/>
    <w:rsid w:val="001D431B"/>
    <w:rsid w:val="001D480E"/>
    <w:rsid w:val="001D490B"/>
    <w:rsid w:val="001D4A99"/>
    <w:rsid w:val="001D4CA3"/>
    <w:rsid w:val="001D5296"/>
    <w:rsid w:val="001D5561"/>
    <w:rsid w:val="001D5DFD"/>
    <w:rsid w:val="001D5F83"/>
    <w:rsid w:val="001D661C"/>
    <w:rsid w:val="001D69E3"/>
    <w:rsid w:val="001D6B16"/>
    <w:rsid w:val="001D6B9F"/>
    <w:rsid w:val="001D6D36"/>
    <w:rsid w:val="001D6F41"/>
    <w:rsid w:val="001D7155"/>
    <w:rsid w:val="001D7C65"/>
    <w:rsid w:val="001D7EE7"/>
    <w:rsid w:val="001E0226"/>
    <w:rsid w:val="001E05BB"/>
    <w:rsid w:val="001E0605"/>
    <w:rsid w:val="001E084C"/>
    <w:rsid w:val="001E0FCA"/>
    <w:rsid w:val="001E1045"/>
    <w:rsid w:val="001E1484"/>
    <w:rsid w:val="001E15C8"/>
    <w:rsid w:val="001E16CB"/>
    <w:rsid w:val="001E1839"/>
    <w:rsid w:val="001E1B2D"/>
    <w:rsid w:val="001E1CCB"/>
    <w:rsid w:val="001E247F"/>
    <w:rsid w:val="001E2977"/>
    <w:rsid w:val="001E2A79"/>
    <w:rsid w:val="001E2E44"/>
    <w:rsid w:val="001E3E73"/>
    <w:rsid w:val="001E4212"/>
    <w:rsid w:val="001E4487"/>
    <w:rsid w:val="001E4563"/>
    <w:rsid w:val="001E4768"/>
    <w:rsid w:val="001E4D8A"/>
    <w:rsid w:val="001E4EB7"/>
    <w:rsid w:val="001E50BB"/>
    <w:rsid w:val="001E5425"/>
    <w:rsid w:val="001E547B"/>
    <w:rsid w:val="001E6BED"/>
    <w:rsid w:val="001E6EA9"/>
    <w:rsid w:val="001E7418"/>
    <w:rsid w:val="001E79A9"/>
    <w:rsid w:val="001E7A6E"/>
    <w:rsid w:val="001E7DB5"/>
    <w:rsid w:val="001F006E"/>
    <w:rsid w:val="001F02A1"/>
    <w:rsid w:val="001F05B1"/>
    <w:rsid w:val="001F06D3"/>
    <w:rsid w:val="001F09BE"/>
    <w:rsid w:val="001F0BC0"/>
    <w:rsid w:val="001F10C2"/>
    <w:rsid w:val="001F14D3"/>
    <w:rsid w:val="001F2C62"/>
    <w:rsid w:val="001F3143"/>
    <w:rsid w:val="001F317E"/>
    <w:rsid w:val="001F37A2"/>
    <w:rsid w:val="001F390D"/>
    <w:rsid w:val="001F48F5"/>
    <w:rsid w:val="001F4B82"/>
    <w:rsid w:val="001F5042"/>
    <w:rsid w:val="001F5079"/>
    <w:rsid w:val="001F5B9E"/>
    <w:rsid w:val="001F68DD"/>
    <w:rsid w:val="0020010A"/>
    <w:rsid w:val="002003FF"/>
    <w:rsid w:val="00200647"/>
    <w:rsid w:val="00200664"/>
    <w:rsid w:val="00201AA6"/>
    <w:rsid w:val="00201F02"/>
    <w:rsid w:val="00202573"/>
    <w:rsid w:val="00203119"/>
    <w:rsid w:val="0020374E"/>
    <w:rsid w:val="00203917"/>
    <w:rsid w:val="0020410D"/>
    <w:rsid w:val="0020467B"/>
    <w:rsid w:val="00204836"/>
    <w:rsid w:val="002050C6"/>
    <w:rsid w:val="0020511C"/>
    <w:rsid w:val="002052CE"/>
    <w:rsid w:val="002053F3"/>
    <w:rsid w:val="00205833"/>
    <w:rsid w:val="00205878"/>
    <w:rsid w:val="00205980"/>
    <w:rsid w:val="00205A18"/>
    <w:rsid w:val="00205F1C"/>
    <w:rsid w:val="00205FB6"/>
    <w:rsid w:val="0020602B"/>
    <w:rsid w:val="002061D9"/>
    <w:rsid w:val="00206A1E"/>
    <w:rsid w:val="00206F11"/>
    <w:rsid w:val="00210CCB"/>
    <w:rsid w:val="00210CF7"/>
    <w:rsid w:val="00210F4C"/>
    <w:rsid w:val="00211885"/>
    <w:rsid w:val="00211919"/>
    <w:rsid w:val="00212355"/>
    <w:rsid w:val="002124E4"/>
    <w:rsid w:val="00212994"/>
    <w:rsid w:val="00212AC9"/>
    <w:rsid w:val="002134A3"/>
    <w:rsid w:val="002137BD"/>
    <w:rsid w:val="00213B8A"/>
    <w:rsid w:val="00213CB7"/>
    <w:rsid w:val="00213EC4"/>
    <w:rsid w:val="00213EF0"/>
    <w:rsid w:val="00214641"/>
    <w:rsid w:val="002150AF"/>
    <w:rsid w:val="00215A37"/>
    <w:rsid w:val="00215D4E"/>
    <w:rsid w:val="00216572"/>
    <w:rsid w:val="002169B9"/>
    <w:rsid w:val="00216C4E"/>
    <w:rsid w:val="002177D4"/>
    <w:rsid w:val="00217EE8"/>
    <w:rsid w:val="00220246"/>
    <w:rsid w:val="00220E11"/>
    <w:rsid w:val="00220FD3"/>
    <w:rsid w:val="0022101D"/>
    <w:rsid w:val="0022129C"/>
    <w:rsid w:val="00221CDA"/>
    <w:rsid w:val="00222431"/>
    <w:rsid w:val="00222644"/>
    <w:rsid w:val="00222D52"/>
    <w:rsid w:val="00223125"/>
    <w:rsid w:val="00223512"/>
    <w:rsid w:val="00223F95"/>
    <w:rsid w:val="00224140"/>
    <w:rsid w:val="0022423E"/>
    <w:rsid w:val="00224319"/>
    <w:rsid w:val="00224E0C"/>
    <w:rsid w:val="00225053"/>
    <w:rsid w:val="002250E1"/>
    <w:rsid w:val="0022526C"/>
    <w:rsid w:val="00226B76"/>
    <w:rsid w:val="00226E6A"/>
    <w:rsid w:val="0022726F"/>
    <w:rsid w:val="002277BE"/>
    <w:rsid w:val="0022786B"/>
    <w:rsid w:val="00227BE3"/>
    <w:rsid w:val="00227D55"/>
    <w:rsid w:val="00227EC4"/>
    <w:rsid w:val="0023004A"/>
    <w:rsid w:val="00230A35"/>
    <w:rsid w:val="00230AAE"/>
    <w:rsid w:val="00231099"/>
    <w:rsid w:val="0023197E"/>
    <w:rsid w:val="00231A49"/>
    <w:rsid w:val="00231C6A"/>
    <w:rsid w:val="00232064"/>
    <w:rsid w:val="0023215C"/>
    <w:rsid w:val="00232223"/>
    <w:rsid w:val="00232444"/>
    <w:rsid w:val="0023253D"/>
    <w:rsid w:val="00232683"/>
    <w:rsid w:val="002332E4"/>
    <w:rsid w:val="002339A2"/>
    <w:rsid w:val="00233B5E"/>
    <w:rsid w:val="00233D34"/>
    <w:rsid w:val="00233ECC"/>
    <w:rsid w:val="00233FF3"/>
    <w:rsid w:val="00234415"/>
    <w:rsid w:val="00234DEF"/>
    <w:rsid w:val="002350F6"/>
    <w:rsid w:val="002351CB"/>
    <w:rsid w:val="00235852"/>
    <w:rsid w:val="00235B31"/>
    <w:rsid w:val="002361C3"/>
    <w:rsid w:val="00236508"/>
    <w:rsid w:val="0023706D"/>
    <w:rsid w:val="0024006F"/>
    <w:rsid w:val="00240140"/>
    <w:rsid w:val="0024072D"/>
    <w:rsid w:val="00241FA0"/>
    <w:rsid w:val="0024253D"/>
    <w:rsid w:val="00242817"/>
    <w:rsid w:val="002428EC"/>
    <w:rsid w:val="00242DE4"/>
    <w:rsid w:val="00243ABF"/>
    <w:rsid w:val="00243ED4"/>
    <w:rsid w:val="00243FE0"/>
    <w:rsid w:val="00245151"/>
    <w:rsid w:val="00245A00"/>
    <w:rsid w:val="00245F14"/>
    <w:rsid w:val="00245F4B"/>
    <w:rsid w:val="002463DB"/>
    <w:rsid w:val="0024687D"/>
    <w:rsid w:val="00246971"/>
    <w:rsid w:val="0024724C"/>
    <w:rsid w:val="00250003"/>
    <w:rsid w:val="0025006C"/>
    <w:rsid w:val="00250948"/>
    <w:rsid w:val="002517AE"/>
    <w:rsid w:val="00251BAE"/>
    <w:rsid w:val="0025204D"/>
    <w:rsid w:val="002529BB"/>
    <w:rsid w:val="00252BA7"/>
    <w:rsid w:val="00252DFB"/>
    <w:rsid w:val="00253260"/>
    <w:rsid w:val="00254340"/>
    <w:rsid w:val="00254CC8"/>
    <w:rsid w:val="00255B10"/>
    <w:rsid w:val="00255D6E"/>
    <w:rsid w:val="00256195"/>
    <w:rsid w:val="002563F5"/>
    <w:rsid w:val="00256B64"/>
    <w:rsid w:val="00256F33"/>
    <w:rsid w:val="00256F9B"/>
    <w:rsid w:val="002606DC"/>
    <w:rsid w:val="00260AB8"/>
    <w:rsid w:val="00260C24"/>
    <w:rsid w:val="00261144"/>
    <w:rsid w:val="002618B0"/>
    <w:rsid w:val="0026229E"/>
    <w:rsid w:val="00262BA7"/>
    <w:rsid w:val="00263E57"/>
    <w:rsid w:val="00264272"/>
    <w:rsid w:val="002648BC"/>
    <w:rsid w:val="00264A09"/>
    <w:rsid w:val="00265CE2"/>
    <w:rsid w:val="00266A84"/>
    <w:rsid w:val="00266E65"/>
    <w:rsid w:val="00267D1A"/>
    <w:rsid w:val="00267E52"/>
    <w:rsid w:val="0027012F"/>
    <w:rsid w:val="0027018D"/>
    <w:rsid w:val="002702C0"/>
    <w:rsid w:val="00270863"/>
    <w:rsid w:val="00270950"/>
    <w:rsid w:val="0027102D"/>
    <w:rsid w:val="002711C5"/>
    <w:rsid w:val="00271300"/>
    <w:rsid w:val="002714F5"/>
    <w:rsid w:val="00272254"/>
    <w:rsid w:val="00272311"/>
    <w:rsid w:val="00272451"/>
    <w:rsid w:val="00272949"/>
    <w:rsid w:val="00272ADE"/>
    <w:rsid w:val="00272B32"/>
    <w:rsid w:val="00272B85"/>
    <w:rsid w:val="002730E3"/>
    <w:rsid w:val="00273CDE"/>
    <w:rsid w:val="00273FF1"/>
    <w:rsid w:val="002741CD"/>
    <w:rsid w:val="002747D9"/>
    <w:rsid w:val="00274FC0"/>
    <w:rsid w:val="0027513B"/>
    <w:rsid w:val="002758D2"/>
    <w:rsid w:val="002767D9"/>
    <w:rsid w:val="002768A2"/>
    <w:rsid w:val="00276A90"/>
    <w:rsid w:val="002773A0"/>
    <w:rsid w:val="00277586"/>
    <w:rsid w:val="00277D87"/>
    <w:rsid w:val="00277D93"/>
    <w:rsid w:val="00277DE9"/>
    <w:rsid w:val="00280BB3"/>
    <w:rsid w:val="00280C69"/>
    <w:rsid w:val="00280D1F"/>
    <w:rsid w:val="002811B7"/>
    <w:rsid w:val="00281A3E"/>
    <w:rsid w:val="0028266F"/>
    <w:rsid w:val="00282BBE"/>
    <w:rsid w:val="00282FB0"/>
    <w:rsid w:val="002839DC"/>
    <w:rsid w:val="00283D15"/>
    <w:rsid w:val="00283F3E"/>
    <w:rsid w:val="00283F4A"/>
    <w:rsid w:val="002846BA"/>
    <w:rsid w:val="00285E0E"/>
    <w:rsid w:val="00285E51"/>
    <w:rsid w:val="00286333"/>
    <w:rsid w:val="002869BF"/>
    <w:rsid w:val="00286A0F"/>
    <w:rsid w:val="00286EB5"/>
    <w:rsid w:val="00286F46"/>
    <w:rsid w:val="00287262"/>
    <w:rsid w:val="002873D1"/>
    <w:rsid w:val="002875A8"/>
    <w:rsid w:val="00287A0F"/>
    <w:rsid w:val="00287E7D"/>
    <w:rsid w:val="002900AA"/>
    <w:rsid w:val="002908CF"/>
    <w:rsid w:val="00290C5D"/>
    <w:rsid w:val="00290D60"/>
    <w:rsid w:val="00291176"/>
    <w:rsid w:val="002914B5"/>
    <w:rsid w:val="00291696"/>
    <w:rsid w:val="00291764"/>
    <w:rsid w:val="002919AF"/>
    <w:rsid w:val="002923EA"/>
    <w:rsid w:val="0029312E"/>
    <w:rsid w:val="00293822"/>
    <w:rsid w:val="00293AC7"/>
    <w:rsid w:val="00293BF5"/>
    <w:rsid w:val="00293CB7"/>
    <w:rsid w:val="002941F2"/>
    <w:rsid w:val="0029495D"/>
    <w:rsid w:val="00294A98"/>
    <w:rsid w:val="00294BC7"/>
    <w:rsid w:val="00294C4A"/>
    <w:rsid w:val="00294D42"/>
    <w:rsid w:val="00295776"/>
    <w:rsid w:val="002959D6"/>
    <w:rsid w:val="0029685A"/>
    <w:rsid w:val="002974D9"/>
    <w:rsid w:val="00297761"/>
    <w:rsid w:val="00297B8F"/>
    <w:rsid w:val="00297F56"/>
    <w:rsid w:val="002A0041"/>
    <w:rsid w:val="002A01D8"/>
    <w:rsid w:val="002A03B6"/>
    <w:rsid w:val="002A1CBC"/>
    <w:rsid w:val="002A234D"/>
    <w:rsid w:val="002A27CA"/>
    <w:rsid w:val="002A2C2F"/>
    <w:rsid w:val="002A2C38"/>
    <w:rsid w:val="002A3263"/>
    <w:rsid w:val="002A3B49"/>
    <w:rsid w:val="002A408A"/>
    <w:rsid w:val="002A5025"/>
    <w:rsid w:val="002A54A7"/>
    <w:rsid w:val="002A5727"/>
    <w:rsid w:val="002A5880"/>
    <w:rsid w:val="002A591C"/>
    <w:rsid w:val="002A59E7"/>
    <w:rsid w:val="002A5A5D"/>
    <w:rsid w:val="002A5BDF"/>
    <w:rsid w:val="002A6707"/>
    <w:rsid w:val="002A6711"/>
    <w:rsid w:val="002A68C5"/>
    <w:rsid w:val="002A6B45"/>
    <w:rsid w:val="002A7200"/>
    <w:rsid w:val="002A7328"/>
    <w:rsid w:val="002A787D"/>
    <w:rsid w:val="002B0379"/>
    <w:rsid w:val="002B0BF6"/>
    <w:rsid w:val="002B1222"/>
    <w:rsid w:val="002B1272"/>
    <w:rsid w:val="002B270F"/>
    <w:rsid w:val="002B2C64"/>
    <w:rsid w:val="002B2DA0"/>
    <w:rsid w:val="002B3378"/>
    <w:rsid w:val="002B4CE8"/>
    <w:rsid w:val="002B4D2E"/>
    <w:rsid w:val="002B4FAD"/>
    <w:rsid w:val="002B4FAF"/>
    <w:rsid w:val="002B5662"/>
    <w:rsid w:val="002B5A41"/>
    <w:rsid w:val="002B689C"/>
    <w:rsid w:val="002B7552"/>
    <w:rsid w:val="002B79A5"/>
    <w:rsid w:val="002B7F8F"/>
    <w:rsid w:val="002B7FE2"/>
    <w:rsid w:val="002C0245"/>
    <w:rsid w:val="002C1185"/>
    <w:rsid w:val="002C1493"/>
    <w:rsid w:val="002C301F"/>
    <w:rsid w:val="002C35AF"/>
    <w:rsid w:val="002C3B72"/>
    <w:rsid w:val="002C4980"/>
    <w:rsid w:val="002C4FA1"/>
    <w:rsid w:val="002C5224"/>
    <w:rsid w:val="002C5459"/>
    <w:rsid w:val="002C61F6"/>
    <w:rsid w:val="002C7126"/>
    <w:rsid w:val="002C75A6"/>
    <w:rsid w:val="002C75E2"/>
    <w:rsid w:val="002C7C52"/>
    <w:rsid w:val="002C7E33"/>
    <w:rsid w:val="002C7E53"/>
    <w:rsid w:val="002D0143"/>
    <w:rsid w:val="002D015A"/>
    <w:rsid w:val="002D107A"/>
    <w:rsid w:val="002D133D"/>
    <w:rsid w:val="002D182C"/>
    <w:rsid w:val="002D270D"/>
    <w:rsid w:val="002D2E92"/>
    <w:rsid w:val="002D3802"/>
    <w:rsid w:val="002D41D5"/>
    <w:rsid w:val="002D4612"/>
    <w:rsid w:val="002D48C2"/>
    <w:rsid w:val="002D4B4D"/>
    <w:rsid w:val="002D5012"/>
    <w:rsid w:val="002D56A7"/>
    <w:rsid w:val="002D5E53"/>
    <w:rsid w:val="002D6253"/>
    <w:rsid w:val="002D6684"/>
    <w:rsid w:val="002D67C9"/>
    <w:rsid w:val="002D68CE"/>
    <w:rsid w:val="002D6C64"/>
    <w:rsid w:val="002D70D2"/>
    <w:rsid w:val="002D7EC2"/>
    <w:rsid w:val="002E2018"/>
    <w:rsid w:val="002E21E4"/>
    <w:rsid w:val="002E3120"/>
    <w:rsid w:val="002E35F1"/>
    <w:rsid w:val="002E3994"/>
    <w:rsid w:val="002E4743"/>
    <w:rsid w:val="002E5055"/>
    <w:rsid w:val="002E530E"/>
    <w:rsid w:val="002E54B6"/>
    <w:rsid w:val="002E5EC5"/>
    <w:rsid w:val="002E5FEB"/>
    <w:rsid w:val="002E6360"/>
    <w:rsid w:val="002E63DA"/>
    <w:rsid w:val="002E65DF"/>
    <w:rsid w:val="002E6B4E"/>
    <w:rsid w:val="002E6D5D"/>
    <w:rsid w:val="002E6F1B"/>
    <w:rsid w:val="002E6F3C"/>
    <w:rsid w:val="002E7183"/>
    <w:rsid w:val="002E7269"/>
    <w:rsid w:val="002E7500"/>
    <w:rsid w:val="002E755D"/>
    <w:rsid w:val="002E7811"/>
    <w:rsid w:val="002E7915"/>
    <w:rsid w:val="002F0569"/>
    <w:rsid w:val="002F07A2"/>
    <w:rsid w:val="002F0ABA"/>
    <w:rsid w:val="002F1430"/>
    <w:rsid w:val="002F1C59"/>
    <w:rsid w:val="002F22F8"/>
    <w:rsid w:val="002F2571"/>
    <w:rsid w:val="002F2709"/>
    <w:rsid w:val="002F278F"/>
    <w:rsid w:val="002F29C1"/>
    <w:rsid w:val="002F38CF"/>
    <w:rsid w:val="002F3F46"/>
    <w:rsid w:val="002F4538"/>
    <w:rsid w:val="002F5280"/>
    <w:rsid w:val="002F5B30"/>
    <w:rsid w:val="002F5FB8"/>
    <w:rsid w:val="002F607F"/>
    <w:rsid w:val="002F61EE"/>
    <w:rsid w:val="002F632C"/>
    <w:rsid w:val="002F6803"/>
    <w:rsid w:val="002F6910"/>
    <w:rsid w:val="002F7903"/>
    <w:rsid w:val="002F7B97"/>
    <w:rsid w:val="002F7CE2"/>
    <w:rsid w:val="002F7D1D"/>
    <w:rsid w:val="00300BEA"/>
    <w:rsid w:val="00300EED"/>
    <w:rsid w:val="00301750"/>
    <w:rsid w:val="0030276C"/>
    <w:rsid w:val="00302EBE"/>
    <w:rsid w:val="00302FB8"/>
    <w:rsid w:val="0030345D"/>
    <w:rsid w:val="0030357A"/>
    <w:rsid w:val="00303860"/>
    <w:rsid w:val="00303F1B"/>
    <w:rsid w:val="00305658"/>
    <w:rsid w:val="003060FD"/>
    <w:rsid w:val="00306187"/>
    <w:rsid w:val="003061D3"/>
    <w:rsid w:val="00306317"/>
    <w:rsid w:val="00306A52"/>
    <w:rsid w:val="00306B67"/>
    <w:rsid w:val="00306E75"/>
    <w:rsid w:val="003072B9"/>
    <w:rsid w:val="0030773E"/>
    <w:rsid w:val="003079B2"/>
    <w:rsid w:val="00307ACD"/>
    <w:rsid w:val="00307CB8"/>
    <w:rsid w:val="003100AE"/>
    <w:rsid w:val="003103F8"/>
    <w:rsid w:val="003107E9"/>
    <w:rsid w:val="003113E7"/>
    <w:rsid w:val="00311DB8"/>
    <w:rsid w:val="00311F3C"/>
    <w:rsid w:val="0031251E"/>
    <w:rsid w:val="003128A6"/>
    <w:rsid w:val="00312A49"/>
    <w:rsid w:val="003133FD"/>
    <w:rsid w:val="00314401"/>
    <w:rsid w:val="00314A35"/>
    <w:rsid w:val="00316665"/>
    <w:rsid w:val="00316D38"/>
    <w:rsid w:val="00316E70"/>
    <w:rsid w:val="00316EE2"/>
    <w:rsid w:val="0031708E"/>
    <w:rsid w:val="00317B02"/>
    <w:rsid w:val="00317E74"/>
    <w:rsid w:val="00317EDA"/>
    <w:rsid w:val="00317FE3"/>
    <w:rsid w:val="0032025E"/>
    <w:rsid w:val="00320AE2"/>
    <w:rsid w:val="00320E36"/>
    <w:rsid w:val="003210D5"/>
    <w:rsid w:val="003218FC"/>
    <w:rsid w:val="00321A88"/>
    <w:rsid w:val="00321C23"/>
    <w:rsid w:val="00322487"/>
    <w:rsid w:val="003230DE"/>
    <w:rsid w:val="00323476"/>
    <w:rsid w:val="00323A45"/>
    <w:rsid w:val="00324436"/>
    <w:rsid w:val="00324486"/>
    <w:rsid w:val="00324BF0"/>
    <w:rsid w:val="00325509"/>
    <w:rsid w:val="00325A65"/>
    <w:rsid w:val="00325FFF"/>
    <w:rsid w:val="003264AE"/>
    <w:rsid w:val="003267B1"/>
    <w:rsid w:val="00326D90"/>
    <w:rsid w:val="003270DC"/>
    <w:rsid w:val="00327201"/>
    <w:rsid w:val="0032726B"/>
    <w:rsid w:val="003272C7"/>
    <w:rsid w:val="00327946"/>
    <w:rsid w:val="00327B2A"/>
    <w:rsid w:val="00327DF7"/>
    <w:rsid w:val="00330696"/>
    <w:rsid w:val="003307EF"/>
    <w:rsid w:val="00331014"/>
    <w:rsid w:val="003312BC"/>
    <w:rsid w:val="00331499"/>
    <w:rsid w:val="003319EA"/>
    <w:rsid w:val="00331C61"/>
    <w:rsid w:val="00331EDD"/>
    <w:rsid w:val="003327FC"/>
    <w:rsid w:val="00332D51"/>
    <w:rsid w:val="0033302D"/>
    <w:rsid w:val="00333379"/>
    <w:rsid w:val="0033381A"/>
    <w:rsid w:val="00334128"/>
    <w:rsid w:val="00334699"/>
    <w:rsid w:val="00334DB3"/>
    <w:rsid w:val="00336288"/>
    <w:rsid w:val="003372B1"/>
    <w:rsid w:val="003373B4"/>
    <w:rsid w:val="003373F0"/>
    <w:rsid w:val="00337717"/>
    <w:rsid w:val="00337A8A"/>
    <w:rsid w:val="00337E59"/>
    <w:rsid w:val="00337EBF"/>
    <w:rsid w:val="003407CF"/>
    <w:rsid w:val="003409D0"/>
    <w:rsid w:val="00340EAD"/>
    <w:rsid w:val="00340FD0"/>
    <w:rsid w:val="00341202"/>
    <w:rsid w:val="0034140F"/>
    <w:rsid w:val="0034164B"/>
    <w:rsid w:val="00341723"/>
    <w:rsid w:val="00341929"/>
    <w:rsid w:val="00341BFE"/>
    <w:rsid w:val="00341CC9"/>
    <w:rsid w:val="00342359"/>
    <w:rsid w:val="003429BF"/>
    <w:rsid w:val="003429C7"/>
    <w:rsid w:val="00343799"/>
    <w:rsid w:val="003440DC"/>
    <w:rsid w:val="003441F4"/>
    <w:rsid w:val="003441FB"/>
    <w:rsid w:val="00344200"/>
    <w:rsid w:val="00344519"/>
    <w:rsid w:val="00344786"/>
    <w:rsid w:val="003448BC"/>
    <w:rsid w:val="00344D03"/>
    <w:rsid w:val="00345053"/>
    <w:rsid w:val="00345C18"/>
    <w:rsid w:val="00345F8F"/>
    <w:rsid w:val="00346223"/>
    <w:rsid w:val="00346E7A"/>
    <w:rsid w:val="0034778A"/>
    <w:rsid w:val="00347A16"/>
    <w:rsid w:val="00350393"/>
    <w:rsid w:val="00350593"/>
    <w:rsid w:val="00350F9A"/>
    <w:rsid w:val="00351001"/>
    <w:rsid w:val="0035117D"/>
    <w:rsid w:val="003512A8"/>
    <w:rsid w:val="00351B1D"/>
    <w:rsid w:val="00351B56"/>
    <w:rsid w:val="00351BEF"/>
    <w:rsid w:val="00352301"/>
    <w:rsid w:val="00352402"/>
    <w:rsid w:val="003529BA"/>
    <w:rsid w:val="00352A87"/>
    <w:rsid w:val="00352CA7"/>
    <w:rsid w:val="0035311B"/>
    <w:rsid w:val="00353279"/>
    <w:rsid w:val="00353EBA"/>
    <w:rsid w:val="003547A2"/>
    <w:rsid w:val="00354901"/>
    <w:rsid w:val="00354AA6"/>
    <w:rsid w:val="003551F6"/>
    <w:rsid w:val="00355B90"/>
    <w:rsid w:val="00356040"/>
    <w:rsid w:val="0035608B"/>
    <w:rsid w:val="003560DB"/>
    <w:rsid w:val="00356DED"/>
    <w:rsid w:val="00356EE5"/>
    <w:rsid w:val="00356F8D"/>
    <w:rsid w:val="00357513"/>
    <w:rsid w:val="003600A1"/>
    <w:rsid w:val="00360646"/>
    <w:rsid w:val="0036117A"/>
    <w:rsid w:val="00361661"/>
    <w:rsid w:val="003620C1"/>
    <w:rsid w:val="0036375D"/>
    <w:rsid w:val="00363CED"/>
    <w:rsid w:val="00364059"/>
    <w:rsid w:val="003645E2"/>
    <w:rsid w:val="003647E4"/>
    <w:rsid w:val="00364CED"/>
    <w:rsid w:val="00365691"/>
    <w:rsid w:val="00365F66"/>
    <w:rsid w:val="00366954"/>
    <w:rsid w:val="00366B9D"/>
    <w:rsid w:val="00366CD9"/>
    <w:rsid w:val="00366ECE"/>
    <w:rsid w:val="00366FC9"/>
    <w:rsid w:val="003673AF"/>
    <w:rsid w:val="00367CCA"/>
    <w:rsid w:val="00367CEE"/>
    <w:rsid w:val="0037011F"/>
    <w:rsid w:val="003706BC"/>
    <w:rsid w:val="003708ED"/>
    <w:rsid w:val="00370D1A"/>
    <w:rsid w:val="00371135"/>
    <w:rsid w:val="0037164A"/>
    <w:rsid w:val="00371B6E"/>
    <w:rsid w:val="00372827"/>
    <w:rsid w:val="00372FCE"/>
    <w:rsid w:val="003731EE"/>
    <w:rsid w:val="00373771"/>
    <w:rsid w:val="0037380F"/>
    <w:rsid w:val="003739E1"/>
    <w:rsid w:val="00373A33"/>
    <w:rsid w:val="0037439E"/>
    <w:rsid w:val="003744E2"/>
    <w:rsid w:val="00374AB6"/>
    <w:rsid w:val="00375A52"/>
    <w:rsid w:val="0037633B"/>
    <w:rsid w:val="00376373"/>
    <w:rsid w:val="00377328"/>
    <w:rsid w:val="0037769D"/>
    <w:rsid w:val="0037772E"/>
    <w:rsid w:val="00377B9B"/>
    <w:rsid w:val="00377CD4"/>
    <w:rsid w:val="003803D7"/>
    <w:rsid w:val="00380FC5"/>
    <w:rsid w:val="003812BC"/>
    <w:rsid w:val="00381751"/>
    <w:rsid w:val="0038178A"/>
    <w:rsid w:val="00381E2C"/>
    <w:rsid w:val="00382379"/>
    <w:rsid w:val="003823B2"/>
    <w:rsid w:val="00382B9A"/>
    <w:rsid w:val="00383117"/>
    <w:rsid w:val="0038381F"/>
    <w:rsid w:val="003838DD"/>
    <w:rsid w:val="00383E0F"/>
    <w:rsid w:val="00383E95"/>
    <w:rsid w:val="00384211"/>
    <w:rsid w:val="00384656"/>
    <w:rsid w:val="00384699"/>
    <w:rsid w:val="00384D69"/>
    <w:rsid w:val="00384E24"/>
    <w:rsid w:val="00385151"/>
    <w:rsid w:val="00385FB9"/>
    <w:rsid w:val="003864FE"/>
    <w:rsid w:val="00386C88"/>
    <w:rsid w:val="0038759F"/>
    <w:rsid w:val="00387A70"/>
    <w:rsid w:val="003901AA"/>
    <w:rsid w:val="003901C0"/>
    <w:rsid w:val="0039035D"/>
    <w:rsid w:val="0039106A"/>
    <w:rsid w:val="003910DE"/>
    <w:rsid w:val="003913E2"/>
    <w:rsid w:val="0039150F"/>
    <w:rsid w:val="003917A4"/>
    <w:rsid w:val="00391A42"/>
    <w:rsid w:val="00391D2B"/>
    <w:rsid w:val="003928D7"/>
    <w:rsid w:val="0039377A"/>
    <w:rsid w:val="00393A35"/>
    <w:rsid w:val="00394777"/>
    <w:rsid w:val="003949B2"/>
    <w:rsid w:val="00394C70"/>
    <w:rsid w:val="00395F03"/>
    <w:rsid w:val="003965F8"/>
    <w:rsid w:val="00396F17"/>
    <w:rsid w:val="00397CA0"/>
    <w:rsid w:val="003A040D"/>
    <w:rsid w:val="003A0C47"/>
    <w:rsid w:val="003A0C84"/>
    <w:rsid w:val="003A0E41"/>
    <w:rsid w:val="003A0F6E"/>
    <w:rsid w:val="003A1382"/>
    <w:rsid w:val="003A15B2"/>
    <w:rsid w:val="003A1985"/>
    <w:rsid w:val="003A1A3D"/>
    <w:rsid w:val="003A254F"/>
    <w:rsid w:val="003A27B5"/>
    <w:rsid w:val="003A282B"/>
    <w:rsid w:val="003A285D"/>
    <w:rsid w:val="003A3076"/>
    <w:rsid w:val="003A33DA"/>
    <w:rsid w:val="003A34F3"/>
    <w:rsid w:val="003A35AC"/>
    <w:rsid w:val="003A395D"/>
    <w:rsid w:val="003A3BC5"/>
    <w:rsid w:val="003A4D00"/>
    <w:rsid w:val="003A4D50"/>
    <w:rsid w:val="003A4DAB"/>
    <w:rsid w:val="003A5169"/>
    <w:rsid w:val="003A5D7D"/>
    <w:rsid w:val="003A5F98"/>
    <w:rsid w:val="003A6354"/>
    <w:rsid w:val="003A681C"/>
    <w:rsid w:val="003A71A1"/>
    <w:rsid w:val="003A72C5"/>
    <w:rsid w:val="003B0153"/>
    <w:rsid w:val="003B0481"/>
    <w:rsid w:val="003B0919"/>
    <w:rsid w:val="003B0AB8"/>
    <w:rsid w:val="003B1DCC"/>
    <w:rsid w:val="003B29B8"/>
    <w:rsid w:val="003B2B3B"/>
    <w:rsid w:val="003B3CB8"/>
    <w:rsid w:val="003B3D51"/>
    <w:rsid w:val="003B3FAA"/>
    <w:rsid w:val="003B456E"/>
    <w:rsid w:val="003B4B7C"/>
    <w:rsid w:val="003B5D70"/>
    <w:rsid w:val="003B6AA3"/>
    <w:rsid w:val="003B7042"/>
    <w:rsid w:val="003B7D0E"/>
    <w:rsid w:val="003B7D7A"/>
    <w:rsid w:val="003B7E9B"/>
    <w:rsid w:val="003C0051"/>
    <w:rsid w:val="003C0275"/>
    <w:rsid w:val="003C0DBC"/>
    <w:rsid w:val="003C0E42"/>
    <w:rsid w:val="003C112E"/>
    <w:rsid w:val="003C1614"/>
    <w:rsid w:val="003C163E"/>
    <w:rsid w:val="003C1911"/>
    <w:rsid w:val="003C23B9"/>
    <w:rsid w:val="003C2687"/>
    <w:rsid w:val="003C269E"/>
    <w:rsid w:val="003C37EE"/>
    <w:rsid w:val="003C396B"/>
    <w:rsid w:val="003C4BDC"/>
    <w:rsid w:val="003C4EAA"/>
    <w:rsid w:val="003C5EE4"/>
    <w:rsid w:val="003C5F65"/>
    <w:rsid w:val="003C6163"/>
    <w:rsid w:val="003C66B8"/>
    <w:rsid w:val="003C73CF"/>
    <w:rsid w:val="003C760C"/>
    <w:rsid w:val="003D008C"/>
    <w:rsid w:val="003D0620"/>
    <w:rsid w:val="003D086B"/>
    <w:rsid w:val="003D09D2"/>
    <w:rsid w:val="003D1290"/>
    <w:rsid w:val="003D1529"/>
    <w:rsid w:val="003D1BA5"/>
    <w:rsid w:val="003D26F1"/>
    <w:rsid w:val="003D2905"/>
    <w:rsid w:val="003D29F5"/>
    <w:rsid w:val="003D2C1D"/>
    <w:rsid w:val="003D2FA1"/>
    <w:rsid w:val="003D394B"/>
    <w:rsid w:val="003D435E"/>
    <w:rsid w:val="003D450D"/>
    <w:rsid w:val="003D4D7F"/>
    <w:rsid w:val="003D523E"/>
    <w:rsid w:val="003D5445"/>
    <w:rsid w:val="003D55B8"/>
    <w:rsid w:val="003D56B9"/>
    <w:rsid w:val="003D585D"/>
    <w:rsid w:val="003D58FA"/>
    <w:rsid w:val="003D5B60"/>
    <w:rsid w:val="003D650C"/>
    <w:rsid w:val="003D66BB"/>
    <w:rsid w:val="003D6A9A"/>
    <w:rsid w:val="003D6AB5"/>
    <w:rsid w:val="003D6E0C"/>
    <w:rsid w:val="003D6FD4"/>
    <w:rsid w:val="003D7709"/>
    <w:rsid w:val="003D7E26"/>
    <w:rsid w:val="003D7E5A"/>
    <w:rsid w:val="003E0522"/>
    <w:rsid w:val="003E0624"/>
    <w:rsid w:val="003E072C"/>
    <w:rsid w:val="003E0896"/>
    <w:rsid w:val="003E0AEA"/>
    <w:rsid w:val="003E161E"/>
    <w:rsid w:val="003E1923"/>
    <w:rsid w:val="003E223D"/>
    <w:rsid w:val="003E24E2"/>
    <w:rsid w:val="003E28E2"/>
    <w:rsid w:val="003E29A8"/>
    <w:rsid w:val="003E2F93"/>
    <w:rsid w:val="003E304E"/>
    <w:rsid w:val="003E3606"/>
    <w:rsid w:val="003E3C77"/>
    <w:rsid w:val="003E3DBB"/>
    <w:rsid w:val="003E4EF5"/>
    <w:rsid w:val="003E4FF6"/>
    <w:rsid w:val="003E5091"/>
    <w:rsid w:val="003E64C1"/>
    <w:rsid w:val="003E6571"/>
    <w:rsid w:val="003E6A1C"/>
    <w:rsid w:val="003E6DB7"/>
    <w:rsid w:val="003E7236"/>
    <w:rsid w:val="003E7254"/>
    <w:rsid w:val="003E74F1"/>
    <w:rsid w:val="003F0387"/>
    <w:rsid w:val="003F1157"/>
    <w:rsid w:val="003F1A58"/>
    <w:rsid w:val="003F1B6F"/>
    <w:rsid w:val="003F1B72"/>
    <w:rsid w:val="003F1D93"/>
    <w:rsid w:val="003F1E00"/>
    <w:rsid w:val="003F1E7E"/>
    <w:rsid w:val="003F25DF"/>
    <w:rsid w:val="003F2AE3"/>
    <w:rsid w:val="003F2B6E"/>
    <w:rsid w:val="003F2BA5"/>
    <w:rsid w:val="003F2E9B"/>
    <w:rsid w:val="003F43DD"/>
    <w:rsid w:val="003F4690"/>
    <w:rsid w:val="003F5533"/>
    <w:rsid w:val="003F55E7"/>
    <w:rsid w:val="003F5994"/>
    <w:rsid w:val="003F6036"/>
    <w:rsid w:val="003F725C"/>
    <w:rsid w:val="003F7938"/>
    <w:rsid w:val="003F79E1"/>
    <w:rsid w:val="003F7A50"/>
    <w:rsid w:val="00400CF3"/>
    <w:rsid w:val="00401307"/>
    <w:rsid w:val="00401580"/>
    <w:rsid w:val="00401618"/>
    <w:rsid w:val="00402161"/>
    <w:rsid w:val="00402467"/>
    <w:rsid w:val="00402AEA"/>
    <w:rsid w:val="0040338D"/>
    <w:rsid w:val="004041BA"/>
    <w:rsid w:val="00404829"/>
    <w:rsid w:val="00404E5F"/>
    <w:rsid w:val="00404EB5"/>
    <w:rsid w:val="004057BF"/>
    <w:rsid w:val="00405810"/>
    <w:rsid w:val="004059A9"/>
    <w:rsid w:val="00405C6E"/>
    <w:rsid w:val="00405FC8"/>
    <w:rsid w:val="0040790F"/>
    <w:rsid w:val="00407CD6"/>
    <w:rsid w:val="00410316"/>
    <w:rsid w:val="00410380"/>
    <w:rsid w:val="004106FC"/>
    <w:rsid w:val="00411173"/>
    <w:rsid w:val="004117D6"/>
    <w:rsid w:val="00411DF7"/>
    <w:rsid w:val="004129F2"/>
    <w:rsid w:val="00412A96"/>
    <w:rsid w:val="00412CC5"/>
    <w:rsid w:val="004130F9"/>
    <w:rsid w:val="00414061"/>
    <w:rsid w:val="00414279"/>
    <w:rsid w:val="0041465E"/>
    <w:rsid w:val="004146F0"/>
    <w:rsid w:val="00414E66"/>
    <w:rsid w:val="004152B7"/>
    <w:rsid w:val="004156A0"/>
    <w:rsid w:val="00415C09"/>
    <w:rsid w:val="00416B5D"/>
    <w:rsid w:val="00416D27"/>
    <w:rsid w:val="0041731A"/>
    <w:rsid w:val="00417603"/>
    <w:rsid w:val="004177CC"/>
    <w:rsid w:val="004178D7"/>
    <w:rsid w:val="004179C0"/>
    <w:rsid w:val="00417FAA"/>
    <w:rsid w:val="00420CA2"/>
    <w:rsid w:val="00420D59"/>
    <w:rsid w:val="00421C02"/>
    <w:rsid w:val="004226B4"/>
    <w:rsid w:val="00424705"/>
    <w:rsid w:val="00424AD0"/>
    <w:rsid w:val="00425048"/>
    <w:rsid w:val="00425DC7"/>
    <w:rsid w:val="00426A2C"/>
    <w:rsid w:val="00426BD3"/>
    <w:rsid w:val="00426BE5"/>
    <w:rsid w:val="00426C05"/>
    <w:rsid w:val="00427695"/>
    <w:rsid w:val="004305F7"/>
    <w:rsid w:val="004309CB"/>
    <w:rsid w:val="00430C39"/>
    <w:rsid w:val="00430ED6"/>
    <w:rsid w:val="0043101D"/>
    <w:rsid w:val="00431DB9"/>
    <w:rsid w:val="00432013"/>
    <w:rsid w:val="0043258A"/>
    <w:rsid w:val="00432E16"/>
    <w:rsid w:val="0043488B"/>
    <w:rsid w:val="0043555C"/>
    <w:rsid w:val="00435977"/>
    <w:rsid w:val="004360BC"/>
    <w:rsid w:val="004364E2"/>
    <w:rsid w:val="00436A02"/>
    <w:rsid w:val="004374C9"/>
    <w:rsid w:val="00437C28"/>
    <w:rsid w:val="00437C57"/>
    <w:rsid w:val="0044002C"/>
    <w:rsid w:val="004401BB"/>
    <w:rsid w:val="00440AF6"/>
    <w:rsid w:val="00441712"/>
    <w:rsid w:val="004417AC"/>
    <w:rsid w:val="00441C77"/>
    <w:rsid w:val="004421F7"/>
    <w:rsid w:val="004425AE"/>
    <w:rsid w:val="00442A6F"/>
    <w:rsid w:val="004437D2"/>
    <w:rsid w:val="00443812"/>
    <w:rsid w:val="00443979"/>
    <w:rsid w:val="00443E87"/>
    <w:rsid w:val="0044576A"/>
    <w:rsid w:val="00445CA4"/>
    <w:rsid w:val="00445F70"/>
    <w:rsid w:val="004461C8"/>
    <w:rsid w:val="004463A8"/>
    <w:rsid w:val="00446F48"/>
    <w:rsid w:val="00447658"/>
    <w:rsid w:val="0044793E"/>
    <w:rsid w:val="00447E19"/>
    <w:rsid w:val="00447F44"/>
    <w:rsid w:val="00450133"/>
    <w:rsid w:val="00450645"/>
    <w:rsid w:val="00451066"/>
    <w:rsid w:val="004526C2"/>
    <w:rsid w:val="00453132"/>
    <w:rsid w:val="00453BF4"/>
    <w:rsid w:val="004548AB"/>
    <w:rsid w:val="0045536B"/>
    <w:rsid w:val="00456607"/>
    <w:rsid w:val="0045703E"/>
    <w:rsid w:val="00457CA0"/>
    <w:rsid w:val="00457FEA"/>
    <w:rsid w:val="00460204"/>
    <w:rsid w:val="00460BC8"/>
    <w:rsid w:val="00460F76"/>
    <w:rsid w:val="0046151E"/>
    <w:rsid w:val="004623E5"/>
    <w:rsid w:val="0046248B"/>
    <w:rsid w:val="004629D8"/>
    <w:rsid w:val="00462B32"/>
    <w:rsid w:val="00463C89"/>
    <w:rsid w:val="00463D6B"/>
    <w:rsid w:val="00463DFA"/>
    <w:rsid w:val="004640EC"/>
    <w:rsid w:val="004642C5"/>
    <w:rsid w:val="004646AE"/>
    <w:rsid w:val="00464CD1"/>
    <w:rsid w:val="00464DC7"/>
    <w:rsid w:val="00465224"/>
    <w:rsid w:val="00465638"/>
    <w:rsid w:val="004669C4"/>
    <w:rsid w:val="00466A2E"/>
    <w:rsid w:val="00466C24"/>
    <w:rsid w:val="004672AC"/>
    <w:rsid w:val="004677AD"/>
    <w:rsid w:val="00467E4A"/>
    <w:rsid w:val="00470C43"/>
    <w:rsid w:val="00471343"/>
    <w:rsid w:val="0047134C"/>
    <w:rsid w:val="00471827"/>
    <w:rsid w:val="00471C2A"/>
    <w:rsid w:val="004726A7"/>
    <w:rsid w:val="004731BC"/>
    <w:rsid w:val="00474114"/>
    <w:rsid w:val="0047423F"/>
    <w:rsid w:val="00474401"/>
    <w:rsid w:val="00474E1D"/>
    <w:rsid w:val="00475198"/>
    <w:rsid w:val="004756B6"/>
    <w:rsid w:val="004766F0"/>
    <w:rsid w:val="00476884"/>
    <w:rsid w:val="00476CE4"/>
    <w:rsid w:val="004772F0"/>
    <w:rsid w:val="0048013A"/>
    <w:rsid w:val="00480704"/>
    <w:rsid w:val="00480713"/>
    <w:rsid w:val="004813B4"/>
    <w:rsid w:val="004816ED"/>
    <w:rsid w:val="00481783"/>
    <w:rsid w:val="004821A9"/>
    <w:rsid w:val="00482A77"/>
    <w:rsid w:val="00482E2C"/>
    <w:rsid w:val="004832DA"/>
    <w:rsid w:val="004848D4"/>
    <w:rsid w:val="00484CA5"/>
    <w:rsid w:val="00485174"/>
    <w:rsid w:val="00485765"/>
    <w:rsid w:val="004859A4"/>
    <w:rsid w:val="00485BA1"/>
    <w:rsid w:val="00486560"/>
    <w:rsid w:val="0048665A"/>
    <w:rsid w:val="00486FDD"/>
    <w:rsid w:val="00487695"/>
    <w:rsid w:val="00487E12"/>
    <w:rsid w:val="00490027"/>
    <w:rsid w:val="00490310"/>
    <w:rsid w:val="00490770"/>
    <w:rsid w:val="00490A15"/>
    <w:rsid w:val="00490E5B"/>
    <w:rsid w:val="00491058"/>
    <w:rsid w:val="00491466"/>
    <w:rsid w:val="00491831"/>
    <w:rsid w:val="00491B8C"/>
    <w:rsid w:val="00491C6B"/>
    <w:rsid w:val="00491E32"/>
    <w:rsid w:val="004925FA"/>
    <w:rsid w:val="00492D16"/>
    <w:rsid w:val="00492ED1"/>
    <w:rsid w:val="00493043"/>
    <w:rsid w:val="00493B6E"/>
    <w:rsid w:val="00494992"/>
    <w:rsid w:val="00494ECF"/>
    <w:rsid w:val="0049566B"/>
    <w:rsid w:val="00495A26"/>
    <w:rsid w:val="004962D1"/>
    <w:rsid w:val="004963AE"/>
    <w:rsid w:val="00496D25"/>
    <w:rsid w:val="00497D7F"/>
    <w:rsid w:val="00497DF3"/>
    <w:rsid w:val="004A1552"/>
    <w:rsid w:val="004A19E8"/>
    <w:rsid w:val="004A2157"/>
    <w:rsid w:val="004A25EA"/>
    <w:rsid w:val="004A26FB"/>
    <w:rsid w:val="004A32DB"/>
    <w:rsid w:val="004A360A"/>
    <w:rsid w:val="004A3A06"/>
    <w:rsid w:val="004A40C8"/>
    <w:rsid w:val="004A4663"/>
    <w:rsid w:val="004A466D"/>
    <w:rsid w:val="004A46FC"/>
    <w:rsid w:val="004A48C7"/>
    <w:rsid w:val="004A54AD"/>
    <w:rsid w:val="004A5AF7"/>
    <w:rsid w:val="004A5F52"/>
    <w:rsid w:val="004A6633"/>
    <w:rsid w:val="004A67A9"/>
    <w:rsid w:val="004A6A41"/>
    <w:rsid w:val="004A6E4B"/>
    <w:rsid w:val="004A6FE9"/>
    <w:rsid w:val="004A7852"/>
    <w:rsid w:val="004A7D20"/>
    <w:rsid w:val="004A7DB1"/>
    <w:rsid w:val="004B05B2"/>
    <w:rsid w:val="004B07E3"/>
    <w:rsid w:val="004B096C"/>
    <w:rsid w:val="004B0D13"/>
    <w:rsid w:val="004B1505"/>
    <w:rsid w:val="004B209A"/>
    <w:rsid w:val="004B223C"/>
    <w:rsid w:val="004B28B0"/>
    <w:rsid w:val="004B2EBC"/>
    <w:rsid w:val="004B2EE6"/>
    <w:rsid w:val="004B2F2D"/>
    <w:rsid w:val="004B36BC"/>
    <w:rsid w:val="004B3922"/>
    <w:rsid w:val="004B3A00"/>
    <w:rsid w:val="004B435F"/>
    <w:rsid w:val="004B5469"/>
    <w:rsid w:val="004B5596"/>
    <w:rsid w:val="004B59AB"/>
    <w:rsid w:val="004B5CF2"/>
    <w:rsid w:val="004B6363"/>
    <w:rsid w:val="004B6F83"/>
    <w:rsid w:val="004B7B32"/>
    <w:rsid w:val="004B7EF9"/>
    <w:rsid w:val="004C046F"/>
    <w:rsid w:val="004C0B69"/>
    <w:rsid w:val="004C0E25"/>
    <w:rsid w:val="004C0F42"/>
    <w:rsid w:val="004C153E"/>
    <w:rsid w:val="004C15A6"/>
    <w:rsid w:val="004C190A"/>
    <w:rsid w:val="004C1F89"/>
    <w:rsid w:val="004C2614"/>
    <w:rsid w:val="004C2841"/>
    <w:rsid w:val="004C287F"/>
    <w:rsid w:val="004C3363"/>
    <w:rsid w:val="004C34D2"/>
    <w:rsid w:val="004C37C4"/>
    <w:rsid w:val="004C392B"/>
    <w:rsid w:val="004C3EAB"/>
    <w:rsid w:val="004C3FDE"/>
    <w:rsid w:val="004C56AD"/>
    <w:rsid w:val="004C5BD5"/>
    <w:rsid w:val="004C6161"/>
    <w:rsid w:val="004C6B43"/>
    <w:rsid w:val="004C75BC"/>
    <w:rsid w:val="004C7682"/>
    <w:rsid w:val="004D2A3C"/>
    <w:rsid w:val="004D2F95"/>
    <w:rsid w:val="004D2F97"/>
    <w:rsid w:val="004D47B0"/>
    <w:rsid w:val="004D5906"/>
    <w:rsid w:val="004D6333"/>
    <w:rsid w:val="004D6B57"/>
    <w:rsid w:val="004D6D8D"/>
    <w:rsid w:val="004D6F49"/>
    <w:rsid w:val="004D71DB"/>
    <w:rsid w:val="004E00AC"/>
    <w:rsid w:val="004E0AB5"/>
    <w:rsid w:val="004E0E9D"/>
    <w:rsid w:val="004E0FCE"/>
    <w:rsid w:val="004E15ED"/>
    <w:rsid w:val="004E22D0"/>
    <w:rsid w:val="004E2441"/>
    <w:rsid w:val="004E2AF2"/>
    <w:rsid w:val="004E30B9"/>
    <w:rsid w:val="004E375C"/>
    <w:rsid w:val="004E3E7F"/>
    <w:rsid w:val="004E3E9F"/>
    <w:rsid w:val="004E42BE"/>
    <w:rsid w:val="004E5241"/>
    <w:rsid w:val="004E525D"/>
    <w:rsid w:val="004E5833"/>
    <w:rsid w:val="004E5B52"/>
    <w:rsid w:val="004E5BB1"/>
    <w:rsid w:val="004E6759"/>
    <w:rsid w:val="004E7699"/>
    <w:rsid w:val="004E76AC"/>
    <w:rsid w:val="004E7750"/>
    <w:rsid w:val="004E7C4D"/>
    <w:rsid w:val="004E7D8F"/>
    <w:rsid w:val="004E7E2A"/>
    <w:rsid w:val="004E7E3A"/>
    <w:rsid w:val="004E7EBE"/>
    <w:rsid w:val="004F049C"/>
    <w:rsid w:val="004F0BA2"/>
    <w:rsid w:val="004F1682"/>
    <w:rsid w:val="004F1AA3"/>
    <w:rsid w:val="004F1D15"/>
    <w:rsid w:val="004F1E6E"/>
    <w:rsid w:val="004F1FDA"/>
    <w:rsid w:val="004F223A"/>
    <w:rsid w:val="004F3897"/>
    <w:rsid w:val="004F38FE"/>
    <w:rsid w:val="004F3A26"/>
    <w:rsid w:val="004F3E51"/>
    <w:rsid w:val="004F4B6C"/>
    <w:rsid w:val="004F4CB7"/>
    <w:rsid w:val="004F4E32"/>
    <w:rsid w:val="004F4EC3"/>
    <w:rsid w:val="004F4FFC"/>
    <w:rsid w:val="004F5036"/>
    <w:rsid w:val="004F50E8"/>
    <w:rsid w:val="004F51B4"/>
    <w:rsid w:val="004F5BBE"/>
    <w:rsid w:val="004F6B8C"/>
    <w:rsid w:val="004F7412"/>
    <w:rsid w:val="004F79AC"/>
    <w:rsid w:val="00500508"/>
    <w:rsid w:val="00500548"/>
    <w:rsid w:val="005011E8"/>
    <w:rsid w:val="00501508"/>
    <w:rsid w:val="0050244A"/>
    <w:rsid w:val="005038BE"/>
    <w:rsid w:val="0050390E"/>
    <w:rsid w:val="00503ECB"/>
    <w:rsid w:val="00505CCA"/>
    <w:rsid w:val="00505D0B"/>
    <w:rsid w:val="0050628C"/>
    <w:rsid w:val="005062AF"/>
    <w:rsid w:val="00506310"/>
    <w:rsid w:val="00506A04"/>
    <w:rsid w:val="00507242"/>
    <w:rsid w:val="00507491"/>
    <w:rsid w:val="00507DD5"/>
    <w:rsid w:val="00507F82"/>
    <w:rsid w:val="005100CF"/>
    <w:rsid w:val="0051027D"/>
    <w:rsid w:val="00510C4B"/>
    <w:rsid w:val="0051154C"/>
    <w:rsid w:val="005115AB"/>
    <w:rsid w:val="00511634"/>
    <w:rsid w:val="0051168D"/>
    <w:rsid w:val="00511A4B"/>
    <w:rsid w:val="00511F2A"/>
    <w:rsid w:val="00512DD5"/>
    <w:rsid w:val="00512E6D"/>
    <w:rsid w:val="00512FC8"/>
    <w:rsid w:val="00513A39"/>
    <w:rsid w:val="00513B0A"/>
    <w:rsid w:val="005143B6"/>
    <w:rsid w:val="00514E48"/>
    <w:rsid w:val="0051590E"/>
    <w:rsid w:val="00516800"/>
    <w:rsid w:val="0051686A"/>
    <w:rsid w:val="005175D1"/>
    <w:rsid w:val="00520448"/>
    <w:rsid w:val="00520474"/>
    <w:rsid w:val="005208F0"/>
    <w:rsid w:val="00520F9C"/>
    <w:rsid w:val="005210E5"/>
    <w:rsid w:val="005234DC"/>
    <w:rsid w:val="005237C3"/>
    <w:rsid w:val="00523C30"/>
    <w:rsid w:val="005240F6"/>
    <w:rsid w:val="00524390"/>
    <w:rsid w:val="005245A0"/>
    <w:rsid w:val="00524825"/>
    <w:rsid w:val="00524E01"/>
    <w:rsid w:val="00525376"/>
    <w:rsid w:val="00525541"/>
    <w:rsid w:val="005257C5"/>
    <w:rsid w:val="00525C66"/>
    <w:rsid w:val="00526A61"/>
    <w:rsid w:val="00526B7E"/>
    <w:rsid w:val="00526DED"/>
    <w:rsid w:val="00526F12"/>
    <w:rsid w:val="005273BD"/>
    <w:rsid w:val="00527709"/>
    <w:rsid w:val="005310B4"/>
    <w:rsid w:val="00531D35"/>
    <w:rsid w:val="00534366"/>
    <w:rsid w:val="005347FB"/>
    <w:rsid w:val="005349BF"/>
    <w:rsid w:val="00534B5D"/>
    <w:rsid w:val="00534E54"/>
    <w:rsid w:val="0053501F"/>
    <w:rsid w:val="005355B9"/>
    <w:rsid w:val="00536A27"/>
    <w:rsid w:val="00537897"/>
    <w:rsid w:val="00537A4A"/>
    <w:rsid w:val="00537AF1"/>
    <w:rsid w:val="00540356"/>
    <w:rsid w:val="005403BD"/>
    <w:rsid w:val="00540698"/>
    <w:rsid w:val="00540C38"/>
    <w:rsid w:val="00541698"/>
    <w:rsid w:val="005421E5"/>
    <w:rsid w:val="0054266F"/>
    <w:rsid w:val="005428C2"/>
    <w:rsid w:val="00542A00"/>
    <w:rsid w:val="00543009"/>
    <w:rsid w:val="0054316C"/>
    <w:rsid w:val="00543606"/>
    <w:rsid w:val="00544042"/>
    <w:rsid w:val="00544404"/>
    <w:rsid w:val="00544547"/>
    <w:rsid w:val="005456BF"/>
    <w:rsid w:val="00545EEA"/>
    <w:rsid w:val="00546111"/>
    <w:rsid w:val="00546F50"/>
    <w:rsid w:val="00547139"/>
    <w:rsid w:val="005472E2"/>
    <w:rsid w:val="00547437"/>
    <w:rsid w:val="00547D0C"/>
    <w:rsid w:val="005509F7"/>
    <w:rsid w:val="00550FC0"/>
    <w:rsid w:val="005514FB"/>
    <w:rsid w:val="00551525"/>
    <w:rsid w:val="00551A67"/>
    <w:rsid w:val="00551BBA"/>
    <w:rsid w:val="0055212A"/>
    <w:rsid w:val="00552293"/>
    <w:rsid w:val="00552813"/>
    <w:rsid w:val="0055356E"/>
    <w:rsid w:val="00553997"/>
    <w:rsid w:val="00553B23"/>
    <w:rsid w:val="00553C5F"/>
    <w:rsid w:val="005544CB"/>
    <w:rsid w:val="005546D5"/>
    <w:rsid w:val="00556298"/>
    <w:rsid w:val="00556441"/>
    <w:rsid w:val="005571A8"/>
    <w:rsid w:val="0055730C"/>
    <w:rsid w:val="005577B1"/>
    <w:rsid w:val="00557B56"/>
    <w:rsid w:val="00557C46"/>
    <w:rsid w:val="00557C50"/>
    <w:rsid w:val="00557C59"/>
    <w:rsid w:val="00557F27"/>
    <w:rsid w:val="005609C5"/>
    <w:rsid w:val="00560CDF"/>
    <w:rsid w:val="005617D7"/>
    <w:rsid w:val="00561A05"/>
    <w:rsid w:val="005627C0"/>
    <w:rsid w:val="00562C19"/>
    <w:rsid w:val="00562D38"/>
    <w:rsid w:val="005630AC"/>
    <w:rsid w:val="005630EE"/>
    <w:rsid w:val="00563928"/>
    <w:rsid w:val="00563A20"/>
    <w:rsid w:val="00563F59"/>
    <w:rsid w:val="00564801"/>
    <w:rsid w:val="00564C07"/>
    <w:rsid w:val="00564E19"/>
    <w:rsid w:val="00565055"/>
    <w:rsid w:val="005651FC"/>
    <w:rsid w:val="005652A2"/>
    <w:rsid w:val="005653FE"/>
    <w:rsid w:val="00565DCA"/>
    <w:rsid w:val="0056643F"/>
    <w:rsid w:val="00566574"/>
    <w:rsid w:val="0056678D"/>
    <w:rsid w:val="005667E6"/>
    <w:rsid w:val="005671FA"/>
    <w:rsid w:val="0056732D"/>
    <w:rsid w:val="00567DD2"/>
    <w:rsid w:val="00567E96"/>
    <w:rsid w:val="00567F37"/>
    <w:rsid w:val="005700D4"/>
    <w:rsid w:val="005709FF"/>
    <w:rsid w:val="00570C3D"/>
    <w:rsid w:val="00570E34"/>
    <w:rsid w:val="00571034"/>
    <w:rsid w:val="0057159F"/>
    <w:rsid w:val="005722EF"/>
    <w:rsid w:val="00572A6F"/>
    <w:rsid w:val="00572CCE"/>
    <w:rsid w:val="00572F21"/>
    <w:rsid w:val="0057361B"/>
    <w:rsid w:val="00573716"/>
    <w:rsid w:val="00573E2D"/>
    <w:rsid w:val="005741B4"/>
    <w:rsid w:val="005745AA"/>
    <w:rsid w:val="00574A11"/>
    <w:rsid w:val="00574AEA"/>
    <w:rsid w:val="0057501D"/>
    <w:rsid w:val="005757D8"/>
    <w:rsid w:val="00575AD4"/>
    <w:rsid w:val="00575C81"/>
    <w:rsid w:val="00575D6C"/>
    <w:rsid w:val="00575D94"/>
    <w:rsid w:val="00576561"/>
    <w:rsid w:val="0057665E"/>
    <w:rsid w:val="005769C3"/>
    <w:rsid w:val="00576ACA"/>
    <w:rsid w:val="005770A4"/>
    <w:rsid w:val="005773A8"/>
    <w:rsid w:val="00577943"/>
    <w:rsid w:val="00580D11"/>
    <w:rsid w:val="0058104E"/>
    <w:rsid w:val="00581610"/>
    <w:rsid w:val="00582A0E"/>
    <w:rsid w:val="005830A9"/>
    <w:rsid w:val="00583486"/>
    <w:rsid w:val="005838C0"/>
    <w:rsid w:val="00583C1E"/>
    <w:rsid w:val="005846A5"/>
    <w:rsid w:val="00584880"/>
    <w:rsid w:val="00584C0C"/>
    <w:rsid w:val="005852F3"/>
    <w:rsid w:val="00585A3C"/>
    <w:rsid w:val="005864A8"/>
    <w:rsid w:val="005865AA"/>
    <w:rsid w:val="0058676D"/>
    <w:rsid w:val="00586C94"/>
    <w:rsid w:val="00586D84"/>
    <w:rsid w:val="00586F94"/>
    <w:rsid w:val="00587204"/>
    <w:rsid w:val="00587838"/>
    <w:rsid w:val="00587F4F"/>
    <w:rsid w:val="005901AA"/>
    <w:rsid w:val="00590238"/>
    <w:rsid w:val="005903C5"/>
    <w:rsid w:val="00590822"/>
    <w:rsid w:val="00590D55"/>
    <w:rsid w:val="00590E59"/>
    <w:rsid w:val="0059121B"/>
    <w:rsid w:val="00591306"/>
    <w:rsid w:val="0059164A"/>
    <w:rsid w:val="00591C9B"/>
    <w:rsid w:val="005922DA"/>
    <w:rsid w:val="0059242C"/>
    <w:rsid w:val="005928E0"/>
    <w:rsid w:val="00592C3A"/>
    <w:rsid w:val="00592D28"/>
    <w:rsid w:val="0059328D"/>
    <w:rsid w:val="00593D3F"/>
    <w:rsid w:val="005940A6"/>
    <w:rsid w:val="005940B0"/>
    <w:rsid w:val="00594870"/>
    <w:rsid w:val="0059491C"/>
    <w:rsid w:val="00594A9D"/>
    <w:rsid w:val="00594C0C"/>
    <w:rsid w:val="005950B6"/>
    <w:rsid w:val="00595E48"/>
    <w:rsid w:val="005960EF"/>
    <w:rsid w:val="0059622C"/>
    <w:rsid w:val="005962B4"/>
    <w:rsid w:val="00596950"/>
    <w:rsid w:val="005A00C4"/>
    <w:rsid w:val="005A0EDF"/>
    <w:rsid w:val="005A1D2B"/>
    <w:rsid w:val="005A1F5B"/>
    <w:rsid w:val="005A2BA6"/>
    <w:rsid w:val="005A2C41"/>
    <w:rsid w:val="005A2F9F"/>
    <w:rsid w:val="005A3259"/>
    <w:rsid w:val="005A3261"/>
    <w:rsid w:val="005A399F"/>
    <w:rsid w:val="005A3A22"/>
    <w:rsid w:val="005A3D59"/>
    <w:rsid w:val="005A4746"/>
    <w:rsid w:val="005A4E1C"/>
    <w:rsid w:val="005A51DA"/>
    <w:rsid w:val="005A5FD2"/>
    <w:rsid w:val="005A6057"/>
    <w:rsid w:val="005A6599"/>
    <w:rsid w:val="005A6887"/>
    <w:rsid w:val="005A6A83"/>
    <w:rsid w:val="005A6AA1"/>
    <w:rsid w:val="005A747B"/>
    <w:rsid w:val="005B06DB"/>
    <w:rsid w:val="005B0917"/>
    <w:rsid w:val="005B131B"/>
    <w:rsid w:val="005B143B"/>
    <w:rsid w:val="005B1A51"/>
    <w:rsid w:val="005B2424"/>
    <w:rsid w:val="005B3188"/>
    <w:rsid w:val="005B350F"/>
    <w:rsid w:val="005B37AF"/>
    <w:rsid w:val="005B3FAF"/>
    <w:rsid w:val="005B40C4"/>
    <w:rsid w:val="005B4203"/>
    <w:rsid w:val="005B49F9"/>
    <w:rsid w:val="005B6146"/>
    <w:rsid w:val="005B6239"/>
    <w:rsid w:val="005B6927"/>
    <w:rsid w:val="005B6C1B"/>
    <w:rsid w:val="005B723E"/>
    <w:rsid w:val="005B7B48"/>
    <w:rsid w:val="005B7C9C"/>
    <w:rsid w:val="005C01B9"/>
    <w:rsid w:val="005C037A"/>
    <w:rsid w:val="005C05DB"/>
    <w:rsid w:val="005C1272"/>
    <w:rsid w:val="005C1FB7"/>
    <w:rsid w:val="005C21DC"/>
    <w:rsid w:val="005C2A00"/>
    <w:rsid w:val="005C2BFF"/>
    <w:rsid w:val="005C2D9A"/>
    <w:rsid w:val="005C3161"/>
    <w:rsid w:val="005C3703"/>
    <w:rsid w:val="005C3767"/>
    <w:rsid w:val="005C42D9"/>
    <w:rsid w:val="005C4A0E"/>
    <w:rsid w:val="005C57E7"/>
    <w:rsid w:val="005C5DC9"/>
    <w:rsid w:val="005C760F"/>
    <w:rsid w:val="005C7911"/>
    <w:rsid w:val="005C7B83"/>
    <w:rsid w:val="005D0052"/>
    <w:rsid w:val="005D032D"/>
    <w:rsid w:val="005D0362"/>
    <w:rsid w:val="005D18BD"/>
    <w:rsid w:val="005D21D1"/>
    <w:rsid w:val="005D2308"/>
    <w:rsid w:val="005D29D7"/>
    <w:rsid w:val="005D2D40"/>
    <w:rsid w:val="005D385C"/>
    <w:rsid w:val="005D3A98"/>
    <w:rsid w:val="005D3D92"/>
    <w:rsid w:val="005D405E"/>
    <w:rsid w:val="005D49F9"/>
    <w:rsid w:val="005D5A3E"/>
    <w:rsid w:val="005D64CD"/>
    <w:rsid w:val="005D67DB"/>
    <w:rsid w:val="005E0237"/>
    <w:rsid w:val="005E04AF"/>
    <w:rsid w:val="005E04D7"/>
    <w:rsid w:val="005E057C"/>
    <w:rsid w:val="005E073F"/>
    <w:rsid w:val="005E09EF"/>
    <w:rsid w:val="005E0A75"/>
    <w:rsid w:val="005E258F"/>
    <w:rsid w:val="005E276E"/>
    <w:rsid w:val="005E30DF"/>
    <w:rsid w:val="005E3700"/>
    <w:rsid w:val="005E3863"/>
    <w:rsid w:val="005E4079"/>
    <w:rsid w:val="005E45D1"/>
    <w:rsid w:val="005E481F"/>
    <w:rsid w:val="005E4B10"/>
    <w:rsid w:val="005E509D"/>
    <w:rsid w:val="005E53BE"/>
    <w:rsid w:val="005E545B"/>
    <w:rsid w:val="005E64C5"/>
    <w:rsid w:val="005E695E"/>
    <w:rsid w:val="005E705E"/>
    <w:rsid w:val="005E7D04"/>
    <w:rsid w:val="005F0051"/>
    <w:rsid w:val="005F01F4"/>
    <w:rsid w:val="005F035F"/>
    <w:rsid w:val="005F0647"/>
    <w:rsid w:val="005F09E4"/>
    <w:rsid w:val="005F0C51"/>
    <w:rsid w:val="005F1B53"/>
    <w:rsid w:val="005F1C1F"/>
    <w:rsid w:val="005F1FFF"/>
    <w:rsid w:val="005F2452"/>
    <w:rsid w:val="005F2DEE"/>
    <w:rsid w:val="005F31DF"/>
    <w:rsid w:val="005F32FC"/>
    <w:rsid w:val="005F3BA5"/>
    <w:rsid w:val="005F4E1C"/>
    <w:rsid w:val="005F5507"/>
    <w:rsid w:val="005F60C8"/>
    <w:rsid w:val="005F6470"/>
    <w:rsid w:val="005F6743"/>
    <w:rsid w:val="005F72A1"/>
    <w:rsid w:val="005F7D22"/>
    <w:rsid w:val="00601432"/>
    <w:rsid w:val="00601D32"/>
    <w:rsid w:val="00601E2B"/>
    <w:rsid w:val="00602007"/>
    <w:rsid w:val="006022F3"/>
    <w:rsid w:val="006023B1"/>
    <w:rsid w:val="006023E3"/>
    <w:rsid w:val="0060298F"/>
    <w:rsid w:val="00602D8A"/>
    <w:rsid w:val="00602F34"/>
    <w:rsid w:val="00603107"/>
    <w:rsid w:val="006044B4"/>
    <w:rsid w:val="006045E8"/>
    <w:rsid w:val="006046CD"/>
    <w:rsid w:val="00604B4A"/>
    <w:rsid w:val="00604D38"/>
    <w:rsid w:val="00604DA3"/>
    <w:rsid w:val="006051F9"/>
    <w:rsid w:val="00605565"/>
    <w:rsid w:val="00605BB8"/>
    <w:rsid w:val="00605F5F"/>
    <w:rsid w:val="006064E8"/>
    <w:rsid w:val="00606B2E"/>
    <w:rsid w:val="006072F5"/>
    <w:rsid w:val="00610147"/>
    <w:rsid w:val="00610B0C"/>
    <w:rsid w:val="00611F02"/>
    <w:rsid w:val="0061242F"/>
    <w:rsid w:val="006127BF"/>
    <w:rsid w:val="00613024"/>
    <w:rsid w:val="00613269"/>
    <w:rsid w:val="006133CC"/>
    <w:rsid w:val="006136BB"/>
    <w:rsid w:val="0061432C"/>
    <w:rsid w:val="00614875"/>
    <w:rsid w:val="00614B41"/>
    <w:rsid w:val="00615162"/>
    <w:rsid w:val="006151B7"/>
    <w:rsid w:val="006153CB"/>
    <w:rsid w:val="00615A10"/>
    <w:rsid w:val="006161C2"/>
    <w:rsid w:val="00616666"/>
    <w:rsid w:val="006166E0"/>
    <w:rsid w:val="00616CD1"/>
    <w:rsid w:val="0061700E"/>
    <w:rsid w:val="006176C7"/>
    <w:rsid w:val="00617814"/>
    <w:rsid w:val="00617C00"/>
    <w:rsid w:val="00620008"/>
    <w:rsid w:val="0062070C"/>
    <w:rsid w:val="00620764"/>
    <w:rsid w:val="00620EFA"/>
    <w:rsid w:val="00621578"/>
    <w:rsid w:val="00621650"/>
    <w:rsid w:val="00621AE1"/>
    <w:rsid w:val="00622708"/>
    <w:rsid w:val="00622E63"/>
    <w:rsid w:val="00622FC4"/>
    <w:rsid w:val="00623898"/>
    <w:rsid w:val="00624456"/>
    <w:rsid w:val="00624690"/>
    <w:rsid w:val="00624CB7"/>
    <w:rsid w:val="0062562E"/>
    <w:rsid w:val="006258EF"/>
    <w:rsid w:val="00625DAD"/>
    <w:rsid w:val="00626D8B"/>
    <w:rsid w:val="0062732B"/>
    <w:rsid w:val="006273C3"/>
    <w:rsid w:val="00627DB0"/>
    <w:rsid w:val="00627E30"/>
    <w:rsid w:val="00630953"/>
    <w:rsid w:val="00630F3A"/>
    <w:rsid w:val="006316D2"/>
    <w:rsid w:val="00631EBD"/>
    <w:rsid w:val="00632111"/>
    <w:rsid w:val="0063248F"/>
    <w:rsid w:val="006324EA"/>
    <w:rsid w:val="006327AA"/>
    <w:rsid w:val="00632A12"/>
    <w:rsid w:val="00633066"/>
    <w:rsid w:val="006333C3"/>
    <w:rsid w:val="00633B0B"/>
    <w:rsid w:val="00633EB5"/>
    <w:rsid w:val="00633FC1"/>
    <w:rsid w:val="00634576"/>
    <w:rsid w:val="00634594"/>
    <w:rsid w:val="0063476D"/>
    <w:rsid w:val="006348D7"/>
    <w:rsid w:val="00634909"/>
    <w:rsid w:val="006349D6"/>
    <w:rsid w:val="0063519B"/>
    <w:rsid w:val="0063663D"/>
    <w:rsid w:val="00636887"/>
    <w:rsid w:val="00636930"/>
    <w:rsid w:val="00637A0A"/>
    <w:rsid w:val="00637C55"/>
    <w:rsid w:val="00640144"/>
    <w:rsid w:val="00640321"/>
    <w:rsid w:val="0064033F"/>
    <w:rsid w:val="006403A6"/>
    <w:rsid w:val="00640C0D"/>
    <w:rsid w:val="00640C13"/>
    <w:rsid w:val="00641967"/>
    <w:rsid w:val="00641B99"/>
    <w:rsid w:val="006423DF"/>
    <w:rsid w:val="006428ED"/>
    <w:rsid w:val="00642ED7"/>
    <w:rsid w:val="006440A8"/>
    <w:rsid w:val="00644191"/>
    <w:rsid w:val="00644247"/>
    <w:rsid w:val="0064497E"/>
    <w:rsid w:val="00644B33"/>
    <w:rsid w:val="006450B6"/>
    <w:rsid w:val="0064571A"/>
    <w:rsid w:val="00645A4B"/>
    <w:rsid w:val="00645BA4"/>
    <w:rsid w:val="00645C1C"/>
    <w:rsid w:val="00645DA0"/>
    <w:rsid w:val="00645E5B"/>
    <w:rsid w:val="006461DD"/>
    <w:rsid w:val="006463CF"/>
    <w:rsid w:val="006468B2"/>
    <w:rsid w:val="00646C1A"/>
    <w:rsid w:val="00647090"/>
    <w:rsid w:val="006472E2"/>
    <w:rsid w:val="0065076A"/>
    <w:rsid w:val="00650D4F"/>
    <w:rsid w:val="00651075"/>
    <w:rsid w:val="0065182A"/>
    <w:rsid w:val="00651AB1"/>
    <w:rsid w:val="00651C59"/>
    <w:rsid w:val="00651CED"/>
    <w:rsid w:val="00652E60"/>
    <w:rsid w:val="0065302B"/>
    <w:rsid w:val="00653913"/>
    <w:rsid w:val="00653BE6"/>
    <w:rsid w:val="00653C92"/>
    <w:rsid w:val="00654119"/>
    <w:rsid w:val="00654236"/>
    <w:rsid w:val="00654BF9"/>
    <w:rsid w:val="00654ECB"/>
    <w:rsid w:val="0065505C"/>
    <w:rsid w:val="0065545E"/>
    <w:rsid w:val="0065658B"/>
    <w:rsid w:val="00656C1E"/>
    <w:rsid w:val="00656ECD"/>
    <w:rsid w:val="0065714F"/>
    <w:rsid w:val="0065797B"/>
    <w:rsid w:val="00657B8C"/>
    <w:rsid w:val="00657CA3"/>
    <w:rsid w:val="00660CC9"/>
    <w:rsid w:val="00660DBC"/>
    <w:rsid w:val="00660E46"/>
    <w:rsid w:val="00661172"/>
    <w:rsid w:val="00661B7A"/>
    <w:rsid w:val="00661CCF"/>
    <w:rsid w:val="00661E9A"/>
    <w:rsid w:val="00662C33"/>
    <w:rsid w:val="0066376D"/>
    <w:rsid w:val="006639C5"/>
    <w:rsid w:val="00664AA8"/>
    <w:rsid w:val="00664D35"/>
    <w:rsid w:val="00664EBD"/>
    <w:rsid w:val="00664FC4"/>
    <w:rsid w:val="006652AA"/>
    <w:rsid w:val="00665407"/>
    <w:rsid w:val="006657D3"/>
    <w:rsid w:val="00665ADD"/>
    <w:rsid w:val="00665C29"/>
    <w:rsid w:val="00665CB0"/>
    <w:rsid w:val="00665CBA"/>
    <w:rsid w:val="00666349"/>
    <w:rsid w:val="00666907"/>
    <w:rsid w:val="00666F53"/>
    <w:rsid w:val="006671F6"/>
    <w:rsid w:val="006677BF"/>
    <w:rsid w:val="006679B2"/>
    <w:rsid w:val="00667DC1"/>
    <w:rsid w:val="00670198"/>
    <w:rsid w:val="006709FF"/>
    <w:rsid w:val="00670C07"/>
    <w:rsid w:val="00671463"/>
    <w:rsid w:val="00671704"/>
    <w:rsid w:val="00671AF7"/>
    <w:rsid w:val="00672788"/>
    <w:rsid w:val="0067297E"/>
    <w:rsid w:val="00672BE1"/>
    <w:rsid w:val="00672DA2"/>
    <w:rsid w:val="00673265"/>
    <w:rsid w:val="00674059"/>
    <w:rsid w:val="00674BB9"/>
    <w:rsid w:val="00674F78"/>
    <w:rsid w:val="006757A9"/>
    <w:rsid w:val="00675BE9"/>
    <w:rsid w:val="0067623A"/>
    <w:rsid w:val="00676257"/>
    <w:rsid w:val="00676A61"/>
    <w:rsid w:val="00676B5A"/>
    <w:rsid w:val="0067702A"/>
    <w:rsid w:val="00677067"/>
    <w:rsid w:val="006776A8"/>
    <w:rsid w:val="00677F8A"/>
    <w:rsid w:val="00680204"/>
    <w:rsid w:val="006805C2"/>
    <w:rsid w:val="00681244"/>
    <w:rsid w:val="006814B3"/>
    <w:rsid w:val="0068186C"/>
    <w:rsid w:val="00681F95"/>
    <w:rsid w:val="0068217B"/>
    <w:rsid w:val="0068260C"/>
    <w:rsid w:val="006826CC"/>
    <w:rsid w:val="00682871"/>
    <w:rsid w:val="00683122"/>
    <w:rsid w:val="006833DD"/>
    <w:rsid w:val="00683678"/>
    <w:rsid w:val="00683B8F"/>
    <w:rsid w:val="00684421"/>
    <w:rsid w:val="006846CE"/>
    <w:rsid w:val="00684C22"/>
    <w:rsid w:val="0068541D"/>
    <w:rsid w:val="00685CD3"/>
    <w:rsid w:val="006860A9"/>
    <w:rsid w:val="00686548"/>
    <w:rsid w:val="00686D1E"/>
    <w:rsid w:val="00686D99"/>
    <w:rsid w:val="00686DE8"/>
    <w:rsid w:val="00687212"/>
    <w:rsid w:val="0069065F"/>
    <w:rsid w:val="0069093B"/>
    <w:rsid w:val="00690A99"/>
    <w:rsid w:val="00690E6E"/>
    <w:rsid w:val="0069105C"/>
    <w:rsid w:val="006911AC"/>
    <w:rsid w:val="006911D2"/>
    <w:rsid w:val="0069156B"/>
    <w:rsid w:val="00691762"/>
    <w:rsid w:val="00691C16"/>
    <w:rsid w:val="00691EE2"/>
    <w:rsid w:val="006926F1"/>
    <w:rsid w:val="00692761"/>
    <w:rsid w:val="00693108"/>
    <w:rsid w:val="006932DE"/>
    <w:rsid w:val="006945C7"/>
    <w:rsid w:val="0069470A"/>
    <w:rsid w:val="006948E6"/>
    <w:rsid w:val="00694BB7"/>
    <w:rsid w:val="00694C1C"/>
    <w:rsid w:val="00695897"/>
    <w:rsid w:val="00695DF0"/>
    <w:rsid w:val="00695E8B"/>
    <w:rsid w:val="00696A98"/>
    <w:rsid w:val="00696F83"/>
    <w:rsid w:val="00697A82"/>
    <w:rsid w:val="00697C19"/>
    <w:rsid w:val="006A1683"/>
    <w:rsid w:val="006A1A80"/>
    <w:rsid w:val="006A1EFD"/>
    <w:rsid w:val="006A30C5"/>
    <w:rsid w:val="006A349F"/>
    <w:rsid w:val="006A46EC"/>
    <w:rsid w:val="006A49C8"/>
    <w:rsid w:val="006A51ED"/>
    <w:rsid w:val="006A5B6D"/>
    <w:rsid w:val="006A60DA"/>
    <w:rsid w:val="006A62B6"/>
    <w:rsid w:val="006A6A84"/>
    <w:rsid w:val="006A6CD0"/>
    <w:rsid w:val="006A6DE9"/>
    <w:rsid w:val="006A71D1"/>
    <w:rsid w:val="006A727C"/>
    <w:rsid w:val="006A7BF4"/>
    <w:rsid w:val="006A7CFE"/>
    <w:rsid w:val="006B00D9"/>
    <w:rsid w:val="006B063F"/>
    <w:rsid w:val="006B1F16"/>
    <w:rsid w:val="006B1FC8"/>
    <w:rsid w:val="006B21B1"/>
    <w:rsid w:val="006B2865"/>
    <w:rsid w:val="006B2C05"/>
    <w:rsid w:val="006B308A"/>
    <w:rsid w:val="006B340D"/>
    <w:rsid w:val="006B341B"/>
    <w:rsid w:val="006B349A"/>
    <w:rsid w:val="006B3ED6"/>
    <w:rsid w:val="006B4165"/>
    <w:rsid w:val="006B43A5"/>
    <w:rsid w:val="006B4D62"/>
    <w:rsid w:val="006B4DD6"/>
    <w:rsid w:val="006B4FEF"/>
    <w:rsid w:val="006B598F"/>
    <w:rsid w:val="006B5D83"/>
    <w:rsid w:val="006B658D"/>
    <w:rsid w:val="006B6AFB"/>
    <w:rsid w:val="006B7161"/>
    <w:rsid w:val="006B74D4"/>
    <w:rsid w:val="006B773B"/>
    <w:rsid w:val="006B7CF9"/>
    <w:rsid w:val="006C0685"/>
    <w:rsid w:val="006C0C83"/>
    <w:rsid w:val="006C0E71"/>
    <w:rsid w:val="006C1A95"/>
    <w:rsid w:val="006C23BC"/>
    <w:rsid w:val="006C305F"/>
    <w:rsid w:val="006C35E0"/>
    <w:rsid w:val="006C35F3"/>
    <w:rsid w:val="006C3E19"/>
    <w:rsid w:val="006C3F88"/>
    <w:rsid w:val="006C41C0"/>
    <w:rsid w:val="006C4EC1"/>
    <w:rsid w:val="006C5461"/>
    <w:rsid w:val="006C6CE4"/>
    <w:rsid w:val="006C6DE4"/>
    <w:rsid w:val="006C79A4"/>
    <w:rsid w:val="006D0D81"/>
    <w:rsid w:val="006D165E"/>
    <w:rsid w:val="006D1913"/>
    <w:rsid w:val="006D20B9"/>
    <w:rsid w:val="006D251E"/>
    <w:rsid w:val="006D336A"/>
    <w:rsid w:val="006D39A1"/>
    <w:rsid w:val="006D3B1E"/>
    <w:rsid w:val="006D3E55"/>
    <w:rsid w:val="006D3F82"/>
    <w:rsid w:val="006D440D"/>
    <w:rsid w:val="006D4459"/>
    <w:rsid w:val="006D4A39"/>
    <w:rsid w:val="006D51B9"/>
    <w:rsid w:val="006D53FA"/>
    <w:rsid w:val="006D58F9"/>
    <w:rsid w:val="006D6090"/>
    <w:rsid w:val="006D638E"/>
    <w:rsid w:val="006D63F9"/>
    <w:rsid w:val="006D6548"/>
    <w:rsid w:val="006D6884"/>
    <w:rsid w:val="006D6CEA"/>
    <w:rsid w:val="006D7023"/>
    <w:rsid w:val="006D70D5"/>
    <w:rsid w:val="006D750B"/>
    <w:rsid w:val="006D7C58"/>
    <w:rsid w:val="006D7E7F"/>
    <w:rsid w:val="006D7FD7"/>
    <w:rsid w:val="006E0168"/>
    <w:rsid w:val="006E0285"/>
    <w:rsid w:val="006E13A6"/>
    <w:rsid w:val="006E141A"/>
    <w:rsid w:val="006E147F"/>
    <w:rsid w:val="006E1636"/>
    <w:rsid w:val="006E1B3D"/>
    <w:rsid w:val="006E1F22"/>
    <w:rsid w:val="006E21E0"/>
    <w:rsid w:val="006E2BC8"/>
    <w:rsid w:val="006E2E3A"/>
    <w:rsid w:val="006E32B2"/>
    <w:rsid w:val="006E3358"/>
    <w:rsid w:val="006E5126"/>
    <w:rsid w:val="006E521F"/>
    <w:rsid w:val="006E54AF"/>
    <w:rsid w:val="006E573F"/>
    <w:rsid w:val="006E5BC1"/>
    <w:rsid w:val="006E5DA0"/>
    <w:rsid w:val="006E5EA7"/>
    <w:rsid w:val="006E6456"/>
    <w:rsid w:val="006E6602"/>
    <w:rsid w:val="006E6725"/>
    <w:rsid w:val="006E6AE8"/>
    <w:rsid w:val="006E6DD1"/>
    <w:rsid w:val="006E7317"/>
    <w:rsid w:val="006E741D"/>
    <w:rsid w:val="006E7A1A"/>
    <w:rsid w:val="006F0132"/>
    <w:rsid w:val="006F0AD5"/>
    <w:rsid w:val="006F2696"/>
    <w:rsid w:val="006F2741"/>
    <w:rsid w:val="006F2E2F"/>
    <w:rsid w:val="006F3628"/>
    <w:rsid w:val="006F3891"/>
    <w:rsid w:val="006F3EFC"/>
    <w:rsid w:val="006F4A63"/>
    <w:rsid w:val="006F4C42"/>
    <w:rsid w:val="006F5815"/>
    <w:rsid w:val="006F5FD0"/>
    <w:rsid w:val="006F65E2"/>
    <w:rsid w:val="006F6CCC"/>
    <w:rsid w:val="006F70C2"/>
    <w:rsid w:val="006F76C9"/>
    <w:rsid w:val="006F76F7"/>
    <w:rsid w:val="006F7712"/>
    <w:rsid w:val="006F782F"/>
    <w:rsid w:val="006F7AAF"/>
    <w:rsid w:val="006F7B34"/>
    <w:rsid w:val="007003ED"/>
    <w:rsid w:val="007004BE"/>
    <w:rsid w:val="00700753"/>
    <w:rsid w:val="0070082B"/>
    <w:rsid w:val="00700B13"/>
    <w:rsid w:val="0070154B"/>
    <w:rsid w:val="0070194F"/>
    <w:rsid w:val="00701A96"/>
    <w:rsid w:val="00702282"/>
    <w:rsid w:val="00702BB1"/>
    <w:rsid w:val="00702E07"/>
    <w:rsid w:val="00703088"/>
    <w:rsid w:val="007031A2"/>
    <w:rsid w:val="00703450"/>
    <w:rsid w:val="007039F1"/>
    <w:rsid w:val="00703A2C"/>
    <w:rsid w:val="0070432A"/>
    <w:rsid w:val="007043EB"/>
    <w:rsid w:val="00704436"/>
    <w:rsid w:val="00705401"/>
    <w:rsid w:val="00705833"/>
    <w:rsid w:val="00705988"/>
    <w:rsid w:val="007062F5"/>
    <w:rsid w:val="00706AB3"/>
    <w:rsid w:val="007070E6"/>
    <w:rsid w:val="007079C4"/>
    <w:rsid w:val="007107AE"/>
    <w:rsid w:val="007109E4"/>
    <w:rsid w:val="0071101A"/>
    <w:rsid w:val="007110E6"/>
    <w:rsid w:val="00711AF4"/>
    <w:rsid w:val="00711B6F"/>
    <w:rsid w:val="00712881"/>
    <w:rsid w:val="00712DBD"/>
    <w:rsid w:val="00712F9B"/>
    <w:rsid w:val="00713DB0"/>
    <w:rsid w:val="00714778"/>
    <w:rsid w:val="00714ABE"/>
    <w:rsid w:val="00714CD1"/>
    <w:rsid w:val="00715303"/>
    <w:rsid w:val="007162AC"/>
    <w:rsid w:val="0071643A"/>
    <w:rsid w:val="0071677B"/>
    <w:rsid w:val="00716CBE"/>
    <w:rsid w:val="00716EF9"/>
    <w:rsid w:val="00717A83"/>
    <w:rsid w:val="00717F57"/>
    <w:rsid w:val="007202CF"/>
    <w:rsid w:val="00720707"/>
    <w:rsid w:val="0072098E"/>
    <w:rsid w:val="00721625"/>
    <w:rsid w:val="00721B2F"/>
    <w:rsid w:val="00721DAA"/>
    <w:rsid w:val="007222DB"/>
    <w:rsid w:val="00722627"/>
    <w:rsid w:val="00722DDE"/>
    <w:rsid w:val="007237ED"/>
    <w:rsid w:val="007239F9"/>
    <w:rsid w:val="00724817"/>
    <w:rsid w:val="00724CB5"/>
    <w:rsid w:val="0072510E"/>
    <w:rsid w:val="007257A7"/>
    <w:rsid w:val="00725A7F"/>
    <w:rsid w:val="00725F49"/>
    <w:rsid w:val="0072675B"/>
    <w:rsid w:val="00726967"/>
    <w:rsid w:val="007305E1"/>
    <w:rsid w:val="007309C7"/>
    <w:rsid w:val="00730FE0"/>
    <w:rsid w:val="007312AE"/>
    <w:rsid w:val="00731848"/>
    <w:rsid w:val="00732180"/>
    <w:rsid w:val="007325A6"/>
    <w:rsid w:val="007325FA"/>
    <w:rsid w:val="007330CE"/>
    <w:rsid w:val="0073313B"/>
    <w:rsid w:val="00733181"/>
    <w:rsid w:val="0073329A"/>
    <w:rsid w:val="0073379E"/>
    <w:rsid w:val="0073422A"/>
    <w:rsid w:val="00734A79"/>
    <w:rsid w:val="00734C1F"/>
    <w:rsid w:val="00735764"/>
    <w:rsid w:val="00735C9E"/>
    <w:rsid w:val="00735FAB"/>
    <w:rsid w:val="007367B0"/>
    <w:rsid w:val="00736A10"/>
    <w:rsid w:val="00737642"/>
    <w:rsid w:val="00737AC6"/>
    <w:rsid w:val="00737BDA"/>
    <w:rsid w:val="0074021A"/>
    <w:rsid w:val="00740248"/>
    <w:rsid w:val="00740B9A"/>
    <w:rsid w:val="00740E73"/>
    <w:rsid w:val="00740E8A"/>
    <w:rsid w:val="00740F1C"/>
    <w:rsid w:val="007410BB"/>
    <w:rsid w:val="00741612"/>
    <w:rsid w:val="007416B2"/>
    <w:rsid w:val="0074186D"/>
    <w:rsid w:val="00741A87"/>
    <w:rsid w:val="00741D48"/>
    <w:rsid w:val="00741EB3"/>
    <w:rsid w:val="0074222F"/>
    <w:rsid w:val="007423C2"/>
    <w:rsid w:val="00742814"/>
    <w:rsid w:val="00742965"/>
    <w:rsid w:val="0074307D"/>
    <w:rsid w:val="00743260"/>
    <w:rsid w:val="00743C90"/>
    <w:rsid w:val="00743EBC"/>
    <w:rsid w:val="00744385"/>
    <w:rsid w:val="007443C8"/>
    <w:rsid w:val="007456EF"/>
    <w:rsid w:val="00745750"/>
    <w:rsid w:val="00745BC9"/>
    <w:rsid w:val="0074625F"/>
    <w:rsid w:val="00746B5A"/>
    <w:rsid w:val="00746B70"/>
    <w:rsid w:val="00747195"/>
    <w:rsid w:val="00747424"/>
    <w:rsid w:val="00747728"/>
    <w:rsid w:val="00747A1F"/>
    <w:rsid w:val="00747A26"/>
    <w:rsid w:val="00747B48"/>
    <w:rsid w:val="00747FEB"/>
    <w:rsid w:val="0075006C"/>
    <w:rsid w:val="00750617"/>
    <w:rsid w:val="00751386"/>
    <w:rsid w:val="007513D0"/>
    <w:rsid w:val="00751767"/>
    <w:rsid w:val="00751D5B"/>
    <w:rsid w:val="007527F5"/>
    <w:rsid w:val="00752DE5"/>
    <w:rsid w:val="00753206"/>
    <w:rsid w:val="00753231"/>
    <w:rsid w:val="00753420"/>
    <w:rsid w:val="007537D7"/>
    <w:rsid w:val="00754538"/>
    <w:rsid w:val="007545BA"/>
    <w:rsid w:val="007547DB"/>
    <w:rsid w:val="00755C1D"/>
    <w:rsid w:val="00755E7C"/>
    <w:rsid w:val="00755F02"/>
    <w:rsid w:val="0075614E"/>
    <w:rsid w:val="007569C1"/>
    <w:rsid w:val="007569CC"/>
    <w:rsid w:val="00756FE8"/>
    <w:rsid w:val="00757414"/>
    <w:rsid w:val="007578FD"/>
    <w:rsid w:val="00757B4C"/>
    <w:rsid w:val="00757F67"/>
    <w:rsid w:val="00760189"/>
    <w:rsid w:val="007601D3"/>
    <w:rsid w:val="007601D7"/>
    <w:rsid w:val="00760551"/>
    <w:rsid w:val="007610BD"/>
    <w:rsid w:val="00761534"/>
    <w:rsid w:val="00761C8C"/>
    <w:rsid w:val="007634B6"/>
    <w:rsid w:val="00763E13"/>
    <w:rsid w:val="00763F32"/>
    <w:rsid w:val="00763FE8"/>
    <w:rsid w:val="00765E44"/>
    <w:rsid w:val="00766306"/>
    <w:rsid w:val="007665AA"/>
    <w:rsid w:val="007670AC"/>
    <w:rsid w:val="00767474"/>
    <w:rsid w:val="00767BBC"/>
    <w:rsid w:val="00767C05"/>
    <w:rsid w:val="00767C6B"/>
    <w:rsid w:val="00767D22"/>
    <w:rsid w:val="00767F2D"/>
    <w:rsid w:val="00770AA5"/>
    <w:rsid w:val="00770B44"/>
    <w:rsid w:val="007716AB"/>
    <w:rsid w:val="00771872"/>
    <w:rsid w:val="00771FA6"/>
    <w:rsid w:val="007733C1"/>
    <w:rsid w:val="007734AB"/>
    <w:rsid w:val="00773A4B"/>
    <w:rsid w:val="00773B61"/>
    <w:rsid w:val="007745E9"/>
    <w:rsid w:val="00774C40"/>
    <w:rsid w:val="00774EC1"/>
    <w:rsid w:val="00774F44"/>
    <w:rsid w:val="00774F81"/>
    <w:rsid w:val="0077515E"/>
    <w:rsid w:val="00775FBF"/>
    <w:rsid w:val="007760CC"/>
    <w:rsid w:val="0077623A"/>
    <w:rsid w:val="007763C2"/>
    <w:rsid w:val="007765B7"/>
    <w:rsid w:val="007767A1"/>
    <w:rsid w:val="00776A70"/>
    <w:rsid w:val="00776F91"/>
    <w:rsid w:val="0077798F"/>
    <w:rsid w:val="00777A04"/>
    <w:rsid w:val="00777E2A"/>
    <w:rsid w:val="00780070"/>
    <w:rsid w:val="00780458"/>
    <w:rsid w:val="007804D9"/>
    <w:rsid w:val="007806B2"/>
    <w:rsid w:val="0078120D"/>
    <w:rsid w:val="007812BE"/>
    <w:rsid w:val="007813C3"/>
    <w:rsid w:val="00781EA8"/>
    <w:rsid w:val="007820CC"/>
    <w:rsid w:val="00782237"/>
    <w:rsid w:val="00783262"/>
    <w:rsid w:val="00783A3C"/>
    <w:rsid w:val="00784DD6"/>
    <w:rsid w:val="00784DF8"/>
    <w:rsid w:val="00785D53"/>
    <w:rsid w:val="00785D89"/>
    <w:rsid w:val="00787083"/>
    <w:rsid w:val="00787151"/>
    <w:rsid w:val="00787859"/>
    <w:rsid w:val="00787BE9"/>
    <w:rsid w:val="00790775"/>
    <w:rsid w:val="00790D5D"/>
    <w:rsid w:val="00790F8D"/>
    <w:rsid w:val="007912E2"/>
    <w:rsid w:val="0079133E"/>
    <w:rsid w:val="00791413"/>
    <w:rsid w:val="00792641"/>
    <w:rsid w:val="00792A0F"/>
    <w:rsid w:val="007931E5"/>
    <w:rsid w:val="0079376C"/>
    <w:rsid w:val="007939DC"/>
    <w:rsid w:val="00793E49"/>
    <w:rsid w:val="0079485A"/>
    <w:rsid w:val="0079525A"/>
    <w:rsid w:val="00795A69"/>
    <w:rsid w:val="00796506"/>
    <w:rsid w:val="007969B8"/>
    <w:rsid w:val="00797248"/>
    <w:rsid w:val="00797592"/>
    <w:rsid w:val="00797751"/>
    <w:rsid w:val="00797829"/>
    <w:rsid w:val="00797949"/>
    <w:rsid w:val="00797D54"/>
    <w:rsid w:val="007A0A4E"/>
    <w:rsid w:val="007A0AE4"/>
    <w:rsid w:val="007A0B9F"/>
    <w:rsid w:val="007A2DC1"/>
    <w:rsid w:val="007A2FDC"/>
    <w:rsid w:val="007A335F"/>
    <w:rsid w:val="007A3949"/>
    <w:rsid w:val="007A41C5"/>
    <w:rsid w:val="007A452C"/>
    <w:rsid w:val="007A5171"/>
    <w:rsid w:val="007A53C6"/>
    <w:rsid w:val="007A5CC4"/>
    <w:rsid w:val="007A7E98"/>
    <w:rsid w:val="007B002D"/>
    <w:rsid w:val="007B00A5"/>
    <w:rsid w:val="007B0B1D"/>
    <w:rsid w:val="007B1EF9"/>
    <w:rsid w:val="007B26B7"/>
    <w:rsid w:val="007B26E2"/>
    <w:rsid w:val="007B42AE"/>
    <w:rsid w:val="007B44C6"/>
    <w:rsid w:val="007B4F0E"/>
    <w:rsid w:val="007B50E5"/>
    <w:rsid w:val="007B5330"/>
    <w:rsid w:val="007B5D43"/>
    <w:rsid w:val="007B60DB"/>
    <w:rsid w:val="007B64CE"/>
    <w:rsid w:val="007B6B3A"/>
    <w:rsid w:val="007B7267"/>
    <w:rsid w:val="007B7445"/>
    <w:rsid w:val="007B7A38"/>
    <w:rsid w:val="007B7AD4"/>
    <w:rsid w:val="007B7EB5"/>
    <w:rsid w:val="007C0073"/>
    <w:rsid w:val="007C015B"/>
    <w:rsid w:val="007C04FE"/>
    <w:rsid w:val="007C0760"/>
    <w:rsid w:val="007C0C94"/>
    <w:rsid w:val="007C180F"/>
    <w:rsid w:val="007C194C"/>
    <w:rsid w:val="007C1E88"/>
    <w:rsid w:val="007C2660"/>
    <w:rsid w:val="007C2D60"/>
    <w:rsid w:val="007C2EF0"/>
    <w:rsid w:val="007C32DC"/>
    <w:rsid w:val="007C3370"/>
    <w:rsid w:val="007C3671"/>
    <w:rsid w:val="007C3A52"/>
    <w:rsid w:val="007C402C"/>
    <w:rsid w:val="007C40EC"/>
    <w:rsid w:val="007C42CC"/>
    <w:rsid w:val="007C478B"/>
    <w:rsid w:val="007C52CC"/>
    <w:rsid w:val="007C6142"/>
    <w:rsid w:val="007C6A5E"/>
    <w:rsid w:val="007D0041"/>
    <w:rsid w:val="007D03F5"/>
    <w:rsid w:val="007D1316"/>
    <w:rsid w:val="007D16C1"/>
    <w:rsid w:val="007D1F3C"/>
    <w:rsid w:val="007D261B"/>
    <w:rsid w:val="007D3741"/>
    <w:rsid w:val="007D3921"/>
    <w:rsid w:val="007D3D17"/>
    <w:rsid w:val="007D4122"/>
    <w:rsid w:val="007D47F1"/>
    <w:rsid w:val="007D494F"/>
    <w:rsid w:val="007D49B2"/>
    <w:rsid w:val="007D4BC4"/>
    <w:rsid w:val="007D772B"/>
    <w:rsid w:val="007D7CE9"/>
    <w:rsid w:val="007E008D"/>
    <w:rsid w:val="007E02BA"/>
    <w:rsid w:val="007E09E3"/>
    <w:rsid w:val="007E0FAC"/>
    <w:rsid w:val="007E1716"/>
    <w:rsid w:val="007E1B7D"/>
    <w:rsid w:val="007E1F2B"/>
    <w:rsid w:val="007E1F48"/>
    <w:rsid w:val="007E2781"/>
    <w:rsid w:val="007E27BE"/>
    <w:rsid w:val="007E2904"/>
    <w:rsid w:val="007E2D16"/>
    <w:rsid w:val="007E339E"/>
    <w:rsid w:val="007E347E"/>
    <w:rsid w:val="007E3935"/>
    <w:rsid w:val="007E3D6D"/>
    <w:rsid w:val="007E472C"/>
    <w:rsid w:val="007E4B1B"/>
    <w:rsid w:val="007E4F2D"/>
    <w:rsid w:val="007E5AD8"/>
    <w:rsid w:val="007E5E30"/>
    <w:rsid w:val="007E5F36"/>
    <w:rsid w:val="007E67EF"/>
    <w:rsid w:val="007E6881"/>
    <w:rsid w:val="007E6C1E"/>
    <w:rsid w:val="007E7F4B"/>
    <w:rsid w:val="007F01F8"/>
    <w:rsid w:val="007F0525"/>
    <w:rsid w:val="007F0696"/>
    <w:rsid w:val="007F0829"/>
    <w:rsid w:val="007F09CA"/>
    <w:rsid w:val="007F0CD0"/>
    <w:rsid w:val="007F0D1C"/>
    <w:rsid w:val="007F10AB"/>
    <w:rsid w:val="007F15BB"/>
    <w:rsid w:val="007F1B93"/>
    <w:rsid w:val="007F1C38"/>
    <w:rsid w:val="007F266D"/>
    <w:rsid w:val="007F2A9B"/>
    <w:rsid w:val="007F3086"/>
    <w:rsid w:val="007F4334"/>
    <w:rsid w:val="007F4C5F"/>
    <w:rsid w:val="007F5356"/>
    <w:rsid w:val="007F594B"/>
    <w:rsid w:val="007F609E"/>
    <w:rsid w:val="007F662D"/>
    <w:rsid w:val="007F6826"/>
    <w:rsid w:val="007F7131"/>
    <w:rsid w:val="007F7700"/>
    <w:rsid w:val="007F7A6A"/>
    <w:rsid w:val="007F7AE3"/>
    <w:rsid w:val="007F7D9B"/>
    <w:rsid w:val="008002C5"/>
    <w:rsid w:val="0080060A"/>
    <w:rsid w:val="00800A11"/>
    <w:rsid w:val="00800D1A"/>
    <w:rsid w:val="00800F33"/>
    <w:rsid w:val="0080100D"/>
    <w:rsid w:val="00801600"/>
    <w:rsid w:val="00801B54"/>
    <w:rsid w:val="00801E88"/>
    <w:rsid w:val="0080222E"/>
    <w:rsid w:val="00802503"/>
    <w:rsid w:val="008025B2"/>
    <w:rsid w:val="00802B5A"/>
    <w:rsid w:val="00802B79"/>
    <w:rsid w:val="00803009"/>
    <w:rsid w:val="0080374B"/>
    <w:rsid w:val="008042B8"/>
    <w:rsid w:val="008043F0"/>
    <w:rsid w:val="00804AE7"/>
    <w:rsid w:val="00804D57"/>
    <w:rsid w:val="0080518B"/>
    <w:rsid w:val="00806515"/>
    <w:rsid w:val="0080665B"/>
    <w:rsid w:val="008074A1"/>
    <w:rsid w:val="008078F3"/>
    <w:rsid w:val="00807E1F"/>
    <w:rsid w:val="00810342"/>
    <w:rsid w:val="00810C39"/>
    <w:rsid w:val="008116EB"/>
    <w:rsid w:val="0081171D"/>
    <w:rsid w:val="00811F85"/>
    <w:rsid w:val="0081201A"/>
    <w:rsid w:val="00812221"/>
    <w:rsid w:val="0081242A"/>
    <w:rsid w:val="0081280E"/>
    <w:rsid w:val="008129BD"/>
    <w:rsid w:val="00812B72"/>
    <w:rsid w:val="00812C0E"/>
    <w:rsid w:val="00812D47"/>
    <w:rsid w:val="00813104"/>
    <w:rsid w:val="00813BC7"/>
    <w:rsid w:val="00813E67"/>
    <w:rsid w:val="008142D3"/>
    <w:rsid w:val="008146B0"/>
    <w:rsid w:val="00814C9A"/>
    <w:rsid w:val="0081506E"/>
    <w:rsid w:val="00815276"/>
    <w:rsid w:val="0081594A"/>
    <w:rsid w:val="008159E8"/>
    <w:rsid w:val="00815C04"/>
    <w:rsid w:val="008165AC"/>
    <w:rsid w:val="00816647"/>
    <w:rsid w:val="008166A1"/>
    <w:rsid w:val="00816A93"/>
    <w:rsid w:val="00816AC4"/>
    <w:rsid w:val="00817081"/>
    <w:rsid w:val="008172A6"/>
    <w:rsid w:val="00817474"/>
    <w:rsid w:val="0081756D"/>
    <w:rsid w:val="0082001B"/>
    <w:rsid w:val="00820CB2"/>
    <w:rsid w:val="0082106D"/>
    <w:rsid w:val="008210C6"/>
    <w:rsid w:val="008210D0"/>
    <w:rsid w:val="00821184"/>
    <w:rsid w:val="00821AA2"/>
    <w:rsid w:val="00822666"/>
    <w:rsid w:val="0082274A"/>
    <w:rsid w:val="008227C5"/>
    <w:rsid w:val="0082284D"/>
    <w:rsid w:val="00822A86"/>
    <w:rsid w:val="0082397D"/>
    <w:rsid w:val="00824062"/>
    <w:rsid w:val="0082439B"/>
    <w:rsid w:val="00824CF7"/>
    <w:rsid w:val="00825213"/>
    <w:rsid w:val="008257D3"/>
    <w:rsid w:val="00825C33"/>
    <w:rsid w:val="00825D9F"/>
    <w:rsid w:val="008262DE"/>
    <w:rsid w:val="008264B0"/>
    <w:rsid w:val="008265E2"/>
    <w:rsid w:val="008268FC"/>
    <w:rsid w:val="00826E1C"/>
    <w:rsid w:val="00826F8F"/>
    <w:rsid w:val="008272B2"/>
    <w:rsid w:val="008272E2"/>
    <w:rsid w:val="00827427"/>
    <w:rsid w:val="00830105"/>
    <w:rsid w:val="008304E9"/>
    <w:rsid w:val="008308D6"/>
    <w:rsid w:val="00830935"/>
    <w:rsid w:val="00830D46"/>
    <w:rsid w:val="00831AE4"/>
    <w:rsid w:val="00831B9D"/>
    <w:rsid w:val="00832996"/>
    <w:rsid w:val="00832B12"/>
    <w:rsid w:val="00833257"/>
    <w:rsid w:val="00833544"/>
    <w:rsid w:val="00833642"/>
    <w:rsid w:val="00833F07"/>
    <w:rsid w:val="00834046"/>
    <w:rsid w:val="008342C7"/>
    <w:rsid w:val="008345E5"/>
    <w:rsid w:val="008351A6"/>
    <w:rsid w:val="0083552D"/>
    <w:rsid w:val="00836015"/>
    <w:rsid w:val="00836607"/>
    <w:rsid w:val="008368FD"/>
    <w:rsid w:val="00836964"/>
    <w:rsid w:val="008372E6"/>
    <w:rsid w:val="008378C6"/>
    <w:rsid w:val="00837F12"/>
    <w:rsid w:val="008401A2"/>
    <w:rsid w:val="00840680"/>
    <w:rsid w:val="00840ACC"/>
    <w:rsid w:val="00840E68"/>
    <w:rsid w:val="008411CF"/>
    <w:rsid w:val="00841685"/>
    <w:rsid w:val="00841B6A"/>
    <w:rsid w:val="00841C9E"/>
    <w:rsid w:val="00841D57"/>
    <w:rsid w:val="00842206"/>
    <w:rsid w:val="00842490"/>
    <w:rsid w:val="008425A3"/>
    <w:rsid w:val="0084282E"/>
    <w:rsid w:val="00842E37"/>
    <w:rsid w:val="00843482"/>
    <w:rsid w:val="0084363C"/>
    <w:rsid w:val="00844828"/>
    <w:rsid w:val="0084486D"/>
    <w:rsid w:val="008448A2"/>
    <w:rsid w:val="0084676D"/>
    <w:rsid w:val="00846D5B"/>
    <w:rsid w:val="008470C9"/>
    <w:rsid w:val="00847100"/>
    <w:rsid w:val="00847BC7"/>
    <w:rsid w:val="00847F3E"/>
    <w:rsid w:val="00847F80"/>
    <w:rsid w:val="008513B4"/>
    <w:rsid w:val="008515C2"/>
    <w:rsid w:val="0085245F"/>
    <w:rsid w:val="008545C6"/>
    <w:rsid w:val="008547F8"/>
    <w:rsid w:val="0085483A"/>
    <w:rsid w:val="0085548B"/>
    <w:rsid w:val="00855587"/>
    <w:rsid w:val="0085588D"/>
    <w:rsid w:val="00855C89"/>
    <w:rsid w:val="00856082"/>
    <w:rsid w:val="00856759"/>
    <w:rsid w:val="00856A34"/>
    <w:rsid w:val="008570F3"/>
    <w:rsid w:val="00860A97"/>
    <w:rsid w:val="0086125E"/>
    <w:rsid w:val="00861395"/>
    <w:rsid w:val="00861BA0"/>
    <w:rsid w:val="00862499"/>
    <w:rsid w:val="008630B3"/>
    <w:rsid w:val="008649D9"/>
    <w:rsid w:val="00864FCD"/>
    <w:rsid w:val="0086538A"/>
    <w:rsid w:val="008659FA"/>
    <w:rsid w:val="00866DB6"/>
    <w:rsid w:val="008673E3"/>
    <w:rsid w:val="0086779A"/>
    <w:rsid w:val="00867EB7"/>
    <w:rsid w:val="0087042E"/>
    <w:rsid w:val="008713CD"/>
    <w:rsid w:val="008714BA"/>
    <w:rsid w:val="008714D0"/>
    <w:rsid w:val="0087161B"/>
    <w:rsid w:val="00872095"/>
    <w:rsid w:val="00872187"/>
    <w:rsid w:val="00872245"/>
    <w:rsid w:val="0087262D"/>
    <w:rsid w:val="00872CAF"/>
    <w:rsid w:val="00873AAA"/>
    <w:rsid w:val="00873CF5"/>
    <w:rsid w:val="00874CCA"/>
    <w:rsid w:val="00874DFE"/>
    <w:rsid w:val="00875358"/>
    <w:rsid w:val="00875ADC"/>
    <w:rsid w:val="00875E68"/>
    <w:rsid w:val="008770FB"/>
    <w:rsid w:val="00877619"/>
    <w:rsid w:val="008777F1"/>
    <w:rsid w:val="008803BC"/>
    <w:rsid w:val="008805DC"/>
    <w:rsid w:val="008805EA"/>
    <w:rsid w:val="0088077D"/>
    <w:rsid w:val="00880860"/>
    <w:rsid w:val="008809D0"/>
    <w:rsid w:val="00880C12"/>
    <w:rsid w:val="0088130F"/>
    <w:rsid w:val="008818EC"/>
    <w:rsid w:val="00881F2C"/>
    <w:rsid w:val="008820BD"/>
    <w:rsid w:val="00882746"/>
    <w:rsid w:val="0088380D"/>
    <w:rsid w:val="008840AA"/>
    <w:rsid w:val="008845F8"/>
    <w:rsid w:val="00884AD8"/>
    <w:rsid w:val="00885895"/>
    <w:rsid w:val="0088665E"/>
    <w:rsid w:val="00886838"/>
    <w:rsid w:val="00886A70"/>
    <w:rsid w:val="00886AF7"/>
    <w:rsid w:val="00886BFC"/>
    <w:rsid w:val="0088739B"/>
    <w:rsid w:val="008873D9"/>
    <w:rsid w:val="008875FB"/>
    <w:rsid w:val="00887744"/>
    <w:rsid w:val="00887A91"/>
    <w:rsid w:val="008905CA"/>
    <w:rsid w:val="00890B15"/>
    <w:rsid w:val="00891552"/>
    <w:rsid w:val="00891631"/>
    <w:rsid w:val="00891666"/>
    <w:rsid w:val="00891BF3"/>
    <w:rsid w:val="00891C96"/>
    <w:rsid w:val="00891D05"/>
    <w:rsid w:val="00891F41"/>
    <w:rsid w:val="00892CFA"/>
    <w:rsid w:val="0089305A"/>
    <w:rsid w:val="00893403"/>
    <w:rsid w:val="00893487"/>
    <w:rsid w:val="00893A2C"/>
    <w:rsid w:val="00893E5B"/>
    <w:rsid w:val="00894149"/>
    <w:rsid w:val="0089469C"/>
    <w:rsid w:val="00894962"/>
    <w:rsid w:val="00894A40"/>
    <w:rsid w:val="00894C18"/>
    <w:rsid w:val="00894DB4"/>
    <w:rsid w:val="008954B1"/>
    <w:rsid w:val="00895BB0"/>
    <w:rsid w:val="00895DDA"/>
    <w:rsid w:val="0089676C"/>
    <w:rsid w:val="00896EBD"/>
    <w:rsid w:val="00897A1C"/>
    <w:rsid w:val="008A0731"/>
    <w:rsid w:val="008A0834"/>
    <w:rsid w:val="008A0F56"/>
    <w:rsid w:val="008A1198"/>
    <w:rsid w:val="008A1268"/>
    <w:rsid w:val="008A1B74"/>
    <w:rsid w:val="008A21AC"/>
    <w:rsid w:val="008A22F6"/>
    <w:rsid w:val="008A288B"/>
    <w:rsid w:val="008A2ACE"/>
    <w:rsid w:val="008A2EE1"/>
    <w:rsid w:val="008A3B6E"/>
    <w:rsid w:val="008A3C0D"/>
    <w:rsid w:val="008A3E3E"/>
    <w:rsid w:val="008A408F"/>
    <w:rsid w:val="008A44BC"/>
    <w:rsid w:val="008A4879"/>
    <w:rsid w:val="008A4888"/>
    <w:rsid w:val="008A4A10"/>
    <w:rsid w:val="008A4AB3"/>
    <w:rsid w:val="008A4C43"/>
    <w:rsid w:val="008A4D6E"/>
    <w:rsid w:val="008A4F55"/>
    <w:rsid w:val="008A5132"/>
    <w:rsid w:val="008A58F4"/>
    <w:rsid w:val="008A67D7"/>
    <w:rsid w:val="008A6D3F"/>
    <w:rsid w:val="008A6EE1"/>
    <w:rsid w:val="008A6FBD"/>
    <w:rsid w:val="008A77D0"/>
    <w:rsid w:val="008B0077"/>
    <w:rsid w:val="008B0145"/>
    <w:rsid w:val="008B0530"/>
    <w:rsid w:val="008B07DD"/>
    <w:rsid w:val="008B1307"/>
    <w:rsid w:val="008B136D"/>
    <w:rsid w:val="008B16FB"/>
    <w:rsid w:val="008B1768"/>
    <w:rsid w:val="008B1D0D"/>
    <w:rsid w:val="008B24DF"/>
    <w:rsid w:val="008B2A9C"/>
    <w:rsid w:val="008B2B75"/>
    <w:rsid w:val="008B2B9A"/>
    <w:rsid w:val="008B3245"/>
    <w:rsid w:val="008B3436"/>
    <w:rsid w:val="008B3D84"/>
    <w:rsid w:val="008B40E9"/>
    <w:rsid w:val="008B4F1F"/>
    <w:rsid w:val="008B5CE9"/>
    <w:rsid w:val="008B5FC0"/>
    <w:rsid w:val="008B60DC"/>
    <w:rsid w:val="008B631F"/>
    <w:rsid w:val="008B6880"/>
    <w:rsid w:val="008B6C70"/>
    <w:rsid w:val="008B6D00"/>
    <w:rsid w:val="008B7189"/>
    <w:rsid w:val="008B72FC"/>
    <w:rsid w:val="008B73C6"/>
    <w:rsid w:val="008B74B3"/>
    <w:rsid w:val="008B784B"/>
    <w:rsid w:val="008B7B51"/>
    <w:rsid w:val="008B7FA5"/>
    <w:rsid w:val="008C0289"/>
    <w:rsid w:val="008C032E"/>
    <w:rsid w:val="008C0567"/>
    <w:rsid w:val="008C069F"/>
    <w:rsid w:val="008C0A4A"/>
    <w:rsid w:val="008C20D6"/>
    <w:rsid w:val="008C2416"/>
    <w:rsid w:val="008C242B"/>
    <w:rsid w:val="008C2D7D"/>
    <w:rsid w:val="008C2DEB"/>
    <w:rsid w:val="008C2F8A"/>
    <w:rsid w:val="008C33FD"/>
    <w:rsid w:val="008C360B"/>
    <w:rsid w:val="008C36D0"/>
    <w:rsid w:val="008C3C56"/>
    <w:rsid w:val="008C3FBE"/>
    <w:rsid w:val="008C4506"/>
    <w:rsid w:val="008C4EA2"/>
    <w:rsid w:val="008C51ED"/>
    <w:rsid w:val="008C589E"/>
    <w:rsid w:val="008C5978"/>
    <w:rsid w:val="008C5D97"/>
    <w:rsid w:val="008C6CAD"/>
    <w:rsid w:val="008C6EE8"/>
    <w:rsid w:val="008C70B5"/>
    <w:rsid w:val="008C7A58"/>
    <w:rsid w:val="008C7CEF"/>
    <w:rsid w:val="008C7DE7"/>
    <w:rsid w:val="008D07F2"/>
    <w:rsid w:val="008D13B3"/>
    <w:rsid w:val="008D142F"/>
    <w:rsid w:val="008D1671"/>
    <w:rsid w:val="008D168D"/>
    <w:rsid w:val="008D1B01"/>
    <w:rsid w:val="008D1CD1"/>
    <w:rsid w:val="008D1CE4"/>
    <w:rsid w:val="008D1F47"/>
    <w:rsid w:val="008D2135"/>
    <w:rsid w:val="008D2434"/>
    <w:rsid w:val="008D25C3"/>
    <w:rsid w:val="008D2A6A"/>
    <w:rsid w:val="008D3677"/>
    <w:rsid w:val="008D3722"/>
    <w:rsid w:val="008D4361"/>
    <w:rsid w:val="008D4636"/>
    <w:rsid w:val="008D5C55"/>
    <w:rsid w:val="008D5D0C"/>
    <w:rsid w:val="008D748C"/>
    <w:rsid w:val="008D77E2"/>
    <w:rsid w:val="008D7C32"/>
    <w:rsid w:val="008E0A84"/>
    <w:rsid w:val="008E1508"/>
    <w:rsid w:val="008E1D09"/>
    <w:rsid w:val="008E1F6E"/>
    <w:rsid w:val="008E2B45"/>
    <w:rsid w:val="008E30C7"/>
    <w:rsid w:val="008E425A"/>
    <w:rsid w:val="008E4519"/>
    <w:rsid w:val="008E4807"/>
    <w:rsid w:val="008E4A5E"/>
    <w:rsid w:val="008E4BE5"/>
    <w:rsid w:val="008E4D47"/>
    <w:rsid w:val="008E4D98"/>
    <w:rsid w:val="008E4EFC"/>
    <w:rsid w:val="008E54E7"/>
    <w:rsid w:val="008E5598"/>
    <w:rsid w:val="008E575F"/>
    <w:rsid w:val="008E5A30"/>
    <w:rsid w:val="008E6893"/>
    <w:rsid w:val="008E71B3"/>
    <w:rsid w:val="008E7AB5"/>
    <w:rsid w:val="008E7DD9"/>
    <w:rsid w:val="008E7EDF"/>
    <w:rsid w:val="008E7F35"/>
    <w:rsid w:val="008F0044"/>
    <w:rsid w:val="008F016C"/>
    <w:rsid w:val="008F03F9"/>
    <w:rsid w:val="008F0545"/>
    <w:rsid w:val="008F16DF"/>
    <w:rsid w:val="008F175E"/>
    <w:rsid w:val="008F1B06"/>
    <w:rsid w:val="008F1F6D"/>
    <w:rsid w:val="008F2106"/>
    <w:rsid w:val="008F231D"/>
    <w:rsid w:val="008F29B5"/>
    <w:rsid w:val="008F2A2F"/>
    <w:rsid w:val="008F2D7A"/>
    <w:rsid w:val="008F2E0E"/>
    <w:rsid w:val="008F36B9"/>
    <w:rsid w:val="008F3D65"/>
    <w:rsid w:val="008F3DB1"/>
    <w:rsid w:val="008F4242"/>
    <w:rsid w:val="008F4454"/>
    <w:rsid w:val="008F4BC6"/>
    <w:rsid w:val="008F4CD8"/>
    <w:rsid w:val="008F520C"/>
    <w:rsid w:val="008F575A"/>
    <w:rsid w:val="008F5BB4"/>
    <w:rsid w:val="008F5F5A"/>
    <w:rsid w:val="008F62C3"/>
    <w:rsid w:val="008F6E3C"/>
    <w:rsid w:val="008F6F34"/>
    <w:rsid w:val="008F7344"/>
    <w:rsid w:val="008F79B8"/>
    <w:rsid w:val="009004E2"/>
    <w:rsid w:val="00900B7F"/>
    <w:rsid w:val="0090123E"/>
    <w:rsid w:val="009013C2"/>
    <w:rsid w:val="0090227B"/>
    <w:rsid w:val="00903988"/>
    <w:rsid w:val="00904447"/>
    <w:rsid w:val="0090484C"/>
    <w:rsid w:val="00905102"/>
    <w:rsid w:val="00905143"/>
    <w:rsid w:val="00905310"/>
    <w:rsid w:val="00906188"/>
    <w:rsid w:val="0090661D"/>
    <w:rsid w:val="0090666B"/>
    <w:rsid w:val="0090759F"/>
    <w:rsid w:val="009077B2"/>
    <w:rsid w:val="0090798B"/>
    <w:rsid w:val="00907C17"/>
    <w:rsid w:val="00910258"/>
    <w:rsid w:val="009103B6"/>
    <w:rsid w:val="0091060B"/>
    <w:rsid w:val="00910AD8"/>
    <w:rsid w:val="00911E7C"/>
    <w:rsid w:val="00912EA7"/>
    <w:rsid w:val="00912F6C"/>
    <w:rsid w:val="0091306B"/>
    <w:rsid w:val="009134CF"/>
    <w:rsid w:val="009137A1"/>
    <w:rsid w:val="00914848"/>
    <w:rsid w:val="00914A71"/>
    <w:rsid w:val="009155DB"/>
    <w:rsid w:val="00915617"/>
    <w:rsid w:val="00916161"/>
    <w:rsid w:val="009163B2"/>
    <w:rsid w:val="009165DD"/>
    <w:rsid w:val="00917AFB"/>
    <w:rsid w:val="00917D72"/>
    <w:rsid w:val="009206BC"/>
    <w:rsid w:val="00920727"/>
    <w:rsid w:val="00920A93"/>
    <w:rsid w:val="00921334"/>
    <w:rsid w:val="009217EC"/>
    <w:rsid w:val="00921981"/>
    <w:rsid w:val="00921AF6"/>
    <w:rsid w:val="00921C30"/>
    <w:rsid w:val="00921ED5"/>
    <w:rsid w:val="00921F74"/>
    <w:rsid w:val="00921F79"/>
    <w:rsid w:val="00922C06"/>
    <w:rsid w:val="00922F74"/>
    <w:rsid w:val="0092370B"/>
    <w:rsid w:val="009240CF"/>
    <w:rsid w:val="00924432"/>
    <w:rsid w:val="00924587"/>
    <w:rsid w:val="00924DEA"/>
    <w:rsid w:val="0092532E"/>
    <w:rsid w:val="009259DE"/>
    <w:rsid w:val="009261B9"/>
    <w:rsid w:val="0092650E"/>
    <w:rsid w:val="00926699"/>
    <w:rsid w:val="00926BC6"/>
    <w:rsid w:val="00926F8E"/>
    <w:rsid w:val="00927085"/>
    <w:rsid w:val="009277A3"/>
    <w:rsid w:val="00927AF0"/>
    <w:rsid w:val="00930104"/>
    <w:rsid w:val="00930C55"/>
    <w:rsid w:val="00931095"/>
    <w:rsid w:val="00931555"/>
    <w:rsid w:val="0093165B"/>
    <w:rsid w:val="009318BA"/>
    <w:rsid w:val="00931DB3"/>
    <w:rsid w:val="00932E3B"/>
    <w:rsid w:val="0093304B"/>
    <w:rsid w:val="00933629"/>
    <w:rsid w:val="0093476C"/>
    <w:rsid w:val="00934A0E"/>
    <w:rsid w:val="009350C4"/>
    <w:rsid w:val="009351CC"/>
    <w:rsid w:val="00935630"/>
    <w:rsid w:val="00935631"/>
    <w:rsid w:val="00935D5B"/>
    <w:rsid w:val="00935E48"/>
    <w:rsid w:val="0093663E"/>
    <w:rsid w:val="00937620"/>
    <w:rsid w:val="009379DE"/>
    <w:rsid w:val="00937B9A"/>
    <w:rsid w:val="00937D06"/>
    <w:rsid w:val="009405FB"/>
    <w:rsid w:val="00940AB5"/>
    <w:rsid w:val="00940CD2"/>
    <w:rsid w:val="00941160"/>
    <w:rsid w:val="009412DD"/>
    <w:rsid w:val="0094148E"/>
    <w:rsid w:val="0094174B"/>
    <w:rsid w:val="00941E9D"/>
    <w:rsid w:val="0094200F"/>
    <w:rsid w:val="00942751"/>
    <w:rsid w:val="00942927"/>
    <w:rsid w:val="0094316A"/>
    <w:rsid w:val="009432E7"/>
    <w:rsid w:val="009436B7"/>
    <w:rsid w:val="00943E10"/>
    <w:rsid w:val="0094405D"/>
    <w:rsid w:val="00944811"/>
    <w:rsid w:val="00944937"/>
    <w:rsid w:val="00945278"/>
    <w:rsid w:val="00945548"/>
    <w:rsid w:val="0094557C"/>
    <w:rsid w:val="00945F63"/>
    <w:rsid w:val="00946AB6"/>
    <w:rsid w:val="00946C41"/>
    <w:rsid w:val="00946D22"/>
    <w:rsid w:val="009472C4"/>
    <w:rsid w:val="00947D6E"/>
    <w:rsid w:val="00950AA4"/>
    <w:rsid w:val="0095176D"/>
    <w:rsid w:val="00951B1F"/>
    <w:rsid w:val="009522B9"/>
    <w:rsid w:val="009532A3"/>
    <w:rsid w:val="009537B5"/>
    <w:rsid w:val="00953A81"/>
    <w:rsid w:val="00953C0F"/>
    <w:rsid w:val="00954416"/>
    <w:rsid w:val="009547B9"/>
    <w:rsid w:val="00954BB2"/>
    <w:rsid w:val="00954D1A"/>
    <w:rsid w:val="00956C24"/>
    <w:rsid w:val="009576EE"/>
    <w:rsid w:val="00960834"/>
    <w:rsid w:val="009609BD"/>
    <w:rsid w:val="00960AB9"/>
    <w:rsid w:val="00961ADA"/>
    <w:rsid w:val="009621C7"/>
    <w:rsid w:val="009625CF"/>
    <w:rsid w:val="00962735"/>
    <w:rsid w:val="00962B2B"/>
    <w:rsid w:val="00962E39"/>
    <w:rsid w:val="009632B1"/>
    <w:rsid w:val="009636AE"/>
    <w:rsid w:val="00963863"/>
    <w:rsid w:val="009638D3"/>
    <w:rsid w:val="0096459E"/>
    <w:rsid w:val="0096484B"/>
    <w:rsid w:val="00964F8D"/>
    <w:rsid w:val="009650EB"/>
    <w:rsid w:val="00965171"/>
    <w:rsid w:val="00965261"/>
    <w:rsid w:val="009654C5"/>
    <w:rsid w:val="009659AD"/>
    <w:rsid w:val="00965B64"/>
    <w:rsid w:val="009660E8"/>
    <w:rsid w:val="0096614F"/>
    <w:rsid w:val="00966285"/>
    <w:rsid w:val="00966728"/>
    <w:rsid w:val="0096684B"/>
    <w:rsid w:val="00966A29"/>
    <w:rsid w:val="00966F34"/>
    <w:rsid w:val="00967B03"/>
    <w:rsid w:val="00967F85"/>
    <w:rsid w:val="00970642"/>
    <w:rsid w:val="009711FE"/>
    <w:rsid w:val="00971797"/>
    <w:rsid w:val="009721CC"/>
    <w:rsid w:val="00972577"/>
    <w:rsid w:val="009728E4"/>
    <w:rsid w:val="009730AE"/>
    <w:rsid w:val="009735B6"/>
    <w:rsid w:val="0097396E"/>
    <w:rsid w:val="009747EC"/>
    <w:rsid w:val="009748CF"/>
    <w:rsid w:val="00974B56"/>
    <w:rsid w:val="00974BF5"/>
    <w:rsid w:val="00975547"/>
    <w:rsid w:val="0097596C"/>
    <w:rsid w:val="00975A19"/>
    <w:rsid w:val="0097668B"/>
    <w:rsid w:val="00976900"/>
    <w:rsid w:val="00976A52"/>
    <w:rsid w:val="009771ED"/>
    <w:rsid w:val="00977E6D"/>
    <w:rsid w:val="00981467"/>
    <w:rsid w:val="009819A4"/>
    <w:rsid w:val="00981AFD"/>
    <w:rsid w:val="00981BB4"/>
    <w:rsid w:val="00981CB7"/>
    <w:rsid w:val="00981FFD"/>
    <w:rsid w:val="00982485"/>
    <w:rsid w:val="0098270D"/>
    <w:rsid w:val="00983347"/>
    <w:rsid w:val="009835D6"/>
    <w:rsid w:val="00983854"/>
    <w:rsid w:val="00983D94"/>
    <w:rsid w:val="0098403C"/>
    <w:rsid w:val="00984A21"/>
    <w:rsid w:val="00984DA1"/>
    <w:rsid w:val="009851E3"/>
    <w:rsid w:val="00985238"/>
    <w:rsid w:val="00985508"/>
    <w:rsid w:val="00985ADE"/>
    <w:rsid w:val="00985D6B"/>
    <w:rsid w:val="00986A0C"/>
    <w:rsid w:val="00986B1F"/>
    <w:rsid w:val="00987209"/>
    <w:rsid w:val="00987398"/>
    <w:rsid w:val="00990847"/>
    <w:rsid w:val="009908AE"/>
    <w:rsid w:val="00990AFC"/>
    <w:rsid w:val="00990ECE"/>
    <w:rsid w:val="0099112F"/>
    <w:rsid w:val="00991A3C"/>
    <w:rsid w:val="00991BBD"/>
    <w:rsid w:val="00991F97"/>
    <w:rsid w:val="009922B3"/>
    <w:rsid w:val="0099231E"/>
    <w:rsid w:val="00992A44"/>
    <w:rsid w:val="00993130"/>
    <w:rsid w:val="009934B5"/>
    <w:rsid w:val="00993E2A"/>
    <w:rsid w:val="0099410C"/>
    <w:rsid w:val="009941C3"/>
    <w:rsid w:val="009944AD"/>
    <w:rsid w:val="00994535"/>
    <w:rsid w:val="0099467A"/>
    <w:rsid w:val="009956A0"/>
    <w:rsid w:val="00996288"/>
    <w:rsid w:val="0099664F"/>
    <w:rsid w:val="00996862"/>
    <w:rsid w:val="00996E97"/>
    <w:rsid w:val="009971FA"/>
    <w:rsid w:val="00997A34"/>
    <w:rsid w:val="00997DF4"/>
    <w:rsid w:val="009A006A"/>
    <w:rsid w:val="009A0AE6"/>
    <w:rsid w:val="009A117D"/>
    <w:rsid w:val="009A132C"/>
    <w:rsid w:val="009A13FB"/>
    <w:rsid w:val="009A20DF"/>
    <w:rsid w:val="009A24EE"/>
    <w:rsid w:val="009A2649"/>
    <w:rsid w:val="009A29E4"/>
    <w:rsid w:val="009A3781"/>
    <w:rsid w:val="009A418D"/>
    <w:rsid w:val="009A45D3"/>
    <w:rsid w:val="009A4773"/>
    <w:rsid w:val="009A5E9D"/>
    <w:rsid w:val="009A674C"/>
    <w:rsid w:val="009A6790"/>
    <w:rsid w:val="009A6D34"/>
    <w:rsid w:val="009A6F49"/>
    <w:rsid w:val="009A72BD"/>
    <w:rsid w:val="009B05DB"/>
    <w:rsid w:val="009B0B7B"/>
    <w:rsid w:val="009B0F70"/>
    <w:rsid w:val="009B1142"/>
    <w:rsid w:val="009B393A"/>
    <w:rsid w:val="009B3B98"/>
    <w:rsid w:val="009B43B0"/>
    <w:rsid w:val="009B4776"/>
    <w:rsid w:val="009B4BBD"/>
    <w:rsid w:val="009B533E"/>
    <w:rsid w:val="009B5DCF"/>
    <w:rsid w:val="009B64F0"/>
    <w:rsid w:val="009B668D"/>
    <w:rsid w:val="009B694B"/>
    <w:rsid w:val="009B6B7C"/>
    <w:rsid w:val="009B71B2"/>
    <w:rsid w:val="009B76B1"/>
    <w:rsid w:val="009B78CD"/>
    <w:rsid w:val="009B7B59"/>
    <w:rsid w:val="009C034F"/>
    <w:rsid w:val="009C0E59"/>
    <w:rsid w:val="009C1247"/>
    <w:rsid w:val="009C1407"/>
    <w:rsid w:val="009C1907"/>
    <w:rsid w:val="009C1C3A"/>
    <w:rsid w:val="009C2053"/>
    <w:rsid w:val="009C2287"/>
    <w:rsid w:val="009C250C"/>
    <w:rsid w:val="009C28C3"/>
    <w:rsid w:val="009C35AE"/>
    <w:rsid w:val="009C3715"/>
    <w:rsid w:val="009C3919"/>
    <w:rsid w:val="009C3944"/>
    <w:rsid w:val="009C3B22"/>
    <w:rsid w:val="009C4478"/>
    <w:rsid w:val="009C4927"/>
    <w:rsid w:val="009C49FD"/>
    <w:rsid w:val="009C4A0F"/>
    <w:rsid w:val="009C4CFF"/>
    <w:rsid w:val="009C5132"/>
    <w:rsid w:val="009C5217"/>
    <w:rsid w:val="009C529C"/>
    <w:rsid w:val="009C5718"/>
    <w:rsid w:val="009C5C4D"/>
    <w:rsid w:val="009C609B"/>
    <w:rsid w:val="009C649F"/>
    <w:rsid w:val="009C6AEE"/>
    <w:rsid w:val="009C6F11"/>
    <w:rsid w:val="009C7014"/>
    <w:rsid w:val="009C77A2"/>
    <w:rsid w:val="009D05E9"/>
    <w:rsid w:val="009D08D5"/>
    <w:rsid w:val="009D0B27"/>
    <w:rsid w:val="009D1163"/>
    <w:rsid w:val="009D195A"/>
    <w:rsid w:val="009D2D3F"/>
    <w:rsid w:val="009D3CF7"/>
    <w:rsid w:val="009D47E2"/>
    <w:rsid w:val="009D65EB"/>
    <w:rsid w:val="009D6975"/>
    <w:rsid w:val="009D74AD"/>
    <w:rsid w:val="009D7A7E"/>
    <w:rsid w:val="009E067D"/>
    <w:rsid w:val="009E0782"/>
    <w:rsid w:val="009E0B73"/>
    <w:rsid w:val="009E0BB5"/>
    <w:rsid w:val="009E0EE1"/>
    <w:rsid w:val="009E0EF2"/>
    <w:rsid w:val="009E1B2F"/>
    <w:rsid w:val="009E1CDD"/>
    <w:rsid w:val="009E21F2"/>
    <w:rsid w:val="009E2546"/>
    <w:rsid w:val="009E2C19"/>
    <w:rsid w:val="009E2D6A"/>
    <w:rsid w:val="009E3727"/>
    <w:rsid w:val="009E37C7"/>
    <w:rsid w:val="009E3BDD"/>
    <w:rsid w:val="009E4520"/>
    <w:rsid w:val="009E4D08"/>
    <w:rsid w:val="009E4F5C"/>
    <w:rsid w:val="009E51CD"/>
    <w:rsid w:val="009E579D"/>
    <w:rsid w:val="009E580C"/>
    <w:rsid w:val="009E5A3D"/>
    <w:rsid w:val="009E61A6"/>
    <w:rsid w:val="009E65CC"/>
    <w:rsid w:val="009E6C0E"/>
    <w:rsid w:val="009E6DF5"/>
    <w:rsid w:val="009E7617"/>
    <w:rsid w:val="009E7B50"/>
    <w:rsid w:val="009F01C0"/>
    <w:rsid w:val="009F0BB7"/>
    <w:rsid w:val="009F0BEE"/>
    <w:rsid w:val="009F1180"/>
    <w:rsid w:val="009F13B3"/>
    <w:rsid w:val="009F1A25"/>
    <w:rsid w:val="009F1D6D"/>
    <w:rsid w:val="009F1F91"/>
    <w:rsid w:val="009F2687"/>
    <w:rsid w:val="009F300C"/>
    <w:rsid w:val="009F3BB2"/>
    <w:rsid w:val="009F3E91"/>
    <w:rsid w:val="009F411D"/>
    <w:rsid w:val="009F419F"/>
    <w:rsid w:val="009F43E5"/>
    <w:rsid w:val="009F49F7"/>
    <w:rsid w:val="009F557E"/>
    <w:rsid w:val="009F5FDD"/>
    <w:rsid w:val="009F6DE0"/>
    <w:rsid w:val="009F7746"/>
    <w:rsid w:val="009F7E22"/>
    <w:rsid w:val="00A000F0"/>
    <w:rsid w:val="00A00867"/>
    <w:rsid w:val="00A00927"/>
    <w:rsid w:val="00A01F12"/>
    <w:rsid w:val="00A0237E"/>
    <w:rsid w:val="00A024F5"/>
    <w:rsid w:val="00A02569"/>
    <w:rsid w:val="00A02721"/>
    <w:rsid w:val="00A02AD9"/>
    <w:rsid w:val="00A02ADB"/>
    <w:rsid w:val="00A0347A"/>
    <w:rsid w:val="00A03816"/>
    <w:rsid w:val="00A03AF1"/>
    <w:rsid w:val="00A04189"/>
    <w:rsid w:val="00A041DA"/>
    <w:rsid w:val="00A042B3"/>
    <w:rsid w:val="00A05BE4"/>
    <w:rsid w:val="00A05DA4"/>
    <w:rsid w:val="00A062DE"/>
    <w:rsid w:val="00A06A77"/>
    <w:rsid w:val="00A06B90"/>
    <w:rsid w:val="00A06F2A"/>
    <w:rsid w:val="00A070E2"/>
    <w:rsid w:val="00A0717C"/>
    <w:rsid w:val="00A07C4E"/>
    <w:rsid w:val="00A07D61"/>
    <w:rsid w:val="00A1027C"/>
    <w:rsid w:val="00A106F1"/>
    <w:rsid w:val="00A1075B"/>
    <w:rsid w:val="00A10BA0"/>
    <w:rsid w:val="00A10EF6"/>
    <w:rsid w:val="00A115CC"/>
    <w:rsid w:val="00A11B49"/>
    <w:rsid w:val="00A11D78"/>
    <w:rsid w:val="00A11ECD"/>
    <w:rsid w:val="00A120F5"/>
    <w:rsid w:val="00A121DB"/>
    <w:rsid w:val="00A12547"/>
    <w:rsid w:val="00A12AA1"/>
    <w:rsid w:val="00A12AF1"/>
    <w:rsid w:val="00A12AFE"/>
    <w:rsid w:val="00A134C7"/>
    <w:rsid w:val="00A1354C"/>
    <w:rsid w:val="00A14180"/>
    <w:rsid w:val="00A142C0"/>
    <w:rsid w:val="00A14CA6"/>
    <w:rsid w:val="00A14DC7"/>
    <w:rsid w:val="00A15AA7"/>
    <w:rsid w:val="00A15B63"/>
    <w:rsid w:val="00A15C3E"/>
    <w:rsid w:val="00A160F8"/>
    <w:rsid w:val="00A165A7"/>
    <w:rsid w:val="00A167BB"/>
    <w:rsid w:val="00A16A1F"/>
    <w:rsid w:val="00A172F2"/>
    <w:rsid w:val="00A175A5"/>
    <w:rsid w:val="00A17768"/>
    <w:rsid w:val="00A20667"/>
    <w:rsid w:val="00A21C97"/>
    <w:rsid w:val="00A22A2B"/>
    <w:rsid w:val="00A22C7F"/>
    <w:rsid w:val="00A23573"/>
    <w:rsid w:val="00A23791"/>
    <w:rsid w:val="00A2408B"/>
    <w:rsid w:val="00A242E9"/>
    <w:rsid w:val="00A24D0B"/>
    <w:rsid w:val="00A254B0"/>
    <w:rsid w:val="00A255AC"/>
    <w:rsid w:val="00A258EA"/>
    <w:rsid w:val="00A25BEB"/>
    <w:rsid w:val="00A26286"/>
    <w:rsid w:val="00A264D7"/>
    <w:rsid w:val="00A26EA3"/>
    <w:rsid w:val="00A273E4"/>
    <w:rsid w:val="00A2743D"/>
    <w:rsid w:val="00A309BF"/>
    <w:rsid w:val="00A30ECC"/>
    <w:rsid w:val="00A30FD1"/>
    <w:rsid w:val="00A3106D"/>
    <w:rsid w:val="00A31155"/>
    <w:rsid w:val="00A313EB"/>
    <w:rsid w:val="00A31ACC"/>
    <w:rsid w:val="00A31CC1"/>
    <w:rsid w:val="00A32575"/>
    <w:rsid w:val="00A32EFC"/>
    <w:rsid w:val="00A33337"/>
    <w:rsid w:val="00A333CF"/>
    <w:rsid w:val="00A333EC"/>
    <w:rsid w:val="00A339DB"/>
    <w:rsid w:val="00A33A9A"/>
    <w:rsid w:val="00A33E4C"/>
    <w:rsid w:val="00A33EA4"/>
    <w:rsid w:val="00A349F7"/>
    <w:rsid w:val="00A34B80"/>
    <w:rsid w:val="00A35130"/>
    <w:rsid w:val="00A3643D"/>
    <w:rsid w:val="00A364B2"/>
    <w:rsid w:val="00A36673"/>
    <w:rsid w:val="00A3675B"/>
    <w:rsid w:val="00A36FDC"/>
    <w:rsid w:val="00A3778F"/>
    <w:rsid w:val="00A37948"/>
    <w:rsid w:val="00A379BE"/>
    <w:rsid w:val="00A37B01"/>
    <w:rsid w:val="00A40A5D"/>
    <w:rsid w:val="00A40B08"/>
    <w:rsid w:val="00A42AF3"/>
    <w:rsid w:val="00A4333C"/>
    <w:rsid w:val="00A4338C"/>
    <w:rsid w:val="00A438D1"/>
    <w:rsid w:val="00A43ADE"/>
    <w:rsid w:val="00A43BB7"/>
    <w:rsid w:val="00A43EE9"/>
    <w:rsid w:val="00A43F46"/>
    <w:rsid w:val="00A44516"/>
    <w:rsid w:val="00A4558B"/>
    <w:rsid w:val="00A46401"/>
    <w:rsid w:val="00A4659B"/>
    <w:rsid w:val="00A46BD3"/>
    <w:rsid w:val="00A47832"/>
    <w:rsid w:val="00A47876"/>
    <w:rsid w:val="00A47D5E"/>
    <w:rsid w:val="00A47FA1"/>
    <w:rsid w:val="00A50506"/>
    <w:rsid w:val="00A50A38"/>
    <w:rsid w:val="00A514BC"/>
    <w:rsid w:val="00A519C6"/>
    <w:rsid w:val="00A51ACC"/>
    <w:rsid w:val="00A51CDA"/>
    <w:rsid w:val="00A51D0C"/>
    <w:rsid w:val="00A51D0D"/>
    <w:rsid w:val="00A5270C"/>
    <w:rsid w:val="00A52AF0"/>
    <w:rsid w:val="00A531E1"/>
    <w:rsid w:val="00A53BCB"/>
    <w:rsid w:val="00A53BEF"/>
    <w:rsid w:val="00A53E6D"/>
    <w:rsid w:val="00A544EF"/>
    <w:rsid w:val="00A547B1"/>
    <w:rsid w:val="00A55475"/>
    <w:rsid w:val="00A559E2"/>
    <w:rsid w:val="00A566B1"/>
    <w:rsid w:val="00A568EB"/>
    <w:rsid w:val="00A573FA"/>
    <w:rsid w:val="00A57C02"/>
    <w:rsid w:val="00A57DD1"/>
    <w:rsid w:val="00A60254"/>
    <w:rsid w:val="00A60735"/>
    <w:rsid w:val="00A60D97"/>
    <w:rsid w:val="00A60F06"/>
    <w:rsid w:val="00A610C3"/>
    <w:rsid w:val="00A610FE"/>
    <w:rsid w:val="00A62100"/>
    <w:rsid w:val="00A63098"/>
    <w:rsid w:val="00A64457"/>
    <w:rsid w:val="00A646F9"/>
    <w:rsid w:val="00A64BCE"/>
    <w:rsid w:val="00A64E87"/>
    <w:rsid w:val="00A6538E"/>
    <w:rsid w:val="00A66656"/>
    <w:rsid w:val="00A66BC5"/>
    <w:rsid w:val="00A66E39"/>
    <w:rsid w:val="00A66EC6"/>
    <w:rsid w:val="00A66ECD"/>
    <w:rsid w:val="00A671BD"/>
    <w:rsid w:val="00A67393"/>
    <w:rsid w:val="00A67522"/>
    <w:rsid w:val="00A67868"/>
    <w:rsid w:val="00A67C5C"/>
    <w:rsid w:val="00A704E1"/>
    <w:rsid w:val="00A70598"/>
    <w:rsid w:val="00A709D9"/>
    <w:rsid w:val="00A7115A"/>
    <w:rsid w:val="00A71A53"/>
    <w:rsid w:val="00A7221E"/>
    <w:rsid w:val="00A7251C"/>
    <w:rsid w:val="00A72610"/>
    <w:rsid w:val="00A734E8"/>
    <w:rsid w:val="00A737BE"/>
    <w:rsid w:val="00A73B57"/>
    <w:rsid w:val="00A73C55"/>
    <w:rsid w:val="00A741E5"/>
    <w:rsid w:val="00A743C4"/>
    <w:rsid w:val="00A74AA1"/>
    <w:rsid w:val="00A74FDB"/>
    <w:rsid w:val="00A761D8"/>
    <w:rsid w:val="00A76576"/>
    <w:rsid w:val="00A76ACE"/>
    <w:rsid w:val="00A76C50"/>
    <w:rsid w:val="00A76C55"/>
    <w:rsid w:val="00A76F71"/>
    <w:rsid w:val="00A76F76"/>
    <w:rsid w:val="00A77614"/>
    <w:rsid w:val="00A77645"/>
    <w:rsid w:val="00A77D0C"/>
    <w:rsid w:val="00A8048B"/>
    <w:rsid w:val="00A805C6"/>
    <w:rsid w:val="00A80ADF"/>
    <w:rsid w:val="00A80CF6"/>
    <w:rsid w:val="00A80E98"/>
    <w:rsid w:val="00A80EDE"/>
    <w:rsid w:val="00A8106C"/>
    <w:rsid w:val="00A81961"/>
    <w:rsid w:val="00A8196C"/>
    <w:rsid w:val="00A81980"/>
    <w:rsid w:val="00A81F7B"/>
    <w:rsid w:val="00A82091"/>
    <w:rsid w:val="00A82E3F"/>
    <w:rsid w:val="00A832E3"/>
    <w:rsid w:val="00A83FF4"/>
    <w:rsid w:val="00A84210"/>
    <w:rsid w:val="00A84844"/>
    <w:rsid w:val="00A84A3F"/>
    <w:rsid w:val="00A85C2C"/>
    <w:rsid w:val="00A85C44"/>
    <w:rsid w:val="00A86303"/>
    <w:rsid w:val="00A8695D"/>
    <w:rsid w:val="00A87176"/>
    <w:rsid w:val="00A9012E"/>
    <w:rsid w:val="00A90321"/>
    <w:rsid w:val="00A91E4C"/>
    <w:rsid w:val="00A92882"/>
    <w:rsid w:val="00A92914"/>
    <w:rsid w:val="00A92EC9"/>
    <w:rsid w:val="00A93200"/>
    <w:rsid w:val="00A93613"/>
    <w:rsid w:val="00A9412C"/>
    <w:rsid w:val="00A942B1"/>
    <w:rsid w:val="00A94C63"/>
    <w:rsid w:val="00A94D92"/>
    <w:rsid w:val="00A94F6D"/>
    <w:rsid w:val="00A954AE"/>
    <w:rsid w:val="00A95508"/>
    <w:rsid w:val="00A9560A"/>
    <w:rsid w:val="00A963A6"/>
    <w:rsid w:val="00A96491"/>
    <w:rsid w:val="00A96AF5"/>
    <w:rsid w:val="00A97722"/>
    <w:rsid w:val="00A97B2D"/>
    <w:rsid w:val="00AA08C8"/>
    <w:rsid w:val="00AA0CFE"/>
    <w:rsid w:val="00AA1AC6"/>
    <w:rsid w:val="00AA1F7F"/>
    <w:rsid w:val="00AA25A9"/>
    <w:rsid w:val="00AA2738"/>
    <w:rsid w:val="00AA2878"/>
    <w:rsid w:val="00AA31D3"/>
    <w:rsid w:val="00AA3347"/>
    <w:rsid w:val="00AA33ED"/>
    <w:rsid w:val="00AA3455"/>
    <w:rsid w:val="00AA3617"/>
    <w:rsid w:val="00AA3A71"/>
    <w:rsid w:val="00AA3E3C"/>
    <w:rsid w:val="00AA3E4B"/>
    <w:rsid w:val="00AA4471"/>
    <w:rsid w:val="00AA4684"/>
    <w:rsid w:val="00AA47C2"/>
    <w:rsid w:val="00AA4B2C"/>
    <w:rsid w:val="00AA4BF1"/>
    <w:rsid w:val="00AA4F46"/>
    <w:rsid w:val="00AA5362"/>
    <w:rsid w:val="00AA55EF"/>
    <w:rsid w:val="00AA5CDC"/>
    <w:rsid w:val="00AA5F5F"/>
    <w:rsid w:val="00AA62CC"/>
    <w:rsid w:val="00AA6419"/>
    <w:rsid w:val="00AA65D1"/>
    <w:rsid w:val="00AA66B2"/>
    <w:rsid w:val="00AA74A7"/>
    <w:rsid w:val="00AA74BD"/>
    <w:rsid w:val="00AA754A"/>
    <w:rsid w:val="00AA7941"/>
    <w:rsid w:val="00AA7B26"/>
    <w:rsid w:val="00AB004B"/>
    <w:rsid w:val="00AB006B"/>
    <w:rsid w:val="00AB090D"/>
    <w:rsid w:val="00AB0DC9"/>
    <w:rsid w:val="00AB0EB3"/>
    <w:rsid w:val="00AB11ED"/>
    <w:rsid w:val="00AB22CA"/>
    <w:rsid w:val="00AB23C7"/>
    <w:rsid w:val="00AB296F"/>
    <w:rsid w:val="00AB2FF6"/>
    <w:rsid w:val="00AB3C4D"/>
    <w:rsid w:val="00AB4428"/>
    <w:rsid w:val="00AB46E5"/>
    <w:rsid w:val="00AB4813"/>
    <w:rsid w:val="00AB4958"/>
    <w:rsid w:val="00AB4B0E"/>
    <w:rsid w:val="00AB50AF"/>
    <w:rsid w:val="00AB55FA"/>
    <w:rsid w:val="00AB5AF5"/>
    <w:rsid w:val="00AB6248"/>
    <w:rsid w:val="00AB62E5"/>
    <w:rsid w:val="00AB7253"/>
    <w:rsid w:val="00AC011A"/>
    <w:rsid w:val="00AC0ECC"/>
    <w:rsid w:val="00AC1BB9"/>
    <w:rsid w:val="00AC294A"/>
    <w:rsid w:val="00AC2B59"/>
    <w:rsid w:val="00AC2F96"/>
    <w:rsid w:val="00AC3B83"/>
    <w:rsid w:val="00AC3D1F"/>
    <w:rsid w:val="00AC465D"/>
    <w:rsid w:val="00AC469A"/>
    <w:rsid w:val="00AC4700"/>
    <w:rsid w:val="00AC48E0"/>
    <w:rsid w:val="00AC4961"/>
    <w:rsid w:val="00AC4E34"/>
    <w:rsid w:val="00AC56DC"/>
    <w:rsid w:val="00AC5865"/>
    <w:rsid w:val="00AC5C27"/>
    <w:rsid w:val="00AC5F6E"/>
    <w:rsid w:val="00AC68BD"/>
    <w:rsid w:val="00AC726F"/>
    <w:rsid w:val="00AC74D0"/>
    <w:rsid w:val="00AC7E4E"/>
    <w:rsid w:val="00AD013F"/>
    <w:rsid w:val="00AD02B1"/>
    <w:rsid w:val="00AD0300"/>
    <w:rsid w:val="00AD121F"/>
    <w:rsid w:val="00AD155B"/>
    <w:rsid w:val="00AD17D2"/>
    <w:rsid w:val="00AD185C"/>
    <w:rsid w:val="00AD19E6"/>
    <w:rsid w:val="00AD1B3D"/>
    <w:rsid w:val="00AD200E"/>
    <w:rsid w:val="00AD26EB"/>
    <w:rsid w:val="00AD2CA2"/>
    <w:rsid w:val="00AD2F62"/>
    <w:rsid w:val="00AD331A"/>
    <w:rsid w:val="00AD3AAA"/>
    <w:rsid w:val="00AD4C56"/>
    <w:rsid w:val="00AD4D99"/>
    <w:rsid w:val="00AD56AC"/>
    <w:rsid w:val="00AD58F8"/>
    <w:rsid w:val="00AD68D0"/>
    <w:rsid w:val="00AD70EB"/>
    <w:rsid w:val="00AD73C6"/>
    <w:rsid w:val="00AE0080"/>
    <w:rsid w:val="00AE033E"/>
    <w:rsid w:val="00AE055A"/>
    <w:rsid w:val="00AE1A98"/>
    <w:rsid w:val="00AE2404"/>
    <w:rsid w:val="00AE24DF"/>
    <w:rsid w:val="00AE2705"/>
    <w:rsid w:val="00AE2BBF"/>
    <w:rsid w:val="00AE3438"/>
    <w:rsid w:val="00AE3F46"/>
    <w:rsid w:val="00AE4D7B"/>
    <w:rsid w:val="00AE55C3"/>
    <w:rsid w:val="00AE5A99"/>
    <w:rsid w:val="00AE5C90"/>
    <w:rsid w:val="00AE5CF2"/>
    <w:rsid w:val="00AE5D24"/>
    <w:rsid w:val="00AE6128"/>
    <w:rsid w:val="00AE61B2"/>
    <w:rsid w:val="00AE6568"/>
    <w:rsid w:val="00AE681D"/>
    <w:rsid w:val="00AE6FA3"/>
    <w:rsid w:val="00AE70F6"/>
    <w:rsid w:val="00AE7385"/>
    <w:rsid w:val="00AE7387"/>
    <w:rsid w:val="00AE73EB"/>
    <w:rsid w:val="00AE75D2"/>
    <w:rsid w:val="00AE7C3D"/>
    <w:rsid w:val="00AF0229"/>
    <w:rsid w:val="00AF1759"/>
    <w:rsid w:val="00AF26E2"/>
    <w:rsid w:val="00AF293B"/>
    <w:rsid w:val="00AF2D4D"/>
    <w:rsid w:val="00AF318E"/>
    <w:rsid w:val="00AF345E"/>
    <w:rsid w:val="00AF363F"/>
    <w:rsid w:val="00AF3BA1"/>
    <w:rsid w:val="00AF4B51"/>
    <w:rsid w:val="00AF4EEF"/>
    <w:rsid w:val="00AF570B"/>
    <w:rsid w:val="00AF5D13"/>
    <w:rsid w:val="00AF62E8"/>
    <w:rsid w:val="00AF6E33"/>
    <w:rsid w:val="00AF7129"/>
    <w:rsid w:val="00AF718C"/>
    <w:rsid w:val="00AF7214"/>
    <w:rsid w:val="00AF74D3"/>
    <w:rsid w:val="00AF7619"/>
    <w:rsid w:val="00AF77DE"/>
    <w:rsid w:val="00AF7A91"/>
    <w:rsid w:val="00AF7C55"/>
    <w:rsid w:val="00B0012F"/>
    <w:rsid w:val="00B00A37"/>
    <w:rsid w:val="00B00F27"/>
    <w:rsid w:val="00B020A5"/>
    <w:rsid w:val="00B02275"/>
    <w:rsid w:val="00B026BD"/>
    <w:rsid w:val="00B032AD"/>
    <w:rsid w:val="00B03BAC"/>
    <w:rsid w:val="00B03C77"/>
    <w:rsid w:val="00B043BB"/>
    <w:rsid w:val="00B044AA"/>
    <w:rsid w:val="00B04706"/>
    <w:rsid w:val="00B052E5"/>
    <w:rsid w:val="00B0599F"/>
    <w:rsid w:val="00B063D3"/>
    <w:rsid w:val="00B06543"/>
    <w:rsid w:val="00B06A20"/>
    <w:rsid w:val="00B06EF7"/>
    <w:rsid w:val="00B070A1"/>
    <w:rsid w:val="00B07AF6"/>
    <w:rsid w:val="00B1147F"/>
    <w:rsid w:val="00B11796"/>
    <w:rsid w:val="00B11E05"/>
    <w:rsid w:val="00B124DB"/>
    <w:rsid w:val="00B12743"/>
    <w:rsid w:val="00B12921"/>
    <w:rsid w:val="00B137C7"/>
    <w:rsid w:val="00B145D0"/>
    <w:rsid w:val="00B14BD2"/>
    <w:rsid w:val="00B15B91"/>
    <w:rsid w:val="00B16552"/>
    <w:rsid w:val="00B168E3"/>
    <w:rsid w:val="00B16D7B"/>
    <w:rsid w:val="00B16F32"/>
    <w:rsid w:val="00B20111"/>
    <w:rsid w:val="00B2047E"/>
    <w:rsid w:val="00B2094E"/>
    <w:rsid w:val="00B20A42"/>
    <w:rsid w:val="00B20AB4"/>
    <w:rsid w:val="00B2147E"/>
    <w:rsid w:val="00B21DF3"/>
    <w:rsid w:val="00B22D71"/>
    <w:rsid w:val="00B2314D"/>
    <w:rsid w:val="00B237C0"/>
    <w:rsid w:val="00B23B30"/>
    <w:rsid w:val="00B24928"/>
    <w:rsid w:val="00B25442"/>
    <w:rsid w:val="00B25492"/>
    <w:rsid w:val="00B276EC"/>
    <w:rsid w:val="00B27D53"/>
    <w:rsid w:val="00B27D70"/>
    <w:rsid w:val="00B30277"/>
    <w:rsid w:val="00B30720"/>
    <w:rsid w:val="00B30802"/>
    <w:rsid w:val="00B30C5E"/>
    <w:rsid w:val="00B31AE2"/>
    <w:rsid w:val="00B31EDC"/>
    <w:rsid w:val="00B3216D"/>
    <w:rsid w:val="00B32467"/>
    <w:rsid w:val="00B32E88"/>
    <w:rsid w:val="00B3300E"/>
    <w:rsid w:val="00B3396F"/>
    <w:rsid w:val="00B34227"/>
    <w:rsid w:val="00B342C5"/>
    <w:rsid w:val="00B34BCA"/>
    <w:rsid w:val="00B34E0F"/>
    <w:rsid w:val="00B352A8"/>
    <w:rsid w:val="00B357E1"/>
    <w:rsid w:val="00B358F7"/>
    <w:rsid w:val="00B3594F"/>
    <w:rsid w:val="00B3595D"/>
    <w:rsid w:val="00B3597F"/>
    <w:rsid w:val="00B35BEE"/>
    <w:rsid w:val="00B35C8B"/>
    <w:rsid w:val="00B36171"/>
    <w:rsid w:val="00B36320"/>
    <w:rsid w:val="00B36FE4"/>
    <w:rsid w:val="00B377E7"/>
    <w:rsid w:val="00B40430"/>
    <w:rsid w:val="00B4123C"/>
    <w:rsid w:val="00B41DA1"/>
    <w:rsid w:val="00B422C6"/>
    <w:rsid w:val="00B42825"/>
    <w:rsid w:val="00B42B11"/>
    <w:rsid w:val="00B42ED7"/>
    <w:rsid w:val="00B43084"/>
    <w:rsid w:val="00B431E7"/>
    <w:rsid w:val="00B43594"/>
    <w:rsid w:val="00B4397B"/>
    <w:rsid w:val="00B4415C"/>
    <w:rsid w:val="00B445E7"/>
    <w:rsid w:val="00B44B67"/>
    <w:rsid w:val="00B44F06"/>
    <w:rsid w:val="00B45033"/>
    <w:rsid w:val="00B45222"/>
    <w:rsid w:val="00B45F8B"/>
    <w:rsid w:val="00B465A5"/>
    <w:rsid w:val="00B468B7"/>
    <w:rsid w:val="00B4699A"/>
    <w:rsid w:val="00B46AA0"/>
    <w:rsid w:val="00B46BD9"/>
    <w:rsid w:val="00B4707B"/>
    <w:rsid w:val="00B471C1"/>
    <w:rsid w:val="00B4740A"/>
    <w:rsid w:val="00B47625"/>
    <w:rsid w:val="00B47905"/>
    <w:rsid w:val="00B5020C"/>
    <w:rsid w:val="00B50C29"/>
    <w:rsid w:val="00B50D6A"/>
    <w:rsid w:val="00B517B6"/>
    <w:rsid w:val="00B518DA"/>
    <w:rsid w:val="00B51993"/>
    <w:rsid w:val="00B52789"/>
    <w:rsid w:val="00B527F1"/>
    <w:rsid w:val="00B52B6A"/>
    <w:rsid w:val="00B52F42"/>
    <w:rsid w:val="00B53083"/>
    <w:rsid w:val="00B5370A"/>
    <w:rsid w:val="00B53764"/>
    <w:rsid w:val="00B539BB"/>
    <w:rsid w:val="00B53B00"/>
    <w:rsid w:val="00B53D04"/>
    <w:rsid w:val="00B53F85"/>
    <w:rsid w:val="00B5405F"/>
    <w:rsid w:val="00B54C47"/>
    <w:rsid w:val="00B55017"/>
    <w:rsid w:val="00B554ED"/>
    <w:rsid w:val="00B55AE1"/>
    <w:rsid w:val="00B55BB8"/>
    <w:rsid w:val="00B560D6"/>
    <w:rsid w:val="00B5616C"/>
    <w:rsid w:val="00B56194"/>
    <w:rsid w:val="00B5627E"/>
    <w:rsid w:val="00B566A3"/>
    <w:rsid w:val="00B574E3"/>
    <w:rsid w:val="00B6056E"/>
    <w:rsid w:val="00B6095B"/>
    <w:rsid w:val="00B60C3A"/>
    <w:rsid w:val="00B60CDC"/>
    <w:rsid w:val="00B60D3B"/>
    <w:rsid w:val="00B61651"/>
    <w:rsid w:val="00B62296"/>
    <w:rsid w:val="00B62A13"/>
    <w:rsid w:val="00B63112"/>
    <w:rsid w:val="00B637BF"/>
    <w:rsid w:val="00B63F7E"/>
    <w:rsid w:val="00B64016"/>
    <w:rsid w:val="00B640CF"/>
    <w:rsid w:val="00B64114"/>
    <w:rsid w:val="00B64AD9"/>
    <w:rsid w:val="00B65F17"/>
    <w:rsid w:val="00B66ADC"/>
    <w:rsid w:val="00B66E31"/>
    <w:rsid w:val="00B66ED8"/>
    <w:rsid w:val="00B671B2"/>
    <w:rsid w:val="00B672EA"/>
    <w:rsid w:val="00B67403"/>
    <w:rsid w:val="00B676F3"/>
    <w:rsid w:val="00B67E30"/>
    <w:rsid w:val="00B70FF2"/>
    <w:rsid w:val="00B71C8B"/>
    <w:rsid w:val="00B723C4"/>
    <w:rsid w:val="00B7267D"/>
    <w:rsid w:val="00B72775"/>
    <w:rsid w:val="00B72BEF"/>
    <w:rsid w:val="00B72EEA"/>
    <w:rsid w:val="00B73AB8"/>
    <w:rsid w:val="00B73F1F"/>
    <w:rsid w:val="00B73F57"/>
    <w:rsid w:val="00B74D31"/>
    <w:rsid w:val="00B74E40"/>
    <w:rsid w:val="00B75240"/>
    <w:rsid w:val="00B753AC"/>
    <w:rsid w:val="00B7553F"/>
    <w:rsid w:val="00B75C93"/>
    <w:rsid w:val="00B75E30"/>
    <w:rsid w:val="00B76795"/>
    <w:rsid w:val="00B775D0"/>
    <w:rsid w:val="00B77AFE"/>
    <w:rsid w:val="00B77CE7"/>
    <w:rsid w:val="00B77F5C"/>
    <w:rsid w:val="00B8020D"/>
    <w:rsid w:val="00B803E3"/>
    <w:rsid w:val="00B8154B"/>
    <w:rsid w:val="00B818E7"/>
    <w:rsid w:val="00B819D3"/>
    <w:rsid w:val="00B81D02"/>
    <w:rsid w:val="00B81F1D"/>
    <w:rsid w:val="00B81F56"/>
    <w:rsid w:val="00B820C5"/>
    <w:rsid w:val="00B82217"/>
    <w:rsid w:val="00B827CD"/>
    <w:rsid w:val="00B82CA3"/>
    <w:rsid w:val="00B82D62"/>
    <w:rsid w:val="00B83067"/>
    <w:rsid w:val="00B83095"/>
    <w:rsid w:val="00B8340F"/>
    <w:rsid w:val="00B8389C"/>
    <w:rsid w:val="00B83B1C"/>
    <w:rsid w:val="00B847BE"/>
    <w:rsid w:val="00B847D3"/>
    <w:rsid w:val="00B84A55"/>
    <w:rsid w:val="00B84DB3"/>
    <w:rsid w:val="00B85046"/>
    <w:rsid w:val="00B853DA"/>
    <w:rsid w:val="00B85C55"/>
    <w:rsid w:val="00B860D3"/>
    <w:rsid w:val="00B861C7"/>
    <w:rsid w:val="00B86264"/>
    <w:rsid w:val="00B862BC"/>
    <w:rsid w:val="00B862C7"/>
    <w:rsid w:val="00B867EF"/>
    <w:rsid w:val="00B86812"/>
    <w:rsid w:val="00B875BC"/>
    <w:rsid w:val="00B879A9"/>
    <w:rsid w:val="00B90300"/>
    <w:rsid w:val="00B912E9"/>
    <w:rsid w:val="00B91979"/>
    <w:rsid w:val="00B91D5A"/>
    <w:rsid w:val="00B91DFA"/>
    <w:rsid w:val="00B91FA9"/>
    <w:rsid w:val="00B92A2B"/>
    <w:rsid w:val="00B92B74"/>
    <w:rsid w:val="00B92C5D"/>
    <w:rsid w:val="00B92D7C"/>
    <w:rsid w:val="00B9373C"/>
    <w:rsid w:val="00B93C92"/>
    <w:rsid w:val="00B93CCB"/>
    <w:rsid w:val="00B94085"/>
    <w:rsid w:val="00B946F4"/>
    <w:rsid w:val="00B94E85"/>
    <w:rsid w:val="00B9526F"/>
    <w:rsid w:val="00B96183"/>
    <w:rsid w:val="00B96189"/>
    <w:rsid w:val="00B96796"/>
    <w:rsid w:val="00B96D34"/>
    <w:rsid w:val="00B96E55"/>
    <w:rsid w:val="00B97A90"/>
    <w:rsid w:val="00B97C4D"/>
    <w:rsid w:val="00BA0B02"/>
    <w:rsid w:val="00BA1267"/>
    <w:rsid w:val="00BA147E"/>
    <w:rsid w:val="00BA159A"/>
    <w:rsid w:val="00BA1820"/>
    <w:rsid w:val="00BA1DA0"/>
    <w:rsid w:val="00BA1EBB"/>
    <w:rsid w:val="00BA1FAE"/>
    <w:rsid w:val="00BA2487"/>
    <w:rsid w:val="00BA2504"/>
    <w:rsid w:val="00BA2929"/>
    <w:rsid w:val="00BA2EC4"/>
    <w:rsid w:val="00BA2ED5"/>
    <w:rsid w:val="00BA38F4"/>
    <w:rsid w:val="00BA3ADF"/>
    <w:rsid w:val="00BA3D82"/>
    <w:rsid w:val="00BA4192"/>
    <w:rsid w:val="00BA58F6"/>
    <w:rsid w:val="00BA5941"/>
    <w:rsid w:val="00BA5FC1"/>
    <w:rsid w:val="00BA630C"/>
    <w:rsid w:val="00BA7080"/>
    <w:rsid w:val="00BA7719"/>
    <w:rsid w:val="00BA7ED7"/>
    <w:rsid w:val="00BB105A"/>
    <w:rsid w:val="00BB13E9"/>
    <w:rsid w:val="00BB1582"/>
    <w:rsid w:val="00BB198E"/>
    <w:rsid w:val="00BB1BF7"/>
    <w:rsid w:val="00BB2314"/>
    <w:rsid w:val="00BB24B7"/>
    <w:rsid w:val="00BB2A70"/>
    <w:rsid w:val="00BB2DC2"/>
    <w:rsid w:val="00BB31E8"/>
    <w:rsid w:val="00BB3401"/>
    <w:rsid w:val="00BB3724"/>
    <w:rsid w:val="00BB381E"/>
    <w:rsid w:val="00BB3D1C"/>
    <w:rsid w:val="00BB3DDF"/>
    <w:rsid w:val="00BB3FC8"/>
    <w:rsid w:val="00BB4099"/>
    <w:rsid w:val="00BB4268"/>
    <w:rsid w:val="00BB4A2C"/>
    <w:rsid w:val="00BB5A92"/>
    <w:rsid w:val="00BB70AC"/>
    <w:rsid w:val="00BB71E1"/>
    <w:rsid w:val="00BC03E5"/>
    <w:rsid w:val="00BC07C9"/>
    <w:rsid w:val="00BC0CEF"/>
    <w:rsid w:val="00BC0D78"/>
    <w:rsid w:val="00BC1495"/>
    <w:rsid w:val="00BC1D8A"/>
    <w:rsid w:val="00BC212F"/>
    <w:rsid w:val="00BC2477"/>
    <w:rsid w:val="00BC30A2"/>
    <w:rsid w:val="00BC32D1"/>
    <w:rsid w:val="00BC341F"/>
    <w:rsid w:val="00BC39AE"/>
    <w:rsid w:val="00BC3F94"/>
    <w:rsid w:val="00BC45C5"/>
    <w:rsid w:val="00BC557A"/>
    <w:rsid w:val="00BC55FF"/>
    <w:rsid w:val="00BC5680"/>
    <w:rsid w:val="00BC5892"/>
    <w:rsid w:val="00BC5BF3"/>
    <w:rsid w:val="00BC5FD0"/>
    <w:rsid w:val="00BC6CC6"/>
    <w:rsid w:val="00BC6EDA"/>
    <w:rsid w:val="00BC7498"/>
    <w:rsid w:val="00BC7963"/>
    <w:rsid w:val="00BC7F71"/>
    <w:rsid w:val="00BD00BE"/>
    <w:rsid w:val="00BD0E6A"/>
    <w:rsid w:val="00BD14FB"/>
    <w:rsid w:val="00BD251D"/>
    <w:rsid w:val="00BD2E5A"/>
    <w:rsid w:val="00BD2F35"/>
    <w:rsid w:val="00BD2F80"/>
    <w:rsid w:val="00BD35E1"/>
    <w:rsid w:val="00BD377F"/>
    <w:rsid w:val="00BD402D"/>
    <w:rsid w:val="00BD43FB"/>
    <w:rsid w:val="00BD49C5"/>
    <w:rsid w:val="00BD4A1E"/>
    <w:rsid w:val="00BD4D87"/>
    <w:rsid w:val="00BD51A0"/>
    <w:rsid w:val="00BD51B9"/>
    <w:rsid w:val="00BD567E"/>
    <w:rsid w:val="00BD5E3E"/>
    <w:rsid w:val="00BD64EB"/>
    <w:rsid w:val="00BD6E8C"/>
    <w:rsid w:val="00BD7E3B"/>
    <w:rsid w:val="00BE1E81"/>
    <w:rsid w:val="00BE250B"/>
    <w:rsid w:val="00BE2E4D"/>
    <w:rsid w:val="00BE34E4"/>
    <w:rsid w:val="00BE36F7"/>
    <w:rsid w:val="00BE37FB"/>
    <w:rsid w:val="00BE3A75"/>
    <w:rsid w:val="00BE3D94"/>
    <w:rsid w:val="00BE428B"/>
    <w:rsid w:val="00BE480B"/>
    <w:rsid w:val="00BE507C"/>
    <w:rsid w:val="00BE56FC"/>
    <w:rsid w:val="00BE5849"/>
    <w:rsid w:val="00BE5B2A"/>
    <w:rsid w:val="00BE5EF3"/>
    <w:rsid w:val="00BE61BF"/>
    <w:rsid w:val="00BE7301"/>
    <w:rsid w:val="00BE7C38"/>
    <w:rsid w:val="00BE7C53"/>
    <w:rsid w:val="00BF142C"/>
    <w:rsid w:val="00BF1565"/>
    <w:rsid w:val="00BF186B"/>
    <w:rsid w:val="00BF255B"/>
    <w:rsid w:val="00BF289F"/>
    <w:rsid w:val="00BF3066"/>
    <w:rsid w:val="00BF354B"/>
    <w:rsid w:val="00BF4559"/>
    <w:rsid w:val="00BF4B20"/>
    <w:rsid w:val="00BF56F3"/>
    <w:rsid w:val="00BF594E"/>
    <w:rsid w:val="00BF5B7C"/>
    <w:rsid w:val="00BF5D79"/>
    <w:rsid w:val="00BF6014"/>
    <w:rsid w:val="00BF6227"/>
    <w:rsid w:val="00BF654B"/>
    <w:rsid w:val="00BF749E"/>
    <w:rsid w:val="00BF77F6"/>
    <w:rsid w:val="00BF780B"/>
    <w:rsid w:val="00BF7D10"/>
    <w:rsid w:val="00C0037B"/>
    <w:rsid w:val="00C00A32"/>
    <w:rsid w:val="00C01329"/>
    <w:rsid w:val="00C016B4"/>
    <w:rsid w:val="00C01FDD"/>
    <w:rsid w:val="00C02033"/>
    <w:rsid w:val="00C02368"/>
    <w:rsid w:val="00C03047"/>
    <w:rsid w:val="00C03327"/>
    <w:rsid w:val="00C03739"/>
    <w:rsid w:val="00C037F1"/>
    <w:rsid w:val="00C03820"/>
    <w:rsid w:val="00C03943"/>
    <w:rsid w:val="00C04F69"/>
    <w:rsid w:val="00C04F96"/>
    <w:rsid w:val="00C05256"/>
    <w:rsid w:val="00C0567E"/>
    <w:rsid w:val="00C0723F"/>
    <w:rsid w:val="00C07305"/>
    <w:rsid w:val="00C07476"/>
    <w:rsid w:val="00C0761D"/>
    <w:rsid w:val="00C07F58"/>
    <w:rsid w:val="00C07FF5"/>
    <w:rsid w:val="00C10BE7"/>
    <w:rsid w:val="00C11489"/>
    <w:rsid w:val="00C11CD6"/>
    <w:rsid w:val="00C138BD"/>
    <w:rsid w:val="00C13AAE"/>
    <w:rsid w:val="00C13B35"/>
    <w:rsid w:val="00C13D1A"/>
    <w:rsid w:val="00C14105"/>
    <w:rsid w:val="00C145AD"/>
    <w:rsid w:val="00C14DD2"/>
    <w:rsid w:val="00C14E08"/>
    <w:rsid w:val="00C14EBF"/>
    <w:rsid w:val="00C15347"/>
    <w:rsid w:val="00C1534B"/>
    <w:rsid w:val="00C15948"/>
    <w:rsid w:val="00C15A7B"/>
    <w:rsid w:val="00C161D4"/>
    <w:rsid w:val="00C1642E"/>
    <w:rsid w:val="00C17771"/>
    <w:rsid w:val="00C17CE0"/>
    <w:rsid w:val="00C17D1E"/>
    <w:rsid w:val="00C17DDC"/>
    <w:rsid w:val="00C17E6A"/>
    <w:rsid w:val="00C17E81"/>
    <w:rsid w:val="00C20258"/>
    <w:rsid w:val="00C208F7"/>
    <w:rsid w:val="00C209CA"/>
    <w:rsid w:val="00C2117A"/>
    <w:rsid w:val="00C21242"/>
    <w:rsid w:val="00C214BA"/>
    <w:rsid w:val="00C21897"/>
    <w:rsid w:val="00C22FA6"/>
    <w:rsid w:val="00C23581"/>
    <w:rsid w:val="00C23893"/>
    <w:rsid w:val="00C23B05"/>
    <w:rsid w:val="00C23DD7"/>
    <w:rsid w:val="00C24891"/>
    <w:rsid w:val="00C24FC5"/>
    <w:rsid w:val="00C251AD"/>
    <w:rsid w:val="00C25C9B"/>
    <w:rsid w:val="00C25D7D"/>
    <w:rsid w:val="00C2725D"/>
    <w:rsid w:val="00C272FC"/>
    <w:rsid w:val="00C2792E"/>
    <w:rsid w:val="00C30025"/>
    <w:rsid w:val="00C306AC"/>
    <w:rsid w:val="00C31575"/>
    <w:rsid w:val="00C31C97"/>
    <w:rsid w:val="00C31D9B"/>
    <w:rsid w:val="00C32120"/>
    <w:rsid w:val="00C3254A"/>
    <w:rsid w:val="00C32F1C"/>
    <w:rsid w:val="00C331E6"/>
    <w:rsid w:val="00C3421C"/>
    <w:rsid w:val="00C3423A"/>
    <w:rsid w:val="00C35245"/>
    <w:rsid w:val="00C3573E"/>
    <w:rsid w:val="00C35799"/>
    <w:rsid w:val="00C357EB"/>
    <w:rsid w:val="00C361FD"/>
    <w:rsid w:val="00C363AB"/>
    <w:rsid w:val="00C365F2"/>
    <w:rsid w:val="00C369E9"/>
    <w:rsid w:val="00C36F53"/>
    <w:rsid w:val="00C371F4"/>
    <w:rsid w:val="00C3726A"/>
    <w:rsid w:val="00C37447"/>
    <w:rsid w:val="00C375F2"/>
    <w:rsid w:val="00C37614"/>
    <w:rsid w:val="00C379AA"/>
    <w:rsid w:val="00C405AD"/>
    <w:rsid w:val="00C40D93"/>
    <w:rsid w:val="00C41455"/>
    <w:rsid w:val="00C41C31"/>
    <w:rsid w:val="00C41CE7"/>
    <w:rsid w:val="00C42146"/>
    <w:rsid w:val="00C4229E"/>
    <w:rsid w:val="00C422F3"/>
    <w:rsid w:val="00C42AD2"/>
    <w:rsid w:val="00C42DE0"/>
    <w:rsid w:val="00C42FFA"/>
    <w:rsid w:val="00C4318A"/>
    <w:rsid w:val="00C43AC2"/>
    <w:rsid w:val="00C46696"/>
    <w:rsid w:val="00C46C77"/>
    <w:rsid w:val="00C46C7F"/>
    <w:rsid w:val="00C46EB9"/>
    <w:rsid w:val="00C5000D"/>
    <w:rsid w:val="00C50272"/>
    <w:rsid w:val="00C504B8"/>
    <w:rsid w:val="00C50C03"/>
    <w:rsid w:val="00C50D01"/>
    <w:rsid w:val="00C516C7"/>
    <w:rsid w:val="00C518B3"/>
    <w:rsid w:val="00C51A28"/>
    <w:rsid w:val="00C51CED"/>
    <w:rsid w:val="00C52D17"/>
    <w:rsid w:val="00C52ED9"/>
    <w:rsid w:val="00C53441"/>
    <w:rsid w:val="00C5363A"/>
    <w:rsid w:val="00C53A93"/>
    <w:rsid w:val="00C54290"/>
    <w:rsid w:val="00C5440C"/>
    <w:rsid w:val="00C5444D"/>
    <w:rsid w:val="00C54893"/>
    <w:rsid w:val="00C55A7B"/>
    <w:rsid w:val="00C55AFF"/>
    <w:rsid w:val="00C5618C"/>
    <w:rsid w:val="00C56369"/>
    <w:rsid w:val="00C564E5"/>
    <w:rsid w:val="00C56782"/>
    <w:rsid w:val="00C567D3"/>
    <w:rsid w:val="00C56819"/>
    <w:rsid w:val="00C56CA2"/>
    <w:rsid w:val="00C57025"/>
    <w:rsid w:val="00C57266"/>
    <w:rsid w:val="00C57313"/>
    <w:rsid w:val="00C57B79"/>
    <w:rsid w:val="00C6096C"/>
    <w:rsid w:val="00C615FD"/>
    <w:rsid w:val="00C62A9A"/>
    <w:rsid w:val="00C6399A"/>
    <w:rsid w:val="00C64902"/>
    <w:rsid w:val="00C64F84"/>
    <w:rsid w:val="00C65235"/>
    <w:rsid w:val="00C656E2"/>
    <w:rsid w:val="00C659E5"/>
    <w:rsid w:val="00C65B4F"/>
    <w:rsid w:val="00C65CEA"/>
    <w:rsid w:val="00C66732"/>
    <w:rsid w:val="00C67228"/>
    <w:rsid w:val="00C673E0"/>
    <w:rsid w:val="00C677E4"/>
    <w:rsid w:val="00C67ECC"/>
    <w:rsid w:val="00C708FC"/>
    <w:rsid w:val="00C70B2E"/>
    <w:rsid w:val="00C70B30"/>
    <w:rsid w:val="00C71240"/>
    <w:rsid w:val="00C71241"/>
    <w:rsid w:val="00C714F7"/>
    <w:rsid w:val="00C718F8"/>
    <w:rsid w:val="00C721CC"/>
    <w:rsid w:val="00C722E3"/>
    <w:rsid w:val="00C7275E"/>
    <w:rsid w:val="00C72E04"/>
    <w:rsid w:val="00C732AD"/>
    <w:rsid w:val="00C73F78"/>
    <w:rsid w:val="00C75E98"/>
    <w:rsid w:val="00C75F52"/>
    <w:rsid w:val="00C76B49"/>
    <w:rsid w:val="00C76D19"/>
    <w:rsid w:val="00C76E49"/>
    <w:rsid w:val="00C7706E"/>
    <w:rsid w:val="00C778DB"/>
    <w:rsid w:val="00C77DA9"/>
    <w:rsid w:val="00C8004C"/>
    <w:rsid w:val="00C80223"/>
    <w:rsid w:val="00C80355"/>
    <w:rsid w:val="00C8056B"/>
    <w:rsid w:val="00C8067C"/>
    <w:rsid w:val="00C815C3"/>
    <w:rsid w:val="00C81BBF"/>
    <w:rsid w:val="00C82C34"/>
    <w:rsid w:val="00C82CE9"/>
    <w:rsid w:val="00C82F5D"/>
    <w:rsid w:val="00C8303D"/>
    <w:rsid w:val="00C837AB"/>
    <w:rsid w:val="00C837BD"/>
    <w:rsid w:val="00C8396D"/>
    <w:rsid w:val="00C84086"/>
    <w:rsid w:val="00C8463E"/>
    <w:rsid w:val="00C847F5"/>
    <w:rsid w:val="00C84D46"/>
    <w:rsid w:val="00C853A0"/>
    <w:rsid w:val="00C8614C"/>
    <w:rsid w:val="00C869D6"/>
    <w:rsid w:val="00C870B3"/>
    <w:rsid w:val="00C875F6"/>
    <w:rsid w:val="00C87C45"/>
    <w:rsid w:val="00C90F48"/>
    <w:rsid w:val="00C917D3"/>
    <w:rsid w:val="00C91C79"/>
    <w:rsid w:val="00C91DE7"/>
    <w:rsid w:val="00C92D3D"/>
    <w:rsid w:val="00C93A71"/>
    <w:rsid w:val="00C93AE0"/>
    <w:rsid w:val="00C93ED0"/>
    <w:rsid w:val="00C93F4A"/>
    <w:rsid w:val="00C948CD"/>
    <w:rsid w:val="00C94FAC"/>
    <w:rsid w:val="00C9520C"/>
    <w:rsid w:val="00C952A5"/>
    <w:rsid w:val="00C95C23"/>
    <w:rsid w:val="00C95E44"/>
    <w:rsid w:val="00C95F07"/>
    <w:rsid w:val="00C965D1"/>
    <w:rsid w:val="00C968AB"/>
    <w:rsid w:val="00C96AF3"/>
    <w:rsid w:val="00C96B35"/>
    <w:rsid w:val="00C96D86"/>
    <w:rsid w:val="00C96F10"/>
    <w:rsid w:val="00C96F17"/>
    <w:rsid w:val="00C970F6"/>
    <w:rsid w:val="00C977A4"/>
    <w:rsid w:val="00C977E1"/>
    <w:rsid w:val="00C97F56"/>
    <w:rsid w:val="00CA0116"/>
    <w:rsid w:val="00CA0209"/>
    <w:rsid w:val="00CA0634"/>
    <w:rsid w:val="00CA081C"/>
    <w:rsid w:val="00CA0821"/>
    <w:rsid w:val="00CA08C2"/>
    <w:rsid w:val="00CA0C5A"/>
    <w:rsid w:val="00CA1364"/>
    <w:rsid w:val="00CA18F7"/>
    <w:rsid w:val="00CA19FB"/>
    <w:rsid w:val="00CA2F8E"/>
    <w:rsid w:val="00CA3750"/>
    <w:rsid w:val="00CA3893"/>
    <w:rsid w:val="00CA3FF1"/>
    <w:rsid w:val="00CA4060"/>
    <w:rsid w:val="00CA4494"/>
    <w:rsid w:val="00CA482A"/>
    <w:rsid w:val="00CA48E8"/>
    <w:rsid w:val="00CA4E0C"/>
    <w:rsid w:val="00CA53E4"/>
    <w:rsid w:val="00CA5530"/>
    <w:rsid w:val="00CA5F89"/>
    <w:rsid w:val="00CA603E"/>
    <w:rsid w:val="00CA61EF"/>
    <w:rsid w:val="00CA640E"/>
    <w:rsid w:val="00CB00FB"/>
    <w:rsid w:val="00CB0A85"/>
    <w:rsid w:val="00CB15F4"/>
    <w:rsid w:val="00CB18B5"/>
    <w:rsid w:val="00CB1D13"/>
    <w:rsid w:val="00CB2828"/>
    <w:rsid w:val="00CB48D6"/>
    <w:rsid w:val="00CB5182"/>
    <w:rsid w:val="00CB53AE"/>
    <w:rsid w:val="00CB5560"/>
    <w:rsid w:val="00CB55A6"/>
    <w:rsid w:val="00CB589F"/>
    <w:rsid w:val="00CB6128"/>
    <w:rsid w:val="00CB61BA"/>
    <w:rsid w:val="00CB79B0"/>
    <w:rsid w:val="00CC0611"/>
    <w:rsid w:val="00CC0A49"/>
    <w:rsid w:val="00CC0CF3"/>
    <w:rsid w:val="00CC12FF"/>
    <w:rsid w:val="00CC2492"/>
    <w:rsid w:val="00CC25BE"/>
    <w:rsid w:val="00CC266D"/>
    <w:rsid w:val="00CC284A"/>
    <w:rsid w:val="00CC33BA"/>
    <w:rsid w:val="00CC3432"/>
    <w:rsid w:val="00CC3D03"/>
    <w:rsid w:val="00CC40AD"/>
    <w:rsid w:val="00CC437C"/>
    <w:rsid w:val="00CC456E"/>
    <w:rsid w:val="00CC597E"/>
    <w:rsid w:val="00CC64B1"/>
    <w:rsid w:val="00CC6848"/>
    <w:rsid w:val="00CC6B05"/>
    <w:rsid w:val="00CC6C2B"/>
    <w:rsid w:val="00CC717F"/>
    <w:rsid w:val="00CC7BDA"/>
    <w:rsid w:val="00CD0015"/>
    <w:rsid w:val="00CD0229"/>
    <w:rsid w:val="00CD0437"/>
    <w:rsid w:val="00CD0566"/>
    <w:rsid w:val="00CD06D5"/>
    <w:rsid w:val="00CD1397"/>
    <w:rsid w:val="00CD1966"/>
    <w:rsid w:val="00CD1D69"/>
    <w:rsid w:val="00CD31E4"/>
    <w:rsid w:val="00CD3205"/>
    <w:rsid w:val="00CD3360"/>
    <w:rsid w:val="00CD34FC"/>
    <w:rsid w:val="00CD3DFE"/>
    <w:rsid w:val="00CD42F5"/>
    <w:rsid w:val="00CD48F9"/>
    <w:rsid w:val="00CD5034"/>
    <w:rsid w:val="00CD543E"/>
    <w:rsid w:val="00CD5871"/>
    <w:rsid w:val="00CD5E09"/>
    <w:rsid w:val="00CD6124"/>
    <w:rsid w:val="00CD6280"/>
    <w:rsid w:val="00CD6337"/>
    <w:rsid w:val="00CD65B9"/>
    <w:rsid w:val="00CD71A2"/>
    <w:rsid w:val="00CE05A2"/>
    <w:rsid w:val="00CE0876"/>
    <w:rsid w:val="00CE08E5"/>
    <w:rsid w:val="00CE10B6"/>
    <w:rsid w:val="00CE186B"/>
    <w:rsid w:val="00CE2A5E"/>
    <w:rsid w:val="00CE3039"/>
    <w:rsid w:val="00CE31F0"/>
    <w:rsid w:val="00CE41A8"/>
    <w:rsid w:val="00CE4580"/>
    <w:rsid w:val="00CE47F2"/>
    <w:rsid w:val="00CE4D4A"/>
    <w:rsid w:val="00CE547C"/>
    <w:rsid w:val="00CE5951"/>
    <w:rsid w:val="00CE66C1"/>
    <w:rsid w:val="00CE6C61"/>
    <w:rsid w:val="00CE6D6A"/>
    <w:rsid w:val="00CE6E48"/>
    <w:rsid w:val="00CE7095"/>
    <w:rsid w:val="00CE76D6"/>
    <w:rsid w:val="00CE7C0B"/>
    <w:rsid w:val="00CE7E29"/>
    <w:rsid w:val="00CF016F"/>
    <w:rsid w:val="00CF0261"/>
    <w:rsid w:val="00CF02FE"/>
    <w:rsid w:val="00CF04AE"/>
    <w:rsid w:val="00CF0658"/>
    <w:rsid w:val="00CF0913"/>
    <w:rsid w:val="00CF0B68"/>
    <w:rsid w:val="00CF0CBD"/>
    <w:rsid w:val="00CF1142"/>
    <w:rsid w:val="00CF1672"/>
    <w:rsid w:val="00CF2F85"/>
    <w:rsid w:val="00CF379E"/>
    <w:rsid w:val="00CF38A8"/>
    <w:rsid w:val="00CF3B0A"/>
    <w:rsid w:val="00CF3C8D"/>
    <w:rsid w:val="00CF3F0C"/>
    <w:rsid w:val="00CF41B4"/>
    <w:rsid w:val="00CF4721"/>
    <w:rsid w:val="00CF483A"/>
    <w:rsid w:val="00CF4BC5"/>
    <w:rsid w:val="00CF4D6B"/>
    <w:rsid w:val="00CF4F17"/>
    <w:rsid w:val="00CF5043"/>
    <w:rsid w:val="00CF52DA"/>
    <w:rsid w:val="00CF643A"/>
    <w:rsid w:val="00CF6978"/>
    <w:rsid w:val="00CF6B9A"/>
    <w:rsid w:val="00CF6CD7"/>
    <w:rsid w:val="00CF6EDA"/>
    <w:rsid w:val="00CF707F"/>
    <w:rsid w:val="00CF71B3"/>
    <w:rsid w:val="00CF74ED"/>
    <w:rsid w:val="00CF7945"/>
    <w:rsid w:val="00CF7C28"/>
    <w:rsid w:val="00CF7C96"/>
    <w:rsid w:val="00D0014D"/>
    <w:rsid w:val="00D0029A"/>
    <w:rsid w:val="00D007B7"/>
    <w:rsid w:val="00D00A5A"/>
    <w:rsid w:val="00D00CE2"/>
    <w:rsid w:val="00D00D35"/>
    <w:rsid w:val="00D01411"/>
    <w:rsid w:val="00D02535"/>
    <w:rsid w:val="00D02E2F"/>
    <w:rsid w:val="00D03068"/>
    <w:rsid w:val="00D03711"/>
    <w:rsid w:val="00D03ED2"/>
    <w:rsid w:val="00D045D2"/>
    <w:rsid w:val="00D046CB"/>
    <w:rsid w:val="00D04928"/>
    <w:rsid w:val="00D04F25"/>
    <w:rsid w:val="00D04F2B"/>
    <w:rsid w:val="00D05E7E"/>
    <w:rsid w:val="00D06678"/>
    <w:rsid w:val="00D06990"/>
    <w:rsid w:val="00D06BD8"/>
    <w:rsid w:val="00D06F56"/>
    <w:rsid w:val="00D0751A"/>
    <w:rsid w:val="00D0790D"/>
    <w:rsid w:val="00D07B58"/>
    <w:rsid w:val="00D07F66"/>
    <w:rsid w:val="00D1056C"/>
    <w:rsid w:val="00D10950"/>
    <w:rsid w:val="00D10CB7"/>
    <w:rsid w:val="00D110E6"/>
    <w:rsid w:val="00D1132D"/>
    <w:rsid w:val="00D117EC"/>
    <w:rsid w:val="00D11AE9"/>
    <w:rsid w:val="00D11CE7"/>
    <w:rsid w:val="00D11F1B"/>
    <w:rsid w:val="00D12334"/>
    <w:rsid w:val="00D12565"/>
    <w:rsid w:val="00D126A4"/>
    <w:rsid w:val="00D128A9"/>
    <w:rsid w:val="00D12EF8"/>
    <w:rsid w:val="00D136CE"/>
    <w:rsid w:val="00D145D1"/>
    <w:rsid w:val="00D15186"/>
    <w:rsid w:val="00D153C9"/>
    <w:rsid w:val="00D1542C"/>
    <w:rsid w:val="00D16532"/>
    <w:rsid w:val="00D1656D"/>
    <w:rsid w:val="00D16EA5"/>
    <w:rsid w:val="00D17453"/>
    <w:rsid w:val="00D1749D"/>
    <w:rsid w:val="00D174C5"/>
    <w:rsid w:val="00D1770E"/>
    <w:rsid w:val="00D17A30"/>
    <w:rsid w:val="00D17E39"/>
    <w:rsid w:val="00D2040B"/>
    <w:rsid w:val="00D20871"/>
    <w:rsid w:val="00D20FF6"/>
    <w:rsid w:val="00D2128B"/>
    <w:rsid w:val="00D21AF7"/>
    <w:rsid w:val="00D21CB0"/>
    <w:rsid w:val="00D22177"/>
    <w:rsid w:val="00D221E1"/>
    <w:rsid w:val="00D2229C"/>
    <w:rsid w:val="00D22428"/>
    <w:rsid w:val="00D224F9"/>
    <w:rsid w:val="00D2269B"/>
    <w:rsid w:val="00D2385D"/>
    <w:rsid w:val="00D23864"/>
    <w:rsid w:val="00D2387B"/>
    <w:rsid w:val="00D239E2"/>
    <w:rsid w:val="00D23C4E"/>
    <w:rsid w:val="00D24EF0"/>
    <w:rsid w:val="00D25AAF"/>
    <w:rsid w:val="00D25CB9"/>
    <w:rsid w:val="00D25FD0"/>
    <w:rsid w:val="00D26274"/>
    <w:rsid w:val="00D2630E"/>
    <w:rsid w:val="00D26447"/>
    <w:rsid w:val="00D26A73"/>
    <w:rsid w:val="00D26D1D"/>
    <w:rsid w:val="00D2770F"/>
    <w:rsid w:val="00D27945"/>
    <w:rsid w:val="00D27F3A"/>
    <w:rsid w:val="00D300F0"/>
    <w:rsid w:val="00D30E7F"/>
    <w:rsid w:val="00D310E1"/>
    <w:rsid w:val="00D31191"/>
    <w:rsid w:val="00D31A7B"/>
    <w:rsid w:val="00D31AB6"/>
    <w:rsid w:val="00D31CFB"/>
    <w:rsid w:val="00D3226F"/>
    <w:rsid w:val="00D32BF9"/>
    <w:rsid w:val="00D3321A"/>
    <w:rsid w:val="00D33512"/>
    <w:rsid w:val="00D33DD3"/>
    <w:rsid w:val="00D33F3A"/>
    <w:rsid w:val="00D3407F"/>
    <w:rsid w:val="00D340E3"/>
    <w:rsid w:val="00D34272"/>
    <w:rsid w:val="00D34431"/>
    <w:rsid w:val="00D3448B"/>
    <w:rsid w:val="00D349D3"/>
    <w:rsid w:val="00D34A8D"/>
    <w:rsid w:val="00D350AC"/>
    <w:rsid w:val="00D35428"/>
    <w:rsid w:val="00D35725"/>
    <w:rsid w:val="00D35844"/>
    <w:rsid w:val="00D359AE"/>
    <w:rsid w:val="00D36012"/>
    <w:rsid w:val="00D36293"/>
    <w:rsid w:val="00D36686"/>
    <w:rsid w:val="00D36981"/>
    <w:rsid w:val="00D36990"/>
    <w:rsid w:val="00D36DD0"/>
    <w:rsid w:val="00D377A2"/>
    <w:rsid w:val="00D4037A"/>
    <w:rsid w:val="00D403F7"/>
    <w:rsid w:val="00D406C5"/>
    <w:rsid w:val="00D4092A"/>
    <w:rsid w:val="00D40C4A"/>
    <w:rsid w:val="00D411B9"/>
    <w:rsid w:val="00D411E4"/>
    <w:rsid w:val="00D41AEA"/>
    <w:rsid w:val="00D421D0"/>
    <w:rsid w:val="00D423B6"/>
    <w:rsid w:val="00D42507"/>
    <w:rsid w:val="00D427CE"/>
    <w:rsid w:val="00D42DE3"/>
    <w:rsid w:val="00D42FD6"/>
    <w:rsid w:val="00D432AC"/>
    <w:rsid w:val="00D434DD"/>
    <w:rsid w:val="00D44008"/>
    <w:rsid w:val="00D44954"/>
    <w:rsid w:val="00D44C4C"/>
    <w:rsid w:val="00D44FDA"/>
    <w:rsid w:val="00D459C2"/>
    <w:rsid w:val="00D45ED4"/>
    <w:rsid w:val="00D4641E"/>
    <w:rsid w:val="00D466B2"/>
    <w:rsid w:val="00D466B9"/>
    <w:rsid w:val="00D46A42"/>
    <w:rsid w:val="00D46DBF"/>
    <w:rsid w:val="00D47344"/>
    <w:rsid w:val="00D47487"/>
    <w:rsid w:val="00D4753D"/>
    <w:rsid w:val="00D4773B"/>
    <w:rsid w:val="00D4783D"/>
    <w:rsid w:val="00D47B3B"/>
    <w:rsid w:val="00D50525"/>
    <w:rsid w:val="00D50584"/>
    <w:rsid w:val="00D51F84"/>
    <w:rsid w:val="00D52371"/>
    <w:rsid w:val="00D52B20"/>
    <w:rsid w:val="00D52C95"/>
    <w:rsid w:val="00D530E7"/>
    <w:rsid w:val="00D53293"/>
    <w:rsid w:val="00D53C1B"/>
    <w:rsid w:val="00D5445D"/>
    <w:rsid w:val="00D548C2"/>
    <w:rsid w:val="00D54B3D"/>
    <w:rsid w:val="00D54EA6"/>
    <w:rsid w:val="00D554B6"/>
    <w:rsid w:val="00D5567A"/>
    <w:rsid w:val="00D55792"/>
    <w:rsid w:val="00D56BF7"/>
    <w:rsid w:val="00D60518"/>
    <w:rsid w:val="00D60C98"/>
    <w:rsid w:val="00D60CA4"/>
    <w:rsid w:val="00D60F7B"/>
    <w:rsid w:val="00D6137E"/>
    <w:rsid w:val="00D614E7"/>
    <w:rsid w:val="00D61AD3"/>
    <w:rsid w:val="00D61C27"/>
    <w:rsid w:val="00D61C29"/>
    <w:rsid w:val="00D6217D"/>
    <w:rsid w:val="00D622D7"/>
    <w:rsid w:val="00D62541"/>
    <w:rsid w:val="00D628CE"/>
    <w:rsid w:val="00D62CB3"/>
    <w:rsid w:val="00D63AE4"/>
    <w:rsid w:val="00D6407C"/>
    <w:rsid w:val="00D64160"/>
    <w:rsid w:val="00D6440B"/>
    <w:rsid w:val="00D6459F"/>
    <w:rsid w:val="00D6492F"/>
    <w:rsid w:val="00D64B4D"/>
    <w:rsid w:val="00D66052"/>
    <w:rsid w:val="00D6624D"/>
    <w:rsid w:val="00D66574"/>
    <w:rsid w:val="00D66590"/>
    <w:rsid w:val="00D66AC9"/>
    <w:rsid w:val="00D66F9D"/>
    <w:rsid w:val="00D678DB"/>
    <w:rsid w:val="00D67A09"/>
    <w:rsid w:val="00D67C7F"/>
    <w:rsid w:val="00D67F46"/>
    <w:rsid w:val="00D703D7"/>
    <w:rsid w:val="00D707D5"/>
    <w:rsid w:val="00D71725"/>
    <w:rsid w:val="00D725D7"/>
    <w:rsid w:val="00D729ED"/>
    <w:rsid w:val="00D73561"/>
    <w:rsid w:val="00D73BBF"/>
    <w:rsid w:val="00D74EB9"/>
    <w:rsid w:val="00D7530C"/>
    <w:rsid w:val="00D75367"/>
    <w:rsid w:val="00D75735"/>
    <w:rsid w:val="00D75FCA"/>
    <w:rsid w:val="00D768B8"/>
    <w:rsid w:val="00D76946"/>
    <w:rsid w:val="00D76F0B"/>
    <w:rsid w:val="00D777CF"/>
    <w:rsid w:val="00D77E60"/>
    <w:rsid w:val="00D77EE7"/>
    <w:rsid w:val="00D810DE"/>
    <w:rsid w:val="00D826BE"/>
    <w:rsid w:val="00D8299A"/>
    <w:rsid w:val="00D82E83"/>
    <w:rsid w:val="00D82F87"/>
    <w:rsid w:val="00D83205"/>
    <w:rsid w:val="00D833F7"/>
    <w:rsid w:val="00D838D8"/>
    <w:rsid w:val="00D83ABC"/>
    <w:rsid w:val="00D83F09"/>
    <w:rsid w:val="00D8429F"/>
    <w:rsid w:val="00D842F4"/>
    <w:rsid w:val="00D8451E"/>
    <w:rsid w:val="00D84E39"/>
    <w:rsid w:val="00D8567A"/>
    <w:rsid w:val="00D85938"/>
    <w:rsid w:val="00D8656C"/>
    <w:rsid w:val="00D87270"/>
    <w:rsid w:val="00D8741F"/>
    <w:rsid w:val="00D87F57"/>
    <w:rsid w:val="00D9026C"/>
    <w:rsid w:val="00D90666"/>
    <w:rsid w:val="00D90D16"/>
    <w:rsid w:val="00D916AE"/>
    <w:rsid w:val="00D9257E"/>
    <w:rsid w:val="00D92874"/>
    <w:rsid w:val="00D92C34"/>
    <w:rsid w:val="00D92CB6"/>
    <w:rsid w:val="00D92D20"/>
    <w:rsid w:val="00D93135"/>
    <w:rsid w:val="00D931E9"/>
    <w:rsid w:val="00D932D7"/>
    <w:rsid w:val="00D93824"/>
    <w:rsid w:val="00D93FD8"/>
    <w:rsid w:val="00D9435A"/>
    <w:rsid w:val="00D94535"/>
    <w:rsid w:val="00D94BFF"/>
    <w:rsid w:val="00D953E4"/>
    <w:rsid w:val="00D9580A"/>
    <w:rsid w:val="00D95F66"/>
    <w:rsid w:val="00D968B5"/>
    <w:rsid w:val="00D96AA9"/>
    <w:rsid w:val="00D96B25"/>
    <w:rsid w:val="00D979E8"/>
    <w:rsid w:val="00D97E04"/>
    <w:rsid w:val="00D97E4B"/>
    <w:rsid w:val="00DA0453"/>
    <w:rsid w:val="00DA0823"/>
    <w:rsid w:val="00DA08BC"/>
    <w:rsid w:val="00DA147E"/>
    <w:rsid w:val="00DA16CB"/>
    <w:rsid w:val="00DA171E"/>
    <w:rsid w:val="00DA197D"/>
    <w:rsid w:val="00DA22AB"/>
    <w:rsid w:val="00DA2955"/>
    <w:rsid w:val="00DA2F64"/>
    <w:rsid w:val="00DA36D7"/>
    <w:rsid w:val="00DA4028"/>
    <w:rsid w:val="00DA44E1"/>
    <w:rsid w:val="00DA4559"/>
    <w:rsid w:val="00DA49A9"/>
    <w:rsid w:val="00DA4D5E"/>
    <w:rsid w:val="00DA53C5"/>
    <w:rsid w:val="00DA53FC"/>
    <w:rsid w:val="00DA5A50"/>
    <w:rsid w:val="00DA7ADF"/>
    <w:rsid w:val="00DA7C8F"/>
    <w:rsid w:val="00DA7F43"/>
    <w:rsid w:val="00DB04B6"/>
    <w:rsid w:val="00DB0A28"/>
    <w:rsid w:val="00DB0FC4"/>
    <w:rsid w:val="00DB129F"/>
    <w:rsid w:val="00DB15FF"/>
    <w:rsid w:val="00DB2610"/>
    <w:rsid w:val="00DB2680"/>
    <w:rsid w:val="00DB26A2"/>
    <w:rsid w:val="00DB2EEA"/>
    <w:rsid w:val="00DB2FFC"/>
    <w:rsid w:val="00DB338F"/>
    <w:rsid w:val="00DB33D6"/>
    <w:rsid w:val="00DB34AE"/>
    <w:rsid w:val="00DB3796"/>
    <w:rsid w:val="00DB3E52"/>
    <w:rsid w:val="00DB3E8A"/>
    <w:rsid w:val="00DB44B7"/>
    <w:rsid w:val="00DB482A"/>
    <w:rsid w:val="00DB526A"/>
    <w:rsid w:val="00DB5674"/>
    <w:rsid w:val="00DB6B40"/>
    <w:rsid w:val="00DB754C"/>
    <w:rsid w:val="00DB7A2A"/>
    <w:rsid w:val="00DC0941"/>
    <w:rsid w:val="00DC0A67"/>
    <w:rsid w:val="00DC108B"/>
    <w:rsid w:val="00DC2956"/>
    <w:rsid w:val="00DC2A04"/>
    <w:rsid w:val="00DC2FEE"/>
    <w:rsid w:val="00DC30DF"/>
    <w:rsid w:val="00DC3370"/>
    <w:rsid w:val="00DC3519"/>
    <w:rsid w:val="00DC3A72"/>
    <w:rsid w:val="00DC426C"/>
    <w:rsid w:val="00DC4AE5"/>
    <w:rsid w:val="00DC4CFE"/>
    <w:rsid w:val="00DC6409"/>
    <w:rsid w:val="00DC6E17"/>
    <w:rsid w:val="00DC6FA6"/>
    <w:rsid w:val="00DC7587"/>
    <w:rsid w:val="00DC7818"/>
    <w:rsid w:val="00DC7AF0"/>
    <w:rsid w:val="00DD01A0"/>
    <w:rsid w:val="00DD0812"/>
    <w:rsid w:val="00DD2736"/>
    <w:rsid w:val="00DD2837"/>
    <w:rsid w:val="00DD2EB0"/>
    <w:rsid w:val="00DD33DE"/>
    <w:rsid w:val="00DD34D6"/>
    <w:rsid w:val="00DD357F"/>
    <w:rsid w:val="00DD3586"/>
    <w:rsid w:val="00DD3A08"/>
    <w:rsid w:val="00DD3CEA"/>
    <w:rsid w:val="00DD45D0"/>
    <w:rsid w:val="00DD4C64"/>
    <w:rsid w:val="00DD57DB"/>
    <w:rsid w:val="00DD5A54"/>
    <w:rsid w:val="00DD6003"/>
    <w:rsid w:val="00DD604E"/>
    <w:rsid w:val="00DD6108"/>
    <w:rsid w:val="00DD6856"/>
    <w:rsid w:val="00DD689F"/>
    <w:rsid w:val="00DD6B53"/>
    <w:rsid w:val="00DD6CA3"/>
    <w:rsid w:val="00DD72A9"/>
    <w:rsid w:val="00DD7406"/>
    <w:rsid w:val="00DE011B"/>
    <w:rsid w:val="00DE08F6"/>
    <w:rsid w:val="00DE0967"/>
    <w:rsid w:val="00DE0D51"/>
    <w:rsid w:val="00DE11B1"/>
    <w:rsid w:val="00DE1925"/>
    <w:rsid w:val="00DE1A26"/>
    <w:rsid w:val="00DE1F6B"/>
    <w:rsid w:val="00DE20CC"/>
    <w:rsid w:val="00DE2161"/>
    <w:rsid w:val="00DE23E2"/>
    <w:rsid w:val="00DE24B9"/>
    <w:rsid w:val="00DE2980"/>
    <w:rsid w:val="00DE2B93"/>
    <w:rsid w:val="00DE3594"/>
    <w:rsid w:val="00DE3606"/>
    <w:rsid w:val="00DE37B2"/>
    <w:rsid w:val="00DE4BB6"/>
    <w:rsid w:val="00DE509B"/>
    <w:rsid w:val="00DE522A"/>
    <w:rsid w:val="00DE546C"/>
    <w:rsid w:val="00DE550A"/>
    <w:rsid w:val="00DE5CE2"/>
    <w:rsid w:val="00DE5F62"/>
    <w:rsid w:val="00DE627F"/>
    <w:rsid w:val="00DE65C0"/>
    <w:rsid w:val="00DE6624"/>
    <w:rsid w:val="00DE6E66"/>
    <w:rsid w:val="00DF06F9"/>
    <w:rsid w:val="00DF07A4"/>
    <w:rsid w:val="00DF0C04"/>
    <w:rsid w:val="00DF1041"/>
    <w:rsid w:val="00DF1EBC"/>
    <w:rsid w:val="00DF2334"/>
    <w:rsid w:val="00DF249F"/>
    <w:rsid w:val="00DF256C"/>
    <w:rsid w:val="00DF2E9C"/>
    <w:rsid w:val="00DF3142"/>
    <w:rsid w:val="00DF327F"/>
    <w:rsid w:val="00DF32B3"/>
    <w:rsid w:val="00DF3A4F"/>
    <w:rsid w:val="00DF3DA8"/>
    <w:rsid w:val="00DF4106"/>
    <w:rsid w:val="00DF432C"/>
    <w:rsid w:val="00DF4F0E"/>
    <w:rsid w:val="00DF52E7"/>
    <w:rsid w:val="00DF5993"/>
    <w:rsid w:val="00DF5E98"/>
    <w:rsid w:val="00DF6043"/>
    <w:rsid w:val="00DF6D40"/>
    <w:rsid w:val="00DF70F5"/>
    <w:rsid w:val="00DF75EA"/>
    <w:rsid w:val="00DF7701"/>
    <w:rsid w:val="00DF791E"/>
    <w:rsid w:val="00DF7EE9"/>
    <w:rsid w:val="00E003AF"/>
    <w:rsid w:val="00E011E2"/>
    <w:rsid w:val="00E01313"/>
    <w:rsid w:val="00E0201B"/>
    <w:rsid w:val="00E02AED"/>
    <w:rsid w:val="00E02D0F"/>
    <w:rsid w:val="00E03559"/>
    <w:rsid w:val="00E035CB"/>
    <w:rsid w:val="00E0372E"/>
    <w:rsid w:val="00E03A81"/>
    <w:rsid w:val="00E03A82"/>
    <w:rsid w:val="00E03B13"/>
    <w:rsid w:val="00E03B98"/>
    <w:rsid w:val="00E03D03"/>
    <w:rsid w:val="00E03E22"/>
    <w:rsid w:val="00E0461E"/>
    <w:rsid w:val="00E04BC8"/>
    <w:rsid w:val="00E04BF9"/>
    <w:rsid w:val="00E04CCA"/>
    <w:rsid w:val="00E054CF"/>
    <w:rsid w:val="00E0659E"/>
    <w:rsid w:val="00E06800"/>
    <w:rsid w:val="00E07B90"/>
    <w:rsid w:val="00E07DF4"/>
    <w:rsid w:val="00E07F34"/>
    <w:rsid w:val="00E10371"/>
    <w:rsid w:val="00E1125F"/>
    <w:rsid w:val="00E11286"/>
    <w:rsid w:val="00E11829"/>
    <w:rsid w:val="00E1209F"/>
    <w:rsid w:val="00E129DE"/>
    <w:rsid w:val="00E12D56"/>
    <w:rsid w:val="00E12F6F"/>
    <w:rsid w:val="00E134B3"/>
    <w:rsid w:val="00E146F4"/>
    <w:rsid w:val="00E147CC"/>
    <w:rsid w:val="00E149DF"/>
    <w:rsid w:val="00E151CC"/>
    <w:rsid w:val="00E1632D"/>
    <w:rsid w:val="00E16498"/>
    <w:rsid w:val="00E165B7"/>
    <w:rsid w:val="00E17B12"/>
    <w:rsid w:val="00E20B10"/>
    <w:rsid w:val="00E20FA6"/>
    <w:rsid w:val="00E21894"/>
    <w:rsid w:val="00E218DA"/>
    <w:rsid w:val="00E21958"/>
    <w:rsid w:val="00E21D5D"/>
    <w:rsid w:val="00E22041"/>
    <w:rsid w:val="00E22401"/>
    <w:rsid w:val="00E2328D"/>
    <w:rsid w:val="00E23D1B"/>
    <w:rsid w:val="00E245DF"/>
    <w:rsid w:val="00E25065"/>
    <w:rsid w:val="00E25D2F"/>
    <w:rsid w:val="00E26CC6"/>
    <w:rsid w:val="00E26D23"/>
    <w:rsid w:val="00E308BF"/>
    <w:rsid w:val="00E30C95"/>
    <w:rsid w:val="00E31082"/>
    <w:rsid w:val="00E32571"/>
    <w:rsid w:val="00E32F54"/>
    <w:rsid w:val="00E32F5C"/>
    <w:rsid w:val="00E3367A"/>
    <w:rsid w:val="00E347A5"/>
    <w:rsid w:val="00E34EFD"/>
    <w:rsid w:val="00E35DB3"/>
    <w:rsid w:val="00E36DF5"/>
    <w:rsid w:val="00E37A1C"/>
    <w:rsid w:val="00E37C38"/>
    <w:rsid w:val="00E40C7C"/>
    <w:rsid w:val="00E41067"/>
    <w:rsid w:val="00E41152"/>
    <w:rsid w:val="00E419A2"/>
    <w:rsid w:val="00E42046"/>
    <w:rsid w:val="00E4246D"/>
    <w:rsid w:val="00E42535"/>
    <w:rsid w:val="00E42E6E"/>
    <w:rsid w:val="00E4313F"/>
    <w:rsid w:val="00E435E8"/>
    <w:rsid w:val="00E43A19"/>
    <w:rsid w:val="00E43A82"/>
    <w:rsid w:val="00E43C1D"/>
    <w:rsid w:val="00E44093"/>
    <w:rsid w:val="00E44231"/>
    <w:rsid w:val="00E44446"/>
    <w:rsid w:val="00E446F3"/>
    <w:rsid w:val="00E44E70"/>
    <w:rsid w:val="00E44F3D"/>
    <w:rsid w:val="00E452D7"/>
    <w:rsid w:val="00E455E6"/>
    <w:rsid w:val="00E45AC3"/>
    <w:rsid w:val="00E4628A"/>
    <w:rsid w:val="00E46588"/>
    <w:rsid w:val="00E46A5B"/>
    <w:rsid w:val="00E46C6C"/>
    <w:rsid w:val="00E47D3D"/>
    <w:rsid w:val="00E5004E"/>
    <w:rsid w:val="00E5028B"/>
    <w:rsid w:val="00E50612"/>
    <w:rsid w:val="00E5185F"/>
    <w:rsid w:val="00E51979"/>
    <w:rsid w:val="00E51ADF"/>
    <w:rsid w:val="00E52199"/>
    <w:rsid w:val="00E523CC"/>
    <w:rsid w:val="00E52ADA"/>
    <w:rsid w:val="00E539D0"/>
    <w:rsid w:val="00E53BF6"/>
    <w:rsid w:val="00E54189"/>
    <w:rsid w:val="00E5427C"/>
    <w:rsid w:val="00E55387"/>
    <w:rsid w:val="00E5547C"/>
    <w:rsid w:val="00E55BD6"/>
    <w:rsid w:val="00E562AE"/>
    <w:rsid w:val="00E5695C"/>
    <w:rsid w:val="00E56D9D"/>
    <w:rsid w:val="00E57A2B"/>
    <w:rsid w:val="00E57AB8"/>
    <w:rsid w:val="00E608B3"/>
    <w:rsid w:val="00E60CA9"/>
    <w:rsid w:val="00E61098"/>
    <w:rsid w:val="00E61CB6"/>
    <w:rsid w:val="00E624A8"/>
    <w:rsid w:val="00E631A4"/>
    <w:rsid w:val="00E63AE2"/>
    <w:rsid w:val="00E64E7A"/>
    <w:rsid w:val="00E652C5"/>
    <w:rsid w:val="00E65C19"/>
    <w:rsid w:val="00E65C4F"/>
    <w:rsid w:val="00E66111"/>
    <w:rsid w:val="00E66CCE"/>
    <w:rsid w:val="00E67190"/>
    <w:rsid w:val="00E67933"/>
    <w:rsid w:val="00E67FB4"/>
    <w:rsid w:val="00E704E4"/>
    <w:rsid w:val="00E7051A"/>
    <w:rsid w:val="00E708D3"/>
    <w:rsid w:val="00E71319"/>
    <w:rsid w:val="00E7146B"/>
    <w:rsid w:val="00E71506"/>
    <w:rsid w:val="00E715E8"/>
    <w:rsid w:val="00E718BC"/>
    <w:rsid w:val="00E719AB"/>
    <w:rsid w:val="00E71E67"/>
    <w:rsid w:val="00E720AE"/>
    <w:rsid w:val="00E724FF"/>
    <w:rsid w:val="00E73033"/>
    <w:rsid w:val="00E731CD"/>
    <w:rsid w:val="00E732B2"/>
    <w:rsid w:val="00E7335B"/>
    <w:rsid w:val="00E73702"/>
    <w:rsid w:val="00E7402D"/>
    <w:rsid w:val="00E74398"/>
    <w:rsid w:val="00E74A0A"/>
    <w:rsid w:val="00E74C3D"/>
    <w:rsid w:val="00E754BC"/>
    <w:rsid w:val="00E75755"/>
    <w:rsid w:val="00E75789"/>
    <w:rsid w:val="00E758DC"/>
    <w:rsid w:val="00E75C92"/>
    <w:rsid w:val="00E75D76"/>
    <w:rsid w:val="00E76247"/>
    <w:rsid w:val="00E7703D"/>
    <w:rsid w:val="00E7779A"/>
    <w:rsid w:val="00E778B8"/>
    <w:rsid w:val="00E80240"/>
    <w:rsid w:val="00E8041C"/>
    <w:rsid w:val="00E8095F"/>
    <w:rsid w:val="00E80A84"/>
    <w:rsid w:val="00E81372"/>
    <w:rsid w:val="00E81905"/>
    <w:rsid w:val="00E81972"/>
    <w:rsid w:val="00E81C4C"/>
    <w:rsid w:val="00E81D57"/>
    <w:rsid w:val="00E82114"/>
    <w:rsid w:val="00E822B4"/>
    <w:rsid w:val="00E84B24"/>
    <w:rsid w:val="00E84BCF"/>
    <w:rsid w:val="00E85058"/>
    <w:rsid w:val="00E85168"/>
    <w:rsid w:val="00E8597C"/>
    <w:rsid w:val="00E85B19"/>
    <w:rsid w:val="00E85D30"/>
    <w:rsid w:val="00E85F55"/>
    <w:rsid w:val="00E86445"/>
    <w:rsid w:val="00E87F21"/>
    <w:rsid w:val="00E9050C"/>
    <w:rsid w:val="00E90B77"/>
    <w:rsid w:val="00E90DFF"/>
    <w:rsid w:val="00E91319"/>
    <w:rsid w:val="00E9153D"/>
    <w:rsid w:val="00E9336E"/>
    <w:rsid w:val="00E94392"/>
    <w:rsid w:val="00E9481C"/>
    <w:rsid w:val="00E94999"/>
    <w:rsid w:val="00E9512A"/>
    <w:rsid w:val="00E9520A"/>
    <w:rsid w:val="00E963EE"/>
    <w:rsid w:val="00E96871"/>
    <w:rsid w:val="00E9736A"/>
    <w:rsid w:val="00EA02C2"/>
    <w:rsid w:val="00EA0497"/>
    <w:rsid w:val="00EA12CE"/>
    <w:rsid w:val="00EA1AC7"/>
    <w:rsid w:val="00EA1CE6"/>
    <w:rsid w:val="00EA1DE4"/>
    <w:rsid w:val="00EA1F07"/>
    <w:rsid w:val="00EA2015"/>
    <w:rsid w:val="00EA2D04"/>
    <w:rsid w:val="00EA2E57"/>
    <w:rsid w:val="00EA2EB7"/>
    <w:rsid w:val="00EA2FAF"/>
    <w:rsid w:val="00EA33F5"/>
    <w:rsid w:val="00EA35CC"/>
    <w:rsid w:val="00EA38CC"/>
    <w:rsid w:val="00EA3E6C"/>
    <w:rsid w:val="00EA4282"/>
    <w:rsid w:val="00EA4697"/>
    <w:rsid w:val="00EA4C87"/>
    <w:rsid w:val="00EA5536"/>
    <w:rsid w:val="00EA5666"/>
    <w:rsid w:val="00EA5B8B"/>
    <w:rsid w:val="00EA67B5"/>
    <w:rsid w:val="00EA694B"/>
    <w:rsid w:val="00EA7233"/>
    <w:rsid w:val="00EA73F2"/>
    <w:rsid w:val="00EA77A3"/>
    <w:rsid w:val="00EA7AB5"/>
    <w:rsid w:val="00EB0273"/>
    <w:rsid w:val="00EB075A"/>
    <w:rsid w:val="00EB0BDC"/>
    <w:rsid w:val="00EB1E8C"/>
    <w:rsid w:val="00EB21AB"/>
    <w:rsid w:val="00EB277F"/>
    <w:rsid w:val="00EB2C1D"/>
    <w:rsid w:val="00EB323E"/>
    <w:rsid w:val="00EB3950"/>
    <w:rsid w:val="00EB3A9F"/>
    <w:rsid w:val="00EB4144"/>
    <w:rsid w:val="00EB4156"/>
    <w:rsid w:val="00EB4C14"/>
    <w:rsid w:val="00EB4E84"/>
    <w:rsid w:val="00EB5625"/>
    <w:rsid w:val="00EB5D04"/>
    <w:rsid w:val="00EB5FD5"/>
    <w:rsid w:val="00EB62A9"/>
    <w:rsid w:val="00EB6F65"/>
    <w:rsid w:val="00EB7555"/>
    <w:rsid w:val="00EB798B"/>
    <w:rsid w:val="00EB7DAD"/>
    <w:rsid w:val="00EC0053"/>
    <w:rsid w:val="00EC0C49"/>
    <w:rsid w:val="00EC1874"/>
    <w:rsid w:val="00EC1A77"/>
    <w:rsid w:val="00EC1EA4"/>
    <w:rsid w:val="00EC3720"/>
    <w:rsid w:val="00EC38A7"/>
    <w:rsid w:val="00EC38D6"/>
    <w:rsid w:val="00EC45F2"/>
    <w:rsid w:val="00EC4BF3"/>
    <w:rsid w:val="00EC5269"/>
    <w:rsid w:val="00EC5A8A"/>
    <w:rsid w:val="00EC5E1B"/>
    <w:rsid w:val="00EC5F27"/>
    <w:rsid w:val="00EC611D"/>
    <w:rsid w:val="00EC6165"/>
    <w:rsid w:val="00EC6301"/>
    <w:rsid w:val="00EC6375"/>
    <w:rsid w:val="00EC65C0"/>
    <w:rsid w:val="00EC6E11"/>
    <w:rsid w:val="00EC7760"/>
    <w:rsid w:val="00ED12FE"/>
    <w:rsid w:val="00ED1516"/>
    <w:rsid w:val="00ED28A4"/>
    <w:rsid w:val="00ED299A"/>
    <w:rsid w:val="00ED30D5"/>
    <w:rsid w:val="00ED3892"/>
    <w:rsid w:val="00ED3A5E"/>
    <w:rsid w:val="00ED3C2A"/>
    <w:rsid w:val="00ED3DA1"/>
    <w:rsid w:val="00ED40E9"/>
    <w:rsid w:val="00ED435B"/>
    <w:rsid w:val="00ED4BD2"/>
    <w:rsid w:val="00ED5299"/>
    <w:rsid w:val="00ED5EA3"/>
    <w:rsid w:val="00ED5EB5"/>
    <w:rsid w:val="00ED605A"/>
    <w:rsid w:val="00ED673B"/>
    <w:rsid w:val="00ED6B3D"/>
    <w:rsid w:val="00ED7E72"/>
    <w:rsid w:val="00ED7F9E"/>
    <w:rsid w:val="00EE0031"/>
    <w:rsid w:val="00EE114F"/>
    <w:rsid w:val="00EE1405"/>
    <w:rsid w:val="00EE165B"/>
    <w:rsid w:val="00EE2353"/>
    <w:rsid w:val="00EE2F3C"/>
    <w:rsid w:val="00EE3DF0"/>
    <w:rsid w:val="00EE43A8"/>
    <w:rsid w:val="00EE4A1E"/>
    <w:rsid w:val="00EE4B54"/>
    <w:rsid w:val="00EE4C78"/>
    <w:rsid w:val="00EE4D87"/>
    <w:rsid w:val="00EE51B2"/>
    <w:rsid w:val="00EE5630"/>
    <w:rsid w:val="00EE6932"/>
    <w:rsid w:val="00EE72B5"/>
    <w:rsid w:val="00EE787E"/>
    <w:rsid w:val="00EF02FA"/>
    <w:rsid w:val="00EF0BEC"/>
    <w:rsid w:val="00EF0F7E"/>
    <w:rsid w:val="00EF1633"/>
    <w:rsid w:val="00EF1935"/>
    <w:rsid w:val="00EF1C35"/>
    <w:rsid w:val="00EF1C66"/>
    <w:rsid w:val="00EF2D31"/>
    <w:rsid w:val="00EF2D61"/>
    <w:rsid w:val="00EF34C7"/>
    <w:rsid w:val="00EF3657"/>
    <w:rsid w:val="00EF397A"/>
    <w:rsid w:val="00EF424A"/>
    <w:rsid w:val="00EF456C"/>
    <w:rsid w:val="00EF5122"/>
    <w:rsid w:val="00EF522C"/>
    <w:rsid w:val="00EF5D19"/>
    <w:rsid w:val="00EF5DAF"/>
    <w:rsid w:val="00EF6248"/>
    <w:rsid w:val="00EF6385"/>
    <w:rsid w:val="00EF6D9B"/>
    <w:rsid w:val="00EF7016"/>
    <w:rsid w:val="00EF7787"/>
    <w:rsid w:val="00EF7967"/>
    <w:rsid w:val="00EF79A5"/>
    <w:rsid w:val="00F00558"/>
    <w:rsid w:val="00F0078A"/>
    <w:rsid w:val="00F00B24"/>
    <w:rsid w:val="00F00DE5"/>
    <w:rsid w:val="00F00E73"/>
    <w:rsid w:val="00F01077"/>
    <w:rsid w:val="00F0115C"/>
    <w:rsid w:val="00F0115F"/>
    <w:rsid w:val="00F0182A"/>
    <w:rsid w:val="00F020E9"/>
    <w:rsid w:val="00F0232C"/>
    <w:rsid w:val="00F02AE3"/>
    <w:rsid w:val="00F02DB3"/>
    <w:rsid w:val="00F02E32"/>
    <w:rsid w:val="00F034EC"/>
    <w:rsid w:val="00F043B5"/>
    <w:rsid w:val="00F047B6"/>
    <w:rsid w:val="00F04BD1"/>
    <w:rsid w:val="00F04D58"/>
    <w:rsid w:val="00F04F8D"/>
    <w:rsid w:val="00F05463"/>
    <w:rsid w:val="00F05465"/>
    <w:rsid w:val="00F05A7F"/>
    <w:rsid w:val="00F05FC3"/>
    <w:rsid w:val="00F0634B"/>
    <w:rsid w:val="00F06470"/>
    <w:rsid w:val="00F06572"/>
    <w:rsid w:val="00F06A6D"/>
    <w:rsid w:val="00F06D3E"/>
    <w:rsid w:val="00F06EFB"/>
    <w:rsid w:val="00F071D5"/>
    <w:rsid w:val="00F07253"/>
    <w:rsid w:val="00F0762B"/>
    <w:rsid w:val="00F10171"/>
    <w:rsid w:val="00F102F9"/>
    <w:rsid w:val="00F10548"/>
    <w:rsid w:val="00F10B96"/>
    <w:rsid w:val="00F10F3A"/>
    <w:rsid w:val="00F1102E"/>
    <w:rsid w:val="00F119FE"/>
    <w:rsid w:val="00F11C5F"/>
    <w:rsid w:val="00F1234C"/>
    <w:rsid w:val="00F12497"/>
    <w:rsid w:val="00F12BC4"/>
    <w:rsid w:val="00F1315A"/>
    <w:rsid w:val="00F13221"/>
    <w:rsid w:val="00F135B0"/>
    <w:rsid w:val="00F139D3"/>
    <w:rsid w:val="00F13BA3"/>
    <w:rsid w:val="00F14BC2"/>
    <w:rsid w:val="00F14F32"/>
    <w:rsid w:val="00F151A7"/>
    <w:rsid w:val="00F15423"/>
    <w:rsid w:val="00F15CA4"/>
    <w:rsid w:val="00F161DA"/>
    <w:rsid w:val="00F16759"/>
    <w:rsid w:val="00F1683A"/>
    <w:rsid w:val="00F170BC"/>
    <w:rsid w:val="00F170C1"/>
    <w:rsid w:val="00F171FE"/>
    <w:rsid w:val="00F178D3"/>
    <w:rsid w:val="00F20C9D"/>
    <w:rsid w:val="00F20E39"/>
    <w:rsid w:val="00F218FB"/>
    <w:rsid w:val="00F21A53"/>
    <w:rsid w:val="00F21D3C"/>
    <w:rsid w:val="00F22188"/>
    <w:rsid w:val="00F2283F"/>
    <w:rsid w:val="00F230A5"/>
    <w:rsid w:val="00F23870"/>
    <w:rsid w:val="00F23D2D"/>
    <w:rsid w:val="00F23F53"/>
    <w:rsid w:val="00F246AF"/>
    <w:rsid w:val="00F247B7"/>
    <w:rsid w:val="00F2499C"/>
    <w:rsid w:val="00F24A78"/>
    <w:rsid w:val="00F24B57"/>
    <w:rsid w:val="00F24F97"/>
    <w:rsid w:val="00F25C2C"/>
    <w:rsid w:val="00F25F41"/>
    <w:rsid w:val="00F268AC"/>
    <w:rsid w:val="00F26A3C"/>
    <w:rsid w:val="00F270B0"/>
    <w:rsid w:val="00F27E59"/>
    <w:rsid w:val="00F3075E"/>
    <w:rsid w:val="00F3078E"/>
    <w:rsid w:val="00F31387"/>
    <w:rsid w:val="00F3155F"/>
    <w:rsid w:val="00F31BFC"/>
    <w:rsid w:val="00F31F8D"/>
    <w:rsid w:val="00F326E5"/>
    <w:rsid w:val="00F32890"/>
    <w:rsid w:val="00F33625"/>
    <w:rsid w:val="00F339A8"/>
    <w:rsid w:val="00F34968"/>
    <w:rsid w:val="00F34D26"/>
    <w:rsid w:val="00F350C1"/>
    <w:rsid w:val="00F354F3"/>
    <w:rsid w:val="00F35668"/>
    <w:rsid w:val="00F35A7D"/>
    <w:rsid w:val="00F35AD5"/>
    <w:rsid w:val="00F35B42"/>
    <w:rsid w:val="00F35E2D"/>
    <w:rsid w:val="00F3661C"/>
    <w:rsid w:val="00F37178"/>
    <w:rsid w:val="00F3760D"/>
    <w:rsid w:val="00F3799F"/>
    <w:rsid w:val="00F37B66"/>
    <w:rsid w:val="00F37C35"/>
    <w:rsid w:val="00F4186B"/>
    <w:rsid w:val="00F41A2B"/>
    <w:rsid w:val="00F4232A"/>
    <w:rsid w:val="00F42D24"/>
    <w:rsid w:val="00F42E20"/>
    <w:rsid w:val="00F43180"/>
    <w:rsid w:val="00F43281"/>
    <w:rsid w:val="00F43CE4"/>
    <w:rsid w:val="00F43D5B"/>
    <w:rsid w:val="00F45BA6"/>
    <w:rsid w:val="00F45E00"/>
    <w:rsid w:val="00F46A70"/>
    <w:rsid w:val="00F47653"/>
    <w:rsid w:val="00F47854"/>
    <w:rsid w:val="00F479FC"/>
    <w:rsid w:val="00F47DD0"/>
    <w:rsid w:val="00F47F19"/>
    <w:rsid w:val="00F50726"/>
    <w:rsid w:val="00F50DC9"/>
    <w:rsid w:val="00F50EA9"/>
    <w:rsid w:val="00F5102C"/>
    <w:rsid w:val="00F5104B"/>
    <w:rsid w:val="00F511E0"/>
    <w:rsid w:val="00F51481"/>
    <w:rsid w:val="00F51B04"/>
    <w:rsid w:val="00F52076"/>
    <w:rsid w:val="00F5236A"/>
    <w:rsid w:val="00F52ABA"/>
    <w:rsid w:val="00F53188"/>
    <w:rsid w:val="00F53AB1"/>
    <w:rsid w:val="00F53E0E"/>
    <w:rsid w:val="00F541F3"/>
    <w:rsid w:val="00F54608"/>
    <w:rsid w:val="00F5465E"/>
    <w:rsid w:val="00F54C75"/>
    <w:rsid w:val="00F54FD9"/>
    <w:rsid w:val="00F550C4"/>
    <w:rsid w:val="00F55885"/>
    <w:rsid w:val="00F55D8B"/>
    <w:rsid w:val="00F56C78"/>
    <w:rsid w:val="00F5736C"/>
    <w:rsid w:val="00F606E5"/>
    <w:rsid w:val="00F607BB"/>
    <w:rsid w:val="00F60FE6"/>
    <w:rsid w:val="00F6167B"/>
    <w:rsid w:val="00F6206F"/>
    <w:rsid w:val="00F62CF4"/>
    <w:rsid w:val="00F62F68"/>
    <w:rsid w:val="00F63735"/>
    <w:rsid w:val="00F637BF"/>
    <w:rsid w:val="00F63A6C"/>
    <w:rsid w:val="00F64701"/>
    <w:rsid w:val="00F656E3"/>
    <w:rsid w:val="00F657EC"/>
    <w:rsid w:val="00F65BC2"/>
    <w:rsid w:val="00F65CE6"/>
    <w:rsid w:val="00F66242"/>
    <w:rsid w:val="00F66A1D"/>
    <w:rsid w:val="00F66A75"/>
    <w:rsid w:val="00F66AC8"/>
    <w:rsid w:val="00F67309"/>
    <w:rsid w:val="00F701AB"/>
    <w:rsid w:val="00F704EA"/>
    <w:rsid w:val="00F70576"/>
    <w:rsid w:val="00F70B41"/>
    <w:rsid w:val="00F70D98"/>
    <w:rsid w:val="00F71562"/>
    <w:rsid w:val="00F71F76"/>
    <w:rsid w:val="00F723F7"/>
    <w:rsid w:val="00F725A8"/>
    <w:rsid w:val="00F72C9C"/>
    <w:rsid w:val="00F72CFD"/>
    <w:rsid w:val="00F740D5"/>
    <w:rsid w:val="00F74198"/>
    <w:rsid w:val="00F7452D"/>
    <w:rsid w:val="00F74D37"/>
    <w:rsid w:val="00F750ED"/>
    <w:rsid w:val="00F75101"/>
    <w:rsid w:val="00F753B7"/>
    <w:rsid w:val="00F75CC9"/>
    <w:rsid w:val="00F764B1"/>
    <w:rsid w:val="00F764E0"/>
    <w:rsid w:val="00F76677"/>
    <w:rsid w:val="00F76AB8"/>
    <w:rsid w:val="00F76BF0"/>
    <w:rsid w:val="00F76EAA"/>
    <w:rsid w:val="00F77598"/>
    <w:rsid w:val="00F77827"/>
    <w:rsid w:val="00F778FA"/>
    <w:rsid w:val="00F77F39"/>
    <w:rsid w:val="00F77F83"/>
    <w:rsid w:val="00F80423"/>
    <w:rsid w:val="00F815DE"/>
    <w:rsid w:val="00F82445"/>
    <w:rsid w:val="00F82D35"/>
    <w:rsid w:val="00F8347E"/>
    <w:rsid w:val="00F834DA"/>
    <w:rsid w:val="00F836BF"/>
    <w:rsid w:val="00F836C2"/>
    <w:rsid w:val="00F85BCE"/>
    <w:rsid w:val="00F87BF2"/>
    <w:rsid w:val="00F9026E"/>
    <w:rsid w:val="00F9050C"/>
    <w:rsid w:val="00F90751"/>
    <w:rsid w:val="00F9083D"/>
    <w:rsid w:val="00F908EE"/>
    <w:rsid w:val="00F90CF5"/>
    <w:rsid w:val="00F9143A"/>
    <w:rsid w:val="00F91632"/>
    <w:rsid w:val="00F917C5"/>
    <w:rsid w:val="00F91AD1"/>
    <w:rsid w:val="00F92866"/>
    <w:rsid w:val="00F93463"/>
    <w:rsid w:val="00F93474"/>
    <w:rsid w:val="00F955A4"/>
    <w:rsid w:val="00F95BAA"/>
    <w:rsid w:val="00F9651D"/>
    <w:rsid w:val="00F96D50"/>
    <w:rsid w:val="00F97C1C"/>
    <w:rsid w:val="00FA08D4"/>
    <w:rsid w:val="00FA0A96"/>
    <w:rsid w:val="00FA0AED"/>
    <w:rsid w:val="00FA181E"/>
    <w:rsid w:val="00FA1AF5"/>
    <w:rsid w:val="00FA1E34"/>
    <w:rsid w:val="00FA28E9"/>
    <w:rsid w:val="00FA2EE8"/>
    <w:rsid w:val="00FA38D4"/>
    <w:rsid w:val="00FA3966"/>
    <w:rsid w:val="00FA3C94"/>
    <w:rsid w:val="00FA3DC7"/>
    <w:rsid w:val="00FA43FE"/>
    <w:rsid w:val="00FA4B1C"/>
    <w:rsid w:val="00FA4C27"/>
    <w:rsid w:val="00FA5342"/>
    <w:rsid w:val="00FA5394"/>
    <w:rsid w:val="00FA53B1"/>
    <w:rsid w:val="00FA64FB"/>
    <w:rsid w:val="00FA65DE"/>
    <w:rsid w:val="00FA67A6"/>
    <w:rsid w:val="00FA753B"/>
    <w:rsid w:val="00FA780A"/>
    <w:rsid w:val="00FA781C"/>
    <w:rsid w:val="00FA7EF5"/>
    <w:rsid w:val="00FB03CE"/>
    <w:rsid w:val="00FB04DE"/>
    <w:rsid w:val="00FB11E8"/>
    <w:rsid w:val="00FB1443"/>
    <w:rsid w:val="00FB1AC5"/>
    <w:rsid w:val="00FB2689"/>
    <w:rsid w:val="00FB2B17"/>
    <w:rsid w:val="00FB2B35"/>
    <w:rsid w:val="00FB2B82"/>
    <w:rsid w:val="00FB316C"/>
    <w:rsid w:val="00FB3545"/>
    <w:rsid w:val="00FB3EF6"/>
    <w:rsid w:val="00FB4CBC"/>
    <w:rsid w:val="00FB4E72"/>
    <w:rsid w:val="00FB4EC4"/>
    <w:rsid w:val="00FB5228"/>
    <w:rsid w:val="00FB5766"/>
    <w:rsid w:val="00FB5AF3"/>
    <w:rsid w:val="00FB5ED3"/>
    <w:rsid w:val="00FB64E7"/>
    <w:rsid w:val="00FB652C"/>
    <w:rsid w:val="00FB6716"/>
    <w:rsid w:val="00FB7463"/>
    <w:rsid w:val="00FB75C3"/>
    <w:rsid w:val="00FB7CA9"/>
    <w:rsid w:val="00FC014D"/>
    <w:rsid w:val="00FC053B"/>
    <w:rsid w:val="00FC09F4"/>
    <w:rsid w:val="00FC1CF2"/>
    <w:rsid w:val="00FC1EAB"/>
    <w:rsid w:val="00FC2116"/>
    <w:rsid w:val="00FC288A"/>
    <w:rsid w:val="00FC2D79"/>
    <w:rsid w:val="00FC2FDB"/>
    <w:rsid w:val="00FC3099"/>
    <w:rsid w:val="00FC341B"/>
    <w:rsid w:val="00FC39FB"/>
    <w:rsid w:val="00FC3BDF"/>
    <w:rsid w:val="00FC3C98"/>
    <w:rsid w:val="00FC3E17"/>
    <w:rsid w:val="00FC400A"/>
    <w:rsid w:val="00FC519C"/>
    <w:rsid w:val="00FC55D6"/>
    <w:rsid w:val="00FC55DF"/>
    <w:rsid w:val="00FC59F8"/>
    <w:rsid w:val="00FC5E91"/>
    <w:rsid w:val="00FC617D"/>
    <w:rsid w:val="00FC693B"/>
    <w:rsid w:val="00FC6E34"/>
    <w:rsid w:val="00FC7506"/>
    <w:rsid w:val="00FC76E4"/>
    <w:rsid w:val="00FC799D"/>
    <w:rsid w:val="00FD0CF3"/>
    <w:rsid w:val="00FD0E7F"/>
    <w:rsid w:val="00FD0EA7"/>
    <w:rsid w:val="00FD16BD"/>
    <w:rsid w:val="00FD171E"/>
    <w:rsid w:val="00FD1FB3"/>
    <w:rsid w:val="00FD227A"/>
    <w:rsid w:val="00FD2322"/>
    <w:rsid w:val="00FD307A"/>
    <w:rsid w:val="00FD307C"/>
    <w:rsid w:val="00FD3285"/>
    <w:rsid w:val="00FD34BC"/>
    <w:rsid w:val="00FD36CA"/>
    <w:rsid w:val="00FD3F24"/>
    <w:rsid w:val="00FD40AD"/>
    <w:rsid w:val="00FD42BC"/>
    <w:rsid w:val="00FD4469"/>
    <w:rsid w:val="00FD4605"/>
    <w:rsid w:val="00FD4D78"/>
    <w:rsid w:val="00FD54FC"/>
    <w:rsid w:val="00FD57EE"/>
    <w:rsid w:val="00FD599D"/>
    <w:rsid w:val="00FD5F4A"/>
    <w:rsid w:val="00FD61EE"/>
    <w:rsid w:val="00FD6673"/>
    <w:rsid w:val="00FD697B"/>
    <w:rsid w:val="00FD697D"/>
    <w:rsid w:val="00FD6F24"/>
    <w:rsid w:val="00FD6FC4"/>
    <w:rsid w:val="00FD70C2"/>
    <w:rsid w:val="00FE078C"/>
    <w:rsid w:val="00FE0817"/>
    <w:rsid w:val="00FE0CC4"/>
    <w:rsid w:val="00FE1941"/>
    <w:rsid w:val="00FE1E7E"/>
    <w:rsid w:val="00FE1E86"/>
    <w:rsid w:val="00FE24BC"/>
    <w:rsid w:val="00FE29B3"/>
    <w:rsid w:val="00FE3F47"/>
    <w:rsid w:val="00FE45D2"/>
    <w:rsid w:val="00FE4CE4"/>
    <w:rsid w:val="00FE4F65"/>
    <w:rsid w:val="00FE5535"/>
    <w:rsid w:val="00FE5560"/>
    <w:rsid w:val="00FE5621"/>
    <w:rsid w:val="00FE5924"/>
    <w:rsid w:val="00FE5A59"/>
    <w:rsid w:val="00FE5E4B"/>
    <w:rsid w:val="00FE61E6"/>
    <w:rsid w:val="00FE6F99"/>
    <w:rsid w:val="00FF02B2"/>
    <w:rsid w:val="00FF10CF"/>
    <w:rsid w:val="00FF16FE"/>
    <w:rsid w:val="00FF1958"/>
    <w:rsid w:val="00FF2916"/>
    <w:rsid w:val="00FF2B83"/>
    <w:rsid w:val="00FF39CA"/>
    <w:rsid w:val="00FF3CBA"/>
    <w:rsid w:val="00FF3E99"/>
    <w:rsid w:val="00FF42B7"/>
    <w:rsid w:val="00FF436F"/>
    <w:rsid w:val="00FF43A8"/>
    <w:rsid w:val="00FF454D"/>
    <w:rsid w:val="00FF4D38"/>
    <w:rsid w:val="00FF4DE8"/>
    <w:rsid w:val="00FF4F44"/>
    <w:rsid w:val="00FF4FD4"/>
    <w:rsid w:val="00FF5034"/>
    <w:rsid w:val="00FF519E"/>
    <w:rsid w:val="00FF534A"/>
    <w:rsid w:val="00FF5869"/>
    <w:rsid w:val="00FF5B39"/>
    <w:rsid w:val="00FF644C"/>
    <w:rsid w:val="00FF6532"/>
    <w:rsid w:val="00FF656B"/>
    <w:rsid w:val="00FF674D"/>
    <w:rsid w:val="00FF6D0D"/>
    <w:rsid w:val="00FF6F1C"/>
    <w:rsid w:val="00FF7383"/>
    <w:rsid w:val="00FF754A"/>
    <w:rsid w:val="00FF7973"/>
    <w:rsid w:val="00FF79FF"/>
    <w:rsid w:val="00FF7A9F"/>
    <w:rsid w:val="00FF7C59"/>
    <w:rsid w:val="01A7AA3A"/>
    <w:rsid w:val="03A64713"/>
    <w:rsid w:val="05D252F8"/>
    <w:rsid w:val="06C08B1E"/>
    <w:rsid w:val="0CACBDC7"/>
    <w:rsid w:val="0DEB705F"/>
    <w:rsid w:val="0E8B7E92"/>
    <w:rsid w:val="0F5263B3"/>
    <w:rsid w:val="11B6CEC0"/>
    <w:rsid w:val="1282FE63"/>
    <w:rsid w:val="12E52854"/>
    <w:rsid w:val="131AE8E4"/>
    <w:rsid w:val="1391263D"/>
    <w:rsid w:val="13E05513"/>
    <w:rsid w:val="14D557ED"/>
    <w:rsid w:val="173C63C1"/>
    <w:rsid w:val="1919F63A"/>
    <w:rsid w:val="19AFE2CC"/>
    <w:rsid w:val="1B0F21DF"/>
    <w:rsid w:val="1BE85432"/>
    <w:rsid w:val="1E504A24"/>
    <w:rsid w:val="20DF4EA4"/>
    <w:rsid w:val="223BFCE2"/>
    <w:rsid w:val="22997480"/>
    <w:rsid w:val="23EA80BE"/>
    <w:rsid w:val="261E5497"/>
    <w:rsid w:val="2FE15276"/>
    <w:rsid w:val="3123368C"/>
    <w:rsid w:val="31FC810F"/>
    <w:rsid w:val="332C7D03"/>
    <w:rsid w:val="337B792C"/>
    <w:rsid w:val="35601C1A"/>
    <w:rsid w:val="36DAAFBA"/>
    <w:rsid w:val="36DFCE42"/>
    <w:rsid w:val="37A119A5"/>
    <w:rsid w:val="3A7E0D50"/>
    <w:rsid w:val="3C0464FB"/>
    <w:rsid w:val="3DDD18B6"/>
    <w:rsid w:val="417A470F"/>
    <w:rsid w:val="41DC201B"/>
    <w:rsid w:val="42C67354"/>
    <w:rsid w:val="449413CD"/>
    <w:rsid w:val="457C1BEE"/>
    <w:rsid w:val="4785BC7A"/>
    <w:rsid w:val="47F5F31E"/>
    <w:rsid w:val="4AAF6CF3"/>
    <w:rsid w:val="4AEB59EB"/>
    <w:rsid w:val="4F6173C5"/>
    <w:rsid w:val="515D22C4"/>
    <w:rsid w:val="51E9B13E"/>
    <w:rsid w:val="52FB9399"/>
    <w:rsid w:val="5336D67A"/>
    <w:rsid w:val="550BA96B"/>
    <w:rsid w:val="56528303"/>
    <w:rsid w:val="5B60049E"/>
    <w:rsid w:val="5C84EDEF"/>
    <w:rsid w:val="5DB7EF00"/>
    <w:rsid w:val="60612B8C"/>
    <w:rsid w:val="612797CD"/>
    <w:rsid w:val="61819A10"/>
    <w:rsid w:val="62A552C0"/>
    <w:rsid w:val="6483E730"/>
    <w:rsid w:val="683A1004"/>
    <w:rsid w:val="6941CA64"/>
    <w:rsid w:val="6B033C6C"/>
    <w:rsid w:val="6BB14374"/>
    <w:rsid w:val="7559C80C"/>
    <w:rsid w:val="7609F705"/>
    <w:rsid w:val="7D4358A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A1DE2C"/>
  <w14:defaultImageDpi w14:val="300"/>
  <w15:docId w15:val="{C619791A-C0AD-4E4B-80DF-E0DB5F727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AD8"/>
    <w:pPr>
      <w:spacing w:line="288" w:lineRule="auto"/>
    </w:pPr>
    <w:rPr>
      <w:rFonts w:ascii="Verdana" w:hAnsi="Verdana"/>
    </w:rPr>
  </w:style>
  <w:style w:type="paragraph" w:styleId="Heading1">
    <w:name w:val="heading 1"/>
    <w:basedOn w:val="Normal"/>
    <w:next w:val="Normal"/>
    <w:link w:val="Heading1Char"/>
    <w:uiPriority w:val="9"/>
    <w:qFormat/>
    <w:rsid w:val="00574A11"/>
    <w:pPr>
      <w:keepNext/>
      <w:keepLines/>
      <w:numPr>
        <w:numId w:val="2"/>
      </w:numPr>
      <w:spacing w:before="240" w:line="480" w:lineRule="auto"/>
      <w:ind w:left="357" w:hanging="357"/>
      <w:outlineLvl w:val="0"/>
    </w:pPr>
    <w:rPr>
      <w:rFonts w:eastAsiaTheme="majorEastAsia" w:cstheme="majorBidi"/>
      <w:b/>
      <w:color w:val="77328A"/>
      <w:sz w:val="30"/>
      <w:szCs w:val="32"/>
    </w:rPr>
  </w:style>
  <w:style w:type="paragraph" w:styleId="Heading2">
    <w:name w:val="heading 2"/>
    <w:basedOn w:val="Normal"/>
    <w:next w:val="Normal"/>
    <w:link w:val="Heading2Char"/>
    <w:uiPriority w:val="9"/>
    <w:unhideWhenUsed/>
    <w:qFormat/>
    <w:rsid w:val="003E304E"/>
    <w:pPr>
      <w:keepNext/>
      <w:keepLines/>
      <w:spacing w:before="40" w:line="360" w:lineRule="auto"/>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F65BC2"/>
    <w:pPr>
      <w:keepNext/>
      <w:keepLines/>
      <w:spacing w:before="40"/>
      <w:outlineLvl w:val="2"/>
    </w:pPr>
    <w:rPr>
      <w:rFonts w:eastAsiaTheme="majorEastAsia" w:cstheme="majorBidi"/>
      <w:i/>
      <w:iCs/>
    </w:rPr>
  </w:style>
  <w:style w:type="paragraph" w:styleId="Heading6">
    <w:name w:val="heading 6"/>
    <w:basedOn w:val="Normal"/>
    <w:next w:val="Normal"/>
    <w:link w:val="Heading6Char"/>
    <w:uiPriority w:val="9"/>
    <w:semiHidden/>
    <w:unhideWhenUsed/>
    <w:qFormat/>
    <w:rsid w:val="0022414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B2B"/>
    <w:pPr>
      <w:tabs>
        <w:tab w:val="center" w:pos="4320"/>
        <w:tab w:val="right" w:pos="8640"/>
      </w:tabs>
    </w:pPr>
  </w:style>
  <w:style w:type="character" w:customStyle="1" w:styleId="HeaderChar">
    <w:name w:val="Header Char"/>
    <w:basedOn w:val="DefaultParagraphFont"/>
    <w:link w:val="Header"/>
    <w:uiPriority w:val="99"/>
    <w:rsid w:val="00962B2B"/>
  </w:style>
  <w:style w:type="paragraph" w:styleId="Footer">
    <w:name w:val="footer"/>
    <w:basedOn w:val="Normal"/>
    <w:link w:val="FooterChar"/>
    <w:uiPriority w:val="99"/>
    <w:unhideWhenUsed/>
    <w:rsid w:val="00962B2B"/>
    <w:pPr>
      <w:tabs>
        <w:tab w:val="center" w:pos="4320"/>
        <w:tab w:val="right" w:pos="8640"/>
      </w:tabs>
    </w:pPr>
  </w:style>
  <w:style w:type="character" w:customStyle="1" w:styleId="FooterChar">
    <w:name w:val="Footer Char"/>
    <w:basedOn w:val="DefaultParagraphFont"/>
    <w:link w:val="Footer"/>
    <w:uiPriority w:val="99"/>
    <w:rsid w:val="00962B2B"/>
  </w:style>
  <w:style w:type="paragraph" w:styleId="BalloonText">
    <w:name w:val="Balloon Text"/>
    <w:basedOn w:val="Normal"/>
    <w:link w:val="BalloonTextChar"/>
    <w:uiPriority w:val="99"/>
    <w:semiHidden/>
    <w:unhideWhenUsed/>
    <w:rsid w:val="00962B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2B2B"/>
    <w:rPr>
      <w:rFonts w:ascii="Lucida Grande" w:hAnsi="Lucida Grande" w:cs="Lucida Grande"/>
      <w:sz w:val="18"/>
      <w:szCs w:val="18"/>
    </w:rPr>
  </w:style>
  <w:style w:type="paragraph" w:customStyle="1" w:styleId="BasicParagraph">
    <w:name w:val="[Basic Paragraph]"/>
    <w:basedOn w:val="Normal"/>
    <w:uiPriority w:val="99"/>
    <w:rsid w:val="00962B2B"/>
    <w:pPr>
      <w:widowControl w:val="0"/>
      <w:autoSpaceDE w:val="0"/>
      <w:autoSpaceDN w:val="0"/>
      <w:adjustRightInd w:val="0"/>
      <w:textAlignment w:val="center"/>
    </w:pPr>
    <w:rPr>
      <w:rFonts w:ascii="MinionPro-Regular" w:hAnsi="MinionPro-Regular" w:cs="MinionPro-Regular"/>
      <w:color w:val="000000"/>
    </w:rPr>
  </w:style>
  <w:style w:type="paragraph" w:customStyle="1" w:styleId="Body">
    <w:name w:val="Body"/>
    <w:basedOn w:val="Normal"/>
    <w:rsid w:val="007F266D"/>
    <w:rPr>
      <w:rFonts w:ascii="Helvetica" w:eastAsiaTheme="minorHAnsi" w:hAnsi="Helvetica" w:cs="Helvetica"/>
      <w:color w:val="000000"/>
      <w:sz w:val="22"/>
      <w:szCs w:val="22"/>
      <w:lang w:eastAsia="en-GB"/>
    </w:rPr>
  </w:style>
  <w:style w:type="paragraph" w:styleId="FootnoteText">
    <w:name w:val="footnote text"/>
    <w:aliases w:val="5_G,Footnote Text Char1,Footnote Text Char Char,Footnote Text1,Footnote Text Char1 Char Char,Footnote Text Char Char Char Char,Footnote Text Char1 Char Char1 Char Char,Footnote Text Char Char Char Char1 Char Char,Char,Footnote Quot, Char,f"/>
    <w:basedOn w:val="Normal"/>
    <w:link w:val="FootnoteTextChar"/>
    <w:uiPriority w:val="99"/>
    <w:unhideWhenUsed/>
    <w:qFormat/>
    <w:rsid w:val="00224140"/>
  </w:style>
  <w:style w:type="character" w:customStyle="1" w:styleId="FootnoteTextChar">
    <w:name w:val="Footnote Text Char"/>
    <w:aliases w:val="5_G Char,Footnote Text Char1 Char,Footnote Text Char Char Char,Footnote Text1 Char,Footnote Text Char1 Char Char Char,Footnote Text Char Char Char Char Char,Footnote Text Char1 Char Char1 Char Char Char,Char Char,Footnote Quot Char"/>
    <w:basedOn w:val="DefaultParagraphFont"/>
    <w:link w:val="FootnoteText"/>
    <w:uiPriority w:val="99"/>
    <w:rsid w:val="00224140"/>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FR"/>
    <w:basedOn w:val="DefaultParagraphFont"/>
    <w:link w:val="4GChar"/>
    <w:uiPriority w:val="99"/>
    <w:unhideWhenUsed/>
    <w:qFormat/>
    <w:rsid w:val="00224140"/>
    <w:rPr>
      <w:vertAlign w:val="superscript"/>
    </w:rPr>
  </w:style>
  <w:style w:type="character" w:styleId="PageNumber">
    <w:name w:val="page number"/>
    <w:basedOn w:val="DefaultParagraphFont"/>
    <w:uiPriority w:val="99"/>
    <w:semiHidden/>
    <w:unhideWhenUsed/>
    <w:rsid w:val="00D12EF8"/>
  </w:style>
  <w:style w:type="character" w:customStyle="1" w:styleId="Heading6Char">
    <w:name w:val="Heading 6 Char"/>
    <w:basedOn w:val="DefaultParagraphFont"/>
    <w:link w:val="Heading6"/>
    <w:uiPriority w:val="9"/>
    <w:semiHidden/>
    <w:rsid w:val="00224140"/>
    <w:rPr>
      <w:rFonts w:asciiTheme="majorHAnsi" w:eastAsiaTheme="majorEastAsia" w:hAnsiTheme="majorHAnsi" w:cstheme="majorBidi"/>
      <w:i/>
      <w:iCs/>
      <w:color w:val="243F60" w:themeColor="accent1" w:themeShade="7F"/>
    </w:rPr>
  </w:style>
  <w:style w:type="paragraph" w:customStyle="1" w:styleId="Default">
    <w:name w:val="Default"/>
    <w:rsid w:val="00552293"/>
    <w:pPr>
      <w:widowControl w:val="0"/>
      <w:autoSpaceDE w:val="0"/>
      <w:autoSpaceDN w:val="0"/>
      <w:adjustRightInd w:val="0"/>
    </w:pPr>
    <w:rPr>
      <w:rFonts w:ascii="Verdana" w:hAnsi="Verdana" w:cs="Verdana"/>
      <w:color w:val="000000"/>
      <w:lang w:val="en-US"/>
    </w:rPr>
  </w:style>
  <w:style w:type="paragraph" w:styleId="NormalWeb">
    <w:name w:val="Normal (Web)"/>
    <w:basedOn w:val="Normal"/>
    <w:uiPriority w:val="99"/>
    <w:unhideWhenUsed/>
    <w:rsid w:val="005B723E"/>
    <w:pPr>
      <w:spacing w:before="100" w:beforeAutospacing="1" w:after="100" w:afterAutospacing="1"/>
    </w:pPr>
    <w:rPr>
      <w:rFonts w:ascii="Times" w:hAnsi="Times" w:cs="Times New Roman"/>
      <w:sz w:val="20"/>
      <w:szCs w:val="20"/>
    </w:rPr>
  </w:style>
  <w:style w:type="paragraph" w:customStyle="1" w:styleId="NIHRCFootnotes">
    <w:name w:val="NIHRC Footnotes"/>
    <w:basedOn w:val="Normal"/>
    <w:qFormat/>
    <w:rsid w:val="00647090"/>
    <w:pPr>
      <w:tabs>
        <w:tab w:val="left" w:pos="284"/>
      </w:tabs>
      <w:spacing w:line="240" w:lineRule="auto"/>
    </w:pPr>
    <w:rPr>
      <w:rFonts w:cs="Arial"/>
      <w:color w:val="77328A"/>
      <w:sz w:val="16"/>
      <w:szCs w:val="16"/>
    </w:rPr>
  </w:style>
  <w:style w:type="character" w:styleId="Hyperlink">
    <w:name w:val="Hyperlink"/>
    <w:basedOn w:val="DefaultParagraphFont"/>
    <w:uiPriority w:val="99"/>
    <w:unhideWhenUsed/>
    <w:rsid w:val="00331C61"/>
    <w:rPr>
      <w:color w:val="0000FF" w:themeColor="hyperlink"/>
      <w:u w:val="single"/>
    </w:rPr>
  </w:style>
  <w:style w:type="paragraph" w:styleId="ListParagraph">
    <w:name w:val="List Paragraph"/>
    <w:basedOn w:val="Normal"/>
    <w:uiPriority w:val="34"/>
    <w:qFormat/>
    <w:rsid w:val="008A4C43"/>
    <w:pPr>
      <w:ind w:left="720"/>
      <w:contextualSpacing/>
    </w:pPr>
  </w:style>
  <w:style w:type="character" w:customStyle="1" w:styleId="Heading1Char">
    <w:name w:val="Heading 1 Char"/>
    <w:basedOn w:val="DefaultParagraphFont"/>
    <w:link w:val="Heading1"/>
    <w:uiPriority w:val="9"/>
    <w:rsid w:val="007E5AD8"/>
    <w:rPr>
      <w:rFonts w:ascii="Verdana" w:eastAsiaTheme="majorEastAsia" w:hAnsi="Verdana" w:cstheme="majorBidi"/>
      <w:b/>
      <w:color w:val="77328A"/>
      <w:sz w:val="30"/>
      <w:szCs w:val="32"/>
    </w:rPr>
  </w:style>
  <w:style w:type="character" w:styleId="UnresolvedMention">
    <w:name w:val="Unresolved Mention"/>
    <w:basedOn w:val="DefaultParagraphFont"/>
    <w:uiPriority w:val="99"/>
    <w:semiHidden/>
    <w:unhideWhenUsed/>
    <w:rsid w:val="001D03E7"/>
    <w:rPr>
      <w:color w:val="605E5C"/>
      <w:shd w:val="clear" w:color="auto" w:fill="E1DFDD"/>
    </w:rPr>
  </w:style>
  <w:style w:type="paragraph" w:customStyle="1" w:styleId="4GChar">
    <w:name w:val="4_G Char"/>
    <w:aliases w:val="Footnote Reference1 Char,Footnotes refss Char,ftref Char,BVI fnr Char,BVI fnr Car Car Char,BVI fnr Car Char,BVI fnr Car Car Car Car Char,BVI fnr Char Car Car Car Char,ftref,BVI fnr Car Car,BVI fnr Car,Appel note de bas de page Char"/>
    <w:basedOn w:val="Normal"/>
    <w:link w:val="FootnoteReference"/>
    <w:uiPriority w:val="99"/>
    <w:qFormat/>
    <w:rsid w:val="00EE51B2"/>
    <w:pPr>
      <w:spacing w:after="160" w:line="240" w:lineRule="exact"/>
      <w:jc w:val="both"/>
    </w:pPr>
    <w:rPr>
      <w:vertAlign w:val="superscript"/>
    </w:rPr>
  </w:style>
  <w:style w:type="paragraph" w:styleId="TOCHeading">
    <w:name w:val="TOC Heading"/>
    <w:basedOn w:val="Heading1"/>
    <w:next w:val="Normal"/>
    <w:uiPriority w:val="39"/>
    <w:unhideWhenUsed/>
    <w:qFormat/>
    <w:rsid w:val="00B56194"/>
    <w:pPr>
      <w:numPr>
        <w:numId w:val="0"/>
      </w:numPr>
      <w:spacing w:line="259" w:lineRule="auto"/>
      <w:outlineLvl w:val="9"/>
    </w:pPr>
    <w:rPr>
      <w:rFonts w:asciiTheme="majorHAnsi" w:hAnsiTheme="majorHAnsi"/>
      <w:b w:val="0"/>
      <w:color w:val="365F91" w:themeColor="accent1" w:themeShade="BF"/>
      <w:sz w:val="32"/>
      <w:lang w:val="en-US"/>
    </w:rPr>
  </w:style>
  <w:style w:type="paragraph" w:styleId="TOC1">
    <w:name w:val="toc 1"/>
    <w:basedOn w:val="Normal"/>
    <w:next w:val="Normal"/>
    <w:autoRedefine/>
    <w:uiPriority w:val="39"/>
    <w:unhideWhenUsed/>
    <w:rsid w:val="004F4CB7"/>
    <w:pPr>
      <w:tabs>
        <w:tab w:val="left" w:pos="660"/>
        <w:tab w:val="right" w:leader="dot" w:pos="9848"/>
      </w:tabs>
      <w:spacing w:after="100"/>
    </w:pPr>
    <w:rPr>
      <w:b/>
      <w:bCs/>
      <w:noProof/>
    </w:rPr>
  </w:style>
  <w:style w:type="character" w:customStyle="1" w:styleId="Heading2Char">
    <w:name w:val="Heading 2 Char"/>
    <w:basedOn w:val="DefaultParagraphFont"/>
    <w:link w:val="Heading2"/>
    <w:uiPriority w:val="9"/>
    <w:rsid w:val="003E304E"/>
    <w:rPr>
      <w:rFonts w:ascii="Verdana" w:eastAsiaTheme="majorEastAsia" w:hAnsi="Verdana" w:cstheme="majorBidi"/>
      <w:b/>
      <w:szCs w:val="26"/>
    </w:rPr>
  </w:style>
  <w:style w:type="paragraph" w:styleId="Quote">
    <w:name w:val="Quote"/>
    <w:basedOn w:val="BasicParagraph"/>
    <w:next w:val="Normal"/>
    <w:link w:val="QuoteChar"/>
    <w:uiPriority w:val="29"/>
    <w:qFormat/>
    <w:rsid w:val="00A47D5E"/>
    <w:pPr>
      <w:suppressAutoHyphens/>
      <w:ind w:left="862" w:right="862"/>
    </w:pPr>
    <w:rPr>
      <w:rFonts w:ascii="Verdana" w:hAnsi="Verdana"/>
    </w:rPr>
  </w:style>
  <w:style w:type="character" w:customStyle="1" w:styleId="QuoteChar">
    <w:name w:val="Quote Char"/>
    <w:basedOn w:val="DefaultParagraphFont"/>
    <w:link w:val="Quote"/>
    <w:uiPriority w:val="29"/>
    <w:rsid w:val="00FC7506"/>
    <w:rPr>
      <w:rFonts w:ascii="Verdana" w:hAnsi="Verdana" w:cs="MinionPro-Regular"/>
      <w:color w:val="000000"/>
    </w:rPr>
  </w:style>
  <w:style w:type="character" w:styleId="CommentReference">
    <w:name w:val="annotation reference"/>
    <w:basedOn w:val="DefaultParagraphFont"/>
    <w:uiPriority w:val="99"/>
    <w:semiHidden/>
    <w:unhideWhenUsed/>
    <w:rsid w:val="00214641"/>
    <w:rPr>
      <w:sz w:val="16"/>
      <w:szCs w:val="16"/>
    </w:rPr>
  </w:style>
  <w:style w:type="paragraph" w:styleId="CommentText">
    <w:name w:val="annotation text"/>
    <w:basedOn w:val="Normal"/>
    <w:link w:val="CommentTextChar"/>
    <w:uiPriority w:val="99"/>
    <w:unhideWhenUsed/>
    <w:rsid w:val="00214641"/>
    <w:pPr>
      <w:spacing w:line="240" w:lineRule="auto"/>
    </w:pPr>
    <w:rPr>
      <w:sz w:val="20"/>
      <w:szCs w:val="20"/>
    </w:rPr>
  </w:style>
  <w:style w:type="character" w:customStyle="1" w:styleId="CommentTextChar">
    <w:name w:val="Comment Text Char"/>
    <w:basedOn w:val="DefaultParagraphFont"/>
    <w:link w:val="CommentText"/>
    <w:uiPriority w:val="99"/>
    <w:rsid w:val="00214641"/>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214641"/>
    <w:rPr>
      <w:b/>
      <w:bCs/>
    </w:rPr>
  </w:style>
  <w:style w:type="character" w:customStyle="1" w:styleId="CommentSubjectChar">
    <w:name w:val="Comment Subject Char"/>
    <w:basedOn w:val="CommentTextChar"/>
    <w:link w:val="CommentSubject"/>
    <w:uiPriority w:val="99"/>
    <w:semiHidden/>
    <w:rsid w:val="00214641"/>
    <w:rPr>
      <w:rFonts w:ascii="Verdana" w:hAnsi="Verdana"/>
      <w:b/>
      <w:bCs/>
      <w:sz w:val="20"/>
      <w:szCs w:val="20"/>
    </w:rPr>
  </w:style>
  <w:style w:type="paragraph" w:styleId="TOC2">
    <w:name w:val="toc 2"/>
    <w:basedOn w:val="Normal"/>
    <w:next w:val="Normal"/>
    <w:autoRedefine/>
    <w:uiPriority w:val="39"/>
    <w:unhideWhenUsed/>
    <w:rsid w:val="00C95E44"/>
    <w:pPr>
      <w:spacing w:after="100"/>
      <w:ind w:left="240"/>
    </w:pPr>
  </w:style>
  <w:style w:type="character" w:styleId="Emphasis">
    <w:name w:val="Emphasis"/>
    <w:basedOn w:val="DefaultParagraphFont"/>
    <w:uiPriority w:val="20"/>
    <w:qFormat/>
    <w:rsid w:val="001B6709"/>
    <w:rPr>
      <w:i/>
      <w:iCs/>
    </w:rPr>
  </w:style>
  <w:style w:type="paragraph" w:styleId="Revision">
    <w:name w:val="Revision"/>
    <w:hidden/>
    <w:uiPriority w:val="99"/>
    <w:semiHidden/>
    <w:rsid w:val="0002007F"/>
    <w:rPr>
      <w:rFonts w:ascii="Verdana" w:hAnsi="Verdana"/>
    </w:rPr>
  </w:style>
  <w:style w:type="paragraph" w:customStyle="1" w:styleId="11NumPara">
    <w:name w:val="1.1 Num Para"/>
    <w:basedOn w:val="ListNumber2"/>
    <w:link w:val="11NumParaChar"/>
    <w:qFormat/>
    <w:rsid w:val="00754538"/>
    <w:pPr>
      <w:numPr>
        <w:ilvl w:val="1"/>
      </w:numPr>
      <w:ind w:left="709" w:hanging="709"/>
    </w:pPr>
    <w:rPr>
      <w:rFonts w:ascii="Calibri" w:hAnsi="Calibri"/>
      <w:sz w:val="28"/>
      <w:szCs w:val="22"/>
    </w:rPr>
  </w:style>
  <w:style w:type="character" w:customStyle="1" w:styleId="11NumParaChar">
    <w:name w:val="1.1 Num Para Char"/>
    <w:basedOn w:val="DefaultParagraphFont"/>
    <w:link w:val="11NumPara"/>
    <w:rsid w:val="00754538"/>
    <w:rPr>
      <w:rFonts w:ascii="Calibri" w:eastAsiaTheme="minorHAnsi" w:hAnsi="Calibri"/>
      <w:kern w:val="2"/>
      <w:sz w:val="28"/>
      <w:szCs w:val="22"/>
      <w14:ligatures w14:val="standardContextual"/>
    </w:rPr>
  </w:style>
  <w:style w:type="paragraph" w:styleId="ListNumber2">
    <w:name w:val="List Number 2"/>
    <w:basedOn w:val="Normal"/>
    <w:uiPriority w:val="99"/>
    <w:semiHidden/>
    <w:unhideWhenUsed/>
    <w:rsid w:val="00754538"/>
    <w:pPr>
      <w:numPr>
        <w:numId w:val="5"/>
      </w:numPr>
      <w:spacing w:line="240" w:lineRule="auto"/>
      <w:contextualSpacing/>
    </w:pPr>
    <w:rPr>
      <w:rFonts w:eastAsiaTheme="minorHAnsi"/>
      <w:kern w:val="2"/>
      <w14:ligatures w14:val="standardContextual"/>
    </w:rPr>
  </w:style>
  <w:style w:type="character" w:customStyle="1" w:styleId="ui-provider">
    <w:name w:val="ui-provider"/>
    <w:basedOn w:val="DefaultParagraphFont"/>
    <w:rsid w:val="002563F5"/>
  </w:style>
  <w:style w:type="character" w:customStyle="1" w:styleId="cf01">
    <w:name w:val="cf01"/>
    <w:basedOn w:val="DefaultParagraphFont"/>
    <w:rsid w:val="001B6A6C"/>
    <w:rPr>
      <w:rFonts w:ascii="Segoe UI" w:hAnsi="Segoe UI" w:cs="Segoe UI" w:hint="default"/>
      <w:sz w:val="18"/>
      <w:szCs w:val="18"/>
    </w:rPr>
  </w:style>
  <w:style w:type="table" w:styleId="TableGrid">
    <w:name w:val="Table Grid"/>
    <w:basedOn w:val="TableNormal"/>
    <w:uiPriority w:val="59"/>
    <w:rsid w:val="00D76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3910DE"/>
    <w:rPr>
      <w:rFonts w:ascii="Verdana" w:eastAsiaTheme="majorEastAsia" w:hAnsi="Verdana" w:cstheme="majorBidi"/>
      <w:i/>
      <w:iCs/>
    </w:rPr>
  </w:style>
  <w:style w:type="paragraph" w:styleId="TOC3">
    <w:name w:val="toc 3"/>
    <w:basedOn w:val="Normal"/>
    <w:next w:val="Normal"/>
    <w:autoRedefine/>
    <w:uiPriority w:val="39"/>
    <w:unhideWhenUsed/>
    <w:rsid w:val="00B527F1"/>
    <w:pPr>
      <w:spacing w:after="100"/>
      <w:ind w:left="480"/>
    </w:pPr>
  </w:style>
  <w:style w:type="character" w:styleId="Strong">
    <w:name w:val="Strong"/>
    <w:basedOn w:val="DefaultParagraphFont"/>
    <w:uiPriority w:val="22"/>
    <w:qFormat/>
    <w:rsid w:val="00FB1443"/>
    <w:rPr>
      <w:b/>
      <w:bCs/>
    </w:rPr>
  </w:style>
  <w:style w:type="character" w:styleId="FollowedHyperlink">
    <w:name w:val="FollowedHyperlink"/>
    <w:basedOn w:val="DefaultParagraphFont"/>
    <w:uiPriority w:val="99"/>
    <w:semiHidden/>
    <w:unhideWhenUsed/>
    <w:rsid w:val="00981FFD"/>
    <w:rPr>
      <w:color w:val="800080" w:themeColor="followedHyperlink"/>
      <w:u w:val="single"/>
    </w:rPr>
  </w:style>
  <w:style w:type="numbering" w:customStyle="1" w:styleId="LFO8">
    <w:name w:val="LFO8"/>
    <w:basedOn w:val="NoList"/>
    <w:rsid w:val="00C95F07"/>
    <w:pPr>
      <w:numPr>
        <w:numId w:val="16"/>
      </w:numPr>
    </w:pPr>
  </w:style>
  <w:style w:type="character" w:styleId="Mention">
    <w:name w:val="Mention"/>
    <w:basedOn w:val="DefaultParagraphFont"/>
    <w:uiPriority w:val="99"/>
    <w:unhideWhenUsed/>
    <w:rsid w:val="00E7303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988160">
      <w:bodyDiv w:val="1"/>
      <w:marLeft w:val="0"/>
      <w:marRight w:val="0"/>
      <w:marTop w:val="0"/>
      <w:marBottom w:val="0"/>
      <w:divBdr>
        <w:top w:val="none" w:sz="0" w:space="0" w:color="auto"/>
        <w:left w:val="none" w:sz="0" w:space="0" w:color="auto"/>
        <w:bottom w:val="none" w:sz="0" w:space="0" w:color="auto"/>
        <w:right w:val="none" w:sz="0" w:space="0" w:color="auto"/>
      </w:divBdr>
      <w:divsChild>
        <w:div w:id="1028986289">
          <w:marLeft w:val="0"/>
          <w:marRight w:val="0"/>
          <w:marTop w:val="0"/>
          <w:marBottom w:val="0"/>
          <w:divBdr>
            <w:top w:val="none" w:sz="0" w:space="0" w:color="auto"/>
            <w:left w:val="none" w:sz="0" w:space="0" w:color="auto"/>
            <w:bottom w:val="none" w:sz="0" w:space="0" w:color="auto"/>
            <w:right w:val="none" w:sz="0" w:space="0" w:color="auto"/>
          </w:divBdr>
          <w:divsChild>
            <w:div w:id="1795251692">
              <w:marLeft w:val="0"/>
              <w:marRight w:val="0"/>
              <w:marTop w:val="0"/>
              <w:marBottom w:val="0"/>
              <w:divBdr>
                <w:top w:val="none" w:sz="0" w:space="0" w:color="auto"/>
                <w:left w:val="none" w:sz="0" w:space="0" w:color="auto"/>
                <w:bottom w:val="none" w:sz="0" w:space="0" w:color="auto"/>
                <w:right w:val="none" w:sz="0" w:space="0" w:color="auto"/>
              </w:divBdr>
              <w:divsChild>
                <w:div w:id="146692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85121">
      <w:bodyDiv w:val="1"/>
      <w:marLeft w:val="0"/>
      <w:marRight w:val="0"/>
      <w:marTop w:val="0"/>
      <w:marBottom w:val="0"/>
      <w:divBdr>
        <w:top w:val="none" w:sz="0" w:space="0" w:color="auto"/>
        <w:left w:val="none" w:sz="0" w:space="0" w:color="auto"/>
        <w:bottom w:val="none" w:sz="0" w:space="0" w:color="auto"/>
        <w:right w:val="none" w:sz="0" w:space="0" w:color="auto"/>
      </w:divBdr>
    </w:div>
    <w:div w:id="2006592875">
      <w:bodyDiv w:val="1"/>
      <w:marLeft w:val="0"/>
      <w:marRight w:val="0"/>
      <w:marTop w:val="0"/>
      <w:marBottom w:val="0"/>
      <w:divBdr>
        <w:top w:val="none" w:sz="0" w:space="0" w:color="auto"/>
        <w:left w:val="none" w:sz="0" w:space="0" w:color="auto"/>
        <w:bottom w:val="none" w:sz="0" w:space="0" w:color="auto"/>
        <w:right w:val="none" w:sz="0" w:space="0" w:color="auto"/>
      </w:divBdr>
    </w:div>
    <w:div w:id="2129470764">
      <w:bodyDiv w:val="1"/>
      <w:marLeft w:val="0"/>
      <w:marRight w:val="0"/>
      <w:marTop w:val="0"/>
      <w:marBottom w:val="0"/>
      <w:divBdr>
        <w:top w:val="none" w:sz="0" w:space="0" w:color="auto"/>
        <w:left w:val="none" w:sz="0" w:space="0" w:color="auto"/>
        <w:bottom w:val="none" w:sz="0" w:space="0" w:color="auto"/>
        <w:right w:val="none" w:sz="0" w:space="0" w:color="auto"/>
      </w:divBdr>
      <w:divsChild>
        <w:div w:id="608201235">
          <w:marLeft w:val="0"/>
          <w:marRight w:val="0"/>
          <w:marTop w:val="0"/>
          <w:marBottom w:val="0"/>
          <w:divBdr>
            <w:top w:val="none" w:sz="0" w:space="0" w:color="auto"/>
            <w:left w:val="none" w:sz="0" w:space="0" w:color="auto"/>
            <w:bottom w:val="none" w:sz="0" w:space="0" w:color="auto"/>
            <w:right w:val="none" w:sz="0" w:space="0" w:color="auto"/>
          </w:divBdr>
          <w:divsChild>
            <w:div w:id="248193691">
              <w:marLeft w:val="0"/>
              <w:marRight w:val="0"/>
              <w:marTop w:val="0"/>
              <w:marBottom w:val="0"/>
              <w:divBdr>
                <w:top w:val="none" w:sz="0" w:space="0" w:color="auto"/>
                <w:left w:val="none" w:sz="0" w:space="0" w:color="auto"/>
                <w:bottom w:val="none" w:sz="0" w:space="0" w:color="auto"/>
                <w:right w:val="none" w:sz="0" w:space="0" w:color="auto"/>
              </w:divBdr>
              <w:divsChild>
                <w:div w:id="91771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ilis.haughey@nihrc.org"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lin.Caughey@nihrc.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nfo@nihrc.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ihrc.or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irishstatutebook.ie/eli/2024/act/41/enacted/en/html" TargetMode="External"/><Relationship Id="rId1" Type="http://schemas.openxmlformats.org/officeDocument/2006/relationships/hyperlink" Target="https://commission.europa.eu/strategy-and-policy/policies/justice-and-fundamental-rights/combatting-discrimination/racism-and-xenophobia/anti-racism-strategy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Staff%20Information\Branding%20&amp;%20Guidance%20-%20Staff\Templates\27689%20-%20HUMAN%20RIGHTS%20Resear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_x002f_Time xmlns="12479bdc-b58c-44ab-9f0f-fa5baefb3da2" xsi:nil="true"/>
    <lcf76f155ced4ddcb4097134ff3c332f xmlns="12479bdc-b58c-44ab-9f0f-fa5baefb3da2">
      <Terms xmlns="http://schemas.microsoft.com/office/infopath/2007/PartnerControls"/>
    </lcf76f155ced4ddcb4097134ff3c332f>
    <TaxCatchAll xmlns="806d6863-a85d-4a14-ba5d-ada9e5b222d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19" ma:contentTypeDescription="Create a new document." ma:contentTypeScope="" ma:versionID="3de475bbc9da9acda9ac55a07c915356">
  <xsd:schema xmlns:xsd="http://www.w3.org/2001/XMLSchema" xmlns:xs="http://www.w3.org/2001/XMLSchema" xmlns:p="http://schemas.microsoft.com/office/2006/metadata/properties" xmlns:ns2="12479bdc-b58c-44ab-9f0f-fa5baefb3da2" xmlns:ns3="806d6863-a85d-4a14-ba5d-ada9e5b222dd" targetNamespace="http://schemas.microsoft.com/office/2006/metadata/properties" ma:root="true" ma:fieldsID="a362a11f490bf88d5bbd359e1c8a158c" ns2:_="" ns3:_="">
    <xsd:import namespace="12479bdc-b58c-44ab-9f0f-fa5baefb3da2"/>
    <xsd:import namespace="806d6863-a85d-4a14-ba5d-ada9e5b22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ate_x002f_Time"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Date_x002f_Time" ma:index="22" nillable="true" ma:displayName="Date/Time" ma:format="DateOnly" ma:internalName="Date_x002f_Time">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6d6863-a85d-4a14-ba5d-ada9e5b22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add1eb-4809-467b-a4c7-9f8b25a82955}" ma:internalName="TaxCatchAll" ma:showField="CatchAllData" ma:web="806d6863-a85d-4a14-ba5d-ada9e5b22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9CC946-7409-48D9-B4A6-98FA175A6FC3}">
  <ds:schemaRefs>
    <ds:schemaRef ds:uri="http://schemas.microsoft.com/office/2006/metadata/properties"/>
    <ds:schemaRef ds:uri="http://schemas.microsoft.com/office/infopath/2007/PartnerControls"/>
    <ds:schemaRef ds:uri="12479bdc-b58c-44ab-9f0f-fa5baefb3da2"/>
    <ds:schemaRef ds:uri="806d6863-a85d-4a14-ba5d-ada9e5b222dd"/>
  </ds:schemaRefs>
</ds:datastoreItem>
</file>

<file path=customXml/itemProps2.xml><?xml version="1.0" encoding="utf-8"?>
<ds:datastoreItem xmlns:ds="http://schemas.openxmlformats.org/officeDocument/2006/customXml" ds:itemID="{3A384150-B37B-41D5-8D0B-6D64543DD0F5}">
  <ds:schemaRefs>
    <ds:schemaRef ds:uri="http://schemas.openxmlformats.org/officeDocument/2006/bibliography"/>
  </ds:schemaRefs>
</ds:datastoreItem>
</file>

<file path=customXml/itemProps3.xml><?xml version="1.0" encoding="utf-8"?>
<ds:datastoreItem xmlns:ds="http://schemas.openxmlformats.org/officeDocument/2006/customXml" ds:itemID="{CE298A85-2FB2-4ABF-8433-E8B3EEA3C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79bdc-b58c-44ab-9f0f-fa5baefb3da2"/>
    <ds:schemaRef ds:uri="806d6863-a85d-4a14-ba5d-ada9e5b22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235430-A2E8-49E5-8F9B-D3E71CC8B4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27689 - HUMAN RIGHTS Research</Template>
  <TotalTime>21</TotalTime>
  <Pages>53</Pages>
  <Words>12938</Words>
  <Characters>75818</Characters>
  <Application>Microsoft Office Word</Application>
  <DocSecurity>0</DocSecurity>
  <Lines>1763</Lines>
  <Paragraphs>414</Paragraphs>
  <ScaleCrop>false</ScaleCrop>
  <HeadingPairs>
    <vt:vector size="2" baseType="variant">
      <vt:variant>
        <vt:lpstr>Title</vt:lpstr>
      </vt:variant>
      <vt:variant>
        <vt:i4>1</vt:i4>
      </vt:variant>
    </vt:vector>
  </HeadingPairs>
  <TitlesOfParts>
    <vt:vector size="1" baseType="lpstr">
      <vt:lpstr/>
    </vt:vector>
  </TitlesOfParts>
  <Company>Whitenoise</Company>
  <LinksUpToDate>false</LinksUpToDate>
  <CharactersWithSpaces>88342</CharactersWithSpaces>
  <SharedDoc>false</SharedDoc>
  <HLinks>
    <vt:vector size="210" baseType="variant">
      <vt:variant>
        <vt:i4>6946881</vt:i4>
      </vt:variant>
      <vt:variant>
        <vt:i4>186</vt:i4>
      </vt:variant>
      <vt:variant>
        <vt:i4>0</vt:i4>
      </vt:variant>
      <vt:variant>
        <vt:i4>5</vt:i4>
      </vt:variant>
      <vt:variant>
        <vt:lpwstr>mailto:info@nihrc.org</vt:lpwstr>
      </vt:variant>
      <vt:variant>
        <vt:lpwstr/>
      </vt:variant>
      <vt:variant>
        <vt:i4>4587543</vt:i4>
      </vt:variant>
      <vt:variant>
        <vt:i4>183</vt:i4>
      </vt:variant>
      <vt:variant>
        <vt:i4>0</vt:i4>
      </vt:variant>
      <vt:variant>
        <vt:i4>5</vt:i4>
      </vt:variant>
      <vt:variant>
        <vt:lpwstr>http://www.nihrc.org/</vt:lpwstr>
      </vt:variant>
      <vt:variant>
        <vt:lpwstr/>
      </vt:variant>
      <vt:variant>
        <vt:i4>7929856</vt:i4>
      </vt:variant>
      <vt:variant>
        <vt:i4>180</vt:i4>
      </vt:variant>
      <vt:variant>
        <vt:i4>0</vt:i4>
      </vt:variant>
      <vt:variant>
        <vt:i4>5</vt:i4>
      </vt:variant>
      <vt:variant>
        <vt:lpwstr>mailto:eilis.haughey@nihrc.org</vt:lpwstr>
      </vt:variant>
      <vt:variant>
        <vt:lpwstr/>
      </vt:variant>
      <vt:variant>
        <vt:i4>6881286</vt:i4>
      </vt:variant>
      <vt:variant>
        <vt:i4>177</vt:i4>
      </vt:variant>
      <vt:variant>
        <vt:i4>0</vt:i4>
      </vt:variant>
      <vt:variant>
        <vt:i4>5</vt:i4>
      </vt:variant>
      <vt:variant>
        <vt:lpwstr>mailto:Colin.Caughey@nihrc.org</vt:lpwstr>
      </vt:variant>
      <vt:variant>
        <vt:lpwstr/>
      </vt:variant>
      <vt:variant>
        <vt:i4>1245237</vt:i4>
      </vt:variant>
      <vt:variant>
        <vt:i4>170</vt:i4>
      </vt:variant>
      <vt:variant>
        <vt:i4>0</vt:i4>
      </vt:variant>
      <vt:variant>
        <vt:i4>5</vt:i4>
      </vt:variant>
      <vt:variant>
        <vt:lpwstr/>
      </vt:variant>
      <vt:variant>
        <vt:lpwstr>_Toc230705759</vt:lpwstr>
      </vt:variant>
      <vt:variant>
        <vt:i4>1245237</vt:i4>
      </vt:variant>
      <vt:variant>
        <vt:i4>164</vt:i4>
      </vt:variant>
      <vt:variant>
        <vt:i4>0</vt:i4>
      </vt:variant>
      <vt:variant>
        <vt:i4>5</vt:i4>
      </vt:variant>
      <vt:variant>
        <vt:lpwstr/>
      </vt:variant>
      <vt:variant>
        <vt:lpwstr>_Toc230705758</vt:lpwstr>
      </vt:variant>
      <vt:variant>
        <vt:i4>1245237</vt:i4>
      </vt:variant>
      <vt:variant>
        <vt:i4>158</vt:i4>
      </vt:variant>
      <vt:variant>
        <vt:i4>0</vt:i4>
      </vt:variant>
      <vt:variant>
        <vt:i4>5</vt:i4>
      </vt:variant>
      <vt:variant>
        <vt:lpwstr/>
      </vt:variant>
      <vt:variant>
        <vt:lpwstr>_Toc230705757</vt:lpwstr>
      </vt:variant>
      <vt:variant>
        <vt:i4>1245237</vt:i4>
      </vt:variant>
      <vt:variant>
        <vt:i4>152</vt:i4>
      </vt:variant>
      <vt:variant>
        <vt:i4>0</vt:i4>
      </vt:variant>
      <vt:variant>
        <vt:i4>5</vt:i4>
      </vt:variant>
      <vt:variant>
        <vt:lpwstr/>
      </vt:variant>
      <vt:variant>
        <vt:lpwstr>_Toc230705756</vt:lpwstr>
      </vt:variant>
      <vt:variant>
        <vt:i4>1245237</vt:i4>
      </vt:variant>
      <vt:variant>
        <vt:i4>146</vt:i4>
      </vt:variant>
      <vt:variant>
        <vt:i4>0</vt:i4>
      </vt:variant>
      <vt:variant>
        <vt:i4>5</vt:i4>
      </vt:variant>
      <vt:variant>
        <vt:lpwstr/>
      </vt:variant>
      <vt:variant>
        <vt:lpwstr>_Toc230705755</vt:lpwstr>
      </vt:variant>
      <vt:variant>
        <vt:i4>1245237</vt:i4>
      </vt:variant>
      <vt:variant>
        <vt:i4>140</vt:i4>
      </vt:variant>
      <vt:variant>
        <vt:i4>0</vt:i4>
      </vt:variant>
      <vt:variant>
        <vt:i4>5</vt:i4>
      </vt:variant>
      <vt:variant>
        <vt:lpwstr/>
      </vt:variant>
      <vt:variant>
        <vt:lpwstr>_Toc230705754</vt:lpwstr>
      </vt:variant>
      <vt:variant>
        <vt:i4>1245237</vt:i4>
      </vt:variant>
      <vt:variant>
        <vt:i4>134</vt:i4>
      </vt:variant>
      <vt:variant>
        <vt:i4>0</vt:i4>
      </vt:variant>
      <vt:variant>
        <vt:i4>5</vt:i4>
      </vt:variant>
      <vt:variant>
        <vt:lpwstr/>
      </vt:variant>
      <vt:variant>
        <vt:lpwstr>_Toc230705753</vt:lpwstr>
      </vt:variant>
      <vt:variant>
        <vt:i4>1245237</vt:i4>
      </vt:variant>
      <vt:variant>
        <vt:i4>128</vt:i4>
      </vt:variant>
      <vt:variant>
        <vt:i4>0</vt:i4>
      </vt:variant>
      <vt:variant>
        <vt:i4>5</vt:i4>
      </vt:variant>
      <vt:variant>
        <vt:lpwstr/>
      </vt:variant>
      <vt:variant>
        <vt:lpwstr>_Toc230705752</vt:lpwstr>
      </vt:variant>
      <vt:variant>
        <vt:i4>1245237</vt:i4>
      </vt:variant>
      <vt:variant>
        <vt:i4>122</vt:i4>
      </vt:variant>
      <vt:variant>
        <vt:i4>0</vt:i4>
      </vt:variant>
      <vt:variant>
        <vt:i4>5</vt:i4>
      </vt:variant>
      <vt:variant>
        <vt:lpwstr/>
      </vt:variant>
      <vt:variant>
        <vt:lpwstr>_Toc230705751</vt:lpwstr>
      </vt:variant>
      <vt:variant>
        <vt:i4>1245237</vt:i4>
      </vt:variant>
      <vt:variant>
        <vt:i4>116</vt:i4>
      </vt:variant>
      <vt:variant>
        <vt:i4>0</vt:i4>
      </vt:variant>
      <vt:variant>
        <vt:i4>5</vt:i4>
      </vt:variant>
      <vt:variant>
        <vt:lpwstr/>
      </vt:variant>
      <vt:variant>
        <vt:lpwstr>_Toc230705750</vt:lpwstr>
      </vt:variant>
      <vt:variant>
        <vt:i4>1179701</vt:i4>
      </vt:variant>
      <vt:variant>
        <vt:i4>110</vt:i4>
      </vt:variant>
      <vt:variant>
        <vt:i4>0</vt:i4>
      </vt:variant>
      <vt:variant>
        <vt:i4>5</vt:i4>
      </vt:variant>
      <vt:variant>
        <vt:lpwstr/>
      </vt:variant>
      <vt:variant>
        <vt:lpwstr>_Toc230705749</vt:lpwstr>
      </vt:variant>
      <vt:variant>
        <vt:i4>1179701</vt:i4>
      </vt:variant>
      <vt:variant>
        <vt:i4>104</vt:i4>
      </vt:variant>
      <vt:variant>
        <vt:i4>0</vt:i4>
      </vt:variant>
      <vt:variant>
        <vt:i4>5</vt:i4>
      </vt:variant>
      <vt:variant>
        <vt:lpwstr/>
      </vt:variant>
      <vt:variant>
        <vt:lpwstr>_Toc230705748</vt:lpwstr>
      </vt:variant>
      <vt:variant>
        <vt:i4>1179701</vt:i4>
      </vt:variant>
      <vt:variant>
        <vt:i4>98</vt:i4>
      </vt:variant>
      <vt:variant>
        <vt:i4>0</vt:i4>
      </vt:variant>
      <vt:variant>
        <vt:i4>5</vt:i4>
      </vt:variant>
      <vt:variant>
        <vt:lpwstr/>
      </vt:variant>
      <vt:variant>
        <vt:lpwstr>_Toc230705747</vt:lpwstr>
      </vt:variant>
      <vt:variant>
        <vt:i4>1179701</vt:i4>
      </vt:variant>
      <vt:variant>
        <vt:i4>92</vt:i4>
      </vt:variant>
      <vt:variant>
        <vt:i4>0</vt:i4>
      </vt:variant>
      <vt:variant>
        <vt:i4>5</vt:i4>
      </vt:variant>
      <vt:variant>
        <vt:lpwstr/>
      </vt:variant>
      <vt:variant>
        <vt:lpwstr>_Toc230705746</vt:lpwstr>
      </vt:variant>
      <vt:variant>
        <vt:i4>1179701</vt:i4>
      </vt:variant>
      <vt:variant>
        <vt:i4>86</vt:i4>
      </vt:variant>
      <vt:variant>
        <vt:i4>0</vt:i4>
      </vt:variant>
      <vt:variant>
        <vt:i4>5</vt:i4>
      </vt:variant>
      <vt:variant>
        <vt:lpwstr/>
      </vt:variant>
      <vt:variant>
        <vt:lpwstr>_Toc230705745</vt:lpwstr>
      </vt:variant>
      <vt:variant>
        <vt:i4>1179701</vt:i4>
      </vt:variant>
      <vt:variant>
        <vt:i4>80</vt:i4>
      </vt:variant>
      <vt:variant>
        <vt:i4>0</vt:i4>
      </vt:variant>
      <vt:variant>
        <vt:i4>5</vt:i4>
      </vt:variant>
      <vt:variant>
        <vt:lpwstr/>
      </vt:variant>
      <vt:variant>
        <vt:lpwstr>_Toc230705744</vt:lpwstr>
      </vt:variant>
      <vt:variant>
        <vt:i4>1179701</vt:i4>
      </vt:variant>
      <vt:variant>
        <vt:i4>74</vt:i4>
      </vt:variant>
      <vt:variant>
        <vt:i4>0</vt:i4>
      </vt:variant>
      <vt:variant>
        <vt:i4>5</vt:i4>
      </vt:variant>
      <vt:variant>
        <vt:lpwstr/>
      </vt:variant>
      <vt:variant>
        <vt:lpwstr>_Toc230705743</vt:lpwstr>
      </vt:variant>
      <vt:variant>
        <vt:i4>1179701</vt:i4>
      </vt:variant>
      <vt:variant>
        <vt:i4>68</vt:i4>
      </vt:variant>
      <vt:variant>
        <vt:i4>0</vt:i4>
      </vt:variant>
      <vt:variant>
        <vt:i4>5</vt:i4>
      </vt:variant>
      <vt:variant>
        <vt:lpwstr/>
      </vt:variant>
      <vt:variant>
        <vt:lpwstr>_Toc230705742</vt:lpwstr>
      </vt:variant>
      <vt:variant>
        <vt:i4>1179701</vt:i4>
      </vt:variant>
      <vt:variant>
        <vt:i4>62</vt:i4>
      </vt:variant>
      <vt:variant>
        <vt:i4>0</vt:i4>
      </vt:variant>
      <vt:variant>
        <vt:i4>5</vt:i4>
      </vt:variant>
      <vt:variant>
        <vt:lpwstr/>
      </vt:variant>
      <vt:variant>
        <vt:lpwstr>_Toc230705741</vt:lpwstr>
      </vt:variant>
      <vt:variant>
        <vt:i4>1179701</vt:i4>
      </vt:variant>
      <vt:variant>
        <vt:i4>56</vt:i4>
      </vt:variant>
      <vt:variant>
        <vt:i4>0</vt:i4>
      </vt:variant>
      <vt:variant>
        <vt:i4>5</vt:i4>
      </vt:variant>
      <vt:variant>
        <vt:lpwstr/>
      </vt:variant>
      <vt:variant>
        <vt:lpwstr>_Toc230705740</vt:lpwstr>
      </vt:variant>
      <vt:variant>
        <vt:i4>1376309</vt:i4>
      </vt:variant>
      <vt:variant>
        <vt:i4>50</vt:i4>
      </vt:variant>
      <vt:variant>
        <vt:i4>0</vt:i4>
      </vt:variant>
      <vt:variant>
        <vt:i4>5</vt:i4>
      </vt:variant>
      <vt:variant>
        <vt:lpwstr/>
      </vt:variant>
      <vt:variant>
        <vt:lpwstr>_Toc230705739</vt:lpwstr>
      </vt:variant>
      <vt:variant>
        <vt:i4>1376309</vt:i4>
      </vt:variant>
      <vt:variant>
        <vt:i4>44</vt:i4>
      </vt:variant>
      <vt:variant>
        <vt:i4>0</vt:i4>
      </vt:variant>
      <vt:variant>
        <vt:i4>5</vt:i4>
      </vt:variant>
      <vt:variant>
        <vt:lpwstr/>
      </vt:variant>
      <vt:variant>
        <vt:lpwstr>_Toc230705738</vt:lpwstr>
      </vt:variant>
      <vt:variant>
        <vt:i4>1376309</vt:i4>
      </vt:variant>
      <vt:variant>
        <vt:i4>38</vt:i4>
      </vt:variant>
      <vt:variant>
        <vt:i4>0</vt:i4>
      </vt:variant>
      <vt:variant>
        <vt:i4>5</vt:i4>
      </vt:variant>
      <vt:variant>
        <vt:lpwstr/>
      </vt:variant>
      <vt:variant>
        <vt:lpwstr>_Toc230705737</vt:lpwstr>
      </vt:variant>
      <vt:variant>
        <vt:i4>1376309</vt:i4>
      </vt:variant>
      <vt:variant>
        <vt:i4>32</vt:i4>
      </vt:variant>
      <vt:variant>
        <vt:i4>0</vt:i4>
      </vt:variant>
      <vt:variant>
        <vt:i4>5</vt:i4>
      </vt:variant>
      <vt:variant>
        <vt:lpwstr/>
      </vt:variant>
      <vt:variant>
        <vt:lpwstr>_Toc230705736</vt:lpwstr>
      </vt:variant>
      <vt:variant>
        <vt:i4>1376309</vt:i4>
      </vt:variant>
      <vt:variant>
        <vt:i4>26</vt:i4>
      </vt:variant>
      <vt:variant>
        <vt:i4>0</vt:i4>
      </vt:variant>
      <vt:variant>
        <vt:i4>5</vt:i4>
      </vt:variant>
      <vt:variant>
        <vt:lpwstr/>
      </vt:variant>
      <vt:variant>
        <vt:lpwstr>_Toc230705735</vt:lpwstr>
      </vt:variant>
      <vt:variant>
        <vt:i4>1376309</vt:i4>
      </vt:variant>
      <vt:variant>
        <vt:i4>20</vt:i4>
      </vt:variant>
      <vt:variant>
        <vt:i4>0</vt:i4>
      </vt:variant>
      <vt:variant>
        <vt:i4>5</vt:i4>
      </vt:variant>
      <vt:variant>
        <vt:lpwstr/>
      </vt:variant>
      <vt:variant>
        <vt:lpwstr>_Toc230705734</vt:lpwstr>
      </vt:variant>
      <vt:variant>
        <vt:i4>1376309</vt:i4>
      </vt:variant>
      <vt:variant>
        <vt:i4>14</vt:i4>
      </vt:variant>
      <vt:variant>
        <vt:i4>0</vt:i4>
      </vt:variant>
      <vt:variant>
        <vt:i4>5</vt:i4>
      </vt:variant>
      <vt:variant>
        <vt:lpwstr/>
      </vt:variant>
      <vt:variant>
        <vt:lpwstr>_Toc230705733</vt:lpwstr>
      </vt:variant>
      <vt:variant>
        <vt:i4>1376309</vt:i4>
      </vt:variant>
      <vt:variant>
        <vt:i4>8</vt:i4>
      </vt:variant>
      <vt:variant>
        <vt:i4>0</vt:i4>
      </vt:variant>
      <vt:variant>
        <vt:i4>5</vt:i4>
      </vt:variant>
      <vt:variant>
        <vt:lpwstr/>
      </vt:variant>
      <vt:variant>
        <vt:lpwstr>_Toc230705732</vt:lpwstr>
      </vt:variant>
      <vt:variant>
        <vt:i4>1376309</vt:i4>
      </vt:variant>
      <vt:variant>
        <vt:i4>2</vt:i4>
      </vt:variant>
      <vt:variant>
        <vt:i4>0</vt:i4>
      </vt:variant>
      <vt:variant>
        <vt:i4>5</vt:i4>
      </vt:variant>
      <vt:variant>
        <vt:lpwstr/>
      </vt:variant>
      <vt:variant>
        <vt:lpwstr>_Toc230705731</vt:lpwstr>
      </vt:variant>
      <vt:variant>
        <vt:i4>7077998</vt:i4>
      </vt:variant>
      <vt:variant>
        <vt:i4>3</vt:i4>
      </vt:variant>
      <vt:variant>
        <vt:i4>0</vt:i4>
      </vt:variant>
      <vt:variant>
        <vt:i4>5</vt:i4>
      </vt:variant>
      <vt:variant>
        <vt:lpwstr>https://www.irishstatutebook.ie/eli/2024/act/41/enacted/en/html</vt:lpwstr>
      </vt:variant>
      <vt:variant>
        <vt:lpwstr/>
      </vt:variant>
      <vt:variant>
        <vt:i4>6946816</vt:i4>
      </vt:variant>
      <vt:variant>
        <vt:i4>0</vt:i4>
      </vt:variant>
      <vt:variant>
        <vt:i4>0</vt:i4>
      </vt:variant>
      <vt:variant>
        <vt:i4>5</vt:i4>
      </vt:variant>
      <vt:variant>
        <vt:lpwstr>https://commission.europa.eu/strategy-and-policy/policies/justice-and-fundamental-rights/combatting-discrimination/racism-and-xenophobia/anti-racism-strategy_en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Melody Kozah</dc:creator>
  <cp:keywords/>
  <dc:description/>
  <cp:lastModifiedBy>Melody Kozah</cp:lastModifiedBy>
  <cp:revision>8</cp:revision>
  <cp:lastPrinted>2018-04-20T11:30:00Z</cp:lastPrinted>
  <dcterms:created xsi:type="dcterms:W3CDTF">2026-06-02T08:16:00Z</dcterms:created>
  <dcterms:modified xsi:type="dcterms:W3CDTF">2026-06-02T08:36:00Z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0x010100F41320E77E35C644A511CBC5C12B0A0B</vt:lpwstr>
  </property>
  <property fmtid="{D5CDD505-2E9C-101B-9397-08002B2CF9AE}" pid="3" name="MediaServiceImageTags">
    <vt:lpwstr/>
  </property>
</Properties>
</file>